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246E8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1591FE8" wp14:editId="0329EC1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262287" w:rsidRDefault="00772E46" w:rsidP="001E574D">
            <w:pPr>
              <w:pStyle w:val="DocumentCodeAR"/>
              <w:bidi/>
              <w:rPr>
                <w:rtl/>
                <w:lang w:val="fr-CH"/>
              </w:rPr>
            </w:pPr>
            <w:r>
              <w:t>WO/</w:t>
            </w:r>
            <w:r w:rsidR="0059089F">
              <w:t>GA</w:t>
            </w:r>
            <w:r w:rsidR="00100F97">
              <w:t>/</w:t>
            </w:r>
            <w:r w:rsidR="009B48E3">
              <w:t>4</w:t>
            </w:r>
            <w:r w:rsidR="001E574D">
              <w:t>9</w:t>
            </w:r>
            <w:r w:rsidR="00B6101C" w:rsidRPr="00B6101C">
              <w:t>/</w:t>
            </w:r>
            <w:r w:rsidR="00262287">
              <w:t>18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262287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262287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262287" w:rsidP="00356D60">
            <w:pPr>
              <w:pStyle w:val="DocumentDateAR"/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التاريخ: </w:t>
            </w:r>
            <w:r w:rsidR="00356D60">
              <w:rPr>
                <w:rFonts w:hint="cs"/>
                <w:rtl/>
              </w:rPr>
              <w:t>29</w:t>
            </w:r>
            <w:r>
              <w:rPr>
                <w:rFonts w:hint="cs"/>
                <w:rtl/>
              </w:rPr>
              <w:t xml:space="preserve"> سبتمب</w:t>
            </w:r>
            <w:r w:rsidR="00B6101C" w:rsidRPr="00B6101C">
              <w:rPr>
                <w:rFonts w:hint="cs"/>
                <w:rtl/>
              </w:rPr>
              <w:t xml:space="preserve">ر </w:t>
            </w:r>
            <w:r w:rsidR="001E574D">
              <w:rPr>
                <w:rFonts w:hint="cs"/>
                <w:rtl/>
              </w:rPr>
              <w:t>2017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  <w:bookmarkStart w:id="2" w:name="_GoBack"/>
      <w:bookmarkEnd w:id="2"/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59089F" w:rsidRDefault="0059089F" w:rsidP="000D7BA7">
      <w:pPr>
        <w:pStyle w:val="MeetingTitleAR"/>
        <w:bidi/>
        <w:ind w:right="550"/>
        <w:rPr>
          <w:rtl/>
          <w:lang w:val="fr-CH"/>
        </w:rPr>
      </w:pPr>
      <w:r>
        <w:rPr>
          <w:rFonts w:hint="cs"/>
          <w:rtl/>
          <w:lang w:val="fr-CH"/>
        </w:rPr>
        <w:t>الجمعية العامة للويبو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59089F" w:rsidP="001E574D">
      <w:pPr>
        <w:pStyle w:val="MeetingSessionAR"/>
        <w:bidi/>
        <w:rPr>
          <w:rFonts w:ascii="Cambria Math" w:hAnsi="Cambria Math"/>
          <w:rtl/>
        </w:rPr>
      </w:pPr>
      <w:r w:rsidRPr="0059089F">
        <w:rPr>
          <w:rFonts w:ascii="Cambria Math" w:hAnsi="Cambria Math"/>
          <w:rtl/>
        </w:rPr>
        <w:t xml:space="preserve">الدورة </w:t>
      </w:r>
      <w:r w:rsidR="001E574D">
        <w:rPr>
          <w:rFonts w:ascii="Cambria Math" w:hAnsi="Cambria Math" w:hint="cs"/>
          <w:rtl/>
        </w:rPr>
        <w:t>التاسعة</w:t>
      </w:r>
      <w:r w:rsidR="00F03C3E">
        <w:rPr>
          <w:rFonts w:ascii="Cambria Math" w:hAnsi="Cambria Math" w:hint="cs"/>
          <w:rtl/>
        </w:rPr>
        <w:t xml:space="preserve"> </w:t>
      </w:r>
      <w:r w:rsidRPr="0059089F">
        <w:rPr>
          <w:rFonts w:ascii="Cambria Math" w:hAnsi="Cambria Math"/>
          <w:rtl/>
        </w:rPr>
        <w:t xml:space="preserve">والأربعون (الدورة </w:t>
      </w:r>
      <w:r w:rsidR="001E574D">
        <w:rPr>
          <w:rFonts w:ascii="Cambria Math" w:hAnsi="Cambria Math" w:hint="cs"/>
          <w:rtl/>
        </w:rPr>
        <w:t>العادية</w:t>
      </w:r>
      <w:r w:rsidR="009B48E3">
        <w:rPr>
          <w:rFonts w:ascii="Cambria Math" w:hAnsi="Cambria Math" w:hint="cs"/>
          <w:rtl/>
        </w:rPr>
        <w:t xml:space="preserve"> </w:t>
      </w:r>
      <w:r w:rsidR="001E574D">
        <w:rPr>
          <w:rFonts w:ascii="Cambria Math" w:hAnsi="Cambria Math" w:hint="cs"/>
          <w:rtl/>
        </w:rPr>
        <w:t>الثالثة</w:t>
      </w:r>
      <w:r w:rsidR="00F03C3E">
        <w:rPr>
          <w:rFonts w:ascii="Cambria Math" w:hAnsi="Cambria Math" w:hint="cs"/>
          <w:rtl/>
        </w:rPr>
        <w:t xml:space="preserve"> </w:t>
      </w:r>
      <w:r w:rsidRPr="0059089F">
        <w:rPr>
          <w:rFonts w:ascii="Cambria Math" w:hAnsi="Cambria Math"/>
          <w:rtl/>
        </w:rPr>
        <w:t>والعشرون)</w:t>
      </w:r>
    </w:p>
    <w:p w:rsidR="00D61541" w:rsidRPr="00D61541" w:rsidRDefault="00D61541" w:rsidP="001E574D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</w:t>
      </w:r>
      <w:r w:rsidR="00A834F7">
        <w:rPr>
          <w:rFonts w:hint="cs"/>
          <w:rtl/>
        </w:rPr>
        <w:t xml:space="preserve">من </w:t>
      </w:r>
      <w:r w:rsidR="001E574D">
        <w:rPr>
          <w:rFonts w:hint="cs"/>
          <w:rtl/>
        </w:rPr>
        <w:t>2 إلى 11 أكتوبر 2017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262287" w:rsidP="0005459B">
      <w:pPr>
        <w:pStyle w:val="DocumentTitleAR"/>
        <w:bidi/>
        <w:rPr>
          <w:rtl/>
        </w:rPr>
      </w:pPr>
      <w:r>
        <w:rPr>
          <w:rFonts w:hint="cs"/>
          <w:rtl/>
        </w:rPr>
        <w:t xml:space="preserve">اقتراح من الاتحاد الأوروبي بشأن ولاية لجنة </w:t>
      </w:r>
      <w:r w:rsidR="00DD7F1E">
        <w:rPr>
          <w:rFonts w:hint="cs"/>
          <w:rtl/>
        </w:rPr>
        <w:t xml:space="preserve">المعارف </w:t>
      </w:r>
      <w:r>
        <w:rPr>
          <w:rFonts w:hint="cs"/>
          <w:rtl/>
        </w:rPr>
        <w:t>للثنائية 2018/</w:t>
      </w:r>
      <w:r w:rsidR="00C95D09">
        <w:rPr>
          <w:rFonts w:hint="cs"/>
          <w:rtl/>
        </w:rPr>
        <w:t>2019</w:t>
      </w:r>
    </w:p>
    <w:p w:rsidR="00D61541" w:rsidRPr="00D61541" w:rsidRDefault="00262287" w:rsidP="00931859">
      <w:pPr>
        <w:pStyle w:val="PreparedbyAR"/>
        <w:bidi/>
        <w:rPr>
          <w:rtl/>
        </w:rPr>
      </w:pPr>
      <w:r>
        <w:rPr>
          <w:rFonts w:hint="cs"/>
          <w:rtl/>
        </w:rPr>
        <w:t xml:space="preserve">اقتراح </w:t>
      </w:r>
      <w:r w:rsidR="00DD7F1E">
        <w:rPr>
          <w:rFonts w:hint="cs"/>
          <w:rtl/>
        </w:rPr>
        <w:t>ي</w:t>
      </w:r>
      <w:r>
        <w:rPr>
          <w:rFonts w:hint="cs"/>
          <w:rtl/>
        </w:rPr>
        <w:t xml:space="preserve">قدّمه وفد </w:t>
      </w:r>
      <w:r w:rsidRPr="00262287">
        <w:rPr>
          <w:rtl/>
        </w:rPr>
        <w:t xml:space="preserve">الاتحاد الأوروبي </w:t>
      </w:r>
      <w:r>
        <w:rPr>
          <w:rFonts w:hint="cs"/>
          <w:rtl/>
        </w:rPr>
        <w:t xml:space="preserve">نيابة عن الاتحاد الأوروبي </w:t>
      </w:r>
      <w:r w:rsidRPr="00262287">
        <w:rPr>
          <w:rtl/>
        </w:rPr>
        <w:t>والدول الأعضاء فيه</w:t>
      </w:r>
    </w:p>
    <w:p w:rsidR="00D61541" w:rsidRDefault="00262287" w:rsidP="00262287">
      <w:pPr>
        <w:pStyle w:val="NormalParaAR"/>
        <w:rPr>
          <w:rtl/>
        </w:rPr>
      </w:pPr>
      <w:r>
        <w:rPr>
          <w:rtl/>
        </w:rPr>
        <w:t xml:space="preserve">في رسالة </w:t>
      </w:r>
      <w:r>
        <w:rPr>
          <w:rFonts w:hint="cs"/>
          <w:rtl/>
        </w:rPr>
        <w:t xml:space="preserve">تلقتها </w:t>
      </w:r>
      <w:r>
        <w:rPr>
          <w:rtl/>
        </w:rPr>
        <w:t>الأمان</w:t>
      </w:r>
      <w:r>
        <w:rPr>
          <w:rFonts w:hint="cs"/>
          <w:rtl/>
        </w:rPr>
        <w:t>ة</w:t>
      </w:r>
      <w:r>
        <w:rPr>
          <w:rtl/>
        </w:rPr>
        <w:t xml:space="preserve"> </w:t>
      </w:r>
      <w:r>
        <w:rPr>
          <w:rFonts w:hint="cs"/>
          <w:rtl/>
        </w:rPr>
        <w:t>بتاريخ</w:t>
      </w:r>
      <w:r w:rsidRPr="00262287">
        <w:rPr>
          <w:rtl/>
        </w:rPr>
        <w:t xml:space="preserve"> 27 سبتمبر 2017</w:t>
      </w:r>
      <w:r>
        <w:rPr>
          <w:rFonts w:hint="cs"/>
          <w:rtl/>
        </w:rPr>
        <w:t>،</w:t>
      </w:r>
      <w:r w:rsidRPr="00262287">
        <w:rPr>
          <w:rtl/>
        </w:rPr>
        <w:t xml:space="preserve"> قد</w:t>
      </w:r>
      <w:r>
        <w:rPr>
          <w:rFonts w:hint="cs"/>
          <w:rtl/>
        </w:rPr>
        <w:t>ّ</w:t>
      </w:r>
      <w:r w:rsidRPr="00262287">
        <w:rPr>
          <w:rtl/>
        </w:rPr>
        <w:t xml:space="preserve">م وفد الاتحاد الأوروبي نيابة عن الاتحاد الأوروبي والدول الأعضاء فيه الاقتراح المرفق </w:t>
      </w:r>
      <w:r w:rsidR="00DD7F1E">
        <w:rPr>
          <w:rFonts w:hint="cs"/>
          <w:rtl/>
        </w:rPr>
        <w:t xml:space="preserve">طيّه </w:t>
      </w:r>
      <w:r w:rsidRPr="00262287">
        <w:rPr>
          <w:rtl/>
        </w:rPr>
        <w:t>في إطار بند جدول الأعمال المعنون "ت</w:t>
      </w:r>
      <w:r>
        <w:rPr>
          <w:rtl/>
        </w:rPr>
        <w:t xml:space="preserve">قرير عن </w:t>
      </w:r>
      <w:r w:rsidRPr="00262287">
        <w:rPr>
          <w:rtl/>
        </w:rPr>
        <w:t>اللجنة الحكومية الدولية المعنية بالملكية الفكرية والموارد الوراثي</w:t>
      </w:r>
      <w:r>
        <w:rPr>
          <w:rtl/>
        </w:rPr>
        <w:t>ة والمعارف التقليدية والفولكلور</w:t>
      </w:r>
      <w:r w:rsidR="00DD7F1E">
        <w:rPr>
          <w:rFonts w:hint="cs"/>
          <w:rtl/>
        </w:rPr>
        <w:t xml:space="preserve"> (لجنة المعارف)</w:t>
      </w:r>
      <w:r>
        <w:rPr>
          <w:rtl/>
        </w:rPr>
        <w:t>"</w:t>
      </w:r>
      <w:r>
        <w:rPr>
          <w:rFonts w:hint="cs"/>
          <w:rtl/>
        </w:rPr>
        <w:t>.</w:t>
      </w:r>
    </w:p>
    <w:p w:rsidR="00262287" w:rsidRDefault="00262287" w:rsidP="00262287">
      <w:pPr>
        <w:pStyle w:val="EndofDocumentAR"/>
        <w:rPr>
          <w:rtl/>
        </w:rPr>
      </w:pPr>
      <w:r>
        <w:rPr>
          <w:rFonts w:hint="cs"/>
          <w:rtl/>
        </w:rPr>
        <w:t>[يلي ذلك المرفق]</w:t>
      </w:r>
    </w:p>
    <w:p w:rsidR="00DD7F1E" w:rsidRPr="00DD7F1E" w:rsidRDefault="00DD7F1E" w:rsidP="00DD7F1E">
      <w:pPr>
        <w:pStyle w:val="NormalParaAR"/>
        <w:rPr>
          <w:rtl/>
        </w:rPr>
      </w:pPr>
    </w:p>
    <w:p w:rsidR="00DD7F1E" w:rsidRPr="00DD7F1E" w:rsidRDefault="00DD7F1E" w:rsidP="00DD7F1E">
      <w:pPr>
        <w:pStyle w:val="NormalParaAR"/>
        <w:rPr>
          <w:rtl/>
        </w:rPr>
        <w:sectPr w:rsidR="00DD7F1E" w:rsidRPr="00DD7F1E" w:rsidSect="00EB7752">
          <w:headerReference w:type="default" r:id="rId10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</w:p>
    <w:p w:rsidR="00262287" w:rsidRPr="00262287" w:rsidRDefault="00262287" w:rsidP="00DD7F1E">
      <w:pPr>
        <w:pStyle w:val="NormalParaAR"/>
        <w:spacing w:after="480"/>
        <w:jc w:val="center"/>
        <w:rPr>
          <w:b/>
          <w:bCs/>
          <w:sz w:val="40"/>
          <w:szCs w:val="40"/>
        </w:rPr>
      </w:pPr>
      <w:r w:rsidRPr="00262287">
        <w:rPr>
          <w:b/>
          <w:bCs/>
          <w:sz w:val="40"/>
          <w:szCs w:val="40"/>
          <w:rtl/>
        </w:rPr>
        <w:lastRenderedPageBreak/>
        <w:t xml:space="preserve">اقتراح الاتحاد الأوروبي بشأن ولاية لجنة </w:t>
      </w:r>
      <w:r w:rsidR="00DD7F1E">
        <w:rPr>
          <w:rFonts w:hint="cs"/>
          <w:b/>
          <w:bCs/>
          <w:sz w:val="40"/>
          <w:szCs w:val="40"/>
          <w:rtl/>
        </w:rPr>
        <w:t>المعارف</w:t>
      </w:r>
      <w:r w:rsidRPr="00262287">
        <w:rPr>
          <w:b/>
          <w:bCs/>
          <w:sz w:val="40"/>
          <w:szCs w:val="40"/>
          <w:rtl/>
        </w:rPr>
        <w:t xml:space="preserve"> للثنائية 2018/</w:t>
      </w:r>
      <w:r w:rsidR="00C95D09">
        <w:rPr>
          <w:rFonts w:hint="cs"/>
          <w:b/>
          <w:bCs/>
          <w:sz w:val="40"/>
          <w:szCs w:val="40"/>
          <w:rtl/>
        </w:rPr>
        <w:t>2019</w:t>
      </w:r>
    </w:p>
    <w:p w:rsidR="009B48E3" w:rsidRDefault="00C95D09" w:rsidP="00C95D09">
      <w:pPr>
        <w:pStyle w:val="NormalParaAR"/>
        <w:rPr>
          <w:rtl/>
        </w:rPr>
      </w:pPr>
      <w:r>
        <w:rPr>
          <w:rtl/>
        </w:rPr>
        <w:t>إذ ت</w:t>
      </w:r>
      <w:r>
        <w:rPr>
          <w:rFonts w:hint="cs"/>
          <w:rtl/>
        </w:rPr>
        <w:t>قرّ</w:t>
      </w:r>
      <w:r w:rsidR="00262287" w:rsidRPr="00262287">
        <w:rPr>
          <w:rtl/>
        </w:rPr>
        <w:t xml:space="preserve"> الج</w:t>
      </w:r>
      <w:r>
        <w:rPr>
          <w:rtl/>
        </w:rPr>
        <w:t xml:space="preserve">معية العامة للويبو </w:t>
      </w:r>
      <w:r w:rsidR="00262287" w:rsidRPr="00262287">
        <w:rPr>
          <w:rtl/>
        </w:rPr>
        <w:t>بالتقدم المحرز</w:t>
      </w:r>
      <w:r>
        <w:rPr>
          <w:rFonts w:hint="cs"/>
          <w:rtl/>
        </w:rPr>
        <w:t xml:space="preserve"> على مختلف المستويات</w:t>
      </w:r>
      <w:r>
        <w:rPr>
          <w:rtl/>
        </w:rPr>
        <w:t xml:space="preserve"> </w:t>
      </w:r>
      <w:r>
        <w:rPr>
          <w:rFonts w:hint="cs"/>
          <w:rtl/>
        </w:rPr>
        <w:t xml:space="preserve">في </w:t>
      </w:r>
      <w:r>
        <w:rPr>
          <w:rtl/>
        </w:rPr>
        <w:t>الثنائية 2016/</w:t>
      </w:r>
      <w:r>
        <w:rPr>
          <w:rFonts w:hint="cs"/>
          <w:rtl/>
        </w:rPr>
        <w:t xml:space="preserve">2017 </w:t>
      </w:r>
      <w:r>
        <w:rPr>
          <w:rtl/>
        </w:rPr>
        <w:t>بشأن المسائل قيد المناقشة،</w:t>
      </w:r>
      <w:r>
        <w:rPr>
          <w:rFonts w:hint="cs"/>
          <w:rtl/>
        </w:rPr>
        <w:t xml:space="preserve"> وإذ ت</w:t>
      </w:r>
      <w:r>
        <w:rPr>
          <w:rtl/>
        </w:rPr>
        <w:t>شير إلى الطبيعة المختلفة لهذه القضايا والحاجة إلى تكييف النتائج وفقا لذلك</w:t>
      </w:r>
      <w:r>
        <w:rPr>
          <w:rFonts w:hint="cs"/>
          <w:rtl/>
        </w:rPr>
        <w:t>،</w:t>
      </w:r>
      <w:r w:rsidRPr="00262287">
        <w:rPr>
          <w:rtl/>
        </w:rPr>
        <w:t xml:space="preserve"> </w:t>
      </w:r>
      <w:r w:rsidR="00262287" w:rsidRPr="00262287">
        <w:rPr>
          <w:rtl/>
        </w:rPr>
        <w:t>توافق على تجديد ولاية لجنة الويبو الحكومية الدولية المعنية بالملكية الفكرية والموارد الوراثية والمعارف التقليدية والفولكلور</w:t>
      </w:r>
      <w:r w:rsidR="00DD7F1E">
        <w:rPr>
          <w:rFonts w:hint="cs"/>
          <w:rtl/>
        </w:rPr>
        <w:t xml:space="preserve"> (لجنة المعارف)</w:t>
      </w:r>
      <w:r w:rsidR="00262287" w:rsidRPr="00262287">
        <w:rPr>
          <w:rtl/>
        </w:rPr>
        <w:t>، دون الإخلال بالعمل الجاري في منتديات أخرى، على النحو التالي:</w:t>
      </w:r>
    </w:p>
    <w:p w:rsidR="00C95D09" w:rsidRDefault="00C95D09" w:rsidP="00771216">
      <w:pPr>
        <w:pStyle w:val="NormalParaAR"/>
        <w:ind w:left="567"/>
        <w:rPr>
          <w:rtl/>
        </w:rPr>
      </w:pPr>
      <w:r>
        <w:rPr>
          <w:rtl/>
        </w:rPr>
        <w:t>(أ)</w:t>
      </w:r>
      <w:r>
        <w:rPr>
          <w:rFonts w:hint="cs"/>
          <w:rtl/>
        </w:rPr>
        <w:tab/>
        <w:t>س</w:t>
      </w:r>
      <w:r>
        <w:rPr>
          <w:rtl/>
        </w:rPr>
        <w:t>تواصل اللجنة</w:t>
      </w:r>
      <w:r w:rsidRPr="00C95D09">
        <w:rPr>
          <w:rtl/>
        </w:rPr>
        <w:t xml:space="preserve"> </w:t>
      </w:r>
      <w:r>
        <w:rPr>
          <w:rtl/>
        </w:rPr>
        <w:t xml:space="preserve">عملها، </w:t>
      </w:r>
      <w:r>
        <w:rPr>
          <w:rFonts w:hint="cs"/>
          <w:rtl/>
        </w:rPr>
        <w:t>في الثنائية</w:t>
      </w:r>
      <w:r>
        <w:rPr>
          <w:rtl/>
        </w:rPr>
        <w:t xml:space="preserve"> المقبلة 2018/2019، </w:t>
      </w:r>
      <w:r>
        <w:rPr>
          <w:rFonts w:hint="cs"/>
          <w:rtl/>
        </w:rPr>
        <w:t xml:space="preserve">بالتزام </w:t>
      </w:r>
      <w:r>
        <w:rPr>
          <w:rtl/>
        </w:rPr>
        <w:t>مفتوح و</w:t>
      </w:r>
      <w:r>
        <w:rPr>
          <w:rFonts w:hint="cs"/>
          <w:rtl/>
        </w:rPr>
        <w:t>تام</w:t>
      </w:r>
      <w:r>
        <w:rPr>
          <w:rtl/>
        </w:rPr>
        <w:t xml:space="preserve"> </w:t>
      </w:r>
      <w:r>
        <w:rPr>
          <w:rFonts w:hint="cs"/>
          <w:rtl/>
        </w:rPr>
        <w:t xml:space="preserve">بغية </w:t>
      </w:r>
      <w:r>
        <w:rPr>
          <w:rtl/>
        </w:rPr>
        <w:t>تضييق الفجوات القائمة في</w:t>
      </w:r>
      <w:r>
        <w:rPr>
          <w:rFonts w:hint="cs"/>
          <w:rtl/>
        </w:rPr>
        <w:t xml:space="preserve"> مجال </w:t>
      </w:r>
      <w:r>
        <w:rPr>
          <w:rtl/>
        </w:rPr>
        <w:t>حماي</w:t>
      </w:r>
      <w:r>
        <w:rPr>
          <w:rFonts w:hint="cs"/>
          <w:rtl/>
        </w:rPr>
        <w:t>ة</w:t>
      </w:r>
      <w:r>
        <w:rPr>
          <w:rtl/>
        </w:rPr>
        <w:t xml:space="preserve"> الموارد </w:t>
      </w:r>
      <w:r>
        <w:rPr>
          <w:rFonts w:hint="cs"/>
          <w:rtl/>
        </w:rPr>
        <w:t xml:space="preserve">الوراثية </w:t>
      </w:r>
      <w:r>
        <w:rPr>
          <w:rtl/>
        </w:rPr>
        <w:t>والمعارف التقليدية وأشكال التعبير الثقافي التقليدي</w:t>
      </w:r>
      <w:r>
        <w:rPr>
          <w:rFonts w:hint="cs"/>
          <w:rtl/>
        </w:rPr>
        <w:t xml:space="preserve"> وصونها</w:t>
      </w:r>
      <w:r>
        <w:rPr>
          <w:rtl/>
        </w:rPr>
        <w:t xml:space="preserve">. وستعمل </w:t>
      </w:r>
      <w:r w:rsidR="00771216">
        <w:rPr>
          <w:rFonts w:hint="cs"/>
          <w:rtl/>
        </w:rPr>
        <w:t>جاهدة لل</w:t>
      </w:r>
      <w:r>
        <w:rPr>
          <w:rtl/>
        </w:rPr>
        <w:t xml:space="preserve">توصل </w:t>
      </w:r>
      <w:r w:rsidR="00771216">
        <w:rPr>
          <w:rtl/>
        </w:rPr>
        <w:t>إلى اتفاق عام بشأن جميع جوانب ولاي</w:t>
      </w:r>
      <w:r w:rsidR="00771216">
        <w:rPr>
          <w:rFonts w:hint="cs"/>
          <w:rtl/>
        </w:rPr>
        <w:t>تها</w:t>
      </w:r>
      <w:r>
        <w:rPr>
          <w:rtl/>
        </w:rPr>
        <w:t xml:space="preserve"> على </w:t>
      </w:r>
      <w:r w:rsidR="00771216">
        <w:rPr>
          <w:rtl/>
        </w:rPr>
        <w:t>مبدأ "</w:t>
      </w:r>
      <w:r w:rsidR="00771216">
        <w:rPr>
          <w:rFonts w:hint="cs"/>
          <w:rtl/>
        </w:rPr>
        <w:t xml:space="preserve">لا </w:t>
      </w:r>
      <w:r w:rsidR="00771216" w:rsidRPr="00771216">
        <w:rPr>
          <w:rtl/>
        </w:rPr>
        <w:t>اتفاق على شيء ما لم يُتفق على كل شيء"</w:t>
      </w:r>
      <w:r>
        <w:rPr>
          <w:rtl/>
        </w:rPr>
        <w:t>.</w:t>
      </w:r>
    </w:p>
    <w:p w:rsidR="00771216" w:rsidRDefault="00771216" w:rsidP="00771216">
      <w:pPr>
        <w:pStyle w:val="NormalParaAR"/>
        <w:ind w:left="567"/>
        <w:rPr>
          <w:rtl/>
        </w:rPr>
      </w:pPr>
      <w:r>
        <w:rPr>
          <w:rFonts w:hint="cs"/>
          <w:rtl/>
        </w:rPr>
        <w:t>(ب)</w:t>
      </w:r>
      <w:r>
        <w:rPr>
          <w:rFonts w:hint="cs"/>
          <w:rtl/>
        </w:rPr>
        <w:tab/>
        <w:t>و</w:t>
      </w:r>
      <w:r>
        <w:rPr>
          <w:rtl/>
        </w:rPr>
        <w:t xml:space="preserve">ستركز اللجنة </w:t>
      </w:r>
      <w:r>
        <w:rPr>
          <w:rFonts w:hint="cs"/>
          <w:rtl/>
        </w:rPr>
        <w:t>عملها لل</w:t>
      </w:r>
      <w:r>
        <w:rPr>
          <w:rtl/>
        </w:rPr>
        <w:t>توصل إلى فهم مشترك لأهداف اللجنة وقضايا</w:t>
      </w:r>
      <w:r>
        <w:rPr>
          <w:rFonts w:hint="cs"/>
          <w:rtl/>
        </w:rPr>
        <w:t>ها</w:t>
      </w:r>
      <w:r>
        <w:rPr>
          <w:rtl/>
        </w:rPr>
        <w:t xml:space="preserve"> الأساسية </w:t>
      </w:r>
      <w:r>
        <w:rPr>
          <w:rFonts w:hint="cs"/>
          <w:rtl/>
        </w:rPr>
        <w:t>ك</w:t>
      </w:r>
      <w:r>
        <w:rPr>
          <w:rtl/>
        </w:rPr>
        <w:t>التعاريف والموضوع</w:t>
      </w:r>
      <w:r>
        <w:rPr>
          <w:rFonts w:hint="cs"/>
          <w:rtl/>
        </w:rPr>
        <w:t>ات</w:t>
      </w:r>
      <w:r>
        <w:rPr>
          <w:rtl/>
        </w:rPr>
        <w:t xml:space="preserve"> والأهداف والمستفيدين ونطاق</w:t>
      </w:r>
      <w:r w:rsidR="00AC151E">
        <w:rPr>
          <w:rtl/>
        </w:rPr>
        <w:t xml:space="preserve"> الحماية</w:t>
      </w:r>
      <w:r w:rsidR="00AC151E">
        <w:rPr>
          <w:rFonts w:hint="cs"/>
          <w:rtl/>
        </w:rPr>
        <w:t xml:space="preserve"> والصون</w:t>
      </w:r>
      <w:r w:rsidR="00AC151E">
        <w:rPr>
          <w:rtl/>
        </w:rPr>
        <w:t xml:space="preserve"> والعلاقة </w:t>
      </w:r>
      <w:r w:rsidR="00AC151E">
        <w:rPr>
          <w:rFonts w:hint="cs"/>
          <w:rtl/>
        </w:rPr>
        <w:t>بالملك العام،</w:t>
      </w:r>
      <w:r w:rsidR="00AC151E">
        <w:rPr>
          <w:rtl/>
        </w:rPr>
        <w:t xml:space="preserve"> </w:t>
      </w:r>
      <w:r w:rsidR="00AC151E">
        <w:rPr>
          <w:rFonts w:hint="cs"/>
          <w:rtl/>
        </w:rPr>
        <w:t xml:space="preserve">وكذلك </w:t>
      </w:r>
      <w:r w:rsidR="00AC151E">
        <w:rPr>
          <w:rtl/>
        </w:rPr>
        <w:t xml:space="preserve">الترابط بين </w:t>
      </w:r>
      <w:r w:rsidR="00AC151E">
        <w:rPr>
          <w:rFonts w:hint="cs"/>
          <w:rtl/>
        </w:rPr>
        <w:t>ال</w:t>
      </w:r>
      <w:r w:rsidR="00AC151E">
        <w:rPr>
          <w:rtl/>
        </w:rPr>
        <w:t>موضوعات المت</w:t>
      </w:r>
      <w:r w:rsidR="00AC151E">
        <w:rPr>
          <w:rFonts w:hint="cs"/>
          <w:rtl/>
        </w:rPr>
        <w:t>ص</w:t>
      </w:r>
      <w:r w:rsidR="00AC151E">
        <w:rPr>
          <w:rtl/>
        </w:rPr>
        <w:t>ل</w:t>
      </w:r>
      <w:r>
        <w:rPr>
          <w:rtl/>
        </w:rPr>
        <w:t>ة بالموارد الوراثية والمعارف التقليدية وأشك</w:t>
      </w:r>
      <w:r w:rsidR="00AC151E">
        <w:rPr>
          <w:rtl/>
        </w:rPr>
        <w:t xml:space="preserve">ال التعبير الثقافي التقليدي، </w:t>
      </w:r>
      <w:r w:rsidR="00AC151E">
        <w:rPr>
          <w:rFonts w:hint="cs"/>
          <w:rtl/>
        </w:rPr>
        <w:t xml:space="preserve">لأنّ ما سبق هو </w:t>
      </w:r>
      <w:r>
        <w:rPr>
          <w:rtl/>
        </w:rPr>
        <w:t>شرط أساسي للانخراط في مفاوضات هادفة تستند إلى النصوص. وبمجرد التوصل إلى اتفاق بشأن الأهداف والتعاريف الأساسية، ستوجه اللجنة أعمالها على النحو التالي:</w:t>
      </w:r>
    </w:p>
    <w:p w:rsidR="00AC151E" w:rsidRPr="00CE0EF1" w:rsidRDefault="00AC151E" w:rsidP="00F21199">
      <w:pPr>
        <w:pStyle w:val="NormalParaAR"/>
        <w:ind w:left="1134"/>
        <w:rPr>
          <w:rtl/>
        </w:rPr>
      </w:pPr>
      <w:r w:rsidRPr="00CE0EF1">
        <w:rPr>
          <w:rFonts w:hint="cs"/>
          <w:rtl/>
        </w:rPr>
        <w:t>"1"</w:t>
      </w:r>
      <w:r w:rsidRPr="00CE0EF1">
        <w:rPr>
          <w:rFonts w:hint="cs"/>
          <w:rtl/>
        </w:rPr>
        <w:tab/>
      </w:r>
      <w:r w:rsidR="00CE0EF1" w:rsidRPr="00CE0EF1">
        <w:rPr>
          <w:rFonts w:hint="cs"/>
          <w:rtl/>
        </w:rPr>
        <w:t>بالنسبة ل</w:t>
      </w:r>
      <w:r w:rsidRPr="00CE0EF1">
        <w:rPr>
          <w:rFonts w:hint="cs"/>
          <w:rtl/>
        </w:rPr>
        <w:t>ل</w:t>
      </w:r>
      <w:r w:rsidRPr="00CE0EF1">
        <w:rPr>
          <w:rtl/>
        </w:rPr>
        <w:t>موارد الوراثية، ستواصل اللجنة عمل</w:t>
      </w:r>
      <w:r w:rsidRPr="00CE0EF1">
        <w:rPr>
          <w:rFonts w:hint="cs"/>
          <w:rtl/>
        </w:rPr>
        <w:t>ها استنادا إلى</w:t>
      </w:r>
      <w:r w:rsidRPr="00CE0EF1">
        <w:rPr>
          <w:rtl/>
        </w:rPr>
        <w:t xml:space="preserve"> الوثيقة الموحدة بشأن الملكية الفكرية والموارد الوراثية (</w:t>
      </w:r>
      <w:r w:rsidRPr="00CE0EF1">
        <w:rPr>
          <w:rFonts w:hint="cs"/>
          <w:rtl/>
        </w:rPr>
        <w:t>الوثيقة </w:t>
      </w:r>
      <w:r w:rsidRPr="00CE0EF1">
        <w:rPr>
          <w:cs/>
        </w:rPr>
        <w:t>‎</w:t>
      </w:r>
      <w:r w:rsidRPr="00CE0EF1">
        <w:t>WIPO/GRTKF/IC/34/4</w:t>
      </w:r>
      <w:r w:rsidRPr="00CE0EF1">
        <w:rPr>
          <w:rtl/>
        </w:rPr>
        <w:t xml:space="preserve">‏)، مع </w:t>
      </w:r>
      <w:r w:rsidRPr="00CE0EF1">
        <w:rPr>
          <w:rFonts w:hint="cs"/>
          <w:rtl/>
        </w:rPr>
        <w:t>مراعاة</w:t>
      </w:r>
      <w:r w:rsidRPr="00CE0EF1">
        <w:rPr>
          <w:rtl/>
        </w:rPr>
        <w:t xml:space="preserve"> اقتراح الاتحاد الأوروبي لعام 2005 </w:t>
      </w:r>
      <w:r w:rsidR="00F21199">
        <w:rPr>
          <w:rFonts w:hint="cs"/>
          <w:rtl/>
        </w:rPr>
        <w:t xml:space="preserve">حول </w:t>
      </w:r>
      <w:r w:rsidRPr="00CE0EF1">
        <w:rPr>
          <w:rtl/>
        </w:rPr>
        <w:t xml:space="preserve">شرط </w:t>
      </w:r>
      <w:r w:rsidR="00F21199">
        <w:rPr>
          <w:rFonts w:hint="cs"/>
          <w:rtl/>
        </w:rPr>
        <w:t>شكلي يتعلق ب</w:t>
      </w:r>
      <w:r w:rsidRPr="00CE0EF1">
        <w:rPr>
          <w:rtl/>
        </w:rPr>
        <w:t>الكشف (</w:t>
      </w:r>
      <w:r w:rsidRPr="00CE0EF1">
        <w:rPr>
          <w:rFonts w:hint="cs"/>
          <w:rtl/>
        </w:rPr>
        <w:t>الوثيقة </w:t>
      </w:r>
      <w:r w:rsidRPr="00CE0EF1">
        <w:t>WIPO/GRTKF/IC/8/11</w:t>
      </w:r>
      <w:r w:rsidRPr="00CE0EF1">
        <w:rPr>
          <w:rtl/>
        </w:rPr>
        <w:t>)؛</w:t>
      </w:r>
    </w:p>
    <w:p w:rsidR="00AC151E" w:rsidRDefault="00AC151E" w:rsidP="00CE0EF1">
      <w:pPr>
        <w:pStyle w:val="NormalParaAR"/>
        <w:ind w:left="1134"/>
        <w:rPr>
          <w:rtl/>
        </w:rPr>
      </w:pPr>
      <w:r w:rsidRPr="00CE0EF1">
        <w:rPr>
          <w:rFonts w:hint="cs"/>
          <w:rtl/>
        </w:rPr>
        <w:t>"2"</w:t>
      </w:r>
      <w:r w:rsidRPr="00CE0EF1">
        <w:rPr>
          <w:rFonts w:hint="cs"/>
          <w:rtl/>
        </w:rPr>
        <w:tab/>
      </w:r>
      <w:r w:rsidR="00CE0EF1" w:rsidRPr="00CE0EF1">
        <w:rPr>
          <w:rFonts w:hint="cs"/>
          <w:rtl/>
        </w:rPr>
        <w:t>وبالنسبة ل</w:t>
      </w:r>
      <w:r w:rsidRPr="00CE0EF1">
        <w:rPr>
          <w:rtl/>
        </w:rPr>
        <w:t>لمعارف التقليدية وأشكال التعبير الثقافي</w:t>
      </w:r>
      <w:r w:rsidR="00CE0EF1" w:rsidRPr="00CE0EF1">
        <w:rPr>
          <w:rtl/>
        </w:rPr>
        <w:t xml:space="preserve"> التقليدي، ستواصل اللجنة</w:t>
      </w:r>
      <w:r w:rsidRPr="00CE0EF1">
        <w:rPr>
          <w:rtl/>
        </w:rPr>
        <w:t xml:space="preserve"> </w:t>
      </w:r>
      <w:r w:rsidR="00CE0EF1" w:rsidRPr="00CE0EF1">
        <w:rPr>
          <w:rFonts w:hint="cs"/>
          <w:rtl/>
        </w:rPr>
        <w:t xml:space="preserve">سبر </w:t>
      </w:r>
      <w:r w:rsidRPr="00CE0EF1">
        <w:rPr>
          <w:rtl/>
        </w:rPr>
        <w:t>أنظمة الحم</w:t>
      </w:r>
      <w:r w:rsidR="00CE0EF1" w:rsidRPr="00CE0EF1">
        <w:rPr>
          <w:rtl/>
        </w:rPr>
        <w:t xml:space="preserve">اية المتاحة حاليا، بما في ذلك </w:t>
      </w:r>
      <w:r w:rsidRPr="00CE0EF1">
        <w:rPr>
          <w:rtl/>
        </w:rPr>
        <w:t xml:space="preserve">صكوك </w:t>
      </w:r>
      <w:r w:rsidR="00CE0EF1" w:rsidRPr="00CE0EF1">
        <w:rPr>
          <w:rtl/>
        </w:rPr>
        <w:t>ا</w:t>
      </w:r>
      <w:r w:rsidRPr="00CE0EF1">
        <w:rPr>
          <w:rtl/>
        </w:rPr>
        <w:t xml:space="preserve">لملكية الفكرية </w:t>
      </w:r>
      <w:r w:rsidR="00CE0EF1" w:rsidRPr="00CE0EF1">
        <w:rPr>
          <w:rFonts w:hint="cs"/>
          <w:rtl/>
        </w:rPr>
        <w:t xml:space="preserve">الموجودة </w:t>
      </w:r>
      <w:r w:rsidRPr="00CE0EF1">
        <w:rPr>
          <w:rtl/>
        </w:rPr>
        <w:t>بشأن حماية حق</w:t>
      </w:r>
      <w:r w:rsidR="00CE0EF1" w:rsidRPr="00CE0EF1">
        <w:rPr>
          <w:rtl/>
        </w:rPr>
        <w:t xml:space="preserve"> المؤلف والحقوق المجاورة وال</w:t>
      </w:r>
      <w:r w:rsidR="00CE0EF1" w:rsidRPr="00CE0EF1">
        <w:rPr>
          <w:rFonts w:hint="cs"/>
          <w:rtl/>
        </w:rPr>
        <w:t>مؤشرا</w:t>
      </w:r>
      <w:r w:rsidRPr="00CE0EF1">
        <w:rPr>
          <w:rtl/>
        </w:rPr>
        <w:t>ت الجغر</w:t>
      </w:r>
      <w:r w:rsidR="00CE0EF1" w:rsidRPr="00CE0EF1">
        <w:rPr>
          <w:rtl/>
        </w:rPr>
        <w:t xml:space="preserve">افية والأسرار التجارية </w:t>
      </w:r>
      <w:r w:rsidR="00CE0EF1" w:rsidRPr="00CE0EF1">
        <w:rPr>
          <w:rFonts w:hint="cs"/>
          <w:rtl/>
        </w:rPr>
        <w:t xml:space="preserve">وغيرها من </w:t>
      </w:r>
      <w:r w:rsidRPr="00CE0EF1">
        <w:rPr>
          <w:rtl/>
        </w:rPr>
        <w:t xml:space="preserve">الصكوك </w:t>
      </w:r>
      <w:r w:rsidR="00CE0EF1" w:rsidRPr="00CE0EF1">
        <w:rPr>
          <w:rFonts w:hint="cs"/>
          <w:rtl/>
        </w:rPr>
        <w:t>ال</w:t>
      </w:r>
      <w:r w:rsidR="00CE0EF1" w:rsidRPr="00CE0EF1">
        <w:rPr>
          <w:rtl/>
        </w:rPr>
        <w:t>وطنية والدولية ذات الصلة، بهدف تحديد ال</w:t>
      </w:r>
      <w:r w:rsidR="00CE0EF1" w:rsidRPr="00CE0EF1">
        <w:rPr>
          <w:rFonts w:hint="cs"/>
          <w:rtl/>
        </w:rPr>
        <w:t>ثغر</w:t>
      </w:r>
      <w:r w:rsidRPr="00CE0EF1">
        <w:rPr>
          <w:rtl/>
        </w:rPr>
        <w:t>ات المحتملة في الحماية المتاحة للمعارف التقليدية وأشكال التعبير الثقافي التقليدي</w:t>
      </w:r>
      <w:r w:rsidR="00CE0EF1" w:rsidRPr="00CE0EF1">
        <w:rPr>
          <w:rFonts w:hint="cs"/>
          <w:rtl/>
        </w:rPr>
        <w:t>،</w:t>
      </w:r>
      <w:r w:rsidR="00CE0EF1" w:rsidRPr="00CE0EF1">
        <w:rPr>
          <w:rtl/>
        </w:rPr>
        <w:t xml:space="preserve"> و</w:t>
      </w:r>
      <w:r w:rsidR="00CE0EF1" w:rsidRPr="00CE0EF1">
        <w:rPr>
          <w:rFonts w:hint="cs"/>
          <w:rtl/>
        </w:rPr>
        <w:t>الإجراءات الممكنة ل</w:t>
      </w:r>
      <w:r w:rsidRPr="00CE0EF1">
        <w:rPr>
          <w:rtl/>
        </w:rPr>
        <w:t>سد هذه الثغرات بتعديل أنظمة الحماية القائمة</w:t>
      </w:r>
      <w:r w:rsidR="00CE0EF1" w:rsidRPr="00CE0EF1">
        <w:rPr>
          <w:rFonts w:hint="cs"/>
          <w:rtl/>
        </w:rPr>
        <w:t xml:space="preserve"> </w:t>
      </w:r>
      <w:r w:rsidR="00CE0EF1" w:rsidRPr="00CE0EF1">
        <w:rPr>
          <w:rtl/>
        </w:rPr>
        <w:t>أو تحسين</w:t>
      </w:r>
      <w:r w:rsidR="00CE0EF1" w:rsidRPr="00CE0EF1">
        <w:rPr>
          <w:rFonts w:hint="cs"/>
          <w:rtl/>
        </w:rPr>
        <w:t>ها.</w:t>
      </w:r>
    </w:p>
    <w:p w:rsidR="00CE0EF1" w:rsidRDefault="00CE0EF1" w:rsidP="002D7A54">
      <w:pPr>
        <w:pStyle w:val="NormalParaAR"/>
        <w:ind w:left="567"/>
        <w:rPr>
          <w:rtl/>
        </w:rPr>
      </w:pPr>
      <w:r w:rsidRPr="00CE0EF1">
        <w:rPr>
          <w:rFonts w:hint="cs"/>
          <w:rtl/>
        </w:rPr>
        <w:t>(ج)</w:t>
      </w:r>
      <w:r w:rsidRPr="00CE0EF1">
        <w:rPr>
          <w:rFonts w:hint="cs"/>
          <w:rtl/>
        </w:rPr>
        <w:tab/>
      </w:r>
      <w:r>
        <w:rPr>
          <w:rtl/>
        </w:rPr>
        <w:t>وفي المرحلة الأولية، ست</w:t>
      </w:r>
      <w:r>
        <w:rPr>
          <w:rFonts w:hint="cs"/>
          <w:rtl/>
        </w:rPr>
        <w:t>تبع</w:t>
      </w:r>
      <w:r w:rsidRPr="00CE0EF1">
        <w:rPr>
          <w:rtl/>
        </w:rPr>
        <w:t xml:space="preserve"> اللجنة نهجا قائما على الأدلة و</w:t>
      </w:r>
      <w:r>
        <w:rPr>
          <w:rFonts w:hint="cs"/>
          <w:rtl/>
        </w:rPr>
        <w:t>س</w:t>
      </w:r>
      <w:r w:rsidRPr="00CE0EF1">
        <w:rPr>
          <w:rtl/>
        </w:rPr>
        <w:t>يستند عملها إلى دراسات وأمثل</w:t>
      </w:r>
      <w:r>
        <w:rPr>
          <w:rtl/>
        </w:rPr>
        <w:t xml:space="preserve">ة عن التجارب الوطنية، </w:t>
      </w:r>
      <w:r>
        <w:rPr>
          <w:rFonts w:hint="cs"/>
          <w:rtl/>
        </w:rPr>
        <w:t>ك</w:t>
      </w:r>
      <w:r w:rsidRPr="00CE0EF1">
        <w:rPr>
          <w:rtl/>
        </w:rPr>
        <w:t xml:space="preserve">التشريعات والأمثلة </w:t>
      </w:r>
      <w:r>
        <w:rPr>
          <w:rtl/>
        </w:rPr>
        <w:t>المحلية، و</w:t>
      </w:r>
      <w:r>
        <w:rPr>
          <w:rFonts w:hint="cs"/>
          <w:rtl/>
        </w:rPr>
        <w:t>استنتاجات</w:t>
      </w:r>
      <w:r w:rsidR="002D7A54">
        <w:rPr>
          <w:rtl/>
        </w:rPr>
        <w:t xml:space="preserve"> أي فريق </w:t>
      </w:r>
      <w:r>
        <w:rPr>
          <w:rtl/>
        </w:rPr>
        <w:t>خبراء</w:t>
      </w:r>
      <w:r w:rsidRPr="00CE0EF1">
        <w:rPr>
          <w:rtl/>
        </w:rPr>
        <w:t xml:space="preserve"> </w:t>
      </w:r>
      <w:r w:rsidR="002D7A54">
        <w:rPr>
          <w:rFonts w:hint="cs"/>
          <w:rtl/>
        </w:rPr>
        <w:t>تنشؤه</w:t>
      </w:r>
      <w:r>
        <w:rPr>
          <w:rFonts w:hint="cs"/>
          <w:rtl/>
        </w:rPr>
        <w:t xml:space="preserve"> </w:t>
      </w:r>
      <w:r w:rsidR="002D7A54">
        <w:rPr>
          <w:rtl/>
        </w:rPr>
        <w:t>اللجنة. وب</w:t>
      </w:r>
      <w:r w:rsidR="002D7A54">
        <w:rPr>
          <w:rFonts w:hint="cs"/>
          <w:rtl/>
        </w:rPr>
        <w:t>عد</w:t>
      </w:r>
      <w:r w:rsidR="002D7A54">
        <w:rPr>
          <w:rtl/>
        </w:rPr>
        <w:t xml:space="preserve"> ا</w:t>
      </w:r>
      <w:r w:rsidR="002D7A54">
        <w:rPr>
          <w:rFonts w:hint="cs"/>
          <w:rtl/>
        </w:rPr>
        <w:t>ل</w:t>
      </w:r>
      <w:r w:rsidR="002D7A54">
        <w:rPr>
          <w:rtl/>
        </w:rPr>
        <w:t xml:space="preserve">اتفاق </w:t>
      </w:r>
      <w:r w:rsidR="002D7A54">
        <w:rPr>
          <w:rFonts w:hint="cs"/>
          <w:rtl/>
        </w:rPr>
        <w:t xml:space="preserve">على </w:t>
      </w:r>
      <w:r w:rsidRPr="00CE0EF1">
        <w:rPr>
          <w:rtl/>
        </w:rPr>
        <w:t>الأهداف والتعاريف الأساسية،</w:t>
      </w:r>
      <w:r w:rsidR="002D7A54">
        <w:rPr>
          <w:rtl/>
        </w:rPr>
        <w:t xml:space="preserve"> يمكن</w:t>
      </w:r>
      <w:r w:rsidRPr="00CE0EF1">
        <w:rPr>
          <w:rtl/>
        </w:rPr>
        <w:t xml:space="preserve"> </w:t>
      </w:r>
      <w:r w:rsidR="002D7A54">
        <w:rPr>
          <w:rFonts w:hint="cs"/>
          <w:rtl/>
        </w:rPr>
        <w:t xml:space="preserve">إن لزم الأمر إحراز تقدّم عن طريق </w:t>
      </w:r>
      <w:r w:rsidR="002D7A54">
        <w:rPr>
          <w:rtl/>
        </w:rPr>
        <w:t>مفاوضات قائمة على النصوص ت</w:t>
      </w:r>
      <w:r w:rsidR="002D7A54">
        <w:rPr>
          <w:rFonts w:hint="cs"/>
          <w:rtl/>
        </w:rPr>
        <w:t>دعم</w:t>
      </w:r>
      <w:r w:rsidRPr="00CE0EF1">
        <w:rPr>
          <w:rtl/>
        </w:rPr>
        <w:t>ها حلقات دراسية وحلقات عمل واجتماعات مائدة م</w:t>
      </w:r>
      <w:r w:rsidR="002D7A54">
        <w:rPr>
          <w:rtl/>
        </w:rPr>
        <w:t xml:space="preserve">ستديرة </w:t>
      </w:r>
      <w:r w:rsidR="002D7A54">
        <w:rPr>
          <w:rFonts w:hint="cs"/>
          <w:rtl/>
        </w:rPr>
        <w:t xml:space="preserve">تتناول </w:t>
      </w:r>
      <w:r w:rsidR="002D7A54">
        <w:rPr>
          <w:rtl/>
        </w:rPr>
        <w:t>المسائل</w:t>
      </w:r>
      <w:r w:rsidRPr="00CE0EF1">
        <w:rPr>
          <w:rtl/>
        </w:rPr>
        <w:t xml:space="preserve"> </w:t>
      </w:r>
      <w:r w:rsidR="002D7A54">
        <w:rPr>
          <w:rFonts w:hint="cs"/>
          <w:rtl/>
        </w:rPr>
        <w:t>العالقة، وتعقد</w:t>
      </w:r>
      <w:r w:rsidR="002D7A54" w:rsidRPr="002D7A54">
        <w:rPr>
          <w:rtl/>
        </w:rPr>
        <w:t xml:space="preserve"> </w:t>
      </w:r>
      <w:r w:rsidR="002D7A54" w:rsidRPr="00CE0EF1">
        <w:rPr>
          <w:rtl/>
        </w:rPr>
        <w:t>أثناء دورات اللجنة</w:t>
      </w:r>
      <w:r w:rsidRPr="00CE0EF1">
        <w:rPr>
          <w:rtl/>
        </w:rPr>
        <w:t>.</w:t>
      </w:r>
    </w:p>
    <w:p w:rsidR="002D7A54" w:rsidRDefault="002D7A54" w:rsidP="00DF07F3">
      <w:pPr>
        <w:pStyle w:val="NormalParaAR"/>
        <w:ind w:left="567"/>
        <w:rPr>
          <w:rtl/>
        </w:rPr>
      </w:pPr>
      <w:r>
        <w:rPr>
          <w:rFonts w:hint="cs"/>
          <w:rtl/>
        </w:rPr>
        <w:t>(د)</w:t>
      </w:r>
      <w:r>
        <w:rPr>
          <w:rFonts w:hint="cs"/>
          <w:rtl/>
        </w:rPr>
        <w:tab/>
      </w:r>
      <w:r>
        <w:rPr>
          <w:rtl/>
        </w:rPr>
        <w:t>ويُلتمس من اللجنة، في عام 20</w:t>
      </w:r>
      <w:r>
        <w:rPr>
          <w:rFonts w:hint="cs"/>
          <w:rtl/>
        </w:rPr>
        <w:t>18</w:t>
      </w:r>
      <w:r w:rsidRPr="002D7A54">
        <w:rPr>
          <w:rtl/>
        </w:rPr>
        <w:t>، أن ترفع إلى الجمـعية العامة، لغرض إعلامي لا غير، تقريرا وقائعيا عن عملها حتى ذلك الوقت، وأن ترفع</w:t>
      </w:r>
      <w:r w:rsidR="00DF07F3">
        <w:rPr>
          <w:rtl/>
        </w:rPr>
        <w:t xml:space="preserve"> إلى الجمعية العامة، في عام 201</w:t>
      </w:r>
      <w:r w:rsidR="00DF07F3">
        <w:rPr>
          <w:rFonts w:hint="cs"/>
          <w:rtl/>
        </w:rPr>
        <w:t>9</w:t>
      </w:r>
      <w:r w:rsidRPr="002D7A54">
        <w:rPr>
          <w:rtl/>
        </w:rPr>
        <w:t>، نتائج عمله</w:t>
      </w:r>
      <w:r w:rsidR="00DF07F3">
        <w:rPr>
          <w:rFonts w:hint="cs"/>
          <w:rtl/>
        </w:rPr>
        <w:t xml:space="preserve">ا. </w:t>
      </w:r>
      <w:r w:rsidR="00DF07F3">
        <w:rPr>
          <w:rtl/>
        </w:rPr>
        <w:t>وستق</w:t>
      </w:r>
      <w:r w:rsidR="00DF07F3">
        <w:rPr>
          <w:rFonts w:hint="cs"/>
          <w:rtl/>
        </w:rPr>
        <w:t>يّم</w:t>
      </w:r>
      <w:r w:rsidR="00DF07F3">
        <w:rPr>
          <w:rtl/>
        </w:rPr>
        <w:t xml:space="preserve"> الجمعية العامة في عام 2019</w:t>
      </w:r>
      <w:r w:rsidR="00DF07F3">
        <w:rPr>
          <w:rFonts w:hint="cs"/>
          <w:rtl/>
        </w:rPr>
        <w:t xml:space="preserve"> </w:t>
      </w:r>
      <w:r w:rsidR="00DF07F3">
        <w:rPr>
          <w:rtl/>
        </w:rPr>
        <w:t>التقدم المحرز، و</w:t>
      </w:r>
      <w:r w:rsidR="00DF07F3">
        <w:rPr>
          <w:rFonts w:hint="cs"/>
          <w:rtl/>
        </w:rPr>
        <w:t>س</w:t>
      </w:r>
      <w:r w:rsidR="00DF07F3">
        <w:rPr>
          <w:rtl/>
        </w:rPr>
        <w:t>تبت</w:t>
      </w:r>
      <w:r w:rsidR="00DF07F3">
        <w:rPr>
          <w:rFonts w:hint="cs"/>
          <w:rtl/>
        </w:rPr>
        <w:t>ّ</w:t>
      </w:r>
      <w:r w:rsidR="00DF07F3">
        <w:rPr>
          <w:rtl/>
        </w:rPr>
        <w:t xml:space="preserve"> في </w:t>
      </w:r>
      <w:r w:rsidR="00DF07F3">
        <w:rPr>
          <w:rFonts w:hint="cs"/>
          <w:rtl/>
        </w:rPr>
        <w:t>ا</w:t>
      </w:r>
      <w:r w:rsidR="00DF07F3">
        <w:rPr>
          <w:rtl/>
        </w:rPr>
        <w:t>ست</w:t>
      </w:r>
      <w:r w:rsidR="00DF07F3">
        <w:rPr>
          <w:rFonts w:hint="cs"/>
          <w:rtl/>
        </w:rPr>
        <w:t>مرار</w:t>
      </w:r>
      <w:r w:rsidR="00DF07F3">
        <w:rPr>
          <w:rtl/>
        </w:rPr>
        <w:t xml:space="preserve"> عمل اللجنة</w:t>
      </w:r>
      <w:r w:rsidR="00DF07F3">
        <w:rPr>
          <w:rFonts w:hint="cs"/>
          <w:rtl/>
        </w:rPr>
        <w:t xml:space="preserve"> وكيفيّته</w:t>
      </w:r>
      <w:r w:rsidR="00DF07F3">
        <w:rPr>
          <w:rtl/>
        </w:rPr>
        <w:t>.</w:t>
      </w:r>
    </w:p>
    <w:p w:rsidR="00DF07F3" w:rsidRDefault="00DF07F3" w:rsidP="00DF07F3">
      <w:pPr>
        <w:pStyle w:val="NormalParaAR"/>
        <w:keepNext/>
        <w:ind w:left="567"/>
        <w:rPr>
          <w:rtl/>
        </w:rPr>
      </w:pPr>
      <w:r>
        <w:rPr>
          <w:rFonts w:hint="cs"/>
          <w:rtl/>
        </w:rPr>
        <w:lastRenderedPageBreak/>
        <w:t>(ه)</w:t>
      </w:r>
      <w:r>
        <w:rPr>
          <w:rFonts w:hint="cs"/>
          <w:rtl/>
        </w:rPr>
        <w:tab/>
      </w:r>
      <w:r w:rsidRPr="00DF07F3">
        <w:rPr>
          <w:rtl/>
        </w:rPr>
        <w:t>وتلتمس الجمعية العامة من المكتب الدولي أن يستمر في مساعدة اللجنة بتزوي</w:t>
      </w:r>
      <w:r>
        <w:rPr>
          <w:rtl/>
        </w:rPr>
        <w:t>د الدول الأعضاء بما يلزم من خبر</w:t>
      </w:r>
      <w:r>
        <w:rPr>
          <w:rFonts w:hint="cs"/>
          <w:rtl/>
        </w:rPr>
        <w:t>ات</w:t>
      </w:r>
      <w:r w:rsidRPr="00DF07F3">
        <w:rPr>
          <w:rtl/>
        </w:rPr>
        <w:t xml:space="preserve"> وبتمويل مشاركة الخبراء من البلدان النامية والبلدان الأقل نموا بالطريقة الأكثر فعالية</w:t>
      </w:r>
      <w:r>
        <w:rPr>
          <w:rFonts w:hint="cs"/>
          <w:rtl/>
        </w:rPr>
        <w:t>،</w:t>
      </w:r>
      <w:r w:rsidRPr="00DF07F3">
        <w:rPr>
          <w:rtl/>
        </w:rPr>
        <w:t xml:space="preserve"> مع مراعاة الصيغة المعتادة</w:t>
      </w:r>
      <w:r>
        <w:rPr>
          <w:rFonts w:hint="eastAsia"/>
          <w:rtl/>
        </w:rPr>
        <w:t> </w:t>
      </w:r>
      <w:r>
        <w:rPr>
          <w:rFonts w:hint="cs"/>
          <w:rtl/>
        </w:rPr>
        <w:t>للجنة</w:t>
      </w:r>
      <w:r w:rsidRPr="00DF07F3">
        <w:rPr>
          <w:rtl/>
        </w:rPr>
        <w:t>.</w:t>
      </w:r>
    </w:p>
    <w:p w:rsidR="00DF07F3" w:rsidRPr="00CE0EF1" w:rsidRDefault="00DF07F3" w:rsidP="00DF07F3">
      <w:pPr>
        <w:pStyle w:val="EndofDocumentAR"/>
      </w:pPr>
      <w:r>
        <w:rPr>
          <w:rFonts w:hint="cs"/>
          <w:rtl/>
        </w:rPr>
        <w:t>[نهاية المرفق والوثيقة]</w:t>
      </w:r>
    </w:p>
    <w:sectPr w:rsidR="00DF07F3" w:rsidRPr="00CE0EF1" w:rsidSect="00EB7752">
      <w:headerReference w:type="default" r:id="rId11"/>
      <w:headerReference w:type="first" r:id="rId12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61A" w:rsidRDefault="0020361A">
      <w:r>
        <w:separator/>
      </w:r>
    </w:p>
  </w:endnote>
  <w:endnote w:type="continuationSeparator" w:id="0">
    <w:p w:rsidR="0020361A" w:rsidRDefault="00203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00000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61A" w:rsidRDefault="0020361A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20361A" w:rsidRDefault="0020361A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983389" w:rsidP="000C0C72">
    <w:r>
      <w:t>W</w:t>
    </w:r>
    <w:r w:rsidR="00772E46">
      <w:t>O/</w:t>
    </w:r>
    <w:r w:rsidR="0059089F">
      <w:t>GA</w:t>
    </w:r>
    <w:r w:rsidR="002F77FC">
      <w:t>/</w:t>
    </w:r>
    <w:r w:rsidR="009B48E3">
      <w:t>4</w:t>
    </w:r>
    <w:r w:rsidR="000C0C72">
      <w:t>9</w:t>
    </w:r>
    <w:r w:rsidR="002F77FC">
      <w:t>/--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1E1182">
      <w:rPr>
        <w:noProof/>
      </w:rPr>
      <w:t>3</w:t>
    </w:r>
    <w:r>
      <w:fldChar w:fldCharType="end"/>
    </w:r>
  </w:p>
  <w:p w:rsidR="002F77FC" w:rsidRDefault="002F77FC" w:rsidP="00D6154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7F3" w:rsidRDefault="00DF07F3" w:rsidP="000C0C72">
    <w:r>
      <w:t>WO/GA/49/18</w:t>
    </w:r>
  </w:p>
  <w:p w:rsidR="00DF07F3" w:rsidRDefault="00DF07F3" w:rsidP="000C0C72">
    <w:r>
      <w:t>Annex</w:t>
    </w:r>
  </w:p>
  <w:p w:rsidR="00DF07F3" w:rsidRDefault="00DF07F3" w:rsidP="00D61541">
    <w:r>
      <w:t>2</w:t>
    </w:r>
  </w:p>
  <w:p w:rsidR="00DF07F3" w:rsidRDefault="00DF07F3" w:rsidP="00D6154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287" w:rsidRDefault="00262287" w:rsidP="00262287">
    <w:pPr>
      <w:pStyle w:val="Header"/>
    </w:pPr>
    <w:r>
      <w:t>WO/GA/49/18</w:t>
    </w:r>
  </w:p>
  <w:p w:rsidR="00262287" w:rsidRDefault="00262287" w:rsidP="00262287">
    <w:pPr>
      <w:pStyle w:val="Header"/>
      <w:rPr>
        <w:rtl/>
      </w:rPr>
    </w:pPr>
    <w:r>
      <w:t>ANNEX</w:t>
    </w:r>
  </w:p>
  <w:p w:rsidR="00262287" w:rsidRDefault="00262287" w:rsidP="00262287">
    <w:pPr>
      <w:pStyle w:val="Header"/>
      <w:rPr>
        <w:rFonts w:ascii="Arabic Typesetting" w:hAnsi="Arabic Typesetting" w:cs="Arabic Typesetting"/>
        <w:sz w:val="40"/>
        <w:szCs w:val="36"/>
        <w:rtl/>
      </w:rPr>
    </w:pPr>
    <w:r w:rsidRPr="00262287">
      <w:rPr>
        <w:rFonts w:ascii="Arabic Typesetting" w:hAnsi="Arabic Typesetting" w:cs="Arabic Typesetting"/>
        <w:sz w:val="40"/>
        <w:szCs w:val="36"/>
        <w:rtl/>
      </w:rPr>
      <w:t>المرفق</w:t>
    </w:r>
  </w:p>
  <w:p w:rsidR="00262287" w:rsidRPr="00262287" w:rsidRDefault="00262287" w:rsidP="00262287">
    <w:pPr>
      <w:pStyle w:val="Header"/>
      <w:rPr>
        <w:rFonts w:ascii="Arabic Typesetting" w:hAnsi="Arabic Typesetting" w:cs="Arabic Typesetting"/>
        <w:sz w:val="40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87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59B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17BF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0C72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BA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182"/>
    <w:rsid w:val="001E175F"/>
    <w:rsid w:val="001E19F7"/>
    <w:rsid w:val="001E2669"/>
    <w:rsid w:val="001E3FB9"/>
    <w:rsid w:val="001E4083"/>
    <w:rsid w:val="001E5588"/>
    <w:rsid w:val="001E56CB"/>
    <w:rsid w:val="001E56FC"/>
    <w:rsid w:val="001E574D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61A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6E87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28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A54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5ECB"/>
    <w:rsid w:val="0034789E"/>
    <w:rsid w:val="003501DA"/>
    <w:rsid w:val="003503E2"/>
    <w:rsid w:val="00351DC1"/>
    <w:rsid w:val="003534EE"/>
    <w:rsid w:val="00356D60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2BD4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357D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089F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2E40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16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377F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86C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389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48E3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46B0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6F8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34F7"/>
    <w:rsid w:val="00A843FC"/>
    <w:rsid w:val="00A84B58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151E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D09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9E4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5D"/>
    <w:rsid w:val="00CD67E7"/>
    <w:rsid w:val="00CD7388"/>
    <w:rsid w:val="00CE0EF1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6ACD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D7F1E"/>
    <w:rsid w:val="00DE1F29"/>
    <w:rsid w:val="00DE3FA7"/>
    <w:rsid w:val="00DE3FEB"/>
    <w:rsid w:val="00DE4905"/>
    <w:rsid w:val="00DE510C"/>
    <w:rsid w:val="00DE7822"/>
    <w:rsid w:val="00DF07F3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CAD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3C3E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1738D"/>
    <w:rsid w:val="00F20706"/>
    <w:rsid w:val="00F21199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781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46B0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1E574D"/>
    <w:pPr>
      <w:keepNext/>
      <w:bidi/>
      <w:spacing w:before="240" w:after="60" w:line="400" w:lineRule="exact"/>
      <w:outlineLvl w:val="0"/>
    </w:pPr>
    <w:rPr>
      <w:rFonts w:ascii="Arabic Typesetting" w:hAnsi="Arabic Typesetting" w:cs="Arabic Typesetting"/>
      <w:bCs/>
      <w:sz w:val="40"/>
      <w:szCs w:val="40"/>
    </w:rPr>
  </w:style>
  <w:style w:type="paragraph" w:styleId="Heading2">
    <w:name w:val="heading 2"/>
    <w:basedOn w:val="Normal"/>
    <w:next w:val="Normal"/>
    <w:qFormat/>
    <w:rsid w:val="001E574D"/>
    <w:pPr>
      <w:keepNext/>
      <w:bidi/>
      <w:spacing w:before="240" w:after="60" w:line="400" w:lineRule="exact"/>
      <w:outlineLvl w:val="1"/>
    </w:pPr>
    <w:rPr>
      <w:rFonts w:ascii="Arabic Typesetting" w:hAnsi="Arabic Typesetting" w:cs="Arabic Typesetting"/>
      <w:sz w:val="40"/>
      <w:szCs w:val="40"/>
    </w:rPr>
  </w:style>
  <w:style w:type="paragraph" w:styleId="Heading3">
    <w:name w:val="heading 3"/>
    <w:basedOn w:val="Normal"/>
    <w:next w:val="Normal"/>
    <w:qFormat/>
    <w:rsid w:val="001E574D"/>
    <w:pPr>
      <w:keepNext/>
      <w:bidi/>
      <w:spacing w:before="120" w:after="6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</w:rPr>
  </w:style>
  <w:style w:type="paragraph" w:styleId="Heading4">
    <w:name w:val="heading 4"/>
    <w:basedOn w:val="Normal"/>
    <w:next w:val="Normal"/>
    <w:qFormat/>
    <w:rsid w:val="001E574D"/>
    <w:pPr>
      <w:keepNext/>
      <w:bidi/>
      <w:spacing w:before="120" w:after="60" w:line="360" w:lineRule="exact"/>
      <w:outlineLvl w:val="3"/>
    </w:pPr>
    <w:rPr>
      <w:rFonts w:ascii="Arabic Typesetting" w:hAnsi="Arabic Typesetting" w:cs="Arabic Typesetting"/>
      <w:i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A246B0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46B0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1E574D"/>
    <w:pPr>
      <w:keepNext/>
      <w:bidi/>
      <w:spacing w:before="240" w:after="60" w:line="400" w:lineRule="exact"/>
      <w:outlineLvl w:val="0"/>
    </w:pPr>
    <w:rPr>
      <w:rFonts w:ascii="Arabic Typesetting" w:hAnsi="Arabic Typesetting" w:cs="Arabic Typesetting"/>
      <w:bCs/>
      <w:sz w:val="40"/>
      <w:szCs w:val="40"/>
    </w:rPr>
  </w:style>
  <w:style w:type="paragraph" w:styleId="Heading2">
    <w:name w:val="heading 2"/>
    <w:basedOn w:val="Normal"/>
    <w:next w:val="Normal"/>
    <w:qFormat/>
    <w:rsid w:val="001E574D"/>
    <w:pPr>
      <w:keepNext/>
      <w:bidi/>
      <w:spacing w:before="240" w:after="60" w:line="400" w:lineRule="exact"/>
      <w:outlineLvl w:val="1"/>
    </w:pPr>
    <w:rPr>
      <w:rFonts w:ascii="Arabic Typesetting" w:hAnsi="Arabic Typesetting" w:cs="Arabic Typesetting"/>
      <w:sz w:val="40"/>
      <w:szCs w:val="40"/>
    </w:rPr>
  </w:style>
  <w:style w:type="paragraph" w:styleId="Heading3">
    <w:name w:val="heading 3"/>
    <w:basedOn w:val="Normal"/>
    <w:next w:val="Normal"/>
    <w:qFormat/>
    <w:rsid w:val="001E574D"/>
    <w:pPr>
      <w:keepNext/>
      <w:bidi/>
      <w:spacing w:before="120" w:after="6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</w:rPr>
  </w:style>
  <w:style w:type="paragraph" w:styleId="Heading4">
    <w:name w:val="heading 4"/>
    <w:basedOn w:val="Normal"/>
    <w:next w:val="Normal"/>
    <w:qFormat/>
    <w:rsid w:val="001E574D"/>
    <w:pPr>
      <w:keepNext/>
      <w:bidi/>
      <w:spacing w:before="120" w:after="60" w:line="360" w:lineRule="exact"/>
      <w:outlineLvl w:val="3"/>
    </w:pPr>
    <w:rPr>
      <w:rFonts w:ascii="Arabic Typesetting" w:hAnsi="Arabic Typesetting" w:cs="Arabic Typesetting"/>
      <w:i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A246B0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WO_GA_49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57FC1-C48C-4BA6-9501-F1DD1667F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WO_GA_49_AR.dotx</Template>
  <TotalTime>200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WO/GA/49/-- (Arabic)</vt:lpstr>
    </vt:vector>
  </TitlesOfParts>
  <Company>World Intellectual Property Organization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WO/GA/49/-- (Arabic)</dc:title>
  <dc:creator>Basel Alakhras</dc:creator>
  <cp:lastModifiedBy>Noureddine Ahmidouch</cp:lastModifiedBy>
  <cp:revision>6</cp:revision>
  <cp:lastPrinted>2017-09-29T06:51:00Z</cp:lastPrinted>
  <dcterms:created xsi:type="dcterms:W3CDTF">2017-09-28T09:27:00Z</dcterms:created>
  <dcterms:modified xsi:type="dcterms:W3CDTF">2017-09-29T17:21:00Z</dcterms:modified>
</cp:coreProperties>
</file>