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7E240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9A5ED7" w:rsidP="009A5ED7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54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8D2E33">
        <w:rPr>
          <w:rFonts w:ascii="Arial Black" w:hAnsi="Arial Black"/>
          <w:caps/>
          <w:sz w:val="15"/>
          <w:szCs w:val="15"/>
        </w:rPr>
        <w:t>5</w:t>
      </w:r>
    </w:p>
    <w:p w:rsidR="008B2CC1" w:rsidRPr="008D2E33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8D2E3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8D2E33" w:rsidRPr="008D2E3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8D2E3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 يوليو 2021</w:t>
      </w:r>
    </w:p>
    <w:bookmarkEnd w:id="3"/>
    <w:p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:rsidR="00A90F0A" w:rsidRPr="00D67EAE" w:rsidRDefault="00D67EAE" w:rsidP="009A5ED7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الرابعة والخمسون (الدورة العادية الخامسة والعشرون)</w:t>
      </w:r>
    </w:p>
    <w:p w:rsidR="008B2CC1" w:rsidRPr="00D67EAE" w:rsidRDefault="00D67EAE" w:rsidP="009A5ED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8F3848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8F3848">
        <w:rPr>
          <w:rFonts w:asciiTheme="minorHAnsi" w:hAnsiTheme="minorHAnsi"/>
          <w:caps/>
          <w:sz w:val="28"/>
          <w:szCs w:val="24"/>
          <w:rtl/>
        </w:rPr>
        <w:t>تقرير عن اللجنة الدائمة المعنية بقانون البراءات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320642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3D1471" w:rsidP="003D1471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خلال الفترة المشمولة بالتقرير،</w:t>
      </w:r>
      <w:r w:rsidR="00F75540">
        <w:rPr>
          <w:rFonts w:hint="cs"/>
          <w:rtl/>
          <w:lang w:bidi="ar-EG"/>
        </w:rPr>
        <w:t xml:space="preserve"> </w:t>
      </w:r>
      <w:r w:rsidR="00F75540" w:rsidRPr="00F75540">
        <w:rPr>
          <w:rtl/>
          <w:lang w:bidi="ar-EG"/>
        </w:rPr>
        <w:t>عقدت اللجنة الدائمة المعنية بقانون البراءات (لجنة البراءات</w:t>
      </w:r>
      <w:r w:rsidR="00D81F01">
        <w:rPr>
          <w:rFonts w:hint="cs"/>
          <w:rtl/>
          <w:lang w:bidi="ar-EG"/>
        </w:rPr>
        <w:t xml:space="preserve"> أو اللجنة</w:t>
      </w:r>
      <w:r w:rsidR="00F75540" w:rsidRPr="00F75540">
        <w:rPr>
          <w:rtl/>
          <w:lang w:bidi="ar-EG"/>
        </w:rPr>
        <w:t>) دورت</w:t>
      </w:r>
      <w:r w:rsidR="00F75540">
        <w:rPr>
          <w:rFonts w:hint="cs"/>
          <w:rtl/>
          <w:lang w:bidi="ar-EG"/>
        </w:rPr>
        <w:t>ها الثانية والثلاثين من 7 إلى 10 ديسمبر 2020</w:t>
      </w:r>
      <w:r w:rsidR="00701109">
        <w:rPr>
          <w:rFonts w:hint="cs"/>
          <w:rtl/>
          <w:lang w:bidi="ar-EG"/>
        </w:rPr>
        <w:t>، في شكل مختلط.</w:t>
      </w:r>
      <w:r w:rsidR="00CD2804">
        <w:rPr>
          <w:rFonts w:hint="cs"/>
          <w:rtl/>
          <w:lang w:bidi="ar-EG"/>
        </w:rPr>
        <w:t xml:space="preserve"> وترأس الدورة السيد</w:t>
      </w:r>
      <w:r w:rsidR="00D85CF2">
        <w:rPr>
          <w:rFonts w:hint="cs"/>
          <w:rtl/>
          <w:lang w:bidi="ar-EG"/>
        </w:rPr>
        <w:t xml:space="preserve"> </w:t>
      </w:r>
      <w:r w:rsidR="00D85CF2" w:rsidRPr="00D85CF2">
        <w:rPr>
          <w:rtl/>
          <w:lang w:bidi="ar-EG"/>
        </w:rPr>
        <w:t>ليوبولدو سوريانو</w:t>
      </w:r>
      <w:r w:rsidR="00CD2804">
        <w:rPr>
          <w:rFonts w:hint="cs"/>
          <w:rtl/>
          <w:lang w:bidi="ar-EG"/>
        </w:rPr>
        <w:t xml:space="preserve"> (إسبانيا).</w:t>
      </w:r>
    </w:p>
    <w:p w:rsidR="00D85CF2" w:rsidRDefault="000027A4" w:rsidP="003D1471">
      <w:pPr>
        <w:pStyle w:val="ONUMA"/>
        <w:rPr>
          <w:lang w:bidi="ar-EG"/>
        </w:rPr>
      </w:pPr>
      <w:r w:rsidRPr="000027A4">
        <w:rPr>
          <w:rtl/>
          <w:lang w:bidi="ar-EG"/>
        </w:rPr>
        <w:t xml:space="preserve">وواصلت لجنة البراءات تناول </w:t>
      </w:r>
      <w:r w:rsidR="00D00C77">
        <w:rPr>
          <w:rFonts w:hint="cs"/>
          <w:rtl/>
          <w:lang w:bidi="ar-EG"/>
        </w:rPr>
        <w:t>المواضيع</w:t>
      </w:r>
      <w:r w:rsidRPr="000027A4">
        <w:rPr>
          <w:rtl/>
          <w:lang w:bidi="ar-EG"/>
        </w:rPr>
        <w:t xml:space="preserve"> الخمسة التالية</w:t>
      </w:r>
      <w:r>
        <w:rPr>
          <w:rFonts w:hint="cs"/>
          <w:rtl/>
          <w:lang w:bidi="ar-EG"/>
        </w:rPr>
        <w:t xml:space="preserve"> خلال دورتها الثانية والثلاثين</w:t>
      </w:r>
      <w:r w:rsidR="008C7D87">
        <w:rPr>
          <w:rFonts w:hint="cs"/>
          <w:rtl/>
          <w:lang w:bidi="ar-EG"/>
        </w:rPr>
        <w:t>:</w:t>
      </w:r>
      <w:r w:rsidRPr="000027A4">
        <w:rPr>
          <w:rtl/>
          <w:lang w:bidi="ar-EG"/>
        </w:rPr>
        <w:t xml:space="preserve"> "1" الاستثناءات والتقييدات على حقوق البراءات؛ "2" وجودة البراءات، بما في ذلك أنظمة الاعتراض؛ "3" والبراءات والصحة؛ "4" وسرية الاتصالات بين مستشاري البراءات </w:t>
      </w:r>
      <w:r w:rsidR="003B3810">
        <w:rPr>
          <w:rFonts w:hint="cs"/>
          <w:rtl/>
          <w:lang w:bidi="ar-EG"/>
        </w:rPr>
        <w:t>وموكليهم</w:t>
      </w:r>
      <w:r w:rsidRPr="000027A4">
        <w:rPr>
          <w:rtl/>
          <w:lang w:bidi="ar-EG"/>
        </w:rPr>
        <w:t>؛ "5" ونقل التكنولوجيا.</w:t>
      </w:r>
    </w:p>
    <w:p w:rsidR="006563F7" w:rsidRDefault="00F53408" w:rsidP="00A254FC">
      <w:pPr>
        <w:pStyle w:val="ONUMA"/>
        <w:rPr>
          <w:lang w:bidi="ar-EG"/>
        </w:rPr>
      </w:pPr>
      <w:r w:rsidRPr="00F53408">
        <w:rPr>
          <w:rtl/>
          <w:lang w:bidi="ar-EG"/>
        </w:rPr>
        <w:t xml:space="preserve">واستندت </w:t>
      </w:r>
      <w:r>
        <w:rPr>
          <w:rFonts w:hint="cs"/>
          <w:rtl/>
          <w:lang w:bidi="ar-EG"/>
        </w:rPr>
        <w:t>ال</w:t>
      </w:r>
      <w:r w:rsidRPr="00F53408">
        <w:rPr>
          <w:rtl/>
          <w:lang w:bidi="ar-EG"/>
        </w:rPr>
        <w:t xml:space="preserve">مناقشات إلى عدد من </w:t>
      </w:r>
      <w:r w:rsidR="008C5AC4">
        <w:rPr>
          <w:rFonts w:hint="cs"/>
          <w:rtl/>
          <w:lang w:bidi="ar-EG"/>
        </w:rPr>
        <w:t xml:space="preserve">الاقتراحات </w:t>
      </w:r>
      <w:r w:rsidRPr="00F53408">
        <w:rPr>
          <w:rtl/>
          <w:lang w:bidi="ar-EG"/>
        </w:rPr>
        <w:t xml:space="preserve">التي قدمتها الوفود </w:t>
      </w:r>
      <w:r w:rsidR="00C5160F">
        <w:rPr>
          <w:rFonts w:hint="cs"/>
          <w:rtl/>
          <w:lang w:bidi="ar-EG"/>
        </w:rPr>
        <w:t xml:space="preserve">المختلفة </w:t>
      </w:r>
      <w:r w:rsidRPr="00F53408">
        <w:rPr>
          <w:rtl/>
          <w:lang w:bidi="ar-EG"/>
        </w:rPr>
        <w:t>والوثائق التي أعدتها الأمانة.</w:t>
      </w:r>
      <w:r w:rsidR="00950B56">
        <w:rPr>
          <w:rFonts w:hint="cs"/>
          <w:rtl/>
          <w:lang w:bidi="ar-EG"/>
        </w:rPr>
        <w:t xml:space="preserve"> </w:t>
      </w:r>
      <w:r w:rsidR="00950B56" w:rsidRPr="00950B56">
        <w:rPr>
          <w:rtl/>
          <w:lang w:bidi="ar-EG"/>
        </w:rPr>
        <w:t>وناقشت الوفود تلك المقترحات والوثائق من وجهات نظر مختلفة</w:t>
      </w:r>
      <w:r w:rsidR="00950B56">
        <w:rPr>
          <w:rFonts w:hint="cs"/>
          <w:rtl/>
          <w:lang w:bidi="ar-EG"/>
        </w:rPr>
        <w:t xml:space="preserve">. وساهم </w:t>
      </w:r>
      <w:r w:rsidR="00950B56" w:rsidRPr="00950B56">
        <w:rPr>
          <w:rtl/>
          <w:lang w:bidi="ar-EG"/>
        </w:rPr>
        <w:t xml:space="preserve">تبادل </w:t>
      </w:r>
      <w:r w:rsidR="0038734C">
        <w:rPr>
          <w:rFonts w:hint="cs"/>
          <w:rtl/>
          <w:lang w:bidi="ar-EG"/>
        </w:rPr>
        <w:t>ال</w:t>
      </w:r>
      <w:r w:rsidR="00950B56" w:rsidRPr="00950B56">
        <w:rPr>
          <w:rtl/>
          <w:lang w:bidi="ar-EG"/>
        </w:rPr>
        <w:t>آراء و</w:t>
      </w:r>
      <w:r w:rsidR="00844DE8">
        <w:rPr>
          <w:rFonts w:hint="cs"/>
          <w:rtl/>
          <w:lang w:bidi="ar-EG"/>
        </w:rPr>
        <w:t>ال</w:t>
      </w:r>
      <w:r w:rsidR="00950B56" w:rsidRPr="00950B56">
        <w:rPr>
          <w:rtl/>
          <w:lang w:bidi="ar-EG"/>
        </w:rPr>
        <w:t>تجارب</w:t>
      </w:r>
      <w:r w:rsidR="00D00C77">
        <w:rPr>
          <w:rFonts w:hint="cs"/>
          <w:rtl/>
          <w:lang w:bidi="ar-EG"/>
        </w:rPr>
        <w:t xml:space="preserve"> بين الوفود</w:t>
      </w:r>
      <w:r w:rsidR="00950B56" w:rsidRPr="00950B56">
        <w:rPr>
          <w:rtl/>
          <w:lang w:bidi="ar-EG"/>
        </w:rPr>
        <w:t xml:space="preserve"> في تعزيز فهم</w:t>
      </w:r>
      <w:r w:rsidR="00D00C77">
        <w:rPr>
          <w:rFonts w:hint="cs"/>
          <w:rtl/>
          <w:lang w:bidi="ar-EG"/>
        </w:rPr>
        <w:t>ها</w:t>
      </w:r>
      <w:r w:rsidR="00950B56" w:rsidRPr="00950B56">
        <w:rPr>
          <w:rtl/>
          <w:lang w:bidi="ar-EG"/>
        </w:rPr>
        <w:t xml:space="preserve"> لكل موضوع.</w:t>
      </w:r>
      <w:r w:rsidR="00A254FC">
        <w:rPr>
          <w:rFonts w:hint="cs"/>
          <w:rtl/>
          <w:lang w:bidi="ar-EG"/>
        </w:rPr>
        <w:t xml:space="preserve"> </w:t>
      </w:r>
      <w:r w:rsidR="00A254FC" w:rsidRPr="00A254FC">
        <w:rPr>
          <w:rtl/>
        </w:rPr>
        <w:t xml:space="preserve">وفضلاً عن ذلك، أتاحت الجلسات التشاركية التي عُقدت خلال الدورة فرصة جيدة كي تتبادل الدول الأعضاء آراءها وتجاربها وتتبادل معلومات عن التحديات المطروحة والحلول الممكنة فيما يتعلق بكل </w:t>
      </w:r>
      <w:r w:rsidR="00D00C77">
        <w:rPr>
          <w:rFonts w:hint="cs"/>
          <w:rtl/>
        </w:rPr>
        <w:t xml:space="preserve">قضية </w:t>
      </w:r>
      <w:r w:rsidR="00A254FC" w:rsidRPr="00A254FC">
        <w:rPr>
          <w:rtl/>
        </w:rPr>
        <w:t>من القضايا المذكورة.</w:t>
      </w:r>
    </w:p>
    <w:p w:rsidR="00F67C84" w:rsidRDefault="00A254FC" w:rsidP="003D1471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A254FC">
        <w:rPr>
          <w:rtl/>
          <w:lang w:bidi="ar-EG"/>
        </w:rPr>
        <w:t xml:space="preserve">على وجه التحديد، </w:t>
      </w:r>
      <w:r w:rsidR="00770D7D">
        <w:rPr>
          <w:rFonts w:hint="cs"/>
          <w:rtl/>
          <w:lang w:bidi="ar-EG"/>
        </w:rPr>
        <w:t xml:space="preserve">أجرت </w:t>
      </w:r>
      <w:r w:rsidRPr="00A254FC">
        <w:rPr>
          <w:rtl/>
          <w:lang w:bidi="ar-EG"/>
        </w:rPr>
        <w:t xml:space="preserve">اللجنة إبّان الدورة </w:t>
      </w:r>
      <w:r w:rsidR="00770D7D">
        <w:rPr>
          <w:rFonts w:hint="cs"/>
          <w:rtl/>
          <w:lang w:bidi="ar-EG"/>
        </w:rPr>
        <w:t xml:space="preserve">الثانية والثلاثين </w:t>
      </w:r>
      <w:r w:rsidR="004D5172">
        <w:rPr>
          <w:rFonts w:hint="cs"/>
          <w:rtl/>
          <w:lang w:bidi="ar-EG"/>
        </w:rPr>
        <w:t xml:space="preserve">مناقشات </w:t>
      </w:r>
      <w:r w:rsidR="003763B9">
        <w:rPr>
          <w:rFonts w:hint="cs"/>
          <w:rtl/>
          <w:lang w:bidi="ar-EG"/>
        </w:rPr>
        <w:t>حول</w:t>
      </w:r>
      <w:r w:rsidR="004D5172">
        <w:rPr>
          <w:rFonts w:hint="cs"/>
          <w:rtl/>
          <w:lang w:bidi="ar-EG"/>
        </w:rPr>
        <w:t xml:space="preserve"> مسودة </w:t>
      </w:r>
      <w:r w:rsidRPr="00A254FC">
        <w:rPr>
          <w:rtl/>
          <w:lang w:bidi="ar-EG"/>
        </w:rPr>
        <w:t xml:space="preserve">الوثيقة المرجعية بشأن </w:t>
      </w:r>
      <w:r w:rsidR="00877183">
        <w:rPr>
          <w:rFonts w:hint="cs"/>
          <w:rtl/>
          <w:lang w:bidi="ar-EG"/>
        </w:rPr>
        <w:t>الاستثناء</w:t>
      </w:r>
      <w:r w:rsidR="003743D7">
        <w:rPr>
          <w:rFonts w:hint="cs"/>
          <w:rtl/>
          <w:lang w:bidi="ar-EG"/>
        </w:rPr>
        <w:t xml:space="preserve"> المتعلق بالاستخدام المسبق</w:t>
      </w:r>
      <w:r w:rsidRPr="00A254FC">
        <w:rPr>
          <w:rtl/>
          <w:lang w:bidi="ar-EG"/>
        </w:rPr>
        <w:t>، ودراسة عن أساليب التعامل مع جودة عملية منح البراءات</w:t>
      </w:r>
      <w:r w:rsidR="003743D7">
        <w:rPr>
          <w:rFonts w:hint="cs"/>
          <w:rtl/>
          <w:lang w:bidi="ar-EG"/>
        </w:rPr>
        <w:t>.</w:t>
      </w:r>
      <w:r w:rsidRPr="00A254FC">
        <w:rPr>
          <w:rtl/>
          <w:lang w:bidi="ar-EG"/>
        </w:rPr>
        <w:t xml:space="preserve"> وناقشت اللجنة أيضاً مراجعة للبحوث الحالية المتعلقة بالبراءات والنفاذ إلى المنتجات الطبية والتكنولوجيات الصحية، فضلاً عن أحكام قانون البراءات التي أسهمت في النقل الفعال للتكنولوجيا، بما في ذلك كفاية الكشف.</w:t>
      </w:r>
      <w:r w:rsidR="00252752">
        <w:rPr>
          <w:rFonts w:hint="cs"/>
          <w:rtl/>
          <w:lang w:bidi="ar-EG"/>
        </w:rPr>
        <w:t xml:space="preserve"> </w:t>
      </w:r>
      <w:r w:rsidR="00252752" w:rsidRPr="00252752">
        <w:rPr>
          <w:rtl/>
          <w:lang w:bidi="ar-EG"/>
        </w:rPr>
        <w:t>وعلاوة على ذلك، واصلت اللجنة مناقشة</w:t>
      </w:r>
      <w:r w:rsidR="00252752">
        <w:rPr>
          <w:rFonts w:hint="cs"/>
          <w:rtl/>
          <w:lang w:bidi="ar-EG"/>
        </w:rPr>
        <w:t xml:space="preserve"> الاقتراحات</w:t>
      </w:r>
      <w:r w:rsidR="00252752" w:rsidRPr="00252752">
        <w:rPr>
          <w:rtl/>
          <w:lang w:bidi="ar-EG"/>
        </w:rPr>
        <w:t xml:space="preserve"> التي قدمتها الدول الأعضاء، بما في ذلك </w:t>
      </w:r>
      <w:r w:rsidR="008F6354" w:rsidRPr="008F6354">
        <w:rPr>
          <w:rtl/>
        </w:rPr>
        <w:t>اقتراح منقح مقدّم من وفدي البرازيل وإسبانيا</w:t>
      </w:r>
      <w:r w:rsidR="008F6354">
        <w:rPr>
          <w:rFonts w:hint="cs"/>
          <w:rtl/>
        </w:rPr>
        <w:t xml:space="preserve"> </w:t>
      </w:r>
      <w:r w:rsidR="00252752" w:rsidRPr="00252752">
        <w:rPr>
          <w:rtl/>
          <w:lang w:bidi="ar-EG"/>
        </w:rPr>
        <w:t xml:space="preserve">يتعلق </w:t>
      </w:r>
      <w:r w:rsidR="008F6354" w:rsidRPr="008F6354">
        <w:rPr>
          <w:rtl/>
          <w:lang w:bidi="ar-EG"/>
        </w:rPr>
        <w:t>بإجراء دراسة أخرى والمزيد من الجلسات التشاركية حول شرط كفاية الكشف.</w:t>
      </w:r>
    </w:p>
    <w:p w:rsidR="0010100D" w:rsidRDefault="0010100D" w:rsidP="0010100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وإضافة إلى ذلك، عُقدت الجلسات التشاركية الثلاث</w:t>
      </w:r>
      <w:r w:rsidR="003763B9">
        <w:rPr>
          <w:rFonts w:hint="cs"/>
          <w:rtl/>
          <w:lang w:bidi="ar-EG"/>
        </w:rPr>
        <w:t xml:space="preserve"> التالية</w:t>
      </w:r>
      <w:r>
        <w:rPr>
          <w:rFonts w:hint="cs"/>
          <w:rtl/>
          <w:lang w:bidi="ar-EG"/>
        </w:rPr>
        <w:t xml:space="preserve"> خلال الدورة الثانية والثلاثين، وهي "1"</w:t>
      </w:r>
      <w:r w:rsidR="00751B75">
        <w:rPr>
          <w:rFonts w:hint="cs"/>
          <w:rtl/>
          <w:lang w:bidi="ar-EG"/>
        </w:rPr>
        <w:t xml:space="preserve"> </w:t>
      </w:r>
      <w:r w:rsidR="003D4ABE">
        <w:rPr>
          <w:rFonts w:hint="cs"/>
          <w:rtl/>
          <w:lang w:bidi="ar-EG"/>
        </w:rPr>
        <w:t>جلسة تشاركية تتعلق ب</w:t>
      </w:r>
      <w:r w:rsidR="003D4ABE" w:rsidRPr="003D4ABE">
        <w:rPr>
          <w:rtl/>
          <w:lang w:bidi="ar-EG"/>
        </w:rPr>
        <w:t>قضايا أهلية الحماية ببراءة وعلاقتها بالذكاء الاصطناعي</w:t>
      </w:r>
      <w:r>
        <w:rPr>
          <w:rFonts w:hint="cs"/>
          <w:rtl/>
          <w:lang w:bidi="ar-EG"/>
        </w:rPr>
        <w:t xml:space="preserve">؛ </w:t>
      </w:r>
      <w:r w:rsidRPr="0010100D">
        <w:rPr>
          <w:rFonts w:hint="cs"/>
          <w:rtl/>
          <w:lang w:bidi="ar-EG"/>
        </w:rPr>
        <w:t>"</w:t>
      </w:r>
      <w:r w:rsidR="0052193A">
        <w:rPr>
          <w:rFonts w:hint="cs"/>
          <w:rtl/>
          <w:lang w:bidi="ar-EG"/>
        </w:rPr>
        <w:t>2</w:t>
      </w:r>
      <w:r w:rsidRPr="0010100D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 و</w:t>
      </w:r>
      <w:r w:rsidR="005A3796" w:rsidRPr="005A3796">
        <w:rPr>
          <w:rtl/>
          <w:lang w:bidi="ar-EG"/>
        </w:rPr>
        <w:t>جلسة تشاركية بشأن التحديات والفرص المتعلقة بأنواع الأحكام الخاصة بترخيص البراءات في مجال التكنولوجيات الصحية.</w:t>
      </w:r>
      <w:r>
        <w:rPr>
          <w:rFonts w:hint="cs"/>
          <w:rtl/>
          <w:lang w:bidi="ar-EG"/>
        </w:rPr>
        <w:t xml:space="preserve">؛ </w:t>
      </w:r>
      <w:r w:rsidRPr="0010100D">
        <w:rPr>
          <w:rFonts w:hint="cs"/>
          <w:rtl/>
          <w:lang w:bidi="ar-EG"/>
        </w:rPr>
        <w:t>"</w:t>
      </w:r>
      <w:r w:rsidR="0052193A">
        <w:rPr>
          <w:rFonts w:hint="cs"/>
          <w:rtl/>
          <w:lang w:bidi="ar-EG"/>
        </w:rPr>
        <w:t>3</w:t>
      </w:r>
      <w:r w:rsidRPr="0010100D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 </w:t>
      </w:r>
      <w:r w:rsidR="005B04C4">
        <w:rPr>
          <w:rFonts w:hint="cs"/>
          <w:rtl/>
          <w:lang w:bidi="ar-EG"/>
        </w:rPr>
        <w:t>و</w:t>
      </w:r>
      <w:r w:rsidR="004E28AF">
        <w:rPr>
          <w:rFonts w:hint="cs"/>
          <w:rtl/>
          <w:lang w:bidi="ar-EG"/>
        </w:rPr>
        <w:t xml:space="preserve">جلسة تشاركية </w:t>
      </w:r>
      <w:r w:rsidR="00920550">
        <w:rPr>
          <w:rFonts w:hint="cs"/>
          <w:rtl/>
          <w:lang w:bidi="ar-EG"/>
        </w:rPr>
        <w:t>بشأ</w:t>
      </w:r>
      <w:r w:rsidR="00920550" w:rsidRPr="00920550">
        <w:rPr>
          <w:rtl/>
          <w:lang w:bidi="ar-EG"/>
        </w:rPr>
        <w:t>ن أحكام قانون البراءات وممارساته التي أسهمت في النقل الفعال للتكنولوجيا</w:t>
      </w:r>
      <w:r w:rsidR="00006CA3">
        <w:rPr>
          <w:rFonts w:hint="cs"/>
          <w:rtl/>
          <w:lang w:bidi="ar-EG"/>
        </w:rPr>
        <w:t>.</w:t>
      </w:r>
      <w:r w:rsidR="0006532D">
        <w:rPr>
          <w:rFonts w:hint="cs"/>
          <w:rtl/>
          <w:lang w:bidi="ar-EG"/>
        </w:rPr>
        <w:t xml:space="preserve"> وإضافة </w:t>
      </w:r>
      <w:r w:rsidR="00F13CB3">
        <w:rPr>
          <w:rFonts w:hint="cs"/>
          <w:rtl/>
          <w:lang w:bidi="ar-EG"/>
        </w:rPr>
        <w:t xml:space="preserve">إلى ذلك، </w:t>
      </w:r>
      <w:r w:rsidR="008B783A">
        <w:rPr>
          <w:rFonts w:hint="cs"/>
          <w:rtl/>
          <w:lang w:bidi="ar-EG"/>
        </w:rPr>
        <w:t>وبموجب بند جدول الأعمال</w:t>
      </w:r>
      <w:r w:rsidR="002A23A1">
        <w:rPr>
          <w:rFonts w:hint="cs"/>
          <w:rtl/>
          <w:lang w:bidi="ar-EG"/>
        </w:rPr>
        <w:t xml:space="preserve"> "البراءات والصحة"</w:t>
      </w:r>
      <w:r w:rsidR="008B783A">
        <w:rPr>
          <w:rFonts w:hint="cs"/>
          <w:rtl/>
          <w:lang w:bidi="ar-EG"/>
        </w:rPr>
        <w:t xml:space="preserve">، </w:t>
      </w:r>
      <w:r w:rsidR="00D10DA3" w:rsidRPr="00D10DA3">
        <w:rPr>
          <w:rtl/>
          <w:lang w:bidi="ar-EG"/>
        </w:rPr>
        <w:t>دُعي ممثل سجل براءات وزارة الصحة الكندية إلى تقديم قاعدة بيانات</w:t>
      </w:r>
      <w:r w:rsidR="003763B9">
        <w:rPr>
          <w:rFonts w:hint="cs"/>
          <w:rtl/>
          <w:lang w:bidi="ar-EG"/>
        </w:rPr>
        <w:t xml:space="preserve"> الوزارة</w:t>
      </w:r>
      <w:r w:rsidR="00D10DA3" w:rsidRPr="00D10DA3">
        <w:rPr>
          <w:rtl/>
          <w:lang w:bidi="ar-EG"/>
        </w:rPr>
        <w:t>.</w:t>
      </w:r>
    </w:p>
    <w:p w:rsidR="000B1344" w:rsidRDefault="005F5149" w:rsidP="00AF29FD">
      <w:pPr>
        <w:pStyle w:val="ONUMA"/>
        <w:rPr>
          <w:lang w:bidi="ar-EG"/>
        </w:rPr>
      </w:pPr>
      <w:r w:rsidRPr="005F5149">
        <w:rPr>
          <w:rtl/>
        </w:rPr>
        <w:lastRenderedPageBreak/>
        <w:t>وأحاطت الدول الأعضاء علماً أيضاً بتق</w:t>
      </w:r>
      <w:r>
        <w:rPr>
          <w:rFonts w:hint="cs"/>
          <w:rtl/>
        </w:rPr>
        <w:t>ريري لجنة البراءات بشأن الجلستين التشاركيتين المعقودتين خلال الدورة الحادية والثلاثين للجنة البراءات، ألا وهما "</w:t>
      </w:r>
      <w:r w:rsidR="008D4D4D">
        <w:rPr>
          <w:rFonts w:hint="cs"/>
          <w:rtl/>
        </w:rPr>
        <w:t>1</w:t>
      </w:r>
      <w:r>
        <w:rPr>
          <w:rFonts w:hint="cs"/>
          <w:rtl/>
        </w:rPr>
        <w:t xml:space="preserve">" </w:t>
      </w:r>
      <w:r w:rsidR="008D4D4D">
        <w:rPr>
          <w:rFonts w:hint="cs"/>
          <w:rtl/>
        </w:rPr>
        <w:t xml:space="preserve">جلسة تشاركية بشأن </w:t>
      </w:r>
      <w:r w:rsidR="008D4D4D" w:rsidRPr="008D4D4D">
        <w:rPr>
          <w:rtl/>
        </w:rPr>
        <w:t>استخدام الذكاء الاصطناعي لأغراض فحص طلبات البراءات</w:t>
      </w:r>
      <w:r>
        <w:rPr>
          <w:rFonts w:hint="cs"/>
          <w:rtl/>
        </w:rPr>
        <w:t>؛ "</w:t>
      </w:r>
      <w:r w:rsidR="00AF29FD">
        <w:rPr>
          <w:rFonts w:hint="cs"/>
          <w:rtl/>
        </w:rPr>
        <w:t>2</w:t>
      </w:r>
      <w:r>
        <w:rPr>
          <w:rFonts w:hint="cs"/>
          <w:rtl/>
        </w:rPr>
        <w:t>"</w:t>
      </w:r>
      <w:r w:rsidR="00AF29FD">
        <w:rPr>
          <w:rFonts w:hint="cs"/>
          <w:rtl/>
        </w:rPr>
        <w:t xml:space="preserve"> </w:t>
      </w:r>
      <w:r w:rsidR="00522A24">
        <w:rPr>
          <w:rFonts w:hint="cs"/>
          <w:rtl/>
        </w:rPr>
        <w:t>و</w:t>
      </w:r>
      <w:r w:rsidR="00AF29FD">
        <w:rPr>
          <w:rFonts w:hint="cs"/>
          <w:rtl/>
        </w:rPr>
        <w:t xml:space="preserve">جلسة تشاركية بشأن </w:t>
      </w:r>
      <w:r w:rsidR="00AF29FD" w:rsidRPr="00AF29FD">
        <w:rPr>
          <w:rtl/>
        </w:rPr>
        <w:t>آخر التطورات والتجارب المتعلقة بسرية الاتصالات بين مستشاري البراءات وموكِّليه</w:t>
      </w:r>
      <w:r w:rsidR="003B3810">
        <w:rPr>
          <w:rFonts w:hint="cs"/>
          <w:rtl/>
        </w:rPr>
        <w:t>م.</w:t>
      </w:r>
    </w:p>
    <w:p w:rsidR="00514387" w:rsidRDefault="00665C37" w:rsidP="004D57BB">
      <w:pPr>
        <w:pStyle w:val="ONUMA"/>
        <w:rPr>
          <w:lang w:bidi="ar-EG"/>
        </w:rPr>
      </w:pPr>
      <w:r w:rsidRPr="00665C37">
        <w:rPr>
          <w:rtl/>
          <w:lang w:bidi="ar-EG"/>
        </w:rPr>
        <w:t xml:space="preserve">وفيما يخص الأنشطة المقبلة للجنة البراءات، </w:t>
      </w:r>
      <w:r w:rsidR="005411AC">
        <w:rPr>
          <w:rFonts w:hint="cs"/>
          <w:rtl/>
          <w:lang w:bidi="ar-EG"/>
        </w:rPr>
        <w:t xml:space="preserve">ستواصل </w:t>
      </w:r>
      <w:r w:rsidRPr="00665C37">
        <w:rPr>
          <w:rtl/>
          <w:lang w:bidi="ar-EG"/>
        </w:rPr>
        <w:t xml:space="preserve">اللجنة </w:t>
      </w:r>
      <w:r w:rsidR="005411AC">
        <w:rPr>
          <w:rFonts w:hint="cs"/>
          <w:rtl/>
          <w:lang w:bidi="ar-EG"/>
        </w:rPr>
        <w:t xml:space="preserve">التقدم بعملها بناء على الاتفاق الذي تم التوصل إليه </w:t>
      </w:r>
      <w:r w:rsidRPr="00665C37">
        <w:rPr>
          <w:rtl/>
          <w:lang w:bidi="ar-EG"/>
        </w:rPr>
        <w:t xml:space="preserve">خلال دورتها </w:t>
      </w:r>
      <w:r>
        <w:rPr>
          <w:rFonts w:hint="cs"/>
          <w:rtl/>
          <w:lang w:bidi="ar-EG"/>
        </w:rPr>
        <w:t xml:space="preserve">الثانية </w:t>
      </w:r>
      <w:r w:rsidRPr="00665C37">
        <w:rPr>
          <w:rtl/>
          <w:lang w:bidi="ar-EG"/>
        </w:rPr>
        <w:t>والثلاثين</w:t>
      </w:r>
      <w:r w:rsidR="004D57BB" w:rsidRPr="004D57BB">
        <w:rPr>
          <w:rFonts w:eastAsia="SimSun" w:hint="cs"/>
          <w:rtl/>
          <w:lang w:eastAsia="zh-CN" w:bidi="ar-EG"/>
        </w:rPr>
        <w:t xml:space="preserve"> </w:t>
      </w:r>
      <w:r w:rsidR="004D57BB" w:rsidRPr="004D57BB">
        <w:rPr>
          <w:rFonts w:hint="cs"/>
          <w:rtl/>
          <w:lang w:bidi="ar-EG"/>
        </w:rPr>
        <w:t>بشأن أنشطتها المقبلة</w:t>
      </w:r>
      <w:r w:rsidRPr="00665C37">
        <w:rPr>
          <w:rtl/>
          <w:lang w:bidi="ar-EG"/>
        </w:rPr>
        <w:t>.</w:t>
      </w:r>
      <w:r w:rsidR="00B67286">
        <w:rPr>
          <w:rFonts w:hint="cs"/>
          <w:rtl/>
          <w:lang w:bidi="ar-EG"/>
        </w:rPr>
        <w:t xml:space="preserve"> </w:t>
      </w:r>
      <w:r w:rsidR="0089115B">
        <w:rPr>
          <w:rFonts w:hint="cs"/>
          <w:rtl/>
        </w:rPr>
        <w:t>ووافقت</w:t>
      </w:r>
      <w:r w:rsidR="00B67286" w:rsidRPr="00B67286">
        <w:rPr>
          <w:rtl/>
        </w:rPr>
        <w:t xml:space="preserve"> اللجنة على أن تظل القائمة غير الحصرية </w:t>
      </w:r>
      <w:r w:rsidR="00EA13D4">
        <w:rPr>
          <w:rFonts w:hint="cs"/>
          <w:rtl/>
        </w:rPr>
        <w:t>ل</w:t>
      </w:r>
      <w:r w:rsidR="00B67286" w:rsidRPr="00B67286">
        <w:rPr>
          <w:rtl/>
        </w:rPr>
        <w:t xml:space="preserve">لقضايا مفتوحة </w:t>
      </w:r>
      <w:r w:rsidR="00102D5F">
        <w:rPr>
          <w:rFonts w:hint="cs"/>
          <w:rtl/>
        </w:rPr>
        <w:t xml:space="preserve">من أجل </w:t>
      </w:r>
      <w:r w:rsidR="00B67286" w:rsidRPr="00B67286">
        <w:rPr>
          <w:rtl/>
        </w:rPr>
        <w:t xml:space="preserve">مزيد من </w:t>
      </w:r>
      <w:r w:rsidR="00102D5F">
        <w:rPr>
          <w:rFonts w:hint="cs"/>
          <w:rtl/>
        </w:rPr>
        <w:t>التوضيح</w:t>
      </w:r>
      <w:r w:rsidR="00B67286" w:rsidRPr="00B67286">
        <w:rPr>
          <w:rtl/>
        </w:rPr>
        <w:t xml:space="preserve"> والنقاش خلال الدورة </w:t>
      </w:r>
      <w:r w:rsidR="00102D5F">
        <w:rPr>
          <w:rFonts w:hint="cs"/>
          <w:rtl/>
        </w:rPr>
        <w:t>الثالثة</w:t>
      </w:r>
      <w:r w:rsidR="00B67286" w:rsidRPr="00B67286">
        <w:rPr>
          <w:rtl/>
        </w:rPr>
        <w:t xml:space="preserve"> والثلاثين</w:t>
      </w:r>
      <w:r w:rsidR="0031305E">
        <w:rPr>
          <w:rFonts w:hint="cs"/>
          <w:rtl/>
        </w:rPr>
        <w:t>.</w:t>
      </w:r>
      <w:r w:rsidR="00E70085">
        <w:rPr>
          <w:rFonts w:hint="cs"/>
          <w:rtl/>
        </w:rPr>
        <w:t xml:space="preserve"> و</w:t>
      </w:r>
      <w:r w:rsidR="00102D5F">
        <w:rPr>
          <w:rFonts w:hint="cs"/>
          <w:rtl/>
        </w:rPr>
        <w:t>إضافة إلى</w:t>
      </w:r>
      <w:r w:rsidR="00B67286" w:rsidRPr="00B67286">
        <w:rPr>
          <w:rtl/>
        </w:rPr>
        <w:t xml:space="preserve"> ذلك، </w:t>
      </w:r>
      <w:r w:rsidR="00102D5F">
        <w:rPr>
          <w:rFonts w:hint="cs"/>
          <w:rtl/>
        </w:rPr>
        <w:t xml:space="preserve">وافقت اللجنة، </w:t>
      </w:r>
      <w:r w:rsidR="00102D5F" w:rsidRPr="00102D5F">
        <w:rPr>
          <w:rtl/>
        </w:rPr>
        <w:t>دون الإخلال بولايته</w:t>
      </w:r>
      <w:r w:rsidR="00102D5F">
        <w:rPr>
          <w:rFonts w:hint="cs"/>
          <w:rtl/>
        </w:rPr>
        <w:t xml:space="preserve">ا، </w:t>
      </w:r>
      <w:r w:rsidR="00B67286" w:rsidRPr="00B67286">
        <w:rPr>
          <w:rtl/>
        </w:rPr>
        <w:t>على أن يقتصر عملها في الدورة التالية على تقصي الحقائق، وألا يؤدي إلى المواءمة في تلك المرحلة.</w:t>
      </w:r>
      <w:r w:rsidR="00C7459A">
        <w:rPr>
          <w:rFonts w:hint="cs"/>
          <w:rtl/>
        </w:rPr>
        <w:t xml:space="preserve"> </w:t>
      </w:r>
      <w:r w:rsidR="00F9668A">
        <w:rPr>
          <w:rFonts w:hint="cs"/>
          <w:rtl/>
        </w:rPr>
        <w:t xml:space="preserve">ويرد فيما يلي </w:t>
      </w:r>
      <w:r w:rsidR="00C7459A" w:rsidRPr="00C7459A">
        <w:rPr>
          <w:rtl/>
        </w:rPr>
        <w:t xml:space="preserve">بيان برنامج عمل اللجنة المقبل </w:t>
      </w:r>
      <w:r w:rsidR="00F9668A">
        <w:rPr>
          <w:rFonts w:hint="cs"/>
          <w:rtl/>
        </w:rPr>
        <w:t xml:space="preserve">الذي وافقت عليه </w:t>
      </w:r>
      <w:r w:rsidR="00C7459A" w:rsidRPr="00C7459A">
        <w:rPr>
          <w:rtl/>
        </w:rPr>
        <w:t xml:space="preserve">فيما يخص </w:t>
      </w:r>
      <w:r w:rsidR="00E70085">
        <w:rPr>
          <w:rFonts w:hint="cs"/>
          <w:rtl/>
        </w:rPr>
        <w:t>المواضيع</w:t>
      </w:r>
      <w:r w:rsidR="00C7459A" w:rsidRPr="00C7459A">
        <w:rPr>
          <w:rtl/>
        </w:rPr>
        <w:t xml:space="preserve"> الخمسة المدرجة في جدول أعمالها:</w:t>
      </w:r>
    </w:p>
    <w:p w:rsidR="003372B3" w:rsidRDefault="00D1754A" w:rsidP="00C03229">
      <w:pPr>
        <w:pStyle w:val="ONUMA"/>
        <w:numPr>
          <w:ilvl w:val="1"/>
          <w:numId w:val="7"/>
        </w:numPr>
        <w:rPr>
          <w:lang w:bidi="ar-EG"/>
        </w:rPr>
      </w:pPr>
      <w:r w:rsidRPr="00D1754A">
        <w:rPr>
          <w:rtl/>
        </w:rPr>
        <w:t>فيما يتعلق بموضوع "الاستثناءات والتقييدات على حقوق البراءات</w:t>
      </w:r>
      <w:r>
        <w:rPr>
          <w:rFonts w:hint="cs"/>
          <w:rtl/>
        </w:rPr>
        <w:t>"</w:t>
      </w:r>
      <w:r w:rsidR="00C03229">
        <w:rPr>
          <w:rFonts w:hint="cs"/>
          <w:rtl/>
        </w:rPr>
        <w:t xml:space="preserve">، ستبقى مسودة </w:t>
      </w:r>
      <w:r w:rsidR="00F9668A">
        <w:rPr>
          <w:rFonts w:hint="cs"/>
          <w:rtl/>
        </w:rPr>
        <w:t>ال</w:t>
      </w:r>
      <w:r w:rsidR="00C03229" w:rsidRPr="00C03229">
        <w:rPr>
          <w:rtl/>
        </w:rPr>
        <w:t xml:space="preserve">وثيقة </w:t>
      </w:r>
      <w:r w:rsidR="00F9668A">
        <w:rPr>
          <w:rFonts w:hint="cs"/>
          <w:rtl/>
        </w:rPr>
        <w:t>ال</w:t>
      </w:r>
      <w:r w:rsidR="00C03229" w:rsidRPr="00C03229">
        <w:rPr>
          <w:rtl/>
        </w:rPr>
        <w:t>مرجعية بشأن الاستثناء المتعلق بالاستخدام السابق</w:t>
      </w:r>
      <w:r w:rsidR="00C55701">
        <w:rPr>
          <w:rFonts w:hint="cs"/>
          <w:rtl/>
        </w:rPr>
        <w:t xml:space="preserve"> مفتوحة للمناقشة في الدورة الثالثة والثلاثين.</w:t>
      </w:r>
    </w:p>
    <w:p w:rsidR="00895002" w:rsidRDefault="00E94BFA" w:rsidP="00461A0B">
      <w:pPr>
        <w:pStyle w:val="ONUMA"/>
        <w:numPr>
          <w:ilvl w:val="1"/>
          <w:numId w:val="7"/>
        </w:numPr>
        <w:rPr>
          <w:lang w:bidi="ar-EG"/>
        </w:rPr>
      </w:pPr>
      <w:r w:rsidRPr="00E94BFA">
        <w:rPr>
          <w:rtl/>
        </w:rPr>
        <w:t>وفيما يتعلق بموضوع "جودة البراءات، بما في ذلك أنظمة الاعتراض</w:t>
      </w:r>
      <w:r w:rsidRPr="00E94BFA">
        <w:rPr>
          <w:lang w:bidi="ar-EG"/>
        </w:rPr>
        <w:t>"</w:t>
      </w:r>
      <w:r w:rsidRPr="00E94BFA">
        <w:rPr>
          <w:rtl/>
        </w:rPr>
        <w:t>،</w:t>
      </w:r>
      <w:r>
        <w:rPr>
          <w:rFonts w:hint="cs"/>
          <w:rtl/>
        </w:rPr>
        <w:t xml:space="preserve"> خلال الدورة الثالثة والثلاثين، ستواصل اللجنة المناقشة بشأن </w:t>
      </w:r>
      <w:r w:rsidR="000F5426">
        <w:rPr>
          <w:rFonts w:hint="cs"/>
          <w:rtl/>
        </w:rPr>
        <w:t>ال</w:t>
      </w:r>
      <w:r w:rsidR="000F5426" w:rsidRPr="000F5426">
        <w:rPr>
          <w:rtl/>
        </w:rPr>
        <w:t>دراسة عن أساليب التعامل مع جودة عملية منح البراءات</w:t>
      </w:r>
      <w:r w:rsidR="000F5426">
        <w:rPr>
          <w:rFonts w:hint="cs"/>
          <w:rtl/>
        </w:rPr>
        <w:t xml:space="preserve">، وكذلك الاقتراح المنقح لوفدي البرازيل وإسبانيا </w:t>
      </w:r>
      <w:r w:rsidR="00F9668A">
        <w:rPr>
          <w:rFonts w:hint="cs"/>
          <w:rtl/>
        </w:rPr>
        <w:t>الذي</w:t>
      </w:r>
      <w:r w:rsidR="000F5426" w:rsidRPr="000F5426">
        <w:rPr>
          <w:rFonts w:hint="cs"/>
          <w:rtl/>
        </w:rPr>
        <w:t xml:space="preserve"> </w:t>
      </w:r>
      <w:r w:rsidR="000F5426" w:rsidRPr="000F5426">
        <w:rPr>
          <w:rtl/>
          <w:lang w:bidi="ar-EG"/>
        </w:rPr>
        <w:t>يتعلق بإجراء دراسة أخرى والمزيد من الجلسات التشاركية حول شرط كفاية الكشف.</w:t>
      </w:r>
      <w:r w:rsidR="002467A1">
        <w:rPr>
          <w:rFonts w:hint="cs"/>
          <w:rtl/>
          <w:lang w:bidi="ar-EG"/>
        </w:rPr>
        <w:t xml:space="preserve"> وإضافة إلى ذلك،</w:t>
      </w:r>
      <w:r w:rsidR="0003076D">
        <w:rPr>
          <w:rFonts w:hint="cs"/>
          <w:rtl/>
          <w:lang w:bidi="ar-EG"/>
        </w:rPr>
        <w:t xml:space="preserve"> ستنظم الأمانة</w:t>
      </w:r>
      <w:r w:rsidR="0016473A">
        <w:rPr>
          <w:rFonts w:hint="cs"/>
          <w:rtl/>
          <w:lang w:bidi="ar-EG"/>
        </w:rPr>
        <w:t xml:space="preserve"> جلسة لتبادل </w:t>
      </w:r>
      <w:r w:rsidR="00F9668A">
        <w:rPr>
          <w:rFonts w:hint="cs"/>
          <w:rtl/>
          <w:lang w:bidi="ar-EG"/>
        </w:rPr>
        <w:t>التجار</w:t>
      </w:r>
      <w:r w:rsidR="00843057">
        <w:rPr>
          <w:rFonts w:hint="cs"/>
          <w:rtl/>
          <w:lang w:bidi="ar-EG"/>
        </w:rPr>
        <w:t>ب</w:t>
      </w:r>
      <w:r w:rsidR="0016473A">
        <w:rPr>
          <w:rFonts w:hint="cs"/>
          <w:rtl/>
          <w:lang w:bidi="ar-EG"/>
        </w:rPr>
        <w:t xml:space="preserve"> والمعلومات </w:t>
      </w:r>
      <w:r w:rsidR="00461A0B">
        <w:rPr>
          <w:rFonts w:hint="cs"/>
          <w:rtl/>
          <w:lang w:bidi="ar-EG"/>
        </w:rPr>
        <w:t xml:space="preserve">بشأن استخدام </w:t>
      </w:r>
      <w:r w:rsidR="00461A0B" w:rsidRPr="00461A0B">
        <w:rPr>
          <w:rtl/>
        </w:rPr>
        <w:t>استخدام الذكاء الاصطناعي لأغراض فحص طلبات البراءات</w:t>
      </w:r>
      <w:r w:rsidR="00AD19A7">
        <w:rPr>
          <w:rFonts w:hint="cs"/>
          <w:rtl/>
        </w:rPr>
        <w:t>.</w:t>
      </w:r>
    </w:p>
    <w:p w:rsidR="00832B1A" w:rsidRDefault="00832B1A" w:rsidP="00367939">
      <w:pPr>
        <w:pStyle w:val="ONUMA"/>
        <w:numPr>
          <w:ilvl w:val="1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وفيما يتعلق بموضوع</w:t>
      </w:r>
      <w:r w:rsidR="008E7B4C">
        <w:rPr>
          <w:rFonts w:hint="cs"/>
          <w:rtl/>
          <w:lang w:bidi="ar-EG"/>
        </w:rPr>
        <w:t xml:space="preserve"> "البراءات والصحة"</w:t>
      </w:r>
      <w:r w:rsidR="0084373C">
        <w:rPr>
          <w:rFonts w:hint="cs"/>
          <w:rtl/>
          <w:lang w:bidi="ar-EG"/>
        </w:rPr>
        <w:t>، في الدورة الثالثة والثلاثين للجنة البراءات</w:t>
      </w:r>
      <w:r w:rsidR="007208BA">
        <w:rPr>
          <w:rFonts w:hint="cs"/>
          <w:rtl/>
          <w:lang w:bidi="ar-EG"/>
        </w:rPr>
        <w:t>،</w:t>
      </w:r>
      <w:r w:rsidR="00436770">
        <w:rPr>
          <w:rFonts w:hint="cs"/>
          <w:rtl/>
          <w:lang w:bidi="ar-EG"/>
        </w:rPr>
        <w:t xml:space="preserve"> ستستمر اللجنة في تلقي </w:t>
      </w:r>
      <w:r w:rsidR="00436770" w:rsidRPr="00436770">
        <w:rPr>
          <w:rtl/>
        </w:rPr>
        <w:t>آخر المستجدات عن المبادرات الخاصة بقواعد البيانات المتاحة للجمهور بشأن معلومات وضع البراءات المتعلقة بالأدوية واللقاحات</w:t>
      </w:r>
      <w:r w:rsidR="008E7703">
        <w:rPr>
          <w:rFonts w:hint="cs"/>
          <w:rtl/>
        </w:rPr>
        <w:t xml:space="preserve">، وفقاً لما ورد في الوثيقة </w:t>
      </w:r>
      <w:r w:rsidR="008E7703" w:rsidRPr="008E7703">
        <w:t>SCP/28/10 Rev</w:t>
      </w:r>
      <w:r w:rsidR="008E7703">
        <w:rPr>
          <w:rFonts w:hint="cs"/>
          <w:rtl/>
        </w:rPr>
        <w:t>.</w:t>
      </w:r>
      <w:r w:rsidR="006B1642">
        <w:rPr>
          <w:rFonts w:hint="cs"/>
          <w:rtl/>
        </w:rPr>
        <w:t xml:space="preserve"> </w:t>
      </w:r>
      <w:r w:rsidR="006B1642" w:rsidRPr="006B1642">
        <w:rPr>
          <w:rtl/>
        </w:rPr>
        <w:t>وسوف تواصل اللجنة أيضاً مناقشتها</w:t>
      </w:r>
      <w:r w:rsidR="00367939">
        <w:rPr>
          <w:rFonts w:hint="cs"/>
          <w:rtl/>
        </w:rPr>
        <w:t xml:space="preserve"> بشأن الوثيقة </w:t>
      </w:r>
      <w:r w:rsidR="00367939" w:rsidRPr="00367939">
        <w:t>SCP/31/5</w:t>
      </w:r>
      <w:r w:rsidR="006B1642">
        <w:rPr>
          <w:rFonts w:hint="cs"/>
          <w:rtl/>
        </w:rPr>
        <w:t xml:space="preserve"> </w:t>
      </w:r>
      <w:r w:rsidR="00442652">
        <w:rPr>
          <w:rFonts w:hint="cs"/>
          <w:rtl/>
        </w:rPr>
        <w:t>(</w:t>
      </w:r>
      <w:r w:rsidR="006B1642" w:rsidRPr="006B1642">
        <w:rPr>
          <w:rtl/>
        </w:rPr>
        <w:t>استعراض البحوث الحالية المتعلقة بالبراءات والنفاذ إلى المنتجات الطبية والتكنولوجيات الصحية</w:t>
      </w:r>
      <w:r w:rsidR="00442652">
        <w:rPr>
          <w:rFonts w:hint="cs"/>
          <w:rtl/>
        </w:rPr>
        <w:t>)</w:t>
      </w:r>
      <w:r w:rsidR="00B14F59">
        <w:rPr>
          <w:rFonts w:hint="cs"/>
          <w:rtl/>
        </w:rPr>
        <w:t xml:space="preserve"> </w:t>
      </w:r>
      <w:r w:rsidR="00B14F59" w:rsidRPr="00B14F59">
        <w:rPr>
          <w:rtl/>
        </w:rPr>
        <w:t xml:space="preserve">بغية تبادل الاعتبارات والنتائج بشأن حالة المعارف </w:t>
      </w:r>
      <w:r w:rsidR="00B12624">
        <w:rPr>
          <w:rFonts w:hint="cs"/>
          <w:rtl/>
        </w:rPr>
        <w:t>المستمدة</w:t>
      </w:r>
      <w:r w:rsidR="00B14F59" w:rsidRPr="00B14F59">
        <w:rPr>
          <w:rtl/>
        </w:rPr>
        <w:t xml:space="preserve"> </w:t>
      </w:r>
      <w:r w:rsidR="00B12624">
        <w:rPr>
          <w:rFonts w:hint="cs"/>
          <w:rtl/>
        </w:rPr>
        <w:t>م</w:t>
      </w:r>
      <w:r w:rsidR="00B14F59" w:rsidRPr="00B14F59">
        <w:rPr>
          <w:rtl/>
        </w:rPr>
        <w:t>ن</w:t>
      </w:r>
      <w:r w:rsidR="00B14F59">
        <w:rPr>
          <w:rFonts w:hint="cs"/>
          <w:rtl/>
        </w:rPr>
        <w:t xml:space="preserve"> تلك الوثيقة</w:t>
      </w:r>
      <w:r w:rsidR="00287501">
        <w:rPr>
          <w:rFonts w:hint="cs"/>
          <w:rtl/>
        </w:rPr>
        <w:t>،</w:t>
      </w:r>
      <w:r w:rsidR="00B14F59">
        <w:rPr>
          <w:rFonts w:hint="cs"/>
          <w:rtl/>
        </w:rPr>
        <w:t xml:space="preserve"> </w:t>
      </w:r>
      <w:r w:rsidR="00B14F59" w:rsidRPr="00B14F59">
        <w:rPr>
          <w:rtl/>
        </w:rPr>
        <w:t>وستنظر في المقترحات المُقدمة من الوفود لتمديد الفترة قيد الاستعراض</w:t>
      </w:r>
      <w:r w:rsidR="00B14F59">
        <w:rPr>
          <w:rFonts w:hint="cs"/>
          <w:rtl/>
        </w:rPr>
        <w:t xml:space="preserve"> فيما يتعلق بالوثيقة </w:t>
      </w:r>
      <w:r w:rsidR="007F465E" w:rsidRPr="007F465E">
        <w:t>SCP/31/5</w:t>
      </w:r>
      <w:r w:rsidR="00B14F59">
        <w:rPr>
          <w:rFonts w:hint="cs"/>
          <w:rtl/>
        </w:rPr>
        <w:t>.</w:t>
      </w:r>
    </w:p>
    <w:p w:rsidR="00095B8A" w:rsidRDefault="004970F2" w:rsidP="007F465E">
      <w:pPr>
        <w:pStyle w:val="ONUMA"/>
        <w:numPr>
          <w:ilvl w:val="1"/>
          <w:numId w:val="7"/>
        </w:numPr>
        <w:rPr>
          <w:lang w:bidi="ar-EG"/>
        </w:rPr>
      </w:pPr>
      <w:r w:rsidRPr="004970F2">
        <w:rPr>
          <w:rtl/>
          <w:lang w:bidi="ar-EG"/>
        </w:rPr>
        <w:t>وفيما يتعلق بموضوع "سرية الاتصالات بين مستشاري البراءات وموكِّليهم"</w:t>
      </w:r>
      <w:r>
        <w:rPr>
          <w:rFonts w:hint="cs"/>
          <w:rtl/>
          <w:lang w:bidi="ar-EG"/>
        </w:rPr>
        <w:t>،</w:t>
      </w:r>
      <w:r w:rsidR="00EA1A7A">
        <w:rPr>
          <w:rFonts w:hint="cs"/>
          <w:rtl/>
          <w:lang w:bidi="ar-EG"/>
        </w:rPr>
        <w:t xml:space="preserve"> </w:t>
      </w:r>
      <w:r w:rsidR="00E84251" w:rsidRPr="00E84251">
        <w:rPr>
          <w:rtl/>
          <w:lang w:bidi="ar-EG"/>
        </w:rPr>
        <w:t>ستواصل اللجنة مناقشة أحدث التطورات والتجارب فيما يتعلق بسرية الاتصالات بين مستشاري البراءات وموكِّليهم، وأي اقتراحات/مقترحات مُقدمة من الدول الأعضاء.</w:t>
      </w:r>
    </w:p>
    <w:p w:rsidR="00E84251" w:rsidRDefault="00AA1BF1" w:rsidP="004D24DD">
      <w:pPr>
        <w:pStyle w:val="ONUMA"/>
        <w:numPr>
          <w:ilvl w:val="1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Pr="00AA1BF1">
        <w:rPr>
          <w:rtl/>
          <w:lang w:bidi="ar-EG"/>
        </w:rPr>
        <w:t>أما فيما يتعلق بموضوع "نقل التكنولوجيا"،</w:t>
      </w:r>
      <w:r w:rsidR="00D81F01">
        <w:rPr>
          <w:rFonts w:hint="cs"/>
          <w:rtl/>
          <w:lang w:bidi="ar-EG"/>
        </w:rPr>
        <w:t xml:space="preserve"> فستواصل </w:t>
      </w:r>
      <w:r w:rsidR="00CE0196">
        <w:rPr>
          <w:rFonts w:hint="cs"/>
          <w:rtl/>
          <w:lang w:bidi="ar-EG"/>
        </w:rPr>
        <w:t>ال</w:t>
      </w:r>
      <w:r w:rsidR="00D81F01">
        <w:rPr>
          <w:rFonts w:hint="cs"/>
          <w:rtl/>
          <w:lang w:bidi="ar-EG"/>
        </w:rPr>
        <w:t xml:space="preserve">لجنة </w:t>
      </w:r>
      <w:r w:rsidR="00CE0196">
        <w:rPr>
          <w:rFonts w:hint="cs"/>
          <w:rtl/>
          <w:lang w:bidi="ar-EG"/>
        </w:rPr>
        <w:t>المناقشة بش</w:t>
      </w:r>
      <w:r w:rsidR="00970C88">
        <w:rPr>
          <w:rFonts w:hint="cs"/>
          <w:rtl/>
          <w:lang w:bidi="ar-EG"/>
        </w:rPr>
        <w:t xml:space="preserve">أن </w:t>
      </w:r>
      <w:r w:rsidR="00B33738">
        <w:rPr>
          <w:rFonts w:hint="cs"/>
          <w:rtl/>
          <w:lang w:bidi="ar-EG"/>
        </w:rPr>
        <w:t>أ</w:t>
      </w:r>
      <w:r w:rsidR="004D24DD" w:rsidRPr="004D24DD">
        <w:rPr>
          <w:rtl/>
        </w:rPr>
        <w:t>حكام قانون البراءات والممارسات التي أسهمت في النقل الفعال للتكنولوجيا</w:t>
      </w:r>
      <w:r w:rsidR="004D24DD">
        <w:rPr>
          <w:rFonts w:hint="cs"/>
          <w:rtl/>
        </w:rPr>
        <w:t>.</w:t>
      </w:r>
    </w:p>
    <w:p w:rsidR="00AC23A8" w:rsidRDefault="00AD4D58" w:rsidP="00012CC3">
      <w:pPr>
        <w:pStyle w:val="ONUMA"/>
        <w:rPr>
          <w:lang w:bidi="ar-EG"/>
        </w:rPr>
      </w:pPr>
      <w:r>
        <w:rPr>
          <w:rFonts w:hint="cs"/>
          <w:rtl/>
        </w:rPr>
        <w:t>ووافقت</w:t>
      </w:r>
      <w:r w:rsidR="00012CC3" w:rsidRPr="00012CC3">
        <w:rPr>
          <w:rtl/>
        </w:rPr>
        <w:t xml:space="preserve"> اللجنة أيضاً على تحديث المعلومات المتعلقة ببعض جوانب قوانين البراءات الوطنية/الإقليمية بناءً على الإسهامات الواردة من الدول الأعضاء.</w:t>
      </w:r>
    </w:p>
    <w:p w:rsidR="00204C3E" w:rsidRPr="00783C9B" w:rsidRDefault="00204C3E" w:rsidP="00DE2609">
      <w:pPr>
        <w:pStyle w:val="ONUMA"/>
        <w:ind w:left="5527"/>
        <w:rPr>
          <w:i/>
          <w:iCs/>
          <w:lang w:bidi="ar-EG"/>
        </w:rPr>
      </w:pPr>
      <w:r w:rsidRPr="00783C9B">
        <w:rPr>
          <w:i/>
          <w:iCs/>
          <w:rtl/>
        </w:rPr>
        <w:t>إن الجمعية العامة للويبو مدعوة إلى الإحاطة علماً بمضمون "تقرير عن اللجنة الدائمة المعنية بقانون البراءات</w:t>
      </w:r>
      <w:r w:rsidRPr="00783C9B">
        <w:rPr>
          <w:i/>
          <w:iCs/>
          <w:lang w:bidi="ar-EG"/>
        </w:rPr>
        <w:t>"</w:t>
      </w:r>
      <w:r w:rsidRPr="00783C9B">
        <w:rPr>
          <w:rFonts w:hint="cs"/>
          <w:i/>
          <w:iCs/>
          <w:rtl/>
          <w:lang w:bidi="ar-EG"/>
        </w:rPr>
        <w:t xml:space="preserve"> (الوثيقة </w:t>
      </w:r>
      <w:r w:rsidRPr="00783C9B">
        <w:rPr>
          <w:i/>
          <w:iCs/>
          <w:lang w:bidi="ar-EG"/>
        </w:rPr>
        <w:t>WO/GA/54/5</w:t>
      </w:r>
      <w:r w:rsidRPr="00783C9B">
        <w:rPr>
          <w:rFonts w:hint="cs"/>
          <w:i/>
          <w:iCs/>
          <w:rtl/>
          <w:lang w:bidi="ar-EG"/>
        </w:rPr>
        <w:t>)</w:t>
      </w:r>
    </w:p>
    <w:p w:rsidR="004921AE" w:rsidRPr="009A5ED7" w:rsidRDefault="004921AE" w:rsidP="00595FD0">
      <w:pPr>
        <w:pStyle w:val="Endofdocument-Annex"/>
      </w:pPr>
      <w:r>
        <w:rPr>
          <w:rFonts w:hint="cs"/>
          <w:rtl/>
        </w:rPr>
        <w:t>[نهاية الوثيقة]</w:t>
      </w:r>
    </w:p>
    <w:sectPr w:rsidR="004921AE" w:rsidRPr="009A5ED7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3F" w:rsidRDefault="00DE443F">
      <w:r>
        <w:separator/>
      </w:r>
    </w:p>
  </w:endnote>
  <w:endnote w:type="continuationSeparator" w:id="0">
    <w:p w:rsidR="00DE443F" w:rsidRDefault="00DE443F" w:rsidP="003B38C1">
      <w:r>
        <w:separator/>
      </w:r>
    </w:p>
    <w:p w:rsidR="00DE443F" w:rsidRPr="003B38C1" w:rsidRDefault="00DE44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443F" w:rsidRPr="003B38C1" w:rsidRDefault="00DE44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3F" w:rsidRDefault="00DE443F">
      <w:r>
        <w:separator/>
      </w:r>
    </w:p>
  </w:footnote>
  <w:footnote w:type="continuationSeparator" w:id="0">
    <w:p w:rsidR="00DE443F" w:rsidRDefault="00DE443F" w:rsidP="008B60B2">
      <w:r>
        <w:separator/>
      </w:r>
    </w:p>
    <w:p w:rsidR="00DE443F" w:rsidRPr="00ED77FB" w:rsidRDefault="00DE44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443F" w:rsidRPr="00ED77FB" w:rsidRDefault="00DE44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9A5ED7" w:rsidP="009A5ED7">
    <w:pPr>
      <w:bidi w:val="0"/>
      <w:rPr>
        <w:caps/>
      </w:rPr>
    </w:pPr>
    <w:r w:rsidRPr="009A5ED7">
      <w:rPr>
        <w:caps/>
      </w:rPr>
      <w:t>WO/GA</w:t>
    </w:r>
    <w:r w:rsidR="005E7B89">
      <w:rPr>
        <w:caps/>
      </w:rPr>
      <w:t>/</w:t>
    </w:r>
    <w:r>
      <w:rPr>
        <w:caps/>
      </w:rPr>
      <w:t>54</w:t>
    </w:r>
    <w:r w:rsidR="00210D5F">
      <w:rPr>
        <w:caps/>
      </w:rPr>
      <w:t>/</w:t>
    </w:r>
    <w:r w:rsidR="00D00C77">
      <w:rPr>
        <w:caps/>
      </w:rPr>
      <w:t>5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7A58E3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63"/>
    <w:rsid w:val="000027A4"/>
    <w:rsid w:val="00006CA3"/>
    <w:rsid w:val="00012CC3"/>
    <w:rsid w:val="0003076D"/>
    <w:rsid w:val="00037F02"/>
    <w:rsid w:val="00043CAA"/>
    <w:rsid w:val="00056816"/>
    <w:rsid w:val="0006532D"/>
    <w:rsid w:val="00075432"/>
    <w:rsid w:val="00090A72"/>
    <w:rsid w:val="00095B8A"/>
    <w:rsid w:val="000968ED"/>
    <w:rsid w:val="000A3D97"/>
    <w:rsid w:val="000B1344"/>
    <w:rsid w:val="000F5426"/>
    <w:rsid w:val="000F5E56"/>
    <w:rsid w:val="0010100D"/>
    <w:rsid w:val="00102D5F"/>
    <w:rsid w:val="001362EE"/>
    <w:rsid w:val="001406E1"/>
    <w:rsid w:val="00155D8A"/>
    <w:rsid w:val="00163D1A"/>
    <w:rsid w:val="0016473A"/>
    <w:rsid w:val="001647D5"/>
    <w:rsid w:val="001832A6"/>
    <w:rsid w:val="0019592A"/>
    <w:rsid w:val="001C3ECB"/>
    <w:rsid w:val="001D4107"/>
    <w:rsid w:val="00203D24"/>
    <w:rsid w:val="00204C3E"/>
    <w:rsid w:val="00210D5F"/>
    <w:rsid w:val="0021217E"/>
    <w:rsid w:val="002326AB"/>
    <w:rsid w:val="00243430"/>
    <w:rsid w:val="002467A1"/>
    <w:rsid w:val="00252752"/>
    <w:rsid w:val="002634C4"/>
    <w:rsid w:val="00274DD9"/>
    <w:rsid w:val="00287501"/>
    <w:rsid w:val="002928D3"/>
    <w:rsid w:val="002A23A1"/>
    <w:rsid w:val="002F1FE6"/>
    <w:rsid w:val="002F4E68"/>
    <w:rsid w:val="00312F7F"/>
    <w:rsid w:val="0031305E"/>
    <w:rsid w:val="00320642"/>
    <w:rsid w:val="003372B3"/>
    <w:rsid w:val="00361450"/>
    <w:rsid w:val="00361A68"/>
    <w:rsid w:val="003673CF"/>
    <w:rsid w:val="00367939"/>
    <w:rsid w:val="003743D7"/>
    <w:rsid w:val="003763B9"/>
    <w:rsid w:val="003845C1"/>
    <w:rsid w:val="0038734C"/>
    <w:rsid w:val="003A6F89"/>
    <w:rsid w:val="003B355C"/>
    <w:rsid w:val="003B3810"/>
    <w:rsid w:val="003B38C1"/>
    <w:rsid w:val="003C34E9"/>
    <w:rsid w:val="003D1471"/>
    <w:rsid w:val="003D4ABE"/>
    <w:rsid w:val="00423E3E"/>
    <w:rsid w:val="00427AF4"/>
    <w:rsid w:val="00436770"/>
    <w:rsid w:val="00442652"/>
    <w:rsid w:val="00461A0B"/>
    <w:rsid w:val="004647DA"/>
    <w:rsid w:val="00474062"/>
    <w:rsid w:val="00477D6B"/>
    <w:rsid w:val="004921AE"/>
    <w:rsid w:val="004970F2"/>
    <w:rsid w:val="004B2881"/>
    <w:rsid w:val="004D24DD"/>
    <w:rsid w:val="004D5172"/>
    <w:rsid w:val="004D57BB"/>
    <w:rsid w:val="004E28AF"/>
    <w:rsid w:val="005019FF"/>
    <w:rsid w:val="00514387"/>
    <w:rsid w:val="0052193A"/>
    <w:rsid w:val="00522A24"/>
    <w:rsid w:val="0053057A"/>
    <w:rsid w:val="005411AC"/>
    <w:rsid w:val="00556076"/>
    <w:rsid w:val="00560A29"/>
    <w:rsid w:val="00595FD0"/>
    <w:rsid w:val="005A3796"/>
    <w:rsid w:val="005B04C4"/>
    <w:rsid w:val="005C6649"/>
    <w:rsid w:val="005E7B89"/>
    <w:rsid w:val="005F25AA"/>
    <w:rsid w:val="005F5149"/>
    <w:rsid w:val="00605827"/>
    <w:rsid w:val="00646050"/>
    <w:rsid w:val="006563F7"/>
    <w:rsid w:val="00665C37"/>
    <w:rsid w:val="006713CA"/>
    <w:rsid w:val="00676C5C"/>
    <w:rsid w:val="006A55C6"/>
    <w:rsid w:val="006B1642"/>
    <w:rsid w:val="006B5C12"/>
    <w:rsid w:val="00701109"/>
    <w:rsid w:val="007208BA"/>
    <w:rsid w:val="00720EFD"/>
    <w:rsid w:val="00751B75"/>
    <w:rsid w:val="00770D7D"/>
    <w:rsid w:val="00783C9B"/>
    <w:rsid w:val="007854AF"/>
    <w:rsid w:val="00791241"/>
    <w:rsid w:val="00793A7C"/>
    <w:rsid w:val="007A398A"/>
    <w:rsid w:val="007A58E3"/>
    <w:rsid w:val="007C4902"/>
    <w:rsid w:val="007D1613"/>
    <w:rsid w:val="007E4C0E"/>
    <w:rsid w:val="007F2029"/>
    <w:rsid w:val="007F465E"/>
    <w:rsid w:val="008312F5"/>
    <w:rsid w:val="00832B1A"/>
    <w:rsid w:val="00843057"/>
    <w:rsid w:val="0084373C"/>
    <w:rsid w:val="00844DE8"/>
    <w:rsid w:val="00877183"/>
    <w:rsid w:val="0089115B"/>
    <w:rsid w:val="00895002"/>
    <w:rsid w:val="008A134B"/>
    <w:rsid w:val="008B2CC1"/>
    <w:rsid w:val="008B60B2"/>
    <w:rsid w:val="008B783A"/>
    <w:rsid w:val="008C5AC4"/>
    <w:rsid w:val="008C7D87"/>
    <w:rsid w:val="008D2E33"/>
    <w:rsid w:val="008D4D4D"/>
    <w:rsid w:val="008E7703"/>
    <w:rsid w:val="008E7B4C"/>
    <w:rsid w:val="008F3848"/>
    <w:rsid w:val="008F6354"/>
    <w:rsid w:val="0090731E"/>
    <w:rsid w:val="00916EE2"/>
    <w:rsid w:val="00920550"/>
    <w:rsid w:val="00950B56"/>
    <w:rsid w:val="00966A22"/>
    <w:rsid w:val="0096722F"/>
    <w:rsid w:val="00970C88"/>
    <w:rsid w:val="00980843"/>
    <w:rsid w:val="009A5ED7"/>
    <w:rsid w:val="009B0855"/>
    <w:rsid w:val="009B5C92"/>
    <w:rsid w:val="009E2791"/>
    <w:rsid w:val="009E3F6F"/>
    <w:rsid w:val="009F499F"/>
    <w:rsid w:val="00A254FC"/>
    <w:rsid w:val="00A37342"/>
    <w:rsid w:val="00A42DAF"/>
    <w:rsid w:val="00A45BD8"/>
    <w:rsid w:val="00A869B7"/>
    <w:rsid w:val="00A90F0A"/>
    <w:rsid w:val="00AA1BF1"/>
    <w:rsid w:val="00AB43D7"/>
    <w:rsid w:val="00AC205C"/>
    <w:rsid w:val="00AC23A8"/>
    <w:rsid w:val="00AD19A7"/>
    <w:rsid w:val="00AD4D58"/>
    <w:rsid w:val="00AF0A6B"/>
    <w:rsid w:val="00AF29FD"/>
    <w:rsid w:val="00B05A69"/>
    <w:rsid w:val="00B11603"/>
    <w:rsid w:val="00B12624"/>
    <w:rsid w:val="00B14F59"/>
    <w:rsid w:val="00B33738"/>
    <w:rsid w:val="00B359D3"/>
    <w:rsid w:val="00B42CA9"/>
    <w:rsid w:val="00B51FF7"/>
    <w:rsid w:val="00B67286"/>
    <w:rsid w:val="00B75281"/>
    <w:rsid w:val="00B92F1F"/>
    <w:rsid w:val="00B9734B"/>
    <w:rsid w:val="00BA30E2"/>
    <w:rsid w:val="00BC2BA3"/>
    <w:rsid w:val="00C03229"/>
    <w:rsid w:val="00C03ACE"/>
    <w:rsid w:val="00C11BFE"/>
    <w:rsid w:val="00C5068F"/>
    <w:rsid w:val="00C5160F"/>
    <w:rsid w:val="00C55701"/>
    <w:rsid w:val="00C7459A"/>
    <w:rsid w:val="00C86D74"/>
    <w:rsid w:val="00CB3DBA"/>
    <w:rsid w:val="00CC3E2D"/>
    <w:rsid w:val="00CD04F1"/>
    <w:rsid w:val="00CD2804"/>
    <w:rsid w:val="00CE0196"/>
    <w:rsid w:val="00CE19F8"/>
    <w:rsid w:val="00CE6663"/>
    <w:rsid w:val="00CF681A"/>
    <w:rsid w:val="00D00C77"/>
    <w:rsid w:val="00D07C78"/>
    <w:rsid w:val="00D10DA3"/>
    <w:rsid w:val="00D14FA4"/>
    <w:rsid w:val="00D1754A"/>
    <w:rsid w:val="00D25034"/>
    <w:rsid w:val="00D45252"/>
    <w:rsid w:val="00D60B2C"/>
    <w:rsid w:val="00D67EAE"/>
    <w:rsid w:val="00D71B4D"/>
    <w:rsid w:val="00D81F01"/>
    <w:rsid w:val="00D85CF2"/>
    <w:rsid w:val="00D90B96"/>
    <w:rsid w:val="00D93D55"/>
    <w:rsid w:val="00DD7B7F"/>
    <w:rsid w:val="00DE2609"/>
    <w:rsid w:val="00DE443F"/>
    <w:rsid w:val="00E15015"/>
    <w:rsid w:val="00E319DF"/>
    <w:rsid w:val="00E335FE"/>
    <w:rsid w:val="00E374B5"/>
    <w:rsid w:val="00E66CC5"/>
    <w:rsid w:val="00E70085"/>
    <w:rsid w:val="00E7374D"/>
    <w:rsid w:val="00E84251"/>
    <w:rsid w:val="00E94BFA"/>
    <w:rsid w:val="00EA13D4"/>
    <w:rsid w:val="00EA1A7A"/>
    <w:rsid w:val="00EA7D6E"/>
    <w:rsid w:val="00EB2F76"/>
    <w:rsid w:val="00EC4E49"/>
    <w:rsid w:val="00ED77FB"/>
    <w:rsid w:val="00EE066C"/>
    <w:rsid w:val="00EE45FA"/>
    <w:rsid w:val="00F043DE"/>
    <w:rsid w:val="00F13CB3"/>
    <w:rsid w:val="00F37BE7"/>
    <w:rsid w:val="00F53408"/>
    <w:rsid w:val="00F66152"/>
    <w:rsid w:val="00F67C84"/>
    <w:rsid w:val="00F75540"/>
    <w:rsid w:val="00F9165B"/>
    <w:rsid w:val="00F9668A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336CE9E-3542-42C0-AB4F-8FEFC71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E982-FE08-47CA-892F-36050918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741</Words>
  <Characters>4256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  (Arabic)</vt:lpstr>
    </vt:vector>
  </TitlesOfParts>
  <Company>WIPO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  (Arabic)</dc:title>
  <dc:creator>ENDANI Ahmad</dc:creator>
  <cp:keywords>PUBLIC</cp:keywords>
  <cp:lastModifiedBy>HÄFLIGER Patience</cp:lastModifiedBy>
  <cp:revision>123</cp:revision>
  <cp:lastPrinted>2011-02-15T11:56:00Z</cp:lastPrinted>
  <dcterms:created xsi:type="dcterms:W3CDTF">2021-06-21T12:45:00Z</dcterms:created>
  <dcterms:modified xsi:type="dcterms:W3CDTF">2021-06-22T06:34:00Z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