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5" w:rsidRPr="00BF5FEC" w:rsidRDefault="00BF5FEC" w:rsidP="00BF5FEC">
      <w:pPr>
        <w:pStyle w:val="NormalParaAR"/>
        <w:jc w:val="center"/>
        <w:rPr>
          <w:b/>
          <w:bCs/>
          <w:rtl/>
          <w:lang w:val="fr-CH"/>
        </w:rPr>
      </w:pPr>
      <w:r w:rsidRPr="00BF5FEC">
        <w:rPr>
          <w:rFonts w:hint="cs"/>
          <w:b/>
          <w:bCs/>
          <w:rtl/>
          <w:lang w:val="fr-CH"/>
        </w:rPr>
        <w:t xml:space="preserve">التعديلات </w:t>
      </w:r>
      <w:r w:rsidR="0048323B">
        <w:rPr>
          <w:rFonts w:hint="cs"/>
          <w:b/>
          <w:bCs/>
          <w:rtl/>
          <w:lang w:val="fr-CH"/>
        </w:rPr>
        <w:t xml:space="preserve">المدخلة </w:t>
      </w:r>
      <w:r w:rsidRPr="00BF5FEC">
        <w:rPr>
          <w:rFonts w:hint="cs"/>
          <w:b/>
          <w:bCs/>
          <w:rtl/>
          <w:lang w:val="fr-CH"/>
        </w:rPr>
        <w:t>على البرنامج والميزانية للفترة 2014/2015 عقب المناقشات والقرارات</w:t>
      </w:r>
      <w:r w:rsidRPr="00BF5FEC">
        <w:rPr>
          <w:b/>
          <w:bCs/>
          <w:rtl/>
          <w:lang w:val="fr-CH"/>
        </w:rPr>
        <w:br/>
      </w:r>
      <w:r w:rsidRPr="00BF5FEC">
        <w:rPr>
          <w:rFonts w:hint="cs"/>
          <w:b/>
          <w:bCs/>
          <w:rtl/>
          <w:lang w:val="fr-CH"/>
        </w:rPr>
        <w:t>المتخذة في الدورة العشرين للجنة البرنامج والميزانية</w:t>
      </w:r>
    </w:p>
    <w:p w:rsidR="00ED4EC5" w:rsidRDefault="00ED4EC5" w:rsidP="007F38D1">
      <w:pPr>
        <w:pStyle w:val="NormalParaAR"/>
        <w:rPr>
          <w:rtl/>
        </w:rPr>
      </w:pPr>
    </w:p>
    <w:p w:rsidR="000A7CF7" w:rsidRPr="00BF5FEC" w:rsidRDefault="00BF5FEC" w:rsidP="007F38D1">
      <w:pPr>
        <w:pStyle w:val="NormalParaAR"/>
        <w:rPr>
          <w:u w:val="single"/>
          <w:rtl/>
        </w:rPr>
      </w:pPr>
      <w:r>
        <w:rPr>
          <w:rFonts w:hint="cs"/>
          <w:u w:val="single"/>
          <w:rtl/>
        </w:rPr>
        <w:t>تعديل عام</w:t>
      </w:r>
    </w:p>
    <w:p w:rsidR="000A7CF7" w:rsidRDefault="00BF5FEC" w:rsidP="007A4F16">
      <w:pPr>
        <w:pStyle w:val="NormalParaAR"/>
        <w:rPr>
          <w:rtl/>
        </w:rPr>
      </w:pPr>
      <w:r>
        <w:rPr>
          <w:rFonts w:hint="cs"/>
          <w:rtl/>
        </w:rPr>
        <w:t>"توافق الآراء" عوض "اتفاق"</w:t>
      </w:r>
      <w:r w:rsidR="0016223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7A4F16">
        <w:rPr>
          <w:rFonts w:hint="cs"/>
          <w:rtl/>
        </w:rPr>
        <w:t>حسب السياق</w:t>
      </w:r>
    </w:p>
    <w:p w:rsidR="00BF5FEC" w:rsidRDefault="00BF5FEC" w:rsidP="007F38D1">
      <w:pPr>
        <w:pStyle w:val="NormalParaAR"/>
        <w:rPr>
          <w:rtl/>
        </w:rPr>
      </w:pPr>
    </w:p>
    <w:p w:rsidR="00BF5FEC" w:rsidRPr="00BF5FEC" w:rsidRDefault="00BF5FEC" w:rsidP="0048323B">
      <w:pPr>
        <w:pStyle w:val="NormalParaAR"/>
        <w:keepNext/>
        <w:rPr>
          <w:u w:val="single"/>
          <w:rtl/>
        </w:rPr>
      </w:pPr>
      <w:r>
        <w:rPr>
          <w:rFonts w:hint="cs"/>
          <w:u w:val="single"/>
          <w:rtl/>
        </w:rPr>
        <w:t xml:space="preserve">كلمة المدير العام </w:t>
      </w:r>
      <w:r w:rsidR="0048323B">
        <w:rPr>
          <w:rFonts w:hint="cs"/>
          <w:u w:val="single"/>
          <w:rtl/>
        </w:rPr>
        <w:t>و</w:t>
      </w:r>
      <w:r>
        <w:rPr>
          <w:rFonts w:hint="cs"/>
          <w:u w:val="single"/>
          <w:rtl/>
        </w:rPr>
        <w:t xml:space="preserve">عرض </w:t>
      </w:r>
      <w:r w:rsidR="00C37F74">
        <w:rPr>
          <w:rFonts w:hint="cs"/>
          <w:u w:val="single"/>
          <w:rtl/>
        </w:rPr>
        <w:t xml:space="preserve">النتائج </w:t>
      </w:r>
      <w:r w:rsidR="0048323B">
        <w:rPr>
          <w:rFonts w:hint="cs"/>
          <w:u w:val="single"/>
          <w:rtl/>
        </w:rPr>
        <w:t>و</w:t>
      </w:r>
      <w:r w:rsidR="00C37F74">
        <w:rPr>
          <w:rFonts w:hint="cs"/>
          <w:u w:val="single"/>
          <w:rtl/>
        </w:rPr>
        <w:t>إطار النتائج ووصف البر</w:t>
      </w:r>
      <w:r>
        <w:rPr>
          <w:rFonts w:hint="cs"/>
          <w:u w:val="single"/>
          <w:rtl/>
        </w:rPr>
        <w:t>امج حسب الأهداف الاستراتيجية</w:t>
      </w:r>
    </w:p>
    <w:p w:rsidR="000A7CF7" w:rsidRDefault="00BF5FEC" w:rsidP="00BF5FEC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تحديث البيانات للأخذ بالتغييرات المدخلة على الوثيقة</w:t>
      </w:r>
    </w:p>
    <w:p w:rsidR="00BF5FEC" w:rsidRDefault="00BF5FEC" w:rsidP="00BF5FEC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إعادة صياغة اثنين من النتائج المرتقبة تحت الهدف الاستراتيجي الثالث (الشركات الصغيرة والمتوسطة وفهم معمَّق لجدول أعمال التنمية)</w:t>
      </w:r>
    </w:p>
    <w:p w:rsidR="002F77FC" w:rsidRPr="00C37F74" w:rsidRDefault="00C37F74" w:rsidP="00C37F74">
      <w:pPr>
        <w:pStyle w:val="NormalParaAR"/>
        <w:keepNext/>
        <w:rPr>
          <w:u w:val="single"/>
          <w:rtl/>
        </w:rPr>
      </w:pPr>
      <w:r w:rsidRPr="00C37F74">
        <w:rPr>
          <w:rFonts w:hint="cs"/>
          <w:u w:val="single"/>
          <w:rtl/>
        </w:rPr>
        <w:t>العرض المالي</w:t>
      </w:r>
    </w:p>
    <w:p w:rsidR="00C37F74" w:rsidRDefault="00C37F74" w:rsidP="00C37F74">
      <w:pPr>
        <w:pStyle w:val="NormalParaAR"/>
        <w:numPr>
          <w:ilvl w:val="0"/>
          <w:numId w:val="22"/>
        </w:numPr>
        <w:spacing w:after="0"/>
        <w:ind w:left="1134" w:hanging="567"/>
        <w:rPr>
          <w:rtl/>
        </w:rPr>
      </w:pPr>
      <w:r>
        <w:rPr>
          <w:rFonts w:hint="cs"/>
          <w:rtl/>
        </w:rPr>
        <w:t>إضافة عرض للخطة الرأسمالية الرئيسية</w:t>
      </w:r>
    </w:p>
    <w:p w:rsidR="00C37F74" w:rsidRPr="007F38D1" w:rsidRDefault="00C37F74" w:rsidP="00C37F74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رفع الإنفاق الإنمائي من 21.1% إلى 21.2%</w:t>
      </w:r>
    </w:p>
    <w:p w:rsidR="009F513E" w:rsidRPr="00C37F74" w:rsidRDefault="00C37F74" w:rsidP="00C37F74">
      <w:pPr>
        <w:pStyle w:val="NormalParaAR"/>
        <w:keepNext/>
        <w:rPr>
          <w:u w:val="single"/>
          <w:rtl/>
        </w:rPr>
      </w:pPr>
      <w:r w:rsidRPr="00C37F74">
        <w:rPr>
          <w:rFonts w:hint="cs"/>
          <w:u w:val="single"/>
          <w:rtl/>
        </w:rPr>
        <w:t>البرامج المفصّلة</w:t>
      </w:r>
    </w:p>
    <w:p w:rsidR="00C37F74" w:rsidRDefault="00C37F74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1:</w:t>
      </w:r>
    </w:p>
    <w:p w:rsidR="00C37F74" w:rsidRDefault="001C7A5D" w:rsidP="001C7A5D">
      <w:pPr>
        <w:pStyle w:val="NormalParaAR"/>
        <w:numPr>
          <w:ilvl w:val="0"/>
          <w:numId w:val="22"/>
        </w:numPr>
        <w:spacing w:after="0"/>
        <w:ind w:left="1134" w:hanging="567"/>
      </w:pPr>
      <w:r w:rsidRPr="001C7A5D">
        <w:rPr>
          <w:rFonts w:hint="cs"/>
          <w:rtl/>
        </w:rPr>
        <w:t>إضافة المسؤول</w:t>
      </w:r>
      <w:r w:rsidR="0048323B">
        <w:rPr>
          <w:rFonts w:hint="cs"/>
          <w:rtl/>
        </w:rPr>
        <w:t>ي</w:t>
      </w:r>
      <w:r w:rsidRPr="001C7A5D">
        <w:rPr>
          <w:rFonts w:hint="cs"/>
          <w:rtl/>
        </w:rPr>
        <w:t>ة على صياغة البراءات تحت هذا البرنامج (الفقرتين 1.1 و3.1)</w:t>
      </w:r>
    </w:p>
    <w:p w:rsidR="001C7A5D" w:rsidRDefault="001C7A5D" w:rsidP="001C7A5D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إشارة محدّدة إلى إعداد دراسات تطلبها اللجنة المعنية بالتنمية والملكية الفكرية (الفقرة 3.1)</w:t>
      </w:r>
    </w:p>
    <w:p w:rsidR="001C7A5D" w:rsidRDefault="001C7A5D" w:rsidP="001C7A5D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مراجعة المهمات</w:t>
      </w:r>
    </w:p>
    <w:p w:rsidR="001C7A5D" w:rsidRPr="001C7A5D" w:rsidRDefault="001C7A5D" w:rsidP="001C7A5D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مراجعة المؤشر الخاص بقانون البراءات النموذجي</w:t>
      </w:r>
    </w:p>
    <w:p w:rsidR="001C7A5D" w:rsidRDefault="001C7A5D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2:</w:t>
      </w:r>
    </w:p>
    <w:p w:rsidR="009D66BA" w:rsidRPr="001C7A5D" w:rsidRDefault="001C7A5D" w:rsidP="00DC7FE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 xml:space="preserve">مراجعة إطار النتائج </w:t>
      </w:r>
      <w:r w:rsidR="009D66BA">
        <w:rPr>
          <w:rFonts w:hint="cs"/>
          <w:rtl/>
        </w:rPr>
        <w:t xml:space="preserve">لتوحيد المؤشرات مع </w:t>
      </w:r>
      <w:r w:rsidR="00DC7FE2">
        <w:rPr>
          <w:rFonts w:hint="cs"/>
          <w:rtl/>
        </w:rPr>
        <w:t xml:space="preserve">مؤشرات البرامج الأخرى التي تعبّر عن </w:t>
      </w:r>
      <w:r w:rsidR="009D66BA">
        <w:rPr>
          <w:rFonts w:hint="cs"/>
          <w:rtl/>
        </w:rPr>
        <w:t>عمل المنظمة في مجال وضع القواعد والمعايير. ومراجعة استراتيجيات التنفيذ لبيان هذا التغيير (الفقرتين 2.2 و3.2)</w:t>
      </w:r>
    </w:p>
    <w:p w:rsidR="009D66BA" w:rsidRDefault="009D66BA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3:</w:t>
      </w:r>
    </w:p>
    <w:p w:rsidR="009D66BA" w:rsidRDefault="00B53DD6" w:rsidP="009D66BA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تحديث وصف البرنامج للتركيز أكثر على حق المؤلف والحقوق المجاورة (جميع الفقرات وإطار النتائج)</w:t>
      </w:r>
    </w:p>
    <w:p w:rsidR="009D66BA" w:rsidRDefault="00B53DD6" w:rsidP="0048323B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تحديث وصف البرنامج لذكر اعتماد معاهدة مراكش والأولوية الموجّهة لتنفيذها، بما في ذلك تنفيذ مشروع </w:t>
      </w:r>
      <w:r w:rsidRPr="00B53DD6">
        <w:rPr>
          <w:rtl/>
        </w:rPr>
        <w:t>نظام الوسطاء الموثوقين للموارد المتاحة عالميا</w:t>
      </w:r>
      <w:r>
        <w:rPr>
          <w:rFonts w:hint="cs"/>
          <w:rtl/>
        </w:rPr>
        <w:t xml:space="preserve"> </w:t>
      </w:r>
      <w:r>
        <w:t>(</w:t>
      </w:r>
      <w:proofErr w:type="spellStart"/>
      <w:r>
        <w:t>TIGAR</w:t>
      </w:r>
      <w:proofErr w:type="spellEnd"/>
      <w:r>
        <w:t>)</w:t>
      </w:r>
      <w:r w:rsidRPr="00B53DD6">
        <w:rPr>
          <w:rFonts w:hint="cs"/>
          <w:rtl/>
        </w:rPr>
        <w:t xml:space="preserve"> (الفقرة 13.3 وهدف </w:t>
      </w:r>
      <w:r w:rsidR="0048323B">
        <w:rPr>
          <w:rFonts w:hint="cs"/>
          <w:rtl/>
        </w:rPr>
        <w:t>التصديق</w:t>
      </w:r>
      <w:r w:rsidRPr="00B53DD6">
        <w:rPr>
          <w:rFonts w:hint="cs"/>
          <w:rtl/>
        </w:rPr>
        <w:t xml:space="preserve"> على معاهدة مراكش)</w:t>
      </w:r>
    </w:p>
    <w:p w:rsidR="009D66BA" w:rsidRPr="001C7A5D" w:rsidRDefault="00B53DD6" w:rsidP="00B53DD6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إشارة واضحة إلى توصيات جدول أعمال التنمية التي يُسترشد بها في تنفيذ البرنامج (الفقرة 14.3)</w:t>
      </w:r>
    </w:p>
    <w:p w:rsidR="007342AE" w:rsidRDefault="007342AE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4:</w:t>
      </w:r>
    </w:p>
    <w:p w:rsidR="007342AE" w:rsidRDefault="00DC7FE2" w:rsidP="00DC7FE2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تحديث سياق التخطيط للأخذ بتوصيات لجنة المعارف التقليدية (الفقرة 3.4)</w:t>
      </w:r>
    </w:p>
    <w:p w:rsidR="007342AE" w:rsidRDefault="00DC7FE2" w:rsidP="007342AE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مراجعة المخاطر</w:t>
      </w:r>
    </w:p>
    <w:p w:rsidR="007342AE" w:rsidRPr="001C7A5D" w:rsidRDefault="00DC7FE2" w:rsidP="00DC7FE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مراجعة المؤشر الخاصة بلجنة المعارف التقليدية لتوحيده مع مؤشرات البرامج الأخرى التي تعبّر عن عمل</w:t>
      </w:r>
      <w:r w:rsidR="0048323B">
        <w:rPr>
          <w:rFonts w:hint="cs"/>
          <w:rtl/>
        </w:rPr>
        <w:t xml:space="preserve"> المنظمة</w:t>
      </w:r>
      <w:r>
        <w:rPr>
          <w:rFonts w:hint="cs"/>
          <w:rtl/>
        </w:rPr>
        <w:t xml:space="preserve"> في مجال وضع القواعد والمعايير</w:t>
      </w:r>
    </w:p>
    <w:p w:rsidR="00DC7FE2" w:rsidRDefault="00DC7FE2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lastRenderedPageBreak/>
        <w:t>البرنامج 5:</w:t>
      </w:r>
    </w:p>
    <w:p w:rsidR="00DC7FE2" w:rsidRPr="001C7A5D" w:rsidRDefault="00DC7FE2" w:rsidP="00DC7FE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الموارد (4 وظائف) لاستيعاب البرنامج 30 الجديد للشركات الصغيرة والمتوسطة (خلاف عمليات نظام معاهدة التعاون بشأن البراءات)</w:t>
      </w:r>
    </w:p>
    <w:p w:rsidR="00DC7FE2" w:rsidRDefault="00DC7FE2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8:</w:t>
      </w:r>
    </w:p>
    <w:p w:rsidR="00DC7FE2" w:rsidRDefault="00DC7FE2" w:rsidP="001470E9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تحسين إطار النتائج: (أ) إعادة صياغة النتيجة المرتقبة: "فهم معمّق لجدول أعمال التنمية لدى الدول الأعضاء والمنظمات الحكومية الدولية والمجتمع المدني وأصحاب المصالح الأخرين"</w:t>
      </w:r>
      <w:r w:rsidR="001470E9">
        <w:rPr>
          <w:rFonts w:hint="cs"/>
          <w:rtl/>
        </w:rPr>
        <w:t>. وإسناد إطار النتائج بمؤشرات أداء إضافية (مجموع 5 مؤشرات) تتعلق بالنتيجتين المرتقبتين للبرنامج 8.</w:t>
      </w:r>
    </w:p>
    <w:p w:rsidR="00DC7FE2" w:rsidRPr="001C7A5D" w:rsidRDefault="003A0CC7" w:rsidP="0048323B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 xml:space="preserve">تحديث وصف موارد </w:t>
      </w:r>
      <w:r w:rsidR="0048323B">
        <w:rPr>
          <w:rFonts w:hint="cs"/>
          <w:rtl/>
        </w:rPr>
        <w:t>ا</w:t>
      </w:r>
      <w:r>
        <w:rPr>
          <w:rFonts w:hint="cs"/>
          <w:rtl/>
        </w:rPr>
        <w:t>لبرنامج بغية استيعاب النتيجة الجديدة (الفقرة 6.8).</w:t>
      </w:r>
    </w:p>
    <w:p w:rsidR="003A0CC7" w:rsidRDefault="003A0CC7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9:</w:t>
      </w:r>
    </w:p>
    <w:p w:rsidR="003A0CC7" w:rsidRDefault="00D7080C" w:rsidP="00D7080C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تفاصيل إضافية عن أساليب تنفيذ النموذج اللامركزي الذي يستهدف الشركات الصغيرة والمتوسطة (الفقرة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5.9)</w:t>
      </w:r>
    </w:p>
    <w:p w:rsidR="00D7080C" w:rsidRDefault="00D7080C" w:rsidP="00D7080C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إعادة صياغة النتيجة المرتقبة بشأن الشركات الصغيرة والمتوسطة (ومؤشرات الأداء المقترنة بها) لبيان إسهام البرنامج 9 في هذه النتيجة</w:t>
      </w:r>
    </w:p>
    <w:p w:rsidR="003A0CC7" w:rsidRDefault="00D7080C" w:rsidP="003A0CC7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إضافة مؤشر أداء يتعلق بإنشاء مكاتب نقل التكنولوجيا </w:t>
      </w:r>
      <w:r>
        <w:t>(</w:t>
      </w:r>
      <w:proofErr w:type="spellStart"/>
      <w:r>
        <w:t>TTO</w:t>
      </w:r>
      <w:proofErr w:type="spellEnd"/>
      <w:r>
        <w:t>)</w:t>
      </w:r>
    </w:p>
    <w:p w:rsidR="003A0CC7" w:rsidRPr="001C7A5D" w:rsidRDefault="00D7080C" w:rsidP="003A0CC7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  <w:lang w:val="fr-CH"/>
        </w:rPr>
        <w:t>تحديث وصف موارد البرنامج لاستيعاب النتيجة الجديدة (الفقرة 14.9)</w:t>
      </w:r>
    </w:p>
    <w:p w:rsidR="008917EB" w:rsidRDefault="008917EB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10:</w:t>
      </w:r>
    </w:p>
    <w:p w:rsidR="008917EB" w:rsidRDefault="00E63F21" w:rsidP="00E63F21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تفاصيل إضافية عن أساليب تنفيذ النموذج اللامركزي الذي يستهدف الشركات الصغيرة والمتوسطة (الفقرة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5.10)</w:t>
      </w:r>
    </w:p>
    <w:p w:rsidR="008917EB" w:rsidRPr="001C7A5D" w:rsidRDefault="00E63F21" w:rsidP="008917EB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bookmarkStart w:id="2" w:name="_GoBack"/>
      <w:bookmarkEnd w:id="2"/>
      <w:r>
        <w:rPr>
          <w:rFonts w:hint="cs"/>
          <w:rtl/>
        </w:rPr>
        <w:t>إعادة صياغة النتيجة المرتقبة بشأن الشركات الصغيرة والمتوسطة (ومؤشرات الأداء المقترنة بها) لبيان إسهام البرنامج 10 في هذه النتيجة</w:t>
      </w:r>
    </w:p>
    <w:p w:rsidR="00E63F21" w:rsidRDefault="00E63F21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11:</w:t>
      </w:r>
    </w:p>
    <w:p w:rsidR="00E63F21" w:rsidRDefault="00E63F21" w:rsidP="00E63F21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العودة إلى </w:t>
      </w:r>
      <w:r w:rsidR="004F77BD">
        <w:rPr>
          <w:rFonts w:hint="cs"/>
          <w:rtl/>
        </w:rPr>
        <w:t>ال</w:t>
      </w:r>
      <w:r>
        <w:rPr>
          <w:rFonts w:hint="cs"/>
          <w:rtl/>
        </w:rPr>
        <w:t xml:space="preserve">تسمية </w:t>
      </w:r>
      <w:r w:rsidR="004F77BD">
        <w:rPr>
          <w:rFonts w:hint="cs"/>
          <w:rtl/>
        </w:rPr>
        <w:t xml:space="preserve">السابقة: </w:t>
      </w:r>
      <w:r>
        <w:rPr>
          <w:rFonts w:hint="cs"/>
          <w:rtl/>
        </w:rPr>
        <w:t>"الأكاديمية"</w:t>
      </w:r>
    </w:p>
    <w:p w:rsidR="00E63F21" w:rsidRPr="001C7A5D" w:rsidRDefault="004F77BD" w:rsidP="00E63F21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إضافة مؤشر أداء جديد يتعلق بإنشاء أكاديميات وطنية ناشئة</w:t>
      </w:r>
    </w:p>
    <w:p w:rsidR="004F77BD" w:rsidRDefault="004F77BD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30:</w:t>
      </w:r>
    </w:p>
    <w:p w:rsidR="004F77BD" w:rsidRPr="001C7A5D" w:rsidRDefault="004F77BD" w:rsidP="004F77BD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وضع برنامج يركز على الشركات الصغيرة والمتوسطة ويضمن اتساق المناهج والاستراتيجيات فيما بين نقاط الاتصال في البرنامجين 9 و10.</w:t>
      </w:r>
    </w:p>
    <w:p w:rsidR="004F77BD" w:rsidRDefault="004F77BD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12:</w:t>
      </w:r>
    </w:p>
    <w:p w:rsidR="004F77BD" w:rsidRDefault="004F77BD" w:rsidP="00CF2E5C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إشارة واضحة إلى توصيات جدول أعمال التنمية التي يُسترشد بها في تنفيذ البرنامج (الفقرة </w:t>
      </w:r>
      <w:r w:rsidR="00CF2E5C">
        <w:rPr>
          <w:rFonts w:hint="cs"/>
          <w:rtl/>
        </w:rPr>
        <w:t>2.12</w:t>
      </w:r>
      <w:r>
        <w:rPr>
          <w:rFonts w:hint="cs"/>
          <w:rtl/>
        </w:rPr>
        <w:t>)</w:t>
      </w:r>
    </w:p>
    <w:p w:rsidR="004F77BD" w:rsidRDefault="00CF2E5C" w:rsidP="00CF2E5C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بيان يوضّح إضافة لغات أخرى، تشمل اللغة الإسبانية، في النظام التكنولوجي المستخدم في نشر تصنيف</w:t>
      </w:r>
      <w:r>
        <w:rPr>
          <w:rFonts w:hint="eastAsia"/>
          <w:rtl/>
        </w:rPr>
        <w:t> </w:t>
      </w:r>
      <w:r>
        <w:rPr>
          <w:rFonts w:hint="cs"/>
          <w:rtl/>
        </w:rPr>
        <w:t>نيس (الفقرة 5.12).</w:t>
      </w:r>
    </w:p>
    <w:p w:rsidR="004F77BD" w:rsidRPr="001C7A5D" w:rsidRDefault="00732827" w:rsidP="004F77BD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تحديث المخاطر.</w:t>
      </w:r>
    </w:p>
    <w:p w:rsidR="00FF1F0E" w:rsidRDefault="00FF1F0E" w:rsidP="00FF1F0E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14:</w:t>
      </w:r>
    </w:p>
    <w:p w:rsidR="00FF1F0E" w:rsidRPr="001C7A5D" w:rsidRDefault="008823EF" w:rsidP="008823EF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الموارد (000 100 خلاف الموظفين) لاستيعاب البرنامج30.</w:t>
      </w:r>
    </w:p>
    <w:p w:rsidR="008823EF" w:rsidRDefault="008823EF" w:rsidP="008823E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lastRenderedPageBreak/>
        <w:t>البرنامج 15:</w:t>
      </w:r>
    </w:p>
    <w:p w:rsidR="008823EF" w:rsidRDefault="008823EF" w:rsidP="008823EF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تحديث وصف البرنامج لتقديم تفاصيل توضيحية أخرى عن نظام </w:t>
      </w:r>
      <w:r>
        <w:t>CASE</w:t>
      </w:r>
      <w:r>
        <w:rPr>
          <w:rFonts w:hint="cs"/>
          <w:rtl/>
          <w:lang w:val="fr-CH"/>
        </w:rPr>
        <w:t xml:space="preserve"> (الفقرة 8.15)</w:t>
      </w:r>
    </w:p>
    <w:p w:rsidR="008823EF" w:rsidRPr="001C7A5D" w:rsidRDefault="008823EF" w:rsidP="008823EF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الموارد (000 250 خلاف الموظفين) لاستيعاب البرنامج30.</w:t>
      </w:r>
    </w:p>
    <w:p w:rsidR="008823EF" w:rsidRDefault="008823EF" w:rsidP="008823EF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17:</w:t>
      </w:r>
    </w:p>
    <w:p w:rsidR="008823EF" w:rsidRDefault="008823EF" w:rsidP="008823EF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تسوية مؤشر أداء واحد للتركيز على نظام الملكية الفكرية المتوازن</w:t>
      </w:r>
    </w:p>
    <w:p w:rsidR="008823EF" w:rsidRPr="001C7A5D" w:rsidRDefault="008823EF" w:rsidP="008823EF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إضافة "شفاف" في النتيجة المرتقبة ه2.6</w:t>
      </w:r>
    </w:p>
    <w:p w:rsidR="00126BE8" w:rsidRDefault="00126BE8" w:rsidP="00126BE8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18:</w:t>
      </w:r>
    </w:p>
    <w:p w:rsidR="00126BE8" w:rsidRDefault="00126BE8" w:rsidP="00126BE8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مراجعة صياغة النتيجة المرتقبة ه2.7 لتوسيع نطاق النتيجة كي تشمل الأدوات القائمة على الملكية الفكرية فضلا عن الأنظمة أو المنصات الإلكترونية.</w:t>
      </w:r>
    </w:p>
    <w:p w:rsidR="00126BE8" w:rsidRDefault="00126BE8" w:rsidP="00126BE8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>تسوية مؤشرين للأداء لصياغة النتيجة النهائية (الوقع) بأسلوب صريح.</w:t>
      </w:r>
    </w:p>
    <w:p w:rsidR="00126BE8" w:rsidRPr="001C7A5D" w:rsidRDefault="00126BE8" w:rsidP="00126BE8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وصف موارد البرنامج لاستيعاب النتائج الأربع كلها التي يساهم فيها البرنامج (الفقرة 8.18).</w:t>
      </w:r>
    </w:p>
    <w:p w:rsidR="00D24EF4" w:rsidRDefault="00D24EF4" w:rsidP="00D24EF4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20:</w:t>
      </w:r>
    </w:p>
    <w:p w:rsidR="006B1722" w:rsidRPr="001C7A5D" w:rsidRDefault="00D24EF4" w:rsidP="006B172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 xml:space="preserve">حذف مؤشر يتعلق بمكتب الويبو في البرازيل (كان يشير إلى عدد مستخدمي نظام </w:t>
      </w:r>
      <w:proofErr w:type="spellStart"/>
      <w:r>
        <w:rPr>
          <w:lang w:val="fr-CH"/>
        </w:rPr>
        <w:t>IPAS</w:t>
      </w:r>
      <w:proofErr w:type="spellEnd"/>
      <w:r>
        <w:rPr>
          <w:rFonts w:hint="cs"/>
          <w:rtl/>
          <w:lang w:val="fr-CH"/>
        </w:rPr>
        <w:t xml:space="preserve"> في معهد البرازيل الوطني للملكية الفكرية)</w:t>
      </w:r>
    </w:p>
    <w:p w:rsidR="006B1722" w:rsidRDefault="006B1722" w:rsidP="006B1722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21:</w:t>
      </w:r>
    </w:p>
    <w:p w:rsidR="006B1722" w:rsidRPr="001C7A5D" w:rsidRDefault="006B1722" w:rsidP="006B172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جدول جديد للموارد بحسب كل نتيجة (تصحيح خطأ في الإصدار السابق)</w:t>
      </w:r>
    </w:p>
    <w:p w:rsidR="006B1722" w:rsidRDefault="006B1722" w:rsidP="006B1722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22:</w:t>
      </w:r>
    </w:p>
    <w:p w:rsidR="006B1722" w:rsidRPr="001C7A5D" w:rsidRDefault="006B1722" w:rsidP="006B1722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الموارد (000 100 خلاف الموظفين) لاستيعاب البرنامج30.</w:t>
      </w:r>
    </w:p>
    <w:p w:rsidR="005B60B0" w:rsidRDefault="005B60B0" w:rsidP="005B60B0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23:</w:t>
      </w:r>
    </w:p>
    <w:p w:rsidR="005B60B0" w:rsidRPr="001C7A5D" w:rsidRDefault="005B60B0" w:rsidP="005B60B0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إضافة مؤشرات أداء لقياس نسبة التغيّب والتنوع الجغرافي والتوازن فيما بين الجنسين.</w:t>
      </w:r>
    </w:p>
    <w:p w:rsidR="005B60B0" w:rsidRDefault="005B60B0" w:rsidP="005B60B0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البرنامج 27:</w:t>
      </w:r>
    </w:p>
    <w:p w:rsidR="005B60B0" w:rsidRDefault="005B60B0" w:rsidP="00F9028D">
      <w:pPr>
        <w:pStyle w:val="NormalParaAR"/>
        <w:numPr>
          <w:ilvl w:val="0"/>
          <w:numId w:val="22"/>
        </w:numPr>
        <w:spacing w:after="0"/>
        <w:ind w:left="1134" w:hanging="567"/>
      </w:pPr>
      <w:r>
        <w:rPr>
          <w:rFonts w:hint="cs"/>
          <w:rtl/>
        </w:rPr>
        <w:t xml:space="preserve">إضافة مؤشر أداء لقياس إنتاج وثائق </w:t>
      </w:r>
      <w:r w:rsidR="00F9028D">
        <w:rPr>
          <w:rFonts w:hint="cs"/>
          <w:rtl/>
        </w:rPr>
        <w:t xml:space="preserve">اللجان </w:t>
      </w:r>
      <w:r>
        <w:rPr>
          <w:rFonts w:hint="cs"/>
          <w:rtl/>
        </w:rPr>
        <w:t>في موع</w:t>
      </w:r>
      <w:r w:rsidR="00F9028D">
        <w:rPr>
          <w:rFonts w:hint="cs"/>
          <w:rtl/>
        </w:rPr>
        <w:t xml:space="preserve">دها، فيما عدا وثائق </w:t>
      </w:r>
      <w:r w:rsidR="0055662D">
        <w:rPr>
          <w:rFonts w:hint="cs"/>
          <w:rtl/>
        </w:rPr>
        <w:t>الجمعيات</w:t>
      </w:r>
    </w:p>
    <w:p w:rsidR="005B60B0" w:rsidRPr="001C7A5D" w:rsidRDefault="00F9028D" w:rsidP="00F9028D">
      <w:pPr>
        <w:pStyle w:val="NormalParaAR"/>
        <w:numPr>
          <w:ilvl w:val="0"/>
          <w:numId w:val="22"/>
        </w:numPr>
        <w:ind w:left="1133" w:hanging="567"/>
        <w:rPr>
          <w:rtl/>
        </w:rPr>
      </w:pPr>
      <w:r>
        <w:rPr>
          <w:rFonts w:hint="cs"/>
          <w:rtl/>
        </w:rPr>
        <w:t>تسوية وصف موارد البرنامج (الفقرة 8.27)</w:t>
      </w:r>
    </w:p>
    <w:p w:rsidR="008917EB" w:rsidRDefault="00F9028D" w:rsidP="007F38D1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>المرفقات</w:t>
      </w:r>
    </w:p>
    <w:p w:rsidR="008917EB" w:rsidRPr="001C7A5D" w:rsidRDefault="00F9028D" w:rsidP="00326594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 xml:space="preserve">تنقيح بعض جداول </w:t>
      </w:r>
      <w:r w:rsidR="00ED2A5B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>مرفقات</w:t>
      </w:r>
      <w:r w:rsidR="00326594">
        <w:rPr>
          <w:lang w:val="fr-CH"/>
        </w:rPr>
        <w:t xml:space="preserve"> </w:t>
      </w:r>
      <w:r w:rsidR="00326594">
        <w:rPr>
          <w:rFonts w:hint="cs"/>
          <w:rtl/>
          <w:lang w:val="fr-CH"/>
        </w:rPr>
        <w:t>وتحديث</w:t>
      </w:r>
      <w:r w:rsidR="00425949">
        <w:rPr>
          <w:rFonts w:hint="cs"/>
          <w:rtl/>
          <w:lang w:val="fr-CH"/>
        </w:rPr>
        <w:t>ها</w:t>
      </w:r>
    </w:p>
    <w:p w:rsidR="001667B6" w:rsidRPr="007F38D1" w:rsidRDefault="001667B6" w:rsidP="007F38D1">
      <w:pPr>
        <w:pStyle w:val="NormalParaAR"/>
      </w:pPr>
    </w:p>
    <w:sectPr w:rsidR="001667B6" w:rsidRPr="007F38D1" w:rsidSect="00EB7752">
      <w:headerReference w:type="default" r:id="rId8"/>
      <w:footerReference w:type="default" r:id="rId9"/>
      <w:foot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0E" w:rsidRDefault="00FF1F0E">
      <w:r>
        <w:separator/>
      </w:r>
    </w:p>
  </w:endnote>
  <w:endnote w:type="continuationSeparator" w:id="0">
    <w:p w:rsidR="00FF1F0E" w:rsidRDefault="00FF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43" w:rsidRDefault="00957043" w:rsidP="0095704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91B0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ED" w:rsidRDefault="00DB53ED" w:rsidP="00DB53E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991B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0E" w:rsidRDefault="00FF1F0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F1F0E" w:rsidRDefault="00FF1F0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0E" w:rsidRDefault="00FF1F0E" w:rsidP="00796CF7"/>
  <w:p w:rsidR="00FF1F0E" w:rsidRDefault="00FF1F0E" w:rsidP="00D61541"/>
  <w:p w:rsidR="00FF1F0E" w:rsidRDefault="00FF1F0E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D387A"/>
    <w:multiLevelType w:val="hybridMultilevel"/>
    <w:tmpl w:val="D1A64BA0"/>
    <w:lvl w:ilvl="0" w:tplc="FE6C0D5A">
      <w:start w:val="17"/>
      <w:numFmt w:val="bullet"/>
      <w:lvlText w:val="•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1E39FF"/>
    <w:multiLevelType w:val="hybridMultilevel"/>
    <w:tmpl w:val="756C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20"/>
  </w:num>
  <w:num w:numId="7">
    <w:abstractNumId w:val="15"/>
  </w:num>
  <w:num w:numId="8">
    <w:abstractNumId w:val="18"/>
  </w:num>
  <w:num w:numId="9">
    <w:abstractNumId w:val="17"/>
  </w:num>
  <w:num w:numId="10">
    <w:abstractNumId w:val="21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EC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4F0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6BE8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70E9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233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A5D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86A40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594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CC7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5949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23B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7BD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62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0B0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722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827"/>
    <w:rsid w:val="00733416"/>
    <w:rsid w:val="0073377E"/>
    <w:rsid w:val="00733E05"/>
    <w:rsid w:val="007342AE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4F16"/>
    <w:rsid w:val="007A5F8A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3F9F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3EF"/>
    <w:rsid w:val="00882931"/>
    <w:rsid w:val="00884939"/>
    <w:rsid w:val="008853E0"/>
    <w:rsid w:val="00885BE2"/>
    <w:rsid w:val="008863C8"/>
    <w:rsid w:val="00886D40"/>
    <w:rsid w:val="00887A0E"/>
    <w:rsid w:val="008907F3"/>
    <w:rsid w:val="008917EB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043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1B03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6B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3DD6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5FEC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F74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2E5C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4EF4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80C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3ED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C7FE2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7F1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3F21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A5B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EE1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28D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725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1F0E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Blank_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Blank_AR.dot</Template>
  <TotalTime>157</TotalTime>
  <Pages>3</Pages>
  <Words>651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AHMIDOUCH Noureddine</dc:creator>
  <cp:lastModifiedBy>AHMIDOUCH Noureddine</cp:lastModifiedBy>
  <cp:revision>33</cp:revision>
  <cp:lastPrinted>2013-09-06T12:47:00Z</cp:lastPrinted>
  <dcterms:created xsi:type="dcterms:W3CDTF">2013-09-04T11:53:00Z</dcterms:created>
  <dcterms:modified xsi:type="dcterms:W3CDTF">2013-09-06T12:48:00Z</dcterms:modified>
</cp:coreProperties>
</file>