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B96688">
            <w:pPr>
              <w:pStyle w:val="DocumentCodeAR"/>
              <w:bidi/>
              <w:rPr>
                <w:rtl/>
                <w:lang w:bidi="ar-EG"/>
              </w:rPr>
            </w:pPr>
            <w:r>
              <w:t>WO/</w:t>
            </w:r>
            <w:proofErr w:type="spellStart"/>
            <w:r w:rsidR="00983389">
              <w:t>PBC</w:t>
            </w:r>
            <w:proofErr w:type="spellEnd"/>
            <w:r w:rsidR="00100F97">
              <w:t>/</w:t>
            </w:r>
            <w:r>
              <w:t>2</w:t>
            </w:r>
            <w:r w:rsidR="00AA2001">
              <w:t>2</w:t>
            </w:r>
            <w:r w:rsidR="00182742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8274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18274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9668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96688">
              <w:rPr>
                <w:rFonts w:hint="cs"/>
                <w:rtl/>
              </w:rPr>
              <w:t>1</w:t>
            </w:r>
            <w:r w:rsidRPr="00B6101C">
              <w:rPr>
                <w:rFonts w:hint="cs"/>
                <w:rtl/>
              </w:rPr>
              <w:t xml:space="preserve"> </w:t>
            </w:r>
            <w:r w:rsidR="00B96688">
              <w:rPr>
                <w:rFonts w:hint="cs"/>
                <w:rtl/>
              </w:rPr>
              <w:t xml:space="preserve">سبتمبر </w:t>
            </w:r>
            <w:r w:rsidR="00190B6D">
              <w:rPr>
                <w:rFonts w:hint="cs"/>
                <w:rtl/>
              </w:rPr>
              <w:t>201</w:t>
            </w:r>
            <w:r w:rsidR="00AA2001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983389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لجنة </w:t>
      </w:r>
      <w:r w:rsidR="00983389">
        <w:rPr>
          <w:rFonts w:hint="cs"/>
          <w:rtl/>
          <w:lang w:val="fr-CH"/>
        </w:rPr>
        <w:t>البرنامج والميزانية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AA2001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AA2001">
        <w:rPr>
          <w:rFonts w:ascii="Cambria Math" w:hAnsi="Cambria Math" w:hint="cs"/>
          <w:rtl/>
        </w:rPr>
        <w:t>الثانية</w:t>
      </w:r>
      <w:r w:rsidR="00274410">
        <w:rPr>
          <w:rFonts w:ascii="Cambria Math" w:hAnsi="Cambria Math" w:hint="cs"/>
          <w:rtl/>
        </w:rPr>
        <w:t xml:space="preserve"> والعشرون</w:t>
      </w:r>
    </w:p>
    <w:p w:rsidR="00D61541" w:rsidRPr="00D61541" w:rsidRDefault="00D61541" w:rsidP="00AA200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A2001">
        <w:rPr>
          <w:rFonts w:hint="cs"/>
          <w:rtl/>
        </w:rPr>
        <w:t>1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AA2001">
        <w:rPr>
          <w:rFonts w:hint="cs"/>
          <w:rtl/>
        </w:rPr>
        <w:t>5</w:t>
      </w:r>
      <w:r w:rsidR="00783D11">
        <w:rPr>
          <w:rFonts w:hint="cs"/>
          <w:rtl/>
        </w:rPr>
        <w:t xml:space="preserve"> </w:t>
      </w:r>
      <w:r w:rsidR="00274410">
        <w:rPr>
          <w:rFonts w:hint="cs"/>
          <w:rtl/>
        </w:rPr>
        <w:t>سبتمبر</w:t>
      </w:r>
      <w:r w:rsidR="00AE2328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AA2001">
        <w:rPr>
          <w:rFonts w:hint="cs"/>
          <w:rtl/>
        </w:rPr>
        <w:t>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182742" w:rsidP="00FB7EC9">
      <w:pPr>
        <w:pStyle w:val="DocumentTitleAR"/>
        <w:bidi/>
        <w:rPr>
          <w:rtl/>
        </w:rPr>
      </w:pPr>
      <w:r>
        <w:rPr>
          <w:rFonts w:hint="cs"/>
          <w:rtl/>
        </w:rPr>
        <w:t>جدول الأعمال</w:t>
      </w:r>
    </w:p>
    <w:p w:rsidR="00D61541" w:rsidRPr="00D61541" w:rsidRDefault="00B96688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لجنة البرنامج والميزانية</w:t>
      </w:r>
    </w:p>
    <w:p w:rsidR="005D5D3C" w:rsidRPr="005D5D3C" w:rsidRDefault="005D5D3C" w:rsidP="005D5D3C">
      <w:pPr>
        <w:pStyle w:val="NormalParaAR"/>
        <w:numPr>
          <w:ilvl w:val="0"/>
          <w:numId w:val="22"/>
        </w:numPr>
      </w:pPr>
      <w:r w:rsidRPr="005D5D3C">
        <w:rPr>
          <w:rtl/>
        </w:rPr>
        <w:t>افتتاح الدورة</w:t>
      </w:r>
    </w:p>
    <w:p w:rsidR="005D5D3C" w:rsidRPr="005D5D3C" w:rsidRDefault="005D5D3C" w:rsidP="005D5D3C">
      <w:pPr>
        <w:pStyle w:val="NormalParaAR"/>
        <w:numPr>
          <w:ilvl w:val="0"/>
          <w:numId w:val="22"/>
        </w:numPr>
      </w:pPr>
      <w:r w:rsidRPr="005D5D3C">
        <w:rPr>
          <w:rtl/>
        </w:rPr>
        <w:t>انتخاب رئيس لجنة البرنامج والميزانية ونائبي الرئيس</w:t>
      </w:r>
    </w:p>
    <w:p w:rsidR="005D5D3C" w:rsidRPr="005D5D3C" w:rsidRDefault="005D5D3C" w:rsidP="00C015E1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اعتماد جدول الأعمال</w:t>
      </w:r>
    </w:p>
    <w:p w:rsidR="005D5D3C" w:rsidRPr="005D5D3C" w:rsidRDefault="005D5D3C" w:rsidP="00BB01B5">
      <w:pPr>
        <w:pStyle w:val="NormalParaAR"/>
        <w:ind w:left="1700"/>
      </w:pPr>
      <w:r w:rsidRPr="005D5D3C">
        <w:rPr>
          <w:rtl/>
        </w:rPr>
        <w:t>انظر هذه الوثيقة.</w:t>
      </w:r>
    </w:p>
    <w:p w:rsidR="005D5D3C" w:rsidRPr="005D5D3C" w:rsidRDefault="005D5D3C" w:rsidP="00656478">
      <w:pPr>
        <w:pStyle w:val="NormalParaAR"/>
        <w:keepNext/>
        <w:spacing w:before="240"/>
        <w:rPr>
          <w:u w:val="single"/>
        </w:rPr>
      </w:pPr>
      <w:r w:rsidRPr="005D5D3C">
        <w:rPr>
          <w:u w:val="single"/>
          <w:rtl/>
        </w:rPr>
        <w:t>التدقيق والرقابة الإدارية</w:t>
      </w:r>
    </w:p>
    <w:p w:rsidR="005D5D3C" w:rsidRPr="005D5D3C" w:rsidRDefault="005D5D3C" w:rsidP="00C015E1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تقرير لجنة الويبو الاستشارية المستقلة للرقابة</w:t>
      </w:r>
    </w:p>
    <w:p w:rsidR="005D5D3C" w:rsidRPr="005D5D3C" w:rsidRDefault="005D5D3C" w:rsidP="00BB01B5">
      <w:pPr>
        <w:pStyle w:val="NormalParaAR"/>
        <w:ind w:left="1700"/>
      </w:pPr>
      <w:r w:rsidRPr="005D5D3C">
        <w:tab/>
      </w:r>
      <w:r w:rsidRPr="005D5D3C">
        <w:rPr>
          <w:rtl/>
        </w:rPr>
        <w:t xml:space="preserve">انظر الوثيقة </w:t>
      </w:r>
      <w:r w:rsidRPr="005D5D3C">
        <w:t>WO/PBC/22/2</w:t>
      </w:r>
      <w:r w:rsidRPr="005D5D3C">
        <w:rPr>
          <w:rtl/>
        </w:rPr>
        <w:t>.</w:t>
      </w:r>
    </w:p>
    <w:p w:rsidR="005D5D3C" w:rsidRPr="005D5D3C" w:rsidRDefault="005D5D3C" w:rsidP="00C015E1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تقرير مراجع الحسابات الخارجي</w:t>
      </w:r>
    </w:p>
    <w:p w:rsidR="005D5D3C" w:rsidRPr="005D5D3C" w:rsidRDefault="005D5D3C" w:rsidP="00BB01B5">
      <w:pPr>
        <w:pStyle w:val="NormalParaAR"/>
        <w:ind w:left="1700"/>
      </w:pPr>
      <w:r w:rsidRPr="005D5D3C">
        <w:rPr>
          <w:rtl/>
        </w:rPr>
        <w:tab/>
        <w:t xml:space="preserve">انظر الوثيقة </w:t>
      </w:r>
      <w:r w:rsidRPr="005D5D3C">
        <w:t>WO/PBC/22/3</w:t>
      </w:r>
      <w:r w:rsidRPr="005D5D3C">
        <w:rPr>
          <w:rtl/>
        </w:rPr>
        <w:t>.</w:t>
      </w:r>
    </w:p>
    <w:p w:rsidR="005D5D3C" w:rsidRPr="005D5D3C" w:rsidRDefault="005D5D3C" w:rsidP="00C015E1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التقرير السنوي الموجز لمدير شعبة التدقيق الداخلي والرقابة الإدارية</w:t>
      </w:r>
    </w:p>
    <w:p w:rsidR="005D5D3C" w:rsidRPr="005D5D3C" w:rsidRDefault="005D5D3C" w:rsidP="00BB01B5">
      <w:pPr>
        <w:pStyle w:val="NormalParaAR"/>
        <w:ind w:left="1700"/>
      </w:pPr>
      <w:r w:rsidRPr="005D5D3C">
        <w:rPr>
          <w:rtl/>
        </w:rPr>
        <w:t xml:space="preserve">انظر الوثيقة </w:t>
      </w:r>
      <w:r w:rsidRPr="005D5D3C">
        <w:t>WO/PBC/22/4</w:t>
      </w:r>
      <w:r w:rsidRPr="005D5D3C">
        <w:rPr>
          <w:rtl/>
        </w:rPr>
        <w:t>.</w:t>
      </w:r>
    </w:p>
    <w:p w:rsidR="005D5D3C" w:rsidRPr="005D5D3C" w:rsidRDefault="005E78B9" w:rsidP="005E78B9">
      <w:pPr>
        <w:pStyle w:val="NormalParaAR"/>
        <w:numPr>
          <w:ilvl w:val="0"/>
          <w:numId w:val="22"/>
        </w:numPr>
        <w:spacing w:after="0"/>
      </w:pPr>
      <w:r>
        <w:rPr>
          <w:rFonts w:hint="cs"/>
          <w:rtl/>
        </w:rPr>
        <w:t>اقتراح بشأن مراجعة</w:t>
      </w:r>
      <w:r w:rsidR="005D5D3C" w:rsidRPr="005D5D3C">
        <w:rPr>
          <w:rtl/>
        </w:rPr>
        <w:t xml:space="preserve"> ميثاق الرقابة الداخلية</w:t>
      </w:r>
    </w:p>
    <w:p w:rsidR="005D5D3C" w:rsidRPr="005D5D3C" w:rsidRDefault="005D5D3C" w:rsidP="00BB01B5">
      <w:pPr>
        <w:pStyle w:val="NormalParaAR"/>
        <w:ind w:left="1700"/>
      </w:pPr>
      <w:r w:rsidRPr="005D5D3C">
        <w:rPr>
          <w:rtl/>
        </w:rPr>
        <w:t xml:space="preserve">انظر الوثيقة </w:t>
      </w:r>
      <w:r w:rsidRPr="005D5D3C">
        <w:t>WO/PBC/22/22</w:t>
      </w:r>
      <w:r w:rsidRPr="005D5D3C">
        <w:rPr>
          <w:rtl/>
        </w:rPr>
        <w:t>.</w:t>
      </w:r>
    </w:p>
    <w:p w:rsidR="005D5D3C" w:rsidRPr="001E700D" w:rsidRDefault="005D5D3C" w:rsidP="001E700D">
      <w:pPr>
        <w:pStyle w:val="NormalParaAR"/>
        <w:numPr>
          <w:ilvl w:val="0"/>
          <w:numId w:val="22"/>
        </w:numPr>
        <w:spacing w:after="0"/>
      </w:pPr>
      <w:r w:rsidRPr="001E700D">
        <w:rPr>
          <w:rtl/>
        </w:rPr>
        <w:lastRenderedPageBreak/>
        <w:t>تقرير مرحلي عن تنفيذ توصيات وحدة التفتيش المشتركة</w:t>
      </w:r>
    </w:p>
    <w:p w:rsidR="005D5D3C" w:rsidRPr="005D5D3C" w:rsidRDefault="005D5D3C" w:rsidP="00BB01B5">
      <w:pPr>
        <w:pStyle w:val="NormalParaAR"/>
        <w:ind w:left="1700"/>
      </w:pPr>
      <w:r w:rsidRPr="005D5D3C">
        <w:rPr>
          <w:rtl/>
        </w:rPr>
        <w:t xml:space="preserve">انظر الوثيقة </w:t>
      </w:r>
      <w:r w:rsidRPr="005D5D3C">
        <w:t>WO/PBC/22/23</w:t>
      </w:r>
      <w:r w:rsidRPr="005D5D3C">
        <w:rPr>
          <w:rtl/>
        </w:rPr>
        <w:t>.</w:t>
      </w:r>
    </w:p>
    <w:p w:rsidR="005D5D3C" w:rsidRPr="005D5D3C" w:rsidRDefault="005D5D3C" w:rsidP="0094584A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تقرير وحدة التفتيش المشتركة بشأن استعراض الإدارة والتنظيم في المنظمة العالمية للملكية الفكرية (الويبو)</w:t>
      </w:r>
      <w:r w:rsidR="001E700D">
        <w:rPr>
          <w:rFonts w:hint="cs"/>
          <w:rtl/>
        </w:rPr>
        <w:t> </w:t>
      </w:r>
      <w:r w:rsidRPr="005D5D3C">
        <w:rPr>
          <w:rtl/>
        </w:rPr>
        <w:t>(</w:t>
      </w:r>
      <w:r w:rsidRPr="005D5D3C">
        <w:t>JIU/REP/2014/2</w:t>
      </w:r>
      <w:r w:rsidRPr="005D5D3C">
        <w:rPr>
          <w:rtl/>
        </w:rPr>
        <w:t>): تعليقات الأمانة</w:t>
      </w:r>
    </w:p>
    <w:p w:rsidR="00BB01B5" w:rsidRDefault="00BB01B5" w:rsidP="00BB01B5">
      <w:pPr>
        <w:pStyle w:val="NormalParaAR"/>
        <w:spacing w:after="0"/>
        <w:ind w:left="1700"/>
        <w:rPr>
          <w:rtl/>
        </w:rPr>
      </w:pPr>
      <w:r>
        <w:rPr>
          <w:rtl/>
        </w:rPr>
        <w:t>انظر الوثيق</w:t>
      </w:r>
      <w:r>
        <w:rPr>
          <w:rFonts w:hint="cs"/>
          <w:rtl/>
        </w:rPr>
        <w:t>تين:</w:t>
      </w:r>
    </w:p>
    <w:p w:rsidR="00BB01B5" w:rsidRDefault="005D5D3C" w:rsidP="00BB01B5">
      <w:pPr>
        <w:pStyle w:val="NormalParaAR"/>
        <w:spacing w:after="0"/>
        <w:ind w:left="2834"/>
        <w:rPr>
          <w:rtl/>
        </w:rPr>
      </w:pPr>
      <w:r w:rsidRPr="005D5D3C">
        <w:t>WO/PBC/22/20</w:t>
      </w:r>
    </w:p>
    <w:p w:rsidR="005D5D3C" w:rsidRPr="005D5D3C" w:rsidRDefault="00BB01B5" w:rsidP="00BB01B5">
      <w:pPr>
        <w:pStyle w:val="NormalParaAR"/>
        <w:ind w:left="2834"/>
      </w:pPr>
      <w:r>
        <w:rPr>
          <w:rFonts w:hint="cs"/>
          <w:rtl/>
        </w:rPr>
        <w:t>و</w:t>
      </w:r>
      <w:r w:rsidR="0082624B" w:rsidRPr="0082624B">
        <w:t>WO/PBC/22/26</w:t>
      </w:r>
      <w:r w:rsidR="0082624B">
        <w:rPr>
          <w:rFonts w:hint="cs"/>
          <w:rtl/>
        </w:rPr>
        <w:t xml:space="preserve"> (</w:t>
      </w:r>
      <w:r w:rsidR="0082624B" w:rsidRPr="0082624B">
        <w:rPr>
          <w:rtl/>
        </w:rPr>
        <w:t>اقتراح من وفود بلجيكا والمكسيك وإسبانيا: زيادة الفعالية في اجتماعات الويبو</w:t>
      </w:r>
      <w:r w:rsidR="0082624B">
        <w:rPr>
          <w:rFonts w:hint="cs"/>
          <w:rtl/>
        </w:rPr>
        <w:t>).</w:t>
      </w:r>
    </w:p>
    <w:p w:rsidR="005D5D3C" w:rsidRPr="005D5D3C" w:rsidRDefault="005D5D3C" w:rsidP="00656478">
      <w:pPr>
        <w:pStyle w:val="NormalParaAR"/>
        <w:keepNext/>
        <w:spacing w:before="240"/>
        <w:rPr>
          <w:u w:val="single"/>
        </w:rPr>
      </w:pPr>
      <w:r w:rsidRPr="005D5D3C">
        <w:rPr>
          <w:u w:val="single"/>
          <w:rtl/>
        </w:rPr>
        <w:t>استعراض أداء البرنامج والمالية</w:t>
      </w:r>
    </w:p>
    <w:p w:rsidR="005D5D3C" w:rsidRPr="005D5D3C" w:rsidRDefault="005D5D3C" w:rsidP="0082624B">
      <w:pPr>
        <w:pStyle w:val="NormalParaAR"/>
        <w:numPr>
          <w:ilvl w:val="0"/>
          <w:numId w:val="22"/>
        </w:numPr>
        <w:rPr>
          <w:i/>
        </w:rPr>
      </w:pPr>
      <w:r w:rsidRPr="005D5D3C">
        <w:rPr>
          <w:i/>
          <w:rtl/>
        </w:rPr>
        <w:t>تقرير أداء البرنامج للثنائية 2012</w:t>
      </w:r>
      <w:r w:rsidR="0082624B">
        <w:rPr>
          <w:rFonts w:hint="cs"/>
          <w:i/>
          <w:rtl/>
        </w:rPr>
        <w:t>/13</w:t>
      </w:r>
    </w:p>
    <w:p w:rsidR="005D5D3C" w:rsidRPr="005D5D3C" w:rsidRDefault="005D5D3C" w:rsidP="009B21B7">
      <w:pPr>
        <w:pStyle w:val="NormalParaAR"/>
        <w:spacing w:after="0"/>
        <w:ind w:left="566"/>
      </w:pPr>
      <w:r w:rsidRPr="005D5D3C">
        <w:rPr>
          <w:rtl/>
        </w:rPr>
        <w:t>(أ)</w:t>
      </w:r>
      <w:r w:rsidRPr="005D5D3C">
        <w:tab/>
      </w:r>
      <w:r w:rsidRPr="005D5D3C">
        <w:rPr>
          <w:rtl/>
        </w:rPr>
        <w:t xml:space="preserve">تقرير أداء البرنامج للثنائية </w:t>
      </w:r>
      <w:r w:rsidR="0082624B">
        <w:rPr>
          <w:rtl/>
        </w:rPr>
        <w:t>2012/13</w:t>
      </w:r>
    </w:p>
    <w:p w:rsidR="005D5D3C" w:rsidRPr="005D5D3C" w:rsidRDefault="005D5D3C" w:rsidP="00B96688">
      <w:pPr>
        <w:pStyle w:val="NormalParaAR"/>
        <w:ind w:left="1700"/>
      </w:pPr>
      <w:r w:rsidRPr="005D5D3C">
        <w:rPr>
          <w:rtl/>
        </w:rPr>
        <w:tab/>
        <w:t xml:space="preserve">انظر الوثيقة </w:t>
      </w:r>
      <w:r w:rsidRPr="005D5D3C">
        <w:t>WO/</w:t>
      </w:r>
      <w:proofErr w:type="spellStart"/>
      <w:r w:rsidRPr="005D5D3C">
        <w:t>PBC</w:t>
      </w:r>
      <w:proofErr w:type="spellEnd"/>
      <w:r w:rsidRPr="005D5D3C">
        <w:t>/22/8</w:t>
      </w:r>
      <w:r w:rsidR="0082624B">
        <w:rPr>
          <w:rFonts w:hint="cs"/>
          <w:rtl/>
        </w:rPr>
        <w:t xml:space="preserve"> والوثيق</w:t>
      </w:r>
      <w:r w:rsidR="00B96688">
        <w:rPr>
          <w:rFonts w:hint="cs"/>
          <w:rtl/>
        </w:rPr>
        <w:t>تين</w:t>
      </w:r>
      <w:r w:rsidR="0082624B">
        <w:rPr>
          <w:rFonts w:hint="cs"/>
          <w:rtl/>
        </w:rPr>
        <w:t xml:space="preserve"> </w:t>
      </w:r>
      <w:r w:rsidR="0082624B" w:rsidRPr="0082624B">
        <w:t>WO/</w:t>
      </w:r>
      <w:proofErr w:type="spellStart"/>
      <w:r w:rsidR="0082624B" w:rsidRPr="0082624B">
        <w:t>PBC</w:t>
      </w:r>
      <w:proofErr w:type="spellEnd"/>
      <w:r w:rsidR="0082624B" w:rsidRPr="0082624B">
        <w:t>/22/8 Corr</w:t>
      </w:r>
      <w:r w:rsidR="00B96688">
        <w:t>.1</w:t>
      </w:r>
      <w:r w:rsidR="00B96688">
        <w:rPr>
          <w:rFonts w:hint="cs"/>
          <w:rtl/>
          <w:lang w:val="fr-CH"/>
        </w:rPr>
        <w:t xml:space="preserve"> و</w:t>
      </w:r>
      <w:r w:rsidR="00B96688">
        <w:rPr>
          <w:rFonts w:hint="cs"/>
          <w:rtl/>
        </w:rPr>
        <w:t> </w:t>
      </w:r>
      <w:r w:rsidR="00B96688" w:rsidRPr="0082624B">
        <w:t>WO/</w:t>
      </w:r>
      <w:proofErr w:type="spellStart"/>
      <w:r w:rsidR="00B96688" w:rsidRPr="0082624B">
        <w:t>PBC</w:t>
      </w:r>
      <w:proofErr w:type="spellEnd"/>
      <w:r w:rsidR="00B96688" w:rsidRPr="0082624B">
        <w:t>/22/8</w:t>
      </w:r>
      <w:r w:rsidR="00B96688">
        <w:t> </w:t>
      </w:r>
      <w:r w:rsidR="00B96688" w:rsidRPr="0082624B">
        <w:t>Corr</w:t>
      </w:r>
      <w:r w:rsidR="00B96688">
        <w:t>.2</w:t>
      </w:r>
      <w:r w:rsidR="0082624B" w:rsidRPr="0082624B">
        <w:rPr>
          <w:rtl/>
        </w:rPr>
        <w:t>.</w:t>
      </w:r>
    </w:p>
    <w:p w:rsidR="005D5D3C" w:rsidRPr="005D5D3C" w:rsidRDefault="001E700D" w:rsidP="009B21B7">
      <w:pPr>
        <w:pStyle w:val="NormalParaAR"/>
        <w:spacing w:after="0"/>
        <w:ind w:left="566"/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="005D5D3C" w:rsidRPr="005D5D3C">
        <w:rPr>
          <w:rtl/>
        </w:rPr>
        <w:t xml:space="preserve">تقرير التثبيت لشعبة التدقيق الداخلي والرقابة الإدارية بشأن تقرير أداء البرنامج </w:t>
      </w:r>
      <w:r w:rsidR="0082624B">
        <w:rPr>
          <w:rtl/>
        </w:rPr>
        <w:t>2012/13</w:t>
      </w:r>
    </w:p>
    <w:p w:rsidR="005D5D3C" w:rsidRPr="005D5D3C" w:rsidRDefault="005D5D3C" w:rsidP="00BB01B5">
      <w:pPr>
        <w:pStyle w:val="NormalParaAR"/>
        <w:ind w:left="1700"/>
      </w:pPr>
      <w:r w:rsidRPr="005D5D3C">
        <w:rPr>
          <w:rtl/>
        </w:rPr>
        <w:tab/>
        <w:t xml:space="preserve">انظر الوثيقة </w:t>
      </w:r>
      <w:r w:rsidRPr="005D5D3C">
        <w:t>WO/PBC/22/9</w:t>
      </w:r>
      <w:r w:rsidRPr="005D5D3C">
        <w:rPr>
          <w:rtl/>
        </w:rPr>
        <w:t>.</w:t>
      </w:r>
    </w:p>
    <w:p w:rsidR="005D5D3C" w:rsidRPr="005D5D3C" w:rsidRDefault="005D5D3C" w:rsidP="005D5D3C">
      <w:pPr>
        <w:pStyle w:val="NormalParaAR"/>
        <w:numPr>
          <w:ilvl w:val="0"/>
          <w:numId w:val="22"/>
        </w:numPr>
      </w:pPr>
      <w:r w:rsidRPr="005D5D3C">
        <w:rPr>
          <w:rtl/>
        </w:rPr>
        <w:t>البيانات المالية السنوية لعام 2013؛ ووضع تسديد الاشتراكات في 30 يونيو 2014</w:t>
      </w:r>
    </w:p>
    <w:p w:rsidR="005D5D3C" w:rsidRPr="005D5D3C" w:rsidRDefault="005D5D3C" w:rsidP="000A06EA">
      <w:pPr>
        <w:pStyle w:val="NormalParaAR"/>
        <w:spacing w:after="0"/>
        <w:ind w:left="566"/>
      </w:pPr>
      <w:r w:rsidRPr="005D5D3C">
        <w:rPr>
          <w:rtl/>
        </w:rPr>
        <w:t>(أ)</w:t>
      </w:r>
      <w:r w:rsidRPr="005D5D3C">
        <w:rPr>
          <w:rtl/>
        </w:rPr>
        <w:tab/>
        <w:t>التقرير المالي السنوي والبيانات المالية السنوية لعام 2013</w:t>
      </w:r>
    </w:p>
    <w:p w:rsidR="005D5D3C" w:rsidRPr="005D5D3C" w:rsidRDefault="005D5D3C" w:rsidP="00BB01B5">
      <w:pPr>
        <w:pStyle w:val="NormalParaAR"/>
        <w:ind w:left="1700"/>
      </w:pPr>
      <w:r w:rsidRPr="005D5D3C">
        <w:tab/>
      </w:r>
      <w:r w:rsidRPr="005D5D3C">
        <w:rPr>
          <w:rtl/>
        </w:rPr>
        <w:t xml:space="preserve">انظر الوثيقة </w:t>
      </w:r>
      <w:r w:rsidR="00BB01B5">
        <w:t>WO/PBC/22/5</w:t>
      </w:r>
      <w:r w:rsidR="00BB01B5">
        <w:rPr>
          <w:rFonts w:hint="cs"/>
          <w:rtl/>
        </w:rPr>
        <w:t>.</w:t>
      </w:r>
    </w:p>
    <w:p w:rsidR="005D5D3C" w:rsidRPr="005D5D3C" w:rsidRDefault="005D5D3C" w:rsidP="000A06EA">
      <w:pPr>
        <w:pStyle w:val="NormalParaAR"/>
        <w:spacing w:after="0"/>
        <w:ind w:left="566"/>
      </w:pPr>
      <w:r w:rsidRPr="005D5D3C">
        <w:rPr>
          <w:rtl/>
        </w:rPr>
        <w:t>(ب)</w:t>
      </w:r>
      <w:r w:rsidRPr="005D5D3C">
        <w:tab/>
      </w:r>
      <w:r w:rsidRPr="005D5D3C">
        <w:rPr>
          <w:rtl/>
        </w:rPr>
        <w:t xml:space="preserve">وضع تسديد الاشتراكات في 30 يونيو 2014 </w:t>
      </w:r>
    </w:p>
    <w:p w:rsidR="005D5D3C" w:rsidRPr="005D5D3C" w:rsidRDefault="005D5D3C" w:rsidP="00FB6737">
      <w:pPr>
        <w:pStyle w:val="NormalParaAR"/>
        <w:ind w:left="1700"/>
      </w:pPr>
      <w:r w:rsidRPr="005D5D3C">
        <w:tab/>
      </w:r>
      <w:r w:rsidRPr="005D5D3C">
        <w:rPr>
          <w:rtl/>
        </w:rPr>
        <w:t xml:space="preserve">انظر الوثيقة </w:t>
      </w:r>
      <w:r w:rsidRPr="005D5D3C">
        <w:t>WO/PBC/22/7</w:t>
      </w:r>
      <w:r w:rsidRPr="005D5D3C">
        <w:rPr>
          <w:rtl/>
        </w:rPr>
        <w:t>.</w:t>
      </w:r>
    </w:p>
    <w:p w:rsidR="005D5D3C" w:rsidRPr="005D5D3C" w:rsidRDefault="005D5D3C" w:rsidP="000A06EA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 xml:space="preserve">تقرير الإدارة المالية </w:t>
      </w:r>
      <w:r w:rsidR="000A06EA">
        <w:rPr>
          <w:rFonts w:hint="cs"/>
          <w:rtl/>
        </w:rPr>
        <w:t>للثنائية</w:t>
      </w:r>
      <w:r w:rsidRPr="005D5D3C">
        <w:rPr>
          <w:rtl/>
        </w:rPr>
        <w:t xml:space="preserve"> </w:t>
      </w:r>
      <w:r w:rsidR="0082624B">
        <w:rPr>
          <w:rtl/>
        </w:rPr>
        <w:t>2012/13</w:t>
      </w:r>
      <w:r w:rsidR="000A06EA">
        <w:rPr>
          <w:rStyle w:val="FootnoteReference"/>
        </w:rPr>
        <w:footnoteReference w:customMarkFollows="1" w:id="1"/>
        <w:t>*</w:t>
      </w:r>
    </w:p>
    <w:p w:rsidR="005D5D3C" w:rsidRDefault="005D5D3C" w:rsidP="00FB6737">
      <w:pPr>
        <w:pStyle w:val="NormalParaAR"/>
        <w:ind w:left="1700"/>
        <w:rPr>
          <w:rtl/>
        </w:rPr>
      </w:pPr>
      <w:r w:rsidRPr="005D5D3C">
        <w:rPr>
          <w:rtl/>
        </w:rPr>
        <w:tab/>
        <w:t xml:space="preserve">انظر الوثيقة </w:t>
      </w:r>
      <w:r w:rsidRPr="005D5D3C">
        <w:t>WO/PBC/</w:t>
      </w:r>
      <w:r w:rsidR="0082624B">
        <w:t>22</w:t>
      </w:r>
      <w:r w:rsidRPr="005D5D3C">
        <w:t>/</w:t>
      </w:r>
      <w:r w:rsidR="0082624B">
        <w:t>6</w:t>
      </w:r>
      <w:r w:rsidRPr="005D5D3C">
        <w:rPr>
          <w:rtl/>
        </w:rPr>
        <w:t>.</w:t>
      </w:r>
    </w:p>
    <w:p w:rsidR="0082624B" w:rsidRDefault="0082624B" w:rsidP="0082624B">
      <w:pPr>
        <w:pStyle w:val="NormalParaAR"/>
        <w:spacing w:after="0"/>
        <w:ind w:left="566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r w:rsidRPr="0082624B">
        <w:rPr>
          <w:rtl/>
        </w:rPr>
        <w:t>استعراض وضع الويبو المالي وسياساتها المتعلقة بالأموال الاحتياطية</w:t>
      </w:r>
    </w:p>
    <w:p w:rsidR="0082624B" w:rsidRDefault="0082624B" w:rsidP="00FB6737">
      <w:pPr>
        <w:pStyle w:val="NormalParaAR"/>
        <w:ind w:left="1700"/>
        <w:rPr>
          <w:rtl/>
        </w:rPr>
      </w:pPr>
      <w:r w:rsidRPr="005D5D3C">
        <w:rPr>
          <w:rtl/>
        </w:rPr>
        <w:tab/>
        <w:t xml:space="preserve">انظر الوثيقة </w:t>
      </w:r>
      <w:r w:rsidRPr="005D5D3C">
        <w:t>WO/PBC/</w:t>
      </w:r>
      <w:r>
        <w:t>22</w:t>
      </w:r>
      <w:r w:rsidRPr="005D5D3C">
        <w:t>/</w:t>
      </w:r>
      <w:r>
        <w:t>28</w:t>
      </w:r>
      <w:r w:rsidRPr="005D5D3C">
        <w:rPr>
          <w:rtl/>
        </w:rPr>
        <w:t>.</w:t>
      </w:r>
    </w:p>
    <w:p w:rsidR="005D5D3C" w:rsidRPr="000A06EA" w:rsidRDefault="005D5D3C" w:rsidP="00C015E1">
      <w:pPr>
        <w:pStyle w:val="NormalParaAR"/>
        <w:numPr>
          <w:ilvl w:val="0"/>
          <w:numId w:val="22"/>
        </w:numPr>
        <w:spacing w:after="0"/>
      </w:pPr>
      <w:r w:rsidRPr="000A06EA">
        <w:rPr>
          <w:rtl/>
        </w:rPr>
        <w:t xml:space="preserve">التقرير السنوي عن الموارد البشرية </w:t>
      </w:r>
    </w:p>
    <w:p w:rsidR="005D5D3C" w:rsidRPr="005D5D3C" w:rsidRDefault="005D5D3C" w:rsidP="00FB6737">
      <w:pPr>
        <w:pStyle w:val="NormalParaAR"/>
        <w:ind w:left="1700"/>
      </w:pPr>
      <w:r w:rsidRPr="005D5D3C">
        <w:tab/>
      </w:r>
      <w:r w:rsidRPr="005D5D3C">
        <w:rPr>
          <w:rtl/>
        </w:rPr>
        <w:t xml:space="preserve">انظر الوثيقة </w:t>
      </w:r>
      <w:r w:rsidRPr="005D5D3C">
        <w:t>WO/PBC/22/11</w:t>
      </w:r>
      <w:r w:rsidRPr="005D5D3C">
        <w:rPr>
          <w:rtl/>
        </w:rPr>
        <w:t>.</w:t>
      </w:r>
    </w:p>
    <w:p w:rsidR="005D5D3C" w:rsidRPr="005D5D3C" w:rsidRDefault="005D5D3C" w:rsidP="00EA3FB3">
      <w:pPr>
        <w:pStyle w:val="NormalParaAR"/>
        <w:keepNext/>
        <w:spacing w:before="240"/>
        <w:rPr>
          <w:u w:val="single"/>
        </w:rPr>
      </w:pPr>
      <w:r w:rsidRPr="005D5D3C">
        <w:rPr>
          <w:u w:val="single"/>
          <w:rtl/>
        </w:rPr>
        <w:lastRenderedPageBreak/>
        <w:t>اقتراحات</w:t>
      </w:r>
    </w:p>
    <w:p w:rsidR="005D5D3C" w:rsidRPr="005D5D3C" w:rsidRDefault="005D5D3C" w:rsidP="00EA3FB3">
      <w:pPr>
        <w:pStyle w:val="NormalParaAR"/>
        <w:keepNext/>
        <w:numPr>
          <w:ilvl w:val="0"/>
          <w:numId w:val="22"/>
        </w:numPr>
        <w:spacing w:after="0"/>
      </w:pPr>
      <w:r w:rsidRPr="005D5D3C">
        <w:rPr>
          <w:rtl/>
        </w:rPr>
        <w:t>إطار المساءلة</w:t>
      </w:r>
    </w:p>
    <w:p w:rsidR="005D5D3C" w:rsidRPr="005D5D3C" w:rsidRDefault="005D5D3C" w:rsidP="00EA3FB3">
      <w:pPr>
        <w:pStyle w:val="NormalParaAR"/>
        <w:keepNext/>
        <w:ind w:left="1700"/>
      </w:pPr>
      <w:r w:rsidRPr="005D5D3C">
        <w:rPr>
          <w:rtl/>
        </w:rPr>
        <w:t xml:space="preserve">انظر الوثيقة </w:t>
      </w:r>
      <w:r w:rsidRPr="005D5D3C">
        <w:t>WO/PBC/22/12</w:t>
      </w:r>
      <w:r w:rsidRPr="005D5D3C">
        <w:rPr>
          <w:rtl/>
        </w:rPr>
        <w:t>.</w:t>
      </w:r>
    </w:p>
    <w:p w:rsidR="005D5D3C" w:rsidRPr="005D5D3C" w:rsidRDefault="005D5D3C" w:rsidP="00C015E1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بيان قابلية تحمل المخاطر</w:t>
      </w:r>
    </w:p>
    <w:p w:rsidR="005D5D3C" w:rsidRPr="005D5D3C" w:rsidRDefault="005D5D3C" w:rsidP="00FB6737">
      <w:pPr>
        <w:pStyle w:val="NormalParaAR"/>
        <w:ind w:left="1700"/>
      </w:pPr>
      <w:r w:rsidRPr="005D5D3C">
        <w:rPr>
          <w:rtl/>
        </w:rPr>
        <w:t xml:space="preserve">انظر الوثيقة </w:t>
      </w:r>
      <w:r w:rsidRPr="005D5D3C">
        <w:t>WO/PBC/22/17</w:t>
      </w:r>
      <w:r w:rsidRPr="005D5D3C">
        <w:rPr>
          <w:rtl/>
        </w:rPr>
        <w:t>.</w:t>
      </w:r>
    </w:p>
    <w:p w:rsidR="005D5D3C" w:rsidRPr="005D5D3C" w:rsidRDefault="005D5D3C" w:rsidP="00C015E1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 xml:space="preserve">اقتراح بشأن </w:t>
      </w:r>
      <w:r w:rsidR="000A06EA">
        <w:rPr>
          <w:rFonts w:hint="cs"/>
          <w:rtl/>
        </w:rPr>
        <w:t xml:space="preserve">إدخال </w:t>
      </w:r>
      <w:r w:rsidRPr="005D5D3C">
        <w:rPr>
          <w:rtl/>
        </w:rPr>
        <w:t>تغييرات على سياسة الاستثمارات</w:t>
      </w:r>
    </w:p>
    <w:p w:rsidR="005D5D3C" w:rsidRPr="005D5D3C" w:rsidRDefault="005D5D3C" w:rsidP="00FB6737">
      <w:pPr>
        <w:pStyle w:val="NormalParaAR"/>
        <w:ind w:left="1700"/>
      </w:pPr>
      <w:r w:rsidRPr="005D5D3C">
        <w:rPr>
          <w:rtl/>
        </w:rPr>
        <w:t xml:space="preserve">انظر الوثيقة </w:t>
      </w:r>
      <w:r w:rsidRPr="005D5D3C">
        <w:t>WO/PBC/22/19</w:t>
      </w:r>
      <w:r w:rsidRPr="005D5D3C">
        <w:rPr>
          <w:rtl/>
        </w:rPr>
        <w:t>.</w:t>
      </w:r>
    </w:p>
    <w:p w:rsidR="005D5D3C" w:rsidRDefault="005D5D3C" w:rsidP="0082624B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اقتراح بشأن إصلاح وتحسين</w:t>
      </w:r>
      <w:r w:rsidR="00FB6737">
        <w:rPr>
          <w:rFonts w:hint="cs"/>
          <w:rtl/>
        </w:rPr>
        <w:t xml:space="preserve"> تقارير</w:t>
      </w:r>
      <w:r w:rsidRPr="005D5D3C">
        <w:rPr>
          <w:rtl/>
        </w:rPr>
        <w:t xml:space="preserve"> أداء البرنامج والتقارير المالية</w:t>
      </w:r>
    </w:p>
    <w:p w:rsidR="0082624B" w:rsidRPr="005D5D3C" w:rsidRDefault="0082624B" w:rsidP="00FB6737">
      <w:pPr>
        <w:pStyle w:val="NormalParaAR"/>
        <w:ind w:left="1700"/>
      </w:pPr>
      <w:r w:rsidRPr="005D5D3C">
        <w:rPr>
          <w:rtl/>
        </w:rPr>
        <w:t xml:space="preserve">انظر الوثيقة </w:t>
      </w:r>
      <w:r w:rsidRPr="005D5D3C">
        <w:t>WO/PBC/22/</w:t>
      </w:r>
      <w:r>
        <w:t>27</w:t>
      </w:r>
      <w:r w:rsidRPr="005D5D3C">
        <w:rPr>
          <w:rtl/>
        </w:rPr>
        <w:t>.</w:t>
      </w:r>
    </w:p>
    <w:p w:rsidR="005D5D3C" w:rsidRPr="00A34EF1" w:rsidRDefault="00A34EF1" w:rsidP="00A34EF1">
      <w:pPr>
        <w:pStyle w:val="ONUME"/>
        <w:numPr>
          <w:ilvl w:val="0"/>
          <w:numId w:val="22"/>
        </w:numPr>
        <w:bidi/>
        <w:spacing w:after="0"/>
        <w:rPr>
          <w:rFonts w:ascii="Arabic Typesetting" w:hAnsi="Arabic Typesetting" w:cs="Arabic Typesetting"/>
          <w:sz w:val="36"/>
          <w:szCs w:val="36"/>
        </w:rPr>
      </w:pPr>
      <w:r w:rsidRPr="00A34EF1">
        <w:rPr>
          <w:rFonts w:ascii="Arabic Typesetting" w:eastAsia="Times New Roman" w:hAnsi="Arabic Typesetting" w:cs="Arabic Typesetting"/>
          <w:sz w:val="36"/>
          <w:szCs w:val="36"/>
          <w:rtl/>
          <w:lang w:eastAsia="en-US"/>
        </w:rPr>
        <w:t>التعديلات المقترح إدخالها على النظام المالي ولائحته</w:t>
      </w:r>
    </w:p>
    <w:p w:rsidR="005D5D3C" w:rsidRDefault="005D5D3C" w:rsidP="00FB6737">
      <w:pPr>
        <w:pStyle w:val="NormalParaAR"/>
        <w:ind w:left="1700"/>
      </w:pPr>
      <w:r w:rsidRPr="005D5D3C">
        <w:tab/>
      </w:r>
      <w:r w:rsidRPr="005D5D3C">
        <w:rPr>
          <w:rtl/>
        </w:rPr>
        <w:t xml:space="preserve">انظر الوثيقة </w:t>
      </w:r>
      <w:r w:rsidRPr="005D5D3C">
        <w:t>WO/PBC/22/10</w:t>
      </w:r>
      <w:r w:rsidRPr="005D5D3C">
        <w:rPr>
          <w:rtl/>
        </w:rPr>
        <w:t>.</w:t>
      </w:r>
    </w:p>
    <w:p w:rsidR="0082624B" w:rsidRDefault="00FE7199" w:rsidP="00A8121E">
      <w:pPr>
        <w:pStyle w:val="ONUME"/>
        <w:numPr>
          <w:ilvl w:val="0"/>
          <w:numId w:val="22"/>
        </w:numPr>
        <w:bidi/>
        <w:spacing w:after="0"/>
        <w:rPr>
          <w:rFonts w:ascii="Arabic Typesetting" w:eastAsia="Times New Roman" w:hAnsi="Arabic Typesetting" w:cs="Arabic Typesetting"/>
          <w:sz w:val="36"/>
          <w:szCs w:val="36"/>
          <w:lang w:eastAsia="en-US"/>
        </w:rPr>
      </w:pPr>
      <w:r w:rsidRPr="00FE7199">
        <w:rPr>
          <w:rFonts w:ascii="Arabic Typesetting" w:eastAsia="Times New Roman" w:hAnsi="Arabic Typesetting" w:cs="Arabic Typesetting" w:hint="cs"/>
          <w:sz w:val="36"/>
          <w:szCs w:val="36"/>
          <w:rtl/>
          <w:lang w:eastAsia="en-US"/>
        </w:rPr>
        <w:t>اقتراح</w:t>
      </w:r>
      <w:r w:rsidR="00FB6737">
        <w:rPr>
          <w:rFonts w:ascii="Arabic Typesetting" w:eastAsia="Times New Roman" w:hAnsi="Arabic Typesetting" w:cs="Arabic Typesetting" w:hint="cs"/>
          <w:sz w:val="36"/>
          <w:szCs w:val="36"/>
          <w:rtl/>
          <w:lang w:eastAsia="en-US"/>
        </w:rPr>
        <w:t xml:space="preserve"> من</w:t>
      </w:r>
      <w:r w:rsidRPr="00FE7199">
        <w:rPr>
          <w:rFonts w:ascii="Arabic Typesetting" w:eastAsia="Times New Roman" w:hAnsi="Arabic Typesetting" w:cs="Arabic Typesetting" w:hint="cs"/>
          <w:sz w:val="36"/>
          <w:szCs w:val="36"/>
          <w:rtl/>
          <w:lang w:eastAsia="en-US"/>
        </w:rPr>
        <w:t xml:space="preserve"> </w:t>
      </w:r>
      <w:r w:rsidR="00FB6737">
        <w:rPr>
          <w:rFonts w:ascii="Arabic Typesetting" w:eastAsia="Times New Roman" w:hAnsi="Arabic Typesetting" w:cs="Arabic Typesetting" w:hint="cs"/>
          <w:sz w:val="36"/>
          <w:szCs w:val="36"/>
          <w:rtl/>
          <w:lang w:eastAsia="en-US"/>
        </w:rPr>
        <w:t>أستراليا وفنلندا والكرسي الرسولي ونيوزيلندا وسويسرا:</w:t>
      </w:r>
      <w:r w:rsidR="00FB6737" w:rsidRPr="00FE7199">
        <w:rPr>
          <w:rFonts w:ascii="Arabic Typesetting" w:eastAsia="Times New Roman" w:hAnsi="Arabic Typesetting" w:cs="Arabic Typesetting" w:hint="cs"/>
          <w:sz w:val="36"/>
          <w:szCs w:val="36"/>
          <w:rtl/>
          <w:lang w:eastAsia="en-US"/>
        </w:rPr>
        <w:t xml:space="preserve"> </w:t>
      </w:r>
      <w:r w:rsidRPr="00FE7199">
        <w:rPr>
          <w:rFonts w:ascii="Arabic Typesetting" w:eastAsia="Times New Roman" w:hAnsi="Arabic Typesetting" w:cs="Arabic Typesetting" w:hint="cs"/>
          <w:sz w:val="36"/>
          <w:szCs w:val="36"/>
          <w:rtl/>
          <w:lang w:eastAsia="en-US"/>
        </w:rPr>
        <w:t xml:space="preserve">مشاركة ممثلي الجماعات الأصلية والمحلية المعتمدة في عمل </w:t>
      </w:r>
      <w:r w:rsidRPr="00FE7199">
        <w:rPr>
          <w:rFonts w:ascii="Arabic Typesetting" w:eastAsia="Times New Roman" w:hAnsi="Arabic Typesetting" w:cs="Arabic Typesetting"/>
          <w:sz w:val="36"/>
          <w:szCs w:val="36"/>
          <w:rtl/>
          <w:lang w:eastAsia="en-US"/>
        </w:rPr>
        <w:t>اللجنة الحكومية الدولية المعنية بالملكية الفكرية والموارد الوراثية والمعارف التقليدية والفولكلور</w:t>
      </w:r>
      <w:r w:rsidRPr="00FE7199">
        <w:rPr>
          <w:rFonts w:ascii="Arabic Typesetting" w:eastAsia="Times New Roman" w:hAnsi="Arabic Typesetting" w:cs="Arabic Typesetting" w:hint="cs"/>
          <w:sz w:val="36"/>
          <w:szCs w:val="36"/>
          <w:rtl/>
          <w:lang w:eastAsia="en-US"/>
        </w:rPr>
        <w:t xml:space="preserve"> </w:t>
      </w:r>
      <w:r>
        <w:rPr>
          <w:rFonts w:ascii="Arabic Typesetting" w:eastAsia="Times New Roman" w:hAnsi="Arabic Typesetting" w:cs="Arabic Typesetting" w:hint="cs"/>
          <w:sz w:val="36"/>
          <w:szCs w:val="36"/>
          <w:rtl/>
          <w:lang w:eastAsia="en-US"/>
        </w:rPr>
        <w:t>(</w:t>
      </w:r>
      <w:r w:rsidRPr="00FE7199">
        <w:rPr>
          <w:rFonts w:ascii="Arabic Typesetting" w:eastAsia="Times New Roman" w:hAnsi="Arabic Typesetting" w:cs="Arabic Typesetting" w:hint="cs"/>
          <w:sz w:val="36"/>
          <w:szCs w:val="36"/>
          <w:rtl/>
          <w:lang w:eastAsia="en-US"/>
        </w:rPr>
        <w:t>اللجنة الحكومية الدولية</w:t>
      </w:r>
      <w:r>
        <w:rPr>
          <w:rFonts w:ascii="Arabic Typesetting" w:eastAsia="Times New Roman" w:hAnsi="Arabic Typesetting" w:cs="Arabic Typesetting" w:hint="cs"/>
          <w:sz w:val="36"/>
          <w:szCs w:val="36"/>
          <w:rtl/>
          <w:lang w:eastAsia="en-US"/>
        </w:rPr>
        <w:t xml:space="preserve">): اقتراح </w:t>
      </w:r>
      <w:r w:rsidR="00B76345">
        <w:rPr>
          <w:rFonts w:ascii="Arabic Typesetting" w:eastAsia="Times New Roman" w:hAnsi="Arabic Typesetting" w:cs="Arabic Typesetting" w:hint="cs"/>
          <w:sz w:val="36"/>
          <w:szCs w:val="36"/>
          <w:rtl/>
          <w:lang w:eastAsia="en-US"/>
        </w:rPr>
        <w:t>لتمويل إضافي من ميزانية الويبو العادية</w:t>
      </w:r>
    </w:p>
    <w:p w:rsidR="00FE7199" w:rsidRDefault="00FE7199" w:rsidP="00FB6737">
      <w:pPr>
        <w:pStyle w:val="NormalParaAR"/>
        <w:ind w:left="1700"/>
      </w:pPr>
      <w:r w:rsidRPr="005D5D3C">
        <w:tab/>
      </w:r>
      <w:r w:rsidRPr="005D5D3C">
        <w:rPr>
          <w:rtl/>
        </w:rPr>
        <w:t xml:space="preserve">انظر الوثيقة </w:t>
      </w:r>
      <w:r w:rsidRPr="005D5D3C">
        <w:t>WO/PBC/22/</w:t>
      </w:r>
      <w:r>
        <w:t>24</w:t>
      </w:r>
      <w:r w:rsidRPr="005D5D3C">
        <w:rPr>
          <w:rtl/>
        </w:rPr>
        <w:t>.</w:t>
      </w:r>
    </w:p>
    <w:p w:rsidR="005D5D3C" w:rsidRPr="005D5D3C" w:rsidRDefault="005D5D3C" w:rsidP="00656478">
      <w:pPr>
        <w:pStyle w:val="NormalParaAR"/>
        <w:keepNext/>
        <w:spacing w:before="240"/>
        <w:rPr>
          <w:u w:val="single"/>
        </w:rPr>
      </w:pPr>
      <w:r w:rsidRPr="005D5D3C">
        <w:rPr>
          <w:u w:val="single"/>
          <w:rtl/>
        </w:rPr>
        <w:t>مسائل أحالتها جمعية الدول الأعضاء في الويبو لسنة 2013 إلى اللجنة</w:t>
      </w:r>
    </w:p>
    <w:p w:rsidR="005D5D3C" w:rsidRPr="005D5D3C" w:rsidRDefault="005D5D3C" w:rsidP="00C015E1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الإدارة الداخلية في الويبو</w:t>
      </w:r>
    </w:p>
    <w:p w:rsidR="005D5D3C" w:rsidRPr="005D5D3C" w:rsidRDefault="005D5D3C" w:rsidP="00B76345">
      <w:pPr>
        <w:pStyle w:val="NormalParaAR"/>
        <w:ind w:left="1700"/>
      </w:pPr>
      <w:r w:rsidRPr="005D5D3C">
        <w:rPr>
          <w:rtl/>
        </w:rPr>
        <w:t xml:space="preserve">انظر الوثائق المرجعية: </w:t>
      </w:r>
      <w:r w:rsidRPr="005D5D3C">
        <w:t>WO/PBC/18/20</w:t>
      </w:r>
      <w:r w:rsidRPr="005D5D3C">
        <w:rPr>
          <w:rtl/>
        </w:rPr>
        <w:t xml:space="preserve"> و</w:t>
      </w:r>
      <w:r w:rsidRPr="005D5D3C">
        <w:t>WO/PBC/19/26</w:t>
      </w:r>
      <w:r w:rsidRPr="005D5D3C">
        <w:rPr>
          <w:rtl/>
        </w:rPr>
        <w:t xml:space="preserve"> و</w:t>
      </w:r>
      <w:r w:rsidRPr="005D5D3C">
        <w:t>WO/PBC/21/20</w:t>
      </w:r>
      <w:r w:rsidRPr="005D5D3C">
        <w:rPr>
          <w:rtl/>
        </w:rPr>
        <w:t>.</w:t>
      </w:r>
    </w:p>
    <w:p w:rsidR="005D5D3C" w:rsidRDefault="005D5D3C" w:rsidP="00D7461E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المكاتب الخارجية</w:t>
      </w:r>
    </w:p>
    <w:p w:rsidR="00D7461E" w:rsidRPr="005D5D3C" w:rsidRDefault="00D7461E" w:rsidP="00B96688">
      <w:pPr>
        <w:pStyle w:val="NormalParaAR"/>
        <w:ind w:left="1700"/>
      </w:pPr>
      <w:r w:rsidRPr="005D5D3C">
        <w:rPr>
          <w:rtl/>
        </w:rPr>
        <w:t>انظر الوثيق</w:t>
      </w:r>
      <w:r w:rsidR="00B96688">
        <w:rPr>
          <w:rFonts w:hint="cs"/>
          <w:rtl/>
        </w:rPr>
        <w:t>تين</w:t>
      </w:r>
      <w:r w:rsidRPr="005D5D3C">
        <w:rPr>
          <w:rtl/>
        </w:rPr>
        <w:t xml:space="preserve"> </w:t>
      </w:r>
      <w:r w:rsidRPr="005D5D3C">
        <w:t>WO/</w:t>
      </w:r>
      <w:proofErr w:type="spellStart"/>
      <w:r w:rsidRPr="005D5D3C">
        <w:t>PBC</w:t>
      </w:r>
      <w:proofErr w:type="spellEnd"/>
      <w:r w:rsidRPr="005D5D3C">
        <w:t>/22/</w:t>
      </w:r>
      <w:r>
        <w:t>25</w:t>
      </w:r>
      <w:r w:rsidR="00B96688">
        <w:rPr>
          <w:rFonts w:hint="cs"/>
          <w:rtl/>
        </w:rPr>
        <w:t xml:space="preserve"> و</w:t>
      </w:r>
      <w:r w:rsidR="00B96688" w:rsidRPr="005D5D3C">
        <w:t>WO/</w:t>
      </w:r>
      <w:proofErr w:type="spellStart"/>
      <w:r w:rsidR="00B96688" w:rsidRPr="005D5D3C">
        <w:t>PBC</w:t>
      </w:r>
      <w:proofErr w:type="spellEnd"/>
      <w:r w:rsidR="00B96688" w:rsidRPr="005D5D3C">
        <w:t>/22/</w:t>
      </w:r>
      <w:r w:rsidR="00B96688">
        <w:t>25</w:t>
      </w:r>
      <w:r w:rsidR="00B96688">
        <w:t> Corr.</w:t>
      </w:r>
      <w:bookmarkStart w:id="2" w:name="_GoBack"/>
      <w:bookmarkEnd w:id="2"/>
      <w:r w:rsidRPr="005D5D3C">
        <w:rPr>
          <w:rtl/>
        </w:rPr>
        <w:t>.</w:t>
      </w:r>
    </w:p>
    <w:p w:rsidR="005D5D3C" w:rsidRDefault="005D5D3C" w:rsidP="00A675CC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التعريف المقترح بشأن "نفقات التنمية" في سياق البرنامج والميزانية</w:t>
      </w:r>
    </w:p>
    <w:p w:rsidR="005B01DC" w:rsidRPr="005D5D3C" w:rsidRDefault="005B01DC" w:rsidP="005B01DC">
      <w:pPr>
        <w:pStyle w:val="NormalParaAR"/>
        <w:ind w:left="1700"/>
      </w:pPr>
      <w:r w:rsidRPr="005D5D3C">
        <w:rPr>
          <w:rtl/>
        </w:rPr>
        <w:t xml:space="preserve">انظر الوثيقة </w:t>
      </w:r>
      <w:r>
        <w:rPr>
          <w:rFonts w:hint="cs"/>
          <w:rtl/>
          <w:lang w:val="fr-CH"/>
        </w:rPr>
        <w:t xml:space="preserve">المرجعية </w:t>
      </w:r>
      <w:r w:rsidRPr="005D5D3C">
        <w:t>WO/</w:t>
      </w:r>
      <w:r>
        <w:t>GA</w:t>
      </w:r>
      <w:r w:rsidRPr="005D5D3C">
        <w:t>/</w:t>
      </w:r>
      <w:r>
        <w:t>43</w:t>
      </w:r>
      <w:r w:rsidRPr="005D5D3C">
        <w:t>/</w:t>
      </w:r>
      <w:r>
        <w:t>21</w:t>
      </w:r>
      <w:r w:rsidRPr="005D5D3C">
        <w:rPr>
          <w:rtl/>
        </w:rPr>
        <w:t>.</w:t>
      </w:r>
    </w:p>
    <w:p w:rsidR="005D5D3C" w:rsidRPr="005D5D3C" w:rsidRDefault="005D5D3C" w:rsidP="00656478">
      <w:pPr>
        <w:pStyle w:val="NormalParaAR"/>
        <w:keepNext/>
        <w:spacing w:before="240"/>
        <w:rPr>
          <w:u w:val="single"/>
        </w:rPr>
      </w:pPr>
      <w:r w:rsidRPr="005D5D3C">
        <w:rPr>
          <w:u w:val="single"/>
          <w:rtl/>
        </w:rPr>
        <w:t>تقارير مرحلية عن المشروعات الرئيسية والمسائل الإدارية</w:t>
      </w:r>
    </w:p>
    <w:p w:rsidR="005D5D3C" w:rsidRPr="005D5D3C" w:rsidRDefault="005D5D3C" w:rsidP="00C015E1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تقرير مرحلي عن مشروع تحسين معايير السلامة والأمن في مباني الويبو الحالية</w:t>
      </w:r>
    </w:p>
    <w:p w:rsidR="005D5D3C" w:rsidRPr="005D5D3C" w:rsidRDefault="005D5D3C" w:rsidP="00B76345">
      <w:pPr>
        <w:pStyle w:val="NormalParaAR"/>
        <w:ind w:left="1700"/>
      </w:pPr>
      <w:r w:rsidRPr="005D5D3C">
        <w:rPr>
          <w:rtl/>
        </w:rPr>
        <w:tab/>
        <w:t xml:space="preserve">انظر الوثيقة </w:t>
      </w:r>
      <w:r w:rsidRPr="005D5D3C">
        <w:t>WO/PBC/22/13</w:t>
      </w:r>
      <w:r w:rsidRPr="005D5D3C">
        <w:rPr>
          <w:rtl/>
        </w:rPr>
        <w:t>.</w:t>
      </w:r>
    </w:p>
    <w:p w:rsidR="005D5D3C" w:rsidRPr="005D5D3C" w:rsidRDefault="005D5D3C" w:rsidP="00C015E1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تقرير مرحلي عن مشروعات البناء</w:t>
      </w:r>
    </w:p>
    <w:p w:rsidR="005D5D3C" w:rsidRPr="005D5D3C" w:rsidRDefault="005D5D3C" w:rsidP="00B76345">
      <w:pPr>
        <w:pStyle w:val="NormalParaAR"/>
        <w:ind w:left="1700"/>
      </w:pPr>
      <w:r w:rsidRPr="005D5D3C">
        <w:rPr>
          <w:rtl/>
        </w:rPr>
        <w:tab/>
        <w:t xml:space="preserve">انظر الوثيقة </w:t>
      </w:r>
      <w:r w:rsidRPr="005D5D3C">
        <w:t>WO/PBC/22/14</w:t>
      </w:r>
      <w:r w:rsidRPr="005D5D3C">
        <w:rPr>
          <w:rtl/>
        </w:rPr>
        <w:t>.</w:t>
      </w:r>
    </w:p>
    <w:p w:rsidR="005D5D3C" w:rsidRPr="005D5D3C" w:rsidRDefault="005D5D3C" w:rsidP="00A675CC">
      <w:pPr>
        <w:pStyle w:val="NormalParaAR"/>
        <w:keepNext/>
        <w:numPr>
          <w:ilvl w:val="0"/>
          <w:numId w:val="22"/>
        </w:numPr>
        <w:spacing w:after="0"/>
      </w:pPr>
      <w:r w:rsidRPr="005D5D3C">
        <w:rPr>
          <w:rtl/>
        </w:rPr>
        <w:t>تقرير مرحلي عن تنفيذ نظام التخطيط للموارد المؤسسية</w:t>
      </w:r>
    </w:p>
    <w:p w:rsidR="005D5D3C" w:rsidRPr="005D5D3C" w:rsidRDefault="005D5D3C" w:rsidP="00B76345">
      <w:pPr>
        <w:pStyle w:val="NormalParaAR"/>
        <w:ind w:left="1700"/>
      </w:pPr>
      <w:r w:rsidRPr="005D5D3C">
        <w:rPr>
          <w:rtl/>
        </w:rPr>
        <w:tab/>
        <w:t xml:space="preserve">انظر الوثيقة </w:t>
      </w:r>
      <w:r w:rsidRPr="005D5D3C">
        <w:t>WO/PBC/22/15</w:t>
      </w:r>
      <w:r w:rsidRPr="005D5D3C">
        <w:rPr>
          <w:rtl/>
        </w:rPr>
        <w:t>.</w:t>
      </w:r>
    </w:p>
    <w:p w:rsidR="005D5D3C" w:rsidRPr="005D5D3C" w:rsidRDefault="005D5D3C" w:rsidP="00C015E1">
      <w:pPr>
        <w:pStyle w:val="NormalParaAR"/>
        <w:numPr>
          <w:ilvl w:val="0"/>
          <w:numId w:val="22"/>
        </w:numPr>
        <w:spacing w:after="0"/>
        <w:rPr>
          <w:i/>
        </w:rPr>
      </w:pPr>
      <w:r w:rsidRPr="005D5D3C">
        <w:rPr>
          <w:i/>
          <w:rtl/>
        </w:rPr>
        <w:lastRenderedPageBreak/>
        <w:t>تقر</w:t>
      </w:r>
      <w:r w:rsidRPr="00C015E1">
        <w:rPr>
          <w:rtl/>
        </w:rPr>
        <w:t>ي</w:t>
      </w:r>
      <w:r w:rsidRPr="005D5D3C">
        <w:rPr>
          <w:i/>
          <w:rtl/>
        </w:rPr>
        <w:t>ر مرحلي عن مشروع استثمار رأس المال في تكنولوجيا المعلومات والاتصالات</w:t>
      </w:r>
    </w:p>
    <w:p w:rsidR="005D5D3C" w:rsidRPr="005D5D3C" w:rsidRDefault="005D5D3C" w:rsidP="00B76345">
      <w:pPr>
        <w:pStyle w:val="NormalParaAR"/>
        <w:ind w:left="1700"/>
      </w:pPr>
      <w:r w:rsidRPr="009B108C">
        <w:rPr>
          <w:rtl/>
        </w:rPr>
        <w:tab/>
        <w:t xml:space="preserve">انظر الوثيقة </w:t>
      </w:r>
      <w:r w:rsidRPr="009B108C">
        <w:t>WO/PBC/22/18</w:t>
      </w:r>
      <w:r w:rsidRPr="009B108C">
        <w:rPr>
          <w:rtl/>
        </w:rPr>
        <w:t>.</w:t>
      </w:r>
    </w:p>
    <w:p w:rsidR="005D5D3C" w:rsidRPr="005D5D3C" w:rsidRDefault="005D5D3C" w:rsidP="0006618F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تقرير مرحلي عن تنفيذ سياسة الويبو بشأن اللغات</w:t>
      </w:r>
    </w:p>
    <w:p w:rsidR="005D5D3C" w:rsidRPr="005D5D3C" w:rsidRDefault="005D5D3C" w:rsidP="0006618F">
      <w:pPr>
        <w:pStyle w:val="NormalParaAR"/>
        <w:ind w:left="1700"/>
      </w:pPr>
      <w:r w:rsidRPr="009B108C">
        <w:rPr>
          <w:rtl/>
        </w:rPr>
        <w:tab/>
        <w:t xml:space="preserve">انظر الوثيقة </w:t>
      </w:r>
      <w:r w:rsidRPr="009B108C">
        <w:t>WO/PBC/22/16</w:t>
      </w:r>
      <w:r w:rsidRPr="009B108C">
        <w:rPr>
          <w:rtl/>
        </w:rPr>
        <w:t>.</w:t>
      </w:r>
    </w:p>
    <w:p w:rsidR="005D5D3C" w:rsidRPr="005D5D3C" w:rsidRDefault="005D5D3C" w:rsidP="00C015E1">
      <w:pPr>
        <w:pStyle w:val="NormalParaAR"/>
        <w:numPr>
          <w:ilvl w:val="0"/>
          <w:numId w:val="22"/>
        </w:numPr>
        <w:spacing w:after="0"/>
      </w:pPr>
      <w:r w:rsidRPr="005D5D3C">
        <w:rPr>
          <w:rtl/>
        </w:rPr>
        <w:t>تقرير مرحلي بشأن مشروعات الخطة الرأسمالية الرئيسية</w:t>
      </w:r>
    </w:p>
    <w:p w:rsidR="005D5D3C" w:rsidRPr="005D5D3C" w:rsidRDefault="005D5D3C" w:rsidP="00B76345">
      <w:pPr>
        <w:pStyle w:val="NormalParaAR"/>
        <w:ind w:left="1700"/>
      </w:pPr>
      <w:r w:rsidRPr="009B108C">
        <w:rPr>
          <w:rtl/>
        </w:rPr>
        <w:tab/>
        <w:t xml:space="preserve">انظر الوثيقة </w:t>
      </w:r>
      <w:r w:rsidRPr="009B108C">
        <w:t>WO/PBC/22/21</w:t>
      </w:r>
      <w:r w:rsidRPr="009B108C">
        <w:rPr>
          <w:rtl/>
        </w:rPr>
        <w:t>.</w:t>
      </w:r>
    </w:p>
    <w:p w:rsidR="005D5D3C" w:rsidRPr="005D5D3C" w:rsidRDefault="005D5D3C" w:rsidP="00656478">
      <w:pPr>
        <w:pStyle w:val="NormalParaAR"/>
        <w:keepNext/>
        <w:spacing w:before="240"/>
        <w:rPr>
          <w:u w:val="single"/>
        </w:rPr>
      </w:pPr>
      <w:r w:rsidRPr="005D5D3C">
        <w:rPr>
          <w:u w:val="single"/>
          <w:rtl/>
        </w:rPr>
        <w:t>اختتام الدورة</w:t>
      </w:r>
    </w:p>
    <w:p w:rsidR="005D5D3C" w:rsidRPr="005D5D3C" w:rsidRDefault="005D5D3C" w:rsidP="005D5D3C">
      <w:pPr>
        <w:pStyle w:val="NormalParaAR"/>
        <w:numPr>
          <w:ilvl w:val="0"/>
          <w:numId w:val="22"/>
        </w:numPr>
      </w:pPr>
      <w:r w:rsidRPr="005D5D3C">
        <w:rPr>
          <w:rtl/>
        </w:rPr>
        <w:t xml:space="preserve">قائمة القرارات </w:t>
      </w:r>
    </w:p>
    <w:p w:rsidR="005D5D3C" w:rsidRPr="005D5D3C" w:rsidRDefault="005D5D3C" w:rsidP="005D5D3C">
      <w:pPr>
        <w:pStyle w:val="NormalParaAR"/>
        <w:numPr>
          <w:ilvl w:val="0"/>
          <w:numId w:val="22"/>
        </w:numPr>
      </w:pPr>
      <w:r w:rsidRPr="005D5D3C">
        <w:rPr>
          <w:rtl/>
        </w:rPr>
        <w:t>اختتام الدورة</w:t>
      </w:r>
    </w:p>
    <w:p w:rsidR="00AA2001" w:rsidRDefault="00A34EF1" w:rsidP="00A34EF1">
      <w:pPr>
        <w:pStyle w:val="EndofDocumentAR"/>
      </w:pPr>
      <w:r>
        <w:rPr>
          <w:rFonts w:hint="cs"/>
          <w:rtl/>
        </w:rPr>
        <w:t>[</w:t>
      </w:r>
      <w:r w:rsidR="005D5D3C" w:rsidRPr="005D5D3C">
        <w:rPr>
          <w:rtl/>
        </w:rPr>
        <w:t>نهاية الوثيقة</w:t>
      </w:r>
      <w:r>
        <w:rPr>
          <w:rFonts w:hint="cs"/>
          <w:rtl/>
        </w:rPr>
        <w:t>]</w:t>
      </w:r>
    </w:p>
    <w:sectPr w:rsidR="00AA200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6D" w:rsidRDefault="00F44F6D">
      <w:r>
        <w:separator/>
      </w:r>
    </w:p>
  </w:endnote>
  <w:endnote w:type="continuationSeparator" w:id="0">
    <w:p w:rsidR="00F44F6D" w:rsidRDefault="00F4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6D" w:rsidRDefault="00F44F6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44F6D" w:rsidRDefault="00F44F6D" w:rsidP="009622BF">
      <w:pPr>
        <w:bidi/>
      </w:pPr>
      <w:r>
        <w:separator/>
      </w:r>
    </w:p>
  </w:footnote>
  <w:footnote w:id="1">
    <w:p w:rsidR="000A06EA" w:rsidRDefault="000A06EA">
      <w:pPr>
        <w:pStyle w:val="FootnoteText"/>
      </w:pPr>
      <w:r>
        <w:rPr>
          <w:rStyle w:val="FootnoteReference"/>
        </w:rPr>
        <w:t>*</w:t>
      </w:r>
      <w:r>
        <w:rPr>
          <w:rtl/>
        </w:rPr>
        <w:t xml:space="preserve"> </w:t>
      </w:r>
      <w:r>
        <w:rPr>
          <w:rFonts w:hint="cs"/>
          <w:rtl/>
        </w:rPr>
        <w:t>يشمل التقرير بشأن استخدام الأموال الاحتياطية.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D7461E" w:rsidP="00B96688">
    <w:bookmarkStart w:id="3" w:name="Code2"/>
    <w:bookmarkEnd w:id="3"/>
    <w:r>
      <w:t>WO/</w:t>
    </w:r>
    <w:proofErr w:type="spellStart"/>
    <w:r>
      <w:t>PBC</w:t>
    </w:r>
    <w:proofErr w:type="spellEnd"/>
    <w:r>
      <w:t>/22/1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30B0E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DF56833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6D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6AF2"/>
    <w:rsid w:val="000571DD"/>
    <w:rsid w:val="00061FF5"/>
    <w:rsid w:val="00062502"/>
    <w:rsid w:val="00063C91"/>
    <w:rsid w:val="000640E7"/>
    <w:rsid w:val="0006618F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06EA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1C7B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2742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700D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674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12B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B0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57BBC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CE6"/>
    <w:rsid w:val="005A7DE0"/>
    <w:rsid w:val="005B01DC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D3C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E78B9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478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1AFA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24B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84A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0886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108C"/>
    <w:rsid w:val="009B21B7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EF1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675CC"/>
    <w:rsid w:val="00A71670"/>
    <w:rsid w:val="00A72874"/>
    <w:rsid w:val="00A72E48"/>
    <w:rsid w:val="00A7359C"/>
    <w:rsid w:val="00A73616"/>
    <w:rsid w:val="00A76648"/>
    <w:rsid w:val="00A76DF7"/>
    <w:rsid w:val="00A77523"/>
    <w:rsid w:val="00A8121E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001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0BCE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34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688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01B5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5E1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669D8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54DF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1E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3FB3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4F6D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6737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199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5D5D3C"/>
    <w:pPr>
      <w:numPr>
        <w:numId w:val="21"/>
      </w:numPr>
      <w:spacing w:after="220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5D5D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5D3C"/>
    <w:rPr>
      <w:rFonts w:ascii="Arial" w:hAnsi="Arial" w:cs="Arial"/>
      <w:sz w:val="22"/>
    </w:rPr>
  </w:style>
  <w:style w:type="character" w:styleId="EndnoteReference">
    <w:name w:val="endnote reference"/>
    <w:basedOn w:val="DefaultParagraphFont"/>
    <w:rsid w:val="000A06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5D5D3C"/>
    <w:pPr>
      <w:numPr>
        <w:numId w:val="21"/>
      </w:numPr>
      <w:spacing w:after="220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5D5D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5D3C"/>
    <w:rPr>
      <w:rFonts w:ascii="Arial" w:hAnsi="Arial" w:cs="Arial"/>
      <w:sz w:val="22"/>
    </w:rPr>
  </w:style>
  <w:style w:type="character" w:styleId="EndnoteReference">
    <w:name w:val="endnote reference"/>
    <w:basedOn w:val="DefaultParagraphFont"/>
    <w:rsid w:val="000A06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PBC_2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AF306-0BDF-487D-8557-D990ECDE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WO_PBC_22_AR.dotx</Template>
  <TotalTime>28</TotalTime>
  <Pages>4</Pages>
  <Words>469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WO/PBC/20/-- (Arabic)</vt:lpstr>
    </vt:vector>
  </TitlesOfParts>
  <Company>World Intellectual Property Organization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WO/PBC/20/-- (Arabic)</dc:title>
  <dc:creator/>
  <cp:lastModifiedBy>AHMIDOUCH Noureddine</cp:lastModifiedBy>
  <cp:revision>13</cp:revision>
  <cp:lastPrinted>2014-09-01T10:06:00Z</cp:lastPrinted>
  <dcterms:created xsi:type="dcterms:W3CDTF">2014-08-12T07:50:00Z</dcterms:created>
  <dcterms:modified xsi:type="dcterms:W3CDTF">2014-09-01T10:09:00Z</dcterms:modified>
</cp:coreProperties>
</file>