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B8A4C58" wp14:editId="739F894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766A65" w:rsidRDefault="00A9449A" w:rsidP="00766A65">
            <w:pPr>
              <w:pStyle w:val="DocumentCodeAR"/>
              <w:bidi/>
              <w:rPr>
                <w:rtl/>
                <w:lang w:val="fr-CH"/>
              </w:rPr>
            </w:pPr>
            <w:r>
              <w:t>WO/</w:t>
            </w:r>
            <w:proofErr w:type="spellStart"/>
            <w:r>
              <w:t>PBC</w:t>
            </w:r>
            <w:proofErr w:type="spellEnd"/>
            <w:r w:rsidR="00100F97">
              <w:t>/</w:t>
            </w:r>
            <w:r>
              <w:t>24</w:t>
            </w:r>
            <w:r w:rsidR="00B6101C" w:rsidRPr="00B6101C">
              <w:t>/</w:t>
            </w:r>
            <w:r w:rsidR="00766A65">
              <w:t>15</w:t>
            </w:r>
          </w:p>
        </w:tc>
      </w:tr>
      <w:tr w:rsidR="001667B6" w:rsidTr="00BF164F">
        <w:tc>
          <w:tcPr>
            <w:tcW w:w="9571" w:type="dxa"/>
            <w:gridSpan w:val="3"/>
          </w:tcPr>
          <w:p w:rsidR="001667B6" w:rsidRPr="00B6101C" w:rsidRDefault="00B6101C" w:rsidP="00766A65">
            <w:pPr>
              <w:pStyle w:val="DocumentLanguageAR"/>
              <w:bidi/>
              <w:rPr>
                <w:rtl/>
              </w:rPr>
            </w:pPr>
            <w:r w:rsidRPr="00B6101C">
              <w:rPr>
                <w:rFonts w:hint="cs"/>
                <w:rtl/>
              </w:rPr>
              <w:t xml:space="preserve">الأصل: </w:t>
            </w:r>
            <w:r w:rsidR="00766A65">
              <w:rPr>
                <w:rFonts w:hint="cs"/>
                <w:rtl/>
              </w:rPr>
              <w:t>بالإنكليزية</w:t>
            </w:r>
          </w:p>
        </w:tc>
      </w:tr>
      <w:tr w:rsidR="001667B6" w:rsidTr="00BF164F">
        <w:tc>
          <w:tcPr>
            <w:tcW w:w="9571" w:type="dxa"/>
            <w:gridSpan w:val="3"/>
          </w:tcPr>
          <w:p w:rsidR="001667B6" w:rsidRPr="00B6101C" w:rsidRDefault="00B6101C" w:rsidP="001F2E3B">
            <w:pPr>
              <w:pStyle w:val="DocumentDateAR"/>
              <w:bidi/>
              <w:rPr>
                <w:rtl/>
              </w:rPr>
            </w:pPr>
            <w:r w:rsidRPr="00B6101C">
              <w:rPr>
                <w:rFonts w:hint="cs"/>
                <w:rtl/>
              </w:rPr>
              <w:t xml:space="preserve">التاريخ: </w:t>
            </w:r>
            <w:r w:rsidR="001F2E3B">
              <w:rPr>
                <w:rFonts w:hint="cs"/>
                <w:rtl/>
              </w:rPr>
              <w:t>9</w:t>
            </w:r>
            <w:bookmarkStart w:id="2" w:name="_GoBack"/>
            <w:bookmarkEnd w:id="2"/>
            <w:r w:rsidR="00766A65">
              <w:rPr>
                <w:rFonts w:hint="cs"/>
                <w:rtl/>
              </w:rPr>
              <w:t xml:space="preserve"> يوليو </w:t>
            </w:r>
            <w:r w:rsidR="00190B6D">
              <w:rPr>
                <w:rFonts w:hint="cs"/>
                <w:rtl/>
              </w:rPr>
              <w:t>201</w:t>
            </w:r>
            <w:r w:rsidR="00151493">
              <w:rPr>
                <w:rFonts w:hint="cs"/>
                <w:rtl/>
              </w:rPr>
              <w:t>5</w:t>
            </w:r>
          </w:p>
        </w:tc>
      </w:tr>
    </w:tbl>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الرابعة</w:t>
      </w:r>
      <w:r w:rsidRPr="001A28BF">
        <w:rPr>
          <w:rFonts w:ascii="Cambria Math" w:hAnsi="Cambria Math" w:cs="PT Bold Heading" w:hint="cs"/>
          <w:sz w:val="30"/>
          <w:szCs w:val="30"/>
          <w:rtl/>
        </w:rPr>
        <w:t xml:space="preserve"> والعشرون</w:t>
      </w:r>
    </w:p>
    <w:p w:rsidR="00A9449A" w:rsidRPr="001A28BF" w:rsidRDefault="00A9449A" w:rsidP="00A9449A">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Pr>
          <w:rFonts w:ascii="Arabic Typesetting" w:hAnsi="Arabic Typesetting" w:cs="Arabic Typesetting" w:hint="cs"/>
          <w:b/>
          <w:bCs/>
          <w:sz w:val="36"/>
          <w:szCs w:val="36"/>
          <w:rtl/>
        </w:rPr>
        <w:t>14</w:t>
      </w:r>
      <w:r w:rsidRPr="001A28BF">
        <w:rPr>
          <w:rFonts w:ascii="Arabic Typesetting" w:hAnsi="Arabic Typesetting" w:cs="Arabic Typesetting" w:hint="cs"/>
          <w:b/>
          <w:bCs/>
          <w:sz w:val="36"/>
          <w:szCs w:val="36"/>
          <w:rtl/>
        </w:rPr>
        <w:t xml:space="preserve"> إلى </w:t>
      </w:r>
      <w:r>
        <w:rPr>
          <w:rFonts w:ascii="Arabic Typesetting" w:hAnsi="Arabic Typesetting" w:cs="Arabic Typesetting" w:hint="cs"/>
          <w:b/>
          <w:bCs/>
          <w:sz w:val="36"/>
          <w:szCs w:val="36"/>
          <w:rtl/>
        </w:rPr>
        <w:t>18</w:t>
      </w:r>
      <w:r w:rsidRPr="001A28BF">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سبتمبر 2015</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766A65" w:rsidRPr="001A28BF" w:rsidRDefault="001F1771" w:rsidP="001F1771">
      <w:pPr>
        <w:bidi/>
        <w:spacing w:line="360" w:lineRule="exact"/>
        <w:rPr>
          <w:rFonts w:ascii="Arial Black" w:hAnsi="Arial Black" w:cs="PT Bold Heading"/>
          <w:sz w:val="26"/>
          <w:szCs w:val="26"/>
          <w:rtl/>
        </w:rPr>
      </w:pPr>
      <w:r>
        <w:rPr>
          <w:rFonts w:ascii="Arial Black" w:hAnsi="Arial Black" w:cs="PT Bold Heading" w:hint="cs"/>
          <w:sz w:val="26"/>
          <w:szCs w:val="26"/>
          <w:rtl/>
        </w:rPr>
        <w:t>ال</w:t>
      </w:r>
      <w:r w:rsidR="00766A65" w:rsidRPr="00A92B0C">
        <w:rPr>
          <w:rFonts w:ascii="Arial Black" w:hAnsi="Arial Black" w:cs="PT Bold Heading"/>
          <w:sz w:val="26"/>
          <w:szCs w:val="26"/>
          <w:rtl/>
        </w:rPr>
        <w:t xml:space="preserve">تقرير </w:t>
      </w:r>
      <w:r>
        <w:rPr>
          <w:rFonts w:ascii="Arial Black" w:hAnsi="Arial Black" w:cs="PT Bold Heading" w:hint="cs"/>
          <w:sz w:val="26"/>
          <w:szCs w:val="26"/>
          <w:rtl/>
        </w:rPr>
        <w:t>ال</w:t>
      </w:r>
      <w:r w:rsidR="00766A65">
        <w:rPr>
          <w:rFonts w:ascii="Arial Black" w:hAnsi="Arial Black" w:cs="PT Bold Heading" w:hint="cs"/>
          <w:sz w:val="26"/>
          <w:szCs w:val="26"/>
          <w:rtl/>
        </w:rPr>
        <w:t xml:space="preserve">نهائي </w:t>
      </w:r>
      <w:r w:rsidR="00766A65" w:rsidRPr="00A92B0C">
        <w:rPr>
          <w:rFonts w:ascii="Arial Black" w:hAnsi="Arial Black" w:cs="PT Bold Heading"/>
          <w:sz w:val="26"/>
          <w:szCs w:val="26"/>
          <w:rtl/>
        </w:rPr>
        <w:t>عن مشروع استثمار رأس المال في تكنولوجيا المعلومات والاتصالات</w:t>
      </w:r>
    </w:p>
    <w:p w:rsidR="00766A65" w:rsidRPr="001A28BF" w:rsidRDefault="00766A65" w:rsidP="00766A65">
      <w:pPr>
        <w:bidi/>
        <w:spacing w:before="240" w:after="840" w:line="360" w:lineRule="exact"/>
        <w:rPr>
          <w:rFonts w:ascii="Arabic Typesetting" w:hAnsi="Arabic Typesetting" w:cs="Arabic Typesetting"/>
          <w:i/>
          <w:iCs/>
          <w:sz w:val="36"/>
          <w:szCs w:val="36"/>
          <w:rtl/>
        </w:rPr>
      </w:pPr>
      <w:r w:rsidRPr="001A28BF">
        <w:rPr>
          <w:rFonts w:ascii="Arabic Typesetting" w:hAnsi="Arabic Typesetting" w:cs="Arabic Typesetting" w:hint="cs"/>
          <w:i/>
          <w:iCs/>
          <w:sz w:val="36"/>
          <w:szCs w:val="36"/>
          <w:rtl/>
        </w:rPr>
        <w:t>من إعداد</w:t>
      </w:r>
      <w:r>
        <w:rPr>
          <w:rFonts w:ascii="Arabic Typesetting" w:hAnsi="Arabic Typesetting" w:cs="Arabic Typesetting" w:hint="cs"/>
          <w:i/>
          <w:iCs/>
          <w:sz w:val="36"/>
          <w:szCs w:val="36"/>
          <w:rtl/>
        </w:rPr>
        <w:t xml:space="preserve"> الأمانة</w:t>
      </w:r>
    </w:p>
    <w:p w:rsidR="00766A65" w:rsidRDefault="00766A65" w:rsidP="00766A65">
      <w:pPr>
        <w:pStyle w:val="Heading1AR"/>
        <w:rPr>
          <w:rtl/>
        </w:rPr>
      </w:pPr>
      <w:r>
        <w:rPr>
          <w:rtl/>
        </w:rPr>
        <w:t>معلومات أساسية</w:t>
      </w:r>
    </w:p>
    <w:p w:rsidR="00766A65" w:rsidRPr="00A92B0C" w:rsidRDefault="00766A65" w:rsidP="00766A65">
      <w:pPr>
        <w:pStyle w:val="NumberedParaAR"/>
      </w:pPr>
      <w:r w:rsidRPr="00A92B0C">
        <w:rPr>
          <w:rtl/>
        </w:rPr>
        <w:t>وافقت جمعيات الدول الأعضاء في الويبو، في سلسلة اجتماعاتها التاسعة والأربعين (من 26 سبتمبر إلى 5 أكتوبر 2011)، على اقتراح استثمار رأس المال لتمويل بعض أنشطة تكنولوجيا المعلومات والاتصالات (الوثيق</w:t>
      </w:r>
      <w:r>
        <w:rPr>
          <w:rFonts w:hint="cs"/>
          <w:rtl/>
        </w:rPr>
        <w:t xml:space="preserve">ة </w:t>
      </w:r>
      <w:r>
        <w:t>A/49/7</w:t>
      </w:r>
      <w:r>
        <w:rPr>
          <w:rFonts w:hint="cs"/>
          <w:rtl/>
        </w:rPr>
        <w:t>)</w:t>
      </w:r>
      <w:r>
        <w:rPr>
          <w:rFonts w:hint="cs"/>
          <w:rtl/>
          <w:lang w:val="fr-CH"/>
        </w:rPr>
        <w:t>.</w:t>
      </w:r>
    </w:p>
    <w:p w:rsidR="00766A65" w:rsidRDefault="00766A65" w:rsidP="00766A65">
      <w:pPr>
        <w:pStyle w:val="NumberedParaAR"/>
      </w:pPr>
      <w:r>
        <w:rPr>
          <w:rFonts w:hint="cs"/>
          <w:rtl/>
        </w:rPr>
        <w:t>وتشمل الأنشطة المذكورة ما يلي:</w:t>
      </w:r>
    </w:p>
    <w:p w:rsidR="00766A65" w:rsidRDefault="00766A65" w:rsidP="00766A65">
      <w:pPr>
        <w:pStyle w:val="NumberedParaAR"/>
        <w:numPr>
          <w:ilvl w:val="0"/>
          <w:numId w:val="21"/>
        </w:numPr>
      </w:pPr>
      <w:r>
        <w:rPr>
          <w:rFonts w:hint="cs"/>
          <w:rtl/>
        </w:rPr>
        <w:t>المرافق الخاصة بتكنولوجيا المعلومات والاتصالات لأغراض قاعة المؤتمرات الجديدة وقاعات الاجتماعات المجاورة لها وسائر قاعات الاجتماعات في مباني الويبو؛</w:t>
      </w:r>
    </w:p>
    <w:p w:rsidR="00766A65" w:rsidRDefault="00766A65" w:rsidP="00766A65">
      <w:pPr>
        <w:pStyle w:val="NumberedParaAR"/>
        <w:numPr>
          <w:ilvl w:val="0"/>
          <w:numId w:val="21"/>
        </w:numPr>
      </w:pPr>
      <w:r>
        <w:rPr>
          <w:rFonts w:hint="cs"/>
          <w:rtl/>
        </w:rPr>
        <w:t xml:space="preserve">واستبدال بدالة الهاتف </w:t>
      </w:r>
      <w:proofErr w:type="spellStart"/>
      <w:r>
        <w:rPr>
          <w:rFonts w:hint="cs"/>
          <w:rtl/>
        </w:rPr>
        <w:t>نورتل</w:t>
      </w:r>
      <w:proofErr w:type="spellEnd"/>
      <w:r>
        <w:rPr>
          <w:rFonts w:hint="cs"/>
          <w:rtl/>
        </w:rPr>
        <w:t xml:space="preserve"> ميريديان المتقادمة؛</w:t>
      </w:r>
    </w:p>
    <w:p w:rsidR="00766A65" w:rsidRDefault="00766A65" w:rsidP="00766A65">
      <w:pPr>
        <w:pStyle w:val="NumberedParaAR"/>
        <w:numPr>
          <w:ilvl w:val="0"/>
          <w:numId w:val="21"/>
        </w:numPr>
      </w:pPr>
      <w:r>
        <w:rPr>
          <w:rFonts w:hint="cs"/>
          <w:rtl/>
        </w:rPr>
        <w:t>واستبدال الحواسيب المكتبية.</w:t>
      </w:r>
    </w:p>
    <w:p w:rsidR="00766A65" w:rsidRDefault="00766A65" w:rsidP="00A351AD">
      <w:pPr>
        <w:pStyle w:val="NumberedParaAR"/>
      </w:pPr>
      <w:r>
        <w:rPr>
          <w:rFonts w:hint="cs"/>
          <w:rtl/>
        </w:rPr>
        <w:t>وأطلِعَت لجنة البرنامج والميزانية في دورتيها الحادية والعشرين (من 9</w:t>
      </w:r>
      <w:r>
        <w:rPr>
          <w:rFonts w:hint="eastAsia"/>
          <w:rtl/>
        </w:rPr>
        <w:t> </w:t>
      </w:r>
      <w:r>
        <w:rPr>
          <w:rFonts w:hint="cs"/>
          <w:rtl/>
        </w:rPr>
        <w:t>إلى 13</w:t>
      </w:r>
      <w:r>
        <w:rPr>
          <w:rFonts w:hint="eastAsia"/>
          <w:rtl/>
        </w:rPr>
        <w:t> </w:t>
      </w:r>
      <w:r>
        <w:rPr>
          <w:rFonts w:hint="cs"/>
          <w:rtl/>
        </w:rPr>
        <w:t>سبتمبر</w:t>
      </w:r>
      <w:r>
        <w:rPr>
          <w:rFonts w:hint="eastAsia"/>
          <w:rtl/>
        </w:rPr>
        <w:t> </w:t>
      </w:r>
      <w:r>
        <w:rPr>
          <w:rFonts w:hint="cs"/>
          <w:rtl/>
        </w:rPr>
        <w:t>2013) والثانية والعشرين (من</w:t>
      </w:r>
      <w:r w:rsidR="00A351AD">
        <w:rPr>
          <w:rFonts w:hint="eastAsia"/>
        </w:rPr>
        <w:t> </w:t>
      </w:r>
      <w:r>
        <w:rPr>
          <w:rFonts w:hint="cs"/>
          <w:rtl/>
        </w:rPr>
        <w:t>1</w:t>
      </w:r>
      <w:r>
        <w:rPr>
          <w:rFonts w:hint="eastAsia"/>
          <w:rtl/>
        </w:rPr>
        <w:t> </w:t>
      </w:r>
      <w:r>
        <w:rPr>
          <w:rFonts w:hint="cs"/>
          <w:rtl/>
        </w:rPr>
        <w:t>إلى 5</w:t>
      </w:r>
      <w:r>
        <w:rPr>
          <w:rFonts w:hint="eastAsia"/>
          <w:rtl/>
        </w:rPr>
        <w:t> </w:t>
      </w:r>
      <w:r>
        <w:rPr>
          <w:rFonts w:hint="cs"/>
          <w:rtl/>
        </w:rPr>
        <w:t>سبتمبر</w:t>
      </w:r>
      <w:r>
        <w:rPr>
          <w:rFonts w:hint="eastAsia"/>
          <w:rtl/>
        </w:rPr>
        <w:t> </w:t>
      </w:r>
      <w:r>
        <w:rPr>
          <w:rFonts w:hint="cs"/>
          <w:rtl/>
        </w:rPr>
        <w:t>2014) على آخر المستجدات المتعلقة بتقدّم هذا المشروع (الوثيقتان</w:t>
      </w:r>
      <w:r>
        <w:rPr>
          <w:rFonts w:hint="eastAsia"/>
          <w:rtl/>
        </w:rPr>
        <w:t> </w:t>
      </w:r>
      <w:r w:rsidRPr="00823347">
        <w:t>WO/</w:t>
      </w:r>
      <w:proofErr w:type="spellStart"/>
      <w:r w:rsidRPr="00823347">
        <w:t>PBC</w:t>
      </w:r>
      <w:proofErr w:type="spellEnd"/>
      <w:r w:rsidRPr="00823347">
        <w:t>/21/14</w:t>
      </w:r>
      <w:r>
        <w:rPr>
          <w:rFonts w:hint="cs"/>
          <w:rtl/>
        </w:rPr>
        <w:t xml:space="preserve"> و</w:t>
      </w:r>
      <w:r>
        <w:t>WO/</w:t>
      </w:r>
      <w:proofErr w:type="spellStart"/>
      <w:r>
        <w:t>PBC</w:t>
      </w:r>
      <w:proofErr w:type="spellEnd"/>
      <w:r>
        <w:t>/22/18</w:t>
      </w:r>
      <w:r>
        <w:rPr>
          <w:rFonts w:hint="cs"/>
          <w:rtl/>
        </w:rPr>
        <w:t>). و</w:t>
      </w:r>
      <w:r>
        <w:rPr>
          <w:rFonts w:hint="cs"/>
          <w:rtl/>
          <w:lang w:val="fr-CH"/>
        </w:rPr>
        <w:t xml:space="preserve">أشير إلى أنّ عملية استبدال بدالة الهاتف </w:t>
      </w:r>
      <w:proofErr w:type="spellStart"/>
      <w:r>
        <w:rPr>
          <w:rFonts w:hint="cs"/>
          <w:rtl/>
          <w:lang w:val="fr-CH"/>
        </w:rPr>
        <w:t>نورتل</w:t>
      </w:r>
      <w:proofErr w:type="spellEnd"/>
      <w:r>
        <w:rPr>
          <w:rFonts w:hint="cs"/>
          <w:rtl/>
          <w:lang w:val="fr-CH"/>
        </w:rPr>
        <w:t xml:space="preserve"> </w:t>
      </w:r>
      <w:r>
        <w:rPr>
          <w:rFonts w:hint="cs"/>
          <w:rtl/>
        </w:rPr>
        <w:t>ميريديان المتقادمة قد استُكملت وحقّقت كل أهدافها المؤسسية الرئيسية.</w:t>
      </w:r>
    </w:p>
    <w:p w:rsidR="00766A65" w:rsidRPr="00DC4B2B" w:rsidRDefault="00766A65" w:rsidP="00766A65">
      <w:pPr>
        <w:pStyle w:val="NumberedParaAR"/>
      </w:pPr>
      <w:r>
        <w:rPr>
          <w:rFonts w:hint="cs"/>
          <w:rtl/>
        </w:rPr>
        <w:lastRenderedPageBreak/>
        <w:t xml:space="preserve">واستكمل عمل </w:t>
      </w:r>
      <w:r>
        <w:rPr>
          <w:rFonts w:hint="cs"/>
          <w:rtl/>
          <w:lang w:val="fr-CH"/>
        </w:rPr>
        <w:t xml:space="preserve">تركيب مرافق خاصة بتكنولوجيا المعلومات والاتصالات في قاعة المؤتمرات الجديدة وقاعات الاجتماعات المجاورة لها وسائر قاعات الاجتماعات في مباني الويبو في الموعد المناسب لافتتاح قاعة المؤتمرات الجديدة. ومن المرتقب إتمام كل الأعمال الإضافية لتعزيز شبكة واي </w:t>
      </w:r>
      <w:proofErr w:type="spellStart"/>
      <w:r>
        <w:rPr>
          <w:rFonts w:hint="cs"/>
          <w:rtl/>
          <w:lang w:val="fr-CH"/>
        </w:rPr>
        <w:t>فاي</w:t>
      </w:r>
      <w:proofErr w:type="spellEnd"/>
      <w:r>
        <w:rPr>
          <w:rFonts w:hint="cs"/>
          <w:rtl/>
          <w:lang w:val="fr-CH"/>
        </w:rPr>
        <w:t xml:space="preserve"> والمرافق السمعية البصرية لقاعات الاجتماعات الأخرى بحلول نهاية 2015. </w:t>
      </w:r>
    </w:p>
    <w:p w:rsidR="00766A65" w:rsidRPr="00311E2A" w:rsidRDefault="00766A65" w:rsidP="00766A65">
      <w:pPr>
        <w:pStyle w:val="NumberedParaAR"/>
      </w:pPr>
      <w:r>
        <w:rPr>
          <w:rFonts w:hint="cs"/>
          <w:rtl/>
        </w:rPr>
        <w:t>واستُكمِلَت عملية استبدال الحواسيب المكتبية المتقادمة، بما فيها البرمجيات، في أواخر عام 2013. ومع تسديد الدفعة الأخيرة المقررة في نوفمبر 2015، سيكون هذا العمل قد استكمل كليا بحلول نهاية 2015.</w:t>
      </w:r>
    </w:p>
    <w:p w:rsidR="00766A65" w:rsidRPr="00311E2A" w:rsidRDefault="00766A65" w:rsidP="00766A65">
      <w:pPr>
        <w:pStyle w:val="Heading1AR"/>
      </w:pPr>
      <w:r>
        <w:rPr>
          <w:rFonts w:hint="cs"/>
          <w:rtl/>
          <w:lang w:val="fr-CH"/>
        </w:rPr>
        <w:t>ملخّص</w:t>
      </w:r>
    </w:p>
    <w:p w:rsidR="00766A65" w:rsidRDefault="00766A65" w:rsidP="00766A65">
      <w:pPr>
        <w:pStyle w:val="NumberedParaAR"/>
        <w:rPr>
          <w:lang w:val="fr-CH"/>
        </w:rPr>
      </w:pPr>
      <w:r>
        <w:rPr>
          <w:rFonts w:hint="cs"/>
          <w:rtl/>
        </w:rPr>
        <w:t xml:space="preserve">من المرتقب استكمال جميع أنشطة المشروع كليا بحلول نهاية 2015. وسيكون المشروع قد نفِّذ </w:t>
      </w:r>
      <w:r>
        <w:rPr>
          <w:rFonts w:hint="cs"/>
          <w:rtl/>
          <w:lang w:val="fr-CH"/>
        </w:rPr>
        <w:t>وفقا للنطاق المقرّر، وستكون كل الأهداف التشغيلية الرئيسية قد تحققت وفقا للخطة المرسومة. ورغم وجود بعض الفوارق بين النفقات الفعلية والميزانية المعتمدة فيما بين مختلف الأنشطة، فإن المشروع ككل ظل ضمن نطاق المبلغ الإجمالي المخصص له في الميزانية المعتمدة. ويبيّن الجدول التالي ملخص استخدام الميزانية، بما في ذلك المبالغ التي لا تزال مستحقة الدفع في 2015.</w:t>
      </w:r>
    </w:p>
    <w:tbl>
      <w:tblPr>
        <w:tblStyle w:val="TableGrid"/>
        <w:bidiVisual/>
        <w:tblW w:w="10184" w:type="dxa"/>
        <w:tblInd w:w="-176" w:type="dxa"/>
        <w:tblLayout w:type="fixed"/>
        <w:tblLook w:val="06A0" w:firstRow="1" w:lastRow="0" w:firstColumn="1" w:lastColumn="0" w:noHBand="1" w:noVBand="1"/>
      </w:tblPr>
      <w:tblGrid>
        <w:gridCol w:w="568"/>
        <w:gridCol w:w="3685"/>
        <w:gridCol w:w="1560"/>
        <w:gridCol w:w="1416"/>
        <w:gridCol w:w="1419"/>
        <w:gridCol w:w="1536"/>
      </w:tblGrid>
      <w:tr w:rsidR="00766A65" w:rsidRPr="0075349D" w:rsidTr="00B02D18">
        <w:trPr>
          <w:trHeight w:val="440"/>
        </w:trPr>
        <w:tc>
          <w:tcPr>
            <w:tcW w:w="568" w:type="dxa"/>
            <w:tcMar>
              <w:top w:w="57" w:type="dxa"/>
              <w:bottom w:w="57" w:type="dxa"/>
            </w:tcMar>
            <w:vAlign w:val="cente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r w:rsidRPr="0075349D">
              <w:rPr>
                <w:rFonts w:ascii="Arabic Typesetting" w:hAnsi="Arabic Typesetting" w:cs="Arabic Typesetting"/>
                <w:bCs/>
                <w:sz w:val="28"/>
                <w:szCs w:val="28"/>
                <w:rtl/>
              </w:rPr>
              <w:t>المرجع</w:t>
            </w:r>
          </w:p>
        </w:tc>
        <w:tc>
          <w:tcPr>
            <w:tcW w:w="3685" w:type="dxa"/>
            <w:tcMar>
              <w:top w:w="57" w:type="dxa"/>
              <w:bottom w:w="57" w:type="dxa"/>
            </w:tcMar>
            <w:vAlign w:val="cente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r w:rsidRPr="0075349D">
              <w:rPr>
                <w:rFonts w:ascii="Arabic Typesetting" w:hAnsi="Arabic Typesetting" w:cs="Arabic Typesetting"/>
                <w:bCs/>
                <w:sz w:val="28"/>
                <w:szCs w:val="28"/>
                <w:rtl/>
              </w:rPr>
              <w:t>الوصف</w:t>
            </w:r>
          </w:p>
        </w:tc>
        <w:tc>
          <w:tcPr>
            <w:tcW w:w="1560" w:type="dxa"/>
            <w:tcMar>
              <w:top w:w="57" w:type="dxa"/>
              <w:bottom w:w="57" w:type="dxa"/>
            </w:tcMar>
            <w:vAlign w:val="cente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b/>
                <w:bCs/>
                <w:sz w:val="28"/>
                <w:szCs w:val="28"/>
                <w:rtl/>
              </w:rPr>
              <w:t>الميزانية</w:t>
            </w:r>
            <w:r w:rsidRPr="0075349D">
              <w:rPr>
                <w:rFonts w:ascii="Arabic Typesetting" w:hAnsi="Arabic Typesetting" w:cs="Arabic Typesetting"/>
                <w:b/>
                <w:bCs/>
                <w:sz w:val="28"/>
                <w:szCs w:val="28"/>
                <w:rtl/>
                <w:lang w:val="fr-CH"/>
              </w:rPr>
              <w:t xml:space="preserve"> المعتمدة</w:t>
            </w:r>
            <w:r>
              <w:rPr>
                <w:rFonts w:ascii="Arabic Typesetting" w:hAnsi="Arabic Typesetting" w:cs="Arabic Typesetting"/>
                <w:b/>
                <w:bCs/>
                <w:sz w:val="28"/>
                <w:szCs w:val="28"/>
                <w:lang w:val="fr-CH"/>
              </w:rPr>
              <w:br/>
            </w:r>
            <w:r w:rsidRPr="0075349D">
              <w:rPr>
                <w:rFonts w:ascii="Arabic Typesetting" w:hAnsi="Arabic Typesetting" w:cs="Arabic Typesetting"/>
                <w:sz w:val="24"/>
                <w:szCs w:val="24"/>
                <w:rtl/>
              </w:rPr>
              <w:t>(بالفرنك السويسري)</w:t>
            </w:r>
          </w:p>
        </w:tc>
        <w:tc>
          <w:tcPr>
            <w:tcW w:w="1416" w:type="dxa"/>
            <w:tcMar>
              <w:top w:w="57" w:type="dxa"/>
              <w:bottom w:w="57" w:type="dxa"/>
            </w:tcMar>
            <w:vAlign w:val="cente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r>
              <w:rPr>
                <w:rFonts w:ascii="Arabic Typesetting" w:hAnsi="Arabic Typesetting" w:cs="Arabic Typesetting" w:hint="cs"/>
                <w:b/>
                <w:bCs/>
                <w:sz w:val="28"/>
                <w:szCs w:val="28"/>
                <w:rtl/>
              </w:rPr>
              <w:t>النفقات الفعلية</w:t>
            </w:r>
            <w:r>
              <w:rPr>
                <w:rFonts w:ascii="Arabic Typesetting" w:hAnsi="Arabic Typesetting" w:cs="Arabic Typesetting"/>
                <w:b/>
                <w:bCs/>
                <w:sz w:val="28"/>
                <w:szCs w:val="28"/>
                <w:lang w:val="fr-CH"/>
              </w:rPr>
              <w:br/>
            </w:r>
            <w:r w:rsidRPr="0075349D">
              <w:rPr>
                <w:rFonts w:ascii="Arabic Typesetting" w:hAnsi="Arabic Typesetting" w:cs="Arabic Typesetting"/>
                <w:sz w:val="24"/>
                <w:szCs w:val="24"/>
                <w:rtl/>
              </w:rPr>
              <w:t>(بالفرنك السويسري)</w:t>
            </w:r>
          </w:p>
        </w:tc>
        <w:tc>
          <w:tcPr>
            <w:tcW w:w="1419" w:type="dxa"/>
            <w:vAlign w:val="cente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r>
              <w:rPr>
                <w:rFonts w:ascii="Arabic Typesetting" w:hAnsi="Arabic Typesetting" w:cs="Arabic Typesetting" w:hint="cs"/>
                <w:b/>
                <w:bCs/>
                <w:sz w:val="28"/>
                <w:szCs w:val="28"/>
                <w:rtl/>
              </w:rPr>
              <w:t>المدفوعات المتبقية</w:t>
            </w:r>
            <w:r>
              <w:rPr>
                <w:rFonts w:ascii="Arabic Typesetting" w:hAnsi="Arabic Typesetting" w:cs="Arabic Typesetting"/>
                <w:b/>
                <w:bCs/>
                <w:sz w:val="28"/>
                <w:szCs w:val="28"/>
                <w:lang w:val="fr-CH"/>
              </w:rPr>
              <w:br/>
            </w:r>
            <w:r w:rsidRPr="0075349D">
              <w:rPr>
                <w:rFonts w:ascii="Arabic Typesetting" w:hAnsi="Arabic Typesetting" w:cs="Arabic Typesetting"/>
                <w:sz w:val="24"/>
                <w:szCs w:val="24"/>
                <w:rtl/>
              </w:rPr>
              <w:t>(بالفرنك السويسري)</w:t>
            </w:r>
          </w:p>
        </w:tc>
        <w:tc>
          <w:tcPr>
            <w:tcW w:w="1536" w:type="dxa"/>
            <w:vAlign w:val="cente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r>
              <w:rPr>
                <w:rFonts w:ascii="Arabic Typesetting" w:hAnsi="Arabic Typesetting" w:cs="Arabic Typesetting" w:hint="cs"/>
                <w:b/>
                <w:bCs/>
                <w:sz w:val="28"/>
                <w:szCs w:val="28"/>
                <w:rtl/>
              </w:rPr>
              <w:t>إجمالي النفقات المقدرة</w:t>
            </w:r>
            <w:r>
              <w:rPr>
                <w:rFonts w:ascii="Arabic Typesetting" w:hAnsi="Arabic Typesetting" w:cs="Arabic Typesetting"/>
                <w:b/>
                <w:bCs/>
                <w:sz w:val="28"/>
                <w:szCs w:val="28"/>
                <w:lang w:val="fr-CH"/>
              </w:rPr>
              <w:br/>
            </w:r>
            <w:r w:rsidRPr="0075349D">
              <w:rPr>
                <w:rFonts w:ascii="Arabic Typesetting" w:hAnsi="Arabic Typesetting" w:cs="Arabic Typesetting"/>
                <w:sz w:val="24"/>
                <w:szCs w:val="24"/>
                <w:rtl/>
              </w:rPr>
              <w:t>(بالفرنك السويسري)</w:t>
            </w:r>
          </w:p>
        </w:tc>
      </w:tr>
      <w:tr w:rsidR="00766A65" w:rsidRPr="0075349D" w:rsidTr="00B02D18">
        <w:trPr>
          <w:trHeight w:val="152"/>
        </w:trPr>
        <w:tc>
          <w:tcPr>
            <w:tcW w:w="568"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r>
              <w:rPr>
                <w:rFonts w:ascii="Arabic Typesetting" w:hAnsi="Arabic Typesetting" w:cs="Arabic Typesetting" w:hint="cs"/>
                <w:b/>
                <w:sz w:val="28"/>
                <w:szCs w:val="28"/>
                <w:rtl/>
              </w:rPr>
              <w:t>1.</w:t>
            </w:r>
          </w:p>
        </w:tc>
        <w:tc>
          <w:tcPr>
            <w:tcW w:w="3685" w:type="dxa"/>
            <w:tcMar>
              <w:top w:w="85" w:type="dxa"/>
              <w:bottom w:w="85" w:type="dxa"/>
            </w:tcMar>
          </w:tcPr>
          <w:p w:rsidR="00766A65" w:rsidRPr="0075349D" w:rsidRDefault="00766A65" w:rsidP="00B02D18">
            <w:pPr>
              <w:pStyle w:val="ONUME"/>
              <w:numPr>
                <w:ilvl w:val="0"/>
                <w:numId w:val="0"/>
              </w:numPr>
              <w:bidi/>
              <w:spacing w:after="0" w:line="280" w:lineRule="exact"/>
              <w:rPr>
                <w:rFonts w:ascii="Arabic Typesetting" w:hAnsi="Arabic Typesetting" w:cs="Arabic Typesetting"/>
                <w:bCs/>
                <w:sz w:val="28"/>
                <w:szCs w:val="28"/>
              </w:rPr>
            </w:pPr>
            <w:r w:rsidRPr="0075349D">
              <w:rPr>
                <w:rFonts w:ascii="Arabic Typesetting" w:hAnsi="Arabic Typesetting" w:cs="Arabic Typesetting"/>
                <w:bCs/>
                <w:sz w:val="28"/>
                <w:szCs w:val="28"/>
                <w:rtl/>
              </w:rPr>
              <w:t>المرافق الخاصة بتكنولوجيا المعلومات والاتصالات لأغراض قاعة المؤتمرات الجديدة وقاعات الاجتماعات المجاورة لها وسائر قاعات الاجتماعات في مباني الويبو</w:t>
            </w:r>
          </w:p>
        </w:tc>
        <w:tc>
          <w:tcPr>
            <w:tcW w:w="1560" w:type="dxa"/>
            <w:tcMar>
              <w:top w:w="85" w:type="dxa"/>
              <w:bottom w:w="85" w:type="dxa"/>
            </w:tcMar>
          </w:tcPr>
          <w:p w:rsidR="00766A65" w:rsidRPr="0075349D" w:rsidRDefault="00766A65" w:rsidP="00B02D18">
            <w:pPr>
              <w:pStyle w:val="ONUME"/>
              <w:numPr>
                <w:ilvl w:val="0"/>
                <w:numId w:val="0"/>
              </w:numPr>
              <w:bidi/>
              <w:spacing w:after="0" w:line="280" w:lineRule="exact"/>
              <w:rPr>
                <w:rFonts w:ascii="Arabic Typesetting" w:hAnsi="Arabic Typesetting" w:cs="Arabic Typesetting"/>
                <w:sz w:val="28"/>
                <w:szCs w:val="28"/>
              </w:rPr>
            </w:pPr>
          </w:p>
        </w:tc>
        <w:tc>
          <w:tcPr>
            <w:tcW w:w="1416" w:type="dxa"/>
            <w:tcMar>
              <w:top w:w="85" w:type="dxa"/>
              <w:bottom w:w="85" w:type="dxa"/>
            </w:tcMar>
          </w:tcPr>
          <w:p w:rsidR="00766A65" w:rsidRPr="0075349D" w:rsidRDefault="00766A65" w:rsidP="00B02D18">
            <w:pPr>
              <w:pStyle w:val="ONUME"/>
              <w:numPr>
                <w:ilvl w:val="0"/>
                <w:numId w:val="0"/>
              </w:numPr>
              <w:bidi/>
              <w:spacing w:after="0" w:line="280" w:lineRule="exact"/>
              <w:rPr>
                <w:rFonts w:ascii="Arabic Typesetting" w:hAnsi="Arabic Typesetting" w:cs="Arabic Typesetting"/>
                <w:sz w:val="28"/>
                <w:szCs w:val="28"/>
              </w:rPr>
            </w:pPr>
          </w:p>
        </w:tc>
        <w:tc>
          <w:tcPr>
            <w:tcW w:w="1419" w:type="dxa"/>
          </w:tcPr>
          <w:p w:rsidR="00766A65" w:rsidRPr="0075349D" w:rsidRDefault="00766A65" w:rsidP="00B02D18">
            <w:pPr>
              <w:pStyle w:val="ONUME"/>
              <w:numPr>
                <w:ilvl w:val="0"/>
                <w:numId w:val="0"/>
              </w:numPr>
              <w:bidi/>
              <w:spacing w:after="0" w:line="280" w:lineRule="exact"/>
              <w:rPr>
                <w:rFonts w:ascii="Arabic Typesetting" w:hAnsi="Arabic Typesetting" w:cs="Arabic Typesetting"/>
                <w:sz w:val="28"/>
                <w:szCs w:val="28"/>
              </w:rPr>
            </w:pPr>
          </w:p>
        </w:tc>
        <w:tc>
          <w:tcPr>
            <w:tcW w:w="1536" w:type="dxa"/>
          </w:tcPr>
          <w:p w:rsidR="00766A65" w:rsidRPr="0075349D" w:rsidRDefault="00766A65" w:rsidP="00B02D18">
            <w:pPr>
              <w:pStyle w:val="ONUME"/>
              <w:numPr>
                <w:ilvl w:val="0"/>
                <w:numId w:val="0"/>
              </w:numPr>
              <w:bidi/>
              <w:spacing w:after="0" w:line="280" w:lineRule="exact"/>
              <w:rPr>
                <w:rFonts w:ascii="Arabic Typesetting" w:hAnsi="Arabic Typesetting" w:cs="Arabic Typesetting"/>
                <w:sz w:val="28"/>
                <w:szCs w:val="28"/>
              </w:rPr>
            </w:pPr>
          </w:p>
        </w:tc>
      </w:tr>
      <w:tr w:rsidR="00766A65" w:rsidRPr="0075349D" w:rsidTr="00B02D18">
        <w:trPr>
          <w:trHeight w:val="428"/>
        </w:trPr>
        <w:tc>
          <w:tcPr>
            <w:tcW w:w="568"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p>
        </w:tc>
        <w:tc>
          <w:tcPr>
            <w:tcW w:w="3685" w:type="dxa"/>
            <w:tcMar>
              <w:top w:w="85" w:type="dxa"/>
              <w:bottom w:w="85" w:type="dxa"/>
            </w:tcMar>
            <w:vAlign w:val="center"/>
          </w:tcPr>
          <w:p w:rsidR="00766A65" w:rsidRPr="0075349D" w:rsidRDefault="00766A65" w:rsidP="00B02D18">
            <w:pPr>
              <w:pStyle w:val="ONUME"/>
              <w:numPr>
                <w:ilvl w:val="0"/>
                <w:numId w:val="0"/>
              </w:numPr>
              <w:bidi/>
              <w:spacing w:after="0" w:line="280" w:lineRule="exact"/>
              <w:rPr>
                <w:rFonts w:ascii="Arabic Typesetting" w:hAnsi="Arabic Typesetting" w:cs="Arabic Typesetting"/>
                <w:sz w:val="28"/>
                <w:szCs w:val="28"/>
              </w:rPr>
            </w:pPr>
            <w:r w:rsidRPr="0075349D">
              <w:rPr>
                <w:rFonts w:ascii="Arabic Typesetting" w:hAnsi="Arabic Typesetting" w:cs="Arabic Typesetting"/>
                <w:sz w:val="28"/>
                <w:szCs w:val="28"/>
                <w:rtl/>
              </w:rPr>
              <w:t xml:space="preserve">بدالات الشبكة لتوصيل أكثر من 900 مقعد، ونقاط النفاذ إلى شبكة واي </w:t>
            </w:r>
            <w:proofErr w:type="spellStart"/>
            <w:r w:rsidRPr="0075349D">
              <w:rPr>
                <w:rFonts w:ascii="Arabic Typesetting" w:hAnsi="Arabic Typesetting" w:cs="Arabic Typesetting"/>
                <w:sz w:val="28"/>
                <w:szCs w:val="28"/>
                <w:rtl/>
              </w:rPr>
              <w:t>فاي</w:t>
            </w:r>
            <w:proofErr w:type="spellEnd"/>
            <w:r w:rsidRPr="0075349D">
              <w:rPr>
                <w:rFonts w:ascii="Arabic Typesetting" w:hAnsi="Arabic Typesetting" w:cs="Arabic Typesetting"/>
                <w:sz w:val="28"/>
                <w:szCs w:val="28"/>
                <w:rtl/>
              </w:rPr>
              <w:t>، والتغطية بنظام الاتصالات المتنقلة العالمية، وغيرها</w:t>
            </w:r>
          </w:p>
        </w:tc>
        <w:tc>
          <w:tcPr>
            <w:tcW w:w="1560"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450,000</w:t>
            </w:r>
          </w:p>
        </w:tc>
        <w:tc>
          <w:tcPr>
            <w:tcW w:w="1416"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368,255</w:t>
            </w:r>
          </w:p>
        </w:tc>
        <w:tc>
          <w:tcPr>
            <w:tcW w:w="1419" w:type="dxa"/>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80,000</w:t>
            </w:r>
          </w:p>
        </w:tc>
        <w:tc>
          <w:tcPr>
            <w:tcW w:w="1536" w:type="dxa"/>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448,255</w:t>
            </w:r>
          </w:p>
        </w:tc>
      </w:tr>
      <w:tr w:rsidR="00766A65" w:rsidRPr="0075349D" w:rsidTr="00B02D18">
        <w:trPr>
          <w:trHeight w:val="267"/>
        </w:trPr>
        <w:tc>
          <w:tcPr>
            <w:tcW w:w="568"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p>
        </w:tc>
        <w:tc>
          <w:tcPr>
            <w:tcW w:w="3685" w:type="dxa"/>
            <w:tcMar>
              <w:top w:w="85" w:type="dxa"/>
              <w:bottom w:w="85" w:type="dxa"/>
            </w:tcMar>
          </w:tcPr>
          <w:p w:rsidR="00766A65" w:rsidRPr="0075349D" w:rsidRDefault="00766A65" w:rsidP="00B02D18">
            <w:pPr>
              <w:pStyle w:val="ONUME"/>
              <w:numPr>
                <w:ilvl w:val="0"/>
                <w:numId w:val="0"/>
              </w:numPr>
              <w:bidi/>
              <w:spacing w:after="0" w:line="280" w:lineRule="exact"/>
              <w:rPr>
                <w:rFonts w:ascii="Arabic Typesetting" w:hAnsi="Arabic Typesetting" w:cs="Arabic Typesetting"/>
                <w:sz w:val="28"/>
                <w:szCs w:val="28"/>
              </w:rPr>
            </w:pPr>
            <w:r w:rsidRPr="0075349D">
              <w:rPr>
                <w:rFonts w:ascii="Arabic Typesetting" w:hAnsi="Arabic Typesetting" w:cs="Arabic Typesetting"/>
                <w:sz w:val="28"/>
                <w:szCs w:val="28"/>
                <w:rtl/>
              </w:rPr>
              <w:t>هواتف بروتوكول الإنترنت والبنية التحتية المعلوماتية المرتبطة بها</w:t>
            </w:r>
          </w:p>
        </w:tc>
        <w:tc>
          <w:tcPr>
            <w:tcW w:w="1560"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30,000</w:t>
            </w:r>
          </w:p>
        </w:tc>
        <w:tc>
          <w:tcPr>
            <w:tcW w:w="1416"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33,450</w:t>
            </w:r>
          </w:p>
        </w:tc>
        <w:tc>
          <w:tcPr>
            <w:tcW w:w="1419" w:type="dxa"/>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p>
        </w:tc>
        <w:tc>
          <w:tcPr>
            <w:tcW w:w="1536" w:type="dxa"/>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33,450</w:t>
            </w:r>
          </w:p>
        </w:tc>
      </w:tr>
      <w:tr w:rsidR="00766A65" w:rsidRPr="0075349D" w:rsidTr="00B02D18">
        <w:trPr>
          <w:trHeight w:val="842"/>
        </w:trPr>
        <w:tc>
          <w:tcPr>
            <w:tcW w:w="568"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p>
        </w:tc>
        <w:tc>
          <w:tcPr>
            <w:tcW w:w="3685" w:type="dxa"/>
            <w:tcMar>
              <w:top w:w="85" w:type="dxa"/>
              <w:bottom w:w="85" w:type="dxa"/>
            </w:tcMar>
          </w:tcPr>
          <w:p w:rsidR="00766A65" w:rsidRPr="0075349D" w:rsidRDefault="00766A65" w:rsidP="00B02D18">
            <w:pPr>
              <w:pStyle w:val="ONUME"/>
              <w:numPr>
                <w:ilvl w:val="0"/>
                <w:numId w:val="0"/>
              </w:numPr>
              <w:bidi/>
              <w:spacing w:after="0" w:line="280" w:lineRule="exact"/>
              <w:rPr>
                <w:rFonts w:ascii="Arabic Typesetting" w:hAnsi="Arabic Typesetting" w:cs="Arabic Typesetting"/>
                <w:sz w:val="28"/>
                <w:szCs w:val="28"/>
              </w:rPr>
            </w:pPr>
            <w:r w:rsidRPr="0075349D">
              <w:rPr>
                <w:rFonts w:ascii="Arabic Typesetting" w:hAnsi="Arabic Typesetting" w:cs="Arabic Typesetting"/>
                <w:sz w:val="28"/>
                <w:szCs w:val="28"/>
                <w:rtl/>
              </w:rPr>
              <w:t>تجهيزات المؤتمرات بالفيديو للعروض عن بعد؛ والتسجيل الرقمي؛ والبث عبر الإنترنت؛ والفيديو حسب الطلب؛ والعرض النصي للحوار، وغيرها.</w:t>
            </w:r>
          </w:p>
        </w:tc>
        <w:tc>
          <w:tcPr>
            <w:tcW w:w="1560"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600,000</w:t>
            </w:r>
          </w:p>
        </w:tc>
        <w:tc>
          <w:tcPr>
            <w:tcW w:w="1416"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304,921</w:t>
            </w:r>
          </w:p>
        </w:tc>
        <w:tc>
          <w:tcPr>
            <w:tcW w:w="1419" w:type="dxa"/>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327,169</w:t>
            </w:r>
          </w:p>
        </w:tc>
        <w:tc>
          <w:tcPr>
            <w:tcW w:w="1536" w:type="dxa"/>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632,090</w:t>
            </w:r>
          </w:p>
        </w:tc>
      </w:tr>
      <w:tr w:rsidR="00766A65" w:rsidRPr="0075349D" w:rsidTr="00B02D18">
        <w:trPr>
          <w:trHeight w:val="22"/>
        </w:trPr>
        <w:tc>
          <w:tcPr>
            <w:tcW w:w="568"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p>
        </w:tc>
        <w:tc>
          <w:tcPr>
            <w:tcW w:w="3685" w:type="dxa"/>
            <w:tcMar>
              <w:top w:w="85" w:type="dxa"/>
              <w:bottom w:w="85" w:type="dxa"/>
            </w:tcMar>
          </w:tcPr>
          <w:p w:rsidR="00766A65" w:rsidRPr="0075349D" w:rsidRDefault="00766A65" w:rsidP="00B02D18">
            <w:pPr>
              <w:pStyle w:val="ONUME"/>
              <w:numPr>
                <w:ilvl w:val="0"/>
                <w:numId w:val="0"/>
              </w:numPr>
              <w:bidi/>
              <w:spacing w:after="0" w:line="280" w:lineRule="exact"/>
              <w:rPr>
                <w:rFonts w:ascii="Arabic Typesetting" w:hAnsi="Arabic Typesetting" w:cs="Arabic Typesetting"/>
                <w:bCs/>
                <w:sz w:val="28"/>
                <w:szCs w:val="28"/>
              </w:rPr>
            </w:pPr>
            <w:r w:rsidRPr="0075349D">
              <w:rPr>
                <w:rFonts w:ascii="Arabic Typesetting" w:hAnsi="Arabic Typesetting" w:cs="Arabic Typesetting"/>
                <w:bCs/>
                <w:sz w:val="28"/>
                <w:szCs w:val="28"/>
                <w:rtl/>
              </w:rPr>
              <w:t>المجموع الفرعي</w:t>
            </w:r>
          </w:p>
        </w:tc>
        <w:tc>
          <w:tcPr>
            <w:tcW w:w="1560"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r w:rsidRPr="0075349D">
              <w:rPr>
                <w:rFonts w:ascii="Arabic Typesetting" w:hAnsi="Arabic Typesetting" w:cs="Arabic Typesetting"/>
                <w:b/>
                <w:sz w:val="28"/>
                <w:szCs w:val="28"/>
              </w:rPr>
              <w:t>1,080,000</w:t>
            </w:r>
          </w:p>
        </w:tc>
        <w:tc>
          <w:tcPr>
            <w:tcW w:w="1416"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r w:rsidRPr="0075349D">
              <w:rPr>
                <w:rFonts w:ascii="Arabic Typesetting" w:hAnsi="Arabic Typesetting" w:cs="Arabic Typesetting"/>
                <w:b/>
                <w:sz w:val="28"/>
                <w:szCs w:val="28"/>
              </w:rPr>
              <w:t>706,626</w:t>
            </w:r>
          </w:p>
        </w:tc>
        <w:tc>
          <w:tcPr>
            <w:tcW w:w="1419" w:type="dxa"/>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r w:rsidRPr="0075349D">
              <w:rPr>
                <w:rFonts w:ascii="Arabic Typesetting" w:hAnsi="Arabic Typesetting" w:cs="Arabic Typesetting"/>
                <w:b/>
                <w:sz w:val="28"/>
                <w:szCs w:val="28"/>
              </w:rPr>
              <w:t>407,169</w:t>
            </w:r>
          </w:p>
        </w:tc>
        <w:tc>
          <w:tcPr>
            <w:tcW w:w="1536" w:type="dxa"/>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r w:rsidRPr="0075349D">
              <w:rPr>
                <w:rFonts w:ascii="Arabic Typesetting" w:hAnsi="Arabic Typesetting" w:cs="Arabic Typesetting"/>
                <w:b/>
                <w:sz w:val="28"/>
                <w:szCs w:val="28"/>
              </w:rPr>
              <w:t>1,113,795</w:t>
            </w:r>
            <w:r>
              <w:rPr>
                <w:rStyle w:val="FootnoteReference"/>
                <w:b/>
              </w:rPr>
              <w:footnoteReference w:id="1"/>
            </w:r>
          </w:p>
        </w:tc>
      </w:tr>
      <w:tr w:rsidR="00766A65" w:rsidRPr="0075349D" w:rsidTr="00B02D18">
        <w:trPr>
          <w:trHeight w:val="22"/>
        </w:trPr>
        <w:tc>
          <w:tcPr>
            <w:tcW w:w="568"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r>
              <w:rPr>
                <w:rFonts w:ascii="Arabic Typesetting" w:hAnsi="Arabic Typesetting" w:cs="Arabic Typesetting" w:hint="cs"/>
                <w:b/>
                <w:sz w:val="28"/>
                <w:szCs w:val="28"/>
                <w:rtl/>
              </w:rPr>
              <w:t>2.</w:t>
            </w:r>
          </w:p>
        </w:tc>
        <w:tc>
          <w:tcPr>
            <w:tcW w:w="3685" w:type="dxa"/>
            <w:tcMar>
              <w:top w:w="85" w:type="dxa"/>
              <w:bottom w:w="85" w:type="dxa"/>
            </w:tcMar>
          </w:tcPr>
          <w:p w:rsidR="00766A65" w:rsidRPr="0075349D" w:rsidRDefault="00766A65" w:rsidP="00B02D18">
            <w:pPr>
              <w:pStyle w:val="ONUME"/>
              <w:numPr>
                <w:ilvl w:val="0"/>
                <w:numId w:val="0"/>
              </w:numPr>
              <w:bidi/>
              <w:spacing w:after="0" w:line="280" w:lineRule="exact"/>
              <w:rPr>
                <w:rFonts w:ascii="Arabic Typesetting" w:hAnsi="Arabic Typesetting" w:cs="Arabic Typesetting"/>
                <w:bCs/>
                <w:sz w:val="28"/>
                <w:szCs w:val="28"/>
              </w:rPr>
            </w:pPr>
            <w:r w:rsidRPr="0075349D">
              <w:rPr>
                <w:rFonts w:ascii="Arabic Typesetting" w:hAnsi="Arabic Typesetting" w:cs="Arabic Typesetting"/>
                <w:bCs/>
                <w:sz w:val="28"/>
                <w:szCs w:val="28"/>
                <w:rtl/>
              </w:rPr>
              <w:t xml:space="preserve">استبدال بدالة الهاتف </w:t>
            </w:r>
            <w:proofErr w:type="spellStart"/>
            <w:r w:rsidRPr="0075349D">
              <w:rPr>
                <w:rFonts w:ascii="Arabic Typesetting" w:hAnsi="Arabic Typesetting" w:cs="Arabic Typesetting"/>
                <w:bCs/>
                <w:sz w:val="28"/>
                <w:szCs w:val="28"/>
                <w:rtl/>
              </w:rPr>
              <w:t>نورتل</w:t>
            </w:r>
            <w:proofErr w:type="spellEnd"/>
            <w:r w:rsidRPr="0075349D">
              <w:rPr>
                <w:rFonts w:ascii="Arabic Typesetting" w:hAnsi="Arabic Typesetting" w:cs="Arabic Typesetting"/>
                <w:bCs/>
                <w:sz w:val="28"/>
                <w:szCs w:val="28"/>
                <w:rtl/>
              </w:rPr>
              <w:t xml:space="preserve"> ميريديان المتقادمة</w:t>
            </w:r>
          </w:p>
        </w:tc>
        <w:tc>
          <w:tcPr>
            <w:tcW w:w="1560"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p>
        </w:tc>
        <w:tc>
          <w:tcPr>
            <w:tcW w:w="1416"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p>
        </w:tc>
        <w:tc>
          <w:tcPr>
            <w:tcW w:w="1419" w:type="dxa"/>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p>
        </w:tc>
        <w:tc>
          <w:tcPr>
            <w:tcW w:w="1536" w:type="dxa"/>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p>
        </w:tc>
      </w:tr>
      <w:tr w:rsidR="00766A65" w:rsidRPr="0075349D" w:rsidTr="00B02D18">
        <w:tc>
          <w:tcPr>
            <w:tcW w:w="568"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p>
        </w:tc>
        <w:tc>
          <w:tcPr>
            <w:tcW w:w="3685" w:type="dxa"/>
            <w:tcMar>
              <w:top w:w="85" w:type="dxa"/>
              <w:bottom w:w="85" w:type="dxa"/>
            </w:tcMar>
          </w:tcPr>
          <w:p w:rsidR="00766A65" w:rsidRPr="0075349D" w:rsidRDefault="00766A65" w:rsidP="00B02D18">
            <w:pPr>
              <w:pStyle w:val="ONUME"/>
              <w:numPr>
                <w:ilvl w:val="0"/>
                <w:numId w:val="0"/>
              </w:numPr>
              <w:bidi/>
              <w:spacing w:after="0" w:line="280" w:lineRule="exact"/>
              <w:rPr>
                <w:rFonts w:ascii="Arabic Typesetting" w:hAnsi="Arabic Typesetting" w:cs="Arabic Typesetting"/>
                <w:sz w:val="28"/>
                <w:szCs w:val="28"/>
              </w:rPr>
            </w:pPr>
            <w:r w:rsidRPr="0075349D">
              <w:rPr>
                <w:rFonts w:ascii="Arabic Typesetting" w:hAnsi="Arabic Typesetting" w:cs="Arabic Typesetting"/>
                <w:sz w:val="28"/>
                <w:szCs w:val="28"/>
                <w:rtl/>
              </w:rPr>
              <w:t>نشر المعدات والبرمجيات الخاصة بهاتف بروتوكول الإنترنت في مباني الويبو الحالية</w:t>
            </w:r>
          </w:p>
        </w:tc>
        <w:tc>
          <w:tcPr>
            <w:tcW w:w="1560"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850,000</w:t>
            </w:r>
          </w:p>
        </w:tc>
        <w:tc>
          <w:tcPr>
            <w:tcW w:w="1416"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778,574</w:t>
            </w:r>
          </w:p>
        </w:tc>
        <w:tc>
          <w:tcPr>
            <w:tcW w:w="1419" w:type="dxa"/>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p>
        </w:tc>
        <w:tc>
          <w:tcPr>
            <w:tcW w:w="1536" w:type="dxa"/>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778,574</w:t>
            </w:r>
          </w:p>
        </w:tc>
      </w:tr>
      <w:tr w:rsidR="00766A65" w:rsidRPr="0075349D" w:rsidTr="00B02D18">
        <w:tc>
          <w:tcPr>
            <w:tcW w:w="568"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p>
        </w:tc>
        <w:tc>
          <w:tcPr>
            <w:tcW w:w="3685" w:type="dxa"/>
            <w:tcMar>
              <w:top w:w="85" w:type="dxa"/>
              <w:bottom w:w="85" w:type="dxa"/>
            </w:tcMar>
          </w:tcPr>
          <w:p w:rsidR="00766A65" w:rsidRPr="0075349D" w:rsidRDefault="00766A65" w:rsidP="00B02D18">
            <w:pPr>
              <w:pStyle w:val="ONUME"/>
              <w:numPr>
                <w:ilvl w:val="0"/>
                <w:numId w:val="0"/>
              </w:numPr>
              <w:bidi/>
              <w:spacing w:after="0" w:line="280" w:lineRule="exact"/>
              <w:rPr>
                <w:rFonts w:ascii="Arabic Typesetting" w:hAnsi="Arabic Typesetting" w:cs="Arabic Typesetting"/>
                <w:sz w:val="28"/>
                <w:szCs w:val="28"/>
              </w:rPr>
            </w:pPr>
            <w:r w:rsidRPr="0075349D">
              <w:rPr>
                <w:rFonts w:ascii="Arabic Typesetting" w:hAnsi="Arabic Typesetting" w:cs="Arabic Typesetting"/>
                <w:sz w:val="28"/>
                <w:szCs w:val="28"/>
                <w:rtl/>
              </w:rPr>
              <w:t>خدمات التركيب والتنفيذ</w:t>
            </w:r>
          </w:p>
        </w:tc>
        <w:tc>
          <w:tcPr>
            <w:tcW w:w="1560"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250,000</w:t>
            </w:r>
          </w:p>
        </w:tc>
        <w:tc>
          <w:tcPr>
            <w:tcW w:w="1416"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19,062</w:t>
            </w:r>
          </w:p>
        </w:tc>
        <w:tc>
          <w:tcPr>
            <w:tcW w:w="1419" w:type="dxa"/>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p>
        </w:tc>
        <w:tc>
          <w:tcPr>
            <w:tcW w:w="1536" w:type="dxa"/>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19,062</w:t>
            </w:r>
          </w:p>
        </w:tc>
      </w:tr>
      <w:tr w:rsidR="00766A65" w:rsidRPr="0075349D" w:rsidTr="00B02D18">
        <w:tc>
          <w:tcPr>
            <w:tcW w:w="568"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p>
        </w:tc>
        <w:tc>
          <w:tcPr>
            <w:tcW w:w="3685" w:type="dxa"/>
            <w:tcMar>
              <w:top w:w="85" w:type="dxa"/>
              <w:bottom w:w="85" w:type="dxa"/>
            </w:tcMar>
          </w:tcPr>
          <w:p w:rsidR="00766A65" w:rsidRPr="0075349D" w:rsidRDefault="00766A65" w:rsidP="00B02D18">
            <w:pPr>
              <w:pStyle w:val="ONUME"/>
              <w:numPr>
                <w:ilvl w:val="0"/>
                <w:numId w:val="0"/>
              </w:numPr>
              <w:bidi/>
              <w:spacing w:after="0" w:line="280" w:lineRule="exact"/>
              <w:rPr>
                <w:rFonts w:ascii="Arabic Typesetting" w:hAnsi="Arabic Typesetting" w:cs="Arabic Typesetting"/>
                <w:sz w:val="28"/>
                <w:szCs w:val="28"/>
              </w:rPr>
            </w:pPr>
            <w:r w:rsidRPr="00B76AB4">
              <w:rPr>
                <w:rFonts w:ascii="Arabic Typesetting" w:hAnsi="Arabic Typesetting" w:cs="Arabic Typesetting" w:hint="cs"/>
                <w:bCs/>
                <w:sz w:val="28"/>
                <w:szCs w:val="28"/>
                <w:rtl/>
              </w:rPr>
              <w:t>المجموع الفرعي</w:t>
            </w:r>
          </w:p>
        </w:tc>
        <w:tc>
          <w:tcPr>
            <w:tcW w:w="1560"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b/>
                <w:sz w:val="28"/>
                <w:szCs w:val="28"/>
              </w:rPr>
              <w:t>1,100,000</w:t>
            </w:r>
          </w:p>
        </w:tc>
        <w:tc>
          <w:tcPr>
            <w:tcW w:w="1416" w:type="dxa"/>
            <w:tcMar>
              <w:top w:w="85" w:type="dxa"/>
              <w:bottom w:w="85" w:type="dxa"/>
            </w:tcMa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r w:rsidRPr="0075349D">
              <w:rPr>
                <w:rFonts w:ascii="Arabic Typesetting" w:hAnsi="Arabic Typesetting" w:cs="Arabic Typesetting"/>
                <w:b/>
                <w:sz w:val="28"/>
                <w:szCs w:val="28"/>
              </w:rPr>
              <w:t>797,636</w:t>
            </w:r>
          </w:p>
        </w:tc>
        <w:tc>
          <w:tcPr>
            <w:tcW w:w="1419" w:type="dxa"/>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p>
        </w:tc>
        <w:tc>
          <w:tcPr>
            <w:tcW w:w="1536" w:type="dxa"/>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r w:rsidRPr="0075349D">
              <w:rPr>
                <w:rFonts w:ascii="Arabic Typesetting" w:hAnsi="Arabic Typesetting" w:cs="Arabic Typesetting"/>
                <w:b/>
                <w:sz w:val="28"/>
                <w:szCs w:val="28"/>
              </w:rPr>
              <w:t>797,636</w:t>
            </w:r>
            <w:r>
              <w:rPr>
                <w:rStyle w:val="FootnoteReference"/>
                <w:b/>
              </w:rPr>
              <w:footnoteReference w:id="2"/>
            </w:r>
          </w:p>
        </w:tc>
      </w:tr>
      <w:tr w:rsidR="00766A65" w:rsidRPr="0075349D" w:rsidTr="00B02D18">
        <w:tblPrEx>
          <w:tblLook w:val="04A0" w:firstRow="1" w:lastRow="0" w:firstColumn="1" w:lastColumn="0" w:noHBand="0" w:noVBand="1"/>
        </w:tblPrEx>
        <w:trPr>
          <w:trHeight w:val="22"/>
        </w:trPr>
        <w:tc>
          <w:tcPr>
            <w:tcW w:w="568" w:type="dxa"/>
            <w:tcMar>
              <w:top w:w="85" w:type="dxa"/>
              <w:bottom w:w="85" w:type="dxa"/>
            </w:tcMa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b/>
                <w:sz w:val="28"/>
                <w:szCs w:val="28"/>
              </w:rPr>
            </w:pPr>
            <w:r>
              <w:rPr>
                <w:rFonts w:ascii="Arabic Typesetting" w:hAnsi="Arabic Typesetting" w:cs="Arabic Typesetting" w:hint="cs"/>
                <w:b/>
                <w:sz w:val="28"/>
                <w:szCs w:val="28"/>
                <w:rtl/>
              </w:rPr>
              <w:lastRenderedPageBreak/>
              <w:t>3.</w:t>
            </w:r>
          </w:p>
        </w:tc>
        <w:tc>
          <w:tcPr>
            <w:tcW w:w="3685" w:type="dxa"/>
            <w:tcMar>
              <w:top w:w="85" w:type="dxa"/>
              <w:bottom w:w="85" w:type="dxa"/>
            </w:tcMar>
          </w:tcPr>
          <w:p w:rsidR="00766A65" w:rsidRPr="0075349D" w:rsidRDefault="00766A65" w:rsidP="00B02D18">
            <w:pPr>
              <w:pStyle w:val="ONUME"/>
              <w:keepNext/>
              <w:numPr>
                <w:ilvl w:val="0"/>
                <w:numId w:val="0"/>
              </w:numPr>
              <w:bidi/>
              <w:spacing w:after="0" w:line="280" w:lineRule="exact"/>
              <w:rPr>
                <w:rFonts w:ascii="Arabic Typesetting" w:hAnsi="Arabic Typesetting" w:cs="Arabic Typesetting"/>
                <w:b/>
                <w:sz w:val="28"/>
                <w:szCs w:val="28"/>
              </w:rPr>
            </w:pPr>
            <w:r w:rsidRPr="004D1DE4">
              <w:rPr>
                <w:rFonts w:ascii="Arabic Typesetting" w:hAnsi="Arabic Typesetting" w:cs="Arabic Typesetting" w:hint="cs"/>
                <w:bCs/>
                <w:sz w:val="28"/>
                <w:szCs w:val="28"/>
                <w:rtl/>
              </w:rPr>
              <w:t xml:space="preserve">استبدال </w:t>
            </w:r>
            <w:r w:rsidRPr="004D1DE4">
              <w:rPr>
                <w:rFonts w:ascii="Arabic Typesetting" w:hAnsi="Arabic Typesetting" w:cs="Arabic Typesetting"/>
                <w:bCs/>
                <w:sz w:val="28"/>
                <w:szCs w:val="28"/>
                <w:rtl/>
              </w:rPr>
              <w:t>محطة العمل المكتبي</w:t>
            </w:r>
          </w:p>
        </w:tc>
        <w:tc>
          <w:tcPr>
            <w:tcW w:w="1560" w:type="dxa"/>
            <w:tcMar>
              <w:top w:w="85" w:type="dxa"/>
              <w:bottom w:w="85" w:type="dxa"/>
            </w:tcMa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p>
        </w:tc>
        <w:tc>
          <w:tcPr>
            <w:tcW w:w="1416" w:type="dxa"/>
            <w:tcMar>
              <w:top w:w="85" w:type="dxa"/>
              <w:bottom w:w="85" w:type="dxa"/>
            </w:tcMa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p>
        </w:tc>
        <w:tc>
          <w:tcPr>
            <w:tcW w:w="1419" w:type="dxa"/>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p>
        </w:tc>
        <w:tc>
          <w:tcPr>
            <w:tcW w:w="1536" w:type="dxa"/>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p>
        </w:tc>
      </w:tr>
      <w:tr w:rsidR="00766A65" w:rsidRPr="0075349D" w:rsidTr="00B02D18">
        <w:tc>
          <w:tcPr>
            <w:tcW w:w="568" w:type="dxa"/>
            <w:tcMar>
              <w:top w:w="85" w:type="dxa"/>
              <w:bottom w:w="85" w:type="dxa"/>
            </w:tcMa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p>
        </w:tc>
        <w:tc>
          <w:tcPr>
            <w:tcW w:w="3685" w:type="dxa"/>
            <w:tcMar>
              <w:top w:w="85" w:type="dxa"/>
              <w:bottom w:w="85" w:type="dxa"/>
            </w:tcMar>
          </w:tcPr>
          <w:p w:rsidR="00766A65" w:rsidRPr="0075349D" w:rsidRDefault="00766A65" w:rsidP="00B02D18">
            <w:pPr>
              <w:pStyle w:val="ONUME"/>
              <w:keepNext/>
              <w:numPr>
                <w:ilvl w:val="0"/>
                <w:numId w:val="0"/>
              </w:numPr>
              <w:bidi/>
              <w:spacing w:after="0" w:line="280" w:lineRule="exact"/>
              <w:rPr>
                <w:rFonts w:ascii="Arabic Typesetting" w:hAnsi="Arabic Typesetting" w:cs="Arabic Typesetting"/>
                <w:sz w:val="28"/>
                <w:szCs w:val="28"/>
              </w:rPr>
            </w:pPr>
            <w:r>
              <w:rPr>
                <w:rFonts w:ascii="Arabic Typesetting" w:hAnsi="Arabic Typesetting" w:cs="Arabic Typesetting" w:hint="cs"/>
                <w:sz w:val="28"/>
                <w:szCs w:val="28"/>
                <w:rtl/>
              </w:rPr>
              <w:t>استبدال معدّات الحواسيب</w:t>
            </w:r>
          </w:p>
        </w:tc>
        <w:tc>
          <w:tcPr>
            <w:tcW w:w="1560" w:type="dxa"/>
            <w:tcMar>
              <w:top w:w="85" w:type="dxa"/>
              <w:bottom w:w="85" w:type="dxa"/>
            </w:tcMa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2,100,000</w:t>
            </w:r>
          </w:p>
        </w:tc>
        <w:tc>
          <w:tcPr>
            <w:tcW w:w="1416" w:type="dxa"/>
            <w:tcMar>
              <w:top w:w="85" w:type="dxa"/>
              <w:bottom w:w="85" w:type="dxa"/>
            </w:tcMa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1,657,194</w:t>
            </w:r>
          </w:p>
        </w:tc>
        <w:tc>
          <w:tcPr>
            <w:tcW w:w="1419" w:type="dxa"/>
            <w:vAlign w:val="cente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p>
        </w:tc>
        <w:tc>
          <w:tcPr>
            <w:tcW w:w="1536" w:type="dxa"/>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1,657,194</w:t>
            </w:r>
          </w:p>
        </w:tc>
      </w:tr>
      <w:tr w:rsidR="00766A65" w:rsidRPr="0075349D" w:rsidTr="00B02D18">
        <w:trPr>
          <w:trHeight w:val="22"/>
        </w:trPr>
        <w:tc>
          <w:tcPr>
            <w:tcW w:w="568" w:type="dxa"/>
            <w:tcMar>
              <w:top w:w="85" w:type="dxa"/>
              <w:bottom w:w="85" w:type="dxa"/>
            </w:tcMa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p>
        </w:tc>
        <w:tc>
          <w:tcPr>
            <w:tcW w:w="3685" w:type="dxa"/>
            <w:tcMar>
              <w:top w:w="85" w:type="dxa"/>
              <w:bottom w:w="85" w:type="dxa"/>
            </w:tcMar>
          </w:tcPr>
          <w:p w:rsidR="00766A65" w:rsidRPr="0075349D" w:rsidRDefault="00766A65" w:rsidP="00B02D18">
            <w:pPr>
              <w:pStyle w:val="ONUME"/>
              <w:keepNext/>
              <w:numPr>
                <w:ilvl w:val="0"/>
                <w:numId w:val="0"/>
              </w:numPr>
              <w:tabs>
                <w:tab w:val="left" w:pos="3270"/>
              </w:tabs>
              <w:bidi/>
              <w:spacing w:after="0" w:line="280" w:lineRule="exact"/>
              <w:rPr>
                <w:rFonts w:ascii="Arabic Typesetting" w:hAnsi="Arabic Typesetting" w:cs="Arabic Typesetting"/>
                <w:sz w:val="28"/>
                <w:szCs w:val="28"/>
              </w:rPr>
            </w:pPr>
            <w:r>
              <w:rPr>
                <w:rFonts w:ascii="Arabic Typesetting" w:hAnsi="Arabic Typesetting" w:cs="Arabic Typesetting" w:hint="cs"/>
                <w:sz w:val="28"/>
                <w:szCs w:val="28"/>
                <w:rtl/>
              </w:rPr>
              <w:t>تحديث البرمجيات</w:t>
            </w:r>
          </w:p>
        </w:tc>
        <w:tc>
          <w:tcPr>
            <w:tcW w:w="1560" w:type="dxa"/>
            <w:tcMar>
              <w:top w:w="85" w:type="dxa"/>
              <w:bottom w:w="85" w:type="dxa"/>
            </w:tcMa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450,000</w:t>
            </w:r>
          </w:p>
        </w:tc>
        <w:tc>
          <w:tcPr>
            <w:tcW w:w="1416" w:type="dxa"/>
            <w:tcMar>
              <w:top w:w="85" w:type="dxa"/>
              <w:bottom w:w="85" w:type="dxa"/>
            </w:tcMa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777,136</w:t>
            </w:r>
          </w:p>
        </w:tc>
        <w:tc>
          <w:tcPr>
            <w:tcW w:w="1419" w:type="dxa"/>
            <w:vAlign w:val="cente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396,197</w:t>
            </w:r>
          </w:p>
        </w:tc>
        <w:tc>
          <w:tcPr>
            <w:tcW w:w="1536" w:type="dxa"/>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1,173,333</w:t>
            </w:r>
          </w:p>
        </w:tc>
      </w:tr>
      <w:tr w:rsidR="00766A65" w:rsidRPr="0075349D" w:rsidTr="00B02D18">
        <w:trPr>
          <w:trHeight w:val="22"/>
        </w:trPr>
        <w:tc>
          <w:tcPr>
            <w:tcW w:w="568" w:type="dxa"/>
            <w:tcMar>
              <w:top w:w="85" w:type="dxa"/>
              <w:bottom w:w="85" w:type="dxa"/>
            </w:tcMa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p>
        </w:tc>
        <w:tc>
          <w:tcPr>
            <w:tcW w:w="3685" w:type="dxa"/>
            <w:tcMar>
              <w:top w:w="85" w:type="dxa"/>
              <w:bottom w:w="85" w:type="dxa"/>
            </w:tcMar>
          </w:tcPr>
          <w:p w:rsidR="00766A65" w:rsidRPr="0075349D" w:rsidRDefault="00766A65" w:rsidP="00B02D18">
            <w:pPr>
              <w:pStyle w:val="ONUME"/>
              <w:keepNext/>
              <w:numPr>
                <w:ilvl w:val="0"/>
                <w:numId w:val="0"/>
              </w:numPr>
              <w:bidi/>
              <w:spacing w:after="0" w:line="280" w:lineRule="exact"/>
              <w:rPr>
                <w:rFonts w:ascii="Arabic Typesetting" w:hAnsi="Arabic Typesetting" w:cs="Arabic Typesetting"/>
                <w:sz w:val="28"/>
                <w:szCs w:val="28"/>
              </w:rPr>
            </w:pPr>
            <w:r>
              <w:rPr>
                <w:rFonts w:ascii="Arabic Typesetting" w:hAnsi="Arabic Typesetting" w:cs="Arabic Typesetting" w:hint="cs"/>
                <w:sz w:val="28"/>
                <w:szCs w:val="28"/>
                <w:rtl/>
              </w:rPr>
              <w:t>خدمات التركيب والتنفيذ</w:t>
            </w:r>
          </w:p>
        </w:tc>
        <w:tc>
          <w:tcPr>
            <w:tcW w:w="1560" w:type="dxa"/>
            <w:tcMar>
              <w:top w:w="85" w:type="dxa"/>
              <w:bottom w:w="85" w:type="dxa"/>
            </w:tcMa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450,000</w:t>
            </w:r>
          </w:p>
        </w:tc>
        <w:tc>
          <w:tcPr>
            <w:tcW w:w="1416" w:type="dxa"/>
            <w:tcMar>
              <w:top w:w="85" w:type="dxa"/>
              <w:bottom w:w="85" w:type="dxa"/>
            </w:tcMa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251,404</w:t>
            </w:r>
          </w:p>
        </w:tc>
        <w:tc>
          <w:tcPr>
            <w:tcW w:w="1419" w:type="dxa"/>
            <w:vAlign w:val="cente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p>
        </w:tc>
        <w:tc>
          <w:tcPr>
            <w:tcW w:w="1536" w:type="dxa"/>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sz w:val="28"/>
                <w:szCs w:val="28"/>
              </w:rPr>
            </w:pPr>
            <w:r w:rsidRPr="0075349D">
              <w:rPr>
                <w:rFonts w:ascii="Arabic Typesetting" w:hAnsi="Arabic Typesetting" w:cs="Arabic Typesetting"/>
                <w:sz w:val="28"/>
                <w:szCs w:val="28"/>
              </w:rPr>
              <w:t>251,404</w:t>
            </w:r>
          </w:p>
        </w:tc>
      </w:tr>
      <w:tr w:rsidR="00766A65" w:rsidRPr="0075349D" w:rsidTr="00B02D18">
        <w:trPr>
          <w:trHeight w:val="22"/>
        </w:trPr>
        <w:tc>
          <w:tcPr>
            <w:tcW w:w="568" w:type="dxa"/>
            <w:tcMar>
              <w:top w:w="85" w:type="dxa"/>
              <w:bottom w:w="85" w:type="dxa"/>
            </w:tcMa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b/>
                <w:sz w:val="28"/>
                <w:szCs w:val="28"/>
              </w:rPr>
            </w:pPr>
          </w:p>
        </w:tc>
        <w:tc>
          <w:tcPr>
            <w:tcW w:w="3685" w:type="dxa"/>
            <w:tcMar>
              <w:top w:w="85" w:type="dxa"/>
              <w:bottom w:w="85" w:type="dxa"/>
            </w:tcMar>
          </w:tcPr>
          <w:p w:rsidR="00766A65" w:rsidRPr="0075349D" w:rsidRDefault="00766A65" w:rsidP="00B02D18">
            <w:pPr>
              <w:pStyle w:val="ONUME"/>
              <w:keepNext/>
              <w:numPr>
                <w:ilvl w:val="0"/>
                <w:numId w:val="0"/>
              </w:numPr>
              <w:bidi/>
              <w:spacing w:after="0" w:line="280" w:lineRule="exact"/>
              <w:rPr>
                <w:rFonts w:ascii="Arabic Typesetting" w:hAnsi="Arabic Typesetting" w:cs="Arabic Typesetting"/>
                <w:b/>
                <w:sz w:val="28"/>
                <w:szCs w:val="28"/>
              </w:rPr>
            </w:pPr>
            <w:r w:rsidRPr="00B76AB4">
              <w:rPr>
                <w:rFonts w:ascii="Arabic Typesetting" w:hAnsi="Arabic Typesetting" w:cs="Arabic Typesetting" w:hint="cs"/>
                <w:bCs/>
                <w:sz w:val="28"/>
                <w:szCs w:val="28"/>
                <w:rtl/>
              </w:rPr>
              <w:t>المجموع الفرعي</w:t>
            </w:r>
          </w:p>
        </w:tc>
        <w:tc>
          <w:tcPr>
            <w:tcW w:w="1560" w:type="dxa"/>
            <w:tcMar>
              <w:top w:w="85" w:type="dxa"/>
              <w:bottom w:w="85" w:type="dxa"/>
            </w:tcMar>
            <w:vAlign w:val="cente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b/>
                <w:sz w:val="28"/>
                <w:szCs w:val="28"/>
              </w:rPr>
            </w:pPr>
            <w:r w:rsidRPr="0075349D">
              <w:rPr>
                <w:rFonts w:ascii="Arabic Typesetting" w:hAnsi="Arabic Typesetting" w:cs="Arabic Typesetting"/>
                <w:b/>
                <w:sz w:val="28"/>
                <w:szCs w:val="28"/>
              </w:rPr>
              <w:t>3,000,000</w:t>
            </w:r>
          </w:p>
        </w:tc>
        <w:tc>
          <w:tcPr>
            <w:tcW w:w="1416" w:type="dxa"/>
            <w:tcMar>
              <w:top w:w="85" w:type="dxa"/>
              <w:bottom w:w="85" w:type="dxa"/>
            </w:tcMar>
            <w:vAlign w:val="cente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b/>
                <w:sz w:val="28"/>
                <w:szCs w:val="28"/>
              </w:rPr>
            </w:pPr>
            <w:r w:rsidRPr="0075349D">
              <w:rPr>
                <w:rFonts w:ascii="Arabic Typesetting" w:hAnsi="Arabic Typesetting" w:cs="Arabic Typesetting"/>
                <w:b/>
                <w:sz w:val="28"/>
                <w:szCs w:val="28"/>
              </w:rPr>
              <w:t>2,685,734</w:t>
            </w:r>
          </w:p>
        </w:tc>
        <w:tc>
          <w:tcPr>
            <w:tcW w:w="1419" w:type="dxa"/>
            <w:vAlign w:val="cente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b/>
                <w:sz w:val="28"/>
                <w:szCs w:val="28"/>
              </w:rPr>
            </w:pPr>
            <w:r w:rsidRPr="0075349D">
              <w:rPr>
                <w:rFonts w:ascii="Arabic Typesetting" w:hAnsi="Arabic Typesetting" w:cs="Arabic Typesetting"/>
                <w:b/>
                <w:sz w:val="28"/>
                <w:szCs w:val="28"/>
              </w:rPr>
              <w:t>396,197</w:t>
            </w:r>
          </w:p>
        </w:tc>
        <w:tc>
          <w:tcPr>
            <w:tcW w:w="1536" w:type="dxa"/>
            <w:vAlign w:val="center"/>
          </w:tcPr>
          <w:p w:rsidR="00766A65" w:rsidRPr="0075349D" w:rsidRDefault="00766A65" w:rsidP="00B02D18">
            <w:pPr>
              <w:pStyle w:val="ONUME"/>
              <w:keepNext/>
              <w:numPr>
                <w:ilvl w:val="0"/>
                <w:numId w:val="0"/>
              </w:numPr>
              <w:bidi/>
              <w:spacing w:after="0" w:line="280" w:lineRule="exact"/>
              <w:jc w:val="center"/>
              <w:rPr>
                <w:rFonts w:ascii="Arabic Typesetting" w:hAnsi="Arabic Typesetting" w:cs="Arabic Typesetting"/>
                <w:b/>
                <w:sz w:val="28"/>
                <w:szCs w:val="28"/>
              </w:rPr>
            </w:pPr>
            <w:r w:rsidRPr="0075349D">
              <w:rPr>
                <w:rFonts w:ascii="Arabic Typesetting" w:hAnsi="Arabic Typesetting" w:cs="Arabic Typesetting"/>
                <w:b/>
                <w:sz w:val="28"/>
                <w:szCs w:val="28"/>
              </w:rPr>
              <w:t>3,081,931</w:t>
            </w:r>
            <w:r>
              <w:rPr>
                <w:rStyle w:val="FootnoteReference"/>
                <w:b/>
              </w:rPr>
              <w:footnoteReference w:id="3"/>
            </w:r>
          </w:p>
        </w:tc>
      </w:tr>
      <w:tr w:rsidR="00766A65" w:rsidRPr="0075349D" w:rsidTr="00B02D18">
        <w:trPr>
          <w:trHeight w:val="22"/>
        </w:trPr>
        <w:tc>
          <w:tcPr>
            <w:tcW w:w="568" w:type="dxa"/>
            <w:tcMar>
              <w:top w:w="85" w:type="dxa"/>
              <w:bottom w:w="85" w:type="dxa"/>
            </w:tcMar>
          </w:tcPr>
          <w:p w:rsidR="00766A65" w:rsidRPr="0075349D" w:rsidRDefault="00766A65" w:rsidP="00B02D18">
            <w:pPr>
              <w:pStyle w:val="ONUME"/>
              <w:numPr>
                <w:ilvl w:val="0"/>
                <w:numId w:val="0"/>
              </w:numPr>
              <w:bidi/>
              <w:spacing w:after="0" w:line="280" w:lineRule="exact"/>
              <w:rPr>
                <w:rFonts w:ascii="Arabic Typesetting" w:hAnsi="Arabic Typesetting" w:cs="Arabic Typesetting"/>
                <w:sz w:val="28"/>
                <w:szCs w:val="28"/>
              </w:rPr>
            </w:pPr>
          </w:p>
        </w:tc>
        <w:tc>
          <w:tcPr>
            <w:tcW w:w="3685" w:type="dxa"/>
            <w:tcMar>
              <w:top w:w="85" w:type="dxa"/>
              <w:bottom w:w="85" w:type="dxa"/>
            </w:tcMar>
            <w:vAlign w:val="center"/>
          </w:tcPr>
          <w:p w:rsidR="00766A65" w:rsidRPr="0075349D" w:rsidRDefault="00766A65" w:rsidP="00B02D18">
            <w:pPr>
              <w:pStyle w:val="ONUME"/>
              <w:numPr>
                <w:ilvl w:val="0"/>
                <w:numId w:val="0"/>
              </w:numPr>
              <w:bidi/>
              <w:spacing w:after="0" w:line="280" w:lineRule="exact"/>
              <w:rPr>
                <w:rFonts w:ascii="Arabic Typesetting" w:hAnsi="Arabic Typesetting" w:cs="Arabic Typesetting"/>
                <w:b/>
                <w:sz w:val="28"/>
                <w:szCs w:val="28"/>
              </w:rPr>
            </w:pPr>
            <w:r w:rsidRPr="004D1DE4">
              <w:rPr>
                <w:rFonts w:ascii="Arabic Typesetting" w:hAnsi="Arabic Typesetting" w:cs="Arabic Typesetting" w:hint="cs"/>
                <w:bCs/>
                <w:sz w:val="28"/>
                <w:szCs w:val="28"/>
                <w:rtl/>
              </w:rPr>
              <w:t>المجموع</w:t>
            </w:r>
          </w:p>
        </w:tc>
        <w:tc>
          <w:tcPr>
            <w:tcW w:w="1560" w:type="dxa"/>
            <w:tcMar>
              <w:top w:w="85" w:type="dxa"/>
              <w:bottom w:w="85" w:type="dxa"/>
            </w:tcMar>
            <w:vAlign w:val="cente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r w:rsidRPr="0075349D">
              <w:rPr>
                <w:rFonts w:ascii="Arabic Typesetting" w:hAnsi="Arabic Typesetting" w:cs="Arabic Typesetting"/>
                <w:b/>
                <w:sz w:val="28"/>
                <w:szCs w:val="28"/>
              </w:rPr>
              <w:t>5,180,000</w:t>
            </w:r>
          </w:p>
        </w:tc>
        <w:tc>
          <w:tcPr>
            <w:tcW w:w="1416" w:type="dxa"/>
            <w:tcMar>
              <w:top w:w="85" w:type="dxa"/>
              <w:bottom w:w="85" w:type="dxa"/>
            </w:tcMar>
            <w:vAlign w:val="cente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r w:rsidRPr="0075349D">
              <w:rPr>
                <w:rFonts w:ascii="Arabic Typesetting" w:hAnsi="Arabic Typesetting" w:cs="Arabic Typesetting"/>
                <w:b/>
                <w:sz w:val="28"/>
                <w:szCs w:val="28"/>
              </w:rPr>
              <w:t>4,189,996</w:t>
            </w:r>
          </w:p>
        </w:tc>
        <w:tc>
          <w:tcPr>
            <w:tcW w:w="1419" w:type="dxa"/>
            <w:vAlign w:val="cente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r w:rsidRPr="0075349D">
              <w:rPr>
                <w:rFonts w:ascii="Arabic Typesetting" w:hAnsi="Arabic Typesetting" w:cs="Arabic Typesetting"/>
                <w:b/>
                <w:sz w:val="28"/>
                <w:szCs w:val="28"/>
              </w:rPr>
              <w:t>803,366</w:t>
            </w:r>
          </w:p>
        </w:tc>
        <w:tc>
          <w:tcPr>
            <w:tcW w:w="1536" w:type="dxa"/>
            <w:vAlign w:val="center"/>
          </w:tcPr>
          <w:p w:rsidR="00766A65" w:rsidRPr="0075349D" w:rsidRDefault="00766A65" w:rsidP="00B02D18">
            <w:pPr>
              <w:pStyle w:val="ONUME"/>
              <w:numPr>
                <w:ilvl w:val="0"/>
                <w:numId w:val="0"/>
              </w:numPr>
              <w:bidi/>
              <w:spacing w:after="0" w:line="280" w:lineRule="exact"/>
              <w:jc w:val="center"/>
              <w:rPr>
                <w:rFonts w:ascii="Arabic Typesetting" w:hAnsi="Arabic Typesetting" w:cs="Arabic Typesetting"/>
                <w:b/>
                <w:sz w:val="28"/>
                <w:szCs w:val="28"/>
              </w:rPr>
            </w:pPr>
            <w:r w:rsidRPr="0075349D">
              <w:rPr>
                <w:rFonts w:ascii="Arabic Typesetting" w:hAnsi="Arabic Typesetting" w:cs="Arabic Typesetting"/>
                <w:b/>
                <w:sz w:val="28"/>
                <w:szCs w:val="28"/>
              </w:rPr>
              <w:t>4,993,362</w:t>
            </w:r>
          </w:p>
        </w:tc>
      </w:tr>
    </w:tbl>
    <w:p w:rsidR="00766A65" w:rsidRDefault="00766A65" w:rsidP="00766A65">
      <w:pPr>
        <w:pStyle w:val="NumberedParaAR"/>
        <w:numPr>
          <w:ilvl w:val="0"/>
          <w:numId w:val="0"/>
        </w:numPr>
        <w:rPr>
          <w:lang w:val="fr-CH"/>
        </w:rPr>
      </w:pPr>
    </w:p>
    <w:p w:rsidR="00766A65" w:rsidRDefault="00766A65" w:rsidP="00766A65">
      <w:pPr>
        <w:pStyle w:val="NumberedParaAR"/>
        <w:rPr>
          <w:lang w:val="fr-CH"/>
        </w:rPr>
      </w:pPr>
      <w:r>
        <w:rPr>
          <w:rFonts w:hint="cs"/>
          <w:rtl/>
          <w:lang w:val="fr-CH"/>
        </w:rPr>
        <w:t>وحسب نتائج التسوية المالية النهائية، سيرد المشروع الرصيد غير المصروف بملغ قدره حوالي 638 186</w:t>
      </w:r>
      <w:r>
        <w:rPr>
          <w:rStyle w:val="FootnoteReference"/>
          <w:rtl/>
          <w:lang w:val="fr-CH"/>
        </w:rPr>
        <w:footnoteReference w:id="4"/>
      </w:r>
      <w:r>
        <w:rPr>
          <w:rFonts w:hint="cs"/>
          <w:rtl/>
          <w:lang w:val="fr-CH"/>
        </w:rPr>
        <w:t xml:space="preserve"> فرنك سويسري إلى صندوق الأموال الاحتياطية.</w:t>
      </w:r>
    </w:p>
    <w:p w:rsidR="00766A65" w:rsidRDefault="00766A65" w:rsidP="00766A65">
      <w:pPr>
        <w:pStyle w:val="NumberedParaAR"/>
        <w:rPr>
          <w:lang w:val="fr-CH"/>
        </w:rPr>
      </w:pPr>
      <w:r>
        <w:rPr>
          <w:rFonts w:hint="cs"/>
          <w:rtl/>
          <w:lang w:val="fr-CH"/>
        </w:rPr>
        <w:t>وفيما يلي فقرة القرار المقترحة.</w:t>
      </w:r>
    </w:p>
    <w:p w:rsidR="00766A65" w:rsidRDefault="00766A65" w:rsidP="00FD3D0A">
      <w:pPr>
        <w:pStyle w:val="DecisionParaAR"/>
        <w:ind w:left="5670" w:hanging="136"/>
        <w:rPr>
          <w:lang w:val="fr-CH"/>
        </w:rPr>
      </w:pPr>
      <w:r>
        <w:rPr>
          <w:rFonts w:hint="cs"/>
          <w:rtl/>
          <w:lang w:val="fr-CH"/>
        </w:rPr>
        <w:t>أوصت لجنة البرنامج والميزانية جمعيات الدول الأعضاء في الويبو والاتحادات، كل فيما يعنيه، بما يلي:</w:t>
      </w:r>
    </w:p>
    <w:p w:rsidR="00766A65" w:rsidRDefault="00766A65" w:rsidP="00766A65">
      <w:pPr>
        <w:pStyle w:val="DecisionParaAR"/>
        <w:numPr>
          <w:ilvl w:val="0"/>
          <w:numId w:val="0"/>
        </w:numPr>
        <w:ind w:left="6236"/>
        <w:rPr>
          <w:rtl/>
          <w:lang w:val="fr-CH"/>
        </w:rPr>
      </w:pPr>
      <w:r>
        <w:rPr>
          <w:rFonts w:hint="cs"/>
          <w:rtl/>
          <w:lang w:val="fr-CH"/>
        </w:rPr>
        <w:t>"1"</w:t>
      </w:r>
      <w:r>
        <w:rPr>
          <w:rFonts w:hint="cs"/>
          <w:rtl/>
          <w:lang w:val="fr-CH"/>
        </w:rPr>
        <w:tab/>
        <w:t xml:space="preserve">الإحاطة علماً بمضمون الوثيقة </w:t>
      </w:r>
      <w:r>
        <w:t>WO/</w:t>
      </w:r>
      <w:proofErr w:type="spellStart"/>
      <w:r>
        <w:t>PBC</w:t>
      </w:r>
      <w:proofErr w:type="spellEnd"/>
      <w:r>
        <w:t>/23/15</w:t>
      </w:r>
      <w:r>
        <w:rPr>
          <w:rFonts w:hint="cs"/>
          <w:rtl/>
        </w:rPr>
        <w:t>؛</w:t>
      </w:r>
    </w:p>
    <w:p w:rsidR="00766A65" w:rsidRDefault="00766A65" w:rsidP="00766A65">
      <w:pPr>
        <w:pStyle w:val="DecisionParaAR"/>
        <w:numPr>
          <w:ilvl w:val="0"/>
          <w:numId w:val="0"/>
        </w:numPr>
        <w:ind w:left="6236"/>
        <w:rPr>
          <w:rtl/>
          <w:lang w:val="fr-CH"/>
        </w:rPr>
      </w:pPr>
      <w:r>
        <w:rPr>
          <w:rFonts w:hint="cs"/>
          <w:rtl/>
          <w:lang w:val="fr-CH"/>
        </w:rPr>
        <w:t>"2"</w:t>
      </w:r>
      <w:r>
        <w:rPr>
          <w:rFonts w:hint="cs"/>
          <w:rtl/>
          <w:lang w:val="fr-CH"/>
        </w:rPr>
        <w:tab/>
        <w:t xml:space="preserve">والموافقة على إقفال </w:t>
      </w:r>
      <w:r w:rsidRPr="002E1065">
        <w:rPr>
          <w:rtl/>
          <w:lang w:val="fr-CH"/>
        </w:rPr>
        <w:t>مشروع استثمار رأس المال في تكنولوجيا المعلومات والاتصالات</w:t>
      </w:r>
      <w:r>
        <w:rPr>
          <w:rFonts w:hint="cs"/>
          <w:rtl/>
          <w:lang w:val="fr-CH"/>
        </w:rPr>
        <w:t>.</w:t>
      </w:r>
    </w:p>
    <w:p w:rsidR="00766A65" w:rsidRPr="002E1065" w:rsidRDefault="00766A65" w:rsidP="00766A65">
      <w:pPr>
        <w:pStyle w:val="DecisionParaAR"/>
        <w:numPr>
          <w:ilvl w:val="0"/>
          <w:numId w:val="0"/>
        </w:numPr>
        <w:ind w:left="5670"/>
        <w:rPr>
          <w:rtl/>
          <w:lang w:val="fr-CH"/>
        </w:rPr>
      </w:pPr>
    </w:p>
    <w:p w:rsidR="00766A65" w:rsidRPr="004B18C2" w:rsidRDefault="00766A65" w:rsidP="00766A65">
      <w:pPr>
        <w:pStyle w:val="EndofDocumentAR"/>
        <w:rPr>
          <w:sz w:val="34"/>
          <w:szCs w:val="34"/>
          <w:lang w:val="fr-CH"/>
        </w:rPr>
      </w:pPr>
      <w:r>
        <w:rPr>
          <w:rtl/>
          <w:lang w:bidi="ar-EG"/>
        </w:rPr>
        <w:t>[نهاية الوثيقة</w:t>
      </w:r>
      <w:r w:rsidRPr="004B18C2">
        <w:rPr>
          <w:rtl/>
          <w:lang w:bidi="ar-EG"/>
        </w:rPr>
        <w:t>]</w:t>
      </w:r>
    </w:p>
    <w:p w:rsidR="00E36CD9" w:rsidRDefault="00E36CD9" w:rsidP="007F38D1">
      <w:pPr>
        <w:pStyle w:val="NormalParaAR"/>
      </w:pPr>
    </w:p>
    <w:p w:rsidR="00CB79E4" w:rsidRDefault="00CB79E4" w:rsidP="007F38D1">
      <w:pPr>
        <w:pStyle w:val="NormalParaAR"/>
      </w:pPr>
    </w:p>
    <w:sectPr w:rsidR="00CB79E4"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A65" w:rsidRDefault="00766A65">
      <w:r>
        <w:separator/>
      </w:r>
    </w:p>
  </w:endnote>
  <w:endnote w:type="continuationSeparator" w:id="0">
    <w:p w:rsidR="00766A65" w:rsidRDefault="0076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A65" w:rsidRDefault="00766A65" w:rsidP="009622BF">
      <w:pPr>
        <w:bidi/>
      </w:pPr>
      <w:bookmarkStart w:id="0" w:name="OLE_LINK1"/>
      <w:bookmarkStart w:id="1" w:name="OLE_LINK2"/>
      <w:r>
        <w:separator/>
      </w:r>
      <w:bookmarkEnd w:id="0"/>
      <w:bookmarkEnd w:id="1"/>
    </w:p>
  </w:footnote>
  <w:footnote w:type="continuationSeparator" w:id="0">
    <w:p w:rsidR="00766A65" w:rsidRDefault="00766A65" w:rsidP="009622BF">
      <w:pPr>
        <w:bidi/>
      </w:pPr>
      <w:r>
        <w:separator/>
      </w:r>
    </w:p>
  </w:footnote>
  <w:footnote w:id="1">
    <w:p w:rsidR="00766A65" w:rsidRPr="0075349D" w:rsidRDefault="00766A65" w:rsidP="00766A65">
      <w:pPr>
        <w:pStyle w:val="FootnoteText"/>
        <w:rPr>
          <w:rtl/>
          <w:lang w:val="fr-CH"/>
        </w:rPr>
      </w:pPr>
      <w:r>
        <w:rPr>
          <w:rStyle w:val="FootnoteReference"/>
        </w:rPr>
        <w:footnoteRef/>
      </w:r>
      <w:r>
        <w:rPr>
          <w:rtl/>
        </w:rPr>
        <w:t xml:space="preserve"> </w:t>
      </w:r>
      <w:r>
        <w:rPr>
          <w:rFonts w:hint="cs"/>
          <w:rtl/>
          <w:lang w:val="fr-CH"/>
        </w:rPr>
        <w:t>سيحدد هذا المبلغ بدقة بعد التسوية المالية النهائية فور الانتهاء من معالجة جميع الفواتير.</w:t>
      </w:r>
    </w:p>
  </w:footnote>
  <w:footnote w:id="2">
    <w:p w:rsidR="00766A65" w:rsidRDefault="00766A65" w:rsidP="00766A65">
      <w:pPr>
        <w:pStyle w:val="FootnoteText"/>
      </w:pPr>
      <w:r>
        <w:rPr>
          <w:rStyle w:val="FootnoteReference"/>
        </w:rPr>
        <w:footnoteRef/>
      </w:r>
      <w:r>
        <w:rPr>
          <w:rtl/>
        </w:rPr>
        <w:t xml:space="preserve"> </w:t>
      </w:r>
      <w:r>
        <w:rPr>
          <w:rFonts w:hint="cs"/>
          <w:rtl/>
        </w:rPr>
        <w:t>هذا المبلغ أدنى مما كان محددا في السابق، بعد التسوية المالية في نهاية 2014.</w:t>
      </w:r>
    </w:p>
  </w:footnote>
  <w:footnote w:id="3">
    <w:p w:rsidR="00766A65" w:rsidRDefault="00766A65" w:rsidP="00766A65">
      <w:pPr>
        <w:pStyle w:val="FootnoteText"/>
      </w:pPr>
      <w:r>
        <w:rPr>
          <w:rStyle w:val="FootnoteReference"/>
        </w:rPr>
        <w:footnoteRef/>
      </w:r>
      <w:r>
        <w:rPr>
          <w:rtl/>
        </w:rPr>
        <w:t xml:space="preserve"> </w:t>
      </w:r>
      <w:r>
        <w:rPr>
          <w:rFonts w:hint="cs"/>
          <w:rtl/>
          <w:lang w:val="fr-CH"/>
        </w:rPr>
        <w:t>سيحدد هذا المبلغ بدقة بعد التسوية المالية النهائية فور الانتهاء من معالجة جميع الفواتير.</w:t>
      </w:r>
    </w:p>
  </w:footnote>
  <w:footnote w:id="4">
    <w:p w:rsidR="00766A65" w:rsidRDefault="00766A65" w:rsidP="00766A65">
      <w:pPr>
        <w:pStyle w:val="FootnoteText"/>
      </w:pPr>
      <w:r>
        <w:rPr>
          <w:rStyle w:val="FootnoteReference"/>
        </w:rPr>
        <w:footnoteRef/>
      </w:r>
      <w:r>
        <w:rPr>
          <w:rtl/>
        </w:rPr>
        <w:t xml:space="preserve"> </w:t>
      </w:r>
      <w:r>
        <w:rPr>
          <w:rFonts w:hint="cs"/>
          <w:rtl/>
        </w:rPr>
        <w:t>سيحدّد هذا المبلغ بدقة بعد التسوية المالية النهائية.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9449A" w:rsidP="00766A65">
    <w:r>
      <w:t>WO/</w:t>
    </w:r>
    <w:proofErr w:type="spellStart"/>
    <w:r>
      <w:t>PBC</w:t>
    </w:r>
    <w:proofErr w:type="spellEnd"/>
    <w:r w:rsidR="002F77FC">
      <w:t>/</w:t>
    </w:r>
    <w:r>
      <w:t>24</w:t>
    </w:r>
    <w:r w:rsidR="002F77FC">
      <w:t>/</w:t>
    </w:r>
    <w:r w:rsidR="00766A65">
      <w:t>15</w:t>
    </w:r>
  </w:p>
  <w:p w:rsidR="002F77FC" w:rsidRDefault="002F77FC" w:rsidP="00D61541">
    <w:r>
      <w:fldChar w:fldCharType="begin"/>
    </w:r>
    <w:r>
      <w:instrText xml:space="preserve"> PAGE  \* MERGEFORMAT </w:instrText>
    </w:r>
    <w:r>
      <w:fldChar w:fldCharType="separate"/>
    </w:r>
    <w:r w:rsidR="006D385F">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F041967"/>
    <w:multiLevelType w:val="hybridMultilevel"/>
    <w:tmpl w:val="32A2B6FC"/>
    <w:lvl w:ilvl="0" w:tplc="036A332A">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A6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DC7"/>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771"/>
    <w:rsid w:val="001F18E7"/>
    <w:rsid w:val="001F2E3B"/>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2B7"/>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4D3"/>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E9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385F"/>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6A65"/>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1AD"/>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449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1688"/>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53A"/>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D7AC3"/>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678A"/>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DD6"/>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149"/>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D0A"/>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ONUME">
    <w:name w:val="ONUM E"/>
    <w:basedOn w:val="BodyText"/>
    <w:rsid w:val="00766A65"/>
    <w:pPr>
      <w:numPr>
        <w:numId w:val="22"/>
      </w:numPr>
      <w:spacing w:after="220"/>
    </w:pPr>
    <w:rPr>
      <w:rFonts w:eastAsia="SimSun"/>
      <w:lang w:eastAsia="zh-CN"/>
    </w:rPr>
  </w:style>
  <w:style w:type="character" w:customStyle="1" w:styleId="FootnoteTextChar">
    <w:name w:val="Footnote Text Char"/>
    <w:basedOn w:val="DefaultParagraphFont"/>
    <w:link w:val="FootnoteText"/>
    <w:semiHidden/>
    <w:rsid w:val="00766A65"/>
    <w:rPr>
      <w:rFonts w:ascii="Arabic Typesetting" w:hAnsi="Arabic Typesetting" w:cs="Arabic Typesetting"/>
      <w:sz w:val="28"/>
      <w:szCs w:val="28"/>
    </w:rPr>
  </w:style>
  <w:style w:type="paragraph" w:styleId="BodyText">
    <w:name w:val="Body Text"/>
    <w:basedOn w:val="Normal"/>
    <w:link w:val="BodyTextChar"/>
    <w:rsid w:val="00766A65"/>
    <w:pPr>
      <w:spacing w:after="120"/>
    </w:pPr>
  </w:style>
  <w:style w:type="character" w:customStyle="1" w:styleId="BodyTextChar">
    <w:name w:val="Body Text Char"/>
    <w:basedOn w:val="DefaultParagraphFont"/>
    <w:link w:val="BodyText"/>
    <w:rsid w:val="00766A65"/>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ONUME">
    <w:name w:val="ONUM E"/>
    <w:basedOn w:val="BodyText"/>
    <w:rsid w:val="00766A65"/>
    <w:pPr>
      <w:numPr>
        <w:numId w:val="22"/>
      </w:numPr>
      <w:spacing w:after="220"/>
    </w:pPr>
    <w:rPr>
      <w:rFonts w:eastAsia="SimSun"/>
      <w:lang w:eastAsia="zh-CN"/>
    </w:rPr>
  </w:style>
  <w:style w:type="character" w:customStyle="1" w:styleId="FootnoteTextChar">
    <w:name w:val="Footnote Text Char"/>
    <w:basedOn w:val="DefaultParagraphFont"/>
    <w:link w:val="FootnoteText"/>
    <w:semiHidden/>
    <w:rsid w:val="00766A65"/>
    <w:rPr>
      <w:rFonts w:ascii="Arabic Typesetting" w:hAnsi="Arabic Typesetting" w:cs="Arabic Typesetting"/>
      <w:sz w:val="28"/>
      <w:szCs w:val="28"/>
    </w:rPr>
  </w:style>
  <w:style w:type="paragraph" w:styleId="BodyText">
    <w:name w:val="Body Text"/>
    <w:basedOn w:val="Normal"/>
    <w:link w:val="BodyTextChar"/>
    <w:rsid w:val="00766A65"/>
    <w:pPr>
      <w:spacing w:after="120"/>
    </w:pPr>
  </w:style>
  <w:style w:type="character" w:customStyle="1" w:styleId="BodyTextChar">
    <w:name w:val="Body Text Char"/>
    <w:basedOn w:val="DefaultParagraphFont"/>
    <w:link w:val="BodyText"/>
    <w:rsid w:val="00766A65"/>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EE62B-7ADC-4E04-AEC7-03469C6A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WO_PBC_24_AR.dotx</Template>
  <TotalTime>90</TotalTime>
  <Pages>3</Pages>
  <Words>539</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WO/PBC/24/-- (Arabic)</vt:lpstr>
    </vt:vector>
  </TitlesOfParts>
  <Company>World Intellectual Property Organization</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 (Arabic)</dc:title>
  <dc:creator>AHMIDOUCH Noureddine</dc:creator>
  <cp:lastModifiedBy>AHMIDOUCH Noureddine</cp:lastModifiedBy>
  <cp:revision>9</cp:revision>
  <cp:lastPrinted>2015-07-10T11:49:00Z</cp:lastPrinted>
  <dcterms:created xsi:type="dcterms:W3CDTF">2015-07-06T08:44:00Z</dcterms:created>
  <dcterms:modified xsi:type="dcterms:W3CDTF">2015-07-10T11:50:00Z</dcterms:modified>
</cp:coreProperties>
</file>