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703D4B">
            <w:pPr>
              <w:jc w:val="right"/>
              <w:rPr>
                <w:rFonts w:ascii="Arial Black" w:hAnsi="Arial Black"/>
                <w:caps/>
                <w:sz w:val="15"/>
              </w:rPr>
            </w:pPr>
            <w:r>
              <w:rPr>
                <w:rFonts w:ascii="Arial Black" w:hAnsi="Arial Black"/>
                <w:caps/>
                <w:sz w:val="15"/>
              </w:rPr>
              <w:t>A/57/</w:t>
            </w:r>
            <w:bookmarkStart w:id="1" w:name="Code"/>
            <w:bookmarkEnd w:id="1"/>
            <w:r w:rsidR="00336EA0">
              <w:rPr>
                <w:rFonts w:ascii="Arial Black" w:hAnsi="Arial Black"/>
                <w:caps/>
                <w:sz w:val="15"/>
              </w:rPr>
              <w:t>11</w:t>
            </w:r>
            <w:r w:rsidR="00F158F3">
              <w:rPr>
                <w:rFonts w:ascii="Arial Black" w:hAnsi="Arial Black"/>
                <w:caps/>
                <w:sz w:val="15"/>
              </w:rPr>
              <w:t xml:space="preserve"> Add.</w:t>
            </w:r>
            <w:r w:rsidR="00703D4B">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2" w:name="Original"/>
            <w:bookmarkEnd w:id="2"/>
            <w:r w:rsidR="00F158F3">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6EA0">
            <w:pPr>
              <w:jc w:val="right"/>
              <w:rPr>
                <w:rFonts w:ascii="Arial Black" w:hAnsi="Arial Black"/>
                <w:caps/>
                <w:sz w:val="15"/>
              </w:rPr>
            </w:pPr>
            <w:r w:rsidRPr="0090731E">
              <w:rPr>
                <w:rFonts w:ascii="Arial Black" w:hAnsi="Arial Black"/>
                <w:caps/>
                <w:sz w:val="15"/>
              </w:rPr>
              <w:t>DATE:</w:t>
            </w:r>
            <w:r w:rsidR="00586313">
              <w:rPr>
                <w:rFonts w:ascii="Arial Black" w:hAnsi="Arial Black"/>
                <w:caps/>
                <w:sz w:val="15"/>
              </w:rPr>
              <w:t xml:space="preserve">  </w:t>
            </w:r>
            <w:bookmarkStart w:id="3" w:name="Date"/>
            <w:bookmarkEnd w:id="3"/>
            <w:r w:rsidR="00F158F3">
              <w:rPr>
                <w:rFonts w:ascii="Arial Black" w:hAnsi="Arial Black"/>
                <w:caps/>
                <w:sz w:val="15"/>
              </w:rPr>
              <w:t xml:space="preserve">October </w:t>
            </w:r>
            <w:r w:rsidR="00336EA0">
              <w:rPr>
                <w:rFonts w:ascii="Arial Black" w:hAnsi="Arial Black"/>
                <w:caps/>
                <w:sz w:val="15"/>
              </w:rPr>
              <w:t>11</w:t>
            </w:r>
            <w:r w:rsidR="00F158F3">
              <w:rPr>
                <w:rFonts w:ascii="Arial Black" w:hAnsi="Arial Black"/>
                <w:caps/>
                <w:sz w:val="15"/>
              </w:rPr>
              <w:t>, 2017</w:t>
            </w:r>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158F3" w:rsidP="008B2CC1">
      <w:pPr>
        <w:rPr>
          <w:caps/>
          <w:sz w:val="24"/>
        </w:rPr>
      </w:pPr>
      <w:bookmarkStart w:id="4" w:name="TitleOfDoc"/>
      <w:bookmarkEnd w:id="4"/>
      <w:r>
        <w:rPr>
          <w:caps/>
          <w:sz w:val="24"/>
        </w:rPr>
        <w:t>SUMMARY REPORT</w:t>
      </w:r>
    </w:p>
    <w:p w:rsidR="008B2CC1" w:rsidRPr="008B2CC1" w:rsidRDefault="008B2CC1" w:rsidP="008B2CC1"/>
    <w:p w:rsidR="008B2CC1" w:rsidRPr="008B2CC1" w:rsidRDefault="00703D4B" w:rsidP="008B2CC1">
      <w:pPr>
        <w:rPr>
          <w:i/>
        </w:rPr>
      </w:pPr>
      <w:bookmarkStart w:id="5" w:name="Prepared"/>
      <w:bookmarkEnd w:id="5"/>
      <w:r>
        <w:rPr>
          <w:i/>
        </w:rPr>
        <w:t>Addendum</w:t>
      </w:r>
    </w:p>
    <w:p w:rsidR="00AC205C" w:rsidRDefault="00AC205C"/>
    <w:p w:rsidR="000F5E56" w:rsidRDefault="000F5E56"/>
    <w:p w:rsidR="002928D3" w:rsidRDefault="002928D3"/>
    <w:p w:rsidR="002928D3" w:rsidRDefault="002928D3" w:rsidP="0053057A"/>
    <w:p w:rsidR="002928D3" w:rsidRDefault="002928D3"/>
    <w:p w:rsidR="00F158F3" w:rsidRDefault="00336EA0">
      <w:r>
        <w:t>ITEM 1</w:t>
      </w:r>
      <w:r w:rsidR="007D4DD2">
        <w:t>2</w:t>
      </w:r>
      <w:r w:rsidR="00703D4B">
        <w:t xml:space="preserve"> </w:t>
      </w:r>
      <w:r w:rsidR="00F158F3">
        <w:t>OF THE CONSOLIDATED AGENDA</w:t>
      </w:r>
    </w:p>
    <w:p w:rsidR="00F158F3" w:rsidRDefault="00F158F3"/>
    <w:p w:rsidR="00F158F3" w:rsidRDefault="007D4DD2">
      <w:r>
        <w:t>REPORT ON THE PROGRAM AND BUDGET COMMITTEE</w:t>
      </w:r>
    </w:p>
    <w:p w:rsidR="00F158F3" w:rsidRDefault="00F158F3"/>
    <w:p w:rsidR="005F2B92" w:rsidRPr="005F2B92" w:rsidRDefault="005F2B92">
      <w:pPr>
        <w:rPr>
          <w:u w:val="single"/>
        </w:rPr>
      </w:pPr>
      <w:r w:rsidRPr="005F2B92">
        <w:rPr>
          <w:u w:val="single"/>
        </w:rPr>
        <w:t>Proposed Program and Budget for the 2018/19 Biennium, and the Capital Master Plan</w:t>
      </w:r>
    </w:p>
    <w:p w:rsidR="005F2B92" w:rsidRDefault="005F2B92"/>
    <w:p w:rsidR="00ED3E73" w:rsidRPr="00565306" w:rsidRDefault="00F158F3" w:rsidP="00ED3E73">
      <w:pPr>
        <w:spacing w:after="200" w:line="276" w:lineRule="auto"/>
        <w:rPr>
          <w:rFonts w:eastAsiaTheme="minorHAnsi"/>
          <w:szCs w:val="22"/>
        </w:rPr>
      </w:pPr>
      <w:r>
        <w:fldChar w:fldCharType="begin"/>
      </w:r>
      <w:r>
        <w:instrText xml:space="preserve"> AUTONUM  </w:instrText>
      </w:r>
      <w:r>
        <w:fldChar w:fldCharType="end"/>
      </w:r>
      <w:r>
        <w:tab/>
      </w:r>
      <w:r w:rsidR="00ED3E73">
        <w:t>T</w:t>
      </w:r>
      <w:r w:rsidR="00ED3E73" w:rsidRPr="00565306">
        <w:rPr>
          <w:rFonts w:eastAsiaTheme="minorHAnsi"/>
          <w:szCs w:val="22"/>
        </w:rPr>
        <w:t xml:space="preserve">he Assemblies of WIPO, each as far as it is concerned: </w:t>
      </w:r>
    </w:p>
    <w:p w:rsidR="00ED3E73" w:rsidRPr="00565306" w:rsidRDefault="00ED3E73" w:rsidP="00ED3E73">
      <w:pPr>
        <w:spacing w:after="200" w:line="276" w:lineRule="auto"/>
        <w:ind w:left="567"/>
        <w:rPr>
          <w:rFonts w:eastAsiaTheme="minorHAnsi"/>
          <w:szCs w:val="22"/>
        </w:rPr>
      </w:pPr>
      <w:r w:rsidRPr="00565306">
        <w:rPr>
          <w:rFonts w:eastAsiaTheme="minorHAnsi"/>
          <w:szCs w:val="22"/>
        </w:rPr>
        <w:t>(</w:t>
      </w:r>
      <w:proofErr w:type="spellStart"/>
      <w:proofErr w:type="gramStart"/>
      <w:r w:rsidRPr="00565306">
        <w:rPr>
          <w:rFonts w:eastAsiaTheme="minorHAnsi"/>
          <w:szCs w:val="22"/>
        </w:rPr>
        <w:t>i</w:t>
      </w:r>
      <w:proofErr w:type="spellEnd"/>
      <w:proofErr w:type="gramEnd"/>
      <w:r w:rsidRPr="00565306">
        <w:rPr>
          <w:rFonts w:eastAsiaTheme="minorHAnsi"/>
          <w:szCs w:val="22"/>
        </w:rPr>
        <w:t xml:space="preserve">) </w:t>
      </w:r>
      <w:r w:rsidRPr="00565306">
        <w:rPr>
          <w:rFonts w:eastAsiaTheme="minorHAnsi"/>
          <w:szCs w:val="22"/>
        </w:rPr>
        <w:tab/>
        <w:t xml:space="preserve">Agreed to approve the Proposed Program and Budget for the 2018/2019 Biennium </w:t>
      </w:r>
      <w:r>
        <w:rPr>
          <w:rFonts w:eastAsiaTheme="minorHAnsi"/>
          <w:szCs w:val="22"/>
        </w:rPr>
        <w:t>(A/57/6</w:t>
      </w:r>
      <w:r w:rsidRPr="00565306">
        <w:rPr>
          <w:rFonts w:eastAsiaTheme="minorHAnsi"/>
          <w:szCs w:val="22"/>
        </w:rPr>
        <w:t>);</w:t>
      </w:r>
    </w:p>
    <w:p w:rsidR="00ED3E73" w:rsidRPr="00565306" w:rsidRDefault="00ED3E73" w:rsidP="00ED3E73">
      <w:pPr>
        <w:spacing w:after="200" w:line="276" w:lineRule="auto"/>
        <w:ind w:left="567"/>
        <w:rPr>
          <w:rFonts w:eastAsiaTheme="minorHAnsi"/>
          <w:szCs w:val="22"/>
        </w:rPr>
      </w:pPr>
      <w:r w:rsidRPr="00565306">
        <w:rPr>
          <w:rFonts w:eastAsiaTheme="minorHAnsi"/>
          <w:szCs w:val="22"/>
        </w:rPr>
        <w:t xml:space="preserve">(ii) </w:t>
      </w:r>
      <w:r w:rsidRPr="00565306">
        <w:rPr>
          <w:rFonts w:eastAsiaTheme="minorHAnsi"/>
          <w:szCs w:val="22"/>
        </w:rPr>
        <w:tab/>
        <w:t xml:space="preserve">Recalled that, in accordance with the treaties of the fee-financed unions, each union should have </w:t>
      </w:r>
      <w:r>
        <w:rPr>
          <w:rFonts w:eastAsiaTheme="minorHAnsi"/>
          <w:szCs w:val="22"/>
        </w:rPr>
        <w:t>revenue</w:t>
      </w:r>
      <w:r w:rsidRPr="00565306">
        <w:rPr>
          <w:rFonts w:eastAsiaTheme="minorHAnsi"/>
          <w:szCs w:val="22"/>
        </w:rPr>
        <w:t xml:space="preserve"> sufficient to cover its </w:t>
      </w:r>
      <w:r>
        <w:rPr>
          <w:rFonts w:eastAsiaTheme="minorHAnsi"/>
          <w:szCs w:val="22"/>
        </w:rPr>
        <w:t xml:space="preserve">own </w:t>
      </w:r>
      <w:r w:rsidRPr="00565306">
        <w:rPr>
          <w:rFonts w:eastAsiaTheme="minorHAnsi"/>
          <w:szCs w:val="22"/>
        </w:rPr>
        <w:t>expenses;</w:t>
      </w:r>
    </w:p>
    <w:p w:rsidR="00ED3E73" w:rsidRPr="00565306" w:rsidRDefault="00ED3E73" w:rsidP="00ED3E73">
      <w:pPr>
        <w:spacing w:after="200" w:line="276" w:lineRule="auto"/>
        <w:ind w:left="567"/>
        <w:rPr>
          <w:rFonts w:eastAsiaTheme="minorHAnsi"/>
          <w:szCs w:val="22"/>
        </w:rPr>
      </w:pPr>
      <w:r w:rsidRPr="00565306">
        <w:rPr>
          <w:rFonts w:eastAsiaTheme="minorHAnsi"/>
          <w:szCs w:val="22"/>
        </w:rPr>
        <w:t>(iii)</w:t>
      </w:r>
      <w:r w:rsidRPr="00565306">
        <w:rPr>
          <w:rFonts w:eastAsiaTheme="minorHAnsi"/>
          <w:szCs w:val="22"/>
        </w:rPr>
        <w:tab/>
        <w:t>Noted that fee-financed union</w:t>
      </w:r>
      <w:r>
        <w:rPr>
          <w:rFonts w:eastAsiaTheme="minorHAnsi"/>
          <w:szCs w:val="22"/>
        </w:rPr>
        <w:t>s</w:t>
      </w:r>
      <w:r w:rsidRPr="00565306">
        <w:rPr>
          <w:rFonts w:eastAsiaTheme="minorHAnsi"/>
          <w:szCs w:val="22"/>
        </w:rPr>
        <w:t xml:space="preserve"> with a projected</w:t>
      </w:r>
      <w:r>
        <w:rPr>
          <w:rFonts w:eastAsiaTheme="minorHAnsi"/>
          <w:szCs w:val="22"/>
        </w:rPr>
        <w:t xml:space="preserve"> biennial deficit in the 2018/</w:t>
      </w:r>
      <w:r w:rsidRPr="00565306">
        <w:rPr>
          <w:rFonts w:eastAsiaTheme="minorHAnsi"/>
          <w:szCs w:val="22"/>
        </w:rPr>
        <w:t xml:space="preserve">19 biennium </w:t>
      </w:r>
      <w:r>
        <w:rPr>
          <w:rFonts w:eastAsiaTheme="minorHAnsi"/>
          <w:szCs w:val="22"/>
        </w:rPr>
        <w:t xml:space="preserve">should </w:t>
      </w:r>
      <w:r w:rsidRPr="00565306">
        <w:rPr>
          <w:rFonts w:eastAsiaTheme="minorHAnsi"/>
          <w:szCs w:val="22"/>
        </w:rPr>
        <w:t xml:space="preserve">examine measures </w:t>
      </w:r>
      <w:r>
        <w:rPr>
          <w:rFonts w:eastAsiaTheme="minorHAnsi"/>
          <w:szCs w:val="22"/>
        </w:rPr>
        <w:t xml:space="preserve">in accordance with its own treaty </w:t>
      </w:r>
      <w:r w:rsidRPr="00565306">
        <w:rPr>
          <w:rFonts w:eastAsiaTheme="minorHAnsi"/>
          <w:szCs w:val="22"/>
        </w:rPr>
        <w:t>to address that deficit;</w:t>
      </w:r>
    </w:p>
    <w:p w:rsidR="00ED3E73" w:rsidRPr="00565BE9" w:rsidRDefault="00ED3E73" w:rsidP="00ED3E73">
      <w:pPr>
        <w:spacing w:line="276" w:lineRule="auto"/>
        <w:ind w:left="567"/>
        <w:rPr>
          <w:rFonts w:eastAsiaTheme="minorHAnsi"/>
          <w:szCs w:val="22"/>
        </w:rPr>
      </w:pPr>
      <w:r w:rsidRPr="00565306">
        <w:rPr>
          <w:rFonts w:eastAsiaTheme="minorHAnsi"/>
          <w:szCs w:val="22"/>
        </w:rPr>
        <w:t>(iv)</w:t>
      </w:r>
      <w:r w:rsidRPr="00565306">
        <w:rPr>
          <w:rFonts w:eastAsiaTheme="minorHAnsi"/>
          <w:szCs w:val="22"/>
        </w:rPr>
        <w:tab/>
      </w:r>
      <w:r w:rsidRPr="00565BE9">
        <w:rPr>
          <w:rFonts w:eastAsiaTheme="minorHAnsi"/>
          <w:szCs w:val="22"/>
        </w:rPr>
        <w:t>Noted that if any Union in any given biennium does not have sufficient revenue and reserves to cover its projected expenses, the amount required to fund the operations of such union is provided from the net assets of the Organization and is disclosed in the financial statements of the Organization and is to be repaid when the reserves of such union allow it to do so</w:t>
      </w:r>
      <w:r>
        <w:rPr>
          <w:rFonts w:eastAsiaTheme="minorHAnsi"/>
          <w:szCs w:val="22"/>
        </w:rPr>
        <w:t>;</w:t>
      </w:r>
    </w:p>
    <w:p w:rsidR="00ED3E73" w:rsidRPr="00565BE9" w:rsidRDefault="00ED3E73" w:rsidP="00ED3E73">
      <w:pPr>
        <w:spacing w:line="276" w:lineRule="auto"/>
        <w:ind w:left="567"/>
        <w:rPr>
          <w:rFonts w:eastAsiaTheme="minorHAnsi"/>
          <w:szCs w:val="22"/>
        </w:rPr>
      </w:pPr>
    </w:p>
    <w:p w:rsidR="00ED3E73" w:rsidRPr="00565BE9" w:rsidRDefault="00ED3E73" w:rsidP="00ED3E73">
      <w:pPr>
        <w:spacing w:line="276" w:lineRule="auto"/>
        <w:ind w:left="567"/>
        <w:rPr>
          <w:rFonts w:eastAsiaTheme="minorHAnsi"/>
          <w:szCs w:val="22"/>
        </w:rPr>
      </w:pPr>
      <w:r w:rsidRPr="00565BE9">
        <w:rPr>
          <w:rFonts w:eastAsiaTheme="minorHAnsi"/>
          <w:szCs w:val="22"/>
        </w:rPr>
        <w:lastRenderedPageBreak/>
        <w:t>(v)</w:t>
      </w:r>
      <w:r>
        <w:rPr>
          <w:rFonts w:eastAsiaTheme="minorHAnsi"/>
          <w:szCs w:val="22"/>
        </w:rPr>
        <w:tab/>
      </w:r>
      <w:r w:rsidRPr="00565BE9">
        <w:rPr>
          <w:rFonts w:eastAsiaTheme="minorHAnsi"/>
          <w:szCs w:val="22"/>
        </w:rPr>
        <w:t xml:space="preserve">Decided that in accordance with (iv) above, for the 2018/19 </w:t>
      </w:r>
      <w:r w:rsidR="00B86FF1">
        <w:rPr>
          <w:rFonts w:eastAsiaTheme="minorHAnsi"/>
          <w:szCs w:val="22"/>
        </w:rPr>
        <w:t>biennium, if any fee</w:t>
      </w:r>
      <w:r w:rsidR="00B86FF1">
        <w:rPr>
          <w:rFonts w:eastAsiaTheme="minorHAnsi"/>
          <w:szCs w:val="22"/>
        </w:rPr>
        <w:noBreakHyphen/>
      </w:r>
      <w:r w:rsidRPr="00565BE9">
        <w:rPr>
          <w:rFonts w:eastAsiaTheme="minorHAnsi"/>
          <w:szCs w:val="22"/>
        </w:rPr>
        <w:t>financed union does not have sufficient revenue to cover its expenses, the required amount mentioned in (iv) shall be provided from the reserves of the C</w:t>
      </w:r>
      <w:r>
        <w:rPr>
          <w:rFonts w:eastAsiaTheme="minorHAnsi"/>
          <w:szCs w:val="22"/>
        </w:rPr>
        <w:t xml:space="preserve">ontribution </w:t>
      </w:r>
      <w:r w:rsidRPr="00565BE9">
        <w:rPr>
          <w:rFonts w:eastAsiaTheme="minorHAnsi"/>
          <w:szCs w:val="22"/>
        </w:rPr>
        <w:t>F</w:t>
      </w:r>
      <w:r>
        <w:rPr>
          <w:rFonts w:eastAsiaTheme="minorHAnsi"/>
          <w:szCs w:val="22"/>
        </w:rPr>
        <w:t>inanced U</w:t>
      </w:r>
      <w:r w:rsidRPr="00565BE9">
        <w:rPr>
          <w:rFonts w:eastAsiaTheme="minorHAnsi"/>
          <w:szCs w:val="22"/>
        </w:rPr>
        <w:t>nions, if those reserves are fully sufficient, otherwise fro</w:t>
      </w:r>
      <w:r w:rsidR="00B86FF1">
        <w:rPr>
          <w:rFonts w:eastAsiaTheme="minorHAnsi"/>
          <w:szCs w:val="22"/>
        </w:rPr>
        <w:t>m the reserves of the other fee</w:t>
      </w:r>
      <w:r w:rsidR="00B86FF1">
        <w:rPr>
          <w:rFonts w:eastAsiaTheme="minorHAnsi"/>
          <w:szCs w:val="22"/>
        </w:rPr>
        <w:noBreakHyphen/>
      </w:r>
      <w:r w:rsidRPr="00565BE9">
        <w:rPr>
          <w:rFonts w:eastAsiaTheme="minorHAnsi"/>
          <w:szCs w:val="22"/>
        </w:rPr>
        <w:t xml:space="preserve">financed unions. </w:t>
      </w:r>
    </w:p>
    <w:p w:rsidR="00ED3E73" w:rsidRDefault="00ED3E73" w:rsidP="00ED3E73">
      <w:pPr>
        <w:spacing w:line="276" w:lineRule="auto"/>
        <w:rPr>
          <w:rFonts w:eastAsiaTheme="minorHAnsi"/>
          <w:szCs w:val="22"/>
        </w:rPr>
      </w:pPr>
    </w:p>
    <w:p w:rsidR="00ED3E73" w:rsidRPr="00565306" w:rsidRDefault="00ED3E73" w:rsidP="00ED3E73">
      <w:pPr>
        <w:spacing w:after="200" w:line="276" w:lineRule="auto"/>
        <w:rPr>
          <w:rFonts w:eastAsiaTheme="minorHAnsi"/>
          <w:szCs w:val="22"/>
        </w:rPr>
      </w:pPr>
      <w:r w:rsidRPr="00565306">
        <w:rPr>
          <w:rFonts w:eastAsiaTheme="minorHAnsi"/>
          <w:szCs w:val="22"/>
        </w:rPr>
        <w:t>2.</w:t>
      </w:r>
      <w:r w:rsidRPr="00565306">
        <w:rPr>
          <w:rFonts w:eastAsiaTheme="minorHAnsi"/>
          <w:szCs w:val="22"/>
        </w:rPr>
        <w:tab/>
        <w:t>The General Assembly further noted that the allocation methodology for the income and budget by union is a cross cutting topic and decided that the PBC will continue the discussion</w:t>
      </w:r>
      <w:r>
        <w:rPr>
          <w:rFonts w:eastAsiaTheme="minorHAnsi"/>
          <w:szCs w:val="22"/>
        </w:rPr>
        <w:t>s</w:t>
      </w:r>
      <w:r w:rsidRPr="00565306">
        <w:rPr>
          <w:rFonts w:eastAsiaTheme="minorHAnsi"/>
          <w:szCs w:val="22"/>
        </w:rPr>
        <w:t xml:space="preserve"> on the methodology on the allocation of income and expenditure by unions </w:t>
      </w:r>
      <w:r>
        <w:rPr>
          <w:rFonts w:eastAsiaTheme="minorHAnsi"/>
          <w:szCs w:val="22"/>
        </w:rPr>
        <w:t xml:space="preserve">in its future sessions based on relevant documents </w:t>
      </w:r>
      <w:r w:rsidRPr="00565306">
        <w:rPr>
          <w:rFonts w:eastAsiaTheme="minorHAnsi"/>
          <w:szCs w:val="22"/>
        </w:rPr>
        <w:t xml:space="preserve"> and other proposals by Member States.</w:t>
      </w:r>
    </w:p>
    <w:p w:rsidR="00ED3E73" w:rsidRDefault="00ED3E73" w:rsidP="00ED3E73">
      <w:pPr>
        <w:spacing w:after="200" w:line="276" w:lineRule="auto"/>
        <w:rPr>
          <w:rFonts w:eastAsiaTheme="minorHAnsi"/>
          <w:szCs w:val="22"/>
        </w:rPr>
      </w:pPr>
      <w:r w:rsidRPr="00565306">
        <w:rPr>
          <w:rFonts w:eastAsiaTheme="minorHAnsi"/>
          <w:szCs w:val="22"/>
        </w:rPr>
        <w:t>3.</w:t>
      </w:r>
      <w:r w:rsidRPr="00565306">
        <w:rPr>
          <w:rFonts w:eastAsiaTheme="minorHAnsi"/>
          <w:szCs w:val="22"/>
        </w:rPr>
        <w:tab/>
        <w:t>The General Assembly t</w:t>
      </w:r>
      <w:r>
        <w:rPr>
          <w:rFonts w:eastAsiaTheme="minorHAnsi"/>
          <w:szCs w:val="22"/>
        </w:rPr>
        <w:t>ook</w:t>
      </w:r>
      <w:r w:rsidRPr="00565306">
        <w:rPr>
          <w:rFonts w:eastAsiaTheme="minorHAnsi"/>
          <w:szCs w:val="22"/>
        </w:rPr>
        <w:t xml:space="preserve"> note of the fact that all diplomatic conferences contemplated in the 2018-19 biennium, that may be held under the auspices of WIPO during the 2018/19 biennium and funded by the resources of the Organization</w:t>
      </w:r>
      <w:r>
        <w:rPr>
          <w:rFonts w:eastAsiaTheme="minorHAnsi"/>
          <w:szCs w:val="22"/>
        </w:rPr>
        <w:t>,</w:t>
      </w:r>
      <w:r w:rsidRPr="00565306">
        <w:rPr>
          <w:rFonts w:eastAsiaTheme="minorHAnsi"/>
          <w:szCs w:val="22"/>
        </w:rPr>
        <w:t xml:space="preserve"> will be open to the full participation of all WIPO Member States</w:t>
      </w:r>
      <w:r>
        <w:rPr>
          <w:rFonts w:eastAsiaTheme="minorHAnsi"/>
          <w:szCs w:val="22"/>
        </w:rPr>
        <w:t xml:space="preserve"> in accordance with the Recommendations of the Development Agenda</w:t>
      </w:r>
      <w:r w:rsidRPr="00565306">
        <w:rPr>
          <w:rFonts w:eastAsiaTheme="minorHAnsi"/>
          <w:szCs w:val="22"/>
        </w:rPr>
        <w:t>.</w:t>
      </w:r>
    </w:p>
    <w:p w:rsidR="00ED3E73" w:rsidRDefault="00ED3E73" w:rsidP="00ED3E73">
      <w:pPr>
        <w:spacing w:after="200" w:line="276" w:lineRule="auto"/>
        <w:rPr>
          <w:rFonts w:eastAsiaTheme="minorHAnsi"/>
          <w:szCs w:val="22"/>
        </w:rPr>
      </w:pPr>
      <w:r w:rsidRPr="00565306">
        <w:rPr>
          <w:rFonts w:eastAsiaTheme="minorHAnsi"/>
          <w:szCs w:val="22"/>
        </w:rPr>
        <w:t>4.</w:t>
      </w:r>
      <w:r>
        <w:rPr>
          <w:rFonts w:eastAsiaTheme="minorHAnsi"/>
          <w:szCs w:val="22"/>
        </w:rPr>
        <w:tab/>
      </w:r>
      <w:r w:rsidRPr="00565306">
        <w:rPr>
          <w:rFonts w:eastAsiaTheme="minorHAnsi"/>
          <w:szCs w:val="22"/>
        </w:rPr>
        <w:t>The Assemblies of WIPO</w:t>
      </w:r>
      <w:r>
        <w:rPr>
          <w:rFonts w:eastAsiaTheme="minorHAnsi"/>
          <w:szCs w:val="22"/>
        </w:rPr>
        <w:t>,</w:t>
      </w:r>
      <w:r w:rsidRPr="00565306">
        <w:rPr>
          <w:rFonts w:eastAsiaTheme="minorHAnsi"/>
          <w:szCs w:val="22"/>
        </w:rPr>
        <w:t xml:space="preserve"> each as far as it is concerned</w:t>
      </w:r>
      <w:r>
        <w:rPr>
          <w:rFonts w:eastAsiaTheme="minorHAnsi"/>
          <w:szCs w:val="22"/>
        </w:rPr>
        <w:t>:</w:t>
      </w:r>
      <w:r w:rsidRPr="00565306">
        <w:rPr>
          <w:rFonts w:eastAsiaTheme="minorHAnsi"/>
          <w:szCs w:val="22"/>
        </w:rPr>
        <w:t xml:space="preserve"> </w:t>
      </w:r>
    </w:p>
    <w:p w:rsidR="00ED3E73" w:rsidRPr="00565306" w:rsidRDefault="00ED3E73" w:rsidP="00ED3E73">
      <w:pPr>
        <w:spacing w:after="200" w:line="276" w:lineRule="auto"/>
        <w:ind w:left="567"/>
        <w:rPr>
          <w:rFonts w:eastAsiaTheme="minorHAnsi"/>
          <w:szCs w:val="22"/>
        </w:rPr>
      </w:pPr>
      <w:r>
        <w:rPr>
          <w:rFonts w:eastAsiaTheme="minorHAnsi"/>
          <w:szCs w:val="22"/>
        </w:rPr>
        <w:t>(</w:t>
      </w:r>
      <w:proofErr w:type="spellStart"/>
      <w:r>
        <w:rPr>
          <w:rFonts w:eastAsiaTheme="minorHAnsi"/>
          <w:szCs w:val="22"/>
        </w:rPr>
        <w:t>i</w:t>
      </w:r>
      <w:proofErr w:type="spellEnd"/>
      <w:r>
        <w:rPr>
          <w:rFonts w:eastAsiaTheme="minorHAnsi"/>
          <w:szCs w:val="22"/>
        </w:rPr>
        <w:t xml:space="preserve">) </w:t>
      </w:r>
      <w:r>
        <w:rPr>
          <w:rFonts w:eastAsiaTheme="minorHAnsi"/>
          <w:szCs w:val="22"/>
        </w:rPr>
        <w:tab/>
        <w:t>A</w:t>
      </w:r>
      <w:r w:rsidRPr="00565306">
        <w:rPr>
          <w:rFonts w:eastAsiaTheme="minorHAnsi"/>
          <w:szCs w:val="22"/>
        </w:rPr>
        <w:t xml:space="preserve">pproved from the </w:t>
      </w:r>
      <w:r>
        <w:rPr>
          <w:rFonts w:eastAsiaTheme="minorHAnsi"/>
          <w:szCs w:val="22"/>
        </w:rPr>
        <w:t xml:space="preserve">CF Unions, PCT Union and Madrid Union </w:t>
      </w:r>
      <w:r w:rsidRPr="00565306">
        <w:rPr>
          <w:rFonts w:eastAsiaTheme="minorHAnsi"/>
          <w:szCs w:val="22"/>
        </w:rPr>
        <w:t>reserves the funding of the projects presented in the Capital Master Plan 2018-2027 for the biennium 2018/19 in document A/57/9, amounting to a tot</w:t>
      </w:r>
      <w:r>
        <w:rPr>
          <w:rFonts w:eastAsiaTheme="minorHAnsi"/>
          <w:szCs w:val="22"/>
        </w:rPr>
        <w:t>al of 25.5 million Swiss francs;</w:t>
      </w:r>
      <w:r w:rsidRPr="00565306">
        <w:rPr>
          <w:rFonts w:eastAsiaTheme="minorHAnsi"/>
          <w:szCs w:val="22"/>
        </w:rPr>
        <w:t xml:space="preserve"> </w:t>
      </w:r>
    </w:p>
    <w:p w:rsidR="00ED3E73" w:rsidRPr="00775335" w:rsidRDefault="00ED3E73" w:rsidP="00ED3E73">
      <w:pPr>
        <w:spacing w:after="200" w:line="276" w:lineRule="auto"/>
        <w:ind w:left="567"/>
        <w:rPr>
          <w:rFonts w:eastAsiaTheme="minorHAnsi"/>
          <w:szCs w:val="22"/>
        </w:rPr>
      </w:pPr>
      <w:r w:rsidRPr="00775335">
        <w:rPr>
          <w:rFonts w:eastAsiaTheme="minorHAnsi"/>
          <w:szCs w:val="22"/>
        </w:rPr>
        <w:t xml:space="preserve">(ii) </w:t>
      </w:r>
      <w:r>
        <w:rPr>
          <w:rFonts w:eastAsiaTheme="minorHAnsi"/>
          <w:szCs w:val="22"/>
        </w:rPr>
        <w:tab/>
      </w:r>
      <w:r w:rsidRPr="00775335">
        <w:rPr>
          <w:rFonts w:eastAsiaTheme="minorHAnsi"/>
          <w:szCs w:val="22"/>
        </w:rPr>
        <w:t>Noting that the 2014/15 biennial surplus of the Madrid Union is not fully utilized for the CMP projects 2018/19, decided to earmark the remain</w:t>
      </w:r>
      <w:r>
        <w:rPr>
          <w:rFonts w:eastAsiaTheme="minorHAnsi"/>
          <w:szCs w:val="22"/>
        </w:rPr>
        <w:t>ing</w:t>
      </w:r>
      <w:r w:rsidRPr="00775335">
        <w:rPr>
          <w:rFonts w:eastAsiaTheme="minorHAnsi"/>
          <w:szCs w:val="22"/>
        </w:rPr>
        <w:t xml:space="preserve"> </w:t>
      </w:r>
      <w:r>
        <w:rPr>
          <w:rFonts w:eastAsiaTheme="minorHAnsi"/>
          <w:szCs w:val="22"/>
        </w:rPr>
        <w:t xml:space="preserve">balance </w:t>
      </w:r>
      <w:r w:rsidRPr="00775335">
        <w:rPr>
          <w:rFonts w:eastAsiaTheme="minorHAnsi"/>
          <w:szCs w:val="22"/>
        </w:rPr>
        <w:t>amounting to</w:t>
      </w:r>
      <w:r>
        <w:rPr>
          <w:rFonts w:eastAsiaTheme="minorHAnsi"/>
          <w:szCs w:val="22"/>
        </w:rPr>
        <w:t xml:space="preserve"> 1.1 </w:t>
      </w:r>
      <w:r w:rsidRPr="00775335">
        <w:rPr>
          <w:rFonts w:eastAsiaTheme="minorHAnsi"/>
          <w:szCs w:val="22"/>
        </w:rPr>
        <w:t xml:space="preserve">million Swiss francs for future CMP 2018-27 cross-cutting projects that benefit all Unions. It </w:t>
      </w:r>
      <w:r>
        <w:rPr>
          <w:rFonts w:eastAsiaTheme="minorHAnsi"/>
          <w:szCs w:val="22"/>
        </w:rPr>
        <w:t>was</w:t>
      </w:r>
      <w:r w:rsidRPr="00775335">
        <w:rPr>
          <w:rFonts w:eastAsiaTheme="minorHAnsi"/>
          <w:szCs w:val="22"/>
        </w:rPr>
        <w:t xml:space="preserve"> understood that this decision </w:t>
      </w:r>
      <w:r>
        <w:rPr>
          <w:rFonts w:eastAsiaTheme="minorHAnsi"/>
          <w:szCs w:val="22"/>
        </w:rPr>
        <w:t>was</w:t>
      </w:r>
      <w:r w:rsidRPr="00775335">
        <w:rPr>
          <w:rFonts w:eastAsiaTheme="minorHAnsi"/>
          <w:szCs w:val="22"/>
        </w:rPr>
        <w:t xml:space="preserve"> t</w:t>
      </w:r>
      <w:r>
        <w:rPr>
          <w:rFonts w:eastAsiaTheme="minorHAnsi"/>
          <w:szCs w:val="22"/>
        </w:rPr>
        <w:t>aken on a one-time ad-hoc basis;</w:t>
      </w:r>
    </w:p>
    <w:p w:rsidR="00ED3E73" w:rsidRDefault="00ED3E73" w:rsidP="00ED3E73">
      <w:pPr>
        <w:spacing w:after="200" w:line="276" w:lineRule="auto"/>
        <w:ind w:left="567"/>
        <w:rPr>
          <w:rFonts w:eastAsiaTheme="minorHAnsi"/>
          <w:szCs w:val="22"/>
        </w:rPr>
      </w:pPr>
      <w:r w:rsidRPr="00775335">
        <w:rPr>
          <w:rFonts w:eastAsiaTheme="minorHAnsi"/>
          <w:szCs w:val="22"/>
        </w:rPr>
        <w:t xml:space="preserve">(iii) </w:t>
      </w:r>
      <w:r>
        <w:rPr>
          <w:rFonts w:eastAsiaTheme="minorHAnsi"/>
          <w:szCs w:val="22"/>
        </w:rPr>
        <w:tab/>
      </w:r>
      <w:r w:rsidRPr="00775335">
        <w:rPr>
          <w:rFonts w:eastAsiaTheme="minorHAnsi"/>
          <w:szCs w:val="22"/>
        </w:rPr>
        <w:t xml:space="preserve">Noted that these decisions </w:t>
      </w:r>
      <w:r>
        <w:rPr>
          <w:rFonts w:eastAsiaTheme="minorHAnsi"/>
          <w:szCs w:val="22"/>
        </w:rPr>
        <w:t>we</w:t>
      </w:r>
      <w:r w:rsidRPr="00775335">
        <w:rPr>
          <w:rFonts w:eastAsiaTheme="minorHAnsi"/>
          <w:szCs w:val="22"/>
        </w:rPr>
        <w:t>re without prejudice to the discussions referred</w:t>
      </w:r>
      <w:r>
        <w:rPr>
          <w:rFonts w:eastAsiaTheme="minorHAnsi"/>
          <w:szCs w:val="22"/>
        </w:rPr>
        <w:t xml:space="preserve"> to in </w:t>
      </w:r>
      <w:r w:rsidRPr="00775335">
        <w:rPr>
          <w:rFonts w:eastAsiaTheme="minorHAnsi"/>
          <w:szCs w:val="22"/>
        </w:rPr>
        <w:t>paragraph</w:t>
      </w:r>
      <w:r>
        <w:rPr>
          <w:rFonts w:eastAsiaTheme="minorHAnsi"/>
          <w:szCs w:val="22"/>
        </w:rPr>
        <w:t> </w:t>
      </w:r>
      <w:r w:rsidRPr="00775335">
        <w:rPr>
          <w:rFonts w:eastAsiaTheme="minorHAnsi"/>
          <w:szCs w:val="22"/>
        </w:rPr>
        <w:t>2.</w:t>
      </w:r>
    </w:p>
    <w:p w:rsidR="00F158F3" w:rsidRPr="00ED3E73" w:rsidRDefault="00ED3E73" w:rsidP="00ED3E73">
      <w:pPr>
        <w:ind w:left="5533"/>
      </w:pPr>
      <w:r w:rsidRPr="00ED3E73">
        <w:t>[End of document]</w:t>
      </w:r>
    </w:p>
    <w:sectPr w:rsidR="00F158F3" w:rsidRPr="00ED3E73" w:rsidSect="00F158F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F3" w:rsidRDefault="00F158F3">
      <w:r>
        <w:separator/>
      </w:r>
    </w:p>
  </w:endnote>
  <w:endnote w:type="continuationSeparator" w:id="0">
    <w:p w:rsidR="00F158F3" w:rsidRDefault="00F158F3" w:rsidP="003B38C1">
      <w:r>
        <w:separator/>
      </w:r>
    </w:p>
    <w:p w:rsidR="00F158F3" w:rsidRPr="003B38C1" w:rsidRDefault="00F158F3" w:rsidP="003B38C1">
      <w:pPr>
        <w:spacing w:after="60"/>
        <w:rPr>
          <w:sz w:val="17"/>
        </w:rPr>
      </w:pPr>
      <w:r>
        <w:rPr>
          <w:sz w:val="17"/>
        </w:rPr>
        <w:t>[Endnote continued from previous page]</w:t>
      </w:r>
    </w:p>
  </w:endnote>
  <w:endnote w:type="continuationNotice" w:id="1">
    <w:p w:rsidR="00F158F3" w:rsidRPr="003B38C1" w:rsidRDefault="00F158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F3" w:rsidRDefault="00F158F3">
      <w:r>
        <w:separator/>
      </w:r>
    </w:p>
  </w:footnote>
  <w:footnote w:type="continuationSeparator" w:id="0">
    <w:p w:rsidR="00F158F3" w:rsidRDefault="00F158F3" w:rsidP="008B60B2">
      <w:r>
        <w:separator/>
      </w:r>
    </w:p>
    <w:p w:rsidR="00F158F3" w:rsidRPr="00ED77FB" w:rsidRDefault="00F158F3" w:rsidP="008B60B2">
      <w:pPr>
        <w:spacing w:after="60"/>
        <w:rPr>
          <w:sz w:val="17"/>
          <w:szCs w:val="17"/>
        </w:rPr>
      </w:pPr>
      <w:r w:rsidRPr="00ED77FB">
        <w:rPr>
          <w:sz w:val="17"/>
          <w:szCs w:val="17"/>
        </w:rPr>
        <w:t>[Footnote continued from previous page]</w:t>
      </w:r>
    </w:p>
  </w:footnote>
  <w:footnote w:type="continuationNotice" w:id="1">
    <w:p w:rsidR="00F158F3" w:rsidRPr="00ED77FB" w:rsidRDefault="00F158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158F3" w:rsidP="00477D6B">
    <w:pPr>
      <w:jc w:val="right"/>
    </w:pPr>
    <w:bookmarkStart w:id="6" w:name="Code2"/>
    <w:bookmarkEnd w:id="6"/>
    <w:r>
      <w:t>A/57/</w:t>
    </w:r>
    <w:r w:rsidR="00ED3E73">
      <w:t>11</w:t>
    </w:r>
    <w:r>
      <w:t xml:space="preserve"> Add.</w:t>
    </w:r>
    <w:r w:rsidR="00ED3E73">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937FB">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F3"/>
    <w:rsid w:val="00043CAA"/>
    <w:rsid w:val="00075432"/>
    <w:rsid w:val="000968ED"/>
    <w:rsid w:val="000F5E56"/>
    <w:rsid w:val="001362EE"/>
    <w:rsid w:val="001832A6"/>
    <w:rsid w:val="0021217E"/>
    <w:rsid w:val="002634C4"/>
    <w:rsid w:val="002928D3"/>
    <w:rsid w:val="002F1FE6"/>
    <w:rsid w:val="002F4E68"/>
    <w:rsid w:val="00312F7F"/>
    <w:rsid w:val="00336EA0"/>
    <w:rsid w:val="00361450"/>
    <w:rsid w:val="003673CF"/>
    <w:rsid w:val="003845C1"/>
    <w:rsid w:val="003A6F89"/>
    <w:rsid w:val="003B38C1"/>
    <w:rsid w:val="00423E3E"/>
    <w:rsid w:val="00427AF4"/>
    <w:rsid w:val="004647DA"/>
    <w:rsid w:val="00474062"/>
    <w:rsid w:val="00477D6B"/>
    <w:rsid w:val="005019FF"/>
    <w:rsid w:val="0053057A"/>
    <w:rsid w:val="00560A29"/>
    <w:rsid w:val="00586313"/>
    <w:rsid w:val="005A4F0A"/>
    <w:rsid w:val="005C6649"/>
    <w:rsid w:val="005F2B92"/>
    <w:rsid w:val="00605827"/>
    <w:rsid w:val="00646050"/>
    <w:rsid w:val="006713CA"/>
    <w:rsid w:val="00676C5C"/>
    <w:rsid w:val="00703D4B"/>
    <w:rsid w:val="007D1613"/>
    <w:rsid w:val="007D4DD2"/>
    <w:rsid w:val="007E4C0E"/>
    <w:rsid w:val="008B2CC1"/>
    <w:rsid w:val="008B60B2"/>
    <w:rsid w:val="008C55F6"/>
    <w:rsid w:val="0090731E"/>
    <w:rsid w:val="00916EE2"/>
    <w:rsid w:val="00955F80"/>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86FF1"/>
    <w:rsid w:val="00B9734B"/>
    <w:rsid w:val="00BA30E2"/>
    <w:rsid w:val="00BD148E"/>
    <w:rsid w:val="00C11BFE"/>
    <w:rsid w:val="00C5068F"/>
    <w:rsid w:val="00CD04F1"/>
    <w:rsid w:val="00D45252"/>
    <w:rsid w:val="00D71B4D"/>
    <w:rsid w:val="00D93D55"/>
    <w:rsid w:val="00E15015"/>
    <w:rsid w:val="00E335FE"/>
    <w:rsid w:val="00E85715"/>
    <w:rsid w:val="00EC4E49"/>
    <w:rsid w:val="00ED3E73"/>
    <w:rsid w:val="00ED77FB"/>
    <w:rsid w:val="00EE45FA"/>
    <w:rsid w:val="00F158F3"/>
    <w:rsid w:val="00F66152"/>
    <w:rsid w:val="00F9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10</TotalTime>
  <Pages>2</Pages>
  <Words>498</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SANCHEZ Maria Margarita</dc:creator>
  <cp:lastModifiedBy>SANCHEZ Maria Margarita</cp:lastModifiedBy>
  <cp:revision>8</cp:revision>
  <cp:lastPrinted>2017-10-11T12:40:00Z</cp:lastPrinted>
  <dcterms:created xsi:type="dcterms:W3CDTF">2017-10-09T16:55:00Z</dcterms:created>
  <dcterms:modified xsi:type="dcterms:W3CDTF">2017-10-11T12:40:00Z</dcterms:modified>
</cp:coreProperties>
</file>