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sidR="005318E7">
        <w:rPr>
          <w:rFonts w:ascii="Arial Black" w:hAnsi="Arial Black"/>
          <w:b/>
          <w:caps/>
          <w:sz w:val="15"/>
        </w:rPr>
        <w:t>INF/4</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5318E7">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5318E7">
        <w:rPr>
          <w:rFonts w:ascii="Arial Black" w:hAnsi="Arial Black"/>
          <w:b/>
          <w:caps/>
          <w:sz w:val="15"/>
        </w:rPr>
        <w:t>September 1</w:t>
      </w:r>
      <w:r w:rsidR="00AC1BDE">
        <w:rPr>
          <w:rFonts w:ascii="Arial Black" w:hAnsi="Arial Black"/>
          <w:b/>
          <w:caps/>
          <w:sz w:val="15"/>
        </w:rPr>
        <w:t>8</w:t>
      </w:r>
      <w:r w:rsidR="005318E7">
        <w:rPr>
          <w:rFonts w:ascii="Arial Black" w:hAnsi="Arial Black"/>
          <w:b/>
          <w:caps/>
          <w:sz w:val="15"/>
        </w:rPr>
        <w:t>, 2018</w:t>
      </w:r>
    </w:p>
    <w:p w:rsidR="008B2CC1" w:rsidRPr="003D57B0" w:rsidRDefault="00DF023A" w:rsidP="002D6674">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8B2CC1" w:rsidRPr="009C127D" w:rsidRDefault="005318E7" w:rsidP="003D2030">
      <w:pPr>
        <w:spacing w:after="360"/>
        <w:rPr>
          <w:caps/>
          <w:sz w:val="24"/>
        </w:rPr>
      </w:pPr>
      <w:bookmarkStart w:id="4" w:name="TitleOfDoc"/>
      <w:bookmarkEnd w:id="4"/>
      <w:r>
        <w:rPr>
          <w:caps/>
          <w:sz w:val="24"/>
        </w:rPr>
        <w:t>STATUS OF ACCESSIONS TO TREATIES ADMINISTERED BY WIPO, AND CONSTITUTIONAL REFORM MATTERS</w:t>
      </w:r>
    </w:p>
    <w:p w:rsidR="008B2CC1" w:rsidRPr="009C127D" w:rsidRDefault="005318E7" w:rsidP="009C127D">
      <w:pPr>
        <w:spacing w:after="960"/>
        <w:rPr>
          <w:i/>
        </w:rPr>
      </w:pPr>
      <w:bookmarkStart w:id="5" w:name="Prepared"/>
      <w:bookmarkEnd w:id="5"/>
      <w:r>
        <w:rPr>
          <w:i/>
        </w:rPr>
        <w:t>Document prepared by the Secretariat</w:t>
      </w:r>
    </w:p>
    <w:p w:rsidR="00554CAF" w:rsidRDefault="00554CAF" w:rsidP="009245C1">
      <w:pPr>
        <w:tabs>
          <w:tab w:val="left" w:pos="567"/>
          <w:tab w:val="left" w:pos="1134"/>
          <w:tab w:val="left" w:pos="1701"/>
          <w:tab w:val="left" w:pos="5670"/>
        </w:tabs>
        <w:spacing w:after="240"/>
      </w:pPr>
      <w:r w:rsidRPr="001C5F7A">
        <w:t>The present document sets out the evolution of membership of treaties administered by the World Intellectual Property Organization</w:t>
      </w:r>
      <w:r w:rsidR="00626802">
        <w:t xml:space="preserve"> (WIPO) from January 1, 1970 to September 1</w:t>
      </w:r>
      <w:r w:rsidRPr="001C5F7A">
        <w:t>, 201</w:t>
      </w:r>
      <w:r w:rsidR="00626802">
        <w:t>8</w:t>
      </w:r>
      <w:r>
        <w:t xml:space="preserve">, as well as an update on constitutional reform matters.  </w:t>
      </w:r>
    </w:p>
    <w:p w:rsidR="00554CAF" w:rsidRDefault="00554CAF" w:rsidP="00554CAF">
      <w:pPr>
        <w:tabs>
          <w:tab w:val="left" w:pos="567"/>
          <w:tab w:val="left" w:pos="1134"/>
          <w:tab w:val="left" w:pos="1701"/>
          <w:tab w:val="left" w:pos="5670"/>
        </w:tabs>
      </w:pPr>
      <w:r>
        <w:t>Particular attention is drawn to the WIPO treaties</w:t>
      </w:r>
      <w:r w:rsidR="00624172">
        <w:t xml:space="preserve"> that</w:t>
      </w:r>
      <w:r>
        <w:t xml:space="preserve"> have been updated, either through the adoption of a new act or instrument</w:t>
      </w:r>
      <w:r>
        <w:rPr>
          <w:rStyle w:val="FootnoteReference"/>
        </w:rPr>
        <w:footnoteReference w:id="2"/>
      </w:r>
      <w:r>
        <w:t xml:space="preserve"> (which requires accession), or through an amendment</w:t>
      </w:r>
      <w:r>
        <w:rPr>
          <w:rStyle w:val="FootnoteReference"/>
        </w:rPr>
        <w:footnoteReference w:id="3"/>
      </w:r>
      <w:r>
        <w:t xml:space="preserve">  (which requires acceptance), as described in this document </w:t>
      </w:r>
      <w:r w:rsidRPr="001F5DF2">
        <w:rPr>
          <w:i/>
        </w:rPr>
        <w:t xml:space="preserve">(see paragraphs 2, 3, </w:t>
      </w:r>
      <w:r w:rsidR="008F1780">
        <w:rPr>
          <w:i/>
        </w:rPr>
        <w:t xml:space="preserve">7, </w:t>
      </w:r>
      <w:r w:rsidR="00B35AD0">
        <w:rPr>
          <w:i/>
        </w:rPr>
        <w:t>8</w:t>
      </w:r>
      <w:r w:rsidRPr="001F5DF2">
        <w:rPr>
          <w:i/>
        </w:rPr>
        <w:t xml:space="preserve"> and 25 through </w:t>
      </w:r>
      <w:r w:rsidR="00B35AD0">
        <w:rPr>
          <w:i/>
        </w:rPr>
        <w:t>27</w:t>
      </w:r>
      <w:r w:rsidRPr="001F5DF2">
        <w:rPr>
          <w:i/>
        </w:rPr>
        <w:t>)</w:t>
      </w:r>
      <w:r>
        <w:t>.  Contracting Parties concerned are respectfully invited to consider updating their membership, as applicable.</w:t>
      </w:r>
    </w:p>
    <w:p w:rsidR="00554CAF" w:rsidRDefault="00554CAF" w:rsidP="002D6674">
      <w:pPr>
        <w:pStyle w:val="Heading1"/>
      </w:pPr>
      <w:r>
        <w:br w:type="page"/>
      </w:r>
      <w:r>
        <w:lastRenderedPageBreak/>
        <w:t>I.</w:t>
      </w:r>
      <w:r>
        <w:tab/>
        <w:t>PARTIES TO TREATIES ADMINISTERED BY WIPO</w:t>
      </w:r>
    </w:p>
    <w:p w:rsidR="00554CAF" w:rsidRPr="009245C1" w:rsidRDefault="00554CAF" w:rsidP="00606C0B">
      <w:pPr>
        <w:pStyle w:val="ListParagraph"/>
        <w:numPr>
          <w:ilvl w:val="0"/>
          <w:numId w:val="8"/>
        </w:numPr>
        <w:spacing w:after="480"/>
        <w:ind w:left="573" w:hanging="573"/>
        <w:rPr>
          <w:i/>
        </w:rPr>
      </w:pPr>
      <w:r w:rsidRPr="009245C1">
        <w:rPr>
          <w:i/>
        </w:rPr>
        <w:t>Convention Establishing the World Intellectual Property Organization (1967)</w:t>
      </w:r>
    </w:p>
    <w:p w:rsidR="00163798" w:rsidRDefault="00D40D40" w:rsidP="00606C0B">
      <w:pPr>
        <w:spacing w:after="480"/>
      </w:pPr>
      <w:r>
        <w:rPr>
          <w:noProof/>
          <w:lang w:eastAsia="en-US"/>
        </w:rPr>
        <w:drawing>
          <wp:inline distT="0" distB="0" distL="0" distR="0" wp14:anchorId="6B10A47F" wp14:editId="78837E24">
            <wp:extent cx="4584700" cy="2755900"/>
            <wp:effectExtent l="0" t="0" r="6350" b="6350"/>
            <wp:docPr id="29" name="Picture 29" descr="It is a Chart of No. of contracting Parties per year from 1970 until 2018." title="Convention Establishing the World Intellectual Property Organization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3B23" w:rsidRPr="0002692B" w:rsidRDefault="003E3B23" w:rsidP="00606C0B">
      <w:pPr>
        <w:pStyle w:val="ListParagraph"/>
        <w:numPr>
          <w:ilvl w:val="0"/>
          <w:numId w:val="8"/>
        </w:numPr>
        <w:spacing w:before="360" w:after="480"/>
        <w:ind w:left="573" w:hanging="573"/>
        <w:rPr>
          <w:i/>
        </w:rPr>
      </w:pPr>
      <w:r w:rsidRPr="0002692B">
        <w:rPr>
          <w:i/>
        </w:rPr>
        <w:t>Paris Convention for the Protection of Industrial Property (1883)</w:t>
      </w:r>
    </w:p>
    <w:p w:rsidR="00163798" w:rsidRDefault="00965BAA" w:rsidP="00606C0B">
      <w:pPr>
        <w:spacing w:after="480"/>
      </w:pPr>
      <w:r>
        <w:rPr>
          <w:noProof/>
          <w:lang w:eastAsia="en-US"/>
        </w:rPr>
        <w:drawing>
          <wp:inline distT="0" distB="0" distL="0" distR="0" wp14:anchorId="678B1B65" wp14:editId="5EA6D652">
            <wp:extent cx="4584700" cy="2755900"/>
            <wp:effectExtent l="0" t="0" r="6350" b="6350"/>
            <wp:docPr id="32" name="Picture 32" descr="It is a chart showing the No of Contracting Parties per year from 1970 until 2018." title="2. Paris Convention for the Protection of Industrial Property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F76A3" w:rsidRDefault="008F76A3" w:rsidP="0068284B">
      <w:pPr>
        <w:pStyle w:val="BodyTextIndent"/>
        <w:widowControl w:val="0"/>
        <w:spacing w:before="360" w:after="240"/>
        <w:ind w:left="0"/>
        <w:rPr>
          <w:szCs w:val="22"/>
        </w:rPr>
      </w:pPr>
      <w:r w:rsidRPr="005863F5">
        <w:rPr>
          <w:rFonts w:ascii="Arial" w:hAnsi="Arial" w:cs="Arial"/>
          <w:sz w:val="22"/>
          <w:szCs w:val="22"/>
        </w:rPr>
        <w:t xml:space="preserve">The Paris Convention </w:t>
      </w:r>
      <w:r>
        <w:rPr>
          <w:rFonts w:ascii="Arial" w:hAnsi="Arial" w:cs="Arial"/>
          <w:sz w:val="22"/>
          <w:szCs w:val="22"/>
        </w:rPr>
        <w:t xml:space="preserve">for the Protection of Industrial Property (the Paris Convention) </w:t>
      </w:r>
      <w:r w:rsidRPr="005863F5">
        <w:rPr>
          <w:rFonts w:ascii="Arial" w:hAnsi="Arial" w:cs="Arial"/>
          <w:sz w:val="22"/>
          <w:szCs w:val="22"/>
        </w:rPr>
        <w:t>was revised several times since its conclusion in 1883.  It was revised at Brussels (1900), Washington (1911), The Hague (1925), London (1934), Lisbon (1958) an</w:t>
      </w:r>
      <w:r>
        <w:rPr>
          <w:rFonts w:ascii="Arial" w:hAnsi="Arial" w:cs="Arial"/>
          <w:sz w:val="22"/>
          <w:szCs w:val="22"/>
        </w:rPr>
        <w:t>d</w:t>
      </w:r>
      <w:r w:rsidRPr="005863F5">
        <w:rPr>
          <w:rFonts w:ascii="Arial" w:hAnsi="Arial" w:cs="Arial"/>
          <w:sz w:val="22"/>
          <w:szCs w:val="22"/>
        </w:rPr>
        <w:t xml:space="preserve"> Stockholm (1967)</w:t>
      </w:r>
      <w:r>
        <w:rPr>
          <w:rFonts w:ascii="Arial" w:hAnsi="Arial" w:cs="Arial"/>
          <w:sz w:val="22"/>
          <w:szCs w:val="22"/>
        </w:rPr>
        <w:t>, and amended in 1979.</w:t>
      </w:r>
      <w:r>
        <w:rPr>
          <w:szCs w:val="22"/>
        </w:rPr>
        <w:br w:type="page"/>
      </w:r>
    </w:p>
    <w:p w:rsidR="0068284B" w:rsidRDefault="008F76A3" w:rsidP="0068284B">
      <w:pPr>
        <w:pStyle w:val="BodyTextIndent"/>
        <w:widowControl w:val="0"/>
        <w:spacing w:after="240"/>
        <w:ind w:left="0"/>
        <w:rPr>
          <w:rFonts w:ascii="Arial" w:hAnsi="Arial" w:cs="Arial"/>
          <w:sz w:val="22"/>
          <w:szCs w:val="22"/>
        </w:rPr>
      </w:pPr>
      <w:r w:rsidRPr="005863F5">
        <w:rPr>
          <w:rFonts w:ascii="Arial" w:hAnsi="Arial" w:cs="Arial"/>
          <w:sz w:val="22"/>
          <w:szCs w:val="22"/>
        </w:rPr>
        <w:lastRenderedPageBreak/>
        <w:t>For historical reasons,</w:t>
      </w:r>
      <w:r>
        <w:rPr>
          <w:rFonts w:ascii="Arial" w:hAnsi="Arial" w:cs="Arial"/>
          <w:sz w:val="22"/>
          <w:szCs w:val="22"/>
        </w:rPr>
        <w:t xml:space="preserve"> the Stockholm revision gave M</w:t>
      </w:r>
      <w:r w:rsidRPr="005863F5">
        <w:rPr>
          <w:rFonts w:ascii="Arial" w:hAnsi="Arial" w:cs="Arial"/>
          <w:sz w:val="22"/>
          <w:szCs w:val="22"/>
        </w:rPr>
        <w:t>ember States the opportunity to accept only one part of the revision (</w:t>
      </w:r>
      <w:r>
        <w:rPr>
          <w:rFonts w:ascii="Arial" w:hAnsi="Arial" w:cs="Arial"/>
          <w:sz w:val="22"/>
          <w:szCs w:val="22"/>
        </w:rPr>
        <w:t>A</w:t>
      </w:r>
      <w:r w:rsidRPr="005863F5">
        <w:rPr>
          <w:rFonts w:ascii="Arial" w:hAnsi="Arial" w:cs="Arial"/>
          <w:sz w:val="22"/>
          <w:szCs w:val="22"/>
        </w:rPr>
        <w:t>rticles 1 to 12</w:t>
      </w:r>
      <w:r w:rsidR="00B2797F">
        <w:rPr>
          <w:rFonts w:ascii="Arial" w:hAnsi="Arial" w:cs="Arial"/>
          <w:sz w:val="22"/>
          <w:szCs w:val="22"/>
        </w:rPr>
        <w:t>,</w:t>
      </w:r>
      <w:r>
        <w:rPr>
          <w:rFonts w:ascii="Arial" w:hAnsi="Arial" w:cs="Arial"/>
          <w:sz w:val="22"/>
          <w:szCs w:val="22"/>
        </w:rPr>
        <w:t xml:space="preserve">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30</w:t>
      </w:r>
      <w:r w:rsidR="00B2797F">
        <w:rPr>
          <w:rFonts w:ascii="Arial" w:hAnsi="Arial" w:cs="Arial"/>
          <w:sz w:val="22"/>
          <w:szCs w:val="22"/>
        </w:rPr>
        <w:t>,</w:t>
      </w:r>
      <w:r>
        <w:rPr>
          <w:rFonts w:ascii="Arial" w:hAnsi="Arial" w:cs="Arial"/>
          <w:sz w:val="22"/>
          <w:szCs w:val="22"/>
        </w:rPr>
        <w:t xml:space="preserve"> which constitute</w:t>
      </w:r>
      <w:r w:rsidRPr="005863F5">
        <w:rPr>
          <w:rFonts w:ascii="Arial" w:hAnsi="Arial" w:cs="Arial"/>
          <w:sz w:val="22"/>
          <w:szCs w:val="22"/>
        </w:rPr>
        <w:t xml:space="preserve"> the final and administrative provisions) or accept one part earlier than the other.  </w:t>
      </w:r>
    </w:p>
    <w:p w:rsidR="0068284B" w:rsidRDefault="008F76A3" w:rsidP="0068284B">
      <w:pPr>
        <w:pStyle w:val="BodyTextIndent"/>
        <w:widowControl w:val="0"/>
        <w:spacing w:before="120" w:after="240"/>
        <w:ind w:left="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 xml:space="preserve">Member States </w:t>
      </w:r>
      <w:r w:rsidR="00B2797F">
        <w:rPr>
          <w:rFonts w:ascii="Arial" w:hAnsi="Arial" w:cs="Arial"/>
          <w:sz w:val="22"/>
          <w:szCs w:val="22"/>
        </w:rPr>
        <w:t xml:space="preserve">that </w:t>
      </w:r>
      <w:r w:rsidRPr="005863F5">
        <w:rPr>
          <w:rFonts w:ascii="Arial" w:hAnsi="Arial" w:cs="Arial"/>
          <w:sz w:val="22"/>
          <w:szCs w:val="22"/>
        </w:rPr>
        <w:t>have excluded</w:t>
      </w:r>
      <w:r>
        <w:rPr>
          <w:rFonts w:ascii="Arial" w:hAnsi="Arial" w:cs="Arial"/>
          <w:sz w:val="22"/>
          <w:szCs w:val="22"/>
        </w:rPr>
        <w:t xml:space="preserve"> the substantive provisions from their acceptance of the Stockholm Act, are still, to date, bound by the substantive provisions of an earlier Act, which do not reflect the most up-to-date thinking on matters covered by the Convention.  The Member States concerned are Argentina, Bahamas, Lebanon, Malta, New Zealand, Philippines</w:t>
      </w:r>
      <w:proofErr w:type="gramStart"/>
      <w:r>
        <w:rPr>
          <w:rFonts w:ascii="Arial" w:hAnsi="Arial" w:cs="Arial"/>
          <w:sz w:val="22"/>
          <w:szCs w:val="22"/>
        </w:rPr>
        <w:t>,</w:t>
      </w:r>
      <w:proofErr w:type="gramEnd"/>
      <w:r w:rsidR="00705619">
        <w:rPr>
          <w:rFonts w:ascii="Arial" w:hAnsi="Arial" w:cs="Arial"/>
          <w:sz w:val="22"/>
          <w:szCs w:val="22"/>
        </w:rPr>
        <w:br/>
      </w:r>
      <w:r>
        <w:rPr>
          <w:rFonts w:ascii="Arial" w:hAnsi="Arial" w:cs="Arial"/>
          <w:sz w:val="22"/>
          <w:szCs w:val="22"/>
        </w:rPr>
        <w:t xml:space="preserve">Sri Lanka, the United Republic of Tanzania and Zambia. </w:t>
      </w:r>
      <w:r w:rsidR="0068284B">
        <w:rPr>
          <w:rFonts w:ascii="Arial" w:hAnsi="Arial" w:cs="Arial"/>
          <w:sz w:val="22"/>
          <w:szCs w:val="22"/>
        </w:rPr>
        <w:t xml:space="preserve"> </w:t>
      </w:r>
    </w:p>
    <w:p w:rsidR="008F76A3" w:rsidRDefault="008F76A3" w:rsidP="0068284B">
      <w:pPr>
        <w:pStyle w:val="BodyTextIndent"/>
        <w:widowControl w:val="0"/>
        <w:spacing w:before="120" w:after="240"/>
        <w:ind w:left="0"/>
        <w:rPr>
          <w:rFonts w:ascii="Arial" w:hAnsi="Arial" w:cs="Arial"/>
          <w:sz w:val="22"/>
          <w:szCs w:val="22"/>
        </w:rPr>
      </w:pPr>
      <w:r>
        <w:rPr>
          <w:rFonts w:ascii="Arial" w:hAnsi="Arial" w:cs="Arial"/>
          <w:sz w:val="22"/>
          <w:szCs w:val="22"/>
        </w:rPr>
        <w:t>Some other Member States, namely the Dominican Republic and Nigeria, have never acceded to the Stockholm Act, but remain parties to an earlier Act.  They are not members of the Assembly of the Paris Union, and thus are not able to participate in the decision-making organ of the Union.</w:t>
      </w:r>
      <w:r w:rsidR="00242424">
        <w:rPr>
          <w:rFonts w:ascii="Arial" w:hAnsi="Arial" w:cs="Arial"/>
          <w:sz w:val="22"/>
          <w:szCs w:val="22"/>
        </w:rPr>
        <w:t xml:space="preserve">  The Secretariat has on previous occasions, including by note </w:t>
      </w:r>
      <w:proofErr w:type="spellStart"/>
      <w:r w:rsidR="00242424">
        <w:rPr>
          <w:rFonts w:ascii="Arial" w:hAnsi="Arial" w:cs="Arial"/>
          <w:sz w:val="22"/>
          <w:szCs w:val="22"/>
        </w:rPr>
        <w:t>verbale</w:t>
      </w:r>
      <w:proofErr w:type="spellEnd"/>
      <w:r w:rsidR="00242424">
        <w:rPr>
          <w:rFonts w:ascii="Arial" w:hAnsi="Arial" w:cs="Arial"/>
          <w:sz w:val="22"/>
          <w:szCs w:val="22"/>
        </w:rPr>
        <w:t xml:space="preserve"> addressed to the concerned Member States</w:t>
      </w:r>
      <w:r w:rsidR="00395980">
        <w:rPr>
          <w:rFonts w:ascii="Arial" w:hAnsi="Arial" w:cs="Arial"/>
          <w:sz w:val="22"/>
          <w:szCs w:val="22"/>
        </w:rPr>
        <w:t>,</w:t>
      </w:r>
      <w:r w:rsidR="00242424">
        <w:rPr>
          <w:rFonts w:ascii="Arial" w:hAnsi="Arial" w:cs="Arial"/>
          <w:sz w:val="22"/>
          <w:szCs w:val="22"/>
        </w:rPr>
        <w:t xml:space="preserve"> confirmed its availability to pro</w:t>
      </w:r>
      <w:r w:rsidR="00395980">
        <w:rPr>
          <w:rFonts w:ascii="Arial" w:hAnsi="Arial" w:cs="Arial"/>
          <w:sz w:val="22"/>
          <w:szCs w:val="22"/>
        </w:rPr>
        <w:t>vide information and assistance, in relation thereto.</w:t>
      </w:r>
    </w:p>
    <w:p w:rsidR="008F76A3" w:rsidRDefault="008F76A3" w:rsidP="00606C0B">
      <w:pPr>
        <w:pStyle w:val="BodyTextIndent"/>
        <w:widowControl w:val="0"/>
        <w:spacing w:after="480"/>
        <w:ind w:left="0"/>
        <w:rPr>
          <w:rFonts w:ascii="Arial" w:hAnsi="Arial" w:cs="Arial"/>
          <w:sz w:val="22"/>
          <w:szCs w:val="22"/>
        </w:rPr>
      </w:pPr>
      <w:r>
        <w:rPr>
          <w:rFonts w:ascii="Arial" w:hAnsi="Arial" w:cs="Arial"/>
          <w:sz w:val="22"/>
          <w:szCs w:val="22"/>
        </w:rPr>
        <w:t>The Member States concerned are respectfully invited to consider accession to the latest Act of the Convention or to accept all provisions thereof, as applicable.</w:t>
      </w:r>
      <w:r w:rsidR="001F5DF2">
        <w:rPr>
          <w:rFonts w:ascii="Arial" w:hAnsi="Arial" w:cs="Arial"/>
          <w:sz w:val="22"/>
          <w:szCs w:val="22"/>
        </w:rPr>
        <w:t xml:space="preserve">  </w:t>
      </w:r>
    </w:p>
    <w:p w:rsidR="008F76A3" w:rsidRDefault="008F76A3" w:rsidP="00606C0B">
      <w:pPr>
        <w:pStyle w:val="ListParagraph"/>
        <w:numPr>
          <w:ilvl w:val="0"/>
          <w:numId w:val="8"/>
        </w:numPr>
        <w:spacing w:before="240" w:after="480"/>
        <w:ind w:left="573" w:hanging="573"/>
        <w:rPr>
          <w:i/>
        </w:rPr>
      </w:pPr>
      <w:r w:rsidRPr="0002692B">
        <w:rPr>
          <w:i/>
        </w:rPr>
        <w:t>Berne Convention for the Protection of Literary and Artistic Works (1886)</w:t>
      </w:r>
    </w:p>
    <w:p w:rsidR="00F25D01" w:rsidRDefault="00F25D01" w:rsidP="00606C0B">
      <w:pPr>
        <w:spacing w:after="480"/>
      </w:pPr>
      <w:r>
        <w:rPr>
          <w:noProof/>
          <w:lang w:eastAsia="en-US"/>
        </w:rPr>
        <w:drawing>
          <wp:inline distT="0" distB="0" distL="0" distR="0" wp14:anchorId="4178DF75" wp14:editId="552152E9">
            <wp:extent cx="4584700" cy="2755900"/>
            <wp:effectExtent l="0" t="0" r="6350" b="6350"/>
            <wp:docPr id="31" name="Picture 31" descr="It is a chart showing the No of contracting parties from 1970 until 2018." title="Berne Convention for the Protection of Literary and Artistic Works (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00498" w:rsidRPr="005863F5" w:rsidRDefault="00C00498" w:rsidP="0068284B">
      <w:pPr>
        <w:pStyle w:val="BodyTextIndent"/>
        <w:widowControl w:val="0"/>
        <w:spacing w:after="240"/>
        <w:ind w:left="0"/>
        <w:rPr>
          <w:rFonts w:ascii="Arial" w:hAnsi="Arial" w:cs="Arial"/>
          <w:sz w:val="22"/>
          <w:szCs w:val="22"/>
        </w:rPr>
      </w:pPr>
      <w:r>
        <w:rPr>
          <w:rFonts w:ascii="Arial" w:hAnsi="Arial" w:cs="Arial"/>
          <w:sz w:val="22"/>
          <w:szCs w:val="22"/>
        </w:rPr>
        <w:t xml:space="preserve">The Berne Convention for the Protection of Literary and Artistic Works (the Berne Convention) </w:t>
      </w:r>
      <w:r w:rsidRPr="005863F5">
        <w:rPr>
          <w:rFonts w:ascii="Arial" w:hAnsi="Arial" w:cs="Arial"/>
          <w:sz w:val="22"/>
          <w:szCs w:val="22"/>
        </w:rPr>
        <w:t xml:space="preserve">was revised several times since its conclusion </w:t>
      </w:r>
      <w:r>
        <w:rPr>
          <w:rFonts w:ascii="Arial" w:hAnsi="Arial" w:cs="Arial"/>
          <w:sz w:val="22"/>
          <w:szCs w:val="22"/>
        </w:rPr>
        <w:t>in 1886</w:t>
      </w:r>
      <w:r w:rsidRPr="005863F5">
        <w:rPr>
          <w:rFonts w:ascii="Arial" w:hAnsi="Arial" w:cs="Arial"/>
          <w:sz w:val="22"/>
          <w:szCs w:val="22"/>
        </w:rPr>
        <w:t xml:space="preserve">.  It was </w:t>
      </w:r>
      <w:r>
        <w:rPr>
          <w:rFonts w:ascii="Arial" w:hAnsi="Arial" w:cs="Arial"/>
          <w:sz w:val="22"/>
          <w:szCs w:val="22"/>
        </w:rPr>
        <w:t xml:space="preserve">completed at Paris (1896),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 (1971), and amended in 1979.</w:t>
      </w:r>
    </w:p>
    <w:p w:rsidR="00C00498" w:rsidRDefault="00C00498" w:rsidP="00C00498">
      <w:pPr>
        <w:rPr>
          <w:szCs w:val="22"/>
        </w:rPr>
      </w:pPr>
      <w:r w:rsidRPr="005863F5">
        <w:rPr>
          <w:szCs w:val="22"/>
        </w:rPr>
        <w:t>For hi</w:t>
      </w:r>
      <w:r>
        <w:rPr>
          <w:szCs w:val="22"/>
        </w:rPr>
        <w:t xml:space="preserve">storical reasons, the Stockholm and Paris </w:t>
      </w:r>
      <w:r w:rsidRPr="005863F5">
        <w:rPr>
          <w:szCs w:val="22"/>
        </w:rPr>
        <w:t>revision</w:t>
      </w:r>
      <w:r>
        <w:rPr>
          <w:szCs w:val="22"/>
        </w:rPr>
        <w:t>s</w:t>
      </w:r>
      <w:r w:rsidRPr="005863F5">
        <w:rPr>
          <w:szCs w:val="22"/>
        </w:rPr>
        <w:t xml:space="preserve"> </w:t>
      </w:r>
      <w:r>
        <w:rPr>
          <w:szCs w:val="22"/>
        </w:rPr>
        <w:t>of the Convention also gave M</w:t>
      </w:r>
      <w:r w:rsidRPr="005863F5">
        <w:rPr>
          <w:szCs w:val="22"/>
        </w:rPr>
        <w:t>ember States the opportunity to accept only</w:t>
      </w:r>
      <w:r>
        <w:rPr>
          <w:szCs w:val="22"/>
        </w:rPr>
        <w:t xml:space="preserve"> one part of the revision, namely to accept only the final and administrative provisions (Articles 22 to 38).  There are still, to date, some States bound by the administrative provisions of the Paris Act only (and in some cases of the Stockholm Act) and not the substantive provisions thereof.  The States concerned are Bahamas, Chad, Fiji, Malta, Pakistan, South Africa and Zimbabwe.  </w:t>
      </w:r>
    </w:p>
    <w:p w:rsidR="00C00498" w:rsidRDefault="00C00498" w:rsidP="00606C0B">
      <w:pPr>
        <w:spacing w:after="240"/>
        <w:rPr>
          <w:szCs w:val="22"/>
        </w:rPr>
      </w:pPr>
      <w:r>
        <w:rPr>
          <w:szCs w:val="22"/>
        </w:rPr>
        <w:lastRenderedPageBreak/>
        <w:t>Some Member States on the other hand, not being members of either the Stockholm or Paris Acts, are not members of the Assembly of the Berne Union and therefore are not able to participate in the decision-making organ of the Union.  Lebanon, Madagascar and New Zealand fall under this category.</w:t>
      </w:r>
      <w:r w:rsidR="002111C2">
        <w:rPr>
          <w:szCs w:val="22"/>
        </w:rPr>
        <w:t xml:space="preserve">  The same offer for info</w:t>
      </w:r>
      <w:r w:rsidR="00DE77B4">
        <w:rPr>
          <w:szCs w:val="22"/>
        </w:rPr>
        <w:t xml:space="preserve">rmation and assistance, as mentioned above, has been provided to the concerned Member </w:t>
      </w:r>
      <w:r w:rsidR="00B35AD0">
        <w:rPr>
          <w:szCs w:val="22"/>
        </w:rPr>
        <w:t>S</w:t>
      </w:r>
      <w:r w:rsidR="00DE77B4">
        <w:rPr>
          <w:szCs w:val="22"/>
        </w:rPr>
        <w:t xml:space="preserve">tates. </w:t>
      </w:r>
    </w:p>
    <w:p w:rsidR="00C00498" w:rsidRDefault="00C00498" w:rsidP="00606C0B">
      <w:pPr>
        <w:pStyle w:val="BodyTextIndent"/>
        <w:widowControl w:val="0"/>
        <w:spacing w:after="480"/>
        <w:ind w:left="0"/>
        <w:rPr>
          <w:rFonts w:ascii="Arial" w:hAnsi="Arial" w:cs="Arial"/>
          <w:sz w:val="22"/>
          <w:szCs w:val="22"/>
        </w:rPr>
      </w:pPr>
      <w:r>
        <w:rPr>
          <w:rFonts w:ascii="Arial" w:hAnsi="Arial" w:cs="Arial"/>
          <w:sz w:val="22"/>
          <w:szCs w:val="22"/>
        </w:rPr>
        <w:t xml:space="preserve">The countries concerned are respectfully invited to accede </w:t>
      </w:r>
      <w:r w:rsidR="00366B7C">
        <w:rPr>
          <w:rFonts w:ascii="Arial" w:hAnsi="Arial" w:cs="Arial"/>
          <w:sz w:val="22"/>
          <w:szCs w:val="22"/>
        </w:rPr>
        <w:t>to</w:t>
      </w:r>
      <w:r w:rsidR="001C1AEF">
        <w:rPr>
          <w:rFonts w:ascii="Arial" w:hAnsi="Arial" w:cs="Arial"/>
          <w:sz w:val="22"/>
          <w:szCs w:val="22"/>
        </w:rPr>
        <w:t>,</w:t>
      </w:r>
      <w:r w:rsidR="00366B7C">
        <w:rPr>
          <w:rFonts w:ascii="Arial" w:hAnsi="Arial" w:cs="Arial"/>
          <w:sz w:val="22"/>
          <w:szCs w:val="22"/>
        </w:rPr>
        <w:t xml:space="preserve"> </w:t>
      </w:r>
      <w:r w:rsidR="00961F36">
        <w:rPr>
          <w:rFonts w:ascii="Arial" w:hAnsi="Arial" w:cs="Arial"/>
          <w:sz w:val="22"/>
          <w:szCs w:val="22"/>
        </w:rPr>
        <w:t xml:space="preserve">or ratify </w:t>
      </w:r>
      <w:r>
        <w:rPr>
          <w:rFonts w:ascii="Arial" w:hAnsi="Arial" w:cs="Arial"/>
          <w:sz w:val="22"/>
          <w:szCs w:val="22"/>
        </w:rPr>
        <w:t>the latest Act of the Berne Convention or to accept all provisions thereof, as applicable.</w:t>
      </w:r>
      <w:r w:rsidR="00761FAA">
        <w:rPr>
          <w:rFonts w:ascii="Arial" w:hAnsi="Arial" w:cs="Arial"/>
          <w:sz w:val="22"/>
          <w:szCs w:val="22"/>
        </w:rPr>
        <w:t xml:space="preserve">  </w:t>
      </w:r>
    </w:p>
    <w:p w:rsidR="00C00498" w:rsidRDefault="00C00498" w:rsidP="00606C0B">
      <w:pPr>
        <w:pStyle w:val="ListParagraph"/>
        <w:numPr>
          <w:ilvl w:val="0"/>
          <w:numId w:val="8"/>
        </w:numPr>
        <w:spacing w:before="480" w:after="480"/>
        <w:ind w:left="573" w:hanging="573"/>
        <w:rPr>
          <w:i/>
        </w:rPr>
      </w:pPr>
      <w:r w:rsidRPr="0002692B">
        <w:rPr>
          <w:i/>
        </w:rPr>
        <w:t>Madrid Agreement for the Repression of False or Deceptive Indications of Source on Goods (1891)</w:t>
      </w:r>
    </w:p>
    <w:p w:rsidR="00163798" w:rsidRDefault="00965BAA" w:rsidP="00606C0B">
      <w:pPr>
        <w:spacing w:after="480"/>
      </w:pPr>
      <w:r>
        <w:rPr>
          <w:noProof/>
          <w:lang w:eastAsia="en-US"/>
        </w:rPr>
        <w:drawing>
          <wp:inline distT="0" distB="0" distL="0" distR="0" wp14:anchorId="7A769274" wp14:editId="31DD55DE">
            <wp:extent cx="4584700" cy="2755900"/>
            <wp:effectExtent l="0" t="0" r="6350" b="6350"/>
            <wp:docPr id="33" name="Picture 33" descr="It is a chart showing the No of contracting parties per year from 1970 until 2018" title="Madrid Agreement for the Repression of False or Deceptive Indications of Source on Goods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B5170" w:rsidRPr="0002692B" w:rsidRDefault="004B5170" w:rsidP="00606C0B">
      <w:pPr>
        <w:pStyle w:val="ListParagraph"/>
        <w:numPr>
          <w:ilvl w:val="0"/>
          <w:numId w:val="8"/>
        </w:numPr>
        <w:spacing w:before="240" w:after="240"/>
        <w:ind w:left="573" w:hanging="573"/>
        <w:rPr>
          <w:i/>
        </w:rPr>
      </w:pPr>
      <w:r w:rsidRPr="0002692B">
        <w:rPr>
          <w:i/>
        </w:rPr>
        <w:t xml:space="preserve">Madrid Agreement Concerning the International Registration of Marks (1891) and Protocol </w:t>
      </w:r>
      <w:r w:rsidRPr="0002692B">
        <w:rPr>
          <w:i/>
        </w:rPr>
        <w:br/>
        <w:t>Relating to the Madrid Agreement (1989)</w:t>
      </w:r>
    </w:p>
    <w:p w:rsidR="004B5170" w:rsidRDefault="004B5170" w:rsidP="004B5170">
      <w:r>
        <w:t xml:space="preserve">The Madrid system is constituted by two Treaties, namely the Madrid Agreement Concerning the International Registration of Marks and the Protocol </w:t>
      </w:r>
      <w:proofErr w:type="gramStart"/>
      <w:r>
        <w:t>Relating</w:t>
      </w:r>
      <w:proofErr w:type="gramEnd"/>
      <w:r>
        <w:t xml:space="preserve"> to the Madrid </w:t>
      </w:r>
      <w:r w:rsidR="00DD2F87">
        <w:t>Agreement (Protocol).  However</w:t>
      </w:r>
      <w:r>
        <w:t xml:space="preserve">, the Madrid system is, </w:t>
      </w:r>
      <w:r w:rsidRPr="00464E56">
        <w:rPr>
          <w:i/>
        </w:rPr>
        <w:t>de facto</w:t>
      </w:r>
      <w:r>
        <w:t xml:space="preserve"> a one-treaty system with the only applicable Treaty being the Protocol.  Under a one-treaty system, accessions to the Agreement alone have become devoid of operational justification.  Non-Madrid Union members are therefore respectfully invited to accede only to the Protocol.</w:t>
      </w:r>
    </w:p>
    <w:p w:rsidR="004B5170" w:rsidRDefault="004B5170" w:rsidP="004B5170">
      <w:r>
        <w:br w:type="page"/>
      </w:r>
    </w:p>
    <w:p w:rsidR="004B5170" w:rsidRDefault="004B64EE" w:rsidP="00606C0B">
      <w:pPr>
        <w:spacing w:after="480"/>
      </w:pPr>
      <w:r>
        <w:rPr>
          <w:noProof/>
          <w:lang w:eastAsia="en-US"/>
        </w:rPr>
        <w:lastRenderedPageBreak/>
        <w:drawing>
          <wp:inline distT="0" distB="0" distL="0" distR="0" wp14:anchorId="1333E484" wp14:editId="48D25EA4">
            <wp:extent cx="4584700" cy="2755900"/>
            <wp:effectExtent l="0" t="0" r="6350" b="6350"/>
            <wp:docPr id="34" name="Picture 34" descr="It is a chart of the Madrid Agreement showing the No. of contracting Parties per year from 1970 unitl 2018" title="Madrid Agreement Concerning the International Registration of Marks (1891) and Proto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21D1F" w:rsidRDefault="009408EA" w:rsidP="002E3F21">
      <w:pPr>
        <w:spacing w:after="480"/>
      </w:pPr>
      <w:r>
        <w:rPr>
          <w:noProof/>
          <w:lang w:eastAsia="en-US"/>
        </w:rPr>
        <w:drawing>
          <wp:inline distT="0" distB="0" distL="0" distR="0" wp14:anchorId="49858661" wp14:editId="2281180C">
            <wp:extent cx="4584700" cy="2755900"/>
            <wp:effectExtent l="0" t="0" r="6350" b="6350"/>
            <wp:docPr id="36" name="Picture 36" descr="It is a chart of the Madrid Protocol showing the No of Contracting Parties per year from 1996 until 2018. " title="Madrid Agreement Concerning the International Registration of Marks (1891) and Proto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21D1F" w:rsidRPr="0002692B" w:rsidRDefault="00B21D1F" w:rsidP="00806DD9">
      <w:pPr>
        <w:pStyle w:val="ListParagraph"/>
        <w:numPr>
          <w:ilvl w:val="0"/>
          <w:numId w:val="8"/>
        </w:numPr>
        <w:spacing w:after="480"/>
        <w:ind w:left="573" w:hanging="573"/>
        <w:rPr>
          <w:i/>
        </w:rPr>
      </w:pPr>
      <w:r w:rsidRPr="0002692B">
        <w:rPr>
          <w:i/>
        </w:rPr>
        <w:t>Hague Agreement Concerning the International Registration of Industrial Designs</w:t>
      </w:r>
    </w:p>
    <w:p w:rsidR="00B21D1F" w:rsidRDefault="00B21D1F" w:rsidP="00B21D1F">
      <w:r>
        <w:t>The Hague Agreement concerning the International Registration of Industrial</w:t>
      </w:r>
      <w:r w:rsidR="00DE2B24">
        <w:t xml:space="preserve"> Designs is constituted by two</w:t>
      </w:r>
      <w:r>
        <w:t xml:space="preserve"> Acts, namely </w:t>
      </w:r>
      <w:proofErr w:type="gramStart"/>
      <w:r>
        <w:t>the</w:t>
      </w:r>
      <w:proofErr w:type="gramEnd"/>
      <w:r>
        <w:t xml:space="preserve"> Hague </w:t>
      </w:r>
      <w:r w:rsidR="00B2797F">
        <w:t xml:space="preserve">Act </w:t>
      </w:r>
      <w:r>
        <w:t xml:space="preserve">(1960) and the Geneva </w:t>
      </w:r>
      <w:r w:rsidR="00B2797F">
        <w:t xml:space="preserve">Act </w:t>
      </w:r>
      <w:r>
        <w:t>(1999).</w:t>
      </w:r>
      <w:r w:rsidR="00DE2B24">
        <w:t xml:space="preserve">  It is recalled that the termination of the 1934 London Act became effective on October 18, 2016, which constituted an important first step towards a simplification of the Hague system. </w:t>
      </w:r>
    </w:p>
    <w:p w:rsidR="00B21D1F" w:rsidRDefault="00DE2B24" w:rsidP="002E3F21">
      <w:pPr>
        <w:spacing w:before="240"/>
      </w:pPr>
      <w:r>
        <w:t>To date, 6</w:t>
      </w:r>
      <w:r w:rsidR="00B2797F">
        <w:t>9</w:t>
      </w:r>
      <w:r w:rsidR="00B21D1F">
        <w:t xml:space="preserve"> States or intergovernmental organizations ar</w:t>
      </w:r>
      <w:r>
        <w:t>e members of the Hague Union, 5</w:t>
      </w:r>
      <w:r w:rsidR="00B2797F">
        <w:t>5</w:t>
      </w:r>
      <w:r w:rsidR="00B21D1F">
        <w:t xml:space="preserve"> of which are bound by the 1999 Act and 34 of which are bound by the 1960 Act.  The two charts below provide information as to the evolution of The Hague Union membership. </w:t>
      </w:r>
    </w:p>
    <w:p w:rsidR="004D675B" w:rsidRDefault="00015793" w:rsidP="00606C0B">
      <w:pPr>
        <w:spacing w:after="480"/>
      </w:pPr>
      <w:r>
        <w:rPr>
          <w:noProof/>
          <w:lang w:eastAsia="en-US"/>
        </w:rPr>
        <w:lastRenderedPageBreak/>
        <w:drawing>
          <wp:inline distT="0" distB="0" distL="0" distR="0" wp14:anchorId="51D501A9">
            <wp:extent cx="4584700" cy="2755900"/>
            <wp:effectExtent l="0" t="0" r="6350" b="6350"/>
            <wp:docPr id="2" name="Picture 2" descr="It is a chart of the Hague Act of the Hague Agreement showing the N°of Contracting Parties per year from 1970 until 2018." title="6. Hague Agreement Concerning the International Registration of Industrial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163798" w:rsidRDefault="00B67628" w:rsidP="00606C0B">
      <w:pPr>
        <w:spacing w:after="480"/>
      </w:pPr>
      <w:r>
        <w:rPr>
          <w:noProof/>
          <w:lang w:eastAsia="en-US"/>
        </w:rPr>
        <w:drawing>
          <wp:inline distT="0" distB="0" distL="0" distR="0" wp14:anchorId="0E3F53DA" wp14:editId="2E808958">
            <wp:extent cx="4584700" cy="2755900"/>
            <wp:effectExtent l="0" t="0" r="6350" b="6350"/>
            <wp:docPr id="41" name="Picture 41" descr="It is a chart of the Geneva Act of the Hague Agreement showing the N°of Contracting Parties from 2003 until 2018." title="Hague Agreement Concerning the International Registration of Industrial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163798" w:rsidRDefault="00163798">
      <w:r>
        <w:br w:type="page"/>
      </w:r>
    </w:p>
    <w:p w:rsidR="00022D47" w:rsidRDefault="00022D47" w:rsidP="00705619">
      <w:pPr>
        <w:pStyle w:val="ListParagraph"/>
        <w:numPr>
          <w:ilvl w:val="0"/>
          <w:numId w:val="8"/>
        </w:numPr>
        <w:spacing w:after="480"/>
        <w:ind w:left="567" w:hanging="567"/>
        <w:rPr>
          <w:i/>
        </w:rPr>
      </w:pPr>
      <w:r w:rsidRPr="0002692B">
        <w:rPr>
          <w:i/>
        </w:rPr>
        <w:lastRenderedPageBreak/>
        <w:t>Nice Agreement Concerning the International Classification of Goods and Services for the</w:t>
      </w:r>
      <w:r w:rsidRPr="0002692B">
        <w:rPr>
          <w:i/>
        </w:rPr>
        <w:br/>
        <w:t>Purposes of the Registration of Marks (1957)</w:t>
      </w:r>
    </w:p>
    <w:p w:rsidR="00022D47" w:rsidRDefault="009115F8" w:rsidP="005D3233">
      <w:pPr>
        <w:spacing w:after="480"/>
      </w:pPr>
      <w:r>
        <w:rPr>
          <w:noProof/>
          <w:lang w:eastAsia="en-US"/>
        </w:rPr>
        <w:drawing>
          <wp:inline distT="0" distB="0" distL="0" distR="0" wp14:anchorId="1421C2D2" wp14:editId="6E3BC190">
            <wp:extent cx="4584700" cy="2755900"/>
            <wp:effectExtent l="0" t="0" r="6350" b="6350"/>
            <wp:docPr id="42" name="Picture 42" descr="It is a chart showing the N°of Contracting Parties per year from 1970 until 2018." title="Nice Agreement Concerning the International Classification of Goods and Services for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22D47" w:rsidRDefault="00022D47" w:rsidP="00606C0B">
      <w:pPr>
        <w:spacing w:after="240"/>
      </w:pPr>
      <w:r>
        <w:t>The Nice Agreement was revised twice after its adoption in 1957, namely at Stockholm (1967) and at Geneva (1977).  Some Member States remain bound by the Stockholm Act, namely Algeria, Israel and Morocco, and two States by the original Nice Agreement, namely Lebanon and Tunisia (which are therefore not members of the Assembly).  These States are respectfully invited to consider acceding to</w:t>
      </w:r>
      <w:r w:rsidR="00E26A7C">
        <w:t>, or ratifying</w:t>
      </w:r>
      <w:r>
        <w:t xml:space="preserve"> the G</w:t>
      </w:r>
      <w:r w:rsidR="00D148BC">
        <w:t>eneva Act of the Nice Agreement, and the Secretariat is available for any</w:t>
      </w:r>
      <w:r w:rsidR="00BC3591">
        <w:t xml:space="preserve"> assistance that may be </w:t>
      </w:r>
      <w:r w:rsidR="00A03255">
        <w:t>necessary</w:t>
      </w:r>
      <w:r w:rsidR="00D148BC">
        <w:t xml:space="preserve">. </w:t>
      </w:r>
    </w:p>
    <w:p w:rsidR="00022D47" w:rsidRPr="0002692B" w:rsidRDefault="009245C1" w:rsidP="00705619">
      <w:pPr>
        <w:pStyle w:val="ListParagraph"/>
        <w:numPr>
          <w:ilvl w:val="0"/>
          <w:numId w:val="8"/>
        </w:numPr>
        <w:spacing w:after="240"/>
        <w:ind w:left="567" w:hanging="567"/>
        <w:rPr>
          <w:i/>
        </w:rPr>
      </w:pPr>
      <w:r>
        <w:rPr>
          <w:i/>
        </w:rPr>
        <w:t>L</w:t>
      </w:r>
      <w:r w:rsidR="00022D47" w:rsidRPr="0002692B">
        <w:rPr>
          <w:i/>
        </w:rPr>
        <w:t>isbon Agreement for the Protection of Appellations of Origin and their International</w:t>
      </w:r>
      <w:r w:rsidR="00022D47" w:rsidRPr="0002692B">
        <w:rPr>
          <w:i/>
        </w:rPr>
        <w:br/>
        <w:t xml:space="preserve">Registration (1958) </w:t>
      </w:r>
    </w:p>
    <w:p w:rsidR="00A044A3" w:rsidRDefault="00A044A3" w:rsidP="004C547D">
      <w:r>
        <w:t xml:space="preserve">The Lisbon Agreement, adopted in 1958, was revised in Stockholm in 1967, and amended </w:t>
      </w:r>
    </w:p>
    <w:p w:rsidR="00A044A3" w:rsidRDefault="00A044A3" w:rsidP="004C547D">
      <w:pPr>
        <w:spacing w:after="240"/>
      </w:pPr>
      <w:proofErr w:type="gramStart"/>
      <w:r>
        <w:t>in</w:t>
      </w:r>
      <w:proofErr w:type="gramEnd"/>
      <w:r>
        <w:t xml:space="preserve"> 1979.  </w:t>
      </w:r>
      <w:r w:rsidRPr="00CA3E64">
        <w:t xml:space="preserve">The same invitation as </w:t>
      </w:r>
      <w:r>
        <w:t>applies to the other treaties is extended to Haiti, which is not bound by the Stockholm Act of the Lisbon Agreement and, therefore, is not a member of the Lisbon Assembly.</w:t>
      </w:r>
    </w:p>
    <w:p w:rsidR="00A044A3" w:rsidRDefault="00A044A3" w:rsidP="00A044A3">
      <w:r w:rsidRPr="00AF0011">
        <w:t>The Diplomatic Conference</w:t>
      </w:r>
      <w:r>
        <w:t xml:space="preserve"> </w:t>
      </w:r>
      <w:r w:rsidRPr="00AF0011">
        <w:t xml:space="preserve">for the Adoption of a New Act of the Lisbon </w:t>
      </w:r>
      <w:r>
        <w:t xml:space="preserve">Agreement for the Protection of </w:t>
      </w:r>
      <w:r w:rsidRPr="00AF0011">
        <w:t>Appellations of Origin and their International Registration adopted, on May 20, 201</w:t>
      </w:r>
      <w:r>
        <w:t xml:space="preserve">5, the Geneva Act of the Lisbon </w:t>
      </w:r>
      <w:r w:rsidRPr="00AF0011">
        <w:t>Agreement on Appellations of Origin and Geographical Indications.</w:t>
      </w:r>
      <w:r>
        <w:t xml:space="preserve">  To date, one State, namely Cambodia, has acceded to it.  </w:t>
      </w:r>
      <w:r w:rsidRPr="00C22E86">
        <w:t xml:space="preserve">This Act </w:t>
      </w:r>
      <w:r w:rsidR="0009035C">
        <w:t xml:space="preserve">is not </w:t>
      </w:r>
      <w:r w:rsidR="00B2797F">
        <w:t xml:space="preserve">yet </w:t>
      </w:r>
      <w:r w:rsidR="0009035C">
        <w:t>in force</w:t>
      </w:r>
      <w:proofErr w:type="gramStart"/>
      <w:r w:rsidR="00B2797F">
        <w:t xml:space="preserve">; </w:t>
      </w:r>
      <w:r w:rsidR="0009035C">
        <w:t xml:space="preserve"> it</w:t>
      </w:r>
      <w:proofErr w:type="gramEnd"/>
      <w:r w:rsidR="0009035C">
        <w:t xml:space="preserve"> </w:t>
      </w:r>
      <w:r w:rsidRPr="00C22E86">
        <w:t>shall enter into force three months after five eligible</w:t>
      </w:r>
      <w:r>
        <w:t xml:space="preserve"> </w:t>
      </w:r>
      <w:r w:rsidRPr="00C22E86">
        <w:t>parties have deposited their instruments of ratification or accession</w:t>
      </w:r>
      <w:r>
        <w:t>.</w:t>
      </w:r>
    </w:p>
    <w:p w:rsidR="00123717" w:rsidRDefault="00C825B4" w:rsidP="005D3233">
      <w:pPr>
        <w:spacing w:after="480"/>
      </w:pPr>
      <w:r>
        <w:rPr>
          <w:noProof/>
          <w:lang w:eastAsia="en-US"/>
        </w:rPr>
        <w:lastRenderedPageBreak/>
        <w:drawing>
          <wp:inline distT="0" distB="0" distL="0" distR="0" wp14:anchorId="057D91E6" wp14:editId="3D52DD47">
            <wp:extent cx="4584700" cy="2755900"/>
            <wp:effectExtent l="0" t="0" r="6350" b="6350"/>
            <wp:docPr id="3" name="Picture 3" descr="It is a chart of the Lisbon Agreement showing the N°of Contracting Parties per year from 1970 until 208." title="Lisbon Agreement for the Protection of Appellations of Origin and their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C1BDE" w:rsidRDefault="00AC1BDE" w:rsidP="00606C0B">
      <w:pPr>
        <w:spacing w:after="480"/>
      </w:pPr>
      <w:r>
        <w:rPr>
          <w:noProof/>
          <w:lang w:eastAsia="en-US"/>
        </w:rPr>
        <w:drawing>
          <wp:inline distT="0" distB="0" distL="0" distR="0" wp14:anchorId="2EFFB387" wp14:editId="22970781">
            <wp:extent cx="4584700" cy="2755900"/>
            <wp:effectExtent l="0" t="0" r="6350" b="6350"/>
            <wp:docPr id="4" name="Picture 4" descr="It is a chart showing the N°of Contracting Parties per year from 2015 until 2018." title="8. Lisbon Agreement for the Protection of Appellations of Origin and their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163798" w:rsidRDefault="00163798">
      <w:r>
        <w:br w:type="page"/>
      </w:r>
    </w:p>
    <w:p w:rsidR="00123717" w:rsidRPr="0002692B" w:rsidRDefault="009245C1" w:rsidP="00705619">
      <w:pPr>
        <w:pStyle w:val="ListParagraph"/>
        <w:numPr>
          <w:ilvl w:val="0"/>
          <w:numId w:val="8"/>
        </w:numPr>
        <w:spacing w:after="480"/>
        <w:ind w:left="567" w:hanging="567"/>
        <w:rPr>
          <w:i/>
        </w:rPr>
      </w:pPr>
      <w:r>
        <w:rPr>
          <w:i/>
        </w:rPr>
        <w:lastRenderedPageBreak/>
        <w:t>I</w:t>
      </w:r>
      <w:r w:rsidR="00123717" w:rsidRPr="0002692B">
        <w:rPr>
          <w:i/>
        </w:rPr>
        <w:t xml:space="preserve">nternational Convention for the Protection of Producers of Performers, Producers of </w:t>
      </w:r>
      <w:r w:rsidR="00123717" w:rsidRPr="0002692B">
        <w:rPr>
          <w:i/>
        </w:rPr>
        <w:br/>
        <w:t xml:space="preserve">Phonograms and Broadcasting </w:t>
      </w:r>
      <w:proofErr w:type="spellStart"/>
      <w:r w:rsidR="00123717" w:rsidRPr="0002692B">
        <w:rPr>
          <w:i/>
        </w:rPr>
        <w:t>Organisations</w:t>
      </w:r>
      <w:proofErr w:type="spellEnd"/>
      <w:r w:rsidR="00123717" w:rsidRPr="0002692B">
        <w:rPr>
          <w:i/>
        </w:rPr>
        <w:t xml:space="preserve"> (1961)</w:t>
      </w:r>
    </w:p>
    <w:p w:rsidR="005705F6" w:rsidRDefault="005705F6" w:rsidP="005D3233">
      <w:pPr>
        <w:spacing w:after="480"/>
      </w:pPr>
      <w:r>
        <w:rPr>
          <w:noProof/>
          <w:lang w:eastAsia="en-US"/>
        </w:rPr>
        <w:drawing>
          <wp:inline distT="0" distB="0" distL="0" distR="0" wp14:anchorId="1707A1F4" wp14:editId="1ADCC910">
            <wp:extent cx="4584700" cy="2755900"/>
            <wp:effectExtent l="0" t="0" r="6350" b="6350"/>
            <wp:docPr id="43" name="Picture 43" descr="It is a chart showing the N°of Contracting Parties per year from 1970 until 2018." title="International Convention for the Protection of Producers of Performers, Producers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F21F6" w:rsidRPr="00705619" w:rsidRDefault="002F21F6" w:rsidP="005D3233">
      <w:pPr>
        <w:pStyle w:val="ListParagraph"/>
        <w:numPr>
          <w:ilvl w:val="0"/>
          <w:numId w:val="8"/>
        </w:numPr>
        <w:spacing w:after="480"/>
        <w:ind w:left="567" w:hanging="567"/>
        <w:rPr>
          <w:i/>
        </w:rPr>
      </w:pPr>
      <w:r w:rsidRPr="00705619">
        <w:rPr>
          <w:i/>
        </w:rPr>
        <w:t xml:space="preserve">Locarno Agreement Establishing an International Classification for Industrial </w:t>
      </w:r>
      <w:r w:rsidR="00705619">
        <w:rPr>
          <w:i/>
        </w:rPr>
        <w:br/>
      </w:r>
      <w:r w:rsidRPr="00705619">
        <w:rPr>
          <w:i/>
        </w:rPr>
        <w:t>Designs (1968)</w:t>
      </w:r>
    </w:p>
    <w:p w:rsidR="005705F6" w:rsidRDefault="005705F6" w:rsidP="005D3233">
      <w:pPr>
        <w:spacing w:after="480"/>
      </w:pPr>
      <w:r>
        <w:rPr>
          <w:noProof/>
          <w:lang w:eastAsia="en-US"/>
        </w:rPr>
        <w:drawing>
          <wp:inline distT="0" distB="0" distL="0" distR="0" wp14:anchorId="231A1FDD" wp14:editId="3C452BD7">
            <wp:extent cx="4584700" cy="2755900"/>
            <wp:effectExtent l="0" t="0" r="6350" b="6350"/>
            <wp:docPr id="44" name="Picture 44" descr="It is a chart showing the N°of Contracting Parties per year from 1972 until 2018." title="Locarno Agreement Establishing an International Classification for Indus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2F21F6" w:rsidRDefault="002F21F6" w:rsidP="0041298E">
      <w:pPr>
        <w:pStyle w:val="ListParagraph"/>
        <w:numPr>
          <w:ilvl w:val="0"/>
          <w:numId w:val="8"/>
        </w:numPr>
        <w:spacing w:after="480"/>
        <w:ind w:left="573" w:hanging="573"/>
        <w:rPr>
          <w:i/>
        </w:rPr>
      </w:pPr>
      <w:r w:rsidRPr="0002692B">
        <w:rPr>
          <w:i/>
        </w:rPr>
        <w:lastRenderedPageBreak/>
        <w:t>Patent Cooperation Treaty (PCT) (1970)</w:t>
      </w:r>
    </w:p>
    <w:p w:rsidR="002F21F6" w:rsidRDefault="001B4511" w:rsidP="00F242C3">
      <w:pPr>
        <w:spacing w:after="480"/>
      </w:pPr>
      <w:r>
        <w:rPr>
          <w:noProof/>
          <w:lang w:eastAsia="en-US"/>
        </w:rPr>
        <w:drawing>
          <wp:inline distT="0" distB="0" distL="0" distR="0" wp14:anchorId="44AFA6AE" wp14:editId="219A374E">
            <wp:extent cx="4584700" cy="2755900"/>
            <wp:effectExtent l="0" t="0" r="6350" b="6350"/>
            <wp:docPr id="45" name="Picture 45" descr="It is a chart of the N°of Contracting Parties per year from 1978 until 2018." title="Patent Cooperation Treaty (PCT)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F21F6" w:rsidRPr="0002692B" w:rsidRDefault="002F21F6" w:rsidP="0041298E">
      <w:pPr>
        <w:pStyle w:val="ListParagraph"/>
        <w:numPr>
          <w:ilvl w:val="0"/>
          <w:numId w:val="8"/>
        </w:numPr>
        <w:spacing w:after="480"/>
        <w:ind w:left="0" w:firstLine="0"/>
        <w:rPr>
          <w:i/>
        </w:rPr>
      </w:pPr>
      <w:r w:rsidRPr="0002692B">
        <w:rPr>
          <w:i/>
        </w:rPr>
        <w:t>Strasbourg Agreement Concerning the International Patent Classification (1971)</w:t>
      </w:r>
    </w:p>
    <w:p w:rsidR="00D02768" w:rsidRDefault="001B4511" w:rsidP="00D02768">
      <w:pPr>
        <w:spacing w:after="480"/>
      </w:pPr>
      <w:r>
        <w:rPr>
          <w:noProof/>
          <w:lang w:eastAsia="en-US"/>
        </w:rPr>
        <w:drawing>
          <wp:inline distT="0" distB="0" distL="0" distR="0" wp14:anchorId="344879DD" wp14:editId="5B77D48C">
            <wp:extent cx="4584700" cy="2755900"/>
            <wp:effectExtent l="0" t="0" r="6350" b="6350"/>
            <wp:docPr id="46" name="Picture 46" descr="It is a chart showing the N°of the Contracting Parties per year from 1976 until 2018." title="Strasbourg Agreement Concerning the International Patent Classification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sidP="00D02768">
      <w:pPr>
        <w:spacing w:after="480"/>
      </w:pPr>
      <w:r>
        <w:br w:type="page"/>
      </w:r>
    </w:p>
    <w:p w:rsidR="00480E8C" w:rsidRPr="0002692B" w:rsidRDefault="00480E8C" w:rsidP="00705619">
      <w:pPr>
        <w:pStyle w:val="ListParagraph"/>
        <w:numPr>
          <w:ilvl w:val="0"/>
          <w:numId w:val="8"/>
        </w:numPr>
        <w:spacing w:after="480"/>
        <w:ind w:left="567" w:hanging="567"/>
        <w:rPr>
          <w:i/>
        </w:rPr>
      </w:pPr>
      <w:r w:rsidRPr="0002692B">
        <w:rPr>
          <w:i/>
        </w:rPr>
        <w:lastRenderedPageBreak/>
        <w:t>Convention for the Protection of Producers of Phonograms Against Unauthorized Publication of their Phonograms (1971)</w:t>
      </w:r>
    </w:p>
    <w:p w:rsidR="00DF2DA7" w:rsidRDefault="00DF2DA7" w:rsidP="00967B88">
      <w:pPr>
        <w:spacing w:after="480"/>
      </w:pPr>
      <w:r>
        <w:rPr>
          <w:noProof/>
          <w:lang w:eastAsia="en-US"/>
        </w:rPr>
        <w:drawing>
          <wp:inline distT="0" distB="0" distL="0" distR="0" wp14:anchorId="1F21E0B8" wp14:editId="71B6AEDC">
            <wp:extent cx="4584700" cy="2755900"/>
            <wp:effectExtent l="0" t="0" r="6350" b="6350"/>
            <wp:docPr id="47" name="Picture 47" descr="It is a chart showing the N°of the Contracting Parties per year from 1974 until 2018." title="Convention for the Protection of Producers of Phonograms Against Unauthorized Publication of their Phonograms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80E8C" w:rsidRPr="0002692B" w:rsidRDefault="00480E8C" w:rsidP="00705619">
      <w:pPr>
        <w:pStyle w:val="ListParagraph"/>
        <w:numPr>
          <w:ilvl w:val="0"/>
          <w:numId w:val="8"/>
        </w:numPr>
        <w:spacing w:after="480"/>
        <w:ind w:left="567" w:hanging="567"/>
        <w:rPr>
          <w:i/>
        </w:rPr>
      </w:pPr>
      <w:r w:rsidRPr="0002692B">
        <w:rPr>
          <w:i/>
        </w:rPr>
        <w:t>Vienna Agreement Establishing an International Classification of the Figurative Elements of Marks (1973)</w:t>
      </w:r>
    </w:p>
    <w:p w:rsidR="00480E8C" w:rsidRDefault="00856DC7" w:rsidP="00967B88">
      <w:pPr>
        <w:spacing w:after="480"/>
      </w:pPr>
      <w:r>
        <w:rPr>
          <w:noProof/>
          <w:lang w:eastAsia="en-US"/>
        </w:rPr>
        <w:drawing>
          <wp:inline distT="0" distB="0" distL="0" distR="0" wp14:anchorId="085F1AB9" wp14:editId="4390D4CB">
            <wp:extent cx="4584700" cy="2755900"/>
            <wp:effectExtent l="0" t="0" r="6350" b="6350"/>
            <wp:docPr id="48" name="Picture 48" descr="It is a chart showing the N°of the Contracting Parties per year from 1986 until 2018." title="Vienna Agreement Establishing an International Classification of the Figurative Elements of Marks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480E8C" w:rsidRPr="0002692B" w:rsidRDefault="00480E8C" w:rsidP="00705619">
      <w:pPr>
        <w:pStyle w:val="ListParagraph"/>
        <w:numPr>
          <w:ilvl w:val="0"/>
          <w:numId w:val="8"/>
        </w:numPr>
        <w:spacing w:after="480"/>
        <w:ind w:left="567" w:hanging="567"/>
        <w:rPr>
          <w:i/>
        </w:rPr>
      </w:pPr>
      <w:r w:rsidRPr="0002692B">
        <w:rPr>
          <w:i/>
        </w:rPr>
        <w:lastRenderedPageBreak/>
        <w:t xml:space="preserve">Convention Relating to the Distribution of </w:t>
      </w:r>
      <w:proofErr w:type="spellStart"/>
      <w:r w:rsidRPr="0002692B">
        <w:rPr>
          <w:i/>
        </w:rPr>
        <w:t>Programme</w:t>
      </w:r>
      <w:proofErr w:type="spellEnd"/>
      <w:r w:rsidRPr="0002692B">
        <w:rPr>
          <w:i/>
        </w:rPr>
        <w:t>-Carrying Signals Transmitted by Satellite (1974)</w:t>
      </w:r>
    </w:p>
    <w:p w:rsidR="00856DC7" w:rsidRDefault="00856DC7" w:rsidP="00967B88">
      <w:pPr>
        <w:spacing w:after="480"/>
      </w:pPr>
      <w:r>
        <w:rPr>
          <w:noProof/>
          <w:lang w:eastAsia="en-US"/>
        </w:rPr>
        <w:drawing>
          <wp:inline distT="0" distB="0" distL="0" distR="0" wp14:anchorId="26404252" wp14:editId="0A3CFDB6">
            <wp:extent cx="4584700" cy="2755900"/>
            <wp:effectExtent l="0" t="0" r="6350" b="6350"/>
            <wp:docPr id="49" name="Picture 49" descr="It is a chart showing the N°of Contracting Parties per year from 1980 until 2018." title="Convention Relating to the Distribution of Programme-Carrying Signals Transmitted by Satellit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45DD7" w:rsidRPr="0002692B" w:rsidRDefault="00745DD7" w:rsidP="00705619">
      <w:pPr>
        <w:pStyle w:val="ListParagraph"/>
        <w:numPr>
          <w:ilvl w:val="0"/>
          <w:numId w:val="8"/>
        </w:numPr>
        <w:spacing w:after="480"/>
        <w:ind w:left="567" w:hanging="567"/>
        <w:rPr>
          <w:i/>
        </w:rPr>
      </w:pPr>
      <w:r w:rsidRPr="0002692B">
        <w:rPr>
          <w:i/>
        </w:rPr>
        <w:t>Budapest Treaty on the International Recognition of the Dep</w:t>
      </w:r>
      <w:r>
        <w:rPr>
          <w:i/>
        </w:rPr>
        <w:t>osit of Microorganisms for the</w:t>
      </w:r>
      <w:r>
        <w:rPr>
          <w:i/>
        </w:rPr>
        <w:br/>
      </w:r>
      <w:r w:rsidRPr="0002692B">
        <w:rPr>
          <w:i/>
        </w:rPr>
        <w:t>Purposes of Patent Procedure (1977)</w:t>
      </w:r>
    </w:p>
    <w:p w:rsidR="00D344CC" w:rsidRDefault="00D344CC" w:rsidP="00967B88">
      <w:pPr>
        <w:spacing w:after="480"/>
      </w:pPr>
      <w:r>
        <w:rPr>
          <w:noProof/>
          <w:lang w:eastAsia="en-US"/>
        </w:rPr>
        <w:drawing>
          <wp:inline distT="0" distB="0" distL="0" distR="0" wp14:anchorId="60DDF240" wp14:editId="3DA377DD">
            <wp:extent cx="4584700" cy="2755900"/>
            <wp:effectExtent l="0" t="0" r="6350" b="6350"/>
            <wp:docPr id="50" name="Picture 50" descr="It is a chart showing the N°of Contracting Parties per year from 1981 until 2018." title="Budapest Treaty on the International Recognition of the Deposit of Microorganisms for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327274" w:rsidRPr="0002692B" w:rsidRDefault="00327274" w:rsidP="00F2285B">
      <w:pPr>
        <w:pStyle w:val="ListParagraph"/>
        <w:numPr>
          <w:ilvl w:val="0"/>
          <w:numId w:val="8"/>
        </w:numPr>
        <w:spacing w:after="480"/>
        <w:ind w:left="0" w:firstLine="0"/>
        <w:rPr>
          <w:i/>
        </w:rPr>
      </w:pPr>
      <w:r w:rsidRPr="0002692B">
        <w:rPr>
          <w:i/>
        </w:rPr>
        <w:lastRenderedPageBreak/>
        <w:t>Nairobi Treaty on the Protection of the Olympic Symbol (1981)</w:t>
      </w:r>
    </w:p>
    <w:p w:rsidR="00C530CB" w:rsidRDefault="00C530CB" w:rsidP="00DC1CD4">
      <w:pPr>
        <w:spacing w:after="480"/>
      </w:pPr>
      <w:r>
        <w:rPr>
          <w:noProof/>
          <w:lang w:eastAsia="en-US"/>
        </w:rPr>
        <w:drawing>
          <wp:inline distT="0" distB="0" distL="0" distR="0" wp14:anchorId="433A215E" wp14:editId="281EE2F3">
            <wp:extent cx="4584700" cy="2755900"/>
            <wp:effectExtent l="0" t="0" r="6350" b="6350"/>
            <wp:docPr id="51" name="Picture 51" descr="It is a chart showing the N°of Contracting Parties per year from 1983 until 2018." title="Nairobi Treaty on the Protection of the Olympic Symbol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F7400" w:rsidRPr="0002692B" w:rsidRDefault="002F7400" w:rsidP="003061D8">
      <w:pPr>
        <w:pStyle w:val="ListParagraph"/>
        <w:numPr>
          <w:ilvl w:val="0"/>
          <w:numId w:val="8"/>
        </w:numPr>
        <w:spacing w:after="480"/>
        <w:ind w:left="0" w:firstLine="0"/>
        <w:rPr>
          <w:i/>
        </w:rPr>
      </w:pPr>
      <w:r w:rsidRPr="0002692B">
        <w:rPr>
          <w:i/>
        </w:rPr>
        <w:t>Trademark Law Treaty (TLT) (19</w:t>
      </w:r>
      <w:r>
        <w:rPr>
          <w:i/>
        </w:rPr>
        <w:t>9</w:t>
      </w:r>
      <w:r w:rsidRPr="0002692B">
        <w:rPr>
          <w:i/>
        </w:rPr>
        <w:t>4)</w:t>
      </w:r>
    </w:p>
    <w:p w:rsidR="00C530CB" w:rsidRDefault="00C530CB" w:rsidP="00DC1CD4">
      <w:pPr>
        <w:spacing w:after="480"/>
      </w:pPr>
      <w:r>
        <w:rPr>
          <w:noProof/>
          <w:lang w:eastAsia="en-US"/>
        </w:rPr>
        <w:drawing>
          <wp:inline distT="0" distB="0" distL="0" distR="0" wp14:anchorId="43F548E9" wp14:editId="33FAFB2C">
            <wp:extent cx="4584700" cy="2755900"/>
            <wp:effectExtent l="0" t="0" r="6350" b="6350"/>
            <wp:docPr id="52" name="Picture 52" descr="It is a chart of the N°of the Contracting Parties per year from 1997 until 2018." title="Trademark Law Treaty (TLT)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2F7400" w:rsidRPr="0002692B" w:rsidRDefault="002F7400" w:rsidP="00235525">
      <w:pPr>
        <w:pStyle w:val="ListParagraph"/>
        <w:numPr>
          <w:ilvl w:val="0"/>
          <w:numId w:val="8"/>
        </w:numPr>
        <w:spacing w:after="480"/>
        <w:ind w:left="0" w:firstLine="0"/>
        <w:rPr>
          <w:i/>
        </w:rPr>
      </w:pPr>
      <w:r w:rsidRPr="0002692B">
        <w:rPr>
          <w:i/>
        </w:rPr>
        <w:lastRenderedPageBreak/>
        <w:t>WIPO Copyright Treaty (WCT) (1996)</w:t>
      </w:r>
    </w:p>
    <w:p w:rsidR="00C530CB" w:rsidRDefault="00C530CB" w:rsidP="00BD5B43">
      <w:pPr>
        <w:spacing w:after="480"/>
      </w:pPr>
      <w:r>
        <w:rPr>
          <w:noProof/>
          <w:lang w:eastAsia="en-US"/>
        </w:rPr>
        <w:drawing>
          <wp:inline distT="0" distB="0" distL="0" distR="0" wp14:anchorId="3E82895F" wp14:editId="30DCD8CE">
            <wp:extent cx="4584700" cy="2755900"/>
            <wp:effectExtent l="0" t="0" r="6350" b="6350"/>
            <wp:docPr id="53" name="Picture 53" descr="It is a chart showing the N°of the Contracting Parties per year from 1998 until 2018." title="WIPO Copyright Treaty (WCT)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F7400" w:rsidRDefault="002F7400" w:rsidP="00235525">
      <w:pPr>
        <w:pStyle w:val="ListParagraph"/>
        <w:numPr>
          <w:ilvl w:val="0"/>
          <w:numId w:val="8"/>
        </w:numPr>
        <w:spacing w:after="480"/>
        <w:ind w:left="0" w:firstLine="0"/>
        <w:rPr>
          <w:i/>
        </w:rPr>
      </w:pPr>
      <w:r w:rsidRPr="0002692B">
        <w:rPr>
          <w:i/>
        </w:rPr>
        <w:t>WIPO Performances and Phonograms Treaty (WPPT) (1996)</w:t>
      </w:r>
    </w:p>
    <w:p w:rsidR="00C530CB" w:rsidRDefault="00C530CB" w:rsidP="00546EB5">
      <w:pPr>
        <w:spacing w:after="480"/>
      </w:pPr>
      <w:r>
        <w:rPr>
          <w:noProof/>
          <w:lang w:eastAsia="en-US"/>
        </w:rPr>
        <w:drawing>
          <wp:inline distT="0" distB="0" distL="0" distR="0" wp14:anchorId="237621C4" wp14:editId="05FA2842">
            <wp:extent cx="4584700" cy="2755900"/>
            <wp:effectExtent l="0" t="0" r="6350" b="6350"/>
            <wp:docPr id="54" name="Picture 54" descr="It is a chart showing the N°of the Contracting Parties per year from1998 until 2018." title="WIPO Performances and Phonograms Treaty (WPPT)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024702" w:rsidRPr="0002692B" w:rsidRDefault="00024702" w:rsidP="00A80B7C">
      <w:pPr>
        <w:pStyle w:val="ListParagraph"/>
        <w:numPr>
          <w:ilvl w:val="0"/>
          <w:numId w:val="8"/>
        </w:numPr>
        <w:spacing w:after="480"/>
        <w:ind w:left="0" w:firstLine="0"/>
        <w:rPr>
          <w:i/>
        </w:rPr>
      </w:pPr>
      <w:r w:rsidRPr="0002692B">
        <w:rPr>
          <w:i/>
        </w:rPr>
        <w:lastRenderedPageBreak/>
        <w:t>Patent Law Treaty (PLT) (2000)</w:t>
      </w:r>
    </w:p>
    <w:p w:rsidR="004B5C37" w:rsidRDefault="004B5C37" w:rsidP="00B63AD0">
      <w:pPr>
        <w:spacing w:after="480"/>
      </w:pPr>
      <w:r>
        <w:rPr>
          <w:noProof/>
          <w:lang w:eastAsia="en-US"/>
        </w:rPr>
        <w:drawing>
          <wp:inline distT="0" distB="0" distL="0" distR="0" wp14:anchorId="68E72D76" wp14:editId="07C7FEA2">
            <wp:extent cx="4584700" cy="2755900"/>
            <wp:effectExtent l="0" t="0" r="6350" b="6350"/>
            <wp:docPr id="55" name="Picture 55" descr="It is a chart showing the N°of the Contracting Parties per year from 2005 until 2018." title="Patent Law Treaty (PLT)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24702" w:rsidRPr="0002692B" w:rsidRDefault="00024702" w:rsidP="005D7AF7">
      <w:pPr>
        <w:pStyle w:val="ListParagraph"/>
        <w:numPr>
          <w:ilvl w:val="0"/>
          <w:numId w:val="8"/>
        </w:numPr>
        <w:spacing w:after="480"/>
        <w:ind w:left="0" w:firstLine="0"/>
        <w:rPr>
          <w:i/>
        </w:rPr>
      </w:pPr>
      <w:r w:rsidRPr="0002692B">
        <w:rPr>
          <w:i/>
        </w:rPr>
        <w:t>Singapore Treaty on the Law of Trademarks (2006)</w:t>
      </w:r>
    </w:p>
    <w:p w:rsidR="004B5C37" w:rsidRDefault="004B5C37" w:rsidP="000F3A8F">
      <w:pPr>
        <w:spacing w:after="480"/>
      </w:pPr>
      <w:r>
        <w:rPr>
          <w:noProof/>
          <w:lang w:eastAsia="en-US"/>
        </w:rPr>
        <w:drawing>
          <wp:inline distT="0" distB="0" distL="0" distR="0" wp14:anchorId="1E803C82" wp14:editId="389E0EC9">
            <wp:extent cx="4584700" cy="2755900"/>
            <wp:effectExtent l="0" t="0" r="6350" b="6350"/>
            <wp:docPr id="56" name="Picture 56" descr="It is a chart showing the N°of the Contracting Parties per year from 2009 until 2018." title="Singapore Treaty on the Law of Trademarks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9138E" w:rsidRDefault="0079138E">
      <w:r>
        <w:br w:type="page"/>
      </w:r>
    </w:p>
    <w:p w:rsidR="008F3DCC" w:rsidRPr="0002692B" w:rsidRDefault="008F3DCC" w:rsidP="00705619">
      <w:pPr>
        <w:pStyle w:val="ListParagraph"/>
        <w:numPr>
          <w:ilvl w:val="0"/>
          <w:numId w:val="8"/>
        </w:numPr>
        <w:spacing w:after="480"/>
        <w:ind w:left="709" w:hanging="709"/>
        <w:rPr>
          <w:i/>
        </w:rPr>
      </w:pPr>
      <w:r w:rsidRPr="0002692B">
        <w:rPr>
          <w:i/>
        </w:rPr>
        <w:lastRenderedPageBreak/>
        <w:t>Marrakesh Treaty to Facilitate Access to Published Works for Persons who are Blind, Visually Impaired or Otherwise Print Disabled (2013)</w:t>
      </w:r>
    </w:p>
    <w:p w:rsidR="00254468" w:rsidRDefault="00254468" w:rsidP="0001439E">
      <w:pPr>
        <w:spacing w:after="480"/>
      </w:pPr>
      <w:r>
        <w:rPr>
          <w:noProof/>
          <w:lang w:eastAsia="en-US"/>
        </w:rPr>
        <w:drawing>
          <wp:inline distT="0" distB="0" distL="0" distR="0" wp14:anchorId="22A9FA68" wp14:editId="6DF822E6">
            <wp:extent cx="4584700" cy="2755900"/>
            <wp:effectExtent l="0" t="0" r="6350" b="6350"/>
            <wp:docPr id="57" name="Picture 57" descr="It is a chart showing the N°of the Contracting Parties per year from 2015 until 2018." title="Marrakesh Treaty to Facilitate Access to Published Works for Persons who are Blind, Visually Impaired or Otherwise Print Disabled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F3DCC" w:rsidRPr="0002692B" w:rsidRDefault="008F3DCC" w:rsidP="00E351A3">
      <w:pPr>
        <w:pStyle w:val="ListParagraph"/>
        <w:numPr>
          <w:ilvl w:val="0"/>
          <w:numId w:val="8"/>
        </w:numPr>
        <w:ind w:left="0" w:firstLine="0"/>
        <w:rPr>
          <w:i/>
        </w:rPr>
      </w:pPr>
      <w:r w:rsidRPr="0002692B">
        <w:rPr>
          <w:i/>
        </w:rPr>
        <w:t>Beijing Treaty on Audiovisual Performances (2012)</w:t>
      </w:r>
    </w:p>
    <w:p w:rsidR="008F3DCC" w:rsidRDefault="008F3DCC" w:rsidP="002D6674">
      <w:pPr>
        <w:spacing w:after="480"/>
        <w:rPr>
          <w:i/>
        </w:rPr>
      </w:pPr>
      <w:r w:rsidRPr="0002692B">
        <w:rPr>
          <w:i/>
        </w:rPr>
        <w:t>(Not yet in force.  30 eligible accessions/ratifications needed for entry into force).</w:t>
      </w:r>
    </w:p>
    <w:p w:rsidR="00152C9A" w:rsidRPr="0002692B" w:rsidRDefault="00254468" w:rsidP="002D6674">
      <w:pPr>
        <w:spacing w:after="480"/>
        <w:rPr>
          <w:i/>
        </w:rPr>
      </w:pPr>
      <w:r>
        <w:rPr>
          <w:i/>
          <w:noProof/>
          <w:lang w:eastAsia="en-US"/>
        </w:rPr>
        <w:drawing>
          <wp:inline distT="0" distB="0" distL="0" distR="0" wp14:anchorId="635FB775" wp14:editId="6A0DDE8A">
            <wp:extent cx="4584700" cy="2755900"/>
            <wp:effectExtent l="0" t="0" r="6350" b="6350"/>
            <wp:docPr id="58" name="Picture 58" descr="It is a chart showing the N°of Contracting Parties per year from 2015 until 2018." title="Beijing Treaty on Audiovisual Performances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8E7" w:rsidRDefault="005B620D" w:rsidP="002D6674">
      <w:pPr>
        <w:pStyle w:val="Heading1"/>
      </w:pPr>
      <w:r>
        <w:t>II.</w:t>
      </w:r>
      <w:r>
        <w:tab/>
      </w:r>
      <w:r w:rsidRPr="0002328F">
        <w:t xml:space="preserve">Constitutional Reform </w:t>
      </w:r>
    </w:p>
    <w:p w:rsidR="00537A21" w:rsidRDefault="005B620D" w:rsidP="00D02768">
      <w:pPr>
        <w:spacing w:after="100" w:afterAutospacing="1"/>
      </w:pPr>
      <w:r>
        <w:t>25.</w:t>
      </w:r>
      <w:r>
        <w:tab/>
      </w:r>
      <w:r w:rsidR="00D3635C" w:rsidRPr="00D3635C">
        <w:t>At the request of the Program and Budget Committee (PBC) in the framework of the discussion on governance</w:t>
      </w:r>
      <w:r w:rsidR="00537A21">
        <w:t xml:space="preserve"> issues</w:t>
      </w:r>
      <w:r w:rsidR="00D3635C" w:rsidRPr="00D3635C">
        <w:t xml:space="preserve">, the Secretariat made a presentation on the constitutional reform </w:t>
      </w:r>
      <w:r w:rsidR="000B4C5E">
        <w:t xml:space="preserve">process </w:t>
      </w:r>
      <w:r w:rsidR="00D3635C" w:rsidRPr="00D3635C">
        <w:t xml:space="preserve">at the twenty-sixth session of the PBC, held from July 10 to July 14, 2017 (see document WO/PBC/26/8).  </w:t>
      </w:r>
    </w:p>
    <w:p w:rsidR="00D3635C" w:rsidRPr="00D3635C" w:rsidRDefault="00D3635C" w:rsidP="002D6674">
      <w:pPr>
        <w:spacing w:after="240"/>
      </w:pPr>
      <w:r w:rsidRPr="00D3635C">
        <w:lastRenderedPageBreak/>
        <w:t>Following that presentation</w:t>
      </w:r>
      <w:r w:rsidR="0040165C">
        <w:t xml:space="preserve"> and </w:t>
      </w:r>
      <w:r w:rsidR="001C1AEF">
        <w:t xml:space="preserve">at </w:t>
      </w:r>
      <w:r w:rsidRPr="00D3635C">
        <w:t>the</w:t>
      </w:r>
      <w:r w:rsidR="0040165C">
        <w:t xml:space="preserve"> </w:t>
      </w:r>
      <w:r w:rsidR="0040165C" w:rsidRPr="00D3635C">
        <w:t>request</w:t>
      </w:r>
      <w:r w:rsidR="0040165C">
        <w:t xml:space="preserve"> of the </w:t>
      </w:r>
      <w:r w:rsidRPr="00D3635C">
        <w:t>PBC</w:t>
      </w:r>
      <w:r w:rsidR="0040165C">
        <w:t>,</w:t>
      </w:r>
      <w:r w:rsidRPr="00D3635C">
        <w:t xml:space="preserve"> the Secretariat report</w:t>
      </w:r>
      <w:r w:rsidR="0040165C">
        <w:t>ed</w:t>
      </w:r>
      <w:r w:rsidRPr="00D3635C">
        <w:t xml:space="preserve"> back to the twenty-eighth session of the PBC on the status of the implementation of the 1999 and 2003 amendments (see document WO/PBC/28/12)</w:t>
      </w:r>
      <w:r w:rsidR="001C1AEF">
        <w:t>,</w:t>
      </w:r>
      <w:r w:rsidR="0040165C">
        <w:t xml:space="preserve"> and will do </w:t>
      </w:r>
      <w:r w:rsidR="001C1AEF">
        <w:t>s</w:t>
      </w:r>
      <w:r w:rsidR="0040165C">
        <w:t>o again to its thirtieth session, in September 2019.</w:t>
      </w:r>
    </w:p>
    <w:p w:rsidR="00D3635C" w:rsidRDefault="005B620D" w:rsidP="002D6674">
      <w:pPr>
        <w:pStyle w:val="Default"/>
        <w:spacing w:after="240"/>
        <w:rPr>
          <w:sz w:val="22"/>
          <w:szCs w:val="22"/>
        </w:rPr>
      </w:pPr>
      <w:r>
        <w:rPr>
          <w:sz w:val="22"/>
          <w:szCs w:val="22"/>
        </w:rPr>
        <w:t>26.</w:t>
      </w:r>
      <w:r w:rsidRPr="00727E2F">
        <w:rPr>
          <w:sz w:val="22"/>
          <w:szCs w:val="22"/>
        </w:rPr>
        <w:tab/>
      </w:r>
      <w:r w:rsidR="006840B1">
        <w:rPr>
          <w:sz w:val="22"/>
          <w:szCs w:val="22"/>
        </w:rPr>
        <w:t>It is recalled that the 1999 amendment to the WIPO Convention would limit the number of mandates of Directors General to two fixed terms of six-years each.  The 2003 amendments to the WIPO Convention and to other WIPO-administered treaties would:  (</w:t>
      </w:r>
      <w:proofErr w:type="spellStart"/>
      <w:r w:rsidR="006840B1">
        <w:rPr>
          <w:sz w:val="22"/>
          <w:szCs w:val="22"/>
        </w:rPr>
        <w:t>i</w:t>
      </w:r>
      <w:proofErr w:type="spellEnd"/>
      <w:r w:rsidR="006840B1">
        <w:rPr>
          <w:sz w:val="22"/>
          <w:szCs w:val="22"/>
        </w:rPr>
        <w:t>) abolish the WIPO Conference</w:t>
      </w:r>
      <w:proofErr w:type="gramStart"/>
      <w:r w:rsidR="006840B1">
        <w:rPr>
          <w:sz w:val="22"/>
          <w:szCs w:val="22"/>
        </w:rPr>
        <w:t>;  (</w:t>
      </w:r>
      <w:proofErr w:type="gramEnd"/>
      <w:r w:rsidR="006840B1">
        <w:rPr>
          <w:sz w:val="22"/>
          <w:szCs w:val="22"/>
        </w:rPr>
        <w:t>ii) formalize the unitary contribution system and the changes in contribution classes that have been practiced since 1994;  and (iii) establish annual (rather than biennial) ordinary sessions of the WIPO General Assembly and of the other Assemblies of the Unions administered by WIPO.  T</w:t>
      </w:r>
      <w:r w:rsidR="00D3635C">
        <w:rPr>
          <w:sz w:val="22"/>
          <w:szCs w:val="22"/>
        </w:rPr>
        <w:t>o date, none of these amendments has entered into force because the Director General has not yet received the requisite number of notifications of acceptance of the amendments from WIPO Member States.</w:t>
      </w:r>
      <w:r w:rsidR="006840B1">
        <w:rPr>
          <w:sz w:val="22"/>
          <w:szCs w:val="22"/>
        </w:rPr>
        <w:t xml:space="preserve"> </w:t>
      </w:r>
      <w:r w:rsidR="00D3635C">
        <w:rPr>
          <w:sz w:val="22"/>
          <w:szCs w:val="22"/>
        </w:rPr>
        <w:t xml:space="preserve"> As a result, there is a gap between WIPO’s operations and its constitutional structure.  </w:t>
      </w:r>
    </w:p>
    <w:p w:rsidR="005B620D" w:rsidRPr="00727E2F" w:rsidRDefault="00D3635C" w:rsidP="009245C1">
      <w:pPr>
        <w:spacing w:after="720"/>
        <w:rPr>
          <w:szCs w:val="22"/>
        </w:rPr>
      </w:pPr>
      <w:r>
        <w:rPr>
          <w:szCs w:val="22"/>
        </w:rPr>
        <w:t>27</w:t>
      </w:r>
      <w:r w:rsidR="005B620D">
        <w:rPr>
          <w:szCs w:val="22"/>
        </w:rPr>
        <w:t>.</w:t>
      </w:r>
      <w:r w:rsidR="005B620D">
        <w:rPr>
          <w:szCs w:val="22"/>
        </w:rPr>
        <w:tab/>
        <w:t>Member States are respectfully invited to transmit their instruments of acceptance of the amendments to t</w:t>
      </w:r>
      <w:r>
        <w:rPr>
          <w:szCs w:val="22"/>
        </w:rPr>
        <w:t>he WIPO Treaties</w:t>
      </w:r>
      <w:r w:rsidR="005B620D">
        <w:rPr>
          <w:szCs w:val="22"/>
        </w:rPr>
        <w:t>.</w:t>
      </w:r>
      <w:r>
        <w:rPr>
          <w:szCs w:val="22"/>
        </w:rPr>
        <w:t xml:space="preserve">  By doing so, Member States would close the gap and complete a process of rationalizing the Organization’s governance structure. </w:t>
      </w:r>
    </w:p>
    <w:p w:rsidR="00152C9A" w:rsidRPr="009245C1" w:rsidRDefault="005B620D" w:rsidP="009245C1">
      <w:pPr>
        <w:pStyle w:val="Endofdocument0"/>
        <w:rPr>
          <w:sz w:val="22"/>
          <w:szCs w:val="22"/>
        </w:rPr>
      </w:pPr>
      <w:r w:rsidRPr="003E63A2">
        <w:rPr>
          <w:sz w:val="22"/>
          <w:szCs w:val="22"/>
        </w:rPr>
        <w:t>[End of document]</w:t>
      </w:r>
    </w:p>
    <w:sectPr w:rsidR="00152C9A" w:rsidRPr="009245C1" w:rsidSect="005318E7">
      <w:headerReference w:type="default" r:id="rId3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0A" w:rsidRDefault="0044730A">
      <w:r>
        <w:separator/>
      </w:r>
    </w:p>
  </w:endnote>
  <w:endnote w:type="continuationSeparator" w:id="0">
    <w:p w:rsidR="0044730A" w:rsidRDefault="0044730A" w:rsidP="003B38C1">
      <w:r>
        <w:separator/>
      </w:r>
    </w:p>
    <w:p w:rsidR="0044730A" w:rsidRPr="003B38C1" w:rsidRDefault="0044730A" w:rsidP="003B38C1">
      <w:pPr>
        <w:spacing w:after="60"/>
        <w:rPr>
          <w:sz w:val="17"/>
        </w:rPr>
      </w:pPr>
      <w:r>
        <w:rPr>
          <w:sz w:val="17"/>
        </w:rPr>
        <w:t>[Endnote continued from previous page]</w:t>
      </w:r>
    </w:p>
  </w:endnote>
  <w:endnote w:type="continuationNotice" w:id="1">
    <w:p w:rsidR="0044730A" w:rsidRPr="003B38C1" w:rsidRDefault="00447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0A" w:rsidRDefault="0044730A">
      <w:r>
        <w:separator/>
      </w:r>
    </w:p>
  </w:footnote>
  <w:footnote w:type="continuationSeparator" w:id="0">
    <w:p w:rsidR="0044730A" w:rsidRDefault="0044730A" w:rsidP="008B60B2">
      <w:r>
        <w:separator/>
      </w:r>
    </w:p>
    <w:p w:rsidR="0044730A" w:rsidRPr="00ED77FB" w:rsidRDefault="0044730A" w:rsidP="008B60B2">
      <w:pPr>
        <w:spacing w:after="60"/>
        <w:rPr>
          <w:sz w:val="17"/>
          <w:szCs w:val="17"/>
        </w:rPr>
      </w:pPr>
      <w:r w:rsidRPr="00ED77FB">
        <w:rPr>
          <w:sz w:val="17"/>
          <w:szCs w:val="17"/>
        </w:rPr>
        <w:t>[Footnote continued from previous page]</w:t>
      </w:r>
    </w:p>
  </w:footnote>
  <w:footnote w:type="continuationNotice" w:id="1">
    <w:p w:rsidR="0044730A" w:rsidRPr="00ED77FB" w:rsidRDefault="0044730A" w:rsidP="008B60B2">
      <w:pPr>
        <w:spacing w:before="60"/>
        <w:jc w:val="right"/>
        <w:rPr>
          <w:sz w:val="17"/>
          <w:szCs w:val="17"/>
        </w:rPr>
      </w:pPr>
      <w:r w:rsidRPr="00ED77FB">
        <w:rPr>
          <w:sz w:val="17"/>
          <w:szCs w:val="17"/>
        </w:rPr>
        <w:t>[Footnote continued on next page]</w:t>
      </w:r>
    </w:p>
  </w:footnote>
  <w:footnote w:id="2">
    <w:p w:rsidR="00554CAF" w:rsidRPr="00474B67" w:rsidRDefault="00554CAF" w:rsidP="009245C1">
      <w:pPr>
        <w:pStyle w:val="FootnoteText"/>
        <w:spacing w:after="120"/>
      </w:pPr>
      <w:r>
        <w:rPr>
          <w:rStyle w:val="FootnoteReference"/>
        </w:rPr>
        <w:footnoteRef/>
      </w:r>
      <w:r>
        <w:t xml:space="preserve"> </w:t>
      </w:r>
      <w:r w:rsidR="00624172">
        <w:t>For purpose</w:t>
      </w:r>
      <w:r w:rsidR="00961F36">
        <w:t>s</w:t>
      </w:r>
      <w:r w:rsidR="00624172">
        <w:t xml:space="preserve"> of this update, the relevant treaties are </w:t>
      </w:r>
      <w:r w:rsidRPr="00474B67">
        <w:t>the Paris Convention for the Protection of Industrial Property, the Berne Convention for the Protection of Literary and Artistic Works</w:t>
      </w:r>
      <w:r>
        <w:t xml:space="preserve">, the </w:t>
      </w:r>
      <w:r w:rsidRPr="00474B67">
        <w:t xml:space="preserve">Nice Agreement Concerning the International Classification of Goods and Services for the Purposes of the Registration of </w:t>
      </w:r>
      <w:r>
        <w:t>Marks and the Lisbon Agreement for the Protection of Appellations of Origin and their International Registration as concerns its Stockholm Act of 1967.</w:t>
      </w:r>
    </w:p>
  </w:footnote>
  <w:footnote w:id="3">
    <w:p w:rsidR="00554CAF" w:rsidRPr="00474B67" w:rsidRDefault="00554CAF" w:rsidP="00554CAF">
      <w:pPr>
        <w:pStyle w:val="FootnoteText"/>
      </w:pPr>
      <w:r>
        <w:rPr>
          <w:rStyle w:val="FootnoteReference"/>
        </w:rPr>
        <w:footnoteRef/>
      </w:r>
      <w:r>
        <w:t xml:space="preserve"> </w:t>
      </w:r>
      <w:r w:rsidRPr="00474B67">
        <w:t xml:space="preserve">See Part II </w:t>
      </w:r>
      <w:r>
        <w:t>on constitutional reform</w:t>
      </w:r>
      <w:r w:rsidR="00B35AD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Default="005318E7" w:rsidP="00477D6B">
    <w:pPr>
      <w:jc w:val="right"/>
    </w:pPr>
    <w:bookmarkStart w:id="6" w:name="Code2"/>
    <w:bookmarkEnd w:id="6"/>
    <w:r>
      <w:t>A/58/INF/4</w:t>
    </w:r>
  </w:p>
  <w:p w:rsidR="00EC4E49" w:rsidRDefault="00EC4E49" w:rsidP="00705619">
    <w:pPr>
      <w:spacing w:after="360"/>
      <w:jc w:val="right"/>
    </w:pPr>
    <w:proofErr w:type="gramStart"/>
    <w:r>
      <w:t>page</w:t>
    </w:r>
    <w:proofErr w:type="gramEnd"/>
    <w:r>
      <w:t xml:space="preserve"> </w:t>
    </w:r>
    <w:r>
      <w:fldChar w:fldCharType="begin"/>
    </w:r>
    <w:r>
      <w:instrText xml:space="preserve"> PAGE  \* MERGEFORMAT </w:instrText>
    </w:r>
    <w:r>
      <w:fldChar w:fldCharType="separate"/>
    </w:r>
    <w:r w:rsidR="009374EA">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7E1E1C"/>
    <w:multiLevelType w:val="hybridMultilevel"/>
    <w:tmpl w:val="A870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CF1D22"/>
    <w:multiLevelType w:val="hybridMultilevel"/>
    <w:tmpl w:val="BC941FDA"/>
    <w:lvl w:ilvl="0" w:tplc="AD1CA60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E7"/>
    <w:rsid w:val="00012E4A"/>
    <w:rsid w:val="0001439E"/>
    <w:rsid w:val="00015793"/>
    <w:rsid w:val="00022D47"/>
    <w:rsid w:val="00024702"/>
    <w:rsid w:val="00031FB0"/>
    <w:rsid w:val="00043CAA"/>
    <w:rsid w:val="00075432"/>
    <w:rsid w:val="000765C4"/>
    <w:rsid w:val="0009035C"/>
    <w:rsid w:val="000968ED"/>
    <w:rsid w:val="000B4C5E"/>
    <w:rsid w:val="000C117A"/>
    <w:rsid w:val="000D6065"/>
    <w:rsid w:val="000E6FDE"/>
    <w:rsid w:val="000F2678"/>
    <w:rsid w:val="000F3A8F"/>
    <w:rsid w:val="000F5E56"/>
    <w:rsid w:val="00123717"/>
    <w:rsid w:val="001362EE"/>
    <w:rsid w:val="00152C9A"/>
    <w:rsid w:val="00156693"/>
    <w:rsid w:val="00163798"/>
    <w:rsid w:val="001647D5"/>
    <w:rsid w:val="001832A6"/>
    <w:rsid w:val="001A5608"/>
    <w:rsid w:val="001B2C95"/>
    <w:rsid w:val="001B4511"/>
    <w:rsid w:val="001C1AEF"/>
    <w:rsid w:val="001E4E8E"/>
    <w:rsid w:val="001F5DF2"/>
    <w:rsid w:val="002111C2"/>
    <w:rsid w:val="0021217E"/>
    <w:rsid w:val="00222E48"/>
    <w:rsid w:val="00227FB0"/>
    <w:rsid w:val="00235525"/>
    <w:rsid w:val="00242424"/>
    <w:rsid w:val="002519EE"/>
    <w:rsid w:val="00254468"/>
    <w:rsid w:val="002634C4"/>
    <w:rsid w:val="002928D3"/>
    <w:rsid w:val="002961C0"/>
    <w:rsid w:val="002D6674"/>
    <w:rsid w:val="002E3F21"/>
    <w:rsid w:val="002F1FE6"/>
    <w:rsid w:val="002F21F6"/>
    <w:rsid w:val="002F4E68"/>
    <w:rsid w:val="002F69E2"/>
    <w:rsid w:val="002F7400"/>
    <w:rsid w:val="003061D8"/>
    <w:rsid w:val="00312F7F"/>
    <w:rsid w:val="00316CA8"/>
    <w:rsid w:val="003178BA"/>
    <w:rsid w:val="00327274"/>
    <w:rsid w:val="00350AE2"/>
    <w:rsid w:val="00361450"/>
    <w:rsid w:val="00364735"/>
    <w:rsid w:val="00366B7C"/>
    <w:rsid w:val="003673CF"/>
    <w:rsid w:val="00370B56"/>
    <w:rsid w:val="003845C1"/>
    <w:rsid w:val="00395980"/>
    <w:rsid w:val="003A11BC"/>
    <w:rsid w:val="003A6F89"/>
    <w:rsid w:val="003B38C1"/>
    <w:rsid w:val="003B4557"/>
    <w:rsid w:val="003D2030"/>
    <w:rsid w:val="003D57B0"/>
    <w:rsid w:val="003E3B23"/>
    <w:rsid w:val="003E78E7"/>
    <w:rsid w:val="0040165C"/>
    <w:rsid w:val="0041298E"/>
    <w:rsid w:val="00423E3E"/>
    <w:rsid w:val="00427AF4"/>
    <w:rsid w:val="00437D8A"/>
    <w:rsid w:val="0044730A"/>
    <w:rsid w:val="004647DA"/>
    <w:rsid w:val="00474062"/>
    <w:rsid w:val="00477D6B"/>
    <w:rsid w:val="00480E8C"/>
    <w:rsid w:val="004A5865"/>
    <w:rsid w:val="004B5170"/>
    <w:rsid w:val="004B5C37"/>
    <w:rsid w:val="004B64EE"/>
    <w:rsid w:val="004C547D"/>
    <w:rsid w:val="004D675B"/>
    <w:rsid w:val="004E7A3B"/>
    <w:rsid w:val="004F3112"/>
    <w:rsid w:val="005019FF"/>
    <w:rsid w:val="005302CD"/>
    <w:rsid w:val="0053057A"/>
    <w:rsid w:val="005318E7"/>
    <w:rsid w:val="00537A21"/>
    <w:rsid w:val="00546EB5"/>
    <w:rsid w:val="00554CAF"/>
    <w:rsid w:val="00560A29"/>
    <w:rsid w:val="005705F6"/>
    <w:rsid w:val="005B2F31"/>
    <w:rsid w:val="005B620D"/>
    <w:rsid w:val="005C6649"/>
    <w:rsid w:val="005D3233"/>
    <w:rsid w:val="005D7AF7"/>
    <w:rsid w:val="005F6C74"/>
    <w:rsid w:val="00605827"/>
    <w:rsid w:val="00606C0B"/>
    <w:rsid w:val="00624172"/>
    <w:rsid w:val="00626802"/>
    <w:rsid w:val="006338C6"/>
    <w:rsid w:val="00646050"/>
    <w:rsid w:val="006713CA"/>
    <w:rsid w:val="00676C5C"/>
    <w:rsid w:val="0068284B"/>
    <w:rsid w:val="006840B1"/>
    <w:rsid w:val="006B0595"/>
    <w:rsid w:val="006B44CD"/>
    <w:rsid w:val="006E0C6C"/>
    <w:rsid w:val="006E4F5F"/>
    <w:rsid w:val="006F272D"/>
    <w:rsid w:val="00705619"/>
    <w:rsid w:val="00745DD7"/>
    <w:rsid w:val="00761FAA"/>
    <w:rsid w:val="0079138E"/>
    <w:rsid w:val="0079556D"/>
    <w:rsid w:val="007C48A6"/>
    <w:rsid w:val="007D1613"/>
    <w:rsid w:val="007E4C0E"/>
    <w:rsid w:val="00806DD9"/>
    <w:rsid w:val="00856DC7"/>
    <w:rsid w:val="00860537"/>
    <w:rsid w:val="00877718"/>
    <w:rsid w:val="008A134B"/>
    <w:rsid w:val="008B2CC1"/>
    <w:rsid w:val="008B60B2"/>
    <w:rsid w:val="008F1780"/>
    <w:rsid w:val="008F3DCC"/>
    <w:rsid w:val="008F76A3"/>
    <w:rsid w:val="0090731E"/>
    <w:rsid w:val="009115F8"/>
    <w:rsid w:val="00916EE2"/>
    <w:rsid w:val="009245C1"/>
    <w:rsid w:val="009374EA"/>
    <w:rsid w:val="009408EA"/>
    <w:rsid w:val="00955B5C"/>
    <w:rsid w:val="00961F36"/>
    <w:rsid w:val="00965BAA"/>
    <w:rsid w:val="00966A22"/>
    <w:rsid w:val="0096722F"/>
    <w:rsid w:val="00967B88"/>
    <w:rsid w:val="0097388A"/>
    <w:rsid w:val="00977700"/>
    <w:rsid w:val="00980843"/>
    <w:rsid w:val="00986FD2"/>
    <w:rsid w:val="009A0C6F"/>
    <w:rsid w:val="009B1D14"/>
    <w:rsid w:val="009C127D"/>
    <w:rsid w:val="009E2791"/>
    <w:rsid w:val="009E3F6F"/>
    <w:rsid w:val="009F499F"/>
    <w:rsid w:val="009F5502"/>
    <w:rsid w:val="00A03255"/>
    <w:rsid w:val="00A044A3"/>
    <w:rsid w:val="00A37342"/>
    <w:rsid w:val="00A42DAF"/>
    <w:rsid w:val="00A45BD8"/>
    <w:rsid w:val="00A51C37"/>
    <w:rsid w:val="00A80B7C"/>
    <w:rsid w:val="00A869B7"/>
    <w:rsid w:val="00AA2DD4"/>
    <w:rsid w:val="00AA6380"/>
    <w:rsid w:val="00AB70E7"/>
    <w:rsid w:val="00AC1BDE"/>
    <w:rsid w:val="00AC205C"/>
    <w:rsid w:val="00AF0A6B"/>
    <w:rsid w:val="00B005C4"/>
    <w:rsid w:val="00B05A69"/>
    <w:rsid w:val="00B17292"/>
    <w:rsid w:val="00B21D1F"/>
    <w:rsid w:val="00B2797F"/>
    <w:rsid w:val="00B35AD0"/>
    <w:rsid w:val="00B63AD0"/>
    <w:rsid w:val="00B67628"/>
    <w:rsid w:val="00B94746"/>
    <w:rsid w:val="00B9734B"/>
    <w:rsid w:val="00BA30E2"/>
    <w:rsid w:val="00BC3591"/>
    <w:rsid w:val="00BD5B43"/>
    <w:rsid w:val="00BE068C"/>
    <w:rsid w:val="00C00498"/>
    <w:rsid w:val="00C11BFE"/>
    <w:rsid w:val="00C452F2"/>
    <w:rsid w:val="00C5068F"/>
    <w:rsid w:val="00C530CB"/>
    <w:rsid w:val="00C825B4"/>
    <w:rsid w:val="00C86D74"/>
    <w:rsid w:val="00CC679D"/>
    <w:rsid w:val="00CD04F1"/>
    <w:rsid w:val="00CD7F59"/>
    <w:rsid w:val="00D02693"/>
    <w:rsid w:val="00D02768"/>
    <w:rsid w:val="00D148BC"/>
    <w:rsid w:val="00D2259D"/>
    <w:rsid w:val="00D344CC"/>
    <w:rsid w:val="00D3635C"/>
    <w:rsid w:val="00D40D40"/>
    <w:rsid w:val="00D44A0B"/>
    <w:rsid w:val="00D45252"/>
    <w:rsid w:val="00D54088"/>
    <w:rsid w:val="00D66E37"/>
    <w:rsid w:val="00D71B4D"/>
    <w:rsid w:val="00D93D55"/>
    <w:rsid w:val="00DA1E79"/>
    <w:rsid w:val="00DC0E7C"/>
    <w:rsid w:val="00DC1CD4"/>
    <w:rsid w:val="00DD2F87"/>
    <w:rsid w:val="00DD5B37"/>
    <w:rsid w:val="00DE2B24"/>
    <w:rsid w:val="00DE77B4"/>
    <w:rsid w:val="00DF023A"/>
    <w:rsid w:val="00DF2DA7"/>
    <w:rsid w:val="00DF383E"/>
    <w:rsid w:val="00E15015"/>
    <w:rsid w:val="00E26A7C"/>
    <w:rsid w:val="00E335FE"/>
    <w:rsid w:val="00E351A3"/>
    <w:rsid w:val="00E72EEE"/>
    <w:rsid w:val="00E85557"/>
    <w:rsid w:val="00EA7D6E"/>
    <w:rsid w:val="00EB2210"/>
    <w:rsid w:val="00EC4E49"/>
    <w:rsid w:val="00ED77FB"/>
    <w:rsid w:val="00EE45FA"/>
    <w:rsid w:val="00F2285B"/>
    <w:rsid w:val="00F242C3"/>
    <w:rsid w:val="00F25D01"/>
    <w:rsid w:val="00F66152"/>
    <w:rsid w:val="00F71092"/>
    <w:rsid w:val="00F8330E"/>
    <w:rsid w:val="00FC6627"/>
    <w:rsid w:val="00FD237E"/>
    <w:rsid w:val="00FD741F"/>
    <w:rsid w:val="00FF509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2D6674"/>
    <w:pPr>
      <w:keepNext/>
      <w:spacing w:after="48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554CAF"/>
    <w:rPr>
      <w:vertAlign w:val="superscript"/>
    </w:rPr>
  </w:style>
  <w:style w:type="paragraph" w:styleId="BodyTextIndent">
    <w:name w:val="Body Text Indent"/>
    <w:basedOn w:val="Normal"/>
    <w:link w:val="BodyTextIndentChar"/>
    <w:rsid w:val="008F76A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8F76A3"/>
    <w:rPr>
      <w:sz w:val="24"/>
      <w:lang w:val="en-US" w:eastAsia="en-US"/>
    </w:rPr>
  </w:style>
  <w:style w:type="paragraph" w:customStyle="1" w:styleId="EndofDocument">
    <w:name w:val="End of Document"/>
    <w:basedOn w:val="Normal"/>
    <w:rsid w:val="005B620D"/>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Normal"/>
    <w:rsid w:val="005B620D"/>
    <w:pPr>
      <w:spacing w:after="120" w:line="260" w:lineRule="atLeast"/>
      <w:ind w:left="5534"/>
      <w:contextualSpacing/>
    </w:pPr>
    <w:rPr>
      <w:rFonts w:eastAsia="Times New Roman" w:cs="Times New Roman"/>
      <w:sz w:val="20"/>
      <w:lang w:eastAsia="en-US"/>
    </w:rPr>
  </w:style>
  <w:style w:type="paragraph" w:customStyle="1" w:styleId="Default">
    <w:name w:val="Default"/>
    <w:basedOn w:val="Normal"/>
    <w:rsid w:val="006840B1"/>
    <w:pPr>
      <w:autoSpaceDE w:val="0"/>
      <w:autoSpaceDN w:val="0"/>
    </w:pPr>
    <w:rPr>
      <w:rFonts w:eastAsiaTheme="minorHAnsi"/>
      <w:color w:val="000000"/>
      <w:sz w:val="24"/>
      <w:szCs w:val="24"/>
      <w:lang w:eastAsia="en-US"/>
    </w:rPr>
  </w:style>
  <w:style w:type="paragraph" w:styleId="ListParagraph">
    <w:name w:val="List Paragraph"/>
    <w:basedOn w:val="Normal"/>
    <w:uiPriority w:val="34"/>
    <w:qFormat/>
    <w:rsid w:val="00924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2D6674"/>
    <w:pPr>
      <w:keepNext/>
      <w:spacing w:after="48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554CAF"/>
    <w:rPr>
      <w:vertAlign w:val="superscript"/>
    </w:rPr>
  </w:style>
  <w:style w:type="paragraph" w:styleId="BodyTextIndent">
    <w:name w:val="Body Text Indent"/>
    <w:basedOn w:val="Normal"/>
    <w:link w:val="BodyTextIndentChar"/>
    <w:rsid w:val="008F76A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8F76A3"/>
    <w:rPr>
      <w:sz w:val="24"/>
      <w:lang w:val="en-US" w:eastAsia="en-US"/>
    </w:rPr>
  </w:style>
  <w:style w:type="paragraph" w:customStyle="1" w:styleId="EndofDocument">
    <w:name w:val="End of Document"/>
    <w:basedOn w:val="Normal"/>
    <w:rsid w:val="005B620D"/>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Normal"/>
    <w:rsid w:val="005B620D"/>
    <w:pPr>
      <w:spacing w:after="120" w:line="260" w:lineRule="atLeast"/>
      <w:ind w:left="5534"/>
      <w:contextualSpacing/>
    </w:pPr>
    <w:rPr>
      <w:rFonts w:eastAsia="Times New Roman" w:cs="Times New Roman"/>
      <w:sz w:val="20"/>
      <w:lang w:eastAsia="en-US"/>
    </w:rPr>
  </w:style>
  <w:style w:type="paragraph" w:customStyle="1" w:styleId="Default">
    <w:name w:val="Default"/>
    <w:basedOn w:val="Normal"/>
    <w:rsid w:val="006840B1"/>
    <w:pPr>
      <w:autoSpaceDE w:val="0"/>
      <w:autoSpaceDN w:val="0"/>
    </w:pPr>
    <w:rPr>
      <w:rFonts w:eastAsiaTheme="minorHAnsi"/>
      <w:color w:val="000000"/>
      <w:sz w:val="24"/>
      <w:szCs w:val="24"/>
      <w:lang w:eastAsia="en-US"/>
    </w:rPr>
  </w:style>
  <w:style w:type="paragraph" w:styleId="ListParagraph">
    <w:name w:val="List Paragraph"/>
    <w:basedOn w:val="Normal"/>
    <w:uiPriority w:val="34"/>
    <w:qFormat/>
    <w:rsid w:val="00924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5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86B55-B988-4C98-A3D7-283BD34E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17</Pages>
  <Words>1561</Words>
  <Characters>8898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COUSIN Raquel</dc:creator>
  <cp:lastModifiedBy>COUSIN Raquel</cp:lastModifiedBy>
  <cp:revision>2</cp:revision>
  <cp:lastPrinted>2018-09-18T09:29:00Z</cp:lastPrinted>
  <dcterms:created xsi:type="dcterms:W3CDTF">2018-09-18T10:17:00Z</dcterms:created>
  <dcterms:modified xsi:type="dcterms:W3CDTF">2018-09-18T10:17:00Z</dcterms:modified>
  <cp:category>Assemblies of the Member States of WIPO</cp:category>
</cp:coreProperties>
</file>