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A/59</w:t>
      </w:r>
      <w:r w:rsidR="006E4F5F" w:rsidRPr="006E4F5F">
        <w:rPr>
          <w:rFonts w:ascii="Arial Black" w:hAnsi="Arial Black"/>
          <w:b/>
          <w:caps/>
          <w:sz w:val="15"/>
        </w:rPr>
        <w:t>/</w:t>
      </w:r>
      <w:bookmarkStart w:id="1" w:name="Code"/>
      <w:bookmarkEnd w:id="1"/>
      <w:r w:rsidR="009D293A">
        <w:rPr>
          <w:rFonts w:ascii="Arial Black" w:hAnsi="Arial Black"/>
          <w:b/>
          <w:caps/>
          <w:sz w:val="15"/>
        </w:rPr>
        <w:t>13</w:t>
      </w:r>
      <w:r w:rsidR="00635C70">
        <w:rPr>
          <w:rFonts w:ascii="Arial Black" w:hAnsi="Arial Black"/>
          <w:b/>
          <w:caps/>
          <w:sz w:val="15"/>
        </w:rPr>
        <w:t xml:space="preserve"> Add.2</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CA19D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CA19DA">
        <w:rPr>
          <w:rFonts w:ascii="Arial Black" w:hAnsi="Arial Black"/>
          <w:b/>
          <w:caps/>
          <w:sz w:val="15"/>
        </w:rPr>
        <w:t>October 9, 2019</w:t>
      </w:r>
    </w:p>
    <w:p w:rsidR="008B2CC1" w:rsidRPr="003D57B0" w:rsidRDefault="00DF023A" w:rsidP="000C117A">
      <w:pPr>
        <w:pStyle w:val="Heading1"/>
      </w:pPr>
      <w:r w:rsidRPr="000C117A">
        <w:t>Assemblies</w:t>
      </w:r>
      <w:r w:rsidRPr="003D57B0">
        <w:t xml:space="preserve"> of the Member States of WIPO</w:t>
      </w:r>
    </w:p>
    <w:p w:rsidR="008B2CC1" w:rsidRPr="009C127D" w:rsidRDefault="00FD53CC" w:rsidP="003D2030">
      <w:pPr>
        <w:spacing w:after="720"/>
        <w:rPr>
          <w:b/>
          <w:sz w:val="24"/>
        </w:rPr>
      </w:pPr>
      <w:r>
        <w:rPr>
          <w:b/>
          <w:sz w:val="24"/>
        </w:rPr>
        <w:t>Fifty-Nin</w:t>
      </w:r>
      <w:r w:rsidR="00DF023A" w:rsidRPr="009C127D">
        <w:rPr>
          <w:b/>
          <w:sz w:val="24"/>
        </w:rPr>
        <w:t>th Series of Meetings</w:t>
      </w:r>
      <w:r w:rsidR="003D57B0" w:rsidRPr="009C127D">
        <w:rPr>
          <w:b/>
          <w:sz w:val="24"/>
        </w:rPr>
        <w:br/>
      </w:r>
      <w:r>
        <w:rPr>
          <w:b/>
          <w:sz w:val="24"/>
        </w:rPr>
        <w:t>Geneva, September 30 to October 9, 2019</w:t>
      </w:r>
    </w:p>
    <w:p w:rsidR="008B2CC1" w:rsidRPr="009C127D" w:rsidRDefault="00CA19DA" w:rsidP="003D2030">
      <w:pPr>
        <w:spacing w:after="360"/>
        <w:rPr>
          <w:caps/>
          <w:sz w:val="24"/>
        </w:rPr>
      </w:pPr>
      <w:bookmarkStart w:id="4" w:name="TitleOfDoc"/>
      <w:bookmarkEnd w:id="4"/>
      <w:r>
        <w:rPr>
          <w:caps/>
          <w:sz w:val="24"/>
        </w:rPr>
        <w:t>SUMMARY REPORT</w:t>
      </w:r>
    </w:p>
    <w:p w:rsidR="008B2CC1" w:rsidRDefault="00CA19DA" w:rsidP="009C127D">
      <w:pPr>
        <w:spacing w:after="960"/>
        <w:rPr>
          <w:i/>
        </w:rPr>
      </w:pPr>
      <w:bookmarkStart w:id="5" w:name="Prepared"/>
      <w:bookmarkEnd w:id="5"/>
      <w:r>
        <w:rPr>
          <w:i/>
        </w:rPr>
        <w:t>Addendum</w:t>
      </w:r>
    </w:p>
    <w:p w:rsidR="00CA19DA" w:rsidRPr="00012D36" w:rsidRDefault="00CA19DA" w:rsidP="00012D36">
      <w:pPr>
        <w:pStyle w:val="Heading2"/>
        <w:rPr>
          <w:b w:val="0"/>
        </w:rPr>
      </w:pPr>
      <w:r w:rsidRPr="00012D36">
        <w:rPr>
          <w:b w:val="0"/>
        </w:rPr>
        <w:t>ITEM 9 OF THE CONSOLIDATED AGENDA</w:t>
      </w:r>
    </w:p>
    <w:p w:rsidR="00CA19DA" w:rsidRDefault="00CA19DA" w:rsidP="00012D36">
      <w:pPr>
        <w:pStyle w:val="Heading2"/>
        <w:rPr>
          <w:b w:val="0"/>
        </w:rPr>
      </w:pPr>
      <w:r w:rsidRPr="00012D36">
        <w:rPr>
          <w:b w:val="0"/>
        </w:rPr>
        <w:t>composition of the wipo coordination committee, and of the executive committees of the paris and berne unions</w:t>
      </w:r>
    </w:p>
    <w:p w:rsidR="00B43544" w:rsidRDefault="00B43544" w:rsidP="00B43544">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r>
      <w:r w:rsidRPr="007A2ABB">
        <w:rPr>
          <w:szCs w:val="22"/>
        </w:rPr>
        <w:t xml:space="preserve">Discussions </w:t>
      </w:r>
      <w:proofErr w:type="gramStart"/>
      <w:r w:rsidRPr="007A2ABB">
        <w:rPr>
          <w:szCs w:val="22"/>
        </w:rPr>
        <w:t>were based</w:t>
      </w:r>
      <w:proofErr w:type="gramEnd"/>
      <w:r w:rsidRPr="007A2ABB">
        <w:rPr>
          <w:szCs w:val="22"/>
        </w:rPr>
        <w:t xml:space="preserve"> on documents A/59/5 and A/59/12.</w:t>
      </w:r>
    </w:p>
    <w:p w:rsidR="00B43544" w:rsidRPr="007A2ABB" w:rsidRDefault="00B43544" w:rsidP="00B43544">
      <w:pPr>
        <w:pStyle w:val="ListParagraph"/>
        <w:ind w:left="0"/>
        <w:rPr>
          <w:szCs w:val="22"/>
        </w:rPr>
      </w:pPr>
    </w:p>
    <w:p w:rsidR="00B43544" w:rsidRPr="007A2ABB" w:rsidRDefault="00B43544" w:rsidP="00361A32">
      <w:pPr>
        <w:pStyle w:val="ListParagraph"/>
        <w:ind w:left="0"/>
        <w:rPr>
          <w:szCs w:val="22"/>
        </w:rPr>
      </w:pPr>
      <w:r>
        <w:rPr>
          <w:szCs w:val="22"/>
        </w:rPr>
        <w:fldChar w:fldCharType="begin"/>
      </w:r>
      <w:r>
        <w:rPr>
          <w:szCs w:val="22"/>
        </w:rPr>
        <w:instrText xml:space="preserve"> AUTONUM  </w:instrText>
      </w:r>
      <w:r>
        <w:rPr>
          <w:szCs w:val="22"/>
        </w:rPr>
        <w:fldChar w:fldCharType="end"/>
      </w:r>
      <w:r>
        <w:rPr>
          <w:szCs w:val="22"/>
        </w:rPr>
        <w:tab/>
        <w:t>Following informal consultations among Member States,</w:t>
      </w:r>
    </w:p>
    <w:p w:rsidR="00B43544" w:rsidRPr="007A2ABB" w:rsidRDefault="00B43544" w:rsidP="00B43544">
      <w:pPr>
        <w:ind w:left="567"/>
        <w:rPr>
          <w:szCs w:val="22"/>
        </w:rPr>
      </w:pPr>
    </w:p>
    <w:p w:rsidR="00B43544" w:rsidRPr="00361A32" w:rsidRDefault="00B43544" w:rsidP="00361A32">
      <w:pPr>
        <w:pStyle w:val="ListParagraph"/>
        <w:numPr>
          <w:ilvl w:val="0"/>
          <w:numId w:val="8"/>
        </w:numPr>
        <w:ind w:left="540" w:firstLine="0"/>
        <w:rPr>
          <w:szCs w:val="22"/>
        </w:rPr>
      </w:pPr>
      <w:r w:rsidRPr="00361A32">
        <w:rPr>
          <w:szCs w:val="22"/>
        </w:rPr>
        <w:t xml:space="preserve">The Paris Union Assembly unanimously elects the following States as </w:t>
      </w:r>
      <w:r w:rsidRPr="00361A32">
        <w:rPr>
          <w:i/>
          <w:szCs w:val="22"/>
        </w:rPr>
        <w:t>ordinary</w:t>
      </w:r>
      <w:r w:rsidRPr="00361A32">
        <w:rPr>
          <w:szCs w:val="22"/>
        </w:rPr>
        <w:t xml:space="preserve"> members of the </w:t>
      </w:r>
      <w:r w:rsidRPr="00361A32">
        <w:rPr>
          <w:i/>
          <w:szCs w:val="22"/>
        </w:rPr>
        <w:t>Paris Union Executive Committee</w:t>
      </w:r>
      <w:r w:rsidRPr="00361A32">
        <w:rPr>
          <w:szCs w:val="22"/>
        </w:rPr>
        <w:t>:  Angola, Argentina (2019-2020), Bangladesh, Belarus (member as per rotation)</w:t>
      </w:r>
      <w:r>
        <w:rPr>
          <w:rStyle w:val="FootnoteReference"/>
          <w:szCs w:val="22"/>
        </w:rPr>
        <w:footnoteReference w:id="2"/>
      </w:r>
      <w:r w:rsidRPr="00361A32">
        <w:rPr>
          <w:szCs w:val="22"/>
        </w:rPr>
        <w:t>, Bolivia (</w:t>
      </w:r>
      <w:proofErr w:type="spellStart"/>
      <w:r w:rsidRPr="00361A32">
        <w:rPr>
          <w:szCs w:val="22"/>
        </w:rPr>
        <w:t>Plurinational</w:t>
      </w:r>
      <w:proofErr w:type="spellEnd"/>
      <w:r w:rsidRPr="00361A32">
        <w:rPr>
          <w:szCs w:val="22"/>
        </w:rPr>
        <w:t xml:space="preserve"> State of), Brazil Burkina Faso, Cameroon, Chile, Colombia, Costa Rica, Côte d’Ivoire, Cuba, Democratic People’s Republic of Korea, Finland, Gabon, Ghana, Hungary, Iceland, India, Indonesia, Iran (Islamic Republic of), Iraq, Ireland, Italy, Japan, Kenya, Kyrgyzstan (member as per rotation)</w:t>
      </w:r>
      <w:r>
        <w:rPr>
          <w:rStyle w:val="FootnoteReference"/>
          <w:szCs w:val="22"/>
        </w:rPr>
        <w:footnoteReference w:id="3"/>
      </w:r>
      <w:r w:rsidRPr="00361A32">
        <w:rPr>
          <w:szCs w:val="22"/>
        </w:rPr>
        <w:t>, Latvia, Morocco, Oman, Republic of Moldova, Romania, Russian Federation, Sweden, Tajikistan (member as per rotation)</w:t>
      </w:r>
      <w:r>
        <w:rPr>
          <w:rStyle w:val="FootnoteReference"/>
          <w:szCs w:val="22"/>
        </w:rPr>
        <w:footnoteReference w:id="4"/>
      </w:r>
      <w:r w:rsidRPr="00361A32">
        <w:rPr>
          <w:szCs w:val="22"/>
        </w:rPr>
        <w:t xml:space="preserve">,Tunisia, Uganda, United Arab Emirates, </w:t>
      </w:r>
      <w:r w:rsidRPr="00361A32">
        <w:rPr>
          <w:szCs w:val="22"/>
        </w:rPr>
        <w:lastRenderedPageBreak/>
        <w:t>United States of America, Venezuela (Bolivarian Republic of) (2020-2021), Viet Nam, Zimbabwe (41);</w:t>
      </w:r>
    </w:p>
    <w:p w:rsidR="00B43544" w:rsidRPr="007A2ABB" w:rsidRDefault="00B43544" w:rsidP="00B43544">
      <w:pPr>
        <w:ind w:left="1287"/>
        <w:rPr>
          <w:i/>
          <w:szCs w:val="22"/>
        </w:rPr>
      </w:pPr>
    </w:p>
    <w:p w:rsidR="00B43544" w:rsidRPr="003C54A9" w:rsidRDefault="00B43544" w:rsidP="00361A32">
      <w:pPr>
        <w:pStyle w:val="ListParagraph"/>
        <w:numPr>
          <w:ilvl w:val="0"/>
          <w:numId w:val="8"/>
        </w:numPr>
        <w:ind w:left="540" w:firstLine="0"/>
        <w:rPr>
          <w:szCs w:val="22"/>
        </w:rPr>
      </w:pPr>
      <w:r w:rsidRPr="003C54A9">
        <w:rPr>
          <w:szCs w:val="22"/>
        </w:rPr>
        <w:t>The Berne Union Assembly unanimously elect</w:t>
      </w:r>
      <w:r>
        <w:rPr>
          <w:szCs w:val="22"/>
        </w:rPr>
        <w:t>s</w:t>
      </w:r>
      <w:r w:rsidRPr="003C54A9">
        <w:rPr>
          <w:szCs w:val="22"/>
        </w:rPr>
        <w:t xml:space="preserve"> the following States as </w:t>
      </w:r>
      <w:r w:rsidRPr="003C54A9">
        <w:rPr>
          <w:i/>
          <w:szCs w:val="22"/>
        </w:rPr>
        <w:t>ordinary</w:t>
      </w:r>
    </w:p>
    <w:p w:rsidR="00B43544" w:rsidRDefault="00B43544" w:rsidP="00361A32">
      <w:pPr>
        <w:ind w:left="540"/>
        <w:rPr>
          <w:szCs w:val="22"/>
        </w:rPr>
      </w:pPr>
      <w:proofErr w:type="gramStart"/>
      <w:r w:rsidRPr="003C54A9">
        <w:rPr>
          <w:szCs w:val="22"/>
        </w:rPr>
        <w:t>members</w:t>
      </w:r>
      <w:r w:rsidRPr="003C54A9">
        <w:rPr>
          <w:i/>
          <w:szCs w:val="22"/>
        </w:rPr>
        <w:t xml:space="preserve"> </w:t>
      </w:r>
      <w:r w:rsidRPr="003C54A9">
        <w:rPr>
          <w:szCs w:val="22"/>
        </w:rPr>
        <w:t>of the</w:t>
      </w:r>
      <w:r w:rsidRPr="003C54A9">
        <w:rPr>
          <w:i/>
          <w:szCs w:val="22"/>
        </w:rPr>
        <w:t xml:space="preserve"> Berne Union Executive Committee</w:t>
      </w:r>
      <w:r w:rsidRPr="003C54A9">
        <w:rPr>
          <w:szCs w:val="22"/>
        </w:rPr>
        <w:t xml:space="preserve">:  Algeria, </w:t>
      </w:r>
      <w:r>
        <w:rPr>
          <w:szCs w:val="22"/>
        </w:rPr>
        <w:t>Armenia (member as per rotation)</w:t>
      </w:r>
      <w:r>
        <w:rPr>
          <w:rStyle w:val="FootnoteReference"/>
          <w:szCs w:val="22"/>
        </w:rPr>
        <w:footnoteReference w:id="5"/>
      </w:r>
      <w:r>
        <w:rPr>
          <w:szCs w:val="22"/>
        </w:rPr>
        <w:t xml:space="preserve">, </w:t>
      </w:r>
      <w:r w:rsidRPr="003C54A9">
        <w:rPr>
          <w:szCs w:val="22"/>
        </w:rPr>
        <w:t xml:space="preserve">Australia, Austria, </w:t>
      </w:r>
      <w:r>
        <w:rPr>
          <w:szCs w:val="22"/>
        </w:rPr>
        <w:t>Azerbaijan (member as per rotation)</w:t>
      </w:r>
      <w:r>
        <w:rPr>
          <w:rStyle w:val="FootnoteReference"/>
          <w:szCs w:val="22"/>
        </w:rPr>
        <w:footnoteReference w:id="6"/>
      </w:r>
      <w:r>
        <w:rPr>
          <w:szCs w:val="22"/>
        </w:rPr>
        <w:t xml:space="preserve">, </w:t>
      </w:r>
      <w:r w:rsidRPr="003C54A9">
        <w:rPr>
          <w:szCs w:val="22"/>
        </w:rPr>
        <w:t xml:space="preserve">Belgium, Canada, China, Denmark, Djibouti, </w:t>
      </w:r>
      <w:r>
        <w:rPr>
          <w:szCs w:val="22"/>
        </w:rPr>
        <w:t xml:space="preserve">Ecuador, </w:t>
      </w:r>
      <w:r w:rsidRPr="003C54A9">
        <w:rPr>
          <w:szCs w:val="22"/>
        </w:rPr>
        <w:t xml:space="preserve">Egypt, </w:t>
      </w:r>
      <w:r>
        <w:rPr>
          <w:szCs w:val="22"/>
        </w:rPr>
        <w:t xml:space="preserve">El Salvador, </w:t>
      </w:r>
      <w:r w:rsidRPr="003C54A9">
        <w:rPr>
          <w:szCs w:val="22"/>
        </w:rPr>
        <w:t xml:space="preserve">France, Georgia, Germany, </w:t>
      </w:r>
      <w:r>
        <w:rPr>
          <w:szCs w:val="22"/>
        </w:rPr>
        <w:t xml:space="preserve">Guatemala, Jamaica, Kazakhstan, </w:t>
      </w:r>
      <w:r w:rsidRPr="003C54A9">
        <w:rPr>
          <w:szCs w:val="22"/>
        </w:rPr>
        <w:t xml:space="preserve">Luxembourg, Malaysia, </w:t>
      </w:r>
      <w:r>
        <w:rPr>
          <w:szCs w:val="22"/>
        </w:rPr>
        <w:t xml:space="preserve">Mexico (2019-2020), </w:t>
      </w:r>
      <w:r w:rsidRPr="003C54A9">
        <w:rPr>
          <w:szCs w:val="22"/>
        </w:rPr>
        <w:t xml:space="preserve">Mongolia, Namibia, Netherlands, New Zealand, Nigeria, Norway, </w:t>
      </w:r>
      <w:r>
        <w:rPr>
          <w:szCs w:val="22"/>
        </w:rPr>
        <w:t xml:space="preserve">Panama (2020-2021), Paraguay, Peru, </w:t>
      </w:r>
      <w:r w:rsidRPr="003C54A9">
        <w:rPr>
          <w:szCs w:val="22"/>
        </w:rPr>
        <w:t xml:space="preserve">Philippines, </w:t>
      </w:r>
      <w:r w:rsidR="008308CE" w:rsidRPr="00D773F9">
        <w:rPr>
          <w:szCs w:val="22"/>
        </w:rPr>
        <w:t>Poland,</w:t>
      </w:r>
      <w:r w:rsidR="008308CE">
        <w:rPr>
          <w:szCs w:val="22"/>
        </w:rPr>
        <w:t xml:space="preserve"> </w:t>
      </w:r>
      <w:r w:rsidRPr="003C54A9">
        <w:rPr>
          <w:szCs w:val="22"/>
        </w:rPr>
        <w:t xml:space="preserve">Portugal, Republic of Korea, Senegal, Singapore, South Africa, Spain, Thailand, </w:t>
      </w:r>
      <w:r>
        <w:rPr>
          <w:szCs w:val="22"/>
        </w:rPr>
        <w:t xml:space="preserve">Trinidad and Tobago, </w:t>
      </w:r>
      <w:r w:rsidRPr="003C54A9">
        <w:rPr>
          <w:szCs w:val="22"/>
        </w:rPr>
        <w:t>Turkey, United Kingdom</w:t>
      </w:r>
      <w:r>
        <w:rPr>
          <w:szCs w:val="22"/>
        </w:rPr>
        <w:t xml:space="preserve"> (40);</w:t>
      </w:r>
      <w:proofErr w:type="gramEnd"/>
    </w:p>
    <w:p w:rsidR="00B43544" w:rsidRPr="003C54A9" w:rsidRDefault="00B43544" w:rsidP="00361A32">
      <w:pPr>
        <w:ind w:left="540"/>
        <w:rPr>
          <w:szCs w:val="22"/>
        </w:rPr>
      </w:pPr>
    </w:p>
    <w:p w:rsidR="00B43544" w:rsidRDefault="00B43544" w:rsidP="00361A32">
      <w:pPr>
        <w:pStyle w:val="ListParagraph"/>
        <w:numPr>
          <w:ilvl w:val="0"/>
          <w:numId w:val="8"/>
        </w:numPr>
        <w:ind w:left="540" w:firstLine="0"/>
        <w:rPr>
          <w:szCs w:val="22"/>
        </w:rPr>
      </w:pPr>
      <w:r w:rsidRPr="003C54A9">
        <w:rPr>
          <w:szCs w:val="22"/>
        </w:rPr>
        <w:t>The WIPO Conference unanimously designate</w:t>
      </w:r>
      <w:r>
        <w:rPr>
          <w:szCs w:val="22"/>
        </w:rPr>
        <w:t>s</w:t>
      </w:r>
      <w:r w:rsidRPr="003C54A9">
        <w:rPr>
          <w:szCs w:val="22"/>
        </w:rPr>
        <w:t xml:space="preserve"> the following States as </w:t>
      </w:r>
      <w:r w:rsidRPr="003C54A9">
        <w:rPr>
          <w:i/>
          <w:szCs w:val="22"/>
        </w:rPr>
        <w:t>ad hoc</w:t>
      </w:r>
    </w:p>
    <w:p w:rsidR="00B43544" w:rsidRPr="003C54A9" w:rsidRDefault="00B43544" w:rsidP="00361A32">
      <w:pPr>
        <w:ind w:left="540"/>
        <w:rPr>
          <w:szCs w:val="22"/>
        </w:rPr>
      </w:pPr>
      <w:proofErr w:type="gramStart"/>
      <w:r w:rsidRPr="003C54A9">
        <w:rPr>
          <w:szCs w:val="22"/>
        </w:rPr>
        <w:t>members</w:t>
      </w:r>
      <w:proofErr w:type="gramEnd"/>
      <w:r w:rsidRPr="003C54A9">
        <w:rPr>
          <w:szCs w:val="22"/>
        </w:rPr>
        <w:t xml:space="preserve"> of the </w:t>
      </w:r>
      <w:r w:rsidRPr="003C54A9">
        <w:rPr>
          <w:i/>
          <w:szCs w:val="22"/>
        </w:rPr>
        <w:t>WIPO Coordination Committee</w:t>
      </w:r>
      <w:r w:rsidRPr="003C54A9">
        <w:rPr>
          <w:szCs w:val="22"/>
        </w:rPr>
        <w:t>:  Ethiopia (1);</w:t>
      </w:r>
    </w:p>
    <w:p w:rsidR="00B43544" w:rsidRPr="007A2ABB" w:rsidRDefault="00B43544" w:rsidP="00361A32">
      <w:pPr>
        <w:ind w:left="540"/>
        <w:rPr>
          <w:szCs w:val="22"/>
        </w:rPr>
      </w:pPr>
    </w:p>
    <w:p w:rsidR="00B43544" w:rsidRDefault="00B43544" w:rsidP="00361A32">
      <w:pPr>
        <w:numPr>
          <w:ilvl w:val="0"/>
          <w:numId w:val="8"/>
        </w:numPr>
        <w:ind w:left="540" w:firstLine="0"/>
        <w:rPr>
          <w:szCs w:val="22"/>
        </w:rPr>
      </w:pPr>
      <w:r w:rsidRPr="007A2ABB">
        <w:rPr>
          <w:szCs w:val="22"/>
        </w:rPr>
        <w:t>The WIPO Conference and the Assemblies of the Pa</w:t>
      </w:r>
      <w:r>
        <w:rPr>
          <w:szCs w:val="22"/>
        </w:rPr>
        <w:t xml:space="preserve">ris and Berne Unions note </w:t>
      </w:r>
    </w:p>
    <w:p w:rsidR="00B43544" w:rsidRPr="007A2ABB" w:rsidRDefault="00B43544" w:rsidP="00361A32">
      <w:pPr>
        <w:ind w:left="540"/>
        <w:rPr>
          <w:szCs w:val="22"/>
        </w:rPr>
      </w:pPr>
      <w:proofErr w:type="gramStart"/>
      <w:r>
        <w:rPr>
          <w:szCs w:val="22"/>
        </w:rPr>
        <w:t>that</w:t>
      </w:r>
      <w:proofErr w:type="gramEnd"/>
      <w:r>
        <w:rPr>
          <w:szCs w:val="22"/>
        </w:rPr>
        <w:t xml:space="preserve"> </w:t>
      </w:r>
      <w:r w:rsidRPr="007A2ABB">
        <w:rPr>
          <w:szCs w:val="22"/>
        </w:rPr>
        <w:t>Switzerland w</w:t>
      </w:r>
      <w:r>
        <w:rPr>
          <w:szCs w:val="22"/>
        </w:rPr>
        <w:t>ill</w:t>
      </w:r>
      <w:r w:rsidRPr="007A2ABB">
        <w:rPr>
          <w:szCs w:val="22"/>
        </w:rPr>
        <w:t xml:space="preserve"> continue to be an </w:t>
      </w:r>
      <w:r w:rsidRPr="007A2ABB">
        <w:rPr>
          <w:i/>
          <w:szCs w:val="22"/>
        </w:rPr>
        <w:t>ex officio</w:t>
      </w:r>
      <w:r w:rsidRPr="007A2ABB">
        <w:rPr>
          <w:szCs w:val="22"/>
        </w:rPr>
        <w:t xml:space="preserve"> ordinary member of the </w:t>
      </w:r>
      <w:r w:rsidRPr="007A2ABB">
        <w:rPr>
          <w:i/>
          <w:szCs w:val="22"/>
        </w:rPr>
        <w:t>Paris Union</w:t>
      </w:r>
      <w:r w:rsidRPr="007A2ABB">
        <w:rPr>
          <w:szCs w:val="22"/>
        </w:rPr>
        <w:t xml:space="preserve"> </w:t>
      </w:r>
      <w:r w:rsidRPr="007A2ABB">
        <w:rPr>
          <w:i/>
          <w:szCs w:val="22"/>
        </w:rPr>
        <w:t>Executive Committee</w:t>
      </w:r>
      <w:r w:rsidRPr="007A2ABB">
        <w:rPr>
          <w:szCs w:val="22"/>
        </w:rPr>
        <w:t xml:space="preserve"> and of the </w:t>
      </w:r>
      <w:r w:rsidRPr="007A2ABB">
        <w:rPr>
          <w:i/>
          <w:szCs w:val="22"/>
        </w:rPr>
        <w:t>Berne Union Executive Committee</w:t>
      </w:r>
      <w:r w:rsidRPr="007A2ABB">
        <w:rPr>
          <w:szCs w:val="22"/>
        </w:rPr>
        <w:t>.</w:t>
      </w:r>
    </w:p>
    <w:p w:rsidR="00B43544" w:rsidRPr="007A2ABB" w:rsidRDefault="00B43544" w:rsidP="00B43544">
      <w:pPr>
        <w:ind w:left="567"/>
        <w:rPr>
          <w:szCs w:val="22"/>
        </w:rPr>
      </w:pPr>
    </w:p>
    <w:p w:rsidR="00B43544" w:rsidRPr="00B43544" w:rsidRDefault="00B43544" w:rsidP="00B43544">
      <w:pPr>
        <w:rPr>
          <w:noProof/>
          <w:szCs w:val="22"/>
        </w:rPr>
      </w:pPr>
      <w:proofErr w:type="gramStart"/>
      <w:r w:rsidRPr="00B43544">
        <w:rPr>
          <w:szCs w:val="22"/>
        </w:rPr>
        <w:t>As a consequence</w:t>
      </w:r>
      <w:proofErr w:type="gramEnd"/>
      <w:r w:rsidRPr="00B43544">
        <w:rPr>
          <w:szCs w:val="22"/>
        </w:rPr>
        <w:t>, the WIPO Coordination Committee for the period October 2019 to October 2021 is composed of the following States</w:t>
      </w:r>
      <w:r w:rsidRPr="00B43544">
        <w:rPr>
          <w:noProof/>
          <w:szCs w:val="22"/>
        </w:rPr>
        <w:t xml:space="preserve">: </w:t>
      </w:r>
    </w:p>
    <w:p w:rsidR="00B43544" w:rsidRDefault="00B43544" w:rsidP="00B43544">
      <w:pPr>
        <w:tabs>
          <w:tab w:val="left" w:pos="2552"/>
        </w:tabs>
        <w:rPr>
          <w:szCs w:val="22"/>
        </w:rPr>
      </w:pPr>
    </w:p>
    <w:p w:rsidR="00B43544" w:rsidRDefault="00B43544" w:rsidP="00F75B37">
      <w:pPr>
        <w:tabs>
          <w:tab w:val="left" w:pos="2552"/>
        </w:tabs>
        <w:rPr>
          <w:szCs w:val="22"/>
        </w:rPr>
      </w:pPr>
      <w:proofErr w:type="gramStart"/>
      <w:r>
        <w:rPr>
          <w:szCs w:val="22"/>
        </w:rPr>
        <w:t xml:space="preserve">Algeria, </w:t>
      </w:r>
      <w:r w:rsidRPr="003C54A9">
        <w:rPr>
          <w:szCs w:val="22"/>
        </w:rPr>
        <w:t xml:space="preserve">Angola, </w:t>
      </w:r>
      <w:r>
        <w:rPr>
          <w:szCs w:val="22"/>
        </w:rPr>
        <w:t>Argentina (2019-2020), Armenia (member as per rotation)</w:t>
      </w:r>
      <w:r w:rsidRPr="00306E4E">
        <w:rPr>
          <w:szCs w:val="22"/>
          <w:vertAlign w:val="superscript"/>
        </w:rPr>
        <w:t>4</w:t>
      </w:r>
      <w:r>
        <w:rPr>
          <w:szCs w:val="22"/>
        </w:rPr>
        <w:t>, Australia, Austria, Azerbaijan (member as per rotation)</w:t>
      </w:r>
      <w:r w:rsidRPr="00306E4E">
        <w:rPr>
          <w:szCs w:val="22"/>
          <w:vertAlign w:val="superscript"/>
        </w:rPr>
        <w:t>5</w:t>
      </w:r>
      <w:r>
        <w:rPr>
          <w:szCs w:val="22"/>
        </w:rPr>
        <w:t xml:space="preserve">, </w:t>
      </w:r>
      <w:r w:rsidRPr="003C54A9">
        <w:rPr>
          <w:szCs w:val="22"/>
        </w:rPr>
        <w:t xml:space="preserve">Bangladesh, </w:t>
      </w:r>
      <w:r>
        <w:rPr>
          <w:szCs w:val="22"/>
        </w:rPr>
        <w:t>Belarus (member as per rotation)</w:t>
      </w:r>
      <w:r w:rsidRPr="00306E4E">
        <w:rPr>
          <w:szCs w:val="22"/>
          <w:vertAlign w:val="superscript"/>
        </w:rPr>
        <w:t>1</w:t>
      </w:r>
      <w:r>
        <w:rPr>
          <w:szCs w:val="22"/>
        </w:rPr>
        <w:t>, Belgium, Bolivia (</w:t>
      </w:r>
      <w:proofErr w:type="spellStart"/>
      <w:r>
        <w:rPr>
          <w:szCs w:val="22"/>
        </w:rPr>
        <w:t>Plurinational</w:t>
      </w:r>
      <w:proofErr w:type="spellEnd"/>
      <w:r>
        <w:rPr>
          <w:szCs w:val="22"/>
        </w:rPr>
        <w:t xml:space="preserve"> State of), Brazil, Burkina Faso, </w:t>
      </w:r>
      <w:r w:rsidRPr="003C54A9">
        <w:rPr>
          <w:szCs w:val="22"/>
        </w:rPr>
        <w:t xml:space="preserve">Cameroon, </w:t>
      </w:r>
      <w:r>
        <w:rPr>
          <w:szCs w:val="22"/>
        </w:rPr>
        <w:t xml:space="preserve">Canada, Chile, China, Colombia, Costa Rica, </w:t>
      </w:r>
      <w:r w:rsidRPr="003C54A9">
        <w:rPr>
          <w:szCs w:val="22"/>
        </w:rPr>
        <w:t xml:space="preserve">Côte d’Ivoire, </w:t>
      </w:r>
      <w:r>
        <w:rPr>
          <w:szCs w:val="22"/>
        </w:rPr>
        <w:t xml:space="preserve">Cuba, </w:t>
      </w:r>
      <w:r w:rsidRPr="003C54A9">
        <w:rPr>
          <w:szCs w:val="22"/>
        </w:rPr>
        <w:t xml:space="preserve">Democratic People’s Republic of Korea, </w:t>
      </w:r>
      <w:r>
        <w:rPr>
          <w:szCs w:val="22"/>
        </w:rPr>
        <w:t>Denmark, Djibouti, Ecuador, Egypt, El Salvador, Ethiopia (</w:t>
      </w:r>
      <w:r w:rsidRPr="008B50C2">
        <w:rPr>
          <w:i/>
          <w:szCs w:val="22"/>
        </w:rPr>
        <w:t>ad hoc</w:t>
      </w:r>
      <w:r>
        <w:rPr>
          <w:szCs w:val="22"/>
        </w:rPr>
        <w:t xml:space="preserve">), </w:t>
      </w:r>
      <w:r w:rsidRPr="003C54A9">
        <w:rPr>
          <w:szCs w:val="22"/>
        </w:rPr>
        <w:t xml:space="preserve">Finland, </w:t>
      </w:r>
      <w:r>
        <w:rPr>
          <w:szCs w:val="22"/>
        </w:rPr>
        <w:t xml:space="preserve">France, </w:t>
      </w:r>
      <w:r w:rsidRPr="003C54A9">
        <w:rPr>
          <w:szCs w:val="22"/>
        </w:rPr>
        <w:t xml:space="preserve">Gabon, </w:t>
      </w:r>
      <w:r>
        <w:rPr>
          <w:szCs w:val="22"/>
        </w:rPr>
        <w:t xml:space="preserve">Georgia, Germany, </w:t>
      </w:r>
      <w:r w:rsidRPr="003C54A9">
        <w:rPr>
          <w:szCs w:val="22"/>
        </w:rPr>
        <w:t xml:space="preserve">Ghana, </w:t>
      </w:r>
      <w:r>
        <w:rPr>
          <w:szCs w:val="22"/>
        </w:rPr>
        <w:t xml:space="preserve">Guatemala, </w:t>
      </w:r>
      <w:r w:rsidRPr="003C54A9">
        <w:rPr>
          <w:szCs w:val="22"/>
        </w:rPr>
        <w:t xml:space="preserve">Hungary, Iceland, India, Indonesia, Iran (Islamic Republic of), Iraq, Ireland, Italy, </w:t>
      </w:r>
      <w:r>
        <w:rPr>
          <w:szCs w:val="22"/>
        </w:rPr>
        <w:t xml:space="preserve">Jamaica, </w:t>
      </w:r>
      <w:r w:rsidRPr="003C54A9">
        <w:rPr>
          <w:szCs w:val="22"/>
        </w:rPr>
        <w:t xml:space="preserve">Japan, </w:t>
      </w:r>
      <w:r>
        <w:rPr>
          <w:szCs w:val="22"/>
        </w:rPr>
        <w:t xml:space="preserve">Kazakhstan, </w:t>
      </w:r>
      <w:r w:rsidRPr="003C54A9">
        <w:rPr>
          <w:szCs w:val="22"/>
        </w:rPr>
        <w:t xml:space="preserve">Kenya, </w:t>
      </w:r>
      <w:r>
        <w:rPr>
          <w:szCs w:val="22"/>
        </w:rPr>
        <w:t>Kyrgyzstan (member as per rotation)</w:t>
      </w:r>
      <w:r w:rsidRPr="00306E4E">
        <w:rPr>
          <w:szCs w:val="22"/>
          <w:vertAlign w:val="superscript"/>
        </w:rPr>
        <w:t>2</w:t>
      </w:r>
      <w:r>
        <w:rPr>
          <w:szCs w:val="22"/>
        </w:rPr>
        <w:t xml:space="preserve">, </w:t>
      </w:r>
      <w:r w:rsidRPr="003C54A9">
        <w:rPr>
          <w:szCs w:val="22"/>
        </w:rPr>
        <w:t xml:space="preserve">Latvia, </w:t>
      </w:r>
      <w:r>
        <w:rPr>
          <w:szCs w:val="22"/>
        </w:rPr>
        <w:t xml:space="preserve">Luxemburg, Malaysia, Mexico (2019-2020), Mongolia, </w:t>
      </w:r>
      <w:r w:rsidRPr="003C54A9">
        <w:rPr>
          <w:szCs w:val="22"/>
        </w:rPr>
        <w:t xml:space="preserve">Morocco, </w:t>
      </w:r>
      <w:r>
        <w:rPr>
          <w:szCs w:val="22"/>
        </w:rPr>
        <w:t xml:space="preserve">Namibia, Netherlands, New Zealand, Nigeria, Norway, </w:t>
      </w:r>
      <w:r w:rsidRPr="003C54A9">
        <w:rPr>
          <w:szCs w:val="22"/>
        </w:rPr>
        <w:t xml:space="preserve">Oman, </w:t>
      </w:r>
      <w:r>
        <w:rPr>
          <w:szCs w:val="22"/>
        </w:rPr>
        <w:t xml:space="preserve">Panama (2020-2021), Paraguay, Peru, Philippines, </w:t>
      </w:r>
      <w:r w:rsidR="008308CE" w:rsidRPr="002F371E">
        <w:rPr>
          <w:szCs w:val="22"/>
        </w:rPr>
        <w:t>Poland,</w:t>
      </w:r>
      <w:r w:rsidR="008308CE">
        <w:rPr>
          <w:szCs w:val="22"/>
        </w:rPr>
        <w:t xml:space="preserve"> </w:t>
      </w:r>
      <w:r>
        <w:rPr>
          <w:szCs w:val="22"/>
        </w:rPr>
        <w:t xml:space="preserve">Portugal, Republic of Korea, </w:t>
      </w:r>
      <w:r w:rsidRPr="003C54A9">
        <w:rPr>
          <w:szCs w:val="22"/>
        </w:rPr>
        <w:t xml:space="preserve">Republic of Moldova, Romania, </w:t>
      </w:r>
      <w:r>
        <w:rPr>
          <w:szCs w:val="22"/>
        </w:rPr>
        <w:t xml:space="preserve">Russian Federation, Senegal, Singapore, South Africa, Spain, </w:t>
      </w:r>
      <w:r w:rsidRPr="003C54A9">
        <w:rPr>
          <w:szCs w:val="22"/>
        </w:rPr>
        <w:t xml:space="preserve">Sweden, </w:t>
      </w:r>
      <w:r>
        <w:rPr>
          <w:szCs w:val="22"/>
        </w:rPr>
        <w:t>Switzerland (</w:t>
      </w:r>
      <w:r w:rsidRPr="008B50C2">
        <w:rPr>
          <w:i/>
          <w:szCs w:val="22"/>
        </w:rPr>
        <w:t>ex officio</w:t>
      </w:r>
      <w:r>
        <w:rPr>
          <w:szCs w:val="22"/>
        </w:rPr>
        <w:t>) Tajikistan (member as per rotation)</w:t>
      </w:r>
      <w:r w:rsidRPr="00306E4E">
        <w:rPr>
          <w:szCs w:val="22"/>
          <w:vertAlign w:val="superscript"/>
        </w:rPr>
        <w:t>3</w:t>
      </w:r>
      <w:r>
        <w:rPr>
          <w:szCs w:val="22"/>
        </w:rPr>
        <w:t xml:space="preserve">, Thailand, Trinidad and Tobago, </w:t>
      </w:r>
      <w:r w:rsidRPr="003C54A9">
        <w:rPr>
          <w:szCs w:val="22"/>
        </w:rPr>
        <w:t xml:space="preserve">Tunisia, </w:t>
      </w:r>
      <w:r>
        <w:rPr>
          <w:szCs w:val="22"/>
        </w:rPr>
        <w:t xml:space="preserve">Turkey, </w:t>
      </w:r>
      <w:r w:rsidRPr="003C54A9">
        <w:rPr>
          <w:szCs w:val="22"/>
        </w:rPr>
        <w:t xml:space="preserve">Uganda, United Arab Emirates, </w:t>
      </w:r>
      <w:r>
        <w:rPr>
          <w:szCs w:val="22"/>
        </w:rPr>
        <w:t xml:space="preserve">United Kingdom, </w:t>
      </w:r>
      <w:r w:rsidRPr="003C54A9">
        <w:rPr>
          <w:szCs w:val="22"/>
        </w:rPr>
        <w:t xml:space="preserve">United States of America, </w:t>
      </w:r>
      <w:r>
        <w:rPr>
          <w:szCs w:val="22"/>
        </w:rPr>
        <w:t>Venezuela</w:t>
      </w:r>
      <w:r w:rsidR="002F371E">
        <w:rPr>
          <w:szCs w:val="22"/>
        </w:rPr>
        <w:t xml:space="preserve"> (Bolivarian Republic of) (2020</w:t>
      </w:r>
      <w:r w:rsidR="002F371E">
        <w:rPr>
          <w:szCs w:val="22"/>
        </w:rPr>
        <w:noBreakHyphen/>
      </w:r>
      <w:r>
        <w:rPr>
          <w:szCs w:val="22"/>
        </w:rPr>
        <w:t xml:space="preserve">2021), </w:t>
      </w:r>
      <w:r w:rsidRPr="003C54A9">
        <w:rPr>
          <w:szCs w:val="22"/>
        </w:rPr>
        <w:t>Viet Nam, Zimbabwe</w:t>
      </w:r>
      <w:r>
        <w:rPr>
          <w:szCs w:val="22"/>
        </w:rPr>
        <w:t xml:space="preserve"> (83).</w:t>
      </w:r>
      <w:proofErr w:type="gramEnd"/>
    </w:p>
    <w:p w:rsidR="00B43544" w:rsidRDefault="00B43544" w:rsidP="00B43544">
      <w:pPr>
        <w:tabs>
          <w:tab w:val="left" w:pos="2552"/>
        </w:tabs>
        <w:ind w:left="567"/>
        <w:rPr>
          <w:szCs w:val="22"/>
        </w:rPr>
      </w:pPr>
    </w:p>
    <w:p w:rsidR="00B43544" w:rsidRPr="005A06B6" w:rsidRDefault="00B43544" w:rsidP="00361A32">
      <w:pPr>
        <w:ind w:left="540"/>
        <w:rPr>
          <w:i/>
          <w:sz w:val="28"/>
          <w:szCs w:val="28"/>
        </w:rPr>
      </w:pPr>
      <w:r>
        <w:rPr>
          <w:iCs/>
          <w:szCs w:val="22"/>
        </w:rPr>
        <w:fldChar w:fldCharType="begin"/>
      </w:r>
      <w:r>
        <w:rPr>
          <w:iCs/>
          <w:szCs w:val="22"/>
        </w:rPr>
        <w:instrText xml:space="preserve"> AUTONUM  </w:instrText>
      </w:r>
      <w:r>
        <w:rPr>
          <w:iCs/>
          <w:szCs w:val="22"/>
        </w:rPr>
        <w:fldChar w:fldCharType="end"/>
      </w:r>
      <w:r>
        <w:rPr>
          <w:iCs/>
          <w:szCs w:val="22"/>
        </w:rPr>
        <w:tab/>
      </w:r>
      <w:proofErr w:type="gramStart"/>
      <w:r w:rsidRPr="00946C9E">
        <w:rPr>
          <w:iCs/>
          <w:szCs w:val="22"/>
        </w:rPr>
        <w:t>The Assemblies of the Paris and Berne Unions, and the WIPO Conference, each in so far as it is concerned, d</w:t>
      </w:r>
      <w:r w:rsidRPr="00946C9E">
        <w:rPr>
          <w:rStyle w:val="null1"/>
          <w:iCs/>
          <w:szCs w:val="22"/>
        </w:rPr>
        <w:t xml:space="preserve">ecide, </w:t>
      </w:r>
      <w:r w:rsidRPr="00946C9E">
        <w:rPr>
          <w:iCs/>
          <w:szCs w:val="22"/>
        </w:rPr>
        <w:t>per unanimous agreement by all Member States of WIPO,</w:t>
      </w:r>
      <w:r w:rsidRPr="00946C9E">
        <w:rPr>
          <w:rStyle w:val="null1"/>
          <w:iCs/>
          <w:szCs w:val="22"/>
        </w:rPr>
        <w:t xml:space="preserve"> that the Coordination Committee, </w:t>
      </w:r>
      <w:r w:rsidRPr="00946C9E">
        <w:rPr>
          <w:iCs/>
          <w:szCs w:val="22"/>
        </w:rPr>
        <w:t xml:space="preserve">as exceptionally composed at 83 members, </w:t>
      </w:r>
      <w:r>
        <w:rPr>
          <w:iCs/>
          <w:szCs w:val="22"/>
        </w:rPr>
        <w:t>has been</w:t>
      </w:r>
      <w:r w:rsidRPr="00946C9E">
        <w:rPr>
          <w:iCs/>
          <w:szCs w:val="22"/>
        </w:rPr>
        <w:t xml:space="preserve"> properly constituted, including, in particular, in view of its functions with respect to the process of appointment of the next Director General, and shall not be the basis for challenge, by any State Member of any pertinent</w:t>
      </w:r>
      <w:r>
        <w:rPr>
          <w:iCs/>
          <w:szCs w:val="22"/>
        </w:rPr>
        <w:t xml:space="preserve"> WIPO body, to the validity of the</w:t>
      </w:r>
      <w:r w:rsidRPr="00946C9E">
        <w:rPr>
          <w:iCs/>
          <w:szCs w:val="22"/>
        </w:rPr>
        <w:t xml:space="preserve"> nomination by the Coordination </w:t>
      </w:r>
      <w:r w:rsidRPr="001E10D3">
        <w:rPr>
          <w:iCs/>
          <w:szCs w:val="22"/>
        </w:rPr>
        <w:t>Committee of a</w:t>
      </w:r>
      <w:r w:rsidRPr="001E10D3">
        <w:rPr>
          <w:iCs/>
          <w:sz w:val="28"/>
          <w:szCs w:val="28"/>
        </w:rPr>
        <w:t xml:space="preserve"> </w:t>
      </w:r>
      <w:r w:rsidRPr="001E10D3">
        <w:rPr>
          <w:iCs/>
          <w:szCs w:val="22"/>
        </w:rPr>
        <w:t>candidate for appointment to the position of Director General in 2020.</w:t>
      </w:r>
      <w:proofErr w:type="gramEnd"/>
    </w:p>
    <w:p w:rsidR="00B43544" w:rsidRDefault="00B43544" w:rsidP="00B43544">
      <w:pPr>
        <w:pStyle w:val="ListParagraph"/>
        <w:ind w:left="930"/>
        <w:contextualSpacing w:val="0"/>
      </w:pPr>
    </w:p>
    <w:p w:rsidR="00B43544" w:rsidRDefault="00B43544">
      <w:pPr>
        <w:rPr>
          <w:color w:val="000000"/>
        </w:rPr>
      </w:pPr>
      <w:r>
        <w:rPr>
          <w:color w:val="000000"/>
        </w:rPr>
        <w:br w:type="page"/>
      </w:r>
    </w:p>
    <w:p w:rsidR="00B43544" w:rsidRPr="00B43544" w:rsidRDefault="00B43544" w:rsidP="00361A32">
      <w:pPr>
        <w:ind w:left="540"/>
      </w:pPr>
      <w:r>
        <w:rPr>
          <w:color w:val="000000"/>
        </w:rPr>
        <w:lastRenderedPageBreak/>
        <w:fldChar w:fldCharType="begin"/>
      </w:r>
      <w:r>
        <w:rPr>
          <w:color w:val="000000"/>
        </w:rPr>
        <w:instrText xml:space="preserve"> AUTONUM  </w:instrText>
      </w:r>
      <w:r>
        <w:rPr>
          <w:color w:val="000000"/>
        </w:rPr>
        <w:fldChar w:fldCharType="end"/>
      </w:r>
      <w:r>
        <w:rPr>
          <w:color w:val="000000"/>
        </w:rPr>
        <w:tab/>
      </w:r>
      <w:proofErr w:type="gramStart"/>
      <w:r w:rsidRPr="00612030">
        <w:rPr>
          <w:lang w:eastAsia="fr-CH"/>
        </w:rPr>
        <w:t>The Assemblies of WIPO, each in so far as it is concerned, decide that the Chair of the WIPO General Assembly will undertake consultations with Member States on the allocation of the vacant seats at the WIPO Assemblies in 2021, for the election of the composition of the WIPO Coordination Committee, and of the Executive Committees of the Paris and Berne Unions, at the same WIPO Assemblies</w:t>
      </w:r>
      <w:r>
        <w:rPr>
          <w:color w:val="000000"/>
        </w:rPr>
        <w:t>.</w:t>
      </w:r>
      <w:proofErr w:type="gramEnd"/>
    </w:p>
    <w:p w:rsidR="00CA19DA" w:rsidRDefault="00CA19DA" w:rsidP="00CA19DA">
      <w:pPr>
        <w:pStyle w:val="Endofdocument-Annex"/>
      </w:pPr>
      <w:r>
        <w:t>[End of document]</w:t>
      </w:r>
    </w:p>
    <w:sectPr w:rsidR="00CA19DA" w:rsidSect="00CA19D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9DA" w:rsidRDefault="00CA19DA">
      <w:r>
        <w:separator/>
      </w:r>
    </w:p>
  </w:endnote>
  <w:endnote w:type="continuationSeparator" w:id="0">
    <w:p w:rsidR="00CA19DA" w:rsidRDefault="00CA19DA" w:rsidP="003B38C1">
      <w:r>
        <w:separator/>
      </w:r>
    </w:p>
    <w:p w:rsidR="00CA19DA" w:rsidRPr="003B38C1" w:rsidRDefault="00CA19DA" w:rsidP="003B38C1">
      <w:pPr>
        <w:spacing w:after="60"/>
        <w:rPr>
          <w:sz w:val="17"/>
        </w:rPr>
      </w:pPr>
      <w:r>
        <w:rPr>
          <w:sz w:val="17"/>
        </w:rPr>
        <w:t>[Endnote continued from previous page]</w:t>
      </w:r>
    </w:p>
  </w:endnote>
  <w:endnote w:type="continuationNotice" w:id="1">
    <w:p w:rsidR="00CA19DA" w:rsidRPr="003B38C1" w:rsidRDefault="00CA19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9DA" w:rsidRDefault="00CA19DA">
      <w:r>
        <w:separator/>
      </w:r>
    </w:p>
  </w:footnote>
  <w:footnote w:type="continuationSeparator" w:id="0">
    <w:p w:rsidR="00CA19DA" w:rsidRDefault="00CA19DA" w:rsidP="008B60B2">
      <w:r>
        <w:separator/>
      </w:r>
    </w:p>
    <w:p w:rsidR="00CA19DA" w:rsidRPr="00ED77FB" w:rsidRDefault="00CA19DA" w:rsidP="008B60B2">
      <w:pPr>
        <w:spacing w:after="60"/>
        <w:rPr>
          <w:sz w:val="17"/>
          <w:szCs w:val="17"/>
        </w:rPr>
      </w:pPr>
      <w:r w:rsidRPr="00ED77FB">
        <w:rPr>
          <w:sz w:val="17"/>
          <w:szCs w:val="17"/>
        </w:rPr>
        <w:t>[Footnote continued from previous page]</w:t>
      </w:r>
    </w:p>
  </w:footnote>
  <w:footnote w:type="continuationNotice" w:id="1">
    <w:p w:rsidR="00CA19DA" w:rsidRPr="00ED77FB" w:rsidRDefault="00CA19DA" w:rsidP="008B60B2">
      <w:pPr>
        <w:spacing w:before="60"/>
        <w:jc w:val="right"/>
        <w:rPr>
          <w:sz w:val="17"/>
          <w:szCs w:val="17"/>
        </w:rPr>
      </w:pPr>
      <w:r w:rsidRPr="00ED77FB">
        <w:rPr>
          <w:sz w:val="17"/>
          <w:szCs w:val="17"/>
        </w:rPr>
        <w:t>[Footnote continued on next page]</w:t>
      </w:r>
    </w:p>
  </w:footnote>
  <w:footnote w:id="2">
    <w:p w:rsidR="00B43544" w:rsidRPr="004F4CA2" w:rsidRDefault="00B43544" w:rsidP="00B43544">
      <w:pPr>
        <w:pStyle w:val="EndnoteText"/>
      </w:pPr>
      <w:r>
        <w:rPr>
          <w:rStyle w:val="FootnoteReference"/>
        </w:rPr>
        <w:footnoteRef/>
      </w:r>
      <w:r>
        <w:t xml:space="preserve"> Member from January 10 to April 9, 2020, from July 10 to October 9, 2020, and from April 10 to July 9, 2021.</w:t>
      </w:r>
    </w:p>
  </w:footnote>
  <w:footnote w:id="3">
    <w:p w:rsidR="00B43544" w:rsidRPr="004F4CA2" w:rsidRDefault="00B43544" w:rsidP="00B43544">
      <w:pPr>
        <w:pStyle w:val="FootnoteText"/>
      </w:pPr>
      <w:r>
        <w:rPr>
          <w:rStyle w:val="FootnoteReference"/>
        </w:rPr>
        <w:footnoteRef/>
      </w:r>
      <w:r>
        <w:t xml:space="preserve"> Member from January 10 to April 9, 2020, and from October 10, 2020 to January 9, 2021, and from April 10 to July 9, 2021.</w:t>
      </w:r>
    </w:p>
  </w:footnote>
  <w:footnote w:id="4">
    <w:p w:rsidR="00B43544" w:rsidRPr="004F4CA2" w:rsidRDefault="00B43544" w:rsidP="00B43544">
      <w:pPr>
        <w:pStyle w:val="FootnoteText"/>
      </w:pPr>
      <w:r>
        <w:rPr>
          <w:rStyle w:val="FootnoteReference"/>
        </w:rPr>
        <w:footnoteRef/>
      </w:r>
      <w:r>
        <w:t xml:space="preserve"> Member from April 10 to July 9, 2020, and from October 10, 2020 to January 9, 2021 and from July 10 to October 9, 2021.</w:t>
      </w:r>
    </w:p>
  </w:footnote>
  <w:footnote w:id="5">
    <w:p w:rsidR="00B43544" w:rsidRDefault="00B43544" w:rsidP="00B43544">
      <w:pPr>
        <w:pStyle w:val="EndnoteText"/>
      </w:pPr>
      <w:r>
        <w:rPr>
          <w:rStyle w:val="FootnoteReference"/>
        </w:rPr>
        <w:footnoteRef/>
      </w:r>
      <w:r>
        <w:t xml:space="preserve"> Member from October 10, 2019 to January 9, 2020, and from July 10 to October 9, 2020, and from January 10 </w:t>
      </w:r>
    </w:p>
    <w:p w:rsidR="00B43544" w:rsidRPr="004F4CA2" w:rsidRDefault="00B43544" w:rsidP="00B43544">
      <w:pPr>
        <w:pStyle w:val="FootnoteText"/>
      </w:pPr>
      <w:proofErr w:type="gramStart"/>
      <w:r>
        <w:t>to</w:t>
      </w:r>
      <w:proofErr w:type="gramEnd"/>
      <w:r>
        <w:t xml:space="preserve"> April 9 2021.</w:t>
      </w:r>
    </w:p>
  </w:footnote>
  <w:footnote w:id="6">
    <w:p w:rsidR="00B43544" w:rsidRPr="00EF016B" w:rsidRDefault="00B43544" w:rsidP="00B43544">
      <w:pPr>
        <w:pStyle w:val="EndnoteText"/>
      </w:pPr>
      <w:r>
        <w:rPr>
          <w:rStyle w:val="FootnoteReference"/>
        </w:rPr>
        <w:footnoteRef/>
      </w:r>
      <w:r>
        <w:t xml:space="preserve"> </w:t>
      </w:r>
      <w:r w:rsidRPr="00EF016B">
        <w:t>Member from October 10, 2019 to January 9, 2020</w:t>
      </w:r>
      <w:r>
        <w:t>, and from April 10 to July 9, 2020, and from January 10 to April 9, 2021, and from July 10 to October 9, 2021.</w:t>
      </w:r>
    </w:p>
    <w:p w:rsidR="00B43544" w:rsidRPr="004F4CA2" w:rsidRDefault="00B43544" w:rsidP="00B435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CA19DA" w:rsidP="00477D6B">
    <w:pPr>
      <w:jc w:val="right"/>
    </w:pPr>
    <w:bookmarkStart w:id="6" w:name="Code2"/>
    <w:bookmarkEnd w:id="6"/>
    <w:r>
      <w:t>A/59/</w:t>
    </w:r>
    <w:r w:rsidR="00B43544">
      <w:t>13 Add.2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20CDD">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B3212"/>
    <w:multiLevelType w:val="hybridMultilevel"/>
    <w:tmpl w:val="5BF423FA"/>
    <w:lvl w:ilvl="0" w:tplc="E098A2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F30CB4"/>
    <w:multiLevelType w:val="hybridMultilevel"/>
    <w:tmpl w:val="ED6E4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881044"/>
    <w:multiLevelType w:val="hybridMultilevel"/>
    <w:tmpl w:val="ED6E4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76289A"/>
    <w:multiLevelType w:val="hybridMultilevel"/>
    <w:tmpl w:val="9E021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182B19"/>
    <w:multiLevelType w:val="hybridMultilevel"/>
    <w:tmpl w:val="2436716A"/>
    <w:lvl w:ilvl="0" w:tplc="918420E0">
      <w:start w:val="1"/>
      <w:numFmt w:val="decimal"/>
      <w:lvlText w:val="%1."/>
      <w:lvlJc w:val="left"/>
      <w:pPr>
        <w:ind w:left="930" w:hanging="57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0"/>
  </w:num>
  <w:num w:numId="8">
    <w:abstractNumId w:val="2"/>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DA"/>
    <w:rsid w:val="00012D36"/>
    <w:rsid w:val="00043CAA"/>
    <w:rsid w:val="00075432"/>
    <w:rsid w:val="000765C4"/>
    <w:rsid w:val="000968ED"/>
    <w:rsid w:val="000C117A"/>
    <w:rsid w:val="000E6FDE"/>
    <w:rsid w:val="000F5E56"/>
    <w:rsid w:val="0010331B"/>
    <w:rsid w:val="001362EE"/>
    <w:rsid w:val="00156693"/>
    <w:rsid w:val="001647D5"/>
    <w:rsid w:val="001832A6"/>
    <w:rsid w:val="001E4E00"/>
    <w:rsid w:val="0021217E"/>
    <w:rsid w:val="002634C4"/>
    <w:rsid w:val="002928D3"/>
    <w:rsid w:val="002F1FE6"/>
    <w:rsid w:val="002F371E"/>
    <w:rsid w:val="002F4E68"/>
    <w:rsid w:val="00312F7F"/>
    <w:rsid w:val="003178BA"/>
    <w:rsid w:val="00350AE2"/>
    <w:rsid w:val="00361450"/>
    <w:rsid w:val="00361A32"/>
    <w:rsid w:val="003673CF"/>
    <w:rsid w:val="003845C1"/>
    <w:rsid w:val="003A6F89"/>
    <w:rsid w:val="003B38C1"/>
    <w:rsid w:val="003D2030"/>
    <w:rsid w:val="003D57B0"/>
    <w:rsid w:val="00420CDD"/>
    <w:rsid w:val="00423E3E"/>
    <w:rsid w:val="00427AF4"/>
    <w:rsid w:val="004647DA"/>
    <w:rsid w:val="00474062"/>
    <w:rsid w:val="00477D6B"/>
    <w:rsid w:val="005019FF"/>
    <w:rsid w:val="00502EC7"/>
    <w:rsid w:val="0053057A"/>
    <w:rsid w:val="00560A29"/>
    <w:rsid w:val="005C6649"/>
    <w:rsid w:val="00605827"/>
    <w:rsid w:val="00635C70"/>
    <w:rsid w:val="00646050"/>
    <w:rsid w:val="006713CA"/>
    <w:rsid w:val="00676C5C"/>
    <w:rsid w:val="006D22A7"/>
    <w:rsid w:val="006E4F5F"/>
    <w:rsid w:val="007D1613"/>
    <w:rsid w:val="007E4C0E"/>
    <w:rsid w:val="008308CE"/>
    <w:rsid w:val="00860537"/>
    <w:rsid w:val="00877718"/>
    <w:rsid w:val="008A134B"/>
    <w:rsid w:val="008B2CC1"/>
    <w:rsid w:val="008B60B2"/>
    <w:rsid w:val="0090731E"/>
    <w:rsid w:val="00916EE2"/>
    <w:rsid w:val="00966A22"/>
    <w:rsid w:val="0096722F"/>
    <w:rsid w:val="00980843"/>
    <w:rsid w:val="009B6777"/>
    <w:rsid w:val="009C127D"/>
    <w:rsid w:val="009D293A"/>
    <w:rsid w:val="009E2791"/>
    <w:rsid w:val="009E3F6F"/>
    <w:rsid w:val="009F499F"/>
    <w:rsid w:val="009F7DB0"/>
    <w:rsid w:val="00A37342"/>
    <w:rsid w:val="00A42DAF"/>
    <w:rsid w:val="00A45BD8"/>
    <w:rsid w:val="00A53B51"/>
    <w:rsid w:val="00A869B7"/>
    <w:rsid w:val="00AA2DD4"/>
    <w:rsid w:val="00AC205C"/>
    <w:rsid w:val="00AC69FA"/>
    <w:rsid w:val="00AF0A6B"/>
    <w:rsid w:val="00B05A69"/>
    <w:rsid w:val="00B43544"/>
    <w:rsid w:val="00B435F0"/>
    <w:rsid w:val="00B90B1F"/>
    <w:rsid w:val="00B9734B"/>
    <w:rsid w:val="00BA30E2"/>
    <w:rsid w:val="00C11BFE"/>
    <w:rsid w:val="00C5068F"/>
    <w:rsid w:val="00C86D74"/>
    <w:rsid w:val="00CA19DA"/>
    <w:rsid w:val="00CD04F1"/>
    <w:rsid w:val="00CD7F59"/>
    <w:rsid w:val="00D44A0B"/>
    <w:rsid w:val="00D45252"/>
    <w:rsid w:val="00D66E37"/>
    <w:rsid w:val="00D71B4D"/>
    <w:rsid w:val="00D773F9"/>
    <w:rsid w:val="00D93D55"/>
    <w:rsid w:val="00DC0E7C"/>
    <w:rsid w:val="00DF023A"/>
    <w:rsid w:val="00DF383E"/>
    <w:rsid w:val="00E15015"/>
    <w:rsid w:val="00E335FE"/>
    <w:rsid w:val="00E5566B"/>
    <w:rsid w:val="00E85557"/>
    <w:rsid w:val="00EA7D6E"/>
    <w:rsid w:val="00EB2210"/>
    <w:rsid w:val="00EC4E49"/>
    <w:rsid w:val="00ED77FB"/>
    <w:rsid w:val="00EE45FA"/>
    <w:rsid w:val="00F66152"/>
    <w:rsid w:val="00F75B37"/>
    <w:rsid w:val="00F96A17"/>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93CD71B-618F-4358-AE72-5C553061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B43544"/>
    <w:pPr>
      <w:ind w:left="720"/>
      <w:contextualSpacing/>
    </w:pPr>
    <w:rPr>
      <w:rFonts w:eastAsia="Times New Roman"/>
      <w:lang w:eastAsia="en-US"/>
    </w:rPr>
  </w:style>
  <w:style w:type="character" w:styleId="FootnoteReference">
    <w:name w:val="footnote reference"/>
    <w:basedOn w:val="DefaultParagraphFont"/>
    <w:semiHidden/>
    <w:unhideWhenUsed/>
    <w:rsid w:val="00B43544"/>
    <w:rPr>
      <w:vertAlign w:val="superscript"/>
    </w:rPr>
  </w:style>
  <w:style w:type="paragraph" w:customStyle="1" w:styleId="null">
    <w:name w:val="null"/>
    <w:basedOn w:val="Normal"/>
    <w:rsid w:val="00B43544"/>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B43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1CF8-5CF6-4F85-84F6-B266859C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3</Pages>
  <Words>661</Words>
  <Characters>3975</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SANCHEZ Maria Margarita</dc:creator>
  <cp:keywords>PUBLIC</cp:keywords>
  <cp:lastModifiedBy>HÄFLIGER Patience</cp:lastModifiedBy>
  <cp:revision>3</cp:revision>
  <cp:lastPrinted>2011-02-15T11:56:00Z</cp:lastPrinted>
  <dcterms:created xsi:type="dcterms:W3CDTF">2019-10-10T00:51:00Z</dcterms:created>
  <dcterms:modified xsi:type="dcterms:W3CDTF">2019-10-10T00:51:00Z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