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5788E"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30E6C125" wp14:editId="1F8C685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88C4293" wp14:editId="67E2E13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5638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15EBFA5" w14:textId="77777777" w:rsidR="008B2CC1" w:rsidRPr="001024FE" w:rsidRDefault="00B276BD" w:rsidP="001024FE">
      <w:pPr>
        <w:jc w:val="right"/>
        <w:rPr>
          <w:rFonts w:ascii="Arial Black" w:hAnsi="Arial Black"/>
          <w:caps/>
          <w:sz w:val="15"/>
          <w:szCs w:val="15"/>
        </w:rPr>
      </w:pPr>
      <w:r>
        <w:rPr>
          <w:rFonts w:ascii="Arial Black" w:hAnsi="Arial Black"/>
          <w:caps/>
          <w:sz w:val="15"/>
          <w:szCs w:val="15"/>
        </w:rPr>
        <w:t>A/62/</w:t>
      </w:r>
      <w:bookmarkStart w:id="1" w:name="Code"/>
      <w:bookmarkEnd w:id="1"/>
      <w:r w:rsidR="006A7850">
        <w:rPr>
          <w:rFonts w:ascii="Arial Black" w:hAnsi="Arial Black"/>
          <w:caps/>
          <w:sz w:val="15"/>
          <w:szCs w:val="15"/>
        </w:rPr>
        <w:t>3</w:t>
      </w:r>
      <w:r w:rsidR="00475C85">
        <w:rPr>
          <w:rFonts w:ascii="Arial Black" w:hAnsi="Arial Black"/>
          <w:caps/>
          <w:sz w:val="15"/>
          <w:szCs w:val="15"/>
        </w:rPr>
        <w:t xml:space="preserve"> Rev.</w:t>
      </w:r>
    </w:p>
    <w:p w14:paraId="3AEAF18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6A7850">
        <w:rPr>
          <w:rFonts w:ascii="Arial Black" w:hAnsi="Arial Black"/>
          <w:caps/>
          <w:sz w:val="15"/>
          <w:szCs w:val="15"/>
        </w:rPr>
        <w:t>ENGLISH</w:t>
      </w:r>
    </w:p>
    <w:bookmarkEnd w:id="2"/>
    <w:p w14:paraId="6240F161" w14:textId="039F2C0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79688F">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C315F4">
        <w:rPr>
          <w:rFonts w:ascii="Arial Black" w:hAnsi="Arial Black"/>
          <w:caps/>
          <w:sz w:val="15"/>
          <w:szCs w:val="15"/>
        </w:rPr>
        <w:t xml:space="preserve">September </w:t>
      </w:r>
      <w:r w:rsidR="009F2C63">
        <w:rPr>
          <w:rFonts w:ascii="Arial Black" w:hAnsi="Arial Black"/>
          <w:caps/>
          <w:sz w:val="15"/>
          <w:szCs w:val="15"/>
        </w:rPr>
        <w:t>14</w:t>
      </w:r>
      <w:r w:rsidR="00C315F4">
        <w:rPr>
          <w:rFonts w:ascii="Arial Black" w:hAnsi="Arial Black"/>
          <w:caps/>
          <w:sz w:val="15"/>
          <w:szCs w:val="15"/>
        </w:rPr>
        <w:t>,</w:t>
      </w:r>
      <w:r w:rsidR="006A7850">
        <w:rPr>
          <w:rFonts w:ascii="Arial Black" w:hAnsi="Arial Black"/>
          <w:caps/>
          <w:sz w:val="15"/>
          <w:szCs w:val="15"/>
        </w:rPr>
        <w:t xml:space="preserve"> 2021</w:t>
      </w:r>
    </w:p>
    <w:bookmarkEnd w:id="3"/>
    <w:p w14:paraId="7079038E" w14:textId="77777777" w:rsidR="00A85B8E" w:rsidRPr="00A85B8E" w:rsidRDefault="00B276BD" w:rsidP="00056EC2">
      <w:pPr>
        <w:pStyle w:val="Heading1"/>
        <w:spacing w:before="0" w:after="600"/>
        <w:rPr>
          <w:b w:val="0"/>
          <w:sz w:val="28"/>
          <w:szCs w:val="28"/>
        </w:rPr>
      </w:pPr>
      <w:r w:rsidRPr="00056EC2">
        <w:rPr>
          <w:caps w:val="0"/>
          <w:sz w:val="28"/>
        </w:rPr>
        <w:t>Assemblies of the Member States of WIPO</w:t>
      </w:r>
    </w:p>
    <w:p w14:paraId="6D8A5F4F" w14:textId="77777777" w:rsidR="008B2CC1" w:rsidRPr="003845C1" w:rsidRDefault="00B276BD" w:rsidP="008B2CC1">
      <w:pPr>
        <w:rPr>
          <w:b/>
          <w:sz w:val="24"/>
          <w:szCs w:val="24"/>
        </w:rPr>
      </w:pPr>
      <w:r>
        <w:rPr>
          <w:b/>
          <w:sz w:val="24"/>
        </w:rPr>
        <w:t>Sixty</w:t>
      </w:r>
      <w:r w:rsidRPr="009C127D">
        <w:rPr>
          <w:b/>
          <w:sz w:val="24"/>
        </w:rPr>
        <w:t>-</w:t>
      </w:r>
      <w:r>
        <w:rPr>
          <w:b/>
          <w:sz w:val="24"/>
        </w:rPr>
        <w:t>Second</w:t>
      </w:r>
      <w:r w:rsidRPr="0083486E">
        <w:rPr>
          <w:b/>
          <w:sz w:val="24"/>
        </w:rPr>
        <w:t xml:space="preserve"> </w:t>
      </w:r>
      <w:r w:rsidRPr="009C127D">
        <w:rPr>
          <w:b/>
          <w:sz w:val="24"/>
        </w:rPr>
        <w:t>Series of Meetings</w:t>
      </w:r>
    </w:p>
    <w:p w14:paraId="70775C4C" w14:textId="77777777" w:rsidR="008B2CC1" w:rsidRPr="009F3BF9" w:rsidRDefault="00B276BD" w:rsidP="00CE65D4">
      <w:pPr>
        <w:spacing w:after="720"/>
      </w:pPr>
      <w:r w:rsidRPr="009C127D">
        <w:rPr>
          <w:b/>
          <w:sz w:val="24"/>
        </w:rPr>
        <w:t xml:space="preserve">Geneva, </w:t>
      </w:r>
      <w:r>
        <w:rPr>
          <w:b/>
          <w:sz w:val="24"/>
        </w:rPr>
        <w:t>October 4 to 8, 2021</w:t>
      </w:r>
    </w:p>
    <w:p w14:paraId="2E1CC087" w14:textId="77777777" w:rsidR="008B2CC1" w:rsidRPr="009F3BF9" w:rsidRDefault="006A7850" w:rsidP="00CE65D4">
      <w:pPr>
        <w:spacing w:after="360"/>
        <w:rPr>
          <w:caps/>
          <w:sz w:val="24"/>
        </w:rPr>
      </w:pPr>
      <w:bookmarkStart w:id="4" w:name="TitleOfDoc"/>
      <w:r>
        <w:rPr>
          <w:caps/>
          <w:sz w:val="24"/>
        </w:rPr>
        <w:t>ADMISSION OF OBSERVERS</w:t>
      </w:r>
    </w:p>
    <w:p w14:paraId="2012CAB2" w14:textId="77777777" w:rsidR="008B2CC1" w:rsidRPr="004D39C4" w:rsidRDefault="00525C55" w:rsidP="00CE65D4">
      <w:pPr>
        <w:spacing w:after="960"/>
        <w:rPr>
          <w:i/>
        </w:rPr>
      </w:pPr>
      <w:bookmarkStart w:id="5" w:name="Prepared"/>
      <w:bookmarkEnd w:id="4"/>
      <w:r>
        <w:rPr>
          <w:i/>
        </w:rPr>
        <w:t xml:space="preserve">Document </w:t>
      </w:r>
      <w:r w:rsidR="006A7850">
        <w:rPr>
          <w:i/>
        </w:rPr>
        <w:t>prepared by the Secretariat</w:t>
      </w:r>
    </w:p>
    <w:bookmarkEnd w:id="5"/>
    <w:p w14:paraId="0BF6C55D" w14:textId="4A838B3F" w:rsidR="006A7850" w:rsidRPr="009366A1" w:rsidRDefault="006A7850" w:rsidP="006A7850">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observers admitted to attend the </w:t>
      </w:r>
      <w:r w:rsidRPr="000168A5">
        <w:rPr>
          <w:szCs w:val="22"/>
        </w:rPr>
        <w:t>Sixty-</w:t>
      </w:r>
      <w:r>
        <w:rPr>
          <w:szCs w:val="22"/>
        </w:rPr>
        <w:t>Second</w:t>
      </w:r>
      <w:r w:rsidRPr="00C37BB2">
        <w:rPr>
          <w:szCs w:val="22"/>
        </w:rPr>
        <w:t xml:space="preserve"> </w:t>
      </w:r>
      <w:r>
        <w:rPr>
          <w:szCs w:val="22"/>
        </w:rPr>
        <w:t>s</w:t>
      </w:r>
      <w:r w:rsidRPr="009366A1">
        <w:rPr>
          <w:szCs w:val="22"/>
        </w:rPr>
        <w:t xml:space="preserve">eries of meetings of the Assemblies </w:t>
      </w:r>
      <w:r>
        <w:rPr>
          <w:szCs w:val="22"/>
        </w:rPr>
        <w:t xml:space="preserve">of the Member States of the World Intellectual Property Organization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 </w:t>
      </w:r>
      <w:proofErr w:type="gramStart"/>
      <w:r>
        <w:rPr>
          <w:szCs w:val="22"/>
        </w:rPr>
        <w:t xml:space="preserve">are </w:t>
      </w:r>
      <w:r w:rsidRPr="009366A1">
        <w:rPr>
          <w:szCs w:val="22"/>
        </w:rPr>
        <w:t>listed</w:t>
      </w:r>
      <w:proofErr w:type="gramEnd"/>
      <w:r w:rsidRPr="009366A1">
        <w:rPr>
          <w:szCs w:val="22"/>
        </w:rPr>
        <w:t xml:space="preserve"> in docum</w:t>
      </w:r>
      <w:r>
        <w:rPr>
          <w:szCs w:val="22"/>
        </w:rPr>
        <w:t xml:space="preserve">ent </w:t>
      </w:r>
      <w:r w:rsidRPr="00D85DD7">
        <w:rPr>
          <w:szCs w:val="22"/>
        </w:rPr>
        <w:t>A/</w:t>
      </w:r>
      <w:r>
        <w:rPr>
          <w:szCs w:val="22"/>
        </w:rPr>
        <w:t>62</w:t>
      </w:r>
      <w:r w:rsidRPr="000168A5">
        <w:rPr>
          <w:szCs w:val="22"/>
        </w:rPr>
        <w:t>/INF/1</w:t>
      </w:r>
      <w:r w:rsidR="000F32C7">
        <w:rPr>
          <w:szCs w:val="22"/>
        </w:rPr>
        <w:t xml:space="preserve"> Rev</w:t>
      </w:r>
      <w:r w:rsidRPr="00D85DD7">
        <w:rPr>
          <w:szCs w:val="22"/>
        </w:rPr>
        <w:t>.</w:t>
      </w:r>
    </w:p>
    <w:p w14:paraId="14FE4B31" w14:textId="77777777" w:rsidR="006A7850" w:rsidRPr="009366A1" w:rsidRDefault="006A7850" w:rsidP="006A7850">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Once an </w:t>
      </w:r>
      <w:r>
        <w:rPr>
          <w:szCs w:val="22"/>
        </w:rPr>
        <w:t xml:space="preserve">observer </w:t>
      </w:r>
      <w:proofErr w:type="gramStart"/>
      <w:r w:rsidRPr="009366A1">
        <w:rPr>
          <w:szCs w:val="22"/>
        </w:rPr>
        <w:t>is admitted</w:t>
      </w:r>
      <w:proofErr w:type="gramEnd"/>
      <w:r w:rsidRPr="009366A1">
        <w:rPr>
          <w:szCs w:val="22"/>
        </w:rPr>
        <w:t xml:space="preserve"> to attend the meetings of the Assemblies, it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14:paraId="7A97586F" w14:textId="77777777" w:rsidR="006A7850" w:rsidRDefault="006A7850" w:rsidP="006A7850">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 xml:space="preserve">e last taken at the </w:t>
      </w:r>
      <w:r w:rsidRPr="001D3D72">
        <w:rPr>
          <w:szCs w:val="22"/>
        </w:rPr>
        <w:t>Sixty-First</w:t>
      </w:r>
      <w:r w:rsidRPr="009366A1">
        <w:rPr>
          <w:szCs w:val="22"/>
        </w:rPr>
        <w:t xml:space="preserve"> series of meetings of the Assemblies of the Member States of WIPO, from </w:t>
      </w:r>
      <w:r>
        <w:rPr>
          <w:szCs w:val="22"/>
        </w:rPr>
        <w:t>September 21 to September 25, 2020 (document A/61/10, paragraph 33</w:t>
      </w:r>
      <w:r w:rsidRPr="009366A1">
        <w:rPr>
          <w:szCs w:val="22"/>
        </w:rPr>
        <w:t>).</w:t>
      </w:r>
    </w:p>
    <w:p w14:paraId="1B289F06" w14:textId="77777777" w:rsidR="006A7850" w:rsidRDefault="006A7850" w:rsidP="006A7850">
      <w:pPr>
        <w:tabs>
          <w:tab w:val="left" w:pos="567"/>
        </w:tabs>
        <w:spacing w:after="48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Pr="009366A1">
        <w:t xml:space="preserve">, with the requisite information, from </w:t>
      </w:r>
      <w:r>
        <w:t xml:space="preserve">each of </w:t>
      </w:r>
      <w:r w:rsidRPr="009366A1">
        <w:t xml:space="preserve">the following </w:t>
      </w:r>
      <w:r>
        <w:t xml:space="preserve">entities </w:t>
      </w:r>
      <w:r w:rsidRPr="009366A1">
        <w:t>for admission to attend the meetings of the Assemblies as an observer:</w:t>
      </w:r>
    </w:p>
    <w:p w14:paraId="00697709" w14:textId="77777777" w:rsidR="006A7850" w:rsidRDefault="006A7850" w:rsidP="006A7850">
      <w:r>
        <w:br w:type="page"/>
      </w:r>
    </w:p>
    <w:p w14:paraId="69083D2E" w14:textId="77777777" w:rsidR="006A7850" w:rsidRPr="00961B95" w:rsidRDefault="006A7850" w:rsidP="00056EC2">
      <w:pPr>
        <w:pStyle w:val="Heading2"/>
        <w:spacing w:after="240"/>
      </w:pPr>
      <w:r w:rsidRPr="006B092A">
        <w:lastRenderedPageBreak/>
        <w:t>INTERNATIONAL</w:t>
      </w:r>
      <w:r>
        <w:t xml:space="preserve"> NON-GOVERNMENTAL ORGANIZATIONS (NGOs</w:t>
      </w:r>
      <w:r w:rsidRPr="00961B95">
        <w:t>)</w:t>
      </w:r>
    </w:p>
    <w:p w14:paraId="7C1FEE4B" w14:textId="77777777" w:rsidR="006A7850" w:rsidRDefault="006A7850" w:rsidP="006A7850">
      <w:pPr>
        <w:pStyle w:val="ListParagraph"/>
        <w:numPr>
          <w:ilvl w:val="0"/>
          <w:numId w:val="7"/>
        </w:numPr>
        <w:ind w:left="1620" w:hanging="630"/>
        <w:rPr>
          <w:szCs w:val="22"/>
        </w:rPr>
      </w:pPr>
      <w:r w:rsidRPr="00AB4031">
        <w:rPr>
          <w:szCs w:val="22"/>
        </w:rPr>
        <w:t>Cumulus, The International Association of Universities and Colleges of Art, Design and Media (CUMULUS)</w:t>
      </w:r>
      <w:r>
        <w:rPr>
          <w:szCs w:val="22"/>
        </w:rPr>
        <w:t>;</w:t>
      </w:r>
    </w:p>
    <w:p w14:paraId="7005A0A4" w14:textId="77777777" w:rsidR="006A7850" w:rsidRDefault="006A7850" w:rsidP="006A7850">
      <w:pPr>
        <w:pStyle w:val="ListParagraph"/>
        <w:numPr>
          <w:ilvl w:val="0"/>
          <w:numId w:val="7"/>
        </w:numPr>
        <w:ind w:left="1620" w:hanging="630"/>
        <w:rPr>
          <w:szCs w:val="22"/>
        </w:rPr>
      </w:pPr>
      <w:r w:rsidRPr="00DD6A68">
        <w:rPr>
          <w:szCs w:val="22"/>
        </w:rPr>
        <w:t>Latin American Audiovisual Authors Societies Federation (FESAAL)</w:t>
      </w:r>
      <w:r>
        <w:rPr>
          <w:szCs w:val="22"/>
        </w:rPr>
        <w:t>;</w:t>
      </w:r>
    </w:p>
    <w:p w14:paraId="22F094E9" w14:textId="77777777" w:rsidR="006A7850" w:rsidRDefault="006A7850" w:rsidP="006A7850">
      <w:pPr>
        <w:pStyle w:val="ListParagraph"/>
        <w:numPr>
          <w:ilvl w:val="0"/>
          <w:numId w:val="7"/>
        </w:numPr>
        <w:ind w:left="1620" w:hanging="630"/>
        <w:rPr>
          <w:szCs w:val="22"/>
          <w:lang w:val="fr-CH"/>
        </w:rPr>
      </w:pPr>
      <w:r w:rsidRPr="005C1E47">
        <w:rPr>
          <w:i/>
          <w:szCs w:val="22"/>
          <w:lang w:val="fr-CH"/>
        </w:rPr>
        <w:t>Union des Fabricants pour la Protection Internationale de la Propriété Intellectuelle</w:t>
      </w:r>
      <w:r w:rsidRPr="00DD6A68">
        <w:rPr>
          <w:szCs w:val="22"/>
          <w:lang w:val="fr-CH"/>
        </w:rPr>
        <w:t xml:space="preserve"> (UNIFAB)</w:t>
      </w:r>
      <w:r>
        <w:rPr>
          <w:szCs w:val="22"/>
          <w:lang w:val="fr-CH"/>
        </w:rPr>
        <w:t>;</w:t>
      </w:r>
    </w:p>
    <w:p w14:paraId="028D86B0" w14:textId="77777777" w:rsidR="006A7850" w:rsidRDefault="006A7850" w:rsidP="006A7850">
      <w:pPr>
        <w:pStyle w:val="ListParagraph"/>
        <w:numPr>
          <w:ilvl w:val="0"/>
          <w:numId w:val="7"/>
        </w:numPr>
        <w:ind w:left="1620" w:hanging="630"/>
        <w:rPr>
          <w:szCs w:val="22"/>
          <w:lang w:val="fr-CH"/>
        </w:rPr>
      </w:pPr>
      <w:proofErr w:type="spellStart"/>
      <w:r w:rsidRPr="001D39B0">
        <w:rPr>
          <w:szCs w:val="22"/>
          <w:lang w:val="fr-CH"/>
        </w:rPr>
        <w:t>Wikimedia</w:t>
      </w:r>
      <w:proofErr w:type="spellEnd"/>
      <w:r w:rsidRPr="001D39B0">
        <w:rPr>
          <w:szCs w:val="22"/>
          <w:lang w:val="fr-CH"/>
        </w:rPr>
        <w:t xml:space="preserve"> </w:t>
      </w:r>
      <w:proofErr w:type="spellStart"/>
      <w:r w:rsidRPr="001D39B0">
        <w:rPr>
          <w:szCs w:val="22"/>
          <w:lang w:val="fr-CH"/>
        </w:rPr>
        <w:t>Foundation</w:t>
      </w:r>
      <w:proofErr w:type="spellEnd"/>
      <w:r w:rsidRPr="001D39B0">
        <w:rPr>
          <w:szCs w:val="22"/>
          <w:lang w:val="fr-CH"/>
        </w:rPr>
        <w:t xml:space="preserve"> (WMF</w:t>
      </w:r>
      <w:proofErr w:type="gramStart"/>
      <w:r w:rsidRPr="001D39B0">
        <w:rPr>
          <w:szCs w:val="22"/>
          <w:lang w:val="fr-CH"/>
        </w:rPr>
        <w:t>)</w:t>
      </w:r>
      <w:r>
        <w:rPr>
          <w:szCs w:val="22"/>
          <w:lang w:val="fr-CH"/>
        </w:rPr>
        <w:t>;  and</w:t>
      </w:r>
      <w:proofErr w:type="gramEnd"/>
    </w:p>
    <w:p w14:paraId="0A74D1D3" w14:textId="77777777" w:rsidR="006A7850" w:rsidRPr="00C3448E" w:rsidRDefault="006A7850" w:rsidP="006A7850">
      <w:pPr>
        <w:pStyle w:val="ListParagraph"/>
        <w:numPr>
          <w:ilvl w:val="0"/>
          <w:numId w:val="7"/>
        </w:numPr>
        <w:spacing w:after="480"/>
        <w:ind w:left="1621" w:hanging="629"/>
        <w:rPr>
          <w:szCs w:val="22"/>
        </w:rPr>
      </w:pPr>
      <w:r w:rsidRPr="002E28D3">
        <w:rPr>
          <w:szCs w:val="22"/>
        </w:rPr>
        <w:t>World Federation of the Sporting Goods Industry</w:t>
      </w:r>
      <w:r>
        <w:rPr>
          <w:szCs w:val="22"/>
        </w:rPr>
        <w:t xml:space="preserve"> (WFSGI).</w:t>
      </w:r>
    </w:p>
    <w:p w14:paraId="3EA254DC" w14:textId="77777777" w:rsidR="006A7850" w:rsidRPr="002B0D4B" w:rsidRDefault="006A7850" w:rsidP="00056EC2">
      <w:pPr>
        <w:pStyle w:val="Heading2"/>
        <w:spacing w:after="240"/>
      </w:pPr>
      <w:r>
        <w:t>NATIONAL NON-GOVERNMENTAL ORGANIZATIONS</w:t>
      </w:r>
      <w:r>
        <w:rPr>
          <w:rStyle w:val="FootnoteReference"/>
        </w:rPr>
        <w:footnoteReference w:id="2"/>
      </w:r>
      <w:r>
        <w:t xml:space="preserve"> (NGOs)</w:t>
      </w:r>
    </w:p>
    <w:p w14:paraId="749E5825" w14:textId="77777777" w:rsidR="006A7850" w:rsidRPr="002009F1" w:rsidRDefault="006A7850" w:rsidP="006A7850">
      <w:pPr>
        <w:pStyle w:val="ListParagraph"/>
        <w:numPr>
          <w:ilvl w:val="0"/>
          <w:numId w:val="8"/>
        </w:numPr>
        <w:ind w:left="1620" w:hanging="630"/>
        <w:rPr>
          <w:szCs w:val="22"/>
        </w:rPr>
      </w:pPr>
      <w:r w:rsidRPr="002009F1">
        <w:rPr>
          <w:szCs w:val="22"/>
        </w:rPr>
        <w:t>Brazilian Intellectual Property Association (ABPI);</w:t>
      </w:r>
    </w:p>
    <w:p w14:paraId="79A88B5C" w14:textId="77777777" w:rsidR="006A7850" w:rsidRPr="0026397A" w:rsidRDefault="006A7850" w:rsidP="006A7850">
      <w:pPr>
        <w:pStyle w:val="ListParagraph"/>
        <w:numPr>
          <w:ilvl w:val="0"/>
          <w:numId w:val="8"/>
        </w:numPr>
        <w:ind w:left="1620" w:hanging="630"/>
        <w:rPr>
          <w:szCs w:val="22"/>
        </w:rPr>
      </w:pPr>
      <w:r w:rsidRPr="002009F1">
        <w:rPr>
          <w:szCs w:val="22"/>
        </w:rPr>
        <w:t>Denver Museum of Nature &amp; Science (DMNS);</w:t>
      </w:r>
    </w:p>
    <w:p w14:paraId="51F73571" w14:textId="77777777" w:rsidR="006A7850" w:rsidRPr="002009F1" w:rsidRDefault="006A7850" w:rsidP="006A7850">
      <w:pPr>
        <w:pStyle w:val="ListParagraph"/>
        <w:numPr>
          <w:ilvl w:val="0"/>
          <w:numId w:val="8"/>
        </w:numPr>
        <w:ind w:left="1620" w:hanging="630"/>
        <w:rPr>
          <w:szCs w:val="22"/>
        </w:rPr>
      </w:pPr>
      <w:r w:rsidRPr="002009F1">
        <w:rPr>
          <w:szCs w:val="22"/>
        </w:rPr>
        <w:t>Korea Intellectual Property Association (KINPA);</w:t>
      </w:r>
    </w:p>
    <w:p w14:paraId="13CA14FB" w14:textId="27798BEE" w:rsidR="006A7850" w:rsidRDefault="006A7850" w:rsidP="006A7850">
      <w:pPr>
        <w:pStyle w:val="ListParagraph"/>
        <w:numPr>
          <w:ilvl w:val="0"/>
          <w:numId w:val="8"/>
        </w:numPr>
        <w:ind w:left="1620" w:hanging="630"/>
        <w:rPr>
          <w:szCs w:val="22"/>
        </w:rPr>
      </w:pPr>
      <w:r w:rsidRPr="002009F1">
        <w:rPr>
          <w:szCs w:val="22"/>
        </w:rPr>
        <w:t>Korea Intellectual Property Strategy Agency (KISTA);</w:t>
      </w:r>
      <w:r>
        <w:rPr>
          <w:szCs w:val="22"/>
        </w:rPr>
        <w:t xml:space="preserve"> </w:t>
      </w:r>
    </w:p>
    <w:p w14:paraId="4A93AE5C" w14:textId="2D7EBCCC" w:rsidR="00EB5EFD" w:rsidRPr="00EB5EFD" w:rsidRDefault="00EB5EFD" w:rsidP="006A7850">
      <w:pPr>
        <w:pStyle w:val="ListParagraph"/>
        <w:numPr>
          <w:ilvl w:val="0"/>
          <w:numId w:val="8"/>
        </w:numPr>
        <w:ind w:left="1620" w:hanging="630"/>
        <w:rPr>
          <w:szCs w:val="22"/>
          <w:lang w:val="fr-CA"/>
        </w:rPr>
      </w:pPr>
      <w:r w:rsidRPr="00EB5EFD">
        <w:rPr>
          <w:i/>
          <w:szCs w:val="22"/>
          <w:lang w:val="fr-CH"/>
        </w:rPr>
        <w:t>Ordre Suprême des Ancêtres</w:t>
      </w:r>
      <w:r w:rsidRPr="00EB5EFD">
        <w:rPr>
          <w:szCs w:val="22"/>
          <w:lang w:val="fr-CH"/>
        </w:rPr>
        <w:t xml:space="preserve"> (OSA</w:t>
      </w:r>
      <w:proofErr w:type="gramStart"/>
      <w:r w:rsidRPr="002009F1">
        <w:rPr>
          <w:szCs w:val="22"/>
          <w:lang w:val="fr-CH"/>
        </w:rPr>
        <w:t>);</w:t>
      </w:r>
      <w:r w:rsidR="00D25190">
        <w:rPr>
          <w:szCs w:val="22"/>
          <w:lang w:val="fr-CH"/>
        </w:rPr>
        <w:t xml:space="preserve"> </w:t>
      </w:r>
      <w:r>
        <w:rPr>
          <w:szCs w:val="22"/>
          <w:lang w:val="fr-CH"/>
        </w:rPr>
        <w:t xml:space="preserve"> and</w:t>
      </w:r>
      <w:proofErr w:type="gramEnd"/>
    </w:p>
    <w:p w14:paraId="1E94DCB6" w14:textId="77777777" w:rsidR="006A7850" w:rsidRPr="00BE412F" w:rsidRDefault="006A7850" w:rsidP="006A7850">
      <w:pPr>
        <w:pStyle w:val="ListParagraph"/>
        <w:numPr>
          <w:ilvl w:val="0"/>
          <w:numId w:val="8"/>
        </w:numPr>
        <w:spacing w:after="240"/>
        <w:ind w:left="1620" w:hanging="630"/>
        <w:rPr>
          <w:szCs w:val="22"/>
          <w:lang w:val="fr-CH"/>
        </w:rPr>
      </w:pPr>
      <w:r w:rsidRPr="00BE412F">
        <w:rPr>
          <w:i/>
          <w:szCs w:val="22"/>
          <w:lang w:val="fr-CH"/>
        </w:rPr>
        <w:t>Société des Auteurs dans les Arts Graphiques et Plastiques</w:t>
      </w:r>
      <w:r w:rsidRPr="00BE412F">
        <w:rPr>
          <w:szCs w:val="22"/>
          <w:lang w:val="fr-CH"/>
        </w:rPr>
        <w:t xml:space="preserve"> </w:t>
      </w:r>
      <w:r>
        <w:rPr>
          <w:szCs w:val="22"/>
          <w:lang w:val="fr-CH"/>
        </w:rPr>
        <w:t>(ADAGP).</w:t>
      </w:r>
    </w:p>
    <w:p w14:paraId="4FE3EB10" w14:textId="77777777" w:rsidR="006A7850" w:rsidRPr="009366A1" w:rsidRDefault="006A7850" w:rsidP="006A7850">
      <w:pPr>
        <w:keepNext/>
        <w:keepLine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Pr>
          <w:szCs w:val="22"/>
        </w:rPr>
        <w:t xml:space="preserve"> </w:t>
      </w:r>
      <w:r w:rsidRPr="009366A1">
        <w:rPr>
          <w:szCs w:val="22"/>
        </w:rPr>
        <w:t xml:space="preserve">– its objectives, structure and membership – appears in </w:t>
      </w:r>
      <w:r>
        <w:rPr>
          <w:szCs w:val="22"/>
        </w:rPr>
        <w:t xml:space="preserve">the </w:t>
      </w:r>
      <w:r w:rsidRPr="009366A1">
        <w:rPr>
          <w:szCs w:val="22"/>
        </w:rPr>
        <w:t>Annex</w:t>
      </w:r>
      <w:r>
        <w:rPr>
          <w:szCs w:val="22"/>
        </w:rPr>
        <w:t>es</w:t>
      </w:r>
      <w:r w:rsidRPr="009366A1">
        <w:rPr>
          <w:szCs w:val="22"/>
        </w:rPr>
        <w:t xml:space="preserve"> </w:t>
      </w:r>
      <w:r>
        <w:rPr>
          <w:szCs w:val="22"/>
        </w:rPr>
        <w:t>to</w:t>
      </w:r>
      <w:r w:rsidRPr="009366A1">
        <w:rPr>
          <w:szCs w:val="22"/>
        </w:rPr>
        <w:t xml:space="preserve"> this document.</w:t>
      </w:r>
    </w:p>
    <w:p w14:paraId="75BDA072" w14:textId="1009622A" w:rsidR="006A7850" w:rsidRPr="006B092A" w:rsidRDefault="006A7850" w:rsidP="006A7850">
      <w:pPr>
        <w:pStyle w:val="Endofdocument-Annex"/>
        <w:spacing w:before="240" w:after="840"/>
        <w:rPr>
          <w:i/>
        </w:rPr>
      </w:pPr>
      <w:r w:rsidRPr="006B092A">
        <w:rPr>
          <w:i/>
        </w:rPr>
        <w:fldChar w:fldCharType="begin"/>
      </w:r>
      <w:r w:rsidRPr="006B092A">
        <w:rPr>
          <w:i/>
        </w:rPr>
        <w:instrText xml:space="preserve"> AUTONUM  </w:instrText>
      </w:r>
      <w:r w:rsidRPr="006B092A">
        <w:rPr>
          <w:i/>
        </w:rPr>
        <w:fldChar w:fldCharType="end"/>
      </w:r>
      <w:r w:rsidRPr="006B092A">
        <w:rPr>
          <w:i/>
        </w:rPr>
        <w:tab/>
      </w:r>
      <w:r w:rsidRPr="009366A1">
        <w:rPr>
          <w:i/>
          <w:szCs w:val="22"/>
        </w:rPr>
        <w:t>The Assemblies of</w:t>
      </w:r>
      <w:r>
        <w:rPr>
          <w:i/>
          <w:szCs w:val="22"/>
        </w:rPr>
        <w:t xml:space="preserve"> WIPO, </w:t>
      </w:r>
      <w:r w:rsidRPr="009366A1">
        <w:rPr>
          <w:i/>
          <w:szCs w:val="22"/>
        </w:rPr>
        <w:t>each as</w:t>
      </w:r>
      <w:r>
        <w:rPr>
          <w:i/>
          <w:szCs w:val="22"/>
        </w:rPr>
        <w:t xml:space="preserve"> far as</w:t>
      </w:r>
      <w:r w:rsidRPr="009366A1">
        <w:rPr>
          <w:i/>
          <w:szCs w:val="22"/>
        </w:rPr>
        <w:t xml:space="preserve"> it is concerned, </w:t>
      </w:r>
      <w:proofErr w:type="gramStart"/>
      <w:r>
        <w:rPr>
          <w:i/>
          <w:szCs w:val="22"/>
        </w:rPr>
        <w:t>are invited</w:t>
      </w:r>
      <w:proofErr w:type="gramEnd"/>
      <w:r>
        <w:rPr>
          <w:i/>
          <w:szCs w:val="22"/>
        </w:rPr>
        <w:t xml:space="preserve">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 xml:space="preserve">entities appearing in </w:t>
      </w:r>
      <w:r w:rsidRPr="009366A1">
        <w:rPr>
          <w:i/>
          <w:szCs w:val="22"/>
        </w:rPr>
        <w:t>paragraph 4</w:t>
      </w:r>
      <w:r w:rsidRPr="006B092A">
        <w:rPr>
          <w:i/>
        </w:rPr>
        <w:t xml:space="preserve"> </w:t>
      </w:r>
      <w:r>
        <w:rPr>
          <w:i/>
        </w:rPr>
        <w:t>of document A/62/3</w:t>
      </w:r>
      <w:r w:rsidR="003D43F2">
        <w:rPr>
          <w:i/>
        </w:rPr>
        <w:t xml:space="preserve"> Rev</w:t>
      </w:r>
      <w:r w:rsidRPr="006B092A">
        <w:rPr>
          <w:i/>
        </w:rPr>
        <w:t>.</w:t>
      </w:r>
    </w:p>
    <w:p w14:paraId="06C13B3D" w14:textId="77777777" w:rsidR="006A7850" w:rsidRDefault="006A7850" w:rsidP="006A7850">
      <w:pPr>
        <w:pStyle w:val="Endofdocument-Annex"/>
      </w:pPr>
      <w:r>
        <w:t>[Annexes follow]</w:t>
      </w:r>
    </w:p>
    <w:p w14:paraId="3E0A5685" w14:textId="77777777" w:rsidR="006A7850" w:rsidRDefault="006A7850" w:rsidP="006A7850">
      <w:pPr>
        <w:sectPr w:rsidR="006A7850" w:rsidSect="008E5469">
          <w:headerReference w:type="even" r:id="rId9"/>
          <w:headerReference w:type="default" r:id="rId10"/>
          <w:endnotePr>
            <w:numFmt w:val="decimal"/>
          </w:endnotePr>
          <w:pgSz w:w="11907" w:h="16840" w:code="9"/>
          <w:pgMar w:top="562" w:right="1138" w:bottom="1411" w:left="1411" w:header="504" w:footer="1022" w:gutter="0"/>
          <w:cols w:space="720"/>
          <w:titlePg/>
          <w:docGrid w:linePitch="299"/>
        </w:sectPr>
      </w:pPr>
    </w:p>
    <w:p w14:paraId="2DA61179" w14:textId="77777777" w:rsidR="006A7850" w:rsidRPr="00F525A7" w:rsidRDefault="006A7850" w:rsidP="006A7850">
      <w:pPr>
        <w:pStyle w:val="Heading2"/>
        <w:spacing w:before="0" w:after="240"/>
      </w:pPr>
      <w:r w:rsidRPr="00F525A7">
        <w:lastRenderedPageBreak/>
        <w:t>PARTICULARS CONCERNING INTERNATIONAL NON-GOVERNMENTAL ORGANIZATIONS</w:t>
      </w:r>
      <w:r>
        <w:t xml:space="preserve"> (NGOS)</w:t>
      </w:r>
      <w:r w:rsidRPr="00F525A7">
        <w:t> (</w:t>
      </w:r>
      <w:r>
        <w:t>ON THE BASIS OF INFORMATION RECEIVED FROM THE ORGANIZATIONS</w:t>
      </w:r>
      <w:r w:rsidRPr="00F525A7">
        <w:t>)</w:t>
      </w:r>
    </w:p>
    <w:p w14:paraId="56F90AAC" w14:textId="77777777" w:rsidR="006A7850" w:rsidRPr="006D0B16" w:rsidRDefault="006A7850" w:rsidP="006A7850">
      <w:pPr>
        <w:pStyle w:val="Heading3"/>
        <w:spacing w:before="480" w:after="240"/>
      </w:pPr>
      <w:r w:rsidRPr="00AB4031">
        <w:t xml:space="preserve">Cumulus, </w:t>
      </w:r>
      <w:proofErr w:type="gramStart"/>
      <w:r w:rsidRPr="00AB4031">
        <w:t>The</w:t>
      </w:r>
      <w:proofErr w:type="gramEnd"/>
      <w:r w:rsidRPr="00AB4031">
        <w:t xml:space="preserve"> International Association of Universities and Colleges of Art, Design and Media (CUMULUS)</w:t>
      </w:r>
    </w:p>
    <w:p w14:paraId="2B1B5FC6" w14:textId="77777777" w:rsidR="006A7850" w:rsidRPr="00B10E26" w:rsidRDefault="006A7850" w:rsidP="006A7850">
      <w:pPr>
        <w:spacing w:after="240"/>
      </w:pPr>
      <w:r w:rsidRPr="00B10E26">
        <w:t xml:space="preserve">Headquarters:  </w:t>
      </w:r>
      <w:r>
        <w:t xml:space="preserve">CUMULUS </w:t>
      </w:r>
      <w:proofErr w:type="gramStart"/>
      <w:r>
        <w:t>was established</w:t>
      </w:r>
      <w:proofErr w:type="gramEnd"/>
      <w:r>
        <w:t xml:space="preserve"> in 2001 and has its headquarters in Helsinki, Finland</w:t>
      </w:r>
      <w:r w:rsidRPr="00B10E26">
        <w:t>.</w:t>
      </w:r>
    </w:p>
    <w:p w14:paraId="5435E900" w14:textId="77777777" w:rsidR="006A7850" w:rsidRPr="00B10E26" w:rsidRDefault="006A7850" w:rsidP="006A7850">
      <w:pPr>
        <w:spacing w:after="240"/>
        <w:rPr>
          <w:caps/>
        </w:rPr>
      </w:pPr>
      <w:r w:rsidRPr="00B10E26">
        <w:t xml:space="preserve">Objectives:  </w:t>
      </w:r>
      <w:r>
        <w:t>CUMULUS represents institutions of higher education in the fields of art, design, as well as media, and is an academic forum for partnership regarding education and research.  It assists universities and colleges in meeting new and rapidly changing challenges and supports the transfer of knowledge and best practices as well as policy making concerning higher education in art and design at a regional, national and international level.  CUMULUS sees intellectual property as a crucial factor in its working area and supports securing of intellectual property rights of its members’ academics and students.</w:t>
      </w:r>
    </w:p>
    <w:p w14:paraId="33387613" w14:textId="77777777" w:rsidR="006A7850" w:rsidRPr="00B10E26" w:rsidRDefault="006A7850" w:rsidP="006A7850">
      <w:pPr>
        <w:spacing w:after="240"/>
      </w:pPr>
      <w:r w:rsidRPr="00B10E26">
        <w:t xml:space="preserve">Structure:  </w:t>
      </w:r>
      <w:r>
        <w:t>The bodies of CUMULUS are the General Assembly, which is the highest authority of the organization, the Executive Board, the Presidency, the Secretariat, and the International Advisors.  The Executive Board appoints two Vice-Presidents and a Treasurer from among its members, who form, together with the President, the Presidency of CUMULUS.</w:t>
      </w:r>
    </w:p>
    <w:p w14:paraId="18167EE9" w14:textId="77777777" w:rsidR="006A7850" w:rsidRDefault="006A7850" w:rsidP="006A7850">
      <w:pPr>
        <w:spacing w:after="480"/>
      </w:pPr>
      <w:r w:rsidRPr="00B10E26">
        <w:t xml:space="preserve">Membership:  </w:t>
      </w:r>
      <w:r>
        <w:t>The total membership of CUMULUS consists of 340 juridical persons</w:t>
      </w:r>
      <w:r w:rsidRPr="00B10E26">
        <w:t>.</w:t>
      </w:r>
    </w:p>
    <w:p w14:paraId="320F797A" w14:textId="77777777" w:rsidR="006A7850" w:rsidRPr="00F525A7" w:rsidRDefault="006A7850" w:rsidP="006A7850">
      <w:pPr>
        <w:pStyle w:val="Heading3"/>
        <w:spacing w:before="480" w:after="240"/>
      </w:pPr>
      <w:r w:rsidRPr="00DD6A68">
        <w:t>Latin American Audiovisual Authors Societies Federation (FESAAL)</w:t>
      </w:r>
    </w:p>
    <w:p w14:paraId="16B40614" w14:textId="77777777" w:rsidR="006A7850" w:rsidRDefault="006A7850" w:rsidP="006A7850">
      <w:pPr>
        <w:spacing w:after="240"/>
        <w:rPr>
          <w:szCs w:val="22"/>
        </w:rPr>
      </w:pPr>
      <w:r>
        <w:rPr>
          <w:szCs w:val="22"/>
        </w:rPr>
        <w:t xml:space="preserve">Headquarters:  FESAAL </w:t>
      </w:r>
      <w:proofErr w:type="gramStart"/>
      <w:r>
        <w:rPr>
          <w:szCs w:val="22"/>
        </w:rPr>
        <w:t>was established</w:t>
      </w:r>
      <w:proofErr w:type="gramEnd"/>
      <w:r>
        <w:rPr>
          <w:szCs w:val="22"/>
        </w:rPr>
        <w:t xml:space="preserve"> in 2018 and has its headquarters in Buenos Aires, Argentina.</w:t>
      </w:r>
    </w:p>
    <w:p w14:paraId="1359EF0E" w14:textId="77777777" w:rsidR="006A7850" w:rsidRDefault="006A7850" w:rsidP="006A7850">
      <w:pPr>
        <w:spacing w:after="240"/>
        <w:rPr>
          <w:szCs w:val="22"/>
        </w:rPr>
      </w:pPr>
      <w:r>
        <w:rPr>
          <w:szCs w:val="22"/>
        </w:rPr>
        <w:t xml:space="preserve">Objectives:  FESAAL advocates the recognition of authors’ rights to an equitable remuneration in proportion to the use of their work.  In that context, FESAAL supports the creation of collective management societies for authors of audiovisual works from the Latin American region and assists these societies in enforcement matters.  FESAAL also encourages authors </w:t>
      </w:r>
      <w:r w:rsidRPr="00E2165F">
        <w:rPr>
          <w:szCs w:val="22"/>
        </w:rPr>
        <w:t xml:space="preserve">to </w:t>
      </w:r>
      <w:r>
        <w:rPr>
          <w:szCs w:val="22"/>
        </w:rPr>
        <w:t>enforce</w:t>
      </w:r>
      <w:r w:rsidRPr="00E2165F">
        <w:rPr>
          <w:szCs w:val="22"/>
        </w:rPr>
        <w:t xml:space="preserve"> their</w:t>
      </w:r>
      <w:r>
        <w:rPr>
          <w:szCs w:val="22"/>
        </w:rPr>
        <w:t xml:space="preserve"> own</w:t>
      </w:r>
      <w:r w:rsidRPr="00E2165F">
        <w:rPr>
          <w:szCs w:val="22"/>
        </w:rPr>
        <w:t xml:space="preserve"> rights through laws and regulations that protect them</w:t>
      </w:r>
      <w:r>
        <w:rPr>
          <w:szCs w:val="22"/>
        </w:rPr>
        <w:t>,</w:t>
      </w:r>
      <w:r w:rsidRPr="00E2165F">
        <w:rPr>
          <w:szCs w:val="22"/>
        </w:rPr>
        <w:t xml:space="preserve"> </w:t>
      </w:r>
      <w:r>
        <w:rPr>
          <w:szCs w:val="22"/>
        </w:rPr>
        <w:t>and provides the local collective management o</w:t>
      </w:r>
      <w:r w:rsidRPr="00E2165F">
        <w:rPr>
          <w:szCs w:val="22"/>
        </w:rPr>
        <w:t>rganizations</w:t>
      </w:r>
      <w:r>
        <w:rPr>
          <w:szCs w:val="22"/>
        </w:rPr>
        <w:t xml:space="preserve"> with</w:t>
      </w:r>
      <w:r w:rsidRPr="00E2165F">
        <w:rPr>
          <w:szCs w:val="22"/>
        </w:rPr>
        <w:t xml:space="preserve"> the </w:t>
      </w:r>
      <w:r>
        <w:rPr>
          <w:szCs w:val="22"/>
        </w:rPr>
        <w:t xml:space="preserve">necessary </w:t>
      </w:r>
      <w:r w:rsidRPr="00E2165F">
        <w:rPr>
          <w:szCs w:val="22"/>
        </w:rPr>
        <w:t>tech</w:t>
      </w:r>
      <w:r>
        <w:rPr>
          <w:szCs w:val="22"/>
        </w:rPr>
        <w:t>nical and economic support for their activities.</w:t>
      </w:r>
    </w:p>
    <w:p w14:paraId="7C34B1FE" w14:textId="77777777" w:rsidR="006A7850" w:rsidRDefault="006A7850" w:rsidP="006A7850">
      <w:pPr>
        <w:spacing w:after="240"/>
        <w:rPr>
          <w:szCs w:val="22"/>
        </w:rPr>
      </w:pPr>
      <w:r>
        <w:rPr>
          <w:szCs w:val="22"/>
        </w:rPr>
        <w:t xml:space="preserve">Structure:  The main governing body of FESAAL is the General Assembly, which appoints the Executive Committee, consisting of a </w:t>
      </w:r>
      <w:r w:rsidRPr="0065306A">
        <w:rPr>
          <w:szCs w:val="22"/>
        </w:rPr>
        <w:t>General Secretary, a Screenwriters’ representative and a Directors’ representative</w:t>
      </w:r>
      <w:r>
        <w:rPr>
          <w:szCs w:val="22"/>
        </w:rPr>
        <w:t>.  FESAAL’s Technical and Legal Committee consists of 12 members.</w:t>
      </w:r>
    </w:p>
    <w:p w14:paraId="0C9D492C" w14:textId="77777777" w:rsidR="006A7850" w:rsidRPr="008F4EAA" w:rsidRDefault="006A7850" w:rsidP="006A7850">
      <w:pPr>
        <w:spacing w:after="480"/>
        <w:rPr>
          <w:szCs w:val="22"/>
        </w:rPr>
      </w:pPr>
      <w:r>
        <w:rPr>
          <w:szCs w:val="22"/>
        </w:rPr>
        <w:t>Membership:  FESAAL’s membership is composed of 13 juridical persons.</w:t>
      </w:r>
    </w:p>
    <w:p w14:paraId="090CE60B" w14:textId="77777777" w:rsidR="006A7850" w:rsidRDefault="006A7850" w:rsidP="006A7850">
      <w:pPr>
        <w:spacing w:after="240"/>
        <w:rPr>
          <w:szCs w:val="22"/>
        </w:rPr>
        <w:sectPr w:rsidR="006A7850" w:rsidSect="00BD3CBD">
          <w:headerReference w:type="default" r:id="rId11"/>
          <w:headerReference w:type="first" r:id="rId12"/>
          <w:footerReference w:type="first" r:id="rId13"/>
          <w:endnotePr>
            <w:numFmt w:val="decimal"/>
          </w:endnotePr>
          <w:pgSz w:w="11907" w:h="16840" w:code="9"/>
          <w:pgMar w:top="562" w:right="1138" w:bottom="1411" w:left="1411" w:header="504" w:footer="1022" w:gutter="0"/>
          <w:pgNumType w:start="1"/>
          <w:cols w:space="720"/>
          <w:titlePg/>
          <w:docGrid w:linePitch="299"/>
        </w:sectPr>
      </w:pPr>
    </w:p>
    <w:p w14:paraId="4EE1EB4B" w14:textId="77777777" w:rsidR="006A7850" w:rsidRPr="00F96FBC" w:rsidRDefault="006A7850" w:rsidP="006A7850">
      <w:pPr>
        <w:pStyle w:val="Heading3"/>
        <w:spacing w:before="480" w:after="240"/>
        <w:rPr>
          <w:lang w:val="fr-CH"/>
        </w:rPr>
      </w:pPr>
      <w:r w:rsidRPr="00A41F3C">
        <w:rPr>
          <w:i/>
          <w:lang w:val="fr-CH"/>
        </w:rPr>
        <w:lastRenderedPageBreak/>
        <w:t>Union des Fabricants pour la Protection Internationale de la Propriété Intellectuelle</w:t>
      </w:r>
      <w:r>
        <w:rPr>
          <w:lang w:val="fr-CH"/>
        </w:rPr>
        <w:t xml:space="preserve"> </w:t>
      </w:r>
      <w:r w:rsidRPr="00F96FBC">
        <w:rPr>
          <w:lang w:val="fr-CH"/>
        </w:rPr>
        <w:t>(UNIFAB)</w:t>
      </w:r>
    </w:p>
    <w:p w14:paraId="4C0C7808" w14:textId="77777777" w:rsidR="006A7850" w:rsidRDefault="006A7850" w:rsidP="006A7850">
      <w:pPr>
        <w:spacing w:after="240"/>
        <w:rPr>
          <w:szCs w:val="22"/>
        </w:rPr>
      </w:pPr>
      <w:r>
        <w:rPr>
          <w:szCs w:val="22"/>
        </w:rPr>
        <w:t xml:space="preserve">Headquarters:  UNIFAB </w:t>
      </w:r>
      <w:proofErr w:type="gramStart"/>
      <w:r>
        <w:rPr>
          <w:szCs w:val="22"/>
        </w:rPr>
        <w:t>was established</w:t>
      </w:r>
      <w:proofErr w:type="gramEnd"/>
      <w:r>
        <w:rPr>
          <w:szCs w:val="22"/>
        </w:rPr>
        <w:t xml:space="preserve"> in 1872 and has its headquarters in Paris, France.</w:t>
      </w:r>
    </w:p>
    <w:p w14:paraId="1565B84E" w14:textId="77777777" w:rsidR="006A7850" w:rsidRDefault="006A7850" w:rsidP="006A7850">
      <w:pPr>
        <w:spacing w:after="240"/>
        <w:rPr>
          <w:szCs w:val="22"/>
        </w:rPr>
      </w:pPr>
      <w:r>
        <w:rPr>
          <w:szCs w:val="22"/>
        </w:rPr>
        <w:t>Objectives:  UNIFAB promotes intellectual property, as well as the fight against counterfeits, and aims at the improvement of corresponding protection systems.  To that end, UNIFAB engages with relevant stakeholders on a national, regional and international level, publishes general information on intellectual property and raises the public awareness for the problem of counterfeiting, particularly through the “Museum of Counterfeiting” founded by the organization in 1951.  UNIFAB also cooperates widely with the public sector, for example, by organizing trainings in the field of anti-counterfeiting, and is a founding member of the “Global Anti-Counterfeiting Group”.</w:t>
      </w:r>
    </w:p>
    <w:p w14:paraId="7A5C434D" w14:textId="77777777" w:rsidR="006A7850" w:rsidRDefault="006A7850" w:rsidP="006A7850">
      <w:pPr>
        <w:rPr>
          <w:szCs w:val="22"/>
        </w:rPr>
      </w:pPr>
      <w:r>
        <w:rPr>
          <w:szCs w:val="22"/>
        </w:rPr>
        <w:t xml:space="preserve">Structure:  The governing bodies of UNIFAB are the General Assembly and the Board of Directors, which consists of up to 12 Administrators, as well as a President, three </w:t>
      </w:r>
    </w:p>
    <w:p w14:paraId="408EDF4D" w14:textId="77777777" w:rsidR="006A7850" w:rsidRDefault="006A7850" w:rsidP="006A7850">
      <w:pPr>
        <w:spacing w:after="240"/>
        <w:rPr>
          <w:szCs w:val="22"/>
        </w:rPr>
      </w:pPr>
      <w:r>
        <w:rPr>
          <w:szCs w:val="22"/>
        </w:rPr>
        <w:t>Vice-Presidents, a Secretary General, a Secretary and a Treasurer.  The Advisory Committee, created by the Board of Directors and approved by the General Assembly, currently consists of 26 members.</w:t>
      </w:r>
    </w:p>
    <w:p w14:paraId="44197067" w14:textId="77777777" w:rsidR="006A7850" w:rsidRDefault="006A7850" w:rsidP="006A7850">
      <w:pPr>
        <w:spacing w:after="480"/>
        <w:rPr>
          <w:szCs w:val="22"/>
        </w:rPr>
      </w:pPr>
      <w:r>
        <w:rPr>
          <w:szCs w:val="22"/>
        </w:rPr>
        <w:t>Membership:  UNIFAB’s membership is composed of more than 200 juridical persons.</w:t>
      </w:r>
    </w:p>
    <w:p w14:paraId="1EF9FAAF" w14:textId="77777777" w:rsidR="006A7850" w:rsidRDefault="006A7850" w:rsidP="0073293A">
      <w:pPr>
        <w:pStyle w:val="Heading3"/>
        <w:spacing w:before="480" w:after="240"/>
      </w:pPr>
      <w:r>
        <w:t>Wikimedia Foundation (WMF)</w:t>
      </w:r>
    </w:p>
    <w:p w14:paraId="7712C830" w14:textId="77777777" w:rsidR="006A7850" w:rsidRDefault="006A7850" w:rsidP="006A7850">
      <w:pPr>
        <w:spacing w:after="240"/>
        <w:rPr>
          <w:szCs w:val="22"/>
        </w:rPr>
      </w:pPr>
      <w:r>
        <w:rPr>
          <w:szCs w:val="22"/>
        </w:rPr>
        <w:t xml:space="preserve">Headquarters:  WMF </w:t>
      </w:r>
      <w:proofErr w:type="gramStart"/>
      <w:r>
        <w:rPr>
          <w:szCs w:val="22"/>
        </w:rPr>
        <w:t>was established</w:t>
      </w:r>
      <w:proofErr w:type="gramEnd"/>
      <w:r>
        <w:rPr>
          <w:szCs w:val="22"/>
        </w:rPr>
        <w:t xml:space="preserve"> in 2003 and has its headquarters in San Francisco, California, United States of America.</w:t>
      </w:r>
    </w:p>
    <w:p w14:paraId="2696D79E" w14:textId="77777777" w:rsidR="006A7850" w:rsidRDefault="006A7850" w:rsidP="006A7850">
      <w:pPr>
        <w:spacing w:after="240"/>
        <w:rPr>
          <w:szCs w:val="22"/>
        </w:rPr>
      </w:pPr>
      <w:r>
        <w:rPr>
          <w:szCs w:val="22"/>
        </w:rPr>
        <w:t>Objectives:  The mission of WMF is to empower and engage people around the world to collect and develop educational content under a free license or in the public domain, and to disseminate it effectively and globally.  WMF provides the infrastructure and an organizational framework for the support and development of multilingual websites (“projects”) that host user</w:t>
      </w:r>
      <w:r>
        <w:rPr>
          <w:szCs w:val="22"/>
        </w:rPr>
        <w:noBreakHyphen/>
        <w:t>generated knowledge in coordination with a network of individual volunteers and independent movement organizations.  WMF will make and keep useful information from its projects available on the Internet free of charge, in perpetuity.</w:t>
      </w:r>
    </w:p>
    <w:p w14:paraId="03DA9DBF" w14:textId="77777777" w:rsidR="006A7850" w:rsidRDefault="006A7850" w:rsidP="006A7850">
      <w:pPr>
        <w:rPr>
          <w:szCs w:val="22"/>
        </w:rPr>
      </w:pPr>
      <w:r>
        <w:rPr>
          <w:szCs w:val="22"/>
        </w:rPr>
        <w:t xml:space="preserve">Structure:  WMF’s governing body, the Board of Trustees, consists, currently, of 10 persons.  </w:t>
      </w:r>
    </w:p>
    <w:p w14:paraId="74E25797" w14:textId="77777777" w:rsidR="006A7850" w:rsidRDefault="006A7850" w:rsidP="006A7850">
      <w:pPr>
        <w:spacing w:after="240"/>
        <w:rPr>
          <w:szCs w:val="22"/>
        </w:rPr>
      </w:pPr>
      <w:r>
        <w:rPr>
          <w:szCs w:val="22"/>
        </w:rPr>
        <w:t>It elects, from among the Trustees, the following officers:  Chair, Vice-Chair, and any Board Committee Chairs.  It also appoints the following non</w:t>
      </w:r>
      <w:r>
        <w:rPr>
          <w:szCs w:val="22"/>
        </w:rPr>
        <w:noBreakHyphen/>
        <w:t>Trustee officer positions:  an Executive Director, Secretary, Treasurer, and such other officers as the Board may appoint.</w:t>
      </w:r>
    </w:p>
    <w:p w14:paraId="2A472655" w14:textId="77777777" w:rsidR="006A7850" w:rsidRDefault="006A7850" w:rsidP="006A7850">
      <w:pPr>
        <w:spacing w:after="480"/>
        <w:rPr>
          <w:szCs w:val="22"/>
        </w:rPr>
        <w:sectPr w:rsidR="006A7850" w:rsidSect="003C751B">
          <w:headerReference w:type="first" r:id="rId14"/>
          <w:endnotePr>
            <w:numFmt w:val="decimal"/>
          </w:endnotePr>
          <w:pgSz w:w="11907" w:h="16840" w:code="9"/>
          <w:pgMar w:top="562" w:right="1138" w:bottom="1411" w:left="1411" w:header="504" w:footer="1022" w:gutter="0"/>
          <w:pgNumType w:start="2"/>
          <w:cols w:space="720"/>
          <w:titlePg/>
          <w:docGrid w:linePitch="299"/>
        </w:sectPr>
      </w:pPr>
      <w:r>
        <w:rPr>
          <w:szCs w:val="22"/>
        </w:rPr>
        <w:t xml:space="preserve">Membership:  WMF does not have member organizations but 124 user groups, 39 geographic chapters, and two thematic organizations with which it is affiliated.  Chapters are independent organizations founded by Wikimedia community members to support and promote the Wikimedia projects in a particular region, whereas thematic organizations </w:t>
      </w:r>
      <w:proofErr w:type="gramStart"/>
      <w:r>
        <w:rPr>
          <w:szCs w:val="22"/>
        </w:rPr>
        <w:t>are organized</w:t>
      </w:r>
      <w:proofErr w:type="gramEnd"/>
      <w:r>
        <w:rPr>
          <w:szCs w:val="22"/>
        </w:rPr>
        <w:t xml:space="preserve"> based on a particular subject matter.  User groups are open-membership groups with less formal formation requirements that can be either geographic or </w:t>
      </w:r>
      <w:proofErr w:type="gramStart"/>
      <w:r>
        <w:rPr>
          <w:szCs w:val="22"/>
        </w:rPr>
        <w:t>subject-matter</w:t>
      </w:r>
      <w:proofErr w:type="gramEnd"/>
      <w:r>
        <w:rPr>
          <w:szCs w:val="22"/>
        </w:rPr>
        <w:t xml:space="preserve"> based.  All affiliates are eligible to receive grants from WMF, apply to use WMF’s trademarks, and to take part in conferences, strategy discussions, and community-building activities.  However, these affiliates operate wholly independently of the WMF and each group is able to choose their own affiliate name.</w:t>
      </w:r>
    </w:p>
    <w:p w14:paraId="069642B4" w14:textId="77777777" w:rsidR="006A7850" w:rsidRPr="00F525A7" w:rsidRDefault="006A7850" w:rsidP="006A7850">
      <w:pPr>
        <w:pStyle w:val="Heading3"/>
        <w:spacing w:before="480" w:after="240"/>
      </w:pPr>
      <w:r w:rsidRPr="002E28D3">
        <w:lastRenderedPageBreak/>
        <w:t>World Federation of the Sporting Goods Industry</w:t>
      </w:r>
      <w:r>
        <w:t xml:space="preserve"> (WFSGI)</w:t>
      </w:r>
    </w:p>
    <w:p w14:paraId="4D89B33B" w14:textId="77777777" w:rsidR="006A7850" w:rsidRDefault="006A7850" w:rsidP="006A7850">
      <w:pPr>
        <w:spacing w:after="240"/>
        <w:rPr>
          <w:szCs w:val="22"/>
        </w:rPr>
      </w:pPr>
      <w:r>
        <w:rPr>
          <w:szCs w:val="22"/>
        </w:rPr>
        <w:t xml:space="preserve">Headquarters:  WFSGI </w:t>
      </w:r>
      <w:proofErr w:type="gramStart"/>
      <w:r>
        <w:rPr>
          <w:szCs w:val="22"/>
        </w:rPr>
        <w:t>was established</w:t>
      </w:r>
      <w:proofErr w:type="gramEnd"/>
      <w:r>
        <w:rPr>
          <w:szCs w:val="22"/>
        </w:rPr>
        <w:t xml:space="preserve"> in 1978 and has its headquarters in Bern, Switzerland.</w:t>
      </w:r>
    </w:p>
    <w:p w14:paraId="36ADAEFB" w14:textId="77777777" w:rsidR="006A7850" w:rsidRDefault="006A7850" w:rsidP="006A7850">
      <w:pPr>
        <w:spacing w:after="240"/>
        <w:rPr>
          <w:szCs w:val="22"/>
        </w:rPr>
      </w:pPr>
      <w:r>
        <w:rPr>
          <w:szCs w:val="22"/>
        </w:rPr>
        <w:t xml:space="preserve">Objectives:  WFSGI </w:t>
      </w:r>
      <w:r w:rsidRPr="00B4320C">
        <w:rPr>
          <w:szCs w:val="22"/>
        </w:rPr>
        <w:t>represents the interest of the sporting goods industry</w:t>
      </w:r>
      <w:r>
        <w:rPr>
          <w:szCs w:val="22"/>
        </w:rPr>
        <w:t xml:space="preserve"> globally.  One of WFSGI’s prime objectives is to promote and facilitate free and fair worldwide trade and the exchange of sporting goods manufactured and/or sold by its members.  WFSGI also fosters and encourages the development, compilation and enforcement of international industry best practice and other standards, principles and methods with the objective of improving the quality of sporting goods products, and of manufacturing, marketing and distribution processes, including issues relating to the protection and enforcement of intellectual property rights.</w:t>
      </w:r>
    </w:p>
    <w:p w14:paraId="401EB723" w14:textId="77777777" w:rsidR="006A7850" w:rsidRDefault="006A7850" w:rsidP="006A7850">
      <w:pPr>
        <w:spacing w:after="240"/>
        <w:rPr>
          <w:szCs w:val="22"/>
        </w:rPr>
      </w:pPr>
      <w:r>
        <w:rPr>
          <w:szCs w:val="22"/>
        </w:rPr>
        <w:t xml:space="preserve">Structure:  The bodies of WFSGI are the General Assembly, as the organization’s principle authority, the Assembly of the National and Regional Organizations, the Board, consisting of a maximum of 31 Directors, the Executive Committee, the President/CEO and the Auditors. </w:t>
      </w:r>
    </w:p>
    <w:p w14:paraId="75649F64" w14:textId="77777777" w:rsidR="006A7850" w:rsidRDefault="006A7850" w:rsidP="006A7850">
      <w:pPr>
        <w:spacing w:after="720"/>
        <w:rPr>
          <w:szCs w:val="22"/>
        </w:rPr>
      </w:pPr>
      <w:r>
        <w:rPr>
          <w:szCs w:val="22"/>
        </w:rPr>
        <w:t>Membership: WFSGI’s membership is composed of more than 300 juridical persons.</w:t>
      </w:r>
    </w:p>
    <w:p w14:paraId="3043ABD3" w14:textId="77777777" w:rsidR="006A7850" w:rsidRPr="00374386" w:rsidRDefault="006A7850" w:rsidP="006A7850">
      <w:pPr>
        <w:pStyle w:val="Endofdocument-Annex"/>
      </w:pPr>
      <w:r w:rsidRPr="00374386">
        <w:t>[Annex II follows]</w:t>
      </w:r>
    </w:p>
    <w:p w14:paraId="2F239818" w14:textId="77777777" w:rsidR="006A7850" w:rsidRDefault="006A7850" w:rsidP="006A7850">
      <w:pPr>
        <w:spacing w:before="240" w:after="60"/>
        <w:sectPr w:rsidR="006A7850" w:rsidSect="003C751B">
          <w:endnotePr>
            <w:numFmt w:val="decimal"/>
          </w:endnotePr>
          <w:pgSz w:w="11907" w:h="16840" w:code="9"/>
          <w:pgMar w:top="562" w:right="1138" w:bottom="1411" w:left="1411" w:header="504" w:footer="1022" w:gutter="0"/>
          <w:pgNumType w:start="3"/>
          <w:cols w:space="720"/>
          <w:titlePg/>
          <w:docGrid w:linePitch="299"/>
        </w:sectPr>
      </w:pPr>
    </w:p>
    <w:p w14:paraId="038E8D6A" w14:textId="77777777" w:rsidR="006A7850" w:rsidRPr="00DB244E" w:rsidRDefault="006A7850" w:rsidP="006A7850">
      <w:pPr>
        <w:pStyle w:val="Heading2"/>
        <w:spacing w:before="0" w:after="240"/>
        <w:rPr>
          <w:szCs w:val="22"/>
        </w:rPr>
      </w:pPr>
      <w:r w:rsidRPr="00DB244E">
        <w:lastRenderedPageBreak/>
        <w:t>PARTICULARS</w:t>
      </w:r>
      <w:r w:rsidRPr="00DB244E">
        <w:rPr>
          <w:rStyle w:val="Heading2Char"/>
          <w:szCs w:val="22"/>
        </w:rPr>
        <w:t xml:space="preserve"> </w:t>
      </w:r>
      <w:r w:rsidRPr="00DB244E">
        <w:rPr>
          <w:rStyle w:val="Heading2Char"/>
        </w:rPr>
        <w:t>CONCERNING</w:t>
      </w:r>
      <w:r w:rsidRPr="00514426">
        <w:rPr>
          <w:rStyle w:val="Heading2Char"/>
        </w:rPr>
        <w:t xml:space="preserve"> NATIONAL</w:t>
      </w:r>
      <w:r>
        <w:rPr>
          <w:rStyle w:val="Heading2Char"/>
        </w:rPr>
        <w:t xml:space="preserve"> NON-GOVERNMENTAL ORGANIZATIONS (NGOs) </w:t>
      </w:r>
      <w:r w:rsidRPr="00DB244E">
        <w:rPr>
          <w:rStyle w:val="Heading2Char"/>
        </w:rPr>
        <w:t>(ON THE BASIS OF INF</w:t>
      </w:r>
      <w:r w:rsidRPr="00DB244E">
        <w:rPr>
          <w:rStyle w:val="Heading2Char"/>
          <w:szCs w:val="22"/>
        </w:rPr>
        <w:t>ORMATION RECEIVED FROM THE SAID ORGANIZATIONS</w:t>
      </w:r>
      <w:r w:rsidRPr="00DB244E">
        <w:rPr>
          <w:szCs w:val="22"/>
        </w:rPr>
        <w:t>)</w:t>
      </w:r>
    </w:p>
    <w:p w14:paraId="0ED3D3EF" w14:textId="77777777" w:rsidR="006A7850" w:rsidRPr="00DC30D5" w:rsidRDefault="006A7850" w:rsidP="006A7850">
      <w:pPr>
        <w:pStyle w:val="Heading3"/>
        <w:spacing w:before="480" w:after="240"/>
      </w:pPr>
      <w:r w:rsidRPr="0053603D">
        <w:t>Brazilian Intellectual Property Association (ABPI)</w:t>
      </w:r>
    </w:p>
    <w:p w14:paraId="6F7622AE" w14:textId="77777777" w:rsidR="006A7850" w:rsidRDefault="006A7850" w:rsidP="006A7850">
      <w:pPr>
        <w:spacing w:after="240"/>
        <w:rPr>
          <w:szCs w:val="22"/>
        </w:rPr>
      </w:pPr>
      <w:r>
        <w:rPr>
          <w:szCs w:val="22"/>
        </w:rPr>
        <w:t xml:space="preserve">Headquarters:  ABPI </w:t>
      </w:r>
      <w:proofErr w:type="gramStart"/>
      <w:r>
        <w:rPr>
          <w:szCs w:val="22"/>
        </w:rPr>
        <w:t>was established</w:t>
      </w:r>
      <w:proofErr w:type="gramEnd"/>
      <w:r>
        <w:rPr>
          <w:szCs w:val="22"/>
        </w:rPr>
        <w:t xml:space="preserve"> in 1963 and has its headquarters in Rio de Janeiro, Brazil.</w:t>
      </w:r>
    </w:p>
    <w:p w14:paraId="221D6985" w14:textId="77777777" w:rsidR="006A7850" w:rsidRDefault="006A7850" w:rsidP="006A7850">
      <w:pPr>
        <w:spacing w:after="240"/>
        <w:rPr>
          <w:szCs w:val="22"/>
        </w:rPr>
      </w:pPr>
      <w:r>
        <w:rPr>
          <w:szCs w:val="22"/>
        </w:rPr>
        <w:t xml:space="preserve">Objectives:  The objective of ABPI is to study all areas of intellectual property and to promote its use in various sectors of society.  ABPI aims at improving the legislation and jurisprudence in intellectual property law by, </w:t>
      </w:r>
      <w:r w:rsidRPr="00D91B93">
        <w:rPr>
          <w:i/>
          <w:szCs w:val="22"/>
        </w:rPr>
        <w:t>inter alia</w:t>
      </w:r>
      <w:r>
        <w:rPr>
          <w:szCs w:val="22"/>
        </w:rPr>
        <w:t>, organizing conferences, seminars and exhibitions on intellectual property to discuss its further development.  To support this cause, ABPI also publishes journals on intellectual property matters and is actively involved in providing technical studies for the Brazilian authorities, e.g., with regard to the adoption of intellectual property legislation.</w:t>
      </w:r>
    </w:p>
    <w:p w14:paraId="5D65D3FA" w14:textId="77777777" w:rsidR="006A7850" w:rsidRDefault="006A7850" w:rsidP="006A7850">
      <w:r>
        <w:rPr>
          <w:szCs w:val="22"/>
        </w:rPr>
        <w:t>Structure:  The main body of ABPI is the General Assembly</w:t>
      </w:r>
      <w:r w:rsidRPr="00794603">
        <w:t>.</w:t>
      </w:r>
      <w:r>
        <w:t xml:space="preserve">  It elects the members of the Board of Directors and of the Council.  </w:t>
      </w:r>
      <w:r w:rsidRPr="006F7463">
        <w:t xml:space="preserve">The Board of Directors is composed </w:t>
      </w:r>
      <w:r>
        <w:t>of</w:t>
      </w:r>
      <w:r w:rsidRPr="006F7463">
        <w:t xml:space="preserve"> the President, t</w:t>
      </w:r>
      <w:r>
        <w:t>he immediate Former President,</w:t>
      </w:r>
      <w:r w:rsidRPr="006F7463">
        <w:t xml:space="preserve"> </w:t>
      </w:r>
      <w:r>
        <w:t>two</w:t>
      </w:r>
      <w:r w:rsidRPr="006F7463">
        <w:t xml:space="preserve"> Vice-President</w:t>
      </w:r>
      <w:r>
        <w:t>s</w:t>
      </w:r>
      <w:r w:rsidRPr="006F7463">
        <w:t xml:space="preserve">, </w:t>
      </w:r>
      <w:proofErr w:type="gramStart"/>
      <w:r w:rsidRPr="006F7463">
        <w:t>a</w:t>
      </w:r>
      <w:proofErr w:type="gramEnd"/>
      <w:r w:rsidRPr="006F7463">
        <w:t xml:space="preserve"> Reporter General, a Secretary Director, a Treasurer, an Editor, a General Counsel and one representative of each Sectional Representation</w:t>
      </w:r>
      <w:r>
        <w:t xml:space="preserve">.  The </w:t>
      </w:r>
      <w:r w:rsidRPr="006F7463">
        <w:t>Council consist</w:t>
      </w:r>
      <w:r>
        <w:t>s</w:t>
      </w:r>
      <w:r w:rsidRPr="006F7463">
        <w:t xml:space="preserve"> of the former presid</w:t>
      </w:r>
      <w:r>
        <w:t>ents of the Board of Directors</w:t>
      </w:r>
      <w:r w:rsidRPr="006F7463">
        <w:t xml:space="preserve">, </w:t>
      </w:r>
      <w:r>
        <w:t>of</w:t>
      </w:r>
      <w:r w:rsidRPr="006F7463">
        <w:t xml:space="preserve"> honorary members appointed by the General Assem</w:t>
      </w:r>
      <w:r>
        <w:t>bly, and of up to 30</w:t>
      </w:r>
      <w:r w:rsidRPr="006F7463">
        <w:t xml:space="preserve"> elected members</w:t>
      </w:r>
      <w:r>
        <w:t xml:space="preserve">.  </w:t>
      </w:r>
    </w:p>
    <w:p w14:paraId="268214A9" w14:textId="77777777" w:rsidR="006A7850" w:rsidRDefault="006A7850" w:rsidP="006A7850">
      <w:pPr>
        <w:spacing w:after="240"/>
      </w:pPr>
      <w:r>
        <w:t xml:space="preserve">A permanent </w:t>
      </w:r>
      <w:r w:rsidRPr="00C37002">
        <w:t xml:space="preserve">Nominating Committee </w:t>
      </w:r>
      <w:r>
        <w:t>comprises</w:t>
      </w:r>
      <w:r w:rsidRPr="00C37002">
        <w:t xml:space="preserve"> all the past presidents of </w:t>
      </w:r>
      <w:r>
        <w:t>ABPI</w:t>
      </w:r>
      <w:r w:rsidRPr="00C37002">
        <w:t xml:space="preserve"> </w:t>
      </w:r>
      <w:r>
        <w:t>as well as five</w:t>
      </w:r>
      <w:r w:rsidRPr="00C37002">
        <w:t xml:space="preserve"> members of the Council</w:t>
      </w:r>
      <w:r>
        <w:t>, elected for two years.</w:t>
      </w:r>
    </w:p>
    <w:p w14:paraId="675F4E04" w14:textId="77777777" w:rsidR="006A7850" w:rsidRPr="007F7F3E" w:rsidRDefault="006A7850" w:rsidP="006A7850">
      <w:pPr>
        <w:spacing w:after="480"/>
        <w:rPr>
          <w:iCs/>
          <w:szCs w:val="22"/>
        </w:rPr>
      </w:pPr>
      <w:r>
        <w:rPr>
          <w:szCs w:val="22"/>
        </w:rPr>
        <w:t>Membership:  ABPI’s membership is composed of approximately 800 juridical and natural persons.</w:t>
      </w:r>
    </w:p>
    <w:p w14:paraId="4E40D940" w14:textId="77777777" w:rsidR="006A7850" w:rsidRPr="00F525A7" w:rsidRDefault="006A7850" w:rsidP="006A7850">
      <w:pPr>
        <w:pStyle w:val="Heading3"/>
        <w:spacing w:before="480" w:after="240"/>
      </w:pPr>
      <w:r w:rsidRPr="002009F1">
        <w:t>Denver Museum of Nature &amp; Science (DMNS</w:t>
      </w:r>
      <w:r>
        <w:t>)</w:t>
      </w:r>
    </w:p>
    <w:p w14:paraId="28DB5860" w14:textId="77777777" w:rsidR="006A7850" w:rsidRPr="00DB244E" w:rsidRDefault="006A7850" w:rsidP="006A7850">
      <w:pPr>
        <w:spacing w:after="240"/>
        <w:rPr>
          <w:szCs w:val="22"/>
        </w:rPr>
      </w:pPr>
      <w:r w:rsidRPr="008632C4">
        <w:rPr>
          <w:iCs/>
          <w:szCs w:val="22"/>
        </w:rPr>
        <w:t>Headquarters:</w:t>
      </w:r>
      <w:r w:rsidRPr="00DB244E">
        <w:rPr>
          <w:szCs w:val="22"/>
        </w:rPr>
        <w:t xml:space="preserve"> </w:t>
      </w:r>
      <w:r>
        <w:rPr>
          <w:szCs w:val="22"/>
        </w:rPr>
        <w:t xml:space="preserve"> DMNS </w:t>
      </w:r>
      <w:proofErr w:type="gramStart"/>
      <w:r>
        <w:rPr>
          <w:szCs w:val="22"/>
        </w:rPr>
        <w:t>was established</w:t>
      </w:r>
      <w:proofErr w:type="gramEnd"/>
      <w:r>
        <w:rPr>
          <w:szCs w:val="22"/>
        </w:rPr>
        <w:t xml:space="preserve"> in 1900 and has its headquarters in Denver, Colorado, United States of America.</w:t>
      </w:r>
    </w:p>
    <w:p w14:paraId="01DA127A" w14:textId="77777777" w:rsidR="006A7850" w:rsidRPr="00DB244E" w:rsidRDefault="006A7850" w:rsidP="006A7850">
      <w:pPr>
        <w:spacing w:after="240"/>
        <w:rPr>
          <w:szCs w:val="22"/>
        </w:rPr>
      </w:pPr>
      <w:r w:rsidRPr="008632C4">
        <w:rPr>
          <w:iCs/>
          <w:szCs w:val="22"/>
        </w:rPr>
        <w:t>Objectives:</w:t>
      </w:r>
      <w:r>
        <w:rPr>
          <w:iCs/>
          <w:szCs w:val="22"/>
        </w:rPr>
        <w:t xml:space="preserve">  DMNS’s mission is to act as a catalyst and ignite the community’s passion for nature and science by maintaining a museum of natural history and science, as well as conducting related activities</w:t>
      </w:r>
      <w:r>
        <w:rPr>
          <w:szCs w:val="22"/>
        </w:rPr>
        <w:t xml:space="preserve">.  DMNS’s collection consists of over 4.2 million items and represents various fields, such as Anthropology, Space Science and Films.  In the context of its anthropology department, DMNS is interested, </w:t>
      </w:r>
      <w:r w:rsidRPr="002353E0">
        <w:rPr>
          <w:i/>
          <w:szCs w:val="22"/>
        </w:rPr>
        <w:t>inter alia</w:t>
      </w:r>
      <w:r>
        <w:rPr>
          <w:szCs w:val="22"/>
        </w:rPr>
        <w:t xml:space="preserve">, in alternative dispute resolution as well as traditional knowledge, cultural expression and genetic resources.  A robust framework of permissions and licenses </w:t>
      </w:r>
      <w:proofErr w:type="gramStart"/>
      <w:r>
        <w:rPr>
          <w:szCs w:val="22"/>
        </w:rPr>
        <w:t>has been put</w:t>
      </w:r>
      <w:proofErr w:type="gramEnd"/>
      <w:r>
        <w:rPr>
          <w:szCs w:val="22"/>
        </w:rPr>
        <w:t xml:space="preserve"> in place to allow for the access to the collections by researchers from around the world.</w:t>
      </w:r>
    </w:p>
    <w:p w14:paraId="26037D42" w14:textId="77777777" w:rsidR="006A7850" w:rsidRDefault="006A7850" w:rsidP="006A7850">
      <w:pPr>
        <w:spacing w:after="240"/>
        <w:rPr>
          <w:iCs/>
          <w:szCs w:val="22"/>
        </w:rPr>
      </w:pPr>
      <w:r w:rsidRPr="008632C4">
        <w:rPr>
          <w:iCs/>
          <w:szCs w:val="22"/>
        </w:rPr>
        <w:t>Structure:</w:t>
      </w:r>
      <w:r>
        <w:rPr>
          <w:iCs/>
          <w:szCs w:val="22"/>
        </w:rPr>
        <w:t xml:space="preserve">  DMNS </w:t>
      </w:r>
      <w:proofErr w:type="gramStart"/>
      <w:r>
        <w:rPr>
          <w:iCs/>
          <w:szCs w:val="22"/>
        </w:rPr>
        <w:t>is governed</w:t>
      </w:r>
      <w:proofErr w:type="gramEnd"/>
      <w:r>
        <w:rPr>
          <w:iCs/>
          <w:szCs w:val="22"/>
        </w:rPr>
        <w:t xml:space="preserve"> by a Board of Trustees, consisting of 29 persons, elected from among those nominated by a Nominating Committee at an annual meeting of the Board of Trustees.  The Board of Trustees appoints the officers of the organization, including DMNS’s President, as well as one or more Vice Presidents, and has final responsibility in all matters of policy for DMNS. </w:t>
      </w:r>
    </w:p>
    <w:p w14:paraId="6EE90386" w14:textId="77777777" w:rsidR="006A7850" w:rsidRDefault="006A7850" w:rsidP="006A7850">
      <w:pPr>
        <w:spacing w:after="480"/>
        <w:rPr>
          <w:iCs/>
          <w:szCs w:val="22"/>
        </w:rPr>
      </w:pPr>
      <w:r w:rsidRPr="008632C4">
        <w:rPr>
          <w:iCs/>
          <w:szCs w:val="22"/>
        </w:rPr>
        <w:t>Membership:</w:t>
      </w:r>
      <w:r>
        <w:rPr>
          <w:iCs/>
          <w:szCs w:val="22"/>
        </w:rPr>
        <w:t xml:space="preserve">  DMNS is not a membership</w:t>
      </w:r>
      <w:r>
        <w:rPr>
          <w:iCs/>
          <w:szCs w:val="22"/>
        </w:rPr>
        <w:noBreakHyphen/>
        <w:t>based organization.</w:t>
      </w:r>
    </w:p>
    <w:p w14:paraId="7C392582" w14:textId="77777777" w:rsidR="006A7850" w:rsidRDefault="006A7850" w:rsidP="006A7850">
      <w:pPr>
        <w:rPr>
          <w:iCs/>
          <w:szCs w:val="22"/>
        </w:rPr>
      </w:pPr>
      <w:r>
        <w:rPr>
          <w:iCs/>
          <w:szCs w:val="22"/>
        </w:rPr>
        <w:br w:type="page"/>
      </w:r>
    </w:p>
    <w:p w14:paraId="3760F9EB" w14:textId="77777777" w:rsidR="006A7850" w:rsidRPr="00DC30D5" w:rsidRDefault="006A7850" w:rsidP="006A7850">
      <w:pPr>
        <w:spacing w:before="480" w:after="240"/>
        <w:rPr>
          <w:szCs w:val="22"/>
          <w:u w:val="single"/>
        </w:rPr>
      </w:pPr>
      <w:r w:rsidRPr="00152EB9">
        <w:rPr>
          <w:szCs w:val="22"/>
          <w:u w:val="single"/>
        </w:rPr>
        <w:lastRenderedPageBreak/>
        <w:t>Korea Intellectual Property Association (KINPA)</w:t>
      </w:r>
    </w:p>
    <w:p w14:paraId="1E60726E" w14:textId="77777777" w:rsidR="006A7850" w:rsidRDefault="006A7850" w:rsidP="006A7850">
      <w:pPr>
        <w:spacing w:after="240"/>
        <w:rPr>
          <w:szCs w:val="22"/>
        </w:rPr>
      </w:pPr>
      <w:r>
        <w:rPr>
          <w:szCs w:val="22"/>
        </w:rPr>
        <w:t xml:space="preserve">Headquarters:  KINPA </w:t>
      </w:r>
      <w:proofErr w:type="gramStart"/>
      <w:r>
        <w:rPr>
          <w:szCs w:val="22"/>
        </w:rPr>
        <w:t>was established</w:t>
      </w:r>
      <w:proofErr w:type="gramEnd"/>
      <w:r>
        <w:rPr>
          <w:szCs w:val="22"/>
        </w:rPr>
        <w:t xml:space="preserve"> in 2008 and has its headquarters in Seoul, Republic of Korea.</w:t>
      </w:r>
    </w:p>
    <w:p w14:paraId="7512B96E" w14:textId="77777777" w:rsidR="006A7850" w:rsidRDefault="006A7850" w:rsidP="006A7850">
      <w:pPr>
        <w:spacing w:after="240"/>
        <w:rPr>
          <w:szCs w:val="22"/>
        </w:rPr>
      </w:pPr>
      <w:r>
        <w:rPr>
          <w:szCs w:val="22"/>
        </w:rPr>
        <w:t xml:space="preserve">Objectives:  KINPA’s purpose is to promote utilization and improvement of intellectual property institutions, thereby contributing to the progress of the management activities of its members and the Korean industry as such.  KINPA engages, </w:t>
      </w:r>
      <w:r w:rsidRPr="00E07B7B">
        <w:rPr>
          <w:i/>
          <w:szCs w:val="22"/>
        </w:rPr>
        <w:t>inter alia</w:t>
      </w:r>
      <w:r>
        <w:rPr>
          <w:szCs w:val="22"/>
        </w:rPr>
        <w:t>, in research and studies on latest IP issues, proposes intellectual property policies to Korean government institutions and strengthens the management of intellectual property assets through information sharing among its members.</w:t>
      </w:r>
    </w:p>
    <w:p w14:paraId="6A609823" w14:textId="77777777" w:rsidR="006A7850" w:rsidRDefault="006A7850" w:rsidP="006A7850">
      <w:pPr>
        <w:spacing w:after="240"/>
      </w:pPr>
      <w:r>
        <w:rPr>
          <w:szCs w:val="22"/>
        </w:rPr>
        <w:t>Structure:  The supreme governing body of KINPA is its General Assembly, comprised of the corporate members of the organization</w:t>
      </w:r>
      <w:r w:rsidRPr="00794603">
        <w:t>.</w:t>
      </w:r>
      <w:r>
        <w:t xml:space="preserve"> KINPA’s Board of Directors supervises the activities of KINPA and consists of a President, </w:t>
      </w:r>
      <w:proofErr w:type="gramStart"/>
      <w:r>
        <w:t>three</w:t>
      </w:r>
      <w:proofErr w:type="gramEnd"/>
      <w:r>
        <w:t xml:space="preserve"> Vice-Presidents, 13 additional Directors and one Auditor.  KINPA maintains several Committees working in various intellectual property-related fields, such as patents, trademarks, software, or licensing. </w:t>
      </w:r>
    </w:p>
    <w:p w14:paraId="16B95534" w14:textId="77777777" w:rsidR="006A7850" w:rsidRDefault="006A7850" w:rsidP="006A7850">
      <w:pPr>
        <w:spacing w:after="480"/>
        <w:rPr>
          <w:iCs/>
          <w:szCs w:val="22"/>
        </w:rPr>
      </w:pPr>
      <w:r>
        <w:rPr>
          <w:szCs w:val="22"/>
        </w:rPr>
        <w:t>Membership:  KINPA’s total membership consists of 217 juridical persons.</w:t>
      </w:r>
    </w:p>
    <w:p w14:paraId="5F06613D" w14:textId="77777777" w:rsidR="006A7850" w:rsidRDefault="006A7850" w:rsidP="006A7850">
      <w:pPr>
        <w:pStyle w:val="Heading3"/>
        <w:spacing w:before="480" w:after="240"/>
      </w:pPr>
      <w:r w:rsidRPr="00152EB9">
        <w:t>Korea Intellectual Property Strategy Agency (KISTA)</w:t>
      </w:r>
    </w:p>
    <w:p w14:paraId="12CD4797" w14:textId="77777777" w:rsidR="006A7850" w:rsidRPr="00897F01" w:rsidRDefault="006A7850" w:rsidP="006A7850">
      <w:pPr>
        <w:spacing w:after="240"/>
        <w:rPr>
          <w:szCs w:val="22"/>
        </w:rPr>
      </w:pPr>
      <w:r w:rsidRPr="00897F01">
        <w:rPr>
          <w:iCs/>
          <w:szCs w:val="22"/>
        </w:rPr>
        <w:t xml:space="preserve">Headquarters: </w:t>
      </w:r>
      <w:r w:rsidRPr="00897F01">
        <w:rPr>
          <w:szCs w:val="22"/>
        </w:rPr>
        <w:t xml:space="preserve"> </w:t>
      </w:r>
      <w:r>
        <w:rPr>
          <w:szCs w:val="22"/>
        </w:rPr>
        <w:t xml:space="preserve">KISTA </w:t>
      </w:r>
      <w:proofErr w:type="gramStart"/>
      <w:r>
        <w:rPr>
          <w:szCs w:val="22"/>
        </w:rPr>
        <w:t>was established</w:t>
      </w:r>
      <w:proofErr w:type="gramEnd"/>
      <w:r>
        <w:rPr>
          <w:szCs w:val="22"/>
        </w:rPr>
        <w:t xml:space="preserve"> in 2013 and has its headquarters in Seoul, Republic of Korea</w:t>
      </w:r>
      <w:r w:rsidRPr="00897F01">
        <w:rPr>
          <w:szCs w:val="22"/>
        </w:rPr>
        <w:t>.</w:t>
      </w:r>
    </w:p>
    <w:p w14:paraId="68402AF1" w14:textId="77777777" w:rsidR="006A7850" w:rsidRPr="00897F01" w:rsidRDefault="006A7850" w:rsidP="006A7850">
      <w:pPr>
        <w:autoSpaceDE w:val="0"/>
        <w:autoSpaceDN w:val="0"/>
        <w:adjustRightInd w:val="0"/>
        <w:spacing w:after="240"/>
        <w:rPr>
          <w:rFonts w:eastAsia="Times New Roman"/>
          <w:color w:val="000000"/>
          <w:szCs w:val="22"/>
          <w:lang w:eastAsia="fr-CH"/>
        </w:rPr>
      </w:pPr>
      <w:r w:rsidRPr="00897F01">
        <w:rPr>
          <w:rFonts w:eastAsia="Times New Roman"/>
          <w:iCs/>
          <w:color w:val="000000"/>
          <w:szCs w:val="22"/>
          <w:lang w:eastAsia="fr-CH"/>
        </w:rPr>
        <w:t xml:space="preserve">Objectives:  </w:t>
      </w:r>
      <w:r>
        <w:rPr>
          <w:rFonts w:eastAsia="Times New Roman"/>
          <w:iCs/>
          <w:color w:val="000000"/>
          <w:szCs w:val="22"/>
          <w:lang w:eastAsia="fr-CH"/>
        </w:rPr>
        <w:t>KISTA’s purpose is to contribute to the enhancement of Korea’s competitiveness in terms of national intellectual property and development.  It provides systematic support regarding advanced knowledge economy strategies for research and development (R&amp;D) in both the public and private sectors and aims at maximizing R&amp;D outcomes through intellectual property-linked projects</w:t>
      </w:r>
      <w:r>
        <w:rPr>
          <w:rFonts w:eastAsia="Times New Roman"/>
          <w:color w:val="000000"/>
          <w:szCs w:val="22"/>
          <w:lang w:eastAsia="fr-CH"/>
        </w:rPr>
        <w:t xml:space="preserve">.  KISTA engages, </w:t>
      </w:r>
      <w:r w:rsidRPr="00C9508D">
        <w:rPr>
          <w:rFonts w:eastAsia="Times New Roman"/>
          <w:i/>
          <w:color w:val="000000"/>
          <w:szCs w:val="22"/>
          <w:lang w:eastAsia="fr-CH"/>
        </w:rPr>
        <w:t>inter alia</w:t>
      </w:r>
      <w:r>
        <w:rPr>
          <w:rFonts w:eastAsia="Times New Roman"/>
          <w:color w:val="000000"/>
          <w:szCs w:val="22"/>
          <w:lang w:eastAsia="fr-CH"/>
        </w:rPr>
        <w:t xml:space="preserve">, in the following activities:  providing intellectual property-based R&amp;D, conducting intellectual property consulting services for the government, and using big data analysis </w:t>
      </w:r>
      <w:proofErr w:type="gramStart"/>
      <w:r>
        <w:rPr>
          <w:rFonts w:eastAsia="Times New Roman"/>
          <w:color w:val="000000"/>
          <w:szCs w:val="22"/>
          <w:lang w:eastAsia="fr-CH"/>
        </w:rPr>
        <w:t>with regards to</w:t>
      </w:r>
      <w:proofErr w:type="gramEnd"/>
      <w:r>
        <w:rPr>
          <w:rFonts w:eastAsia="Times New Roman"/>
          <w:color w:val="000000"/>
          <w:szCs w:val="22"/>
          <w:lang w:eastAsia="fr-CH"/>
        </w:rPr>
        <w:t xml:space="preserve"> patents to explore possibilities for future growth.</w:t>
      </w:r>
    </w:p>
    <w:p w14:paraId="00BC5D82" w14:textId="77777777" w:rsidR="006A7850" w:rsidRPr="00897F01" w:rsidRDefault="006A7850" w:rsidP="006A7850">
      <w:pPr>
        <w:autoSpaceDE w:val="0"/>
        <w:autoSpaceDN w:val="0"/>
        <w:adjustRightInd w:val="0"/>
        <w:spacing w:after="240"/>
        <w:rPr>
          <w:rFonts w:eastAsia="Times New Roman"/>
          <w:color w:val="000000"/>
          <w:sz w:val="24"/>
          <w:szCs w:val="24"/>
          <w:lang w:eastAsia="fr-CH"/>
        </w:rPr>
      </w:pPr>
      <w:r w:rsidRPr="00897F01">
        <w:rPr>
          <w:rFonts w:eastAsia="Times New Roman"/>
          <w:iCs/>
          <w:color w:val="000000"/>
          <w:szCs w:val="22"/>
          <w:lang w:eastAsia="fr-CH"/>
        </w:rPr>
        <w:t>Structure</w:t>
      </w:r>
      <w:proofErr w:type="gramStart"/>
      <w:r w:rsidRPr="00897F01">
        <w:rPr>
          <w:rFonts w:eastAsia="Times New Roman"/>
          <w:iCs/>
          <w:color w:val="000000"/>
          <w:szCs w:val="22"/>
          <w:lang w:eastAsia="fr-CH"/>
        </w:rPr>
        <w:t>:</w:t>
      </w:r>
      <w:r w:rsidRPr="00897F01">
        <w:rPr>
          <w:rFonts w:eastAsia="Times New Roman"/>
          <w:iCs/>
          <w:color w:val="000000"/>
          <w:sz w:val="24"/>
          <w:szCs w:val="22"/>
          <w:lang w:eastAsia="fr-CH"/>
        </w:rPr>
        <w:t xml:space="preserve"> </w:t>
      </w:r>
      <w:r>
        <w:rPr>
          <w:rFonts w:eastAsia="Times New Roman"/>
          <w:iCs/>
          <w:color w:val="000000"/>
          <w:sz w:val="24"/>
          <w:szCs w:val="22"/>
          <w:lang w:eastAsia="fr-CH"/>
        </w:rPr>
        <w:t xml:space="preserve"> </w:t>
      </w:r>
      <w:r w:rsidRPr="00A01638">
        <w:rPr>
          <w:rFonts w:eastAsia="Times New Roman"/>
          <w:iCs/>
          <w:color w:val="000000"/>
          <w:szCs w:val="22"/>
          <w:lang w:eastAsia="fr-CH"/>
        </w:rPr>
        <w:t xml:space="preserve">KISTA is governed by </w:t>
      </w:r>
      <w:r>
        <w:rPr>
          <w:rFonts w:eastAsia="Times New Roman"/>
          <w:iCs/>
          <w:color w:val="000000"/>
          <w:szCs w:val="22"/>
          <w:lang w:eastAsia="fr-CH"/>
        </w:rPr>
        <w:t xml:space="preserve">a Board of Directors, consisting of </w:t>
      </w:r>
      <w:r w:rsidRPr="00A01638">
        <w:rPr>
          <w:rFonts w:eastAsia="Times New Roman"/>
          <w:iCs/>
          <w:color w:val="000000"/>
          <w:szCs w:val="22"/>
          <w:lang w:eastAsia="fr-CH"/>
        </w:rPr>
        <w:t xml:space="preserve">up to </w:t>
      </w:r>
      <w:r>
        <w:rPr>
          <w:rFonts w:eastAsia="Times New Roman"/>
          <w:iCs/>
          <w:color w:val="000000"/>
          <w:szCs w:val="22"/>
          <w:lang w:eastAsia="fr-CH"/>
        </w:rPr>
        <w:t>15</w:t>
      </w:r>
      <w:r w:rsidRPr="00A01638">
        <w:rPr>
          <w:rFonts w:eastAsia="Times New Roman"/>
          <w:iCs/>
          <w:color w:val="000000"/>
          <w:szCs w:val="22"/>
          <w:lang w:eastAsia="fr-CH"/>
        </w:rPr>
        <w:t xml:space="preserve"> Directors, including one President</w:t>
      </w:r>
      <w:proofErr w:type="gramEnd"/>
      <w:r>
        <w:rPr>
          <w:rFonts w:eastAsia="Times New Roman"/>
          <w:iCs/>
          <w:color w:val="000000"/>
          <w:szCs w:val="22"/>
          <w:lang w:eastAsia="fr-CH"/>
        </w:rPr>
        <w:t>.  The President is the executive director of KISTA, selected from among the candidates nominated by the Officer Recommendation Committee, and appointed by the Korean Intellectual Property Office Commissioner.</w:t>
      </w:r>
    </w:p>
    <w:p w14:paraId="555C04AA" w14:textId="77777777" w:rsidR="006A7850" w:rsidRDefault="006A7850" w:rsidP="006A7850">
      <w:pPr>
        <w:spacing w:after="480"/>
      </w:pPr>
      <w:r w:rsidRPr="00897F01">
        <w:t xml:space="preserve">Membership:  </w:t>
      </w:r>
      <w:r>
        <w:t>KISTA is not a membership-based organization</w:t>
      </w:r>
      <w:r w:rsidRPr="00897F01">
        <w:t>.</w:t>
      </w:r>
    </w:p>
    <w:p w14:paraId="462BCFB1" w14:textId="77777777" w:rsidR="00EB5EFD" w:rsidRPr="007F7F3E" w:rsidRDefault="00EB5EFD" w:rsidP="00EB5EFD">
      <w:pPr>
        <w:pStyle w:val="Heading3"/>
        <w:spacing w:before="480" w:after="240"/>
        <w:rPr>
          <w:lang w:val="fr-CH"/>
        </w:rPr>
      </w:pPr>
      <w:r w:rsidRPr="00EB5EFD">
        <w:rPr>
          <w:i/>
          <w:lang w:val="fr-CH"/>
        </w:rPr>
        <w:t>Ordre Suprême des Ancêtres</w:t>
      </w:r>
      <w:r w:rsidRPr="00EB5EFD">
        <w:rPr>
          <w:lang w:val="fr-CH"/>
        </w:rPr>
        <w:t xml:space="preserve"> (OSA)</w:t>
      </w:r>
    </w:p>
    <w:p w14:paraId="19CB87C1" w14:textId="77777777" w:rsidR="00EB5EFD" w:rsidRPr="00E767F6" w:rsidRDefault="00EB5EFD" w:rsidP="00EB5EFD">
      <w:pPr>
        <w:spacing w:after="240"/>
        <w:rPr>
          <w:szCs w:val="22"/>
        </w:rPr>
      </w:pPr>
      <w:r w:rsidRPr="00E767F6">
        <w:rPr>
          <w:iCs/>
          <w:szCs w:val="22"/>
        </w:rPr>
        <w:t xml:space="preserve">Headquarters: </w:t>
      </w:r>
      <w:r>
        <w:rPr>
          <w:iCs/>
          <w:szCs w:val="22"/>
        </w:rPr>
        <w:t xml:space="preserve"> </w:t>
      </w:r>
      <w:r w:rsidRPr="00E767F6">
        <w:rPr>
          <w:iCs/>
          <w:szCs w:val="22"/>
        </w:rPr>
        <w:t xml:space="preserve">OSA </w:t>
      </w:r>
      <w:proofErr w:type="gramStart"/>
      <w:r w:rsidRPr="00E767F6">
        <w:rPr>
          <w:iCs/>
          <w:szCs w:val="22"/>
        </w:rPr>
        <w:t>was established</w:t>
      </w:r>
      <w:proofErr w:type="gramEnd"/>
      <w:r w:rsidRPr="00E767F6">
        <w:rPr>
          <w:iCs/>
          <w:szCs w:val="22"/>
        </w:rPr>
        <w:t xml:space="preserve"> in 2000 </w:t>
      </w:r>
      <w:r>
        <w:rPr>
          <w:iCs/>
          <w:szCs w:val="22"/>
        </w:rPr>
        <w:t xml:space="preserve">and has its headquarters at </w:t>
      </w:r>
      <w:proofErr w:type="spellStart"/>
      <w:r>
        <w:rPr>
          <w:iCs/>
          <w:szCs w:val="22"/>
        </w:rPr>
        <w:t>Ouidah</w:t>
      </w:r>
      <w:proofErr w:type="spellEnd"/>
      <w:r>
        <w:rPr>
          <w:iCs/>
          <w:szCs w:val="22"/>
        </w:rPr>
        <w:t>, Benin</w:t>
      </w:r>
      <w:r w:rsidRPr="00E767F6">
        <w:rPr>
          <w:szCs w:val="22"/>
        </w:rPr>
        <w:t>.</w:t>
      </w:r>
    </w:p>
    <w:p w14:paraId="3023B169" w14:textId="36492BFA" w:rsidR="00EB5EFD" w:rsidRDefault="00EB5EFD" w:rsidP="00EB5EFD">
      <w:pPr>
        <w:spacing w:after="240"/>
        <w:rPr>
          <w:iCs/>
          <w:szCs w:val="22"/>
        </w:rPr>
      </w:pPr>
      <w:r w:rsidRPr="00E13867">
        <w:rPr>
          <w:iCs/>
          <w:szCs w:val="22"/>
        </w:rPr>
        <w:t xml:space="preserve">Objectives:  </w:t>
      </w:r>
      <w:r>
        <w:rPr>
          <w:iCs/>
          <w:szCs w:val="22"/>
        </w:rPr>
        <w:t xml:space="preserve">OSA is a fraternal organization </w:t>
      </w:r>
      <w:r w:rsidRPr="00E13867">
        <w:rPr>
          <w:iCs/>
          <w:szCs w:val="22"/>
        </w:rPr>
        <w:t>promot</w:t>
      </w:r>
      <w:r>
        <w:rPr>
          <w:iCs/>
          <w:szCs w:val="22"/>
        </w:rPr>
        <w:t>ing</w:t>
      </w:r>
      <w:r w:rsidRPr="00E13867">
        <w:rPr>
          <w:iCs/>
          <w:szCs w:val="22"/>
        </w:rPr>
        <w:t xml:space="preserve"> and defend</w:t>
      </w:r>
      <w:r>
        <w:rPr>
          <w:iCs/>
          <w:szCs w:val="22"/>
        </w:rPr>
        <w:t>ing</w:t>
      </w:r>
      <w:r w:rsidRPr="00E13867">
        <w:rPr>
          <w:iCs/>
          <w:szCs w:val="22"/>
        </w:rPr>
        <w:t xml:space="preserve"> the interests of the members of the worldwide community of </w:t>
      </w:r>
      <w:proofErr w:type="spellStart"/>
      <w:r w:rsidRPr="00E13867">
        <w:rPr>
          <w:iCs/>
          <w:szCs w:val="22"/>
        </w:rPr>
        <w:t>Vodun</w:t>
      </w:r>
      <w:proofErr w:type="spellEnd"/>
      <w:r>
        <w:rPr>
          <w:iCs/>
          <w:szCs w:val="22"/>
        </w:rPr>
        <w:t xml:space="preserve">.  Its </w:t>
      </w:r>
      <w:r w:rsidRPr="00EA3619">
        <w:rPr>
          <w:iCs/>
          <w:szCs w:val="22"/>
        </w:rPr>
        <w:t>objective is</w:t>
      </w:r>
      <w:r>
        <w:rPr>
          <w:iCs/>
          <w:szCs w:val="22"/>
        </w:rPr>
        <w:t xml:space="preserve">, </w:t>
      </w:r>
      <w:r w:rsidRPr="0061548C">
        <w:rPr>
          <w:i/>
          <w:iCs/>
          <w:szCs w:val="22"/>
        </w:rPr>
        <w:t>inter alia</w:t>
      </w:r>
      <w:r>
        <w:rPr>
          <w:iCs/>
          <w:szCs w:val="22"/>
        </w:rPr>
        <w:t>,</w:t>
      </w:r>
      <w:r w:rsidRPr="00EA3619">
        <w:rPr>
          <w:iCs/>
          <w:szCs w:val="22"/>
        </w:rPr>
        <w:t xml:space="preserve"> to contribute to the </w:t>
      </w:r>
      <w:r>
        <w:rPr>
          <w:iCs/>
          <w:szCs w:val="22"/>
        </w:rPr>
        <w:t xml:space="preserve">reconstruction, census, </w:t>
      </w:r>
      <w:r w:rsidRPr="00EA3619">
        <w:rPr>
          <w:iCs/>
          <w:szCs w:val="22"/>
        </w:rPr>
        <w:t xml:space="preserve">fixation, documentation, preservation, promotion and dissemination </w:t>
      </w:r>
      <w:r>
        <w:rPr>
          <w:iCs/>
          <w:szCs w:val="22"/>
        </w:rPr>
        <w:t xml:space="preserve">of </w:t>
      </w:r>
      <w:r w:rsidRPr="00EA3619">
        <w:rPr>
          <w:iCs/>
          <w:szCs w:val="22"/>
        </w:rPr>
        <w:t>ancestral African</w:t>
      </w:r>
      <w:r>
        <w:rPr>
          <w:iCs/>
          <w:szCs w:val="22"/>
        </w:rPr>
        <w:t xml:space="preserve"> wisdom.  In doing </w:t>
      </w:r>
      <w:r w:rsidR="00F57DEF">
        <w:rPr>
          <w:iCs/>
          <w:szCs w:val="22"/>
        </w:rPr>
        <w:t>so</w:t>
      </w:r>
      <w:r>
        <w:rPr>
          <w:iCs/>
          <w:szCs w:val="22"/>
        </w:rPr>
        <w:t>, it relies</w:t>
      </w:r>
      <w:r w:rsidRPr="00EA3619">
        <w:rPr>
          <w:iCs/>
          <w:szCs w:val="22"/>
        </w:rPr>
        <w:t xml:space="preserve"> </w:t>
      </w:r>
      <w:r>
        <w:rPr>
          <w:iCs/>
          <w:szCs w:val="22"/>
        </w:rPr>
        <w:t xml:space="preserve">on </w:t>
      </w:r>
      <w:r w:rsidR="005E3FB4">
        <w:rPr>
          <w:iCs/>
          <w:szCs w:val="22"/>
        </w:rPr>
        <w:t>oral traditions and</w:t>
      </w:r>
      <w:r w:rsidRPr="00EA3619">
        <w:rPr>
          <w:iCs/>
          <w:szCs w:val="22"/>
        </w:rPr>
        <w:t xml:space="preserve"> cu</w:t>
      </w:r>
      <w:r>
        <w:rPr>
          <w:iCs/>
          <w:szCs w:val="22"/>
        </w:rPr>
        <w:t>stoms</w:t>
      </w:r>
      <w:r w:rsidR="005E3FB4">
        <w:rPr>
          <w:iCs/>
          <w:szCs w:val="22"/>
        </w:rPr>
        <w:t>,</w:t>
      </w:r>
      <w:r>
        <w:rPr>
          <w:iCs/>
          <w:szCs w:val="22"/>
        </w:rPr>
        <w:t xml:space="preserve"> as well as </w:t>
      </w:r>
      <w:r w:rsidRPr="00EA3619">
        <w:rPr>
          <w:iCs/>
          <w:szCs w:val="22"/>
        </w:rPr>
        <w:t>cultural and religious events of tr</w:t>
      </w:r>
      <w:r>
        <w:rPr>
          <w:iCs/>
          <w:szCs w:val="22"/>
        </w:rPr>
        <w:t>aditional chiefdoms</w:t>
      </w:r>
      <w:r w:rsidR="00F57DEF">
        <w:rPr>
          <w:iCs/>
          <w:szCs w:val="22"/>
        </w:rPr>
        <w:t>,</w:t>
      </w:r>
      <w:r>
        <w:rPr>
          <w:iCs/>
          <w:szCs w:val="22"/>
        </w:rPr>
        <w:t xml:space="preserve"> but also of </w:t>
      </w:r>
      <w:r w:rsidRPr="00EA3619">
        <w:rPr>
          <w:iCs/>
          <w:szCs w:val="22"/>
        </w:rPr>
        <w:t xml:space="preserve">ministries of worship of different </w:t>
      </w:r>
      <w:proofErr w:type="spellStart"/>
      <w:r w:rsidRPr="00EA3619">
        <w:rPr>
          <w:iCs/>
          <w:szCs w:val="22"/>
        </w:rPr>
        <w:t>obediences</w:t>
      </w:r>
      <w:proofErr w:type="spellEnd"/>
      <w:r w:rsidRPr="00EA3619">
        <w:rPr>
          <w:iCs/>
          <w:szCs w:val="22"/>
        </w:rPr>
        <w:t xml:space="preserve"> to endogenous religions</w:t>
      </w:r>
      <w:r>
        <w:rPr>
          <w:iCs/>
          <w:szCs w:val="22"/>
        </w:rPr>
        <w:t xml:space="preserve">.  OSA considers </w:t>
      </w:r>
      <w:r w:rsidR="00F57DEF">
        <w:rPr>
          <w:iCs/>
          <w:szCs w:val="22"/>
        </w:rPr>
        <w:t xml:space="preserve">the following </w:t>
      </w:r>
      <w:r>
        <w:rPr>
          <w:iCs/>
          <w:szCs w:val="22"/>
        </w:rPr>
        <w:t xml:space="preserve">to be constituent </w:t>
      </w:r>
      <w:r w:rsidR="00F57DEF">
        <w:rPr>
          <w:iCs/>
          <w:szCs w:val="22"/>
        </w:rPr>
        <w:t xml:space="preserve">elements </w:t>
      </w:r>
      <w:r>
        <w:rPr>
          <w:iCs/>
          <w:szCs w:val="22"/>
        </w:rPr>
        <w:t>of ancestral</w:t>
      </w:r>
      <w:r w:rsidRPr="00EA3619">
        <w:rPr>
          <w:iCs/>
          <w:szCs w:val="22"/>
        </w:rPr>
        <w:t xml:space="preserve"> African w</w:t>
      </w:r>
      <w:r>
        <w:rPr>
          <w:iCs/>
          <w:szCs w:val="22"/>
        </w:rPr>
        <w:t>isdom</w:t>
      </w:r>
      <w:r w:rsidR="00C42AFE">
        <w:rPr>
          <w:iCs/>
          <w:szCs w:val="22"/>
        </w:rPr>
        <w:t>:</w:t>
      </w:r>
      <w:r>
        <w:rPr>
          <w:iCs/>
          <w:szCs w:val="22"/>
        </w:rPr>
        <w:t xml:space="preserve"> certain specific elements that include </w:t>
      </w:r>
      <w:r w:rsidRPr="00EA3619">
        <w:rPr>
          <w:iCs/>
          <w:szCs w:val="22"/>
        </w:rPr>
        <w:t>the history of</w:t>
      </w:r>
      <w:r>
        <w:rPr>
          <w:iCs/>
          <w:szCs w:val="22"/>
        </w:rPr>
        <w:t xml:space="preserve"> peoples, chiefdoms and tribes; </w:t>
      </w:r>
      <w:r w:rsidRPr="00EA3619">
        <w:rPr>
          <w:iCs/>
          <w:szCs w:val="22"/>
        </w:rPr>
        <w:t>literary</w:t>
      </w:r>
      <w:r>
        <w:rPr>
          <w:iCs/>
          <w:szCs w:val="22"/>
        </w:rPr>
        <w:t>, musical and artistic culture;</w:t>
      </w:r>
      <w:r w:rsidRPr="00EA3619">
        <w:rPr>
          <w:iCs/>
          <w:szCs w:val="22"/>
        </w:rPr>
        <w:t xml:space="preserve"> folk</w:t>
      </w:r>
      <w:r>
        <w:rPr>
          <w:iCs/>
          <w:szCs w:val="22"/>
        </w:rPr>
        <w:t xml:space="preserve">lore, customs and popular arts;  </w:t>
      </w:r>
      <w:r w:rsidRPr="00EA3619">
        <w:rPr>
          <w:iCs/>
          <w:szCs w:val="22"/>
        </w:rPr>
        <w:lastRenderedPageBreak/>
        <w:t>traditional local product</w:t>
      </w:r>
      <w:r>
        <w:rPr>
          <w:iCs/>
          <w:szCs w:val="22"/>
        </w:rPr>
        <w:t>s;</w:t>
      </w:r>
      <w:r w:rsidRPr="00EA3619">
        <w:rPr>
          <w:iCs/>
          <w:szCs w:val="22"/>
        </w:rPr>
        <w:t xml:space="preserve"> </w:t>
      </w:r>
      <w:r>
        <w:rPr>
          <w:iCs/>
          <w:szCs w:val="22"/>
        </w:rPr>
        <w:t xml:space="preserve"> </w:t>
      </w:r>
      <w:r w:rsidRPr="00EA3619">
        <w:rPr>
          <w:iCs/>
          <w:szCs w:val="22"/>
        </w:rPr>
        <w:t>ostentati</w:t>
      </w:r>
      <w:r>
        <w:rPr>
          <w:iCs/>
          <w:szCs w:val="22"/>
        </w:rPr>
        <w:t>ous signs, objects and products; pharmacopoeia;  traditional naturopathy and herbalism.</w:t>
      </w:r>
    </w:p>
    <w:p w14:paraId="6459C8C2" w14:textId="77777777" w:rsidR="00EB5EFD" w:rsidRPr="00E13867" w:rsidRDefault="00EB5EFD" w:rsidP="00EB5EFD">
      <w:pPr>
        <w:spacing w:after="240"/>
        <w:rPr>
          <w:iCs/>
          <w:szCs w:val="22"/>
        </w:rPr>
      </w:pPr>
      <w:r w:rsidRPr="00E13867">
        <w:rPr>
          <w:iCs/>
          <w:szCs w:val="22"/>
        </w:rPr>
        <w:t>Structure</w:t>
      </w:r>
      <w:proofErr w:type="gramStart"/>
      <w:r w:rsidRPr="00E13867">
        <w:rPr>
          <w:iCs/>
          <w:szCs w:val="22"/>
        </w:rPr>
        <w:t xml:space="preserve">:  </w:t>
      </w:r>
      <w:r>
        <w:rPr>
          <w:iCs/>
          <w:szCs w:val="22"/>
        </w:rPr>
        <w:t>OSA is governed by an Executive Bureau, composed of seven members, who manage the organization</w:t>
      </w:r>
      <w:proofErr w:type="gramEnd"/>
      <w:r>
        <w:rPr>
          <w:iCs/>
          <w:szCs w:val="22"/>
        </w:rPr>
        <w:t xml:space="preserve">.  They </w:t>
      </w:r>
      <w:proofErr w:type="gramStart"/>
      <w:r>
        <w:rPr>
          <w:iCs/>
          <w:szCs w:val="22"/>
        </w:rPr>
        <w:t>are elected</w:t>
      </w:r>
      <w:proofErr w:type="gramEnd"/>
      <w:r>
        <w:rPr>
          <w:iCs/>
          <w:szCs w:val="22"/>
        </w:rPr>
        <w:t xml:space="preserve"> by the General Assembly, which serves as OSA’s decision-making body.  OSA’s Chancellor and Secretary General deal with everyday organizational matters.  The </w:t>
      </w:r>
      <w:r w:rsidRPr="005D2B84">
        <w:rPr>
          <w:i/>
          <w:iCs/>
          <w:szCs w:val="22"/>
        </w:rPr>
        <w:t xml:space="preserve">Chef </w:t>
      </w:r>
      <w:proofErr w:type="spellStart"/>
      <w:r w:rsidRPr="005D2B84">
        <w:rPr>
          <w:i/>
          <w:iCs/>
          <w:szCs w:val="22"/>
        </w:rPr>
        <w:t>Suprême</w:t>
      </w:r>
      <w:proofErr w:type="spellEnd"/>
      <w:r>
        <w:rPr>
          <w:iCs/>
          <w:szCs w:val="22"/>
        </w:rPr>
        <w:t xml:space="preserve"> is the spiritual leader of OSA and has a ceremonial function only.</w:t>
      </w:r>
    </w:p>
    <w:p w14:paraId="63779C7B" w14:textId="7109E3EF" w:rsidR="00EB5EFD" w:rsidRPr="005562F4" w:rsidRDefault="00EB5EFD" w:rsidP="00EB5EFD">
      <w:pPr>
        <w:spacing w:after="480"/>
        <w:rPr>
          <w:iCs/>
          <w:szCs w:val="22"/>
        </w:rPr>
      </w:pPr>
      <w:r w:rsidRPr="005562F4">
        <w:rPr>
          <w:iCs/>
          <w:szCs w:val="22"/>
        </w:rPr>
        <w:t>Membership:  OSA</w:t>
      </w:r>
      <w:r>
        <w:rPr>
          <w:iCs/>
          <w:szCs w:val="22"/>
        </w:rPr>
        <w:t xml:space="preserve"> has </w:t>
      </w:r>
      <w:proofErr w:type="gramStart"/>
      <w:r>
        <w:rPr>
          <w:iCs/>
          <w:szCs w:val="22"/>
        </w:rPr>
        <w:t>a total of 35,192</w:t>
      </w:r>
      <w:proofErr w:type="gramEnd"/>
      <w:r>
        <w:rPr>
          <w:iCs/>
          <w:szCs w:val="22"/>
        </w:rPr>
        <w:t xml:space="preserve"> members, who either belong to one of the eight OSA lodges (202 members), or one of two Chiefdoms (34,010 members), or to the Ministry of Traditional Worship, </w:t>
      </w:r>
      <w:proofErr w:type="spellStart"/>
      <w:r>
        <w:rPr>
          <w:iCs/>
          <w:szCs w:val="22"/>
        </w:rPr>
        <w:t>Houxwé</w:t>
      </w:r>
      <w:proofErr w:type="spellEnd"/>
      <w:r>
        <w:rPr>
          <w:iCs/>
          <w:szCs w:val="22"/>
        </w:rPr>
        <w:t xml:space="preserve"> (980 members).</w:t>
      </w:r>
    </w:p>
    <w:p w14:paraId="68A1E38D" w14:textId="77777777" w:rsidR="006A7850" w:rsidRPr="004E157E" w:rsidRDefault="006A7850" w:rsidP="006A7850">
      <w:pPr>
        <w:pStyle w:val="Heading3"/>
        <w:spacing w:before="480" w:after="240"/>
        <w:rPr>
          <w:lang w:val="fr-CH"/>
        </w:rPr>
      </w:pPr>
      <w:r w:rsidRPr="0053603D">
        <w:rPr>
          <w:lang w:val="fr-CH"/>
        </w:rPr>
        <w:t>Société des Auteurs dans les Arts Graphiques et Plastiques (ADAGP)</w:t>
      </w:r>
    </w:p>
    <w:p w14:paraId="25A38F6F" w14:textId="77777777" w:rsidR="006A7850" w:rsidRDefault="006A7850" w:rsidP="006A7850">
      <w:pPr>
        <w:spacing w:after="240"/>
        <w:rPr>
          <w:szCs w:val="22"/>
        </w:rPr>
      </w:pPr>
      <w:r>
        <w:rPr>
          <w:szCs w:val="22"/>
        </w:rPr>
        <w:t xml:space="preserve">Headquarters:  ADAGP </w:t>
      </w:r>
      <w:proofErr w:type="gramStart"/>
      <w:r>
        <w:rPr>
          <w:szCs w:val="22"/>
        </w:rPr>
        <w:t>was established</w:t>
      </w:r>
      <w:proofErr w:type="gramEnd"/>
      <w:r>
        <w:rPr>
          <w:szCs w:val="22"/>
        </w:rPr>
        <w:t xml:space="preserve"> in 1953 and has its headquarters in Paris, France.</w:t>
      </w:r>
    </w:p>
    <w:p w14:paraId="0EC26ECB" w14:textId="77777777" w:rsidR="006A7850" w:rsidRDefault="006A7850" w:rsidP="006A7850">
      <w:pPr>
        <w:spacing w:after="240"/>
        <w:rPr>
          <w:szCs w:val="22"/>
        </w:rPr>
      </w:pPr>
      <w:r>
        <w:rPr>
          <w:szCs w:val="22"/>
        </w:rPr>
        <w:t xml:space="preserve">Objectives:  ADAGP is the </w:t>
      </w:r>
      <w:r w:rsidRPr="00CE7F30">
        <w:rPr>
          <w:szCs w:val="22"/>
        </w:rPr>
        <w:t xml:space="preserve">French royalty collecting and distribution </w:t>
      </w:r>
      <w:r>
        <w:rPr>
          <w:szCs w:val="22"/>
        </w:rPr>
        <w:t xml:space="preserve">society in the field of graphics and </w:t>
      </w:r>
      <w:r w:rsidRPr="00CE7F30">
        <w:rPr>
          <w:szCs w:val="22"/>
        </w:rPr>
        <w:t>visual arts</w:t>
      </w:r>
      <w:r>
        <w:rPr>
          <w:szCs w:val="22"/>
        </w:rPr>
        <w:t>.  It represents authors from diverse fields such as painting, photography, architecture or street art</w:t>
      </w:r>
      <w:r w:rsidRPr="00CE7F30">
        <w:rPr>
          <w:szCs w:val="22"/>
        </w:rPr>
        <w:t>.</w:t>
      </w:r>
      <w:r>
        <w:rPr>
          <w:szCs w:val="22"/>
        </w:rPr>
        <w:t xml:space="preserve">  The organization</w:t>
      </w:r>
      <w:r w:rsidRPr="00CE7F30">
        <w:rPr>
          <w:szCs w:val="22"/>
        </w:rPr>
        <w:t xml:space="preserve"> manages all </w:t>
      </w:r>
      <w:r>
        <w:rPr>
          <w:szCs w:val="22"/>
        </w:rPr>
        <w:t>relevant intellectual</w:t>
      </w:r>
      <w:r w:rsidRPr="00CE7F30">
        <w:rPr>
          <w:szCs w:val="22"/>
        </w:rPr>
        <w:t xml:space="preserve"> p</w:t>
      </w:r>
      <w:r>
        <w:rPr>
          <w:szCs w:val="22"/>
        </w:rPr>
        <w:t xml:space="preserve">roperty rights held by its members, for example the </w:t>
      </w:r>
      <w:r w:rsidRPr="00CE7F30">
        <w:rPr>
          <w:szCs w:val="22"/>
        </w:rPr>
        <w:t xml:space="preserve">resale right, reproduction right, </w:t>
      </w:r>
      <w:r>
        <w:rPr>
          <w:szCs w:val="22"/>
        </w:rPr>
        <w:t>or right of public communication, for all modes of use.  In that context, ADAGP also defends the rights of its members against all third parties and financially supports projects to promote artists and their works.</w:t>
      </w:r>
    </w:p>
    <w:p w14:paraId="54211093" w14:textId="77777777" w:rsidR="006A7850" w:rsidRDefault="006A7850" w:rsidP="00056EC2">
      <w:pPr>
        <w:spacing w:after="240"/>
        <w:rPr>
          <w:szCs w:val="22"/>
        </w:rPr>
      </w:pPr>
      <w:r>
        <w:rPr>
          <w:szCs w:val="22"/>
        </w:rPr>
        <w:t>Structure:  The main governing body of ADAGP is the General Assembly, which appoints the members of the Board of Directors.  The latter consists of four to 16 members f</w:t>
      </w:r>
      <w:r>
        <w:t>rom one of the three categories of partners (artists, beneficiaries, assignees), with the artists being in the majority</w:t>
      </w:r>
      <w:r>
        <w:rPr>
          <w:szCs w:val="22"/>
        </w:rPr>
        <w:t xml:space="preserve">.  </w:t>
      </w:r>
      <w:r>
        <w:t>The Board of Directors elects from its members a Chair and two Vice-Chairs, who constitute ADAP’s Bureau</w:t>
      </w:r>
      <w:r>
        <w:rPr>
          <w:szCs w:val="22"/>
        </w:rPr>
        <w:t>. A Supervisory Committee oversees the activity of the Board of Directors and the General Manager.</w:t>
      </w:r>
    </w:p>
    <w:p w14:paraId="1385C566" w14:textId="77777777" w:rsidR="006A7850" w:rsidRDefault="006A7850" w:rsidP="006A7850">
      <w:pPr>
        <w:spacing w:after="840"/>
        <w:rPr>
          <w:szCs w:val="22"/>
        </w:rPr>
      </w:pPr>
      <w:r>
        <w:rPr>
          <w:szCs w:val="22"/>
        </w:rPr>
        <w:t>Membership:  ADAGP’s membership consists of approximately 14,500 direct members.</w:t>
      </w:r>
    </w:p>
    <w:p w14:paraId="0DF2A669" w14:textId="77777777" w:rsidR="002928D3" w:rsidRDefault="006A7850" w:rsidP="00056EC2">
      <w:pPr>
        <w:pStyle w:val="Endofdocument-Annex"/>
        <w:spacing w:before="960"/>
      </w:pPr>
      <w:r>
        <w:t>[End of Annex II and of document]</w:t>
      </w:r>
    </w:p>
    <w:sectPr w:rsidR="002928D3" w:rsidSect="00056EC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9614" w14:textId="77777777" w:rsidR="00AF1284" w:rsidRDefault="00AF1284">
      <w:r>
        <w:separator/>
      </w:r>
    </w:p>
  </w:endnote>
  <w:endnote w:type="continuationSeparator" w:id="0">
    <w:p w14:paraId="4DBFA947" w14:textId="77777777" w:rsidR="00AF1284" w:rsidRDefault="00AF1284" w:rsidP="003B38C1">
      <w:r>
        <w:separator/>
      </w:r>
    </w:p>
    <w:p w14:paraId="4CCDDA3D" w14:textId="77777777" w:rsidR="00AF1284" w:rsidRPr="003B38C1" w:rsidRDefault="00AF1284" w:rsidP="003B38C1">
      <w:pPr>
        <w:spacing w:after="60"/>
        <w:rPr>
          <w:sz w:val="17"/>
        </w:rPr>
      </w:pPr>
      <w:r>
        <w:rPr>
          <w:sz w:val="17"/>
        </w:rPr>
        <w:t>[Endnote continued from previous page]</w:t>
      </w:r>
    </w:p>
  </w:endnote>
  <w:endnote w:type="continuationNotice" w:id="1">
    <w:p w14:paraId="25DCC451" w14:textId="77777777" w:rsidR="00AF1284" w:rsidRPr="003B38C1" w:rsidRDefault="00AF12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C79D" w14:textId="77777777" w:rsidR="006A7850" w:rsidRDefault="006A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382B2" w14:textId="77777777" w:rsidR="00AF1284" w:rsidRDefault="00AF1284">
      <w:r>
        <w:separator/>
      </w:r>
    </w:p>
  </w:footnote>
  <w:footnote w:type="continuationSeparator" w:id="0">
    <w:p w14:paraId="3550F90C" w14:textId="77777777" w:rsidR="00AF1284" w:rsidRDefault="00AF1284" w:rsidP="008B60B2">
      <w:r>
        <w:separator/>
      </w:r>
    </w:p>
    <w:p w14:paraId="7E6F08EA" w14:textId="77777777" w:rsidR="00AF1284" w:rsidRPr="00ED77FB" w:rsidRDefault="00AF1284" w:rsidP="008B60B2">
      <w:pPr>
        <w:spacing w:after="60"/>
        <w:rPr>
          <w:sz w:val="17"/>
          <w:szCs w:val="17"/>
        </w:rPr>
      </w:pPr>
      <w:r w:rsidRPr="00ED77FB">
        <w:rPr>
          <w:sz w:val="17"/>
          <w:szCs w:val="17"/>
        </w:rPr>
        <w:t>[Footnote continued from previous page]</w:t>
      </w:r>
    </w:p>
  </w:footnote>
  <w:footnote w:type="continuationNotice" w:id="1">
    <w:p w14:paraId="5115A1BE" w14:textId="77777777" w:rsidR="00AF1284" w:rsidRPr="00ED77FB" w:rsidRDefault="00AF1284" w:rsidP="008B60B2">
      <w:pPr>
        <w:spacing w:before="60"/>
        <w:jc w:val="right"/>
        <w:rPr>
          <w:sz w:val="17"/>
          <w:szCs w:val="17"/>
        </w:rPr>
      </w:pPr>
      <w:r w:rsidRPr="00ED77FB">
        <w:rPr>
          <w:sz w:val="17"/>
          <w:szCs w:val="17"/>
        </w:rPr>
        <w:t>[Footnote continued on next page]</w:t>
      </w:r>
    </w:p>
  </w:footnote>
  <w:footnote w:id="2">
    <w:p w14:paraId="31A3E119" w14:textId="77777777" w:rsidR="006A7850" w:rsidRPr="002F6579" w:rsidRDefault="006A7850" w:rsidP="006A7850">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1AAE" w14:textId="77777777" w:rsidR="006A7850" w:rsidRDefault="006A7850" w:rsidP="009256DA">
    <w:pPr>
      <w:jc w:val="right"/>
    </w:pPr>
    <w:r>
      <w:t>A/59</w:t>
    </w:r>
    <w:r w:rsidRPr="003E5C45">
      <w:rPr>
        <w:highlight w:val="yellow"/>
      </w:rPr>
      <w:t>/</w:t>
    </w:r>
    <w:proofErr w:type="gramStart"/>
    <w:r w:rsidRPr="003E5C45">
      <w:rPr>
        <w:highlight w:val="yellow"/>
      </w:rPr>
      <w:t>??</w:t>
    </w:r>
    <w:proofErr w:type="gramEnd"/>
  </w:p>
  <w:p w14:paraId="3893827E" w14:textId="77777777" w:rsidR="006A7850" w:rsidRDefault="006A7850"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6D5C" w14:textId="0F6DC059" w:rsidR="006A7850" w:rsidRDefault="006A7850" w:rsidP="001327E8">
    <w:pPr>
      <w:jc w:val="right"/>
    </w:pPr>
    <w:r>
      <w:t>A/</w:t>
    </w:r>
    <w:r w:rsidRPr="00BF44F4">
      <w:t>62/3</w:t>
    </w:r>
    <w:r w:rsidR="00A52A80">
      <w:t xml:space="preserve"> Rev.</w:t>
    </w:r>
  </w:p>
  <w:p w14:paraId="1F076EC4" w14:textId="77777777" w:rsidR="006A7850" w:rsidRDefault="006A7850" w:rsidP="001327E8">
    <w:pPr>
      <w:jc w:val="right"/>
    </w:pPr>
    <w:proofErr w:type="gramStart"/>
    <w:r>
      <w:t>page</w:t>
    </w:r>
    <w:proofErr w:type="gramEnd"/>
    <w:r>
      <w:t xml:space="preserve"> 2</w:t>
    </w:r>
  </w:p>
  <w:p w14:paraId="7B3110EB" w14:textId="77777777" w:rsidR="006A7850" w:rsidRPr="001327E8" w:rsidRDefault="006A7850" w:rsidP="006B09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5378" w14:textId="77777777" w:rsidR="006A7850" w:rsidRPr="003059ED" w:rsidRDefault="006A7850" w:rsidP="00BD3CBD">
    <w:pPr>
      <w:pStyle w:val="Header"/>
      <w:jc w:val="right"/>
      <w:rPr>
        <w:lang w:val="fr-CH"/>
      </w:rPr>
    </w:pPr>
    <w:r w:rsidRPr="003059ED">
      <w:rPr>
        <w:lang w:val="fr-CH"/>
      </w:rPr>
      <w:t>A/</w:t>
    </w:r>
    <w:r w:rsidRPr="00BF44F4">
      <w:rPr>
        <w:lang w:val="fr-CH"/>
      </w:rPr>
      <w:t>62/3</w:t>
    </w:r>
  </w:p>
  <w:p w14:paraId="471ECD4E" w14:textId="77777777" w:rsidR="006A7850" w:rsidRPr="003059ED" w:rsidRDefault="006A7850" w:rsidP="003059ED">
    <w:pPr>
      <w:pStyle w:val="Header"/>
      <w:spacing w:after="480"/>
      <w:jc w:val="right"/>
      <w:rPr>
        <w:lang w:val="fr-CH"/>
      </w:rPr>
    </w:pPr>
    <w:proofErr w:type="spellStart"/>
    <w:r w:rsidRPr="003059ED">
      <w:rPr>
        <w:lang w:val="fr-CH"/>
      </w:rPr>
      <w:t>Annex</w:t>
    </w:r>
    <w:proofErr w:type="spellEnd"/>
    <w:r w:rsidRPr="003059ED">
      <w:rPr>
        <w:lang w:val="fr-CH"/>
      </w:rPr>
      <w:t xml:space="preserve"> </w:t>
    </w:r>
    <w:r>
      <w:rPr>
        <w:lang w:val="fr-CH"/>
      </w:rPr>
      <w:t>II</w:t>
    </w:r>
    <w:r w:rsidRPr="003059ED">
      <w:rPr>
        <w:lang w:val="fr-CH"/>
      </w:rPr>
      <w:t xml:space="preserve">, page </w:t>
    </w:r>
    <w:sdt>
      <w:sdtPr>
        <w:id w:val="546650244"/>
        <w:docPartObj>
          <w:docPartGallery w:val="Page Numbers (Top of Page)"/>
          <w:docPartUnique/>
        </w:docPartObj>
      </w:sdtPr>
      <w:sdtEndPr>
        <w:rPr>
          <w:noProof/>
        </w:rPr>
      </w:sdtEndPr>
      <w:sdtContent>
        <w:r>
          <w:fldChar w:fldCharType="begin"/>
        </w:r>
        <w:r w:rsidRPr="003059ED">
          <w:rPr>
            <w:lang w:val="fr-CH"/>
          </w:rPr>
          <w:instrText xml:space="preserve"> PAGE   \* MERGEFORMAT </w:instrText>
        </w:r>
        <w:r>
          <w:fldChar w:fldCharType="separate"/>
        </w:r>
        <w:r>
          <w:rPr>
            <w:noProof/>
            <w:lang w:val="fr-CH"/>
          </w:rPr>
          <w:t>3</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85CD" w14:textId="688DEC48" w:rsidR="006A7850" w:rsidRDefault="006A7850" w:rsidP="00D85DD7">
    <w:pPr>
      <w:pStyle w:val="Header"/>
      <w:jc w:val="right"/>
    </w:pPr>
    <w:r>
      <w:t>A/</w:t>
    </w:r>
    <w:r w:rsidRPr="00BF44F4">
      <w:t>62/3</w:t>
    </w:r>
    <w:r w:rsidR="00A52A80">
      <w:t xml:space="preserve"> Rev.</w:t>
    </w:r>
  </w:p>
  <w:p w14:paraId="17FAD23B" w14:textId="77777777" w:rsidR="006A7850" w:rsidRDefault="006A7850" w:rsidP="00795EBE">
    <w:pPr>
      <w:spacing w:after="480"/>
      <w:jc w:val="right"/>
    </w:pPr>
    <w:r>
      <w:t>ANNEX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noProof/>
      </w:rPr>
    </w:sdtEndPr>
    <w:sdtContent>
      <w:p w14:paraId="505D42E1" w14:textId="408611B5" w:rsidR="006A7850" w:rsidRDefault="006A7850" w:rsidP="003C751B">
        <w:pPr>
          <w:pStyle w:val="Header"/>
          <w:jc w:val="right"/>
        </w:pPr>
        <w:r>
          <w:t>A/62/3</w:t>
        </w:r>
        <w:r w:rsidR="00A52A80">
          <w:t xml:space="preserve"> Rev.</w:t>
        </w:r>
      </w:p>
      <w:p w14:paraId="24DB8F7A" w14:textId="57A5F32E" w:rsidR="006A7850" w:rsidRDefault="006A7850" w:rsidP="00FF51F2">
        <w:pPr>
          <w:pStyle w:val="Header"/>
          <w:spacing w:after="480"/>
          <w:jc w:val="right"/>
        </w:pPr>
        <w:r>
          <w:t xml:space="preserve">Annex I, page </w:t>
        </w:r>
        <w:r>
          <w:fldChar w:fldCharType="begin"/>
        </w:r>
        <w:r>
          <w:instrText xml:space="preserve"> PAGE   \* MERGEFORMAT </w:instrText>
        </w:r>
        <w:r>
          <w:fldChar w:fldCharType="separate"/>
        </w:r>
        <w:r w:rsidR="00BC588B">
          <w:rPr>
            <w:noProof/>
          </w:rPr>
          <w:t>3</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EA64" w14:textId="07CF3999" w:rsidR="00EC4E49" w:rsidRDefault="006A7850" w:rsidP="00477D6B">
    <w:pPr>
      <w:jc w:val="right"/>
    </w:pPr>
    <w:bookmarkStart w:id="6" w:name="Code2"/>
    <w:bookmarkEnd w:id="6"/>
    <w:r>
      <w:t>A/62/3</w:t>
    </w:r>
    <w:r w:rsidR="00A52A80">
      <w:t xml:space="preserve"> Rev.</w:t>
    </w:r>
  </w:p>
  <w:p w14:paraId="39FEE009" w14:textId="2925EF2D" w:rsidR="00B50B99" w:rsidRDefault="00056EC2" w:rsidP="00056EC2">
    <w:pPr>
      <w:spacing w:after="480"/>
      <w:jc w:val="right"/>
    </w:pPr>
    <w:r>
      <w:t xml:space="preserve">Annex II, </w:t>
    </w:r>
    <w:r w:rsidR="00EC4E49">
      <w:t xml:space="preserve">page </w:t>
    </w:r>
    <w:r w:rsidR="00EC4E49">
      <w:fldChar w:fldCharType="begin"/>
    </w:r>
    <w:r w:rsidR="00EC4E49">
      <w:instrText xml:space="preserve"> PAGE  \* MERGEFORMAT </w:instrText>
    </w:r>
    <w:r w:rsidR="00EC4E49">
      <w:fldChar w:fldCharType="separate"/>
    </w:r>
    <w:r w:rsidR="00BC588B">
      <w:rPr>
        <w:noProof/>
      </w:rPr>
      <w:t>3</w:t>
    </w:r>
    <w:r w:rsidR="00EC4E49">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24000"/>
      <w:docPartObj>
        <w:docPartGallery w:val="Page Numbers (Top of Page)"/>
        <w:docPartUnique/>
      </w:docPartObj>
    </w:sdtPr>
    <w:sdtEndPr>
      <w:rPr>
        <w:noProof/>
      </w:rPr>
    </w:sdtEndPr>
    <w:sdtContent>
      <w:p w14:paraId="5E7A7427" w14:textId="5557C73B" w:rsidR="00056EC2" w:rsidRDefault="00056EC2" w:rsidP="003C751B">
        <w:pPr>
          <w:pStyle w:val="Header"/>
          <w:jc w:val="right"/>
        </w:pPr>
        <w:r>
          <w:t>A/62/3</w:t>
        </w:r>
        <w:r w:rsidR="00A52A80">
          <w:t xml:space="preserve"> Rev.</w:t>
        </w:r>
      </w:p>
      <w:p w14:paraId="1AC6F1BC" w14:textId="77777777" w:rsidR="00056EC2" w:rsidRDefault="00056EC2" w:rsidP="00FF51F2">
        <w:pPr>
          <w:pStyle w:val="Header"/>
          <w:spacing w:after="480"/>
          <w:jc w:val="right"/>
          <w:rPr>
            <w:noProof/>
          </w:rPr>
        </w:pPr>
        <w:r>
          <w:t>ANNEX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50"/>
    <w:rsid w:val="0001647B"/>
    <w:rsid w:val="00026A5A"/>
    <w:rsid w:val="00043CAA"/>
    <w:rsid w:val="00056EC2"/>
    <w:rsid w:val="00075432"/>
    <w:rsid w:val="000968ED"/>
    <w:rsid w:val="000F32C7"/>
    <w:rsid w:val="000F5E56"/>
    <w:rsid w:val="001024FE"/>
    <w:rsid w:val="001362EE"/>
    <w:rsid w:val="00142868"/>
    <w:rsid w:val="001832A6"/>
    <w:rsid w:val="001C6808"/>
    <w:rsid w:val="001F73B2"/>
    <w:rsid w:val="002121FA"/>
    <w:rsid w:val="002620CC"/>
    <w:rsid w:val="002634C4"/>
    <w:rsid w:val="002928D3"/>
    <w:rsid w:val="002F1FE6"/>
    <w:rsid w:val="002F4E68"/>
    <w:rsid w:val="00312F7F"/>
    <w:rsid w:val="003228B7"/>
    <w:rsid w:val="003508A3"/>
    <w:rsid w:val="003673CF"/>
    <w:rsid w:val="00373BAD"/>
    <w:rsid w:val="003845C1"/>
    <w:rsid w:val="003A6F89"/>
    <w:rsid w:val="003B38C1"/>
    <w:rsid w:val="003D0842"/>
    <w:rsid w:val="003D43F2"/>
    <w:rsid w:val="00423E3E"/>
    <w:rsid w:val="00427AF4"/>
    <w:rsid w:val="004400E2"/>
    <w:rsid w:val="00461632"/>
    <w:rsid w:val="004647DA"/>
    <w:rsid w:val="00474062"/>
    <w:rsid w:val="00475C85"/>
    <w:rsid w:val="00477D6B"/>
    <w:rsid w:val="004D39C4"/>
    <w:rsid w:val="00525C55"/>
    <w:rsid w:val="0053057A"/>
    <w:rsid w:val="00560A29"/>
    <w:rsid w:val="00566D41"/>
    <w:rsid w:val="00594D27"/>
    <w:rsid w:val="005A5690"/>
    <w:rsid w:val="005E3FB4"/>
    <w:rsid w:val="00601760"/>
    <w:rsid w:val="00605827"/>
    <w:rsid w:val="00646050"/>
    <w:rsid w:val="006713CA"/>
    <w:rsid w:val="00676C5C"/>
    <w:rsid w:val="00684DD5"/>
    <w:rsid w:val="00695558"/>
    <w:rsid w:val="006A2887"/>
    <w:rsid w:val="006A7850"/>
    <w:rsid w:val="006D5E0F"/>
    <w:rsid w:val="007058FB"/>
    <w:rsid w:val="00731B9F"/>
    <w:rsid w:val="0073293A"/>
    <w:rsid w:val="00792E54"/>
    <w:rsid w:val="0079688F"/>
    <w:rsid w:val="007B6A58"/>
    <w:rsid w:val="007D1613"/>
    <w:rsid w:val="00873EE5"/>
    <w:rsid w:val="008B2CC1"/>
    <w:rsid w:val="008B4B5E"/>
    <w:rsid w:val="008B60B2"/>
    <w:rsid w:val="0090731E"/>
    <w:rsid w:val="00916EE2"/>
    <w:rsid w:val="00966A22"/>
    <w:rsid w:val="0096722F"/>
    <w:rsid w:val="00980843"/>
    <w:rsid w:val="009E2791"/>
    <w:rsid w:val="009E3F6F"/>
    <w:rsid w:val="009F2C63"/>
    <w:rsid w:val="009F3BF9"/>
    <w:rsid w:val="009F499F"/>
    <w:rsid w:val="00A42DAF"/>
    <w:rsid w:val="00A45BD8"/>
    <w:rsid w:val="00A52A80"/>
    <w:rsid w:val="00A778BF"/>
    <w:rsid w:val="00A85B8E"/>
    <w:rsid w:val="00AC205C"/>
    <w:rsid w:val="00AF1284"/>
    <w:rsid w:val="00AF5C73"/>
    <w:rsid w:val="00B05A69"/>
    <w:rsid w:val="00B276BD"/>
    <w:rsid w:val="00B40598"/>
    <w:rsid w:val="00B50B99"/>
    <w:rsid w:val="00B62CD9"/>
    <w:rsid w:val="00B6518C"/>
    <w:rsid w:val="00B9647D"/>
    <w:rsid w:val="00B9734B"/>
    <w:rsid w:val="00BC588B"/>
    <w:rsid w:val="00BD634E"/>
    <w:rsid w:val="00C11BFE"/>
    <w:rsid w:val="00C315F4"/>
    <w:rsid w:val="00C42AFE"/>
    <w:rsid w:val="00C94629"/>
    <w:rsid w:val="00CE65D4"/>
    <w:rsid w:val="00D25190"/>
    <w:rsid w:val="00D45252"/>
    <w:rsid w:val="00D71B4D"/>
    <w:rsid w:val="00D93D55"/>
    <w:rsid w:val="00E161A2"/>
    <w:rsid w:val="00E335FE"/>
    <w:rsid w:val="00E5021F"/>
    <w:rsid w:val="00E671A6"/>
    <w:rsid w:val="00EB5EFD"/>
    <w:rsid w:val="00EC4E49"/>
    <w:rsid w:val="00ED77FB"/>
    <w:rsid w:val="00F021A6"/>
    <w:rsid w:val="00F11D94"/>
    <w:rsid w:val="00F50967"/>
    <w:rsid w:val="00F57DEF"/>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C983F1"/>
  <w15:docId w15:val="{B4AC8BFC-3B1A-402A-8076-EDC7ACB5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A7850"/>
    <w:pPr>
      <w:ind w:left="720"/>
      <w:contextualSpacing/>
    </w:pPr>
    <w:rPr>
      <w:rFonts w:eastAsia="Times New Roman"/>
      <w:lang w:eastAsia="en-US"/>
    </w:rPr>
  </w:style>
  <w:style w:type="character" w:styleId="FootnoteReference">
    <w:name w:val="footnote reference"/>
    <w:basedOn w:val="DefaultParagraphFont"/>
    <w:rsid w:val="006A7850"/>
    <w:rPr>
      <w:vertAlign w:val="superscript"/>
    </w:rPr>
  </w:style>
  <w:style w:type="character" w:customStyle="1" w:styleId="Heading2Char">
    <w:name w:val="Heading 2 Char"/>
    <w:basedOn w:val="DefaultParagraphFont"/>
    <w:link w:val="Heading2"/>
    <w:rsid w:val="006A7850"/>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6A7850"/>
    <w:rPr>
      <w:rFonts w:ascii="Arial" w:eastAsia="SimSun" w:hAnsi="Arial" w:cs="Arial"/>
      <w:sz w:val="22"/>
      <w:lang w:val="en-US" w:eastAsia="zh-CN"/>
    </w:rPr>
  </w:style>
  <w:style w:type="character" w:customStyle="1" w:styleId="FooterChar">
    <w:name w:val="Footer Char"/>
    <w:basedOn w:val="DefaultParagraphFont"/>
    <w:link w:val="Footer"/>
    <w:uiPriority w:val="99"/>
    <w:rsid w:val="006A7850"/>
    <w:rPr>
      <w:rFonts w:ascii="Arial" w:eastAsia="SimSun" w:hAnsi="Arial" w:cs="Arial"/>
      <w:sz w:val="22"/>
      <w:lang w:val="en-US" w:eastAsia="zh-CN"/>
    </w:rPr>
  </w:style>
  <w:style w:type="paragraph" w:styleId="BalloonText">
    <w:name w:val="Balloon Text"/>
    <w:basedOn w:val="Normal"/>
    <w:link w:val="BalloonTextChar"/>
    <w:semiHidden/>
    <w:unhideWhenUsed/>
    <w:rsid w:val="00EB5EFD"/>
    <w:rPr>
      <w:rFonts w:ascii="Segoe UI" w:hAnsi="Segoe UI" w:cs="Segoe UI"/>
      <w:sz w:val="18"/>
      <w:szCs w:val="18"/>
    </w:rPr>
  </w:style>
  <w:style w:type="character" w:customStyle="1" w:styleId="BalloonTextChar">
    <w:name w:val="Balloon Text Char"/>
    <w:basedOn w:val="DefaultParagraphFont"/>
    <w:link w:val="BalloonText"/>
    <w:semiHidden/>
    <w:rsid w:val="00EB5EF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75C85"/>
    <w:rPr>
      <w:sz w:val="16"/>
      <w:szCs w:val="16"/>
    </w:rPr>
  </w:style>
  <w:style w:type="paragraph" w:styleId="CommentSubject">
    <w:name w:val="annotation subject"/>
    <w:basedOn w:val="CommentText"/>
    <w:next w:val="CommentText"/>
    <w:link w:val="CommentSubjectChar"/>
    <w:semiHidden/>
    <w:unhideWhenUsed/>
    <w:rsid w:val="00475C85"/>
    <w:rPr>
      <w:b/>
      <w:bCs/>
      <w:sz w:val="20"/>
    </w:rPr>
  </w:style>
  <w:style w:type="character" w:customStyle="1" w:styleId="CommentTextChar">
    <w:name w:val="Comment Text Char"/>
    <w:basedOn w:val="DefaultParagraphFont"/>
    <w:link w:val="CommentText"/>
    <w:semiHidden/>
    <w:rsid w:val="00475C8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75C8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77A2-48C8-418A-BDF7-764DD7CE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21</TotalTime>
  <Pages>8</Pages>
  <Words>2511</Words>
  <Characters>14843</Characters>
  <Application>Microsoft Office Word</Application>
  <DocSecurity>0</DocSecurity>
  <Lines>247</Lines>
  <Paragraphs>90</Paragraphs>
  <ScaleCrop>false</ScaleCrop>
  <HeadingPairs>
    <vt:vector size="2" baseType="variant">
      <vt:variant>
        <vt:lpstr>Title</vt:lpstr>
      </vt:variant>
      <vt:variant>
        <vt:i4>1</vt:i4>
      </vt:variant>
    </vt:vector>
  </HeadingPairs>
  <TitlesOfParts>
    <vt:vector size="1" baseType="lpstr">
      <vt:lpstr>A/62/3</vt:lpstr>
    </vt:vector>
  </TitlesOfParts>
  <Company>WIPO</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A/62/3 Rev.</dc:title>
  <dc:subject>Sixty-Second Series of Meetings</dc:subject>
  <dc:creator>WIPO</dc:creator>
  <cp:keywords>PUBLIC</cp:keywords>
  <cp:lastModifiedBy>HÄFLIGER Patience</cp:lastModifiedBy>
  <cp:revision>6</cp:revision>
  <cp:lastPrinted>2011-02-15T11:56:00Z</cp:lastPrinted>
  <dcterms:created xsi:type="dcterms:W3CDTF">2021-09-14T14:11:00Z</dcterms:created>
  <dcterms:modified xsi:type="dcterms:W3CDTF">2021-09-14T14:40:00Z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52eaf286-e58c-472f-ac95-c27141811856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