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95254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5F10BC" w:rsidP="001024FE">
      <w:pPr>
        <w:jc w:val="right"/>
        <w:rPr>
          <w:rFonts w:ascii="Arial Black" w:hAnsi="Arial Black"/>
          <w:caps/>
          <w:sz w:val="15"/>
          <w:szCs w:val="15"/>
        </w:rPr>
      </w:pPr>
      <w:r>
        <w:rPr>
          <w:rFonts w:ascii="Arial Black" w:hAnsi="Arial Black"/>
          <w:caps/>
          <w:sz w:val="15"/>
          <w:szCs w:val="15"/>
        </w:rPr>
        <w:t>a/64/</w:t>
      </w:r>
      <w:bookmarkStart w:id="1" w:name="Code"/>
      <w:r w:rsidR="008803D4">
        <w:rPr>
          <w:rFonts w:ascii="Arial Black" w:hAnsi="Arial Black"/>
          <w:caps/>
          <w:sz w:val="15"/>
          <w:szCs w:val="15"/>
        </w:rPr>
        <w:t>10</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8803D4">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037E9C">
        <w:rPr>
          <w:rFonts w:ascii="Arial Black" w:hAnsi="Arial Black"/>
          <w:caps/>
          <w:sz w:val="15"/>
          <w:szCs w:val="15"/>
        </w:rPr>
        <w:t>June 21</w:t>
      </w:r>
      <w:r w:rsidR="008803D4">
        <w:rPr>
          <w:rFonts w:ascii="Arial Black" w:hAnsi="Arial Black"/>
          <w:caps/>
          <w:sz w:val="15"/>
          <w:szCs w:val="15"/>
        </w:rPr>
        <w:t>, 2023</w:t>
      </w:r>
    </w:p>
    <w:bookmarkEnd w:id="3"/>
    <w:p w:rsidR="008B2CC1" w:rsidRPr="003845C1" w:rsidRDefault="005F10BC" w:rsidP="00CE65D4">
      <w:pPr>
        <w:spacing w:after="600"/>
        <w:rPr>
          <w:b/>
          <w:sz w:val="28"/>
          <w:szCs w:val="28"/>
        </w:rPr>
      </w:pPr>
      <w:r w:rsidRPr="005F10BC">
        <w:rPr>
          <w:b/>
          <w:sz w:val="28"/>
          <w:szCs w:val="28"/>
        </w:rPr>
        <w:t>Assemblies of the Member States of WIPO</w:t>
      </w:r>
    </w:p>
    <w:p w:rsidR="008B2CC1" w:rsidRPr="003845C1" w:rsidRDefault="005F10BC" w:rsidP="008B2CC1">
      <w:pPr>
        <w:rPr>
          <w:b/>
          <w:sz w:val="24"/>
          <w:szCs w:val="24"/>
        </w:rPr>
      </w:pPr>
      <w:r w:rsidRPr="005F10BC">
        <w:rPr>
          <w:b/>
          <w:sz w:val="24"/>
          <w:szCs w:val="24"/>
        </w:rPr>
        <w:t>Sixty</w:t>
      </w:r>
      <w:r w:rsidR="00813C5E">
        <w:rPr>
          <w:b/>
          <w:sz w:val="24"/>
          <w:szCs w:val="24"/>
        </w:rPr>
        <w:t>-</w:t>
      </w:r>
      <w:r w:rsidRPr="005F10BC">
        <w:rPr>
          <w:b/>
          <w:sz w:val="24"/>
          <w:szCs w:val="24"/>
        </w:rPr>
        <w:t>Fourth Series of Meetings</w:t>
      </w:r>
    </w:p>
    <w:p w:rsidR="008B2CC1" w:rsidRPr="009F3BF9" w:rsidRDefault="005F10BC" w:rsidP="00CE65D4">
      <w:pPr>
        <w:spacing w:after="720"/>
      </w:pPr>
      <w:r w:rsidRPr="005F10BC">
        <w:rPr>
          <w:b/>
          <w:sz w:val="24"/>
          <w:szCs w:val="24"/>
        </w:rPr>
        <w:t>Geneva, July 6 to 14, 2023</w:t>
      </w:r>
    </w:p>
    <w:p w:rsidR="008B2CC1" w:rsidRPr="009F3BF9" w:rsidRDefault="008803D4" w:rsidP="00CE65D4">
      <w:pPr>
        <w:spacing w:after="360"/>
        <w:rPr>
          <w:caps/>
          <w:sz w:val="24"/>
        </w:rPr>
      </w:pPr>
      <w:bookmarkStart w:id="4" w:name="TitleOfDoc"/>
      <w:r>
        <w:rPr>
          <w:caps/>
          <w:sz w:val="24"/>
        </w:rPr>
        <w:t xml:space="preserve">proposal </w:t>
      </w:r>
      <w:r w:rsidRPr="008803D4">
        <w:rPr>
          <w:caps/>
          <w:sz w:val="24"/>
        </w:rPr>
        <w:t>of the Central European and Baltic States Group (CEBS) on the Composition of the WIPO Coordination Committee</w:t>
      </w:r>
    </w:p>
    <w:p w:rsidR="008B2CC1" w:rsidRPr="004D39C4" w:rsidRDefault="008803D4" w:rsidP="00CE65D4">
      <w:pPr>
        <w:spacing w:after="960"/>
        <w:rPr>
          <w:i/>
        </w:rPr>
      </w:pPr>
      <w:bookmarkStart w:id="5" w:name="Prepared"/>
      <w:bookmarkEnd w:id="4"/>
      <w:r w:rsidRPr="008803D4">
        <w:rPr>
          <w:i/>
        </w:rPr>
        <w:t>submitted by the Central European and Baltic States Group</w:t>
      </w:r>
      <w:r>
        <w:rPr>
          <w:i/>
        </w:rPr>
        <w:t xml:space="preserve"> </w:t>
      </w:r>
      <w:r w:rsidR="00640714">
        <w:rPr>
          <w:i/>
        </w:rPr>
        <w:t>(CEBS)</w:t>
      </w:r>
    </w:p>
    <w:bookmarkEnd w:id="5"/>
    <w:p w:rsidR="002928D3" w:rsidRDefault="00B31739" w:rsidP="000A2D67">
      <w:pPr>
        <w:spacing w:after="720"/>
      </w:pPr>
      <w:r w:rsidRPr="00B31739">
        <w:t>In a communication to the Secretariat received on</w:t>
      </w:r>
      <w:r>
        <w:t xml:space="preserve"> June 20, 2023</w:t>
      </w:r>
      <w:r w:rsidRPr="00B31739">
        <w:t>, the Central European and Baltic States Group (CEBS), submitted the enclosed prop</w:t>
      </w:r>
      <w:r>
        <w:t>osal in the framework of Agenda Item </w:t>
      </w:r>
      <w:r w:rsidRPr="00B31739">
        <w:t xml:space="preserve">7, “Composition of the </w:t>
      </w:r>
      <w:r w:rsidRPr="00B31739">
        <w:rPr>
          <w:lang w:val="en"/>
        </w:rPr>
        <w:t>WIPO Coordination Committee, and of the Executive Committees of the Paris and Berne Unions</w:t>
      </w:r>
      <w:r w:rsidRPr="00B31739">
        <w:t>”</w:t>
      </w:r>
    </w:p>
    <w:p w:rsidR="000A2D67" w:rsidRDefault="000A2D67" w:rsidP="000A2D67">
      <w:pPr>
        <w:spacing w:after="220"/>
        <w:ind w:left="5533"/>
      </w:pPr>
      <w:r>
        <w:t>[Annex follows]</w:t>
      </w:r>
    </w:p>
    <w:p w:rsidR="00B31739" w:rsidRDefault="00B31739" w:rsidP="003D352A">
      <w:pPr>
        <w:spacing w:after="220"/>
        <w:sectPr w:rsidR="00B31739" w:rsidSect="008803D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0A2D67" w:rsidRPr="00097F0E" w:rsidRDefault="000A2D67" w:rsidP="000A2D67">
      <w:pPr>
        <w:jc w:val="center"/>
        <w:rPr>
          <w:b/>
          <w:bCs/>
          <w:sz w:val="40"/>
          <w:szCs w:val="22"/>
        </w:rPr>
      </w:pPr>
      <w:bookmarkStart w:id="7" w:name="_Hlk77853057"/>
      <w:r>
        <w:rPr>
          <w:b/>
          <w:bCs/>
          <w:sz w:val="40"/>
          <w:szCs w:val="22"/>
        </w:rPr>
        <w:lastRenderedPageBreak/>
        <w:t xml:space="preserve">Proposal on behalf of </w:t>
      </w:r>
      <w:r w:rsidRPr="006829E8">
        <w:rPr>
          <w:b/>
          <w:bCs/>
          <w:sz w:val="40"/>
          <w:szCs w:val="22"/>
        </w:rPr>
        <w:t xml:space="preserve">the Central European and Baltic States </w:t>
      </w:r>
      <w:r>
        <w:rPr>
          <w:b/>
          <w:bCs/>
          <w:sz w:val="40"/>
          <w:szCs w:val="22"/>
        </w:rPr>
        <w:t>G</w:t>
      </w:r>
      <w:r w:rsidRPr="006829E8">
        <w:rPr>
          <w:b/>
          <w:bCs/>
          <w:sz w:val="40"/>
          <w:szCs w:val="22"/>
        </w:rPr>
        <w:t>roup</w:t>
      </w:r>
      <w:r>
        <w:rPr>
          <w:b/>
          <w:bCs/>
          <w:sz w:val="40"/>
          <w:szCs w:val="22"/>
        </w:rPr>
        <w:t xml:space="preserve"> </w:t>
      </w:r>
      <w:r w:rsidRPr="00097F0E">
        <w:rPr>
          <w:b/>
          <w:bCs/>
          <w:sz w:val="40"/>
          <w:szCs w:val="22"/>
        </w:rPr>
        <w:t>on the allocation of the vacant seats for the election</w:t>
      </w:r>
    </w:p>
    <w:p w:rsidR="000A2D67" w:rsidRPr="006829E8" w:rsidRDefault="000A2D67" w:rsidP="000A2D67">
      <w:pPr>
        <w:jc w:val="center"/>
        <w:rPr>
          <w:b/>
          <w:bCs/>
          <w:sz w:val="40"/>
          <w:szCs w:val="22"/>
        </w:rPr>
      </w:pPr>
      <w:r w:rsidRPr="00097F0E">
        <w:rPr>
          <w:b/>
          <w:bCs/>
          <w:sz w:val="40"/>
          <w:szCs w:val="22"/>
        </w:rPr>
        <w:t>of the composition of the WIPO Coordination Committee</w:t>
      </w:r>
    </w:p>
    <w:p w:rsidR="000A2D67" w:rsidRPr="006829E8" w:rsidRDefault="000A2D67" w:rsidP="000A2D67">
      <w:pPr>
        <w:rPr>
          <w:b/>
          <w:bCs/>
          <w:sz w:val="32"/>
        </w:rPr>
      </w:pPr>
    </w:p>
    <w:p w:rsidR="000A2D67" w:rsidRPr="006829E8" w:rsidRDefault="000A2D67" w:rsidP="000A2D67">
      <w:pPr>
        <w:jc w:val="both"/>
        <w:rPr>
          <w:sz w:val="32"/>
        </w:rPr>
      </w:pPr>
      <w:r w:rsidRPr="006829E8">
        <w:rPr>
          <w:sz w:val="32"/>
        </w:rPr>
        <w:t> </w:t>
      </w:r>
    </w:p>
    <w:p w:rsidR="000A2D67" w:rsidRPr="00F81112" w:rsidRDefault="000A2D67" w:rsidP="000A2D67">
      <w:pPr>
        <w:pStyle w:val="ListParagraph"/>
        <w:numPr>
          <w:ilvl w:val="0"/>
          <w:numId w:val="9"/>
        </w:numPr>
        <w:jc w:val="both"/>
        <w:rPr>
          <w:sz w:val="32"/>
          <w:szCs w:val="22"/>
          <w:lang w:val="en-GB"/>
        </w:rPr>
      </w:pPr>
      <w:r w:rsidRPr="00F81112">
        <w:rPr>
          <w:sz w:val="32"/>
          <w:szCs w:val="22"/>
          <w:lang w:val="en-GB"/>
        </w:rPr>
        <w:t>During the 2019 WIPO Assemblies, Member States</w:t>
      </w:r>
      <w:r w:rsidRPr="00F81112">
        <w:rPr>
          <w:sz w:val="32"/>
          <w:lang w:val="en-GB" w:eastAsia="fr-CH"/>
        </w:rPr>
        <w:t xml:space="preserve"> decided</w:t>
      </w:r>
      <w:r w:rsidRPr="00F81112">
        <w:rPr>
          <w:sz w:val="32"/>
          <w:szCs w:val="22"/>
          <w:lang w:val="en-GB"/>
        </w:rPr>
        <w:t xml:space="preserve"> that “the Chair of the WIPO General Assembly will undertake consultations with Member States on the allocation of the vacant seats at the WIPO Assemblies in 2021, for the election of the composition of the WIPO Coordination Committee, and of the Executive Committees of the Paris and Berne Unions, at the same WIPO Assemblies.” Based on the recent accessions, the composition of Coordination Committee should consist of 90 members as to date.  Therefore, 7 additional vacant seats are to be allocated as compared to the 83 seats filled during the WIPO Assemblies in 2021. </w:t>
      </w:r>
    </w:p>
    <w:p w:rsidR="000A2D67" w:rsidRPr="00296AFE" w:rsidRDefault="000A2D67" w:rsidP="000A2D67">
      <w:pPr>
        <w:ind w:left="360"/>
        <w:jc w:val="both"/>
        <w:rPr>
          <w:sz w:val="32"/>
          <w:szCs w:val="22"/>
          <w:lang w:val="en-GB"/>
        </w:rPr>
      </w:pPr>
    </w:p>
    <w:p w:rsidR="000A2D67" w:rsidRPr="00F81112" w:rsidRDefault="000A2D67" w:rsidP="000A2D67">
      <w:pPr>
        <w:pStyle w:val="ListParagraph"/>
        <w:numPr>
          <w:ilvl w:val="0"/>
          <w:numId w:val="9"/>
        </w:numPr>
        <w:jc w:val="both"/>
        <w:rPr>
          <w:bCs/>
          <w:sz w:val="32"/>
          <w:lang w:val="en-GB"/>
        </w:rPr>
      </w:pPr>
      <w:r w:rsidRPr="00097C47">
        <w:rPr>
          <w:sz w:val="32"/>
        </w:rPr>
        <w:t>The CEBS Group also takes note that Article 14(4) of the Paris Convention and Article 23(4) of the Berne Convention states that “in electing the members of the Executive Committee, the Assembly shall have due regard to an equitable geographical distribution and to the need for countries party to the Special Agreements established in relation with the Union to be among the countries constituting the Executive Committee”.</w:t>
      </w:r>
    </w:p>
    <w:p w:rsidR="000A2D67" w:rsidRPr="007C1396" w:rsidRDefault="000A2D67" w:rsidP="000A2D67">
      <w:pPr>
        <w:ind w:left="360"/>
        <w:jc w:val="both"/>
        <w:rPr>
          <w:bCs/>
          <w:sz w:val="32"/>
          <w:lang w:val="en-GB"/>
        </w:rPr>
      </w:pPr>
    </w:p>
    <w:p w:rsidR="000A2D67" w:rsidRDefault="000A2D67" w:rsidP="000A2D67">
      <w:pPr>
        <w:pStyle w:val="ListParagraph"/>
        <w:numPr>
          <w:ilvl w:val="0"/>
          <w:numId w:val="9"/>
        </w:numPr>
        <w:spacing w:line="259" w:lineRule="auto"/>
        <w:jc w:val="both"/>
        <w:rPr>
          <w:sz w:val="32"/>
          <w:szCs w:val="22"/>
          <w:lang w:val="en-GB"/>
        </w:rPr>
        <w:sectPr w:rsidR="000A2D67" w:rsidSect="00296AFE">
          <w:headerReference w:type="first" r:id="rId15"/>
          <w:endnotePr>
            <w:numFmt w:val="decimal"/>
          </w:endnotePr>
          <w:pgSz w:w="11907" w:h="16840" w:code="9"/>
          <w:pgMar w:top="567" w:right="1134" w:bottom="1418" w:left="1418" w:header="510" w:footer="1021" w:gutter="0"/>
          <w:cols w:space="720"/>
          <w:titlePg/>
          <w:docGrid w:linePitch="299"/>
        </w:sectPr>
      </w:pPr>
      <w:r w:rsidRPr="00077771">
        <w:rPr>
          <w:sz w:val="32"/>
          <w:szCs w:val="22"/>
          <w:lang w:val="en-GB"/>
        </w:rPr>
        <w:t>Until date no agreement has been reached and the composition of the WIPO Coordination Committee</w:t>
      </w:r>
      <w:r>
        <w:rPr>
          <w:sz w:val="32"/>
          <w:szCs w:val="22"/>
          <w:lang w:val="en-GB"/>
        </w:rPr>
        <w:t xml:space="preserve">. </w:t>
      </w:r>
      <w:r w:rsidRPr="00077771">
        <w:rPr>
          <w:sz w:val="32"/>
          <w:szCs w:val="22"/>
          <w:lang w:val="en-GB"/>
        </w:rPr>
        <w:t xml:space="preserve"> With 83 seats and their uneven allocation across the regional groups </w:t>
      </w:r>
      <w:r>
        <w:rPr>
          <w:sz w:val="32"/>
          <w:szCs w:val="22"/>
          <w:lang w:val="en-GB"/>
        </w:rPr>
        <w:t xml:space="preserve">and as a </w:t>
      </w:r>
      <w:r w:rsidRPr="00077771">
        <w:rPr>
          <w:sz w:val="32"/>
          <w:szCs w:val="22"/>
          <w:lang w:val="en-GB"/>
        </w:rPr>
        <w:t>resumption of consultations with a view to take account of the developments and changes made to the composition of regional groups</w:t>
      </w:r>
      <w:r>
        <w:rPr>
          <w:sz w:val="32"/>
          <w:szCs w:val="22"/>
          <w:lang w:val="en-GB"/>
        </w:rPr>
        <w:t>,</w:t>
      </w:r>
      <w:r w:rsidRPr="00077771">
        <w:rPr>
          <w:sz w:val="32"/>
          <w:szCs w:val="22"/>
          <w:lang w:val="en-GB"/>
        </w:rPr>
        <w:t xml:space="preserve"> the discussions about the composition of CoCo, based on geographical equitability, </w:t>
      </w:r>
      <w:r>
        <w:rPr>
          <w:sz w:val="32"/>
          <w:szCs w:val="22"/>
          <w:lang w:val="en-GB"/>
        </w:rPr>
        <w:t xml:space="preserve">are </w:t>
      </w:r>
    </w:p>
    <w:p w:rsidR="000A2D67" w:rsidRDefault="000A2D67" w:rsidP="000A2D67">
      <w:pPr>
        <w:pStyle w:val="ListParagraph"/>
        <w:spacing w:line="259" w:lineRule="auto"/>
        <w:jc w:val="both"/>
        <w:rPr>
          <w:sz w:val="32"/>
        </w:rPr>
      </w:pPr>
      <w:r w:rsidRPr="00077771">
        <w:rPr>
          <w:sz w:val="32"/>
          <w:szCs w:val="22"/>
          <w:lang w:val="en-GB"/>
        </w:rPr>
        <w:lastRenderedPageBreak/>
        <w:t>necessary</w:t>
      </w:r>
      <w:r>
        <w:rPr>
          <w:sz w:val="32"/>
          <w:szCs w:val="22"/>
          <w:lang w:val="en-GB"/>
        </w:rPr>
        <w:t xml:space="preserve"> </w:t>
      </w:r>
      <w:r w:rsidRPr="00077771">
        <w:rPr>
          <w:sz w:val="32"/>
        </w:rPr>
        <w:t>in light of Article 14(4) of the Paris Convention and Article 23(4) of the Berne Convention.</w:t>
      </w:r>
    </w:p>
    <w:p w:rsidR="000A2D67" w:rsidRPr="007C1396" w:rsidRDefault="000A2D67" w:rsidP="000A2D67">
      <w:pPr>
        <w:spacing w:line="259" w:lineRule="auto"/>
        <w:jc w:val="both"/>
        <w:rPr>
          <w:sz w:val="32"/>
        </w:rPr>
      </w:pPr>
    </w:p>
    <w:p w:rsidR="000A2D67" w:rsidRPr="00097C47" w:rsidRDefault="000A2D67" w:rsidP="000A2D67">
      <w:pPr>
        <w:pStyle w:val="ListParagraph"/>
        <w:numPr>
          <w:ilvl w:val="0"/>
          <w:numId w:val="9"/>
        </w:numPr>
        <w:jc w:val="both"/>
        <w:rPr>
          <w:bCs/>
          <w:sz w:val="32"/>
          <w:lang w:val="en-GB"/>
        </w:rPr>
      </w:pPr>
      <w:r w:rsidRPr="00097C47">
        <w:rPr>
          <w:sz w:val="32"/>
        </w:rPr>
        <w:t>The CEBS Group note</w:t>
      </w:r>
      <w:r>
        <w:rPr>
          <w:sz w:val="32"/>
        </w:rPr>
        <w:t>s</w:t>
      </w:r>
      <w:r w:rsidRPr="00097C47">
        <w:rPr>
          <w:sz w:val="32"/>
        </w:rPr>
        <w:t xml:space="preserve"> that according to Articles 8(1)(a) and 11(9)(a) of the WIPO Convention, the CoCo is composed of the following categories of members: </w:t>
      </w:r>
    </w:p>
    <w:p w:rsidR="000A2D67" w:rsidRPr="00097C47" w:rsidRDefault="000A2D67" w:rsidP="000A2D67">
      <w:pPr>
        <w:numPr>
          <w:ilvl w:val="1"/>
          <w:numId w:val="7"/>
        </w:numPr>
        <w:spacing w:line="259" w:lineRule="auto"/>
        <w:jc w:val="both"/>
        <w:rPr>
          <w:sz w:val="32"/>
        </w:rPr>
      </w:pPr>
      <w:r w:rsidRPr="00097C47">
        <w:rPr>
          <w:sz w:val="32"/>
        </w:rPr>
        <w:t xml:space="preserve">the elected ordinary members of the Executive Committee of the Paris Union and of the Executive Committee of the Berne Union; </w:t>
      </w:r>
    </w:p>
    <w:p w:rsidR="000A2D67" w:rsidRPr="00097C47" w:rsidRDefault="000A2D67" w:rsidP="000A2D67">
      <w:pPr>
        <w:numPr>
          <w:ilvl w:val="1"/>
          <w:numId w:val="7"/>
        </w:numPr>
        <w:spacing w:line="259" w:lineRule="auto"/>
        <w:jc w:val="both"/>
        <w:rPr>
          <w:sz w:val="32"/>
        </w:rPr>
      </w:pPr>
      <w:r w:rsidRPr="00097C47">
        <w:rPr>
          <w:sz w:val="32"/>
        </w:rPr>
        <w:t xml:space="preserve">Switzerland, as the State on whose territory the Organization has its headquarters, as an </w:t>
      </w:r>
      <w:r w:rsidRPr="00097C47">
        <w:rPr>
          <w:i/>
          <w:sz w:val="32"/>
        </w:rPr>
        <w:t>ex officio</w:t>
      </w:r>
      <w:r w:rsidRPr="00097C47">
        <w:rPr>
          <w:sz w:val="32"/>
        </w:rPr>
        <w:t xml:space="preserve"> member; and</w:t>
      </w:r>
    </w:p>
    <w:p w:rsidR="000A2D67" w:rsidRDefault="000A2D67" w:rsidP="000A2D67">
      <w:pPr>
        <w:numPr>
          <w:ilvl w:val="1"/>
          <w:numId w:val="7"/>
        </w:numPr>
        <w:spacing w:line="259" w:lineRule="auto"/>
        <w:jc w:val="both"/>
        <w:rPr>
          <w:sz w:val="32"/>
        </w:rPr>
      </w:pPr>
      <w:r w:rsidRPr="00097C47">
        <w:rPr>
          <w:sz w:val="32"/>
        </w:rPr>
        <w:t xml:space="preserve">one-fourth of the States party to the WIPO Convention that are not members of any of the Unions administered by WIPO, which are designated by the WIPO Conference and which serve as </w:t>
      </w:r>
      <w:r w:rsidRPr="00097C47">
        <w:rPr>
          <w:i/>
          <w:sz w:val="32"/>
        </w:rPr>
        <w:t>ad hoc</w:t>
      </w:r>
      <w:r w:rsidRPr="00097C47">
        <w:rPr>
          <w:sz w:val="32"/>
        </w:rPr>
        <w:t xml:space="preserve"> members of the WIPO Coordination Committee. </w:t>
      </w:r>
    </w:p>
    <w:p w:rsidR="000A2D67" w:rsidRPr="00097C47" w:rsidRDefault="000A2D67" w:rsidP="000A2D67">
      <w:pPr>
        <w:spacing w:line="259" w:lineRule="auto"/>
        <w:jc w:val="both"/>
        <w:rPr>
          <w:sz w:val="32"/>
        </w:rPr>
      </w:pPr>
    </w:p>
    <w:p w:rsidR="000A2D67" w:rsidRPr="006829E8" w:rsidRDefault="000A2D67" w:rsidP="000A2D67">
      <w:pPr>
        <w:numPr>
          <w:ilvl w:val="0"/>
          <w:numId w:val="9"/>
        </w:numPr>
        <w:spacing w:line="259" w:lineRule="auto"/>
        <w:rPr>
          <w:sz w:val="32"/>
        </w:rPr>
      </w:pPr>
      <w:r w:rsidRPr="006829E8">
        <w:rPr>
          <w:sz w:val="32"/>
        </w:rPr>
        <w:t>The CEBS group would like to indicate that:</w:t>
      </w:r>
    </w:p>
    <w:p w:rsidR="000A2D67" w:rsidRDefault="000A2D67" w:rsidP="000A2D67">
      <w:pPr>
        <w:pStyle w:val="ListParagraph"/>
        <w:numPr>
          <w:ilvl w:val="0"/>
          <w:numId w:val="10"/>
        </w:numPr>
        <w:spacing w:line="259" w:lineRule="auto"/>
        <w:jc w:val="both"/>
        <w:rPr>
          <w:sz w:val="32"/>
        </w:rPr>
      </w:pPr>
      <w:r>
        <w:rPr>
          <w:sz w:val="32"/>
        </w:rPr>
        <w:t xml:space="preserve">All current CEBS Members </w:t>
      </w:r>
      <w:r w:rsidRPr="0026722C">
        <w:rPr>
          <w:sz w:val="32"/>
        </w:rPr>
        <w:t>h</w:t>
      </w:r>
      <w:r w:rsidRPr="006829E8">
        <w:rPr>
          <w:sz w:val="32"/>
        </w:rPr>
        <w:t xml:space="preserve">ave for long </w:t>
      </w:r>
      <w:r>
        <w:rPr>
          <w:sz w:val="32"/>
        </w:rPr>
        <w:t xml:space="preserve">time </w:t>
      </w:r>
      <w:r w:rsidRPr="006829E8">
        <w:rPr>
          <w:sz w:val="32"/>
        </w:rPr>
        <w:t xml:space="preserve">been parties </w:t>
      </w:r>
      <w:r>
        <w:rPr>
          <w:sz w:val="32"/>
        </w:rPr>
        <w:t>to</w:t>
      </w:r>
      <w:r w:rsidRPr="006829E8">
        <w:rPr>
          <w:sz w:val="32"/>
        </w:rPr>
        <w:t xml:space="preserve"> both the Paris as well as the Berne Conventions; </w:t>
      </w:r>
    </w:p>
    <w:p w:rsidR="000A2D67" w:rsidRPr="006829E8" w:rsidRDefault="000A2D67" w:rsidP="000A2D67">
      <w:pPr>
        <w:pStyle w:val="ListParagraph"/>
        <w:numPr>
          <w:ilvl w:val="0"/>
          <w:numId w:val="10"/>
        </w:numPr>
        <w:spacing w:line="259" w:lineRule="auto"/>
        <w:jc w:val="both"/>
        <w:rPr>
          <w:sz w:val="32"/>
        </w:rPr>
      </w:pPr>
      <w:r w:rsidRPr="006829E8">
        <w:rPr>
          <w:sz w:val="32"/>
        </w:rPr>
        <w:t xml:space="preserve">The CEBS </w:t>
      </w:r>
      <w:r>
        <w:rPr>
          <w:sz w:val="32"/>
        </w:rPr>
        <w:t>G</w:t>
      </w:r>
      <w:r w:rsidRPr="006829E8">
        <w:rPr>
          <w:sz w:val="32"/>
        </w:rPr>
        <w:t>roup – with allocation of 6 seats</w:t>
      </w:r>
      <w:r>
        <w:rPr>
          <w:sz w:val="32"/>
        </w:rPr>
        <w:t xml:space="preserve"> </w:t>
      </w:r>
      <w:r w:rsidRPr="006829E8">
        <w:rPr>
          <w:sz w:val="32"/>
        </w:rPr>
        <w:t xml:space="preserve">remains </w:t>
      </w:r>
      <w:r>
        <w:rPr>
          <w:sz w:val="32"/>
        </w:rPr>
        <w:t xml:space="preserve">among </w:t>
      </w:r>
      <w:r w:rsidRPr="006829E8">
        <w:rPr>
          <w:sz w:val="32"/>
        </w:rPr>
        <w:t xml:space="preserve">the most underrepresented </w:t>
      </w:r>
      <w:r>
        <w:rPr>
          <w:sz w:val="32"/>
        </w:rPr>
        <w:t xml:space="preserve">regional </w:t>
      </w:r>
      <w:r w:rsidRPr="006829E8">
        <w:rPr>
          <w:sz w:val="32"/>
        </w:rPr>
        <w:t>group</w:t>
      </w:r>
      <w:r>
        <w:rPr>
          <w:sz w:val="32"/>
        </w:rPr>
        <w:t>s</w:t>
      </w:r>
      <w:r w:rsidRPr="006829E8">
        <w:rPr>
          <w:sz w:val="32"/>
        </w:rPr>
        <w:t xml:space="preserve"> in the CoCo; </w:t>
      </w:r>
    </w:p>
    <w:p w:rsidR="000A2D67" w:rsidRPr="006829E8" w:rsidRDefault="000A2D67" w:rsidP="000A2D67">
      <w:pPr>
        <w:pStyle w:val="ListParagraph"/>
        <w:numPr>
          <w:ilvl w:val="0"/>
          <w:numId w:val="10"/>
        </w:numPr>
        <w:spacing w:line="259" w:lineRule="auto"/>
        <w:jc w:val="both"/>
        <w:rPr>
          <w:sz w:val="32"/>
        </w:rPr>
      </w:pPr>
      <w:r w:rsidRPr="006829E8">
        <w:rPr>
          <w:sz w:val="32"/>
        </w:rPr>
        <w:t>The underrepresentation of CEBS</w:t>
      </w:r>
      <w:r>
        <w:rPr>
          <w:sz w:val="32"/>
        </w:rPr>
        <w:t xml:space="preserve"> Group is</w:t>
      </w:r>
      <w:r w:rsidRPr="006829E8">
        <w:rPr>
          <w:sz w:val="32"/>
        </w:rPr>
        <w:t xml:space="preserve"> even more</w:t>
      </w:r>
      <w:r>
        <w:rPr>
          <w:sz w:val="32"/>
        </w:rPr>
        <w:t xml:space="preserve"> visible,</w:t>
      </w:r>
      <w:r w:rsidRPr="006829E8">
        <w:rPr>
          <w:sz w:val="32"/>
        </w:rPr>
        <w:t xml:space="preserve"> taking into account the accession to the group of two countries (Georgia and Ukraine) since 2011; </w:t>
      </w:r>
      <w:r>
        <w:rPr>
          <w:sz w:val="32"/>
        </w:rPr>
        <w:t xml:space="preserve"> however, due to these changes, neither the increased allocation for CEBS Group nor decreased allocation of seats to the groups, which have been decreased in number of countries, have been reflected;</w:t>
      </w:r>
    </w:p>
    <w:p w:rsidR="000A2D67" w:rsidRDefault="000A2D67" w:rsidP="000A2D67">
      <w:pPr>
        <w:pStyle w:val="ListParagraph"/>
        <w:numPr>
          <w:ilvl w:val="0"/>
          <w:numId w:val="10"/>
        </w:numPr>
        <w:spacing w:line="259" w:lineRule="auto"/>
        <w:jc w:val="both"/>
        <w:rPr>
          <w:sz w:val="32"/>
        </w:rPr>
      </w:pPr>
      <w:r w:rsidRPr="006829E8">
        <w:rPr>
          <w:sz w:val="32"/>
        </w:rPr>
        <w:t xml:space="preserve">The CEBS </w:t>
      </w:r>
      <w:r>
        <w:rPr>
          <w:sz w:val="32"/>
        </w:rPr>
        <w:t>G</w:t>
      </w:r>
      <w:r w:rsidRPr="006829E8">
        <w:rPr>
          <w:sz w:val="32"/>
        </w:rPr>
        <w:t xml:space="preserve">roup is </w:t>
      </w:r>
      <w:r>
        <w:rPr>
          <w:sz w:val="32"/>
        </w:rPr>
        <w:t>i</w:t>
      </w:r>
      <w:r w:rsidRPr="006829E8">
        <w:rPr>
          <w:sz w:val="32"/>
        </w:rPr>
        <w:t xml:space="preserve">n second place in the total number of ratifications of WIPO Treaties. At the same time, the </w:t>
      </w:r>
      <w:r w:rsidRPr="006829E8">
        <w:rPr>
          <w:sz w:val="32"/>
        </w:rPr>
        <w:lastRenderedPageBreak/>
        <w:t>CEBS Members States account the biggest number of ratif</w:t>
      </w:r>
      <w:r>
        <w:rPr>
          <w:sz w:val="32"/>
        </w:rPr>
        <w:t>ications per country in average;</w:t>
      </w:r>
    </w:p>
    <w:p w:rsidR="000A2D67" w:rsidRDefault="000A2D67" w:rsidP="000A2D67">
      <w:pPr>
        <w:pStyle w:val="ListParagraph"/>
        <w:numPr>
          <w:ilvl w:val="0"/>
          <w:numId w:val="10"/>
        </w:numPr>
        <w:spacing w:line="259" w:lineRule="auto"/>
        <w:jc w:val="both"/>
        <w:rPr>
          <w:sz w:val="32"/>
        </w:rPr>
      </w:pPr>
      <w:r>
        <w:rPr>
          <w:sz w:val="32"/>
        </w:rPr>
        <w:t xml:space="preserve">A continuous growth of registrations made from CEBS countries throughout various IP systems has been reported in the last two decades. </w:t>
      </w:r>
    </w:p>
    <w:p w:rsidR="000A2D67" w:rsidRPr="006829E8" w:rsidRDefault="000A2D67" w:rsidP="000A2D67">
      <w:pPr>
        <w:pStyle w:val="ListParagraph"/>
        <w:spacing w:line="259" w:lineRule="auto"/>
        <w:ind w:left="1440"/>
        <w:jc w:val="both"/>
        <w:rPr>
          <w:sz w:val="32"/>
        </w:rPr>
      </w:pPr>
    </w:p>
    <w:p w:rsidR="000A2D67" w:rsidRDefault="000A2D67" w:rsidP="000A2D67">
      <w:pPr>
        <w:numPr>
          <w:ilvl w:val="0"/>
          <w:numId w:val="9"/>
        </w:numPr>
        <w:spacing w:after="160" w:line="259" w:lineRule="auto"/>
        <w:ind w:left="567"/>
        <w:contextualSpacing/>
        <w:jc w:val="both"/>
        <w:rPr>
          <w:sz w:val="32"/>
        </w:rPr>
      </w:pPr>
      <w:r>
        <w:rPr>
          <w:rFonts w:eastAsia="Calibri"/>
          <w:sz w:val="32"/>
          <w:szCs w:val="22"/>
          <w:lang w:eastAsia="en-US"/>
        </w:rPr>
        <w:t>The CEBS G</w:t>
      </w:r>
      <w:r w:rsidRPr="006829E8">
        <w:rPr>
          <w:rFonts w:eastAsia="Calibri"/>
          <w:sz w:val="32"/>
          <w:szCs w:val="22"/>
          <w:lang w:eastAsia="en-US"/>
        </w:rPr>
        <w:t xml:space="preserve">roup </w:t>
      </w:r>
      <w:r>
        <w:rPr>
          <w:rFonts w:eastAsia="Calibri"/>
          <w:sz w:val="32"/>
          <w:szCs w:val="22"/>
          <w:lang w:eastAsia="en-US"/>
        </w:rPr>
        <w:t xml:space="preserve">further </w:t>
      </w:r>
      <w:r w:rsidRPr="006829E8">
        <w:rPr>
          <w:rFonts w:eastAsia="Calibri"/>
          <w:sz w:val="32"/>
          <w:szCs w:val="22"/>
          <w:lang w:eastAsia="en-US"/>
        </w:rPr>
        <w:t>reiterate</w:t>
      </w:r>
      <w:r>
        <w:rPr>
          <w:rFonts w:eastAsia="Calibri"/>
          <w:sz w:val="32"/>
          <w:szCs w:val="22"/>
          <w:lang w:eastAsia="en-US"/>
        </w:rPr>
        <w:t>s</w:t>
      </w:r>
      <w:r w:rsidRPr="006829E8">
        <w:rPr>
          <w:rFonts w:eastAsia="Calibri"/>
          <w:sz w:val="32"/>
          <w:szCs w:val="22"/>
          <w:lang w:eastAsia="en-US"/>
        </w:rPr>
        <w:t xml:space="preserve"> that the </w:t>
      </w:r>
      <w:r w:rsidRPr="00097C47">
        <w:rPr>
          <w:rFonts w:eastAsia="Calibri"/>
          <w:b/>
          <w:sz w:val="32"/>
          <w:szCs w:val="22"/>
          <w:lang w:eastAsia="en-US"/>
        </w:rPr>
        <w:t>current allocation</w:t>
      </w:r>
      <w:r w:rsidRPr="006829E8">
        <w:rPr>
          <w:rFonts w:eastAsia="Calibri"/>
          <w:sz w:val="32"/>
          <w:szCs w:val="22"/>
          <w:lang w:eastAsia="en-US"/>
        </w:rPr>
        <w:t xml:space="preserve"> in the CoCo is neither fairly proportioned nor representative of the relative size of regional groups in WIPO (as illustrated in </w:t>
      </w:r>
      <w:r w:rsidRPr="006829E8">
        <w:rPr>
          <w:rFonts w:eastAsia="Calibri"/>
          <w:sz w:val="32"/>
          <w:szCs w:val="22"/>
          <w:u w:val="single"/>
          <w:lang w:eastAsia="en-US"/>
        </w:rPr>
        <w:t>Annex A and Annex B of document A/64/9</w:t>
      </w:r>
      <w:r>
        <w:rPr>
          <w:rFonts w:eastAsia="Calibri"/>
          <w:sz w:val="32"/>
          <w:szCs w:val="22"/>
          <w:u w:val="single"/>
          <w:lang w:eastAsia="en-US"/>
        </w:rPr>
        <w:t>, attached to this document</w:t>
      </w:r>
      <w:r w:rsidRPr="006829E8">
        <w:rPr>
          <w:rFonts w:eastAsia="Calibri"/>
          <w:sz w:val="32"/>
          <w:szCs w:val="22"/>
          <w:lang w:eastAsia="en-US"/>
        </w:rPr>
        <w:t xml:space="preserve">). The CEBS </w:t>
      </w:r>
      <w:r>
        <w:rPr>
          <w:rFonts w:eastAsia="Calibri"/>
          <w:sz w:val="32"/>
          <w:szCs w:val="22"/>
          <w:lang w:eastAsia="en-US"/>
        </w:rPr>
        <w:t>G</w:t>
      </w:r>
      <w:r w:rsidRPr="006829E8">
        <w:rPr>
          <w:rFonts w:eastAsia="Calibri"/>
          <w:sz w:val="32"/>
          <w:szCs w:val="22"/>
          <w:lang w:eastAsia="en-US"/>
        </w:rPr>
        <w:t xml:space="preserve">group is </w:t>
      </w:r>
      <w:r>
        <w:rPr>
          <w:rFonts w:eastAsia="Calibri"/>
          <w:sz w:val="32"/>
          <w:szCs w:val="22"/>
          <w:lang w:eastAsia="en-US"/>
        </w:rPr>
        <w:t xml:space="preserve">one of </w:t>
      </w:r>
      <w:r w:rsidRPr="006829E8">
        <w:rPr>
          <w:rFonts w:eastAsia="Calibri"/>
          <w:sz w:val="32"/>
          <w:szCs w:val="22"/>
          <w:lang w:eastAsia="en-US"/>
        </w:rPr>
        <w:t>the most underrepresented regional group</w:t>
      </w:r>
      <w:r>
        <w:rPr>
          <w:rFonts w:eastAsia="Calibri"/>
          <w:sz w:val="32"/>
          <w:szCs w:val="22"/>
          <w:lang w:eastAsia="en-US"/>
        </w:rPr>
        <w:t>s</w:t>
      </w:r>
      <w:r w:rsidRPr="006829E8">
        <w:rPr>
          <w:rFonts w:eastAsia="Calibri"/>
          <w:sz w:val="32"/>
          <w:szCs w:val="22"/>
          <w:lang w:eastAsia="en-US"/>
        </w:rPr>
        <w:t xml:space="preserve"> in the current composition of CoCo. Based on the above</w:t>
      </w:r>
      <w:r>
        <w:rPr>
          <w:rFonts w:eastAsia="Calibri"/>
          <w:sz w:val="32"/>
          <w:szCs w:val="22"/>
          <w:lang w:eastAsia="en-US"/>
        </w:rPr>
        <w:t xml:space="preserve">-mentioned </w:t>
      </w:r>
      <w:r w:rsidRPr="006829E8">
        <w:rPr>
          <w:sz w:val="32"/>
        </w:rPr>
        <w:t xml:space="preserve">information, increased representation of the CEBS Group should be considered as a necessary step to ensure a balanced representation of all regional groups, based on current criteria. </w:t>
      </w:r>
    </w:p>
    <w:p w:rsidR="000A2D67" w:rsidRPr="006829E8" w:rsidRDefault="000A2D67" w:rsidP="000A2D67">
      <w:pPr>
        <w:spacing w:after="160" w:line="259" w:lineRule="auto"/>
        <w:ind w:left="567"/>
        <w:contextualSpacing/>
        <w:rPr>
          <w:sz w:val="32"/>
        </w:rPr>
      </w:pPr>
    </w:p>
    <w:p w:rsidR="000A2D67" w:rsidRDefault="000A2D67" w:rsidP="000A2D67">
      <w:pPr>
        <w:numPr>
          <w:ilvl w:val="0"/>
          <w:numId w:val="9"/>
        </w:numPr>
        <w:spacing w:line="259" w:lineRule="auto"/>
        <w:jc w:val="both"/>
        <w:rPr>
          <w:sz w:val="32"/>
        </w:rPr>
      </w:pPr>
      <w:r w:rsidRPr="006829E8">
        <w:rPr>
          <w:sz w:val="32"/>
        </w:rPr>
        <w:t>Furthermore, the CEBS Group believe</w:t>
      </w:r>
      <w:r>
        <w:rPr>
          <w:sz w:val="32"/>
        </w:rPr>
        <w:t>s</w:t>
      </w:r>
      <w:r w:rsidRPr="006829E8">
        <w:rPr>
          <w:sz w:val="32"/>
        </w:rPr>
        <w:t xml:space="preserve"> that not only the membership in Paris Convention and Bern Convention, which defines the total number of seats in CoCo shall be taken into account when deciding the regional composition of the CoCo. This criteria seem</w:t>
      </w:r>
      <w:r>
        <w:rPr>
          <w:sz w:val="32"/>
        </w:rPr>
        <w:t>s</w:t>
      </w:r>
      <w:r w:rsidRPr="006829E8">
        <w:rPr>
          <w:sz w:val="32"/>
        </w:rPr>
        <w:t xml:space="preserve"> no longer relevant, taking into account that, like in the case of </w:t>
      </w:r>
      <w:r>
        <w:rPr>
          <w:sz w:val="32"/>
        </w:rPr>
        <w:t>G</w:t>
      </w:r>
      <w:r w:rsidRPr="006829E8">
        <w:rPr>
          <w:sz w:val="32"/>
        </w:rPr>
        <w:t>roup B,</w:t>
      </w:r>
      <w:r>
        <w:rPr>
          <w:sz w:val="32"/>
        </w:rPr>
        <w:t xml:space="preserve"> </w:t>
      </w:r>
      <w:r w:rsidRPr="006829E8">
        <w:rPr>
          <w:sz w:val="32"/>
        </w:rPr>
        <w:t>CACEEC</w:t>
      </w:r>
      <w:r>
        <w:rPr>
          <w:sz w:val="32"/>
        </w:rPr>
        <w:t xml:space="preserve"> or GRULAC</w:t>
      </w:r>
      <w:r w:rsidRPr="006829E8">
        <w:rPr>
          <w:sz w:val="32"/>
        </w:rPr>
        <w:t xml:space="preserve">, all members from the CEBS </w:t>
      </w:r>
      <w:r>
        <w:rPr>
          <w:sz w:val="32"/>
        </w:rPr>
        <w:t>G</w:t>
      </w:r>
      <w:r w:rsidRPr="006829E8">
        <w:rPr>
          <w:sz w:val="32"/>
        </w:rPr>
        <w:t>roup</w:t>
      </w:r>
      <w:r>
        <w:rPr>
          <w:sz w:val="32"/>
        </w:rPr>
        <w:t xml:space="preserve"> </w:t>
      </w:r>
      <w:r w:rsidRPr="006829E8">
        <w:rPr>
          <w:sz w:val="32"/>
        </w:rPr>
        <w:t xml:space="preserve">have accessed both Conventions. While these criteria have for long served as a motivating factor to encourage WIPO Member States to access WIPO instruments, it can no longer serve as a parameter determining composition of CoCo.  </w:t>
      </w:r>
    </w:p>
    <w:p w:rsidR="000A2D67" w:rsidRDefault="000A2D67" w:rsidP="000A2D67">
      <w:pPr>
        <w:pStyle w:val="ListParagraph"/>
        <w:rPr>
          <w:sz w:val="32"/>
        </w:rPr>
      </w:pPr>
    </w:p>
    <w:p w:rsidR="000A2D67" w:rsidRPr="006829E8" w:rsidRDefault="000A2D67" w:rsidP="000A2D67">
      <w:pPr>
        <w:spacing w:line="259" w:lineRule="auto"/>
        <w:ind w:left="720"/>
        <w:rPr>
          <w:sz w:val="32"/>
        </w:rPr>
      </w:pPr>
    </w:p>
    <w:p w:rsidR="004957D8" w:rsidRDefault="000A2D67" w:rsidP="000A2D67">
      <w:pPr>
        <w:pStyle w:val="ListParagraph"/>
        <w:numPr>
          <w:ilvl w:val="0"/>
          <w:numId w:val="9"/>
        </w:numPr>
        <w:spacing w:line="259" w:lineRule="auto"/>
        <w:jc w:val="both"/>
        <w:rPr>
          <w:sz w:val="32"/>
        </w:rPr>
        <w:sectPr w:rsidR="004957D8" w:rsidSect="00E63D3D">
          <w:headerReference w:type="first" r:id="rId16"/>
          <w:endnotePr>
            <w:numFmt w:val="decimal"/>
          </w:endnotePr>
          <w:pgSz w:w="11907" w:h="16840" w:code="9"/>
          <w:pgMar w:top="567" w:right="1134" w:bottom="1418" w:left="1418" w:header="510" w:footer="1021" w:gutter="0"/>
          <w:pgNumType w:start="2"/>
          <w:cols w:space="720"/>
          <w:titlePg/>
          <w:docGrid w:linePitch="299"/>
        </w:sectPr>
      </w:pPr>
      <w:r w:rsidRPr="006829E8">
        <w:rPr>
          <w:sz w:val="32"/>
        </w:rPr>
        <w:t xml:space="preserve">In view of the above, the seven unfilled CoCo seats should be allocated to better reflect the WIPO Membership and the relative size of WIPO regional groups, while reaffirming that every regional group should be represented in the CoCo. The </w:t>
      </w:r>
    </w:p>
    <w:p w:rsidR="000A2D67" w:rsidRPr="000F198B" w:rsidRDefault="000A2D67" w:rsidP="000F198B">
      <w:pPr>
        <w:spacing w:line="259" w:lineRule="auto"/>
        <w:ind w:left="720"/>
        <w:jc w:val="both"/>
        <w:rPr>
          <w:sz w:val="32"/>
        </w:rPr>
      </w:pPr>
      <w:r w:rsidRPr="000F198B">
        <w:rPr>
          <w:sz w:val="32"/>
        </w:rPr>
        <w:lastRenderedPageBreak/>
        <w:t>CEBS Group therefore believes that it is underrepresented in the Coordination Committee and deserves additional seats.</w:t>
      </w:r>
    </w:p>
    <w:p w:rsidR="000A2D67" w:rsidRDefault="000A2D67" w:rsidP="000A2D67">
      <w:pPr>
        <w:pStyle w:val="ListParagraph"/>
        <w:spacing w:line="259" w:lineRule="auto"/>
        <w:rPr>
          <w:sz w:val="32"/>
        </w:rPr>
      </w:pPr>
    </w:p>
    <w:bookmarkEnd w:id="7"/>
    <w:p w:rsidR="00E63D3D" w:rsidRDefault="00E63D3D" w:rsidP="000A2D67">
      <w:pPr>
        <w:ind w:left="11340" w:firstLine="567"/>
        <w:jc w:val="center"/>
        <w:rPr>
          <w:bCs/>
          <w:sz w:val="36"/>
          <w:szCs w:val="21"/>
          <w:u w:val="single"/>
        </w:rPr>
        <w:sectPr w:rsidR="00E63D3D" w:rsidSect="00FA165F">
          <w:headerReference w:type="first" r:id="rId17"/>
          <w:endnotePr>
            <w:numFmt w:val="decimal"/>
          </w:endnotePr>
          <w:pgSz w:w="11907" w:h="16840" w:code="9"/>
          <w:pgMar w:top="567" w:right="1134" w:bottom="1418" w:left="1418" w:header="510" w:footer="1021" w:gutter="0"/>
          <w:pgNumType w:start="4"/>
          <w:cols w:space="720"/>
          <w:titlePg/>
          <w:docGrid w:linePitch="299"/>
        </w:sectPr>
      </w:pPr>
    </w:p>
    <w:p w:rsidR="000A2D67" w:rsidRDefault="00E63D3D" w:rsidP="000A2D67">
      <w:pPr>
        <w:ind w:left="11340" w:firstLine="567"/>
        <w:jc w:val="center"/>
        <w:rPr>
          <w:bCs/>
          <w:sz w:val="36"/>
          <w:szCs w:val="21"/>
          <w:u w:val="single"/>
        </w:rPr>
      </w:pPr>
      <w:r>
        <w:rPr>
          <w:bCs/>
          <w:sz w:val="36"/>
          <w:szCs w:val="21"/>
          <w:u w:val="single"/>
        </w:rPr>
        <w:lastRenderedPageBreak/>
        <w:t>A</w:t>
      </w:r>
      <w:r w:rsidR="000A2D67" w:rsidRPr="00DD754D">
        <w:rPr>
          <w:bCs/>
          <w:sz w:val="36"/>
          <w:szCs w:val="21"/>
          <w:u w:val="single"/>
        </w:rPr>
        <w:t xml:space="preserve">nnex </w:t>
      </w:r>
      <w:r w:rsidR="00296487">
        <w:rPr>
          <w:bCs/>
          <w:sz w:val="36"/>
          <w:szCs w:val="21"/>
          <w:u w:val="single"/>
        </w:rPr>
        <w:t>A</w:t>
      </w:r>
    </w:p>
    <w:p w:rsidR="000A2D67" w:rsidRDefault="000A2D67" w:rsidP="000A2D67">
      <w:pPr>
        <w:jc w:val="center"/>
        <w:rPr>
          <w:b/>
          <w:bCs/>
          <w:sz w:val="36"/>
          <w:szCs w:val="21"/>
          <w:u w:val="single"/>
        </w:rPr>
      </w:pPr>
    </w:p>
    <w:p w:rsidR="000A2D67" w:rsidRPr="006829E8" w:rsidRDefault="000A2D67" w:rsidP="000A2D67">
      <w:pPr>
        <w:jc w:val="center"/>
        <w:rPr>
          <w:b/>
          <w:bCs/>
          <w:sz w:val="36"/>
          <w:szCs w:val="21"/>
          <w:u w:val="single"/>
        </w:rPr>
      </w:pPr>
      <w:r w:rsidRPr="006829E8">
        <w:rPr>
          <w:b/>
          <w:bCs/>
          <w:sz w:val="36"/>
          <w:szCs w:val="21"/>
          <w:u w:val="single"/>
        </w:rPr>
        <w:t>Allocation of Seats in the CoCo among Regional Groups for Biennium</w:t>
      </w:r>
      <w:r w:rsidRPr="006829E8">
        <w:rPr>
          <w:b/>
          <w:bCs/>
          <w:sz w:val="36"/>
          <w:szCs w:val="21"/>
          <w:u w:val="single"/>
          <w:vertAlign w:val="superscript"/>
        </w:rPr>
        <w:footnoteReference w:id="2"/>
      </w:r>
    </w:p>
    <w:p w:rsidR="000A2D67" w:rsidRPr="006829E8" w:rsidRDefault="000A2D67" w:rsidP="000A2D67">
      <w:pPr>
        <w:jc w:val="center"/>
        <w:rPr>
          <w:b/>
          <w:bCs/>
          <w:sz w:val="36"/>
          <w:szCs w:val="21"/>
          <w:u w:val="single"/>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394"/>
        <w:gridCol w:w="1062"/>
        <w:gridCol w:w="1348"/>
        <w:gridCol w:w="1276"/>
        <w:gridCol w:w="1061"/>
        <w:gridCol w:w="1276"/>
        <w:gridCol w:w="1276"/>
        <w:gridCol w:w="1134"/>
        <w:gridCol w:w="1348"/>
      </w:tblGrid>
      <w:tr w:rsidR="000A2D67" w:rsidRPr="006829E8" w:rsidTr="003C2946">
        <w:trPr>
          <w:trHeight w:val="372"/>
          <w:jc w:val="center"/>
        </w:trPr>
        <w:tc>
          <w:tcPr>
            <w:tcW w:w="846"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S/No</w:t>
            </w:r>
          </w:p>
        </w:tc>
        <w:tc>
          <w:tcPr>
            <w:tcW w:w="4394"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Item</w:t>
            </w:r>
          </w:p>
        </w:tc>
        <w:tc>
          <w:tcPr>
            <w:tcW w:w="1062"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Group B</w:t>
            </w:r>
          </w:p>
        </w:tc>
        <w:tc>
          <w:tcPr>
            <w:tcW w:w="1348"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Africa Group</w:t>
            </w:r>
          </w:p>
        </w:tc>
        <w:tc>
          <w:tcPr>
            <w:tcW w:w="1276"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CACEEC</w:t>
            </w:r>
          </w:p>
        </w:tc>
        <w:tc>
          <w:tcPr>
            <w:tcW w:w="1061"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CEBS</w:t>
            </w:r>
          </w:p>
        </w:tc>
        <w:tc>
          <w:tcPr>
            <w:tcW w:w="1276"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GRULAC</w:t>
            </w:r>
          </w:p>
        </w:tc>
        <w:tc>
          <w:tcPr>
            <w:tcW w:w="1276"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APG</w:t>
            </w:r>
          </w:p>
        </w:tc>
        <w:tc>
          <w:tcPr>
            <w:tcW w:w="1134"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China</w:t>
            </w:r>
          </w:p>
        </w:tc>
        <w:tc>
          <w:tcPr>
            <w:tcW w:w="1348" w:type="dxa"/>
            <w:shd w:val="clear" w:color="auto" w:fill="92CDDC" w:themeFill="accent5" w:themeFillTint="99"/>
            <w:vAlign w:val="center"/>
          </w:tcPr>
          <w:p w:rsidR="000A2D67" w:rsidRPr="00097C47" w:rsidRDefault="000A2D67" w:rsidP="003C2946">
            <w:pPr>
              <w:jc w:val="center"/>
              <w:rPr>
                <w:b/>
                <w:bCs/>
                <w:szCs w:val="22"/>
              </w:rPr>
            </w:pPr>
            <w:r w:rsidRPr="00097C47">
              <w:rPr>
                <w:b/>
                <w:bCs/>
                <w:szCs w:val="22"/>
              </w:rPr>
              <w:t>Total</w:t>
            </w:r>
          </w:p>
        </w:tc>
      </w:tr>
      <w:tr w:rsidR="000A2D67" w:rsidRPr="006829E8" w:rsidTr="003C2946">
        <w:trPr>
          <w:trHeight w:val="605"/>
          <w:jc w:val="center"/>
        </w:trPr>
        <w:tc>
          <w:tcPr>
            <w:tcW w:w="846" w:type="dxa"/>
            <w:vAlign w:val="center"/>
          </w:tcPr>
          <w:p w:rsidR="000A2D67" w:rsidRPr="00097C47" w:rsidRDefault="000A2D67" w:rsidP="000A2D67">
            <w:pPr>
              <w:numPr>
                <w:ilvl w:val="0"/>
                <w:numId w:val="8"/>
              </w:numPr>
              <w:spacing w:after="160" w:line="259" w:lineRule="auto"/>
              <w:contextualSpacing/>
              <w:rPr>
                <w:rFonts w:ascii="Calibri" w:eastAsia="Calibri" w:hAnsi="Calibri" w:cs="Times New Roman"/>
                <w:szCs w:val="22"/>
                <w:lang w:val="en-SG" w:eastAsia="en-US"/>
              </w:rPr>
            </w:pPr>
          </w:p>
        </w:tc>
        <w:tc>
          <w:tcPr>
            <w:tcW w:w="4394"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Total Members in group </w:t>
            </w:r>
          </w:p>
        </w:tc>
        <w:tc>
          <w:tcPr>
            <w:tcW w:w="1062"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32 </w:t>
            </w:r>
          </w:p>
        </w:tc>
        <w:tc>
          <w:tcPr>
            <w:tcW w:w="1348" w:type="dxa"/>
            <w:vAlign w:val="center"/>
          </w:tcPr>
          <w:p w:rsidR="000A2D67" w:rsidRPr="00097C47" w:rsidRDefault="000A2D67" w:rsidP="003C2946">
            <w:pPr>
              <w:jc w:val="center"/>
              <w:rPr>
                <w:color w:val="000000" w:themeColor="text1"/>
                <w:szCs w:val="22"/>
              </w:rPr>
            </w:pPr>
            <w:r w:rsidRPr="00097C47">
              <w:rPr>
                <w:color w:val="000000" w:themeColor="text1"/>
                <w:szCs w:val="22"/>
              </w:rPr>
              <w:t>53</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9</w:t>
            </w:r>
          </w:p>
        </w:tc>
        <w:tc>
          <w:tcPr>
            <w:tcW w:w="1061"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19 </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33 </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46</w:t>
            </w:r>
          </w:p>
        </w:tc>
        <w:tc>
          <w:tcPr>
            <w:tcW w:w="1134"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1 </w:t>
            </w:r>
          </w:p>
        </w:tc>
        <w:tc>
          <w:tcPr>
            <w:tcW w:w="1348" w:type="dxa"/>
            <w:vAlign w:val="center"/>
          </w:tcPr>
          <w:p w:rsidR="000A2D67" w:rsidRPr="00097C47" w:rsidRDefault="000A2D67" w:rsidP="003C2946">
            <w:pPr>
              <w:jc w:val="center"/>
              <w:rPr>
                <w:szCs w:val="22"/>
              </w:rPr>
            </w:pPr>
            <w:r w:rsidRPr="00097C47">
              <w:rPr>
                <w:szCs w:val="22"/>
              </w:rPr>
              <w:t>193</w:t>
            </w:r>
          </w:p>
        </w:tc>
      </w:tr>
      <w:tr w:rsidR="000A2D67" w:rsidRPr="006829E8" w:rsidTr="003C2946">
        <w:trPr>
          <w:trHeight w:val="556"/>
          <w:jc w:val="center"/>
        </w:trPr>
        <w:tc>
          <w:tcPr>
            <w:tcW w:w="846" w:type="dxa"/>
            <w:vAlign w:val="center"/>
          </w:tcPr>
          <w:p w:rsidR="000A2D67" w:rsidRPr="00097C47" w:rsidRDefault="000A2D67" w:rsidP="000A2D67">
            <w:pPr>
              <w:numPr>
                <w:ilvl w:val="0"/>
                <w:numId w:val="8"/>
              </w:numPr>
              <w:spacing w:after="160" w:line="259" w:lineRule="auto"/>
              <w:contextualSpacing/>
              <w:rPr>
                <w:rFonts w:ascii="Calibri" w:eastAsia="Calibri" w:hAnsi="Calibri" w:cs="Times New Roman"/>
                <w:szCs w:val="22"/>
                <w:lang w:val="en-SG" w:eastAsia="en-US"/>
              </w:rPr>
            </w:pPr>
          </w:p>
        </w:tc>
        <w:tc>
          <w:tcPr>
            <w:tcW w:w="4394"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Current allocated seats for CoCo </w:t>
            </w:r>
          </w:p>
        </w:tc>
        <w:tc>
          <w:tcPr>
            <w:tcW w:w="1062"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23 </w:t>
            </w:r>
          </w:p>
        </w:tc>
        <w:tc>
          <w:tcPr>
            <w:tcW w:w="1348"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19 </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4 </w:t>
            </w:r>
          </w:p>
        </w:tc>
        <w:tc>
          <w:tcPr>
            <w:tcW w:w="1061"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6 </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15 </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15 </w:t>
            </w:r>
          </w:p>
        </w:tc>
        <w:tc>
          <w:tcPr>
            <w:tcW w:w="1134"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1 </w:t>
            </w:r>
          </w:p>
        </w:tc>
        <w:tc>
          <w:tcPr>
            <w:tcW w:w="1348" w:type="dxa"/>
            <w:vAlign w:val="center"/>
          </w:tcPr>
          <w:p w:rsidR="000A2D67" w:rsidRPr="00097C47" w:rsidRDefault="000A2D67" w:rsidP="003C2946">
            <w:pPr>
              <w:jc w:val="center"/>
              <w:rPr>
                <w:szCs w:val="22"/>
              </w:rPr>
            </w:pPr>
            <w:r w:rsidRPr="00097C47">
              <w:rPr>
                <w:szCs w:val="22"/>
              </w:rPr>
              <w:t>83</w:t>
            </w:r>
          </w:p>
        </w:tc>
      </w:tr>
      <w:tr w:rsidR="000A2D67" w:rsidRPr="006829E8" w:rsidTr="003C2946">
        <w:trPr>
          <w:trHeight w:val="578"/>
          <w:jc w:val="center"/>
        </w:trPr>
        <w:tc>
          <w:tcPr>
            <w:tcW w:w="846" w:type="dxa"/>
            <w:vAlign w:val="center"/>
          </w:tcPr>
          <w:p w:rsidR="000A2D67" w:rsidRPr="00097C47" w:rsidRDefault="000A2D67" w:rsidP="000A2D67">
            <w:pPr>
              <w:numPr>
                <w:ilvl w:val="0"/>
                <w:numId w:val="8"/>
              </w:numPr>
              <w:spacing w:after="160" w:line="259" w:lineRule="auto"/>
              <w:contextualSpacing/>
              <w:rPr>
                <w:rFonts w:ascii="Calibri" w:eastAsia="Calibri" w:hAnsi="Calibri" w:cs="Times New Roman"/>
                <w:szCs w:val="22"/>
                <w:lang w:val="en-SG" w:eastAsia="en-US"/>
              </w:rPr>
            </w:pPr>
          </w:p>
        </w:tc>
        <w:tc>
          <w:tcPr>
            <w:tcW w:w="4394" w:type="dxa"/>
            <w:vAlign w:val="center"/>
          </w:tcPr>
          <w:p w:rsidR="000A2D67" w:rsidRPr="00097C47" w:rsidRDefault="000A2D67" w:rsidP="003C2946">
            <w:pPr>
              <w:jc w:val="center"/>
              <w:rPr>
                <w:color w:val="000000" w:themeColor="text1"/>
                <w:szCs w:val="22"/>
              </w:rPr>
            </w:pPr>
            <w:r w:rsidRPr="00097C47">
              <w:rPr>
                <w:color w:val="000000" w:themeColor="text1"/>
                <w:szCs w:val="22"/>
              </w:rPr>
              <w:t>Percentage of the group Members represented in the CoCo</w:t>
            </w:r>
            <w:r w:rsidRPr="00097C47">
              <w:rPr>
                <w:color w:val="000000" w:themeColor="text1"/>
                <w:szCs w:val="22"/>
                <w:vertAlign w:val="superscript"/>
              </w:rPr>
              <w:footnoteReference w:id="3"/>
            </w:r>
          </w:p>
        </w:tc>
        <w:tc>
          <w:tcPr>
            <w:tcW w:w="1062" w:type="dxa"/>
            <w:vAlign w:val="center"/>
          </w:tcPr>
          <w:p w:rsidR="000A2D67" w:rsidRPr="00097C47" w:rsidRDefault="000A2D67" w:rsidP="003C2946">
            <w:pPr>
              <w:jc w:val="center"/>
              <w:rPr>
                <w:color w:val="000000" w:themeColor="text1"/>
                <w:szCs w:val="22"/>
              </w:rPr>
            </w:pPr>
            <w:r w:rsidRPr="00097C47">
              <w:rPr>
                <w:color w:val="000000" w:themeColor="text1"/>
                <w:szCs w:val="22"/>
              </w:rPr>
              <w:t>71.88%</w:t>
            </w:r>
          </w:p>
        </w:tc>
        <w:tc>
          <w:tcPr>
            <w:tcW w:w="1348" w:type="dxa"/>
            <w:vAlign w:val="center"/>
          </w:tcPr>
          <w:p w:rsidR="000A2D67" w:rsidRPr="00097C47" w:rsidRDefault="000A2D67" w:rsidP="003C2946">
            <w:pPr>
              <w:jc w:val="center"/>
              <w:rPr>
                <w:color w:val="000000" w:themeColor="text1"/>
                <w:szCs w:val="22"/>
              </w:rPr>
            </w:pPr>
            <w:r w:rsidRPr="00097C47">
              <w:rPr>
                <w:color w:val="000000" w:themeColor="text1"/>
                <w:szCs w:val="22"/>
              </w:rPr>
              <w:t>35.85%</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44.44%</w:t>
            </w:r>
          </w:p>
        </w:tc>
        <w:tc>
          <w:tcPr>
            <w:tcW w:w="1061" w:type="dxa"/>
            <w:vAlign w:val="center"/>
          </w:tcPr>
          <w:p w:rsidR="000A2D67" w:rsidRPr="00097C47" w:rsidRDefault="000A2D67" w:rsidP="003C2946">
            <w:pPr>
              <w:jc w:val="center"/>
              <w:rPr>
                <w:color w:val="000000" w:themeColor="text1"/>
                <w:szCs w:val="22"/>
              </w:rPr>
            </w:pPr>
            <w:r w:rsidRPr="00097C47">
              <w:rPr>
                <w:color w:val="000000" w:themeColor="text1"/>
                <w:szCs w:val="22"/>
              </w:rPr>
              <w:t>31.58%</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45.45%</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32.61%</w:t>
            </w:r>
          </w:p>
        </w:tc>
        <w:tc>
          <w:tcPr>
            <w:tcW w:w="1134" w:type="dxa"/>
            <w:vAlign w:val="center"/>
          </w:tcPr>
          <w:p w:rsidR="000A2D67" w:rsidRPr="00097C47" w:rsidRDefault="000A2D67" w:rsidP="003C2946">
            <w:pPr>
              <w:jc w:val="center"/>
              <w:rPr>
                <w:color w:val="000000" w:themeColor="text1"/>
                <w:szCs w:val="22"/>
              </w:rPr>
            </w:pPr>
            <w:r w:rsidRPr="00097C47">
              <w:rPr>
                <w:color w:val="000000" w:themeColor="text1"/>
                <w:szCs w:val="22"/>
              </w:rPr>
              <w:t>NA</w:t>
            </w:r>
          </w:p>
        </w:tc>
        <w:tc>
          <w:tcPr>
            <w:tcW w:w="1348" w:type="dxa"/>
            <w:vAlign w:val="center"/>
          </w:tcPr>
          <w:p w:rsidR="000A2D67" w:rsidRPr="00097C47" w:rsidRDefault="000A2D67" w:rsidP="003C2946">
            <w:pPr>
              <w:jc w:val="center"/>
              <w:rPr>
                <w:szCs w:val="22"/>
              </w:rPr>
            </w:pPr>
            <w:r w:rsidRPr="00097C47">
              <w:rPr>
                <w:szCs w:val="22"/>
              </w:rPr>
              <w:t xml:space="preserve">- </w:t>
            </w:r>
          </w:p>
        </w:tc>
      </w:tr>
      <w:tr w:rsidR="000A2D67" w:rsidRPr="006829E8" w:rsidTr="003C2946">
        <w:trPr>
          <w:trHeight w:val="533"/>
          <w:jc w:val="center"/>
        </w:trPr>
        <w:tc>
          <w:tcPr>
            <w:tcW w:w="846" w:type="dxa"/>
            <w:vAlign w:val="center"/>
          </w:tcPr>
          <w:p w:rsidR="000A2D67" w:rsidRPr="00097C47" w:rsidRDefault="000A2D67" w:rsidP="000A2D67">
            <w:pPr>
              <w:numPr>
                <w:ilvl w:val="0"/>
                <w:numId w:val="8"/>
              </w:numPr>
              <w:spacing w:after="160" w:line="259" w:lineRule="auto"/>
              <w:contextualSpacing/>
              <w:rPr>
                <w:rFonts w:ascii="Calibri" w:eastAsia="Calibri" w:hAnsi="Calibri" w:cs="Times New Roman"/>
                <w:szCs w:val="22"/>
                <w:lang w:val="en-SG" w:eastAsia="en-US"/>
              </w:rPr>
            </w:pPr>
          </w:p>
        </w:tc>
        <w:tc>
          <w:tcPr>
            <w:tcW w:w="4394" w:type="dxa"/>
            <w:vAlign w:val="center"/>
          </w:tcPr>
          <w:p w:rsidR="000A2D67" w:rsidRPr="00097C47" w:rsidRDefault="000A2D67" w:rsidP="003C2946">
            <w:pPr>
              <w:jc w:val="center"/>
              <w:rPr>
                <w:color w:val="000000" w:themeColor="text1"/>
                <w:szCs w:val="22"/>
              </w:rPr>
            </w:pPr>
            <w:r w:rsidRPr="00097C47">
              <w:rPr>
                <w:color w:val="000000" w:themeColor="text1"/>
                <w:szCs w:val="22"/>
              </w:rPr>
              <w:t>Group percentage of WIPO Members</w:t>
            </w:r>
            <w:r w:rsidRPr="00097C47">
              <w:rPr>
                <w:color w:val="000000" w:themeColor="text1"/>
                <w:szCs w:val="22"/>
                <w:vertAlign w:val="superscript"/>
              </w:rPr>
              <w:footnoteReference w:id="4"/>
            </w:r>
            <w:r w:rsidRPr="00097C47">
              <w:rPr>
                <w:color w:val="000000" w:themeColor="text1"/>
                <w:szCs w:val="22"/>
              </w:rPr>
              <w:t xml:space="preserve"> </w:t>
            </w:r>
          </w:p>
        </w:tc>
        <w:tc>
          <w:tcPr>
            <w:tcW w:w="1062" w:type="dxa"/>
            <w:vAlign w:val="center"/>
          </w:tcPr>
          <w:p w:rsidR="000A2D67" w:rsidRPr="00097C47" w:rsidRDefault="000A2D67" w:rsidP="003C2946">
            <w:pPr>
              <w:jc w:val="center"/>
              <w:rPr>
                <w:color w:val="000000" w:themeColor="text1"/>
                <w:szCs w:val="22"/>
              </w:rPr>
            </w:pPr>
            <w:r w:rsidRPr="00097C47">
              <w:rPr>
                <w:rFonts w:eastAsia="Calibri"/>
                <w:color w:val="000000" w:themeColor="text1"/>
                <w:szCs w:val="22"/>
              </w:rPr>
              <w:t>16.58%</w:t>
            </w:r>
          </w:p>
        </w:tc>
        <w:tc>
          <w:tcPr>
            <w:tcW w:w="1348" w:type="dxa"/>
            <w:vAlign w:val="center"/>
          </w:tcPr>
          <w:p w:rsidR="000A2D67" w:rsidRPr="00097C47" w:rsidRDefault="000A2D67" w:rsidP="003C2946">
            <w:pPr>
              <w:jc w:val="center"/>
              <w:rPr>
                <w:color w:val="000000" w:themeColor="text1"/>
                <w:szCs w:val="22"/>
              </w:rPr>
            </w:pPr>
            <w:r w:rsidRPr="00097C47">
              <w:rPr>
                <w:rFonts w:eastAsia="Calibri"/>
                <w:color w:val="000000" w:themeColor="text1"/>
                <w:szCs w:val="22"/>
              </w:rPr>
              <w:t>27.46%</w:t>
            </w:r>
          </w:p>
        </w:tc>
        <w:tc>
          <w:tcPr>
            <w:tcW w:w="1276" w:type="dxa"/>
            <w:vAlign w:val="center"/>
          </w:tcPr>
          <w:p w:rsidR="000A2D67" w:rsidRPr="00097C47" w:rsidRDefault="000A2D67" w:rsidP="003C2946">
            <w:pPr>
              <w:jc w:val="center"/>
              <w:rPr>
                <w:color w:val="000000" w:themeColor="text1"/>
                <w:szCs w:val="22"/>
              </w:rPr>
            </w:pPr>
            <w:r w:rsidRPr="00097C47">
              <w:rPr>
                <w:rFonts w:eastAsia="Calibri"/>
                <w:color w:val="000000" w:themeColor="text1"/>
                <w:szCs w:val="22"/>
              </w:rPr>
              <w:t>4.66%</w:t>
            </w:r>
          </w:p>
        </w:tc>
        <w:tc>
          <w:tcPr>
            <w:tcW w:w="1061" w:type="dxa"/>
            <w:vAlign w:val="center"/>
          </w:tcPr>
          <w:p w:rsidR="000A2D67" w:rsidRPr="00097C47" w:rsidRDefault="000A2D67" w:rsidP="003C2946">
            <w:pPr>
              <w:jc w:val="center"/>
              <w:rPr>
                <w:color w:val="000000" w:themeColor="text1"/>
                <w:szCs w:val="22"/>
              </w:rPr>
            </w:pPr>
            <w:r w:rsidRPr="00097C47">
              <w:rPr>
                <w:rFonts w:eastAsia="Calibri"/>
                <w:color w:val="000000" w:themeColor="text1"/>
                <w:szCs w:val="22"/>
              </w:rPr>
              <w:t>9.84%</w:t>
            </w:r>
          </w:p>
        </w:tc>
        <w:tc>
          <w:tcPr>
            <w:tcW w:w="1276" w:type="dxa"/>
            <w:vAlign w:val="center"/>
          </w:tcPr>
          <w:p w:rsidR="000A2D67" w:rsidRPr="00097C47" w:rsidRDefault="000A2D67" w:rsidP="003C2946">
            <w:pPr>
              <w:jc w:val="center"/>
              <w:rPr>
                <w:color w:val="000000" w:themeColor="text1"/>
                <w:szCs w:val="22"/>
              </w:rPr>
            </w:pPr>
            <w:r w:rsidRPr="00097C47">
              <w:rPr>
                <w:rFonts w:eastAsia="Calibri"/>
                <w:color w:val="000000" w:themeColor="text1"/>
                <w:szCs w:val="22"/>
              </w:rPr>
              <w:t>17.10%</w:t>
            </w:r>
          </w:p>
        </w:tc>
        <w:tc>
          <w:tcPr>
            <w:tcW w:w="1276" w:type="dxa"/>
            <w:vAlign w:val="center"/>
          </w:tcPr>
          <w:p w:rsidR="000A2D67" w:rsidRPr="00097C47" w:rsidRDefault="000A2D67" w:rsidP="003C2946">
            <w:pPr>
              <w:jc w:val="center"/>
              <w:rPr>
                <w:color w:val="000000" w:themeColor="text1"/>
                <w:szCs w:val="22"/>
              </w:rPr>
            </w:pPr>
            <w:r w:rsidRPr="00097C47">
              <w:rPr>
                <w:rFonts w:eastAsia="Calibri"/>
                <w:color w:val="000000" w:themeColor="text1"/>
                <w:szCs w:val="22"/>
              </w:rPr>
              <w:t>23.83%</w:t>
            </w:r>
          </w:p>
        </w:tc>
        <w:tc>
          <w:tcPr>
            <w:tcW w:w="1134"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NA </w:t>
            </w:r>
          </w:p>
        </w:tc>
        <w:tc>
          <w:tcPr>
            <w:tcW w:w="1348" w:type="dxa"/>
            <w:vAlign w:val="center"/>
          </w:tcPr>
          <w:p w:rsidR="000A2D67" w:rsidRPr="00097C47" w:rsidRDefault="000A2D67" w:rsidP="003C2946">
            <w:pPr>
              <w:jc w:val="center"/>
              <w:rPr>
                <w:szCs w:val="22"/>
              </w:rPr>
            </w:pPr>
            <w:r w:rsidRPr="00097C47">
              <w:rPr>
                <w:szCs w:val="22"/>
              </w:rPr>
              <w:t>100%</w:t>
            </w:r>
          </w:p>
        </w:tc>
      </w:tr>
      <w:tr w:rsidR="000A2D67" w:rsidRPr="006829E8" w:rsidTr="003C2946">
        <w:trPr>
          <w:trHeight w:val="541"/>
          <w:jc w:val="center"/>
        </w:trPr>
        <w:tc>
          <w:tcPr>
            <w:tcW w:w="846" w:type="dxa"/>
            <w:vAlign w:val="center"/>
          </w:tcPr>
          <w:p w:rsidR="000A2D67" w:rsidRPr="00097C47" w:rsidRDefault="000A2D67" w:rsidP="000A2D67">
            <w:pPr>
              <w:numPr>
                <w:ilvl w:val="0"/>
                <w:numId w:val="8"/>
              </w:numPr>
              <w:spacing w:after="160" w:line="259" w:lineRule="auto"/>
              <w:contextualSpacing/>
              <w:rPr>
                <w:rFonts w:ascii="Calibri" w:eastAsia="Calibri" w:hAnsi="Calibri" w:cs="Times New Roman"/>
                <w:szCs w:val="22"/>
                <w:lang w:val="en-SG" w:eastAsia="en-US"/>
              </w:rPr>
            </w:pPr>
          </w:p>
        </w:tc>
        <w:tc>
          <w:tcPr>
            <w:tcW w:w="4394" w:type="dxa"/>
            <w:vAlign w:val="center"/>
          </w:tcPr>
          <w:p w:rsidR="000A2D67" w:rsidRPr="00097C47" w:rsidRDefault="000A2D67" w:rsidP="003C2946">
            <w:pPr>
              <w:jc w:val="center"/>
              <w:rPr>
                <w:color w:val="000000" w:themeColor="text1"/>
                <w:szCs w:val="22"/>
              </w:rPr>
            </w:pPr>
            <w:r w:rsidRPr="00097C47">
              <w:rPr>
                <w:color w:val="000000" w:themeColor="text1"/>
                <w:szCs w:val="22"/>
              </w:rPr>
              <w:t>Group percentage of CoCo Membership</w:t>
            </w:r>
            <w:r w:rsidRPr="00097C47">
              <w:rPr>
                <w:color w:val="000000" w:themeColor="text1"/>
                <w:szCs w:val="22"/>
                <w:vertAlign w:val="superscript"/>
              </w:rPr>
              <w:footnoteReference w:id="5"/>
            </w:r>
          </w:p>
        </w:tc>
        <w:tc>
          <w:tcPr>
            <w:tcW w:w="1062" w:type="dxa"/>
            <w:vAlign w:val="center"/>
          </w:tcPr>
          <w:p w:rsidR="000A2D67" w:rsidRPr="00097C47" w:rsidRDefault="000A2D67" w:rsidP="003C2946">
            <w:pPr>
              <w:jc w:val="center"/>
              <w:rPr>
                <w:color w:val="000000" w:themeColor="text1"/>
                <w:szCs w:val="22"/>
              </w:rPr>
            </w:pPr>
            <w:r w:rsidRPr="00097C47">
              <w:rPr>
                <w:color w:val="000000" w:themeColor="text1"/>
                <w:szCs w:val="22"/>
              </w:rPr>
              <w:t>27.71%</w:t>
            </w:r>
          </w:p>
        </w:tc>
        <w:tc>
          <w:tcPr>
            <w:tcW w:w="1348" w:type="dxa"/>
            <w:vAlign w:val="center"/>
          </w:tcPr>
          <w:p w:rsidR="000A2D67" w:rsidRPr="00097C47" w:rsidRDefault="000A2D67" w:rsidP="003C2946">
            <w:pPr>
              <w:jc w:val="center"/>
              <w:rPr>
                <w:color w:val="000000" w:themeColor="text1"/>
                <w:szCs w:val="22"/>
              </w:rPr>
            </w:pPr>
            <w:r w:rsidRPr="00097C47">
              <w:rPr>
                <w:color w:val="000000" w:themeColor="text1"/>
                <w:szCs w:val="22"/>
              </w:rPr>
              <w:t>22.89%</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4.82%</w:t>
            </w:r>
          </w:p>
        </w:tc>
        <w:tc>
          <w:tcPr>
            <w:tcW w:w="1061" w:type="dxa"/>
            <w:vAlign w:val="center"/>
          </w:tcPr>
          <w:p w:rsidR="000A2D67" w:rsidRPr="00097C47" w:rsidRDefault="000A2D67" w:rsidP="003C2946">
            <w:pPr>
              <w:jc w:val="center"/>
              <w:rPr>
                <w:color w:val="000000" w:themeColor="text1"/>
                <w:szCs w:val="22"/>
              </w:rPr>
            </w:pPr>
            <w:r w:rsidRPr="00097C47">
              <w:rPr>
                <w:color w:val="000000" w:themeColor="text1"/>
                <w:szCs w:val="22"/>
              </w:rPr>
              <w:t>7.23%</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18.07%</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18.07%</w:t>
            </w:r>
          </w:p>
        </w:tc>
        <w:tc>
          <w:tcPr>
            <w:tcW w:w="1134" w:type="dxa"/>
            <w:vAlign w:val="center"/>
          </w:tcPr>
          <w:p w:rsidR="000A2D67" w:rsidRPr="00097C47" w:rsidRDefault="000A2D67" w:rsidP="003C2946">
            <w:pPr>
              <w:jc w:val="center"/>
              <w:rPr>
                <w:color w:val="000000" w:themeColor="text1"/>
                <w:szCs w:val="22"/>
              </w:rPr>
            </w:pPr>
            <w:r w:rsidRPr="00097C47">
              <w:rPr>
                <w:color w:val="000000" w:themeColor="text1"/>
                <w:szCs w:val="22"/>
              </w:rPr>
              <w:t>NA</w:t>
            </w:r>
          </w:p>
        </w:tc>
        <w:tc>
          <w:tcPr>
            <w:tcW w:w="1348" w:type="dxa"/>
            <w:vAlign w:val="center"/>
          </w:tcPr>
          <w:p w:rsidR="000A2D67" w:rsidRPr="00097C47" w:rsidRDefault="000A2D67" w:rsidP="003C2946">
            <w:pPr>
              <w:jc w:val="center"/>
              <w:rPr>
                <w:szCs w:val="22"/>
              </w:rPr>
            </w:pPr>
            <w:r w:rsidRPr="00097C47">
              <w:rPr>
                <w:szCs w:val="22"/>
              </w:rPr>
              <w:t>100%</w:t>
            </w:r>
          </w:p>
        </w:tc>
      </w:tr>
      <w:tr w:rsidR="000A2D67" w:rsidRPr="006829E8" w:rsidTr="003C2946">
        <w:trPr>
          <w:trHeight w:val="1029"/>
          <w:jc w:val="center"/>
        </w:trPr>
        <w:tc>
          <w:tcPr>
            <w:tcW w:w="846" w:type="dxa"/>
            <w:vAlign w:val="center"/>
          </w:tcPr>
          <w:p w:rsidR="000A2D67" w:rsidRPr="00097C47" w:rsidRDefault="000A2D67" w:rsidP="000A2D67">
            <w:pPr>
              <w:numPr>
                <w:ilvl w:val="0"/>
                <w:numId w:val="8"/>
              </w:numPr>
              <w:spacing w:after="160" w:line="259" w:lineRule="auto"/>
              <w:contextualSpacing/>
              <w:rPr>
                <w:rFonts w:ascii="Calibri" w:eastAsia="Calibri" w:hAnsi="Calibri" w:cs="Times New Roman"/>
                <w:szCs w:val="22"/>
                <w:lang w:val="en-SG" w:eastAsia="en-US"/>
              </w:rPr>
            </w:pPr>
          </w:p>
        </w:tc>
        <w:tc>
          <w:tcPr>
            <w:tcW w:w="4394" w:type="dxa"/>
            <w:vAlign w:val="center"/>
          </w:tcPr>
          <w:p w:rsidR="000A2D67" w:rsidRPr="00097C47" w:rsidRDefault="000A2D67" w:rsidP="003C2946">
            <w:pPr>
              <w:jc w:val="center"/>
              <w:rPr>
                <w:color w:val="000000" w:themeColor="text1"/>
                <w:szCs w:val="22"/>
              </w:rPr>
            </w:pPr>
            <w:r w:rsidRPr="00097C47">
              <w:rPr>
                <w:color w:val="000000" w:themeColor="text1"/>
                <w:szCs w:val="22"/>
              </w:rPr>
              <w:t>Number of CoCo seats if according to proportion of WIPO Membership based on 83 CoCo seats</w:t>
            </w:r>
            <w:r w:rsidRPr="00097C47">
              <w:rPr>
                <w:color w:val="000000" w:themeColor="text1"/>
                <w:szCs w:val="22"/>
                <w:vertAlign w:val="superscript"/>
              </w:rPr>
              <w:footnoteReference w:id="6"/>
            </w:r>
          </w:p>
        </w:tc>
        <w:tc>
          <w:tcPr>
            <w:tcW w:w="1062" w:type="dxa"/>
            <w:vAlign w:val="center"/>
          </w:tcPr>
          <w:p w:rsidR="000A2D67" w:rsidRPr="00097C47" w:rsidRDefault="000A2D67" w:rsidP="003C2946">
            <w:pPr>
              <w:jc w:val="center"/>
              <w:rPr>
                <w:color w:val="000000" w:themeColor="text1"/>
                <w:szCs w:val="22"/>
              </w:rPr>
            </w:pPr>
            <w:r w:rsidRPr="00097C47">
              <w:rPr>
                <w:color w:val="000000" w:themeColor="text1"/>
                <w:szCs w:val="22"/>
              </w:rPr>
              <w:t>13.76</w:t>
            </w:r>
          </w:p>
        </w:tc>
        <w:tc>
          <w:tcPr>
            <w:tcW w:w="1348" w:type="dxa"/>
            <w:vAlign w:val="center"/>
          </w:tcPr>
          <w:p w:rsidR="000A2D67" w:rsidRPr="00097C47" w:rsidRDefault="000A2D67" w:rsidP="003C2946">
            <w:pPr>
              <w:jc w:val="center"/>
              <w:rPr>
                <w:color w:val="000000" w:themeColor="text1"/>
                <w:szCs w:val="22"/>
              </w:rPr>
            </w:pPr>
            <w:r w:rsidRPr="00097C47">
              <w:rPr>
                <w:color w:val="000000" w:themeColor="text1"/>
                <w:szCs w:val="22"/>
              </w:rPr>
              <w:t>22.79</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3.87</w:t>
            </w:r>
          </w:p>
        </w:tc>
        <w:tc>
          <w:tcPr>
            <w:tcW w:w="1061" w:type="dxa"/>
            <w:vAlign w:val="center"/>
          </w:tcPr>
          <w:p w:rsidR="000A2D67" w:rsidRPr="00097C47" w:rsidRDefault="000A2D67" w:rsidP="003C2946">
            <w:pPr>
              <w:jc w:val="center"/>
              <w:rPr>
                <w:color w:val="000000" w:themeColor="text1"/>
                <w:szCs w:val="22"/>
              </w:rPr>
            </w:pPr>
            <w:r w:rsidRPr="00097C47">
              <w:rPr>
                <w:color w:val="000000" w:themeColor="text1"/>
                <w:szCs w:val="22"/>
              </w:rPr>
              <w:t>8.17</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14.19</w:t>
            </w:r>
          </w:p>
        </w:tc>
        <w:tc>
          <w:tcPr>
            <w:tcW w:w="1276" w:type="dxa"/>
            <w:vAlign w:val="center"/>
          </w:tcPr>
          <w:p w:rsidR="000A2D67" w:rsidRPr="00097C47" w:rsidRDefault="000A2D67" w:rsidP="003C2946">
            <w:pPr>
              <w:jc w:val="center"/>
              <w:rPr>
                <w:color w:val="000000" w:themeColor="text1"/>
                <w:szCs w:val="22"/>
              </w:rPr>
            </w:pPr>
            <w:r w:rsidRPr="00097C47">
              <w:rPr>
                <w:color w:val="000000" w:themeColor="text1"/>
                <w:szCs w:val="22"/>
              </w:rPr>
              <w:t>19.78</w:t>
            </w:r>
          </w:p>
        </w:tc>
        <w:tc>
          <w:tcPr>
            <w:tcW w:w="1134" w:type="dxa"/>
            <w:vAlign w:val="center"/>
          </w:tcPr>
          <w:p w:rsidR="000A2D67" w:rsidRPr="00097C47" w:rsidRDefault="000A2D67" w:rsidP="003C2946">
            <w:pPr>
              <w:jc w:val="center"/>
              <w:rPr>
                <w:color w:val="000000" w:themeColor="text1"/>
                <w:szCs w:val="22"/>
              </w:rPr>
            </w:pPr>
            <w:r w:rsidRPr="00097C47">
              <w:rPr>
                <w:color w:val="000000" w:themeColor="text1"/>
                <w:szCs w:val="22"/>
              </w:rPr>
              <w:t xml:space="preserve"> NA</w:t>
            </w:r>
          </w:p>
        </w:tc>
        <w:tc>
          <w:tcPr>
            <w:tcW w:w="1348" w:type="dxa"/>
            <w:vAlign w:val="center"/>
          </w:tcPr>
          <w:p w:rsidR="000A2D67" w:rsidRPr="00097C47" w:rsidRDefault="000A2D67" w:rsidP="003C2946">
            <w:pPr>
              <w:jc w:val="center"/>
              <w:rPr>
                <w:szCs w:val="22"/>
              </w:rPr>
            </w:pPr>
            <w:r w:rsidRPr="00097C47">
              <w:rPr>
                <w:szCs w:val="22"/>
              </w:rPr>
              <w:t>83</w:t>
            </w:r>
          </w:p>
        </w:tc>
      </w:tr>
      <w:tr w:rsidR="000A2D67" w:rsidRPr="006829E8" w:rsidTr="003C2946">
        <w:trPr>
          <w:trHeight w:val="1029"/>
          <w:jc w:val="center"/>
        </w:trPr>
        <w:tc>
          <w:tcPr>
            <w:tcW w:w="846" w:type="dxa"/>
            <w:vAlign w:val="center"/>
          </w:tcPr>
          <w:p w:rsidR="000A2D67" w:rsidRPr="00097C47" w:rsidRDefault="000A2D67" w:rsidP="000A2D67">
            <w:pPr>
              <w:numPr>
                <w:ilvl w:val="0"/>
                <w:numId w:val="8"/>
              </w:numPr>
              <w:spacing w:after="160" w:line="259" w:lineRule="auto"/>
              <w:contextualSpacing/>
              <w:rPr>
                <w:rFonts w:ascii="Calibri" w:eastAsia="Calibri" w:hAnsi="Calibri" w:cs="Times New Roman"/>
                <w:szCs w:val="22"/>
                <w:lang w:val="en-SG" w:eastAsia="en-US"/>
              </w:rPr>
            </w:pPr>
          </w:p>
        </w:tc>
        <w:tc>
          <w:tcPr>
            <w:tcW w:w="4394" w:type="dxa"/>
            <w:vAlign w:val="center"/>
          </w:tcPr>
          <w:p w:rsidR="000A2D67" w:rsidRPr="00097C47" w:rsidRDefault="000A2D67" w:rsidP="003C2946">
            <w:pPr>
              <w:jc w:val="center"/>
              <w:rPr>
                <w:b/>
                <w:color w:val="000000" w:themeColor="text1"/>
                <w:szCs w:val="22"/>
              </w:rPr>
            </w:pPr>
            <w:r w:rsidRPr="00097C47">
              <w:rPr>
                <w:b/>
                <w:color w:val="000000" w:themeColor="text1"/>
                <w:szCs w:val="22"/>
              </w:rPr>
              <w:t>Differential (between Row 6 and Row 2)</w:t>
            </w:r>
            <w:r w:rsidRPr="00097C47">
              <w:rPr>
                <w:b/>
                <w:color w:val="000000" w:themeColor="text1"/>
                <w:szCs w:val="22"/>
                <w:vertAlign w:val="superscript"/>
              </w:rPr>
              <w:footnoteReference w:id="7"/>
            </w:r>
          </w:p>
        </w:tc>
        <w:tc>
          <w:tcPr>
            <w:tcW w:w="1062" w:type="dxa"/>
            <w:vAlign w:val="center"/>
          </w:tcPr>
          <w:p w:rsidR="000A2D67" w:rsidRPr="00097C47" w:rsidRDefault="000A2D67" w:rsidP="003C2946">
            <w:pPr>
              <w:jc w:val="center"/>
              <w:rPr>
                <w:b/>
                <w:color w:val="000000" w:themeColor="text1"/>
                <w:szCs w:val="22"/>
                <w:u w:val="single"/>
              </w:rPr>
            </w:pPr>
            <w:r w:rsidRPr="00097C47">
              <w:rPr>
                <w:b/>
                <w:color w:val="000000" w:themeColor="text1"/>
                <w:szCs w:val="22"/>
                <w:u w:val="single"/>
              </w:rPr>
              <w:t>-9.24</w:t>
            </w:r>
          </w:p>
        </w:tc>
        <w:tc>
          <w:tcPr>
            <w:tcW w:w="1348" w:type="dxa"/>
            <w:vAlign w:val="center"/>
          </w:tcPr>
          <w:p w:rsidR="000A2D67" w:rsidRPr="00097C47" w:rsidRDefault="000A2D67" w:rsidP="003C2946">
            <w:pPr>
              <w:jc w:val="center"/>
              <w:rPr>
                <w:b/>
                <w:color w:val="000000" w:themeColor="text1"/>
                <w:szCs w:val="22"/>
                <w:u w:val="single"/>
              </w:rPr>
            </w:pPr>
            <w:r w:rsidRPr="00097C47">
              <w:rPr>
                <w:b/>
                <w:color w:val="000000" w:themeColor="text1"/>
                <w:szCs w:val="22"/>
                <w:u w:val="single"/>
              </w:rPr>
              <w:t>3.79</w:t>
            </w:r>
          </w:p>
        </w:tc>
        <w:tc>
          <w:tcPr>
            <w:tcW w:w="1276" w:type="dxa"/>
            <w:vAlign w:val="center"/>
          </w:tcPr>
          <w:p w:rsidR="000A2D67" w:rsidRPr="00097C47" w:rsidRDefault="000A2D67" w:rsidP="003C2946">
            <w:pPr>
              <w:jc w:val="center"/>
              <w:rPr>
                <w:b/>
                <w:color w:val="000000" w:themeColor="text1"/>
                <w:szCs w:val="22"/>
                <w:u w:val="single"/>
              </w:rPr>
            </w:pPr>
            <w:r w:rsidRPr="00097C47">
              <w:rPr>
                <w:b/>
                <w:color w:val="000000" w:themeColor="text1"/>
                <w:szCs w:val="22"/>
                <w:u w:val="single"/>
              </w:rPr>
              <w:t>-0.13</w:t>
            </w:r>
          </w:p>
        </w:tc>
        <w:tc>
          <w:tcPr>
            <w:tcW w:w="1061" w:type="dxa"/>
            <w:vAlign w:val="center"/>
          </w:tcPr>
          <w:p w:rsidR="000A2D67" w:rsidRPr="00097C47" w:rsidRDefault="000A2D67" w:rsidP="003C2946">
            <w:pPr>
              <w:jc w:val="center"/>
              <w:rPr>
                <w:b/>
                <w:color w:val="000000" w:themeColor="text1"/>
                <w:szCs w:val="22"/>
                <w:u w:val="single"/>
              </w:rPr>
            </w:pPr>
            <w:r w:rsidRPr="00097C47">
              <w:rPr>
                <w:b/>
                <w:color w:val="000000" w:themeColor="text1"/>
                <w:szCs w:val="22"/>
                <w:u w:val="single"/>
              </w:rPr>
              <w:t>2.17</w:t>
            </w:r>
          </w:p>
        </w:tc>
        <w:tc>
          <w:tcPr>
            <w:tcW w:w="1276" w:type="dxa"/>
            <w:vAlign w:val="center"/>
          </w:tcPr>
          <w:p w:rsidR="000A2D67" w:rsidRPr="00097C47" w:rsidRDefault="000A2D67" w:rsidP="003C2946">
            <w:pPr>
              <w:jc w:val="center"/>
              <w:rPr>
                <w:b/>
                <w:color w:val="000000" w:themeColor="text1"/>
                <w:szCs w:val="22"/>
                <w:u w:val="single"/>
              </w:rPr>
            </w:pPr>
            <w:r w:rsidRPr="00097C47">
              <w:rPr>
                <w:b/>
                <w:color w:val="000000" w:themeColor="text1"/>
                <w:szCs w:val="22"/>
                <w:u w:val="single"/>
              </w:rPr>
              <w:t>-0.81</w:t>
            </w:r>
          </w:p>
        </w:tc>
        <w:tc>
          <w:tcPr>
            <w:tcW w:w="1276" w:type="dxa"/>
            <w:vAlign w:val="center"/>
          </w:tcPr>
          <w:p w:rsidR="000A2D67" w:rsidRPr="00097C47" w:rsidRDefault="000A2D67" w:rsidP="003C2946">
            <w:pPr>
              <w:jc w:val="center"/>
              <w:rPr>
                <w:b/>
                <w:color w:val="000000" w:themeColor="text1"/>
                <w:szCs w:val="22"/>
                <w:u w:val="single"/>
              </w:rPr>
            </w:pPr>
            <w:r w:rsidRPr="00097C47">
              <w:rPr>
                <w:b/>
                <w:color w:val="000000" w:themeColor="text1"/>
                <w:szCs w:val="22"/>
                <w:u w:val="single"/>
              </w:rPr>
              <w:t>4.78</w:t>
            </w:r>
          </w:p>
        </w:tc>
        <w:tc>
          <w:tcPr>
            <w:tcW w:w="1134" w:type="dxa"/>
            <w:vAlign w:val="center"/>
          </w:tcPr>
          <w:p w:rsidR="000A2D67" w:rsidRPr="00097C47" w:rsidRDefault="000A2D67" w:rsidP="003C2946">
            <w:pPr>
              <w:jc w:val="center"/>
              <w:rPr>
                <w:color w:val="000000" w:themeColor="text1"/>
                <w:szCs w:val="22"/>
              </w:rPr>
            </w:pPr>
            <w:r w:rsidRPr="00097C47">
              <w:rPr>
                <w:color w:val="000000" w:themeColor="text1"/>
                <w:szCs w:val="22"/>
              </w:rPr>
              <w:t>NA</w:t>
            </w:r>
          </w:p>
        </w:tc>
        <w:tc>
          <w:tcPr>
            <w:tcW w:w="1348" w:type="dxa"/>
            <w:vAlign w:val="center"/>
          </w:tcPr>
          <w:p w:rsidR="000A2D67" w:rsidRPr="00097C47" w:rsidRDefault="000A2D67" w:rsidP="003C2946">
            <w:pPr>
              <w:jc w:val="center"/>
              <w:rPr>
                <w:b/>
                <w:szCs w:val="22"/>
              </w:rPr>
            </w:pPr>
            <w:r w:rsidRPr="00097C47">
              <w:rPr>
                <w:b/>
                <w:szCs w:val="22"/>
              </w:rPr>
              <w:t>-</w:t>
            </w:r>
          </w:p>
        </w:tc>
      </w:tr>
    </w:tbl>
    <w:p w:rsidR="00296487" w:rsidRDefault="00296487" w:rsidP="000A2D67">
      <w:pPr>
        <w:jc w:val="right"/>
        <w:rPr>
          <w:sz w:val="32"/>
          <w:u w:val="single"/>
        </w:rPr>
      </w:pPr>
    </w:p>
    <w:p w:rsidR="000F198B" w:rsidRDefault="000F198B">
      <w:pPr>
        <w:rPr>
          <w:sz w:val="32"/>
          <w:u w:val="single"/>
        </w:rPr>
      </w:pPr>
      <w:r>
        <w:rPr>
          <w:sz w:val="32"/>
          <w:u w:val="single"/>
        </w:rPr>
        <w:br w:type="page"/>
      </w:r>
    </w:p>
    <w:p w:rsidR="000A2D67" w:rsidRPr="006829E8" w:rsidRDefault="000A2D67" w:rsidP="000A2D67">
      <w:pPr>
        <w:jc w:val="right"/>
        <w:rPr>
          <w:sz w:val="32"/>
          <w:u w:val="single"/>
        </w:rPr>
      </w:pPr>
      <w:r w:rsidRPr="006829E8">
        <w:rPr>
          <w:sz w:val="32"/>
          <w:u w:val="single"/>
        </w:rPr>
        <w:lastRenderedPageBreak/>
        <w:t>Annex B</w:t>
      </w:r>
    </w:p>
    <w:p w:rsidR="000A2D67" w:rsidRPr="00097C47" w:rsidRDefault="000A2D67" w:rsidP="000A2D67">
      <w:pPr>
        <w:jc w:val="center"/>
        <w:rPr>
          <w:rFonts w:eastAsiaTheme="minorHAnsi"/>
          <w:b/>
          <w:bCs/>
          <w:sz w:val="28"/>
          <w:szCs w:val="24"/>
          <w:u w:val="single"/>
        </w:rPr>
      </w:pPr>
      <w:r w:rsidRPr="00097C47">
        <w:rPr>
          <w:rFonts w:eastAsiaTheme="minorHAnsi"/>
          <w:b/>
          <w:bCs/>
          <w:sz w:val="28"/>
          <w:szCs w:val="24"/>
          <w:u w:val="single"/>
        </w:rPr>
        <w:t>Increase in membership of the Paris and Berne Unions since 2011</w:t>
      </w:r>
    </w:p>
    <w:p w:rsidR="000A2D67" w:rsidRPr="006829E8" w:rsidRDefault="000A2D67" w:rsidP="000A2D67">
      <w:pPr>
        <w:rPr>
          <w:rFonts w:eastAsiaTheme="minorHAnsi"/>
          <w:sz w:val="32"/>
          <w:szCs w:val="22"/>
        </w:rPr>
      </w:pPr>
    </w:p>
    <w:tbl>
      <w:tblPr>
        <w:tblW w:w="13938" w:type="dxa"/>
        <w:jc w:val="center"/>
        <w:tblCellMar>
          <w:left w:w="0" w:type="dxa"/>
          <w:right w:w="0" w:type="dxa"/>
        </w:tblCellMar>
        <w:tblLook w:val="04A0" w:firstRow="1" w:lastRow="0" w:firstColumn="1" w:lastColumn="0" w:noHBand="0" w:noVBand="1"/>
      </w:tblPr>
      <w:tblGrid>
        <w:gridCol w:w="946"/>
        <w:gridCol w:w="1836"/>
        <w:gridCol w:w="1573"/>
        <w:gridCol w:w="1537"/>
        <w:gridCol w:w="1686"/>
        <w:gridCol w:w="1106"/>
        <w:gridCol w:w="1585"/>
        <w:gridCol w:w="1583"/>
        <w:gridCol w:w="1105"/>
        <w:gridCol w:w="981"/>
      </w:tblGrid>
      <w:tr w:rsidR="000A2D67" w:rsidRPr="006829E8" w:rsidTr="003C2946">
        <w:trPr>
          <w:trHeight w:val="110"/>
          <w:jc w:val="center"/>
        </w:trPr>
        <w:tc>
          <w:tcPr>
            <w:tcW w:w="94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rPr>
                <w:rFonts w:eastAsiaTheme="minorHAnsi"/>
                <w:b/>
                <w:bCs/>
                <w:color w:val="000000" w:themeColor="text1"/>
                <w:sz w:val="32"/>
                <w:szCs w:val="22"/>
              </w:rPr>
            </w:pPr>
            <w:r w:rsidRPr="006829E8">
              <w:rPr>
                <w:rFonts w:eastAsiaTheme="minorHAnsi"/>
                <w:b/>
                <w:bCs/>
                <w:color w:val="000000" w:themeColor="text1"/>
                <w:sz w:val="32"/>
                <w:szCs w:val="22"/>
              </w:rPr>
              <w:t>S.No</w:t>
            </w:r>
          </w:p>
        </w:tc>
        <w:tc>
          <w:tcPr>
            <w:tcW w:w="193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jc w:val="center"/>
              <w:rPr>
                <w:rFonts w:eastAsiaTheme="minorHAnsi"/>
                <w:b/>
                <w:bCs/>
                <w:color w:val="000000" w:themeColor="text1"/>
                <w:sz w:val="32"/>
                <w:szCs w:val="22"/>
              </w:rPr>
            </w:pPr>
            <w:r w:rsidRPr="006829E8">
              <w:rPr>
                <w:rFonts w:eastAsiaTheme="minorHAnsi"/>
                <w:b/>
                <w:bCs/>
                <w:color w:val="000000" w:themeColor="text1"/>
                <w:sz w:val="32"/>
                <w:szCs w:val="22"/>
              </w:rPr>
              <w:t>Item</w:t>
            </w:r>
          </w:p>
        </w:tc>
        <w:tc>
          <w:tcPr>
            <w:tcW w:w="1644"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rPr>
                <w:rFonts w:eastAsiaTheme="minorHAnsi"/>
                <w:color w:val="000000" w:themeColor="text1"/>
                <w:sz w:val="32"/>
                <w:szCs w:val="22"/>
              </w:rPr>
            </w:pPr>
            <w:r w:rsidRPr="006829E8">
              <w:rPr>
                <w:rFonts w:eastAsiaTheme="minorHAnsi"/>
                <w:b/>
                <w:bCs/>
                <w:color w:val="000000" w:themeColor="text1"/>
                <w:sz w:val="32"/>
                <w:szCs w:val="22"/>
              </w:rPr>
              <w:t xml:space="preserve">Group B </w:t>
            </w:r>
          </w:p>
        </w:tc>
        <w:tc>
          <w:tcPr>
            <w:tcW w:w="134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rPr>
                <w:rFonts w:eastAsiaTheme="minorHAnsi"/>
                <w:color w:val="000000" w:themeColor="text1"/>
                <w:sz w:val="32"/>
                <w:szCs w:val="22"/>
              </w:rPr>
            </w:pPr>
            <w:r w:rsidRPr="006829E8">
              <w:rPr>
                <w:rFonts w:eastAsiaTheme="minorHAnsi"/>
                <w:b/>
                <w:bCs/>
                <w:color w:val="000000" w:themeColor="text1"/>
                <w:sz w:val="32"/>
                <w:szCs w:val="22"/>
              </w:rPr>
              <w:t>Africa Group</w:t>
            </w:r>
          </w:p>
        </w:tc>
        <w:tc>
          <w:tcPr>
            <w:tcW w:w="169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rPr>
                <w:rFonts w:eastAsiaTheme="minorHAnsi"/>
                <w:color w:val="000000" w:themeColor="text1"/>
                <w:sz w:val="32"/>
                <w:szCs w:val="22"/>
              </w:rPr>
            </w:pPr>
            <w:r w:rsidRPr="006829E8">
              <w:rPr>
                <w:rFonts w:eastAsiaTheme="minorHAnsi"/>
                <w:b/>
                <w:bCs/>
                <w:color w:val="000000" w:themeColor="text1"/>
                <w:sz w:val="32"/>
                <w:szCs w:val="22"/>
              </w:rPr>
              <w:t xml:space="preserve">CACEEC </w:t>
            </w:r>
          </w:p>
        </w:tc>
        <w:tc>
          <w:tcPr>
            <w:tcW w:w="110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rPr>
                <w:rFonts w:eastAsiaTheme="minorHAnsi"/>
                <w:color w:val="000000" w:themeColor="text1"/>
                <w:sz w:val="32"/>
                <w:szCs w:val="22"/>
              </w:rPr>
            </w:pPr>
            <w:r w:rsidRPr="006829E8">
              <w:rPr>
                <w:rFonts w:eastAsiaTheme="minorHAnsi"/>
                <w:b/>
                <w:bCs/>
                <w:color w:val="000000" w:themeColor="text1"/>
                <w:sz w:val="32"/>
                <w:szCs w:val="22"/>
              </w:rPr>
              <w:t xml:space="preserve">CEBS </w:t>
            </w:r>
          </w:p>
        </w:tc>
        <w:tc>
          <w:tcPr>
            <w:tcW w:w="158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rPr>
                <w:rFonts w:eastAsiaTheme="minorHAnsi"/>
                <w:color w:val="000000" w:themeColor="text1"/>
                <w:sz w:val="32"/>
                <w:szCs w:val="22"/>
              </w:rPr>
            </w:pPr>
            <w:r w:rsidRPr="006829E8">
              <w:rPr>
                <w:rFonts w:eastAsiaTheme="minorHAnsi"/>
                <w:b/>
                <w:bCs/>
                <w:color w:val="000000" w:themeColor="text1"/>
                <w:sz w:val="32"/>
                <w:szCs w:val="22"/>
              </w:rPr>
              <w:t xml:space="preserve">GRULAC </w:t>
            </w:r>
          </w:p>
        </w:tc>
        <w:tc>
          <w:tcPr>
            <w:tcW w:w="159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rPr>
                <w:rFonts w:eastAsiaTheme="minorHAnsi"/>
                <w:color w:val="000000" w:themeColor="text1"/>
                <w:sz w:val="32"/>
                <w:szCs w:val="22"/>
              </w:rPr>
            </w:pPr>
            <w:r w:rsidRPr="006829E8">
              <w:rPr>
                <w:rFonts w:eastAsiaTheme="minorHAnsi"/>
                <w:b/>
                <w:bCs/>
                <w:color w:val="000000" w:themeColor="text1"/>
                <w:sz w:val="32"/>
                <w:szCs w:val="22"/>
              </w:rPr>
              <w:t xml:space="preserve">APG </w:t>
            </w:r>
          </w:p>
        </w:tc>
        <w:tc>
          <w:tcPr>
            <w:tcW w:w="110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rPr>
                <w:rFonts w:eastAsiaTheme="minorHAnsi"/>
                <w:color w:val="000000" w:themeColor="text1"/>
                <w:sz w:val="32"/>
                <w:szCs w:val="22"/>
              </w:rPr>
            </w:pPr>
            <w:r w:rsidRPr="006829E8">
              <w:rPr>
                <w:rFonts w:eastAsiaTheme="minorHAnsi"/>
                <w:b/>
                <w:bCs/>
                <w:color w:val="000000" w:themeColor="text1"/>
                <w:sz w:val="32"/>
                <w:szCs w:val="22"/>
              </w:rPr>
              <w:t xml:space="preserve">China </w:t>
            </w:r>
          </w:p>
        </w:tc>
        <w:tc>
          <w:tcPr>
            <w:tcW w:w="98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0A2D67" w:rsidRPr="006829E8" w:rsidRDefault="000A2D67" w:rsidP="003C2946">
            <w:pPr>
              <w:rPr>
                <w:rFonts w:eastAsiaTheme="minorHAnsi"/>
                <w:b/>
                <w:bCs/>
                <w:color w:val="000000" w:themeColor="text1"/>
                <w:sz w:val="32"/>
                <w:szCs w:val="22"/>
              </w:rPr>
            </w:pPr>
            <w:r w:rsidRPr="006829E8">
              <w:rPr>
                <w:rFonts w:eastAsiaTheme="minorHAnsi"/>
                <w:b/>
                <w:bCs/>
                <w:color w:val="000000" w:themeColor="text1"/>
                <w:sz w:val="32"/>
                <w:szCs w:val="22"/>
              </w:rPr>
              <w:t xml:space="preserve">Total </w:t>
            </w:r>
          </w:p>
        </w:tc>
      </w:tr>
      <w:tr w:rsidR="000A2D67" w:rsidRPr="006829E8" w:rsidTr="003C2946">
        <w:trPr>
          <w:trHeight w:val="110"/>
          <w:jc w:val="center"/>
        </w:trPr>
        <w:tc>
          <w:tcPr>
            <w:tcW w:w="94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spacing w:line="252" w:lineRule="auto"/>
              <w:ind w:hanging="360"/>
              <w:rPr>
                <w:rFonts w:eastAsiaTheme="minorHAnsi"/>
                <w:szCs w:val="22"/>
              </w:rPr>
            </w:pPr>
            <w:r w:rsidRPr="00097C47">
              <w:rPr>
                <w:rFonts w:eastAsiaTheme="minorHAnsi"/>
                <w:szCs w:val="22"/>
                <w:lang w:val="en-SG"/>
              </w:rPr>
              <w:t>1.      1</w:t>
            </w:r>
          </w:p>
        </w:tc>
        <w:tc>
          <w:tcPr>
            <w:tcW w:w="193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jc w:val="center"/>
              <w:rPr>
                <w:rFonts w:eastAsiaTheme="minorHAnsi"/>
                <w:szCs w:val="22"/>
              </w:rPr>
            </w:pPr>
            <w:r w:rsidRPr="00097C47">
              <w:rPr>
                <w:rFonts w:eastAsiaTheme="minorHAnsi"/>
                <w:szCs w:val="22"/>
              </w:rPr>
              <w:t>Number of Members in Paris Union</w:t>
            </w:r>
          </w:p>
        </w:tc>
        <w:tc>
          <w:tcPr>
            <w:tcW w:w="164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32</w:t>
            </w:r>
          </w:p>
        </w:tc>
        <w:tc>
          <w:tcPr>
            <w:tcW w:w="134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50</w:t>
            </w:r>
          </w:p>
        </w:tc>
        <w:tc>
          <w:tcPr>
            <w:tcW w:w="169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9</w:t>
            </w:r>
          </w:p>
        </w:tc>
        <w:tc>
          <w:tcPr>
            <w:tcW w:w="1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19</w:t>
            </w:r>
          </w:p>
        </w:tc>
        <w:tc>
          <w:tcPr>
            <w:tcW w:w="158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33</w:t>
            </w:r>
          </w:p>
        </w:tc>
        <w:tc>
          <w:tcPr>
            <w:tcW w:w="159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35</w:t>
            </w:r>
          </w:p>
        </w:tc>
        <w:tc>
          <w:tcPr>
            <w:tcW w:w="110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w:t>
            </w:r>
          </w:p>
        </w:tc>
        <w:tc>
          <w:tcPr>
            <w:tcW w:w="98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179</w:t>
            </w:r>
          </w:p>
        </w:tc>
      </w:tr>
      <w:tr w:rsidR="000A2D67" w:rsidRPr="006829E8" w:rsidTr="003C2946">
        <w:trPr>
          <w:trHeight w:val="110"/>
          <w:jc w:val="center"/>
        </w:trPr>
        <w:tc>
          <w:tcPr>
            <w:tcW w:w="946"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spacing w:line="252" w:lineRule="auto"/>
              <w:ind w:hanging="360"/>
              <w:rPr>
                <w:rFonts w:eastAsiaTheme="minorHAnsi"/>
                <w:szCs w:val="22"/>
              </w:rPr>
            </w:pPr>
            <w:r w:rsidRPr="00097C47">
              <w:rPr>
                <w:rFonts w:eastAsiaTheme="minorHAnsi"/>
                <w:szCs w:val="22"/>
                <w:lang w:val="en-SG"/>
              </w:rPr>
              <w:t>2.      2</w:t>
            </w:r>
          </w:p>
        </w:tc>
        <w:tc>
          <w:tcPr>
            <w:tcW w:w="1936"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jc w:val="center"/>
              <w:rPr>
                <w:rFonts w:eastAsiaTheme="minorHAnsi"/>
                <w:szCs w:val="22"/>
              </w:rPr>
            </w:pPr>
            <w:r w:rsidRPr="00097C47">
              <w:rPr>
                <w:rFonts w:eastAsiaTheme="minorHAnsi"/>
                <w:szCs w:val="22"/>
              </w:rPr>
              <w:t>Accessions to the Paris Convention since January 2011</w:t>
            </w:r>
          </w:p>
        </w:tc>
        <w:tc>
          <w:tcPr>
            <w:tcW w:w="1644"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0</w:t>
            </w:r>
          </w:p>
        </w:tc>
        <w:tc>
          <w:tcPr>
            <w:tcW w:w="1341"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w:t>
            </w:r>
          </w:p>
          <w:p w:rsidR="000A2D67" w:rsidRPr="00097C47" w:rsidRDefault="000A2D67" w:rsidP="003C2946">
            <w:pPr>
              <w:rPr>
                <w:rFonts w:eastAsiaTheme="minorHAnsi"/>
                <w:szCs w:val="22"/>
              </w:rPr>
            </w:pPr>
            <w:r w:rsidRPr="00097C47">
              <w:rPr>
                <w:rFonts w:eastAsiaTheme="minorHAnsi"/>
                <w:szCs w:val="22"/>
              </w:rPr>
              <w:t>*Cabo Verde</w:t>
            </w:r>
          </w:p>
        </w:tc>
        <w:tc>
          <w:tcPr>
            <w:tcW w:w="1698"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0</w:t>
            </w:r>
          </w:p>
        </w:tc>
        <w:tc>
          <w:tcPr>
            <w:tcW w:w="1106"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0</w:t>
            </w:r>
          </w:p>
        </w:tc>
        <w:tc>
          <w:tcPr>
            <w:tcW w:w="158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0</w:t>
            </w:r>
          </w:p>
        </w:tc>
        <w:tc>
          <w:tcPr>
            <w:tcW w:w="1596"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lang w:val="de-DE"/>
              </w:rPr>
            </w:pPr>
            <w:r w:rsidRPr="00097C47">
              <w:rPr>
                <w:rFonts w:eastAsiaTheme="minorHAnsi"/>
                <w:szCs w:val="22"/>
                <w:lang w:val="de-DE"/>
              </w:rPr>
              <w:t>5*</w:t>
            </w:r>
          </w:p>
          <w:p w:rsidR="000A2D67" w:rsidRPr="00097C47" w:rsidRDefault="000A2D67" w:rsidP="003C2946">
            <w:pPr>
              <w:rPr>
                <w:rFonts w:eastAsiaTheme="minorHAnsi"/>
                <w:szCs w:val="22"/>
                <w:lang w:val="de-DE"/>
              </w:rPr>
            </w:pPr>
            <w:r w:rsidRPr="00097C47">
              <w:rPr>
                <w:rFonts w:eastAsiaTheme="minorHAnsi"/>
                <w:i/>
                <w:iCs/>
                <w:szCs w:val="22"/>
                <w:lang w:val="de-DE"/>
              </w:rPr>
              <w:t>*Afghanistan, Brunei, Kiribati Kuwait, Samoa</w:t>
            </w:r>
          </w:p>
        </w:tc>
        <w:tc>
          <w:tcPr>
            <w:tcW w:w="110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0</w:t>
            </w:r>
          </w:p>
        </w:tc>
        <w:tc>
          <w:tcPr>
            <w:tcW w:w="981"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6</w:t>
            </w:r>
          </w:p>
        </w:tc>
      </w:tr>
      <w:tr w:rsidR="000A2D67" w:rsidRPr="006829E8" w:rsidTr="003C2946">
        <w:trPr>
          <w:trHeight w:val="644"/>
          <w:jc w:val="center"/>
        </w:trPr>
        <w:tc>
          <w:tcPr>
            <w:tcW w:w="946" w:type="dxa"/>
            <w:tcBorders>
              <w:top w:val="single" w:sz="4"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spacing w:line="252" w:lineRule="auto"/>
              <w:ind w:hanging="360"/>
              <w:rPr>
                <w:rFonts w:eastAsiaTheme="minorHAnsi"/>
                <w:szCs w:val="22"/>
              </w:rPr>
            </w:pPr>
            <w:r w:rsidRPr="00097C47">
              <w:rPr>
                <w:rFonts w:eastAsiaTheme="minorHAnsi"/>
                <w:szCs w:val="22"/>
                <w:lang w:val="en-SG"/>
              </w:rPr>
              <w:t>3.      3</w:t>
            </w:r>
          </w:p>
        </w:tc>
        <w:tc>
          <w:tcPr>
            <w:tcW w:w="1936"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jc w:val="center"/>
              <w:rPr>
                <w:rFonts w:eastAsiaTheme="minorHAnsi"/>
                <w:szCs w:val="22"/>
              </w:rPr>
            </w:pPr>
            <w:r w:rsidRPr="00097C47">
              <w:rPr>
                <w:rFonts w:eastAsiaTheme="minorHAnsi"/>
                <w:szCs w:val="22"/>
              </w:rPr>
              <w:t>Number of Members in Berne Union</w:t>
            </w:r>
          </w:p>
        </w:tc>
        <w:tc>
          <w:tcPr>
            <w:tcW w:w="1644"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32</w:t>
            </w:r>
          </w:p>
        </w:tc>
        <w:tc>
          <w:tcPr>
            <w:tcW w:w="1341"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47</w:t>
            </w:r>
          </w:p>
        </w:tc>
        <w:tc>
          <w:tcPr>
            <w:tcW w:w="1698"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9</w:t>
            </w:r>
          </w:p>
        </w:tc>
        <w:tc>
          <w:tcPr>
            <w:tcW w:w="1106"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19</w:t>
            </w:r>
          </w:p>
        </w:tc>
        <w:tc>
          <w:tcPr>
            <w:tcW w:w="1585"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33</w:t>
            </w:r>
          </w:p>
        </w:tc>
        <w:tc>
          <w:tcPr>
            <w:tcW w:w="1596"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39</w:t>
            </w:r>
          </w:p>
        </w:tc>
        <w:tc>
          <w:tcPr>
            <w:tcW w:w="1105"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w:t>
            </w:r>
          </w:p>
        </w:tc>
        <w:tc>
          <w:tcPr>
            <w:tcW w:w="981"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181</w:t>
            </w:r>
          </w:p>
        </w:tc>
      </w:tr>
      <w:tr w:rsidR="000A2D67" w:rsidRPr="006829E8" w:rsidTr="003C2946">
        <w:trPr>
          <w:trHeight w:val="110"/>
          <w:jc w:val="center"/>
        </w:trPr>
        <w:tc>
          <w:tcPr>
            <w:tcW w:w="946" w:type="dxa"/>
            <w:tcBorders>
              <w:top w:val="nil"/>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spacing w:line="252" w:lineRule="auto"/>
              <w:ind w:hanging="360"/>
              <w:rPr>
                <w:rFonts w:eastAsiaTheme="minorHAnsi"/>
                <w:szCs w:val="22"/>
              </w:rPr>
            </w:pPr>
            <w:r w:rsidRPr="00097C47">
              <w:rPr>
                <w:rFonts w:eastAsiaTheme="minorHAnsi"/>
                <w:szCs w:val="22"/>
                <w:lang w:val="en-SG"/>
              </w:rPr>
              <w:t>4.      4</w:t>
            </w:r>
          </w:p>
        </w:tc>
        <w:tc>
          <w:tcPr>
            <w:tcW w:w="1936"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jc w:val="center"/>
              <w:rPr>
                <w:rFonts w:eastAsiaTheme="minorHAnsi"/>
                <w:szCs w:val="22"/>
              </w:rPr>
            </w:pPr>
            <w:r w:rsidRPr="00097C47">
              <w:rPr>
                <w:rFonts w:eastAsiaTheme="minorHAnsi"/>
                <w:szCs w:val="22"/>
              </w:rPr>
              <w:t>Accessions to the Berne Convention since January 2011</w:t>
            </w:r>
          </w:p>
        </w:tc>
        <w:tc>
          <w:tcPr>
            <w:tcW w:w="1644"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2*</w:t>
            </w:r>
          </w:p>
          <w:p w:rsidR="000A2D67" w:rsidRPr="00097C47" w:rsidRDefault="000A2D67" w:rsidP="003C2946">
            <w:pPr>
              <w:rPr>
                <w:rFonts w:eastAsiaTheme="minorHAnsi"/>
                <w:szCs w:val="22"/>
              </w:rPr>
            </w:pPr>
            <w:r w:rsidRPr="00097C47">
              <w:rPr>
                <w:rFonts w:eastAsiaTheme="minorHAnsi"/>
                <w:szCs w:val="22"/>
              </w:rPr>
              <w:t>*New Zealand (accession to the Paris Act), San Marino</w:t>
            </w:r>
          </w:p>
        </w:tc>
        <w:tc>
          <w:tcPr>
            <w:tcW w:w="1341"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lang w:val="pt-PT"/>
              </w:rPr>
            </w:pPr>
            <w:r w:rsidRPr="00097C47">
              <w:rPr>
                <w:rFonts w:eastAsiaTheme="minorHAnsi"/>
                <w:szCs w:val="22"/>
                <w:lang w:val="pt-PT"/>
              </w:rPr>
              <w:t>4*</w:t>
            </w:r>
          </w:p>
          <w:p w:rsidR="000A2D67" w:rsidRPr="00097C47" w:rsidRDefault="000A2D67" w:rsidP="003C2946">
            <w:pPr>
              <w:rPr>
                <w:rFonts w:eastAsiaTheme="minorHAnsi"/>
                <w:szCs w:val="22"/>
                <w:lang w:val="pt-PT"/>
              </w:rPr>
            </w:pPr>
            <w:r w:rsidRPr="00097C47">
              <w:rPr>
                <w:rFonts w:eastAsiaTheme="minorHAnsi"/>
                <w:i/>
                <w:iCs/>
                <w:szCs w:val="22"/>
                <w:lang w:val="pt-PT"/>
              </w:rPr>
              <w:t>*Burundi, Mozambique, Sao Tome and Principe,</w:t>
            </w:r>
          </w:p>
          <w:p w:rsidR="000A2D67" w:rsidRPr="00097C47" w:rsidRDefault="000A2D67" w:rsidP="003C2946">
            <w:pPr>
              <w:rPr>
                <w:rFonts w:eastAsiaTheme="minorHAnsi"/>
                <w:szCs w:val="22"/>
                <w:lang w:val="pt-PT"/>
              </w:rPr>
            </w:pPr>
          </w:p>
          <w:p w:rsidR="000A2D67" w:rsidRPr="00097C47" w:rsidRDefault="000A2D67" w:rsidP="003C2946">
            <w:pPr>
              <w:rPr>
                <w:rFonts w:eastAsiaTheme="minorHAnsi"/>
                <w:szCs w:val="22"/>
                <w:lang w:val="pt-PT"/>
              </w:rPr>
            </w:pPr>
            <w:r w:rsidRPr="00097C47">
              <w:rPr>
                <w:rFonts w:eastAsiaTheme="minorHAnsi"/>
                <w:i/>
                <w:iCs/>
                <w:szCs w:val="22"/>
                <w:lang w:val="pt-PT"/>
              </w:rPr>
              <w:t>Uganda</w:t>
            </w:r>
          </w:p>
        </w:tc>
        <w:tc>
          <w:tcPr>
            <w:tcW w:w="1698"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w:t>
            </w:r>
          </w:p>
          <w:p w:rsidR="000A2D67" w:rsidRPr="00097C47" w:rsidRDefault="000A2D67" w:rsidP="003C2946">
            <w:pPr>
              <w:rPr>
                <w:rFonts w:eastAsiaTheme="minorHAnsi"/>
                <w:szCs w:val="22"/>
              </w:rPr>
            </w:pPr>
            <w:r w:rsidRPr="00097C47">
              <w:rPr>
                <w:rFonts w:eastAsiaTheme="minorHAnsi"/>
                <w:i/>
                <w:iCs/>
                <w:szCs w:val="22"/>
              </w:rPr>
              <w:t>*Turkmenistan</w:t>
            </w:r>
          </w:p>
        </w:tc>
        <w:tc>
          <w:tcPr>
            <w:tcW w:w="1106"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0</w:t>
            </w:r>
          </w:p>
        </w:tc>
        <w:tc>
          <w:tcPr>
            <w:tcW w:w="1585"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0</w:t>
            </w:r>
          </w:p>
        </w:tc>
        <w:tc>
          <w:tcPr>
            <w:tcW w:w="1596"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11*</w:t>
            </w:r>
          </w:p>
          <w:p w:rsidR="000A2D67" w:rsidRPr="00097C47" w:rsidRDefault="000A2D67" w:rsidP="003C2946">
            <w:pPr>
              <w:rPr>
                <w:rFonts w:eastAsiaTheme="minorHAnsi"/>
                <w:szCs w:val="22"/>
              </w:rPr>
            </w:pPr>
            <w:r w:rsidRPr="00097C47">
              <w:rPr>
                <w:rFonts w:eastAsiaTheme="minorHAnsi"/>
                <w:i/>
                <w:iCs/>
                <w:szCs w:val="22"/>
              </w:rPr>
              <w:t>*Afghanistan, Cambodia, Cook Islands, Kiribati, Kuwait, Lao PDR, Nauru, Niue, Solomon Islands, Tuvalu, Vanuatu</w:t>
            </w:r>
          </w:p>
        </w:tc>
        <w:tc>
          <w:tcPr>
            <w:tcW w:w="1105"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0</w:t>
            </w:r>
          </w:p>
        </w:tc>
        <w:tc>
          <w:tcPr>
            <w:tcW w:w="981"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A2D67" w:rsidRPr="00097C47" w:rsidRDefault="000A2D67" w:rsidP="003C2946">
            <w:pPr>
              <w:rPr>
                <w:rFonts w:eastAsiaTheme="minorHAnsi"/>
                <w:szCs w:val="22"/>
              </w:rPr>
            </w:pPr>
            <w:r w:rsidRPr="00097C47">
              <w:rPr>
                <w:rFonts w:eastAsiaTheme="minorHAnsi"/>
                <w:szCs w:val="22"/>
              </w:rPr>
              <w:t>18</w:t>
            </w:r>
          </w:p>
        </w:tc>
      </w:tr>
      <w:tr w:rsidR="000A2D67" w:rsidRPr="006829E8" w:rsidTr="003C2946">
        <w:trPr>
          <w:trHeight w:val="110"/>
          <w:jc w:val="center"/>
        </w:trPr>
        <w:tc>
          <w:tcPr>
            <w:tcW w:w="946" w:type="dxa"/>
            <w:tcBorders>
              <w:top w:val="nil"/>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spacing w:line="252" w:lineRule="auto"/>
              <w:ind w:hanging="360"/>
              <w:rPr>
                <w:rFonts w:eastAsiaTheme="minorHAnsi"/>
                <w:szCs w:val="22"/>
              </w:rPr>
            </w:pPr>
            <w:r w:rsidRPr="00097C47">
              <w:rPr>
                <w:rFonts w:eastAsiaTheme="minorHAnsi"/>
                <w:szCs w:val="22"/>
                <w:lang w:val="en-SG"/>
              </w:rPr>
              <w:t>5.      5</w:t>
            </w:r>
          </w:p>
        </w:tc>
        <w:tc>
          <w:tcPr>
            <w:tcW w:w="1936"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jc w:val="center"/>
              <w:rPr>
                <w:rFonts w:eastAsiaTheme="minorHAnsi"/>
                <w:b/>
                <w:bCs/>
                <w:szCs w:val="22"/>
              </w:rPr>
            </w:pPr>
            <w:r w:rsidRPr="00097C47">
              <w:rPr>
                <w:rFonts w:eastAsiaTheme="minorHAnsi"/>
                <w:b/>
                <w:bCs/>
                <w:szCs w:val="22"/>
              </w:rPr>
              <w:t>Total number of new accessions to the Paris and Berne Unions since 2011 (row2 + row4)</w:t>
            </w:r>
          </w:p>
        </w:tc>
        <w:tc>
          <w:tcPr>
            <w:tcW w:w="1644"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rPr>
                <w:rFonts w:eastAsiaTheme="minorHAnsi"/>
                <w:b/>
                <w:bCs/>
                <w:szCs w:val="22"/>
              </w:rPr>
            </w:pPr>
            <w:r w:rsidRPr="00097C47">
              <w:rPr>
                <w:rFonts w:eastAsiaTheme="minorHAnsi"/>
                <w:b/>
                <w:bCs/>
                <w:szCs w:val="22"/>
              </w:rPr>
              <w:t>2</w:t>
            </w:r>
          </w:p>
        </w:tc>
        <w:tc>
          <w:tcPr>
            <w:tcW w:w="1341"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rPr>
                <w:rFonts w:eastAsiaTheme="minorHAnsi"/>
                <w:b/>
                <w:bCs/>
                <w:szCs w:val="22"/>
              </w:rPr>
            </w:pPr>
            <w:r w:rsidRPr="00097C47">
              <w:rPr>
                <w:rFonts w:eastAsiaTheme="minorHAnsi"/>
                <w:b/>
                <w:bCs/>
                <w:szCs w:val="22"/>
              </w:rPr>
              <w:t>5</w:t>
            </w:r>
          </w:p>
        </w:tc>
        <w:tc>
          <w:tcPr>
            <w:tcW w:w="1698"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rPr>
                <w:rFonts w:eastAsiaTheme="minorHAnsi"/>
                <w:b/>
                <w:bCs/>
                <w:szCs w:val="22"/>
              </w:rPr>
            </w:pPr>
            <w:r w:rsidRPr="00097C47">
              <w:rPr>
                <w:rFonts w:eastAsiaTheme="minorHAnsi"/>
                <w:b/>
                <w:bCs/>
                <w:szCs w:val="22"/>
              </w:rPr>
              <w:t>1</w:t>
            </w:r>
          </w:p>
        </w:tc>
        <w:tc>
          <w:tcPr>
            <w:tcW w:w="1106"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rPr>
                <w:rFonts w:eastAsiaTheme="minorHAnsi"/>
                <w:b/>
                <w:bCs/>
                <w:szCs w:val="22"/>
              </w:rPr>
            </w:pPr>
            <w:r w:rsidRPr="00097C47">
              <w:rPr>
                <w:rFonts w:eastAsiaTheme="minorHAnsi"/>
                <w:b/>
                <w:bCs/>
                <w:szCs w:val="22"/>
              </w:rPr>
              <w:t>0</w:t>
            </w:r>
          </w:p>
        </w:tc>
        <w:tc>
          <w:tcPr>
            <w:tcW w:w="1585"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rPr>
                <w:rFonts w:eastAsiaTheme="minorHAnsi"/>
                <w:b/>
                <w:bCs/>
                <w:szCs w:val="22"/>
              </w:rPr>
            </w:pPr>
            <w:r w:rsidRPr="00097C47">
              <w:rPr>
                <w:rFonts w:eastAsiaTheme="minorHAnsi"/>
                <w:b/>
                <w:bCs/>
                <w:szCs w:val="22"/>
              </w:rPr>
              <w:t>0</w:t>
            </w:r>
          </w:p>
        </w:tc>
        <w:tc>
          <w:tcPr>
            <w:tcW w:w="1596"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rPr>
                <w:rFonts w:eastAsiaTheme="minorHAnsi"/>
                <w:b/>
                <w:bCs/>
                <w:szCs w:val="22"/>
              </w:rPr>
            </w:pPr>
            <w:r w:rsidRPr="00097C47">
              <w:rPr>
                <w:rFonts w:eastAsiaTheme="minorHAnsi"/>
                <w:b/>
                <w:bCs/>
                <w:szCs w:val="22"/>
              </w:rPr>
              <w:t>16</w:t>
            </w:r>
          </w:p>
        </w:tc>
        <w:tc>
          <w:tcPr>
            <w:tcW w:w="1105"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rPr>
                <w:rFonts w:eastAsiaTheme="minorHAnsi"/>
                <w:b/>
                <w:bCs/>
                <w:szCs w:val="22"/>
              </w:rPr>
            </w:pPr>
            <w:r w:rsidRPr="00097C47">
              <w:rPr>
                <w:rFonts w:eastAsiaTheme="minorHAnsi"/>
                <w:b/>
                <w:bCs/>
                <w:szCs w:val="22"/>
              </w:rPr>
              <w:t>0</w:t>
            </w:r>
          </w:p>
        </w:tc>
        <w:tc>
          <w:tcPr>
            <w:tcW w:w="981"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A2D67" w:rsidRPr="00097C47" w:rsidRDefault="000A2D67" w:rsidP="003C2946">
            <w:pPr>
              <w:rPr>
                <w:rFonts w:eastAsiaTheme="minorHAnsi"/>
                <w:b/>
                <w:bCs/>
                <w:szCs w:val="22"/>
              </w:rPr>
            </w:pPr>
            <w:r w:rsidRPr="00097C47">
              <w:rPr>
                <w:rFonts w:eastAsiaTheme="minorHAnsi"/>
                <w:b/>
                <w:bCs/>
                <w:szCs w:val="22"/>
              </w:rPr>
              <w:t>24</w:t>
            </w:r>
          </w:p>
        </w:tc>
      </w:tr>
    </w:tbl>
    <w:p w:rsidR="00B31739" w:rsidRDefault="00296487" w:rsidP="000F198B">
      <w:pPr>
        <w:tabs>
          <w:tab w:val="left" w:pos="9900"/>
        </w:tabs>
        <w:spacing w:before="720" w:after="160" w:line="259" w:lineRule="auto"/>
        <w:ind w:left="5530"/>
        <w:jc w:val="right"/>
      </w:pPr>
      <w:r>
        <w:rPr>
          <w:sz w:val="32"/>
        </w:rPr>
        <w:t>[End of Annex and of document]</w:t>
      </w:r>
    </w:p>
    <w:sectPr w:rsidR="00B31739" w:rsidSect="00296487">
      <w:endnotePr>
        <w:numFmt w:val="decimal"/>
      </w:endnotePr>
      <w:pgSz w:w="16838" w:h="23811" w:code="8"/>
      <w:pgMar w:top="567" w:right="1134" w:bottom="1418" w:left="1418" w:header="510" w:footer="1021" w:gutter="0"/>
      <w:pgNumType w:start="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3D4" w:rsidRDefault="008803D4">
      <w:r>
        <w:separator/>
      </w:r>
    </w:p>
  </w:endnote>
  <w:endnote w:type="continuationSeparator" w:id="0">
    <w:p w:rsidR="008803D4" w:rsidRDefault="008803D4" w:rsidP="003B38C1">
      <w:r>
        <w:separator/>
      </w:r>
    </w:p>
    <w:p w:rsidR="008803D4" w:rsidRPr="003B38C1" w:rsidRDefault="008803D4" w:rsidP="003B38C1">
      <w:pPr>
        <w:spacing w:after="60"/>
        <w:rPr>
          <w:sz w:val="17"/>
        </w:rPr>
      </w:pPr>
      <w:r>
        <w:rPr>
          <w:sz w:val="17"/>
        </w:rPr>
        <w:t>[Endnote continued from previous page]</w:t>
      </w:r>
    </w:p>
  </w:endnote>
  <w:endnote w:type="continuationNotice" w:id="1">
    <w:p w:rsidR="008803D4" w:rsidRPr="003B38C1" w:rsidRDefault="008803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30" w:rsidRDefault="00323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3D4" w:rsidRDefault="00880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3D4" w:rsidRDefault="00880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3D4" w:rsidRDefault="008803D4">
      <w:r>
        <w:separator/>
      </w:r>
    </w:p>
  </w:footnote>
  <w:footnote w:type="continuationSeparator" w:id="0">
    <w:p w:rsidR="008803D4" w:rsidRDefault="008803D4" w:rsidP="008B60B2">
      <w:r>
        <w:separator/>
      </w:r>
    </w:p>
    <w:p w:rsidR="008803D4" w:rsidRPr="00ED77FB" w:rsidRDefault="008803D4" w:rsidP="008B60B2">
      <w:pPr>
        <w:spacing w:after="60"/>
        <w:rPr>
          <w:sz w:val="17"/>
          <w:szCs w:val="17"/>
        </w:rPr>
      </w:pPr>
      <w:r w:rsidRPr="00ED77FB">
        <w:rPr>
          <w:sz w:val="17"/>
          <w:szCs w:val="17"/>
        </w:rPr>
        <w:t>[Footnote continued from previous page]</w:t>
      </w:r>
    </w:p>
  </w:footnote>
  <w:footnote w:type="continuationNotice" w:id="1">
    <w:p w:rsidR="008803D4" w:rsidRPr="00ED77FB" w:rsidRDefault="008803D4" w:rsidP="008B60B2">
      <w:pPr>
        <w:spacing w:before="60"/>
        <w:jc w:val="right"/>
        <w:rPr>
          <w:sz w:val="17"/>
          <w:szCs w:val="17"/>
        </w:rPr>
      </w:pPr>
      <w:r w:rsidRPr="00ED77FB">
        <w:rPr>
          <w:sz w:val="17"/>
          <w:szCs w:val="17"/>
        </w:rPr>
        <w:t>[Footnote continued on next page]</w:t>
      </w:r>
    </w:p>
  </w:footnote>
  <w:footnote w:id="2">
    <w:p w:rsidR="000A2D67" w:rsidRDefault="000A2D67" w:rsidP="000A2D67">
      <w:pPr>
        <w:pStyle w:val="FootnoteText"/>
        <w:jc w:val="both"/>
      </w:pPr>
      <w:r w:rsidRPr="008275AE">
        <w:footnoteRef/>
      </w:r>
      <w:r>
        <w:t xml:space="preserve"> </w:t>
      </w:r>
      <w:r w:rsidRPr="00384533">
        <w:t xml:space="preserve">This Annex is based on the table contained in document </w:t>
      </w:r>
      <w:r w:rsidRPr="008275AE">
        <w:t xml:space="preserve">A/59/12 dated 24 September 2019, WO/GA/51/17 dated 24 September 2019 and A/62/13 dated 17 December 2021 </w:t>
      </w:r>
      <w:r>
        <w:t>. It has been updated to include Nauru (a Member of the APG) which has joined the WIPO Membership since the 2019 WIPO Assemblies</w:t>
      </w:r>
      <w:r w:rsidRPr="00384533">
        <w:t>.</w:t>
      </w:r>
    </w:p>
  </w:footnote>
  <w:footnote w:id="3">
    <w:p w:rsidR="000A2D67" w:rsidRDefault="000A2D67" w:rsidP="000A2D67">
      <w:pPr>
        <w:pStyle w:val="FootnoteText"/>
      </w:pPr>
      <w:r w:rsidRPr="008275AE">
        <w:footnoteRef/>
      </w:r>
      <w:r>
        <w:t xml:space="preserve"> </w:t>
      </w:r>
      <w:r w:rsidRPr="009B2D6C">
        <w:t>Based on: (number of current allocated sea</w:t>
      </w:r>
      <w:r>
        <w:t>ts for regional group in the CoCo</w:t>
      </w:r>
      <w:r w:rsidRPr="009B2D6C">
        <w:t>)/(total number of Members in regional group)</w:t>
      </w:r>
      <w:r>
        <w:t xml:space="preserve"> x 100%</w:t>
      </w:r>
    </w:p>
  </w:footnote>
  <w:footnote w:id="4">
    <w:p w:rsidR="000A2D67" w:rsidRDefault="000A2D67" w:rsidP="000A2D67">
      <w:pPr>
        <w:pStyle w:val="FootnoteText"/>
        <w:tabs>
          <w:tab w:val="left" w:pos="8198"/>
        </w:tabs>
      </w:pPr>
      <w:r w:rsidRPr="008275AE">
        <w:footnoteRef/>
      </w:r>
      <w:r>
        <w:t xml:space="preserve"> Based on: (number</w:t>
      </w:r>
      <w:r w:rsidRPr="009B2D6C">
        <w:t xml:space="preserve"> of Members in regional group)/(total number of WIPO Members)</w:t>
      </w:r>
      <w:r>
        <w:t xml:space="preserve"> x 100% </w:t>
      </w:r>
      <w:r>
        <w:tab/>
      </w:r>
    </w:p>
  </w:footnote>
  <w:footnote w:id="5">
    <w:p w:rsidR="000A2D67" w:rsidRDefault="000A2D67" w:rsidP="000A2D67">
      <w:pPr>
        <w:pStyle w:val="FootnoteText"/>
      </w:pPr>
      <w:r w:rsidRPr="008275AE">
        <w:footnoteRef/>
      </w:r>
      <w:r>
        <w:t xml:space="preserve"> </w:t>
      </w:r>
      <w:r w:rsidRPr="009B2D6C">
        <w:t>Based on: (number of current allocated seats for</w:t>
      </w:r>
      <w:r>
        <w:t xml:space="preserve"> regional group in the CoCo</w:t>
      </w:r>
      <w:r w:rsidRPr="009B2D6C">
        <w:t>)/(</w:t>
      </w:r>
      <w:r>
        <w:t>total number of seats in the CoCo) x 100%</w:t>
      </w:r>
    </w:p>
  </w:footnote>
  <w:footnote w:id="6">
    <w:p w:rsidR="000A2D67" w:rsidRDefault="000A2D67" w:rsidP="000A2D67">
      <w:pPr>
        <w:pStyle w:val="FootnoteText"/>
      </w:pPr>
      <w:r>
        <w:rPr>
          <w:rStyle w:val="FootnoteReference"/>
        </w:rPr>
        <w:footnoteRef/>
      </w:r>
      <w:r>
        <w:t xml:space="preserve"> </w:t>
      </w:r>
      <w:r w:rsidRPr="009B2D6C">
        <w:t>Based on: (group percentage of WIPO Membership) x (</w:t>
      </w:r>
      <w:r>
        <w:t>total number of seats in the CoCo</w:t>
      </w:r>
      <w:r w:rsidRPr="009B2D6C">
        <w:t>)</w:t>
      </w:r>
    </w:p>
  </w:footnote>
  <w:footnote w:id="7">
    <w:p w:rsidR="000A2D67" w:rsidRDefault="000A2D67" w:rsidP="000A2D67">
      <w:pPr>
        <w:pStyle w:val="FootnoteText"/>
        <w:jc w:val="both"/>
      </w:pPr>
      <w:r>
        <w:rPr>
          <w:rStyle w:val="FootnoteReference"/>
        </w:rPr>
        <w:footnoteRef/>
      </w:r>
      <w:r>
        <w:t xml:space="preserve"> Based on: </w:t>
      </w:r>
      <w:r w:rsidRPr="00384533">
        <w:t>(number of CoCo seats if according to proportio</w:t>
      </w:r>
      <w:r>
        <w:t>n of WIPO Membership based on 83</w:t>
      </w:r>
      <w:r w:rsidRPr="00384533">
        <w:t xml:space="preserve"> seats)</w:t>
      </w:r>
      <w:r>
        <w:t xml:space="preserve"> -</w:t>
      </w:r>
      <w:r w:rsidRPr="00384533">
        <w:t xml:space="preserve"> </w:t>
      </w:r>
      <w:r>
        <w:t xml:space="preserve">(current allocated seats for CoCo). A negative number means a regional group is overrepresented by that amount of seats on the CoCo.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30" w:rsidRDefault="00323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803D4" w:rsidP="00477D6B">
    <w:pPr>
      <w:jc w:val="right"/>
    </w:pPr>
    <w:bookmarkStart w:id="6" w:name="Code2"/>
    <w:bookmarkEnd w:id="6"/>
    <w:r>
      <w:t>A/64/10</w:t>
    </w:r>
  </w:p>
  <w:p w:rsidR="00EC4E49" w:rsidRDefault="00E63D3D"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3699A">
      <w:rPr>
        <w:noProof/>
      </w:rPr>
      <w:t>6</w:t>
    </w:r>
    <w:r w:rsidR="00EC4E49">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D30" w:rsidRDefault="00323D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F6" w:rsidRDefault="000A2D67" w:rsidP="00727EF6">
    <w:pPr>
      <w:pStyle w:val="Header"/>
      <w:jc w:val="right"/>
    </w:pPr>
    <w:r>
      <w:t>A/64/10</w:t>
    </w:r>
  </w:p>
  <w:p w:rsidR="000A2D67" w:rsidRDefault="000A2D67" w:rsidP="00727EF6">
    <w:pPr>
      <w:pStyle w:val="Header"/>
      <w:jc w:val="right"/>
    </w:pPr>
    <w:r>
      <w:t>ANNEX</w:t>
    </w:r>
  </w:p>
  <w:p w:rsidR="000A2D67" w:rsidRDefault="000A2D67" w:rsidP="00727EF6">
    <w:pPr>
      <w:pStyle w:val="Header"/>
      <w:jc w:val="right"/>
    </w:pPr>
  </w:p>
  <w:p w:rsidR="000A2D67" w:rsidRDefault="000A2D67" w:rsidP="00727EF6">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67" w:rsidRDefault="000A2D67" w:rsidP="00727EF6">
    <w:pPr>
      <w:pStyle w:val="Header"/>
      <w:jc w:val="right"/>
    </w:pPr>
    <w:r>
      <w:t>A/64/10</w:t>
    </w:r>
  </w:p>
  <w:p w:rsidR="000A2D67" w:rsidRDefault="00503900" w:rsidP="000A2D67">
    <w:pPr>
      <w:jc w:val="right"/>
    </w:pPr>
    <w:r>
      <w:t>Ann</w:t>
    </w:r>
    <w:r w:rsidR="000A2D67">
      <w:t xml:space="preserve">ex, page </w:t>
    </w:r>
    <w:r w:rsidR="000A2D67">
      <w:fldChar w:fldCharType="begin"/>
    </w:r>
    <w:r w:rsidR="000A2D67">
      <w:instrText xml:space="preserve"> PAGE  \* MERGEFORMAT </w:instrText>
    </w:r>
    <w:r w:rsidR="000A2D67">
      <w:fldChar w:fldCharType="separate"/>
    </w:r>
    <w:r w:rsidR="00E3699A">
      <w:rPr>
        <w:noProof/>
      </w:rPr>
      <w:t>2</w:t>
    </w:r>
    <w:r w:rsidR="000A2D67">
      <w:fldChar w:fldCharType="end"/>
    </w:r>
  </w:p>
  <w:p w:rsidR="000A2D67" w:rsidRDefault="000A2D67" w:rsidP="00727EF6">
    <w:pPr>
      <w:pStyle w:val="Header"/>
      <w:jc w:val="right"/>
    </w:pPr>
  </w:p>
  <w:p w:rsidR="000A2D67" w:rsidRDefault="000A2D67" w:rsidP="00727EF6">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65F" w:rsidRDefault="00FA165F" w:rsidP="00727EF6">
    <w:pPr>
      <w:pStyle w:val="Header"/>
      <w:jc w:val="right"/>
    </w:pPr>
    <w:r>
      <w:t>A/64/10</w:t>
    </w:r>
  </w:p>
  <w:p w:rsidR="00FA165F" w:rsidRDefault="00503900" w:rsidP="000A2D67">
    <w:pPr>
      <w:jc w:val="right"/>
    </w:pPr>
    <w:r>
      <w:t>Ann</w:t>
    </w:r>
    <w:r w:rsidR="00FA165F">
      <w:t xml:space="preserve">ex, page </w:t>
    </w:r>
    <w:r w:rsidR="00FA165F">
      <w:fldChar w:fldCharType="begin"/>
    </w:r>
    <w:r w:rsidR="00FA165F">
      <w:instrText xml:space="preserve"> PAGE  \* MERGEFORMAT </w:instrText>
    </w:r>
    <w:r w:rsidR="00FA165F">
      <w:fldChar w:fldCharType="separate"/>
    </w:r>
    <w:r w:rsidR="00E3699A">
      <w:rPr>
        <w:noProof/>
      </w:rPr>
      <w:t>5</w:t>
    </w:r>
    <w:r w:rsidR="00FA165F">
      <w:fldChar w:fldCharType="end"/>
    </w:r>
  </w:p>
  <w:p w:rsidR="00FA165F" w:rsidRDefault="00FA165F" w:rsidP="00727EF6">
    <w:pPr>
      <w:pStyle w:val="Header"/>
      <w:jc w:val="right"/>
    </w:pPr>
  </w:p>
  <w:p w:rsidR="00FA165F" w:rsidRDefault="00FA165F" w:rsidP="00727E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91481A"/>
    <w:multiLevelType w:val="hybridMultilevel"/>
    <w:tmpl w:val="88DA772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4253E4"/>
    <w:multiLevelType w:val="multilevel"/>
    <w:tmpl w:val="9C4CB296"/>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92723F5"/>
    <w:multiLevelType w:val="hybridMultilevel"/>
    <w:tmpl w:val="70B440F2"/>
    <w:lvl w:ilvl="0" w:tplc="37786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D4"/>
    <w:rsid w:val="0001647B"/>
    <w:rsid w:val="00037E9C"/>
    <w:rsid w:val="00043CAA"/>
    <w:rsid w:val="00075432"/>
    <w:rsid w:val="000968ED"/>
    <w:rsid w:val="000A2D67"/>
    <w:rsid w:val="000F198B"/>
    <w:rsid w:val="000F5E56"/>
    <w:rsid w:val="001024FE"/>
    <w:rsid w:val="001362EE"/>
    <w:rsid w:val="00142868"/>
    <w:rsid w:val="001832A6"/>
    <w:rsid w:val="001C6808"/>
    <w:rsid w:val="002121FA"/>
    <w:rsid w:val="002634C4"/>
    <w:rsid w:val="002928D3"/>
    <w:rsid w:val="00296487"/>
    <w:rsid w:val="002F1FE6"/>
    <w:rsid w:val="002F4E68"/>
    <w:rsid w:val="00312F7F"/>
    <w:rsid w:val="003228B7"/>
    <w:rsid w:val="00323D30"/>
    <w:rsid w:val="0034087C"/>
    <w:rsid w:val="003508A3"/>
    <w:rsid w:val="003673CF"/>
    <w:rsid w:val="003845C1"/>
    <w:rsid w:val="003A6F89"/>
    <w:rsid w:val="003B38C1"/>
    <w:rsid w:val="003D352A"/>
    <w:rsid w:val="00423E3E"/>
    <w:rsid w:val="00427AF4"/>
    <w:rsid w:val="004400E2"/>
    <w:rsid w:val="00461632"/>
    <w:rsid w:val="004647DA"/>
    <w:rsid w:val="00474062"/>
    <w:rsid w:val="00477D6B"/>
    <w:rsid w:val="004957D8"/>
    <w:rsid w:val="004D39C4"/>
    <w:rsid w:val="00503900"/>
    <w:rsid w:val="0053057A"/>
    <w:rsid w:val="00560A29"/>
    <w:rsid w:val="00594D27"/>
    <w:rsid w:val="005F10BC"/>
    <w:rsid w:val="00601760"/>
    <w:rsid w:val="00605827"/>
    <w:rsid w:val="00640714"/>
    <w:rsid w:val="00646050"/>
    <w:rsid w:val="006713CA"/>
    <w:rsid w:val="00676C5C"/>
    <w:rsid w:val="00695558"/>
    <w:rsid w:val="006D5E0F"/>
    <w:rsid w:val="006F738C"/>
    <w:rsid w:val="007058FB"/>
    <w:rsid w:val="007B6A58"/>
    <w:rsid w:val="007D1613"/>
    <w:rsid w:val="00813C5E"/>
    <w:rsid w:val="00873EE5"/>
    <w:rsid w:val="008803D4"/>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31739"/>
    <w:rsid w:val="00B40598"/>
    <w:rsid w:val="00B50B99"/>
    <w:rsid w:val="00B62CD9"/>
    <w:rsid w:val="00B9734B"/>
    <w:rsid w:val="00C11BFE"/>
    <w:rsid w:val="00C63D47"/>
    <w:rsid w:val="00C94629"/>
    <w:rsid w:val="00CE65D4"/>
    <w:rsid w:val="00D45252"/>
    <w:rsid w:val="00D71B4D"/>
    <w:rsid w:val="00D93D55"/>
    <w:rsid w:val="00E161A2"/>
    <w:rsid w:val="00E335FE"/>
    <w:rsid w:val="00E3699A"/>
    <w:rsid w:val="00E5021F"/>
    <w:rsid w:val="00E63D3D"/>
    <w:rsid w:val="00E671A6"/>
    <w:rsid w:val="00E9073C"/>
    <w:rsid w:val="00EC4E49"/>
    <w:rsid w:val="00ED77FB"/>
    <w:rsid w:val="00F021A6"/>
    <w:rsid w:val="00F11D94"/>
    <w:rsid w:val="00F301AE"/>
    <w:rsid w:val="00F66152"/>
    <w:rsid w:val="00FA165F"/>
    <w:rsid w:val="00FB52D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937E2A9-770A-4231-A628-47656BFF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uiPriority w:val="99"/>
    <w:semiHidden/>
    <w:rsid w:val="000A2D67"/>
    <w:rPr>
      <w:rFonts w:ascii="Arial" w:eastAsia="SimSun" w:hAnsi="Arial" w:cs="Arial"/>
      <w:sz w:val="18"/>
      <w:lang w:val="en-US" w:eastAsia="zh-CN"/>
    </w:rPr>
  </w:style>
  <w:style w:type="character" w:styleId="FootnoteReference">
    <w:name w:val="footnote reference"/>
    <w:uiPriority w:val="99"/>
    <w:semiHidden/>
    <w:unhideWhenUsed/>
    <w:rsid w:val="000A2D67"/>
    <w:rPr>
      <w:vertAlign w:val="superscript"/>
    </w:rPr>
  </w:style>
  <w:style w:type="character" w:customStyle="1" w:styleId="HeaderChar">
    <w:name w:val="Header Char"/>
    <w:link w:val="Header"/>
    <w:uiPriority w:val="99"/>
    <w:rsid w:val="000A2D67"/>
    <w:rPr>
      <w:rFonts w:ascii="Arial" w:eastAsia="SimSun" w:hAnsi="Arial" w:cs="Arial"/>
      <w:sz w:val="22"/>
      <w:lang w:val="en-US" w:eastAsia="zh-CN"/>
    </w:rPr>
  </w:style>
  <w:style w:type="paragraph" w:styleId="ListParagraph">
    <w:name w:val="List Paragraph"/>
    <w:basedOn w:val="Normal"/>
    <w:uiPriority w:val="34"/>
    <w:qFormat/>
    <w:rsid w:val="000A2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651E-5404-4968-80BF-0169BC6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3</TotalTime>
  <Pages>7</Pages>
  <Words>1203</Words>
  <Characters>5963</Characters>
  <Application>Microsoft Office Word</Application>
  <DocSecurity>0</DocSecurity>
  <Lines>350</Lines>
  <Paragraphs>217</Paragraphs>
  <ScaleCrop>false</ScaleCrop>
  <HeadingPairs>
    <vt:vector size="2" baseType="variant">
      <vt:variant>
        <vt:lpstr>Title</vt:lpstr>
      </vt:variant>
      <vt:variant>
        <vt:i4>1</vt:i4>
      </vt:variant>
    </vt:vector>
  </HeadingPairs>
  <TitlesOfParts>
    <vt:vector size="1" baseType="lpstr">
      <vt:lpstr>A/64/10</vt:lpstr>
    </vt:vector>
  </TitlesOfParts>
  <Company>WIPO</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A/64/10</dc:title>
  <dc:creator>WIPO</dc:creator>
  <cp:keywords>FOR OFFICIAL USE ONLY</cp:keywords>
  <cp:lastModifiedBy>HÄFLIGER Patience</cp:lastModifiedBy>
  <cp:revision>6</cp:revision>
  <cp:lastPrinted>2011-02-15T11:56:00Z</cp:lastPrinted>
  <dcterms:created xsi:type="dcterms:W3CDTF">2023-06-21T11:50:00Z</dcterms:created>
  <dcterms:modified xsi:type="dcterms:W3CDTF">2023-06-21T13:02:00Z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2023-06-21T13:02:30Z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56d08234-01e9-4c9d-b07f-8df365deeef5</vt:lpwstr>
  </property>
  <property fmtid="{D5CDD505-2E9C-101B-9397-08002B2CF9AE}" pid="14" name="MSIP_Label_20773ee6-353b-4fb9-a59d-0b94c8c67bea_ContentBits">
    <vt:lpwstr>0</vt:lpwstr>
  </property>
</Properties>
</file>