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0763" w14:textId="77777777" w:rsidR="008B2CC1" w:rsidRPr="008B2CC1" w:rsidRDefault="00873EE5" w:rsidP="00F11D94">
      <w:pPr>
        <w:spacing w:after="120"/>
        <w:jc w:val="right"/>
      </w:pPr>
      <w:r>
        <w:rPr>
          <w:noProof/>
          <w:sz w:val="28"/>
          <w:szCs w:val="28"/>
          <w:lang w:eastAsia="en-US"/>
        </w:rPr>
        <w:drawing>
          <wp:inline distT="0" distB="0" distL="0" distR="0" wp14:anchorId="405B67C7" wp14:editId="0DA9203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C451560" wp14:editId="7151DD5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B2469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18A3A5B"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8417FC">
        <w:rPr>
          <w:rFonts w:ascii="Arial Black" w:hAnsi="Arial Black"/>
          <w:caps/>
          <w:sz w:val="15"/>
          <w:szCs w:val="15"/>
        </w:rPr>
        <w:t>5</w:t>
      </w:r>
      <w:r>
        <w:rPr>
          <w:rFonts w:ascii="Arial Black" w:hAnsi="Arial Black"/>
          <w:caps/>
          <w:sz w:val="15"/>
          <w:szCs w:val="15"/>
        </w:rPr>
        <w:t>/</w:t>
      </w:r>
      <w:bookmarkStart w:id="0" w:name="Code"/>
      <w:r w:rsidR="006B7887">
        <w:rPr>
          <w:rFonts w:ascii="Arial Black" w:hAnsi="Arial Black"/>
          <w:caps/>
          <w:sz w:val="15"/>
          <w:szCs w:val="15"/>
        </w:rPr>
        <w:t>8</w:t>
      </w:r>
    </w:p>
    <w:bookmarkEnd w:id="0"/>
    <w:p w14:paraId="3EED834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6B7887">
        <w:rPr>
          <w:rFonts w:ascii="Arial Black" w:hAnsi="Arial Black"/>
          <w:caps/>
          <w:sz w:val="15"/>
          <w:szCs w:val="15"/>
        </w:rPr>
        <w:t>English</w:t>
      </w:r>
    </w:p>
    <w:bookmarkEnd w:id="1"/>
    <w:p w14:paraId="38D25346" w14:textId="7E26D3A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6B7887" w:rsidRPr="007379DF">
        <w:rPr>
          <w:rFonts w:ascii="Arial Black" w:hAnsi="Arial Black"/>
          <w:caps/>
          <w:sz w:val="15"/>
          <w:szCs w:val="15"/>
        </w:rPr>
        <w:t xml:space="preserve">July 13, </w:t>
      </w:r>
      <w:r w:rsidR="006B7887" w:rsidRPr="00EF6612">
        <w:rPr>
          <w:rFonts w:ascii="Arial Black" w:hAnsi="Arial Black"/>
          <w:caps/>
          <w:sz w:val="15"/>
          <w:szCs w:val="15"/>
        </w:rPr>
        <w:t>2024</w:t>
      </w:r>
    </w:p>
    <w:bookmarkEnd w:id="2"/>
    <w:p w14:paraId="77D17067" w14:textId="77777777" w:rsidR="008B2CC1" w:rsidRPr="003845C1" w:rsidRDefault="005F10BC" w:rsidP="00CE65D4">
      <w:pPr>
        <w:spacing w:after="600"/>
        <w:rPr>
          <w:b/>
          <w:sz w:val="28"/>
          <w:szCs w:val="28"/>
        </w:rPr>
      </w:pPr>
      <w:r w:rsidRPr="005F10BC">
        <w:rPr>
          <w:b/>
          <w:sz w:val="28"/>
          <w:szCs w:val="28"/>
        </w:rPr>
        <w:t>Assemblies of the Member States of WIPO</w:t>
      </w:r>
    </w:p>
    <w:p w14:paraId="38D226AA" w14:textId="77777777" w:rsidR="008B2CC1" w:rsidRPr="003845C1" w:rsidRDefault="005F10BC" w:rsidP="008B2CC1">
      <w:pPr>
        <w:rPr>
          <w:b/>
          <w:sz w:val="24"/>
          <w:szCs w:val="24"/>
        </w:rPr>
      </w:pPr>
      <w:r w:rsidRPr="005F10BC">
        <w:rPr>
          <w:b/>
          <w:sz w:val="24"/>
          <w:szCs w:val="24"/>
        </w:rPr>
        <w:t>Sixty</w:t>
      </w:r>
      <w:r w:rsidR="00813C5E">
        <w:rPr>
          <w:b/>
          <w:sz w:val="24"/>
          <w:szCs w:val="24"/>
        </w:rPr>
        <w:t>-</w:t>
      </w:r>
      <w:r w:rsidR="008417FC" w:rsidRPr="005F10BC">
        <w:rPr>
          <w:b/>
          <w:sz w:val="24"/>
          <w:szCs w:val="24"/>
        </w:rPr>
        <w:t>F</w:t>
      </w:r>
      <w:r w:rsidR="008417FC">
        <w:rPr>
          <w:b/>
          <w:sz w:val="24"/>
          <w:szCs w:val="24"/>
        </w:rPr>
        <w:t>ifth</w:t>
      </w:r>
      <w:r w:rsidR="008417FC" w:rsidRPr="005F10BC">
        <w:rPr>
          <w:b/>
          <w:sz w:val="24"/>
          <w:szCs w:val="24"/>
        </w:rPr>
        <w:t xml:space="preserve"> </w:t>
      </w:r>
      <w:r w:rsidRPr="005F10BC">
        <w:rPr>
          <w:b/>
          <w:sz w:val="24"/>
          <w:szCs w:val="24"/>
        </w:rPr>
        <w:t>Series of Meetings</w:t>
      </w:r>
    </w:p>
    <w:p w14:paraId="71221C59" w14:textId="77777777" w:rsidR="008B2CC1" w:rsidRPr="009F3BF9" w:rsidRDefault="005F10BC" w:rsidP="00CE65D4">
      <w:pPr>
        <w:spacing w:after="720"/>
      </w:pPr>
      <w:r w:rsidRPr="005F10BC">
        <w:rPr>
          <w:b/>
          <w:sz w:val="24"/>
          <w:szCs w:val="24"/>
        </w:rPr>
        <w:t xml:space="preserve">Geneva, </w:t>
      </w:r>
      <w:r w:rsidR="008417FC" w:rsidRPr="005F10BC">
        <w:rPr>
          <w:b/>
          <w:sz w:val="24"/>
          <w:szCs w:val="24"/>
        </w:rPr>
        <w:t xml:space="preserve">July </w:t>
      </w:r>
      <w:r w:rsidR="008417FC">
        <w:rPr>
          <w:b/>
          <w:sz w:val="24"/>
          <w:szCs w:val="24"/>
        </w:rPr>
        <w:t>9</w:t>
      </w:r>
      <w:r w:rsidR="008417FC" w:rsidRPr="005F10BC">
        <w:rPr>
          <w:b/>
          <w:sz w:val="24"/>
          <w:szCs w:val="24"/>
        </w:rPr>
        <w:t xml:space="preserve"> to 1</w:t>
      </w:r>
      <w:r w:rsidR="008417FC">
        <w:rPr>
          <w:b/>
          <w:sz w:val="24"/>
          <w:szCs w:val="24"/>
        </w:rPr>
        <w:t>7</w:t>
      </w:r>
      <w:r w:rsidR="008417FC" w:rsidRPr="005F10BC">
        <w:rPr>
          <w:b/>
          <w:sz w:val="24"/>
          <w:szCs w:val="24"/>
        </w:rPr>
        <w:t>, 202</w:t>
      </w:r>
      <w:r w:rsidR="008417FC">
        <w:rPr>
          <w:b/>
          <w:sz w:val="24"/>
          <w:szCs w:val="24"/>
        </w:rPr>
        <w:t>4</w:t>
      </w:r>
    </w:p>
    <w:p w14:paraId="44A6854F" w14:textId="570140B7" w:rsidR="008B2CC1" w:rsidRPr="009F3BF9" w:rsidRDefault="006B7887" w:rsidP="00CE65D4">
      <w:pPr>
        <w:spacing w:after="360"/>
        <w:rPr>
          <w:caps/>
          <w:sz w:val="24"/>
        </w:rPr>
      </w:pPr>
      <w:bookmarkStart w:id="3" w:name="TitleOfDoc"/>
      <w:r>
        <w:rPr>
          <w:caps/>
          <w:sz w:val="24"/>
        </w:rPr>
        <w:t xml:space="preserve">JOINT </w:t>
      </w:r>
      <w:r w:rsidRPr="006B7887">
        <w:rPr>
          <w:caps/>
          <w:sz w:val="24"/>
        </w:rPr>
        <w:t>proposal of the Central European and Baltic States Group</w:t>
      </w:r>
      <w:r w:rsidR="00BA71EB">
        <w:rPr>
          <w:caps/>
          <w:sz w:val="24"/>
        </w:rPr>
        <w:t> </w:t>
      </w:r>
      <w:r w:rsidRPr="006B7887">
        <w:rPr>
          <w:caps/>
          <w:sz w:val="24"/>
        </w:rPr>
        <w:t xml:space="preserve">(CEBS) </w:t>
      </w:r>
      <w:r>
        <w:rPr>
          <w:caps/>
          <w:sz w:val="24"/>
        </w:rPr>
        <w:t xml:space="preserve">AND GROUP B </w:t>
      </w:r>
      <w:r w:rsidRPr="006B7887">
        <w:rPr>
          <w:caps/>
          <w:sz w:val="24"/>
        </w:rPr>
        <w:t>on the Assistance and Support for Ukraine’s Innovation and Creativity Sector and Intellectual Property</w:t>
      </w:r>
      <w:r w:rsidR="00CF0330">
        <w:rPr>
          <w:caps/>
          <w:sz w:val="24"/>
        </w:rPr>
        <w:t xml:space="preserve"> system</w:t>
      </w:r>
    </w:p>
    <w:p w14:paraId="4354EEA8" w14:textId="034164D7" w:rsidR="008B2CC1" w:rsidRPr="004D39C4" w:rsidRDefault="006B7887" w:rsidP="00CE65D4">
      <w:pPr>
        <w:spacing w:after="960"/>
        <w:rPr>
          <w:i/>
        </w:rPr>
      </w:pPr>
      <w:bookmarkStart w:id="4" w:name="Prepared"/>
      <w:bookmarkEnd w:id="3"/>
      <w:r w:rsidRPr="006B7887">
        <w:rPr>
          <w:i/>
        </w:rPr>
        <w:t>submitted by the Central European and Baltic States Group (CEBS</w:t>
      </w:r>
      <w:r w:rsidR="00BA71EB">
        <w:rPr>
          <w:i/>
        </w:rPr>
        <w:t>)</w:t>
      </w:r>
      <w:r>
        <w:rPr>
          <w:i/>
        </w:rPr>
        <w:t xml:space="preserve"> and Group B</w:t>
      </w:r>
    </w:p>
    <w:bookmarkEnd w:id="4"/>
    <w:p w14:paraId="42131B02" w14:textId="20CA9822" w:rsidR="006B7887" w:rsidRPr="006B7887" w:rsidRDefault="006B7887" w:rsidP="006B7887">
      <w:pPr>
        <w:spacing w:after="720"/>
      </w:pPr>
      <w:r w:rsidRPr="006B7887">
        <w:t xml:space="preserve">In a communication to the Secretariat received on </w:t>
      </w:r>
      <w:r>
        <w:t>July 12, 2024</w:t>
      </w:r>
      <w:r w:rsidRPr="006B7887">
        <w:t>, the Central European and Baltic States Group (CEBS)</w:t>
      </w:r>
      <w:r>
        <w:t xml:space="preserve"> and Group B</w:t>
      </w:r>
      <w:r w:rsidRPr="006B7887">
        <w:t xml:space="preserve"> submitted the enclosed </w:t>
      </w:r>
      <w:r>
        <w:t xml:space="preserve">joint </w:t>
      </w:r>
      <w:r w:rsidRPr="006B7887">
        <w:t>proposal in the framework of Agenda Item </w:t>
      </w:r>
      <w:r>
        <w:t>18</w:t>
      </w:r>
      <w:r w:rsidRPr="006B7887">
        <w:t>, “Assistance and Support for Ukraine’s Innovation and Creativity Sector and Intellectual Property</w:t>
      </w:r>
      <w:r w:rsidR="00CF0330">
        <w:t xml:space="preserve"> System</w:t>
      </w:r>
      <w:r w:rsidRPr="006B7887">
        <w:t>”</w:t>
      </w:r>
      <w:r>
        <w:t>.</w:t>
      </w:r>
    </w:p>
    <w:p w14:paraId="720005BF" w14:textId="77777777" w:rsidR="006B7887" w:rsidRPr="006B7887" w:rsidRDefault="006B7887" w:rsidP="006B7887">
      <w:pPr>
        <w:spacing w:after="220"/>
        <w:ind w:left="5533"/>
      </w:pPr>
      <w:r w:rsidRPr="006B7887">
        <w:t>[Annex follows]</w:t>
      </w:r>
    </w:p>
    <w:p w14:paraId="05E9716B" w14:textId="77777777" w:rsidR="006B7887" w:rsidRPr="006B7887" w:rsidRDefault="006B7887" w:rsidP="006B7887">
      <w:pPr>
        <w:spacing w:after="220"/>
        <w:sectPr w:rsidR="006B7887" w:rsidRPr="006B7887" w:rsidSect="008803D4">
          <w:headerReference w:type="default" r:id="rId9"/>
          <w:endnotePr>
            <w:numFmt w:val="decimal"/>
          </w:endnotePr>
          <w:pgSz w:w="11907" w:h="16840" w:code="9"/>
          <w:pgMar w:top="567" w:right="1134" w:bottom="1418" w:left="1418" w:header="510" w:footer="1021" w:gutter="0"/>
          <w:cols w:space="720"/>
          <w:titlePg/>
          <w:docGrid w:linePitch="299"/>
        </w:sectPr>
      </w:pPr>
    </w:p>
    <w:p w14:paraId="26153F31" w14:textId="77777777" w:rsidR="007C77A2" w:rsidRPr="007C77A2" w:rsidRDefault="007C77A2" w:rsidP="007C77A2">
      <w:pPr>
        <w:spacing w:after="120"/>
        <w:jc w:val="right"/>
        <w:rPr>
          <w:rFonts w:asciiTheme="minorHAnsi" w:eastAsia="Calibri" w:hAnsiTheme="minorHAnsi" w:cstheme="minorHAnsi"/>
          <w:i/>
          <w:iCs/>
          <w:kern w:val="2"/>
          <w:szCs w:val="22"/>
          <w:u w:val="single"/>
          <w:lang w:eastAsia="en-US"/>
        </w:rPr>
      </w:pPr>
      <w:r w:rsidRPr="007C77A2">
        <w:rPr>
          <w:rFonts w:asciiTheme="minorHAnsi" w:eastAsia="Calibri" w:hAnsiTheme="minorHAnsi" w:cstheme="minorHAnsi"/>
          <w:i/>
          <w:iCs/>
          <w:kern w:val="2"/>
          <w:szCs w:val="22"/>
          <w:u w:val="single"/>
          <w:lang w:eastAsia="en-US"/>
        </w:rPr>
        <w:lastRenderedPageBreak/>
        <w:t xml:space="preserve">Proposed decision </w:t>
      </w:r>
    </w:p>
    <w:p w14:paraId="182611A5" w14:textId="77777777" w:rsidR="007C77A2" w:rsidRPr="007C77A2" w:rsidRDefault="007C77A2" w:rsidP="007C77A2">
      <w:pPr>
        <w:spacing w:after="360" w:line="259" w:lineRule="auto"/>
        <w:rPr>
          <w:rFonts w:ascii="Times New Roman" w:eastAsia="Calibri" w:hAnsi="Times New Roman" w:cs="Times New Roman"/>
          <w:b/>
          <w:bCs/>
          <w:kern w:val="2"/>
          <w:sz w:val="28"/>
          <w:szCs w:val="28"/>
          <w:lang w:eastAsia="en-US"/>
        </w:rPr>
      </w:pPr>
    </w:p>
    <w:p w14:paraId="077FAE6D" w14:textId="77777777" w:rsidR="007C77A2" w:rsidRPr="007C77A2" w:rsidRDefault="007C77A2" w:rsidP="007C77A2">
      <w:pPr>
        <w:spacing w:after="360" w:line="259" w:lineRule="auto"/>
        <w:rPr>
          <w:rFonts w:ascii="Times New Roman" w:eastAsia="Calibri" w:hAnsi="Times New Roman" w:cs="Times New Roman"/>
          <w:kern w:val="2"/>
          <w:sz w:val="28"/>
          <w:szCs w:val="28"/>
          <w:lang w:eastAsia="en-US"/>
        </w:rPr>
      </w:pPr>
      <w:r w:rsidRPr="007C77A2">
        <w:rPr>
          <w:rFonts w:ascii="Times New Roman" w:eastAsia="Calibri" w:hAnsi="Times New Roman" w:cs="Times New Roman"/>
          <w:b/>
          <w:bCs/>
          <w:kern w:val="2"/>
          <w:sz w:val="28"/>
          <w:szCs w:val="28"/>
          <w:lang w:eastAsia="en-US"/>
        </w:rPr>
        <w:t>AGENDA ITEM 18</w:t>
      </w:r>
      <w:r w:rsidRPr="007C77A2">
        <w:rPr>
          <w:rFonts w:ascii="Times New Roman" w:eastAsia="Calibri" w:hAnsi="Times New Roman" w:cs="Times New Roman"/>
          <w:kern w:val="2"/>
          <w:sz w:val="28"/>
          <w:szCs w:val="28"/>
          <w:lang w:eastAsia="en-US"/>
        </w:rPr>
        <w:t>. ASSISTANCE AND SUPPORT FOR UKRAINE'S INNOVATION AND CREATIVITY SECTOR AND INTELLECTUAL PROPERTY SYSTEM (document A/65/7)</w:t>
      </w:r>
    </w:p>
    <w:p w14:paraId="48534A03" w14:textId="77777777" w:rsidR="007C77A2" w:rsidRPr="007C77A2" w:rsidRDefault="007C77A2" w:rsidP="007C77A2">
      <w:pPr>
        <w:spacing w:after="160" w:line="259" w:lineRule="auto"/>
        <w:rPr>
          <w:rFonts w:ascii="Times New Roman" w:eastAsia="Calibri" w:hAnsi="Times New Roman" w:cs="Times New Roman"/>
          <w:kern w:val="2"/>
          <w:sz w:val="28"/>
          <w:szCs w:val="28"/>
          <w:lang w:eastAsia="en-US"/>
        </w:rPr>
      </w:pPr>
      <w:r w:rsidRPr="007C77A2">
        <w:rPr>
          <w:rFonts w:ascii="Times New Roman" w:eastAsia="Calibri" w:hAnsi="Times New Roman" w:cs="Times New Roman"/>
          <w:kern w:val="2"/>
          <w:sz w:val="28"/>
          <w:szCs w:val="28"/>
          <w:lang w:eastAsia="en-US"/>
        </w:rPr>
        <w:t>The Assemblies of WIPO each in so far as it is concerned:</w:t>
      </w:r>
    </w:p>
    <w:p w14:paraId="3E4B3AB1" w14:textId="13F3CE92" w:rsidR="007C77A2" w:rsidRPr="007C77A2" w:rsidRDefault="007C77A2" w:rsidP="007C77A2">
      <w:pPr>
        <w:spacing w:after="160" w:line="259" w:lineRule="auto"/>
        <w:rPr>
          <w:rFonts w:ascii="Times New Roman" w:eastAsia="Calibri" w:hAnsi="Times New Roman" w:cs="Times New Roman"/>
          <w:sz w:val="28"/>
          <w:szCs w:val="28"/>
          <w:lang w:eastAsia="en-US"/>
        </w:rPr>
      </w:pPr>
      <w:r w:rsidRPr="007C77A2">
        <w:rPr>
          <w:rFonts w:ascii="Times New Roman" w:eastAsia="Calibri" w:hAnsi="Times New Roman" w:cs="Times New Roman"/>
          <w:i/>
          <w:sz w:val="28"/>
          <w:szCs w:val="28"/>
          <w:lang w:eastAsia="en-US"/>
        </w:rPr>
        <w:t>Recalling</w:t>
      </w:r>
      <w:r w:rsidRPr="007C77A2">
        <w:rPr>
          <w:rFonts w:ascii="Times New Roman" w:eastAsia="Calibri" w:hAnsi="Times New Roman" w:cs="Times New Roman"/>
          <w:sz w:val="28"/>
          <w:szCs w:val="28"/>
          <w:lang w:eastAsia="en-US"/>
        </w:rPr>
        <w:t xml:space="preserve"> their Decisions on the Assistance and Support for Ukraine’s Innovation and Creativity Sector and Intellectual Property System contained in documents </w:t>
      </w:r>
      <w:hyperlink r:id="rId10" w:history="1">
        <w:r w:rsidRPr="007C77A2">
          <w:rPr>
            <w:rFonts w:ascii="Times New Roman" w:eastAsia="Calibri" w:hAnsi="Times New Roman" w:cs="Times New Roman"/>
            <w:color w:val="0000FF"/>
            <w:sz w:val="28"/>
            <w:szCs w:val="28"/>
            <w:u w:val="single"/>
            <w:lang w:eastAsia="en-US"/>
          </w:rPr>
          <w:t>A/63/10</w:t>
        </w:r>
      </w:hyperlink>
      <w:r w:rsidRPr="007C77A2">
        <w:rPr>
          <w:rFonts w:ascii="Times New Roman" w:eastAsia="Calibri" w:hAnsi="Times New Roman" w:cs="Times New Roman"/>
          <w:sz w:val="28"/>
          <w:szCs w:val="28"/>
          <w:lang w:eastAsia="en-US"/>
        </w:rPr>
        <w:t xml:space="preserve"> and </w:t>
      </w:r>
      <w:hyperlink r:id="rId11" w:history="1">
        <w:r w:rsidRPr="007C77A2">
          <w:rPr>
            <w:rFonts w:ascii="Times New Roman" w:eastAsia="Calibri" w:hAnsi="Times New Roman" w:cs="Times New Roman"/>
            <w:color w:val="0059C6"/>
            <w:kern w:val="2"/>
            <w:sz w:val="28"/>
            <w:szCs w:val="28"/>
            <w:u w:val="single"/>
            <w:bdr w:val="none" w:sz="0" w:space="0" w:color="auto" w:frame="1"/>
            <w:lang w:eastAsia="en-US"/>
          </w:rPr>
          <w:t>A/64/14</w:t>
        </w:r>
      </w:hyperlink>
      <w:r w:rsidRPr="007C77A2">
        <w:rPr>
          <w:rFonts w:ascii="Times New Roman" w:eastAsia="Calibri" w:hAnsi="Times New Roman" w:cs="Times New Roman"/>
          <w:sz w:val="28"/>
          <w:szCs w:val="28"/>
          <w:lang w:eastAsia="en-US"/>
        </w:rPr>
        <w:t>;</w:t>
      </w:r>
    </w:p>
    <w:p w14:paraId="67177DD4" w14:textId="77777777" w:rsidR="007C77A2" w:rsidRPr="007C77A2" w:rsidRDefault="007C77A2" w:rsidP="007C77A2">
      <w:pPr>
        <w:spacing w:after="160" w:line="259" w:lineRule="auto"/>
        <w:rPr>
          <w:rFonts w:ascii="Times New Roman" w:eastAsia="Calibri" w:hAnsi="Times New Roman" w:cs="Times New Roman"/>
          <w:kern w:val="2"/>
          <w:sz w:val="28"/>
          <w:szCs w:val="28"/>
          <w:lang w:eastAsia="en-US"/>
        </w:rPr>
      </w:pPr>
      <w:r w:rsidRPr="007C77A2">
        <w:rPr>
          <w:rFonts w:ascii="Times New Roman" w:eastAsia="Calibri" w:hAnsi="Times New Roman" w:cs="Times New Roman"/>
          <w:kern w:val="2"/>
          <w:sz w:val="28"/>
          <w:szCs w:val="28"/>
          <w:lang w:eastAsia="en-US"/>
        </w:rPr>
        <w:t>Take note of the Report on the Assistance and Support for Ukraine’s Innovation and Creativity Sector and Intellectual Property System contained in document A/65/7, and the continued negative impacts of the ongoing war on Ukraine's innovation and creativity sector and IP system; and</w:t>
      </w:r>
    </w:p>
    <w:p w14:paraId="0B430C94" w14:textId="77777777" w:rsidR="007C77A2" w:rsidRPr="007C77A2" w:rsidRDefault="007C77A2" w:rsidP="007C77A2">
      <w:pPr>
        <w:spacing w:after="160" w:line="259" w:lineRule="auto"/>
        <w:rPr>
          <w:rFonts w:ascii="Times New Roman" w:eastAsia="Calibri" w:hAnsi="Times New Roman" w:cs="Times New Roman"/>
          <w:kern w:val="2"/>
          <w:sz w:val="28"/>
          <w:szCs w:val="28"/>
          <w:lang w:val="uk-UA" w:eastAsia="en-US"/>
        </w:rPr>
      </w:pPr>
      <w:r w:rsidRPr="007C77A2">
        <w:rPr>
          <w:rFonts w:ascii="Times New Roman" w:eastAsia="Calibri" w:hAnsi="Times New Roman" w:cs="Times New Roman"/>
          <w:kern w:val="2"/>
          <w:sz w:val="28"/>
          <w:szCs w:val="28"/>
          <w:lang w:eastAsia="en-US"/>
        </w:rPr>
        <w:t>Request the International Bureau:</w:t>
      </w:r>
    </w:p>
    <w:p w14:paraId="26464616" w14:textId="77777777" w:rsidR="007C77A2" w:rsidRPr="007C77A2" w:rsidRDefault="007C77A2" w:rsidP="007C77A2">
      <w:pPr>
        <w:numPr>
          <w:ilvl w:val="1"/>
          <w:numId w:val="7"/>
        </w:numPr>
        <w:spacing w:after="160" w:line="259" w:lineRule="auto"/>
        <w:contextualSpacing/>
        <w:rPr>
          <w:rFonts w:ascii="Times New Roman" w:eastAsia="Calibri" w:hAnsi="Times New Roman" w:cs="Times New Roman"/>
          <w:kern w:val="2"/>
          <w:sz w:val="28"/>
          <w:szCs w:val="28"/>
          <w:lang w:eastAsia="en-US"/>
        </w:rPr>
      </w:pPr>
      <w:r w:rsidRPr="007C77A2">
        <w:rPr>
          <w:rFonts w:ascii="Times New Roman" w:eastAsia="Calibri" w:hAnsi="Times New Roman" w:cs="Times New Roman"/>
          <w:kern w:val="2"/>
          <w:sz w:val="28"/>
          <w:szCs w:val="28"/>
          <w:lang w:eastAsia="en-US"/>
        </w:rPr>
        <w:t>to continue its close cooperation with Ukraine to ensure its ongoing support and assistance to the creators, innovators, and members of the IP community, focusing on mitigating the adverse effects of the war and rebuilding an innovative and creative ecosystem in Ukraine that benefits all stakeholders and strengthens the country’s economy; and</w:t>
      </w:r>
    </w:p>
    <w:p w14:paraId="70FB75EF" w14:textId="77777777" w:rsidR="007C77A2" w:rsidRPr="007C77A2" w:rsidRDefault="007C77A2" w:rsidP="007C77A2">
      <w:pPr>
        <w:numPr>
          <w:ilvl w:val="1"/>
          <w:numId w:val="7"/>
        </w:numPr>
        <w:spacing w:after="160" w:line="259" w:lineRule="auto"/>
        <w:contextualSpacing/>
        <w:rPr>
          <w:rFonts w:ascii="Times New Roman" w:eastAsia="Calibri" w:hAnsi="Times New Roman" w:cs="Times New Roman"/>
          <w:kern w:val="2"/>
          <w:sz w:val="28"/>
          <w:szCs w:val="28"/>
          <w:lang w:eastAsia="en-US"/>
        </w:rPr>
      </w:pPr>
      <w:r w:rsidRPr="007C77A2">
        <w:rPr>
          <w:rFonts w:ascii="Times New Roman" w:eastAsia="Calibri" w:hAnsi="Times New Roman" w:cs="Times New Roman"/>
          <w:kern w:val="2"/>
          <w:sz w:val="28"/>
          <w:szCs w:val="28"/>
          <w:lang w:eastAsia="en-US"/>
        </w:rPr>
        <w:t>to provide an updated assessment of the medium- and long-term impacts of the war on Ukraine’s innovation and creativity sector and ecosystem; and</w:t>
      </w:r>
    </w:p>
    <w:p w14:paraId="79E837A6" w14:textId="77777777" w:rsidR="007C77A2" w:rsidRPr="007C77A2" w:rsidRDefault="007C77A2" w:rsidP="007C77A2">
      <w:pPr>
        <w:numPr>
          <w:ilvl w:val="1"/>
          <w:numId w:val="7"/>
        </w:numPr>
        <w:spacing w:after="160" w:line="259" w:lineRule="auto"/>
        <w:contextualSpacing/>
        <w:rPr>
          <w:rFonts w:ascii="Times New Roman" w:eastAsia="Calibri" w:hAnsi="Times New Roman" w:cs="Times New Roman"/>
          <w:kern w:val="2"/>
          <w:sz w:val="28"/>
          <w:szCs w:val="28"/>
          <w:lang w:eastAsia="en-US"/>
        </w:rPr>
      </w:pPr>
      <w:r w:rsidRPr="007C77A2">
        <w:rPr>
          <w:rFonts w:ascii="Times New Roman" w:eastAsia="Calibri" w:hAnsi="Times New Roman" w:cs="Times New Roman"/>
          <w:kern w:val="2"/>
          <w:sz w:val="28"/>
          <w:szCs w:val="28"/>
          <w:lang w:eastAsia="en-US"/>
        </w:rPr>
        <w:t xml:space="preserve">to take steps to ensure that publications on WIPO resources and platforms comply with the </w:t>
      </w:r>
      <w:r w:rsidRPr="007C77A2">
        <w:rPr>
          <w:rFonts w:ascii="Times New Roman" w:eastAsia="Calibri" w:hAnsi="Times New Roman" w:cs="Times New Roman"/>
          <w:color w:val="333333"/>
          <w:kern w:val="2"/>
          <w:sz w:val="28"/>
          <w:szCs w:val="28"/>
          <w:lang w:eastAsia="en-US"/>
        </w:rPr>
        <w:t xml:space="preserve">principles of sovereignty, independence, and territorial integrity of Ukraine within its internationally recognized </w:t>
      </w:r>
      <w:proofErr w:type="gramStart"/>
      <w:r w:rsidRPr="007C77A2">
        <w:rPr>
          <w:rFonts w:ascii="Times New Roman" w:eastAsia="Calibri" w:hAnsi="Times New Roman" w:cs="Times New Roman"/>
          <w:color w:val="333333"/>
          <w:kern w:val="2"/>
          <w:sz w:val="28"/>
          <w:szCs w:val="28"/>
          <w:lang w:eastAsia="en-US"/>
        </w:rPr>
        <w:t>borders;</w:t>
      </w:r>
      <w:proofErr w:type="gramEnd"/>
      <w:r w:rsidRPr="007C77A2">
        <w:rPr>
          <w:rFonts w:ascii="Times New Roman" w:eastAsia="Calibri" w:hAnsi="Times New Roman" w:cs="Times New Roman"/>
          <w:color w:val="333333"/>
          <w:kern w:val="2"/>
          <w:sz w:val="28"/>
          <w:szCs w:val="28"/>
          <w:lang w:eastAsia="en-US"/>
        </w:rPr>
        <w:t> </w:t>
      </w:r>
    </w:p>
    <w:p w14:paraId="5CABD5D0" w14:textId="77777777" w:rsidR="007C77A2" w:rsidRPr="007C77A2" w:rsidRDefault="007C77A2" w:rsidP="007C77A2">
      <w:pPr>
        <w:numPr>
          <w:ilvl w:val="1"/>
          <w:numId w:val="7"/>
        </w:numPr>
        <w:spacing w:after="160" w:line="259" w:lineRule="auto"/>
        <w:contextualSpacing/>
        <w:rPr>
          <w:rFonts w:ascii="Times New Roman" w:eastAsia="Calibri" w:hAnsi="Times New Roman" w:cs="Times New Roman"/>
          <w:kern w:val="2"/>
          <w:sz w:val="28"/>
          <w:szCs w:val="28"/>
          <w:lang w:eastAsia="en-US"/>
        </w:rPr>
      </w:pPr>
      <w:r w:rsidRPr="007C77A2">
        <w:rPr>
          <w:rFonts w:ascii="Times New Roman" w:eastAsia="Calibri" w:hAnsi="Times New Roman" w:cs="Times New Roman"/>
          <w:kern w:val="2"/>
          <w:sz w:val="28"/>
          <w:szCs w:val="28"/>
          <w:lang w:eastAsia="en-US"/>
        </w:rPr>
        <w:t>to report on the implementation of this decision and other relevant activities at the 2025 WIPO Assemblies, and annually thereafter.</w:t>
      </w:r>
    </w:p>
    <w:p w14:paraId="473665CD" w14:textId="77777777" w:rsidR="007C77A2" w:rsidRPr="007C77A2" w:rsidRDefault="007C77A2" w:rsidP="007C77A2">
      <w:pPr>
        <w:spacing w:after="160" w:line="259" w:lineRule="auto"/>
        <w:ind w:left="1080"/>
        <w:contextualSpacing/>
        <w:rPr>
          <w:rFonts w:ascii="Times New Roman" w:eastAsia="Calibri" w:hAnsi="Times New Roman" w:cs="Times New Roman"/>
          <w:kern w:val="2"/>
          <w:sz w:val="28"/>
          <w:szCs w:val="28"/>
          <w:lang w:eastAsia="en-US"/>
        </w:rPr>
      </w:pPr>
    </w:p>
    <w:p w14:paraId="0CEC5021" w14:textId="77777777" w:rsidR="007C77A2" w:rsidRPr="007C77A2" w:rsidRDefault="007C77A2" w:rsidP="007C77A2">
      <w:pPr>
        <w:spacing w:after="160" w:line="259" w:lineRule="auto"/>
        <w:contextualSpacing/>
        <w:rPr>
          <w:rFonts w:asciiTheme="minorHAnsi" w:eastAsia="Calibri" w:hAnsiTheme="minorHAnsi" w:cstheme="minorHAnsi"/>
          <w:kern w:val="2"/>
          <w:szCs w:val="22"/>
          <w:lang w:eastAsia="en-US"/>
        </w:rPr>
      </w:pPr>
    </w:p>
    <w:p w14:paraId="2C547D65" w14:textId="7A17B721" w:rsidR="002928D3" w:rsidRDefault="007C77A2" w:rsidP="007C77A2">
      <w:pPr>
        <w:spacing w:after="720"/>
        <w:ind w:left="5530"/>
      </w:pPr>
      <w:r w:rsidRPr="007C77A2">
        <w:t>[End of Annex and of documen</w:t>
      </w:r>
      <w:r>
        <w:t>t]</w:t>
      </w:r>
    </w:p>
    <w:sectPr w:rsidR="002928D3" w:rsidSect="002812B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3FE8" w14:textId="77777777" w:rsidR="00CF0463" w:rsidRDefault="00CF0463">
      <w:r>
        <w:separator/>
      </w:r>
    </w:p>
  </w:endnote>
  <w:endnote w:type="continuationSeparator" w:id="0">
    <w:p w14:paraId="0E2E4D8F" w14:textId="77777777" w:rsidR="00CF0463" w:rsidRDefault="00CF0463" w:rsidP="003B38C1">
      <w:r>
        <w:separator/>
      </w:r>
    </w:p>
    <w:p w14:paraId="21622B10" w14:textId="77777777" w:rsidR="00CF0463" w:rsidRPr="003B38C1" w:rsidRDefault="00CF0463" w:rsidP="003B38C1">
      <w:pPr>
        <w:spacing w:after="60"/>
        <w:rPr>
          <w:sz w:val="17"/>
        </w:rPr>
      </w:pPr>
      <w:r>
        <w:rPr>
          <w:sz w:val="17"/>
        </w:rPr>
        <w:t>[Endnote continued from previous page]</w:t>
      </w:r>
    </w:p>
  </w:endnote>
  <w:endnote w:type="continuationNotice" w:id="1">
    <w:p w14:paraId="72C0992E" w14:textId="77777777" w:rsidR="00CF0463" w:rsidRPr="003B38C1" w:rsidRDefault="00CF04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7D36" w14:textId="77777777" w:rsidR="00CF0463" w:rsidRDefault="00CF0463">
      <w:r>
        <w:separator/>
      </w:r>
    </w:p>
  </w:footnote>
  <w:footnote w:type="continuationSeparator" w:id="0">
    <w:p w14:paraId="469957C3" w14:textId="77777777" w:rsidR="00CF0463" w:rsidRDefault="00CF0463" w:rsidP="008B60B2">
      <w:r>
        <w:separator/>
      </w:r>
    </w:p>
    <w:p w14:paraId="03C8A597" w14:textId="77777777" w:rsidR="00CF0463" w:rsidRPr="00ED77FB" w:rsidRDefault="00CF0463" w:rsidP="008B60B2">
      <w:pPr>
        <w:spacing w:after="60"/>
        <w:rPr>
          <w:sz w:val="17"/>
          <w:szCs w:val="17"/>
        </w:rPr>
      </w:pPr>
      <w:r w:rsidRPr="00ED77FB">
        <w:rPr>
          <w:sz w:val="17"/>
          <w:szCs w:val="17"/>
        </w:rPr>
        <w:t>[Footnote continued from previous page]</w:t>
      </w:r>
    </w:p>
  </w:footnote>
  <w:footnote w:type="continuationNotice" w:id="1">
    <w:p w14:paraId="6BBBB44C" w14:textId="77777777" w:rsidR="00CF0463" w:rsidRPr="00ED77FB" w:rsidRDefault="00CF04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AC90" w14:textId="36C9CF44" w:rsidR="006B7887" w:rsidRDefault="006B7887" w:rsidP="00477D6B">
    <w:pPr>
      <w:jc w:val="right"/>
    </w:pPr>
    <w:r>
      <w:t>A/6</w:t>
    </w:r>
    <w:r w:rsidR="007C77A2">
      <w:t>5</w:t>
    </w:r>
    <w:r>
      <w:t>/</w:t>
    </w:r>
    <w:r w:rsidR="007C77A2">
      <w:t>8</w:t>
    </w:r>
  </w:p>
  <w:p w14:paraId="3617DC71" w14:textId="7F3869DF" w:rsidR="006B7887" w:rsidRDefault="007C77A2" w:rsidP="00477D6B">
    <w:pPr>
      <w:jc w:val="right"/>
    </w:pPr>
    <w:r>
      <w:t>ANNEX</w:t>
    </w:r>
  </w:p>
  <w:p w14:paraId="4C70BA82" w14:textId="77777777" w:rsidR="006B7887" w:rsidRDefault="006B7887" w:rsidP="00477D6B">
    <w:pPr>
      <w:jc w:val="right"/>
    </w:pPr>
  </w:p>
  <w:p w14:paraId="1BAFF6CE" w14:textId="77777777" w:rsidR="006B7887" w:rsidRDefault="006B788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AB0F07"/>
    <w:multiLevelType w:val="hybridMultilevel"/>
    <w:tmpl w:val="104ED56C"/>
    <w:lvl w:ilvl="0" w:tplc="C4B618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5"/>
  </w:num>
  <w:num w:numId="3" w16cid:durableId="1356350649">
    <w:abstractNumId w:val="0"/>
  </w:num>
  <w:num w:numId="4" w16cid:durableId="1151099335">
    <w:abstractNumId w:val="6"/>
  </w:num>
  <w:num w:numId="5" w16cid:durableId="797770133">
    <w:abstractNumId w:val="1"/>
  </w:num>
  <w:num w:numId="6" w16cid:durableId="878471050">
    <w:abstractNumId w:val="4"/>
  </w:num>
  <w:num w:numId="7" w16cid:durableId="1130904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7"/>
    <w:rsid w:val="0001647B"/>
    <w:rsid w:val="00043CAA"/>
    <w:rsid w:val="00075432"/>
    <w:rsid w:val="000968ED"/>
    <w:rsid w:val="000F5E56"/>
    <w:rsid w:val="001024FE"/>
    <w:rsid w:val="00124096"/>
    <w:rsid w:val="001362EE"/>
    <w:rsid w:val="00142868"/>
    <w:rsid w:val="001832A6"/>
    <w:rsid w:val="001C6808"/>
    <w:rsid w:val="002121FA"/>
    <w:rsid w:val="002334E5"/>
    <w:rsid w:val="002634C4"/>
    <w:rsid w:val="002928D3"/>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8055F"/>
    <w:rsid w:val="00594D27"/>
    <w:rsid w:val="005F10BC"/>
    <w:rsid w:val="00601760"/>
    <w:rsid w:val="00605827"/>
    <w:rsid w:val="00646050"/>
    <w:rsid w:val="006713CA"/>
    <w:rsid w:val="00676C5C"/>
    <w:rsid w:val="00695558"/>
    <w:rsid w:val="006B7887"/>
    <w:rsid w:val="006D5E0F"/>
    <w:rsid w:val="007058FB"/>
    <w:rsid w:val="007379DF"/>
    <w:rsid w:val="007B6A58"/>
    <w:rsid w:val="007C77A2"/>
    <w:rsid w:val="007D1613"/>
    <w:rsid w:val="00813C5E"/>
    <w:rsid w:val="008417FC"/>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6FA2"/>
    <w:rsid w:val="00B9734B"/>
    <w:rsid w:val="00BA71EB"/>
    <w:rsid w:val="00C11BFE"/>
    <w:rsid w:val="00C94629"/>
    <w:rsid w:val="00CE65D4"/>
    <w:rsid w:val="00CF0330"/>
    <w:rsid w:val="00CF0463"/>
    <w:rsid w:val="00D45252"/>
    <w:rsid w:val="00D71B4D"/>
    <w:rsid w:val="00D841CB"/>
    <w:rsid w:val="00D93D55"/>
    <w:rsid w:val="00E161A2"/>
    <w:rsid w:val="00E335FE"/>
    <w:rsid w:val="00E5021F"/>
    <w:rsid w:val="00E671A6"/>
    <w:rsid w:val="00EC4E49"/>
    <w:rsid w:val="00ED77FB"/>
    <w:rsid w:val="00EF6612"/>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77010"/>
  <w15:docId w15:val="{1FBDEDE8-F3A9-4292-BF5D-D8A1585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CF0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3/a-64/doc_details.jsp?doc_id=619934" TargetMode="External"/><Relationship Id="rId5" Type="http://schemas.openxmlformats.org/officeDocument/2006/relationships/webSettings" Target="webSettings.xml"/><Relationship Id="rId10" Type="http://schemas.openxmlformats.org/officeDocument/2006/relationships/hyperlink" Target="https://www.wipo.int/edocs/mdocs/govbody/en/a_63/a_63_10.pdf"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(E).dotm</Template>
  <TotalTime>0</TotalTime>
  <Pages>2</Pages>
  <Words>352</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A/65/</vt:lpstr>
    </vt:vector>
  </TitlesOfParts>
  <Company>WIPO</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A/65/8</dc:title>
  <dc:creator>WIPO</dc:creator>
  <cp:keywords>FOR OFFICIAL USE ONLY</cp:keywords>
  <cp:lastModifiedBy>HÄFLIGER Patience</cp:lastModifiedBy>
  <cp:revision>3</cp:revision>
  <cp:lastPrinted>2011-02-15T11:56:00Z</cp:lastPrinted>
  <dcterms:created xsi:type="dcterms:W3CDTF">2024-07-13T07:27:00Z</dcterms:created>
  <dcterms:modified xsi:type="dcterms:W3CDTF">2024-07-15T08:35:00Z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