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4076B"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3B22F8A" wp14:editId="15D6C28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AF1CFEB" wp14:editId="59C2558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970C4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61D6D08" w14:textId="39195142" w:rsidR="008B2CC1" w:rsidRPr="001024FE" w:rsidRDefault="00B932E6" w:rsidP="001024FE">
      <w:pPr>
        <w:jc w:val="right"/>
        <w:rPr>
          <w:rFonts w:ascii="Arial Black" w:hAnsi="Arial Black"/>
          <w:caps/>
          <w:sz w:val="15"/>
          <w:szCs w:val="15"/>
        </w:rPr>
      </w:pPr>
      <w:r>
        <w:rPr>
          <w:rFonts w:ascii="Arial Black" w:hAnsi="Arial Black"/>
          <w:caps/>
          <w:sz w:val="15"/>
          <w:szCs w:val="15"/>
        </w:rPr>
        <w:t>BP</w:t>
      </w:r>
      <w:bookmarkStart w:id="1" w:name="Code"/>
      <w:r>
        <w:rPr>
          <w:rFonts w:ascii="Arial Black" w:hAnsi="Arial Black"/>
          <w:caps/>
          <w:sz w:val="15"/>
          <w:szCs w:val="15"/>
        </w:rPr>
        <w:t>/A/39/1</w:t>
      </w:r>
    </w:p>
    <w:bookmarkEnd w:id="1"/>
    <w:p w14:paraId="61ECD1F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ED5075">
        <w:rPr>
          <w:rFonts w:ascii="Arial Black" w:hAnsi="Arial Black"/>
          <w:caps/>
          <w:sz w:val="15"/>
          <w:szCs w:val="15"/>
        </w:rPr>
        <w:t>English</w:t>
      </w:r>
    </w:p>
    <w:bookmarkEnd w:id="2"/>
    <w:p w14:paraId="553F55D5" w14:textId="6E2E03FE"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5E29BE">
        <w:rPr>
          <w:rFonts w:ascii="Arial Black" w:hAnsi="Arial Black"/>
          <w:caps/>
          <w:sz w:val="15"/>
          <w:szCs w:val="15"/>
        </w:rPr>
        <w:t>may 13</w:t>
      </w:r>
      <w:r w:rsidR="00ED5075">
        <w:rPr>
          <w:rFonts w:ascii="Arial Black" w:hAnsi="Arial Black"/>
          <w:caps/>
          <w:sz w:val="15"/>
          <w:szCs w:val="15"/>
        </w:rPr>
        <w:t>, 2022</w:t>
      </w:r>
    </w:p>
    <w:bookmarkEnd w:id="3"/>
    <w:p w14:paraId="79CC9E33" w14:textId="285D758C" w:rsidR="00ED5075" w:rsidRDefault="005E29BE" w:rsidP="00CE65D4">
      <w:pPr>
        <w:spacing w:after="600"/>
        <w:rPr>
          <w:b/>
          <w:sz w:val="28"/>
          <w:szCs w:val="28"/>
        </w:rPr>
      </w:pPr>
      <w:r w:rsidRPr="00ED5075">
        <w:rPr>
          <w:b/>
          <w:sz w:val="28"/>
          <w:szCs w:val="28"/>
        </w:rPr>
        <w:t>Union for the International Recognition of the Deposit of Microorganisms for the Purposes of Patent Procedure (Budapest Union</w:t>
      </w:r>
      <w:r w:rsidR="00ED5075" w:rsidRPr="00ED5075">
        <w:rPr>
          <w:b/>
          <w:sz w:val="28"/>
          <w:szCs w:val="28"/>
        </w:rPr>
        <w:t>)</w:t>
      </w:r>
    </w:p>
    <w:p w14:paraId="39DDF1DB" w14:textId="77777777" w:rsidR="008B2CC1" w:rsidRPr="003845C1" w:rsidRDefault="005F089D" w:rsidP="00CE65D4">
      <w:pPr>
        <w:spacing w:after="600"/>
        <w:rPr>
          <w:b/>
          <w:sz w:val="28"/>
          <w:szCs w:val="28"/>
        </w:rPr>
      </w:pPr>
      <w:r w:rsidRPr="005F089D">
        <w:rPr>
          <w:b/>
          <w:sz w:val="28"/>
          <w:szCs w:val="28"/>
        </w:rPr>
        <w:t>Assembl</w:t>
      </w:r>
      <w:r w:rsidR="00ED5075">
        <w:rPr>
          <w:b/>
          <w:sz w:val="28"/>
          <w:szCs w:val="28"/>
        </w:rPr>
        <w:t>y</w:t>
      </w:r>
    </w:p>
    <w:p w14:paraId="1294249F" w14:textId="77777777" w:rsidR="005F089D" w:rsidRPr="003845C1" w:rsidRDefault="00EA0BEA" w:rsidP="005F089D">
      <w:pPr>
        <w:rPr>
          <w:b/>
          <w:sz w:val="24"/>
          <w:szCs w:val="24"/>
        </w:rPr>
      </w:pPr>
      <w:r>
        <w:rPr>
          <w:b/>
          <w:sz w:val="24"/>
        </w:rPr>
        <w:t>Thirty-Ninth (18</w:t>
      </w:r>
      <w:r>
        <w:rPr>
          <w:b/>
          <w:sz w:val="24"/>
          <w:vertAlign w:val="superscript"/>
        </w:rPr>
        <w:t>th</w:t>
      </w:r>
      <w:r>
        <w:rPr>
          <w:b/>
          <w:sz w:val="24"/>
        </w:rPr>
        <w:t xml:space="preserve"> Extrao</w:t>
      </w:r>
      <w:r w:rsidR="00ED5075">
        <w:rPr>
          <w:b/>
          <w:sz w:val="24"/>
        </w:rPr>
        <w:t>rdinary) Session</w:t>
      </w:r>
    </w:p>
    <w:p w14:paraId="584D94DE" w14:textId="309B1650" w:rsidR="008B2CC1" w:rsidRPr="009F3BF9" w:rsidRDefault="005F089D" w:rsidP="00CE65D4">
      <w:pPr>
        <w:spacing w:after="720"/>
      </w:pPr>
      <w:r w:rsidRPr="009C127D">
        <w:rPr>
          <w:b/>
          <w:sz w:val="24"/>
        </w:rPr>
        <w:t xml:space="preserve">Geneva, </w:t>
      </w:r>
      <w:r>
        <w:rPr>
          <w:b/>
          <w:sz w:val="24"/>
        </w:rPr>
        <w:t>July 1</w:t>
      </w:r>
      <w:r w:rsidR="00C91E8C">
        <w:rPr>
          <w:b/>
          <w:sz w:val="24"/>
        </w:rPr>
        <w:t>4</w:t>
      </w:r>
      <w:r>
        <w:rPr>
          <w:b/>
          <w:sz w:val="24"/>
        </w:rPr>
        <w:t xml:space="preserve"> to 22, 2022</w:t>
      </w:r>
    </w:p>
    <w:p w14:paraId="3354EFD3" w14:textId="39047B24" w:rsidR="008B2CC1" w:rsidRPr="009F3BF9" w:rsidRDefault="0019102E" w:rsidP="00CE65D4">
      <w:pPr>
        <w:spacing w:after="360"/>
        <w:rPr>
          <w:caps/>
          <w:sz w:val="24"/>
        </w:rPr>
      </w:pPr>
      <w:bookmarkStart w:id="4" w:name="TitleOfDoc"/>
      <w:r>
        <w:rPr>
          <w:caps/>
          <w:sz w:val="24"/>
        </w:rPr>
        <w:t>forms under the budapest treaty</w:t>
      </w:r>
      <w:r w:rsidR="00AF45DB">
        <w:rPr>
          <w:caps/>
          <w:sz w:val="24"/>
        </w:rPr>
        <w:t xml:space="preserve"> </w:t>
      </w:r>
    </w:p>
    <w:p w14:paraId="5C815010" w14:textId="77777777" w:rsidR="008B2CC1" w:rsidRPr="004D39C4" w:rsidRDefault="00ED5075" w:rsidP="00CE65D4">
      <w:pPr>
        <w:spacing w:after="960"/>
        <w:rPr>
          <w:i/>
        </w:rPr>
      </w:pPr>
      <w:bookmarkStart w:id="5" w:name="Prepared"/>
      <w:bookmarkEnd w:id="4"/>
      <w:r w:rsidRPr="00ED5075">
        <w:rPr>
          <w:i/>
        </w:rPr>
        <w:t>Document prepared by the Secretariat</w:t>
      </w:r>
    </w:p>
    <w:bookmarkEnd w:id="5"/>
    <w:p w14:paraId="67E94A8E" w14:textId="77777777" w:rsidR="002928D3" w:rsidRPr="00F01807" w:rsidRDefault="00F01807" w:rsidP="00B41A93">
      <w:pPr>
        <w:pStyle w:val="Heading1"/>
        <w:spacing w:after="220"/>
      </w:pPr>
      <w:r w:rsidRPr="00F01807">
        <w:t>Summary</w:t>
      </w:r>
    </w:p>
    <w:p w14:paraId="4E448E70" w14:textId="03ACC8EE" w:rsidR="00EF331A" w:rsidRDefault="00F9633E" w:rsidP="002F75D2">
      <w:pPr>
        <w:pStyle w:val="ONUME"/>
        <w:rPr>
          <w:bCs/>
        </w:rPr>
      </w:pPr>
      <w:r w:rsidRPr="00F9633E">
        <w:t xml:space="preserve">This document contains </w:t>
      </w:r>
      <w:r w:rsidR="009112AC" w:rsidRPr="001440AB">
        <w:t>a proposal</w:t>
      </w:r>
      <w:r w:rsidR="0051516E" w:rsidRPr="001440AB">
        <w:t xml:space="preserve"> to </w:t>
      </w:r>
      <w:r w:rsidR="001440AB" w:rsidRPr="001440AB">
        <w:t>provide</w:t>
      </w:r>
      <w:r w:rsidR="008B1ACD" w:rsidRPr="001440AB">
        <w:t xml:space="preserve"> space</w:t>
      </w:r>
      <w:r w:rsidR="00137F23">
        <w:t>s f</w:t>
      </w:r>
      <w:r w:rsidR="008B1ACD" w:rsidRPr="001440AB">
        <w:t>or</w:t>
      </w:r>
      <w:r w:rsidR="0051516E">
        <w:t xml:space="preserve"> </w:t>
      </w:r>
      <w:r w:rsidR="001440AB">
        <w:t>i</w:t>
      </w:r>
      <w:r w:rsidR="00EF331A">
        <w:t xml:space="preserve">dentification </w:t>
      </w:r>
      <w:r w:rsidR="001440AB">
        <w:t>of an electronic mail (hereinafter referred to as “e-mail”) address</w:t>
      </w:r>
      <w:r w:rsidR="0051516E">
        <w:t xml:space="preserve"> and </w:t>
      </w:r>
      <w:r w:rsidR="001440AB">
        <w:t xml:space="preserve">a </w:t>
      </w:r>
      <w:r w:rsidR="0051516E">
        <w:t xml:space="preserve">telephone number </w:t>
      </w:r>
      <w:r w:rsidR="00EF331A">
        <w:t>o</w:t>
      </w:r>
      <w:r w:rsidR="008B1ACD">
        <w:t xml:space="preserve">n the Forms </w:t>
      </w:r>
      <w:r w:rsidR="00EF331A">
        <w:t xml:space="preserve">prepared </w:t>
      </w:r>
      <w:r w:rsidR="008B1ACD">
        <w:t xml:space="preserve">under the Budapest Treaty </w:t>
      </w:r>
      <w:r w:rsidR="00645795" w:rsidRPr="00645795">
        <w:rPr>
          <w:bCs/>
        </w:rPr>
        <w:t>on the International Recognition of the Deposit of Microorganisms for the Purposes of Patent Procedure (B</w:t>
      </w:r>
      <w:r w:rsidR="009878CD">
        <w:rPr>
          <w:bCs/>
        </w:rPr>
        <w:t xml:space="preserve">udapest </w:t>
      </w:r>
      <w:r w:rsidR="00645795" w:rsidRPr="00645795">
        <w:rPr>
          <w:bCs/>
        </w:rPr>
        <w:t>T</w:t>
      </w:r>
      <w:r w:rsidR="009878CD">
        <w:rPr>
          <w:bCs/>
        </w:rPr>
        <w:t>reaty</w:t>
      </w:r>
      <w:r w:rsidR="00645795" w:rsidRPr="00645795">
        <w:rPr>
          <w:bCs/>
        </w:rPr>
        <w:t>)</w:t>
      </w:r>
      <w:r w:rsidR="00C665A5">
        <w:rPr>
          <w:bCs/>
        </w:rPr>
        <w:t>.</w:t>
      </w:r>
    </w:p>
    <w:p w14:paraId="7BDE1421" w14:textId="5E721F38" w:rsidR="00F9633E" w:rsidRDefault="00EF331A" w:rsidP="001E6377">
      <w:pPr>
        <w:pStyle w:val="ONUME"/>
        <w:spacing w:after="240"/>
      </w:pPr>
      <w:r>
        <w:rPr>
          <w:bCs/>
        </w:rPr>
        <w:t>Embracing the multilingualism of WIPO, it is also propose</w:t>
      </w:r>
      <w:r w:rsidR="00137F23">
        <w:rPr>
          <w:bCs/>
        </w:rPr>
        <w:t>d</w:t>
      </w:r>
      <w:r>
        <w:rPr>
          <w:bCs/>
        </w:rPr>
        <w:t xml:space="preserve"> that s</w:t>
      </w:r>
      <w:r w:rsidR="009878CD">
        <w:t>uch</w:t>
      </w:r>
      <w:r w:rsidR="0068368D">
        <w:t xml:space="preserve"> Forms </w:t>
      </w:r>
      <w:r>
        <w:t xml:space="preserve">be established </w:t>
      </w:r>
      <w:r w:rsidR="0068368D">
        <w:t>in the six languages</w:t>
      </w:r>
      <w:r w:rsidR="009878CD">
        <w:t xml:space="preserve"> of the United Nations (UN)</w:t>
      </w:r>
      <w:r>
        <w:t xml:space="preserve">, and that </w:t>
      </w:r>
      <w:r w:rsidR="00137F23">
        <w:t>amendments</w:t>
      </w:r>
      <w:r w:rsidR="00240493">
        <w:t xml:space="preserve"> to </w:t>
      </w:r>
      <w:r w:rsidR="00DF46F7">
        <w:t>Rule</w:t>
      </w:r>
      <w:r w:rsidR="00137F23">
        <w:t> </w:t>
      </w:r>
      <w:r w:rsidR="00DF46F7">
        <w:t>11.4</w:t>
      </w:r>
      <w:r w:rsidR="003058C7">
        <w:t>(a) and</w:t>
      </w:r>
      <w:r w:rsidR="000B1A8F">
        <w:t> </w:t>
      </w:r>
      <w:r w:rsidR="003058C7">
        <w:t xml:space="preserve">(b) </w:t>
      </w:r>
      <w:r w:rsidR="00E62068">
        <w:t xml:space="preserve">of the Regulations under the Budapest Treaty </w:t>
      </w:r>
      <w:r>
        <w:t xml:space="preserve">be made </w:t>
      </w:r>
      <w:r w:rsidR="00240493">
        <w:t xml:space="preserve">so that </w:t>
      </w:r>
      <w:r>
        <w:t>all six UN languages</w:t>
      </w:r>
      <w:r w:rsidR="00240493">
        <w:t xml:space="preserve"> will be covered </w:t>
      </w:r>
      <w:r w:rsidR="00137F23">
        <w:t>under</w:t>
      </w:r>
      <w:r w:rsidR="00240493">
        <w:t xml:space="preserve"> these provisions</w:t>
      </w:r>
      <w:r>
        <w:t>.</w:t>
      </w:r>
    </w:p>
    <w:p w14:paraId="4E8FEDEA" w14:textId="04BFB3E7" w:rsidR="0032658D" w:rsidRDefault="00EF331A" w:rsidP="00B41A93">
      <w:pPr>
        <w:pStyle w:val="Heading1"/>
        <w:spacing w:after="220"/>
      </w:pPr>
      <w:r w:rsidRPr="00EF331A">
        <w:t>FORMS UNDER THE BUDAPEST TREATY</w:t>
      </w:r>
    </w:p>
    <w:p w14:paraId="7FFD69B7" w14:textId="19EE152F" w:rsidR="000B1A8F" w:rsidRDefault="00EF331A" w:rsidP="002F75D2">
      <w:pPr>
        <w:pStyle w:val="ONUME"/>
      </w:pPr>
      <w:r>
        <w:rPr>
          <w:bCs/>
        </w:rPr>
        <w:t xml:space="preserve">Fourteen Forms, numbered BP/1 to BP/14, </w:t>
      </w:r>
      <w:r>
        <w:t>are available under the Budapest Treaty (see</w:t>
      </w:r>
      <w:r w:rsidR="00E71949">
        <w:t> </w:t>
      </w:r>
      <w:r>
        <w:t xml:space="preserve">the list of the Forms in Annex I).  </w:t>
      </w:r>
      <w:r w:rsidRPr="00EF331A">
        <w:t xml:space="preserve">They have been drawn up by the International Bureau of WIPO on the basis of the discussions held by the Assembly of the Budapest Union </w:t>
      </w:r>
      <w:r w:rsidR="00287470" w:rsidRPr="00287470">
        <w:t xml:space="preserve">(hereinafter referred to as </w:t>
      </w:r>
      <w:r w:rsidR="00287470">
        <w:t xml:space="preserve">“Assembly”) </w:t>
      </w:r>
      <w:r w:rsidRPr="00EF331A">
        <w:t>and the Interim Advisory Committee for the preparation of the entry into force of the Budapest Treaty.</w:t>
      </w:r>
    </w:p>
    <w:p w14:paraId="184AF4B4" w14:textId="73111DED" w:rsidR="00240493" w:rsidRDefault="00DC6B4D" w:rsidP="002F75D2">
      <w:pPr>
        <w:pStyle w:val="ONUME"/>
      </w:pPr>
      <w:r w:rsidRPr="00DC6B4D">
        <w:lastRenderedPageBreak/>
        <w:t>The</w:t>
      </w:r>
      <w:r>
        <w:t xml:space="preserve"> establishment of F</w:t>
      </w:r>
      <w:r w:rsidRPr="00DC6B4D">
        <w:t xml:space="preserve">orms are not all provided for in the Regulations under the Budapest </w:t>
      </w:r>
      <w:r w:rsidR="00834F76">
        <w:t>Treaty.  The Regulations prescribe Forms for</w:t>
      </w:r>
      <w:r w:rsidRPr="00DC6B4D">
        <w:t xml:space="preserve"> BP/4, 5</w:t>
      </w:r>
      <w:r>
        <w:t xml:space="preserve">, </w:t>
      </w:r>
      <w:r w:rsidRPr="00DC6B4D">
        <w:t>6</w:t>
      </w:r>
      <w:r>
        <w:t xml:space="preserve">, </w:t>
      </w:r>
      <w:r w:rsidRPr="00DC6B4D">
        <w:t>9</w:t>
      </w:r>
      <w:r>
        <w:t xml:space="preserve"> and 12</w:t>
      </w:r>
      <w:r w:rsidRPr="00DC6B4D">
        <w:t>.</w:t>
      </w:r>
      <w:r>
        <w:t xml:space="preserve">  </w:t>
      </w:r>
      <w:r w:rsidRPr="00DC6B4D">
        <w:t xml:space="preserve">As for the other </w:t>
      </w:r>
      <w:r>
        <w:t>F</w:t>
      </w:r>
      <w:r w:rsidRPr="00DC6B4D">
        <w:t>orms, which bear the numbers BP/1, 2, 3, 7, 8, 10, 11, 13 and 14, the Assembly considered it useful to have these drawn up as models.</w:t>
      </w:r>
      <w:r>
        <w:t xml:space="preserve">  Consequently, the International Bureau established these Forms accordingly.</w:t>
      </w:r>
    </w:p>
    <w:p w14:paraId="4166D023" w14:textId="1CD343E1" w:rsidR="00EF331A" w:rsidRPr="00EF331A" w:rsidRDefault="000B1A8F" w:rsidP="001E6377">
      <w:pPr>
        <w:pStyle w:val="ONUME"/>
        <w:spacing w:after="240"/>
      </w:pPr>
      <w:r w:rsidRPr="000B1A8F">
        <w:t>Forms BP/4, 5, 6, and 9</w:t>
      </w:r>
      <w:r>
        <w:t xml:space="preserve"> are</w:t>
      </w:r>
      <w:r w:rsidRPr="000B1A8F">
        <w:t xml:space="preserve"> called “international forms”</w:t>
      </w:r>
      <w:r w:rsidR="00DC6B4D">
        <w:t>.  They</w:t>
      </w:r>
      <w:r w:rsidRPr="000B1A8F">
        <w:t xml:space="preserve"> relate to </w:t>
      </w:r>
      <w:r>
        <w:t>a</w:t>
      </w:r>
      <w:r w:rsidRPr="000B1A8F">
        <w:t xml:space="preserve"> receipt </w:t>
      </w:r>
      <w:r>
        <w:t xml:space="preserve">of a microorganism </w:t>
      </w:r>
      <w:r w:rsidRPr="000B1A8F">
        <w:t xml:space="preserve">and </w:t>
      </w:r>
      <w:r>
        <w:t>a</w:t>
      </w:r>
      <w:r w:rsidRPr="000B1A8F">
        <w:t xml:space="preserve"> viability statement</w:t>
      </w:r>
      <w:r>
        <w:t>, which are issue</w:t>
      </w:r>
      <w:r w:rsidR="00137F23">
        <w:t>d</w:t>
      </w:r>
      <w:r>
        <w:t xml:space="preserve"> by the International Depositary Authorities (IDAs).  These international forms </w:t>
      </w:r>
      <w:r w:rsidRPr="000B1A8F">
        <w:t>are available in English, French, Russian and Spanish</w:t>
      </w:r>
      <w:r>
        <w:t>,</w:t>
      </w:r>
      <w:r w:rsidRPr="000B1A8F">
        <w:t xml:space="preserve"> as decided by the Assembly.</w:t>
      </w:r>
      <w:r>
        <w:t xml:space="preserve">  Other Forms are </w:t>
      </w:r>
      <w:r w:rsidR="00DC6B4D">
        <w:t xml:space="preserve">currently available in </w:t>
      </w:r>
      <w:r>
        <w:t>English and French.</w:t>
      </w:r>
    </w:p>
    <w:p w14:paraId="11B7416F" w14:textId="29F91919" w:rsidR="00C107B3" w:rsidRPr="00C107B3" w:rsidRDefault="00C107B3" w:rsidP="0064296F">
      <w:pPr>
        <w:pStyle w:val="Heading1"/>
        <w:spacing w:after="220"/>
      </w:pPr>
      <w:r w:rsidRPr="00C107B3">
        <w:t>Inclusion of a Telephone Nu</w:t>
      </w:r>
      <w:r w:rsidR="004472CC">
        <w:t>mber and an E</w:t>
      </w:r>
      <w:r w:rsidR="00432E5F">
        <w:t>-</w:t>
      </w:r>
      <w:r w:rsidR="004472CC">
        <w:t xml:space="preserve">mail Address in the </w:t>
      </w:r>
      <w:r w:rsidRPr="00C107B3">
        <w:t>Forms</w:t>
      </w:r>
      <w:r w:rsidR="004472CC">
        <w:t xml:space="preserve"> under the budapest treaty</w:t>
      </w:r>
    </w:p>
    <w:p w14:paraId="5D77D091" w14:textId="1975B628" w:rsidR="009878CD" w:rsidRDefault="004F52EE" w:rsidP="002F75D2">
      <w:pPr>
        <w:pStyle w:val="ONUME"/>
      </w:pPr>
      <w:r>
        <w:t>For the purposes of identification of, and communication with,</w:t>
      </w:r>
      <w:r w:rsidRPr="004F52EE">
        <w:t xml:space="preserve"> a depositor of a microorganism or a requester of a sample of a microorganism</w:t>
      </w:r>
      <w:r>
        <w:t>, a</w:t>
      </w:r>
      <w:r w:rsidR="009878CD">
        <w:t xml:space="preserve">ll BP Forms contain spaces for </w:t>
      </w:r>
      <w:r>
        <w:t>his/her</w:t>
      </w:r>
      <w:r w:rsidR="009878CD">
        <w:t xml:space="preserve"> name and address</w:t>
      </w:r>
      <w:r>
        <w:t>.</w:t>
      </w:r>
      <w:r w:rsidR="009878CD">
        <w:t xml:space="preserve"> </w:t>
      </w:r>
      <w:r>
        <w:t xml:space="preserve"> </w:t>
      </w:r>
      <w:r w:rsidR="009878CD">
        <w:t>However, none of them provides spaces with respect to an e-mail address and a telephone number of a party concerned.</w:t>
      </w:r>
    </w:p>
    <w:p w14:paraId="3E55F426" w14:textId="5B2706EB" w:rsidR="00E633B5" w:rsidRDefault="009878CD" w:rsidP="002F75D2">
      <w:pPr>
        <w:pStyle w:val="ONUME"/>
      </w:pPr>
      <w:r>
        <w:t xml:space="preserve">In practice, e-mail and telephone have been well-established, standard means of communication today.  </w:t>
      </w:r>
      <w:r w:rsidR="00E53E22">
        <w:t>I</w:t>
      </w:r>
      <w:r w:rsidR="004F52EE">
        <w:t xml:space="preserve">ndications of telephone numbers and email addresses also serve the function of identifying the party concerned, and </w:t>
      </w:r>
      <w:r w:rsidR="00E53E22">
        <w:t>communicating with the party</w:t>
      </w:r>
      <w:r w:rsidR="000B1A8F">
        <w:t xml:space="preserve"> whenever it is </w:t>
      </w:r>
      <w:r w:rsidR="00E53E22">
        <w:t xml:space="preserve">necessary.  </w:t>
      </w:r>
      <w:r w:rsidR="00E53E22" w:rsidRPr="00E53E22">
        <w:t>Providing the possibility of including such information in the BP Forms will benefit the users of the Budapest System</w:t>
      </w:r>
      <w:r w:rsidR="00E53E22">
        <w:t xml:space="preserve">, </w:t>
      </w:r>
      <w:r w:rsidR="00E53E22" w:rsidRPr="00E53E22">
        <w:t>ensur</w:t>
      </w:r>
      <w:r w:rsidR="00E53E22">
        <w:t>ing</w:t>
      </w:r>
      <w:r w:rsidR="00E53E22" w:rsidRPr="00E53E22">
        <w:t xml:space="preserve"> prompt communication between </w:t>
      </w:r>
      <w:r w:rsidR="00E53E22">
        <w:t>the</w:t>
      </w:r>
      <w:r w:rsidR="00E53E22" w:rsidRPr="00E53E22">
        <w:t xml:space="preserve"> IDAs, Intellectual Property Offices (IPOs) and depositors of a microorganism or requesters of a sample of deposited microorganisms</w:t>
      </w:r>
      <w:r w:rsidR="00E53E22">
        <w:t xml:space="preserve">.  </w:t>
      </w:r>
      <w:r>
        <w:t>It is thus</w:t>
      </w:r>
      <w:r w:rsidR="00717611">
        <w:t>,</w:t>
      </w:r>
      <w:r>
        <w:t xml:space="preserve"> proposed to include space</w:t>
      </w:r>
      <w:r w:rsidR="009111F6">
        <w:t>s</w:t>
      </w:r>
      <w:r>
        <w:t xml:space="preserve"> for the e-mail address and the telephone number in the BP Forms.</w:t>
      </w:r>
    </w:p>
    <w:p w14:paraId="7FB71A02" w14:textId="551BD8BA" w:rsidR="009111F6" w:rsidRDefault="009111F6" w:rsidP="002F75D2">
      <w:pPr>
        <w:pStyle w:val="ONUME"/>
      </w:pPr>
      <w:r>
        <w:t>Pursuant to Rule 11.3(a) of the Regulations under the Budapest Treaty,</w:t>
      </w:r>
      <w:r w:rsidRPr="009111F6">
        <w:t xml:space="preserve"> </w:t>
      </w:r>
      <w:r>
        <w:t>the c</w:t>
      </w:r>
      <w:r w:rsidRPr="009111F6">
        <w:t>ontents of Form BP/12</w:t>
      </w:r>
      <w:r>
        <w:t>,</w:t>
      </w:r>
      <w:r w:rsidRPr="009111F6">
        <w:t xml:space="preserve"> which relate to the furnishing of samples of deposited microorganisms to the </w:t>
      </w:r>
      <w:r>
        <w:t xml:space="preserve">legally entitled </w:t>
      </w:r>
      <w:r w:rsidRPr="009111F6">
        <w:t>party</w:t>
      </w:r>
      <w:r>
        <w:t>, shall be</w:t>
      </w:r>
      <w:r w:rsidRPr="009111F6">
        <w:t xml:space="preserve"> fixed by the Assembly</w:t>
      </w:r>
      <w:r>
        <w:t xml:space="preserve">.  Consequently, </w:t>
      </w:r>
      <w:r w:rsidRPr="009111F6">
        <w:t xml:space="preserve">the Assembly </w:t>
      </w:r>
      <w:r>
        <w:t xml:space="preserve">is invited to </w:t>
      </w:r>
      <w:r w:rsidR="00004CBA">
        <w:t xml:space="preserve">consider </w:t>
      </w:r>
      <w:r w:rsidRPr="009111F6">
        <w:t xml:space="preserve">the inclusion of the e-mail address and the telephone number of the party </w:t>
      </w:r>
      <w:r w:rsidR="00137F23">
        <w:t>concerned</w:t>
      </w:r>
      <w:r w:rsidR="000C1E63">
        <w:t xml:space="preserve"> as part of the contents of Form BP/12</w:t>
      </w:r>
      <w:r w:rsidRPr="009111F6">
        <w:t>.</w:t>
      </w:r>
    </w:p>
    <w:p w14:paraId="75E47D55" w14:textId="1405A3BE" w:rsidR="00004CBA" w:rsidRDefault="00004CBA" w:rsidP="001E6377">
      <w:pPr>
        <w:pStyle w:val="ONUME"/>
        <w:spacing w:after="240"/>
      </w:pPr>
      <w:r>
        <w:t xml:space="preserve">With respect to other BP Forms, the </w:t>
      </w:r>
      <w:r w:rsidR="000C1E63" w:rsidRPr="000C1E63">
        <w:t>international forms</w:t>
      </w:r>
      <w:r w:rsidR="000C1E63">
        <w:t xml:space="preserve">, i.e., </w:t>
      </w:r>
      <w:r>
        <w:t>BP/4, BP/5, BP/6 and BP/9</w:t>
      </w:r>
      <w:r w:rsidR="000C1E63">
        <w:t>,</w:t>
      </w:r>
      <w:r>
        <w:t xml:space="preserve"> are established by the Director General (see Rule 7.2(a) and Rule 10.2(d) of the Regulations under the Budapest Treaty).  The rest of the BP Forms</w:t>
      </w:r>
      <w:r>
        <w:rPr>
          <w:rStyle w:val="FootnoteReference"/>
        </w:rPr>
        <w:footnoteReference w:id="2"/>
      </w:r>
      <w:r w:rsidRPr="009F14E4">
        <w:t xml:space="preserve"> </w:t>
      </w:r>
      <w:r>
        <w:t>are prepared by the International Bureau</w:t>
      </w:r>
      <w:r w:rsidRPr="009F14E4">
        <w:t xml:space="preserve"> as a mere reference or a model for </w:t>
      </w:r>
      <w:r>
        <w:t xml:space="preserve">the </w:t>
      </w:r>
      <w:r w:rsidRPr="009F14E4">
        <w:t>users of the Budapest System.</w:t>
      </w:r>
      <w:r>
        <w:t xml:space="preserve">  Accordingly, the International Bureau will prepare </w:t>
      </w:r>
      <w:r w:rsidR="00A8665B" w:rsidRPr="00A8665B">
        <w:t xml:space="preserve">draft revised BP Forms </w:t>
      </w:r>
      <w:r w:rsidR="00A8665B">
        <w:t>that</w:t>
      </w:r>
      <w:r w:rsidR="00A8665B" w:rsidRPr="00A8665B">
        <w:t xml:space="preserve"> will contain spaces for an e</w:t>
      </w:r>
      <w:r w:rsidR="00E62068">
        <w:t>-</w:t>
      </w:r>
      <w:r w:rsidR="00A8665B" w:rsidRPr="00A8665B">
        <w:t>mail address and a telephone number of the depositor/requester</w:t>
      </w:r>
      <w:r w:rsidR="00A8665B">
        <w:t>,</w:t>
      </w:r>
      <w:r w:rsidR="00A8665B" w:rsidRPr="00A8665B">
        <w:t xml:space="preserve"> </w:t>
      </w:r>
      <w:r>
        <w:t xml:space="preserve">and circulate </w:t>
      </w:r>
      <w:r w:rsidR="00A8665B">
        <w:t>them to the Member States for consultation, prior to the finalization and publication of the revised BP Forms.</w:t>
      </w:r>
    </w:p>
    <w:p w14:paraId="01DC7337" w14:textId="0EBBCB71" w:rsidR="00D21CD8" w:rsidRDefault="00112A06" w:rsidP="009E1224">
      <w:pPr>
        <w:pStyle w:val="Heading1"/>
        <w:spacing w:after="220"/>
      </w:pPr>
      <w:r w:rsidRPr="00112A06">
        <w:t>Establishment of BP Forms in the Six UN Languages</w:t>
      </w:r>
    </w:p>
    <w:p w14:paraId="077D0137" w14:textId="0972E2E8" w:rsidR="002A7907" w:rsidRDefault="001567A3" w:rsidP="00221E3E">
      <w:pPr>
        <w:pStyle w:val="ONUME"/>
      </w:pPr>
      <w:r>
        <w:t xml:space="preserve">According to Rules 7.2(a) and 10.2(d) of the Regulations under the Budapest Treaty, the languages of </w:t>
      </w:r>
      <w:r w:rsidR="003D48AF">
        <w:t xml:space="preserve">Forms </w:t>
      </w:r>
      <w:r w:rsidR="003D48AF" w:rsidRPr="001E6E2C">
        <w:t xml:space="preserve">BP/4, 5, 6 </w:t>
      </w:r>
      <w:r w:rsidR="003D48AF">
        <w:t xml:space="preserve">and 9 shall be designated by the Assembly.  </w:t>
      </w:r>
      <w:r w:rsidR="003D48AF" w:rsidRPr="003D48AF">
        <w:t xml:space="preserve">During its </w:t>
      </w:r>
      <w:r w:rsidR="00137F23">
        <w:t>s</w:t>
      </w:r>
      <w:r w:rsidR="003D48AF" w:rsidRPr="003D48AF">
        <w:t xml:space="preserve">econd </w:t>
      </w:r>
      <w:r w:rsidR="00137F23">
        <w:t>s</w:t>
      </w:r>
      <w:r w:rsidR="003D48AF" w:rsidRPr="003D48AF">
        <w:t>ession</w:t>
      </w:r>
      <w:r w:rsidR="003D48AF">
        <w:t xml:space="preserve"> </w:t>
      </w:r>
      <w:r w:rsidR="003D48AF" w:rsidRPr="000C1E63">
        <w:t>in 19</w:t>
      </w:r>
      <w:r w:rsidR="00191155" w:rsidRPr="000C1E63">
        <w:t>81</w:t>
      </w:r>
      <w:r w:rsidR="003D48AF" w:rsidRPr="003D48AF">
        <w:t xml:space="preserve">, the Assembly designated English, French, Russian and Spanish as the languages </w:t>
      </w:r>
      <w:r w:rsidR="003D48AF">
        <w:t>of these Forms.</w:t>
      </w:r>
      <w:r w:rsidR="003D48AF" w:rsidRPr="001E6E2C">
        <w:rPr>
          <w:rStyle w:val="FootnoteReference"/>
        </w:rPr>
        <w:footnoteReference w:id="3"/>
      </w:r>
      <w:r w:rsidR="002A7907">
        <w:t xml:space="preserve">  </w:t>
      </w:r>
      <w:r w:rsidR="002A7907" w:rsidRPr="002A7907">
        <w:t xml:space="preserve">Other Forms are </w:t>
      </w:r>
      <w:r w:rsidR="002A7907">
        <w:t xml:space="preserve">customary </w:t>
      </w:r>
      <w:r w:rsidR="002A7907" w:rsidRPr="002A7907">
        <w:t>established by the International Bureau in English and French.</w:t>
      </w:r>
    </w:p>
    <w:p w14:paraId="5BC10EAF" w14:textId="6382DAD2" w:rsidR="00017588" w:rsidRDefault="003D48AF" w:rsidP="00221E3E">
      <w:pPr>
        <w:pStyle w:val="ONUME"/>
      </w:pPr>
      <w:r>
        <w:t>Since the</w:t>
      </w:r>
      <w:r w:rsidR="002A7907">
        <w:t xml:space="preserve"> decision of the Assembly in 1981</w:t>
      </w:r>
      <w:r>
        <w:t xml:space="preserve">, China and several countries whose </w:t>
      </w:r>
      <w:r w:rsidRPr="003D48AF">
        <w:t>official language is</w:t>
      </w:r>
      <w:r>
        <w:t xml:space="preserve"> (or </w:t>
      </w:r>
      <w:r w:rsidR="005C088E">
        <w:t xml:space="preserve">official languages </w:t>
      </w:r>
      <w:r>
        <w:t>include)</w:t>
      </w:r>
      <w:r w:rsidRPr="003D48AF">
        <w:t xml:space="preserve"> Arabic</w:t>
      </w:r>
      <w:r w:rsidR="005C088E">
        <w:rPr>
          <w:rStyle w:val="FootnoteReference"/>
        </w:rPr>
        <w:footnoteReference w:id="4"/>
      </w:r>
      <w:r>
        <w:t xml:space="preserve"> joined the Budapest Treaty.  </w:t>
      </w:r>
      <w:r w:rsidR="002A7907">
        <w:t xml:space="preserve">The official </w:t>
      </w:r>
      <w:r w:rsidR="002A7907">
        <w:lastRenderedPageBreak/>
        <w:t>languages of many of 85 Contracting States of the Budapest Treaty are</w:t>
      </w:r>
      <w:r w:rsidR="002A7907" w:rsidRPr="002A7907">
        <w:t xml:space="preserve"> Arabic, Chinese, </w:t>
      </w:r>
      <w:r w:rsidR="002A7907">
        <w:t>S</w:t>
      </w:r>
      <w:r w:rsidR="002A7907" w:rsidRPr="002A7907">
        <w:t xml:space="preserve">panish </w:t>
      </w:r>
      <w:r w:rsidR="002A7907">
        <w:t>or</w:t>
      </w:r>
      <w:r w:rsidR="002A7907" w:rsidRPr="002A7907">
        <w:t xml:space="preserve"> Russian</w:t>
      </w:r>
      <w:r w:rsidR="002A7907">
        <w:t xml:space="preserve">.  </w:t>
      </w:r>
      <w:r>
        <w:t>With the geographical expansion of the Treaty, ex</w:t>
      </w:r>
      <w:r w:rsidR="005C088E">
        <w:t xml:space="preserve">tending </w:t>
      </w:r>
      <w:r>
        <w:t xml:space="preserve">the languages in which the BP Forms are available would </w:t>
      </w:r>
      <w:r w:rsidR="005C088E">
        <w:t xml:space="preserve">offer </w:t>
      </w:r>
      <w:r>
        <w:t xml:space="preserve">the users of the Budapest System </w:t>
      </w:r>
      <w:r w:rsidR="005C088E">
        <w:t xml:space="preserve">a better </w:t>
      </w:r>
      <w:r>
        <w:t>language choice</w:t>
      </w:r>
      <w:r w:rsidR="005C088E">
        <w:t xml:space="preserve"> in carrying out the procedures established by the Budapest Treaty</w:t>
      </w:r>
      <w:r>
        <w:t xml:space="preserve">. </w:t>
      </w:r>
      <w:r w:rsidR="005C088E">
        <w:t xml:space="preserve"> </w:t>
      </w:r>
      <w:r w:rsidR="005C088E" w:rsidRPr="005C088E">
        <w:t>It is thus</w:t>
      </w:r>
      <w:r w:rsidR="00717611">
        <w:t>,</w:t>
      </w:r>
      <w:r w:rsidR="005C088E" w:rsidRPr="005C088E">
        <w:t xml:space="preserve"> proposed that the </w:t>
      </w:r>
      <w:r w:rsidR="00017588">
        <w:t>Assembly designate the six UN languages, i.e., Arabic, Chinese, English, French, Spanish and Russian, as the languages of</w:t>
      </w:r>
      <w:r w:rsidR="00F93509">
        <w:t xml:space="preserve"> </w:t>
      </w:r>
      <w:r w:rsidR="00CA1D8B">
        <w:t>Forms BP/4, 5, 6 and 9.</w:t>
      </w:r>
    </w:p>
    <w:p w14:paraId="783528DF" w14:textId="3EC454E0" w:rsidR="001719DE" w:rsidRDefault="00C92A85" w:rsidP="00221E3E">
      <w:pPr>
        <w:pStyle w:val="ONUME"/>
      </w:pPr>
      <w:r w:rsidRPr="00C92A85">
        <w:t xml:space="preserve">Forms BP/10, </w:t>
      </w:r>
      <w:r w:rsidR="00137F23">
        <w:t>1</w:t>
      </w:r>
      <w:r w:rsidRPr="00C92A85">
        <w:t>1, 12 and 13</w:t>
      </w:r>
      <w:r w:rsidR="00FC6262" w:rsidRPr="00FC6262">
        <w:t xml:space="preserve"> </w:t>
      </w:r>
      <w:r w:rsidR="00FC6262">
        <w:t xml:space="preserve">regarding </w:t>
      </w:r>
      <w:r w:rsidR="00FC6262" w:rsidRPr="00FC6262">
        <w:t>furnishing of a sample of a microorganism</w:t>
      </w:r>
      <w:r w:rsidR="00ED11F4">
        <w:t xml:space="preserve"> relate to Rules 11.1, 11.2 and 11.3</w:t>
      </w:r>
      <w:r w:rsidR="00ED11F4" w:rsidRPr="00ED11F4">
        <w:t xml:space="preserve"> of the Regulations under the Budapest Treaty</w:t>
      </w:r>
      <w:r w:rsidR="00ED11F4">
        <w:t xml:space="preserve">.  </w:t>
      </w:r>
      <w:r w:rsidRPr="00C92A85">
        <w:t>Rule 11.4(a) and (b)</w:t>
      </w:r>
      <w:r w:rsidR="00717611">
        <w:t> </w:t>
      </w:r>
      <w:r w:rsidR="007476D3">
        <w:t>cover</w:t>
      </w:r>
      <w:r w:rsidR="00ED11F4">
        <w:t xml:space="preserve"> </w:t>
      </w:r>
      <w:r w:rsidR="007476D3">
        <w:t xml:space="preserve">the issues concerning </w:t>
      </w:r>
      <w:r w:rsidR="00ED11F4">
        <w:t xml:space="preserve">the languages and translation of </w:t>
      </w:r>
      <w:r w:rsidR="00ED11F4" w:rsidRPr="00ED11F4">
        <w:t>a request, declaration, certification or communication</w:t>
      </w:r>
      <w:r w:rsidR="00ED11F4">
        <w:t xml:space="preserve"> referred to in Rules 11.1, 11.2 and 11.3.  </w:t>
      </w:r>
      <w:r w:rsidR="00137F23">
        <w:t>T</w:t>
      </w:r>
      <w:r w:rsidR="00ED11F4">
        <w:t xml:space="preserve">hey </w:t>
      </w:r>
      <w:r w:rsidR="0008041C">
        <w:t>pr</w:t>
      </w:r>
      <w:r w:rsidR="00ED11F4">
        <w:t>ovide</w:t>
      </w:r>
      <w:r w:rsidR="0008041C">
        <w:t xml:space="preserve">:  (i) the languages in which any </w:t>
      </w:r>
      <w:r w:rsidR="00FC6262">
        <w:t xml:space="preserve">such </w:t>
      </w:r>
      <w:r w:rsidR="0008041C">
        <w:t>request, declaration, certification or communication shall be addressed;  and (ii)</w:t>
      </w:r>
      <w:r w:rsidR="00137F23">
        <w:t> </w:t>
      </w:r>
      <w:r w:rsidR="0008041C">
        <w:t xml:space="preserve">the cases where a translation of these various types of communication shall be furnished by the International Bureau.  </w:t>
      </w:r>
      <w:r w:rsidR="00137F23">
        <w:t>Specifically, t</w:t>
      </w:r>
      <w:r w:rsidR="0008041C">
        <w:t>hese communications shall be addressed in English, French, Russian or Spanish</w:t>
      </w:r>
      <w:r w:rsidR="00240493">
        <w:t xml:space="preserve"> in certain cases and in English or French in certain other cases</w:t>
      </w:r>
      <w:r w:rsidR="0008041C">
        <w:t>, depending on the official language(s) of the IDA that receives such communications</w:t>
      </w:r>
      <w:r w:rsidR="00240493">
        <w:t>.  Under certain conditions</w:t>
      </w:r>
      <w:r w:rsidR="00202C62">
        <w:t xml:space="preserve">, </w:t>
      </w:r>
      <w:r w:rsidR="0008041C">
        <w:t>the International Bureau has an obligation to establish</w:t>
      </w:r>
      <w:r w:rsidR="00202C62">
        <w:t>, upon request,</w:t>
      </w:r>
      <w:r w:rsidR="0008041C">
        <w:t xml:space="preserve"> a certified translation </w:t>
      </w:r>
      <w:r w:rsidR="00202C62">
        <w:t xml:space="preserve">of these communications from/to </w:t>
      </w:r>
      <w:r w:rsidR="00202C62" w:rsidRPr="00202C62">
        <w:t xml:space="preserve">Russian or </w:t>
      </w:r>
      <w:r w:rsidR="00137F23">
        <w:t xml:space="preserve">from/to </w:t>
      </w:r>
      <w:r w:rsidR="00202C62" w:rsidRPr="00202C62">
        <w:t>Spanish</w:t>
      </w:r>
      <w:r w:rsidR="00240493">
        <w:t>.</w:t>
      </w:r>
      <w:r w:rsidR="00202C62">
        <w:t xml:space="preserve"> </w:t>
      </w:r>
      <w:r w:rsidR="001719DE">
        <w:t xml:space="preserve"> </w:t>
      </w:r>
    </w:p>
    <w:p w14:paraId="20F958E9" w14:textId="03EC4B46" w:rsidR="0034367F" w:rsidRDefault="0034367F" w:rsidP="00221E3E">
      <w:pPr>
        <w:pStyle w:val="ONUME"/>
      </w:pPr>
      <w:r w:rsidRPr="0034367F">
        <w:t xml:space="preserve">To be in line with the expansion of the languages </w:t>
      </w:r>
      <w:r w:rsidR="00137F23">
        <w:t>of</w:t>
      </w:r>
      <w:r w:rsidRPr="0034367F">
        <w:t xml:space="preserve"> the BP Forms </w:t>
      </w:r>
      <w:r w:rsidR="00E53E22">
        <w:t xml:space="preserve">and </w:t>
      </w:r>
      <w:r w:rsidR="00137F23">
        <w:t xml:space="preserve">with WIPO’s commitment to </w:t>
      </w:r>
      <w:r w:rsidR="00E53E22">
        <w:t xml:space="preserve">multilingualism </w:t>
      </w:r>
      <w:r w:rsidR="00137F23">
        <w:t>both as its core value and as a means to reach out worldwide,</w:t>
      </w:r>
      <w:r w:rsidR="00137F23">
        <w:rPr>
          <w:rStyle w:val="FootnoteReference"/>
        </w:rPr>
        <w:footnoteReference w:id="5"/>
      </w:r>
      <w:r w:rsidR="00137F23">
        <w:t xml:space="preserve"> </w:t>
      </w:r>
      <w:r w:rsidRPr="0034367F">
        <w:t xml:space="preserve">it is </w:t>
      </w:r>
      <w:r w:rsidR="0008041C">
        <w:t>p</w:t>
      </w:r>
      <w:r w:rsidRPr="0034367F">
        <w:t>roposed that the Assembly</w:t>
      </w:r>
      <w:r>
        <w:t xml:space="preserve"> </w:t>
      </w:r>
      <w:r w:rsidR="00137F23">
        <w:t>amend</w:t>
      </w:r>
      <w:r w:rsidRPr="0034367F">
        <w:t xml:space="preserve"> </w:t>
      </w:r>
      <w:r>
        <w:t xml:space="preserve">Rule 11.4(a) and (b) </w:t>
      </w:r>
      <w:r w:rsidR="00FE1CE0">
        <w:t>so that</w:t>
      </w:r>
      <w:r w:rsidR="006B5C91">
        <w:t xml:space="preserve"> </w:t>
      </w:r>
      <w:r w:rsidR="00FE1CE0">
        <w:t>the communications</w:t>
      </w:r>
      <w:r w:rsidR="006B5C91">
        <w:t xml:space="preserve"> in Arabic and Chinese will be included</w:t>
      </w:r>
      <w:r w:rsidR="00FE1CE0">
        <w:t xml:space="preserve"> in these provisions</w:t>
      </w:r>
      <w:r w:rsidR="006B5C91">
        <w:t xml:space="preserve">, and a certified translation of the communications to/from Arabic and Chinese may be requested to the International Bureau.  </w:t>
      </w:r>
      <w:r w:rsidR="001719DE" w:rsidRPr="001719DE">
        <w:t>Annex</w:t>
      </w:r>
      <w:r w:rsidR="00137F23">
        <w:t xml:space="preserve"> II</w:t>
      </w:r>
      <w:r w:rsidR="001719DE" w:rsidRPr="001719DE">
        <w:t xml:space="preserve"> to this document sets out the proposed amendment</w:t>
      </w:r>
      <w:r w:rsidR="00F13207">
        <w:t>s</w:t>
      </w:r>
      <w:r w:rsidR="001719DE" w:rsidRPr="001719DE">
        <w:t xml:space="preserve"> to Rule</w:t>
      </w:r>
      <w:r w:rsidR="001719DE">
        <w:t> </w:t>
      </w:r>
      <w:r w:rsidR="001719DE" w:rsidRPr="001719DE">
        <w:t>11.4(a) and (b)</w:t>
      </w:r>
      <w:r w:rsidR="001719DE">
        <w:t>.</w:t>
      </w:r>
      <w:r w:rsidR="00F13207">
        <w:t xml:space="preserve">  It is proposed that the Assembly adopt the </w:t>
      </w:r>
      <w:r w:rsidR="00F13207" w:rsidRPr="00F13207">
        <w:t xml:space="preserve">amendments </w:t>
      </w:r>
      <w:r w:rsidR="00F13207">
        <w:t xml:space="preserve">set out in </w:t>
      </w:r>
      <w:r w:rsidR="00F13207" w:rsidRPr="00F13207">
        <w:t>Annex</w:t>
      </w:r>
      <w:r w:rsidR="00137F23">
        <w:t xml:space="preserve"> II</w:t>
      </w:r>
      <w:r w:rsidR="000A338D">
        <w:t>, which</w:t>
      </w:r>
      <w:r w:rsidR="00F13207" w:rsidRPr="00F13207">
        <w:t xml:space="preserve"> shall enter into force on </w:t>
      </w:r>
      <w:r w:rsidR="006A2C87">
        <w:t>January</w:t>
      </w:r>
      <w:r w:rsidR="00F13207">
        <w:t xml:space="preserve"> </w:t>
      </w:r>
      <w:r w:rsidR="00F13207" w:rsidRPr="00F13207">
        <w:t>1, 202</w:t>
      </w:r>
      <w:r w:rsidR="006A2C87">
        <w:t>3</w:t>
      </w:r>
      <w:r w:rsidR="00F13207" w:rsidRPr="00F13207">
        <w:t xml:space="preserve">, and shall apply to a </w:t>
      </w:r>
      <w:r w:rsidR="00F13207">
        <w:t xml:space="preserve">request, declaration, certification or communication referred to in Rules 11.1, 11.2 and 11.3, which </w:t>
      </w:r>
      <w:r w:rsidR="006A2C87">
        <w:t>will be</w:t>
      </w:r>
      <w:r w:rsidR="00F13207">
        <w:t xml:space="preserve"> filed or submitted on or after that date.</w:t>
      </w:r>
    </w:p>
    <w:p w14:paraId="548A2EB7" w14:textId="5CB6B258" w:rsidR="001F4FB7" w:rsidRDefault="001719DE" w:rsidP="00221E3E">
      <w:pPr>
        <w:pStyle w:val="ONUME"/>
      </w:pPr>
      <w:r>
        <w:t>It should be noted that</w:t>
      </w:r>
      <w:r w:rsidR="00137F23">
        <w:t>,</w:t>
      </w:r>
      <w:r>
        <w:t xml:space="preserve"> </w:t>
      </w:r>
      <w:r w:rsidR="00ED2F9B">
        <w:t xml:space="preserve">in practice, </w:t>
      </w:r>
      <w:r w:rsidR="00137F23">
        <w:t xml:space="preserve">even </w:t>
      </w:r>
      <w:r w:rsidR="00ED2F9B">
        <w:t>if the IDA’s official language (or one of the official languages) is not English, they al</w:t>
      </w:r>
      <w:r w:rsidR="00BE7385" w:rsidRPr="00BE7385">
        <w:t xml:space="preserve">l accept </w:t>
      </w:r>
      <w:r w:rsidR="00BE7385">
        <w:t xml:space="preserve">English </w:t>
      </w:r>
      <w:r w:rsidR="00BE7385" w:rsidRPr="00BE7385">
        <w:t>as a working language or a communication language</w:t>
      </w:r>
      <w:r w:rsidR="00BE7385">
        <w:t xml:space="preserve">. </w:t>
      </w:r>
      <w:r w:rsidR="00ED2F9B">
        <w:t xml:space="preserve"> The International Bureau has not found any rec</w:t>
      </w:r>
      <w:r w:rsidR="00ED2F9B" w:rsidRPr="001423B7">
        <w:t>ord of requests for translation under Rule 11.4</w:t>
      </w:r>
      <w:r w:rsidR="00ED2F9B">
        <w:t>(a) or (b)</w:t>
      </w:r>
      <w:r w:rsidR="00ED2F9B" w:rsidRPr="001F4FB7">
        <w:t>.</w:t>
      </w:r>
      <w:r w:rsidR="00ED2F9B">
        <w:t xml:space="preserve">  </w:t>
      </w:r>
      <w:r w:rsidR="00BE7385">
        <w:t>Therefore</w:t>
      </w:r>
      <w:r w:rsidR="00BE7385" w:rsidRPr="00BE7385">
        <w:t xml:space="preserve">, </w:t>
      </w:r>
      <w:r w:rsidR="00BE7385">
        <w:t>i</w:t>
      </w:r>
      <w:r w:rsidR="001F4FB7" w:rsidRPr="001F4FB7">
        <w:t>t is not expected that the modification of Rule 11.4</w:t>
      </w:r>
      <w:r w:rsidR="00BE7385">
        <w:t>(a) and (b)</w:t>
      </w:r>
      <w:r w:rsidR="00717611">
        <w:t> </w:t>
      </w:r>
      <w:r w:rsidR="001F4FB7" w:rsidRPr="001F4FB7">
        <w:t>would have a significant impact on the translation workload</w:t>
      </w:r>
      <w:r w:rsidR="00BE7385">
        <w:t xml:space="preserve"> of the International Bureau</w:t>
      </w:r>
      <w:r w:rsidR="001F4FB7" w:rsidRPr="001F4FB7">
        <w:t>.</w:t>
      </w:r>
    </w:p>
    <w:p w14:paraId="542F1066" w14:textId="0C0CBF43" w:rsidR="001F4FB7" w:rsidRDefault="00C92A85" w:rsidP="00221E3E">
      <w:pPr>
        <w:pStyle w:val="ONUME"/>
      </w:pPr>
      <w:r w:rsidRPr="00C92A85">
        <w:t>With respect to other BP Forms, unless the Assembly decides otherwise, the International Bureau will also prepare them in six UN languages so that a consistent level of service for the depositors/requesters, IDAs and IPOs will be provided.</w:t>
      </w:r>
    </w:p>
    <w:p w14:paraId="023898D5" w14:textId="75411122" w:rsidR="00F93509" w:rsidRPr="00221E3E" w:rsidRDefault="001F4FB7" w:rsidP="00221E3E">
      <w:pPr>
        <w:pStyle w:val="ONUME"/>
        <w:ind w:left="5533"/>
        <w:rPr>
          <w:i/>
        </w:rPr>
      </w:pPr>
      <w:r w:rsidRPr="00221E3E">
        <w:rPr>
          <w:i/>
        </w:rPr>
        <w:t>The Assembly of the Budapest Union is invited to</w:t>
      </w:r>
      <w:r w:rsidR="00A421DA" w:rsidRPr="00221E3E">
        <w:rPr>
          <w:i/>
        </w:rPr>
        <w:t>:</w:t>
      </w:r>
      <w:r w:rsidR="00F93509" w:rsidRPr="00221E3E">
        <w:rPr>
          <w:i/>
        </w:rPr>
        <w:t xml:space="preserve">  </w:t>
      </w:r>
    </w:p>
    <w:p w14:paraId="617C0413" w14:textId="62D5EA95" w:rsidR="00104AEF" w:rsidRPr="001F32B8" w:rsidDel="00E71949" w:rsidRDefault="00104AEF" w:rsidP="0064296F">
      <w:pPr>
        <w:pStyle w:val="ONUME"/>
        <w:numPr>
          <w:ilvl w:val="0"/>
          <w:numId w:val="9"/>
        </w:numPr>
        <w:ind w:left="6300" w:firstLine="0"/>
        <w:rPr>
          <w:i/>
        </w:rPr>
      </w:pPr>
      <w:r w:rsidRPr="001F32B8" w:rsidDel="00E71949">
        <w:rPr>
          <w:i/>
        </w:rPr>
        <w:t>fix the contents of For</w:t>
      </w:r>
      <w:r w:rsidRPr="001F32B8">
        <w:rPr>
          <w:i/>
        </w:rPr>
        <w:t>m BP/12 as set out in paragraph </w:t>
      </w:r>
      <w:r w:rsidRPr="001F32B8" w:rsidDel="00E71949">
        <w:rPr>
          <w:i/>
        </w:rPr>
        <w:t>8</w:t>
      </w:r>
      <w:r w:rsidRPr="001F32B8">
        <w:rPr>
          <w:i/>
        </w:rPr>
        <w:t xml:space="preserve"> of document </w:t>
      </w:r>
      <w:r w:rsidRPr="001F32B8" w:rsidDel="00E71949">
        <w:rPr>
          <w:i/>
        </w:rPr>
        <w:t>BP/A/39/1;</w:t>
      </w:r>
    </w:p>
    <w:p w14:paraId="5DE90729" w14:textId="175F3F37" w:rsidR="00104AEF" w:rsidRPr="001F32B8" w:rsidDel="00E71949" w:rsidRDefault="00104AEF" w:rsidP="0064296F">
      <w:pPr>
        <w:pStyle w:val="ONUME"/>
        <w:numPr>
          <w:ilvl w:val="0"/>
          <w:numId w:val="9"/>
        </w:numPr>
        <w:ind w:left="6300" w:firstLine="0"/>
        <w:rPr>
          <w:i/>
        </w:rPr>
      </w:pPr>
      <w:r w:rsidRPr="001F32B8" w:rsidDel="00E71949">
        <w:rPr>
          <w:i/>
        </w:rPr>
        <w:t>take note of the contents of paragraph 9 of document BP/A/39/1</w:t>
      </w:r>
      <w:r w:rsidR="00CC3516">
        <w:rPr>
          <w:i/>
        </w:rPr>
        <w:t>;</w:t>
      </w:r>
    </w:p>
    <w:p w14:paraId="2986001A" w14:textId="77777777" w:rsidR="001E6377" w:rsidRDefault="001E6377">
      <w:pPr>
        <w:rPr>
          <w:i/>
          <w:iCs/>
        </w:rPr>
      </w:pPr>
      <w:r>
        <w:rPr>
          <w:i/>
          <w:iCs/>
        </w:rPr>
        <w:br w:type="page"/>
      </w:r>
    </w:p>
    <w:p w14:paraId="59C56D20" w14:textId="3AAD6845" w:rsidR="00F93509" w:rsidRDefault="001F32B8" w:rsidP="00221E3E">
      <w:pPr>
        <w:spacing w:after="220"/>
        <w:ind w:left="6300"/>
        <w:rPr>
          <w:i/>
          <w:iCs/>
        </w:rPr>
      </w:pPr>
      <w:r>
        <w:rPr>
          <w:i/>
          <w:iCs/>
        </w:rPr>
        <w:lastRenderedPageBreak/>
        <w:t>(iii)</w:t>
      </w:r>
      <w:r>
        <w:rPr>
          <w:i/>
          <w:iCs/>
        </w:rPr>
        <w:tab/>
      </w:r>
      <w:r w:rsidR="00A421DA">
        <w:rPr>
          <w:i/>
          <w:iCs/>
        </w:rPr>
        <w:t xml:space="preserve">designate </w:t>
      </w:r>
      <w:r w:rsidR="00F93509">
        <w:rPr>
          <w:i/>
          <w:iCs/>
        </w:rPr>
        <w:t xml:space="preserve">the languages of </w:t>
      </w:r>
      <w:r w:rsidR="007E3F04">
        <w:rPr>
          <w:i/>
          <w:iCs/>
        </w:rPr>
        <w:t xml:space="preserve">Forms BP/4, </w:t>
      </w:r>
      <w:r w:rsidR="0046458B">
        <w:rPr>
          <w:i/>
          <w:iCs/>
        </w:rPr>
        <w:t>BP/</w:t>
      </w:r>
      <w:r w:rsidR="007E3F04">
        <w:rPr>
          <w:i/>
          <w:iCs/>
        </w:rPr>
        <w:t xml:space="preserve">5, </w:t>
      </w:r>
      <w:r w:rsidR="0046458B">
        <w:rPr>
          <w:i/>
          <w:iCs/>
        </w:rPr>
        <w:t>BP/</w:t>
      </w:r>
      <w:r w:rsidR="007E3F04">
        <w:rPr>
          <w:i/>
          <w:iCs/>
        </w:rPr>
        <w:t xml:space="preserve">6 and </w:t>
      </w:r>
      <w:r w:rsidR="0046458B">
        <w:rPr>
          <w:i/>
          <w:iCs/>
        </w:rPr>
        <w:t>BP/</w:t>
      </w:r>
      <w:r w:rsidR="007E3F04">
        <w:rPr>
          <w:i/>
          <w:iCs/>
        </w:rPr>
        <w:t>9</w:t>
      </w:r>
      <w:r w:rsidR="00F93509">
        <w:rPr>
          <w:i/>
          <w:iCs/>
        </w:rPr>
        <w:t xml:space="preserve"> as set out in paragraph</w:t>
      </w:r>
      <w:r w:rsidR="00275801">
        <w:rPr>
          <w:i/>
          <w:iCs/>
        </w:rPr>
        <w:t> </w:t>
      </w:r>
      <w:r w:rsidR="00DC0A5B">
        <w:rPr>
          <w:i/>
          <w:iCs/>
        </w:rPr>
        <w:t>1</w:t>
      </w:r>
      <w:r w:rsidR="00104AEF">
        <w:rPr>
          <w:i/>
          <w:iCs/>
        </w:rPr>
        <w:t>1</w:t>
      </w:r>
      <w:r w:rsidR="00F93509">
        <w:rPr>
          <w:i/>
          <w:iCs/>
        </w:rPr>
        <w:t xml:space="preserve"> of document BP/A/39/1</w:t>
      </w:r>
      <w:r w:rsidR="007E3F04">
        <w:rPr>
          <w:i/>
          <w:iCs/>
        </w:rPr>
        <w:t>;</w:t>
      </w:r>
      <w:r w:rsidR="00F93509">
        <w:rPr>
          <w:i/>
          <w:iCs/>
        </w:rPr>
        <w:t xml:space="preserve">  and </w:t>
      </w:r>
    </w:p>
    <w:p w14:paraId="2C9504CE" w14:textId="42D35694" w:rsidR="001F4FB7" w:rsidRDefault="001F32B8" w:rsidP="00221E3E">
      <w:pPr>
        <w:spacing w:after="220"/>
        <w:ind w:left="6300"/>
        <w:rPr>
          <w:i/>
          <w:iCs/>
        </w:rPr>
      </w:pPr>
      <w:r>
        <w:rPr>
          <w:i/>
          <w:iCs/>
        </w:rPr>
        <w:t>(iv)</w:t>
      </w:r>
      <w:r>
        <w:rPr>
          <w:i/>
          <w:iCs/>
        </w:rPr>
        <w:tab/>
      </w:r>
      <w:r w:rsidR="001F4FB7" w:rsidRPr="001F4FB7">
        <w:rPr>
          <w:i/>
          <w:iCs/>
        </w:rPr>
        <w:t xml:space="preserve">adopt the proposed amendments </w:t>
      </w:r>
      <w:r w:rsidR="001F4FB7">
        <w:rPr>
          <w:i/>
          <w:iCs/>
        </w:rPr>
        <w:t>to the Regulations under the Bu</w:t>
      </w:r>
      <w:r w:rsidR="00140178">
        <w:rPr>
          <w:i/>
          <w:iCs/>
        </w:rPr>
        <w:t>dapest Treaty</w:t>
      </w:r>
      <w:r w:rsidR="00A421DA">
        <w:rPr>
          <w:i/>
          <w:iCs/>
        </w:rPr>
        <w:t xml:space="preserve"> as </w:t>
      </w:r>
      <w:r w:rsidR="00140178">
        <w:rPr>
          <w:i/>
          <w:iCs/>
        </w:rPr>
        <w:t>set out in Annex</w:t>
      </w:r>
      <w:r w:rsidR="0006647A">
        <w:rPr>
          <w:i/>
          <w:iCs/>
        </w:rPr>
        <w:t xml:space="preserve"> II</w:t>
      </w:r>
      <w:r w:rsidR="001F4FB7">
        <w:rPr>
          <w:i/>
          <w:iCs/>
        </w:rPr>
        <w:t xml:space="preserve"> with an</w:t>
      </w:r>
      <w:r w:rsidR="001F4FB7" w:rsidRPr="001F4FB7">
        <w:rPr>
          <w:i/>
          <w:iCs/>
        </w:rPr>
        <w:t xml:space="preserve"> entry into force </w:t>
      </w:r>
      <w:r w:rsidR="007846DC">
        <w:rPr>
          <w:i/>
          <w:iCs/>
        </w:rPr>
        <w:t>on</w:t>
      </w:r>
      <w:r w:rsidR="001F416C">
        <w:rPr>
          <w:i/>
          <w:iCs/>
        </w:rPr>
        <w:t xml:space="preserve"> January 1, 2023.</w:t>
      </w:r>
    </w:p>
    <w:p w14:paraId="4953B1C8" w14:textId="77777777" w:rsidR="001F416C" w:rsidRPr="001F4FB7" w:rsidRDefault="001F416C" w:rsidP="001F416C">
      <w:pPr>
        <w:ind w:left="5040"/>
      </w:pPr>
    </w:p>
    <w:p w14:paraId="5C2636E9" w14:textId="422604AE" w:rsidR="008D1B7A" w:rsidRDefault="00E91591" w:rsidP="00221E3E">
      <w:pPr>
        <w:spacing w:after="220"/>
        <w:ind w:left="5533"/>
      </w:pPr>
      <w:r>
        <w:t>[Annex</w:t>
      </w:r>
      <w:r w:rsidR="004E0330">
        <w:t>es</w:t>
      </w:r>
      <w:r>
        <w:t xml:space="preserve"> follow]</w:t>
      </w:r>
    </w:p>
    <w:p w14:paraId="4342F3F4" w14:textId="5DE18A40" w:rsidR="009C044B" w:rsidRDefault="009C044B" w:rsidP="005F089D">
      <w:pPr>
        <w:spacing w:after="220"/>
      </w:pPr>
    </w:p>
    <w:p w14:paraId="1F2EB4F9" w14:textId="77777777" w:rsidR="00E91591" w:rsidRDefault="00E91591" w:rsidP="005F089D">
      <w:pPr>
        <w:spacing w:after="220"/>
        <w:sectPr w:rsidR="00E91591" w:rsidSect="00D616B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2D6EC3A" w14:textId="5B77D4E1" w:rsidR="008D1B7A" w:rsidRDefault="008D1B7A" w:rsidP="005F089D">
      <w:pPr>
        <w:spacing w:after="220"/>
      </w:pPr>
    </w:p>
    <w:p w14:paraId="09722964" w14:textId="77777777" w:rsidR="00771FAB" w:rsidRPr="00771FAB" w:rsidRDefault="00771FAB" w:rsidP="00771FAB">
      <w:pPr>
        <w:spacing w:after="220"/>
        <w:jc w:val="center"/>
        <w:rPr>
          <w:bCs/>
          <w:caps/>
        </w:rPr>
      </w:pPr>
      <w:r w:rsidRPr="00771FAB">
        <w:rPr>
          <w:bCs/>
          <w:caps/>
        </w:rPr>
        <w:t>Forms under the Budapest Treaty and Regulations</w:t>
      </w:r>
    </w:p>
    <w:p w14:paraId="5C116AF6" w14:textId="77777777" w:rsidR="00771FAB" w:rsidRDefault="00771FAB" w:rsidP="00771FAB">
      <w:pPr>
        <w:spacing w:after="220"/>
      </w:pPr>
    </w:p>
    <w:p w14:paraId="5D0C929F" w14:textId="77EEDECF" w:rsidR="00771FAB" w:rsidRDefault="00771FAB" w:rsidP="00771FAB">
      <w:pPr>
        <w:spacing w:after="220"/>
      </w:pPr>
      <w:r>
        <w:t>1.</w:t>
      </w:r>
      <w:r>
        <w:tab/>
        <w:t>BP/1</w:t>
      </w:r>
      <w:r w:rsidR="00AA33C3">
        <w:t>:</w:t>
      </w:r>
      <w:r>
        <w:t xml:space="preserve"> </w:t>
      </w:r>
      <w:r w:rsidR="00AA33C3">
        <w:t xml:space="preserve"> </w:t>
      </w:r>
      <w:r>
        <w:t>Statement in the case of an original deposit (Rule 6.1)</w:t>
      </w:r>
    </w:p>
    <w:p w14:paraId="4661D7F8" w14:textId="427570C4" w:rsidR="00771FAB" w:rsidRDefault="00771FAB" w:rsidP="00771FAB">
      <w:pPr>
        <w:spacing w:after="220"/>
        <w:ind w:left="540" w:hanging="540"/>
      </w:pPr>
      <w:r>
        <w:t>2.</w:t>
      </w:r>
      <w:r>
        <w:tab/>
        <w:t>BP/2</w:t>
      </w:r>
      <w:r w:rsidR="00AA33C3">
        <w:t>:</w:t>
      </w:r>
      <w:r>
        <w:t xml:space="preserve"> </w:t>
      </w:r>
      <w:r w:rsidR="00AA33C3">
        <w:t xml:space="preserve"> </w:t>
      </w:r>
      <w:r w:rsidRPr="007F510B">
        <w:t>Statement in the Case of a New Deposit with the Same Int</w:t>
      </w:r>
      <w:r>
        <w:t xml:space="preserve">ernational Depositary Authority </w:t>
      </w:r>
      <w:r w:rsidRPr="00CE3CB4">
        <w:t>(Rule 6.2)</w:t>
      </w:r>
    </w:p>
    <w:p w14:paraId="32A728C0" w14:textId="3A6B0784" w:rsidR="00771FAB" w:rsidRDefault="00771FAB" w:rsidP="00771FAB">
      <w:pPr>
        <w:spacing w:after="220"/>
        <w:ind w:left="540" w:hanging="540"/>
      </w:pPr>
      <w:r>
        <w:t>3.</w:t>
      </w:r>
      <w:r>
        <w:tab/>
        <w:t>BP/3</w:t>
      </w:r>
      <w:r w:rsidR="00AA33C3">
        <w:t xml:space="preserve">: </w:t>
      </w:r>
      <w:r>
        <w:t xml:space="preserve"> </w:t>
      </w:r>
      <w:r w:rsidRPr="007F510B">
        <w:t>Statement in the Case of a New Deposit with Another International Depositary Authority</w:t>
      </w:r>
      <w:r>
        <w:t xml:space="preserve"> </w:t>
      </w:r>
      <w:r w:rsidRPr="00CE3CB4">
        <w:t>(Rule 6.2)</w:t>
      </w:r>
    </w:p>
    <w:p w14:paraId="51D3178E" w14:textId="58CBE650" w:rsidR="00771FAB" w:rsidRDefault="00771FAB" w:rsidP="00771FAB">
      <w:pPr>
        <w:spacing w:after="220"/>
      </w:pPr>
      <w:r>
        <w:t>4.</w:t>
      </w:r>
      <w:r>
        <w:tab/>
        <w:t>BP/4</w:t>
      </w:r>
      <w:r w:rsidR="00AA33C3">
        <w:t xml:space="preserve">: </w:t>
      </w:r>
      <w:r>
        <w:t xml:space="preserve"> </w:t>
      </w:r>
      <w:r w:rsidRPr="007F510B">
        <w:t>Receipt in the Case of an Original Deposit</w:t>
      </w:r>
      <w:r>
        <w:t xml:space="preserve"> </w:t>
      </w:r>
      <w:r w:rsidRPr="00CE3CB4">
        <w:t>(Rule 7.1)</w:t>
      </w:r>
    </w:p>
    <w:p w14:paraId="2A3B7934" w14:textId="70EEAF43" w:rsidR="00771FAB" w:rsidRDefault="00771FAB" w:rsidP="00771FAB">
      <w:pPr>
        <w:spacing w:after="220"/>
      </w:pPr>
      <w:r>
        <w:t>5.</w:t>
      </w:r>
      <w:r>
        <w:tab/>
        <w:t>BP/5</w:t>
      </w:r>
      <w:r w:rsidR="00AA33C3">
        <w:t xml:space="preserve">: </w:t>
      </w:r>
      <w:r>
        <w:t xml:space="preserve"> </w:t>
      </w:r>
      <w:r w:rsidRPr="007F510B">
        <w:t>Receipt in the Case of a New Deposit</w:t>
      </w:r>
      <w:r>
        <w:t xml:space="preserve"> </w:t>
      </w:r>
      <w:r w:rsidRPr="00CE3CB4">
        <w:t>(Rule 7.1)</w:t>
      </w:r>
    </w:p>
    <w:p w14:paraId="46A598D5" w14:textId="3C56161E" w:rsidR="00771FAB" w:rsidRDefault="00771FAB" w:rsidP="00771FAB">
      <w:pPr>
        <w:spacing w:after="220"/>
      </w:pPr>
      <w:r>
        <w:t>6.</w:t>
      </w:r>
      <w:r>
        <w:tab/>
        <w:t>BP/6</w:t>
      </w:r>
      <w:r w:rsidR="00AA33C3">
        <w:t xml:space="preserve">: </w:t>
      </w:r>
      <w:r>
        <w:t xml:space="preserve"> </w:t>
      </w:r>
      <w:r w:rsidRPr="007F510B">
        <w:t>Receipt in the Case of a Transfer</w:t>
      </w:r>
      <w:r>
        <w:t xml:space="preserve"> </w:t>
      </w:r>
      <w:r w:rsidRPr="00CE3CB4">
        <w:t>(Rule 7.1</w:t>
      </w:r>
      <w:r>
        <w:t>)</w:t>
      </w:r>
    </w:p>
    <w:p w14:paraId="59E4EE28" w14:textId="14E08213" w:rsidR="00771FAB" w:rsidRDefault="00771FAB" w:rsidP="00771FAB">
      <w:pPr>
        <w:spacing w:after="220"/>
        <w:ind w:left="540" w:hanging="540"/>
      </w:pPr>
      <w:r>
        <w:t>7.</w:t>
      </w:r>
      <w:r>
        <w:tab/>
        <w:t>BP/7</w:t>
      </w:r>
      <w:r w:rsidR="00AA33C3">
        <w:t xml:space="preserve">: </w:t>
      </w:r>
      <w:r>
        <w:t xml:space="preserve"> </w:t>
      </w:r>
      <w:r w:rsidRPr="007F510B">
        <w:t>Communication of the Later Indication or an Amendment of the Scientific Description and/or Proposed Taxonomic Designation</w:t>
      </w:r>
      <w:r>
        <w:t xml:space="preserve"> </w:t>
      </w:r>
      <w:r w:rsidRPr="00CE3CB4">
        <w:t>(Rule 8.1)</w:t>
      </w:r>
    </w:p>
    <w:p w14:paraId="3E915903" w14:textId="637450AC" w:rsidR="00771FAB" w:rsidRDefault="00771FAB" w:rsidP="00771FAB">
      <w:pPr>
        <w:spacing w:after="220"/>
        <w:ind w:left="540" w:hanging="540"/>
      </w:pPr>
      <w:r>
        <w:t>8.</w:t>
      </w:r>
      <w:r>
        <w:tab/>
        <w:t>BP/8</w:t>
      </w:r>
      <w:r w:rsidR="00AA33C3">
        <w:t xml:space="preserve">: </w:t>
      </w:r>
      <w:r>
        <w:t xml:space="preserve"> </w:t>
      </w:r>
      <w:r w:rsidRPr="007F510B">
        <w:t>Attestation Concerning the Later Indication or an Amendment of the Scientific Description and/or Proposed Taxonomic Designation</w:t>
      </w:r>
      <w:r>
        <w:t xml:space="preserve"> </w:t>
      </w:r>
      <w:r w:rsidRPr="00CE3CB4">
        <w:t>(Rule 8.2)</w:t>
      </w:r>
    </w:p>
    <w:p w14:paraId="691091D1" w14:textId="33FF12D6" w:rsidR="00771FAB" w:rsidRDefault="00771FAB" w:rsidP="00771FAB">
      <w:pPr>
        <w:spacing w:after="220"/>
      </w:pPr>
      <w:r>
        <w:t>9.</w:t>
      </w:r>
      <w:r>
        <w:tab/>
        <w:t>BP/9</w:t>
      </w:r>
      <w:r w:rsidR="00AA33C3">
        <w:t xml:space="preserve">: </w:t>
      </w:r>
      <w:r>
        <w:t xml:space="preserve"> Viability Statement </w:t>
      </w:r>
      <w:r w:rsidRPr="00CE3CB4">
        <w:t>(Rule 10.2)</w:t>
      </w:r>
    </w:p>
    <w:p w14:paraId="3BB6F4F0" w14:textId="79509152" w:rsidR="00771FAB" w:rsidRDefault="00771FAB" w:rsidP="00771FAB">
      <w:pPr>
        <w:spacing w:after="220"/>
      </w:pPr>
      <w:r>
        <w:t>10.</w:t>
      </w:r>
      <w:r>
        <w:tab/>
        <w:t>BP/10</w:t>
      </w:r>
      <w:r w:rsidR="00AA33C3">
        <w:t xml:space="preserve">: </w:t>
      </w:r>
      <w:r>
        <w:t xml:space="preserve"> </w:t>
      </w:r>
      <w:r w:rsidRPr="007F510B">
        <w:t>Request for the Furnishing of Samples of Deposited Microorganisms</w:t>
      </w:r>
      <w:r>
        <w:t xml:space="preserve"> </w:t>
      </w:r>
      <w:r w:rsidRPr="00CE3CB4">
        <w:t>(Rule 11.1)</w:t>
      </w:r>
    </w:p>
    <w:p w14:paraId="74DF783F" w14:textId="4BAC97B0" w:rsidR="00771FAB" w:rsidRDefault="00771FAB" w:rsidP="00AA33C3">
      <w:pPr>
        <w:spacing w:after="220"/>
        <w:ind w:left="540" w:hanging="540"/>
      </w:pPr>
      <w:r>
        <w:t>11.</w:t>
      </w:r>
      <w:r>
        <w:tab/>
        <w:t>BP/11</w:t>
      </w:r>
      <w:r w:rsidR="00AA33C3">
        <w:t xml:space="preserve">: </w:t>
      </w:r>
      <w:r>
        <w:t xml:space="preserve"> </w:t>
      </w:r>
      <w:r w:rsidRPr="00CE3CB4">
        <w:t>Request for the Furnishing of Samples of Deposited Microorganisms</w:t>
      </w:r>
      <w:r>
        <w:t xml:space="preserve"> (</w:t>
      </w:r>
      <w:r w:rsidRPr="00CE3CB4">
        <w:t>Rule</w:t>
      </w:r>
      <w:r w:rsidR="00AA33C3">
        <w:t> </w:t>
      </w:r>
      <w:r w:rsidRPr="00CE3CB4">
        <w:t>11.2(ii))</w:t>
      </w:r>
    </w:p>
    <w:p w14:paraId="3C14F9A8" w14:textId="7A3B3FF6" w:rsidR="00771FAB" w:rsidRDefault="00771FAB" w:rsidP="00771FAB">
      <w:pPr>
        <w:spacing w:after="220"/>
        <w:ind w:left="540" w:hanging="540"/>
      </w:pPr>
      <w:r>
        <w:t>12.</w:t>
      </w:r>
      <w:r>
        <w:tab/>
        <w:t>BP/12</w:t>
      </w:r>
      <w:r w:rsidR="00AA33C3">
        <w:t xml:space="preserve">: </w:t>
      </w:r>
      <w:r>
        <w:t xml:space="preserve"> </w:t>
      </w:r>
      <w:r w:rsidRPr="004E0330">
        <w:t>Request for the Furnishing of Samples of Deposited Microorganisms</w:t>
      </w:r>
      <w:r>
        <w:t xml:space="preserve"> (</w:t>
      </w:r>
      <w:r w:rsidRPr="004E0330">
        <w:t>Rule</w:t>
      </w:r>
      <w:r>
        <w:t> </w:t>
      </w:r>
      <w:r w:rsidRPr="004E0330">
        <w:t>11.3(a))</w:t>
      </w:r>
    </w:p>
    <w:p w14:paraId="0BBA63BF" w14:textId="4A30A7B6" w:rsidR="00771FAB" w:rsidRDefault="00771FAB" w:rsidP="00AA33C3">
      <w:pPr>
        <w:spacing w:after="220"/>
        <w:ind w:left="540" w:hanging="540"/>
      </w:pPr>
      <w:r>
        <w:t>13.</w:t>
      </w:r>
      <w:r>
        <w:tab/>
        <w:t>BP/13</w:t>
      </w:r>
      <w:r w:rsidR="00AA33C3">
        <w:t xml:space="preserve">: </w:t>
      </w:r>
      <w:r>
        <w:t xml:space="preserve"> </w:t>
      </w:r>
      <w:r w:rsidRPr="004E0330">
        <w:t>Request for the Furnishing of Samples of Deposited Microorganisms</w:t>
      </w:r>
      <w:r>
        <w:t xml:space="preserve"> (</w:t>
      </w:r>
      <w:r w:rsidRPr="004E0330">
        <w:t>Rule</w:t>
      </w:r>
      <w:r w:rsidR="00AA33C3">
        <w:t> </w:t>
      </w:r>
      <w:r w:rsidRPr="004E0330">
        <w:t>11.3(b))</w:t>
      </w:r>
    </w:p>
    <w:p w14:paraId="08915555" w14:textId="70E0FBA4" w:rsidR="00771FAB" w:rsidRDefault="00771FAB" w:rsidP="00771FAB">
      <w:pPr>
        <w:spacing w:after="220"/>
        <w:ind w:left="540" w:hanging="540"/>
      </w:pPr>
      <w:r>
        <w:t>14.</w:t>
      </w:r>
      <w:r>
        <w:tab/>
        <w:t>BP/14</w:t>
      </w:r>
      <w:r w:rsidR="00AA33C3">
        <w:t xml:space="preserve">: </w:t>
      </w:r>
      <w:r>
        <w:t xml:space="preserve"> </w:t>
      </w:r>
      <w:r w:rsidRPr="004E0330">
        <w:t>Notification of the Furnishing of Samples of Deposited Microorganisms (Rule</w:t>
      </w:r>
      <w:r>
        <w:t> </w:t>
      </w:r>
      <w:r w:rsidRPr="004E0330">
        <w:t>11.4(g))</w:t>
      </w:r>
    </w:p>
    <w:p w14:paraId="0222B3CD" w14:textId="248D14A2" w:rsidR="00AA33C3" w:rsidRDefault="00AA33C3" w:rsidP="00771FAB">
      <w:pPr>
        <w:spacing w:after="220"/>
        <w:ind w:left="540" w:hanging="540"/>
      </w:pPr>
    </w:p>
    <w:p w14:paraId="1AE38409" w14:textId="37CC2F4E" w:rsidR="00AA33C3" w:rsidRDefault="00AA33C3" w:rsidP="00CE6A96">
      <w:pPr>
        <w:spacing w:after="220"/>
        <w:ind w:left="5533"/>
      </w:pPr>
      <w:r>
        <w:t>[Annex II follows]</w:t>
      </w:r>
    </w:p>
    <w:p w14:paraId="535D4CB6" w14:textId="77777777" w:rsidR="00AA33C3" w:rsidRDefault="00AA33C3" w:rsidP="00AA33C3">
      <w:pPr>
        <w:spacing w:after="220"/>
        <w:ind w:left="5040"/>
      </w:pPr>
    </w:p>
    <w:p w14:paraId="3EED0A16" w14:textId="77777777" w:rsidR="00771FAB" w:rsidRDefault="00771FAB" w:rsidP="00231B03">
      <w:pPr>
        <w:spacing w:after="220"/>
        <w:jc w:val="center"/>
        <w:rPr>
          <w:szCs w:val="22"/>
        </w:rPr>
      </w:pPr>
    </w:p>
    <w:p w14:paraId="53A85240" w14:textId="4069E171" w:rsidR="004E0330" w:rsidRDefault="004E0330">
      <w:pPr>
        <w:rPr>
          <w:i/>
        </w:rPr>
      </w:pPr>
      <w:r>
        <w:rPr>
          <w:i/>
        </w:rPr>
        <w:br w:type="page"/>
      </w:r>
    </w:p>
    <w:p w14:paraId="228AC8D5" w14:textId="77777777" w:rsidR="004E0330" w:rsidRDefault="004E0330" w:rsidP="004E0330">
      <w:pPr>
        <w:spacing w:after="220"/>
      </w:pPr>
    </w:p>
    <w:p w14:paraId="54AD2355" w14:textId="181ADB72" w:rsidR="00771FAB" w:rsidRDefault="00771FAB" w:rsidP="00771FAB">
      <w:pPr>
        <w:spacing w:after="220"/>
        <w:jc w:val="center"/>
        <w:rPr>
          <w:szCs w:val="22"/>
        </w:rPr>
      </w:pPr>
      <w:r>
        <w:rPr>
          <w:szCs w:val="22"/>
        </w:rPr>
        <w:t xml:space="preserve">PROPOSED AMENDMENTS TO THE </w:t>
      </w:r>
      <w:r w:rsidR="0006647A">
        <w:rPr>
          <w:szCs w:val="22"/>
        </w:rPr>
        <w:t>REGULATIONS UNDER THE BUDAPEST TREATY</w:t>
      </w:r>
      <w:r>
        <w:rPr>
          <w:rStyle w:val="FootnoteReference"/>
          <w:szCs w:val="22"/>
        </w:rPr>
        <w:footnoteReference w:id="6"/>
      </w:r>
    </w:p>
    <w:p w14:paraId="11314674" w14:textId="77777777" w:rsidR="00771FAB" w:rsidRDefault="00771FAB" w:rsidP="00771FAB">
      <w:pPr>
        <w:spacing w:after="220"/>
        <w:jc w:val="center"/>
        <w:rPr>
          <w:szCs w:val="22"/>
        </w:rPr>
      </w:pPr>
    </w:p>
    <w:p w14:paraId="2A688A10" w14:textId="77777777" w:rsidR="00771FAB" w:rsidRDefault="00771FAB" w:rsidP="00771FAB">
      <w:pPr>
        <w:spacing w:after="220"/>
        <w:jc w:val="center"/>
        <w:rPr>
          <w:b/>
        </w:rPr>
      </w:pPr>
      <w:r w:rsidRPr="008D1B7A">
        <w:rPr>
          <w:b/>
        </w:rPr>
        <w:t>Rule 11</w:t>
      </w:r>
    </w:p>
    <w:p w14:paraId="07854AF4" w14:textId="77777777" w:rsidR="00771FAB" w:rsidRDefault="00771FAB" w:rsidP="00771FAB">
      <w:pPr>
        <w:spacing w:after="220"/>
        <w:jc w:val="center"/>
        <w:rPr>
          <w:b/>
        </w:rPr>
      </w:pPr>
      <w:r>
        <w:rPr>
          <w:b/>
        </w:rPr>
        <w:t>Furnishing of Samples</w:t>
      </w:r>
    </w:p>
    <w:p w14:paraId="1F991C87" w14:textId="77777777" w:rsidR="00771FAB" w:rsidRPr="001F416C" w:rsidRDefault="00771FAB" w:rsidP="00771FAB">
      <w:pPr>
        <w:spacing w:after="220"/>
      </w:pPr>
      <w:r>
        <w:t>11</w:t>
      </w:r>
      <w:r w:rsidRPr="001F416C">
        <w:t xml:space="preserve">.4 </w:t>
      </w:r>
      <w:r>
        <w:tab/>
      </w:r>
      <w:r w:rsidRPr="001F416C">
        <w:rPr>
          <w:i/>
        </w:rPr>
        <w:t>Common Rules</w:t>
      </w:r>
    </w:p>
    <w:p w14:paraId="4FE82F20" w14:textId="77777777" w:rsidR="00771FAB" w:rsidRDefault="00771FAB" w:rsidP="00771FAB">
      <w:pPr>
        <w:spacing w:after="220"/>
      </w:pPr>
      <w:r>
        <w:tab/>
      </w:r>
      <w:r w:rsidRPr="008D1B7A">
        <w:t>(a)</w:t>
      </w:r>
      <w:r>
        <w:t xml:space="preserve">  </w:t>
      </w:r>
      <w:r w:rsidRPr="008D1B7A">
        <w:t xml:space="preserve">Any request, declaration, certification or communication referred to in Rules 11.1, 11.2 and 11.3 shall be </w:t>
      </w:r>
    </w:p>
    <w:p w14:paraId="1964AE6D" w14:textId="77777777" w:rsidR="00771FAB" w:rsidRDefault="00771FAB" w:rsidP="00771FAB">
      <w:pPr>
        <w:spacing w:after="220"/>
        <w:ind w:firstLine="900"/>
      </w:pPr>
      <w:r w:rsidRPr="008D1B7A">
        <w:t>(i)</w:t>
      </w:r>
      <w:r>
        <w:t xml:space="preserve">  </w:t>
      </w:r>
      <w:r w:rsidRPr="008D1B7A">
        <w:t xml:space="preserve">in </w:t>
      </w:r>
      <w:r w:rsidRPr="00231B03">
        <w:rPr>
          <w:color w:val="0070C0"/>
          <w:u w:val="single"/>
        </w:rPr>
        <w:t>Arabic, Chinese,</w:t>
      </w:r>
      <w:r w:rsidRPr="00231B03">
        <w:rPr>
          <w:color w:val="0070C0"/>
        </w:rPr>
        <w:t xml:space="preserve"> </w:t>
      </w:r>
      <w:r w:rsidRPr="008D1B7A">
        <w:t xml:space="preserve">English, French, Russian or Spanish where it is addressed to an international depositary authority whose official language is or whose official languages include </w:t>
      </w:r>
      <w:r w:rsidRPr="002B1078">
        <w:rPr>
          <w:color w:val="0070C0"/>
          <w:u w:val="single"/>
        </w:rPr>
        <w:t>Arabic, Chinese,</w:t>
      </w:r>
      <w:r w:rsidRPr="001F416C">
        <w:t xml:space="preserve"> </w:t>
      </w:r>
      <w:r w:rsidRPr="008D1B7A">
        <w:t xml:space="preserve">English, French, Russian or Spanish, respectively, provided that, where it must be in </w:t>
      </w:r>
      <w:r w:rsidRPr="00231B03">
        <w:rPr>
          <w:color w:val="0070C0"/>
          <w:u w:val="single"/>
        </w:rPr>
        <w:t>Arabic, Chinese,</w:t>
      </w:r>
      <w:r w:rsidRPr="00231B03">
        <w:rPr>
          <w:color w:val="0070C0"/>
        </w:rPr>
        <w:t xml:space="preserve"> </w:t>
      </w:r>
      <w:r w:rsidRPr="001F416C">
        <w:t xml:space="preserve">Russian </w:t>
      </w:r>
      <w:r w:rsidRPr="008D1B7A">
        <w:t xml:space="preserve">or Spanish, it may be instead filed in English or French and, if it is so filed, the International Bureau shall, on the request of the interested party referred to in the said Rules or the international depositary authority, establish, promptly and free of charge, a certified translation into </w:t>
      </w:r>
      <w:r w:rsidRPr="00231B03">
        <w:rPr>
          <w:color w:val="0070C0"/>
          <w:u w:val="single"/>
        </w:rPr>
        <w:t>Arabic, Chinese,</w:t>
      </w:r>
      <w:r w:rsidRPr="008D1B7A">
        <w:t xml:space="preserve"> Russian or Spanish;</w:t>
      </w:r>
    </w:p>
    <w:p w14:paraId="4684503B" w14:textId="77777777" w:rsidR="00771FAB" w:rsidRDefault="00771FAB" w:rsidP="00771FAB">
      <w:pPr>
        <w:spacing w:after="220"/>
        <w:ind w:firstLine="900"/>
      </w:pPr>
      <w:r>
        <w:t xml:space="preserve">(ii)  </w:t>
      </w:r>
      <w:r w:rsidRPr="008D1B7A">
        <w:t xml:space="preserve">in all other cases, it shall be in English or French, provided that it may be, instead, in the official language or one of the official languages of the international depositary authority. </w:t>
      </w:r>
    </w:p>
    <w:p w14:paraId="5D06CFF5" w14:textId="77777777" w:rsidR="00771FAB" w:rsidRPr="008D1B7A" w:rsidRDefault="00771FAB" w:rsidP="00771FAB">
      <w:pPr>
        <w:spacing w:after="220"/>
        <w:ind w:firstLine="567"/>
      </w:pPr>
      <w:r>
        <w:t xml:space="preserve">(b)  </w:t>
      </w:r>
      <w:r w:rsidRPr="008D1B7A">
        <w:t xml:space="preserve">Notwithstanding paragraph (a), where the request referred to in Rule 11.1 is made by an industrial property office whose official language </w:t>
      </w:r>
      <w:r w:rsidRPr="00231B03">
        <w:t xml:space="preserve">is </w:t>
      </w:r>
      <w:r w:rsidRPr="002B1078">
        <w:rPr>
          <w:color w:val="0070C0"/>
          <w:u w:val="single"/>
        </w:rPr>
        <w:t>Arabic, Chinese,</w:t>
      </w:r>
      <w:r w:rsidRPr="002B1078">
        <w:rPr>
          <w:color w:val="0070C0"/>
        </w:rPr>
        <w:t xml:space="preserve"> </w:t>
      </w:r>
      <w:r w:rsidRPr="008D1B7A">
        <w:t xml:space="preserve">Russian or Spanish, the said request may be in </w:t>
      </w:r>
      <w:r w:rsidRPr="00231B03">
        <w:rPr>
          <w:color w:val="0070C0"/>
          <w:u w:val="single"/>
        </w:rPr>
        <w:t>Arabic, Chinese,</w:t>
      </w:r>
      <w:r w:rsidRPr="00231B03">
        <w:t xml:space="preserve"> </w:t>
      </w:r>
      <w:r w:rsidRPr="008D1B7A">
        <w:t>Russian or Spanish, respectively, and the International Bureau shall establish, promptly and free of charge, a certified translation into English or French, on the request of that office or the international depositary authority which received the said request.”</w:t>
      </w:r>
    </w:p>
    <w:p w14:paraId="6964D2C0" w14:textId="77777777" w:rsidR="00771FAB" w:rsidRDefault="00771FAB" w:rsidP="00771FAB">
      <w:pPr>
        <w:spacing w:after="220"/>
        <w:rPr>
          <w:i/>
        </w:rPr>
      </w:pPr>
      <w:r>
        <w:tab/>
        <w:t xml:space="preserve">(c) to (h)  </w:t>
      </w:r>
      <w:r w:rsidRPr="009C044B">
        <w:rPr>
          <w:i/>
        </w:rPr>
        <w:t>[No change]</w:t>
      </w:r>
    </w:p>
    <w:p w14:paraId="4E31F237" w14:textId="77777777" w:rsidR="00771FAB" w:rsidRDefault="00771FAB" w:rsidP="00771FAB">
      <w:pPr>
        <w:spacing w:after="220"/>
        <w:jc w:val="center"/>
        <w:rPr>
          <w:bCs/>
          <w:caps/>
        </w:rPr>
      </w:pPr>
    </w:p>
    <w:p w14:paraId="711AAC79" w14:textId="2BF192D7" w:rsidR="00292EDB" w:rsidRDefault="00292EDB" w:rsidP="00CE6A96">
      <w:pPr>
        <w:spacing w:after="220"/>
        <w:ind w:left="5533"/>
      </w:pPr>
      <w:r>
        <w:t>[End of Annex</w:t>
      </w:r>
      <w:r w:rsidR="001E6377">
        <w:t xml:space="preserve"> II</w:t>
      </w:r>
      <w:r>
        <w:t xml:space="preserve"> and of document] </w:t>
      </w:r>
    </w:p>
    <w:sectPr w:rsidR="00292EDB" w:rsidSect="00ED5075">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6CA9" w14:textId="77777777" w:rsidR="00ED5075" w:rsidRDefault="00ED5075">
      <w:r>
        <w:separator/>
      </w:r>
    </w:p>
  </w:endnote>
  <w:endnote w:type="continuationSeparator" w:id="0">
    <w:p w14:paraId="65E5BF97" w14:textId="77777777" w:rsidR="00ED5075" w:rsidRDefault="00ED5075" w:rsidP="003B38C1">
      <w:r>
        <w:separator/>
      </w:r>
    </w:p>
    <w:p w14:paraId="39F3E663" w14:textId="77777777" w:rsidR="00ED5075" w:rsidRPr="003B38C1" w:rsidRDefault="00ED5075" w:rsidP="003B38C1">
      <w:pPr>
        <w:spacing w:after="60"/>
        <w:rPr>
          <w:sz w:val="17"/>
        </w:rPr>
      </w:pPr>
      <w:r>
        <w:rPr>
          <w:sz w:val="17"/>
        </w:rPr>
        <w:t>[Endnote continued from previous page]</w:t>
      </w:r>
    </w:p>
  </w:endnote>
  <w:endnote w:type="continuationNotice" w:id="1">
    <w:p w14:paraId="3AB002F3" w14:textId="77777777" w:rsidR="00ED5075" w:rsidRPr="003B38C1" w:rsidRDefault="00ED50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0825" w14:textId="77777777" w:rsidR="009E1224" w:rsidRDefault="009E1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2E2D" w14:textId="77777777" w:rsidR="009E1224" w:rsidRDefault="009E1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2700" w14:textId="77777777" w:rsidR="009E1224" w:rsidRDefault="009E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46D4" w14:textId="77777777" w:rsidR="00ED5075" w:rsidRDefault="00ED5075">
      <w:r>
        <w:separator/>
      </w:r>
    </w:p>
  </w:footnote>
  <w:footnote w:type="continuationSeparator" w:id="0">
    <w:p w14:paraId="54E6E532" w14:textId="77777777" w:rsidR="00ED5075" w:rsidRDefault="00ED5075" w:rsidP="008B60B2">
      <w:r>
        <w:separator/>
      </w:r>
    </w:p>
    <w:p w14:paraId="38F39B5C" w14:textId="77777777" w:rsidR="00ED5075" w:rsidRPr="00ED77FB" w:rsidRDefault="00ED5075" w:rsidP="008B60B2">
      <w:pPr>
        <w:spacing w:after="60"/>
        <w:rPr>
          <w:sz w:val="17"/>
          <w:szCs w:val="17"/>
        </w:rPr>
      </w:pPr>
      <w:r w:rsidRPr="00ED77FB">
        <w:rPr>
          <w:sz w:val="17"/>
          <w:szCs w:val="17"/>
        </w:rPr>
        <w:t>[Footnote continued from previous page]</w:t>
      </w:r>
    </w:p>
  </w:footnote>
  <w:footnote w:type="continuationNotice" w:id="1">
    <w:p w14:paraId="1F5332E0" w14:textId="77777777" w:rsidR="00ED5075" w:rsidRPr="00ED77FB" w:rsidRDefault="00ED5075" w:rsidP="008B60B2">
      <w:pPr>
        <w:spacing w:before="60"/>
        <w:jc w:val="right"/>
        <w:rPr>
          <w:sz w:val="17"/>
          <w:szCs w:val="17"/>
        </w:rPr>
      </w:pPr>
      <w:r w:rsidRPr="00ED77FB">
        <w:rPr>
          <w:sz w:val="17"/>
          <w:szCs w:val="17"/>
        </w:rPr>
        <w:t>[Footnote continued on next page]</w:t>
      </w:r>
    </w:p>
  </w:footnote>
  <w:footnote w:id="2">
    <w:p w14:paraId="59A91599" w14:textId="10B144E8" w:rsidR="00004CBA" w:rsidRDefault="00004CBA" w:rsidP="00004CBA">
      <w:pPr>
        <w:pStyle w:val="FootnoteText"/>
      </w:pPr>
      <w:r>
        <w:rPr>
          <w:rStyle w:val="FootnoteReference"/>
        </w:rPr>
        <w:footnoteRef/>
      </w:r>
      <w:r>
        <w:t xml:space="preserve"> </w:t>
      </w:r>
      <w:r w:rsidR="003D48AF">
        <w:tab/>
      </w:r>
      <w:r>
        <w:t>BP/1, BP/2, BP/3, BP/7, BP/8, BP/10, BP/11, BP/13</w:t>
      </w:r>
      <w:r w:rsidR="003D48AF">
        <w:t xml:space="preserve"> and </w:t>
      </w:r>
      <w:r>
        <w:t>BP/14</w:t>
      </w:r>
      <w:r w:rsidR="003D48AF">
        <w:t>.</w:t>
      </w:r>
    </w:p>
  </w:footnote>
  <w:footnote w:id="3">
    <w:p w14:paraId="5682C2B4" w14:textId="1B090582" w:rsidR="003D48AF" w:rsidRPr="003918E6" w:rsidRDefault="003D48AF" w:rsidP="003D48AF">
      <w:pPr>
        <w:pStyle w:val="FootnoteText"/>
      </w:pPr>
      <w:r>
        <w:rPr>
          <w:rStyle w:val="FootnoteReference"/>
        </w:rPr>
        <w:footnoteRef/>
      </w:r>
      <w:r>
        <w:t xml:space="preserve"> </w:t>
      </w:r>
      <w:r>
        <w:tab/>
      </w:r>
      <w:r w:rsidRPr="003918E6">
        <w:t>Document BP/A/II/11</w:t>
      </w:r>
      <w:r>
        <w:t>.</w:t>
      </w:r>
    </w:p>
  </w:footnote>
  <w:footnote w:id="4">
    <w:p w14:paraId="4A4727DB" w14:textId="58AA9BE4" w:rsidR="005C088E" w:rsidRDefault="005C088E">
      <w:pPr>
        <w:pStyle w:val="FootnoteText"/>
      </w:pPr>
      <w:r>
        <w:rPr>
          <w:rStyle w:val="FootnoteReference"/>
        </w:rPr>
        <w:footnoteRef/>
      </w:r>
      <w:r>
        <w:t xml:space="preserve"> </w:t>
      </w:r>
      <w:r>
        <w:tab/>
      </w:r>
      <w:r w:rsidR="00300C83">
        <w:t xml:space="preserve">Bahrain, Jordan, </w:t>
      </w:r>
      <w:r w:rsidR="00300C83" w:rsidRPr="00300C83">
        <w:t>Morocco</w:t>
      </w:r>
      <w:r w:rsidR="00300C83">
        <w:t xml:space="preserve">, Oman, </w:t>
      </w:r>
      <w:r w:rsidR="00300C83" w:rsidRPr="000C1E63">
        <w:t>Qatar,</w:t>
      </w:r>
      <w:r w:rsidRPr="000C1E63">
        <w:t xml:space="preserve"> Saudi Arabia</w:t>
      </w:r>
      <w:r w:rsidR="002B7003">
        <w:t>,</w:t>
      </w:r>
      <w:r w:rsidRPr="000C1E63">
        <w:t xml:space="preserve"> </w:t>
      </w:r>
      <w:r w:rsidR="00300C83" w:rsidRPr="000C1E63">
        <w:t xml:space="preserve">Tunisia, </w:t>
      </w:r>
      <w:r w:rsidRPr="000C1E63">
        <w:t>and the United Arab Emirates.</w:t>
      </w:r>
    </w:p>
  </w:footnote>
  <w:footnote w:id="5">
    <w:p w14:paraId="29011F62" w14:textId="346D2B2F" w:rsidR="00137F23" w:rsidRDefault="00137F23">
      <w:pPr>
        <w:pStyle w:val="FootnoteText"/>
      </w:pPr>
      <w:r>
        <w:rPr>
          <w:rStyle w:val="FootnoteReference"/>
        </w:rPr>
        <w:footnoteRef/>
      </w:r>
      <w:r>
        <w:t xml:space="preserve"> </w:t>
      </w:r>
      <w:r>
        <w:tab/>
        <w:t>Document WO/PBC/</w:t>
      </w:r>
      <w:r w:rsidR="00995541">
        <w:t>32/</w:t>
      </w:r>
      <w:r>
        <w:t>6, paragraph 5.</w:t>
      </w:r>
    </w:p>
  </w:footnote>
  <w:footnote w:id="6">
    <w:p w14:paraId="5BF60D67" w14:textId="77777777" w:rsidR="00771FAB" w:rsidRDefault="00771FAB" w:rsidP="00771FAB">
      <w:pPr>
        <w:pStyle w:val="FootnoteText"/>
      </w:pPr>
      <w:r>
        <w:rPr>
          <w:rStyle w:val="FootnoteReference"/>
        </w:rPr>
        <w:footnoteRef/>
      </w:r>
      <w:r>
        <w:t xml:space="preserve"> </w:t>
      </w:r>
      <w:r>
        <w:tab/>
      </w:r>
      <w:r w:rsidRPr="00B6038B">
        <w:t xml:space="preserve">Proposed additions are indicated in blue and </w:t>
      </w:r>
      <w:r>
        <w:t xml:space="preserve">by </w:t>
      </w:r>
      <w:r w:rsidRPr="00B6038B">
        <w:t>underlin</w:t>
      </w:r>
      <w:r>
        <w:t>ing the text concerned</w:t>
      </w:r>
      <w:r w:rsidRPr="00B6038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37AD" w14:textId="77777777" w:rsidR="009E1224" w:rsidRDefault="009E1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8AA5" w14:textId="77777777" w:rsidR="0052668B" w:rsidRDefault="0052668B" w:rsidP="0052668B">
    <w:pPr>
      <w:pStyle w:val="Header"/>
      <w:jc w:val="right"/>
    </w:pPr>
    <w:r>
      <w:t>BP/A/39/1</w:t>
    </w:r>
  </w:p>
  <w:p w14:paraId="7945BB79" w14:textId="1914C1EC" w:rsidR="0052668B" w:rsidRDefault="00D616BA" w:rsidP="0052668B">
    <w:pPr>
      <w:pStyle w:val="Header"/>
      <w:jc w:val="right"/>
    </w:pPr>
    <w:r>
      <w:t xml:space="preserve">page </w:t>
    </w:r>
    <w:r>
      <w:fldChar w:fldCharType="begin"/>
    </w:r>
    <w:r>
      <w:instrText xml:space="preserve"> PAGE   \* MERGEFORMAT </w:instrText>
    </w:r>
    <w:r>
      <w:fldChar w:fldCharType="separate"/>
    </w:r>
    <w:r w:rsidR="00DD7F0E">
      <w:rPr>
        <w:noProof/>
      </w:rPr>
      <w:t>4</w:t>
    </w:r>
    <w:r>
      <w:rPr>
        <w:noProof/>
      </w:rPr>
      <w:fldChar w:fldCharType="end"/>
    </w:r>
  </w:p>
  <w:p w14:paraId="168C9B08" w14:textId="77777777" w:rsidR="0032658D" w:rsidRDefault="0032658D" w:rsidP="005266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9644" w14:textId="77777777" w:rsidR="009E1224" w:rsidRDefault="009E12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28F7" w14:textId="77777777" w:rsidR="007F546A" w:rsidRDefault="007F546A" w:rsidP="0052668B">
    <w:pPr>
      <w:pStyle w:val="Header"/>
      <w:jc w:val="right"/>
    </w:pPr>
    <w:r>
      <w:t>BP/A/39/1</w:t>
    </w:r>
  </w:p>
  <w:p w14:paraId="78FB735A" w14:textId="2BC86A01" w:rsidR="007F546A" w:rsidRDefault="007F546A" w:rsidP="0052668B">
    <w:pPr>
      <w:pStyle w:val="Header"/>
      <w:jc w:val="right"/>
    </w:pPr>
    <w:r>
      <w:t>ANNEX II</w:t>
    </w:r>
  </w:p>
  <w:p w14:paraId="61854BEA" w14:textId="77777777" w:rsidR="007F546A" w:rsidRDefault="007F546A" w:rsidP="0052668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D60D" w14:textId="3776780E" w:rsidR="00E91591" w:rsidRDefault="0052668B" w:rsidP="00FF1319">
    <w:pPr>
      <w:pStyle w:val="Header"/>
      <w:jc w:val="right"/>
    </w:pPr>
    <w:r>
      <w:t>BP/</w:t>
    </w:r>
    <w:r w:rsidR="001F416C">
      <w:t>A/</w:t>
    </w:r>
    <w:r>
      <w:t>39/1</w:t>
    </w:r>
  </w:p>
  <w:p w14:paraId="7FAE7162" w14:textId="22026667" w:rsidR="00E91591" w:rsidRDefault="00E91591" w:rsidP="00FF1319">
    <w:pPr>
      <w:pStyle w:val="Header"/>
      <w:jc w:val="right"/>
    </w:pPr>
    <w:r>
      <w:t>ANNEX</w:t>
    </w:r>
    <w:r w:rsidR="00C20CC7">
      <w:t xml:space="preserve"> I</w:t>
    </w:r>
  </w:p>
  <w:p w14:paraId="6240B370" w14:textId="77777777" w:rsidR="00E91591" w:rsidRDefault="00E9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2735B"/>
    <w:multiLevelType w:val="hybridMultilevel"/>
    <w:tmpl w:val="4000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506C3E"/>
    <w:multiLevelType w:val="hybridMultilevel"/>
    <w:tmpl w:val="BBB45E4E"/>
    <w:lvl w:ilvl="0" w:tplc="2D00B7E4">
      <w:start w:val="1"/>
      <w:numFmt w:val="lowerRoman"/>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221022"/>
    <w:multiLevelType w:val="hybridMultilevel"/>
    <w:tmpl w:val="4CF24AE8"/>
    <w:lvl w:ilvl="0" w:tplc="2D00B7E4">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75"/>
    <w:rsid w:val="00004CBA"/>
    <w:rsid w:val="0001647B"/>
    <w:rsid w:val="00017588"/>
    <w:rsid w:val="000319F0"/>
    <w:rsid w:val="00043CAA"/>
    <w:rsid w:val="00047B20"/>
    <w:rsid w:val="0006647A"/>
    <w:rsid w:val="00075432"/>
    <w:rsid w:val="0008041C"/>
    <w:rsid w:val="000968ED"/>
    <w:rsid w:val="000A21B8"/>
    <w:rsid w:val="000A338D"/>
    <w:rsid w:val="000B1A8F"/>
    <w:rsid w:val="000B4583"/>
    <w:rsid w:val="000B5CBA"/>
    <w:rsid w:val="000C1E63"/>
    <w:rsid w:val="000F34EF"/>
    <w:rsid w:val="000F5E56"/>
    <w:rsid w:val="001024FE"/>
    <w:rsid w:val="00104AEF"/>
    <w:rsid w:val="00112A06"/>
    <w:rsid w:val="00125D87"/>
    <w:rsid w:val="00134DA6"/>
    <w:rsid w:val="001362EE"/>
    <w:rsid w:val="00137F23"/>
    <w:rsid w:val="00140178"/>
    <w:rsid w:val="001423B7"/>
    <w:rsid w:val="00142868"/>
    <w:rsid w:val="001440AB"/>
    <w:rsid w:val="001567A3"/>
    <w:rsid w:val="00157D15"/>
    <w:rsid w:val="00161749"/>
    <w:rsid w:val="001648FB"/>
    <w:rsid w:val="001719DE"/>
    <w:rsid w:val="001814E9"/>
    <w:rsid w:val="001832A6"/>
    <w:rsid w:val="0018470F"/>
    <w:rsid w:val="001862CF"/>
    <w:rsid w:val="0019102E"/>
    <w:rsid w:val="00191155"/>
    <w:rsid w:val="0019505E"/>
    <w:rsid w:val="001A07E4"/>
    <w:rsid w:val="001B7C61"/>
    <w:rsid w:val="001C3DC0"/>
    <w:rsid w:val="001C6808"/>
    <w:rsid w:val="001D0CE4"/>
    <w:rsid w:val="001D6437"/>
    <w:rsid w:val="001E6377"/>
    <w:rsid w:val="001E6E2C"/>
    <w:rsid w:val="001F32B8"/>
    <w:rsid w:val="001F416C"/>
    <w:rsid w:val="001F4FB7"/>
    <w:rsid w:val="001F7AB2"/>
    <w:rsid w:val="00202C62"/>
    <w:rsid w:val="002121FA"/>
    <w:rsid w:val="00221E3E"/>
    <w:rsid w:val="00231B03"/>
    <w:rsid w:val="00240493"/>
    <w:rsid w:val="0024376F"/>
    <w:rsid w:val="00244336"/>
    <w:rsid w:val="00250ED1"/>
    <w:rsid w:val="002611D2"/>
    <w:rsid w:val="002634C4"/>
    <w:rsid w:val="00265CE8"/>
    <w:rsid w:val="00275801"/>
    <w:rsid w:val="00287470"/>
    <w:rsid w:val="002928D3"/>
    <w:rsid w:val="00292EDB"/>
    <w:rsid w:val="002A7907"/>
    <w:rsid w:val="002B1078"/>
    <w:rsid w:val="002B7003"/>
    <w:rsid w:val="002F1FE6"/>
    <w:rsid w:val="002F40F1"/>
    <w:rsid w:val="002F4E68"/>
    <w:rsid w:val="002F63D5"/>
    <w:rsid w:val="002F70A9"/>
    <w:rsid w:val="002F75D2"/>
    <w:rsid w:val="002F79B6"/>
    <w:rsid w:val="00300C83"/>
    <w:rsid w:val="003058C7"/>
    <w:rsid w:val="00312F7F"/>
    <w:rsid w:val="003151BA"/>
    <w:rsid w:val="003228B7"/>
    <w:rsid w:val="0032658D"/>
    <w:rsid w:val="0034367F"/>
    <w:rsid w:val="003508A3"/>
    <w:rsid w:val="003673CF"/>
    <w:rsid w:val="00370155"/>
    <w:rsid w:val="003845C1"/>
    <w:rsid w:val="003918E6"/>
    <w:rsid w:val="0039470D"/>
    <w:rsid w:val="003A0AA3"/>
    <w:rsid w:val="003A6F89"/>
    <w:rsid w:val="003B38C1"/>
    <w:rsid w:val="003B7250"/>
    <w:rsid w:val="003D060F"/>
    <w:rsid w:val="003D0C8C"/>
    <w:rsid w:val="003D48AF"/>
    <w:rsid w:val="003E0C74"/>
    <w:rsid w:val="00416A26"/>
    <w:rsid w:val="00421676"/>
    <w:rsid w:val="00423E3E"/>
    <w:rsid w:val="004253B1"/>
    <w:rsid w:val="00427AF4"/>
    <w:rsid w:val="00432E5F"/>
    <w:rsid w:val="004400E2"/>
    <w:rsid w:val="00445520"/>
    <w:rsid w:val="004472CC"/>
    <w:rsid w:val="00451063"/>
    <w:rsid w:val="00455793"/>
    <w:rsid w:val="00461632"/>
    <w:rsid w:val="0046458B"/>
    <w:rsid w:val="004647DA"/>
    <w:rsid w:val="00474062"/>
    <w:rsid w:val="00477D6B"/>
    <w:rsid w:val="00483D00"/>
    <w:rsid w:val="004948DD"/>
    <w:rsid w:val="004C756A"/>
    <w:rsid w:val="004D3204"/>
    <w:rsid w:val="004D39C4"/>
    <w:rsid w:val="004D46B6"/>
    <w:rsid w:val="004E0330"/>
    <w:rsid w:val="004F0CBC"/>
    <w:rsid w:val="004F52EE"/>
    <w:rsid w:val="004F632C"/>
    <w:rsid w:val="00512E1F"/>
    <w:rsid w:val="0051516E"/>
    <w:rsid w:val="0052668B"/>
    <w:rsid w:val="0053057A"/>
    <w:rsid w:val="005354A4"/>
    <w:rsid w:val="00536B0C"/>
    <w:rsid w:val="00537495"/>
    <w:rsid w:val="00552178"/>
    <w:rsid w:val="00560A29"/>
    <w:rsid w:val="00594D27"/>
    <w:rsid w:val="005B2C11"/>
    <w:rsid w:val="005C088E"/>
    <w:rsid w:val="005C2F3D"/>
    <w:rsid w:val="005E29BE"/>
    <w:rsid w:val="005E3F3D"/>
    <w:rsid w:val="005F089D"/>
    <w:rsid w:val="00601760"/>
    <w:rsid w:val="00605827"/>
    <w:rsid w:val="006139B4"/>
    <w:rsid w:val="006222DF"/>
    <w:rsid w:val="00630CFF"/>
    <w:rsid w:val="00633AFE"/>
    <w:rsid w:val="00636CE5"/>
    <w:rsid w:val="00637D79"/>
    <w:rsid w:val="0064296F"/>
    <w:rsid w:val="00645795"/>
    <w:rsid w:val="00646050"/>
    <w:rsid w:val="00655DAD"/>
    <w:rsid w:val="00666A2F"/>
    <w:rsid w:val="006713CA"/>
    <w:rsid w:val="006740FE"/>
    <w:rsid w:val="00676C5C"/>
    <w:rsid w:val="006800A3"/>
    <w:rsid w:val="0068368D"/>
    <w:rsid w:val="00695558"/>
    <w:rsid w:val="006A2C87"/>
    <w:rsid w:val="006B0A0E"/>
    <w:rsid w:val="006B0E98"/>
    <w:rsid w:val="006B28FA"/>
    <w:rsid w:val="006B5C91"/>
    <w:rsid w:val="006D5E0F"/>
    <w:rsid w:val="006E5344"/>
    <w:rsid w:val="006F680F"/>
    <w:rsid w:val="007058FB"/>
    <w:rsid w:val="00717611"/>
    <w:rsid w:val="007239E6"/>
    <w:rsid w:val="00742264"/>
    <w:rsid w:val="007476D3"/>
    <w:rsid w:val="00771FAB"/>
    <w:rsid w:val="007846DC"/>
    <w:rsid w:val="0078642D"/>
    <w:rsid w:val="00791A3D"/>
    <w:rsid w:val="007B6A58"/>
    <w:rsid w:val="007C586A"/>
    <w:rsid w:val="007D11DE"/>
    <w:rsid w:val="007D1613"/>
    <w:rsid w:val="007E3F04"/>
    <w:rsid w:val="007F2221"/>
    <w:rsid w:val="007F510B"/>
    <w:rsid w:val="007F546A"/>
    <w:rsid w:val="00804E60"/>
    <w:rsid w:val="0080729C"/>
    <w:rsid w:val="00831986"/>
    <w:rsid w:val="00834F76"/>
    <w:rsid w:val="0085192C"/>
    <w:rsid w:val="00856915"/>
    <w:rsid w:val="00873EE5"/>
    <w:rsid w:val="008B1ACD"/>
    <w:rsid w:val="008B2CC1"/>
    <w:rsid w:val="008B4B5E"/>
    <w:rsid w:val="008B60B2"/>
    <w:rsid w:val="008C08E8"/>
    <w:rsid w:val="008D1B7A"/>
    <w:rsid w:val="008D4FDC"/>
    <w:rsid w:val="008F7817"/>
    <w:rsid w:val="0090731E"/>
    <w:rsid w:val="009111F6"/>
    <w:rsid w:val="009112AC"/>
    <w:rsid w:val="00914E34"/>
    <w:rsid w:val="00916EE2"/>
    <w:rsid w:val="00933158"/>
    <w:rsid w:val="00966A22"/>
    <w:rsid w:val="0096722F"/>
    <w:rsid w:val="00972584"/>
    <w:rsid w:val="00980843"/>
    <w:rsid w:val="00980EB0"/>
    <w:rsid w:val="009812D6"/>
    <w:rsid w:val="00982BF0"/>
    <w:rsid w:val="009878CD"/>
    <w:rsid w:val="00995541"/>
    <w:rsid w:val="009A4CFC"/>
    <w:rsid w:val="009B108F"/>
    <w:rsid w:val="009B162C"/>
    <w:rsid w:val="009C044B"/>
    <w:rsid w:val="009E1224"/>
    <w:rsid w:val="009E2791"/>
    <w:rsid w:val="009E3F6F"/>
    <w:rsid w:val="009F14E4"/>
    <w:rsid w:val="009F3BF9"/>
    <w:rsid w:val="009F499F"/>
    <w:rsid w:val="00A03A24"/>
    <w:rsid w:val="00A05726"/>
    <w:rsid w:val="00A20407"/>
    <w:rsid w:val="00A2062A"/>
    <w:rsid w:val="00A22A8B"/>
    <w:rsid w:val="00A421A7"/>
    <w:rsid w:val="00A421DA"/>
    <w:rsid w:val="00A42DAF"/>
    <w:rsid w:val="00A45BD8"/>
    <w:rsid w:val="00A712A2"/>
    <w:rsid w:val="00A778BF"/>
    <w:rsid w:val="00A85B8E"/>
    <w:rsid w:val="00A8665B"/>
    <w:rsid w:val="00AA33C3"/>
    <w:rsid w:val="00AA7B0A"/>
    <w:rsid w:val="00AC205C"/>
    <w:rsid w:val="00AD42DD"/>
    <w:rsid w:val="00AE2DDA"/>
    <w:rsid w:val="00AF45DB"/>
    <w:rsid w:val="00AF5C73"/>
    <w:rsid w:val="00B05A69"/>
    <w:rsid w:val="00B11969"/>
    <w:rsid w:val="00B21608"/>
    <w:rsid w:val="00B40598"/>
    <w:rsid w:val="00B41A93"/>
    <w:rsid w:val="00B50B99"/>
    <w:rsid w:val="00B6016A"/>
    <w:rsid w:val="00B6038B"/>
    <w:rsid w:val="00B62CD9"/>
    <w:rsid w:val="00B932E6"/>
    <w:rsid w:val="00B9734B"/>
    <w:rsid w:val="00BA0A08"/>
    <w:rsid w:val="00BA5D6B"/>
    <w:rsid w:val="00BB7382"/>
    <w:rsid w:val="00BE037F"/>
    <w:rsid w:val="00BE7385"/>
    <w:rsid w:val="00C107B3"/>
    <w:rsid w:val="00C1189C"/>
    <w:rsid w:val="00C11BFE"/>
    <w:rsid w:val="00C20CC7"/>
    <w:rsid w:val="00C36796"/>
    <w:rsid w:val="00C44642"/>
    <w:rsid w:val="00C46A10"/>
    <w:rsid w:val="00C46A58"/>
    <w:rsid w:val="00C665A5"/>
    <w:rsid w:val="00C91E8C"/>
    <w:rsid w:val="00C92A85"/>
    <w:rsid w:val="00C94629"/>
    <w:rsid w:val="00CA1D8B"/>
    <w:rsid w:val="00CC1CEE"/>
    <w:rsid w:val="00CC3516"/>
    <w:rsid w:val="00CE3CB4"/>
    <w:rsid w:val="00CE45CE"/>
    <w:rsid w:val="00CE65D4"/>
    <w:rsid w:val="00CE6A96"/>
    <w:rsid w:val="00D21CD8"/>
    <w:rsid w:val="00D33265"/>
    <w:rsid w:val="00D408E0"/>
    <w:rsid w:val="00D43A8F"/>
    <w:rsid w:val="00D45252"/>
    <w:rsid w:val="00D518C8"/>
    <w:rsid w:val="00D616BA"/>
    <w:rsid w:val="00D62CB9"/>
    <w:rsid w:val="00D71B4D"/>
    <w:rsid w:val="00D93D55"/>
    <w:rsid w:val="00D96747"/>
    <w:rsid w:val="00DC0A5B"/>
    <w:rsid w:val="00DC6B4D"/>
    <w:rsid w:val="00DD7F0E"/>
    <w:rsid w:val="00DE6B22"/>
    <w:rsid w:val="00DF1D4E"/>
    <w:rsid w:val="00DF46F7"/>
    <w:rsid w:val="00DF7FE8"/>
    <w:rsid w:val="00E04954"/>
    <w:rsid w:val="00E161A2"/>
    <w:rsid w:val="00E335FE"/>
    <w:rsid w:val="00E42DC0"/>
    <w:rsid w:val="00E5021F"/>
    <w:rsid w:val="00E53E22"/>
    <w:rsid w:val="00E54966"/>
    <w:rsid w:val="00E62068"/>
    <w:rsid w:val="00E633B5"/>
    <w:rsid w:val="00E671A6"/>
    <w:rsid w:val="00E71949"/>
    <w:rsid w:val="00E91591"/>
    <w:rsid w:val="00E91701"/>
    <w:rsid w:val="00EA0BEA"/>
    <w:rsid w:val="00EB1135"/>
    <w:rsid w:val="00EB5EE2"/>
    <w:rsid w:val="00EC4E49"/>
    <w:rsid w:val="00ED11F4"/>
    <w:rsid w:val="00ED2F9B"/>
    <w:rsid w:val="00ED5075"/>
    <w:rsid w:val="00ED77FB"/>
    <w:rsid w:val="00ED7B76"/>
    <w:rsid w:val="00EE372B"/>
    <w:rsid w:val="00EE45AA"/>
    <w:rsid w:val="00EF331A"/>
    <w:rsid w:val="00F01807"/>
    <w:rsid w:val="00F021A6"/>
    <w:rsid w:val="00F11D94"/>
    <w:rsid w:val="00F13207"/>
    <w:rsid w:val="00F32CA0"/>
    <w:rsid w:val="00F5012F"/>
    <w:rsid w:val="00F53CFB"/>
    <w:rsid w:val="00F66152"/>
    <w:rsid w:val="00F738F8"/>
    <w:rsid w:val="00F93509"/>
    <w:rsid w:val="00F9633E"/>
    <w:rsid w:val="00FB2FA2"/>
    <w:rsid w:val="00FB6E51"/>
    <w:rsid w:val="00FC6262"/>
    <w:rsid w:val="00FE1CE0"/>
    <w:rsid w:val="00FF1319"/>
    <w:rsid w:val="00FF5BD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0076F64"/>
  <w15:docId w15:val="{B1B49B6F-D663-4B8B-9558-84DF7AD6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semiHidden/>
    <w:unhideWhenUsed/>
    <w:rsid w:val="00FB2FA2"/>
  </w:style>
  <w:style w:type="paragraph" w:styleId="ListParagraph">
    <w:name w:val="List Paragraph"/>
    <w:basedOn w:val="Normal"/>
    <w:uiPriority w:val="34"/>
    <w:qFormat/>
    <w:rsid w:val="00FB2FA2"/>
    <w:pPr>
      <w:ind w:left="720"/>
      <w:contextualSpacing/>
    </w:pPr>
  </w:style>
  <w:style w:type="character" w:styleId="FootnoteReference">
    <w:name w:val="footnote reference"/>
    <w:basedOn w:val="DefaultParagraphFont"/>
    <w:semiHidden/>
    <w:rsid w:val="009F14E4"/>
    <w:rPr>
      <w:vertAlign w:val="superscript"/>
    </w:rPr>
  </w:style>
  <w:style w:type="character" w:styleId="EndnoteReference">
    <w:name w:val="endnote reference"/>
    <w:basedOn w:val="DefaultParagraphFont"/>
    <w:semiHidden/>
    <w:unhideWhenUsed/>
    <w:rsid w:val="00D96747"/>
    <w:rPr>
      <w:vertAlign w:val="superscript"/>
    </w:rPr>
  </w:style>
  <w:style w:type="character" w:styleId="PlaceholderText">
    <w:name w:val="Placeholder Text"/>
    <w:basedOn w:val="DefaultParagraphFont"/>
    <w:uiPriority w:val="99"/>
    <w:semiHidden/>
    <w:rsid w:val="00370155"/>
    <w:rPr>
      <w:color w:val="808080"/>
    </w:rPr>
  </w:style>
  <w:style w:type="character" w:styleId="CommentReference">
    <w:name w:val="annotation reference"/>
    <w:basedOn w:val="DefaultParagraphFont"/>
    <w:semiHidden/>
    <w:unhideWhenUsed/>
    <w:rsid w:val="007846DC"/>
    <w:rPr>
      <w:sz w:val="16"/>
      <w:szCs w:val="16"/>
    </w:rPr>
  </w:style>
  <w:style w:type="paragraph" w:styleId="CommentSubject">
    <w:name w:val="annotation subject"/>
    <w:basedOn w:val="CommentText"/>
    <w:next w:val="CommentText"/>
    <w:link w:val="CommentSubjectChar"/>
    <w:semiHidden/>
    <w:unhideWhenUsed/>
    <w:rsid w:val="007846DC"/>
    <w:rPr>
      <w:b/>
      <w:bCs/>
      <w:sz w:val="20"/>
    </w:rPr>
  </w:style>
  <w:style w:type="character" w:customStyle="1" w:styleId="CommentTextChar">
    <w:name w:val="Comment Text Char"/>
    <w:basedOn w:val="DefaultParagraphFont"/>
    <w:link w:val="CommentText"/>
    <w:semiHidden/>
    <w:rsid w:val="007846D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46DC"/>
    <w:rPr>
      <w:rFonts w:ascii="Arial" w:eastAsia="SimSun" w:hAnsi="Arial" w:cs="Arial"/>
      <w:b/>
      <w:bCs/>
      <w:sz w:val="18"/>
      <w:lang w:val="en-US" w:eastAsia="zh-CN"/>
    </w:rPr>
  </w:style>
  <w:style w:type="paragraph" w:styleId="BalloonText">
    <w:name w:val="Balloon Text"/>
    <w:basedOn w:val="Normal"/>
    <w:link w:val="BalloonTextChar"/>
    <w:semiHidden/>
    <w:unhideWhenUsed/>
    <w:rsid w:val="007846DC"/>
    <w:rPr>
      <w:rFonts w:ascii="Segoe UI" w:hAnsi="Segoe UI" w:cs="Segoe UI"/>
      <w:sz w:val="18"/>
      <w:szCs w:val="18"/>
    </w:rPr>
  </w:style>
  <w:style w:type="character" w:customStyle="1" w:styleId="BalloonTextChar">
    <w:name w:val="Balloon Text Char"/>
    <w:basedOn w:val="DefaultParagraphFont"/>
    <w:link w:val="BalloonText"/>
    <w:semiHidden/>
    <w:rsid w:val="007846DC"/>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AE2DD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04CBA"/>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8881">
      <w:bodyDiv w:val="1"/>
      <w:marLeft w:val="0"/>
      <w:marRight w:val="0"/>
      <w:marTop w:val="0"/>
      <w:marBottom w:val="0"/>
      <w:divBdr>
        <w:top w:val="none" w:sz="0" w:space="0" w:color="auto"/>
        <w:left w:val="none" w:sz="0" w:space="0" w:color="auto"/>
        <w:bottom w:val="none" w:sz="0" w:space="0" w:color="auto"/>
        <w:right w:val="none" w:sz="0" w:space="0" w:color="auto"/>
      </w:divBdr>
    </w:div>
    <w:div w:id="20573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3761-63CD-48BB-A32F-A578C3C7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0</TotalTime>
  <Pages>6</Pages>
  <Words>1833</Words>
  <Characters>9595</Characters>
  <Application>Microsoft Office Word</Application>
  <DocSecurity>0</DocSecurity>
  <Lines>189</Lines>
  <Paragraphs>60</Paragraphs>
  <ScaleCrop>false</ScaleCrop>
  <HeadingPairs>
    <vt:vector size="2" baseType="variant">
      <vt:variant>
        <vt:lpstr>Title</vt:lpstr>
      </vt:variant>
      <vt:variant>
        <vt:i4>1</vt:i4>
      </vt:variant>
    </vt:vector>
  </HeadingPairs>
  <TitlesOfParts>
    <vt:vector size="1" baseType="lpstr">
      <vt:lpstr>BP/A/39/1</vt:lpstr>
    </vt:vector>
  </TitlesOfParts>
  <Company>WIPO</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BP/A/39/1</dc:title>
  <dc:creator>WIPO</dc:creator>
  <cp:keywords>PUBLIC</cp:keywords>
  <cp:lastModifiedBy>HÄFLIGER Patience</cp:lastModifiedBy>
  <cp:revision>2</cp:revision>
  <cp:lastPrinted>2022-04-28T07:31:00Z</cp:lastPrinted>
  <dcterms:created xsi:type="dcterms:W3CDTF">2022-05-03T06:07:00Z</dcterms:created>
  <dcterms:modified xsi:type="dcterms:W3CDTF">2022-05-03T06:07:00Z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d7d87c41-a7ad-4c94-8206-806c3863b242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