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eastAsia="en-US"/>
        </w:rPr>
        <w:drawing>
          <wp:inline distT="0" distB="0" distL="0" distR="0" wp14:anchorId="35172FBA" wp14:editId="558EC61D">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8F248E" w:rsidRDefault="002629AD" w:rsidP="00F874D6">
      <w:pPr>
        <w:pBdr>
          <w:top w:val="single" w:sz="4" w:space="16" w:color="auto"/>
        </w:pBdr>
        <w:jc w:val="right"/>
        <w:rPr>
          <w:rFonts w:ascii="Arial Black" w:hAnsi="Arial Black"/>
          <w:caps/>
          <w:sz w:val="15"/>
          <w:szCs w:val="15"/>
        </w:rPr>
      </w:pPr>
      <w:r w:rsidRPr="008F248E">
        <w:rPr>
          <w:rFonts w:ascii="Arial Black" w:hAnsi="Arial Black"/>
          <w:caps/>
          <w:sz w:val="15"/>
          <w:szCs w:val="15"/>
        </w:rPr>
        <w:t>BTAP/A/1/2</w:t>
      </w:r>
      <w:bookmarkStart w:id="1" w:name="Code"/>
    </w:p>
    <w:bookmarkEnd w:id="1"/>
    <w:p w:rsidR="008B2CC1" w:rsidRPr="008F248E" w:rsidRDefault="00EB2F76" w:rsidP="00EB2F76">
      <w:pPr>
        <w:jc w:val="right"/>
        <w:rPr>
          <w:rFonts w:ascii="Arial Black" w:hAnsi="Arial Black"/>
          <w:caps/>
          <w:sz w:val="15"/>
          <w:szCs w:val="15"/>
        </w:rPr>
      </w:pPr>
      <w:r w:rsidRPr="008F248E">
        <w:rPr>
          <w:rFonts w:ascii="Arial Black" w:hAnsi="Arial Black"/>
          <w:caps/>
          <w:sz w:val="15"/>
          <w:szCs w:val="15"/>
        </w:rPr>
        <w:t xml:space="preserve">ORIGINAL: </w:t>
      </w:r>
      <w:bookmarkStart w:id="2" w:name="Original"/>
      <w:r w:rsidR="004304A2" w:rsidRPr="008F248E">
        <w:rPr>
          <w:rFonts w:ascii="Arial Black" w:hAnsi="Arial Black"/>
          <w:caps/>
          <w:sz w:val="15"/>
          <w:szCs w:val="15"/>
        </w:rPr>
        <w:t xml:space="preserve">English </w:t>
      </w:r>
    </w:p>
    <w:bookmarkEnd w:id="2"/>
    <w:p w:rsidR="008B2CC1" w:rsidRPr="000A3D97" w:rsidRDefault="00EB2F76" w:rsidP="000A3D97">
      <w:pPr>
        <w:spacing w:after="1200"/>
        <w:jc w:val="right"/>
        <w:rPr>
          <w:rFonts w:ascii="Arial Black" w:hAnsi="Arial Black"/>
          <w:caps/>
          <w:sz w:val="15"/>
          <w:szCs w:val="15"/>
        </w:rPr>
      </w:pPr>
      <w:r w:rsidRPr="008F248E">
        <w:rPr>
          <w:rFonts w:ascii="Arial Black" w:hAnsi="Arial Black"/>
          <w:caps/>
          <w:sz w:val="15"/>
          <w:szCs w:val="15"/>
        </w:rPr>
        <w:t xml:space="preserve">DATE: </w:t>
      </w:r>
      <w:bookmarkStart w:id="3" w:name="Date"/>
      <w:r w:rsidR="004304A2" w:rsidRPr="008F248E">
        <w:rPr>
          <w:rFonts w:ascii="Arial Black" w:hAnsi="Arial Black"/>
          <w:caps/>
          <w:sz w:val="15"/>
          <w:szCs w:val="15"/>
        </w:rPr>
        <w:t xml:space="preserve">July </w:t>
      </w:r>
      <w:r w:rsidR="00D81B12">
        <w:rPr>
          <w:rFonts w:ascii="Arial Black" w:hAnsi="Arial Black"/>
          <w:caps/>
          <w:sz w:val="15"/>
          <w:szCs w:val="15"/>
        </w:rPr>
        <w:t>21</w:t>
      </w:r>
      <w:r w:rsidR="008867D9" w:rsidRPr="008F248E">
        <w:rPr>
          <w:rFonts w:ascii="Arial Black" w:hAnsi="Arial Black"/>
          <w:caps/>
          <w:sz w:val="15"/>
          <w:szCs w:val="15"/>
        </w:rPr>
        <w:t>, 2020</w:t>
      </w:r>
    </w:p>
    <w:bookmarkEnd w:id="3"/>
    <w:p w:rsidR="002629AD" w:rsidRPr="002629AD" w:rsidRDefault="002629AD" w:rsidP="002629AD">
      <w:pPr>
        <w:keepNext/>
        <w:spacing w:after="600"/>
        <w:outlineLvl w:val="0"/>
        <w:rPr>
          <w:b/>
          <w:bCs/>
          <w:kern w:val="32"/>
          <w:sz w:val="28"/>
          <w:szCs w:val="32"/>
        </w:rPr>
      </w:pPr>
      <w:r w:rsidRPr="00127D51">
        <w:rPr>
          <w:b/>
          <w:sz w:val="28"/>
          <w:szCs w:val="28"/>
        </w:rPr>
        <w:t>Beijing Treaty on Audi</w:t>
      </w:r>
      <w:r>
        <w:rPr>
          <w:b/>
          <w:sz w:val="28"/>
          <w:szCs w:val="28"/>
        </w:rPr>
        <w:t>o</w:t>
      </w:r>
      <w:r w:rsidRPr="00127D51">
        <w:rPr>
          <w:b/>
          <w:sz w:val="28"/>
          <w:szCs w:val="28"/>
        </w:rPr>
        <w:t>visual Performances</w:t>
      </w:r>
      <w:r w:rsidRPr="00127D51">
        <w:rPr>
          <w:b/>
          <w:bCs/>
          <w:kern w:val="32"/>
          <w:sz w:val="28"/>
          <w:szCs w:val="28"/>
        </w:rPr>
        <w:t xml:space="preserve"> </w:t>
      </w:r>
      <w:r w:rsidRPr="002629AD">
        <w:rPr>
          <w:b/>
          <w:bCs/>
          <w:kern w:val="32"/>
          <w:sz w:val="28"/>
          <w:szCs w:val="32"/>
        </w:rPr>
        <w:t>(</w:t>
      </w:r>
      <w:r w:rsidR="00260365">
        <w:rPr>
          <w:b/>
          <w:bCs/>
          <w:kern w:val="32"/>
          <w:sz w:val="28"/>
          <w:szCs w:val="32"/>
        </w:rPr>
        <w:t>BTAP</w:t>
      </w:r>
      <w:r w:rsidRPr="002629AD">
        <w:rPr>
          <w:b/>
          <w:bCs/>
          <w:kern w:val="32"/>
          <w:sz w:val="28"/>
          <w:szCs w:val="32"/>
        </w:rPr>
        <w:t>)</w:t>
      </w:r>
    </w:p>
    <w:p w:rsidR="002629AD" w:rsidRPr="002629AD" w:rsidRDefault="002629AD" w:rsidP="002629AD">
      <w:pPr>
        <w:keepNext/>
        <w:spacing w:after="600"/>
        <w:outlineLvl w:val="0"/>
        <w:rPr>
          <w:b/>
          <w:bCs/>
          <w:kern w:val="32"/>
          <w:sz w:val="28"/>
          <w:szCs w:val="32"/>
        </w:rPr>
      </w:pPr>
      <w:r w:rsidRPr="002629AD">
        <w:rPr>
          <w:b/>
          <w:bCs/>
          <w:kern w:val="32"/>
          <w:sz w:val="28"/>
          <w:szCs w:val="32"/>
        </w:rPr>
        <w:t>Assembly</w:t>
      </w:r>
    </w:p>
    <w:p w:rsidR="002629AD" w:rsidRPr="002629AD" w:rsidRDefault="002629AD" w:rsidP="002629AD">
      <w:pPr>
        <w:spacing w:after="720"/>
        <w:rPr>
          <w:b/>
          <w:sz w:val="24"/>
        </w:rPr>
      </w:pPr>
      <w:r w:rsidRPr="00236CB0">
        <w:rPr>
          <w:b/>
          <w:sz w:val="24"/>
        </w:rPr>
        <w:t>First (1</w:t>
      </w:r>
      <w:r w:rsidRPr="00236CB0">
        <w:rPr>
          <w:b/>
          <w:sz w:val="24"/>
          <w:vertAlign w:val="superscript"/>
        </w:rPr>
        <w:t>st</w:t>
      </w:r>
      <w:r w:rsidRPr="00236CB0">
        <w:rPr>
          <w:b/>
          <w:sz w:val="24"/>
        </w:rPr>
        <w:t xml:space="preserve"> Ordinary) Session</w:t>
      </w:r>
      <w:r w:rsidRPr="00236CB0">
        <w:rPr>
          <w:b/>
          <w:sz w:val="24"/>
        </w:rPr>
        <w:br/>
        <w:t xml:space="preserve">Geneva, </w:t>
      </w:r>
      <w:r w:rsidR="00236CB0" w:rsidRPr="00236CB0">
        <w:rPr>
          <w:b/>
          <w:sz w:val="24"/>
        </w:rPr>
        <w:t>September 21 to 29, 2020</w:t>
      </w:r>
    </w:p>
    <w:p w:rsidR="008B2CC1" w:rsidRPr="003845C1" w:rsidRDefault="004304A2" w:rsidP="00DD7B7F">
      <w:pPr>
        <w:spacing w:after="360"/>
        <w:outlineLvl w:val="0"/>
        <w:rPr>
          <w:caps/>
          <w:sz w:val="24"/>
        </w:rPr>
      </w:pPr>
      <w:bookmarkStart w:id="4" w:name="TitleOfDoc"/>
      <w:r>
        <w:rPr>
          <w:caps/>
          <w:sz w:val="24"/>
        </w:rPr>
        <w:t xml:space="preserve">Status of </w:t>
      </w:r>
      <w:r w:rsidR="00C35B40">
        <w:rPr>
          <w:caps/>
          <w:sz w:val="24"/>
        </w:rPr>
        <w:t>the Beijing Treaty</w:t>
      </w:r>
    </w:p>
    <w:p w:rsidR="002928D3" w:rsidRPr="00F9165B" w:rsidRDefault="002629AD" w:rsidP="00556656">
      <w:pPr>
        <w:spacing w:after="960"/>
        <w:rPr>
          <w:i/>
        </w:rPr>
      </w:pPr>
      <w:bookmarkStart w:id="5" w:name="Prepared"/>
      <w:bookmarkEnd w:id="4"/>
      <w:r>
        <w:rPr>
          <w:i/>
        </w:rPr>
        <w:t>D</w:t>
      </w:r>
      <w:r w:rsidR="004304A2">
        <w:rPr>
          <w:i/>
        </w:rPr>
        <w:t>ocume</w:t>
      </w:r>
      <w:r w:rsidR="00016319">
        <w:rPr>
          <w:i/>
        </w:rPr>
        <w:t>nt prepared by the S</w:t>
      </w:r>
      <w:r w:rsidR="004304A2">
        <w:rPr>
          <w:i/>
        </w:rPr>
        <w:t>ecretariat</w:t>
      </w:r>
    </w:p>
    <w:bookmarkEnd w:id="5"/>
    <w:p w:rsidR="00016319" w:rsidRDefault="00016319" w:rsidP="00945F73">
      <w:pPr>
        <w:spacing w:after="220"/>
      </w:pPr>
      <w:r>
        <w:t>This document provides information on signature as well as on ratification of, and accession to, the Beijing Treaty on Audiovisual Performances (“Beijing Treaty”), including</w:t>
      </w:r>
      <w:r w:rsidRPr="00E9300C">
        <w:t xml:space="preserve"> </w:t>
      </w:r>
      <w:r>
        <w:t>its</w:t>
      </w:r>
      <w:r w:rsidRPr="003678B0">
        <w:t xml:space="preserve"> </w:t>
      </w:r>
      <w:r w:rsidR="00812A40">
        <w:t xml:space="preserve">recent </w:t>
      </w:r>
      <w:r w:rsidRPr="003678B0">
        <w:t>entry into force</w:t>
      </w:r>
      <w:r>
        <w:t>.</w:t>
      </w:r>
      <w:r w:rsidR="00812A40">
        <w:t xml:space="preserve"> </w:t>
      </w:r>
      <w:r w:rsidR="002629AD">
        <w:t xml:space="preserve"> </w:t>
      </w:r>
      <w:r w:rsidR="00812A40">
        <w:t xml:space="preserve">It also provides an update on the status of Beijing Treaty promotion and implementation. </w:t>
      </w:r>
    </w:p>
    <w:p w:rsidR="00016319" w:rsidRPr="001A77BF" w:rsidRDefault="00945F73" w:rsidP="00945F73">
      <w:pPr>
        <w:pStyle w:val="Heading1"/>
        <w:spacing w:after="220"/>
      </w:pPr>
      <w:r>
        <w:t>A.</w:t>
      </w:r>
      <w:r>
        <w:tab/>
      </w:r>
      <w:r w:rsidR="00016319">
        <w:t>BEIJING TREATY signature</w:t>
      </w:r>
    </w:p>
    <w:p w:rsidR="00016319" w:rsidRPr="000B779D" w:rsidRDefault="00016319" w:rsidP="00016319">
      <w:pPr>
        <w:pStyle w:val="ListParagraph"/>
        <w:numPr>
          <w:ilvl w:val="0"/>
          <w:numId w:val="7"/>
        </w:numPr>
        <w:ind w:left="0" w:firstLine="0"/>
        <w:contextualSpacing w:val="0"/>
        <w:rPr>
          <w:szCs w:val="22"/>
        </w:rPr>
      </w:pPr>
      <w:r w:rsidRPr="003678B0">
        <w:t>On June 24, 2012, the Beijing Diplomatic Conference on the Protection of Audiovisual Performances adopted by consensus the B</w:t>
      </w:r>
      <w:r>
        <w:t xml:space="preserve">eijing Treaty, which was </w:t>
      </w:r>
      <w:r w:rsidRPr="003678B0">
        <w:t>opened for signature on June 26, 2012.  In accordance with Article</w:t>
      </w:r>
      <w:r>
        <w:t> </w:t>
      </w:r>
      <w:r w:rsidRPr="003678B0">
        <w:t>25</w:t>
      </w:r>
      <w:r>
        <w:t xml:space="preserve"> of the Beijing Treaty</w:t>
      </w:r>
      <w:r w:rsidRPr="003678B0">
        <w:t>, the Treaty remained open for signature at the headquarters of WIPO for one year after its adoption,</w:t>
      </w:r>
      <w:r>
        <w:t xml:space="preserve"> that is, </w:t>
      </w:r>
    </w:p>
    <w:p w:rsidR="00016319" w:rsidRPr="00275B36" w:rsidRDefault="00016319" w:rsidP="00016319">
      <w:pPr>
        <w:pStyle w:val="ListParagraph"/>
        <w:spacing w:after="240"/>
        <w:ind w:left="0"/>
        <w:contextualSpacing w:val="0"/>
        <w:rPr>
          <w:szCs w:val="22"/>
        </w:rPr>
      </w:pPr>
      <w:r>
        <w:t>until June 24, 2013.</w:t>
      </w:r>
    </w:p>
    <w:p w:rsidR="00016319" w:rsidRDefault="00016319" w:rsidP="00016319">
      <w:pPr>
        <w:pStyle w:val="ListParagraph"/>
        <w:numPr>
          <w:ilvl w:val="0"/>
          <w:numId w:val="7"/>
        </w:numPr>
        <w:spacing w:after="240"/>
        <w:ind w:left="0" w:firstLine="0"/>
        <w:contextualSpacing w:val="0"/>
      </w:pPr>
      <w:r w:rsidRPr="003678B0">
        <w:t>As of June 24,</w:t>
      </w:r>
      <w:r>
        <w:t xml:space="preserve"> 2013, the </w:t>
      </w:r>
      <w:r w:rsidRPr="00A36530">
        <w:t>74</w:t>
      </w:r>
      <w:r>
        <w:t xml:space="preserve"> eligible parties</w:t>
      </w:r>
      <w:r w:rsidRPr="003678B0">
        <w:t xml:space="preserve"> listed in Annex </w:t>
      </w:r>
      <w:r>
        <w:t>I had signed the Treaty.</w:t>
      </w:r>
    </w:p>
    <w:p w:rsidR="000D4087" w:rsidRPr="003678B0" w:rsidRDefault="00945F73" w:rsidP="00945F73">
      <w:pPr>
        <w:pStyle w:val="Heading1"/>
        <w:spacing w:after="220"/>
      </w:pPr>
      <w:r>
        <w:t>B.</w:t>
      </w:r>
      <w:r>
        <w:tab/>
      </w:r>
      <w:r w:rsidR="000D4087">
        <w:t>BEIJING TREATY ENTRY INTO FORCE</w:t>
      </w:r>
    </w:p>
    <w:p w:rsidR="00FA2EAE" w:rsidRDefault="00016319" w:rsidP="00FA2EAE">
      <w:pPr>
        <w:pStyle w:val="ListParagraph"/>
        <w:numPr>
          <w:ilvl w:val="0"/>
          <w:numId w:val="7"/>
        </w:numPr>
        <w:spacing w:after="240"/>
        <w:ind w:left="0" w:firstLine="0"/>
        <w:contextualSpacing w:val="0"/>
      </w:pPr>
      <w:r>
        <w:t xml:space="preserve">Article 26 </w:t>
      </w:r>
      <w:r w:rsidR="00812A40">
        <w:t xml:space="preserve">provides that the </w:t>
      </w:r>
      <w:r w:rsidRPr="003678B0">
        <w:t>Treaty shall enter i</w:t>
      </w:r>
      <w:r>
        <w:t xml:space="preserve">nto force three months after 30 eligible parties, </w:t>
      </w:r>
      <w:r w:rsidRPr="003678B0">
        <w:t>as defined in Article 23 of the Treaty, have deposited their instruments of ratification or accession.</w:t>
      </w:r>
    </w:p>
    <w:p w:rsidR="00812A40" w:rsidRDefault="000D4087" w:rsidP="00FA2EAE">
      <w:pPr>
        <w:pStyle w:val="ListParagraph"/>
        <w:numPr>
          <w:ilvl w:val="0"/>
          <w:numId w:val="7"/>
        </w:numPr>
        <w:spacing w:after="240"/>
        <w:ind w:left="0" w:firstLine="0"/>
        <w:contextualSpacing w:val="0"/>
      </w:pPr>
      <w:r>
        <w:lastRenderedPageBreak/>
        <w:t xml:space="preserve">On </w:t>
      </w:r>
      <w:r w:rsidRPr="00FA2EAE">
        <w:rPr>
          <w:color w:val="222222"/>
          <w:shd w:val="clear" w:color="auto" w:fill="FFFFFF"/>
        </w:rPr>
        <w:t>April 28, 2020</w:t>
      </w:r>
      <w:r>
        <w:rPr>
          <w:color w:val="222222"/>
          <w:shd w:val="clear" w:color="auto" w:fill="FFFFFF"/>
        </w:rPr>
        <w:t>,</w:t>
      </w:r>
      <w:r w:rsidRPr="00FA2EAE">
        <w:rPr>
          <w:color w:val="222222"/>
          <w:shd w:val="clear" w:color="auto" w:fill="FFFFFF"/>
        </w:rPr>
        <w:t xml:space="preserve"> </w:t>
      </w:r>
      <w:r>
        <w:t>t</w:t>
      </w:r>
      <w:r w:rsidR="00FA2EAE">
        <w:t xml:space="preserve">he </w:t>
      </w:r>
      <w:r w:rsidR="00812A40">
        <w:t xml:space="preserve">Beijing </w:t>
      </w:r>
      <w:r w:rsidR="00FA2EAE">
        <w:t xml:space="preserve">Treaty entered into </w:t>
      </w:r>
      <w:r>
        <w:t>force</w:t>
      </w:r>
      <w:r w:rsidR="00812A40">
        <w:t>.</w:t>
      </w:r>
      <w:r>
        <w:t xml:space="preserve"> </w:t>
      </w:r>
    </w:p>
    <w:p w:rsidR="00FA2EAE" w:rsidRPr="00490464" w:rsidRDefault="00FA2EAE" w:rsidP="00FA2EAE">
      <w:pPr>
        <w:pStyle w:val="ListParagraph"/>
        <w:numPr>
          <w:ilvl w:val="0"/>
          <w:numId w:val="7"/>
        </w:numPr>
        <w:spacing w:after="240"/>
        <w:ind w:left="0" w:firstLine="0"/>
        <w:contextualSpacing w:val="0"/>
      </w:pPr>
      <w:r w:rsidRPr="00FA2EAE">
        <w:rPr>
          <w:color w:val="222222"/>
          <w:shd w:val="clear" w:color="auto" w:fill="FFFFFF"/>
        </w:rPr>
        <w:t xml:space="preserve">Indonesia </w:t>
      </w:r>
      <w:r w:rsidR="00812A40">
        <w:rPr>
          <w:color w:val="222222"/>
          <w:shd w:val="clear" w:color="auto" w:fill="FFFFFF"/>
        </w:rPr>
        <w:t>w</w:t>
      </w:r>
      <w:r w:rsidR="000D4087">
        <w:rPr>
          <w:color w:val="222222"/>
          <w:shd w:val="clear" w:color="auto" w:fill="FFFFFF"/>
        </w:rPr>
        <w:t xml:space="preserve">as </w:t>
      </w:r>
      <w:r>
        <w:rPr>
          <w:color w:val="222222"/>
          <w:shd w:val="clear" w:color="auto" w:fill="FFFFFF"/>
        </w:rPr>
        <w:t>the 30</w:t>
      </w:r>
      <w:r w:rsidRPr="00FA2EAE">
        <w:rPr>
          <w:color w:val="222222"/>
          <w:shd w:val="clear" w:color="auto" w:fill="FFFFFF"/>
          <w:vertAlign w:val="superscript"/>
        </w:rPr>
        <w:t>th</w:t>
      </w:r>
      <w:r>
        <w:rPr>
          <w:color w:val="222222"/>
          <w:shd w:val="clear" w:color="auto" w:fill="FFFFFF"/>
        </w:rPr>
        <w:t xml:space="preserve"> contracting party to deposit its instrument </w:t>
      </w:r>
      <w:r w:rsidR="00650316">
        <w:rPr>
          <w:color w:val="222222"/>
          <w:shd w:val="clear" w:color="auto" w:fill="FFFFFF"/>
        </w:rPr>
        <w:t xml:space="preserve">of ratification of the Beijing Treaty </w:t>
      </w:r>
      <w:r>
        <w:rPr>
          <w:color w:val="222222"/>
          <w:shd w:val="clear" w:color="auto" w:fill="FFFFFF"/>
        </w:rPr>
        <w:t>on January 28, 2020.</w:t>
      </w:r>
    </w:p>
    <w:p w:rsidR="00FA2EAE" w:rsidRDefault="00945F73" w:rsidP="00945F73">
      <w:pPr>
        <w:pStyle w:val="Heading1"/>
      </w:pPr>
      <w:r>
        <w:t>C.</w:t>
      </w:r>
      <w:r>
        <w:tab/>
      </w:r>
      <w:r w:rsidR="000D4087">
        <w:t>BEIJING TREATY RATIFICATION AND ACCESSION</w:t>
      </w:r>
    </w:p>
    <w:p w:rsidR="00A8619B" w:rsidRPr="00490464" w:rsidRDefault="00A8619B" w:rsidP="000D4087">
      <w:pPr>
        <w:pStyle w:val="ListParagraph"/>
        <w:numPr>
          <w:ilvl w:val="0"/>
          <w:numId w:val="7"/>
        </w:numPr>
        <w:spacing w:after="240"/>
        <w:ind w:left="0" w:firstLine="0"/>
        <w:contextualSpacing w:val="0"/>
      </w:pPr>
      <w:r>
        <w:t xml:space="preserve">As of </w:t>
      </w:r>
      <w:r w:rsidR="000D4087">
        <w:t>the date indicated in Annex II</w:t>
      </w:r>
      <w:r>
        <w:t>,</w:t>
      </w:r>
      <w:r w:rsidR="000D4087">
        <w:t xml:space="preserve"> the 33 WIPO Member States </w:t>
      </w:r>
      <w:r w:rsidRPr="003678B0">
        <w:t xml:space="preserve">listed in Annex </w:t>
      </w:r>
      <w:r>
        <w:t>I</w:t>
      </w:r>
      <w:r w:rsidR="00FA2EAE">
        <w:t>I</w:t>
      </w:r>
      <w:r>
        <w:t xml:space="preserve"> </w:t>
      </w:r>
      <w:r w:rsidR="00FA2EAE">
        <w:t xml:space="preserve">have </w:t>
      </w:r>
      <w:r w:rsidR="000D4087">
        <w:t>ratified</w:t>
      </w:r>
      <w:r w:rsidR="00FA2EAE">
        <w:t xml:space="preserve"> </w:t>
      </w:r>
      <w:r w:rsidR="000D4087">
        <w:t>or acceded to the Beijing</w:t>
      </w:r>
      <w:r w:rsidR="00FA2EAE">
        <w:t xml:space="preserve"> </w:t>
      </w:r>
      <w:r>
        <w:t>Treaty.</w:t>
      </w:r>
    </w:p>
    <w:p w:rsidR="000D4087" w:rsidRDefault="00945F73" w:rsidP="00945F73">
      <w:pPr>
        <w:pStyle w:val="Heading1"/>
        <w:spacing w:after="220"/>
      </w:pPr>
      <w:r>
        <w:t>D.</w:t>
      </w:r>
      <w:r>
        <w:tab/>
      </w:r>
      <w:r w:rsidR="000D4087">
        <w:t xml:space="preserve">BEIJING TREATY INFORMATION </w:t>
      </w:r>
    </w:p>
    <w:p w:rsidR="00A222AB" w:rsidRPr="008966EE" w:rsidRDefault="00127D51" w:rsidP="00A222AB">
      <w:pPr>
        <w:pStyle w:val="ListParagraph"/>
        <w:keepNext/>
        <w:keepLines/>
        <w:numPr>
          <w:ilvl w:val="0"/>
          <w:numId w:val="7"/>
        </w:numPr>
        <w:spacing w:after="220"/>
        <w:ind w:left="0" w:firstLine="0"/>
        <w:contextualSpacing w:val="0"/>
        <w:rPr>
          <w:lang w:eastAsia="en-US"/>
        </w:rPr>
      </w:pPr>
      <w:r w:rsidRPr="008F248E">
        <w:rPr>
          <w:lang w:eastAsia="en-US"/>
        </w:rPr>
        <w:t>Further information about the</w:t>
      </w:r>
      <w:r w:rsidR="00A222AB" w:rsidRPr="00127D51">
        <w:rPr>
          <w:lang w:eastAsia="en-US"/>
        </w:rPr>
        <w:t xml:space="preserve"> B</w:t>
      </w:r>
      <w:r w:rsidR="00A222AB">
        <w:rPr>
          <w:lang w:eastAsia="en-US"/>
        </w:rPr>
        <w:t>eijing</w:t>
      </w:r>
      <w:r w:rsidR="00A222AB" w:rsidRPr="008966EE">
        <w:rPr>
          <w:lang w:eastAsia="en-US"/>
        </w:rPr>
        <w:t xml:space="preserve"> Treaty </w:t>
      </w:r>
      <w:r>
        <w:rPr>
          <w:lang w:eastAsia="en-US"/>
        </w:rPr>
        <w:t>is</w:t>
      </w:r>
      <w:r w:rsidR="00A222AB" w:rsidRPr="008966EE">
        <w:rPr>
          <w:lang w:eastAsia="en-US"/>
        </w:rPr>
        <w:t xml:space="preserve"> published on the WIPO website</w:t>
      </w:r>
      <w:r w:rsidR="00A222AB" w:rsidRPr="00243011">
        <w:rPr>
          <w:lang w:eastAsia="en-US"/>
        </w:rPr>
        <w:t xml:space="preserve"> </w:t>
      </w:r>
      <w:r w:rsidR="00A222AB">
        <w:rPr>
          <w:lang w:eastAsia="en-US"/>
        </w:rPr>
        <w:t xml:space="preserve">at </w:t>
      </w:r>
      <w:hyperlink r:id="rId9" w:history="1">
        <w:r w:rsidR="00812A40">
          <w:rPr>
            <w:rStyle w:val="Hyperlink"/>
          </w:rPr>
          <w:t>https://www.wipo.int/beijing_treaty/en</w:t>
        </w:r>
      </w:hyperlink>
      <w:r w:rsidR="00812A40">
        <w:t xml:space="preserve">. </w:t>
      </w:r>
    </w:p>
    <w:p w:rsidR="00016319" w:rsidRDefault="00945F73" w:rsidP="00945F73">
      <w:pPr>
        <w:pStyle w:val="Heading1"/>
        <w:spacing w:after="220"/>
      </w:pPr>
      <w:r>
        <w:t>E.</w:t>
      </w:r>
      <w:r>
        <w:tab/>
      </w:r>
      <w:r w:rsidR="00016319" w:rsidRPr="00016319">
        <w:t>BEIJING TREATY PROMOTION</w:t>
      </w:r>
    </w:p>
    <w:p w:rsidR="0038773E" w:rsidRDefault="00787C07" w:rsidP="00236CB0">
      <w:pPr>
        <w:pStyle w:val="ListParagraph"/>
        <w:keepNext/>
        <w:keepLines/>
        <w:numPr>
          <w:ilvl w:val="0"/>
          <w:numId w:val="7"/>
        </w:numPr>
        <w:spacing w:after="220"/>
        <w:ind w:left="0" w:firstLine="0"/>
        <w:contextualSpacing w:val="0"/>
      </w:pPr>
      <w:r>
        <w:t xml:space="preserve">From </w:t>
      </w:r>
      <w:r w:rsidR="00665141">
        <w:t>July 2019</w:t>
      </w:r>
      <w:r>
        <w:t xml:space="preserve"> to February 2020</w:t>
      </w:r>
      <w:r w:rsidR="00C35B40">
        <w:t xml:space="preserve">, the Secretariat </w:t>
      </w:r>
      <w:r w:rsidR="00016319" w:rsidRPr="00016319">
        <w:t xml:space="preserve">organized </w:t>
      </w:r>
      <w:r w:rsidR="00D81B12">
        <w:t xml:space="preserve">18 </w:t>
      </w:r>
      <w:r w:rsidR="00016319" w:rsidRPr="00016319">
        <w:t xml:space="preserve">international, regional, and sub regional events for the promotion of the Beijing Treaty, namely in </w:t>
      </w:r>
      <w:r w:rsidR="005E7878">
        <w:t>Luanda (Angola), Paro</w:t>
      </w:r>
      <w:r w:rsidR="005E7878" w:rsidRPr="00EC4720">
        <w:t xml:space="preserve"> </w:t>
      </w:r>
      <w:r w:rsidR="005E7878">
        <w:t xml:space="preserve">(Bhutan), </w:t>
      </w:r>
      <w:r w:rsidR="00665141">
        <w:t xml:space="preserve">Thimphu </w:t>
      </w:r>
      <w:r w:rsidR="00016319" w:rsidRPr="00016319">
        <w:t>(</w:t>
      </w:r>
      <w:r w:rsidR="00665141">
        <w:t>Bhutan</w:t>
      </w:r>
      <w:r w:rsidR="00016319" w:rsidRPr="00016319">
        <w:t>),</w:t>
      </w:r>
      <w:r w:rsidR="005E7878">
        <w:t xml:space="preserve"> Phnom Penh (</w:t>
      </w:r>
      <w:r w:rsidR="005E7878" w:rsidRPr="00EC4720">
        <w:t>Cambodia</w:t>
      </w:r>
      <w:r w:rsidR="005E7878">
        <w:t>), Chengdu (</w:t>
      </w:r>
      <w:r w:rsidR="005E7878" w:rsidRPr="00EC4720">
        <w:t>China</w:t>
      </w:r>
      <w:r w:rsidR="005E7878">
        <w:t>)</w:t>
      </w:r>
      <w:r w:rsidR="005E7878" w:rsidRPr="00EC4720">
        <w:t>,</w:t>
      </w:r>
      <w:r w:rsidR="005E7878">
        <w:t xml:space="preserve"> Nanjing (</w:t>
      </w:r>
      <w:r w:rsidR="005E7878" w:rsidRPr="00EC4720">
        <w:t>China</w:t>
      </w:r>
      <w:r w:rsidR="0038773E">
        <w:t>)</w:t>
      </w:r>
      <w:r w:rsidR="005E7878">
        <w:t>, Santo Domingo (</w:t>
      </w:r>
      <w:r w:rsidR="005E7878" w:rsidRPr="00EC4720">
        <w:t>Dominican Republic</w:t>
      </w:r>
      <w:r w:rsidR="005E7878">
        <w:t>), Cairo</w:t>
      </w:r>
      <w:r w:rsidR="005E7878" w:rsidRPr="00EC4720">
        <w:t xml:space="preserve"> </w:t>
      </w:r>
      <w:r w:rsidR="005E7878">
        <w:t>(</w:t>
      </w:r>
      <w:r w:rsidR="005E7878" w:rsidRPr="00EC4720">
        <w:t>Egypt</w:t>
      </w:r>
      <w:r w:rsidR="005E7878">
        <w:t>),</w:t>
      </w:r>
      <w:r w:rsidR="005E7878" w:rsidRPr="005E7878">
        <w:t xml:space="preserve"> </w:t>
      </w:r>
      <w:r w:rsidR="005E7878">
        <w:t>Tokyo (</w:t>
      </w:r>
      <w:r w:rsidR="005E7878" w:rsidRPr="0036627A">
        <w:t>Japan</w:t>
      </w:r>
      <w:r w:rsidR="005E7878">
        <w:t>), Nouakchott (</w:t>
      </w:r>
      <w:r w:rsidR="005E7878" w:rsidRPr="00EC4720">
        <w:t>Mauritania</w:t>
      </w:r>
      <w:r w:rsidR="005E7878">
        <w:t>), Mexico City (Mexico), Port Moresby (</w:t>
      </w:r>
      <w:r w:rsidR="005E7878" w:rsidRPr="00665141">
        <w:t>Papua New Guinea</w:t>
      </w:r>
      <w:r w:rsidR="005E7878">
        <w:t>),</w:t>
      </w:r>
      <w:r w:rsidR="005E7878" w:rsidRPr="005E7878">
        <w:t xml:space="preserve"> </w:t>
      </w:r>
      <w:r w:rsidR="005E7878">
        <w:t>Asuncion (</w:t>
      </w:r>
      <w:r w:rsidR="005E7878" w:rsidRPr="0036627A">
        <w:t>Paraguay</w:t>
      </w:r>
      <w:r w:rsidR="005E7878">
        <w:t>), Seoul (</w:t>
      </w:r>
      <w:r w:rsidR="005E7878" w:rsidRPr="00EC4720">
        <w:t>Republic of Korea</w:t>
      </w:r>
      <w:r w:rsidR="005E7878">
        <w:t xml:space="preserve">), Kigali (Rwanda), </w:t>
      </w:r>
      <w:r w:rsidR="00665141">
        <w:t xml:space="preserve">Madrid (Spain), </w:t>
      </w:r>
      <w:r w:rsidR="005E7878">
        <w:t xml:space="preserve">Port of Spain (Trinidad and Tobago), </w:t>
      </w:r>
      <w:r w:rsidR="00C35B40">
        <w:t xml:space="preserve">and </w:t>
      </w:r>
      <w:r w:rsidR="005E7878">
        <w:t>Port Vila (</w:t>
      </w:r>
      <w:r w:rsidR="005E7878" w:rsidRPr="00EC4720">
        <w:t>Vanuatu</w:t>
      </w:r>
      <w:r w:rsidR="005E7878">
        <w:t>).</w:t>
      </w:r>
      <w:r>
        <w:t xml:space="preserve"> </w:t>
      </w:r>
      <w:r w:rsidR="00C35B40">
        <w:t xml:space="preserve"> </w:t>
      </w:r>
      <w:r>
        <w:t xml:space="preserve">Since March 2020, </w:t>
      </w:r>
      <w:r w:rsidRPr="00016319">
        <w:t>the Secretariat has organized</w:t>
      </w:r>
      <w:r>
        <w:t xml:space="preserve"> </w:t>
      </w:r>
      <w:r w:rsidR="00534BC3">
        <w:t xml:space="preserve">three </w:t>
      </w:r>
      <w:r>
        <w:t xml:space="preserve">virtual meetings and seminars for the promotion of </w:t>
      </w:r>
      <w:r w:rsidRPr="00016319">
        <w:t>the Beijing Treaty</w:t>
      </w:r>
      <w:r w:rsidR="00C35B40">
        <w:t>,</w:t>
      </w:r>
      <w:r>
        <w:t xml:space="preserve"> namely with </w:t>
      </w:r>
      <w:r w:rsidR="00C35B40">
        <w:t>Colo</w:t>
      </w:r>
      <w:r w:rsidR="00236CB0">
        <w:t>mbia,</w:t>
      </w:r>
      <w:r>
        <w:t xml:space="preserve"> Nigeria and Ukraine.</w:t>
      </w:r>
    </w:p>
    <w:p w:rsidR="00016319" w:rsidRDefault="00016319" w:rsidP="008E7C63">
      <w:pPr>
        <w:pStyle w:val="ListParagraph"/>
        <w:numPr>
          <w:ilvl w:val="0"/>
          <w:numId w:val="7"/>
        </w:numPr>
        <w:spacing w:after="220"/>
        <w:ind w:left="0" w:firstLine="0"/>
        <w:contextualSpacing w:val="0"/>
      </w:pPr>
      <w:r w:rsidRPr="00016319">
        <w:t>The Secretariat has also engaged in a number of activities, including legislative assistance, at the national level.</w:t>
      </w:r>
    </w:p>
    <w:p w:rsidR="00693D74" w:rsidRPr="00693D74" w:rsidRDefault="00693D74" w:rsidP="008E7C63">
      <w:pPr>
        <w:pStyle w:val="ListParagraph"/>
        <w:numPr>
          <w:ilvl w:val="0"/>
          <w:numId w:val="7"/>
        </w:numPr>
        <w:spacing w:after="720"/>
        <w:ind w:left="5587" w:firstLine="0"/>
        <w:rPr>
          <w:szCs w:val="22"/>
        </w:rPr>
      </w:pPr>
      <w:r w:rsidRPr="00693D74">
        <w:rPr>
          <w:i/>
        </w:rPr>
        <w:t xml:space="preserve">The Assembly of the </w:t>
      </w:r>
      <w:r>
        <w:rPr>
          <w:i/>
        </w:rPr>
        <w:t>Beijing</w:t>
      </w:r>
      <w:r w:rsidRPr="00693D74">
        <w:rPr>
          <w:i/>
        </w:rPr>
        <w:t xml:space="preserve"> Treaty is invited to take note of the “Status of the </w:t>
      </w:r>
      <w:r>
        <w:rPr>
          <w:i/>
        </w:rPr>
        <w:t xml:space="preserve">Beijing </w:t>
      </w:r>
      <w:r w:rsidRPr="00693D74">
        <w:rPr>
          <w:i/>
        </w:rPr>
        <w:t>Treaty” (document BTAP/A/1/2).</w:t>
      </w:r>
    </w:p>
    <w:p w:rsidR="00C13753" w:rsidRDefault="00016319" w:rsidP="008E7C63">
      <w:pPr>
        <w:spacing w:after="220"/>
        <w:ind w:left="5580"/>
      </w:pPr>
      <w:r w:rsidRPr="00016319">
        <w:t>[Annexes follow]</w:t>
      </w:r>
    </w:p>
    <w:p w:rsidR="00C13753" w:rsidRDefault="00C13753" w:rsidP="00016319">
      <w:pPr>
        <w:spacing w:after="220"/>
        <w:ind w:left="4536" w:firstLine="567"/>
        <w:sectPr w:rsidR="00C13753" w:rsidSect="0062417E">
          <w:headerReference w:type="default" r:id="rId10"/>
          <w:endnotePr>
            <w:numFmt w:val="decimal"/>
          </w:endnotePr>
          <w:pgSz w:w="11907" w:h="16840" w:code="9"/>
          <w:pgMar w:top="567" w:right="1134" w:bottom="1418" w:left="1418" w:header="432" w:footer="1021" w:gutter="0"/>
          <w:cols w:space="720"/>
          <w:titlePg/>
          <w:docGrid w:linePitch="299"/>
        </w:sectPr>
      </w:pPr>
    </w:p>
    <w:p w:rsidR="00812A40" w:rsidRDefault="00812A40" w:rsidP="00945F73">
      <w:pPr>
        <w:pStyle w:val="Heading2"/>
        <w:spacing w:after="220"/>
      </w:pPr>
      <w:r w:rsidRPr="00167EAE">
        <w:lastRenderedPageBreak/>
        <w:t>SIGNATORIES OF THE BEIJING TREATY ON AUDIOVISUAL PERFORMANCES</w:t>
      </w:r>
      <w:r>
        <w:t xml:space="preserve"> (</w:t>
      </w:r>
      <w:r w:rsidR="00945F73">
        <w:rPr>
          <w:caps w:val="0"/>
        </w:rPr>
        <w:t>as of</w:t>
      </w:r>
      <w:r>
        <w:t> </w:t>
      </w:r>
      <w:r w:rsidR="00945F73">
        <w:rPr>
          <w:caps w:val="0"/>
        </w:rPr>
        <w:t>June </w:t>
      </w:r>
      <w:r w:rsidRPr="003678B0">
        <w:t>24, 2013)</w:t>
      </w:r>
    </w:p>
    <w:p w:rsidR="00812A40" w:rsidRPr="00490464" w:rsidRDefault="00812A40" w:rsidP="00812A40">
      <w:pPr>
        <w:spacing w:after="240"/>
      </w:pPr>
      <w:r>
        <w:t>The following eligible parties</w:t>
      </w:r>
      <w:r w:rsidRPr="003678B0">
        <w:t xml:space="preserve"> signed the Beijing Treaty on Audiovisual Performances:  </w:t>
      </w:r>
      <w:r>
        <w:t xml:space="preserve">Austria, Belgium, Botswana, Bulgaria, </w:t>
      </w:r>
      <w:r w:rsidRPr="003678B0">
        <w:t xml:space="preserve">Burkina Faso, Burundi, Cameroon, Central African Republic, Chad, Chile, China, Colombia, Congo, Costa Rica, Côte d’Ivoire, Cyprus, </w:t>
      </w:r>
      <w:r>
        <w:t xml:space="preserve">Czech Republic, </w:t>
      </w:r>
      <w:r w:rsidRPr="003678B0">
        <w:t xml:space="preserve">Democratic People’s Republic of Korea, Denmark, Djibouti, </w:t>
      </w:r>
      <w:r>
        <w:t xml:space="preserve">El Salvador, Estonia, European Union, Finland, </w:t>
      </w:r>
      <w:r w:rsidRPr="003678B0">
        <w:t xml:space="preserve">France, </w:t>
      </w:r>
      <w:r>
        <w:t xml:space="preserve">Germany, </w:t>
      </w:r>
      <w:r w:rsidRPr="003678B0">
        <w:t xml:space="preserve">Ghana, </w:t>
      </w:r>
      <w:r>
        <w:t xml:space="preserve">Greece, </w:t>
      </w:r>
      <w:r w:rsidRPr="003678B0">
        <w:t xml:space="preserve">Grenada, </w:t>
      </w:r>
      <w:r>
        <w:t xml:space="preserve">Guatemala, </w:t>
      </w:r>
      <w:r w:rsidRPr="003678B0">
        <w:t xml:space="preserve">Guinea, Haiti, </w:t>
      </w:r>
      <w:r>
        <w:t xml:space="preserve">Honduras, </w:t>
      </w:r>
      <w:r w:rsidRPr="003678B0">
        <w:t xml:space="preserve">Hungary, </w:t>
      </w:r>
      <w:r>
        <w:t xml:space="preserve">Indonesia, Ireland, </w:t>
      </w:r>
      <w:r w:rsidRPr="003678B0">
        <w:t xml:space="preserve">Italy, Jamaica, Jordan, Kenya, </w:t>
      </w:r>
      <w:r>
        <w:t xml:space="preserve">Luxembourg, </w:t>
      </w:r>
      <w:r w:rsidRPr="003678B0">
        <w:t xml:space="preserve">Madagascar, Mali, Mauritania, Mauritius, Mexico, Mongolia, </w:t>
      </w:r>
      <w:r>
        <w:t xml:space="preserve">Montenegro, </w:t>
      </w:r>
      <w:r w:rsidRPr="003678B0">
        <w:t xml:space="preserve">Morocco, Namibia, </w:t>
      </w:r>
      <w:r>
        <w:t xml:space="preserve">Netherlands, </w:t>
      </w:r>
      <w:r w:rsidRPr="003678B0">
        <w:t xml:space="preserve">Nicaragua, Peru, </w:t>
      </w:r>
      <w:r>
        <w:t xml:space="preserve">Poland, Qatar, </w:t>
      </w:r>
      <w:r w:rsidRPr="003678B0">
        <w:t xml:space="preserve">Republic of Moldova, </w:t>
      </w:r>
      <w:r>
        <w:t xml:space="preserve">Romania, </w:t>
      </w:r>
      <w:r w:rsidRPr="003678B0">
        <w:t xml:space="preserve">Sao Tome and Principe, Senegal, Seychelles, Sierra Leone, </w:t>
      </w:r>
      <w:r>
        <w:t xml:space="preserve">Slovenia, </w:t>
      </w:r>
      <w:r w:rsidRPr="003678B0">
        <w:t xml:space="preserve">Spain, Sudan, </w:t>
      </w:r>
      <w:r>
        <w:t xml:space="preserve">Sweden, </w:t>
      </w:r>
      <w:r w:rsidRPr="003678B0">
        <w:t xml:space="preserve">Switzerland, Syrian Arab Republic, Togo, Tunisia, </w:t>
      </w:r>
      <w:r>
        <w:t xml:space="preserve">Uganda, United Kingdom, </w:t>
      </w:r>
      <w:r w:rsidRPr="003678B0">
        <w:t>United States of America, Zambia</w:t>
      </w:r>
      <w:r>
        <w:t>, and Zimbabwe</w:t>
      </w:r>
      <w:r w:rsidRPr="003678B0">
        <w:t xml:space="preserve"> </w:t>
      </w:r>
      <w:r w:rsidRPr="00490464">
        <w:t>(74).</w:t>
      </w:r>
    </w:p>
    <w:p w:rsidR="00812A40" w:rsidRDefault="00812A40">
      <w:pPr>
        <w:spacing w:before="720"/>
        <w:ind w:left="5533"/>
      </w:pPr>
      <w:r w:rsidRPr="003456BE">
        <w:t>[Annex II follows]</w:t>
      </w:r>
    </w:p>
    <w:p w:rsidR="00C13753" w:rsidRDefault="00C13753" w:rsidP="008F248E">
      <w:pPr>
        <w:spacing w:before="720"/>
        <w:ind w:left="8368"/>
        <w:sectPr w:rsidR="00C13753" w:rsidSect="008F248E">
          <w:headerReference w:type="first" r:id="rId11"/>
          <w:endnotePr>
            <w:numFmt w:val="decimal"/>
          </w:endnotePr>
          <w:pgSz w:w="11907" w:h="16840" w:code="9"/>
          <w:pgMar w:top="567" w:right="1134" w:bottom="1418" w:left="1418" w:header="432" w:footer="1021" w:gutter="0"/>
          <w:cols w:space="720"/>
          <w:titlePg/>
          <w:docGrid w:linePitch="299"/>
        </w:sectPr>
      </w:pPr>
    </w:p>
    <w:p w:rsidR="00812A40" w:rsidRPr="003678B0" w:rsidRDefault="00812A40" w:rsidP="00945F73">
      <w:pPr>
        <w:pStyle w:val="Heading2"/>
        <w:spacing w:after="220"/>
      </w:pPr>
      <w:r w:rsidRPr="003678B0">
        <w:lastRenderedPageBreak/>
        <w:t>RATIFICATIONS O</w:t>
      </w:r>
      <w:r>
        <w:t xml:space="preserve">R Accessions TO </w:t>
      </w:r>
      <w:r w:rsidRPr="003678B0">
        <w:t>THE BEIJING TRE</w:t>
      </w:r>
      <w:r>
        <w:t>ATY ON AUDIOVISUAL PERFORMANCES (</w:t>
      </w:r>
      <w:r>
        <w:rPr>
          <w:caps w:val="0"/>
        </w:rPr>
        <w:t xml:space="preserve">as of July </w:t>
      </w:r>
      <w:r>
        <w:t>10, 2020</w:t>
      </w:r>
      <w:r w:rsidRPr="003678B0">
        <w:t>)</w:t>
      </w:r>
    </w:p>
    <w:p w:rsidR="00812A40" w:rsidRPr="003678B0" w:rsidRDefault="00812A40" w:rsidP="00812A40">
      <w:r w:rsidRPr="003678B0">
        <w:t>The following</w:t>
      </w:r>
      <w:r>
        <w:t xml:space="preserve"> Member States ratified or acceded to </w:t>
      </w:r>
      <w:r w:rsidRPr="003678B0">
        <w:t xml:space="preserve">the Beijing Treaty on Audiovisual Performances:  </w:t>
      </w:r>
      <w:r>
        <w:t xml:space="preserve">Algeria, Belize, Botswana, Burkina Faso, Cambodia, Chile, China, Cook Islands, Democratic People’s Republic of Korea, Dominican Republic, El Salvador, Gabon, Indonesia, Japan, Kenya, Mali, Marshall Islands, Nigeria, Peru, Qatar, Republic of Korea, Republic of Moldova, Russian Federation, Saint Vincent and the Grenadines, Samoa, Slovakia, Switzerland, Syrian Arab Republic, </w:t>
      </w:r>
      <w:r w:rsidR="00665141">
        <w:t xml:space="preserve">Trinidad and Tobago, </w:t>
      </w:r>
      <w:r>
        <w:t>Tunisia, United Arab Emirates</w:t>
      </w:r>
      <w:r w:rsidR="00665141">
        <w:t>, Vanuatu and Zimbabwe</w:t>
      </w:r>
      <w:r>
        <w:t xml:space="preserve"> (33).</w:t>
      </w:r>
    </w:p>
    <w:p w:rsidR="00812A40" w:rsidRDefault="00812A40" w:rsidP="00812A40">
      <w:pPr>
        <w:spacing w:before="720"/>
        <w:ind w:left="5533"/>
      </w:pPr>
      <w:r>
        <w:t>[End of Annex II and of document]</w:t>
      </w:r>
    </w:p>
    <w:p w:rsidR="00016319" w:rsidRDefault="00016319" w:rsidP="00914515">
      <w:pPr>
        <w:spacing w:after="220"/>
      </w:pPr>
    </w:p>
    <w:sectPr w:rsidR="00016319" w:rsidSect="007D72BF">
      <w:headerReference w:type="first" r:id="rId12"/>
      <w:endnotePr>
        <w:numFmt w:val="decimal"/>
      </w:endnotePr>
      <w:pgSz w:w="11907" w:h="16840" w:code="9"/>
      <w:pgMar w:top="567" w:right="1134" w:bottom="1418" w:left="1418" w:header="432"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1EA" w:rsidRDefault="00B441EA">
      <w:r>
        <w:separator/>
      </w:r>
    </w:p>
  </w:endnote>
  <w:endnote w:type="continuationSeparator" w:id="0">
    <w:p w:rsidR="00B441EA" w:rsidRDefault="00B441EA" w:rsidP="003B38C1">
      <w:r>
        <w:separator/>
      </w:r>
    </w:p>
    <w:p w:rsidR="00B441EA" w:rsidRPr="003B38C1" w:rsidRDefault="00B441EA" w:rsidP="003B38C1">
      <w:pPr>
        <w:spacing w:after="60"/>
        <w:rPr>
          <w:sz w:val="17"/>
        </w:rPr>
      </w:pPr>
      <w:r>
        <w:rPr>
          <w:sz w:val="17"/>
        </w:rPr>
        <w:t>[Endnote continued from previous page]</w:t>
      </w:r>
    </w:p>
  </w:endnote>
  <w:endnote w:type="continuationNotice" w:id="1">
    <w:p w:rsidR="00B441EA" w:rsidRPr="003B38C1" w:rsidRDefault="00B441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1EA" w:rsidRDefault="00B441EA">
      <w:r>
        <w:separator/>
      </w:r>
    </w:p>
  </w:footnote>
  <w:footnote w:type="continuationSeparator" w:id="0">
    <w:p w:rsidR="00B441EA" w:rsidRDefault="00B441EA" w:rsidP="008B60B2">
      <w:r>
        <w:separator/>
      </w:r>
    </w:p>
    <w:p w:rsidR="00B441EA" w:rsidRPr="00ED77FB" w:rsidRDefault="00B441EA" w:rsidP="008B60B2">
      <w:pPr>
        <w:spacing w:after="60"/>
        <w:rPr>
          <w:sz w:val="17"/>
          <w:szCs w:val="17"/>
        </w:rPr>
      </w:pPr>
      <w:r w:rsidRPr="00ED77FB">
        <w:rPr>
          <w:sz w:val="17"/>
          <w:szCs w:val="17"/>
        </w:rPr>
        <w:t>[Footnote continued from previous page]</w:t>
      </w:r>
    </w:p>
  </w:footnote>
  <w:footnote w:type="continuationNotice" w:id="1">
    <w:p w:rsidR="00B441EA" w:rsidRPr="00ED77FB" w:rsidRDefault="00B441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2629AD" w:rsidP="00477D6B">
    <w:pPr>
      <w:jc w:val="right"/>
      <w:rPr>
        <w:caps/>
      </w:rPr>
    </w:pPr>
    <w:bookmarkStart w:id="6" w:name="Code2"/>
    <w:r>
      <w:rPr>
        <w:caps/>
      </w:rPr>
      <w:t>BTAP/</w:t>
    </w:r>
    <w:r w:rsidR="004304A2">
      <w:rPr>
        <w:caps/>
      </w:rPr>
      <w:t>A/</w:t>
    </w:r>
    <w:r>
      <w:rPr>
        <w:caps/>
      </w:rPr>
      <w:t>1</w:t>
    </w:r>
    <w:r w:rsidR="004304A2">
      <w:rPr>
        <w:caps/>
      </w:rPr>
      <w:t>/</w:t>
    </w:r>
    <w:r>
      <w:rPr>
        <w:caps/>
      </w:rPr>
      <w:t>2</w:t>
    </w:r>
  </w:p>
  <w:bookmarkEnd w:id="6"/>
  <w:p w:rsidR="00D07C78" w:rsidRDefault="00D81B12" w:rsidP="00477D6B">
    <w:pPr>
      <w:jc w:val="right"/>
    </w:pPr>
    <w:r>
      <w:t>p</w:t>
    </w:r>
    <w:r w:rsidR="00C13753">
      <w:t>age 2</w:t>
    </w:r>
  </w:p>
  <w:p w:rsidR="00D07C78" w:rsidRDefault="00D07C78" w:rsidP="00477D6B">
    <w:pPr>
      <w:jc w:val="right"/>
    </w:pPr>
  </w:p>
  <w:p w:rsidR="00B460F5" w:rsidRDefault="00B460F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17E" w:rsidRPr="00B25737" w:rsidRDefault="0062417E" w:rsidP="00C13753">
    <w:pPr>
      <w:jc w:val="right"/>
      <w:rPr>
        <w:caps/>
      </w:rPr>
    </w:pPr>
    <w:r>
      <w:rPr>
        <w:caps/>
      </w:rPr>
      <w:t>BTAP/A/1/2</w:t>
    </w:r>
  </w:p>
  <w:p w:rsidR="0062417E" w:rsidRDefault="0062417E" w:rsidP="00C13753">
    <w:pPr>
      <w:jc w:val="right"/>
    </w:pPr>
    <w:r>
      <w:t>A</w:t>
    </w:r>
    <w:r w:rsidR="00AF0EC8">
      <w:t>NNEX</w:t>
    </w:r>
    <w:r>
      <w:t xml:space="preserve"> I</w:t>
    </w:r>
  </w:p>
  <w:p w:rsidR="0062417E" w:rsidRPr="00C13753" w:rsidRDefault="0062417E" w:rsidP="00C13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753" w:rsidRPr="00B25737" w:rsidRDefault="00C13753" w:rsidP="00C13753">
    <w:pPr>
      <w:jc w:val="right"/>
      <w:rPr>
        <w:caps/>
      </w:rPr>
    </w:pPr>
    <w:r>
      <w:rPr>
        <w:caps/>
      </w:rPr>
      <w:t>BTAP/A/1/2</w:t>
    </w:r>
  </w:p>
  <w:p w:rsidR="00C13753" w:rsidRDefault="00AF0EC8" w:rsidP="00C13753">
    <w:pPr>
      <w:jc w:val="right"/>
    </w:pPr>
    <w:r>
      <w:t>ANNEX</w:t>
    </w:r>
    <w:r w:rsidR="00C13753">
      <w:t xml:space="preserve"> II</w:t>
    </w:r>
  </w:p>
  <w:p w:rsidR="00C13753" w:rsidRPr="00C13753" w:rsidRDefault="00C13753" w:rsidP="00C13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885031E"/>
    <w:multiLevelType w:val="hybridMultilevel"/>
    <w:tmpl w:val="C4B4C0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92025E"/>
    <w:multiLevelType w:val="hybridMultilevel"/>
    <w:tmpl w:val="443AE298"/>
    <w:lvl w:ilvl="0" w:tplc="F43AD62A">
      <w:start w:val="1"/>
      <w:numFmt w:val="decimal"/>
      <w:lvlText w:val="%1."/>
      <w:lvlJc w:val="left"/>
      <w:pPr>
        <w:ind w:left="486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4306C"/>
    <w:multiLevelType w:val="hybridMultilevel"/>
    <w:tmpl w:val="1AD6E772"/>
    <w:lvl w:ilvl="0" w:tplc="9AF2B486">
      <w:start w:val="10"/>
      <w:numFmt w:val="decimal"/>
      <w:lvlText w:val="%1."/>
      <w:lvlJc w:val="left"/>
      <w:pPr>
        <w:ind w:left="5463" w:hanging="360"/>
      </w:pPr>
      <w:rPr>
        <w:rFonts w:hint="default"/>
        <w:i/>
      </w:r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A2"/>
    <w:rsid w:val="00016319"/>
    <w:rsid w:val="00043CAA"/>
    <w:rsid w:val="00056816"/>
    <w:rsid w:val="00075432"/>
    <w:rsid w:val="0008338A"/>
    <w:rsid w:val="000968ED"/>
    <w:rsid w:val="000A3D97"/>
    <w:rsid w:val="000D4087"/>
    <w:rsid w:val="000F4CBC"/>
    <w:rsid w:val="000F5E56"/>
    <w:rsid w:val="00126656"/>
    <w:rsid w:val="00127D51"/>
    <w:rsid w:val="001362EE"/>
    <w:rsid w:val="001647D5"/>
    <w:rsid w:val="001714C7"/>
    <w:rsid w:val="001832A6"/>
    <w:rsid w:val="001B2EC9"/>
    <w:rsid w:val="001D4107"/>
    <w:rsid w:val="00203D24"/>
    <w:rsid w:val="0021217E"/>
    <w:rsid w:val="00236CB0"/>
    <w:rsid w:val="00243430"/>
    <w:rsid w:val="00260365"/>
    <w:rsid w:val="002629AD"/>
    <w:rsid w:val="002634C4"/>
    <w:rsid w:val="002928D3"/>
    <w:rsid w:val="002F0016"/>
    <w:rsid w:val="002F1FE6"/>
    <w:rsid w:val="002F3302"/>
    <w:rsid w:val="002F4E68"/>
    <w:rsid w:val="00312F7F"/>
    <w:rsid w:val="00361450"/>
    <w:rsid w:val="0036627A"/>
    <w:rsid w:val="003673CF"/>
    <w:rsid w:val="003845C1"/>
    <w:rsid w:val="0038773E"/>
    <w:rsid w:val="003A6F89"/>
    <w:rsid w:val="003B136F"/>
    <w:rsid w:val="003B38C1"/>
    <w:rsid w:val="003C34E9"/>
    <w:rsid w:val="00423E3E"/>
    <w:rsid w:val="00427AF4"/>
    <w:rsid w:val="004304A2"/>
    <w:rsid w:val="004647DA"/>
    <w:rsid w:val="00473B67"/>
    <w:rsid w:val="00474062"/>
    <w:rsid w:val="00477D6B"/>
    <w:rsid w:val="004C4384"/>
    <w:rsid w:val="005019FF"/>
    <w:rsid w:val="005203F5"/>
    <w:rsid w:val="0053057A"/>
    <w:rsid w:val="00534BC3"/>
    <w:rsid w:val="00556076"/>
    <w:rsid w:val="00556656"/>
    <w:rsid w:val="00560A29"/>
    <w:rsid w:val="00567501"/>
    <w:rsid w:val="005C6649"/>
    <w:rsid w:val="005E7878"/>
    <w:rsid w:val="00605827"/>
    <w:rsid w:val="0062417E"/>
    <w:rsid w:val="00646050"/>
    <w:rsid w:val="00650316"/>
    <w:rsid w:val="00665141"/>
    <w:rsid w:val="006713CA"/>
    <w:rsid w:val="00676C5C"/>
    <w:rsid w:val="00677BDF"/>
    <w:rsid w:val="00693D74"/>
    <w:rsid w:val="00720EFD"/>
    <w:rsid w:val="00787C07"/>
    <w:rsid w:val="00793A7C"/>
    <w:rsid w:val="00795FBF"/>
    <w:rsid w:val="007A398A"/>
    <w:rsid w:val="007C6620"/>
    <w:rsid w:val="007D1613"/>
    <w:rsid w:val="007D72BF"/>
    <w:rsid w:val="007E4C0E"/>
    <w:rsid w:val="00812A40"/>
    <w:rsid w:val="0083662A"/>
    <w:rsid w:val="008867D9"/>
    <w:rsid w:val="008A134B"/>
    <w:rsid w:val="008A75FD"/>
    <w:rsid w:val="008B2CC1"/>
    <w:rsid w:val="008B60B2"/>
    <w:rsid w:val="008E7C63"/>
    <w:rsid w:val="008F248E"/>
    <w:rsid w:val="0090731E"/>
    <w:rsid w:val="00914515"/>
    <w:rsid w:val="00916EE2"/>
    <w:rsid w:val="00921AD0"/>
    <w:rsid w:val="00945F73"/>
    <w:rsid w:val="00966A22"/>
    <w:rsid w:val="0096722F"/>
    <w:rsid w:val="00980843"/>
    <w:rsid w:val="009E2791"/>
    <w:rsid w:val="009E3F6F"/>
    <w:rsid w:val="009F499F"/>
    <w:rsid w:val="00A222AB"/>
    <w:rsid w:val="00A37342"/>
    <w:rsid w:val="00A42DAF"/>
    <w:rsid w:val="00A45BD8"/>
    <w:rsid w:val="00A54A02"/>
    <w:rsid w:val="00A8619B"/>
    <w:rsid w:val="00A869B7"/>
    <w:rsid w:val="00AC205C"/>
    <w:rsid w:val="00AF0A6B"/>
    <w:rsid w:val="00AF0EC8"/>
    <w:rsid w:val="00B05A69"/>
    <w:rsid w:val="00B101BD"/>
    <w:rsid w:val="00B25737"/>
    <w:rsid w:val="00B441EA"/>
    <w:rsid w:val="00B460F5"/>
    <w:rsid w:val="00B75281"/>
    <w:rsid w:val="00B76E3B"/>
    <w:rsid w:val="00B86827"/>
    <w:rsid w:val="00B92F1F"/>
    <w:rsid w:val="00B9734B"/>
    <w:rsid w:val="00BA30E2"/>
    <w:rsid w:val="00C11BFE"/>
    <w:rsid w:val="00C13753"/>
    <w:rsid w:val="00C35B40"/>
    <w:rsid w:val="00C5068F"/>
    <w:rsid w:val="00C86D74"/>
    <w:rsid w:val="00CB11E0"/>
    <w:rsid w:val="00CD04F1"/>
    <w:rsid w:val="00CF681A"/>
    <w:rsid w:val="00D07C78"/>
    <w:rsid w:val="00D20511"/>
    <w:rsid w:val="00D45252"/>
    <w:rsid w:val="00D62A2B"/>
    <w:rsid w:val="00D71B4D"/>
    <w:rsid w:val="00D81B12"/>
    <w:rsid w:val="00D93D55"/>
    <w:rsid w:val="00DA2A03"/>
    <w:rsid w:val="00DD7B7F"/>
    <w:rsid w:val="00E15015"/>
    <w:rsid w:val="00E335FE"/>
    <w:rsid w:val="00EA7D6E"/>
    <w:rsid w:val="00EB2F76"/>
    <w:rsid w:val="00EC138D"/>
    <w:rsid w:val="00EC4720"/>
    <w:rsid w:val="00EC4E49"/>
    <w:rsid w:val="00ED77FB"/>
    <w:rsid w:val="00EE0324"/>
    <w:rsid w:val="00EE45FA"/>
    <w:rsid w:val="00F043DE"/>
    <w:rsid w:val="00F1085F"/>
    <w:rsid w:val="00F66152"/>
    <w:rsid w:val="00F874D6"/>
    <w:rsid w:val="00F9165B"/>
    <w:rsid w:val="00FA2EA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CEFC5A7-8EE4-46BC-9425-DFE031BF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qFormat/>
    <w:rsid w:val="00016319"/>
    <w:pPr>
      <w:ind w:left="720"/>
      <w:contextualSpacing/>
    </w:pPr>
  </w:style>
  <w:style w:type="paragraph" w:styleId="BalloonText">
    <w:name w:val="Balloon Text"/>
    <w:basedOn w:val="Normal"/>
    <w:link w:val="BalloonTextChar"/>
    <w:semiHidden/>
    <w:unhideWhenUsed/>
    <w:rsid w:val="00016319"/>
    <w:rPr>
      <w:rFonts w:ascii="Segoe UI" w:hAnsi="Segoe UI" w:cs="Segoe UI"/>
      <w:sz w:val="18"/>
      <w:szCs w:val="18"/>
    </w:rPr>
  </w:style>
  <w:style w:type="character" w:customStyle="1" w:styleId="BalloonTextChar">
    <w:name w:val="Balloon Text Char"/>
    <w:basedOn w:val="DefaultParagraphFont"/>
    <w:link w:val="BalloonText"/>
    <w:semiHidden/>
    <w:rsid w:val="00016319"/>
    <w:rPr>
      <w:rFonts w:ascii="Segoe UI" w:eastAsia="SimSun" w:hAnsi="Segoe UI" w:cs="Segoe UI"/>
      <w:sz w:val="18"/>
      <w:szCs w:val="18"/>
      <w:lang w:val="en-US" w:eastAsia="zh-CN"/>
    </w:rPr>
  </w:style>
  <w:style w:type="character" w:styleId="Hyperlink">
    <w:name w:val="Hyperlink"/>
    <w:basedOn w:val="DefaultParagraphFont"/>
    <w:uiPriority w:val="99"/>
    <w:semiHidden/>
    <w:unhideWhenUsed/>
    <w:rsid w:val="00812A40"/>
    <w:rPr>
      <w:color w:val="0000FF"/>
      <w:u w:val="single"/>
    </w:rPr>
  </w:style>
  <w:style w:type="character" w:styleId="FollowedHyperlink">
    <w:name w:val="FollowedHyperlink"/>
    <w:basedOn w:val="DefaultParagraphFont"/>
    <w:semiHidden/>
    <w:unhideWhenUsed/>
    <w:rsid w:val="00127D51"/>
    <w:rPr>
      <w:color w:val="800080" w:themeColor="followedHyperlink"/>
      <w:u w:val="single"/>
    </w:rPr>
  </w:style>
  <w:style w:type="character" w:styleId="CommentReference">
    <w:name w:val="annotation reference"/>
    <w:basedOn w:val="DefaultParagraphFont"/>
    <w:semiHidden/>
    <w:unhideWhenUsed/>
    <w:rsid w:val="00127D51"/>
    <w:rPr>
      <w:sz w:val="16"/>
      <w:szCs w:val="16"/>
    </w:rPr>
  </w:style>
  <w:style w:type="paragraph" w:styleId="CommentSubject">
    <w:name w:val="annotation subject"/>
    <w:basedOn w:val="CommentText"/>
    <w:next w:val="CommentText"/>
    <w:link w:val="CommentSubjectChar"/>
    <w:semiHidden/>
    <w:unhideWhenUsed/>
    <w:rsid w:val="00127D51"/>
    <w:rPr>
      <w:b/>
      <w:bCs/>
      <w:sz w:val="20"/>
    </w:rPr>
  </w:style>
  <w:style w:type="character" w:customStyle="1" w:styleId="CommentTextChar">
    <w:name w:val="Comment Text Char"/>
    <w:basedOn w:val="DefaultParagraphFont"/>
    <w:link w:val="CommentText"/>
    <w:semiHidden/>
    <w:rsid w:val="00127D5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27D51"/>
    <w:rPr>
      <w:rFonts w:ascii="Arial" w:eastAsia="SimSun" w:hAnsi="Arial" w:cs="Arial"/>
      <w:b/>
      <w:bCs/>
      <w:sz w:val="18"/>
      <w:lang w:val="en-US" w:eastAsia="zh-CN"/>
    </w:rPr>
  </w:style>
  <w:style w:type="paragraph" w:styleId="Revision">
    <w:name w:val="Revision"/>
    <w:hidden/>
    <w:uiPriority w:val="99"/>
    <w:semiHidden/>
    <w:rsid w:val="00127D51"/>
    <w:rPr>
      <w:rFonts w:ascii="Arial" w:eastAsia="SimSun" w:hAnsi="Arial" w:cs="Arial"/>
      <w:sz w:val="22"/>
      <w:lang w:val="en-US" w:eastAsia="zh-CN"/>
    </w:rPr>
  </w:style>
  <w:style w:type="character" w:customStyle="1" w:styleId="HeaderChar">
    <w:name w:val="Header Char"/>
    <w:basedOn w:val="DefaultParagraphFont"/>
    <w:link w:val="Header"/>
    <w:uiPriority w:val="99"/>
    <w:rsid w:val="00C1375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beijing_treaty/e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75B7-A62F-4686-9CFB-C1B089B9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(E)</Template>
  <TotalTime>1</TotalTime>
  <Pages>4</Pages>
  <Words>652</Words>
  <Characters>3844</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A/61/</vt:lpstr>
    </vt:vector>
  </TitlesOfParts>
  <Company>WIPO</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dc:title>
  <dc:creator>MISRA Tanvi</dc:creator>
  <cp:keywords>PUBLIC</cp:keywords>
  <cp:lastModifiedBy>HÄFLIGER Patience</cp:lastModifiedBy>
  <cp:revision>4</cp:revision>
  <cp:lastPrinted>2011-02-15T11:56:00Z</cp:lastPrinted>
  <dcterms:created xsi:type="dcterms:W3CDTF">2020-07-14T14:10:00Z</dcterms:created>
  <dcterms:modified xsi:type="dcterms:W3CDTF">2020-07-20T12:22:00Z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1574e18b-e4b2-4150-be90-097dd9f096cd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