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830F4" w:rsidRPr="000D5455">
        <w:tc>
          <w:tcPr>
            <w:tcW w:w="4594" w:type="dxa"/>
            <w:tcBorders>
              <w:bottom w:val="single" w:sz="4" w:space="0" w:color="auto"/>
            </w:tcBorders>
            <w:tcMar>
              <w:bottom w:w="170" w:type="dxa"/>
            </w:tcMar>
          </w:tcPr>
          <w:p w:rsidR="00E830F4" w:rsidRPr="000D5455" w:rsidRDefault="00E830F4" w:rsidP="00916EE2">
            <w:bookmarkStart w:id="0" w:name="_GoBack"/>
            <w:bookmarkEnd w:id="0"/>
          </w:p>
        </w:tc>
        <w:tc>
          <w:tcPr>
            <w:tcW w:w="4337" w:type="dxa"/>
            <w:tcBorders>
              <w:bottom w:val="single" w:sz="4" w:space="0" w:color="auto"/>
            </w:tcBorders>
            <w:tcMar>
              <w:left w:w="0" w:type="dxa"/>
              <w:bottom w:w="170" w:type="dxa"/>
              <w:right w:w="0" w:type="dxa"/>
            </w:tcMar>
          </w:tcPr>
          <w:p w:rsidR="00E830F4" w:rsidRPr="000D5455" w:rsidRDefault="00443B0A" w:rsidP="00916EE2">
            <w:r>
              <w:rPr>
                <w:noProof/>
                <w:lang w:eastAsia="en-US"/>
              </w:rPr>
              <w:drawing>
                <wp:inline distT="0" distB="0" distL="0" distR="0" wp14:anchorId="2C284ECE" wp14:editId="216404C9">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830F4" w:rsidRPr="000D5455" w:rsidRDefault="00E830F4" w:rsidP="00916EE2">
            <w:pPr>
              <w:jc w:val="right"/>
            </w:pPr>
            <w:r w:rsidRPr="000D5455">
              <w:rPr>
                <w:b/>
                <w:sz w:val="40"/>
                <w:szCs w:val="40"/>
              </w:rPr>
              <w:t>E</w:t>
            </w:r>
          </w:p>
        </w:tc>
      </w:tr>
      <w:tr w:rsidR="00E830F4" w:rsidRPr="00A22CCB">
        <w:trPr>
          <w:trHeight w:hRule="exact" w:val="340"/>
        </w:trPr>
        <w:tc>
          <w:tcPr>
            <w:tcW w:w="9356" w:type="dxa"/>
            <w:gridSpan w:val="3"/>
            <w:tcBorders>
              <w:top w:val="single" w:sz="4" w:space="0" w:color="auto"/>
            </w:tcBorders>
            <w:tcMar>
              <w:top w:w="170" w:type="dxa"/>
              <w:left w:w="0" w:type="dxa"/>
              <w:right w:w="0" w:type="dxa"/>
            </w:tcMar>
            <w:vAlign w:val="bottom"/>
          </w:tcPr>
          <w:p w:rsidR="00E830F4" w:rsidRPr="00A22CCB" w:rsidRDefault="00A33E5A" w:rsidP="00916EE2">
            <w:pPr>
              <w:jc w:val="right"/>
              <w:rPr>
                <w:rFonts w:ascii="Arial Black" w:hAnsi="Arial Black"/>
                <w:caps/>
                <w:sz w:val="15"/>
              </w:rPr>
            </w:pPr>
            <w:r>
              <w:rPr>
                <w:rFonts w:ascii="Arial Black" w:hAnsi="Arial Black"/>
                <w:caps/>
                <w:sz w:val="15"/>
              </w:rPr>
              <w:t>H/A/34</w:t>
            </w:r>
            <w:r w:rsidR="00E830F4" w:rsidRPr="00A22CCB">
              <w:rPr>
                <w:rFonts w:ascii="Arial Black" w:hAnsi="Arial Black"/>
                <w:caps/>
                <w:sz w:val="15"/>
              </w:rPr>
              <w:t>/</w:t>
            </w:r>
            <w:bookmarkStart w:id="1" w:name="Code"/>
            <w:bookmarkEnd w:id="1"/>
            <w:r w:rsidR="00E830F4" w:rsidRPr="00A22CCB">
              <w:rPr>
                <w:rFonts w:ascii="Arial Black" w:hAnsi="Arial Black"/>
                <w:caps/>
                <w:sz w:val="15"/>
              </w:rPr>
              <w:t xml:space="preserve">1    </w:t>
            </w:r>
          </w:p>
        </w:tc>
      </w:tr>
      <w:tr w:rsidR="00E830F4" w:rsidRPr="000D5455">
        <w:trPr>
          <w:trHeight w:hRule="exact" w:val="170"/>
        </w:trPr>
        <w:tc>
          <w:tcPr>
            <w:tcW w:w="9356" w:type="dxa"/>
            <w:gridSpan w:val="3"/>
            <w:noWrap/>
            <w:tcMar>
              <w:left w:w="0" w:type="dxa"/>
              <w:right w:w="0" w:type="dxa"/>
            </w:tcMar>
            <w:vAlign w:val="bottom"/>
          </w:tcPr>
          <w:p w:rsidR="00E830F4" w:rsidRPr="000D5455" w:rsidRDefault="00E830F4" w:rsidP="00916EE2">
            <w:pPr>
              <w:jc w:val="right"/>
              <w:rPr>
                <w:rFonts w:ascii="Arial Black" w:hAnsi="Arial Black"/>
                <w:caps/>
                <w:sz w:val="15"/>
              </w:rPr>
            </w:pPr>
            <w:r w:rsidRPr="000D5455">
              <w:rPr>
                <w:rFonts w:ascii="Arial Black" w:hAnsi="Arial Black"/>
                <w:caps/>
                <w:sz w:val="15"/>
              </w:rPr>
              <w:t xml:space="preserve">ORIGINAL:  </w:t>
            </w:r>
            <w:bookmarkStart w:id="2" w:name="Original"/>
            <w:bookmarkEnd w:id="2"/>
            <w:r w:rsidRPr="000D5455">
              <w:rPr>
                <w:rFonts w:ascii="Arial Black" w:hAnsi="Arial Black"/>
                <w:caps/>
                <w:sz w:val="15"/>
              </w:rPr>
              <w:t>English</w:t>
            </w:r>
          </w:p>
        </w:tc>
      </w:tr>
      <w:tr w:rsidR="00E830F4" w:rsidRPr="000D5455">
        <w:trPr>
          <w:trHeight w:hRule="exact" w:val="198"/>
        </w:trPr>
        <w:tc>
          <w:tcPr>
            <w:tcW w:w="9356" w:type="dxa"/>
            <w:gridSpan w:val="3"/>
            <w:tcMar>
              <w:left w:w="0" w:type="dxa"/>
              <w:right w:w="0" w:type="dxa"/>
            </w:tcMar>
            <w:vAlign w:val="bottom"/>
          </w:tcPr>
          <w:p w:rsidR="00E830F4" w:rsidRPr="000D5455" w:rsidRDefault="00E830F4" w:rsidP="00916EE2">
            <w:pPr>
              <w:jc w:val="right"/>
              <w:rPr>
                <w:rFonts w:ascii="Arial Black" w:hAnsi="Arial Black"/>
                <w:caps/>
                <w:sz w:val="15"/>
              </w:rPr>
            </w:pPr>
            <w:r w:rsidRPr="000D5455">
              <w:rPr>
                <w:rFonts w:ascii="Arial Black" w:hAnsi="Arial Black"/>
                <w:caps/>
                <w:sz w:val="15"/>
              </w:rPr>
              <w:t xml:space="preserve">DATE:  </w:t>
            </w:r>
            <w:bookmarkStart w:id="3" w:name="Date"/>
            <w:bookmarkEnd w:id="3"/>
            <w:r w:rsidR="007638A0">
              <w:rPr>
                <w:rFonts w:ascii="Arial Black" w:hAnsi="Arial Black"/>
                <w:caps/>
                <w:sz w:val="15"/>
              </w:rPr>
              <w:t>June 23</w:t>
            </w:r>
            <w:r w:rsidR="00A33E5A">
              <w:rPr>
                <w:rFonts w:ascii="Arial Black" w:hAnsi="Arial Black"/>
                <w:caps/>
                <w:sz w:val="15"/>
              </w:rPr>
              <w:t>, 2014</w:t>
            </w:r>
          </w:p>
        </w:tc>
      </w:tr>
    </w:tbl>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093BD8">
      <w:pPr>
        <w:rPr>
          <w:b/>
          <w:sz w:val="28"/>
          <w:szCs w:val="28"/>
        </w:rPr>
      </w:pPr>
      <w:r w:rsidRPr="000D5455">
        <w:rPr>
          <w:b/>
          <w:sz w:val="28"/>
          <w:szCs w:val="28"/>
        </w:rPr>
        <w:t xml:space="preserve">Special </w:t>
      </w:r>
      <w:smartTag w:uri="urn:schemas-microsoft-com:office:smarttags" w:element="place">
        <w:r w:rsidRPr="000D5455">
          <w:rPr>
            <w:b/>
            <w:sz w:val="28"/>
            <w:szCs w:val="28"/>
          </w:rPr>
          <w:t>Union</w:t>
        </w:r>
      </w:smartTag>
      <w:r w:rsidRPr="000D5455">
        <w:rPr>
          <w:b/>
          <w:sz w:val="28"/>
          <w:szCs w:val="28"/>
        </w:rPr>
        <w:t xml:space="preserve"> for the International Deposit of Industrial Designs (Hague Union)</w:t>
      </w:r>
    </w:p>
    <w:p w:rsidR="00E830F4" w:rsidRPr="000D5455" w:rsidRDefault="00E830F4" w:rsidP="003845C1"/>
    <w:p w:rsidR="00E830F4" w:rsidRPr="000D5455" w:rsidRDefault="00E830F4" w:rsidP="003845C1"/>
    <w:p w:rsidR="00E830F4" w:rsidRPr="000D5455" w:rsidRDefault="00E830F4" w:rsidP="00D66495">
      <w:pPr>
        <w:outlineLvl w:val="0"/>
        <w:rPr>
          <w:b/>
          <w:sz w:val="28"/>
          <w:szCs w:val="28"/>
        </w:rPr>
      </w:pPr>
      <w:r w:rsidRPr="000D5455">
        <w:rPr>
          <w:b/>
          <w:sz w:val="28"/>
          <w:szCs w:val="28"/>
        </w:rPr>
        <w:t>Assembly</w:t>
      </w:r>
    </w:p>
    <w:p w:rsidR="00E830F4" w:rsidRPr="000D5455" w:rsidRDefault="00E830F4" w:rsidP="003845C1"/>
    <w:p w:rsidR="00E830F4" w:rsidRPr="000D5455" w:rsidRDefault="00E830F4" w:rsidP="003845C1"/>
    <w:p w:rsidR="00E830F4" w:rsidRPr="00A22CCB" w:rsidRDefault="00A33E5A" w:rsidP="00AD0C6E">
      <w:pPr>
        <w:outlineLvl w:val="0"/>
        <w:rPr>
          <w:b/>
          <w:sz w:val="24"/>
          <w:szCs w:val="24"/>
        </w:rPr>
      </w:pPr>
      <w:r>
        <w:rPr>
          <w:b/>
          <w:sz w:val="24"/>
          <w:szCs w:val="24"/>
        </w:rPr>
        <w:t>Thirty-Fourth</w:t>
      </w:r>
      <w:r w:rsidR="00A22CCB" w:rsidRPr="00A22CCB">
        <w:rPr>
          <w:b/>
          <w:sz w:val="24"/>
          <w:szCs w:val="24"/>
        </w:rPr>
        <w:t xml:space="preserve"> </w:t>
      </w:r>
      <w:r>
        <w:rPr>
          <w:b/>
          <w:sz w:val="24"/>
          <w:szCs w:val="24"/>
        </w:rPr>
        <w:t>(15</w:t>
      </w:r>
      <w:r w:rsidR="00E830F4" w:rsidRPr="00A22CCB">
        <w:rPr>
          <w:b/>
          <w:sz w:val="24"/>
          <w:szCs w:val="24"/>
          <w:vertAlign w:val="superscript"/>
        </w:rPr>
        <w:t>th</w:t>
      </w:r>
      <w:r w:rsidR="00E830F4" w:rsidRPr="00A22CCB">
        <w:rPr>
          <w:b/>
          <w:sz w:val="24"/>
          <w:szCs w:val="24"/>
        </w:rPr>
        <w:t xml:space="preserve"> </w:t>
      </w:r>
      <w:r w:rsidR="00A22CCB" w:rsidRPr="00A22CCB">
        <w:rPr>
          <w:b/>
          <w:sz w:val="24"/>
          <w:szCs w:val="24"/>
        </w:rPr>
        <w:t>Extrao</w:t>
      </w:r>
      <w:r w:rsidR="00E830F4" w:rsidRPr="00A22CCB">
        <w:rPr>
          <w:b/>
          <w:sz w:val="24"/>
          <w:szCs w:val="24"/>
        </w:rPr>
        <w:t>rdinary) Session</w:t>
      </w:r>
    </w:p>
    <w:p w:rsidR="00E830F4" w:rsidRPr="000D5455" w:rsidRDefault="00E830F4" w:rsidP="00AF5A05">
      <w:pPr>
        <w:outlineLvl w:val="0"/>
        <w:rPr>
          <w:b/>
          <w:sz w:val="24"/>
          <w:szCs w:val="24"/>
        </w:rPr>
      </w:pPr>
      <w:r w:rsidRPr="00A22CCB">
        <w:rPr>
          <w:b/>
          <w:sz w:val="24"/>
          <w:szCs w:val="24"/>
        </w:rPr>
        <w:t>Geneva</w:t>
      </w:r>
      <w:r w:rsidR="00A22CCB" w:rsidRPr="00A22CCB">
        <w:rPr>
          <w:b/>
          <w:sz w:val="24"/>
          <w:szCs w:val="24"/>
        </w:rPr>
        <w:t>, September 22</w:t>
      </w:r>
      <w:r w:rsidRPr="00A22CCB">
        <w:rPr>
          <w:b/>
          <w:sz w:val="24"/>
          <w:szCs w:val="24"/>
        </w:rPr>
        <w:t xml:space="preserve"> to </w:t>
      </w:r>
      <w:r w:rsidR="00A22CCB" w:rsidRPr="00A22CCB">
        <w:rPr>
          <w:b/>
          <w:sz w:val="24"/>
          <w:szCs w:val="24"/>
        </w:rPr>
        <w:t>30, 201</w:t>
      </w:r>
      <w:r w:rsidR="00A22CCB">
        <w:rPr>
          <w:b/>
          <w:sz w:val="24"/>
          <w:szCs w:val="24"/>
        </w:rPr>
        <w:t>4</w:t>
      </w:r>
    </w:p>
    <w:p w:rsidR="00E830F4" w:rsidRPr="000D5455" w:rsidRDefault="00E830F4" w:rsidP="008B2CC1"/>
    <w:p w:rsidR="00E830F4" w:rsidRPr="000D5455" w:rsidRDefault="00E830F4" w:rsidP="008B2CC1"/>
    <w:p w:rsidR="00E830F4" w:rsidRPr="000D5455" w:rsidRDefault="00E830F4" w:rsidP="008B2CC1"/>
    <w:p w:rsidR="00E830F4" w:rsidRDefault="00E830F4" w:rsidP="008B2CC1">
      <w:pPr>
        <w:rPr>
          <w:caps/>
          <w:sz w:val="24"/>
        </w:rPr>
      </w:pPr>
      <w:bookmarkStart w:id="4" w:name="TitleOfDoc"/>
      <w:bookmarkEnd w:id="4"/>
      <w:r w:rsidRPr="000D5455">
        <w:rPr>
          <w:caps/>
          <w:sz w:val="24"/>
        </w:rPr>
        <w:t xml:space="preserve">INFORMATION TECHNOLOGY MODERNIZATION PROGRAM </w:t>
      </w:r>
    </w:p>
    <w:p w:rsidR="00E830F4" w:rsidRPr="000D5455" w:rsidRDefault="00E830F4" w:rsidP="008B2CC1">
      <w:pPr>
        <w:rPr>
          <w:caps/>
          <w:sz w:val="24"/>
        </w:rPr>
      </w:pPr>
      <w:r w:rsidRPr="000D5455">
        <w:rPr>
          <w:caps/>
          <w:sz w:val="24"/>
        </w:rPr>
        <w:t>(HAGUE IN</w:t>
      </w:r>
      <w:r>
        <w:rPr>
          <w:caps/>
          <w:sz w:val="24"/>
        </w:rPr>
        <w:t>TERNATIONAL REGISTRATION SYSTEM</w:t>
      </w:r>
      <w:r w:rsidRPr="000D5455">
        <w:rPr>
          <w:caps/>
          <w:sz w:val="24"/>
        </w:rPr>
        <w:t>):  PROGRESS REPORT</w:t>
      </w:r>
    </w:p>
    <w:p w:rsidR="00E830F4" w:rsidRPr="000D5455" w:rsidRDefault="00E830F4" w:rsidP="008B2CC1"/>
    <w:p w:rsidR="00E830F4" w:rsidRPr="000D5455" w:rsidRDefault="00E830F4" w:rsidP="008B2CC1">
      <w:pPr>
        <w:rPr>
          <w:i/>
        </w:rPr>
      </w:pPr>
      <w:bookmarkStart w:id="5" w:name="Prepared"/>
      <w:bookmarkEnd w:id="5"/>
      <w:r w:rsidRPr="000D5455">
        <w:rPr>
          <w:i/>
        </w:rPr>
        <w:t>prepared by the International Bureau</w:t>
      </w:r>
    </w:p>
    <w:p w:rsidR="00E830F4" w:rsidRPr="000D5455" w:rsidRDefault="00E830F4"/>
    <w:p w:rsidR="00E830F4" w:rsidRPr="000D5455" w:rsidRDefault="00E830F4"/>
    <w:p w:rsidR="00E830F4" w:rsidRPr="000D5455" w:rsidRDefault="00E830F4"/>
    <w:p w:rsidR="00E830F4" w:rsidRPr="00BD1B76" w:rsidRDefault="00E830F4" w:rsidP="00F42279">
      <w:pPr>
        <w:pStyle w:val="Heading1"/>
      </w:pPr>
      <w:r w:rsidRPr="00BD1B76">
        <w:t>INTRODUCTION</w:t>
      </w:r>
    </w:p>
    <w:p w:rsidR="00E830F4" w:rsidRPr="000D5455" w:rsidRDefault="00E830F4"/>
    <w:p w:rsidR="00E830F4" w:rsidRPr="000D5455" w:rsidRDefault="00E830F4" w:rsidP="00AF5A05">
      <w:r w:rsidRPr="000D5455">
        <w:fldChar w:fldCharType="begin"/>
      </w:r>
      <w:r w:rsidRPr="000D5455">
        <w:instrText xml:space="preserve"> AUTONUM  </w:instrText>
      </w:r>
      <w:r w:rsidRPr="000D5455">
        <w:fldChar w:fldCharType="end"/>
      </w:r>
      <w:r w:rsidRPr="000D5455">
        <w:tab/>
        <w:t>The purpose of this document is to outline progress on the Information Technology</w:t>
      </w:r>
      <w:r>
        <w:t xml:space="preserve"> (IT)</w:t>
      </w:r>
      <w:r w:rsidRPr="000D5455">
        <w:t xml:space="preserve"> Modernization Program (hereafter referred to as “</w:t>
      </w:r>
      <w:r w:rsidRPr="00F42279">
        <w:t>the Program</w:t>
      </w:r>
      <w:r w:rsidRPr="000D5455">
        <w:rPr>
          <w:i/>
        </w:rPr>
        <w:t>”</w:t>
      </w:r>
      <w:r w:rsidRPr="000D5455">
        <w:t xml:space="preserve">) since the last </w:t>
      </w:r>
      <w:r>
        <w:t xml:space="preserve">Assembly of the </w:t>
      </w:r>
      <w:r w:rsidRPr="000D5455">
        <w:t xml:space="preserve">Hague Union </w:t>
      </w:r>
      <w:r>
        <w:t xml:space="preserve">(hereinafter referred to as “the Assembly”) </w:t>
      </w:r>
      <w:r w:rsidRPr="000D5455">
        <w:t xml:space="preserve">in </w:t>
      </w:r>
      <w:r>
        <w:t>Octo</w:t>
      </w:r>
      <w:r w:rsidRPr="000D5455">
        <w:t xml:space="preserve">ber </w:t>
      </w:r>
      <w:r w:rsidR="00903516">
        <w:t>2013</w:t>
      </w:r>
      <w:r w:rsidRPr="000D5455">
        <w:t xml:space="preserve">.  The document also serves to update </w:t>
      </w:r>
      <w:r>
        <w:t>m</w:t>
      </w:r>
      <w:r w:rsidRPr="000D5455">
        <w:t>ember</w:t>
      </w:r>
      <w:r>
        <w:t>s</w:t>
      </w:r>
      <w:r w:rsidRPr="000D5455">
        <w:t xml:space="preserve"> </w:t>
      </w:r>
      <w:r>
        <w:t xml:space="preserve">of the Assembly </w:t>
      </w:r>
      <w:r w:rsidRPr="000D5455">
        <w:t xml:space="preserve">on any change to the overall approach to the completion of the Program, as well as </w:t>
      </w:r>
      <w:r>
        <w:t xml:space="preserve">to </w:t>
      </w:r>
      <w:r w:rsidRPr="000D5455">
        <w:t>notify any change to the Program schedule.</w:t>
      </w:r>
    </w:p>
    <w:p w:rsidR="00E830F4" w:rsidRPr="000D5455" w:rsidRDefault="00E830F4" w:rsidP="0053057A"/>
    <w:p w:rsidR="00E830F4" w:rsidRPr="000D5455" w:rsidRDefault="00E830F4" w:rsidP="003E4897">
      <w:r w:rsidRPr="000D5455">
        <w:fldChar w:fldCharType="begin"/>
      </w:r>
      <w:r w:rsidRPr="000D5455">
        <w:instrText xml:space="preserve"> AUTONUM  </w:instrText>
      </w:r>
      <w:r w:rsidRPr="000D5455">
        <w:fldChar w:fldCharType="end"/>
      </w:r>
      <w:r w:rsidRPr="000D5455">
        <w:tab/>
        <w:t>Document H/A/</w:t>
      </w:r>
      <w:r w:rsidR="00001A1F">
        <w:t>32</w:t>
      </w:r>
      <w:r>
        <w:t>/1</w:t>
      </w:r>
      <w:r w:rsidRPr="000D5455">
        <w:t xml:space="preserve"> </w:t>
      </w:r>
      <w:r>
        <w:t>contains the previous Program Progress R</w:t>
      </w:r>
      <w:r w:rsidRPr="000D5455">
        <w:t>eport.</w:t>
      </w:r>
    </w:p>
    <w:p w:rsidR="00E830F4" w:rsidRPr="000D5455" w:rsidRDefault="00E830F4" w:rsidP="003E4897"/>
    <w:p w:rsidR="00E830F4" w:rsidRDefault="00E830F4" w:rsidP="00F0458E">
      <w:pPr>
        <w:autoSpaceDE w:val="0"/>
        <w:autoSpaceDN w:val="0"/>
        <w:adjustRightInd w:val="0"/>
        <w:rPr>
          <w:rFonts w:eastAsia="Times New Roman"/>
          <w:sz w:val="20"/>
          <w:lang w:eastAsia="en-US"/>
        </w:rPr>
      </w:pPr>
      <w:r w:rsidRPr="000D5455">
        <w:fldChar w:fldCharType="begin"/>
      </w:r>
      <w:r w:rsidRPr="000D5455">
        <w:instrText xml:space="preserve"> AUTONUM  </w:instrText>
      </w:r>
      <w:r w:rsidRPr="000D5455">
        <w:fldChar w:fldCharType="end"/>
      </w:r>
      <w:r w:rsidRPr="000D5455">
        <w:tab/>
      </w:r>
      <w:r>
        <w:t>It is recalled that the Pr</w:t>
      </w:r>
      <w:r w:rsidR="00001A1F">
        <w:t xml:space="preserve">ogram is to be undertaken in three phases:  Phase I, </w:t>
      </w:r>
      <w:r>
        <w:t>Phase II</w:t>
      </w:r>
      <w:r w:rsidR="00001A1F">
        <w:t xml:space="preserve"> and Phase III</w:t>
      </w:r>
      <w:r>
        <w:t xml:space="preserve">.  Phase I consists of sub-projects aimed to produce immediate positive results or to lay down the technical foundations for Phase II.  </w:t>
      </w:r>
      <w:r>
        <w:rPr>
          <w:rFonts w:eastAsia="Times New Roman"/>
          <w:szCs w:val="22"/>
          <w:lang w:eastAsia="en-US"/>
        </w:rPr>
        <w:t>Phase II is the actual one-to-one technical migration from the current IT legacy system, supporting both the Madrid and Hague international registration procedures, to a modern technology tha</w:t>
      </w:r>
      <w:r w:rsidR="00A33E5A">
        <w:rPr>
          <w:rFonts w:eastAsia="Times New Roman"/>
          <w:szCs w:val="22"/>
          <w:lang w:eastAsia="en-US"/>
        </w:rPr>
        <w:t>t will ensure Madrid and Hague S</w:t>
      </w:r>
      <w:r>
        <w:rPr>
          <w:rFonts w:eastAsia="Times New Roman"/>
          <w:szCs w:val="22"/>
          <w:lang w:eastAsia="en-US"/>
        </w:rPr>
        <w:t>ystem stakeholders benefit in the years to come from an industry standard technical platform.</w:t>
      </w:r>
      <w:r w:rsidR="00001A1F">
        <w:rPr>
          <w:rFonts w:eastAsia="Times New Roman"/>
          <w:szCs w:val="22"/>
          <w:lang w:eastAsia="en-US"/>
        </w:rPr>
        <w:t xml:space="preserve">  Phase III is the optional phase to be undertaken by the International Bureau to cater for the stabilization of the new system after official go-live date.</w:t>
      </w:r>
    </w:p>
    <w:p w:rsidR="00E830F4" w:rsidRDefault="00E830F4" w:rsidP="003E4897"/>
    <w:p w:rsidR="00E830F4" w:rsidRDefault="00E830F4" w:rsidP="003E4897"/>
    <w:p w:rsidR="00E830F4" w:rsidRPr="00BD1B76" w:rsidRDefault="00034381" w:rsidP="002F62C8">
      <w:pPr>
        <w:pStyle w:val="Heading1"/>
      </w:pPr>
      <w:r>
        <w:lastRenderedPageBreak/>
        <w:t>phase i</w:t>
      </w:r>
      <w:r w:rsidRPr="00BD1B76">
        <w:t xml:space="preserve"> </w:t>
      </w:r>
      <w:r>
        <w:t xml:space="preserve">– </w:t>
      </w:r>
      <w:r w:rsidR="00E830F4" w:rsidRPr="00BD1B76">
        <w:t>IMPLEMENTATION STATUS</w:t>
      </w:r>
      <w:r>
        <w:t xml:space="preserve"> </w:t>
      </w:r>
      <w:r w:rsidR="00E830F4">
        <w:t xml:space="preserve"> </w:t>
      </w:r>
    </w:p>
    <w:p w:rsidR="00E830F4" w:rsidRPr="00ED558C" w:rsidRDefault="00E830F4" w:rsidP="003E4897">
      <w:pPr>
        <w:rPr>
          <w:sz w:val="18"/>
          <w:szCs w:val="18"/>
        </w:rPr>
      </w:pPr>
    </w:p>
    <w:p w:rsidR="00001A1F" w:rsidRDefault="00E830F4" w:rsidP="00001A1F">
      <w:r w:rsidRPr="000D5455">
        <w:fldChar w:fldCharType="begin"/>
      </w:r>
      <w:r w:rsidRPr="000D5455">
        <w:instrText xml:space="preserve"> AUTONUM  </w:instrText>
      </w:r>
      <w:r w:rsidRPr="000D5455">
        <w:fldChar w:fldCharType="end"/>
      </w:r>
      <w:r w:rsidRPr="000D5455">
        <w:tab/>
      </w:r>
      <w:r w:rsidR="00001A1F">
        <w:t xml:space="preserve">Following the successful launch of the new on-line </w:t>
      </w:r>
      <w:r>
        <w:t xml:space="preserve">electronic filing </w:t>
      </w:r>
      <w:r w:rsidR="00001A1F">
        <w:t>software on June 2013, Phase I of the Program has been successfully closed</w:t>
      </w:r>
      <w:r w:rsidR="00001A1F">
        <w:rPr>
          <w:szCs w:val="22"/>
        </w:rPr>
        <w:t xml:space="preserve">.  As a consequence, </w:t>
      </w:r>
      <w:r w:rsidR="000035BE">
        <w:rPr>
          <w:szCs w:val="22"/>
        </w:rPr>
        <w:t xml:space="preserve">the remaining Phase I funds </w:t>
      </w:r>
      <w:r w:rsidR="007544EC">
        <w:rPr>
          <w:szCs w:val="22"/>
        </w:rPr>
        <w:t>will be used in Phase II</w:t>
      </w:r>
      <w:r w:rsidR="000035BE">
        <w:rPr>
          <w:szCs w:val="22"/>
        </w:rPr>
        <w:t xml:space="preserve">, and </w:t>
      </w:r>
      <w:r w:rsidR="00001A1F">
        <w:rPr>
          <w:szCs w:val="22"/>
        </w:rPr>
        <w:t xml:space="preserve">Phase I of the Program will not be further reported </w:t>
      </w:r>
      <w:r w:rsidR="00937A85">
        <w:rPr>
          <w:szCs w:val="22"/>
        </w:rPr>
        <w:t xml:space="preserve">on </w:t>
      </w:r>
      <w:r w:rsidR="00001A1F">
        <w:rPr>
          <w:szCs w:val="22"/>
        </w:rPr>
        <w:t>in future Assembly documents.</w:t>
      </w:r>
    </w:p>
    <w:p w:rsidR="00E830F4" w:rsidRPr="00ED558C" w:rsidRDefault="00E830F4" w:rsidP="00AC10DD">
      <w:pPr>
        <w:rPr>
          <w:sz w:val="18"/>
          <w:szCs w:val="18"/>
        </w:rPr>
      </w:pPr>
    </w:p>
    <w:p w:rsidR="00E830F4" w:rsidRPr="00497B89" w:rsidRDefault="00034381" w:rsidP="00EA1C16">
      <w:pPr>
        <w:pStyle w:val="Heading1"/>
      </w:pPr>
      <w:r>
        <w:t xml:space="preserve">phase ii – </w:t>
      </w:r>
      <w:r w:rsidR="00E830F4" w:rsidRPr="00497B89">
        <w:t>BACKGROUND INFORMATION</w:t>
      </w:r>
      <w:r w:rsidR="00E830F4">
        <w:t xml:space="preserve"> </w:t>
      </w:r>
    </w:p>
    <w:p w:rsidR="00E830F4" w:rsidRDefault="00E830F4" w:rsidP="00EA1C16"/>
    <w:p w:rsidR="00E830F4" w:rsidRDefault="00E830F4" w:rsidP="00EA1C16">
      <w:r>
        <w:fldChar w:fldCharType="begin"/>
      </w:r>
      <w:r>
        <w:instrText xml:space="preserve"> AUTONUM  </w:instrText>
      </w:r>
      <w:r>
        <w:fldChar w:fldCharType="end"/>
      </w:r>
      <w:r>
        <w:tab/>
        <w:t xml:space="preserve">It is recalled that the approved approach to the execution of Phase II of the Program </w:t>
      </w:r>
      <w:r w:rsidR="00001A1F">
        <w:t>is</w:t>
      </w:r>
      <w:r>
        <w:t xml:space="preserve"> to perform a one-to-one technical migration of the legacy system to a modern, service-oriented architecture </w:t>
      </w:r>
      <w:r w:rsidRPr="005E1D45">
        <w:rPr>
          <w:i/>
        </w:rPr>
        <w:t>via</w:t>
      </w:r>
      <w:r>
        <w:t xml:space="preserve"> the selection of a qualified external information technology partner</w:t>
      </w:r>
      <w:r w:rsidR="00034381">
        <w:t xml:space="preserve"> (</w:t>
      </w:r>
      <w:r w:rsidR="00034381" w:rsidRPr="00432E9B">
        <w:rPr>
          <w:i/>
        </w:rPr>
        <w:t>ELCA</w:t>
      </w:r>
      <w:r w:rsidR="00F93792" w:rsidRPr="00432E9B">
        <w:rPr>
          <w:i/>
        </w:rPr>
        <w:t> </w:t>
      </w:r>
      <w:proofErr w:type="spellStart"/>
      <w:r w:rsidR="00F93792" w:rsidRPr="00432E9B">
        <w:rPr>
          <w:i/>
        </w:rPr>
        <w:t>Informatique</w:t>
      </w:r>
      <w:proofErr w:type="spellEnd"/>
      <w:r w:rsidR="00F93792" w:rsidRPr="00432E9B">
        <w:rPr>
          <w:i/>
        </w:rPr>
        <w:t xml:space="preserve"> SA</w:t>
      </w:r>
      <w:r w:rsidR="00034381">
        <w:t>)</w:t>
      </w:r>
      <w:r>
        <w:t>.</w:t>
      </w:r>
    </w:p>
    <w:p w:rsidR="00E830F4" w:rsidRPr="00ED558C" w:rsidRDefault="00E830F4" w:rsidP="00EA1C16">
      <w:pPr>
        <w:rPr>
          <w:sz w:val="18"/>
          <w:szCs w:val="18"/>
        </w:rPr>
      </w:pPr>
    </w:p>
    <w:p w:rsidR="00E830F4" w:rsidRDefault="00E830F4" w:rsidP="00EA1C16">
      <w:r>
        <w:fldChar w:fldCharType="begin"/>
      </w:r>
      <w:r>
        <w:instrText xml:space="preserve"> AUTONUM  </w:instrText>
      </w:r>
      <w:r>
        <w:fldChar w:fldCharType="end"/>
      </w:r>
      <w:r>
        <w:tab/>
        <w:t xml:space="preserve">The objective of the technical migration is to convert the legacy application, database and internal </w:t>
      </w:r>
      <w:r w:rsidR="007544EC">
        <w:t xml:space="preserve">bespoke </w:t>
      </w:r>
      <w:r>
        <w:t xml:space="preserve">workflow, from the programming language Natural and the database management system </w:t>
      </w:r>
      <w:proofErr w:type="spellStart"/>
      <w:r>
        <w:t>Adabas</w:t>
      </w:r>
      <w:proofErr w:type="spellEnd"/>
      <w:r>
        <w:t>, to the programming language Java and database management system Oracle, including the injection of a state-of-the-art Business Process Management (BPM) tool.  Achieving such migration remove</w:t>
      </w:r>
      <w:r w:rsidR="00001A1F">
        <w:t>s</w:t>
      </w:r>
      <w:r>
        <w:t xml:space="preserve"> the risk of the obsolescence of the current legacy infrastructure.</w:t>
      </w:r>
    </w:p>
    <w:p w:rsidR="0025665D" w:rsidRDefault="0025665D" w:rsidP="00EA1C16"/>
    <w:p w:rsidR="00E830F4" w:rsidRPr="00497B89" w:rsidRDefault="008B36D8" w:rsidP="00EA1C16">
      <w:pPr>
        <w:pStyle w:val="Heading1"/>
      </w:pPr>
      <w:r>
        <w:t>phase ii</w:t>
      </w:r>
      <w:r w:rsidRPr="00497B89">
        <w:t xml:space="preserve"> </w:t>
      </w:r>
      <w:r>
        <w:t xml:space="preserve">– </w:t>
      </w:r>
      <w:r w:rsidR="00E830F4" w:rsidRPr="00497B89">
        <w:t>ACHIEVED RESULTS</w:t>
      </w:r>
      <w:r w:rsidR="00E830F4">
        <w:t xml:space="preserve"> </w:t>
      </w:r>
    </w:p>
    <w:p w:rsidR="00E830F4" w:rsidRDefault="00E830F4" w:rsidP="00EA1C16"/>
    <w:p w:rsidR="00466D1D" w:rsidRDefault="00E830F4" w:rsidP="00466D1D">
      <w:r>
        <w:fldChar w:fldCharType="begin"/>
      </w:r>
      <w:r>
        <w:instrText xml:space="preserve"> AUTONUM  </w:instrText>
      </w:r>
      <w:r>
        <w:fldChar w:fldCharType="end"/>
      </w:r>
      <w:r>
        <w:tab/>
        <w:t>Following the successful completions of</w:t>
      </w:r>
      <w:r w:rsidR="00466D1D">
        <w:t xml:space="preserve"> Stages</w:t>
      </w:r>
      <w:r w:rsidR="002B479A">
        <w:t xml:space="preserve"> 1 and 2 of the Project (</w:t>
      </w:r>
      <w:r w:rsidR="00466D1D">
        <w:t>Analysis and Design</w:t>
      </w:r>
      <w:r w:rsidR="002B479A">
        <w:t xml:space="preserve">) </w:t>
      </w:r>
      <w:r>
        <w:t xml:space="preserve">the selected </w:t>
      </w:r>
      <w:r w:rsidR="00034381">
        <w:t xml:space="preserve">external IT partner </w:t>
      </w:r>
      <w:r w:rsidR="00466D1D">
        <w:t>started</w:t>
      </w:r>
      <w:r w:rsidR="005E0C36">
        <w:t xml:space="preserve"> as planned</w:t>
      </w:r>
      <w:r w:rsidR="00466D1D">
        <w:t xml:space="preserve"> the technical conversion of the legacy system </w:t>
      </w:r>
      <w:r w:rsidR="007E7E4C">
        <w:t xml:space="preserve">known as </w:t>
      </w:r>
      <w:r w:rsidR="00466D1D">
        <w:t>DMAPS</w:t>
      </w:r>
      <w:r w:rsidR="007E7E4C">
        <w:t>,</w:t>
      </w:r>
      <w:r w:rsidR="002B479A">
        <w:t xml:space="preserve"> at the end of the year 2013</w:t>
      </w:r>
      <w:r w:rsidR="00466D1D">
        <w:t xml:space="preserve">.  </w:t>
      </w:r>
    </w:p>
    <w:p w:rsidR="00466D1D" w:rsidRDefault="00466D1D" w:rsidP="00EA1C16"/>
    <w:p w:rsidR="00255062" w:rsidRDefault="0025665D" w:rsidP="00EA1C16">
      <w:r>
        <w:fldChar w:fldCharType="begin"/>
      </w:r>
      <w:r>
        <w:instrText xml:space="preserve"> AUTONUM  </w:instrText>
      </w:r>
      <w:r>
        <w:fldChar w:fldCharType="end"/>
      </w:r>
      <w:r>
        <w:tab/>
      </w:r>
      <w:r w:rsidR="00466D1D">
        <w:t xml:space="preserve">Prior </w:t>
      </w:r>
      <w:r w:rsidR="00970D6F">
        <w:t xml:space="preserve">to </w:t>
      </w:r>
      <w:r w:rsidR="00ED2526">
        <w:t>the end of</w:t>
      </w:r>
      <w:r w:rsidR="00466D1D">
        <w:t xml:space="preserve"> </w:t>
      </w:r>
      <w:r w:rsidR="00970D6F">
        <w:t>2013</w:t>
      </w:r>
      <w:r w:rsidR="00466D1D">
        <w:t xml:space="preserve">, it was evident </w:t>
      </w:r>
      <w:r w:rsidR="00255062">
        <w:t xml:space="preserve">that the upcoming </w:t>
      </w:r>
      <w:r w:rsidR="00466D1D">
        <w:t>accession of new Member</w:t>
      </w:r>
      <w:r w:rsidR="00D23F17">
        <w:t> </w:t>
      </w:r>
      <w:r w:rsidR="00466D1D">
        <w:t>States</w:t>
      </w:r>
      <w:r w:rsidR="00E53D6E">
        <w:t xml:space="preserve"> </w:t>
      </w:r>
      <w:r w:rsidR="007A58AF">
        <w:t>(</w:t>
      </w:r>
      <w:r w:rsidR="00970D6F">
        <w:t xml:space="preserve">China, Japan, Republic of Korea and </w:t>
      </w:r>
      <w:r w:rsidR="00466D1D">
        <w:t>United States of America</w:t>
      </w:r>
      <w:r w:rsidR="007A58AF">
        <w:t>)</w:t>
      </w:r>
      <w:r w:rsidR="005E0C36">
        <w:t xml:space="preserve"> to the Hague Agreement Concerning</w:t>
      </w:r>
      <w:r w:rsidR="00D23F17">
        <w:t xml:space="preserve"> the International Registration </w:t>
      </w:r>
      <w:r w:rsidR="005E0C36">
        <w:t>of Industrial Designs</w:t>
      </w:r>
      <w:r w:rsidR="00255062">
        <w:t xml:space="preserve">, would </w:t>
      </w:r>
      <w:r w:rsidR="005E0C36">
        <w:t xml:space="preserve">require </w:t>
      </w:r>
      <w:r w:rsidR="00970D6F">
        <w:t>modification</w:t>
      </w:r>
      <w:r w:rsidR="005E0C36">
        <w:t>s</w:t>
      </w:r>
      <w:r w:rsidR="00970D6F">
        <w:t xml:space="preserve"> </w:t>
      </w:r>
      <w:r w:rsidR="00255062">
        <w:t>to the Hague S</w:t>
      </w:r>
      <w:r w:rsidR="00970D6F">
        <w:t>ystem</w:t>
      </w:r>
      <w:r w:rsidR="00255062">
        <w:t xml:space="preserve"> procedure and therefore to the legacy DMAPS system</w:t>
      </w:r>
      <w:r w:rsidR="008C5B56">
        <w:t>.</w:t>
      </w:r>
    </w:p>
    <w:p w:rsidR="00255062" w:rsidRDefault="00255062" w:rsidP="00EA1C16"/>
    <w:p w:rsidR="00255062" w:rsidRDefault="00255062" w:rsidP="00EA1C16">
      <w:r>
        <w:fldChar w:fldCharType="begin"/>
      </w:r>
      <w:r>
        <w:instrText xml:space="preserve"> AUTONUM  </w:instrText>
      </w:r>
      <w:r>
        <w:fldChar w:fldCharType="end"/>
      </w:r>
      <w:r>
        <w:tab/>
      </w:r>
      <w:r w:rsidR="008C5B56">
        <w:t>T</w:t>
      </w:r>
      <w:r w:rsidR="00970D6F">
        <w:t xml:space="preserve">herefore, </w:t>
      </w:r>
      <w:r w:rsidR="008C5B56">
        <w:t xml:space="preserve">in order to minimize </w:t>
      </w:r>
      <w:r>
        <w:t>the operational risk in externally developing such new functions, it was decided to address this important functional requirement with internal development resources, and directly within the legacy system, DMAPS, and to restart the technical conversion exercise at a later date.</w:t>
      </w:r>
    </w:p>
    <w:p w:rsidR="00255062" w:rsidRDefault="00255062" w:rsidP="00EA1C16"/>
    <w:p w:rsidR="00466D1D" w:rsidRDefault="00255062" w:rsidP="00EA1C16">
      <w:r>
        <w:fldChar w:fldCharType="begin"/>
      </w:r>
      <w:r>
        <w:instrText xml:space="preserve"> AUTONUM  </w:instrText>
      </w:r>
      <w:r>
        <w:fldChar w:fldCharType="end"/>
      </w:r>
      <w:r>
        <w:tab/>
        <w:t xml:space="preserve">The </w:t>
      </w:r>
      <w:r w:rsidR="00ED2526">
        <w:t xml:space="preserve">external implementation </w:t>
      </w:r>
      <w:r w:rsidR="007A58AF">
        <w:t>partner</w:t>
      </w:r>
      <w:r>
        <w:t xml:space="preserve"> w</w:t>
      </w:r>
      <w:r w:rsidR="00970D6F">
        <w:t xml:space="preserve">as </w:t>
      </w:r>
      <w:r w:rsidR="005E0C36">
        <w:t xml:space="preserve">promptly </w:t>
      </w:r>
      <w:r w:rsidR="00970D6F">
        <w:t xml:space="preserve">informed to </w:t>
      </w:r>
      <w:r w:rsidR="005C6730">
        <w:t xml:space="preserve">(1) </w:t>
      </w:r>
      <w:r w:rsidR="00970D6F">
        <w:t>s</w:t>
      </w:r>
      <w:r w:rsidR="00ED2526">
        <w:t>uspend activities related to</w:t>
      </w:r>
      <w:r w:rsidR="00970D6F">
        <w:t xml:space="preserve"> the</w:t>
      </w:r>
      <w:r w:rsidR="005E0C36">
        <w:t xml:space="preserve"> technical conversion</w:t>
      </w:r>
      <w:r w:rsidR="00ED2526">
        <w:t xml:space="preserve"> of DMAPS, even though </w:t>
      </w:r>
      <w:r w:rsidR="008C5B56">
        <w:t>a</w:t>
      </w:r>
      <w:r w:rsidR="005E0C36">
        <w:t xml:space="preserve"> p</w:t>
      </w:r>
      <w:r w:rsidR="008C5B56">
        <w:t>reliminary DMAPS conversion</w:t>
      </w:r>
      <w:r w:rsidR="005E0C36">
        <w:t>, of</w:t>
      </w:r>
      <w:r w:rsidR="00F93792">
        <w:t> </w:t>
      </w:r>
      <w:r w:rsidR="005E0C36">
        <w:t>the newly brand</w:t>
      </w:r>
      <w:r w:rsidR="00034381">
        <w:t>ed Design International Registries</w:t>
      </w:r>
      <w:r w:rsidR="005E0C36">
        <w:t xml:space="preserve"> Informat</w:t>
      </w:r>
      <w:r w:rsidR="00A33E5A">
        <w:t>ion System (</w:t>
      </w:r>
      <w:r w:rsidR="005E0C36">
        <w:t>DIRIS</w:t>
      </w:r>
      <w:r w:rsidR="007E7E4C">
        <w:t>)</w:t>
      </w:r>
      <w:r w:rsidR="005E0C36">
        <w:t xml:space="preserve">, </w:t>
      </w:r>
      <w:r w:rsidR="007E7E4C">
        <w:t xml:space="preserve">had been </w:t>
      </w:r>
      <w:r w:rsidR="005E0C36">
        <w:t xml:space="preserve">delivered to the International Bureau </w:t>
      </w:r>
      <w:r w:rsidR="005C6730">
        <w:t xml:space="preserve">and (2) </w:t>
      </w:r>
      <w:r w:rsidR="007E7E4C">
        <w:t xml:space="preserve">put on </w:t>
      </w:r>
      <w:r w:rsidR="008C5B56">
        <w:t>hold the DIRIS component of the IT</w:t>
      </w:r>
      <w:r w:rsidR="007E7E4C">
        <w:t> </w:t>
      </w:r>
      <w:r w:rsidR="008C5B56">
        <w:t xml:space="preserve">Modernization Program (the actual conversion of the DMAPS system into the new </w:t>
      </w:r>
      <w:r w:rsidR="00E53D6E">
        <w:t>software platform)</w:t>
      </w:r>
      <w:r w:rsidR="008C5B56">
        <w:t xml:space="preserve"> until</w:t>
      </w:r>
      <w:r w:rsidR="00E53D6E">
        <w:t xml:space="preserve"> </w:t>
      </w:r>
      <w:r>
        <w:t xml:space="preserve">the stabilization of the necessary modifications to the </w:t>
      </w:r>
      <w:r w:rsidR="00E53D6E">
        <w:t>legacy DMAPS system</w:t>
      </w:r>
      <w:r w:rsidR="007E7E4C">
        <w:t xml:space="preserve"> had been completed</w:t>
      </w:r>
      <w:r w:rsidR="00E53D6E">
        <w:t xml:space="preserve">.  </w:t>
      </w:r>
      <w:r w:rsidR="00ED2526">
        <w:t>At that time</w:t>
      </w:r>
      <w:r w:rsidR="00C0664D">
        <w:t>,</w:t>
      </w:r>
      <w:r w:rsidR="00ED2526">
        <w:t xml:space="preserve"> the</w:t>
      </w:r>
      <w:r>
        <w:t xml:space="preserve"> technical</w:t>
      </w:r>
      <w:r w:rsidR="00E53D6E">
        <w:t xml:space="preserve"> conversion of the lega</w:t>
      </w:r>
      <w:r w:rsidR="0025665D">
        <w:t xml:space="preserve">cy DMAPS system </w:t>
      </w:r>
      <w:r w:rsidR="007A58AF">
        <w:t>c</w:t>
      </w:r>
      <w:r w:rsidR="00E14A03">
        <w:t>ould</w:t>
      </w:r>
      <w:r w:rsidR="0025665D">
        <w:t xml:space="preserve"> be promptly</w:t>
      </w:r>
      <w:r w:rsidR="00E53D6E">
        <w:t xml:space="preserve"> restarted</w:t>
      </w:r>
      <w:r>
        <w:t xml:space="preserve"> by </w:t>
      </w:r>
      <w:r w:rsidR="00271E81">
        <w:t>an</w:t>
      </w:r>
      <w:r w:rsidR="003B04B5">
        <w:t xml:space="preserve"> </w:t>
      </w:r>
      <w:r>
        <w:t>external implementation partner</w:t>
      </w:r>
      <w:r w:rsidR="00E53D6E">
        <w:t>.</w:t>
      </w:r>
      <w:r w:rsidR="008C5B56">
        <w:t xml:space="preserve"> </w:t>
      </w:r>
    </w:p>
    <w:p w:rsidR="007A58AF" w:rsidRDefault="007A58AF" w:rsidP="00EA1C16"/>
    <w:p w:rsidR="005C6730" w:rsidRDefault="000A0941" w:rsidP="00EA1C16">
      <w:r>
        <w:fldChar w:fldCharType="begin"/>
      </w:r>
      <w:r>
        <w:instrText xml:space="preserve"> AUTONUM  </w:instrText>
      </w:r>
      <w:r>
        <w:fldChar w:fldCharType="end"/>
      </w:r>
      <w:r>
        <w:tab/>
      </w:r>
      <w:r w:rsidR="007A58AF">
        <w:t xml:space="preserve">While </w:t>
      </w:r>
      <w:r w:rsidR="007E7E4C">
        <w:t xml:space="preserve">DIRIS is put on </w:t>
      </w:r>
      <w:r>
        <w:t xml:space="preserve">hold, </w:t>
      </w:r>
      <w:r w:rsidR="007E7E4C">
        <w:t>the implementation of the equivalent</w:t>
      </w:r>
      <w:r w:rsidR="007A58AF">
        <w:t xml:space="preserve"> software application MIRIS (Madrid I</w:t>
      </w:r>
      <w:r w:rsidR="00677E19">
        <w:t xml:space="preserve">nternational </w:t>
      </w:r>
      <w:r w:rsidR="007A58AF">
        <w:t>R</w:t>
      </w:r>
      <w:r w:rsidR="00034381">
        <w:t>egistries</w:t>
      </w:r>
      <w:r w:rsidR="00677E19">
        <w:t xml:space="preserve"> </w:t>
      </w:r>
      <w:r w:rsidR="007A58AF">
        <w:t>I</w:t>
      </w:r>
      <w:r w:rsidR="00677E19">
        <w:t xml:space="preserve">nformation </w:t>
      </w:r>
      <w:r w:rsidR="007A58AF">
        <w:t>S</w:t>
      </w:r>
      <w:r w:rsidR="00677E19">
        <w:t>ystem</w:t>
      </w:r>
      <w:r w:rsidR="007A58AF">
        <w:t>)</w:t>
      </w:r>
      <w:r>
        <w:t xml:space="preserve"> </w:t>
      </w:r>
      <w:r w:rsidR="007E7E4C">
        <w:t>is on</w:t>
      </w:r>
      <w:r w:rsidR="007A58AF">
        <w:t>going</w:t>
      </w:r>
      <w:r>
        <w:t>.</w:t>
      </w:r>
      <w:r w:rsidR="00D23F17">
        <w:t xml:space="preserve"> </w:t>
      </w:r>
      <w:r>
        <w:t xml:space="preserve"> Therefore, t</w:t>
      </w:r>
      <w:r w:rsidR="007A58AF">
        <w:t xml:space="preserve">he resumed </w:t>
      </w:r>
      <w:r w:rsidR="00ED2526">
        <w:t xml:space="preserve">conversion </w:t>
      </w:r>
      <w:r w:rsidR="007A58AF">
        <w:t xml:space="preserve">of </w:t>
      </w:r>
      <w:r w:rsidR="00ED2526">
        <w:t xml:space="preserve">DMAPS </w:t>
      </w:r>
      <w:r w:rsidR="007A58AF">
        <w:t>will benefit from the learning experience of the full MIRIS implementation</w:t>
      </w:r>
      <w:r>
        <w:t>.</w:t>
      </w:r>
    </w:p>
    <w:p w:rsidR="0045736E" w:rsidRDefault="0045736E" w:rsidP="00EA1C16"/>
    <w:p w:rsidR="0045736E" w:rsidRDefault="0045736E" w:rsidP="00EA1C16"/>
    <w:p w:rsidR="0045736E" w:rsidRDefault="0045736E" w:rsidP="00255062"/>
    <w:p w:rsidR="00E830F4" w:rsidRPr="00255062" w:rsidRDefault="00D23F17" w:rsidP="00255062">
      <w:pPr>
        <w:rPr>
          <w:b/>
        </w:rPr>
      </w:pPr>
      <w:r>
        <w:rPr>
          <w:b/>
        </w:rPr>
        <w:lastRenderedPageBreak/>
        <w:t xml:space="preserve">PHASE II – HIGH LEVEL PROJECT PLAN </w:t>
      </w:r>
    </w:p>
    <w:p w:rsidR="00E830F4" w:rsidRDefault="00E830F4" w:rsidP="00EA1C16"/>
    <w:p w:rsidR="00C44565" w:rsidRDefault="00E830F4" w:rsidP="00C44565">
      <w:r>
        <w:fldChar w:fldCharType="begin"/>
      </w:r>
      <w:r>
        <w:instrText xml:space="preserve"> AUTONUM  </w:instrText>
      </w:r>
      <w:r>
        <w:fldChar w:fldCharType="end"/>
      </w:r>
      <w:r>
        <w:tab/>
      </w:r>
      <w:r w:rsidR="00C44565">
        <w:t xml:space="preserve">The challenges to the Hague Registry when the IT Modernization Program began in 2008 are fundamentally different to the challenges of today. </w:t>
      </w:r>
      <w:r w:rsidR="00D23F17">
        <w:t xml:space="preserve"> </w:t>
      </w:r>
      <w:r w:rsidR="00C44565">
        <w:t>Given the very dynamic and fluid nature of the Hague international registration</w:t>
      </w:r>
      <w:r w:rsidR="00D23F17">
        <w:t xml:space="preserve"> procedures</w:t>
      </w:r>
      <w:r w:rsidR="00C44565">
        <w:t xml:space="preserve">, it is extremely important that the DIRIS system is able to address the original, as well as any new challenges. </w:t>
      </w:r>
      <w:r w:rsidR="00D23F17">
        <w:t xml:space="preserve"> </w:t>
      </w:r>
      <w:r w:rsidR="00C44565">
        <w:t xml:space="preserve">In order to mitigate any associated risks, an external review of the IT Modernization Program has been initiated late in the second quarter of 2014, whilst noting that, following an internal audit of the Brands and Designs Sector revenue processes, there is a recommendation that a post IT Modernization Phase II implementation review should be undertaken.  The terms of reference of the review includes overall approach, system functionality, system performance, testing processes, and commissioning strategies.  Such a review will allow the International Bureau to more accurately determine the scheduled DIRIS go-live date.   </w:t>
      </w:r>
    </w:p>
    <w:p w:rsidR="00C44565" w:rsidRDefault="00C44565" w:rsidP="00EA1C16"/>
    <w:p w:rsidR="00E830F4" w:rsidRDefault="00C44565" w:rsidP="00EA1C16">
      <w:r>
        <w:fldChar w:fldCharType="begin"/>
      </w:r>
      <w:r>
        <w:instrText xml:space="preserve"> AUTONUM  </w:instrText>
      </w:r>
      <w:r>
        <w:fldChar w:fldCharType="end"/>
      </w:r>
      <w:r>
        <w:tab/>
      </w:r>
      <w:r w:rsidR="00E830F4">
        <w:t xml:space="preserve">Phase II of the Program was initiated in the third quarter of 2010.  Tasks from 1 to 10 of the High Level Project Plan presented in Figure 1, below, have already been completed.  Task 11 </w:t>
      </w:r>
      <w:r w:rsidR="00E53D6E">
        <w:t>has been currently put on-h</w:t>
      </w:r>
      <w:r w:rsidR="00C72CEB">
        <w:t>old with a projected resume date</w:t>
      </w:r>
      <w:r w:rsidR="00E53D6E">
        <w:t xml:space="preserve"> of </w:t>
      </w:r>
      <w:r w:rsidR="00AF5FAE">
        <w:t>January</w:t>
      </w:r>
      <w:r w:rsidR="00E53D6E">
        <w:t xml:space="preserve"> 1, 2015</w:t>
      </w:r>
      <w:r w:rsidR="00E830F4">
        <w:t xml:space="preserve">.  </w:t>
      </w:r>
      <w:r w:rsidR="00E53D6E">
        <w:t xml:space="preserve">    </w:t>
      </w:r>
      <w:r w:rsidR="00E830F4">
        <w:t>The Program is running according to the following schedule:</w:t>
      </w:r>
    </w:p>
    <w:p w:rsidR="00E830F4" w:rsidRDefault="00E830F4" w:rsidP="00EA1C16"/>
    <w:p w:rsidR="00E830F4" w:rsidRDefault="0025665D" w:rsidP="00EA1C16">
      <w:r>
        <w:object w:dxaOrig="15644" w:dyaOrig="6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181pt" o:ole="">
            <v:imagedata r:id="rId10" o:title=""/>
          </v:shape>
          <o:OLEObject Type="Embed" ProgID="Visio.Drawing.11" ShapeID="_x0000_i1025" DrawAspect="Content" ObjectID="_1465282230" r:id="rId11"/>
        </w:object>
      </w:r>
    </w:p>
    <w:p w:rsidR="00E830F4" w:rsidRDefault="00E830F4" w:rsidP="00EA1C16">
      <w:pPr>
        <w:pStyle w:val="Caption"/>
        <w:jc w:val="center"/>
        <w:rPr>
          <w:sz w:val="16"/>
          <w:szCs w:val="16"/>
        </w:rPr>
      </w:pPr>
      <w:r w:rsidRPr="0037749C">
        <w:rPr>
          <w:sz w:val="16"/>
          <w:szCs w:val="16"/>
        </w:rPr>
        <w:t xml:space="preserve">Figure </w:t>
      </w:r>
      <w:r>
        <w:rPr>
          <w:sz w:val="16"/>
          <w:szCs w:val="16"/>
        </w:rPr>
        <w:t>1</w:t>
      </w:r>
      <w:r w:rsidRPr="0037749C">
        <w:rPr>
          <w:sz w:val="16"/>
          <w:szCs w:val="16"/>
        </w:rPr>
        <w:t>- Phase II High Level Project Plan</w:t>
      </w:r>
    </w:p>
    <w:p w:rsidR="0045736E" w:rsidRDefault="0045736E" w:rsidP="00EA1C16"/>
    <w:p w:rsidR="00B96686" w:rsidRDefault="00B96686" w:rsidP="00B96686">
      <w:r>
        <w:fldChar w:fldCharType="begin"/>
      </w:r>
      <w:r>
        <w:instrText xml:space="preserve"> AUTONUM  </w:instrText>
      </w:r>
      <w:r>
        <w:fldChar w:fldCharType="end"/>
      </w:r>
      <w:r>
        <w:tab/>
        <w:t>As indicated in earlier IT Modernization Program Progress Reports, and only if needed, the International Bureau will propose to enter into the execution of Phase III of the Program to accommodate post-go-live activities, such as bug-fixes, performance improvements as well as the transformation of the end-user interface and possible process reengineering.  Since the need for a possible Phase III can only be evaluated after deployment, the details of a possible Phase III will be elaborated in the next Progress Report.</w:t>
      </w:r>
    </w:p>
    <w:p w:rsidR="00B96686" w:rsidRDefault="00B96686" w:rsidP="00B96686"/>
    <w:p w:rsidR="00FF0B4A" w:rsidRDefault="00FF0B4A" w:rsidP="00B96686"/>
    <w:p w:rsidR="00FF0B4A" w:rsidRPr="00FF0B4A" w:rsidRDefault="00FF0B4A" w:rsidP="00FF0B4A">
      <w:pPr>
        <w:rPr>
          <w:b/>
        </w:rPr>
      </w:pPr>
      <w:r w:rsidRPr="00FF0B4A">
        <w:rPr>
          <w:b/>
        </w:rPr>
        <w:t>BUDGET UTILIZATION</w:t>
      </w:r>
    </w:p>
    <w:p w:rsidR="00FF0B4A" w:rsidRDefault="00FF0B4A" w:rsidP="00B96686"/>
    <w:p w:rsidR="001C2A8C" w:rsidRDefault="001C2A8C" w:rsidP="001C2A8C">
      <w:r>
        <w:fldChar w:fldCharType="begin"/>
      </w:r>
      <w:r>
        <w:instrText xml:space="preserve"> AUTONUM  </w:instrText>
      </w:r>
      <w:r>
        <w:fldChar w:fldCharType="end"/>
      </w:r>
      <w:r>
        <w:tab/>
        <w:t>A total resource envelope of 13.804 million Swiss francs was approved for the project (10.804 million Swiss francs</w:t>
      </w:r>
      <w:r w:rsidRPr="003A122B">
        <w:t xml:space="preserve"> </w:t>
      </w:r>
      <w:r>
        <w:t>by the Assembly of the Madrid Union and 3 million Swiss francs</w:t>
      </w:r>
      <w:r w:rsidRPr="003A122B">
        <w:t xml:space="preserve"> </w:t>
      </w:r>
      <w:r>
        <w:t>by the Assembly of the Hague Union).  To date</w:t>
      </w:r>
      <w:r w:rsidR="005B6FB1">
        <w:t>,</w:t>
      </w:r>
      <w:r>
        <w:t xml:space="preserve"> actual expenditure on the project amounts to 10.464 million Swiss francs, or 76 per cent of the project budget.  </w:t>
      </w:r>
      <w:r w:rsidRPr="00176FBA">
        <w:t xml:space="preserve">The remaining resources are </w:t>
      </w:r>
      <w:r>
        <w:t xml:space="preserve">expected to be </w:t>
      </w:r>
      <w:r w:rsidRPr="00176FBA">
        <w:t>sufficient to complete Phase II of the Program</w:t>
      </w:r>
      <w:r>
        <w:t>, it being understood that the conclusions of the external review may imply the assignment of additional resources in order to ensure appropriate risk management and quality assurance.</w:t>
      </w:r>
    </w:p>
    <w:p w:rsidR="001C2A8C" w:rsidRDefault="001C2A8C">
      <w:r>
        <w:br w:type="page"/>
      </w:r>
    </w:p>
    <w:p w:rsidR="001C2A8C" w:rsidRDefault="001C2A8C" w:rsidP="001C2A8C"/>
    <w:p w:rsidR="001C2A8C" w:rsidRPr="00246070" w:rsidRDefault="001C2A8C" w:rsidP="001C2A8C">
      <w:pPr>
        <w:pStyle w:val="Caption"/>
        <w:keepNext/>
        <w:jc w:val="center"/>
      </w:pPr>
      <w:r>
        <w:t xml:space="preserve">Table </w:t>
      </w:r>
      <w:r w:rsidR="002B664B">
        <w:fldChar w:fldCharType="begin"/>
      </w:r>
      <w:r w:rsidR="002B664B">
        <w:instrText xml:space="preserve"> SEQ Table \* ARABIC </w:instrText>
      </w:r>
      <w:r w:rsidR="002B664B">
        <w:fldChar w:fldCharType="separate"/>
      </w:r>
      <w:r w:rsidR="005B6FB1">
        <w:rPr>
          <w:noProof/>
        </w:rPr>
        <w:t>1</w:t>
      </w:r>
      <w:r w:rsidR="002B664B">
        <w:rPr>
          <w:noProof/>
        </w:rPr>
        <w:fldChar w:fldCharType="end"/>
      </w:r>
      <w:r>
        <w:t xml:space="preserve"> - Financing Status (in thousands of Swiss francs), as of end March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393"/>
        <w:gridCol w:w="2393"/>
        <w:gridCol w:w="2393"/>
      </w:tblGrid>
      <w:tr w:rsidR="001C2A8C" w:rsidRPr="00B058CD" w:rsidTr="000B10DA">
        <w:tc>
          <w:tcPr>
            <w:tcW w:w="2284" w:type="dxa"/>
            <w:shd w:val="clear" w:color="auto" w:fill="4F81BD"/>
          </w:tcPr>
          <w:p w:rsidR="001C2A8C" w:rsidRPr="00B058CD" w:rsidRDefault="001C2A8C" w:rsidP="000B10DA">
            <w:pPr>
              <w:rPr>
                <w:color w:val="FFFFFF"/>
              </w:rPr>
            </w:pPr>
          </w:p>
        </w:tc>
        <w:tc>
          <w:tcPr>
            <w:tcW w:w="2393" w:type="dxa"/>
            <w:shd w:val="clear" w:color="auto" w:fill="4F81BD"/>
          </w:tcPr>
          <w:p w:rsidR="001C2A8C" w:rsidRPr="00B058CD" w:rsidRDefault="001C2A8C" w:rsidP="000B10DA">
            <w:pPr>
              <w:jc w:val="center"/>
              <w:rPr>
                <w:color w:val="FFFFFF"/>
              </w:rPr>
            </w:pPr>
            <w:r w:rsidRPr="008A06C6">
              <w:rPr>
                <w:color w:val="FFFFFF"/>
              </w:rPr>
              <w:t>Resource</w:t>
            </w:r>
            <w:r w:rsidRPr="00B058CD">
              <w:rPr>
                <w:color w:val="FFFFFF"/>
              </w:rPr>
              <w:t xml:space="preserve"> from Reserve</w:t>
            </w:r>
          </w:p>
        </w:tc>
        <w:tc>
          <w:tcPr>
            <w:tcW w:w="2393" w:type="dxa"/>
            <w:shd w:val="clear" w:color="auto" w:fill="4F81BD"/>
          </w:tcPr>
          <w:p w:rsidR="001C2A8C" w:rsidRDefault="001C2A8C" w:rsidP="000B10DA">
            <w:pPr>
              <w:jc w:val="center"/>
              <w:rPr>
                <w:color w:val="FFFFFF"/>
              </w:rPr>
            </w:pPr>
            <w:r w:rsidRPr="00B058CD">
              <w:rPr>
                <w:color w:val="FFFFFF"/>
              </w:rPr>
              <w:t>Expenditure</w:t>
            </w:r>
          </w:p>
          <w:p w:rsidR="001C2A8C" w:rsidRPr="00B058CD" w:rsidRDefault="001C2A8C" w:rsidP="000B10DA">
            <w:pPr>
              <w:jc w:val="center"/>
              <w:rPr>
                <w:color w:val="FFFFFF"/>
              </w:rPr>
            </w:pPr>
            <w:r>
              <w:rPr>
                <w:color w:val="FFFFFF"/>
              </w:rPr>
              <w:t>excludes encumbrances and pre-encumbrances</w:t>
            </w:r>
          </w:p>
        </w:tc>
        <w:tc>
          <w:tcPr>
            <w:tcW w:w="2393" w:type="dxa"/>
            <w:shd w:val="clear" w:color="auto" w:fill="4F81BD"/>
          </w:tcPr>
          <w:p w:rsidR="001C2A8C" w:rsidRPr="00B058CD" w:rsidRDefault="001C2A8C" w:rsidP="000B10DA">
            <w:pPr>
              <w:jc w:val="center"/>
              <w:rPr>
                <w:color w:val="FFFFFF"/>
              </w:rPr>
            </w:pPr>
            <w:r w:rsidRPr="00B058CD">
              <w:rPr>
                <w:color w:val="FFFFFF"/>
              </w:rPr>
              <w:t>Balance as of end March 2014</w:t>
            </w:r>
          </w:p>
        </w:tc>
      </w:tr>
      <w:tr w:rsidR="001C2A8C" w:rsidTr="000B10DA">
        <w:tc>
          <w:tcPr>
            <w:tcW w:w="2284" w:type="dxa"/>
            <w:shd w:val="clear" w:color="auto" w:fill="auto"/>
          </w:tcPr>
          <w:p w:rsidR="001C2A8C" w:rsidRDefault="001C2A8C" w:rsidP="000B10DA">
            <w:r>
              <w:t>Phase I</w:t>
            </w:r>
          </w:p>
        </w:tc>
        <w:tc>
          <w:tcPr>
            <w:tcW w:w="2393" w:type="dxa"/>
            <w:shd w:val="clear" w:color="auto" w:fill="auto"/>
          </w:tcPr>
          <w:p w:rsidR="001C2A8C" w:rsidRDefault="001C2A8C" w:rsidP="000B10DA">
            <w:pPr>
              <w:jc w:val="right"/>
            </w:pPr>
            <w:r>
              <w:t>3,569</w:t>
            </w:r>
          </w:p>
        </w:tc>
        <w:tc>
          <w:tcPr>
            <w:tcW w:w="2393" w:type="dxa"/>
            <w:shd w:val="clear" w:color="auto" w:fill="auto"/>
          </w:tcPr>
          <w:p w:rsidR="001C2A8C" w:rsidRDefault="001C2A8C" w:rsidP="000B10DA">
            <w:pPr>
              <w:jc w:val="right"/>
            </w:pPr>
            <w:r>
              <w:t>3,277</w:t>
            </w:r>
          </w:p>
        </w:tc>
        <w:tc>
          <w:tcPr>
            <w:tcW w:w="2393" w:type="dxa"/>
            <w:shd w:val="clear" w:color="auto" w:fill="auto"/>
          </w:tcPr>
          <w:p w:rsidR="001C2A8C" w:rsidRDefault="001C2A8C" w:rsidP="000B10DA">
            <w:pPr>
              <w:jc w:val="right"/>
            </w:pPr>
            <w:r>
              <w:t>292</w:t>
            </w:r>
          </w:p>
        </w:tc>
      </w:tr>
      <w:tr w:rsidR="001C2A8C" w:rsidTr="000B10DA">
        <w:tc>
          <w:tcPr>
            <w:tcW w:w="2284" w:type="dxa"/>
            <w:tcBorders>
              <w:bottom w:val="single" w:sz="4" w:space="0" w:color="auto"/>
            </w:tcBorders>
            <w:shd w:val="clear" w:color="auto" w:fill="auto"/>
          </w:tcPr>
          <w:p w:rsidR="001C2A8C" w:rsidRDefault="001C2A8C" w:rsidP="000B10DA">
            <w:r>
              <w:t>Phase II</w:t>
            </w:r>
          </w:p>
        </w:tc>
        <w:tc>
          <w:tcPr>
            <w:tcW w:w="2393" w:type="dxa"/>
            <w:tcBorders>
              <w:bottom w:val="single" w:sz="4" w:space="0" w:color="auto"/>
            </w:tcBorders>
            <w:shd w:val="clear" w:color="auto" w:fill="auto"/>
          </w:tcPr>
          <w:p w:rsidR="001C2A8C" w:rsidRDefault="001C2A8C" w:rsidP="000B10DA">
            <w:pPr>
              <w:jc w:val="right"/>
            </w:pPr>
            <w:r>
              <w:t>10,235</w:t>
            </w:r>
          </w:p>
        </w:tc>
        <w:tc>
          <w:tcPr>
            <w:tcW w:w="2393" w:type="dxa"/>
            <w:tcBorders>
              <w:bottom w:val="single" w:sz="4" w:space="0" w:color="auto"/>
            </w:tcBorders>
            <w:shd w:val="clear" w:color="auto" w:fill="auto"/>
          </w:tcPr>
          <w:p w:rsidR="001C2A8C" w:rsidRDefault="001C2A8C" w:rsidP="000B10DA">
            <w:pPr>
              <w:jc w:val="right"/>
            </w:pPr>
            <w:r>
              <w:t>7,187</w:t>
            </w:r>
          </w:p>
        </w:tc>
        <w:tc>
          <w:tcPr>
            <w:tcW w:w="2393" w:type="dxa"/>
            <w:tcBorders>
              <w:bottom w:val="single" w:sz="4" w:space="0" w:color="auto"/>
            </w:tcBorders>
            <w:shd w:val="clear" w:color="auto" w:fill="auto"/>
          </w:tcPr>
          <w:p w:rsidR="001C2A8C" w:rsidRDefault="001C2A8C" w:rsidP="000B10DA">
            <w:pPr>
              <w:jc w:val="right"/>
            </w:pPr>
            <w:r>
              <w:t>3,048</w:t>
            </w:r>
          </w:p>
        </w:tc>
      </w:tr>
      <w:tr w:rsidR="001C2A8C" w:rsidRPr="00B058CD" w:rsidTr="000B10DA">
        <w:tc>
          <w:tcPr>
            <w:tcW w:w="2284" w:type="dxa"/>
            <w:shd w:val="clear" w:color="auto" w:fill="4F81BD"/>
          </w:tcPr>
          <w:p w:rsidR="001C2A8C" w:rsidRPr="00B058CD" w:rsidRDefault="001C2A8C" w:rsidP="000B10DA">
            <w:pPr>
              <w:rPr>
                <w:color w:val="FFFFFF"/>
              </w:rPr>
            </w:pPr>
            <w:r w:rsidRPr="00B058CD">
              <w:rPr>
                <w:color w:val="FFFFFF"/>
              </w:rPr>
              <w:t>Total</w:t>
            </w:r>
          </w:p>
        </w:tc>
        <w:tc>
          <w:tcPr>
            <w:tcW w:w="2393" w:type="dxa"/>
            <w:shd w:val="clear" w:color="auto" w:fill="4F81BD"/>
          </w:tcPr>
          <w:p w:rsidR="001C2A8C" w:rsidRPr="00B058CD" w:rsidRDefault="001C2A8C" w:rsidP="000B10DA">
            <w:pPr>
              <w:jc w:val="right"/>
              <w:rPr>
                <w:color w:val="FFFFFF"/>
              </w:rPr>
            </w:pPr>
            <w:r>
              <w:rPr>
                <w:color w:val="FFFFFF"/>
              </w:rPr>
              <w:t>13,</w:t>
            </w:r>
            <w:r w:rsidRPr="00B058CD">
              <w:rPr>
                <w:color w:val="FFFFFF"/>
              </w:rPr>
              <w:t>804</w:t>
            </w:r>
          </w:p>
        </w:tc>
        <w:tc>
          <w:tcPr>
            <w:tcW w:w="2393" w:type="dxa"/>
            <w:shd w:val="clear" w:color="auto" w:fill="4F81BD"/>
          </w:tcPr>
          <w:p w:rsidR="001C2A8C" w:rsidRPr="00B058CD" w:rsidRDefault="001C2A8C" w:rsidP="000B10DA">
            <w:pPr>
              <w:jc w:val="right"/>
              <w:rPr>
                <w:color w:val="FFFFFF"/>
              </w:rPr>
            </w:pPr>
            <w:r>
              <w:rPr>
                <w:color w:val="FFFFFF"/>
              </w:rPr>
              <w:t>10,</w:t>
            </w:r>
            <w:r w:rsidRPr="00B058CD">
              <w:rPr>
                <w:color w:val="FFFFFF"/>
              </w:rPr>
              <w:t>464</w:t>
            </w:r>
          </w:p>
        </w:tc>
        <w:tc>
          <w:tcPr>
            <w:tcW w:w="2393" w:type="dxa"/>
            <w:shd w:val="clear" w:color="auto" w:fill="4F81BD"/>
          </w:tcPr>
          <w:p w:rsidR="001C2A8C" w:rsidRPr="00B058CD" w:rsidRDefault="001C2A8C" w:rsidP="000B10DA">
            <w:pPr>
              <w:jc w:val="right"/>
              <w:rPr>
                <w:color w:val="FFFFFF"/>
              </w:rPr>
            </w:pPr>
            <w:r>
              <w:rPr>
                <w:color w:val="FFFFFF"/>
              </w:rPr>
              <w:t>3,</w:t>
            </w:r>
            <w:r w:rsidRPr="00B058CD">
              <w:rPr>
                <w:color w:val="FFFFFF"/>
              </w:rPr>
              <w:t>340</w:t>
            </w:r>
          </w:p>
        </w:tc>
      </w:tr>
    </w:tbl>
    <w:p w:rsidR="001C2A8C" w:rsidRDefault="001C2A8C" w:rsidP="001C2A8C"/>
    <w:p w:rsidR="00937A85" w:rsidRDefault="00937A85" w:rsidP="00937A85"/>
    <w:p w:rsidR="00E830F4" w:rsidRPr="00346582" w:rsidRDefault="00E830F4" w:rsidP="00D23F17">
      <w:pPr>
        <w:ind w:left="5533"/>
        <w:rPr>
          <w:i/>
        </w:rPr>
      </w:pPr>
      <w:r w:rsidRPr="00377A03">
        <w:rPr>
          <w:i/>
        </w:rPr>
        <w:fldChar w:fldCharType="begin"/>
      </w:r>
      <w:r w:rsidRPr="00377A03">
        <w:rPr>
          <w:i/>
        </w:rPr>
        <w:instrText xml:space="preserve"> AUTONUM  </w:instrText>
      </w:r>
      <w:r w:rsidRPr="00377A03">
        <w:rPr>
          <w:i/>
        </w:rPr>
        <w:fldChar w:fldCharType="end"/>
      </w:r>
      <w:r>
        <w:tab/>
      </w:r>
      <w:r w:rsidR="000A00CC">
        <w:rPr>
          <w:i/>
        </w:rPr>
        <w:t>The Assembly is invited to</w:t>
      </w:r>
      <w:r>
        <w:br/>
      </w:r>
      <w:r w:rsidRPr="00346582">
        <w:rPr>
          <w:i/>
        </w:rPr>
        <w:t xml:space="preserve">take note of the </w:t>
      </w:r>
      <w:r w:rsidR="00030B2C">
        <w:rPr>
          <w:i/>
        </w:rPr>
        <w:t>content of</w:t>
      </w:r>
      <w:r w:rsidR="009D72E0">
        <w:rPr>
          <w:i/>
        </w:rPr>
        <w:t> </w:t>
      </w:r>
      <w:r w:rsidR="00030B2C">
        <w:rPr>
          <w:i/>
        </w:rPr>
        <w:t xml:space="preserve">the </w:t>
      </w:r>
      <w:r w:rsidR="00C37736">
        <w:rPr>
          <w:i/>
        </w:rPr>
        <w:t xml:space="preserve">Progress Report on the </w:t>
      </w:r>
      <w:r w:rsidR="00E14A03">
        <w:rPr>
          <w:i/>
        </w:rPr>
        <w:t>Information Technology Modernization Program (Hague</w:t>
      </w:r>
      <w:r w:rsidR="009D72E0">
        <w:rPr>
          <w:i/>
        </w:rPr>
        <w:t> </w:t>
      </w:r>
      <w:r w:rsidR="00E14A03">
        <w:rPr>
          <w:i/>
        </w:rPr>
        <w:t xml:space="preserve">International </w:t>
      </w:r>
      <w:r w:rsidR="00AF2945">
        <w:rPr>
          <w:i/>
        </w:rPr>
        <w:t>R</w:t>
      </w:r>
      <w:r w:rsidR="00C37736">
        <w:rPr>
          <w:i/>
        </w:rPr>
        <w:t xml:space="preserve">egistration System) </w:t>
      </w:r>
      <w:r w:rsidR="00E14A03">
        <w:rPr>
          <w:i/>
        </w:rPr>
        <w:t>(document</w:t>
      </w:r>
      <w:r w:rsidR="009D72E0">
        <w:rPr>
          <w:i/>
        </w:rPr>
        <w:t> </w:t>
      </w:r>
      <w:r w:rsidR="00E14A03">
        <w:rPr>
          <w:i/>
        </w:rPr>
        <w:t>H/A/34/1).</w:t>
      </w:r>
      <w:r w:rsidRPr="00346582">
        <w:rPr>
          <w:i/>
        </w:rPr>
        <w:t xml:space="preserve"> </w:t>
      </w:r>
    </w:p>
    <w:p w:rsidR="00E830F4" w:rsidRDefault="00E830F4" w:rsidP="009A185E">
      <w:pPr>
        <w:rPr>
          <w:i/>
        </w:rPr>
      </w:pPr>
    </w:p>
    <w:p w:rsidR="00E830F4" w:rsidRPr="009A185E" w:rsidRDefault="00E830F4" w:rsidP="009A185E">
      <w:pPr>
        <w:pStyle w:val="ONUME"/>
        <w:numPr>
          <w:ilvl w:val="0"/>
          <w:numId w:val="0"/>
        </w:numPr>
        <w:ind w:left="6270"/>
      </w:pPr>
    </w:p>
    <w:p w:rsidR="00E830F4" w:rsidRDefault="00E830F4" w:rsidP="009D2934">
      <w:pPr>
        <w:ind w:left="5533"/>
      </w:pPr>
      <w:r>
        <w:t xml:space="preserve">[End of </w:t>
      </w:r>
      <w:r w:rsidRPr="008D6555">
        <w:t>document]</w:t>
      </w:r>
    </w:p>
    <w:p w:rsidR="00E830F4" w:rsidRDefault="00E830F4" w:rsidP="009D2934">
      <w:pPr>
        <w:ind w:left="5533"/>
      </w:pPr>
    </w:p>
    <w:sectPr w:rsidR="00E830F4" w:rsidSect="003E4897">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F15" w:rsidRDefault="00601F15">
      <w:r>
        <w:separator/>
      </w:r>
    </w:p>
  </w:endnote>
  <w:endnote w:type="continuationSeparator" w:id="0">
    <w:p w:rsidR="00601F15" w:rsidRDefault="00601F15" w:rsidP="003B38C1">
      <w:r>
        <w:separator/>
      </w:r>
    </w:p>
    <w:p w:rsidR="00601F15" w:rsidRPr="003B38C1" w:rsidRDefault="00601F15" w:rsidP="003B38C1">
      <w:pPr>
        <w:spacing w:after="60"/>
        <w:rPr>
          <w:sz w:val="17"/>
        </w:rPr>
      </w:pPr>
      <w:r>
        <w:rPr>
          <w:sz w:val="17"/>
        </w:rPr>
        <w:t>[Endnote continued from previous page]</w:t>
      </w:r>
    </w:p>
  </w:endnote>
  <w:endnote w:type="continuationNotice" w:id="1">
    <w:p w:rsidR="00601F15" w:rsidRPr="003B38C1" w:rsidRDefault="00601F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F15" w:rsidRDefault="00601F15">
      <w:r>
        <w:separator/>
      </w:r>
    </w:p>
  </w:footnote>
  <w:footnote w:type="continuationSeparator" w:id="0">
    <w:p w:rsidR="00601F15" w:rsidRDefault="00601F15" w:rsidP="008B60B2">
      <w:r>
        <w:separator/>
      </w:r>
    </w:p>
    <w:p w:rsidR="00601F15" w:rsidRPr="00ED77FB" w:rsidRDefault="00601F15" w:rsidP="008B60B2">
      <w:pPr>
        <w:spacing w:after="60"/>
        <w:rPr>
          <w:sz w:val="17"/>
          <w:szCs w:val="17"/>
        </w:rPr>
      </w:pPr>
      <w:r w:rsidRPr="00ED77FB">
        <w:rPr>
          <w:sz w:val="17"/>
          <w:szCs w:val="17"/>
        </w:rPr>
        <w:t>[Footnote continued from previous page]</w:t>
      </w:r>
    </w:p>
  </w:footnote>
  <w:footnote w:type="continuationNotice" w:id="1">
    <w:p w:rsidR="00601F15" w:rsidRPr="00ED77FB" w:rsidRDefault="00601F1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F4" w:rsidRDefault="00E830F4" w:rsidP="001C63E0">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32AC3">
      <w:rPr>
        <w:rStyle w:val="PageNumber"/>
        <w:rFonts w:cs="Arial"/>
        <w:noProof/>
      </w:rPr>
      <w:t>4</w:t>
    </w:r>
    <w:r>
      <w:rPr>
        <w:rStyle w:val="PageNumber"/>
        <w:rFonts w:cs="Arial"/>
      </w:rPr>
      <w:fldChar w:fldCharType="end"/>
    </w:r>
  </w:p>
  <w:p w:rsidR="00E830F4" w:rsidRDefault="00E830F4" w:rsidP="004B757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F4" w:rsidRDefault="00A33E5A" w:rsidP="004B7572">
    <w:pPr>
      <w:jc w:val="right"/>
    </w:pPr>
    <w:r w:rsidRPr="00A33E5A">
      <w:t>H/A/34</w:t>
    </w:r>
    <w:r w:rsidR="00E830F4" w:rsidRPr="00A33E5A">
      <w:t>/1</w:t>
    </w:r>
  </w:p>
  <w:p w:rsidR="00E830F4" w:rsidRDefault="00E830F4" w:rsidP="004B7572">
    <w:pPr>
      <w:jc w:val="right"/>
    </w:pPr>
    <w:proofErr w:type="gramStart"/>
    <w:r>
      <w:t>page</w:t>
    </w:r>
    <w:proofErr w:type="gramEnd"/>
    <w:r>
      <w:t xml:space="preserve"> </w:t>
    </w:r>
    <w:r w:rsidR="005305C5">
      <w:fldChar w:fldCharType="begin"/>
    </w:r>
    <w:r w:rsidR="005305C5">
      <w:instrText xml:space="preserve"> PAGE  \* MERGEFORMAT </w:instrText>
    </w:r>
    <w:r w:rsidR="005305C5">
      <w:fldChar w:fldCharType="separate"/>
    </w:r>
    <w:r w:rsidR="002B664B">
      <w:rPr>
        <w:noProof/>
      </w:rPr>
      <w:t>4</w:t>
    </w:r>
    <w:r w:rsidR="005305C5">
      <w:rPr>
        <w:noProof/>
      </w:rPr>
      <w:fldChar w:fldCharType="end"/>
    </w:r>
  </w:p>
  <w:p w:rsidR="00E830F4" w:rsidRDefault="00E830F4" w:rsidP="004B7572">
    <w:pPr>
      <w:jc w:val="right"/>
    </w:pPr>
  </w:p>
  <w:p w:rsidR="00E830F4" w:rsidRDefault="00E830F4" w:rsidP="00053DA1">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AC8DC82"/>
    <w:lvl w:ilvl="0">
      <w:start w:val="1"/>
      <w:numFmt w:val="decimal"/>
      <w:lvlText w:val="%1."/>
      <w:lvlJc w:val="left"/>
      <w:pPr>
        <w:tabs>
          <w:tab w:val="num" w:pos="360"/>
        </w:tabs>
        <w:ind w:left="360" w:hanging="360"/>
      </w:pPr>
      <w:rPr>
        <w:rFonts w:cs="Times New Roman"/>
      </w:r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08C4C7A"/>
    <w:multiLevelType w:val="hybridMultilevel"/>
    <w:tmpl w:val="FD1481D4"/>
    <w:lvl w:ilvl="0" w:tplc="4D9EF9DC">
      <w:start w:val="2"/>
      <w:numFmt w:val="lowerRoman"/>
      <w:lvlText w:val="(%1)"/>
      <w:lvlJc w:val="left"/>
      <w:pPr>
        <w:tabs>
          <w:tab w:val="num" w:pos="6990"/>
        </w:tabs>
        <w:ind w:left="6990" w:hanging="720"/>
      </w:pPr>
      <w:rPr>
        <w:rFonts w:cs="Times New Roman" w:hint="default"/>
      </w:rPr>
    </w:lvl>
    <w:lvl w:ilvl="1" w:tplc="04090019" w:tentative="1">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3">
    <w:nsid w:val="268A301A"/>
    <w:multiLevelType w:val="multilevel"/>
    <w:tmpl w:val="81EA6450"/>
    <w:lvl w:ilvl="0">
      <w:start w:val="1"/>
      <w:numFmt w:val="none"/>
      <w:lvlRestart w:val="0"/>
      <w:pStyle w:val="ONUME"/>
      <w:lvlText w:val="(i)"/>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4"/>
  </w:num>
  <w:num w:numId="19">
    <w:abstractNumId w:val="1"/>
  </w:num>
  <w:num w:numId="20">
    <w:abstractNumId w:val="3"/>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97"/>
    <w:rsid w:val="00001A1F"/>
    <w:rsid w:val="000035BE"/>
    <w:rsid w:val="00004B2B"/>
    <w:rsid w:val="00006DB8"/>
    <w:rsid w:val="00010A6C"/>
    <w:rsid w:val="00013432"/>
    <w:rsid w:val="0001682D"/>
    <w:rsid w:val="00030B2C"/>
    <w:rsid w:val="00031BD9"/>
    <w:rsid w:val="00034381"/>
    <w:rsid w:val="000379B4"/>
    <w:rsid w:val="00041745"/>
    <w:rsid w:val="00042E44"/>
    <w:rsid w:val="00043CAA"/>
    <w:rsid w:val="00045613"/>
    <w:rsid w:val="00047B16"/>
    <w:rsid w:val="00052993"/>
    <w:rsid w:val="000539F4"/>
    <w:rsid w:val="00053DA1"/>
    <w:rsid w:val="00056F04"/>
    <w:rsid w:val="00064445"/>
    <w:rsid w:val="000648CA"/>
    <w:rsid w:val="0007091D"/>
    <w:rsid w:val="000745FE"/>
    <w:rsid w:val="00075432"/>
    <w:rsid w:val="0007682F"/>
    <w:rsid w:val="000848BF"/>
    <w:rsid w:val="00093BD8"/>
    <w:rsid w:val="000968ED"/>
    <w:rsid w:val="00097A31"/>
    <w:rsid w:val="000A00CC"/>
    <w:rsid w:val="000A0941"/>
    <w:rsid w:val="000A322E"/>
    <w:rsid w:val="000A4648"/>
    <w:rsid w:val="000C12A9"/>
    <w:rsid w:val="000C1BE1"/>
    <w:rsid w:val="000C1CC2"/>
    <w:rsid w:val="000D5455"/>
    <w:rsid w:val="000F137E"/>
    <w:rsid w:val="000F5E56"/>
    <w:rsid w:val="00102B47"/>
    <w:rsid w:val="00103281"/>
    <w:rsid w:val="00104636"/>
    <w:rsid w:val="0010788E"/>
    <w:rsid w:val="00114826"/>
    <w:rsid w:val="001328C5"/>
    <w:rsid w:val="00134376"/>
    <w:rsid w:val="001362EE"/>
    <w:rsid w:val="001413E9"/>
    <w:rsid w:val="00150687"/>
    <w:rsid w:val="00152E5D"/>
    <w:rsid w:val="00154263"/>
    <w:rsid w:val="00157763"/>
    <w:rsid w:val="0015797F"/>
    <w:rsid w:val="001720BB"/>
    <w:rsid w:val="00175B41"/>
    <w:rsid w:val="001832A6"/>
    <w:rsid w:val="00193E38"/>
    <w:rsid w:val="001B0257"/>
    <w:rsid w:val="001C1D0F"/>
    <w:rsid w:val="001C2A8C"/>
    <w:rsid w:val="001C63E0"/>
    <w:rsid w:val="001D03B1"/>
    <w:rsid w:val="001D6859"/>
    <w:rsid w:val="001E1AE9"/>
    <w:rsid w:val="001E27AB"/>
    <w:rsid w:val="001E4F1B"/>
    <w:rsid w:val="001E70ED"/>
    <w:rsid w:val="001F15BD"/>
    <w:rsid w:val="001F5BF5"/>
    <w:rsid w:val="00205C7D"/>
    <w:rsid w:val="0021499A"/>
    <w:rsid w:val="00214ADE"/>
    <w:rsid w:val="0021549B"/>
    <w:rsid w:val="002229C7"/>
    <w:rsid w:val="002277D1"/>
    <w:rsid w:val="00236CC8"/>
    <w:rsid w:val="00254F0E"/>
    <w:rsid w:val="00255062"/>
    <w:rsid w:val="0025665D"/>
    <w:rsid w:val="002610F6"/>
    <w:rsid w:val="002634C4"/>
    <w:rsid w:val="002707AF"/>
    <w:rsid w:val="00271E81"/>
    <w:rsid w:val="00272965"/>
    <w:rsid w:val="00273875"/>
    <w:rsid w:val="00275192"/>
    <w:rsid w:val="0028552A"/>
    <w:rsid w:val="002928D3"/>
    <w:rsid w:val="00295494"/>
    <w:rsid w:val="002B479A"/>
    <w:rsid w:val="002B664B"/>
    <w:rsid w:val="002C673B"/>
    <w:rsid w:val="002D1155"/>
    <w:rsid w:val="002D17E0"/>
    <w:rsid w:val="002D5C25"/>
    <w:rsid w:val="002D6F89"/>
    <w:rsid w:val="002F1799"/>
    <w:rsid w:val="002F1FE6"/>
    <w:rsid w:val="002F397B"/>
    <w:rsid w:val="002F4E68"/>
    <w:rsid w:val="002F62C8"/>
    <w:rsid w:val="002F69DE"/>
    <w:rsid w:val="00307EF0"/>
    <w:rsid w:val="003123A0"/>
    <w:rsid w:val="00312F7F"/>
    <w:rsid w:val="00314694"/>
    <w:rsid w:val="00331CC2"/>
    <w:rsid w:val="00346582"/>
    <w:rsid w:val="003673CF"/>
    <w:rsid w:val="003711EC"/>
    <w:rsid w:val="0037749C"/>
    <w:rsid w:val="00377A03"/>
    <w:rsid w:val="0038118F"/>
    <w:rsid w:val="003845C1"/>
    <w:rsid w:val="00385969"/>
    <w:rsid w:val="00397946"/>
    <w:rsid w:val="003A0330"/>
    <w:rsid w:val="003A6F89"/>
    <w:rsid w:val="003A70D8"/>
    <w:rsid w:val="003B04B5"/>
    <w:rsid w:val="003B38C1"/>
    <w:rsid w:val="003B5432"/>
    <w:rsid w:val="003B7C04"/>
    <w:rsid w:val="003E0DA5"/>
    <w:rsid w:val="003E4218"/>
    <w:rsid w:val="003E4897"/>
    <w:rsid w:val="00405DDE"/>
    <w:rsid w:val="00406017"/>
    <w:rsid w:val="00423E3E"/>
    <w:rsid w:val="00426D81"/>
    <w:rsid w:val="00427AF4"/>
    <w:rsid w:val="00432E9B"/>
    <w:rsid w:val="0044268F"/>
    <w:rsid w:val="00443B0A"/>
    <w:rsid w:val="00445BA0"/>
    <w:rsid w:val="00446425"/>
    <w:rsid w:val="0045736E"/>
    <w:rsid w:val="004647DA"/>
    <w:rsid w:val="00466D1D"/>
    <w:rsid w:val="00474062"/>
    <w:rsid w:val="00477D6B"/>
    <w:rsid w:val="004819F1"/>
    <w:rsid w:val="00485FB1"/>
    <w:rsid w:val="00497537"/>
    <w:rsid w:val="00497B89"/>
    <w:rsid w:val="004A06B2"/>
    <w:rsid w:val="004A18AA"/>
    <w:rsid w:val="004A4A47"/>
    <w:rsid w:val="004B7572"/>
    <w:rsid w:val="004C53A5"/>
    <w:rsid w:val="004E0752"/>
    <w:rsid w:val="004E60D3"/>
    <w:rsid w:val="004E7B4A"/>
    <w:rsid w:val="004F3731"/>
    <w:rsid w:val="0050613B"/>
    <w:rsid w:val="005075AB"/>
    <w:rsid w:val="00507A26"/>
    <w:rsid w:val="00514558"/>
    <w:rsid w:val="005259C9"/>
    <w:rsid w:val="00526FD9"/>
    <w:rsid w:val="0053057A"/>
    <w:rsid w:val="005305C5"/>
    <w:rsid w:val="00533A70"/>
    <w:rsid w:val="00535C5E"/>
    <w:rsid w:val="00543240"/>
    <w:rsid w:val="00560A29"/>
    <w:rsid w:val="00560CD4"/>
    <w:rsid w:val="00574BDB"/>
    <w:rsid w:val="00580046"/>
    <w:rsid w:val="00595C16"/>
    <w:rsid w:val="005975F4"/>
    <w:rsid w:val="005A2285"/>
    <w:rsid w:val="005B1E4A"/>
    <w:rsid w:val="005B5890"/>
    <w:rsid w:val="005B6FB1"/>
    <w:rsid w:val="005C6730"/>
    <w:rsid w:val="005D78FE"/>
    <w:rsid w:val="005E0C36"/>
    <w:rsid w:val="005E1D45"/>
    <w:rsid w:val="005F0978"/>
    <w:rsid w:val="005F1B3E"/>
    <w:rsid w:val="005F3442"/>
    <w:rsid w:val="005F50EC"/>
    <w:rsid w:val="005F7017"/>
    <w:rsid w:val="00601F15"/>
    <w:rsid w:val="00605827"/>
    <w:rsid w:val="00640880"/>
    <w:rsid w:val="00646050"/>
    <w:rsid w:val="00654B7D"/>
    <w:rsid w:val="00661557"/>
    <w:rsid w:val="006713CA"/>
    <w:rsid w:val="0067411E"/>
    <w:rsid w:val="00676C5C"/>
    <w:rsid w:val="00677E19"/>
    <w:rsid w:val="00682FA1"/>
    <w:rsid w:val="00690C33"/>
    <w:rsid w:val="006A130B"/>
    <w:rsid w:val="006A54ED"/>
    <w:rsid w:val="006A60C3"/>
    <w:rsid w:val="006B2F48"/>
    <w:rsid w:val="006B60E0"/>
    <w:rsid w:val="006C263E"/>
    <w:rsid w:val="006C6504"/>
    <w:rsid w:val="006C73E3"/>
    <w:rsid w:val="006D5A91"/>
    <w:rsid w:val="006E78DA"/>
    <w:rsid w:val="006F063F"/>
    <w:rsid w:val="006F148A"/>
    <w:rsid w:val="006F29B9"/>
    <w:rsid w:val="0071351F"/>
    <w:rsid w:val="00715159"/>
    <w:rsid w:val="00721585"/>
    <w:rsid w:val="00722A61"/>
    <w:rsid w:val="007461EA"/>
    <w:rsid w:val="007544EC"/>
    <w:rsid w:val="00761A8D"/>
    <w:rsid w:val="007638A0"/>
    <w:rsid w:val="00763CDF"/>
    <w:rsid w:val="00777317"/>
    <w:rsid w:val="00780721"/>
    <w:rsid w:val="00785DE1"/>
    <w:rsid w:val="00794F0C"/>
    <w:rsid w:val="007A002F"/>
    <w:rsid w:val="007A58AF"/>
    <w:rsid w:val="007B1DD6"/>
    <w:rsid w:val="007B7D71"/>
    <w:rsid w:val="007C23F7"/>
    <w:rsid w:val="007D0616"/>
    <w:rsid w:val="007D1613"/>
    <w:rsid w:val="007E699F"/>
    <w:rsid w:val="007E7E4C"/>
    <w:rsid w:val="0081568A"/>
    <w:rsid w:val="00847246"/>
    <w:rsid w:val="0086362E"/>
    <w:rsid w:val="00874202"/>
    <w:rsid w:val="008845D9"/>
    <w:rsid w:val="008A3E99"/>
    <w:rsid w:val="008B13FF"/>
    <w:rsid w:val="008B2CC1"/>
    <w:rsid w:val="008B36D8"/>
    <w:rsid w:val="008B37BF"/>
    <w:rsid w:val="008B60B2"/>
    <w:rsid w:val="008C0023"/>
    <w:rsid w:val="008C5B56"/>
    <w:rsid w:val="008C6E4B"/>
    <w:rsid w:val="008D0DCC"/>
    <w:rsid w:val="008D6555"/>
    <w:rsid w:val="008E4E59"/>
    <w:rsid w:val="008F5EA7"/>
    <w:rsid w:val="009027C8"/>
    <w:rsid w:val="00902ED7"/>
    <w:rsid w:val="00903516"/>
    <w:rsid w:val="00903930"/>
    <w:rsid w:val="0090731E"/>
    <w:rsid w:val="00916EE2"/>
    <w:rsid w:val="0093438D"/>
    <w:rsid w:val="0093778E"/>
    <w:rsid w:val="00937A85"/>
    <w:rsid w:val="0094200B"/>
    <w:rsid w:val="00966A22"/>
    <w:rsid w:val="00967184"/>
    <w:rsid w:val="0096722F"/>
    <w:rsid w:val="00970043"/>
    <w:rsid w:val="00970D6F"/>
    <w:rsid w:val="009751CE"/>
    <w:rsid w:val="00980843"/>
    <w:rsid w:val="009A185E"/>
    <w:rsid w:val="009A6101"/>
    <w:rsid w:val="009C64E9"/>
    <w:rsid w:val="009D2934"/>
    <w:rsid w:val="009D2A86"/>
    <w:rsid w:val="009D6B6B"/>
    <w:rsid w:val="009D72E0"/>
    <w:rsid w:val="009E2791"/>
    <w:rsid w:val="009E3F6F"/>
    <w:rsid w:val="009E3FB2"/>
    <w:rsid w:val="009F373B"/>
    <w:rsid w:val="009F499F"/>
    <w:rsid w:val="009F6BDA"/>
    <w:rsid w:val="009F7EC1"/>
    <w:rsid w:val="00A025BC"/>
    <w:rsid w:val="00A06A85"/>
    <w:rsid w:val="00A11B67"/>
    <w:rsid w:val="00A1235C"/>
    <w:rsid w:val="00A22CCB"/>
    <w:rsid w:val="00A247DC"/>
    <w:rsid w:val="00A33E5A"/>
    <w:rsid w:val="00A41FF4"/>
    <w:rsid w:val="00A42DAF"/>
    <w:rsid w:val="00A45BD8"/>
    <w:rsid w:val="00A52B7A"/>
    <w:rsid w:val="00A66C02"/>
    <w:rsid w:val="00A74673"/>
    <w:rsid w:val="00A81366"/>
    <w:rsid w:val="00A977F0"/>
    <w:rsid w:val="00AA0F8D"/>
    <w:rsid w:val="00AC0B60"/>
    <w:rsid w:val="00AC10DD"/>
    <w:rsid w:val="00AC205C"/>
    <w:rsid w:val="00AD0C6E"/>
    <w:rsid w:val="00AD43F3"/>
    <w:rsid w:val="00AD56FB"/>
    <w:rsid w:val="00AD7719"/>
    <w:rsid w:val="00AE48EF"/>
    <w:rsid w:val="00AE5A71"/>
    <w:rsid w:val="00AF0A6B"/>
    <w:rsid w:val="00AF1D1D"/>
    <w:rsid w:val="00AF2945"/>
    <w:rsid w:val="00AF2D3A"/>
    <w:rsid w:val="00AF3F7B"/>
    <w:rsid w:val="00AF5A05"/>
    <w:rsid w:val="00AF5FAE"/>
    <w:rsid w:val="00B05A69"/>
    <w:rsid w:val="00B13F1A"/>
    <w:rsid w:val="00B13FED"/>
    <w:rsid w:val="00B3105B"/>
    <w:rsid w:val="00B34109"/>
    <w:rsid w:val="00B37DEC"/>
    <w:rsid w:val="00B474CC"/>
    <w:rsid w:val="00B60F45"/>
    <w:rsid w:val="00B6267A"/>
    <w:rsid w:val="00B73D72"/>
    <w:rsid w:val="00B86BA3"/>
    <w:rsid w:val="00B92B5A"/>
    <w:rsid w:val="00B96686"/>
    <w:rsid w:val="00B9734B"/>
    <w:rsid w:val="00BA67B0"/>
    <w:rsid w:val="00BA77CF"/>
    <w:rsid w:val="00BB0D9B"/>
    <w:rsid w:val="00BC2A52"/>
    <w:rsid w:val="00BD1B76"/>
    <w:rsid w:val="00BE228C"/>
    <w:rsid w:val="00BE7536"/>
    <w:rsid w:val="00BF5AC1"/>
    <w:rsid w:val="00BF5DC9"/>
    <w:rsid w:val="00C0664D"/>
    <w:rsid w:val="00C11BFE"/>
    <w:rsid w:val="00C149F9"/>
    <w:rsid w:val="00C27D2D"/>
    <w:rsid w:val="00C32AC3"/>
    <w:rsid w:val="00C37736"/>
    <w:rsid w:val="00C44565"/>
    <w:rsid w:val="00C64E9F"/>
    <w:rsid w:val="00C72CEB"/>
    <w:rsid w:val="00C76E8F"/>
    <w:rsid w:val="00C86093"/>
    <w:rsid w:val="00C9269A"/>
    <w:rsid w:val="00C92A8B"/>
    <w:rsid w:val="00C92D80"/>
    <w:rsid w:val="00C96966"/>
    <w:rsid w:val="00CA5ECB"/>
    <w:rsid w:val="00CA6965"/>
    <w:rsid w:val="00CB37EE"/>
    <w:rsid w:val="00CB70A0"/>
    <w:rsid w:val="00CC00C4"/>
    <w:rsid w:val="00CC5609"/>
    <w:rsid w:val="00CC6F64"/>
    <w:rsid w:val="00CD2539"/>
    <w:rsid w:val="00CD4DBF"/>
    <w:rsid w:val="00CE05D2"/>
    <w:rsid w:val="00CE7AED"/>
    <w:rsid w:val="00D06321"/>
    <w:rsid w:val="00D23F17"/>
    <w:rsid w:val="00D45252"/>
    <w:rsid w:val="00D45D03"/>
    <w:rsid w:val="00D52ED3"/>
    <w:rsid w:val="00D54EF5"/>
    <w:rsid w:val="00D577E3"/>
    <w:rsid w:val="00D62ED8"/>
    <w:rsid w:val="00D63E7E"/>
    <w:rsid w:val="00D66495"/>
    <w:rsid w:val="00D71B4D"/>
    <w:rsid w:val="00D818C7"/>
    <w:rsid w:val="00D90D6E"/>
    <w:rsid w:val="00D93D55"/>
    <w:rsid w:val="00DA2C87"/>
    <w:rsid w:val="00DA57C0"/>
    <w:rsid w:val="00DB46E2"/>
    <w:rsid w:val="00DC09AB"/>
    <w:rsid w:val="00DC36F7"/>
    <w:rsid w:val="00DC3B81"/>
    <w:rsid w:val="00DD5099"/>
    <w:rsid w:val="00DE6F8B"/>
    <w:rsid w:val="00E018B9"/>
    <w:rsid w:val="00E05E58"/>
    <w:rsid w:val="00E10498"/>
    <w:rsid w:val="00E1488A"/>
    <w:rsid w:val="00E14A03"/>
    <w:rsid w:val="00E31A9F"/>
    <w:rsid w:val="00E335FE"/>
    <w:rsid w:val="00E44062"/>
    <w:rsid w:val="00E45380"/>
    <w:rsid w:val="00E5190E"/>
    <w:rsid w:val="00E53D6E"/>
    <w:rsid w:val="00E57FEB"/>
    <w:rsid w:val="00E61832"/>
    <w:rsid w:val="00E75D0B"/>
    <w:rsid w:val="00E830F4"/>
    <w:rsid w:val="00E93ABF"/>
    <w:rsid w:val="00EA1263"/>
    <w:rsid w:val="00EA1C16"/>
    <w:rsid w:val="00EB05DB"/>
    <w:rsid w:val="00EC4E49"/>
    <w:rsid w:val="00ED06D6"/>
    <w:rsid w:val="00ED2526"/>
    <w:rsid w:val="00ED558C"/>
    <w:rsid w:val="00ED77FB"/>
    <w:rsid w:val="00EE45FA"/>
    <w:rsid w:val="00F03D37"/>
    <w:rsid w:val="00F0458E"/>
    <w:rsid w:val="00F25043"/>
    <w:rsid w:val="00F35183"/>
    <w:rsid w:val="00F42279"/>
    <w:rsid w:val="00F4771F"/>
    <w:rsid w:val="00F61647"/>
    <w:rsid w:val="00F66152"/>
    <w:rsid w:val="00F66E9E"/>
    <w:rsid w:val="00F74219"/>
    <w:rsid w:val="00F93792"/>
    <w:rsid w:val="00FB1E9B"/>
    <w:rsid w:val="00FC0519"/>
    <w:rsid w:val="00FD0F5F"/>
    <w:rsid w:val="00FD7AB4"/>
    <w:rsid w:val="00FF0B4A"/>
    <w:rsid w:val="00FF0C61"/>
    <w:rsid w:val="00FF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464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0A4648"/>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sid w:val="000A4648"/>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0A4648"/>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0A4648"/>
    <w:rPr>
      <w:rFonts w:ascii="Arial" w:eastAsia="SimSun" w:hAnsi="Arial" w:cs="Arial"/>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0A4648"/>
    <w:rPr>
      <w:rFonts w:ascii="Arial" w:eastAsia="SimSun" w:hAnsi="Arial" w:cs="Arial"/>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0A4648"/>
    <w:rPr>
      <w:rFonts w:ascii="Arial" w:eastAsia="SimSun" w:hAnsi="Arial" w:cs="Arial"/>
      <w:sz w:val="22"/>
      <w:lang w:eastAsia="zh-CN"/>
    </w:rPr>
  </w:style>
  <w:style w:type="paragraph" w:customStyle="1" w:styleId="Assembly">
    <w:name w:val="Assembly"/>
    <w:basedOn w:val="Normal"/>
    <w:next w:val="Normal"/>
    <w:uiPriority w:val="99"/>
    <w:rsid w:val="00093BD8"/>
    <w:pPr>
      <w:spacing w:before="480" w:line="336" w:lineRule="exact"/>
      <w:ind w:left="1021"/>
      <w:contextualSpacing/>
    </w:pPr>
    <w:rPr>
      <w:rFonts w:eastAsia="MS Mincho" w:cs="Times New Roman"/>
      <w:b/>
      <w:sz w:val="28"/>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0A4648"/>
    <w:rPr>
      <w:rFonts w:ascii="Arial" w:eastAsia="SimSun" w:hAnsi="Arial" w:cs="Arial"/>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0A4648"/>
    <w:rPr>
      <w:rFonts w:ascii="Arial" w:eastAsia="SimSun" w:hAnsi="Arial" w:cs="Arial"/>
      <w:sz w:val="22"/>
      <w:lang w:eastAsia="zh-CN"/>
    </w:rPr>
  </w:style>
  <w:style w:type="paragraph" w:styleId="ListNumber">
    <w:name w:val="List Number"/>
    <w:basedOn w:val="Normal"/>
    <w:uiPriority w:val="99"/>
    <w:semiHidden/>
    <w:rsid w:val="00676C5C"/>
    <w:pPr>
      <w:numPr>
        <w:numId w:val="18"/>
      </w:numPr>
    </w:pPr>
  </w:style>
  <w:style w:type="paragraph" w:customStyle="1" w:styleId="ONUME">
    <w:name w:val="ONUM E"/>
    <w:basedOn w:val="BodyText"/>
    <w:uiPriority w:val="99"/>
    <w:rsid w:val="00676C5C"/>
    <w:pPr>
      <w:numPr>
        <w:numId w:val="20"/>
      </w:numPr>
    </w:pPr>
  </w:style>
  <w:style w:type="paragraph" w:customStyle="1" w:styleId="ONUMFS">
    <w:name w:val="ONUM FS"/>
    <w:basedOn w:val="BodyText"/>
    <w:uiPriority w:val="99"/>
    <w:rsid w:val="00676C5C"/>
    <w:pPr>
      <w:numPr>
        <w:numId w:val="19"/>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0A4648"/>
    <w:rPr>
      <w:rFonts w:ascii="Arial" w:eastAsia="SimSun" w:hAnsi="Arial" w:cs="Arial"/>
      <w:sz w:val="22"/>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0A4648"/>
    <w:rPr>
      <w:rFonts w:ascii="Arial" w:eastAsia="SimSun" w:hAnsi="Arial" w:cs="Arial"/>
      <w:sz w:val="22"/>
      <w:lang w:eastAsia="zh-CN"/>
    </w:rPr>
  </w:style>
  <w:style w:type="character" w:styleId="CommentReference">
    <w:name w:val="annotation reference"/>
    <w:basedOn w:val="DefaultParagraphFont"/>
    <w:uiPriority w:val="99"/>
    <w:semiHidden/>
    <w:rsid w:val="003E4897"/>
    <w:rPr>
      <w:rFonts w:cs="Times New Roman"/>
      <w:sz w:val="16"/>
    </w:rPr>
  </w:style>
  <w:style w:type="paragraph" w:styleId="BalloonText">
    <w:name w:val="Balloon Text"/>
    <w:basedOn w:val="Normal"/>
    <w:link w:val="BalloonTextChar"/>
    <w:uiPriority w:val="99"/>
    <w:semiHidden/>
    <w:rsid w:val="003E4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648"/>
    <w:rPr>
      <w:rFonts w:eastAsia="SimSun" w:cs="Arial"/>
      <w:sz w:val="2"/>
      <w:lang w:eastAsia="zh-CN"/>
    </w:rPr>
  </w:style>
  <w:style w:type="paragraph" w:customStyle="1" w:styleId="Endofdocument">
    <w:name w:val="End of document"/>
    <w:basedOn w:val="Normal"/>
    <w:uiPriority w:val="99"/>
    <w:rsid w:val="00B13FED"/>
    <w:pPr>
      <w:spacing w:after="120" w:line="260" w:lineRule="atLeast"/>
      <w:ind w:left="5534"/>
      <w:contextualSpacing/>
    </w:pPr>
    <w:rPr>
      <w:rFonts w:eastAsia="MS Mincho" w:cs="Times New Roman"/>
      <w:sz w:val="20"/>
      <w:lang w:eastAsia="en-US"/>
    </w:rPr>
  </w:style>
  <w:style w:type="character" w:styleId="PageNumber">
    <w:name w:val="page number"/>
    <w:basedOn w:val="DefaultParagraphFont"/>
    <w:uiPriority w:val="99"/>
    <w:rsid w:val="004B7572"/>
    <w:rPr>
      <w:rFonts w:cs="Times New Roman"/>
    </w:rPr>
  </w:style>
  <w:style w:type="paragraph" w:styleId="DocumentMap">
    <w:name w:val="Document Map"/>
    <w:basedOn w:val="Normal"/>
    <w:link w:val="DocumentMapChar"/>
    <w:uiPriority w:val="99"/>
    <w:semiHidden/>
    <w:rsid w:val="00D664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A4648"/>
    <w:rPr>
      <w:rFonts w:eastAsia="SimSun" w:cs="Arial"/>
      <w:sz w:val="2"/>
      <w:lang w:eastAsia="zh-CN"/>
    </w:rPr>
  </w:style>
  <w:style w:type="paragraph" w:styleId="CommentSubject">
    <w:name w:val="annotation subject"/>
    <w:basedOn w:val="CommentText"/>
    <w:next w:val="CommentText"/>
    <w:link w:val="CommentSubjectChar"/>
    <w:uiPriority w:val="99"/>
    <w:semiHidden/>
    <w:rsid w:val="00B60F45"/>
    <w:rPr>
      <w:b/>
      <w:bCs/>
      <w:sz w:val="20"/>
    </w:rPr>
  </w:style>
  <w:style w:type="character" w:customStyle="1" w:styleId="CommentSubjectChar">
    <w:name w:val="Comment Subject Char"/>
    <w:basedOn w:val="CommentTextChar"/>
    <w:link w:val="CommentSubject"/>
    <w:uiPriority w:val="99"/>
    <w:semiHidden/>
    <w:locked/>
    <w:rsid w:val="000A4648"/>
    <w:rPr>
      <w:rFonts w:ascii="Arial" w:eastAsia="SimSun"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464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0A4648"/>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sid w:val="000A4648"/>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0A4648"/>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0A4648"/>
    <w:rPr>
      <w:rFonts w:ascii="Arial" w:eastAsia="SimSun" w:hAnsi="Arial" w:cs="Arial"/>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0A4648"/>
    <w:rPr>
      <w:rFonts w:ascii="Arial" w:eastAsia="SimSun" w:hAnsi="Arial" w:cs="Arial"/>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0A4648"/>
    <w:rPr>
      <w:rFonts w:ascii="Arial" w:eastAsia="SimSun" w:hAnsi="Arial" w:cs="Arial"/>
      <w:sz w:val="22"/>
      <w:lang w:eastAsia="zh-CN"/>
    </w:rPr>
  </w:style>
  <w:style w:type="paragraph" w:customStyle="1" w:styleId="Assembly">
    <w:name w:val="Assembly"/>
    <w:basedOn w:val="Normal"/>
    <w:next w:val="Normal"/>
    <w:uiPriority w:val="99"/>
    <w:rsid w:val="00093BD8"/>
    <w:pPr>
      <w:spacing w:before="480" w:line="336" w:lineRule="exact"/>
      <w:ind w:left="1021"/>
      <w:contextualSpacing/>
    </w:pPr>
    <w:rPr>
      <w:rFonts w:eastAsia="MS Mincho" w:cs="Times New Roman"/>
      <w:b/>
      <w:sz w:val="28"/>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0A4648"/>
    <w:rPr>
      <w:rFonts w:ascii="Arial" w:eastAsia="SimSun" w:hAnsi="Arial" w:cs="Arial"/>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0A4648"/>
    <w:rPr>
      <w:rFonts w:ascii="Arial" w:eastAsia="SimSun" w:hAnsi="Arial" w:cs="Arial"/>
      <w:sz w:val="22"/>
      <w:lang w:eastAsia="zh-CN"/>
    </w:rPr>
  </w:style>
  <w:style w:type="paragraph" w:styleId="ListNumber">
    <w:name w:val="List Number"/>
    <w:basedOn w:val="Normal"/>
    <w:uiPriority w:val="99"/>
    <w:semiHidden/>
    <w:rsid w:val="00676C5C"/>
    <w:pPr>
      <w:numPr>
        <w:numId w:val="18"/>
      </w:numPr>
    </w:pPr>
  </w:style>
  <w:style w:type="paragraph" w:customStyle="1" w:styleId="ONUME">
    <w:name w:val="ONUM E"/>
    <w:basedOn w:val="BodyText"/>
    <w:uiPriority w:val="99"/>
    <w:rsid w:val="00676C5C"/>
    <w:pPr>
      <w:numPr>
        <w:numId w:val="20"/>
      </w:numPr>
    </w:pPr>
  </w:style>
  <w:style w:type="paragraph" w:customStyle="1" w:styleId="ONUMFS">
    <w:name w:val="ONUM FS"/>
    <w:basedOn w:val="BodyText"/>
    <w:uiPriority w:val="99"/>
    <w:rsid w:val="00676C5C"/>
    <w:pPr>
      <w:numPr>
        <w:numId w:val="19"/>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0A4648"/>
    <w:rPr>
      <w:rFonts w:ascii="Arial" w:eastAsia="SimSun" w:hAnsi="Arial" w:cs="Arial"/>
      <w:sz w:val="22"/>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0A4648"/>
    <w:rPr>
      <w:rFonts w:ascii="Arial" w:eastAsia="SimSun" w:hAnsi="Arial" w:cs="Arial"/>
      <w:sz w:val="22"/>
      <w:lang w:eastAsia="zh-CN"/>
    </w:rPr>
  </w:style>
  <w:style w:type="character" w:styleId="CommentReference">
    <w:name w:val="annotation reference"/>
    <w:basedOn w:val="DefaultParagraphFont"/>
    <w:uiPriority w:val="99"/>
    <w:semiHidden/>
    <w:rsid w:val="003E4897"/>
    <w:rPr>
      <w:rFonts w:cs="Times New Roman"/>
      <w:sz w:val="16"/>
    </w:rPr>
  </w:style>
  <w:style w:type="paragraph" w:styleId="BalloonText">
    <w:name w:val="Balloon Text"/>
    <w:basedOn w:val="Normal"/>
    <w:link w:val="BalloonTextChar"/>
    <w:uiPriority w:val="99"/>
    <w:semiHidden/>
    <w:rsid w:val="003E4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648"/>
    <w:rPr>
      <w:rFonts w:eastAsia="SimSun" w:cs="Arial"/>
      <w:sz w:val="2"/>
      <w:lang w:eastAsia="zh-CN"/>
    </w:rPr>
  </w:style>
  <w:style w:type="paragraph" w:customStyle="1" w:styleId="Endofdocument">
    <w:name w:val="End of document"/>
    <w:basedOn w:val="Normal"/>
    <w:uiPriority w:val="99"/>
    <w:rsid w:val="00B13FED"/>
    <w:pPr>
      <w:spacing w:after="120" w:line="260" w:lineRule="atLeast"/>
      <w:ind w:left="5534"/>
      <w:contextualSpacing/>
    </w:pPr>
    <w:rPr>
      <w:rFonts w:eastAsia="MS Mincho" w:cs="Times New Roman"/>
      <w:sz w:val="20"/>
      <w:lang w:eastAsia="en-US"/>
    </w:rPr>
  </w:style>
  <w:style w:type="character" w:styleId="PageNumber">
    <w:name w:val="page number"/>
    <w:basedOn w:val="DefaultParagraphFont"/>
    <w:uiPriority w:val="99"/>
    <w:rsid w:val="004B7572"/>
    <w:rPr>
      <w:rFonts w:cs="Times New Roman"/>
    </w:rPr>
  </w:style>
  <w:style w:type="paragraph" w:styleId="DocumentMap">
    <w:name w:val="Document Map"/>
    <w:basedOn w:val="Normal"/>
    <w:link w:val="DocumentMapChar"/>
    <w:uiPriority w:val="99"/>
    <w:semiHidden/>
    <w:rsid w:val="00D664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A4648"/>
    <w:rPr>
      <w:rFonts w:eastAsia="SimSun" w:cs="Arial"/>
      <w:sz w:val="2"/>
      <w:lang w:eastAsia="zh-CN"/>
    </w:rPr>
  </w:style>
  <w:style w:type="paragraph" w:styleId="CommentSubject">
    <w:name w:val="annotation subject"/>
    <w:basedOn w:val="CommentText"/>
    <w:next w:val="CommentText"/>
    <w:link w:val="CommentSubjectChar"/>
    <w:uiPriority w:val="99"/>
    <w:semiHidden/>
    <w:rsid w:val="00B60F45"/>
    <w:rPr>
      <w:b/>
      <w:bCs/>
      <w:sz w:val="20"/>
    </w:rPr>
  </w:style>
  <w:style w:type="character" w:customStyle="1" w:styleId="CommentSubjectChar">
    <w:name w:val="Comment Subject Char"/>
    <w:basedOn w:val="CommentTextChar"/>
    <w:link w:val="CommentSubject"/>
    <w:uiPriority w:val="99"/>
    <w:semiHidden/>
    <w:locked/>
    <w:rsid w:val="000A4648"/>
    <w:rPr>
      <w:rFonts w:ascii="Arial" w:eastAsia="SimSu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7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22AB-E15A-44AF-B21C-3EDC28C1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6760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H/A/30/</vt:lpstr>
    </vt:vector>
  </TitlesOfParts>
  <Company>WIPO</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H/A/30/</dc:title>
  <dc:creator>Coutantic</dc:creator>
  <cp:lastModifiedBy>HÄFLIGER Patience</cp:lastModifiedBy>
  <cp:revision>2</cp:revision>
  <cp:lastPrinted>2014-06-23T07:45:00Z</cp:lastPrinted>
  <dcterms:created xsi:type="dcterms:W3CDTF">2014-06-26T08:04:00Z</dcterms:created>
  <dcterms:modified xsi:type="dcterms:W3CDTF">2014-06-26T08:04:00Z</dcterms:modified>
</cp:coreProperties>
</file>