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958D" w14:textId="77777777" w:rsidR="00E5566B" w:rsidRPr="00123893" w:rsidRDefault="00E5566B" w:rsidP="00E5566B">
      <w:pPr>
        <w:widowControl w:val="0"/>
        <w:jc w:val="right"/>
        <w:rPr>
          <w:b/>
          <w:sz w:val="2"/>
          <w:szCs w:val="40"/>
        </w:rPr>
      </w:pPr>
      <w:bookmarkStart w:id="0" w:name="_GoBack"/>
      <w:bookmarkEnd w:id="0"/>
    </w:p>
    <w:p w14:paraId="16B7037D"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60F4F38" wp14:editId="145EBEC1">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60D8DE8" w14:textId="49316F4A" w:rsidR="006E4F5F" w:rsidRPr="00342182" w:rsidRDefault="008166B3" w:rsidP="00086241">
      <w:pPr>
        <w:pBdr>
          <w:top w:val="single" w:sz="4" w:space="10" w:color="auto"/>
        </w:pBdr>
        <w:spacing w:before="120"/>
        <w:jc w:val="right"/>
        <w:rPr>
          <w:rFonts w:ascii="Arial Black" w:hAnsi="Arial Black"/>
          <w:b/>
          <w:caps/>
          <w:sz w:val="15"/>
        </w:rPr>
      </w:pPr>
      <w:r w:rsidRPr="00E60AE4">
        <w:rPr>
          <w:rFonts w:ascii="Arial Black" w:hAnsi="Arial Black"/>
          <w:b/>
          <w:caps/>
          <w:sz w:val="15"/>
        </w:rPr>
        <w:t>LI/A/</w:t>
      </w:r>
      <w:r w:rsidR="00C214BD" w:rsidRPr="00E60AE4">
        <w:rPr>
          <w:rFonts w:ascii="Arial Black" w:hAnsi="Arial Black"/>
          <w:b/>
          <w:caps/>
          <w:sz w:val="15"/>
        </w:rPr>
        <w:t>38</w:t>
      </w:r>
      <w:r w:rsidR="006E4F5F" w:rsidRPr="00E60AE4">
        <w:rPr>
          <w:rFonts w:ascii="Arial Black" w:hAnsi="Arial Black"/>
          <w:b/>
          <w:caps/>
          <w:sz w:val="15"/>
        </w:rPr>
        <w:t>/</w:t>
      </w:r>
      <w:bookmarkStart w:id="1" w:name="Code"/>
      <w:bookmarkEnd w:id="1"/>
      <w:r w:rsidR="00C74519" w:rsidRPr="00E60AE4">
        <w:rPr>
          <w:rFonts w:ascii="Arial Black" w:hAnsi="Arial Black"/>
          <w:b/>
          <w:caps/>
          <w:sz w:val="15"/>
        </w:rPr>
        <w:t>2</w:t>
      </w:r>
    </w:p>
    <w:p w14:paraId="5109B94C" w14:textId="77777777" w:rsidR="006E4F5F" w:rsidRPr="00342182" w:rsidRDefault="006E4F5F" w:rsidP="006E4F5F">
      <w:pPr>
        <w:jc w:val="right"/>
        <w:rPr>
          <w:rFonts w:ascii="Arial Black" w:hAnsi="Arial Black"/>
          <w:b/>
          <w:caps/>
          <w:sz w:val="15"/>
        </w:rPr>
      </w:pPr>
      <w:r w:rsidRPr="00342182">
        <w:rPr>
          <w:rFonts w:ascii="Arial Black" w:hAnsi="Arial Black"/>
          <w:b/>
          <w:caps/>
          <w:sz w:val="15"/>
        </w:rPr>
        <w:t>ORIGINAL:</w:t>
      </w:r>
      <w:r w:rsidR="00781DB8" w:rsidRPr="00342182">
        <w:rPr>
          <w:rFonts w:ascii="Arial Black" w:hAnsi="Arial Black"/>
          <w:b/>
          <w:caps/>
          <w:sz w:val="15"/>
        </w:rPr>
        <w:t xml:space="preserve"> </w:t>
      </w:r>
      <w:r w:rsidRPr="00342182">
        <w:rPr>
          <w:rFonts w:ascii="Arial Black" w:hAnsi="Arial Black"/>
          <w:b/>
          <w:caps/>
          <w:sz w:val="15"/>
        </w:rPr>
        <w:t xml:space="preserve"> </w:t>
      </w:r>
      <w:bookmarkStart w:id="2" w:name="Original"/>
      <w:bookmarkEnd w:id="2"/>
      <w:r w:rsidR="000F0B28" w:rsidRPr="00342182">
        <w:rPr>
          <w:rFonts w:ascii="Arial Black" w:hAnsi="Arial Black"/>
          <w:b/>
          <w:caps/>
          <w:sz w:val="15"/>
        </w:rPr>
        <w:t>ENGLISH</w:t>
      </w:r>
    </w:p>
    <w:p w14:paraId="7D168567" w14:textId="088740E1" w:rsidR="006E4F5F" w:rsidRPr="006E4F5F" w:rsidRDefault="006E4F5F" w:rsidP="006E4F5F">
      <w:pPr>
        <w:spacing w:line="1680" w:lineRule="auto"/>
        <w:jc w:val="right"/>
        <w:rPr>
          <w:rFonts w:ascii="Arial Black" w:hAnsi="Arial Black"/>
          <w:b/>
          <w:caps/>
          <w:sz w:val="15"/>
        </w:rPr>
      </w:pPr>
      <w:r w:rsidRPr="00342182">
        <w:rPr>
          <w:rFonts w:ascii="Arial Black" w:hAnsi="Arial Black"/>
          <w:b/>
          <w:caps/>
          <w:sz w:val="15"/>
        </w:rPr>
        <w:t>DATE:</w:t>
      </w:r>
      <w:r w:rsidR="00781DB8" w:rsidRPr="00342182">
        <w:rPr>
          <w:rFonts w:ascii="Arial Black" w:hAnsi="Arial Black"/>
          <w:b/>
          <w:caps/>
          <w:sz w:val="15"/>
        </w:rPr>
        <w:t xml:space="preserve"> </w:t>
      </w:r>
      <w:r w:rsidRPr="00342182">
        <w:rPr>
          <w:rFonts w:ascii="Arial Black" w:hAnsi="Arial Black"/>
          <w:b/>
          <w:caps/>
          <w:sz w:val="15"/>
        </w:rPr>
        <w:t xml:space="preserve"> </w:t>
      </w:r>
      <w:bookmarkStart w:id="3" w:name="Date"/>
      <w:bookmarkEnd w:id="3"/>
      <w:r w:rsidR="00557BDA" w:rsidRPr="00342182">
        <w:rPr>
          <w:rFonts w:ascii="Arial Black" w:hAnsi="Arial Black"/>
          <w:b/>
          <w:caps/>
          <w:sz w:val="15"/>
        </w:rPr>
        <w:t xml:space="preserve">JULY </w:t>
      </w:r>
      <w:r w:rsidR="00531C21">
        <w:rPr>
          <w:rFonts w:ascii="Arial Black" w:hAnsi="Arial Black"/>
          <w:b/>
          <w:caps/>
          <w:sz w:val="15"/>
        </w:rPr>
        <w:t>2</w:t>
      </w:r>
      <w:r w:rsidR="00F00337">
        <w:rPr>
          <w:rFonts w:ascii="Arial Black" w:hAnsi="Arial Black"/>
          <w:b/>
          <w:caps/>
          <w:sz w:val="15"/>
        </w:rPr>
        <w:t>, 2021</w:t>
      </w:r>
    </w:p>
    <w:p w14:paraId="6408B6BA" w14:textId="77777777" w:rsidR="00A60917" w:rsidRDefault="00A60917" w:rsidP="00A60917">
      <w:pPr>
        <w:pStyle w:val="Heading1"/>
      </w:pPr>
      <w:r>
        <w:t>Special Union for the Protection of Appellations of Origin and their International Registration (Lisbon Union)</w:t>
      </w:r>
    </w:p>
    <w:p w14:paraId="3D56F694" w14:textId="1E44B987" w:rsidR="008B2CC1" w:rsidRPr="003D57B0" w:rsidRDefault="00A60917" w:rsidP="00A60917">
      <w:pPr>
        <w:pStyle w:val="Heading1"/>
      </w:pPr>
      <w:r>
        <w:t>Assembly</w:t>
      </w:r>
    </w:p>
    <w:p w14:paraId="4C3E7304" w14:textId="40C75774" w:rsidR="008B2CC1" w:rsidRPr="009C127D" w:rsidRDefault="00C214BD" w:rsidP="003D2030">
      <w:pPr>
        <w:spacing w:after="720"/>
        <w:rPr>
          <w:b/>
          <w:sz w:val="24"/>
        </w:rPr>
      </w:pPr>
      <w:r w:rsidRPr="00C214BD">
        <w:rPr>
          <w:b/>
          <w:sz w:val="24"/>
        </w:rPr>
        <w:t xml:space="preserve">Thirty-Eighth (24th Ordinary) </w:t>
      </w:r>
      <w:r w:rsidR="00A60917" w:rsidRPr="00E60AE4">
        <w:rPr>
          <w:b/>
          <w:sz w:val="24"/>
        </w:rPr>
        <w:t>Session</w:t>
      </w:r>
      <w:r w:rsidR="003D57B0" w:rsidRPr="009C127D">
        <w:rPr>
          <w:b/>
          <w:sz w:val="24"/>
        </w:rPr>
        <w:br/>
      </w:r>
      <w:r w:rsidR="007D1BA3" w:rsidRPr="009E56CE">
        <w:rPr>
          <w:b/>
          <w:sz w:val="24"/>
        </w:rPr>
        <w:t>Geneva, October 4 to October 8</w:t>
      </w:r>
      <w:r w:rsidR="00A60917" w:rsidRPr="009E56CE">
        <w:rPr>
          <w:b/>
          <w:sz w:val="24"/>
        </w:rPr>
        <w:t>, 20</w:t>
      </w:r>
      <w:r w:rsidR="00F00337" w:rsidRPr="009E56CE">
        <w:rPr>
          <w:b/>
          <w:sz w:val="24"/>
        </w:rPr>
        <w:t>21</w:t>
      </w:r>
    </w:p>
    <w:p w14:paraId="12CF45D6" w14:textId="649F767B" w:rsidR="000F0B28" w:rsidRPr="009429D7" w:rsidRDefault="00C74519" w:rsidP="000F0B28">
      <w:pPr>
        <w:spacing w:after="360"/>
        <w:rPr>
          <w:caps/>
          <w:sz w:val="24"/>
          <w:szCs w:val="24"/>
        </w:rPr>
      </w:pPr>
      <w:bookmarkStart w:id="4" w:name="TitleOfDoc"/>
      <w:bookmarkStart w:id="5" w:name="Prepared"/>
      <w:bookmarkEnd w:id="4"/>
      <w:bookmarkEnd w:id="5"/>
      <w:r w:rsidRPr="009429D7">
        <w:rPr>
          <w:caps/>
          <w:sz w:val="24"/>
          <w:szCs w:val="24"/>
        </w:rPr>
        <w:t>P</w:t>
      </w:r>
      <w:r w:rsidRPr="009429D7">
        <w:rPr>
          <w:sz w:val="24"/>
          <w:szCs w:val="24"/>
        </w:rPr>
        <w:t>ROPOSED AMENDMENTS TO THE COMMON REGULATIONS UNDER THE LISBON AGREEMENT AND THE GENEVA ACT OF THE LISBON AGREEMENT</w:t>
      </w:r>
    </w:p>
    <w:p w14:paraId="34B6CD01" w14:textId="532A204B" w:rsidR="008B2CC1" w:rsidRPr="009C127D" w:rsidRDefault="00E128A8" w:rsidP="009C127D">
      <w:pPr>
        <w:spacing w:after="960"/>
        <w:rPr>
          <w:i/>
        </w:rPr>
      </w:pPr>
      <w:r>
        <w:rPr>
          <w:i/>
        </w:rPr>
        <w:t xml:space="preserve">Document </w:t>
      </w:r>
      <w:r w:rsidR="000F0B28">
        <w:rPr>
          <w:i/>
        </w:rPr>
        <w:t xml:space="preserve">prepared by the </w:t>
      </w:r>
      <w:r w:rsidR="005C582A">
        <w:rPr>
          <w:i/>
        </w:rPr>
        <w:t>Secretariat</w:t>
      </w:r>
    </w:p>
    <w:p w14:paraId="3BECD24B" w14:textId="271DCBB5" w:rsidR="000D60DE" w:rsidRPr="00E60AE4" w:rsidRDefault="004E6F0A" w:rsidP="00B157D4">
      <w:pPr>
        <w:pStyle w:val="ONUME"/>
        <w:spacing w:after="240"/>
      </w:pPr>
      <w:proofErr w:type="gramStart"/>
      <w:r>
        <w:t>At its third session, which took place on November 2 and 3, 202</w:t>
      </w:r>
      <w:r w:rsidR="000A1904">
        <w:t>0</w:t>
      </w:r>
      <w:r>
        <w:t>,</w:t>
      </w:r>
      <w:r w:rsidR="00F82119">
        <w:t xml:space="preserve"> </w:t>
      </w:r>
      <w:r w:rsidR="000F0B28" w:rsidRPr="00342182">
        <w:t>the Working Group on the Development of the Lisbon System (</w:t>
      </w:r>
      <w:r w:rsidR="00534F04">
        <w:t xml:space="preserve">hereinafter referred to as </w:t>
      </w:r>
      <w:r w:rsidR="000F0B28" w:rsidRPr="00342182">
        <w:t>“th</w:t>
      </w:r>
      <w:r w:rsidR="002173F6" w:rsidRPr="00342182">
        <w:t>e Working Group”)</w:t>
      </w:r>
      <w:r w:rsidR="007E19D8">
        <w:t xml:space="preserve"> </w:t>
      </w:r>
      <w:r>
        <w:rPr>
          <w:szCs w:val="22"/>
        </w:rPr>
        <w:t>recommended that</w:t>
      </w:r>
      <w:r w:rsidRPr="00734E8E">
        <w:rPr>
          <w:szCs w:val="22"/>
        </w:rPr>
        <w:t xml:space="preserve"> </w:t>
      </w:r>
      <w:r>
        <w:rPr>
          <w:szCs w:val="22"/>
        </w:rPr>
        <w:t>the Lisbon Union Assembly</w:t>
      </w:r>
      <w:r w:rsidR="000D60DE">
        <w:rPr>
          <w:szCs w:val="22"/>
        </w:rPr>
        <w:t xml:space="preserve"> </w:t>
      </w:r>
      <w:r>
        <w:rPr>
          <w:szCs w:val="22"/>
        </w:rPr>
        <w:t>adopt</w:t>
      </w:r>
      <w:r w:rsidR="000D60DE">
        <w:rPr>
          <w:szCs w:val="22"/>
        </w:rPr>
        <w:t xml:space="preserve">, at its thirty-eighth session, </w:t>
      </w:r>
      <w:r w:rsidRPr="004E6F0A">
        <w:rPr>
          <w:szCs w:val="22"/>
        </w:rPr>
        <w:t xml:space="preserve">amendments to the Common Regulations under the Lisbon Agreement for the Protection of Appellations of Origin and their International Registration and the Geneva Act of the Lisbon Agreement on Appellations of Origin and Geographical Indications </w:t>
      </w:r>
      <w:r w:rsidR="00110440" w:rsidRPr="00342182">
        <w:t>(</w:t>
      </w:r>
      <w:r w:rsidR="00110440">
        <w:t xml:space="preserve">hereinafter referred to as </w:t>
      </w:r>
      <w:r w:rsidR="00110440" w:rsidRPr="00342182">
        <w:t xml:space="preserve">“the </w:t>
      </w:r>
      <w:r w:rsidR="00110440">
        <w:t>Common Regulations</w:t>
      </w:r>
      <w:r w:rsidR="00110440" w:rsidRPr="00342182">
        <w:t>”)</w:t>
      </w:r>
      <w:r w:rsidR="006C45BD">
        <w:t xml:space="preserve"> </w:t>
      </w:r>
      <w:r w:rsidRPr="004E6F0A">
        <w:rPr>
          <w:szCs w:val="22"/>
        </w:rPr>
        <w:t>with respect to th</w:t>
      </w:r>
      <w:r>
        <w:rPr>
          <w:szCs w:val="22"/>
        </w:rPr>
        <w:t>e inclusion of a new Rule 2</w:t>
      </w:r>
      <w:r w:rsidRPr="00E60AE4">
        <w:rPr>
          <w:i/>
          <w:szCs w:val="22"/>
        </w:rPr>
        <w:t>bis</w:t>
      </w:r>
      <w:r w:rsidR="00110440">
        <w:rPr>
          <w:i/>
          <w:szCs w:val="22"/>
        </w:rPr>
        <w:t xml:space="preserve"> </w:t>
      </w:r>
      <w:r w:rsidR="00110440">
        <w:rPr>
          <w:szCs w:val="22"/>
        </w:rPr>
        <w:t>(</w:t>
      </w:r>
      <w:r w:rsidR="00110440" w:rsidRPr="004E6F0A">
        <w:rPr>
          <w:szCs w:val="22"/>
        </w:rPr>
        <w:t>see p</w:t>
      </w:r>
      <w:r w:rsidR="00650D14">
        <w:rPr>
          <w:szCs w:val="22"/>
        </w:rPr>
        <w:t>aragraph 14 of document </w:t>
      </w:r>
      <w:r w:rsidR="00110440" w:rsidRPr="004E6F0A">
        <w:rPr>
          <w:szCs w:val="22"/>
        </w:rPr>
        <w:t>LI/WG/DEV-SYS/3/4</w:t>
      </w:r>
      <w:r w:rsidR="006C45BD">
        <w:rPr>
          <w:szCs w:val="22"/>
        </w:rPr>
        <w:t>)</w:t>
      </w:r>
      <w:r w:rsidR="000D60DE">
        <w:rPr>
          <w:i/>
          <w:szCs w:val="22"/>
        </w:rPr>
        <w:t>.</w:t>
      </w:r>
      <w:proofErr w:type="gramEnd"/>
      <w:r w:rsidR="00A67CC7">
        <w:rPr>
          <w:i/>
          <w:szCs w:val="22"/>
        </w:rPr>
        <w:t xml:space="preserve"> </w:t>
      </w:r>
      <w:r w:rsidR="00A67CC7" w:rsidRPr="00A67CC7">
        <w:rPr>
          <w:szCs w:val="22"/>
        </w:rPr>
        <w:t xml:space="preserve"> </w:t>
      </w:r>
      <w:r w:rsidR="00A67CC7">
        <w:rPr>
          <w:szCs w:val="22"/>
        </w:rPr>
        <w:t xml:space="preserve">Discussions in the Working Group were based on </w:t>
      </w:r>
      <w:r w:rsidR="00650D14">
        <w:rPr>
          <w:szCs w:val="22"/>
        </w:rPr>
        <w:t>document </w:t>
      </w:r>
      <w:r w:rsidR="00A67CC7" w:rsidRPr="0035324C">
        <w:rPr>
          <w:szCs w:val="22"/>
        </w:rPr>
        <w:t>LI/WG/DEV-SYS/3/3 Rev.</w:t>
      </w:r>
    </w:p>
    <w:p w14:paraId="61E27AB4" w14:textId="549C3CF5" w:rsidR="006C45BD" w:rsidRPr="0035324C" w:rsidRDefault="006C45BD" w:rsidP="004B2CC9">
      <w:pPr>
        <w:pStyle w:val="ONUME"/>
        <w:spacing w:after="240"/>
      </w:pPr>
      <w:r w:rsidRPr="0035324C">
        <w:t>The proposed new Rule 2</w:t>
      </w:r>
      <w:r w:rsidRPr="00E60AE4">
        <w:rPr>
          <w:i/>
        </w:rPr>
        <w:t>bis</w:t>
      </w:r>
      <w:r w:rsidRPr="0035324C">
        <w:t xml:space="preserve"> of the Common Regulations would </w:t>
      </w:r>
      <w:r w:rsidR="0035324C" w:rsidRPr="0035324C">
        <w:t>be helpful fo</w:t>
      </w:r>
      <w:r w:rsidR="00E87979">
        <w:t>r users of the Lisbon System</w:t>
      </w:r>
      <w:r w:rsidR="0035324C" w:rsidRPr="0035324C">
        <w:t xml:space="preserve"> </w:t>
      </w:r>
      <w:r w:rsidR="00E87979">
        <w:t xml:space="preserve">who </w:t>
      </w:r>
      <w:proofErr w:type="gramStart"/>
      <w:r w:rsidR="00E87979">
        <w:t xml:space="preserve">are </w:t>
      </w:r>
      <w:r w:rsidR="0035324C" w:rsidRPr="0035324C">
        <w:t>faced</w:t>
      </w:r>
      <w:proofErr w:type="gramEnd"/>
      <w:r w:rsidR="0035324C" w:rsidRPr="0035324C">
        <w:t xml:space="preserve"> with </w:t>
      </w:r>
      <w:r w:rsidRPr="0035324C">
        <w:t xml:space="preserve">any </w:t>
      </w:r>
      <w:r w:rsidRPr="00E60AE4">
        <w:rPr>
          <w:i/>
        </w:rPr>
        <w:t>force majeure</w:t>
      </w:r>
      <w:r w:rsidRPr="0035324C">
        <w:t xml:space="preserve"> situation</w:t>
      </w:r>
      <w:r w:rsidR="0035324C" w:rsidRPr="0035324C">
        <w:t xml:space="preserve"> preventing them from taking </w:t>
      </w:r>
      <w:r w:rsidR="00AA7179">
        <w:t>a</w:t>
      </w:r>
      <w:r w:rsidR="0035324C" w:rsidRPr="0035324C">
        <w:t xml:space="preserve"> required action within </w:t>
      </w:r>
      <w:r w:rsidR="00AA7179">
        <w:t>a</w:t>
      </w:r>
      <w:r w:rsidR="0035324C" w:rsidRPr="0035324C">
        <w:t xml:space="preserve"> specified time limit</w:t>
      </w:r>
      <w:r w:rsidRPr="0035324C">
        <w:t>.  The</w:t>
      </w:r>
      <w:r w:rsidR="0035324C" w:rsidRPr="0035324C">
        <w:t>se amendments</w:t>
      </w:r>
      <w:r w:rsidRPr="0035324C">
        <w:t xml:space="preserve"> would give</w:t>
      </w:r>
      <w:r w:rsidR="00E87979">
        <w:t xml:space="preserve"> those</w:t>
      </w:r>
      <w:r w:rsidRPr="0035324C">
        <w:t xml:space="preserve"> users relief equivalent to that available in other </w:t>
      </w:r>
      <w:r w:rsidR="0035324C" w:rsidRPr="0035324C">
        <w:t xml:space="preserve">WIPO </w:t>
      </w:r>
      <w:r w:rsidRPr="0035324C">
        <w:t xml:space="preserve">Global IP Systems.  </w:t>
      </w:r>
      <w:r w:rsidR="00E87979">
        <w:t xml:space="preserve">The new Rule would require that the action be performed and </w:t>
      </w:r>
      <w:r w:rsidR="0035324C" w:rsidRPr="0035324C">
        <w:t>the</w:t>
      </w:r>
      <w:r w:rsidRPr="0035324C">
        <w:t xml:space="preserve"> evidence</w:t>
      </w:r>
      <w:r w:rsidR="00E87979">
        <w:t xml:space="preserve"> be submitted</w:t>
      </w:r>
      <w:r w:rsidR="0035324C" w:rsidRPr="0035324C">
        <w:t xml:space="preserve"> as soon as reasonably </w:t>
      </w:r>
      <w:proofErr w:type="gramStart"/>
      <w:r w:rsidR="0035324C" w:rsidRPr="0035324C">
        <w:t>possible and</w:t>
      </w:r>
      <w:proofErr w:type="gramEnd"/>
      <w:r w:rsidR="0035324C" w:rsidRPr="0035324C">
        <w:t xml:space="preserve"> no later than six months from the expiry of the </w:t>
      </w:r>
      <w:r w:rsidRPr="0035324C">
        <w:t>time limit concerned.</w:t>
      </w:r>
      <w:r w:rsidR="00A3210C" w:rsidRPr="00E60AE4">
        <w:rPr>
          <w:szCs w:val="22"/>
        </w:rPr>
        <w:t xml:space="preserve">  The proposed amendments </w:t>
      </w:r>
      <w:r w:rsidR="00E87979">
        <w:rPr>
          <w:szCs w:val="22"/>
        </w:rPr>
        <w:t xml:space="preserve">to </w:t>
      </w:r>
      <w:r w:rsidR="00E87979">
        <w:rPr>
          <w:szCs w:val="22"/>
        </w:rPr>
        <w:lastRenderedPageBreak/>
        <w:t xml:space="preserve">the Common Regulations </w:t>
      </w:r>
      <w:r w:rsidR="00A3210C" w:rsidRPr="00E60AE4">
        <w:rPr>
          <w:szCs w:val="22"/>
        </w:rPr>
        <w:t xml:space="preserve">are reproduced in the </w:t>
      </w:r>
      <w:r w:rsidR="00A3210C" w:rsidRPr="00E60AE4">
        <w:t>Annex to the present</w:t>
      </w:r>
      <w:r w:rsidR="0035324C" w:rsidRPr="00E60AE4">
        <w:t xml:space="preserve"> document (p</w:t>
      </w:r>
      <w:r w:rsidR="00A3210C" w:rsidRPr="00E60AE4">
        <w:t xml:space="preserve">roposed </w:t>
      </w:r>
      <w:r w:rsidR="0004243E">
        <w:t>amendments</w:t>
      </w:r>
      <w:r w:rsidR="00A3210C" w:rsidRPr="00E60AE4">
        <w:t xml:space="preserve"> are underlin</w:t>
      </w:r>
      <w:r w:rsidR="0035324C" w:rsidRPr="0035324C">
        <w:t>ed</w:t>
      </w:r>
      <w:r w:rsidR="0004243E">
        <w:t xml:space="preserve"> or struck through</w:t>
      </w:r>
      <w:r w:rsidR="0035324C" w:rsidRPr="0035324C">
        <w:t>)</w:t>
      </w:r>
      <w:r w:rsidR="00A3210C" w:rsidRPr="0035324C">
        <w:t>.</w:t>
      </w:r>
    </w:p>
    <w:p w14:paraId="7EDA49A0" w14:textId="7B82CD38" w:rsidR="00F77EF5" w:rsidRPr="0035324C" w:rsidRDefault="0069116E" w:rsidP="004B2CC9">
      <w:pPr>
        <w:pStyle w:val="ONUME"/>
        <w:spacing w:after="240"/>
      </w:pPr>
      <w:r w:rsidRPr="0035324C">
        <w:t>T</w:t>
      </w:r>
      <w:r w:rsidR="002027D8" w:rsidRPr="0035324C">
        <w:t xml:space="preserve">he </w:t>
      </w:r>
      <w:r w:rsidR="00706E7D" w:rsidRPr="0035324C">
        <w:t xml:space="preserve">Working Group </w:t>
      </w:r>
      <w:r w:rsidR="007F65E8" w:rsidRPr="0035324C">
        <w:t xml:space="preserve">also </w:t>
      </w:r>
      <w:r w:rsidR="00706E7D" w:rsidRPr="0035324C">
        <w:t xml:space="preserve">recommended </w:t>
      </w:r>
      <w:r w:rsidR="007F65E8" w:rsidRPr="0035324C">
        <w:t xml:space="preserve">that </w:t>
      </w:r>
      <w:r w:rsidR="00706E7D" w:rsidRPr="0035324C">
        <w:t>the proposed amendments to the Common Regulations</w:t>
      </w:r>
      <w:r w:rsidR="00E87979" w:rsidRPr="0084299E">
        <w:t xml:space="preserve"> </w:t>
      </w:r>
      <w:r w:rsidR="00706E7D" w:rsidRPr="0035324C">
        <w:t xml:space="preserve">enter </w:t>
      </w:r>
      <w:r w:rsidR="001E306B" w:rsidRPr="0035324C">
        <w:t xml:space="preserve">into force two months following their </w:t>
      </w:r>
      <w:r w:rsidR="006175E5" w:rsidRPr="0035324C">
        <w:t>adopt</w:t>
      </w:r>
      <w:r w:rsidR="00836736" w:rsidRPr="0035324C">
        <w:t>ion</w:t>
      </w:r>
      <w:r w:rsidR="00EA3B78" w:rsidRPr="0035324C">
        <w:rPr>
          <w:szCs w:val="22"/>
        </w:rPr>
        <w:t xml:space="preserve"> by the Lisbon Union Assembly</w:t>
      </w:r>
      <w:r w:rsidR="00836736" w:rsidRPr="0035324C">
        <w:t>, namely on December 8, 2021</w:t>
      </w:r>
      <w:r w:rsidR="00EA3B78" w:rsidRPr="0035324C">
        <w:t xml:space="preserve"> </w:t>
      </w:r>
      <w:r w:rsidR="00110440" w:rsidRPr="0035324C">
        <w:rPr>
          <w:szCs w:val="22"/>
        </w:rPr>
        <w:t xml:space="preserve">(see </w:t>
      </w:r>
      <w:r w:rsidR="00110440" w:rsidRPr="00E60AE4">
        <w:rPr>
          <w:szCs w:val="22"/>
        </w:rPr>
        <w:t>paragraph 1</w:t>
      </w:r>
      <w:r w:rsidR="009F3E8D">
        <w:rPr>
          <w:szCs w:val="22"/>
        </w:rPr>
        <w:t>4</w:t>
      </w:r>
      <w:r w:rsidR="00110440" w:rsidRPr="0035324C">
        <w:rPr>
          <w:szCs w:val="22"/>
        </w:rPr>
        <w:t xml:space="preserve"> of document</w:t>
      </w:r>
      <w:r w:rsidR="00AA7179" w:rsidRPr="00AA7179">
        <w:rPr>
          <w:szCs w:val="22"/>
        </w:rPr>
        <w:t xml:space="preserve"> </w:t>
      </w:r>
      <w:r w:rsidR="00AA7179" w:rsidRPr="004E6F0A">
        <w:rPr>
          <w:szCs w:val="22"/>
        </w:rPr>
        <w:t>LI/WG/DEV-SYS/3/4</w:t>
      </w:r>
      <w:r w:rsidR="00110440" w:rsidRPr="0035324C">
        <w:rPr>
          <w:szCs w:val="22"/>
        </w:rPr>
        <w:t>)</w:t>
      </w:r>
      <w:r w:rsidR="00836736" w:rsidRPr="0035324C">
        <w:t>.</w:t>
      </w:r>
    </w:p>
    <w:p w14:paraId="2E4EE46A" w14:textId="050638F6" w:rsidR="00945A95" w:rsidRDefault="00A3210C" w:rsidP="00BB60F8">
      <w:pPr>
        <w:spacing w:before="240"/>
        <w:ind w:left="5534"/>
        <w:rPr>
          <w:i/>
        </w:rPr>
      </w:pPr>
      <w:r>
        <w:rPr>
          <w:i/>
        </w:rPr>
        <w:t>4</w:t>
      </w:r>
      <w:r w:rsidR="000F0B28">
        <w:rPr>
          <w:i/>
        </w:rPr>
        <w:t>.</w:t>
      </w:r>
      <w:r w:rsidR="000F0B28">
        <w:rPr>
          <w:i/>
        </w:rPr>
        <w:tab/>
      </w:r>
      <w:r w:rsidR="000F0B28" w:rsidRPr="008345AC">
        <w:rPr>
          <w:i/>
        </w:rPr>
        <w:t xml:space="preserve">The Assembly </w:t>
      </w:r>
      <w:r w:rsidR="000F0B28" w:rsidRPr="008345AC">
        <w:rPr>
          <w:i/>
          <w:iCs/>
        </w:rPr>
        <w:t xml:space="preserve">of the Lisbon </w:t>
      </w:r>
      <w:r w:rsidR="000F0B28" w:rsidRPr="008345AC">
        <w:rPr>
          <w:i/>
        </w:rPr>
        <w:t xml:space="preserve">Union </w:t>
      </w:r>
      <w:proofErr w:type="gramStart"/>
      <w:r w:rsidR="000F0B28" w:rsidRPr="008345AC">
        <w:rPr>
          <w:i/>
        </w:rPr>
        <w:t>is invited</w:t>
      </w:r>
      <w:proofErr w:type="gramEnd"/>
      <w:r w:rsidR="000F0B28" w:rsidRPr="008345AC">
        <w:rPr>
          <w:i/>
        </w:rPr>
        <w:t xml:space="preserve"> to </w:t>
      </w:r>
      <w:r w:rsidR="00945A95">
        <w:rPr>
          <w:i/>
        </w:rPr>
        <w:t>adopt</w:t>
      </w:r>
      <w:r w:rsidR="00945A95" w:rsidRPr="00945A95">
        <w:rPr>
          <w:i/>
        </w:rPr>
        <w:t xml:space="preserve"> the amendments to</w:t>
      </w:r>
      <w:r>
        <w:rPr>
          <w:i/>
        </w:rPr>
        <w:t xml:space="preserve"> </w:t>
      </w:r>
      <w:r w:rsidR="00945A95" w:rsidRPr="00945A95">
        <w:rPr>
          <w:i/>
        </w:rPr>
        <w:t>the Common Regulations under the Lisbon Agreement and the Geneva Act of the Lisbon Agreement</w:t>
      </w:r>
      <w:r>
        <w:rPr>
          <w:i/>
        </w:rPr>
        <w:t>, as</w:t>
      </w:r>
      <w:r w:rsidR="00945A95" w:rsidRPr="00945A95">
        <w:rPr>
          <w:i/>
        </w:rPr>
        <w:t xml:space="preserve"> </w:t>
      </w:r>
      <w:r w:rsidR="00706E7D">
        <w:rPr>
          <w:i/>
        </w:rPr>
        <w:t>set out</w:t>
      </w:r>
      <w:r w:rsidR="00945A95" w:rsidRPr="00945A95">
        <w:rPr>
          <w:i/>
        </w:rPr>
        <w:t xml:space="preserve"> in the Annex to </w:t>
      </w:r>
      <w:r w:rsidR="00706E7D">
        <w:rPr>
          <w:i/>
        </w:rPr>
        <w:t>document LI/A/38/2</w:t>
      </w:r>
      <w:r w:rsidR="00945A95" w:rsidRPr="00945A95">
        <w:rPr>
          <w:i/>
        </w:rPr>
        <w:t>.</w:t>
      </w:r>
    </w:p>
    <w:p w14:paraId="47ABC830" w14:textId="77777777" w:rsidR="004B2CC9" w:rsidRDefault="003F2B2D" w:rsidP="004B2CC9">
      <w:pPr>
        <w:spacing w:before="960"/>
        <w:ind w:left="5534"/>
        <w:sectPr w:rsidR="004B2CC9" w:rsidSect="00AC6315">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r w:rsidR="00BB60F8" w:rsidRPr="00182325">
        <w:t>]</w:t>
      </w:r>
    </w:p>
    <w:p w14:paraId="3401BF01" w14:textId="20130030" w:rsidR="00B95020" w:rsidRPr="00B95020" w:rsidRDefault="00B95020" w:rsidP="004B2CC9">
      <w:pPr>
        <w:jc w:val="center"/>
        <w:rPr>
          <w:rFonts w:eastAsia="MS Mincho"/>
          <w:b/>
          <w:bCs/>
          <w:szCs w:val="22"/>
          <w:lang w:eastAsia="en-US"/>
        </w:rPr>
      </w:pPr>
      <w:r w:rsidRPr="00B95020">
        <w:rPr>
          <w:rFonts w:eastAsia="MS Mincho"/>
          <w:b/>
          <w:bCs/>
          <w:szCs w:val="22"/>
          <w:lang w:eastAsia="en-US"/>
        </w:rPr>
        <w:lastRenderedPageBreak/>
        <w:t>Common Regulations</w:t>
      </w:r>
    </w:p>
    <w:p w14:paraId="42096B72" w14:textId="659EF872" w:rsidR="00B95020" w:rsidRPr="00B95020" w:rsidRDefault="00EE5095" w:rsidP="00B95020">
      <w:pPr>
        <w:autoSpaceDE w:val="0"/>
        <w:autoSpaceDN w:val="0"/>
        <w:adjustRightInd w:val="0"/>
        <w:jc w:val="center"/>
        <w:rPr>
          <w:rFonts w:eastAsia="MS Mincho"/>
          <w:b/>
          <w:bCs/>
          <w:szCs w:val="22"/>
          <w:lang w:eastAsia="en-US"/>
        </w:rPr>
      </w:pPr>
      <w:proofErr w:type="gramStart"/>
      <w:r>
        <w:rPr>
          <w:rFonts w:eastAsia="MS Mincho"/>
          <w:b/>
          <w:bCs/>
          <w:szCs w:val="22"/>
          <w:lang w:eastAsia="en-US"/>
        </w:rPr>
        <w:t>u</w:t>
      </w:r>
      <w:r w:rsidRPr="00B95020">
        <w:rPr>
          <w:rFonts w:eastAsia="MS Mincho"/>
          <w:b/>
          <w:bCs/>
          <w:szCs w:val="22"/>
          <w:lang w:eastAsia="en-US"/>
        </w:rPr>
        <w:t>nder</w:t>
      </w:r>
      <w:proofErr w:type="gramEnd"/>
      <w:r w:rsidRPr="00B95020">
        <w:rPr>
          <w:rFonts w:eastAsia="MS Mincho"/>
          <w:b/>
          <w:bCs/>
          <w:szCs w:val="22"/>
          <w:lang w:eastAsia="en-US"/>
        </w:rPr>
        <w:t xml:space="preserve"> </w:t>
      </w:r>
      <w:r w:rsidR="00B95020" w:rsidRPr="00B95020">
        <w:rPr>
          <w:rFonts w:eastAsia="MS Mincho"/>
          <w:b/>
          <w:bCs/>
          <w:szCs w:val="22"/>
          <w:lang w:eastAsia="en-US"/>
        </w:rPr>
        <w:t xml:space="preserve">the Lisbon Agreement for the Protection of Appellations of Origin and </w:t>
      </w:r>
      <w:r>
        <w:rPr>
          <w:rFonts w:eastAsia="MS Mincho"/>
          <w:b/>
          <w:bCs/>
          <w:szCs w:val="22"/>
          <w:lang w:eastAsia="en-US"/>
        </w:rPr>
        <w:t>t</w:t>
      </w:r>
      <w:r w:rsidRPr="00B95020">
        <w:rPr>
          <w:rFonts w:eastAsia="MS Mincho"/>
          <w:b/>
          <w:bCs/>
          <w:szCs w:val="22"/>
          <w:lang w:eastAsia="en-US"/>
        </w:rPr>
        <w:t>heir </w:t>
      </w:r>
      <w:r w:rsidR="00B95020" w:rsidRPr="00B95020">
        <w:rPr>
          <w:rFonts w:eastAsia="MS Mincho"/>
          <w:b/>
          <w:bCs/>
          <w:szCs w:val="22"/>
          <w:lang w:eastAsia="en-US"/>
        </w:rPr>
        <w:t>International Registration and the Geneva Act of the Lisbon Agreement on Appellations of Origin and Geographical Indications</w:t>
      </w:r>
    </w:p>
    <w:p w14:paraId="7E6BC555" w14:textId="2821BFA5" w:rsidR="00B95020" w:rsidRPr="00B95020" w:rsidRDefault="00B95020" w:rsidP="00B95020">
      <w:pPr>
        <w:spacing w:before="240"/>
        <w:jc w:val="center"/>
        <w:rPr>
          <w:rFonts w:eastAsia="MS Mincho"/>
          <w:szCs w:val="22"/>
          <w:lang w:eastAsia="en-US"/>
        </w:rPr>
      </w:pPr>
      <w:r w:rsidRPr="00B95020">
        <w:rPr>
          <w:rFonts w:eastAsia="MS Mincho"/>
          <w:szCs w:val="22"/>
          <w:lang w:eastAsia="en-US"/>
        </w:rPr>
        <w:t>(</w:t>
      </w:r>
      <w:proofErr w:type="gramStart"/>
      <w:r w:rsidRPr="00E60AE4">
        <w:rPr>
          <w:szCs w:val="22"/>
        </w:rPr>
        <w:t>as</w:t>
      </w:r>
      <w:proofErr w:type="gramEnd"/>
      <w:r w:rsidRPr="00E60AE4">
        <w:rPr>
          <w:szCs w:val="22"/>
        </w:rPr>
        <w:t xml:space="preserve"> in force</w:t>
      </w:r>
      <w:r w:rsidR="009D31C0" w:rsidRPr="00E60AE4">
        <w:rPr>
          <w:szCs w:val="22"/>
        </w:rPr>
        <w:t xml:space="preserve"> on </w:t>
      </w:r>
      <w:r w:rsidR="009D31C0" w:rsidRPr="001F42C9">
        <w:rPr>
          <w:color w:val="1F497D" w:themeColor="text2"/>
          <w:sz w:val="20"/>
          <w:szCs w:val="22"/>
        </w:rPr>
        <w:t>[</w:t>
      </w:r>
      <w:r w:rsidR="009D31C0" w:rsidRPr="00E60AE4">
        <w:rPr>
          <w:color w:val="0070C0"/>
          <w:szCs w:val="22"/>
          <w:u w:val="single"/>
        </w:rPr>
        <w:t>December 8, 2021]</w:t>
      </w:r>
      <w:r w:rsidRPr="00B95020">
        <w:rPr>
          <w:rFonts w:eastAsia="MS Mincho"/>
          <w:szCs w:val="22"/>
          <w:lang w:eastAsia="en-US"/>
        </w:rPr>
        <w:t>)</w:t>
      </w:r>
    </w:p>
    <w:p w14:paraId="077E54AE" w14:textId="77777777" w:rsidR="00B95020" w:rsidRPr="00B95020" w:rsidRDefault="00B95020" w:rsidP="00B95020">
      <w:pPr>
        <w:spacing w:before="240"/>
        <w:jc w:val="center"/>
        <w:rPr>
          <w:rFonts w:eastAsia="Times New Roman"/>
          <w:szCs w:val="22"/>
          <w:lang w:val="en-GB" w:eastAsia="ja-JP"/>
        </w:rPr>
      </w:pPr>
      <w:r w:rsidRPr="00B95020">
        <w:rPr>
          <w:rFonts w:eastAsia="Times New Roman"/>
          <w:szCs w:val="22"/>
          <w:lang w:val="en-GB" w:eastAsia="ja-JP"/>
        </w:rPr>
        <w:t>[…]</w:t>
      </w:r>
    </w:p>
    <w:p w14:paraId="148341FF" w14:textId="77777777" w:rsidR="00B95020" w:rsidRPr="00B95020" w:rsidRDefault="00B95020" w:rsidP="00B95020">
      <w:pPr>
        <w:spacing w:before="240"/>
        <w:jc w:val="center"/>
        <w:rPr>
          <w:rFonts w:eastAsia="MS Mincho"/>
          <w:b/>
          <w:bCs/>
          <w:szCs w:val="22"/>
          <w:lang w:eastAsia="en-US"/>
        </w:rPr>
      </w:pPr>
      <w:r w:rsidRPr="00B95020">
        <w:rPr>
          <w:rFonts w:eastAsia="MS Mincho"/>
          <w:b/>
          <w:bCs/>
          <w:szCs w:val="22"/>
          <w:lang w:eastAsia="en-US"/>
        </w:rPr>
        <w:t>CHAPTER I</w:t>
      </w:r>
    </w:p>
    <w:p w14:paraId="0A87A29D" w14:textId="77777777" w:rsidR="00B95020" w:rsidRPr="00B95020" w:rsidRDefault="00B95020" w:rsidP="00B95020">
      <w:pPr>
        <w:jc w:val="center"/>
        <w:rPr>
          <w:rFonts w:eastAsia="MS Mincho"/>
          <w:b/>
          <w:bCs/>
          <w:szCs w:val="22"/>
          <w:lang w:eastAsia="en-US"/>
        </w:rPr>
      </w:pPr>
      <w:r w:rsidRPr="00B95020">
        <w:rPr>
          <w:rFonts w:eastAsia="MS Mincho"/>
          <w:b/>
          <w:bCs/>
          <w:szCs w:val="22"/>
          <w:lang w:eastAsia="en-US"/>
        </w:rPr>
        <w:t>Introductory and General Provisions</w:t>
      </w:r>
    </w:p>
    <w:p w14:paraId="107625BF" w14:textId="77777777" w:rsidR="00B95020" w:rsidRPr="00B95020" w:rsidRDefault="00B95020" w:rsidP="00B95020">
      <w:pPr>
        <w:spacing w:before="240"/>
        <w:jc w:val="center"/>
        <w:rPr>
          <w:rFonts w:eastAsia="Times New Roman"/>
          <w:szCs w:val="22"/>
          <w:lang w:val="en-GB" w:eastAsia="ja-JP"/>
        </w:rPr>
      </w:pPr>
      <w:r w:rsidRPr="00B95020">
        <w:rPr>
          <w:rFonts w:eastAsia="Times New Roman"/>
          <w:szCs w:val="22"/>
          <w:lang w:val="en-GB" w:eastAsia="ja-JP"/>
        </w:rPr>
        <w:t>[…]</w:t>
      </w:r>
    </w:p>
    <w:p w14:paraId="1F92D985" w14:textId="77777777" w:rsidR="00B95020" w:rsidRPr="00B95020" w:rsidRDefault="00B95020" w:rsidP="00B95020">
      <w:pPr>
        <w:spacing w:before="480" w:after="240"/>
        <w:jc w:val="center"/>
        <w:outlineLvl w:val="3"/>
        <w:rPr>
          <w:bCs/>
          <w:i/>
          <w:color w:val="0070C0"/>
          <w:szCs w:val="28"/>
          <w:u w:val="single"/>
          <w:lang w:val="en-GB"/>
        </w:rPr>
      </w:pPr>
      <w:r w:rsidRPr="00B95020">
        <w:rPr>
          <w:b/>
          <w:bCs/>
          <w:color w:val="0070C0"/>
          <w:szCs w:val="28"/>
          <w:u w:val="single"/>
          <w:lang w:val="en-GB"/>
        </w:rPr>
        <w:t>Rule 2</w:t>
      </w:r>
      <w:r w:rsidRPr="00B95020">
        <w:rPr>
          <w:b/>
          <w:bCs/>
          <w:i/>
          <w:color w:val="0070C0"/>
          <w:szCs w:val="28"/>
          <w:u w:val="single"/>
          <w:lang w:val="en-GB"/>
        </w:rPr>
        <w:t>bis</w:t>
      </w:r>
      <w:r w:rsidRPr="00B95020">
        <w:rPr>
          <w:b/>
          <w:bCs/>
          <w:i/>
          <w:color w:val="0070C0"/>
          <w:szCs w:val="28"/>
          <w:u w:val="single"/>
          <w:lang w:val="en-GB"/>
        </w:rPr>
        <w:br/>
      </w:r>
      <w:r w:rsidRPr="00B95020">
        <w:rPr>
          <w:bCs/>
          <w:color w:val="0070C0"/>
          <w:szCs w:val="28"/>
          <w:u w:val="single"/>
          <w:lang w:val="en-GB"/>
        </w:rPr>
        <w:t>Excuse of Delay in Meeting Time Limits</w:t>
      </w:r>
    </w:p>
    <w:p w14:paraId="20F506F3" w14:textId="31C1D8CF" w:rsidR="007E219E" w:rsidRPr="00A63182" w:rsidRDefault="007E219E" w:rsidP="007E219E">
      <w:pPr>
        <w:spacing w:before="240" w:after="240"/>
        <w:outlineLvl w:val="3"/>
        <w:rPr>
          <w:color w:val="0070C0"/>
          <w:u w:val="single"/>
        </w:rPr>
      </w:pPr>
      <w:proofErr w:type="gramStart"/>
      <w:r w:rsidRPr="00A63182">
        <w:rPr>
          <w:color w:val="0070C0"/>
          <w:u w:val="single"/>
        </w:rPr>
        <w:t>(1)</w:t>
      </w:r>
      <w:r w:rsidRPr="00A63182">
        <w:rPr>
          <w:color w:val="0070C0"/>
          <w:u w:val="single"/>
        </w:rPr>
        <w:tab/>
      </w:r>
      <w:r w:rsidRPr="00A63182">
        <w:rPr>
          <w:i/>
          <w:color w:val="0070C0"/>
          <w:u w:val="single"/>
        </w:rPr>
        <w:t>[Excuse in Delay in Meeting Time Limits due to Force Majeure Reasons]</w:t>
      </w:r>
      <w:r w:rsidRPr="00A63182">
        <w:rPr>
          <w:color w:val="0070C0"/>
          <w:u w:val="single"/>
        </w:rPr>
        <w:t xml:space="preserve">  Failure by a </w:t>
      </w:r>
      <w:r w:rsidRPr="00A63182">
        <w:rPr>
          <w:color w:val="0070C0"/>
          <w:szCs w:val="22"/>
          <w:u w:val="single"/>
        </w:rPr>
        <w:t xml:space="preserve">Competent Authority or, in the case of Article 5(3) of the Geneva Act, beneficiaries or a natural person or legal entity referred to in Article 5(2)(ii) of that Act </w:t>
      </w:r>
      <w:r w:rsidRPr="00A63182">
        <w:rPr>
          <w:color w:val="0070C0"/>
          <w:u w:val="single"/>
        </w:rPr>
        <w:t xml:space="preserve">to meet a time limit specified in the Regulations to perform an action before the International Bureau shall be excused if the </w:t>
      </w:r>
      <w:r w:rsidRPr="00A63182">
        <w:rPr>
          <w:color w:val="0070C0"/>
          <w:szCs w:val="22"/>
          <w:u w:val="single"/>
        </w:rPr>
        <w:t>Competent Authority or, in the case of Article 5(3) of the Geneva Act, the beneficiaries or the natural person or legal entity referred to in Article 5(2)(ii) of that Act</w:t>
      </w:r>
      <w:r w:rsidRPr="00A63182">
        <w:rPr>
          <w:color w:val="0070C0"/>
          <w:u w:val="single"/>
        </w:rPr>
        <w:t xml:space="preserve"> submit evidence showing, to the satisfaction of the International Bureau, that such failure was due to war, revolution, civil disorder, strike, natural calamity, irregularities in postal, delivery or electronic communication services owing to circumstances beyond the control of a Competent Authority or, in the case of Article 5(3) of the Geneva Act, beneficiaries or a natural person or legal entity referred to in Article 5(2)(ii) of that Act or other </w:t>
      </w:r>
      <w:r w:rsidRPr="00A63182">
        <w:rPr>
          <w:i/>
          <w:color w:val="0070C0"/>
          <w:u w:val="single"/>
        </w:rPr>
        <w:t>force majeure</w:t>
      </w:r>
      <w:r w:rsidRPr="00A63182">
        <w:rPr>
          <w:color w:val="0070C0"/>
          <w:u w:val="single"/>
        </w:rPr>
        <w:t xml:space="preserve"> reason.</w:t>
      </w:r>
      <w:proofErr w:type="gramEnd"/>
    </w:p>
    <w:p w14:paraId="731869CC" w14:textId="77777777" w:rsidR="007E219E" w:rsidRPr="00A63182" w:rsidRDefault="007E219E" w:rsidP="007E219E">
      <w:pPr>
        <w:spacing w:before="240"/>
        <w:rPr>
          <w:color w:val="0070C0"/>
          <w:szCs w:val="24"/>
          <w:u w:val="single"/>
        </w:rPr>
      </w:pPr>
      <w:r w:rsidRPr="00A63182">
        <w:rPr>
          <w:color w:val="0070C0"/>
          <w:u w:val="single"/>
        </w:rPr>
        <w:t xml:space="preserve">(2) </w:t>
      </w:r>
      <w:r w:rsidRPr="00A63182">
        <w:rPr>
          <w:color w:val="0070C0"/>
          <w:u w:val="single"/>
        </w:rPr>
        <w:tab/>
      </w:r>
      <w:r w:rsidRPr="00A63182">
        <w:rPr>
          <w:i/>
          <w:color w:val="0070C0"/>
          <w:u w:val="single"/>
        </w:rPr>
        <w:t>[Limitation on Excuse]</w:t>
      </w:r>
      <w:r w:rsidRPr="00A63182">
        <w:rPr>
          <w:color w:val="0070C0"/>
          <w:u w:val="single"/>
        </w:rPr>
        <w:t xml:space="preserve">  Failure to meet a time limit shall be excused under this Rule only if the evidence and action referr</w:t>
      </w:r>
      <w:r>
        <w:rPr>
          <w:color w:val="0070C0"/>
          <w:u w:val="single"/>
        </w:rPr>
        <w:t xml:space="preserve">ed to in paragraph (1) </w:t>
      </w:r>
      <w:r w:rsidRPr="00A63182">
        <w:rPr>
          <w:color w:val="0070C0"/>
          <w:u w:val="single"/>
        </w:rPr>
        <w:t>are received by and performed before the International Bureau as soon as reasonably possible and not later than six months after the expiry of the time limit concerned.</w:t>
      </w:r>
    </w:p>
    <w:p w14:paraId="215D4185" w14:textId="77777777" w:rsidR="00B95020" w:rsidRPr="00B95020" w:rsidRDefault="00B95020" w:rsidP="00B95020">
      <w:pPr>
        <w:spacing w:before="240" w:after="840"/>
        <w:ind w:firstLine="567"/>
        <w:jc w:val="both"/>
        <w:rPr>
          <w:rFonts w:eastAsia="Times New Roman"/>
          <w:szCs w:val="22"/>
          <w:lang w:val="en-GB" w:eastAsia="ja-JP"/>
        </w:rPr>
      </w:pPr>
      <w:r w:rsidRPr="00B95020">
        <w:rPr>
          <w:rFonts w:eastAsia="Times New Roman"/>
          <w:szCs w:val="22"/>
          <w:lang w:val="en-GB" w:eastAsia="ja-JP"/>
        </w:rPr>
        <w:t>[...]</w:t>
      </w:r>
    </w:p>
    <w:p w14:paraId="7EB22EB7" w14:textId="720F69A4" w:rsidR="008E4171" w:rsidRPr="00CC4206" w:rsidRDefault="00B95020" w:rsidP="00CC4206">
      <w:pPr>
        <w:ind w:left="5534"/>
      </w:pPr>
      <w:r w:rsidRPr="00B95020">
        <w:t>[End of Annex and of document]</w:t>
      </w:r>
    </w:p>
    <w:sectPr w:rsidR="008E4171" w:rsidRPr="00CC4206" w:rsidSect="00AC6315">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FB75" w14:textId="77777777" w:rsidR="00600C98" w:rsidRDefault="00600C98">
      <w:r>
        <w:separator/>
      </w:r>
    </w:p>
  </w:endnote>
  <w:endnote w:type="continuationSeparator" w:id="0">
    <w:p w14:paraId="1B1BA86F" w14:textId="77777777" w:rsidR="00600C98" w:rsidRDefault="00600C98" w:rsidP="003B38C1">
      <w:r>
        <w:separator/>
      </w:r>
    </w:p>
    <w:p w14:paraId="0F197DB9" w14:textId="77777777" w:rsidR="00600C98" w:rsidRPr="003B38C1" w:rsidRDefault="00600C98" w:rsidP="003B38C1">
      <w:pPr>
        <w:spacing w:after="60"/>
        <w:rPr>
          <w:sz w:val="17"/>
        </w:rPr>
      </w:pPr>
      <w:r>
        <w:rPr>
          <w:sz w:val="17"/>
        </w:rPr>
        <w:t>[Endnote continued from previous page]</w:t>
      </w:r>
    </w:p>
  </w:endnote>
  <w:endnote w:type="continuationNotice" w:id="1">
    <w:p w14:paraId="691EC140" w14:textId="77777777" w:rsidR="00600C98" w:rsidRPr="003B38C1" w:rsidRDefault="00600C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0796" w14:textId="77777777" w:rsidR="00600C98" w:rsidRDefault="00600C98">
      <w:r>
        <w:separator/>
      </w:r>
    </w:p>
  </w:footnote>
  <w:footnote w:type="continuationSeparator" w:id="0">
    <w:p w14:paraId="02027DE6" w14:textId="77777777" w:rsidR="00600C98" w:rsidRDefault="00600C98" w:rsidP="008B60B2">
      <w:r>
        <w:separator/>
      </w:r>
    </w:p>
    <w:p w14:paraId="34A486FE" w14:textId="77777777" w:rsidR="00600C98" w:rsidRPr="00ED77FB" w:rsidRDefault="00600C98" w:rsidP="008B60B2">
      <w:pPr>
        <w:spacing w:after="60"/>
        <w:rPr>
          <w:sz w:val="17"/>
          <w:szCs w:val="17"/>
        </w:rPr>
      </w:pPr>
      <w:r w:rsidRPr="00ED77FB">
        <w:rPr>
          <w:sz w:val="17"/>
          <w:szCs w:val="17"/>
        </w:rPr>
        <w:t>[Footnote continued from previous page]</w:t>
      </w:r>
    </w:p>
  </w:footnote>
  <w:footnote w:type="continuationNotice" w:id="1">
    <w:p w14:paraId="5272CD2F" w14:textId="77777777" w:rsidR="00600C98" w:rsidRPr="00ED77FB" w:rsidRDefault="00600C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BABF" w14:textId="53E42699" w:rsidR="006A0BF0" w:rsidRDefault="00D068DC" w:rsidP="006A0BF0">
    <w:pPr>
      <w:jc w:val="right"/>
    </w:pPr>
    <w:r>
      <w:t>LI/A/</w:t>
    </w:r>
    <w:r w:rsidR="00C214BD">
      <w:t>38</w:t>
    </w:r>
    <w:r>
      <w:t>/2</w:t>
    </w:r>
  </w:p>
  <w:p w14:paraId="76EFF1AC" w14:textId="0DA1AF52" w:rsidR="006A0BF0" w:rsidRPr="00BA0078" w:rsidRDefault="000A23E6" w:rsidP="00BA0078">
    <w:pPr>
      <w:pStyle w:val="Header"/>
      <w:spacing w:after="480"/>
      <w:jc w:val="right"/>
    </w:pPr>
    <w:proofErr w:type="gramStart"/>
    <w:r>
      <w:t>p</w:t>
    </w:r>
    <w:r w:rsidR="004B2CC9">
      <w:t>age</w:t>
    </w:r>
    <w:proofErr w:type="gramEnd"/>
    <w:r w:rsidR="004B2CC9">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22C6" w14:textId="77777777" w:rsidR="00A157C3" w:rsidRPr="006A5CAE" w:rsidRDefault="006A5CAE" w:rsidP="006A5CAE">
    <w:pPr>
      <w:pStyle w:val="Header"/>
      <w:jc w:val="right"/>
      <w:rPr>
        <w:b/>
        <w:bCs/>
        <w:sz w:val="40"/>
        <w:szCs w:val="40"/>
      </w:rPr>
    </w:pPr>
    <w:r w:rsidRPr="005857F3">
      <w:rPr>
        <w:b/>
        <w:bCs/>
        <w:sz w:val="40"/>
        <w:szCs w:val="40"/>
      </w:rPr>
      <w: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AEFD" w14:textId="77777777" w:rsidR="004B2CC9" w:rsidRDefault="004B2CC9" w:rsidP="004B2CC9">
    <w:pPr>
      <w:jc w:val="right"/>
    </w:pPr>
    <w:r>
      <w:t>LI/A/38/2</w:t>
    </w:r>
  </w:p>
  <w:p w14:paraId="73703B21" w14:textId="57077EB0" w:rsidR="004B2CC9" w:rsidRPr="004B2CC9" w:rsidRDefault="00A43705" w:rsidP="004B2CC9">
    <w:pPr>
      <w:pStyle w:val="Header"/>
      <w:spacing w:after="48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1"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2"/>
  </w:num>
  <w:num w:numId="8">
    <w:abstractNumId w:val="10"/>
  </w:num>
  <w:num w:numId="9">
    <w:abstractNumId w:val="7"/>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10562"/>
    <w:rsid w:val="0001484C"/>
    <w:rsid w:val="0002624E"/>
    <w:rsid w:val="0002680E"/>
    <w:rsid w:val="0003253F"/>
    <w:rsid w:val="000341F7"/>
    <w:rsid w:val="0004243E"/>
    <w:rsid w:val="00043CAA"/>
    <w:rsid w:val="00046169"/>
    <w:rsid w:val="00055B07"/>
    <w:rsid w:val="0006005B"/>
    <w:rsid w:val="000677EA"/>
    <w:rsid w:val="00075432"/>
    <w:rsid w:val="000765C4"/>
    <w:rsid w:val="00085140"/>
    <w:rsid w:val="00086241"/>
    <w:rsid w:val="000921F3"/>
    <w:rsid w:val="00093D3A"/>
    <w:rsid w:val="000968ED"/>
    <w:rsid w:val="000A00F8"/>
    <w:rsid w:val="000A1904"/>
    <w:rsid w:val="000A23E6"/>
    <w:rsid w:val="000C117A"/>
    <w:rsid w:val="000D60DE"/>
    <w:rsid w:val="000E181D"/>
    <w:rsid w:val="000E6FDE"/>
    <w:rsid w:val="000F0B28"/>
    <w:rsid w:val="000F251F"/>
    <w:rsid w:val="000F5E56"/>
    <w:rsid w:val="0010331B"/>
    <w:rsid w:val="00110440"/>
    <w:rsid w:val="00117617"/>
    <w:rsid w:val="0013252B"/>
    <w:rsid w:val="00134150"/>
    <w:rsid w:val="00134C35"/>
    <w:rsid w:val="001362EE"/>
    <w:rsid w:val="00156693"/>
    <w:rsid w:val="00156C9A"/>
    <w:rsid w:val="001647D5"/>
    <w:rsid w:val="00164CB0"/>
    <w:rsid w:val="00172B30"/>
    <w:rsid w:val="00182325"/>
    <w:rsid w:val="001832A6"/>
    <w:rsid w:val="0018411D"/>
    <w:rsid w:val="001855B7"/>
    <w:rsid w:val="0018585B"/>
    <w:rsid w:val="001B4018"/>
    <w:rsid w:val="001C04F1"/>
    <w:rsid w:val="001E1940"/>
    <w:rsid w:val="001E306B"/>
    <w:rsid w:val="001E4E00"/>
    <w:rsid w:val="001E7C0A"/>
    <w:rsid w:val="001F1524"/>
    <w:rsid w:val="001F42C9"/>
    <w:rsid w:val="002000FB"/>
    <w:rsid w:val="002027D8"/>
    <w:rsid w:val="0021217E"/>
    <w:rsid w:val="002173F6"/>
    <w:rsid w:val="00224A25"/>
    <w:rsid w:val="00253771"/>
    <w:rsid w:val="00256704"/>
    <w:rsid w:val="0026259E"/>
    <w:rsid w:val="002634C4"/>
    <w:rsid w:val="00267F9C"/>
    <w:rsid w:val="00275857"/>
    <w:rsid w:val="002918D0"/>
    <w:rsid w:val="002928D3"/>
    <w:rsid w:val="00296EEF"/>
    <w:rsid w:val="00297919"/>
    <w:rsid w:val="002A3E80"/>
    <w:rsid w:val="002F1FE6"/>
    <w:rsid w:val="002F4E68"/>
    <w:rsid w:val="002F6A4B"/>
    <w:rsid w:val="00305455"/>
    <w:rsid w:val="00306A0F"/>
    <w:rsid w:val="00307410"/>
    <w:rsid w:val="00312F7F"/>
    <w:rsid w:val="003140AE"/>
    <w:rsid w:val="003178BA"/>
    <w:rsid w:val="00321326"/>
    <w:rsid w:val="00325DA0"/>
    <w:rsid w:val="003348DA"/>
    <w:rsid w:val="00342182"/>
    <w:rsid w:val="00350AE2"/>
    <w:rsid w:val="0035324C"/>
    <w:rsid w:val="0036027D"/>
    <w:rsid w:val="00361450"/>
    <w:rsid w:val="003673CF"/>
    <w:rsid w:val="00373F08"/>
    <w:rsid w:val="003768F8"/>
    <w:rsid w:val="003845C1"/>
    <w:rsid w:val="003855E4"/>
    <w:rsid w:val="00391C44"/>
    <w:rsid w:val="003A63A5"/>
    <w:rsid w:val="003A6F89"/>
    <w:rsid w:val="003B1B05"/>
    <w:rsid w:val="003B38C1"/>
    <w:rsid w:val="003D2030"/>
    <w:rsid w:val="003D3991"/>
    <w:rsid w:val="003D57B0"/>
    <w:rsid w:val="003F012B"/>
    <w:rsid w:val="003F2B2D"/>
    <w:rsid w:val="003F3520"/>
    <w:rsid w:val="00423244"/>
    <w:rsid w:val="00423E3E"/>
    <w:rsid w:val="00427AF4"/>
    <w:rsid w:val="00463488"/>
    <w:rsid w:val="004647DA"/>
    <w:rsid w:val="004718D0"/>
    <w:rsid w:val="00474062"/>
    <w:rsid w:val="00477D6B"/>
    <w:rsid w:val="00491A0C"/>
    <w:rsid w:val="004A5CD3"/>
    <w:rsid w:val="004B2599"/>
    <w:rsid w:val="004B2CC9"/>
    <w:rsid w:val="004B391E"/>
    <w:rsid w:val="004C2469"/>
    <w:rsid w:val="004C480A"/>
    <w:rsid w:val="004C54E2"/>
    <w:rsid w:val="004E3582"/>
    <w:rsid w:val="004E6F0A"/>
    <w:rsid w:val="005019FF"/>
    <w:rsid w:val="00524415"/>
    <w:rsid w:val="0053057A"/>
    <w:rsid w:val="00531C21"/>
    <w:rsid w:val="00534F04"/>
    <w:rsid w:val="005459CC"/>
    <w:rsid w:val="00550034"/>
    <w:rsid w:val="00557BDA"/>
    <w:rsid w:val="00557E91"/>
    <w:rsid w:val="005607A4"/>
    <w:rsid w:val="00560A29"/>
    <w:rsid w:val="005739A5"/>
    <w:rsid w:val="0058309E"/>
    <w:rsid w:val="00585D0A"/>
    <w:rsid w:val="005A4B73"/>
    <w:rsid w:val="005A4D59"/>
    <w:rsid w:val="005C582A"/>
    <w:rsid w:val="005C6649"/>
    <w:rsid w:val="005D1F68"/>
    <w:rsid w:val="005E114B"/>
    <w:rsid w:val="005E4FEE"/>
    <w:rsid w:val="005F38D7"/>
    <w:rsid w:val="006001B1"/>
    <w:rsid w:val="00600C98"/>
    <w:rsid w:val="00601E0B"/>
    <w:rsid w:val="00605827"/>
    <w:rsid w:val="006175E5"/>
    <w:rsid w:val="00626BE0"/>
    <w:rsid w:val="00630D32"/>
    <w:rsid w:val="006315CA"/>
    <w:rsid w:val="006452A5"/>
    <w:rsid w:val="00646050"/>
    <w:rsid w:val="00650AE3"/>
    <w:rsid w:val="00650D14"/>
    <w:rsid w:val="006713CA"/>
    <w:rsid w:val="0067586F"/>
    <w:rsid w:val="00676C5C"/>
    <w:rsid w:val="0069116E"/>
    <w:rsid w:val="006A0BF0"/>
    <w:rsid w:val="006A4317"/>
    <w:rsid w:val="006A5CAE"/>
    <w:rsid w:val="006B2226"/>
    <w:rsid w:val="006C2EFB"/>
    <w:rsid w:val="006C45BD"/>
    <w:rsid w:val="006E2F00"/>
    <w:rsid w:val="006E4F5F"/>
    <w:rsid w:val="006F668F"/>
    <w:rsid w:val="00706E7D"/>
    <w:rsid w:val="00724836"/>
    <w:rsid w:val="00724CBF"/>
    <w:rsid w:val="0073282F"/>
    <w:rsid w:val="00737753"/>
    <w:rsid w:val="0074083E"/>
    <w:rsid w:val="00743A35"/>
    <w:rsid w:val="007442FA"/>
    <w:rsid w:val="00751D3E"/>
    <w:rsid w:val="00753807"/>
    <w:rsid w:val="007547F5"/>
    <w:rsid w:val="00777FCC"/>
    <w:rsid w:val="00781DB8"/>
    <w:rsid w:val="00785CEC"/>
    <w:rsid w:val="007A6D35"/>
    <w:rsid w:val="007B2991"/>
    <w:rsid w:val="007B326F"/>
    <w:rsid w:val="007D1613"/>
    <w:rsid w:val="007D1BA3"/>
    <w:rsid w:val="007E117B"/>
    <w:rsid w:val="007E19D8"/>
    <w:rsid w:val="007E219E"/>
    <w:rsid w:val="007E4C0E"/>
    <w:rsid w:val="007F65E8"/>
    <w:rsid w:val="008032AB"/>
    <w:rsid w:val="008166B3"/>
    <w:rsid w:val="008249CB"/>
    <w:rsid w:val="0082594E"/>
    <w:rsid w:val="008310EF"/>
    <w:rsid w:val="00835B19"/>
    <w:rsid w:val="00836736"/>
    <w:rsid w:val="0084299E"/>
    <w:rsid w:val="00845AF4"/>
    <w:rsid w:val="00847124"/>
    <w:rsid w:val="0085042C"/>
    <w:rsid w:val="00860537"/>
    <w:rsid w:val="00862A38"/>
    <w:rsid w:val="0086648C"/>
    <w:rsid w:val="00874EBD"/>
    <w:rsid w:val="00877540"/>
    <w:rsid w:val="00877718"/>
    <w:rsid w:val="008865FA"/>
    <w:rsid w:val="008A134B"/>
    <w:rsid w:val="008B2CC1"/>
    <w:rsid w:val="008B60B2"/>
    <w:rsid w:val="008B777D"/>
    <w:rsid w:val="008C09A9"/>
    <w:rsid w:val="008C4BE8"/>
    <w:rsid w:val="008D2506"/>
    <w:rsid w:val="008D2F97"/>
    <w:rsid w:val="008D3398"/>
    <w:rsid w:val="008E4171"/>
    <w:rsid w:val="008E4224"/>
    <w:rsid w:val="008E470A"/>
    <w:rsid w:val="00901935"/>
    <w:rsid w:val="0090731E"/>
    <w:rsid w:val="00910ECE"/>
    <w:rsid w:val="00912C1D"/>
    <w:rsid w:val="00916EE2"/>
    <w:rsid w:val="009362E7"/>
    <w:rsid w:val="00937C9A"/>
    <w:rsid w:val="009429D7"/>
    <w:rsid w:val="0094464F"/>
    <w:rsid w:val="00945A95"/>
    <w:rsid w:val="00966A22"/>
    <w:rsid w:val="0096722F"/>
    <w:rsid w:val="00972C4C"/>
    <w:rsid w:val="00980843"/>
    <w:rsid w:val="009811B3"/>
    <w:rsid w:val="00997EFD"/>
    <w:rsid w:val="009A22FF"/>
    <w:rsid w:val="009B6777"/>
    <w:rsid w:val="009C127D"/>
    <w:rsid w:val="009D31C0"/>
    <w:rsid w:val="009D53FB"/>
    <w:rsid w:val="009E2791"/>
    <w:rsid w:val="009E3F6F"/>
    <w:rsid w:val="009E4ED9"/>
    <w:rsid w:val="009E56CE"/>
    <w:rsid w:val="009F3E8D"/>
    <w:rsid w:val="009F499F"/>
    <w:rsid w:val="009F7DB0"/>
    <w:rsid w:val="00A06708"/>
    <w:rsid w:val="00A15403"/>
    <w:rsid w:val="00A24180"/>
    <w:rsid w:val="00A3210C"/>
    <w:rsid w:val="00A37342"/>
    <w:rsid w:val="00A42DAF"/>
    <w:rsid w:val="00A43705"/>
    <w:rsid w:val="00A44005"/>
    <w:rsid w:val="00A4441F"/>
    <w:rsid w:val="00A45BD8"/>
    <w:rsid w:val="00A57E01"/>
    <w:rsid w:val="00A60917"/>
    <w:rsid w:val="00A623C5"/>
    <w:rsid w:val="00A65A52"/>
    <w:rsid w:val="00A67CC7"/>
    <w:rsid w:val="00A8019D"/>
    <w:rsid w:val="00A81FF6"/>
    <w:rsid w:val="00A83300"/>
    <w:rsid w:val="00A83CFE"/>
    <w:rsid w:val="00A869B7"/>
    <w:rsid w:val="00A92633"/>
    <w:rsid w:val="00AA2DD4"/>
    <w:rsid w:val="00AA7179"/>
    <w:rsid w:val="00AC205C"/>
    <w:rsid w:val="00AF0A6B"/>
    <w:rsid w:val="00AF6A83"/>
    <w:rsid w:val="00B05A69"/>
    <w:rsid w:val="00B05ACB"/>
    <w:rsid w:val="00B115F7"/>
    <w:rsid w:val="00B125E3"/>
    <w:rsid w:val="00B14A6D"/>
    <w:rsid w:val="00B157D4"/>
    <w:rsid w:val="00B16337"/>
    <w:rsid w:val="00B2371E"/>
    <w:rsid w:val="00B26D46"/>
    <w:rsid w:val="00B328CC"/>
    <w:rsid w:val="00B42C2A"/>
    <w:rsid w:val="00B4366C"/>
    <w:rsid w:val="00B46826"/>
    <w:rsid w:val="00B468C8"/>
    <w:rsid w:val="00B525D6"/>
    <w:rsid w:val="00B64FB9"/>
    <w:rsid w:val="00B67858"/>
    <w:rsid w:val="00B95020"/>
    <w:rsid w:val="00B9734B"/>
    <w:rsid w:val="00BA0078"/>
    <w:rsid w:val="00BA30E2"/>
    <w:rsid w:val="00BA3CF8"/>
    <w:rsid w:val="00BA5814"/>
    <w:rsid w:val="00BB60F8"/>
    <w:rsid w:val="00BC1E1C"/>
    <w:rsid w:val="00BC7B19"/>
    <w:rsid w:val="00BD4A6F"/>
    <w:rsid w:val="00BD67CE"/>
    <w:rsid w:val="00BE2B08"/>
    <w:rsid w:val="00BF672C"/>
    <w:rsid w:val="00C02596"/>
    <w:rsid w:val="00C044B7"/>
    <w:rsid w:val="00C115C4"/>
    <w:rsid w:val="00C11BFE"/>
    <w:rsid w:val="00C16A6E"/>
    <w:rsid w:val="00C214BD"/>
    <w:rsid w:val="00C352FB"/>
    <w:rsid w:val="00C3539D"/>
    <w:rsid w:val="00C3789D"/>
    <w:rsid w:val="00C5068F"/>
    <w:rsid w:val="00C52178"/>
    <w:rsid w:val="00C60617"/>
    <w:rsid w:val="00C71AE3"/>
    <w:rsid w:val="00C739D1"/>
    <w:rsid w:val="00C74519"/>
    <w:rsid w:val="00C8106F"/>
    <w:rsid w:val="00C86D74"/>
    <w:rsid w:val="00C919E8"/>
    <w:rsid w:val="00C933E3"/>
    <w:rsid w:val="00C95C76"/>
    <w:rsid w:val="00CA06DF"/>
    <w:rsid w:val="00CA39F1"/>
    <w:rsid w:val="00CA3F7F"/>
    <w:rsid w:val="00CA6BC1"/>
    <w:rsid w:val="00CB12B3"/>
    <w:rsid w:val="00CB678B"/>
    <w:rsid w:val="00CB67D5"/>
    <w:rsid w:val="00CB69CA"/>
    <w:rsid w:val="00CC01C5"/>
    <w:rsid w:val="00CC4206"/>
    <w:rsid w:val="00CC75D7"/>
    <w:rsid w:val="00CD04F1"/>
    <w:rsid w:val="00CD13B9"/>
    <w:rsid w:val="00CD2964"/>
    <w:rsid w:val="00CD52A9"/>
    <w:rsid w:val="00CD7F59"/>
    <w:rsid w:val="00CF7FB4"/>
    <w:rsid w:val="00D02F62"/>
    <w:rsid w:val="00D03CBC"/>
    <w:rsid w:val="00D068DC"/>
    <w:rsid w:val="00D17468"/>
    <w:rsid w:val="00D33133"/>
    <w:rsid w:val="00D3671C"/>
    <w:rsid w:val="00D41803"/>
    <w:rsid w:val="00D44A0B"/>
    <w:rsid w:val="00D45252"/>
    <w:rsid w:val="00D621C8"/>
    <w:rsid w:val="00D66E37"/>
    <w:rsid w:val="00D71B4D"/>
    <w:rsid w:val="00D72B16"/>
    <w:rsid w:val="00D74717"/>
    <w:rsid w:val="00D93D55"/>
    <w:rsid w:val="00D95939"/>
    <w:rsid w:val="00D96C3B"/>
    <w:rsid w:val="00DA0642"/>
    <w:rsid w:val="00DA5152"/>
    <w:rsid w:val="00DB0EE2"/>
    <w:rsid w:val="00DB596E"/>
    <w:rsid w:val="00DC0E7C"/>
    <w:rsid w:val="00DC308C"/>
    <w:rsid w:val="00DC435C"/>
    <w:rsid w:val="00DC6126"/>
    <w:rsid w:val="00DC61A6"/>
    <w:rsid w:val="00DC6676"/>
    <w:rsid w:val="00DD1EA4"/>
    <w:rsid w:val="00DF023A"/>
    <w:rsid w:val="00DF383E"/>
    <w:rsid w:val="00E00364"/>
    <w:rsid w:val="00E03315"/>
    <w:rsid w:val="00E128A8"/>
    <w:rsid w:val="00E15015"/>
    <w:rsid w:val="00E335FE"/>
    <w:rsid w:val="00E40E26"/>
    <w:rsid w:val="00E456BC"/>
    <w:rsid w:val="00E47D9B"/>
    <w:rsid w:val="00E47DD3"/>
    <w:rsid w:val="00E5566B"/>
    <w:rsid w:val="00E60AE4"/>
    <w:rsid w:val="00E64A23"/>
    <w:rsid w:val="00E64B82"/>
    <w:rsid w:val="00E657BE"/>
    <w:rsid w:val="00E71A0D"/>
    <w:rsid w:val="00E85557"/>
    <w:rsid w:val="00E87979"/>
    <w:rsid w:val="00E96DAD"/>
    <w:rsid w:val="00EA3B78"/>
    <w:rsid w:val="00EA6A48"/>
    <w:rsid w:val="00EA6AFB"/>
    <w:rsid w:val="00EA7C5F"/>
    <w:rsid w:val="00EA7D6E"/>
    <w:rsid w:val="00EB2210"/>
    <w:rsid w:val="00EB4686"/>
    <w:rsid w:val="00EC4E49"/>
    <w:rsid w:val="00ED77FB"/>
    <w:rsid w:val="00EE30A7"/>
    <w:rsid w:val="00EE45FA"/>
    <w:rsid w:val="00EE5095"/>
    <w:rsid w:val="00F00337"/>
    <w:rsid w:val="00F134E5"/>
    <w:rsid w:val="00F277F7"/>
    <w:rsid w:val="00F33C1C"/>
    <w:rsid w:val="00F64FA1"/>
    <w:rsid w:val="00F66152"/>
    <w:rsid w:val="00F66F8A"/>
    <w:rsid w:val="00F71986"/>
    <w:rsid w:val="00F73A67"/>
    <w:rsid w:val="00F76AF5"/>
    <w:rsid w:val="00F77EF5"/>
    <w:rsid w:val="00F82119"/>
    <w:rsid w:val="00F83D3B"/>
    <w:rsid w:val="00F952D1"/>
    <w:rsid w:val="00F96A04"/>
    <w:rsid w:val="00FD15C2"/>
    <w:rsid w:val="00FD53CC"/>
    <w:rsid w:val="00FF33B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uiPriority w:val="99"/>
    <w:rsid w:val="00182325"/>
    <w:rPr>
      <w:vertAlign w:val="superscript"/>
    </w:rPr>
  </w:style>
  <w:style w:type="paragraph" w:styleId="ListParagraph">
    <w:name w:val="List Paragraph"/>
    <w:basedOn w:val="Normal"/>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82119"/>
    <w:rPr>
      <w:sz w:val="16"/>
      <w:szCs w:val="16"/>
    </w:rPr>
  </w:style>
  <w:style w:type="paragraph" w:styleId="CommentSubject">
    <w:name w:val="annotation subject"/>
    <w:basedOn w:val="CommentText"/>
    <w:next w:val="CommentText"/>
    <w:link w:val="CommentSubjectChar"/>
    <w:semiHidden/>
    <w:unhideWhenUsed/>
    <w:rsid w:val="00F82119"/>
    <w:rPr>
      <w:b/>
      <w:bCs/>
      <w:sz w:val="20"/>
    </w:rPr>
  </w:style>
  <w:style w:type="character" w:customStyle="1" w:styleId="CommentTextChar">
    <w:name w:val="Comment Text Char"/>
    <w:basedOn w:val="DefaultParagraphFont"/>
    <w:link w:val="CommentText"/>
    <w:semiHidden/>
    <w:rsid w:val="00F82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2119"/>
    <w:rPr>
      <w:rFonts w:ascii="Arial" w:eastAsia="SimSun" w:hAnsi="Arial" w:cs="Arial"/>
      <w:b/>
      <w:bCs/>
      <w:sz w:val="18"/>
      <w:lang w:val="en-US" w:eastAsia="zh-CN"/>
    </w:rPr>
  </w:style>
  <w:style w:type="paragraph" w:styleId="Revision">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70D4-18EB-4C1A-919A-EF504D74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3398</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LI/A/38/2</vt:lpstr>
    </vt:vector>
  </TitlesOfParts>
  <Company>WIPO</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LI/A/38/2</dc:title>
  <dc:subject>Sixty-Second Series of Meetings</dc:subject>
  <dc:creator>WIPO</dc:creator>
  <cp:keywords>PUBLIC</cp:keywords>
  <cp:lastModifiedBy>MARIN-CUDRAZ DAVI Nicoletta</cp:lastModifiedBy>
  <cp:revision>5</cp:revision>
  <cp:lastPrinted>2021-03-10T09:47:00Z</cp:lastPrinted>
  <dcterms:created xsi:type="dcterms:W3CDTF">2021-06-14T13:39:00Z</dcterms:created>
  <dcterms:modified xsi:type="dcterms:W3CDTF">2021-06-29T12:36:00Z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1a52188f-33af-4f2a-833e-1175bd1b661f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