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1271D"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271D" w:rsidP="00916EE2">
            <w:pPr>
              <w:jc w:val="right"/>
              <w:rPr>
                <w:rFonts w:ascii="Arial Black" w:hAnsi="Arial Black"/>
                <w:caps/>
                <w:sz w:val="15"/>
              </w:rPr>
            </w:pPr>
            <w:r>
              <w:rPr>
                <w:rFonts w:ascii="Arial Black" w:hAnsi="Arial Black"/>
                <w:caps/>
                <w:sz w:val="15"/>
              </w:rPr>
              <w:t>MM/A/50/</w:t>
            </w:r>
            <w:bookmarkStart w:id="0" w:name="Code"/>
            <w:bookmarkEnd w:id="0"/>
            <w:r w:rsidR="00DF534F">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534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A591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F534F">
              <w:rPr>
                <w:rFonts w:ascii="Arial Black" w:hAnsi="Arial Black"/>
                <w:caps/>
                <w:sz w:val="15"/>
              </w:rPr>
              <w:t>Ju</w:t>
            </w:r>
            <w:r w:rsidR="001A591E">
              <w:rPr>
                <w:rFonts w:ascii="Arial Black" w:hAnsi="Arial Black"/>
                <w:caps/>
                <w:sz w:val="15"/>
              </w:rPr>
              <w:t>ly</w:t>
            </w:r>
            <w:r w:rsidR="00DF534F">
              <w:rPr>
                <w:rFonts w:ascii="Arial Black" w:hAnsi="Arial Black"/>
                <w:caps/>
                <w:sz w:val="15"/>
              </w:rPr>
              <w:t xml:space="preserve"> </w:t>
            </w:r>
            <w:r w:rsidR="001A591E">
              <w:rPr>
                <w:rFonts w:ascii="Arial Black" w:hAnsi="Arial Black"/>
                <w:caps/>
                <w:sz w:val="15"/>
              </w:rPr>
              <w:t>4</w:t>
            </w:r>
            <w:r w:rsidR="00DF534F">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1271D" w:rsidP="008B2CC1">
      <w:pPr>
        <w:rPr>
          <w:b/>
          <w:sz w:val="28"/>
          <w:szCs w:val="28"/>
        </w:rPr>
      </w:pPr>
      <w:r>
        <w:rPr>
          <w:b/>
          <w:sz w:val="28"/>
          <w:szCs w:val="28"/>
        </w:rPr>
        <w:t xml:space="preserve">Special Union for the International Registration of </w:t>
      </w:r>
      <w:proofErr w:type="gramStart"/>
      <w:r>
        <w:rPr>
          <w:b/>
          <w:sz w:val="28"/>
          <w:szCs w:val="28"/>
        </w:rPr>
        <w:t>Marks</w:t>
      </w:r>
      <w:proofErr w:type="gramEnd"/>
      <w:r>
        <w:rPr>
          <w:b/>
          <w:sz w:val="28"/>
          <w:szCs w:val="28"/>
        </w:rPr>
        <w:b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01271D" w:rsidP="008B2CC1">
      <w:pPr>
        <w:rPr>
          <w:b/>
          <w:sz w:val="24"/>
          <w:szCs w:val="24"/>
        </w:rPr>
      </w:pPr>
      <w:r>
        <w:rPr>
          <w:b/>
          <w:sz w:val="24"/>
          <w:szCs w:val="24"/>
        </w:rPr>
        <w:t>Fiftieth (29</w:t>
      </w:r>
      <w:r w:rsidRPr="0001271D">
        <w:rPr>
          <w:b/>
          <w:sz w:val="24"/>
          <w:szCs w:val="24"/>
          <w:vertAlign w:val="superscript"/>
        </w:rPr>
        <w:t>th</w:t>
      </w:r>
      <w:r>
        <w:rPr>
          <w:b/>
          <w:sz w:val="24"/>
          <w:szCs w:val="24"/>
        </w:rPr>
        <w:t xml:space="preserve"> Extraordinary) Session</w:t>
      </w:r>
    </w:p>
    <w:p w:rsidR="008B2CC1" w:rsidRPr="003845C1" w:rsidRDefault="0001271D" w:rsidP="008B2CC1">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DF534F" w:rsidP="008B2CC1">
      <w:pPr>
        <w:rPr>
          <w:caps/>
          <w:sz w:val="24"/>
        </w:rPr>
      </w:pPr>
      <w:bookmarkStart w:id="3" w:name="TitleOfDoc"/>
      <w:bookmarkEnd w:id="3"/>
      <w:r>
        <w:rPr>
          <w:caps/>
          <w:sz w:val="24"/>
        </w:rPr>
        <w:t>Review of the Application of Article 9</w:t>
      </w:r>
      <w:r w:rsidRPr="00DF534F">
        <w:rPr>
          <w:i/>
          <w:caps/>
          <w:sz w:val="24"/>
        </w:rPr>
        <w:t>sexies</w:t>
      </w:r>
      <w:r>
        <w:rPr>
          <w:caps/>
          <w:sz w:val="24"/>
        </w:rPr>
        <w:t xml:space="preserve"> of the Protocol Relating to the Madrid Agreement Concerning the International Registration of Marks </w:t>
      </w:r>
    </w:p>
    <w:p w:rsidR="008B2CC1" w:rsidRPr="008B2CC1" w:rsidRDefault="008B2CC1" w:rsidP="008B2CC1"/>
    <w:p w:rsidR="008B2CC1" w:rsidRPr="008B2CC1" w:rsidRDefault="00DF534F"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74E9A" w:rsidRPr="00874E9A" w:rsidRDefault="00874E9A" w:rsidP="00874E9A">
      <w:pPr>
        <w:pStyle w:val="ONUME"/>
      </w:pPr>
      <w:r w:rsidRPr="00874E9A">
        <w:t>At its thirteenth session</w:t>
      </w:r>
      <w:r w:rsidRPr="00874E9A">
        <w:rPr>
          <w:vertAlign w:val="superscript"/>
        </w:rPr>
        <w:footnoteReference w:id="2"/>
      </w:r>
      <w:r w:rsidRPr="00874E9A">
        <w:t>, the Working Group on the Legal Development of the Madrid System for the International Registration of Marks (hereinafter referred to as “the Working Group”), undertook a review of the application of paragraph</w:t>
      </w:r>
      <w:r>
        <w:t> </w:t>
      </w:r>
      <w:r w:rsidRPr="00874E9A">
        <w:t>(1</w:t>
      </w:r>
      <w:proofErr w:type="gramStart"/>
      <w:r w:rsidRPr="00874E9A">
        <w:t>)(</w:t>
      </w:r>
      <w:proofErr w:type="gramEnd"/>
      <w:r w:rsidRPr="00874E9A">
        <w:t>b)</w:t>
      </w:r>
      <w:r>
        <w:t xml:space="preserve"> </w:t>
      </w:r>
      <w:r w:rsidRPr="00874E9A">
        <w:t>of Article</w:t>
      </w:r>
      <w:r>
        <w:t> </w:t>
      </w:r>
      <w:r w:rsidRPr="00874E9A">
        <w:t>9</w:t>
      </w:r>
      <w:r w:rsidRPr="00874E9A">
        <w:rPr>
          <w:i/>
        </w:rPr>
        <w:t>sexies</w:t>
      </w:r>
      <w:r w:rsidRPr="00874E9A">
        <w:t xml:space="preserve"> of the Protocol Relating to the Madrid Agreement Concerning the International Registration of Marks (hereinafter referred to as “the Protocol” and “the Agreement”)</w:t>
      </w:r>
      <w:r w:rsidRPr="00874E9A">
        <w:rPr>
          <w:vertAlign w:val="superscript"/>
        </w:rPr>
        <w:footnoteReference w:id="3"/>
      </w:r>
      <w:r w:rsidRPr="00874E9A">
        <w:t>, as agreed by the Working Group at its tenth</w:t>
      </w:r>
      <w:r>
        <w:t> </w:t>
      </w:r>
      <w:r w:rsidRPr="00874E9A">
        <w:t>session</w:t>
      </w:r>
      <w:r w:rsidRPr="00874E9A">
        <w:rPr>
          <w:vertAlign w:val="superscript"/>
        </w:rPr>
        <w:footnoteReference w:id="4"/>
      </w:r>
      <w:r w:rsidRPr="00874E9A">
        <w:t xml:space="preserve">.  </w:t>
      </w:r>
    </w:p>
    <w:p w:rsidR="00874E9A" w:rsidRPr="00874E9A" w:rsidRDefault="00874E9A" w:rsidP="0071715C">
      <w:pPr>
        <w:pStyle w:val="ONUME"/>
      </w:pPr>
      <w:r w:rsidRPr="00874E9A">
        <w:t>After assessing the information presented by the International Bureau, the Working Group agreed to recommend to the Madrid Union Assembly (hereinafter referred to as “the Assembly”) that paragraph</w:t>
      </w:r>
      <w:r w:rsidR="00A031E6">
        <w:t> </w:t>
      </w:r>
      <w:r w:rsidRPr="00874E9A">
        <w:t>(1</w:t>
      </w:r>
      <w:proofErr w:type="gramStart"/>
      <w:r w:rsidRPr="00874E9A">
        <w:t>)(</w:t>
      </w:r>
      <w:proofErr w:type="gramEnd"/>
      <w:r w:rsidRPr="00874E9A">
        <w:t>b) of Article</w:t>
      </w:r>
      <w:r w:rsidR="00A031E6">
        <w:t> </w:t>
      </w:r>
      <w:r w:rsidRPr="00874E9A">
        <w:t>9</w:t>
      </w:r>
      <w:r w:rsidRPr="00874E9A">
        <w:rPr>
          <w:i/>
          <w:iCs/>
        </w:rPr>
        <w:t xml:space="preserve">sexies </w:t>
      </w:r>
      <w:r w:rsidRPr="00874E9A">
        <w:t>of the Protocol be neither repealed nor restricted in its scope.  Furthermore, it recommended that any further review of the application of the said Article be undertaken by the Working Group, at any moment thereafter, at the express request of any member of the Madrid Union or the International Bureau</w:t>
      </w:r>
      <w:r w:rsidRPr="00874E9A">
        <w:rPr>
          <w:vertAlign w:val="superscript"/>
        </w:rPr>
        <w:footnoteReference w:id="5"/>
      </w:r>
      <w:r w:rsidRPr="00874E9A">
        <w:t>.</w:t>
      </w:r>
      <w:r w:rsidR="00A031E6">
        <w:t xml:space="preserve">  </w:t>
      </w:r>
    </w:p>
    <w:p w:rsidR="00874E9A" w:rsidRPr="00874E9A" w:rsidRDefault="00874E9A" w:rsidP="00874E9A">
      <w:pPr>
        <w:pStyle w:val="ONUME"/>
      </w:pPr>
      <w:r w:rsidRPr="00874E9A">
        <w:lastRenderedPageBreak/>
        <w:t>It is recalled that, in September</w:t>
      </w:r>
      <w:r w:rsidR="00A031E6">
        <w:t> </w:t>
      </w:r>
      <w:r w:rsidRPr="00874E9A">
        <w:t>2007, the Assembly approved amendments to Article</w:t>
      </w:r>
      <w:r w:rsidR="00A031E6">
        <w:t> </w:t>
      </w:r>
      <w:r w:rsidRPr="00874E9A">
        <w:t>9</w:t>
      </w:r>
      <w:r w:rsidRPr="00874E9A">
        <w:rPr>
          <w:i/>
        </w:rPr>
        <w:t>sexies</w:t>
      </w:r>
      <w:r w:rsidRPr="00874E9A">
        <w:t xml:space="preserve"> that, while establishing the principle that the Protocol alone would, in all aspects, apply between States bound by both the Agreement and the Protocol, also</w:t>
      </w:r>
      <w:r w:rsidR="00865FE3">
        <w:t xml:space="preserve"> </w:t>
      </w:r>
      <w:r w:rsidRPr="00874E9A">
        <w:t>rendered inoperative declarations made under Articles</w:t>
      </w:r>
      <w:r w:rsidR="00A031E6">
        <w:t> </w:t>
      </w:r>
      <w:r w:rsidRPr="00874E9A">
        <w:t>5(2</w:t>
      </w:r>
      <w:proofErr w:type="gramStart"/>
      <w:r w:rsidRPr="00874E9A">
        <w:t>)(</w:t>
      </w:r>
      <w:proofErr w:type="gramEnd"/>
      <w:r w:rsidRPr="00874E9A">
        <w:t>b) and</w:t>
      </w:r>
      <w:r w:rsidR="00A031E6">
        <w:t> </w:t>
      </w:r>
      <w:r w:rsidRPr="00874E9A">
        <w:t>(c) or 8(7)</w:t>
      </w:r>
      <w:r w:rsidR="00A031E6">
        <w:t> </w:t>
      </w:r>
      <w:r w:rsidRPr="00874E9A">
        <w:t>of the Protocol in the mutual relations between States bound by both treaties</w:t>
      </w:r>
      <w:r w:rsidR="00865FE3">
        <w:t xml:space="preserve"> (refer to new paragraph (1)(b))</w:t>
      </w:r>
      <w:r w:rsidRPr="0071715C">
        <w:rPr>
          <w:vertAlign w:val="superscript"/>
        </w:rPr>
        <w:footnoteReference w:id="6"/>
      </w:r>
      <w:r w:rsidRPr="00874E9A">
        <w:t xml:space="preserve">. </w:t>
      </w:r>
      <w:r w:rsidR="00A031E6">
        <w:t xml:space="preserve"> </w:t>
      </w:r>
    </w:p>
    <w:p w:rsidR="00874E9A" w:rsidRPr="00874E9A" w:rsidRDefault="00874E9A" w:rsidP="00874E9A">
      <w:pPr>
        <w:pStyle w:val="ONUME"/>
      </w:pPr>
      <w:r w:rsidRPr="00874E9A">
        <w:t>Furthermore, Article</w:t>
      </w:r>
      <w:r w:rsidR="00A031E6">
        <w:t> </w:t>
      </w:r>
      <w:r w:rsidRPr="00874E9A">
        <w:t>9</w:t>
      </w:r>
      <w:r w:rsidRPr="00874E9A">
        <w:rPr>
          <w:i/>
        </w:rPr>
        <w:t>sexies</w:t>
      </w:r>
      <w:r w:rsidRPr="00874E9A">
        <w:t xml:space="preserve"> provided for a review by the Assembly of the application of its new paragraph</w:t>
      </w:r>
      <w:r w:rsidR="00A031E6">
        <w:t> </w:t>
      </w:r>
      <w:r w:rsidRPr="00874E9A">
        <w:t>(1</w:t>
      </w:r>
      <w:proofErr w:type="gramStart"/>
      <w:r w:rsidRPr="00874E9A">
        <w:t>)(</w:t>
      </w:r>
      <w:proofErr w:type="gramEnd"/>
      <w:r w:rsidRPr="00874E9A">
        <w:t>b), after the expiry of three</w:t>
      </w:r>
      <w:r w:rsidR="00A031E6">
        <w:t> years from September </w:t>
      </w:r>
      <w:r w:rsidRPr="00874E9A">
        <w:t>1,</w:t>
      </w:r>
      <w:r w:rsidR="00A031E6">
        <w:t> </w:t>
      </w:r>
      <w:r w:rsidRPr="00874E9A">
        <w:t>2008, which was the date on whi</w:t>
      </w:r>
      <w:r w:rsidR="00A031E6">
        <w:t>ch the modifications to Article </w:t>
      </w:r>
      <w:r w:rsidRPr="00874E9A">
        <w:t>9</w:t>
      </w:r>
      <w:r w:rsidRPr="00874E9A">
        <w:rPr>
          <w:i/>
        </w:rPr>
        <w:t xml:space="preserve">sexies </w:t>
      </w:r>
      <w:r w:rsidRPr="00874E9A">
        <w:t xml:space="preserve">entered into force.  </w:t>
      </w:r>
    </w:p>
    <w:p w:rsidR="00874E9A" w:rsidRPr="00874E9A" w:rsidRDefault="00874E9A" w:rsidP="00874E9A">
      <w:pPr>
        <w:pStyle w:val="ONUME"/>
      </w:pPr>
      <w:r w:rsidRPr="00874E9A">
        <w:t xml:space="preserve">The Working Group undertook its first review </w:t>
      </w:r>
      <w:r w:rsidR="00A031E6">
        <w:t>of paragraph </w:t>
      </w:r>
      <w:r w:rsidRPr="00874E9A">
        <w:t>(1)(b) of Article</w:t>
      </w:r>
      <w:r w:rsidR="00A031E6">
        <w:t> </w:t>
      </w:r>
      <w:r w:rsidRPr="00874E9A">
        <w:t>9</w:t>
      </w:r>
      <w:r w:rsidRPr="00A031E6">
        <w:rPr>
          <w:i/>
        </w:rPr>
        <w:t>sexies</w:t>
      </w:r>
      <w:r w:rsidRPr="00874E9A">
        <w:t xml:space="preserve"> at its</w:t>
      </w:r>
      <w:r w:rsidR="00A031E6">
        <w:t> </w:t>
      </w:r>
      <w:r w:rsidR="005B42EA">
        <w:t>ninth</w:t>
      </w:r>
      <w:r w:rsidRPr="00874E9A">
        <w:t xml:space="preserve"> session and recommended to the Assembly that it remained unchanged, pending a further review after a period of three</w:t>
      </w:r>
      <w:r w:rsidR="00A031E6">
        <w:t> </w:t>
      </w:r>
      <w:r w:rsidRPr="00874E9A">
        <w:t>years.  This recommendation was adopted by the Assembly in</w:t>
      </w:r>
      <w:r w:rsidR="00A031E6">
        <w:t> </w:t>
      </w:r>
      <w:r w:rsidRPr="00874E9A">
        <w:t>2011</w:t>
      </w:r>
      <w:r w:rsidRPr="00874E9A">
        <w:rPr>
          <w:vertAlign w:val="superscript"/>
        </w:rPr>
        <w:footnoteReference w:id="7"/>
      </w:r>
      <w:r w:rsidRPr="00874E9A">
        <w:t xml:space="preserve">. </w:t>
      </w:r>
      <w:r w:rsidR="00A031E6">
        <w:t xml:space="preserve"> </w:t>
      </w:r>
      <w:r w:rsidRPr="00874E9A">
        <w:t>As indicated in paragraph</w:t>
      </w:r>
      <w:r w:rsidR="00A031E6">
        <w:t> </w:t>
      </w:r>
      <w:r w:rsidRPr="00874E9A">
        <w:t>1 of this document, the Working Group has made that further review at its thirteenth</w:t>
      </w:r>
      <w:r w:rsidR="00A031E6">
        <w:t> </w:t>
      </w:r>
      <w:r w:rsidRPr="00874E9A">
        <w:t>session and, as a result, has made the recommendations set forth in paragraph</w:t>
      </w:r>
      <w:r w:rsidR="00A031E6">
        <w:t> </w:t>
      </w:r>
      <w:r w:rsidRPr="00874E9A">
        <w:t>2</w:t>
      </w:r>
      <w:r w:rsidR="00A031E6">
        <w:t xml:space="preserve"> of the present document</w:t>
      </w:r>
      <w:r w:rsidRPr="00874E9A">
        <w:t xml:space="preserve">.  </w:t>
      </w:r>
    </w:p>
    <w:p w:rsidR="00874E9A" w:rsidRPr="002810C3" w:rsidRDefault="00874E9A" w:rsidP="0071715C">
      <w:pPr>
        <w:pStyle w:val="ONUME"/>
        <w:ind w:left="5533"/>
        <w:rPr>
          <w:i/>
          <w:szCs w:val="22"/>
        </w:rPr>
      </w:pPr>
      <w:r w:rsidRPr="002810C3">
        <w:rPr>
          <w:i/>
          <w:szCs w:val="22"/>
        </w:rPr>
        <w:t xml:space="preserve">The Assembly is invited to: </w:t>
      </w:r>
      <w:r w:rsidR="0071715C" w:rsidRPr="002810C3">
        <w:rPr>
          <w:i/>
          <w:szCs w:val="22"/>
        </w:rPr>
        <w:t xml:space="preserve"> </w:t>
      </w:r>
    </w:p>
    <w:p w:rsidR="0071715C" w:rsidRPr="002810C3" w:rsidRDefault="0071715C" w:rsidP="0071715C">
      <w:pPr>
        <w:pStyle w:val="ONUME"/>
        <w:numPr>
          <w:ilvl w:val="0"/>
          <w:numId w:val="0"/>
        </w:numPr>
        <w:ind w:left="6237"/>
        <w:rPr>
          <w:i/>
          <w:szCs w:val="22"/>
        </w:rPr>
      </w:pPr>
      <w:r w:rsidRPr="002810C3">
        <w:rPr>
          <w:i/>
          <w:szCs w:val="22"/>
        </w:rPr>
        <w:t>(i)</w:t>
      </w:r>
      <w:r w:rsidRPr="002810C3">
        <w:rPr>
          <w:i/>
          <w:szCs w:val="22"/>
        </w:rPr>
        <w:tab/>
      </w:r>
      <w:proofErr w:type="gramStart"/>
      <w:r w:rsidR="00874E9A" w:rsidRPr="002810C3">
        <w:rPr>
          <w:i/>
          <w:szCs w:val="22"/>
        </w:rPr>
        <w:t>take</w:t>
      </w:r>
      <w:proofErr w:type="gramEnd"/>
      <w:r w:rsidR="00874E9A" w:rsidRPr="002810C3">
        <w:rPr>
          <w:i/>
          <w:szCs w:val="22"/>
        </w:rPr>
        <w:t xml:space="preserve"> note of the </w:t>
      </w:r>
      <w:r w:rsidR="00865FE3" w:rsidRPr="002810C3">
        <w:rPr>
          <w:i/>
          <w:szCs w:val="22"/>
        </w:rPr>
        <w:t xml:space="preserve">“Review of the Application of Article 9sexies of the Protocol Relating to the Madrid </w:t>
      </w:r>
      <w:bookmarkStart w:id="5" w:name="_GoBack"/>
      <w:bookmarkEnd w:id="5"/>
      <w:r w:rsidR="00865FE3" w:rsidRPr="002810C3">
        <w:rPr>
          <w:i/>
          <w:szCs w:val="22"/>
        </w:rPr>
        <w:t>Agreement Concerning the International Registration of Marks” (document MM/A/50/2)</w:t>
      </w:r>
      <w:r w:rsidR="00874E9A" w:rsidRPr="002810C3">
        <w:rPr>
          <w:i/>
          <w:szCs w:val="22"/>
        </w:rPr>
        <w:t xml:space="preserve">; </w:t>
      </w:r>
      <w:r w:rsidRPr="002810C3">
        <w:rPr>
          <w:i/>
          <w:szCs w:val="22"/>
        </w:rPr>
        <w:t xml:space="preserve"> </w:t>
      </w:r>
      <w:r w:rsidR="00874E9A" w:rsidRPr="002810C3">
        <w:rPr>
          <w:i/>
          <w:szCs w:val="22"/>
        </w:rPr>
        <w:t xml:space="preserve">and </w:t>
      </w:r>
    </w:p>
    <w:p w:rsidR="0071715C" w:rsidRDefault="0071715C" w:rsidP="002810C3">
      <w:pPr>
        <w:pStyle w:val="ONUME"/>
        <w:numPr>
          <w:ilvl w:val="0"/>
          <w:numId w:val="0"/>
        </w:numPr>
        <w:ind w:left="6237"/>
        <w:rPr>
          <w:i/>
          <w:szCs w:val="22"/>
        </w:rPr>
      </w:pPr>
      <w:r w:rsidRPr="002810C3">
        <w:rPr>
          <w:i/>
          <w:szCs w:val="22"/>
        </w:rPr>
        <w:t>(ii)</w:t>
      </w:r>
      <w:r w:rsidRPr="002810C3">
        <w:rPr>
          <w:i/>
          <w:szCs w:val="22"/>
        </w:rPr>
        <w:tab/>
      </w:r>
      <w:proofErr w:type="gramStart"/>
      <w:r w:rsidR="00874E9A" w:rsidRPr="002810C3">
        <w:rPr>
          <w:i/>
          <w:szCs w:val="22"/>
        </w:rPr>
        <w:t>adopt</w:t>
      </w:r>
      <w:proofErr w:type="gramEnd"/>
      <w:r w:rsidR="00874E9A" w:rsidRPr="002810C3">
        <w:rPr>
          <w:i/>
          <w:szCs w:val="22"/>
        </w:rPr>
        <w:t xml:space="preserve"> the recommendation made by the Working Group, as set forth in paragraph</w:t>
      </w:r>
      <w:r w:rsidRPr="002810C3">
        <w:rPr>
          <w:i/>
          <w:szCs w:val="22"/>
        </w:rPr>
        <w:t> </w:t>
      </w:r>
      <w:r w:rsidR="00874E9A" w:rsidRPr="002810C3">
        <w:rPr>
          <w:i/>
          <w:szCs w:val="22"/>
        </w:rPr>
        <w:t>2</w:t>
      </w:r>
      <w:r w:rsidR="002810C3" w:rsidRPr="002810C3">
        <w:rPr>
          <w:i/>
          <w:szCs w:val="22"/>
        </w:rPr>
        <w:t xml:space="preserve"> of the above referred document</w:t>
      </w:r>
      <w:r w:rsidR="00874E9A" w:rsidRPr="002810C3">
        <w:rPr>
          <w:i/>
          <w:szCs w:val="22"/>
        </w:rPr>
        <w:t>.</w:t>
      </w:r>
      <w:r w:rsidRPr="002810C3">
        <w:rPr>
          <w:i/>
          <w:szCs w:val="22"/>
        </w:rPr>
        <w:t xml:space="preserve">  </w:t>
      </w:r>
    </w:p>
    <w:p w:rsidR="00865FE3" w:rsidRDefault="00865FE3" w:rsidP="0071715C">
      <w:pPr>
        <w:ind w:left="5533"/>
        <w:rPr>
          <w:i/>
        </w:rPr>
      </w:pPr>
    </w:p>
    <w:p w:rsidR="0071715C" w:rsidRPr="0071715C" w:rsidRDefault="0071715C" w:rsidP="0071715C">
      <w:pPr>
        <w:ind w:left="5533"/>
        <w:rPr>
          <w:i/>
        </w:rPr>
      </w:pPr>
    </w:p>
    <w:p w:rsidR="002928D3" w:rsidRDefault="0071715C" w:rsidP="0071715C">
      <w:pPr>
        <w:ind w:left="5533"/>
      </w:pPr>
      <w:r w:rsidRPr="0071715C">
        <w:t>[End of document]</w:t>
      </w:r>
    </w:p>
    <w:sectPr w:rsidR="002928D3" w:rsidSect="0071715C">
      <w:headerReference w:type="default" r:id="rId10"/>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04" w:rsidRDefault="00D34404">
      <w:r>
        <w:separator/>
      </w:r>
    </w:p>
  </w:endnote>
  <w:endnote w:type="continuationSeparator" w:id="0">
    <w:p w:rsidR="00D34404" w:rsidRDefault="00D34404" w:rsidP="003B38C1">
      <w:r>
        <w:separator/>
      </w:r>
    </w:p>
    <w:p w:rsidR="00D34404" w:rsidRPr="003B38C1" w:rsidRDefault="00D34404" w:rsidP="003B38C1">
      <w:pPr>
        <w:spacing w:after="60"/>
        <w:rPr>
          <w:sz w:val="17"/>
        </w:rPr>
      </w:pPr>
      <w:r>
        <w:rPr>
          <w:sz w:val="17"/>
        </w:rPr>
        <w:t>[Endnote continued from previous page]</w:t>
      </w:r>
    </w:p>
  </w:endnote>
  <w:endnote w:type="continuationNotice" w:id="1">
    <w:p w:rsidR="00D34404" w:rsidRPr="003B38C1" w:rsidRDefault="00D344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04" w:rsidRDefault="00D34404">
      <w:r>
        <w:separator/>
      </w:r>
    </w:p>
  </w:footnote>
  <w:footnote w:type="continuationSeparator" w:id="0">
    <w:p w:rsidR="00D34404" w:rsidRDefault="00D34404" w:rsidP="008B60B2">
      <w:r>
        <w:separator/>
      </w:r>
    </w:p>
    <w:p w:rsidR="00D34404" w:rsidRPr="00ED77FB" w:rsidRDefault="00D34404" w:rsidP="008B60B2">
      <w:pPr>
        <w:spacing w:after="60"/>
        <w:rPr>
          <w:sz w:val="17"/>
          <w:szCs w:val="17"/>
        </w:rPr>
      </w:pPr>
      <w:r w:rsidRPr="00ED77FB">
        <w:rPr>
          <w:sz w:val="17"/>
          <w:szCs w:val="17"/>
        </w:rPr>
        <w:t>[Footnote continued from previous page]</w:t>
      </w:r>
    </w:p>
  </w:footnote>
  <w:footnote w:type="continuationNotice" w:id="1">
    <w:p w:rsidR="00D34404" w:rsidRPr="00ED77FB" w:rsidRDefault="00D34404" w:rsidP="008B60B2">
      <w:pPr>
        <w:spacing w:before="60"/>
        <w:jc w:val="right"/>
        <w:rPr>
          <w:sz w:val="17"/>
          <w:szCs w:val="17"/>
        </w:rPr>
      </w:pPr>
      <w:r w:rsidRPr="00ED77FB">
        <w:rPr>
          <w:sz w:val="17"/>
          <w:szCs w:val="17"/>
        </w:rPr>
        <w:t>[Footnote continued on next page]</w:t>
      </w:r>
    </w:p>
  </w:footnote>
  <w:footnote w:id="2">
    <w:p w:rsidR="00874E9A" w:rsidRPr="00001C7D" w:rsidRDefault="00874E9A" w:rsidP="00874E9A">
      <w:pPr>
        <w:pStyle w:val="FootnoteText"/>
      </w:pPr>
      <w:r>
        <w:rPr>
          <w:rStyle w:val="FootnoteReference"/>
        </w:rPr>
        <w:footnoteRef/>
      </w:r>
      <w:r>
        <w:t xml:space="preserve"> </w:t>
      </w:r>
      <w:r w:rsidR="00A031E6">
        <w:tab/>
      </w:r>
      <w:r w:rsidR="00A031E6" w:rsidRPr="00A031E6">
        <w:t>The thirteenth session of the Working Group was held in Geneva</w:t>
      </w:r>
      <w:r w:rsidR="00865FE3">
        <w:t>,</w:t>
      </w:r>
      <w:r w:rsidR="00A031E6" w:rsidRPr="00A031E6">
        <w:t xml:space="preserve"> from November 2 to 6, 2015.  </w:t>
      </w:r>
    </w:p>
  </w:footnote>
  <w:footnote w:id="3">
    <w:p w:rsidR="00874E9A" w:rsidRPr="00D354A3" w:rsidRDefault="00874E9A" w:rsidP="00874E9A">
      <w:pPr>
        <w:pStyle w:val="FootnoteText"/>
      </w:pPr>
      <w:r>
        <w:rPr>
          <w:rStyle w:val="FootnoteReference"/>
        </w:rPr>
        <w:footnoteRef/>
      </w:r>
      <w:r>
        <w:t xml:space="preserve"> </w:t>
      </w:r>
      <w:r w:rsidR="00A031E6">
        <w:tab/>
        <w:t>See document MM/LD/WG/13/3 “</w:t>
      </w:r>
      <w:r w:rsidR="00A031E6" w:rsidRPr="00874E9A">
        <w:t>Information Relating to the Review of the Application of Article</w:t>
      </w:r>
      <w:r w:rsidR="00A031E6">
        <w:t> </w:t>
      </w:r>
      <w:proofErr w:type="gramStart"/>
      <w:r w:rsidR="00A031E6" w:rsidRPr="00874E9A">
        <w:t>9</w:t>
      </w:r>
      <w:r w:rsidR="00A031E6" w:rsidRPr="00874E9A">
        <w:rPr>
          <w:i/>
        </w:rPr>
        <w:t>sexies</w:t>
      </w:r>
      <w:r w:rsidR="00A031E6" w:rsidRPr="00874E9A">
        <w:t>(</w:t>
      </w:r>
      <w:proofErr w:type="gramEnd"/>
      <w:r w:rsidR="00A031E6" w:rsidRPr="00874E9A">
        <w:t>1)(b) of the Protocol Relating to the Madrid Agreement Concerning the International Registration of Marks</w:t>
      </w:r>
      <w:r w:rsidR="00A031E6">
        <w:t>”</w:t>
      </w:r>
      <w:r w:rsidR="00A031E6" w:rsidRPr="00874E9A">
        <w:t xml:space="preserve"> </w:t>
      </w:r>
      <w:r w:rsidR="00A031E6">
        <w:t>(</w:t>
      </w:r>
      <w:r w:rsidR="00A031E6" w:rsidRPr="00874E9A">
        <w:t>http://www.wipo.int/meetings/en/doc_details.jsp?doc_id=313057</w:t>
      </w:r>
      <w:r w:rsidR="00A031E6">
        <w:t xml:space="preserve">).  </w:t>
      </w:r>
    </w:p>
  </w:footnote>
  <w:footnote w:id="4">
    <w:p w:rsidR="00874E9A" w:rsidRPr="0038164A" w:rsidRDefault="00874E9A" w:rsidP="00874E9A">
      <w:pPr>
        <w:pStyle w:val="FootnoteText"/>
      </w:pPr>
      <w:r>
        <w:rPr>
          <w:rStyle w:val="FootnoteReference"/>
        </w:rPr>
        <w:footnoteRef/>
      </w:r>
      <w:r w:rsidRPr="0038164A">
        <w:t xml:space="preserve"> </w:t>
      </w:r>
      <w:r w:rsidR="00A031E6">
        <w:tab/>
      </w:r>
      <w:r w:rsidR="00A031E6" w:rsidRPr="00A031E6">
        <w:t>See paragraph 16, document MM/LD/WG/10/7 “Summary by the Chair” (http://www.wipo.int/meetings/en/doc_details.jsp?doc_id=210569).</w:t>
      </w:r>
      <w:r w:rsidR="00A031E6">
        <w:t xml:space="preserve">  </w:t>
      </w:r>
    </w:p>
  </w:footnote>
  <w:footnote w:id="5">
    <w:p w:rsidR="00874E9A" w:rsidRPr="0038164A" w:rsidRDefault="00874E9A" w:rsidP="00874E9A">
      <w:pPr>
        <w:pStyle w:val="FootnoteText"/>
      </w:pPr>
      <w:r>
        <w:rPr>
          <w:rStyle w:val="FootnoteReference"/>
        </w:rPr>
        <w:footnoteRef/>
      </w:r>
      <w:r w:rsidRPr="0038164A">
        <w:t xml:space="preserve"> </w:t>
      </w:r>
      <w:r w:rsidR="00A031E6">
        <w:tab/>
        <w:t>See paragraph 15, document MM/LD/WG/13/9 “Summary by the Chair”</w:t>
      </w:r>
      <w:r w:rsidR="00A031E6" w:rsidRPr="00A031E6">
        <w:t xml:space="preserve"> </w:t>
      </w:r>
      <w:r w:rsidR="00A031E6">
        <w:t>(</w:t>
      </w:r>
      <w:r w:rsidR="00A031E6" w:rsidRPr="00A031E6">
        <w:t>http://www.wipo.int/meetings/en/doc_details.jsp?doc_id=320418</w:t>
      </w:r>
      <w:r w:rsidR="00A031E6">
        <w:t xml:space="preserve">).  </w:t>
      </w:r>
    </w:p>
  </w:footnote>
  <w:footnote w:id="6">
    <w:p w:rsidR="00874E9A" w:rsidRPr="00C516ED" w:rsidRDefault="00874E9A" w:rsidP="00874E9A">
      <w:pPr>
        <w:pStyle w:val="FootnoteText"/>
      </w:pPr>
      <w:r>
        <w:rPr>
          <w:rStyle w:val="FootnoteReference"/>
        </w:rPr>
        <w:footnoteRef/>
      </w:r>
      <w:r w:rsidRPr="00C516ED">
        <w:t xml:space="preserve"> </w:t>
      </w:r>
      <w:r w:rsidR="00A031E6">
        <w:tab/>
        <w:t>See document MM/A/38/2</w:t>
      </w:r>
      <w:r w:rsidR="00A031E6" w:rsidRPr="0071715C">
        <w:t xml:space="preserve"> “</w:t>
      </w:r>
      <w:r w:rsidR="00A031E6" w:rsidRPr="0071715C">
        <w:rPr>
          <w:bCs/>
        </w:rPr>
        <w:t>Review of the Safeguard Clause and Related Amendments of the Madrid Protocol and of the Common Regulations</w:t>
      </w:r>
      <w:r w:rsidR="0071715C" w:rsidRPr="0071715C">
        <w:rPr>
          <w:bCs/>
        </w:rPr>
        <w:t xml:space="preserve">” </w:t>
      </w:r>
      <w:r w:rsidR="0071715C">
        <w:rPr>
          <w:bCs/>
        </w:rPr>
        <w:t>(</w:t>
      </w:r>
      <w:r w:rsidR="0071715C" w:rsidRPr="0071715C">
        <w:rPr>
          <w:bCs/>
        </w:rPr>
        <w:t>http://www.wipo.int/meetings/en/doc_details.jsp?doc_id=82798</w:t>
      </w:r>
      <w:r w:rsidR="0071715C">
        <w:rPr>
          <w:bCs/>
        </w:rPr>
        <w:t xml:space="preserve">).  </w:t>
      </w:r>
    </w:p>
  </w:footnote>
  <w:footnote w:id="7">
    <w:p w:rsidR="00874E9A" w:rsidRPr="0072068F" w:rsidRDefault="00874E9A" w:rsidP="00874E9A">
      <w:pPr>
        <w:pStyle w:val="FootnoteText"/>
      </w:pPr>
      <w:r>
        <w:rPr>
          <w:rStyle w:val="FootnoteReference"/>
        </w:rPr>
        <w:footnoteRef/>
      </w:r>
      <w:r>
        <w:t xml:space="preserve"> </w:t>
      </w:r>
      <w:r w:rsidR="0071715C">
        <w:tab/>
      </w:r>
      <w:r>
        <w:t xml:space="preserve">The </w:t>
      </w:r>
      <w:r w:rsidR="00865FE3">
        <w:t>forty-f</w:t>
      </w:r>
      <w:r>
        <w:t>ourth (19</w:t>
      </w:r>
      <w:r w:rsidR="0071715C" w:rsidRPr="0071715C">
        <w:rPr>
          <w:vertAlign w:val="superscript"/>
        </w:rPr>
        <w:t>th</w:t>
      </w:r>
      <w:r w:rsidR="0071715C">
        <w:t xml:space="preserve"> </w:t>
      </w:r>
      <w:r w:rsidR="00865FE3">
        <w:t>o</w:t>
      </w:r>
      <w:r>
        <w:t xml:space="preserve">rdinary) </w:t>
      </w:r>
      <w:r w:rsidR="00865FE3">
        <w:t>s</w:t>
      </w:r>
      <w:r>
        <w:t xml:space="preserve">ession </w:t>
      </w:r>
      <w:r w:rsidR="0071715C">
        <w:t>of the Madrid Union Assembly was held in Geneva from Se</w:t>
      </w:r>
      <w:r>
        <w:t>ptember</w:t>
      </w:r>
      <w:r w:rsidR="0071715C">
        <w:t> </w:t>
      </w:r>
      <w:r>
        <w:t>26 to October</w:t>
      </w:r>
      <w:r w:rsidR="0071715C">
        <w:t> </w:t>
      </w:r>
      <w:r>
        <w:t>5,</w:t>
      </w:r>
      <w:r w:rsidR="0071715C">
        <w:t> </w:t>
      </w:r>
      <w:r>
        <w:t>2011</w:t>
      </w:r>
      <w:r w:rsidR="0071715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34F" w:rsidP="00477D6B">
    <w:pPr>
      <w:jc w:val="right"/>
    </w:pPr>
    <w:bookmarkStart w:id="6" w:name="Code2"/>
    <w:bookmarkEnd w:id="6"/>
    <w:r>
      <w:t>MM/A/50/2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6420E">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4F"/>
    <w:rsid w:val="0001271D"/>
    <w:rsid w:val="00030A23"/>
    <w:rsid w:val="00043CAA"/>
    <w:rsid w:val="00075432"/>
    <w:rsid w:val="000968ED"/>
    <w:rsid w:val="000F5E56"/>
    <w:rsid w:val="001362EE"/>
    <w:rsid w:val="001832A6"/>
    <w:rsid w:val="001A591E"/>
    <w:rsid w:val="001C1008"/>
    <w:rsid w:val="002634C4"/>
    <w:rsid w:val="002810C3"/>
    <w:rsid w:val="0028584E"/>
    <w:rsid w:val="002928D3"/>
    <w:rsid w:val="002F1FE6"/>
    <w:rsid w:val="002F4E68"/>
    <w:rsid w:val="00312F7F"/>
    <w:rsid w:val="003228B7"/>
    <w:rsid w:val="00325AB4"/>
    <w:rsid w:val="003673CF"/>
    <w:rsid w:val="003845C1"/>
    <w:rsid w:val="003A6F89"/>
    <w:rsid w:val="003B38C1"/>
    <w:rsid w:val="00423E3E"/>
    <w:rsid w:val="00427AF4"/>
    <w:rsid w:val="004400E2"/>
    <w:rsid w:val="004647DA"/>
    <w:rsid w:val="00474062"/>
    <w:rsid w:val="00477D6B"/>
    <w:rsid w:val="0053057A"/>
    <w:rsid w:val="00560A29"/>
    <w:rsid w:val="005B42EA"/>
    <w:rsid w:val="00605827"/>
    <w:rsid w:val="00646050"/>
    <w:rsid w:val="006713CA"/>
    <w:rsid w:val="00676C5C"/>
    <w:rsid w:val="007058FB"/>
    <w:rsid w:val="0071715C"/>
    <w:rsid w:val="007B6A58"/>
    <w:rsid w:val="007D1613"/>
    <w:rsid w:val="00865FE3"/>
    <w:rsid w:val="00874E9A"/>
    <w:rsid w:val="008B2CC1"/>
    <w:rsid w:val="008B60B2"/>
    <w:rsid w:val="0090731E"/>
    <w:rsid w:val="00916EE2"/>
    <w:rsid w:val="0096420E"/>
    <w:rsid w:val="00966A22"/>
    <w:rsid w:val="0096722F"/>
    <w:rsid w:val="00980843"/>
    <w:rsid w:val="009E2791"/>
    <w:rsid w:val="009E3F6F"/>
    <w:rsid w:val="009F499F"/>
    <w:rsid w:val="00A031E6"/>
    <w:rsid w:val="00A42DAF"/>
    <w:rsid w:val="00A45BD8"/>
    <w:rsid w:val="00A85B8E"/>
    <w:rsid w:val="00AC205C"/>
    <w:rsid w:val="00B05A69"/>
    <w:rsid w:val="00B9734B"/>
    <w:rsid w:val="00C11BFE"/>
    <w:rsid w:val="00C94629"/>
    <w:rsid w:val="00D34404"/>
    <w:rsid w:val="00D45252"/>
    <w:rsid w:val="00D71B4D"/>
    <w:rsid w:val="00D74A1F"/>
    <w:rsid w:val="00D93D55"/>
    <w:rsid w:val="00DF534F"/>
    <w:rsid w:val="00E335FE"/>
    <w:rsid w:val="00E5021F"/>
    <w:rsid w:val="00E94FB7"/>
    <w:rsid w:val="00EC4E49"/>
    <w:rsid w:val="00ED77FB"/>
    <w:rsid w:val="00F021A6"/>
    <w:rsid w:val="00F305F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8359-8F09-4D98-AE6A-DE74DE02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(E).dotm</Template>
  <TotalTime>1</TotalTime>
  <Pages>2</Pages>
  <Words>472</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DORE Marie-Pierre</cp:lastModifiedBy>
  <cp:revision>3</cp:revision>
  <cp:lastPrinted>2016-06-08T12:57:00Z</cp:lastPrinted>
  <dcterms:created xsi:type="dcterms:W3CDTF">2016-06-13T12:55:00Z</dcterms:created>
  <dcterms:modified xsi:type="dcterms:W3CDTF">2016-06-13T13:30:00Z</dcterms:modified>
</cp:coreProperties>
</file>