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1271D"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271D" w:rsidP="00784ED8">
            <w:pPr>
              <w:jc w:val="right"/>
              <w:rPr>
                <w:rFonts w:ascii="Arial Black" w:hAnsi="Arial Black"/>
                <w:caps/>
                <w:sz w:val="15"/>
              </w:rPr>
            </w:pPr>
            <w:r>
              <w:rPr>
                <w:rFonts w:ascii="Arial Black" w:hAnsi="Arial Black"/>
                <w:caps/>
                <w:sz w:val="15"/>
              </w:rPr>
              <w:t>MM/A/50/</w:t>
            </w:r>
            <w:bookmarkStart w:id="0" w:name="Code"/>
            <w:bookmarkEnd w:id="0"/>
            <w:r w:rsidR="00784ED8">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534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A591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F534F">
              <w:rPr>
                <w:rFonts w:ascii="Arial Black" w:hAnsi="Arial Black"/>
                <w:caps/>
                <w:sz w:val="15"/>
              </w:rPr>
              <w:t>Ju</w:t>
            </w:r>
            <w:r w:rsidR="001A591E">
              <w:rPr>
                <w:rFonts w:ascii="Arial Black" w:hAnsi="Arial Black"/>
                <w:caps/>
                <w:sz w:val="15"/>
              </w:rPr>
              <w:t>ly</w:t>
            </w:r>
            <w:r w:rsidR="00DF534F">
              <w:rPr>
                <w:rFonts w:ascii="Arial Black" w:hAnsi="Arial Black"/>
                <w:caps/>
                <w:sz w:val="15"/>
              </w:rPr>
              <w:t xml:space="preserve"> </w:t>
            </w:r>
            <w:r w:rsidR="001A591E">
              <w:rPr>
                <w:rFonts w:ascii="Arial Black" w:hAnsi="Arial Black"/>
                <w:caps/>
                <w:sz w:val="15"/>
              </w:rPr>
              <w:t>4</w:t>
            </w:r>
            <w:r w:rsidR="00DF534F">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01271D" w:rsidP="008B2CC1">
      <w:pPr>
        <w:rPr>
          <w:b/>
          <w:sz w:val="28"/>
          <w:szCs w:val="28"/>
        </w:rPr>
      </w:pPr>
      <w:r>
        <w:rPr>
          <w:b/>
          <w:sz w:val="28"/>
          <w:szCs w:val="28"/>
        </w:rPr>
        <w:t xml:space="preserve">Special Union for the International Registration of </w:t>
      </w:r>
      <w:proofErr w:type="gramStart"/>
      <w:r>
        <w:rPr>
          <w:b/>
          <w:sz w:val="28"/>
          <w:szCs w:val="28"/>
        </w:rPr>
        <w:t>Marks</w:t>
      </w:r>
      <w:proofErr w:type="gramEnd"/>
      <w:r>
        <w:rPr>
          <w:b/>
          <w:sz w:val="28"/>
          <w:szCs w:val="28"/>
        </w:rPr>
        <w:br/>
        <w:t>(Madrid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01271D" w:rsidP="008B2CC1">
      <w:pPr>
        <w:rPr>
          <w:b/>
          <w:sz w:val="24"/>
          <w:szCs w:val="24"/>
        </w:rPr>
      </w:pPr>
      <w:r>
        <w:rPr>
          <w:b/>
          <w:sz w:val="24"/>
          <w:szCs w:val="24"/>
        </w:rPr>
        <w:t>Fiftieth (29</w:t>
      </w:r>
      <w:r w:rsidRPr="0001271D">
        <w:rPr>
          <w:b/>
          <w:sz w:val="24"/>
          <w:szCs w:val="24"/>
          <w:vertAlign w:val="superscript"/>
        </w:rPr>
        <w:t>th</w:t>
      </w:r>
      <w:r>
        <w:rPr>
          <w:b/>
          <w:sz w:val="24"/>
          <w:szCs w:val="24"/>
        </w:rPr>
        <w:t xml:space="preserve"> Extraordinary) Session</w:t>
      </w:r>
    </w:p>
    <w:p w:rsidR="008B2CC1" w:rsidRPr="003845C1" w:rsidRDefault="0001271D" w:rsidP="008B2CC1">
      <w:pPr>
        <w:rPr>
          <w:b/>
          <w:sz w:val="24"/>
          <w:szCs w:val="24"/>
        </w:rPr>
      </w:pPr>
      <w:r>
        <w:rPr>
          <w:b/>
          <w:sz w:val="24"/>
          <w:szCs w:val="24"/>
        </w:rPr>
        <w:t>Geneva, October 3 to 11,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784ED8" w:rsidP="008B2CC1">
      <w:pPr>
        <w:rPr>
          <w:caps/>
          <w:sz w:val="24"/>
        </w:rPr>
      </w:pPr>
      <w:bookmarkStart w:id="3" w:name="TitleOfDoc"/>
      <w:bookmarkEnd w:id="3"/>
      <w:r w:rsidRPr="00784ED8">
        <w:rPr>
          <w:caps/>
          <w:sz w:val="24"/>
        </w:rPr>
        <w:t>Proposal Regarding Accessions to the Madrid Agreement Only</w:t>
      </w:r>
    </w:p>
    <w:p w:rsidR="008B2CC1" w:rsidRPr="008B2CC1" w:rsidRDefault="008B2CC1" w:rsidP="008B2CC1"/>
    <w:p w:rsidR="008B2CC1" w:rsidRPr="008B2CC1" w:rsidRDefault="00DF534F"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784ED8" w:rsidRPr="003E257A" w:rsidRDefault="00784ED8" w:rsidP="00784ED8">
      <w:pPr>
        <w:pStyle w:val="ONUME"/>
      </w:pPr>
      <w:r w:rsidRPr="003E257A">
        <w:t>On October</w:t>
      </w:r>
      <w:r>
        <w:t> </w:t>
      </w:r>
      <w:r w:rsidRPr="003E257A">
        <w:t>31,</w:t>
      </w:r>
      <w:r>
        <w:t> </w:t>
      </w:r>
      <w:r w:rsidRPr="003E257A">
        <w:t>2015, the Protocol Relating to the Madrid Agreement Concerning the International Registration of Marks (hereinafter referred to as “the Protocol”) entered into force in Algeria, which was the last remaining member of the Madrid Union bound exclusively by the Madrid Agreement Concerning the International Registration of Marks (hereinafter referred to as</w:t>
      </w:r>
      <w:r w:rsidR="00241BBE">
        <w:t> </w:t>
      </w:r>
      <w:r w:rsidRPr="003E257A">
        <w:t xml:space="preserve">“the Agreement”).  </w:t>
      </w:r>
    </w:p>
    <w:p w:rsidR="00984E32" w:rsidRPr="00984E32" w:rsidRDefault="00784ED8" w:rsidP="00984E32">
      <w:pPr>
        <w:pStyle w:val="ONUME"/>
        <w:rPr>
          <w:szCs w:val="22"/>
        </w:rPr>
      </w:pPr>
      <w:r w:rsidRPr="00984E32">
        <w:rPr>
          <w:szCs w:val="22"/>
        </w:rPr>
        <w:t>That event was a milestone in the history of the Madrid System, as it meant that all Contracting Parties were, as from that date, bound by the Protocol</w:t>
      </w:r>
      <w:r w:rsidR="00984E32" w:rsidRPr="00984E32">
        <w:rPr>
          <w:szCs w:val="22"/>
        </w:rPr>
        <w:t>.  A</w:t>
      </w:r>
      <w:r w:rsidRPr="00984E32">
        <w:rPr>
          <w:szCs w:val="22"/>
        </w:rPr>
        <w:t>s a result, all the designations in all the international registrations in force</w:t>
      </w:r>
      <w:r w:rsidR="00984E32" w:rsidRPr="00984E32">
        <w:rPr>
          <w:szCs w:val="22"/>
        </w:rPr>
        <w:t>, as well as</w:t>
      </w:r>
      <w:r w:rsidRPr="00984E32">
        <w:rPr>
          <w:szCs w:val="22"/>
        </w:rPr>
        <w:t xml:space="preserve"> all international applications presented since then</w:t>
      </w:r>
      <w:r w:rsidR="00984E32">
        <w:rPr>
          <w:szCs w:val="22"/>
        </w:rPr>
        <w:t>,</w:t>
      </w:r>
      <w:r w:rsidRPr="00984E32">
        <w:rPr>
          <w:szCs w:val="22"/>
        </w:rPr>
        <w:t xml:space="preserve"> are governed only by the Protocol.  This follows from the fact that Contracting Parties are either bound only by the Protocol or because, according to Article </w:t>
      </w:r>
      <w:proofErr w:type="gramStart"/>
      <w:r w:rsidRPr="00984E32">
        <w:rPr>
          <w:szCs w:val="22"/>
        </w:rPr>
        <w:t>9</w:t>
      </w:r>
      <w:r w:rsidRPr="00984E32">
        <w:rPr>
          <w:i/>
          <w:szCs w:val="22"/>
        </w:rPr>
        <w:t>sexies</w:t>
      </w:r>
      <w:r w:rsidRPr="00984E32">
        <w:rPr>
          <w:szCs w:val="22"/>
        </w:rPr>
        <w:t>(</w:t>
      </w:r>
      <w:proofErr w:type="gramEnd"/>
      <w:r w:rsidRPr="00984E32">
        <w:rPr>
          <w:szCs w:val="22"/>
        </w:rPr>
        <w:t>1)(a) of the Protocol, this treaty applies “</w:t>
      </w:r>
      <w:r w:rsidR="005517AE" w:rsidRPr="00984E32">
        <w:rPr>
          <w:szCs w:val="22"/>
        </w:rPr>
        <w:t xml:space="preserve">[…] </w:t>
      </w:r>
      <w:r w:rsidRPr="00984E32">
        <w:rPr>
          <w:szCs w:val="22"/>
          <w:lang w:val="en"/>
        </w:rPr>
        <w:t>as regards the mutual relations of States party to both this Protocol and the Madrid (Stockholm) Agreement.”</w:t>
      </w:r>
      <w:r w:rsidRPr="00984E32">
        <w:rPr>
          <w:szCs w:val="22"/>
        </w:rPr>
        <w:t xml:space="preserve">  Accordingly, since then, the Agreement is, </w:t>
      </w:r>
      <w:r w:rsidRPr="00984E32">
        <w:rPr>
          <w:i/>
          <w:szCs w:val="22"/>
        </w:rPr>
        <w:t xml:space="preserve">de facto, </w:t>
      </w:r>
      <w:r w:rsidR="005517AE" w:rsidRPr="00984E32">
        <w:rPr>
          <w:szCs w:val="22"/>
        </w:rPr>
        <w:t>a non</w:t>
      </w:r>
      <w:r w:rsidR="005517AE" w:rsidRPr="00984E32">
        <w:rPr>
          <w:szCs w:val="22"/>
        </w:rPr>
        <w:noBreakHyphen/>
      </w:r>
      <w:r w:rsidRPr="00984E32">
        <w:rPr>
          <w:szCs w:val="22"/>
        </w:rPr>
        <w:t xml:space="preserve">operational treaty and the Madrid System is, </w:t>
      </w:r>
      <w:r w:rsidRPr="00984E32">
        <w:rPr>
          <w:i/>
          <w:szCs w:val="22"/>
        </w:rPr>
        <w:t>de facto</w:t>
      </w:r>
      <w:r w:rsidRPr="00984E32">
        <w:rPr>
          <w:szCs w:val="22"/>
        </w:rPr>
        <w:t xml:space="preserve">, </w:t>
      </w:r>
      <w:proofErr w:type="gramStart"/>
      <w:r w:rsidRPr="00984E32">
        <w:rPr>
          <w:szCs w:val="22"/>
        </w:rPr>
        <w:t>a</w:t>
      </w:r>
      <w:proofErr w:type="gramEnd"/>
      <w:r w:rsidR="00241BBE" w:rsidRPr="00984E32">
        <w:rPr>
          <w:szCs w:val="22"/>
        </w:rPr>
        <w:t> </w:t>
      </w:r>
      <w:r w:rsidRPr="00984E32">
        <w:rPr>
          <w:szCs w:val="22"/>
        </w:rPr>
        <w:t>one</w:t>
      </w:r>
      <w:r w:rsidR="005517AE" w:rsidRPr="00984E32">
        <w:rPr>
          <w:szCs w:val="22"/>
        </w:rPr>
        <w:noBreakHyphen/>
      </w:r>
      <w:r w:rsidRPr="00984E32">
        <w:rPr>
          <w:szCs w:val="22"/>
        </w:rPr>
        <w:t>treaty system.</w:t>
      </w:r>
      <w:r w:rsidR="005517AE" w:rsidRPr="00984E32">
        <w:rPr>
          <w:szCs w:val="22"/>
        </w:rPr>
        <w:t xml:space="preserve">  </w:t>
      </w:r>
      <w:r w:rsidR="00984E32" w:rsidRPr="00984E32">
        <w:rPr>
          <w:szCs w:val="22"/>
        </w:rPr>
        <w:br w:type="page"/>
      </w:r>
    </w:p>
    <w:p w:rsidR="00784ED8" w:rsidRPr="00625656" w:rsidRDefault="00784ED8" w:rsidP="00784ED8">
      <w:pPr>
        <w:pStyle w:val="ONUME"/>
        <w:rPr>
          <w:szCs w:val="22"/>
        </w:rPr>
      </w:pPr>
      <w:r w:rsidRPr="003E257A">
        <w:rPr>
          <w:szCs w:val="22"/>
        </w:rPr>
        <w:lastRenderedPageBreak/>
        <w:t>During its thirteenth</w:t>
      </w:r>
      <w:r w:rsidR="005517AE">
        <w:rPr>
          <w:szCs w:val="22"/>
        </w:rPr>
        <w:t> </w:t>
      </w:r>
      <w:r w:rsidRPr="003E257A">
        <w:rPr>
          <w:szCs w:val="22"/>
        </w:rPr>
        <w:t xml:space="preserve">session, in November 2015, the Working Group on the Legal Development of the Madrid System for the International Registration of Marks (hereinafter referred to as “the Working Group”), discussed the possibility of preserving the current situation, namely, the Madrid System as, </w:t>
      </w:r>
      <w:r w:rsidRPr="003E257A">
        <w:rPr>
          <w:i/>
          <w:szCs w:val="22"/>
        </w:rPr>
        <w:t>de facto</w:t>
      </w:r>
      <w:r w:rsidRPr="00B951DE">
        <w:rPr>
          <w:szCs w:val="22"/>
        </w:rPr>
        <w:t>, a one</w:t>
      </w:r>
      <w:r w:rsidR="005517AE">
        <w:rPr>
          <w:szCs w:val="22"/>
        </w:rPr>
        <w:noBreakHyphen/>
      </w:r>
      <w:r w:rsidRPr="00B951DE">
        <w:rPr>
          <w:szCs w:val="22"/>
        </w:rPr>
        <w:t xml:space="preserve">treaty </w:t>
      </w:r>
      <w:r w:rsidRPr="003E257A">
        <w:rPr>
          <w:szCs w:val="22"/>
        </w:rPr>
        <w:t>system with the Protocol as the only operational treaty</w:t>
      </w:r>
      <w:r w:rsidR="00984E32" w:rsidRPr="003E257A">
        <w:rPr>
          <w:rStyle w:val="FootnoteReference"/>
          <w:szCs w:val="22"/>
        </w:rPr>
        <w:footnoteReference w:id="2"/>
      </w:r>
      <w:r w:rsidRPr="003E257A">
        <w:rPr>
          <w:szCs w:val="22"/>
        </w:rPr>
        <w:t xml:space="preserve">. </w:t>
      </w:r>
      <w:r w:rsidR="005517AE">
        <w:rPr>
          <w:szCs w:val="22"/>
        </w:rPr>
        <w:t xml:space="preserve"> </w:t>
      </w:r>
    </w:p>
    <w:p w:rsidR="00784ED8" w:rsidRPr="003E257A" w:rsidRDefault="00984E32" w:rsidP="00784ED8">
      <w:pPr>
        <w:pStyle w:val="ONUME"/>
        <w:rPr>
          <w:szCs w:val="22"/>
        </w:rPr>
      </w:pPr>
      <w:r>
        <w:rPr>
          <w:szCs w:val="22"/>
        </w:rPr>
        <w:t>I</w:t>
      </w:r>
      <w:r w:rsidRPr="00B951DE">
        <w:rPr>
          <w:szCs w:val="22"/>
        </w:rPr>
        <w:t>n</w:t>
      </w:r>
      <w:r w:rsidRPr="003E257A">
        <w:rPr>
          <w:szCs w:val="22"/>
        </w:rPr>
        <w:t xml:space="preserve"> earlier sessions in</w:t>
      </w:r>
      <w:r>
        <w:rPr>
          <w:szCs w:val="22"/>
        </w:rPr>
        <w:t> </w:t>
      </w:r>
      <w:r w:rsidRPr="003E257A">
        <w:rPr>
          <w:szCs w:val="22"/>
        </w:rPr>
        <w:t>2005 and</w:t>
      </w:r>
      <w:r>
        <w:rPr>
          <w:szCs w:val="22"/>
        </w:rPr>
        <w:t> </w:t>
      </w:r>
      <w:r w:rsidRPr="003E257A">
        <w:rPr>
          <w:szCs w:val="22"/>
        </w:rPr>
        <w:t>2006</w:t>
      </w:r>
      <w:r>
        <w:rPr>
          <w:szCs w:val="22"/>
        </w:rPr>
        <w:t xml:space="preserve">, the Working Group outlined a plan </w:t>
      </w:r>
      <w:r w:rsidR="00784ED8" w:rsidRPr="003E257A">
        <w:rPr>
          <w:szCs w:val="22"/>
        </w:rPr>
        <w:t xml:space="preserve">endorsed by the Madrid Union Assembly (hereinafter referred to as “the Assembly”) to consolidate the Madrid System as </w:t>
      </w:r>
      <w:proofErr w:type="gramStart"/>
      <w:r w:rsidR="00241BBE">
        <w:rPr>
          <w:szCs w:val="22"/>
        </w:rPr>
        <w:t>a</w:t>
      </w:r>
      <w:proofErr w:type="gramEnd"/>
      <w:r w:rsidR="00241BBE">
        <w:rPr>
          <w:szCs w:val="22"/>
        </w:rPr>
        <w:t> </w:t>
      </w:r>
      <w:r w:rsidR="00784ED8" w:rsidRPr="00625656">
        <w:rPr>
          <w:szCs w:val="22"/>
        </w:rPr>
        <w:t>one</w:t>
      </w:r>
      <w:r w:rsidR="005517AE">
        <w:rPr>
          <w:szCs w:val="22"/>
        </w:rPr>
        <w:noBreakHyphen/>
      </w:r>
      <w:r w:rsidR="00784ED8" w:rsidRPr="00625656">
        <w:rPr>
          <w:szCs w:val="22"/>
        </w:rPr>
        <w:t>treaty system</w:t>
      </w:r>
      <w:r w:rsidRPr="003E257A">
        <w:rPr>
          <w:rStyle w:val="FootnoteReference"/>
          <w:szCs w:val="22"/>
        </w:rPr>
        <w:footnoteReference w:id="3"/>
      </w:r>
      <w:r w:rsidR="00784ED8" w:rsidRPr="003E257A">
        <w:rPr>
          <w:szCs w:val="22"/>
        </w:rPr>
        <w:t>.  In those sessions, it was stated that the Agreement would no longer be applicable, as part of the international registration procedure, if three</w:t>
      </w:r>
      <w:r w:rsidR="005517AE">
        <w:rPr>
          <w:szCs w:val="22"/>
        </w:rPr>
        <w:t> </w:t>
      </w:r>
      <w:r w:rsidR="00784ED8" w:rsidRPr="003E257A">
        <w:rPr>
          <w:szCs w:val="22"/>
        </w:rPr>
        <w:t xml:space="preserve">circumstances were cumulatively met, namely that: </w:t>
      </w:r>
      <w:r w:rsidR="005517AE">
        <w:rPr>
          <w:szCs w:val="22"/>
        </w:rPr>
        <w:t xml:space="preserve"> </w:t>
      </w:r>
    </w:p>
    <w:p w:rsidR="00784ED8" w:rsidRPr="003E257A" w:rsidRDefault="00784ED8" w:rsidP="00441A38">
      <w:pPr>
        <w:pStyle w:val="ONUME"/>
        <w:numPr>
          <w:ilvl w:val="0"/>
          <w:numId w:val="10"/>
        </w:numPr>
        <w:ind w:left="567"/>
        <w:rPr>
          <w:szCs w:val="22"/>
        </w:rPr>
      </w:pPr>
      <w:r w:rsidRPr="003E257A">
        <w:rPr>
          <w:szCs w:val="22"/>
        </w:rPr>
        <w:t xml:space="preserve">the Assembly decided to repeal the safeguard clause;  </w:t>
      </w:r>
    </w:p>
    <w:p w:rsidR="00784ED8" w:rsidRPr="003E257A" w:rsidRDefault="00784ED8" w:rsidP="00441A38">
      <w:pPr>
        <w:pStyle w:val="ONUME"/>
        <w:numPr>
          <w:ilvl w:val="0"/>
          <w:numId w:val="10"/>
        </w:numPr>
        <w:ind w:left="567"/>
        <w:rPr>
          <w:szCs w:val="22"/>
        </w:rPr>
      </w:pPr>
      <w:r w:rsidRPr="003E257A">
        <w:rPr>
          <w:szCs w:val="22"/>
        </w:rPr>
        <w:t>the Contracting Parties bound exclusively by the Agreement became bound by the Protocol;  and,</w:t>
      </w:r>
    </w:p>
    <w:p w:rsidR="00784ED8" w:rsidRPr="003E257A" w:rsidRDefault="00C2305F" w:rsidP="00441A38">
      <w:pPr>
        <w:pStyle w:val="ONUME"/>
        <w:numPr>
          <w:ilvl w:val="0"/>
          <w:numId w:val="10"/>
        </w:numPr>
        <w:ind w:left="567"/>
        <w:rPr>
          <w:szCs w:val="22"/>
        </w:rPr>
      </w:pPr>
      <w:proofErr w:type="gramStart"/>
      <w:r>
        <w:rPr>
          <w:szCs w:val="22"/>
        </w:rPr>
        <w:t>the</w:t>
      </w:r>
      <w:proofErr w:type="gramEnd"/>
      <w:r>
        <w:rPr>
          <w:szCs w:val="22"/>
        </w:rPr>
        <w:t xml:space="preserve"> Assembly too</w:t>
      </w:r>
      <w:r w:rsidR="00784ED8" w:rsidRPr="003E257A">
        <w:rPr>
          <w:szCs w:val="22"/>
        </w:rPr>
        <w:t>k a decision to “freeze” the application of the Agreement so that no country could accede to the Agreement alone in the future, and international applications could no l</w:t>
      </w:r>
      <w:r w:rsidR="00441A38">
        <w:rPr>
          <w:szCs w:val="22"/>
        </w:rPr>
        <w:t>onger be filed under such treaty</w:t>
      </w:r>
      <w:r w:rsidR="00784ED8" w:rsidRPr="003E257A">
        <w:rPr>
          <w:szCs w:val="22"/>
          <w:vertAlign w:val="superscript"/>
        </w:rPr>
        <w:footnoteReference w:id="4"/>
      </w:r>
      <w:r w:rsidR="00441A38">
        <w:rPr>
          <w:szCs w:val="22"/>
        </w:rPr>
        <w:t xml:space="preserve">. </w:t>
      </w:r>
      <w:r w:rsidR="00784ED8" w:rsidRPr="003E257A">
        <w:rPr>
          <w:szCs w:val="22"/>
        </w:rPr>
        <w:t xml:space="preserve"> </w:t>
      </w:r>
    </w:p>
    <w:p w:rsidR="00784ED8" w:rsidRPr="003E257A" w:rsidRDefault="00784ED8" w:rsidP="00784ED8">
      <w:pPr>
        <w:pStyle w:val="ONUME"/>
        <w:rPr>
          <w:szCs w:val="22"/>
        </w:rPr>
      </w:pPr>
      <w:r w:rsidRPr="00B951DE">
        <w:rPr>
          <w:szCs w:val="22"/>
        </w:rPr>
        <w:t xml:space="preserve">The first step towards </w:t>
      </w:r>
      <w:proofErr w:type="gramStart"/>
      <w:r w:rsidRPr="00B951DE">
        <w:rPr>
          <w:szCs w:val="22"/>
        </w:rPr>
        <w:t>a</w:t>
      </w:r>
      <w:proofErr w:type="gramEnd"/>
      <w:r w:rsidR="00241BBE">
        <w:rPr>
          <w:szCs w:val="22"/>
        </w:rPr>
        <w:t> </w:t>
      </w:r>
      <w:r w:rsidRPr="00B951DE">
        <w:rPr>
          <w:szCs w:val="22"/>
        </w:rPr>
        <w:t>one</w:t>
      </w:r>
      <w:r w:rsidRPr="00B951DE">
        <w:rPr>
          <w:szCs w:val="22"/>
        </w:rPr>
        <w:noBreakHyphen/>
        <w:t xml:space="preserve">treaty </w:t>
      </w:r>
      <w:r w:rsidRPr="003E257A">
        <w:rPr>
          <w:szCs w:val="22"/>
        </w:rPr>
        <w:t>system was taken in September</w:t>
      </w:r>
      <w:r w:rsidR="00441A38">
        <w:rPr>
          <w:szCs w:val="22"/>
        </w:rPr>
        <w:t> </w:t>
      </w:r>
      <w:r w:rsidRPr="003E257A">
        <w:rPr>
          <w:szCs w:val="22"/>
        </w:rPr>
        <w:t>2007, when the Assembly approved a modification of paragraph (1) of Article 9</w:t>
      </w:r>
      <w:r w:rsidRPr="003E257A">
        <w:rPr>
          <w:i/>
          <w:iCs/>
          <w:szCs w:val="22"/>
        </w:rPr>
        <w:t xml:space="preserve">sexies </w:t>
      </w:r>
      <w:r w:rsidRPr="003E257A">
        <w:rPr>
          <w:szCs w:val="22"/>
        </w:rPr>
        <w:t>of the Protocol, repealing the safeguard clause.  In a new subparagraph (a), the principle that the Protocol alone would apply in all relations between States bound by both the Agreement and the Protocol was established.  The Assembly further established, in a new subparagraph (b), that declarations made under Articles 5(2</w:t>
      </w:r>
      <w:proofErr w:type="gramStart"/>
      <w:r w:rsidRPr="003E257A">
        <w:rPr>
          <w:szCs w:val="22"/>
        </w:rPr>
        <w:t>)(</w:t>
      </w:r>
      <w:proofErr w:type="gramEnd"/>
      <w:r w:rsidRPr="003E257A">
        <w:rPr>
          <w:szCs w:val="22"/>
        </w:rPr>
        <w:t>b) and</w:t>
      </w:r>
      <w:r w:rsidR="00441A38">
        <w:rPr>
          <w:szCs w:val="22"/>
        </w:rPr>
        <w:t> </w:t>
      </w:r>
      <w:r w:rsidRPr="003E257A">
        <w:rPr>
          <w:szCs w:val="22"/>
        </w:rPr>
        <w:t>(c), and 8(7) would not apply in these mutual relations.</w:t>
      </w:r>
      <w:r w:rsidR="00441A38">
        <w:rPr>
          <w:szCs w:val="22"/>
        </w:rPr>
        <w:t xml:space="preserve">  </w:t>
      </w:r>
    </w:p>
    <w:p w:rsidR="00784ED8" w:rsidRPr="003E257A" w:rsidRDefault="00441A38" w:rsidP="00784ED8">
      <w:pPr>
        <w:pStyle w:val="ONUME"/>
        <w:rPr>
          <w:szCs w:val="22"/>
        </w:rPr>
      </w:pPr>
      <w:r>
        <w:rPr>
          <w:szCs w:val="22"/>
        </w:rPr>
        <w:t xml:space="preserve">The second </w:t>
      </w:r>
      <w:r w:rsidR="00784ED8" w:rsidRPr="003E257A">
        <w:rPr>
          <w:szCs w:val="22"/>
        </w:rPr>
        <w:t xml:space="preserve">step towards </w:t>
      </w:r>
      <w:proofErr w:type="gramStart"/>
      <w:r w:rsidR="00784ED8" w:rsidRPr="003E257A">
        <w:rPr>
          <w:szCs w:val="22"/>
        </w:rPr>
        <w:t>a</w:t>
      </w:r>
      <w:proofErr w:type="gramEnd"/>
      <w:r w:rsidR="00241BBE">
        <w:rPr>
          <w:szCs w:val="22"/>
        </w:rPr>
        <w:t> </w:t>
      </w:r>
      <w:r w:rsidR="00784ED8" w:rsidRPr="003E257A">
        <w:rPr>
          <w:szCs w:val="22"/>
        </w:rPr>
        <w:t>one</w:t>
      </w:r>
      <w:r>
        <w:rPr>
          <w:szCs w:val="22"/>
        </w:rPr>
        <w:noBreakHyphen/>
      </w:r>
      <w:r w:rsidR="00784ED8" w:rsidRPr="003E257A">
        <w:rPr>
          <w:szCs w:val="22"/>
        </w:rPr>
        <w:t xml:space="preserve">treaty system was taken on October 31, 2015, when Algeria, the single remaining country bound only by the Agreement, became bound by the Protocol as well. </w:t>
      </w:r>
      <w:r>
        <w:rPr>
          <w:szCs w:val="22"/>
        </w:rPr>
        <w:t xml:space="preserve"> </w:t>
      </w:r>
    </w:p>
    <w:p w:rsidR="00784ED8" w:rsidRPr="003E257A" w:rsidRDefault="00784ED8" w:rsidP="00784ED8">
      <w:pPr>
        <w:pStyle w:val="ONUME"/>
        <w:rPr>
          <w:szCs w:val="22"/>
        </w:rPr>
      </w:pPr>
      <w:r w:rsidRPr="003E257A">
        <w:rPr>
          <w:szCs w:val="22"/>
        </w:rPr>
        <w:t>In November</w:t>
      </w:r>
      <w:r w:rsidR="00441A38">
        <w:rPr>
          <w:szCs w:val="22"/>
        </w:rPr>
        <w:t> </w:t>
      </w:r>
      <w:r w:rsidRPr="003E257A">
        <w:rPr>
          <w:szCs w:val="22"/>
        </w:rPr>
        <w:t>2015, the Working Group discussed the</w:t>
      </w:r>
      <w:r w:rsidR="00441A38">
        <w:rPr>
          <w:szCs w:val="22"/>
        </w:rPr>
        <w:t> </w:t>
      </w:r>
      <w:r w:rsidRPr="003E257A">
        <w:rPr>
          <w:szCs w:val="22"/>
        </w:rPr>
        <w:t>third and final step of the plan to preserve the one</w:t>
      </w:r>
      <w:r w:rsidR="00441A38">
        <w:rPr>
          <w:szCs w:val="22"/>
        </w:rPr>
        <w:noBreakHyphen/>
      </w:r>
      <w:r w:rsidRPr="003E257A">
        <w:rPr>
          <w:szCs w:val="22"/>
        </w:rPr>
        <w:t>treaty system</w:t>
      </w:r>
      <w:r w:rsidRPr="003E257A">
        <w:rPr>
          <w:i/>
          <w:szCs w:val="22"/>
        </w:rPr>
        <w:t xml:space="preserve"> status quo</w:t>
      </w:r>
      <w:r w:rsidRPr="003E257A">
        <w:rPr>
          <w:szCs w:val="22"/>
        </w:rPr>
        <w:t>.  The Working Group recommended that the Assembly, at its next session in</w:t>
      </w:r>
      <w:r w:rsidR="00241BBE">
        <w:rPr>
          <w:szCs w:val="22"/>
        </w:rPr>
        <w:t> </w:t>
      </w:r>
      <w:r w:rsidRPr="003E257A">
        <w:rPr>
          <w:szCs w:val="22"/>
        </w:rPr>
        <w:t xml:space="preserve">2016, </w:t>
      </w:r>
      <w:r w:rsidR="00984E32">
        <w:rPr>
          <w:szCs w:val="22"/>
        </w:rPr>
        <w:t>“</w:t>
      </w:r>
      <w:r w:rsidRPr="003E257A">
        <w:rPr>
          <w:szCs w:val="22"/>
        </w:rPr>
        <w:t>take the necessary measures to prevent accessions to the Agreement only, and requested that the International Bureau propose the most appropriate measure to the Assembly”</w:t>
      </w:r>
      <w:r w:rsidR="00984E32">
        <w:rPr>
          <w:szCs w:val="22"/>
        </w:rPr>
        <w:t>.</w:t>
      </w:r>
      <w:r w:rsidRPr="003E257A">
        <w:rPr>
          <w:szCs w:val="22"/>
        </w:rPr>
        <w:t xml:space="preserve"> </w:t>
      </w:r>
      <w:r w:rsidR="00441A38">
        <w:rPr>
          <w:szCs w:val="22"/>
        </w:rPr>
        <w:t xml:space="preserve"> </w:t>
      </w:r>
    </w:p>
    <w:p w:rsidR="00441A38" w:rsidRDefault="00784ED8" w:rsidP="00784ED8">
      <w:pPr>
        <w:pStyle w:val="ONUME"/>
        <w:rPr>
          <w:szCs w:val="22"/>
        </w:rPr>
      </w:pPr>
      <w:r w:rsidRPr="003E257A">
        <w:rPr>
          <w:szCs w:val="22"/>
        </w:rPr>
        <w:t>The Working Group discussed two</w:t>
      </w:r>
      <w:r w:rsidR="00441A38">
        <w:rPr>
          <w:szCs w:val="22"/>
        </w:rPr>
        <w:t> </w:t>
      </w:r>
      <w:r w:rsidRPr="003E257A">
        <w:rPr>
          <w:szCs w:val="22"/>
        </w:rPr>
        <w:t>possible measures to achieve the aforementioned objective, namely</w:t>
      </w:r>
      <w:r w:rsidR="00441A38">
        <w:rPr>
          <w:szCs w:val="22"/>
        </w:rPr>
        <w:t xml:space="preserve"> that</w:t>
      </w:r>
      <w:r w:rsidRPr="003E257A">
        <w:rPr>
          <w:szCs w:val="22"/>
        </w:rPr>
        <w:t xml:space="preserve">: </w:t>
      </w:r>
      <w:r w:rsidR="00441A38">
        <w:rPr>
          <w:szCs w:val="22"/>
        </w:rPr>
        <w:t xml:space="preserve"> </w:t>
      </w:r>
    </w:p>
    <w:p w:rsidR="00441A38" w:rsidRDefault="00784ED8" w:rsidP="003077AB">
      <w:pPr>
        <w:pStyle w:val="ONUME"/>
        <w:numPr>
          <w:ilvl w:val="2"/>
          <w:numId w:val="12"/>
        </w:numPr>
        <w:ind w:left="567" w:firstLine="0"/>
        <w:rPr>
          <w:szCs w:val="22"/>
        </w:rPr>
      </w:pPr>
      <w:r w:rsidRPr="003E257A">
        <w:rPr>
          <w:szCs w:val="22"/>
        </w:rPr>
        <w:t xml:space="preserve">the Assembly instruct the Director General of </w:t>
      </w:r>
      <w:r w:rsidR="00441A38">
        <w:rPr>
          <w:szCs w:val="22"/>
        </w:rPr>
        <w:t>the World Intellectual Property Organization (</w:t>
      </w:r>
      <w:r w:rsidRPr="003E257A">
        <w:rPr>
          <w:szCs w:val="22"/>
        </w:rPr>
        <w:t>WIPO</w:t>
      </w:r>
      <w:r w:rsidR="00441A38">
        <w:rPr>
          <w:szCs w:val="22"/>
        </w:rPr>
        <w:t>)</w:t>
      </w:r>
      <w:r w:rsidRPr="003E257A">
        <w:rPr>
          <w:szCs w:val="22"/>
        </w:rPr>
        <w:t xml:space="preserve"> not to accept any further accession to the Agreement only; </w:t>
      </w:r>
      <w:r w:rsidR="003077AB">
        <w:rPr>
          <w:szCs w:val="22"/>
        </w:rPr>
        <w:t xml:space="preserve"> </w:t>
      </w:r>
      <w:r w:rsidRPr="003E257A">
        <w:rPr>
          <w:szCs w:val="22"/>
        </w:rPr>
        <w:t xml:space="preserve">and, </w:t>
      </w:r>
    </w:p>
    <w:p w:rsidR="00784ED8" w:rsidRPr="00B951DE" w:rsidRDefault="00784ED8" w:rsidP="003077AB">
      <w:pPr>
        <w:pStyle w:val="ONUME"/>
        <w:numPr>
          <w:ilvl w:val="2"/>
          <w:numId w:val="12"/>
        </w:numPr>
        <w:ind w:left="567" w:firstLine="0"/>
        <w:rPr>
          <w:szCs w:val="22"/>
        </w:rPr>
      </w:pPr>
      <w:proofErr w:type="gramStart"/>
      <w:r w:rsidRPr="003E257A">
        <w:rPr>
          <w:szCs w:val="22"/>
        </w:rPr>
        <w:t>the</w:t>
      </w:r>
      <w:proofErr w:type="gramEnd"/>
      <w:r w:rsidRPr="003E257A">
        <w:rPr>
          <w:szCs w:val="22"/>
        </w:rPr>
        <w:t xml:space="preserve"> Assembly decide to “freeze” the application of Article</w:t>
      </w:r>
      <w:r w:rsidR="003077AB">
        <w:rPr>
          <w:szCs w:val="22"/>
        </w:rPr>
        <w:t> </w:t>
      </w:r>
      <w:r w:rsidRPr="003E257A">
        <w:rPr>
          <w:szCs w:val="22"/>
        </w:rPr>
        <w:t>14(1) and</w:t>
      </w:r>
      <w:r w:rsidR="003077AB">
        <w:rPr>
          <w:szCs w:val="22"/>
        </w:rPr>
        <w:t> </w:t>
      </w:r>
      <w:r w:rsidRPr="003E257A">
        <w:rPr>
          <w:szCs w:val="22"/>
        </w:rPr>
        <w:t>(2)(a) of the</w:t>
      </w:r>
      <w:r w:rsidR="00DB053F">
        <w:rPr>
          <w:szCs w:val="22"/>
        </w:rPr>
        <w:t> </w:t>
      </w:r>
      <w:r w:rsidRPr="003E257A">
        <w:rPr>
          <w:szCs w:val="22"/>
        </w:rPr>
        <w:t>Agreement</w:t>
      </w:r>
      <w:r w:rsidRPr="00625656">
        <w:rPr>
          <w:szCs w:val="22"/>
        </w:rPr>
        <w:t xml:space="preserve">. </w:t>
      </w:r>
      <w:r w:rsidR="003077AB">
        <w:rPr>
          <w:szCs w:val="22"/>
        </w:rPr>
        <w:t xml:space="preserve"> </w:t>
      </w:r>
    </w:p>
    <w:p w:rsidR="00984E32" w:rsidRDefault="00984E32">
      <w:pPr>
        <w:rPr>
          <w:rFonts w:eastAsia="Times New Roman"/>
          <w:szCs w:val="22"/>
          <w:lang w:eastAsia="en-US"/>
        </w:rPr>
      </w:pPr>
      <w:r>
        <w:rPr>
          <w:rFonts w:eastAsia="Times New Roman"/>
          <w:szCs w:val="22"/>
          <w:lang w:eastAsia="en-US"/>
        </w:rPr>
        <w:br w:type="page"/>
      </w:r>
    </w:p>
    <w:p w:rsidR="00432FDB" w:rsidRDefault="00784ED8" w:rsidP="00784ED8">
      <w:pPr>
        <w:pStyle w:val="ONUME"/>
        <w:rPr>
          <w:rFonts w:eastAsia="Times New Roman"/>
          <w:szCs w:val="22"/>
          <w:lang w:eastAsia="en-US"/>
        </w:rPr>
      </w:pPr>
      <w:r w:rsidRPr="00625656">
        <w:rPr>
          <w:rFonts w:eastAsia="Times New Roman"/>
          <w:szCs w:val="22"/>
          <w:lang w:eastAsia="en-US"/>
        </w:rPr>
        <w:lastRenderedPageBreak/>
        <w:t>The International Bureau has carefully considered the</w:t>
      </w:r>
      <w:r w:rsidR="003077AB">
        <w:rPr>
          <w:rFonts w:eastAsia="Times New Roman"/>
          <w:szCs w:val="22"/>
          <w:lang w:eastAsia="en-US"/>
        </w:rPr>
        <w:t> </w:t>
      </w:r>
      <w:r w:rsidRPr="00625656">
        <w:rPr>
          <w:rFonts w:eastAsia="Times New Roman"/>
          <w:szCs w:val="22"/>
          <w:lang w:eastAsia="en-US"/>
        </w:rPr>
        <w:t xml:space="preserve">first option, that the Assembly </w:t>
      </w:r>
      <w:proofErr w:type="gramStart"/>
      <w:r w:rsidRPr="00625656">
        <w:rPr>
          <w:rFonts w:eastAsia="Times New Roman"/>
          <w:szCs w:val="22"/>
          <w:lang w:eastAsia="en-US"/>
        </w:rPr>
        <w:t>instruct</w:t>
      </w:r>
      <w:proofErr w:type="gramEnd"/>
      <w:r w:rsidRPr="00625656">
        <w:rPr>
          <w:rFonts w:eastAsia="Times New Roman"/>
          <w:szCs w:val="22"/>
          <w:lang w:eastAsia="en-US"/>
        </w:rPr>
        <w:t xml:space="preserve"> the Director General of WIPO not to accept any further accession to the Agreement only.  The International Bureau considers that, as a matter of </w:t>
      </w:r>
      <w:r w:rsidR="00C2305F">
        <w:rPr>
          <w:rFonts w:eastAsia="Times New Roman"/>
          <w:szCs w:val="22"/>
          <w:lang w:eastAsia="en-US"/>
        </w:rPr>
        <w:t xml:space="preserve">public </w:t>
      </w:r>
      <w:r w:rsidRPr="00625656">
        <w:rPr>
          <w:rFonts w:eastAsia="Times New Roman"/>
          <w:szCs w:val="22"/>
          <w:lang w:eastAsia="en-US"/>
        </w:rPr>
        <w:t>international law, the</w:t>
      </w:r>
      <w:r w:rsidR="00C2305F">
        <w:rPr>
          <w:rFonts w:eastAsia="Times New Roman"/>
          <w:szCs w:val="22"/>
          <w:lang w:eastAsia="en-US"/>
        </w:rPr>
        <w:t> </w:t>
      </w:r>
      <w:r w:rsidRPr="00625656">
        <w:rPr>
          <w:rFonts w:eastAsia="Times New Roman"/>
          <w:szCs w:val="22"/>
          <w:lang w:eastAsia="en-US"/>
        </w:rPr>
        <w:t xml:space="preserve">Director General of WIPO, </w:t>
      </w:r>
      <w:r w:rsidR="00C2305F">
        <w:rPr>
          <w:rFonts w:eastAsia="Times New Roman"/>
          <w:szCs w:val="22"/>
          <w:lang w:eastAsia="en-US"/>
        </w:rPr>
        <w:t xml:space="preserve">in his capacity </w:t>
      </w:r>
      <w:r w:rsidRPr="00625656">
        <w:rPr>
          <w:rFonts w:eastAsia="Times New Roman"/>
          <w:szCs w:val="22"/>
          <w:lang w:eastAsia="en-US"/>
        </w:rPr>
        <w:t xml:space="preserve">as depositary, </w:t>
      </w:r>
      <w:r w:rsidR="00C2305F">
        <w:rPr>
          <w:rFonts w:eastAsia="Times New Roman"/>
          <w:szCs w:val="22"/>
          <w:lang w:eastAsia="en-US"/>
        </w:rPr>
        <w:t>is under an obligation to act impartially</w:t>
      </w:r>
      <w:proofErr w:type="gramStart"/>
      <w:r w:rsidR="00C2305F">
        <w:rPr>
          <w:rFonts w:eastAsia="Times New Roman"/>
          <w:szCs w:val="22"/>
          <w:lang w:eastAsia="en-US"/>
        </w:rPr>
        <w:t>;  accordingly</w:t>
      </w:r>
      <w:proofErr w:type="gramEnd"/>
      <w:r w:rsidR="00C2305F">
        <w:rPr>
          <w:rFonts w:eastAsia="Times New Roman"/>
          <w:szCs w:val="22"/>
          <w:lang w:eastAsia="en-US"/>
        </w:rPr>
        <w:t>, this would normally</w:t>
      </w:r>
      <w:r w:rsidRPr="00625656">
        <w:rPr>
          <w:rFonts w:eastAsia="Times New Roman"/>
          <w:szCs w:val="22"/>
          <w:lang w:eastAsia="en-US"/>
        </w:rPr>
        <w:t xml:space="preserve"> not include </w:t>
      </w:r>
      <w:r w:rsidR="00432FDB">
        <w:rPr>
          <w:rFonts w:eastAsia="Times New Roman"/>
          <w:szCs w:val="22"/>
          <w:lang w:eastAsia="en-US"/>
        </w:rPr>
        <w:t>the refusal of the deposit of instrument</w:t>
      </w:r>
      <w:r w:rsidR="000428A9">
        <w:rPr>
          <w:rFonts w:eastAsia="Times New Roman"/>
          <w:szCs w:val="22"/>
          <w:lang w:eastAsia="en-US"/>
        </w:rPr>
        <w:t>s</w:t>
      </w:r>
      <w:r w:rsidR="00432FDB">
        <w:rPr>
          <w:rFonts w:eastAsia="Times New Roman"/>
          <w:szCs w:val="22"/>
          <w:lang w:eastAsia="en-US"/>
        </w:rPr>
        <w:t xml:space="preserve"> of accession,</w:t>
      </w:r>
      <w:r w:rsidRPr="00625656">
        <w:rPr>
          <w:rFonts w:eastAsia="Times New Roman"/>
          <w:szCs w:val="22"/>
          <w:lang w:eastAsia="en-US"/>
        </w:rPr>
        <w:t xml:space="preserve"> and, consequently, the International Bureau would </w:t>
      </w:r>
      <w:r w:rsidR="00984E32">
        <w:rPr>
          <w:rFonts w:eastAsia="Times New Roman"/>
          <w:szCs w:val="22"/>
          <w:lang w:eastAsia="en-US"/>
        </w:rPr>
        <w:t xml:space="preserve">not deem it advisable </w:t>
      </w:r>
      <w:r w:rsidRPr="00625656">
        <w:rPr>
          <w:rFonts w:eastAsia="Times New Roman"/>
          <w:szCs w:val="22"/>
          <w:lang w:eastAsia="en-US"/>
        </w:rPr>
        <w:t xml:space="preserve">to present such a proposal to the Assembly.  </w:t>
      </w:r>
    </w:p>
    <w:p w:rsidR="00784ED8" w:rsidRPr="003077AB" w:rsidRDefault="00784ED8" w:rsidP="003077AB">
      <w:pPr>
        <w:pStyle w:val="ONUME"/>
        <w:rPr>
          <w:szCs w:val="22"/>
        </w:rPr>
      </w:pPr>
      <w:r w:rsidRPr="00625656">
        <w:rPr>
          <w:rFonts w:eastAsia="Times New Roman"/>
          <w:szCs w:val="22"/>
          <w:lang w:eastAsia="en-US"/>
        </w:rPr>
        <w:t>The</w:t>
      </w:r>
      <w:r w:rsidR="003077AB">
        <w:rPr>
          <w:rFonts w:eastAsia="Times New Roman"/>
          <w:szCs w:val="22"/>
          <w:lang w:eastAsia="en-US"/>
        </w:rPr>
        <w:t> </w:t>
      </w:r>
      <w:r w:rsidRPr="00625656">
        <w:rPr>
          <w:rFonts w:eastAsia="Times New Roman"/>
          <w:szCs w:val="22"/>
          <w:lang w:eastAsia="en-US"/>
        </w:rPr>
        <w:t xml:space="preserve">second option, </w:t>
      </w:r>
      <w:r w:rsidRPr="003E257A">
        <w:rPr>
          <w:szCs w:val="22"/>
        </w:rPr>
        <w:t xml:space="preserve">that the Assembly decide to </w:t>
      </w:r>
      <w:r w:rsidR="00DB053F">
        <w:rPr>
          <w:szCs w:val="22"/>
        </w:rPr>
        <w:t>freeze</w:t>
      </w:r>
      <w:r w:rsidRPr="003E257A">
        <w:rPr>
          <w:szCs w:val="22"/>
        </w:rPr>
        <w:t xml:space="preserve"> the application of Article</w:t>
      </w:r>
      <w:r w:rsidR="003077AB">
        <w:rPr>
          <w:szCs w:val="22"/>
        </w:rPr>
        <w:t> </w:t>
      </w:r>
      <w:r w:rsidRPr="003E257A">
        <w:rPr>
          <w:szCs w:val="22"/>
        </w:rPr>
        <w:t>14(1) and</w:t>
      </w:r>
      <w:r w:rsidR="003077AB">
        <w:rPr>
          <w:szCs w:val="22"/>
        </w:rPr>
        <w:t> </w:t>
      </w:r>
      <w:r w:rsidRPr="003E257A">
        <w:rPr>
          <w:szCs w:val="22"/>
        </w:rPr>
        <w:t xml:space="preserve">(2)(a) of the Agreement, was supported by a number of delegations during the discussion of the Working Group, is </w:t>
      </w:r>
      <w:r w:rsidR="000428A9">
        <w:rPr>
          <w:szCs w:val="22"/>
        </w:rPr>
        <w:t xml:space="preserve">consistent </w:t>
      </w:r>
      <w:r w:rsidRPr="003E257A">
        <w:rPr>
          <w:szCs w:val="22"/>
        </w:rPr>
        <w:t xml:space="preserve">with </w:t>
      </w:r>
      <w:r w:rsidR="00432FDB">
        <w:rPr>
          <w:szCs w:val="22"/>
        </w:rPr>
        <w:t xml:space="preserve">public </w:t>
      </w:r>
      <w:r w:rsidRPr="003E257A">
        <w:rPr>
          <w:szCs w:val="22"/>
        </w:rPr>
        <w:t>international law and has numerous precedents at</w:t>
      </w:r>
      <w:r w:rsidR="003077AB">
        <w:rPr>
          <w:szCs w:val="22"/>
        </w:rPr>
        <w:t> </w:t>
      </w:r>
      <w:r w:rsidRPr="003E257A">
        <w:rPr>
          <w:szCs w:val="22"/>
        </w:rPr>
        <w:t>WIPO.  Moreover, this option was clearly expressed in the above</w:t>
      </w:r>
      <w:r w:rsidR="003077AB">
        <w:rPr>
          <w:szCs w:val="22"/>
        </w:rPr>
        <w:noBreakHyphen/>
      </w:r>
      <w:r w:rsidRPr="003E257A">
        <w:rPr>
          <w:szCs w:val="22"/>
        </w:rPr>
        <w:t>mentioned plan set</w:t>
      </w:r>
      <w:r w:rsidR="00BF1142">
        <w:rPr>
          <w:szCs w:val="22"/>
        </w:rPr>
        <w:t xml:space="preserve"> </w:t>
      </w:r>
      <w:r w:rsidRPr="003E257A">
        <w:rPr>
          <w:szCs w:val="22"/>
        </w:rPr>
        <w:t xml:space="preserve">out by the Working Group and endorsed by the Assembly.  Under this option, </w:t>
      </w:r>
      <w:r w:rsidRPr="00625656">
        <w:rPr>
          <w:rFonts w:eastAsia="Times New Roman"/>
          <w:szCs w:val="22"/>
          <w:lang w:eastAsia="en-US"/>
        </w:rPr>
        <w:t xml:space="preserve">the Assembly would take the decision to </w:t>
      </w:r>
      <w:r w:rsidR="00DB053F">
        <w:rPr>
          <w:rFonts w:eastAsia="Times New Roman"/>
          <w:szCs w:val="22"/>
          <w:lang w:eastAsia="en-US"/>
        </w:rPr>
        <w:t xml:space="preserve">freeze </w:t>
      </w:r>
      <w:r w:rsidRPr="00625656">
        <w:rPr>
          <w:rFonts w:eastAsia="Times New Roman"/>
          <w:szCs w:val="22"/>
          <w:lang w:eastAsia="en-US"/>
        </w:rPr>
        <w:t>the application of Article</w:t>
      </w:r>
      <w:r w:rsidR="003077AB">
        <w:rPr>
          <w:rFonts w:eastAsia="Times New Roman"/>
          <w:szCs w:val="22"/>
          <w:lang w:eastAsia="en-US"/>
        </w:rPr>
        <w:t> 14(1) and </w:t>
      </w:r>
      <w:r w:rsidRPr="00625656">
        <w:rPr>
          <w:rFonts w:eastAsia="Times New Roman"/>
          <w:szCs w:val="22"/>
          <w:lang w:eastAsia="en-US"/>
        </w:rPr>
        <w:t xml:space="preserve">(2)(a), as from the date of such decision, with the following </w:t>
      </w:r>
      <w:r w:rsidRPr="003E257A">
        <w:rPr>
          <w:szCs w:val="22"/>
        </w:rPr>
        <w:t>effects:</w:t>
      </w:r>
      <w:r w:rsidR="003077AB">
        <w:rPr>
          <w:szCs w:val="22"/>
        </w:rPr>
        <w:t xml:space="preserve">  </w:t>
      </w:r>
    </w:p>
    <w:p w:rsidR="00784ED8" w:rsidRPr="00625656" w:rsidRDefault="00784ED8" w:rsidP="003077AB">
      <w:pPr>
        <w:pStyle w:val="ONUME"/>
        <w:numPr>
          <w:ilvl w:val="0"/>
          <w:numId w:val="13"/>
        </w:numPr>
        <w:ind w:left="567"/>
        <w:rPr>
          <w:szCs w:val="22"/>
        </w:rPr>
      </w:pPr>
      <w:r w:rsidRPr="00625656">
        <w:rPr>
          <w:szCs w:val="22"/>
        </w:rPr>
        <w:t>new Contracting Parties could not ratify or accede to the Agreement alone but</w:t>
      </w:r>
      <w:r w:rsidRPr="003E257A">
        <w:rPr>
          <w:szCs w:val="22"/>
        </w:rPr>
        <w:t xml:space="preserve"> </w:t>
      </w:r>
      <w:r w:rsidRPr="00625656">
        <w:rPr>
          <w:szCs w:val="22"/>
        </w:rPr>
        <w:t xml:space="preserve">could </w:t>
      </w:r>
      <w:r w:rsidRPr="003E257A">
        <w:rPr>
          <w:szCs w:val="22"/>
        </w:rPr>
        <w:t xml:space="preserve">ratify or accede simultaneously to the Agreement and </w:t>
      </w:r>
      <w:r w:rsidR="003077AB">
        <w:rPr>
          <w:szCs w:val="22"/>
        </w:rPr>
        <w:t xml:space="preserve">the </w:t>
      </w:r>
      <w:r w:rsidRPr="003E257A">
        <w:rPr>
          <w:szCs w:val="22"/>
        </w:rPr>
        <w:t xml:space="preserve">Protocol; </w:t>
      </w:r>
      <w:r w:rsidR="003077AB">
        <w:rPr>
          <w:szCs w:val="22"/>
        </w:rPr>
        <w:t xml:space="preserve"> </w:t>
      </w:r>
    </w:p>
    <w:p w:rsidR="00784ED8" w:rsidRPr="00625656" w:rsidRDefault="003077AB" w:rsidP="003077AB">
      <w:pPr>
        <w:pStyle w:val="ONUME"/>
        <w:numPr>
          <w:ilvl w:val="0"/>
          <w:numId w:val="13"/>
        </w:numPr>
        <w:ind w:left="567"/>
        <w:rPr>
          <w:szCs w:val="22"/>
        </w:rPr>
      </w:pPr>
      <w:r>
        <w:rPr>
          <w:szCs w:val="22"/>
        </w:rPr>
        <w:t>c</w:t>
      </w:r>
      <w:r w:rsidR="00784ED8" w:rsidRPr="003E257A">
        <w:rPr>
          <w:szCs w:val="22"/>
        </w:rPr>
        <w:t xml:space="preserve">ountries </w:t>
      </w:r>
      <w:r w:rsidR="00784ED8" w:rsidRPr="00625656">
        <w:rPr>
          <w:szCs w:val="22"/>
        </w:rPr>
        <w:t xml:space="preserve">that </w:t>
      </w:r>
      <w:r w:rsidR="00784ED8" w:rsidRPr="003E257A">
        <w:rPr>
          <w:szCs w:val="22"/>
        </w:rPr>
        <w:t xml:space="preserve">are Contracting Parties to the Protocol </w:t>
      </w:r>
      <w:r w:rsidR="00784ED8" w:rsidRPr="00625656">
        <w:rPr>
          <w:szCs w:val="22"/>
        </w:rPr>
        <w:t>could accede</w:t>
      </w:r>
      <w:r>
        <w:rPr>
          <w:szCs w:val="22"/>
        </w:rPr>
        <w:t xml:space="preserve"> to the Agreement;  </w:t>
      </w:r>
    </w:p>
    <w:p w:rsidR="00784ED8" w:rsidRPr="00625656" w:rsidRDefault="00784ED8" w:rsidP="003077AB">
      <w:pPr>
        <w:pStyle w:val="ONUME"/>
        <w:numPr>
          <w:ilvl w:val="0"/>
          <w:numId w:val="13"/>
        </w:numPr>
        <w:ind w:left="567"/>
        <w:rPr>
          <w:szCs w:val="22"/>
        </w:rPr>
      </w:pPr>
      <w:r w:rsidRPr="00625656">
        <w:rPr>
          <w:szCs w:val="22"/>
        </w:rPr>
        <w:t xml:space="preserve">international applications could no longer be filed under the Agreement; </w:t>
      </w:r>
      <w:r w:rsidR="003077AB">
        <w:rPr>
          <w:szCs w:val="22"/>
        </w:rPr>
        <w:t xml:space="preserve"> </w:t>
      </w:r>
    </w:p>
    <w:p w:rsidR="00784ED8" w:rsidRPr="00625656" w:rsidRDefault="00784ED8" w:rsidP="003077AB">
      <w:pPr>
        <w:pStyle w:val="ONUME"/>
        <w:numPr>
          <w:ilvl w:val="0"/>
          <w:numId w:val="13"/>
        </w:numPr>
        <w:ind w:left="567"/>
        <w:rPr>
          <w:szCs w:val="22"/>
        </w:rPr>
      </w:pPr>
      <w:r w:rsidRPr="003E257A">
        <w:rPr>
          <w:szCs w:val="22"/>
        </w:rPr>
        <w:t xml:space="preserve">no operations under the Agreement would be conducted, including the presentation of subsequent designations; </w:t>
      </w:r>
      <w:r w:rsidR="003077AB">
        <w:rPr>
          <w:szCs w:val="22"/>
        </w:rPr>
        <w:t xml:space="preserve"> </w:t>
      </w:r>
    </w:p>
    <w:p w:rsidR="00784ED8" w:rsidRPr="00625656" w:rsidRDefault="003077AB" w:rsidP="003077AB">
      <w:pPr>
        <w:pStyle w:val="ONUME"/>
        <w:numPr>
          <w:ilvl w:val="0"/>
          <w:numId w:val="13"/>
        </w:numPr>
        <w:ind w:left="567"/>
        <w:rPr>
          <w:szCs w:val="22"/>
        </w:rPr>
      </w:pPr>
      <w:r>
        <w:rPr>
          <w:szCs w:val="22"/>
        </w:rPr>
        <w:t>Article </w:t>
      </w:r>
      <w:r w:rsidR="00784ED8" w:rsidRPr="003E257A">
        <w:rPr>
          <w:szCs w:val="22"/>
        </w:rPr>
        <w:t>9</w:t>
      </w:r>
      <w:r w:rsidR="00784ED8" w:rsidRPr="003E257A">
        <w:rPr>
          <w:i/>
          <w:iCs/>
          <w:szCs w:val="22"/>
        </w:rPr>
        <w:t>sexies</w:t>
      </w:r>
      <w:r w:rsidR="00784ED8" w:rsidRPr="003E257A">
        <w:rPr>
          <w:szCs w:val="22"/>
        </w:rPr>
        <w:t>(1)(b)</w:t>
      </w:r>
      <w:r w:rsidR="00784ED8" w:rsidRPr="00625656">
        <w:rPr>
          <w:szCs w:val="22"/>
        </w:rPr>
        <w:t xml:space="preserve"> of the Protocol</w:t>
      </w:r>
      <w:r w:rsidR="00784ED8" w:rsidRPr="003E257A">
        <w:rPr>
          <w:szCs w:val="22"/>
        </w:rPr>
        <w:t xml:space="preserve"> would still apply</w:t>
      </w:r>
      <w:r w:rsidR="00784ED8" w:rsidRPr="00625656">
        <w:rPr>
          <w:szCs w:val="22"/>
        </w:rPr>
        <w:t xml:space="preserve"> in the mutual relations between Contracting Parties bound by both the Agreement and the Protocol</w:t>
      </w:r>
      <w:r w:rsidR="00784ED8" w:rsidRPr="003E257A">
        <w:rPr>
          <w:szCs w:val="22"/>
        </w:rPr>
        <w:t xml:space="preserve">; </w:t>
      </w:r>
      <w:r>
        <w:rPr>
          <w:szCs w:val="22"/>
        </w:rPr>
        <w:t xml:space="preserve"> </w:t>
      </w:r>
      <w:r w:rsidR="00784ED8" w:rsidRPr="003E257A">
        <w:rPr>
          <w:szCs w:val="22"/>
        </w:rPr>
        <w:t>and</w:t>
      </w:r>
      <w:r w:rsidR="00784ED8" w:rsidRPr="00625656">
        <w:rPr>
          <w:szCs w:val="22"/>
        </w:rPr>
        <w:t>,</w:t>
      </w:r>
    </w:p>
    <w:p w:rsidR="00784ED8" w:rsidRPr="00625656" w:rsidRDefault="00784ED8" w:rsidP="003077AB">
      <w:pPr>
        <w:pStyle w:val="ONUME"/>
        <w:numPr>
          <w:ilvl w:val="0"/>
          <w:numId w:val="13"/>
        </w:numPr>
        <w:ind w:left="567"/>
        <w:rPr>
          <w:szCs w:val="22"/>
        </w:rPr>
      </w:pPr>
      <w:proofErr w:type="gramStart"/>
      <w:r w:rsidRPr="00625656">
        <w:rPr>
          <w:szCs w:val="22"/>
        </w:rPr>
        <w:t>the</w:t>
      </w:r>
      <w:proofErr w:type="gramEnd"/>
      <w:r w:rsidRPr="00625656">
        <w:rPr>
          <w:szCs w:val="22"/>
        </w:rPr>
        <w:t xml:space="preserve"> Assembly could still deal with all matters concerning the implementation of the Agreement and could revert, at any time thereafter, </w:t>
      </w:r>
      <w:r w:rsidR="00432FDB">
        <w:rPr>
          <w:szCs w:val="22"/>
        </w:rPr>
        <w:t xml:space="preserve">to </w:t>
      </w:r>
      <w:r w:rsidRPr="00625656">
        <w:rPr>
          <w:szCs w:val="22"/>
        </w:rPr>
        <w:t xml:space="preserve">its decision to </w:t>
      </w:r>
      <w:r w:rsidR="00DB053F">
        <w:rPr>
          <w:szCs w:val="22"/>
        </w:rPr>
        <w:t>freeze</w:t>
      </w:r>
      <w:r w:rsidRPr="00625656" w:rsidDel="003142B1">
        <w:rPr>
          <w:szCs w:val="22"/>
        </w:rPr>
        <w:t xml:space="preserve"> </w:t>
      </w:r>
      <w:r w:rsidR="003077AB">
        <w:rPr>
          <w:szCs w:val="22"/>
        </w:rPr>
        <w:t>the application of Article </w:t>
      </w:r>
      <w:r w:rsidRPr="003E257A">
        <w:rPr>
          <w:szCs w:val="22"/>
        </w:rPr>
        <w:t>14(1) and (2)(a) of the Agreement.</w:t>
      </w:r>
      <w:r w:rsidR="001A66BD">
        <w:rPr>
          <w:szCs w:val="22"/>
        </w:rPr>
        <w:t xml:space="preserve">  </w:t>
      </w:r>
    </w:p>
    <w:p w:rsidR="00784ED8" w:rsidRPr="00625656" w:rsidRDefault="00784ED8" w:rsidP="00784ED8">
      <w:pPr>
        <w:pStyle w:val="ONUME"/>
        <w:rPr>
          <w:szCs w:val="22"/>
        </w:rPr>
      </w:pPr>
      <w:r w:rsidRPr="00625656">
        <w:rPr>
          <w:szCs w:val="22"/>
        </w:rPr>
        <w:t>The Working Group requested the International Bureau to propose the most appropriate measure to the Assembly.  After carefully considering the two</w:t>
      </w:r>
      <w:r w:rsidR="001A66BD">
        <w:rPr>
          <w:szCs w:val="22"/>
        </w:rPr>
        <w:t> </w:t>
      </w:r>
      <w:r w:rsidRPr="00625656">
        <w:rPr>
          <w:szCs w:val="22"/>
        </w:rPr>
        <w:t xml:space="preserve">available options, the International Bureau proposes that the Assembly take the decision to </w:t>
      </w:r>
      <w:r w:rsidR="00DB053F">
        <w:rPr>
          <w:szCs w:val="22"/>
        </w:rPr>
        <w:t>freeze</w:t>
      </w:r>
      <w:r w:rsidRPr="00625656">
        <w:rPr>
          <w:szCs w:val="22"/>
        </w:rPr>
        <w:t xml:space="preserve"> the applicat</w:t>
      </w:r>
      <w:r w:rsidR="001A66BD">
        <w:rPr>
          <w:szCs w:val="22"/>
        </w:rPr>
        <w:t>ion of Article </w:t>
      </w:r>
      <w:r w:rsidRPr="00625656">
        <w:rPr>
          <w:szCs w:val="22"/>
        </w:rPr>
        <w:t>14(1) and</w:t>
      </w:r>
      <w:r w:rsidR="001A66BD">
        <w:rPr>
          <w:szCs w:val="22"/>
        </w:rPr>
        <w:t> </w:t>
      </w:r>
      <w:r w:rsidRPr="00625656">
        <w:rPr>
          <w:szCs w:val="22"/>
        </w:rPr>
        <w:t>(2)(a) of the Agreement, as the most effective measure to ensure the consolidation of the Madrid System as a</w:t>
      </w:r>
      <w:r w:rsidR="001A66BD">
        <w:rPr>
          <w:szCs w:val="22"/>
        </w:rPr>
        <w:t xml:space="preserve"> one</w:t>
      </w:r>
      <w:r w:rsidR="001A66BD">
        <w:rPr>
          <w:szCs w:val="22"/>
        </w:rPr>
        <w:noBreakHyphen/>
      </w:r>
      <w:r w:rsidRPr="00625656">
        <w:rPr>
          <w:szCs w:val="22"/>
        </w:rPr>
        <w:t>treaty system.</w:t>
      </w:r>
      <w:r w:rsidR="001A66BD">
        <w:rPr>
          <w:szCs w:val="22"/>
        </w:rPr>
        <w:t xml:space="preserve">  </w:t>
      </w:r>
    </w:p>
    <w:p w:rsidR="00784ED8" w:rsidRPr="001A66BD" w:rsidRDefault="001A66BD" w:rsidP="001A66BD">
      <w:pPr>
        <w:pStyle w:val="ONUME"/>
        <w:ind w:left="5533"/>
        <w:rPr>
          <w:i/>
        </w:rPr>
      </w:pPr>
      <w:r w:rsidRPr="001A66BD">
        <w:rPr>
          <w:i/>
        </w:rPr>
        <w:t xml:space="preserve">The Assembly is invited to:  </w:t>
      </w:r>
    </w:p>
    <w:p w:rsidR="00784ED8" w:rsidRPr="001A66BD" w:rsidRDefault="00136D90" w:rsidP="001A66BD">
      <w:pPr>
        <w:pStyle w:val="ONUME"/>
        <w:numPr>
          <w:ilvl w:val="0"/>
          <w:numId w:val="14"/>
        </w:numPr>
        <w:ind w:left="6237"/>
        <w:rPr>
          <w:i/>
        </w:rPr>
      </w:pPr>
      <w:r>
        <w:rPr>
          <w:i/>
        </w:rPr>
        <w:t>c</w:t>
      </w:r>
      <w:r w:rsidR="00784ED8" w:rsidRPr="001A66BD">
        <w:rPr>
          <w:i/>
        </w:rPr>
        <w:t>onsider the proposals made in th</w:t>
      </w:r>
      <w:r w:rsidR="001A66BD" w:rsidRPr="001A66BD">
        <w:rPr>
          <w:i/>
        </w:rPr>
        <w:t>e</w:t>
      </w:r>
      <w:r>
        <w:rPr>
          <w:i/>
        </w:rPr>
        <w:t xml:space="preserve"> “</w:t>
      </w:r>
      <w:r w:rsidR="00984E32">
        <w:rPr>
          <w:i/>
        </w:rPr>
        <w:t>Proposal Regarding Accessions to the Madrid Agreement Only” (document MM/A/50/3)</w:t>
      </w:r>
      <w:r w:rsidR="001A66BD" w:rsidRPr="001A66BD">
        <w:rPr>
          <w:i/>
        </w:rPr>
        <w:t xml:space="preserve"> </w:t>
      </w:r>
      <w:r w:rsidR="00784ED8" w:rsidRPr="001A66BD">
        <w:rPr>
          <w:i/>
        </w:rPr>
        <w:t>and,</w:t>
      </w:r>
    </w:p>
    <w:p w:rsidR="00784ED8" w:rsidRDefault="00784ED8" w:rsidP="001A66BD">
      <w:pPr>
        <w:pStyle w:val="ONUME"/>
        <w:numPr>
          <w:ilvl w:val="0"/>
          <w:numId w:val="14"/>
        </w:numPr>
        <w:ind w:left="6237"/>
        <w:rPr>
          <w:i/>
        </w:rPr>
      </w:pPr>
      <w:r w:rsidRPr="001A66BD">
        <w:rPr>
          <w:i/>
        </w:rPr>
        <w:t xml:space="preserve">take the decision to </w:t>
      </w:r>
      <w:r w:rsidR="00DB053F">
        <w:rPr>
          <w:i/>
        </w:rPr>
        <w:t>freeze</w:t>
      </w:r>
      <w:r w:rsidR="001A66BD" w:rsidRPr="001A66BD">
        <w:rPr>
          <w:i/>
        </w:rPr>
        <w:t xml:space="preserve"> the application of Article </w:t>
      </w:r>
      <w:r w:rsidRPr="001A66BD">
        <w:rPr>
          <w:i/>
        </w:rPr>
        <w:t>14(1) and</w:t>
      </w:r>
      <w:r w:rsidR="001A66BD" w:rsidRPr="001A66BD">
        <w:rPr>
          <w:i/>
        </w:rPr>
        <w:t> </w:t>
      </w:r>
      <w:r w:rsidRPr="001A66BD">
        <w:rPr>
          <w:i/>
        </w:rPr>
        <w:t xml:space="preserve">(2)(a) of the </w:t>
      </w:r>
      <w:bookmarkStart w:id="5" w:name="_GoBack"/>
      <w:bookmarkEnd w:id="5"/>
      <w:r w:rsidR="00984E32">
        <w:rPr>
          <w:i/>
        </w:rPr>
        <w:t xml:space="preserve">Madrid </w:t>
      </w:r>
      <w:r w:rsidRPr="001A66BD">
        <w:rPr>
          <w:i/>
        </w:rPr>
        <w:t>Agreement</w:t>
      </w:r>
      <w:r w:rsidR="00984E32">
        <w:rPr>
          <w:i/>
        </w:rPr>
        <w:t xml:space="preserve"> Concerning the International Registration of Marks</w:t>
      </w:r>
      <w:r w:rsidRPr="001A66BD">
        <w:rPr>
          <w:i/>
        </w:rPr>
        <w:t>, with the effects specified in paragraph</w:t>
      </w:r>
      <w:r w:rsidR="001A66BD">
        <w:rPr>
          <w:i/>
        </w:rPr>
        <w:t> </w:t>
      </w:r>
      <w:r w:rsidRPr="001A66BD">
        <w:rPr>
          <w:i/>
        </w:rPr>
        <w:t>10</w:t>
      </w:r>
      <w:r w:rsidR="001A66BD" w:rsidRPr="001A66BD">
        <w:rPr>
          <w:i/>
        </w:rPr>
        <w:t xml:space="preserve"> </w:t>
      </w:r>
      <w:r w:rsidR="00984E32">
        <w:rPr>
          <w:i/>
        </w:rPr>
        <w:t xml:space="preserve">of the </w:t>
      </w:r>
      <w:r w:rsidR="001A66BD" w:rsidRPr="001A66BD">
        <w:rPr>
          <w:i/>
        </w:rPr>
        <w:t>above</w:t>
      </w:r>
      <w:r w:rsidR="00984E32">
        <w:rPr>
          <w:i/>
        </w:rPr>
        <w:t xml:space="preserve"> referred document</w:t>
      </w:r>
      <w:r w:rsidR="00432FDB">
        <w:rPr>
          <w:i/>
        </w:rPr>
        <w:t>, as from the date of such decision</w:t>
      </w:r>
      <w:r w:rsidRPr="001A66BD">
        <w:rPr>
          <w:i/>
        </w:rPr>
        <w:t>.</w:t>
      </w:r>
      <w:r w:rsidR="001A66BD" w:rsidRPr="001A66BD">
        <w:rPr>
          <w:i/>
        </w:rPr>
        <w:t xml:space="preserve">  </w:t>
      </w:r>
    </w:p>
    <w:p w:rsidR="001A66BD" w:rsidRPr="001A66BD" w:rsidRDefault="001A66BD" w:rsidP="001A66BD">
      <w:pPr>
        <w:ind w:left="5533"/>
      </w:pPr>
    </w:p>
    <w:p w:rsidR="002928D3" w:rsidRPr="001A66BD" w:rsidRDefault="0071715C" w:rsidP="001A66BD">
      <w:pPr>
        <w:ind w:left="5533"/>
      </w:pPr>
      <w:r w:rsidRPr="001A66BD">
        <w:t>[End of document]</w:t>
      </w:r>
    </w:p>
    <w:sectPr w:rsidR="002928D3" w:rsidRPr="001A66BD" w:rsidSect="0071715C">
      <w:headerReference w:type="default" r:id="rId10"/>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4F" w:rsidRDefault="00DF534F">
      <w:r>
        <w:separator/>
      </w:r>
    </w:p>
  </w:endnote>
  <w:endnote w:type="continuationSeparator" w:id="0">
    <w:p w:rsidR="00DF534F" w:rsidRDefault="00DF534F" w:rsidP="003B38C1">
      <w:r>
        <w:separator/>
      </w:r>
    </w:p>
    <w:p w:rsidR="00DF534F" w:rsidRPr="003B38C1" w:rsidRDefault="00DF534F" w:rsidP="003B38C1">
      <w:pPr>
        <w:spacing w:after="60"/>
        <w:rPr>
          <w:sz w:val="17"/>
        </w:rPr>
      </w:pPr>
      <w:r>
        <w:rPr>
          <w:sz w:val="17"/>
        </w:rPr>
        <w:t>[Endnote continued from previous page]</w:t>
      </w:r>
    </w:p>
  </w:endnote>
  <w:endnote w:type="continuationNotice" w:id="1">
    <w:p w:rsidR="00DF534F" w:rsidRPr="003B38C1" w:rsidRDefault="00DF53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4F" w:rsidRDefault="00DF534F">
      <w:r>
        <w:separator/>
      </w:r>
    </w:p>
  </w:footnote>
  <w:footnote w:type="continuationSeparator" w:id="0">
    <w:p w:rsidR="00DF534F" w:rsidRDefault="00DF534F" w:rsidP="008B60B2">
      <w:r>
        <w:separator/>
      </w:r>
    </w:p>
    <w:p w:rsidR="00DF534F" w:rsidRPr="00ED77FB" w:rsidRDefault="00DF534F" w:rsidP="008B60B2">
      <w:pPr>
        <w:spacing w:after="60"/>
        <w:rPr>
          <w:sz w:val="17"/>
          <w:szCs w:val="17"/>
        </w:rPr>
      </w:pPr>
      <w:r w:rsidRPr="00ED77FB">
        <w:rPr>
          <w:sz w:val="17"/>
          <w:szCs w:val="17"/>
        </w:rPr>
        <w:t>[Footnote continued from previous page]</w:t>
      </w:r>
    </w:p>
  </w:footnote>
  <w:footnote w:type="continuationNotice" w:id="1">
    <w:p w:rsidR="00DF534F" w:rsidRPr="00ED77FB" w:rsidRDefault="00DF534F" w:rsidP="008B60B2">
      <w:pPr>
        <w:spacing w:before="60"/>
        <w:jc w:val="right"/>
        <w:rPr>
          <w:sz w:val="17"/>
          <w:szCs w:val="17"/>
        </w:rPr>
      </w:pPr>
      <w:r w:rsidRPr="00ED77FB">
        <w:rPr>
          <w:sz w:val="17"/>
          <w:szCs w:val="17"/>
        </w:rPr>
        <w:t>[Footnote continued on next page]</w:t>
      </w:r>
    </w:p>
  </w:footnote>
  <w:footnote w:id="2">
    <w:p w:rsidR="00984E32" w:rsidRPr="005517AE" w:rsidRDefault="00984E32" w:rsidP="00984E32">
      <w:pPr>
        <w:pStyle w:val="FootnoteText"/>
      </w:pPr>
      <w:r>
        <w:rPr>
          <w:rStyle w:val="FootnoteReference"/>
        </w:rPr>
        <w:footnoteRef/>
      </w:r>
      <w:r>
        <w:t xml:space="preserve"> </w:t>
      </w:r>
      <w:r>
        <w:tab/>
        <w:t>See document MM/LD/WG/13/7</w:t>
      </w:r>
      <w:r w:rsidRPr="005517AE">
        <w:t xml:space="preserve"> “</w:t>
      </w:r>
      <w:r w:rsidRPr="005517AE">
        <w:rPr>
          <w:bCs/>
        </w:rPr>
        <w:t>Review of the Proposal to Freeze the Application of Article</w:t>
      </w:r>
      <w:r>
        <w:rPr>
          <w:bCs/>
        </w:rPr>
        <w:t> </w:t>
      </w:r>
      <w:r w:rsidRPr="005517AE">
        <w:rPr>
          <w:bCs/>
        </w:rPr>
        <w:t>14(1) and</w:t>
      </w:r>
      <w:r>
        <w:rPr>
          <w:bCs/>
        </w:rPr>
        <w:t> </w:t>
      </w:r>
      <w:r w:rsidRPr="005517AE">
        <w:rPr>
          <w:bCs/>
        </w:rPr>
        <w:t>(2</w:t>
      </w:r>
      <w:proofErr w:type="gramStart"/>
      <w:r w:rsidRPr="005517AE">
        <w:rPr>
          <w:bCs/>
        </w:rPr>
        <w:t>)(</w:t>
      </w:r>
      <w:proofErr w:type="gramEnd"/>
      <w:r w:rsidRPr="005517AE">
        <w:rPr>
          <w:bCs/>
        </w:rPr>
        <w:t xml:space="preserve">a) of the Madrid Agreement Concerning the International Registration of Marks” </w:t>
      </w:r>
      <w:r>
        <w:rPr>
          <w:bCs/>
        </w:rPr>
        <w:t>(</w:t>
      </w:r>
      <w:r w:rsidRPr="005517AE">
        <w:rPr>
          <w:bCs/>
        </w:rPr>
        <w:t>http://www.wipo.int/meetings/en/doc_details.jsp?doc_id=316237</w:t>
      </w:r>
      <w:r>
        <w:rPr>
          <w:bCs/>
        </w:rPr>
        <w:t xml:space="preserve">).  </w:t>
      </w:r>
    </w:p>
  </w:footnote>
  <w:footnote w:id="3">
    <w:p w:rsidR="00984E32" w:rsidRPr="000D26FD" w:rsidRDefault="00984E32" w:rsidP="00984E32">
      <w:pPr>
        <w:pStyle w:val="FootnoteText"/>
      </w:pPr>
      <w:r>
        <w:rPr>
          <w:rStyle w:val="FootnoteReference"/>
        </w:rPr>
        <w:footnoteRef/>
      </w:r>
      <w:r>
        <w:tab/>
        <w:t>See document MM/A/37/4 “Report” (</w:t>
      </w:r>
      <w:r w:rsidRPr="003077AB">
        <w:t>http://www.wipo.int/meetings/en/doc_details.jsp?doc_id=72054</w:t>
      </w:r>
      <w:r>
        <w:t xml:space="preserve">).  </w:t>
      </w:r>
    </w:p>
  </w:footnote>
  <w:footnote w:id="4">
    <w:p w:rsidR="00784ED8" w:rsidRPr="003D565C" w:rsidRDefault="00784ED8" w:rsidP="00784ED8">
      <w:pPr>
        <w:pStyle w:val="FootnoteText"/>
      </w:pPr>
      <w:r>
        <w:rPr>
          <w:rStyle w:val="FootnoteReference"/>
        </w:rPr>
        <w:footnoteRef/>
      </w:r>
      <w:r w:rsidRPr="003D565C">
        <w:t xml:space="preserve"> </w:t>
      </w:r>
      <w:r w:rsidRPr="003D565C">
        <w:tab/>
        <w:t xml:space="preserve">See </w:t>
      </w:r>
      <w:r w:rsidR="003077AB" w:rsidRPr="003D565C">
        <w:t>paragraph 112</w:t>
      </w:r>
      <w:r w:rsidR="003077AB">
        <w:t xml:space="preserve">, </w:t>
      </w:r>
      <w:r w:rsidRPr="003D565C">
        <w:t>do</w:t>
      </w:r>
      <w:r w:rsidRPr="003077AB">
        <w:t xml:space="preserve">cument MM/LD/WG/1/2 </w:t>
      </w:r>
      <w:r w:rsidR="003077AB" w:rsidRPr="003077AB">
        <w:t>“</w:t>
      </w:r>
      <w:r w:rsidR="003077AB" w:rsidRPr="003077AB">
        <w:rPr>
          <w:bCs/>
        </w:rPr>
        <w:t>Review of the Refusal Procedure and the Safeguard Clause of the Madrid Protocol and Possible Amendments to the Common Regulations”</w:t>
      </w:r>
      <w:r w:rsidR="003077AB">
        <w:rPr>
          <w:bCs/>
        </w:rPr>
        <w:t xml:space="preserve"> (</w:t>
      </w:r>
      <w:r w:rsidR="003077AB" w:rsidRPr="003077AB">
        <w:rPr>
          <w:bCs/>
        </w:rPr>
        <w:t>http://www.wipo.int/meetings/en/doc_details.jsp?doc_id=43173</w:t>
      </w:r>
      <w:r w:rsidR="003077AB">
        <w:rPr>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34F" w:rsidP="00477D6B">
    <w:pPr>
      <w:jc w:val="right"/>
    </w:pPr>
    <w:bookmarkStart w:id="6" w:name="Code2"/>
    <w:bookmarkEnd w:id="6"/>
    <w:r>
      <w:t>MM/A/50/</w:t>
    </w:r>
    <w:r w:rsidR="000D5E60">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E0F80">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B4D3E"/>
    <w:multiLevelType w:val="hybridMultilevel"/>
    <w:tmpl w:val="0DE0A9FA"/>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1EF22CA"/>
    <w:multiLevelType w:val="hybridMultilevel"/>
    <w:tmpl w:val="17F8F92E"/>
    <w:lvl w:ilvl="0" w:tplc="52C49C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BA76F2"/>
    <w:multiLevelType w:val="hybridMultilevel"/>
    <w:tmpl w:val="82126166"/>
    <w:lvl w:ilvl="0" w:tplc="EDE04E7C">
      <w:start w:val="1"/>
      <w:numFmt w:val="lowerRoman"/>
      <w:lvlText w:val="(%1)"/>
      <w:lvlJc w:val="left"/>
      <w:pPr>
        <w:ind w:left="5760" w:hanging="720"/>
      </w:pPr>
      <w:rPr>
        <w:rFonts w:hint="default"/>
        <w:i/>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
    <w:nsid w:val="1CEC4C6F"/>
    <w:multiLevelType w:val="multilevel"/>
    <w:tmpl w:val="FC60B33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4156E7F"/>
    <w:multiLevelType w:val="hybridMultilevel"/>
    <w:tmpl w:val="9CECA86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F330BF"/>
    <w:multiLevelType w:val="multilevel"/>
    <w:tmpl w:val="81FADA04"/>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51F86504"/>
    <w:multiLevelType w:val="multilevel"/>
    <w:tmpl w:val="3124C292"/>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596B2083"/>
    <w:multiLevelType w:val="hybridMultilevel"/>
    <w:tmpl w:val="579A2324"/>
    <w:lvl w:ilvl="0" w:tplc="B7DC26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7"/>
  </w:num>
  <w:num w:numId="7">
    <w:abstractNumId w:val="5"/>
  </w:num>
  <w:num w:numId="8">
    <w:abstractNumId w:val="3"/>
  </w:num>
  <w:num w:numId="9">
    <w:abstractNumId w:val="13"/>
  </w:num>
  <w:num w:numId="10">
    <w:abstractNumId w:val="11"/>
  </w:num>
  <w:num w:numId="11">
    <w:abstractNumId w:val="1"/>
  </w:num>
  <w:num w:numId="12">
    <w:abstractNumId w:va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34F"/>
    <w:rsid w:val="0001271D"/>
    <w:rsid w:val="000428A9"/>
    <w:rsid w:val="00043CAA"/>
    <w:rsid w:val="00075432"/>
    <w:rsid w:val="000968ED"/>
    <w:rsid w:val="000D5E60"/>
    <w:rsid w:val="000D741B"/>
    <w:rsid w:val="000F5E56"/>
    <w:rsid w:val="001362EE"/>
    <w:rsid w:val="00136D90"/>
    <w:rsid w:val="001832A6"/>
    <w:rsid w:val="001A591E"/>
    <w:rsid w:val="001A66BD"/>
    <w:rsid w:val="001C1008"/>
    <w:rsid w:val="0023286D"/>
    <w:rsid w:val="00241BBE"/>
    <w:rsid w:val="002634C4"/>
    <w:rsid w:val="0028584E"/>
    <w:rsid w:val="002928D3"/>
    <w:rsid w:val="002F1FE6"/>
    <w:rsid w:val="002F4E68"/>
    <w:rsid w:val="003077AB"/>
    <w:rsid w:val="00312F7F"/>
    <w:rsid w:val="00313E34"/>
    <w:rsid w:val="003228B7"/>
    <w:rsid w:val="00325AB4"/>
    <w:rsid w:val="003673CF"/>
    <w:rsid w:val="003845C1"/>
    <w:rsid w:val="003A6F89"/>
    <w:rsid w:val="003B38C1"/>
    <w:rsid w:val="00423E3E"/>
    <w:rsid w:val="00427AF4"/>
    <w:rsid w:val="00432FDB"/>
    <w:rsid w:val="004400E2"/>
    <w:rsid w:val="00441A38"/>
    <w:rsid w:val="004647DA"/>
    <w:rsid w:val="00474062"/>
    <w:rsid w:val="00477D6B"/>
    <w:rsid w:val="004E0F80"/>
    <w:rsid w:val="0053057A"/>
    <w:rsid w:val="005517AE"/>
    <w:rsid w:val="00560A29"/>
    <w:rsid w:val="00605827"/>
    <w:rsid w:val="0064266F"/>
    <w:rsid w:val="00646050"/>
    <w:rsid w:val="006713CA"/>
    <w:rsid w:val="00676C5C"/>
    <w:rsid w:val="007058FB"/>
    <w:rsid w:val="0071715C"/>
    <w:rsid w:val="00784ED8"/>
    <w:rsid w:val="007B6A58"/>
    <w:rsid w:val="007D1613"/>
    <w:rsid w:val="00843B2D"/>
    <w:rsid w:val="00873870"/>
    <w:rsid w:val="00874E9A"/>
    <w:rsid w:val="008B2CC1"/>
    <w:rsid w:val="008B60B2"/>
    <w:rsid w:val="0090731E"/>
    <w:rsid w:val="00916EE2"/>
    <w:rsid w:val="00966A22"/>
    <w:rsid w:val="0096722F"/>
    <w:rsid w:val="00980843"/>
    <w:rsid w:val="00984E32"/>
    <w:rsid w:val="009E2791"/>
    <w:rsid w:val="009E3F6F"/>
    <w:rsid w:val="009F499F"/>
    <w:rsid w:val="00A031E6"/>
    <w:rsid w:val="00A42DAF"/>
    <w:rsid w:val="00A45BD8"/>
    <w:rsid w:val="00A54CFC"/>
    <w:rsid w:val="00A85B8E"/>
    <w:rsid w:val="00AC205C"/>
    <w:rsid w:val="00B05A69"/>
    <w:rsid w:val="00B148EA"/>
    <w:rsid w:val="00B9734B"/>
    <w:rsid w:val="00BF1142"/>
    <w:rsid w:val="00C10539"/>
    <w:rsid w:val="00C11BFE"/>
    <w:rsid w:val="00C2305F"/>
    <w:rsid w:val="00C94629"/>
    <w:rsid w:val="00D45252"/>
    <w:rsid w:val="00D71B4D"/>
    <w:rsid w:val="00D93D55"/>
    <w:rsid w:val="00DB053F"/>
    <w:rsid w:val="00DE43A6"/>
    <w:rsid w:val="00DF534F"/>
    <w:rsid w:val="00E335FE"/>
    <w:rsid w:val="00E5021F"/>
    <w:rsid w:val="00EC4E49"/>
    <w:rsid w:val="00ED77FB"/>
    <w:rsid w:val="00F021A6"/>
    <w:rsid w:val="00F305F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 w:type="paragraph" w:styleId="ListParagraph">
    <w:name w:val="List Paragraph"/>
    <w:basedOn w:val="Normal"/>
    <w:uiPriority w:val="34"/>
    <w:qFormat/>
    <w:rsid w:val="00784ED8"/>
    <w:pPr>
      <w:ind w:left="720"/>
      <w:contextualSpacing/>
    </w:pPr>
  </w:style>
  <w:style w:type="paragraph" w:customStyle="1" w:styleId="Default">
    <w:name w:val="Default"/>
    <w:rsid w:val="00784ED8"/>
    <w:pPr>
      <w:autoSpaceDE w:val="0"/>
      <w:autoSpaceDN w:val="0"/>
      <w:adjustRightInd w:val="0"/>
    </w:pPr>
    <w:rPr>
      <w:rFonts w:ascii="Arial" w:hAnsi="Arial" w:cs="Arial"/>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rsid w:val="0028584E"/>
    <w:rPr>
      <w:vertAlign w:val="superscript"/>
    </w:rPr>
  </w:style>
  <w:style w:type="character" w:styleId="Hyperlink">
    <w:name w:val="Hyperlink"/>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semiHidden/>
    <w:rsid w:val="00A031E6"/>
    <w:rPr>
      <w:rFonts w:ascii="Arial" w:eastAsia="SimSun" w:hAnsi="Arial" w:cs="Arial"/>
      <w:sz w:val="18"/>
      <w:lang w:eastAsia="zh-CN"/>
    </w:rPr>
  </w:style>
  <w:style w:type="paragraph" w:styleId="ListParagraph">
    <w:name w:val="List Paragraph"/>
    <w:basedOn w:val="Normal"/>
    <w:uiPriority w:val="34"/>
    <w:qFormat/>
    <w:rsid w:val="00784ED8"/>
    <w:pPr>
      <w:ind w:left="720"/>
      <w:contextualSpacing/>
    </w:pPr>
  </w:style>
  <w:style w:type="paragraph" w:customStyle="1" w:styleId="Default">
    <w:name w:val="Default"/>
    <w:rsid w:val="00784ED8"/>
    <w:pPr>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4749-0C2E-4CDD-B963-48C0858B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(E).dotm</Template>
  <TotalTime>102</TotalTime>
  <Pages>3</Pages>
  <Words>1090</Words>
  <Characters>5881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DORE Marie-Pierre</cp:lastModifiedBy>
  <cp:revision>19</cp:revision>
  <cp:lastPrinted>2016-06-19T10:46:00Z</cp:lastPrinted>
  <dcterms:created xsi:type="dcterms:W3CDTF">2016-05-26T14:14:00Z</dcterms:created>
  <dcterms:modified xsi:type="dcterms:W3CDTF">2016-06-19T11:08:00Z</dcterms:modified>
</cp:coreProperties>
</file>