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64ED9" w:rsidP="00916EE2">
            <w:r>
              <w:rPr>
                <w:noProof/>
                <w:lang w:val="en-GB" w:eastAsia="en-GB"/>
              </w:rPr>
              <w:drawing>
                <wp:inline distT="0" distB="0" distL="0" distR="0" wp14:anchorId="5265CA27" wp14:editId="260929F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4ED9" w:rsidP="00916EE2">
            <w:pPr>
              <w:jc w:val="right"/>
              <w:rPr>
                <w:rFonts w:ascii="Arial Black" w:hAnsi="Arial Black"/>
                <w:caps/>
                <w:sz w:val="15"/>
              </w:rPr>
            </w:pPr>
            <w:r>
              <w:rPr>
                <w:rFonts w:ascii="Arial Black" w:hAnsi="Arial Black"/>
                <w:caps/>
                <w:sz w:val="15"/>
              </w:rPr>
              <w:t>PCT/A/49/</w:t>
            </w:r>
            <w:bookmarkStart w:id="1" w:name="Code"/>
            <w:bookmarkEnd w:id="1"/>
            <w:r w:rsidR="0091786B">
              <w:rPr>
                <w:rFonts w:ascii="Arial Black" w:hAnsi="Arial Black"/>
                <w:caps/>
                <w:sz w:val="15"/>
              </w:rPr>
              <w:t>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1786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91786B">
              <w:rPr>
                <w:rFonts w:ascii="Arial Black" w:hAnsi="Arial Black"/>
                <w:caps/>
                <w:sz w:val="15"/>
              </w:rPr>
              <w:t>July 3,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64ED9" w:rsidP="008B2CC1">
      <w:pPr>
        <w:rPr>
          <w:b/>
          <w:sz w:val="28"/>
          <w:szCs w:val="28"/>
        </w:rPr>
      </w:pPr>
      <w:r w:rsidRPr="00B64ED9">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B64ED9" w:rsidRPr="00B64ED9" w:rsidRDefault="00B64ED9" w:rsidP="00B64ED9">
      <w:pPr>
        <w:rPr>
          <w:b/>
          <w:sz w:val="24"/>
          <w:szCs w:val="24"/>
        </w:rPr>
      </w:pPr>
      <w:r w:rsidRPr="00B64ED9">
        <w:rPr>
          <w:b/>
          <w:sz w:val="24"/>
          <w:szCs w:val="24"/>
        </w:rPr>
        <w:t>Forty-Ninth (21</w:t>
      </w:r>
      <w:r w:rsidRPr="00D72073">
        <w:rPr>
          <w:b/>
          <w:sz w:val="24"/>
          <w:szCs w:val="24"/>
          <w:vertAlign w:val="superscript"/>
        </w:rPr>
        <w:t>st</w:t>
      </w:r>
      <w:r w:rsidRPr="00B64ED9">
        <w:rPr>
          <w:b/>
          <w:sz w:val="24"/>
          <w:szCs w:val="24"/>
        </w:rPr>
        <w:t xml:space="preserve"> Ordinary) Session</w:t>
      </w:r>
    </w:p>
    <w:p w:rsidR="008B2CC1" w:rsidRPr="003845C1" w:rsidRDefault="00B64ED9" w:rsidP="00B64ED9">
      <w:pPr>
        <w:rPr>
          <w:b/>
          <w:sz w:val="24"/>
          <w:szCs w:val="24"/>
        </w:rPr>
      </w:pPr>
      <w:r w:rsidRPr="00B64ED9">
        <w:rPr>
          <w:b/>
          <w:sz w:val="24"/>
          <w:szCs w:val="24"/>
        </w:rPr>
        <w:t>Geneva, October 2 to 11, 2017</w:t>
      </w:r>
    </w:p>
    <w:p w:rsidR="008B2CC1" w:rsidRPr="009F3BF9" w:rsidRDefault="008B2CC1" w:rsidP="008B2CC1"/>
    <w:p w:rsidR="008B2CC1" w:rsidRPr="009F3BF9" w:rsidRDefault="008B2CC1" w:rsidP="008B2CC1"/>
    <w:p w:rsidR="008B2CC1" w:rsidRPr="009F3BF9" w:rsidRDefault="008B2CC1" w:rsidP="008B2CC1"/>
    <w:p w:rsidR="008B2CC1" w:rsidRPr="009F3BF9" w:rsidRDefault="00A725B0" w:rsidP="008B2CC1">
      <w:pPr>
        <w:rPr>
          <w:caps/>
          <w:sz w:val="24"/>
        </w:rPr>
      </w:pPr>
      <w:bookmarkStart w:id="4" w:name="TitleOfDoc"/>
      <w:bookmarkEnd w:id="4"/>
      <w:r>
        <w:rPr>
          <w:caps/>
          <w:sz w:val="24"/>
        </w:rPr>
        <w:t xml:space="preserve">Proposed </w:t>
      </w:r>
      <w:r w:rsidR="0091786B">
        <w:rPr>
          <w:caps/>
          <w:sz w:val="24"/>
        </w:rPr>
        <w:t>Amendments to the PCT Regulations</w:t>
      </w:r>
    </w:p>
    <w:p w:rsidR="008B2CC1" w:rsidRPr="009F3BF9" w:rsidRDefault="008B2CC1" w:rsidP="008B2CC1"/>
    <w:p w:rsidR="008B2CC1" w:rsidRPr="0050041D" w:rsidRDefault="0091786B" w:rsidP="008B2CC1">
      <w:pPr>
        <w:rPr>
          <w:i/>
        </w:rPr>
      </w:pPr>
      <w:bookmarkStart w:id="5" w:name="Prepared"/>
      <w:bookmarkEnd w:id="5"/>
      <w:r>
        <w:rPr>
          <w:i/>
        </w:rPr>
        <w:t>Document prepared by the International Bureau</w:t>
      </w:r>
    </w:p>
    <w:p w:rsidR="00AC205C" w:rsidRPr="009F3BF9" w:rsidRDefault="00AC205C"/>
    <w:p w:rsidR="000F5E56" w:rsidRPr="009F3BF9" w:rsidRDefault="000F5E56"/>
    <w:p w:rsidR="002928D3" w:rsidRPr="009F3BF9" w:rsidRDefault="002928D3"/>
    <w:p w:rsidR="002928D3" w:rsidRPr="009F3BF9" w:rsidRDefault="002928D3" w:rsidP="0053057A"/>
    <w:p w:rsidR="002928D3" w:rsidRDefault="0091786B" w:rsidP="0091786B">
      <w:pPr>
        <w:pStyle w:val="Heading1"/>
      </w:pPr>
      <w:r>
        <w:t>Summary</w:t>
      </w:r>
    </w:p>
    <w:p w:rsidR="00957053" w:rsidRDefault="00957053" w:rsidP="00957053">
      <w:pPr>
        <w:pStyle w:val="ONUME"/>
        <w:numPr>
          <w:ilvl w:val="0"/>
          <w:numId w:val="7"/>
        </w:numPr>
      </w:pPr>
      <w:r>
        <w:t>This document contains proposals for amendment of the Regulations under the Patent Cooperation Treaty (PCT)</w:t>
      </w:r>
      <w:r>
        <w:rPr>
          <w:rStyle w:val="FootnoteReference"/>
        </w:rPr>
        <w:footnoteReference w:id="2"/>
      </w:r>
      <w:r>
        <w:t xml:space="preserve">, </w:t>
      </w:r>
      <w:r w:rsidR="0005328E">
        <w:t xml:space="preserve">and an Understanding by the Assembly, </w:t>
      </w:r>
      <w:r>
        <w:t>as agreed by the PCT Working Group (“the Working Group”) with a view to their submission to the Assembly for consideration at its current session.</w:t>
      </w:r>
    </w:p>
    <w:p w:rsidR="00957053" w:rsidRDefault="00957053" w:rsidP="00957053">
      <w:pPr>
        <w:pStyle w:val="Heading1"/>
      </w:pPr>
      <w:r>
        <w:t>Proposed Amendments</w:t>
      </w:r>
    </w:p>
    <w:p w:rsidR="00957053" w:rsidRDefault="00957053" w:rsidP="00957053">
      <w:pPr>
        <w:pStyle w:val="ONUME"/>
        <w:numPr>
          <w:ilvl w:val="0"/>
          <w:numId w:val="7"/>
        </w:numPr>
      </w:pPr>
      <w:r>
        <w:t xml:space="preserve">Annex I sets out proposed amendments to the Regulations under the Patent Cooperation Treaty, as agreed by the Working Group at its </w:t>
      </w:r>
      <w:r w:rsidR="001B7D3E">
        <w:t xml:space="preserve">tenth </w:t>
      </w:r>
      <w:r>
        <w:t xml:space="preserve">session, held in Geneva from May </w:t>
      </w:r>
      <w:r w:rsidR="001B7D3E">
        <w:t>8</w:t>
      </w:r>
      <w:r>
        <w:t xml:space="preserve"> to </w:t>
      </w:r>
      <w:r w:rsidR="001B7D3E">
        <w:t>1</w:t>
      </w:r>
      <w:r>
        <w:t>2, 201</w:t>
      </w:r>
      <w:r w:rsidR="001B7D3E">
        <w:t>7</w:t>
      </w:r>
      <w:r>
        <w:t>, with a view to their submission to the Assembly for consideration at its current session.  These amendments relate to the following matters:</w:t>
      </w:r>
    </w:p>
    <w:p w:rsidR="00957053" w:rsidRDefault="00957053" w:rsidP="000D4C42">
      <w:pPr>
        <w:pStyle w:val="ONUME"/>
        <w:numPr>
          <w:ilvl w:val="1"/>
          <w:numId w:val="7"/>
        </w:numPr>
      </w:pPr>
      <w:r>
        <w:t xml:space="preserve">correction of </w:t>
      </w:r>
      <w:r w:rsidR="000D4C42">
        <w:t>references in Rules 4.1(b)(ii) and 41</w:t>
      </w:r>
      <w:r w:rsidR="000D4C42" w:rsidRPr="000D4C42">
        <w:t>.2(b)</w:t>
      </w:r>
      <w:r w:rsidR="000D4C42">
        <w:t xml:space="preserve"> to properly reflect changes in numbering</w:t>
      </w:r>
      <w:r w:rsidR="00812A22">
        <w:t>,</w:t>
      </w:r>
      <w:r w:rsidR="000D4C42">
        <w:t xml:space="preserve"> consequential to the amendment</w:t>
      </w:r>
      <w:r w:rsidR="00362ED3">
        <w:t>s</w:t>
      </w:r>
      <w:r w:rsidR="000D4C42">
        <w:t xml:space="preserve"> </w:t>
      </w:r>
      <w:r w:rsidR="00362ED3">
        <w:t>to</w:t>
      </w:r>
      <w:r w:rsidR="000D4C42">
        <w:t xml:space="preserve"> Rule</w:t>
      </w:r>
      <w:r w:rsidR="00812A22">
        <w:t>s</w:t>
      </w:r>
      <w:r w:rsidR="000D4C42">
        <w:t xml:space="preserve"> 12</w:t>
      </w:r>
      <w:r w:rsidR="000D4C42">
        <w:rPr>
          <w:i/>
        </w:rPr>
        <w:t>bis</w:t>
      </w:r>
      <w:r w:rsidR="000D4C42">
        <w:t xml:space="preserve"> and 23</w:t>
      </w:r>
      <w:r w:rsidR="000D4C42">
        <w:rPr>
          <w:i/>
        </w:rPr>
        <w:t>bis</w:t>
      </w:r>
      <w:r w:rsidR="000D4C42">
        <w:t xml:space="preserve"> </w:t>
      </w:r>
      <w:r w:rsidR="00812A22">
        <w:t xml:space="preserve">adopted </w:t>
      </w:r>
      <w:r w:rsidR="000D4C42">
        <w:t xml:space="preserve">by the Assembly </w:t>
      </w:r>
      <w:r w:rsidR="00352EAB">
        <w:t>at its</w:t>
      </w:r>
      <w:r w:rsidR="004B31DE">
        <w:t xml:space="preserve"> forty</w:t>
      </w:r>
      <w:r w:rsidR="004B31DE">
        <w:noBreakHyphen/>
        <w:t>seventh</w:t>
      </w:r>
      <w:r w:rsidR="00352EAB">
        <w:t xml:space="preserve"> </w:t>
      </w:r>
      <w:r w:rsidR="00812A22">
        <w:t xml:space="preserve">(held in October 2015) </w:t>
      </w:r>
      <w:r w:rsidR="00362ED3">
        <w:t xml:space="preserve">and </w:t>
      </w:r>
      <w:r w:rsidR="004B31DE">
        <w:t>forty</w:t>
      </w:r>
      <w:r w:rsidR="004B31DE">
        <w:noBreakHyphen/>
        <w:t>eighth</w:t>
      </w:r>
      <w:r w:rsidR="00362ED3">
        <w:t xml:space="preserve"> </w:t>
      </w:r>
      <w:r w:rsidR="00352EAB">
        <w:t>session</w:t>
      </w:r>
      <w:r w:rsidR="00362ED3">
        <w:t>s</w:t>
      </w:r>
      <w:r w:rsidR="00812A22">
        <w:t xml:space="preserve"> (held in October 2016)</w:t>
      </w:r>
      <w:r w:rsidR="00531ED8">
        <w:t>, respectively</w:t>
      </w:r>
      <w:r>
        <w:t>.</w:t>
      </w:r>
    </w:p>
    <w:p w:rsidR="00352EAB" w:rsidRDefault="00352EAB" w:rsidP="000D4C42">
      <w:pPr>
        <w:pStyle w:val="ONUME"/>
        <w:numPr>
          <w:ilvl w:val="1"/>
          <w:numId w:val="7"/>
        </w:numPr>
      </w:pPr>
      <w:r>
        <w:lastRenderedPageBreak/>
        <w:t xml:space="preserve">amendment </w:t>
      </w:r>
      <w:r w:rsidR="00A1318E">
        <w:t xml:space="preserve">to </w:t>
      </w:r>
      <w:r>
        <w:t xml:space="preserve">the Schedule of </w:t>
      </w:r>
      <w:r w:rsidR="00A1318E">
        <w:t>F</w:t>
      </w:r>
      <w:r>
        <w:t xml:space="preserve">ees to make clear that the 90 per cent fee reductions in item 5 are intended only for persons </w:t>
      </w:r>
      <w:r w:rsidR="00812A22">
        <w:t xml:space="preserve">filing </w:t>
      </w:r>
      <w:r>
        <w:t xml:space="preserve">an </w:t>
      </w:r>
      <w:r w:rsidR="00812A22">
        <w:t xml:space="preserve">international </w:t>
      </w:r>
      <w:r>
        <w:t xml:space="preserve">application in their own right and not </w:t>
      </w:r>
      <w:r w:rsidR="001B7D3E">
        <w:t xml:space="preserve">those </w:t>
      </w:r>
      <w:r w:rsidR="00812A22">
        <w:t>filing</w:t>
      </w:r>
      <w:r w:rsidR="001B7D3E">
        <w:t xml:space="preserve"> an </w:t>
      </w:r>
      <w:r w:rsidR="00812A22">
        <w:t xml:space="preserve">international </w:t>
      </w:r>
      <w:r w:rsidR="001B7D3E">
        <w:t xml:space="preserve">application </w:t>
      </w:r>
      <w:r>
        <w:t xml:space="preserve">on behalf of a person or entity which is not eligible for the reduction, such as a director or employee of a company </w:t>
      </w:r>
      <w:r w:rsidR="00812A22">
        <w:t xml:space="preserve">filing an international application </w:t>
      </w:r>
      <w:r>
        <w:t xml:space="preserve">on behalf of a company in order </w:t>
      </w:r>
      <w:r w:rsidR="00A725B0">
        <w:t>to obtain the reduction in item </w:t>
      </w:r>
      <w:r>
        <w:t>5(a).</w:t>
      </w:r>
    </w:p>
    <w:p w:rsidR="00957053" w:rsidRDefault="00352EAB" w:rsidP="00957053">
      <w:pPr>
        <w:pStyle w:val="ONUME"/>
        <w:numPr>
          <w:ilvl w:val="0"/>
          <w:numId w:val="7"/>
        </w:numPr>
      </w:pPr>
      <w:bookmarkStart w:id="6" w:name="_Ref483207578"/>
      <w:r>
        <w:t>With regard to the latter issue, t</w:t>
      </w:r>
      <w:r w:rsidR="00957053">
        <w:t>he Working Group recommended that</w:t>
      </w:r>
      <w:r>
        <w:t>, in addition to the amendment to the Schedule of Fees,</w:t>
      </w:r>
      <w:r w:rsidR="00957053">
        <w:t xml:space="preserve"> the PCT Assembly adopt the following Understanding:</w:t>
      </w:r>
      <w:bookmarkEnd w:id="6"/>
    </w:p>
    <w:p w:rsidR="00352EAB" w:rsidRDefault="00352EAB" w:rsidP="00352EAB">
      <w:pPr>
        <w:pStyle w:val="ONUME"/>
        <w:keepLines/>
        <w:numPr>
          <w:ilvl w:val="0"/>
          <w:numId w:val="0"/>
        </w:numPr>
        <w:ind w:left="567"/>
      </w:pPr>
      <w:r>
        <w:t xml:space="preserve">“It is the understanding of the PCT Assembly that the fee reduction in item 5 of the </w:t>
      </w:r>
      <w:r w:rsidRPr="003C60F0">
        <w:t>Schedule of Fees is intended to apply only in the case where the applicants indicated in the request are the sole and true owners of the application and under no obligation to assign, grant, convey or license the rights in the invention to another party which is not eligible for the fee reduction.”</w:t>
      </w:r>
    </w:p>
    <w:p w:rsidR="00352EAB" w:rsidRDefault="00352EAB" w:rsidP="00352EAB">
      <w:pPr>
        <w:pStyle w:val="ONUME"/>
        <w:numPr>
          <w:ilvl w:val="0"/>
          <w:numId w:val="7"/>
        </w:numPr>
      </w:pPr>
      <w:r>
        <w:t>Annex II contains a “clean” text of the relevant Rules as they would stand after amendment.</w:t>
      </w:r>
    </w:p>
    <w:p w:rsidR="00957053" w:rsidRDefault="00957053" w:rsidP="00957053">
      <w:pPr>
        <w:pStyle w:val="Heading1"/>
      </w:pPr>
      <w:r>
        <w:t>Entry into Force and Transitional Arrangements</w:t>
      </w:r>
    </w:p>
    <w:p w:rsidR="00957053" w:rsidRDefault="006A405F" w:rsidP="00957053">
      <w:pPr>
        <w:pStyle w:val="ONUME"/>
        <w:numPr>
          <w:ilvl w:val="0"/>
          <w:numId w:val="7"/>
        </w:numPr>
      </w:pPr>
      <w:r>
        <w:t>I</w:t>
      </w:r>
      <w:r w:rsidR="00957053">
        <w:t xml:space="preserve">t is proposed that the </w:t>
      </w:r>
      <w:r w:rsidR="00A1318E">
        <w:t xml:space="preserve">proposed </w:t>
      </w:r>
      <w:r w:rsidR="00957053">
        <w:t>amendment</w:t>
      </w:r>
      <w:r>
        <w:t>s</w:t>
      </w:r>
      <w:r w:rsidR="00957053">
        <w:t xml:space="preserve"> should enter into force on July 1, 201</w:t>
      </w:r>
      <w:r>
        <w:t>8</w:t>
      </w:r>
      <w:r w:rsidR="00957053">
        <w:t xml:space="preserve">, and should apply to any international application </w:t>
      </w:r>
      <w:r w:rsidR="00A1318E">
        <w:t>th</w:t>
      </w:r>
      <w:r w:rsidR="004B31DE">
        <w:t>e</w:t>
      </w:r>
      <w:r w:rsidR="00A1318E">
        <w:t xml:space="preserve"> </w:t>
      </w:r>
      <w:r w:rsidR="00957053">
        <w:t xml:space="preserve">international filing date </w:t>
      </w:r>
      <w:r w:rsidR="00A1318E">
        <w:t xml:space="preserve">of which </w:t>
      </w:r>
      <w:r w:rsidR="00957053">
        <w:t xml:space="preserve">is on or after </w:t>
      </w:r>
      <w:r>
        <w:t>that date</w:t>
      </w:r>
      <w:r w:rsidR="00957053">
        <w:t>.</w:t>
      </w:r>
      <w:r>
        <w:t xml:space="preserve">  Noting that the amendment to the Schedule of Fees is intended as a clarification</w:t>
      </w:r>
      <w:r w:rsidR="001B7D3E">
        <w:t xml:space="preserve"> of the original intent of the fee reduction</w:t>
      </w:r>
      <w:r>
        <w:t xml:space="preserve"> rather than a substantive change, it is proposed that the Understanding be adopted with effect</w:t>
      </w:r>
      <w:r w:rsidR="004B31DE">
        <w:t xml:space="preserve"> from </w:t>
      </w:r>
      <w:r w:rsidR="00381C71">
        <w:t xml:space="preserve">the closing of the Assembly on </w:t>
      </w:r>
      <w:r w:rsidR="004B31DE">
        <w:t>October 11, 2017</w:t>
      </w:r>
      <w:r>
        <w:t>.</w:t>
      </w:r>
    </w:p>
    <w:p w:rsidR="00957053" w:rsidRDefault="00957053" w:rsidP="00957053">
      <w:pPr>
        <w:pStyle w:val="ONUME"/>
        <w:numPr>
          <w:ilvl w:val="0"/>
          <w:numId w:val="7"/>
        </w:numPr>
      </w:pPr>
      <w:bookmarkStart w:id="7" w:name="_Ref452105874"/>
      <w:r>
        <w:t>It is therefore proposed that the Assembly adopt the following decision concerning entry into force and transitional arrangements of the proposed amendments of the Regulations set out in Annex I to this document:</w:t>
      </w:r>
      <w:bookmarkEnd w:id="7"/>
    </w:p>
    <w:p w:rsidR="00957053" w:rsidRDefault="00957053" w:rsidP="00957053">
      <w:pPr>
        <w:pStyle w:val="ONUME"/>
        <w:numPr>
          <w:ilvl w:val="0"/>
          <w:numId w:val="0"/>
        </w:numPr>
        <w:tabs>
          <w:tab w:val="left" w:pos="720"/>
        </w:tabs>
        <w:ind w:left="567"/>
      </w:pPr>
      <w:r>
        <w:t>“The amendment of Rule</w:t>
      </w:r>
      <w:r w:rsidR="006A405F">
        <w:t>s</w:t>
      </w:r>
      <w:r>
        <w:t> </w:t>
      </w:r>
      <w:r w:rsidR="006A405F">
        <w:t>4.1(b</w:t>
      </w:r>
      <w:proofErr w:type="gramStart"/>
      <w:r w:rsidR="006A405F">
        <w:t>)(</w:t>
      </w:r>
      <w:proofErr w:type="gramEnd"/>
      <w:r w:rsidR="006A405F">
        <w:t>ii) and 41</w:t>
      </w:r>
      <w:r w:rsidR="006A405F" w:rsidRPr="000D4C42">
        <w:t>.2(b)</w:t>
      </w:r>
      <w:r w:rsidR="006A405F">
        <w:t xml:space="preserve"> and of the Schedule of Fees</w:t>
      </w:r>
      <w:r>
        <w:t xml:space="preserve"> shall enter into force on July 1, 201</w:t>
      </w:r>
      <w:r w:rsidR="006A405F">
        <w:t>8</w:t>
      </w:r>
      <w:r w:rsidR="00C35406">
        <w:t>,</w:t>
      </w:r>
      <w:r w:rsidR="006A405F">
        <w:t xml:space="preserve"> and shall apply to</w:t>
      </w:r>
      <w:r>
        <w:t xml:space="preserve"> any international application </w:t>
      </w:r>
      <w:r w:rsidR="00A1318E">
        <w:t xml:space="preserve">the </w:t>
      </w:r>
      <w:r>
        <w:t xml:space="preserve">international filing date </w:t>
      </w:r>
      <w:r w:rsidR="00A1318E">
        <w:t xml:space="preserve">of which </w:t>
      </w:r>
      <w:r>
        <w:t xml:space="preserve">is on or after </w:t>
      </w:r>
      <w:r w:rsidR="006A405F">
        <w:t>that date</w:t>
      </w:r>
      <w:r>
        <w:t>.”</w:t>
      </w:r>
    </w:p>
    <w:p w:rsidR="006A405F" w:rsidRDefault="00957053" w:rsidP="006A405F">
      <w:pPr>
        <w:pStyle w:val="ONUME"/>
        <w:keepLines/>
        <w:numPr>
          <w:ilvl w:val="0"/>
          <w:numId w:val="7"/>
        </w:numPr>
        <w:tabs>
          <w:tab w:val="left" w:pos="6096"/>
        </w:tabs>
        <w:ind w:left="5533"/>
        <w:rPr>
          <w:i/>
        </w:rPr>
      </w:pPr>
      <w:r>
        <w:rPr>
          <w:i/>
        </w:rPr>
        <w:t>The Assembly of the PCT Union is invited</w:t>
      </w:r>
      <w:r w:rsidR="006A405F">
        <w:rPr>
          <w:i/>
        </w:rPr>
        <w:t>:</w:t>
      </w:r>
    </w:p>
    <w:p w:rsidR="006A405F" w:rsidRDefault="006A405F" w:rsidP="00A725B0">
      <w:pPr>
        <w:pStyle w:val="ONUME"/>
        <w:keepLines/>
        <w:numPr>
          <w:ilvl w:val="0"/>
          <w:numId w:val="0"/>
        </w:numPr>
        <w:tabs>
          <w:tab w:val="left" w:pos="6096"/>
          <w:tab w:val="left" w:pos="6663"/>
        </w:tabs>
        <w:ind w:left="6101"/>
        <w:rPr>
          <w:i/>
        </w:rPr>
      </w:pPr>
      <w:r>
        <w:rPr>
          <w:i/>
        </w:rPr>
        <w:t>(</w:t>
      </w:r>
      <w:proofErr w:type="spellStart"/>
      <w:r>
        <w:rPr>
          <w:i/>
        </w:rPr>
        <w:t>i</w:t>
      </w:r>
      <w:proofErr w:type="spellEnd"/>
      <w:r>
        <w:rPr>
          <w:i/>
        </w:rPr>
        <w:t>)</w:t>
      </w:r>
      <w:r>
        <w:rPr>
          <w:i/>
        </w:rPr>
        <w:tab/>
      </w:r>
      <w:r w:rsidR="001B7D3E">
        <w:rPr>
          <w:i/>
        </w:rPr>
        <w:t xml:space="preserve">to adopt </w:t>
      </w:r>
      <w:r w:rsidR="00957053">
        <w:rPr>
          <w:i/>
        </w:rPr>
        <w:t>the proposed amendments to the Regulations under the PCT set out in Annex I to document PCT/A/4</w:t>
      </w:r>
      <w:r>
        <w:rPr>
          <w:i/>
        </w:rPr>
        <w:t>9</w:t>
      </w:r>
      <w:r w:rsidR="00957053">
        <w:rPr>
          <w:i/>
        </w:rPr>
        <w:t>/</w:t>
      </w:r>
      <w:r>
        <w:rPr>
          <w:i/>
        </w:rPr>
        <w:t>4</w:t>
      </w:r>
      <w:r w:rsidR="00957053">
        <w:rPr>
          <w:i/>
        </w:rPr>
        <w:t>, and the proposed decision set out in paragraph </w:t>
      </w:r>
      <w:r>
        <w:rPr>
          <w:i/>
        </w:rPr>
        <w:fldChar w:fldCharType="begin"/>
      </w:r>
      <w:r>
        <w:rPr>
          <w:i/>
        </w:rPr>
        <w:instrText xml:space="preserve"> REF _Ref452105874 \r \h </w:instrText>
      </w:r>
      <w:r>
        <w:rPr>
          <w:i/>
        </w:rPr>
      </w:r>
      <w:r>
        <w:rPr>
          <w:i/>
        </w:rPr>
        <w:fldChar w:fldCharType="separate"/>
      </w:r>
      <w:r w:rsidR="00E5717F">
        <w:rPr>
          <w:i/>
        </w:rPr>
        <w:t>6</w:t>
      </w:r>
      <w:r>
        <w:rPr>
          <w:i/>
        </w:rPr>
        <w:fldChar w:fldCharType="end"/>
      </w:r>
      <w:r>
        <w:rPr>
          <w:i/>
        </w:rPr>
        <w:t xml:space="preserve"> of document PCT/A/49</w:t>
      </w:r>
      <w:r w:rsidR="00957053">
        <w:rPr>
          <w:i/>
        </w:rPr>
        <w:t>/</w:t>
      </w:r>
      <w:r>
        <w:rPr>
          <w:i/>
        </w:rPr>
        <w:t>4</w:t>
      </w:r>
      <w:r w:rsidR="00957053">
        <w:rPr>
          <w:i/>
        </w:rPr>
        <w:t xml:space="preserve"> relating to entry into force and transitional arrangements</w:t>
      </w:r>
      <w:r>
        <w:rPr>
          <w:i/>
        </w:rPr>
        <w:t>;  and</w:t>
      </w:r>
    </w:p>
    <w:p w:rsidR="00957053" w:rsidRDefault="006A405F" w:rsidP="00A725B0">
      <w:pPr>
        <w:pStyle w:val="ONUME"/>
        <w:keepLines/>
        <w:numPr>
          <w:ilvl w:val="0"/>
          <w:numId w:val="0"/>
        </w:numPr>
        <w:tabs>
          <w:tab w:val="left" w:pos="6096"/>
          <w:tab w:val="left" w:pos="6663"/>
        </w:tabs>
        <w:ind w:left="6101"/>
        <w:rPr>
          <w:i/>
        </w:rPr>
      </w:pPr>
      <w:r>
        <w:rPr>
          <w:i/>
        </w:rPr>
        <w:t>(ii)</w:t>
      </w:r>
      <w:r w:rsidR="001B7D3E">
        <w:rPr>
          <w:i/>
        </w:rPr>
        <w:tab/>
      </w:r>
      <w:proofErr w:type="gramStart"/>
      <w:r w:rsidR="001B7D3E">
        <w:rPr>
          <w:i/>
        </w:rPr>
        <w:t>to</w:t>
      </w:r>
      <w:proofErr w:type="gramEnd"/>
      <w:r w:rsidR="001B7D3E">
        <w:rPr>
          <w:i/>
        </w:rPr>
        <w:t xml:space="preserve"> adopt the Understanding set out in paragraph </w:t>
      </w:r>
      <w:r w:rsidR="001B7D3E">
        <w:rPr>
          <w:i/>
        </w:rPr>
        <w:fldChar w:fldCharType="begin"/>
      </w:r>
      <w:r w:rsidR="001B7D3E">
        <w:rPr>
          <w:i/>
        </w:rPr>
        <w:instrText xml:space="preserve"> REF _Ref483207578 \r \h </w:instrText>
      </w:r>
      <w:r w:rsidR="001B7D3E">
        <w:rPr>
          <w:i/>
        </w:rPr>
      </w:r>
      <w:r w:rsidR="001B7D3E">
        <w:rPr>
          <w:i/>
        </w:rPr>
        <w:fldChar w:fldCharType="separate"/>
      </w:r>
      <w:r w:rsidR="00E5717F">
        <w:rPr>
          <w:i/>
        </w:rPr>
        <w:t>3</w:t>
      </w:r>
      <w:r w:rsidR="001B7D3E">
        <w:rPr>
          <w:i/>
        </w:rPr>
        <w:fldChar w:fldCharType="end"/>
      </w:r>
      <w:r w:rsidR="001B7D3E">
        <w:rPr>
          <w:i/>
        </w:rPr>
        <w:t xml:space="preserve"> of document PCT/A/49/4</w:t>
      </w:r>
      <w:r w:rsidR="004B31DE">
        <w:rPr>
          <w:i/>
        </w:rPr>
        <w:t xml:space="preserve"> with effect from October 11, 2017</w:t>
      </w:r>
      <w:r w:rsidR="00957053">
        <w:rPr>
          <w:i/>
        </w:rPr>
        <w:t>.</w:t>
      </w:r>
    </w:p>
    <w:p w:rsidR="0091786B" w:rsidRDefault="0091786B"/>
    <w:p w:rsidR="0091786B" w:rsidRDefault="0091786B" w:rsidP="00957053">
      <w:pPr>
        <w:pStyle w:val="Endofdocument-Annex"/>
        <w:sectPr w:rsidR="0091786B" w:rsidSect="0091786B">
          <w:headerReference w:type="default" r:id="rId10"/>
          <w:endnotePr>
            <w:numFmt w:val="decimal"/>
          </w:endnotePr>
          <w:pgSz w:w="11907" w:h="16840" w:code="9"/>
          <w:pgMar w:top="567" w:right="1134" w:bottom="1418" w:left="1418" w:header="510" w:footer="1021" w:gutter="0"/>
          <w:cols w:space="720"/>
          <w:titlePg/>
          <w:docGrid w:linePitch="299"/>
        </w:sectPr>
      </w:pPr>
      <w:r>
        <w:t>[Annex</w:t>
      </w:r>
      <w:r w:rsidR="00957053">
        <w:t>es follow</w:t>
      </w:r>
      <w:r>
        <w:t>]</w:t>
      </w:r>
    </w:p>
    <w:p w:rsidR="00E5717F" w:rsidRDefault="00E5717F" w:rsidP="00957053">
      <w:pPr>
        <w:jc w:val="center"/>
      </w:pPr>
    </w:p>
    <w:p w:rsidR="00E5717F" w:rsidRDefault="00E5717F" w:rsidP="00957053">
      <w:pPr>
        <w:jc w:val="center"/>
      </w:pPr>
    </w:p>
    <w:p w:rsidR="00957053" w:rsidRDefault="00957053" w:rsidP="00957053">
      <w:pPr>
        <w:jc w:val="center"/>
      </w:pPr>
      <w:r>
        <w:t>PROPOSED AMENDMENTS TO THE PCT REGULATIONS</w:t>
      </w:r>
      <w:r>
        <w:rPr>
          <w:rStyle w:val="FootnoteReference"/>
        </w:rPr>
        <w:footnoteReference w:id="3"/>
      </w:r>
    </w:p>
    <w:p w:rsidR="00957053" w:rsidRDefault="00957053" w:rsidP="00957053">
      <w:pPr>
        <w:jc w:val="center"/>
      </w:pPr>
    </w:p>
    <w:p w:rsidR="00957053" w:rsidRDefault="00957053" w:rsidP="00957053">
      <w:pPr>
        <w:jc w:val="center"/>
      </w:pPr>
      <w:r>
        <w:t>TABLE OF CONTENTS</w:t>
      </w:r>
    </w:p>
    <w:p w:rsidR="00957053" w:rsidRDefault="00957053" w:rsidP="00957053">
      <w:pPr>
        <w:pStyle w:val="Endofdocument-Annex"/>
        <w:ind w:left="0"/>
        <w:jc w:val="center"/>
      </w:pPr>
    </w:p>
    <w:p w:rsidR="0091786B" w:rsidRDefault="0091786B"/>
    <w:p w:rsidR="00957053" w:rsidRDefault="00957053"/>
    <w:p w:rsidR="005705A2" w:rsidRDefault="001B7D3E">
      <w:pPr>
        <w:pStyle w:val="TOC1"/>
        <w:tabs>
          <w:tab w:val="right" w:leader="dot" w:pos="9345"/>
        </w:tabs>
        <w:rPr>
          <w:rFonts w:asciiTheme="minorHAnsi" w:eastAsiaTheme="minorEastAsia" w:hAnsiTheme="minorHAnsi" w:cstheme="minorBidi"/>
          <w:noProof/>
          <w:szCs w:val="22"/>
          <w:lang w:val="en-GB" w:eastAsia="en-GB"/>
        </w:rPr>
      </w:pPr>
      <w:r>
        <w:fldChar w:fldCharType="begin"/>
      </w:r>
      <w:r>
        <w:instrText xml:space="preserve"> TOC \b "AxI" \h \z \t "Leg # Title,1,Leg SubRule #,2" </w:instrText>
      </w:r>
      <w:r>
        <w:fldChar w:fldCharType="separate"/>
      </w:r>
      <w:hyperlink w:anchor="_Toc484171057" w:history="1">
        <w:r w:rsidR="005705A2" w:rsidRPr="00614DFB">
          <w:rPr>
            <w:rStyle w:val="Hyperlink"/>
            <w:noProof/>
          </w:rPr>
          <w:t>Rule 4 The Request (Contents)</w:t>
        </w:r>
        <w:r w:rsidR="005705A2">
          <w:rPr>
            <w:noProof/>
            <w:webHidden/>
          </w:rPr>
          <w:tab/>
        </w:r>
        <w:r w:rsidR="005705A2">
          <w:rPr>
            <w:noProof/>
            <w:webHidden/>
          </w:rPr>
          <w:fldChar w:fldCharType="begin"/>
        </w:r>
        <w:r w:rsidR="005705A2">
          <w:rPr>
            <w:noProof/>
            <w:webHidden/>
          </w:rPr>
          <w:instrText xml:space="preserve"> PAGEREF _Toc484171057 \h </w:instrText>
        </w:r>
        <w:r w:rsidR="005705A2">
          <w:rPr>
            <w:noProof/>
            <w:webHidden/>
          </w:rPr>
        </w:r>
        <w:r w:rsidR="005705A2">
          <w:rPr>
            <w:noProof/>
            <w:webHidden/>
          </w:rPr>
          <w:fldChar w:fldCharType="separate"/>
        </w:r>
        <w:r w:rsidR="00E5717F">
          <w:rPr>
            <w:noProof/>
            <w:webHidden/>
          </w:rPr>
          <w:t>2</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58" w:history="1">
        <w:r w:rsidR="005705A2" w:rsidRPr="00614DFB">
          <w:rPr>
            <w:rStyle w:val="Hyperlink"/>
            <w:noProof/>
          </w:rPr>
          <w:t>4.1   </w:t>
        </w:r>
        <w:r w:rsidR="005705A2" w:rsidRPr="00614DFB">
          <w:rPr>
            <w:rStyle w:val="Hyperlink"/>
            <w:i/>
            <w:noProof/>
          </w:rPr>
          <w:t>Mandatory and Optional Contents;  Signature</w:t>
        </w:r>
        <w:r w:rsidR="005705A2">
          <w:rPr>
            <w:noProof/>
            <w:webHidden/>
          </w:rPr>
          <w:tab/>
        </w:r>
        <w:r w:rsidR="005705A2">
          <w:rPr>
            <w:noProof/>
            <w:webHidden/>
          </w:rPr>
          <w:fldChar w:fldCharType="begin"/>
        </w:r>
        <w:r w:rsidR="005705A2">
          <w:rPr>
            <w:noProof/>
            <w:webHidden/>
          </w:rPr>
          <w:instrText xml:space="preserve"> PAGEREF _Toc484171058 \h </w:instrText>
        </w:r>
        <w:r w:rsidR="005705A2">
          <w:rPr>
            <w:noProof/>
            <w:webHidden/>
          </w:rPr>
        </w:r>
        <w:r w:rsidR="005705A2">
          <w:rPr>
            <w:noProof/>
            <w:webHidden/>
          </w:rPr>
          <w:fldChar w:fldCharType="separate"/>
        </w:r>
        <w:r>
          <w:rPr>
            <w:noProof/>
            <w:webHidden/>
          </w:rPr>
          <w:t>2</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59" w:history="1">
        <w:r w:rsidR="005705A2" w:rsidRPr="00614DFB">
          <w:rPr>
            <w:rStyle w:val="Hyperlink"/>
            <w:noProof/>
          </w:rPr>
          <w:t>4.2 to 4.19   </w:t>
        </w:r>
        <w:r w:rsidR="005705A2" w:rsidRPr="00614DFB">
          <w:rPr>
            <w:rStyle w:val="Hyperlink"/>
            <w:i/>
            <w:noProof/>
          </w:rPr>
          <w:t>[No change]</w:t>
        </w:r>
        <w:r w:rsidR="005705A2">
          <w:rPr>
            <w:noProof/>
            <w:webHidden/>
          </w:rPr>
          <w:tab/>
        </w:r>
        <w:r w:rsidR="005705A2">
          <w:rPr>
            <w:noProof/>
            <w:webHidden/>
          </w:rPr>
          <w:fldChar w:fldCharType="begin"/>
        </w:r>
        <w:r w:rsidR="005705A2">
          <w:rPr>
            <w:noProof/>
            <w:webHidden/>
          </w:rPr>
          <w:instrText xml:space="preserve"> PAGEREF _Toc484171059 \h </w:instrText>
        </w:r>
        <w:r w:rsidR="005705A2">
          <w:rPr>
            <w:noProof/>
            <w:webHidden/>
          </w:rPr>
        </w:r>
        <w:r w:rsidR="005705A2">
          <w:rPr>
            <w:noProof/>
            <w:webHidden/>
          </w:rPr>
          <w:fldChar w:fldCharType="separate"/>
        </w:r>
        <w:r>
          <w:rPr>
            <w:noProof/>
            <w:webHidden/>
          </w:rPr>
          <w:t>2</w:t>
        </w:r>
        <w:r w:rsidR="005705A2">
          <w:rPr>
            <w:noProof/>
            <w:webHidden/>
          </w:rPr>
          <w:fldChar w:fldCharType="end"/>
        </w:r>
      </w:hyperlink>
    </w:p>
    <w:p w:rsidR="005705A2" w:rsidRDefault="00E5717F">
      <w:pPr>
        <w:pStyle w:val="TOC1"/>
        <w:tabs>
          <w:tab w:val="right" w:leader="dot" w:pos="9345"/>
        </w:tabs>
        <w:rPr>
          <w:rFonts w:asciiTheme="minorHAnsi" w:eastAsiaTheme="minorEastAsia" w:hAnsiTheme="minorHAnsi" w:cstheme="minorBidi"/>
          <w:noProof/>
          <w:szCs w:val="22"/>
          <w:lang w:val="en-GB" w:eastAsia="en-GB"/>
        </w:rPr>
      </w:pPr>
      <w:hyperlink w:anchor="_Toc484171060" w:history="1">
        <w:r w:rsidR="005705A2" w:rsidRPr="00614DFB">
          <w:rPr>
            <w:rStyle w:val="Hyperlink"/>
            <w:noProof/>
          </w:rPr>
          <w:t>Rule 41 Taking into Account Results of Earlier Search and Classification</w:t>
        </w:r>
        <w:r w:rsidR="005705A2">
          <w:rPr>
            <w:noProof/>
            <w:webHidden/>
          </w:rPr>
          <w:tab/>
        </w:r>
        <w:r w:rsidR="005705A2">
          <w:rPr>
            <w:noProof/>
            <w:webHidden/>
          </w:rPr>
          <w:fldChar w:fldCharType="begin"/>
        </w:r>
        <w:r w:rsidR="005705A2">
          <w:rPr>
            <w:noProof/>
            <w:webHidden/>
          </w:rPr>
          <w:instrText xml:space="preserve"> PAGEREF _Toc484171060 \h </w:instrText>
        </w:r>
        <w:r w:rsidR="005705A2">
          <w:rPr>
            <w:noProof/>
            <w:webHidden/>
          </w:rPr>
        </w:r>
        <w:r w:rsidR="005705A2">
          <w:rPr>
            <w:noProof/>
            <w:webHidden/>
          </w:rPr>
          <w:fldChar w:fldCharType="separate"/>
        </w:r>
        <w:r>
          <w:rPr>
            <w:noProof/>
            <w:webHidden/>
          </w:rPr>
          <w:t>3</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61" w:history="1">
        <w:r w:rsidR="005705A2" w:rsidRPr="00614DFB">
          <w:rPr>
            <w:rStyle w:val="Hyperlink"/>
            <w:noProof/>
          </w:rPr>
          <w:t>41.1   </w:t>
        </w:r>
        <w:r w:rsidR="005705A2" w:rsidRPr="00614DFB">
          <w:rPr>
            <w:rStyle w:val="Hyperlink"/>
            <w:i/>
            <w:noProof/>
          </w:rPr>
          <w:t>[No change]</w:t>
        </w:r>
        <w:r w:rsidR="005705A2">
          <w:rPr>
            <w:noProof/>
            <w:webHidden/>
          </w:rPr>
          <w:tab/>
        </w:r>
        <w:r w:rsidR="005705A2">
          <w:rPr>
            <w:noProof/>
            <w:webHidden/>
          </w:rPr>
          <w:fldChar w:fldCharType="begin"/>
        </w:r>
        <w:r w:rsidR="005705A2">
          <w:rPr>
            <w:noProof/>
            <w:webHidden/>
          </w:rPr>
          <w:instrText xml:space="preserve"> PAGEREF _Toc484171061 \h </w:instrText>
        </w:r>
        <w:r w:rsidR="005705A2">
          <w:rPr>
            <w:noProof/>
            <w:webHidden/>
          </w:rPr>
        </w:r>
        <w:r w:rsidR="005705A2">
          <w:rPr>
            <w:noProof/>
            <w:webHidden/>
          </w:rPr>
          <w:fldChar w:fldCharType="separate"/>
        </w:r>
        <w:r>
          <w:rPr>
            <w:noProof/>
            <w:webHidden/>
          </w:rPr>
          <w:t>3</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62" w:history="1">
        <w:r w:rsidR="005705A2" w:rsidRPr="00614DFB">
          <w:rPr>
            <w:rStyle w:val="Hyperlink"/>
            <w:noProof/>
          </w:rPr>
          <w:t>41.2   </w:t>
        </w:r>
        <w:r w:rsidR="005705A2" w:rsidRPr="00614DFB">
          <w:rPr>
            <w:rStyle w:val="Hyperlink"/>
            <w:i/>
            <w:noProof/>
          </w:rPr>
          <w:t>Taking into Account Results of Earlier Search and Classification in Other Cases</w:t>
        </w:r>
        <w:r w:rsidR="005705A2">
          <w:rPr>
            <w:noProof/>
            <w:webHidden/>
          </w:rPr>
          <w:tab/>
        </w:r>
        <w:r w:rsidR="005705A2">
          <w:rPr>
            <w:noProof/>
            <w:webHidden/>
          </w:rPr>
          <w:fldChar w:fldCharType="begin"/>
        </w:r>
        <w:r w:rsidR="005705A2">
          <w:rPr>
            <w:noProof/>
            <w:webHidden/>
          </w:rPr>
          <w:instrText xml:space="preserve"> PAGEREF _Toc484171062 \h </w:instrText>
        </w:r>
        <w:r w:rsidR="005705A2">
          <w:rPr>
            <w:noProof/>
            <w:webHidden/>
          </w:rPr>
        </w:r>
        <w:r w:rsidR="005705A2">
          <w:rPr>
            <w:noProof/>
            <w:webHidden/>
          </w:rPr>
          <w:fldChar w:fldCharType="separate"/>
        </w:r>
        <w:r>
          <w:rPr>
            <w:noProof/>
            <w:webHidden/>
          </w:rPr>
          <w:t>3</w:t>
        </w:r>
        <w:r w:rsidR="005705A2">
          <w:rPr>
            <w:noProof/>
            <w:webHidden/>
          </w:rPr>
          <w:fldChar w:fldCharType="end"/>
        </w:r>
      </w:hyperlink>
    </w:p>
    <w:p w:rsidR="005705A2" w:rsidRDefault="00E5717F">
      <w:pPr>
        <w:pStyle w:val="TOC1"/>
        <w:tabs>
          <w:tab w:val="right" w:leader="dot" w:pos="9345"/>
        </w:tabs>
        <w:rPr>
          <w:rFonts w:asciiTheme="minorHAnsi" w:eastAsiaTheme="minorEastAsia" w:hAnsiTheme="minorHAnsi" w:cstheme="minorBidi"/>
          <w:noProof/>
          <w:szCs w:val="22"/>
          <w:lang w:val="en-GB" w:eastAsia="en-GB"/>
        </w:rPr>
      </w:pPr>
      <w:hyperlink w:anchor="_Toc484171063" w:history="1">
        <w:r w:rsidR="005705A2" w:rsidRPr="00614DFB">
          <w:rPr>
            <w:rStyle w:val="Hyperlink"/>
            <w:noProof/>
          </w:rPr>
          <w:t>SCHEDULE OF FEES</w:t>
        </w:r>
        <w:r w:rsidR="005705A2">
          <w:rPr>
            <w:noProof/>
            <w:webHidden/>
          </w:rPr>
          <w:tab/>
        </w:r>
        <w:r w:rsidR="005705A2">
          <w:rPr>
            <w:noProof/>
            <w:webHidden/>
          </w:rPr>
          <w:fldChar w:fldCharType="begin"/>
        </w:r>
        <w:r w:rsidR="005705A2">
          <w:rPr>
            <w:noProof/>
            <w:webHidden/>
          </w:rPr>
          <w:instrText xml:space="preserve"> PAGEREF _Toc484171063 \h </w:instrText>
        </w:r>
        <w:r w:rsidR="005705A2">
          <w:rPr>
            <w:noProof/>
            <w:webHidden/>
          </w:rPr>
        </w:r>
        <w:r w:rsidR="005705A2">
          <w:rPr>
            <w:noProof/>
            <w:webHidden/>
          </w:rPr>
          <w:fldChar w:fldCharType="separate"/>
        </w:r>
        <w:r>
          <w:rPr>
            <w:noProof/>
            <w:webHidden/>
          </w:rPr>
          <w:t>4</w:t>
        </w:r>
        <w:r w:rsidR="005705A2">
          <w:rPr>
            <w:noProof/>
            <w:webHidden/>
          </w:rPr>
          <w:fldChar w:fldCharType="end"/>
        </w:r>
      </w:hyperlink>
    </w:p>
    <w:p w:rsidR="00957053" w:rsidRDefault="001B7D3E" w:rsidP="001B7D3E">
      <w:r>
        <w:fldChar w:fldCharType="end"/>
      </w:r>
    </w:p>
    <w:p w:rsidR="000D4C42" w:rsidRDefault="000D4C42" w:rsidP="000D4C42">
      <w:pPr>
        <w:pStyle w:val="LegTitle"/>
      </w:pPr>
      <w:bookmarkStart w:id="9" w:name="_Toc475551162"/>
      <w:bookmarkStart w:id="10" w:name="_Toc484171057"/>
      <w:bookmarkStart w:id="11" w:name="_Toc386449385"/>
      <w:bookmarkStart w:id="12" w:name="_Toc116097072"/>
      <w:bookmarkStart w:id="13" w:name="_Toc105480534"/>
      <w:bookmarkStart w:id="14" w:name="_Toc100481227"/>
      <w:bookmarkStart w:id="15" w:name="AxI"/>
      <w:r>
        <w:lastRenderedPageBreak/>
        <w:t>Rule 4</w:t>
      </w:r>
      <w:r>
        <w:br/>
      </w:r>
      <w:proofErr w:type="gramStart"/>
      <w:r>
        <w:t>The</w:t>
      </w:r>
      <w:proofErr w:type="gramEnd"/>
      <w:r>
        <w:t xml:space="preserve"> Request (Contents)</w:t>
      </w:r>
      <w:bookmarkEnd w:id="9"/>
      <w:bookmarkEnd w:id="10"/>
      <w:r>
        <w:t xml:space="preserve">  </w:t>
      </w:r>
      <w:bookmarkEnd w:id="11"/>
      <w:bookmarkEnd w:id="12"/>
      <w:bookmarkEnd w:id="13"/>
      <w:bookmarkEnd w:id="14"/>
    </w:p>
    <w:p w:rsidR="000D4C42" w:rsidRDefault="000D4C42" w:rsidP="000D4C42">
      <w:pPr>
        <w:pStyle w:val="LegSubRule"/>
      </w:pPr>
      <w:bookmarkStart w:id="16" w:name="_Toc386449387"/>
      <w:bookmarkStart w:id="17" w:name="_Toc475551163"/>
      <w:bookmarkStart w:id="18" w:name="_Toc484171058"/>
      <w:r>
        <w:t>4.1   </w:t>
      </w:r>
      <w:bookmarkEnd w:id="16"/>
      <w:r>
        <w:rPr>
          <w:i/>
        </w:rPr>
        <w:t>Mandatory and Optional Contents</w:t>
      </w:r>
      <w:proofErr w:type="gramStart"/>
      <w:r>
        <w:rPr>
          <w:i/>
        </w:rPr>
        <w:t>;  Signature</w:t>
      </w:r>
      <w:bookmarkEnd w:id="17"/>
      <w:bookmarkEnd w:id="18"/>
      <w:proofErr w:type="gramEnd"/>
    </w:p>
    <w:p w:rsidR="000D4C42" w:rsidRDefault="000D4C42" w:rsidP="000D4C42">
      <w:pPr>
        <w:pStyle w:val="Lega"/>
        <w:jc w:val="left"/>
      </w:pPr>
      <w:r>
        <w:tab/>
        <w:t>(a)  [No change]</w:t>
      </w:r>
    </w:p>
    <w:p w:rsidR="000D4C42" w:rsidRDefault="000D4C42" w:rsidP="000D4C42">
      <w:pPr>
        <w:pStyle w:val="Lega"/>
        <w:jc w:val="left"/>
      </w:pPr>
      <w:r>
        <w:tab/>
        <w:t>(b)  The request shall, where applicable, contain:</w:t>
      </w:r>
    </w:p>
    <w:p w:rsidR="000D4C42" w:rsidRDefault="000D4C42" w:rsidP="000D4C42">
      <w:pPr>
        <w:pStyle w:val="Legi"/>
        <w:jc w:val="left"/>
      </w:pPr>
      <w:r>
        <w:tab/>
        <w:t>(</w:t>
      </w:r>
      <w:proofErr w:type="spellStart"/>
      <w:r>
        <w:t>i</w:t>
      </w:r>
      <w:proofErr w:type="spellEnd"/>
      <w:r>
        <w:t>)</w:t>
      </w:r>
      <w:r>
        <w:tab/>
      </w:r>
      <w:proofErr w:type="gramStart"/>
      <w:r>
        <w:t>a</w:t>
      </w:r>
      <w:proofErr w:type="gramEnd"/>
      <w:r>
        <w:t xml:space="preserve"> priority claim, or</w:t>
      </w:r>
    </w:p>
    <w:p w:rsidR="000D4C42" w:rsidRDefault="000D4C42" w:rsidP="000D4C42">
      <w:pPr>
        <w:pStyle w:val="Legi"/>
        <w:jc w:val="left"/>
      </w:pPr>
      <w:r>
        <w:tab/>
        <w:t>(ii)</w:t>
      </w:r>
      <w:r>
        <w:tab/>
      </w:r>
      <w:proofErr w:type="gramStart"/>
      <w:r>
        <w:t>indications</w:t>
      </w:r>
      <w:proofErr w:type="gramEnd"/>
      <w:r>
        <w:t xml:space="preserve"> relating to an earlier search as provided in Rules 4.12(</w:t>
      </w:r>
      <w:proofErr w:type="spellStart"/>
      <w:r>
        <w:t>i</w:t>
      </w:r>
      <w:proofErr w:type="spellEnd"/>
      <w:r>
        <w:t>) and 12</w:t>
      </w:r>
      <w:r>
        <w:rPr>
          <w:i/>
        </w:rPr>
        <w:t>bis</w:t>
      </w:r>
      <w:r>
        <w:t>.1</w:t>
      </w:r>
      <w:r>
        <w:rPr>
          <w:rStyle w:val="DeletedText"/>
        </w:rPr>
        <w:t>(c)</w:t>
      </w:r>
      <w:r>
        <w:rPr>
          <w:rStyle w:val="InsertedText"/>
          <w:color w:val="0000FF"/>
        </w:rPr>
        <w:t>(b)</w:t>
      </w:r>
      <w:r>
        <w:rPr>
          <w:color w:val="0000FF"/>
        </w:rPr>
        <w:t xml:space="preserve"> </w:t>
      </w:r>
      <w:r>
        <w:t xml:space="preserve">and </w:t>
      </w:r>
      <w:r>
        <w:rPr>
          <w:rStyle w:val="DeletedText"/>
        </w:rPr>
        <w:t>(f)</w:t>
      </w:r>
      <w:r>
        <w:rPr>
          <w:rStyle w:val="InsertedText"/>
          <w:color w:val="0000FF"/>
        </w:rPr>
        <w:t>(d)</w:t>
      </w:r>
      <w:r>
        <w:t xml:space="preserve">, </w:t>
      </w:r>
    </w:p>
    <w:p w:rsidR="000D4C42" w:rsidRDefault="000D4C42" w:rsidP="000D4C42">
      <w:pPr>
        <w:pStyle w:val="Legi"/>
        <w:jc w:val="left"/>
      </w:pPr>
      <w:r>
        <w:tab/>
        <w:t>(iii)</w:t>
      </w:r>
      <w:r>
        <w:tab/>
      </w:r>
      <w:proofErr w:type="gramStart"/>
      <w:r>
        <w:t>a</w:t>
      </w:r>
      <w:proofErr w:type="gramEnd"/>
      <w:r>
        <w:t xml:space="preserve"> reference to a parent application or parent patent,</w:t>
      </w:r>
    </w:p>
    <w:p w:rsidR="000D4C42" w:rsidRDefault="000D4C42" w:rsidP="000D4C42">
      <w:pPr>
        <w:pStyle w:val="Legi"/>
        <w:jc w:val="left"/>
      </w:pPr>
      <w:r>
        <w:tab/>
        <w:t>(iv)</w:t>
      </w:r>
      <w:r>
        <w:tab/>
      </w:r>
      <w:proofErr w:type="gramStart"/>
      <w:r>
        <w:t>an</w:t>
      </w:r>
      <w:proofErr w:type="gramEnd"/>
      <w:r>
        <w:t xml:space="preserve"> indication of the applicant’s choice of competent International Searching Authority.</w:t>
      </w:r>
    </w:p>
    <w:p w:rsidR="000D4C42" w:rsidRDefault="000D4C42" w:rsidP="000D4C42">
      <w:pPr>
        <w:pStyle w:val="Lega"/>
        <w:jc w:val="left"/>
      </w:pPr>
      <w:r>
        <w:tab/>
        <w:t>(</w:t>
      </w:r>
      <w:proofErr w:type="gramStart"/>
      <w:r>
        <w:t>c</w:t>
      </w:r>
      <w:proofErr w:type="gramEnd"/>
      <w:r>
        <w:t>) and (d)  [No change]</w:t>
      </w:r>
    </w:p>
    <w:p w:rsidR="000D4C42" w:rsidRDefault="000D4C42" w:rsidP="000D4C42">
      <w:pPr>
        <w:pStyle w:val="LegSubRule"/>
      </w:pPr>
      <w:bookmarkStart w:id="19" w:name="_Toc475551164"/>
      <w:bookmarkStart w:id="20" w:name="_Toc484171059"/>
      <w:r>
        <w:t>4.2 to 4.19   </w:t>
      </w:r>
      <w:r>
        <w:rPr>
          <w:i/>
        </w:rPr>
        <w:t>[No change]</w:t>
      </w:r>
      <w:bookmarkEnd w:id="19"/>
      <w:bookmarkEnd w:id="20"/>
    </w:p>
    <w:p w:rsidR="000D4C42" w:rsidRDefault="000D4C42"/>
    <w:p w:rsidR="000D4C42" w:rsidRDefault="000D4C42" w:rsidP="000D4C42">
      <w:pPr>
        <w:pStyle w:val="LegTitle"/>
      </w:pPr>
      <w:bookmarkStart w:id="21" w:name="_Toc475551171"/>
      <w:bookmarkStart w:id="22" w:name="_Toc484171060"/>
      <w:r>
        <w:lastRenderedPageBreak/>
        <w:t>Rule 41</w:t>
      </w:r>
      <w:r>
        <w:br/>
        <w:t>Taking into Account Results of Earlier Search and Classification</w:t>
      </w:r>
      <w:bookmarkEnd w:id="21"/>
      <w:bookmarkEnd w:id="22"/>
      <w:r>
        <w:t xml:space="preserve">  </w:t>
      </w:r>
    </w:p>
    <w:p w:rsidR="000D4C42" w:rsidRDefault="000D4C42" w:rsidP="000D4C42">
      <w:pPr>
        <w:pStyle w:val="LegSubRule"/>
      </w:pPr>
      <w:bookmarkStart w:id="23" w:name="_Toc475551172"/>
      <w:bookmarkStart w:id="24" w:name="_Toc484171061"/>
      <w:r>
        <w:t>41.1   </w:t>
      </w:r>
      <w:r>
        <w:rPr>
          <w:i/>
        </w:rPr>
        <w:t>[No change]</w:t>
      </w:r>
      <w:bookmarkEnd w:id="23"/>
      <w:bookmarkEnd w:id="24"/>
    </w:p>
    <w:p w:rsidR="000D4C42" w:rsidRDefault="000D4C42" w:rsidP="000D4C42">
      <w:pPr>
        <w:pStyle w:val="LegSubRule"/>
      </w:pPr>
      <w:bookmarkStart w:id="25" w:name="_Toc475551173"/>
      <w:bookmarkStart w:id="26" w:name="_Toc484171062"/>
      <w:r>
        <w:t>41.2   </w:t>
      </w:r>
      <w:r>
        <w:rPr>
          <w:i/>
        </w:rPr>
        <w:t>Taking into Account Results of Earlier Search and Classification in Other Cases</w:t>
      </w:r>
      <w:bookmarkEnd w:id="25"/>
      <w:bookmarkEnd w:id="26"/>
    </w:p>
    <w:p w:rsidR="000D4C42" w:rsidRDefault="000D4C42" w:rsidP="000D4C42">
      <w:pPr>
        <w:pStyle w:val="Lega"/>
        <w:jc w:val="left"/>
      </w:pPr>
      <w:r>
        <w:tab/>
        <w:t>(a)  [No change]</w:t>
      </w:r>
    </w:p>
    <w:p w:rsidR="000D4C42" w:rsidRDefault="000D4C42" w:rsidP="000D4C42">
      <w:pPr>
        <w:pStyle w:val="Lega"/>
        <w:jc w:val="left"/>
      </w:pPr>
      <w:r>
        <w:tab/>
        <w:t xml:space="preserve">(b)  Where the receiving Office has transmitted to the International Searching Authority a copy of the results of any earlier search or of any earlier classification under Rule </w:t>
      </w:r>
      <w:proofErr w:type="gramStart"/>
      <w:r>
        <w:t>23</w:t>
      </w:r>
      <w:r>
        <w:rPr>
          <w:i/>
        </w:rPr>
        <w:t>bis</w:t>
      </w:r>
      <w:r>
        <w:t>.2(</w:t>
      </w:r>
      <w:proofErr w:type="gramEnd"/>
      <w:r>
        <w:t>a) or</w:t>
      </w:r>
      <w:r w:rsidR="00FC19F7">
        <w:t> </w:t>
      </w:r>
      <w:r>
        <w:rPr>
          <w:rStyle w:val="DeletedText"/>
        </w:rPr>
        <w:t>(b)</w:t>
      </w:r>
      <w:r>
        <w:rPr>
          <w:rStyle w:val="InsertedText"/>
          <w:color w:val="0000FF"/>
        </w:rPr>
        <w:t>(c)</w:t>
      </w:r>
      <w:r>
        <w:t>,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1B7D3E" w:rsidRPr="003C35EB" w:rsidRDefault="001B7D3E" w:rsidP="001B7D3E">
      <w:pPr>
        <w:pStyle w:val="LegTitle"/>
        <w:spacing w:after="240" w:line="360" w:lineRule="auto"/>
      </w:pPr>
      <w:bookmarkStart w:id="27" w:name="_Toc484171063"/>
      <w:r w:rsidRPr="003C35EB">
        <w:lastRenderedPageBreak/>
        <w:t>SCHEDULE OF FEES</w:t>
      </w:r>
      <w:bookmarkEnd w:id="27"/>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1B7D3E" w:rsidRPr="002A1976" w:rsidTr="001405F4">
        <w:trPr>
          <w:gridAfter w:val="1"/>
          <w:wAfter w:w="33" w:type="dxa"/>
          <w:jc w:val="center"/>
        </w:trPr>
        <w:tc>
          <w:tcPr>
            <w:tcW w:w="6112" w:type="dxa"/>
            <w:gridSpan w:val="3"/>
          </w:tcPr>
          <w:p w:rsidR="001B7D3E" w:rsidRPr="00763EC0" w:rsidRDefault="001B7D3E" w:rsidP="001405F4">
            <w:pPr>
              <w:pStyle w:val="LegBasic"/>
              <w:spacing w:after="120" w:line="360" w:lineRule="auto"/>
              <w:rPr>
                <w:rFonts w:eastAsia="SimSun"/>
                <w:b/>
                <w:bCs/>
              </w:rPr>
            </w:pPr>
            <w:r w:rsidRPr="00763EC0">
              <w:rPr>
                <w:rFonts w:eastAsia="SimSun"/>
                <w:b/>
                <w:bCs/>
              </w:rPr>
              <w:t>Fees</w:t>
            </w:r>
          </w:p>
        </w:tc>
        <w:tc>
          <w:tcPr>
            <w:tcW w:w="3001" w:type="dxa"/>
          </w:tcPr>
          <w:p w:rsidR="001B7D3E" w:rsidRPr="00763EC0" w:rsidRDefault="001B7D3E" w:rsidP="001405F4">
            <w:pPr>
              <w:pStyle w:val="LegBasic"/>
              <w:spacing w:after="120" w:line="360" w:lineRule="auto"/>
              <w:rPr>
                <w:rFonts w:eastAsia="SimSun"/>
                <w:b/>
                <w:bCs/>
              </w:rPr>
            </w:pPr>
            <w:r w:rsidRPr="00763EC0">
              <w:rPr>
                <w:rFonts w:eastAsia="SimSun"/>
                <w:b/>
                <w:bCs/>
              </w:rPr>
              <w:t>Amounts</w:t>
            </w:r>
          </w:p>
        </w:tc>
      </w:tr>
      <w:tr w:rsidR="001B7D3E" w:rsidRPr="002A1976" w:rsidTr="001405F4">
        <w:trPr>
          <w:gridBefore w:val="1"/>
          <w:wBefore w:w="33" w:type="dxa"/>
          <w:cantSplit/>
          <w:jc w:val="center"/>
        </w:trPr>
        <w:tc>
          <w:tcPr>
            <w:tcW w:w="9113" w:type="dxa"/>
            <w:gridSpan w:val="4"/>
          </w:tcPr>
          <w:p w:rsidR="001B7D3E" w:rsidRPr="002A1976" w:rsidRDefault="001B7D3E" w:rsidP="001405F4">
            <w:pPr>
              <w:pStyle w:val="LegBasic"/>
              <w:spacing w:after="120" w:line="360" w:lineRule="auto"/>
            </w:pPr>
            <w:r>
              <w:t>1. to 3.   [No change]</w:t>
            </w:r>
          </w:p>
        </w:tc>
      </w:tr>
      <w:tr w:rsidR="001B7D3E" w:rsidRPr="002A1976" w:rsidTr="001405F4">
        <w:trPr>
          <w:gridAfter w:val="1"/>
          <w:wAfter w:w="33" w:type="dxa"/>
          <w:jc w:val="center"/>
        </w:trPr>
        <w:tc>
          <w:tcPr>
            <w:tcW w:w="6112" w:type="dxa"/>
            <w:gridSpan w:val="3"/>
          </w:tcPr>
          <w:p w:rsidR="001B7D3E" w:rsidRDefault="001B7D3E" w:rsidP="001405F4">
            <w:pPr>
              <w:pStyle w:val="LegBasic"/>
              <w:spacing w:after="120" w:line="360" w:lineRule="auto"/>
              <w:rPr>
                <w:rFonts w:eastAsia="SimSun"/>
                <w:b/>
                <w:bCs/>
              </w:rPr>
            </w:pPr>
            <w:r>
              <w:rPr>
                <w:rFonts w:eastAsia="SimSun"/>
                <w:b/>
                <w:bCs/>
              </w:rPr>
              <w:t>Reductions</w:t>
            </w:r>
          </w:p>
          <w:p w:rsidR="001B7D3E" w:rsidRPr="00763EC0" w:rsidRDefault="001B7D3E" w:rsidP="001405F4">
            <w:pPr>
              <w:pStyle w:val="LegBasic"/>
              <w:spacing w:after="120" w:line="360" w:lineRule="auto"/>
              <w:rPr>
                <w:rFonts w:eastAsia="SimSun"/>
                <w:b/>
                <w:bCs/>
              </w:rPr>
            </w:pPr>
            <w:r>
              <w:t>4.   [No change]</w:t>
            </w:r>
          </w:p>
        </w:tc>
        <w:tc>
          <w:tcPr>
            <w:tcW w:w="3001" w:type="dxa"/>
          </w:tcPr>
          <w:p w:rsidR="001B7D3E" w:rsidRPr="00763EC0" w:rsidRDefault="001B7D3E" w:rsidP="001405F4">
            <w:pPr>
              <w:pStyle w:val="LegBasic"/>
              <w:spacing w:after="120" w:line="360" w:lineRule="auto"/>
              <w:rPr>
                <w:rFonts w:eastAsia="SimSun"/>
                <w:b/>
                <w:bCs/>
              </w:rPr>
            </w:pPr>
          </w:p>
        </w:tc>
      </w:tr>
      <w:tr w:rsidR="001B7D3E" w:rsidRPr="002A1976" w:rsidTr="001405F4">
        <w:trPr>
          <w:gridBefore w:val="1"/>
          <w:wBefore w:w="33" w:type="dxa"/>
          <w:cantSplit/>
          <w:jc w:val="center"/>
        </w:trPr>
        <w:tc>
          <w:tcPr>
            <w:tcW w:w="9113" w:type="dxa"/>
            <w:gridSpan w:val="4"/>
          </w:tcPr>
          <w:p w:rsidR="001B7D3E" w:rsidRPr="002A1976" w:rsidRDefault="001B7D3E" w:rsidP="001405F4">
            <w:pPr>
              <w:pStyle w:val="LegBasic"/>
              <w:spacing w:after="120" w:line="360" w:lineRule="auto"/>
              <w:rPr>
                <w:rFonts w:eastAsia="SimSun"/>
                <w:lang w:eastAsia="zh-CN"/>
              </w:rPr>
            </w:pPr>
            <w:r w:rsidRPr="002A1976">
              <w:rPr>
                <w:rFonts w:eastAsia="SimSun"/>
                <w:lang w:eastAsia="zh-CN"/>
              </w:rPr>
              <w:t>5.</w:t>
            </w:r>
            <w:r w:rsidRPr="002A1976">
              <w:rPr>
                <w:rFonts w:eastAsia="SimSun"/>
                <w:lang w:eastAsia="zh-CN"/>
              </w:rPr>
              <w:tab/>
              <w:t>The international filing fee under item 1 (where applicable, as reduced under item 4), the supplementary search handling fee under item 2 and the handling fee under item 3 are reduced by 90% if the international application is filed by:</w:t>
            </w:r>
          </w:p>
        </w:tc>
      </w:tr>
      <w:tr w:rsidR="001B7D3E" w:rsidRPr="002A1976" w:rsidTr="001405F4">
        <w:trPr>
          <w:gridBefore w:val="1"/>
          <w:wBefore w:w="33" w:type="dxa"/>
          <w:cantSplit/>
          <w:jc w:val="center"/>
        </w:trPr>
        <w:tc>
          <w:tcPr>
            <w:tcW w:w="573" w:type="dxa"/>
          </w:tcPr>
          <w:p w:rsidR="001B7D3E" w:rsidRPr="002A1976" w:rsidRDefault="001B7D3E" w:rsidP="001405F4">
            <w:pPr>
              <w:suppressAutoHyphens/>
              <w:spacing w:after="120" w:line="360" w:lineRule="auto"/>
              <w:rPr>
                <w:szCs w:val="28"/>
              </w:rPr>
            </w:pPr>
            <w:r w:rsidRPr="002A1976">
              <w:rPr>
                <w:szCs w:val="28"/>
              </w:rPr>
              <w:br w:type="page"/>
            </w:r>
          </w:p>
        </w:tc>
        <w:tc>
          <w:tcPr>
            <w:tcW w:w="8540" w:type="dxa"/>
            <w:gridSpan w:val="3"/>
          </w:tcPr>
          <w:p w:rsidR="001B7D3E" w:rsidRPr="002A1976" w:rsidRDefault="001B7D3E" w:rsidP="001405F4">
            <w:pPr>
              <w:pStyle w:val="LegBasic"/>
              <w:spacing w:after="120" w:line="360" w:lineRule="auto"/>
              <w:rPr>
                <w:rFonts w:eastAsia="SimSun"/>
              </w:rPr>
            </w:pPr>
            <w:r w:rsidRPr="002A1976">
              <w:rPr>
                <w:rFonts w:eastAsia="SimSun"/>
              </w:rPr>
              <w:t>(a)</w:t>
            </w:r>
            <w:r w:rsidRPr="002A1976">
              <w:rPr>
                <w:rFonts w:eastAsia="SimSun"/>
              </w:rPr>
              <w:tab/>
            </w:r>
            <w:r>
              <w:t>[No change]  </w:t>
            </w:r>
            <w:r w:rsidRPr="002A1976">
              <w:rPr>
                <w:rFonts w:eastAsia="SimSun"/>
              </w:rPr>
              <w:t>an applicant who is a natural person and who is a national of and resides in a State</w:t>
            </w:r>
            <w:r w:rsidRPr="002A1976">
              <w:rPr>
                <w:rFonts w:eastAsia="SimSun"/>
                <w:color w:val="0070C0"/>
              </w:rPr>
              <w:t xml:space="preserve"> </w:t>
            </w:r>
            <w:r w:rsidRPr="002A1976">
              <w:rPr>
                <w:rFonts w:eastAsia="SimSun"/>
              </w:rPr>
              <w:t>that is listed as being a State</w:t>
            </w:r>
            <w:r w:rsidRPr="002A1976">
              <w:rPr>
                <w:rFonts w:eastAsia="SimSun"/>
                <w:color w:val="0070C0"/>
              </w:rPr>
              <w:t xml:space="preserve"> </w:t>
            </w:r>
            <w:r w:rsidRPr="002A1976">
              <w:rPr>
                <w:rFonts w:eastAsia="SimSun"/>
              </w:rPr>
              <w:t>whose per capita gross domestic product</w:t>
            </w:r>
            <w:r w:rsidRPr="002A1976">
              <w:rPr>
                <w:rFonts w:eastAsia="SimSun"/>
                <w:color w:val="0070C0"/>
              </w:rPr>
              <w:t xml:space="preserve"> </w:t>
            </w:r>
            <w:r w:rsidRPr="002A1976">
              <w:rPr>
                <w:rFonts w:eastAsia="SimSun"/>
              </w:rPr>
              <w:t>is below US$ 25,000 (according to the most recent 10</w:t>
            </w:r>
            <w:r w:rsidRPr="002A1976">
              <w:rPr>
                <w:rFonts w:eastAsia="SimSun"/>
              </w:rPr>
              <w:noBreakHyphen/>
              <w:t>year</w:t>
            </w:r>
            <w:r w:rsidRPr="002A1976">
              <w:rPr>
                <w:rFonts w:eastAsia="SimSun"/>
                <w:color w:val="0070C0"/>
              </w:rPr>
              <w:t xml:space="preserve"> </w:t>
            </w:r>
            <w:r w:rsidRPr="002A1976">
              <w:rPr>
                <w:rFonts w:eastAsia="SimSun"/>
              </w:rPr>
              <w:t>average per capita gross domestic product</w:t>
            </w:r>
            <w:r w:rsidRPr="002A1976">
              <w:rPr>
                <w:rFonts w:eastAsia="SimSun"/>
                <w:color w:val="0070C0"/>
              </w:rPr>
              <w:t xml:space="preserve"> </w:t>
            </w:r>
            <w:r w:rsidRPr="002A1976">
              <w:rPr>
                <w:rFonts w:eastAsia="SimSun"/>
              </w:rPr>
              <w:t>figures</w:t>
            </w:r>
            <w:r w:rsidRPr="002A1976">
              <w:rPr>
                <w:rFonts w:eastAsia="SimSun"/>
                <w:color w:val="0070C0"/>
              </w:rPr>
              <w:t xml:space="preserve"> </w:t>
            </w:r>
            <w:r w:rsidRPr="002A1976">
              <w:rPr>
                <w:rFonts w:eastAsia="SimSun"/>
              </w:rPr>
              <w:t>at constant 2005 US$ values published</w:t>
            </w:r>
            <w:r w:rsidRPr="002A1976">
              <w:rPr>
                <w:rFonts w:eastAsia="SimSun"/>
                <w:color w:val="0070C0"/>
              </w:rPr>
              <w:t xml:space="preserve"> </w:t>
            </w:r>
            <w:r w:rsidRPr="002A1976">
              <w:rPr>
                <w:rFonts w:eastAsia="SimSun"/>
              </w:rPr>
              <w:t>by the United Nations), and whose nationals and residents who are natural persons have filed less than 10 international applications per year (per million population) or less than 50 international applications per year (in absolute numbers) according to the most recent five</w:t>
            </w:r>
            <w:r w:rsidRPr="002A1976">
              <w:rPr>
                <w:rFonts w:eastAsia="SimSun"/>
              </w:rPr>
              <w:noBreakHyphen/>
              <w:t>year average yearly filing figures published by the International Bureau;  or</w:t>
            </w:r>
          </w:p>
        </w:tc>
      </w:tr>
      <w:tr w:rsidR="001B7D3E" w:rsidRPr="002A1976" w:rsidTr="001405F4">
        <w:trPr>
          <w:gridBefore w:val="1"/>
          <w:wBefore w:w="33" w:type="dxa"/>
          <w:cantSplit/>
          <w:jc w:val="center"/>
        </w:trPr>
        <w:tc>
          <w:tcPr>
            <w:tcW w:w="573" w:type="dxa"/>
          </w:tcPr>
          <w:p w:rsidR="001B7D3E" w:rsidRPr="002A1976" w:rsidRDefault="001B7D3E" w:rsidP="001405F4">
            <w:pPr>
              <w:suppressAutoHyphens/>
              <w:spacing w:after="120" w:line="360" w:lineRule="auto"/>
              <w:rPr>
                <w:szCs w:val="28"/>
              </w:rPr>
            </w:pPr>
          </w:p>
        </w:tc>
        <w:tc>
          <w:tcPr>
            <w:tcW w:w="8540" w:type="dxa"/>
            <w:gridSpan w:val="3"/>
          </w:tcPr>
          <w:p w:rsidR="001B7D3E" w:rsidRPr="002A1976" w:rsidRDefault="001B7D3E" w:rsidP="001405F4">
            <w:pPr>
              <w:pStyle w:val="LegBasic"/>
              <w:spacing w:after="120" w:line="360" w:lineRule="auto"/>
              <w:rPr>
                <w:rFonts w:eastAsia="SimSun"/>
              </w:rPr>
            </w:pPr>
            <w:r w:rsidRPr="002A1976">
              <w:rPr>
                <w:rFonts w:eastAsia="SimSun"/>
              </w:rPr>
              <w:t>(b)</w:t>
            </w:r>
            <w:r w:rsidRPr="002A1976">
              <w:rPr>
                <w:rFonts w:eastAsia="SimSun"/>
              </w:rPr>
              <w:tab/>
            </w:r>
            <w:r>
              <w:t>[No change]  </w:t>
            </w:r>
            <w:r w:rsidRPr="002A1976">
              <w:rPr>
                <w:rFonts w:eastAsia="SimSun"/>
              </w:rPr>
              <w:t>an applicant, whether a natural person or not, who is a national of and resides in a State that is</w:t>
            </w:r>
            <w:r w:rsidRPr="002A1976">
              <w:rPr>
                <w:rFonts w:eastAsia="SimSun"/>
                <w:color w:val="0070C0"/>
              </w:rPr>
              <w:t xml:space="preserve"> </w:t>
            </w:r>
            <w:r w:rsidRPr="002A1976">
              <w:rPr>
                <w:rFonts w:eastAsia="SimSun"/>
              </w:rPr>
              <w:t>listed as being classified by the United Nations as a least developed country;</w:t>
            </w:r>
          </w:p>
        </w:tc>
      </w:tr>
      <w:tr w:rsidR="001B7D3E" w:rsidRPr="002A1976" w:rsidTr="001405F4">
        <w:trPr>
          <w:gridBefore w:val="1"/>
          <w:wBefore w:w="33" w:type="dxa"/>
          <w:cantSplit/>
          <w:jc w:val="center"/>
        </w:trPr>
        <w:tc>
          <w:tcPr>
            <w:tcW w:w="9113" w:type="dxa"/>
            <w:gridSpan w:val="4"/>
          </w:tcPr>
          <w:p w:rsidR="001B7D3E" w:rsidRPr="002A1976" w:rsidRDefault="001B7D3E" w:rsidP="001405F4">
            <w:pPr>
              <w:pStyle w:val="LegBasic"/>
              <w:spacing w:after="120" w:line="360" w:lineRule="auto"/>
              <w:rPr>
                <w:rFonts w:eastAsia="SimSun"/>
              </w:rPr>
            </w:pPr>
            <w:r w:rsidRPr="002A1976">
              <w:rPr>
                <w:rFonts w:eastAsia="SimSun"/>
              </w:rPr>
              <w:t>provided that</w:t>
            </w:r>
            <w:r>
              <w:rPr>
                <w:rFonts w:eastAsia="SimSun"/>
              </w:rPr>
              <w:t xml:space="preserve">, </w:t>
            </w:r>
            <w:r>
              <w:rPr>
                <w:rStyle w:val="LegAddedText"/>
                <w:rFonts w:eastAsia="SimSun"/>
                <w:color w:val="0000FF"/>
              </w:rPr>
              <w:t>at the time of filing of the international application, th</w:t>
            </w:r>
            <w:r w:rsidRPr="00405208">
              <w:rPr>
                <w:rStyle w:val="LegAddedText"/>
                <w:rFonts w:eastAsia="SimSun"/>
                <w:color w:val="0000FF"/>
              </w:rPr>
              <w:t>ere are no beneficial owners of the international application who would not satisfy the criteria in sub-item (a) or (b) and provided that</w:t>
            </w:r>
            <w:r w:rsidRPr="00A61B26">
              <w:rPr>
                <w:rFonts w:eastAsia="SimSun"/>
              </w:rPr>
              <w:t>,</w:t>
            </w:r>
            <w:r w:rsidRPr="002A1976">
              <w:rPr>
                <w:rFonts w:eastAsia="SimSun"/>
              </w:rPr>
              <w:t xml:space="preserve"> if there are several applicants, each must satisfy the criteria set out in either sub-item (a) or (b).</w:t>
            </w:r>
            <w:r w:rsidRPr="002A1976">
              <w:rPr>
                <w:rFonts w:eastAsia="SimSun"/>
                <w:color w:val="0070C0"/>
              </w:rPr>
              <w:t xml:space="preserve">  </w:t>
            </w:r>
            <w:r w:rsidRPr="002A1976">
              <w:rPr>
                <w:rFonts w:eastAsia="SimSun"/>
              </w:rPr>
              <w:t>The lists of States referred to in sub-items (a) and (b)</w:t>
            </w:r>
            <w:r w:rsidRPr="002A1976">
              <w:rPr>
                <w:rFonts w:eastAsia="SimSun"/>
                <w:vertAlign w:val="superscript"/>
              </w:rPr>
              <w:footnoteReference w:id="4"/>
            </w:r>
            <w:r w:rsidRPr="002A1976">
              <w:rPr>
                <w:rFonts w:eastAsia="SimSun"/>
              </w:rPr>
              <w:t xml:space="preserve"> shall be updated by the Director General at least every five years according to directives given by the Ass</w:t>
            </w:r>
            <w:r>
              <w:rPr>
                <w:rFonts w:eastAsia="SimSun"/>
              </w:rPr>
              <w:t xml:space="preserve">embly.  The criteria set out in </w:t>
            </w:r>
            <w:r w:rsidRPr="002A1976">
              <w:rPr>
                <w:rFonts w:eastAsia="SimSun"/>
              </w:rPr>
              <w:t>sub-items</w:t>
            </w:r>
            <w:r>
              <w:rPr>
                <w:rFonts w:eastAsia="SimSun"/>
              </w:rPr>
              <w:t> </w:t>
            </w:r>
            <w:r w:rsidRPr="002A1976">
              <w:rPr>
                <w:rFonts w:eastAsia="SimSun"/>
              </w:rPr>
              <w:t>(a) and (b) shall be reviewed by the Assembly at least every five years.</w:t>
            </w:r>
          </w:p>
        </w:tc>
      </w:tr>
      <w:bookmarkEnd w:id="15"/>
    </w:tbl>
    <w:p w:rsidR="000D4C42" w:rsidRDefault="000D4C42"/>
    <w:p w:rsidR="000D4C42" w:rsidRDefault="000D4C42"/>
    <w:p w:rsidR="00957053" w:rsidRDefault="00957053" w:rsidP="00957053">
      <w:pPr>
        <w:pStyle w:val="Endofdocument-Annex"/>
        <w:sectPr w:rsidR="00957053" w:rsidSect="001B7D3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[Annex II follows]</w:t>
      </w:r>
    </w:p>
    <w:p w:rsidR="001B7D3E" w:rsidRDefault="001B7D3E" w:rsidP="00957053">
      <w:pPr>
        <w:jc w:val="center"/>
      </w:pPr>
    </w:p>
    <w:p w:rsidR="001B7D3E" w:rsidRDefault="001B7D3E" w:rsidP="00957053">
      <w:pPr>
        <w:jc w:val="center"/>
      </w:pPr>
    </w:p>
    <w:p w:rsidR="00957053" w:rsidRDefault="00957053" w:rsidP="00957053">
      <w:pPr>
        <w:jc w:val="center"/>
      </w:pPr>
      <w:r>
        <w:t>PROPOSED AMENDMENTS TO THE PCT REGULATIONS</w:t>
      </w:r>
    </w:p>
    <w:p w:rsidR="00957053" w:rsidRDefault="00957053" w:rsidP="00957053">
      <w:pPr>
        <w:jc w:val="center"/>
        <w:rPr>
          <w:caps/>
        </w:rPr>
      </w:pPr>
      <w:r>
        <w:br/>
      </w:r>
      <w:r>
        <w:rPr>
          <w:caps/>
        </w:rPr>
        <w:t>(clean text)</w:t>
      </w:r>
    </w:p>
    <w:p w:rsidR="00957053" w:rsidRDefault="00957053" w:rsidP="00957053">
      <w:pPr>
        <w:jc w:val="center"/>
      </w:pPr>
    </w:p>
    <w:p w:rsidR="00957053" w:rsidRDefault="00957053" w:rsidP="00957053">
      <w:r>
        <w:t>Proposed amendments of the PCT Regulations are set out in Annex I, in which additions and deletions are shown, respectively, by underlining and striking-through of the text concerned.  This Annex contains, for convenient reference, a “clean” text of the relevant provisions as they would stand after amendment.</w:t>
      </w:r>
    </w:p>
    <w:p w:rsidR="00957053" w:rsidRDefault="00957053" w:rsidP="00957053">
      <w:pPr>
        <w:jc w:val="center"/>
      </w:pPr>
    </w:p>
    <w:p w:rsidR="005705A2" w:rsidRDefault="001B7D3E">
      <w:pPr>
        <w:pStyle w:val="TOC1"/>
        <w:tabs>
          <w:tab w:val="right" w:leader="dot" w:pos="9345"/>
        </w:tabs>
        <w:rPr>
          <w:rFonts w:asciiTheme="minorHAnsi" w:eastAsiaTheme="minorEastAsia" w:hAnsiTheme="minorHAnsi" w:cstheme="minorBidi"/>
          <w:noProof/>
          <w:szCs w:val="22"/>
          <w:lang w:val="en-GB" w:eastAsia="en-GB"/>
        </w:rPr>
      </w:pPr>
      <w:r>
        <w:fldChar w:fldCharType="begin"/>
      </w:r>
      <w:r>
        <w:instrText xml:space="preserve"> TOC \b "AxII" \h \z \t "Leg # Title,1,Leg SubRule #,2" </w:instrText>
      </w:r>
      <w:r>
        <w:fldChar w:fldCharType="separate"/>
      </w:r>
      <w:hyperlink w:anchor="_Toc484171068" w:history="1">
        <w:r w:rsidR="005705A2" w:rsidRPr="008C0442">
          <w:rPr>
            <w:rStyle w:val="Hyperlink"/>
            <w:noProof/>
          </w:rPr>
          <w:t>Rule 4 The Request (Contents)</w:t>
        </w:r>
        <w:r w:rsidR="005705A2">
          <w:rPr>
            <w:noProof/>
            <w:webHidden/>
          </w:rPr>
          <w:tab/>
        </w:r>
        <w:r w:rsidR="005705A2">
          <w:rPr>
            <w:noProof/>
            <w:webHidden/>
          </w:rPr>
          <w:fldChar w:fldCharType="begin"/>
        </w:r>
        <w:r w:rsidR="005705A2">
          <w:rPr>
            <w:noProof/>
            <w:webHidden/>
          </w:rPr>
          <w:instrText xml:space="preserve"> PAGEREF _Toc484171068 \h </w:instrText>
        </w:r>
        <w:r w:rsidR="005705A2">
          <w:rPr>
            <w:noProof/>
            <w:webHidden/>
          </w:rPr>
        </w:r>
        <w:r w:rsidR="005705A2">
          <w:rPr>
            <w:noProof/>
            <w:webHidden/>
          </w:rPr>
          <w:fldChar w:fldCharType="separate"/>
        </w:r>
        <w:r w:rsidR="00E5717F">
          <w:rPr>
            <w:noProof/>
            <w:webHidden/>
          </w:rPr>
          <w:t>2</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69" w:history="1">
        <w:r w:rsidR="005705A2" w:rsidRPr="008C0442">
          <w:rPr>
            <w:rStyle w:val="Hyperlink"/>
            <w:noProof/>
          </w:rPr>
          <w:t>4.1   </w:t>
        </w:r>
        <w:r w:rsidR="005705A2" w:rsidRPr="008C0442">
          <w:rPr>
            <w:rStyle w:val="Hyperlink"/>
            <w:i/>
            <w:noProof/>
          </w:rPr>
          <w:t>Mandatory and Optional Contents;  Signature</w:t>
        </w:r>
        <w:r w:rsidR="005705A2">
          <w:rPr>
            <w:noProof/>
            <w:webHidden/>
          </w:rPr>
          <w:tab/>
        </w:r>
        <w:r w:rsidR="005705A2">
          <w:rPr>
            <w:noProof/>
            <w:webHidden/>
          </w:rPr>
          <w:fldChar w:fldCharType="begin"/>
        </w:r>
        <w:r w:rsidR="005705A2">
          <w:rPr>
            <w:noProof/>
            <w:webHidden/>
          </w:rPr>
          <w:instrText xml:space="preserve"> PAGEREF _Toc484171069 \h </w:instrText>
        </w:r>
        <w:r w:rsidR="005705A2">
          <w:rPr>
            <w:noProof/>
            <w:webHidden/>
          </w:rPr>
        </w:r>
        <w:r w:rsidR="005705A2">
          <w:rPr>
            <w:noProof/>
            <w:webHidden/>
          </w:rPr>
          <w:fldChar w:fldCharType="separate"/>
        </w:r>
        <w:r>
          <w:rPr>
            <w:noProof/>
            <w:webHidden/>
          </w:rPr>
          <w:t>2</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70" w:history="1">
        <w:r w:rsidR="005705A2" w:rsidRPr="008C0442">
          <w:rPr>
            <w:rStyle w:val="Hyperlink"/>
            <w:noProof/>
          </w:rPr>
          <w:t>4.2 to 4.19   </w:t>
        </w:r>
        <w:r w:rsidR="005705A2" w:rsidRPr="008C0442">
          <w:rPr>
            <w:rStyle w:val="Hyperlink"/>
            <w:i/>
            <w:noProof/>
          </w:rPr>
          <w:t>[No change]</w:t>
        </w:r>
        <w:r w:rsidR="005705A2">
          <w:rPr>
            <w:noProof/>
            <w:webHidden/>
          </w:rPr>
          <w:tab/>
        </w:r>
        <w:r w:rsidR="005705A2">
          <w:rPr>
            <w:noProof/>
            <w:webHidden/>
          </w:rPr>
          <w:fldChar w:fldCharType="begin"/>
        </w:r>
        <w:r w:rsidR="005705A2">
          <w:rPr>
            <w:noProof/>
            <w:webHidden/>
          </w:rPr>
          <w:instrText xml:space="preserve"> PAGEREF _Toc484171070 \h </w:instrText>
        </w:r>
        <w:r w:rsidR="005705A2">
          <w:rPr>
            <w:noProof/>
            <w:webHidden/>
          </w:rPr>
        </w:r>
        <w:r w:rsidR="005705A2">
          <w:rPr>
            <w:noProof/>
            <w:webHidden/>
          </w:rPr>
          <w:fldChar w:fldCharType="separate"/>
        </w:r>
        <w:r>
          <w:rPr>
            <w:noProof/>
            <w:webHidden/>
          </w:rPr>
          <w:t>2</w:t>
        </w:r>
        <w:r w:rsidR="005705A2">
          <w:rPr>
            <w:noProof/>
            <w:webHidden/>
          </w:rPr>
          <w:fldChar w:fldCharType="end"/>
        </w:r>
      </w:hyperlink>
    </w:p>
    <w:p w:rsidR="005705A2" w:rsidRDefault="00E5717F">
      <w:pPr>
        <w:pStyle w:val="TOC1"/>
        <w:tabs>
          <w:tab w:val="right" w:leader="dot" w:pos="9345"/>
        </w:tabs>
        <w:rPr>
          <w:rFonts w:asciiTheme="minorHAnsi" w:eastAsiaTheme="minorEastAsia" w:hAnsiTheme="minorHAnsi" w:cstheme="minorBidi"/>
          <w:noProof/>
          <w:szCs w:val="22"/>
          <w:lang w:val="en-GB" w:eastAsia="en-GB"/>
        </w:rPr>
      </w:pPr>
      <w:hyperlink w:anchor="_Toc484171071" w:history="1">
        <w:r w:rsidR="005705A2" w:rsidRPr="008C0442">
          <w:rPr>
            <w:rStyle w:val="Hyperlink"/>
            <w:noProof/>
          </w:rPr>
          <w:t>Rule 41 Taking into Account Results of Earlier Search and Classification</w:t>
        </w:r>
        <w:r w:rsidR="005705A2">
          <w:rPr>
            <w:noProof/>
            <w:webHidden/>
          </w:rPr>
          <w:tab/>
        </w:r>
        <w:r w:rsidR="005705A2">
          <w:rPr>
            <w:noProof/>
            <w:webHidden/>
          </w:rPr>
          <w:fldChar w:fldCharType="begin"/>
        </w:r>
        <w:r w:rsidR="005705A2">
          <w:rPr>
            <w:noProof/>
            <w:webHidden/>
          </w:rPr>
          <w:instrText xml:space="preserve"> PAGEREF _Toc484171071 \h </w:instrText>
        </w:r>
        <w:r w:rsidR="005705A2">
          <w:rPr>
            <w:noProof/>
            <w:webHidden/>
          </w:rPr>
        </w:r>
        <w:r w:rsidR="005705A2">
          <w:rPr>
            <w:noProof/>
            <w:webHidden/>
          </w:rPr>
          <w:fldChar w:fldCharType="separate"/>
        </w:r>
        <w:r>
          <w:rPr>
            <w:noProof/>
            <w:webHidden/>
          </w:rPr>
          <w:t>3</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72" w:history="1">
        <w:r w:rsidR="005705A2" w:rsidRPr="008C0442">
          <w:rPr>
            <w:rStyle w:val="Hyperlink"/>
            <w:noProof/>
          </w:rPr>
          <w:t>41.1   </w:t>
        </w:r>
        <w:r w:rsidR="005705A2" w:rsidRPr="008C0442">
          <w:rPr>
            <w:rStyle w:val="Hyperlink"/>
            <w:i/>
            <w:noProof/>
          </w:rPr>
          <w:t>[No change]</w:t>
        </w:r>
        <w:r w:rsidR="005705A2">
          <w:rPr>
            <w:noProof/>
            <w:webHidden/>
          </w:rPr>
          <w:tab/>
        </w:r>
        <w:r w:rsidR="005705A2">
          <w:rPr>
            <w:noProof/>
            <w:webHidden/>
          </w:rPr>
          <w:fldChar w:fldCharType="begin"/>
        </w:r>
        <w:r w:rsidR="005705A2">
          <w:rPr>
            <w:noProof/>
            <w:webHidden/>
          </w:rPr>
          <w:instrText xml:space="preserve"> PAGEREF _Toc484171072 \h </w:instrText>
        </w:r>
        <w:r w:rsidR="005705A2">
          <w:rPr>
            <w:noProof/>
            <w:webHidden/>
          </w:rPr>
        </w:r>
        <w:r w:rsidR="005705A2">
          <w:rPr>
            <w:noProof/>
            <w:webHidden/>
          </w:rPr>
          <w:fldChar w:fldCharType="separate"/>
        </w:r>
        <w:r>
          <w:rPr>
            <w:noProof/>
            <w:webHidden/>
          </w:rPr>
          <w:t>3</w:t>
        </w:r>
        <w:r w:rsidR="005705A2">
          <w:rPr>
            <w:noProof/>
            <w:webHidden/>
          </w:rPr>
          <w:fldChar w:fldCharType="end"/>
        </w:r>
      </w:hyperlink>
    </w:p>
    <w:p w:rsidR="005705A2" w:rsidRDefault="00E5717F">
      <w:pPr>
        <w:pStyle w:val="TOC2"/>
        <w:tabs>
          <w:tab w:val="right" w:leader="dot" w:pos="9345"/>
        </w:tabs>
        <w:rPr>
          <w:rFonts w:asciiTheme="minorHAnsi" w:eastAsiaTheme="minorEastAsia" w:hAnsiTheme="minorHAnsi" w:cstheme="minorBidi"/>
          <w:noProof/>
          <w:szCs w:val="22"/>
          <w:lang w:val="en-GB" w:eastAsia="en-GB"/>
        </w:rPr>
      </w:pPr>
      <w:hyperlink w:anchor="_Toc484171073" w:history="1">
        <w:r w:rsidR="005705A2" w:rsidRPr="008C0442">
          <w:rPr>
            <w:rStyle w:val="Hyperlink"/>
            <w:noProof/>
          </w:rPr>
          <w:t>41.2   </w:t>
        </w:r>
        <w:r w:rsidR="005705A2" w:rsidRPr="008C0442">
          <w:rPr>
            <w:rStyle w:val="Hyperlink"/>
            <w:i/>
            <w:noProof/>
          </w:rPr>
          <w:t>Taking into Account Results of Earlier Search and Classification in Other Cases</w:t>
        </w:r>
        <w:r w:rsidR="005705A2">
          <w:rPr>
            <w:noProof/>
            <w:webHidden/>
          </w:rPr>
          <w:tab/>
        </w:r>
        <w:r w:rsidR="005705A2">
          <w:rPr>
            <w:noProof/>
            <w:webHidden/>
          </w:rPr>
          <w:fldChar w:fldCharType="begin"/>
        </w:r>
        <w:r w:rsidR="005705A2">
          <w:rPr>
            <w:noProof/>
            <w:webHidden/>
          </w:rPr>
          <w:instrText xml:space="preserve"> PAGEREF _Toc484171073 \h </w:instrText>
        </w:r>
        <w:r w:rsidR="005705A2">
          <w:rPr>
            <w:noProof/>
            <w:webHidden/>
          </w:rPr>
        </w:r>
        <w:r w:rsidR="005705A2">
          <w:rPr>
            <w:noProof/>
            <w:webHidden/>
          </w:rPr>
          <w:fldChar w:fldCharType="separate"/>
        </w:r>
        <w:r>
          <w:rPr>
            <w:noProof/>
            <w:webHidden/>
          </w:rPr>
          <w:t>3</w:t>
        </w:r>
        <w:r w:rsidR="005705A2">
          <w:rPr>
            <w:noProof/>
            <w:webHidden/>
          </w:rPr>
          <w:fldChar w:fldCharType="end"/>
        </w:r>
      </w:hyperlink>
    </w:p>
    <w:p w:rsidR="005705A2" w:rsidRDefault="00E5717F">
      <w:pPr>
        <w:pStyle w:val="TOC1"/>
        <w:tabs>
          <w:tab w:val="right" w:leader="dot" w:pos="9345"/>
        </w:tabs>
        <w:rPr>
          <w:rFonts w:asciiTheme="minorHAnsi" w:eastAsiaTheme="minorEastAsia" w:hAnsiTheme="minorHAnsi" w:cstheme="minorBidi"/>
          <w:noProof/>
          <w:szCs w:val="22"/>
          <w:lang w:val="en-GB" w:eastAsia="en-GB"/>
        </w:rPr>
      </w:pPr>
      <w:hyperlink w:anchor="_Toc484171074" w:history="1">
        <w:r w:rsidR="005705A2" w:rsidRPr="008C0442">
          <w:rPr>
            <w:rStyle w:val="Hyperlink"/>
            <w:noProof/>
          </w:rPr>
          <w:t>SCHEDULE OF FEES</w:t>
        </w:r>
        <w:r w:rsidR="005705A2">
          <w:rPr>
            <w:noProof/>
            <w:webHidden/>
          </w:rPr>
          <w:tab/>
        </w:r>
        <w:r w:rsidR="005705A2">
          <w:rPr>
            <w:noProof/>
            <w:webHidden/>
          </w:rPr>
          <w:fldChar w:fldCharType="begin"/>
        </w:r>
        <w:r w:rsidR="005705A2">
          <w:rPr>
            <w:noProof/>
            <w:webHidden/>
          </w:rPr>
          <w:instrText xml:space="preserve"> PAGEREF _Toc484171074 \h </w:instrText>
        </w:r>
        <w:r w:rsidR="005705A2">
          <w:rPr>
            <w:noProof/>
            <w:webHidden/>
          </w:rPr>
        </w:r>
        <w:r w:rsidR="005705A2">
          <w:rPr>
            <w:noProof/>
            <w:webHidden/>
          </w:rPr>
          <w:fldChar w:fldCharType="separate"/>
        </w:r>
        <w:r>
          <w:rPr>
            <w:noProof/>
            <w:webHidden/>
          </w:rPr>
          <w:t>4</w:t>
        </w:r>
        <w:r w:rsidR="005705A2">
          <w:rPr>
            <w:noProof/>
            <w:webHidden/>
          </w:rPr>
          <w:fldChar w:fldCharType="end"/>
        </w:r>
      </w:hyperlink>
    </w:p>
    <w:p w:rsidR="001B7D3E" w:rsidRDefault="001B7D3E" w:rsidP="001B7D3E">
      <w:r>
        <w:fldChar w:fldCharType="end"/>
      </w:r>
    </w:p>
    <w:p w:rsidR="00957053" w:rsidRDefault="00957053"/>
    <w:p w:rsidR="001B7D3E" w:rsidRDefault="001B7D3E" w:rsidP="001B7D3E">
      <w:pPr>
        <w:pStyle w:val="LegTitle"/>
      </w:pPr>
      <w:bookmarkStart w:id="28" w:name="_Toc484171068"/>
      <w:bookmarkStart w:id="29" w:name="AxII"/>
      <w:r>
        <w:lastRenderedPageBreak/>
        <w:t>Rule 4</w:t>
      </w:r>
      <w:r>
        <w:br/>
      </w:r>
      <w:proofErr w:type="gramStart"/>
      <w:r>
        <w:t>The</w:t>
      </w:r>
      <w:proofErr w:type="gramEnd"/>
      <w:r>
        <w:t xml:space="preserve"> Request (Contents)</w:t>
      </w:r>
      <w:bookmarkEnd w:id="28"/>
      <w:r>
        <w:t xml:space="preserve">  </w:t>
      </w:r>
    </w:p>
    <w:p w:rsidR="001B7D3E" w:rsidRDefault="001B7D3E" w:rsidP="001B7D3E">
      <w:pPr>
        <w:pStyle w:val="LegSubRule"/>
      </w:pPr>
      <w:bookmarkStart w:id="30" w:name="_Toc484171069"/>
      <w:r>
        <w:t>4.1   </w:t>
      </w:r>
      <w:r>
        <w:rPr>
          <w:i/>
        </w:rPr>
        <w:t>Mandatory and Optional Contents</w:t>
      </w:r>
      <w:proofErr w:type="gramStart"/>
      <w:r>
        <w:rPr>
          <w:i/>
        </w:rPr>
        <w:t>;  Signature</w:t>
      </w:r>
      <w:bookmarkEnd w:id="30"/>
      <w:proofErr w:type="gramEnd"/>
    </w:p>
    <w:p w:rsidR="001B7D3E" w:rsidRDefault="001B7D3E" w:rsidP="001B7D3E">
      <w:pPr>
        <w:pStyle w:val="Lega"/>
        <w:jc w:val="left"/>
      </w:pPr>
      <w:r>
        <w:tab/>
        <w:t>(a)  [No change]</w:t>
      </w:r>
    </w:p>
    <w:p w:rsidR="001B7D3E" w:rsidRDefault="001B7D3E" w:rsidP="001B7D3E">
      <w:pPr>
        <w:pStyle w:val="Lega"/>
        <w:jc w:val="left"/>
      </w:pPr>
      <w:r>
        <w:tab/>
        <w:t>(b)  The request shall, where applicable, contain:</w:t>
      </w:r>
    </w:p>
    <w:p w:rsidR="001B7D3E" w:rsidRDefault="001B7D3E" w:rsidP="001B7D3E">
      <w:pPr>
        <w:pStyle w:val="Legi"/>
        <w:jc w:val="left"/>
      </w:pPr>
      <w:r>
        <w:tab/>
        <w:t>(</w:t>
      </w:r>
      <w:proofErr w:type="spellStart"/>
      <w:r>
        <w:t>i</w:t>
      </w:r>
      <w:proofErr w:type="spellEnd"/>
      <w:r>
        <w:t>)</w:t>
      </w:r>
      <w:r>
        <w:tab/>
      </w:r>
      <w:proofErr w:type="gramStart"/>
      <w:r>
        <w:t>a</w:t>
      </w:r>
      <w:proofErr w:type="gramEnd"/>
      <w:r>
        <w:t xml:space="preserve"> priority claim, or</w:t>
      </w:r>
    </w:p>
    <w:p w:rsidR="001B7D3E" w:rsidRDefault="001B7D3E" w:rsidP="001B7D3E">
      <w:pPr>
        <w:pStyle w:val="Legi"/>
        <w:jc w:val="left"/>
      </w:pPr>
      <w:r>
        <w:tab/>
        <w:t>(ii)</w:t>
      </w:r>
      <w:r>
        <w:tab/>
      </w:r>
      <w:proofErr w:type="gramStart"/>
      <w:r>
        <w:t>indications</w:t>
      </w:r>
      <w:proofErr w:type="gramEnd"/>
      <w:r>
        <w:t xml:space="preserve"> relating to an earlier search as provided in Rules 4.12(</w:t>
      </w:r>
      <w:proofErr w:type="spellStart"/>
      <w:r>
        <w:t>i</w:t>
      </w:r>
      <w:proofErr w:type="spellEnd"/>
      <w:r>
        <w:t>) and 12</w:t>
      </w:r>
      <w:r>
        <w:rPr>
          <w:i/>
        </w:rPr>
        <w:t>bis</w:t>
      </w:r>
      <w:r>
        <w:t>.1</w:t>
      </w:r>
      <w:r w:rsidRPr="001B7D3E">
        <w:t>(b)</w:t>
      </w:r>
      <w:r>
        <w:rPr>
          <w:color w:val="0000FF"/>
        </w:rPr>
        <w:t xml:space="preserve"> </w:t>
      </w:r>
      <w:r>
        <w:t xml:space="preserve">and </w:t>
      </w:r>
      <w:r w:rsidRPr="001B7D3E">
        <w:t>(d)</w:t>
      </w:r>
      <w:r>
        <w:t xml:space="preserve">, </w:t>
      </w:r>
    </w:p>
    <w:p w:rsidR="001B7D3E" w:rsidRDefault="001B7D3E" w:rsidP="001B7D3E">
      <w:pPr>
        <w:pStyle w:val="Legi"/>
        <w:jc w:val="left"/>
      </w:pPr>
      <w:r>
        <w:tab/>
        <w:t>(iii)</w:t>
      </w:r>
      <w:r>
        <w:tab/>
      </w:r>
      <w:proofErr w:type="gramStart"/>
      <w:r>
        <w:t>a</w:t>
      </w:r>
      <w:proofErr w:type="gramEnd"/>
      <w:r>
        <w:t xml:space="preserve"> reference to a parent application or parent patent,</w:t>
      </w:r>
    </w:p>
    <w:p w:rsidR="001B7D3E" w:rsidRDefault="001B7D3E" w:rsidP="001B7D3E">
      <w:pPr>
        <w:pStyle w:val="Legi"/>
        <w:jc w:val="left"/>
      </w:pPr>
      <w:r>
        <w:tab/>
        <w:t>(iv)</w:t>
      </w:r>
      <w:r>
        <w:tab/>
      </w:r>
      <w:proofErr w:type="gramStart"/>
      <w:r>
        <w:t>an</w:t>
      </w:r>
      <w:proofErr w:type="gramEnd"/>
      <w:r>
        <w:t xml:space="preserve"> indication of the applicant’s choice of competent International Searching Authority.</w:t>
      </w:r>
    </w:p>
    <w:p w:rsidR="001B7D3E" w:rsidRDefault="001B7D3E" w:rsidP="001B7D3E">
      <w:pPr>
        <w:pStyle w:val="Lega"/>
        <w:jc w:val="left"/>
      </w:pPr>
      <w:r>
        <w:tab/>
        <w:t>(</w:t>
      </w:r>
      <w:proofErr w:type="gramStart"/>
      <w:r>
        <w:t>c</w:t>
      </w:r>
      <w:proofErr w:type="gramEnd"/>
      <w:r>
        <w:t>) and (d)  [No change]</w:t>
      </w:r>
    </w:p>
    <w:p w:rsidR="001B7D3E" w:rsidRDefault="001B7D3E" w:rsidP="001B7D3E">
      <w:pPr>
        <w:pStyle w:val="LegSubRule"/>
      </w:pPr>
      <w:bookmarkStart w:id="31" w:name="_Toc484171070"/>
      <w:r>
        <w:t>4.2 to 4.19   </w:t>
      </w:r>
      <w:r>
        <w:rPr>
          <w:i/>
        </w:rPr>
        <w:t>[No change]</w:t>
      </w:r>
      <w:bookmarkEnd w:id="31"/>
    </w:p>
    <w:p w:rsidR="001B7D3E" w:rsidRDefault="001B7D3E" w:rsidP="001B7D3E"/>
    <w:p w:rsidR="001B7D3E" w:rsidRDefault="001B7D3E" w:rsidP="001B7D3E">
      <w:pPr>
        <w:pStyle w:val="LegTitle"/>
      </w:pPr>
      <w:bookmarkStart w:id="32" w:name="_Toc484171071"/>
      <w:r>
        <w:lastRenderedPageBreak/>
        <w:t>Rule 41</w:t>
      </w:r>
      <w:r>
        <w:br/>
        <w:t>Taking into Account Results of Earlier Search and Classification</w:t>
      </w:r>
      <w:bookmarkEnd w:id="32"/>
      <w:r>
        <w:t xml:space="preserve">  </w:t>
      </w:r>
    </w:p>
    <w:p w:rsidR="001B7D3E" w:rsidRDefault="001B7D3E" w:rsidP="001B7D3E">
      <w:pPr>
        <w:pStyle w:val="LegSubRule"/>
      </w:pPr>
      <w:bookmarkStart w:id="33" w:name="_Toc484171072"/>
      <w:r>
        <w:t>41.1   </w:t>
      </w:r>
      <w:r>
        <w:rPr>
          <w:i/>
        </w:rPr>
        <w:t>[No change]</w:t>
      </w:r>
      <w:bookmarkEnd w:id="33"/>
    </w:p>
    <w:p w:rsidR="001B7D3E" w:rsidRDefault="001B7D3E" w:rsidP="001B7D3E">
      <w:pPr>
        <w:pStyle w:val="LegSubRule"/>
      </w:pPr>
      <w:bookmarkStart w:id="34" w:name="_Toc484171073"/>
      <w:r>
        <w:t>41.2   </w:t>
      </w:r>
      <w:r>
        <w:rPr>
          <w:i/>
        </w:rPr>
        <w:t>Taking into Account Results of Earlier Search and Classification in Other Cases</w:t>
      </w:r>
      <w:bookmarkEnd w:id="34"/>
    </w:p>
    <w:p w:rsidR="001B7D3E" w:rsidRDefault="001B7D3E" w:rsidP="001B7D3E">
      <w:pPr>
        <w:pStyle w:val="Lega"/>
        <w:jc w:val="left"/>
      </w:pPr>
      <w:r>
        <w:tab/>
        <w:t>(a)  [No change]</w:t>
      </w:r>
    </w:p>
    <w:p w:rsidR="001B7D3E" w:rsidRDefault="001B7D3E" w:rsidP="001B7D3E">
      <w:pPr>
        <w:pStyle w:val="Lega"/>
        <w:jc w:val="left"/>
      </w:pPr>
      <w:r>
        <w:tab/>
        <w:t xml:space="preserve">(b)  Where the receiving Office has transmitted to the International Searching Authority a copy of the results of any earlier search or of any earlier classification under Rule </w:t>
      </w:r>
      <w:proofErr w:type="gramStart"/>
      <w:r>
        <w:t>23</w:t>
      </w:r>
      <w:r>
        <w:rPr>
          <w:i/>
        </w:rPr>
        <w:t>bis</w:t>
      </w:r>
      <w:r>
        <w:t>.2(</w:t>
      </w:r>
      <w:proofErr w:type="gramEnd"/>
      <w:r>
        <w:t>a) or </w:t>
      </w:r>
      <w:r w:rsidRPr="001B7D3E">
        <w:t>(c)</w:t>
      </w:r>
      <w:r>
        <w:t>, or where such a copy is available to the International Searching Authority in a form and manner acceptable to it, for example, from a digital library, the International Searching Authority may take those results into account in carrying out the international search.</w:t>
      </w:r>
    </w:p>
    <w:p w:rsidR="001B7D3E" w:rsidRDefault="001B7D3E"/>
    <w:p w:rsidR="001B7D3E" w:rsidRPr="003C35EB" w:rsidRDefault="001B7D3E" w:rsidP="001B7D3E">
      <w:pPr>
        <w:pStyle w:val="LegTitle"/>
        <w:spacing w:after="240" w:line="360" w:lineRule="auto"/>
      </w:pPr>
      <w:bookmarkStart w:id="35" w:name="_Toc390869454"/>
      <w:bookmarkStart w:id="36" w:name="_Toc390869876"/>
      <w:bookmarkStart w:id="37" w:name="_Toc391294056"/>
      <w:bookmarkStart w:id="38" w:name="_Toc477964349"/>
      <w:bookmarkStart w:id="39" w:name="_Toc484171074"/>
      <w:r w:rsidRPr="003C35EB">
        <w:lastRenderedPageBreak/>
        <w:t>SCHEDULE OF FEES</w:t>
      </w:r>
      <w:bookmarkEnd w:id="35"/>
      <w:bookmarkEnd w:id="36"/>
      <w:bookmarkEnd w:id="37"/>
      <w:bookmarkEnd w:id="38"/>
      <w:bookmarkEnd w:id="39"/>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1B7D3E" w:rsidRPr="002A1976" w:rsidTr="001405F4">
        <w:trPr>
          <w:gridAfter w:val="1"/>
          <w:wAfter w:w="33" w:type="dxa"/>
          <w:jc w:val="center"/>
        </w:trPr>
        <w:tc>
          <w:tcPr>
            <w:tcW w:w="6112" w:type="dxa"/>
            <w:gridSpan w:val="3"/>
          </w:tcPr>
          <w:p w:rsidR="001B7D3E" w:rsidRPr="00763EC0" w:rsidRDefault="001B7D3E" w:rsidP="001405F4">
            <w:pPr>
              <w:pStyle w:val="LegBasic"/>
              <w:spacing w:after="120" w:line="360" w:lineRule="auto"/>
              <w:rPr>
                <w:rFonts w:eastAsia="SimSun"/>
                <w:b/>
                <w:bCs/>
              </w:rPr>
            </w:pPr>
            <w:r w:rsidRPr="00763EC0">
              <w:rPr>
                <w:rFonts w:eastAsia="SimSun"/>
                <w:b/>
                <w:bCs/>
              </w:rPr>
              <w:t>Fees</w:t>
            </w:r>
          </w:p>
        </w:tc>
        <w:tc>
          <w:tcPr>
            <w:tcW w:w="3001" w:type="dxa"/>
          </w:tcPr>
          <w:p w:rsidR="001B7D3E" w:rsidRPr="00763EC0" w:rsidRDefault="001B7D3E" w:rsidP="001405F4">
            <w:pPr>
              <w:pStyle w:val="LegBasic"/>
              <w:spacing w:after="120" w:line="360" w:lineRule="auto"/>
              <w:rPr>
                <w:rFonts w:eastAsia="SimSun"/>
                <w:b/>
                <w:bCs/>
              </w:rPr>
            </w:pPr>
            <w:r w:rsidRPr="00763EC0">
              <w:rPr>
                <w:rFonts w:eastAsia="SimSun"/>
                <w:b/>
                <w:bCs/>
              </w:rPr>
              <w:t>Amounts</w:t>
            </w:r>
          </w:p>
        </w:tc>
      </w:tr>
      <w:tr w:rsidR="001B7D3E" w:rsidRPr="002A1976" w:rsidTr="001405F4">
        <w:trPr>
          <w:gridBefore w:val="1"/>
          <w:wBefore w:w="33" w:type="dxa"/>
          <w:cantSplit/>
          <w:jc w:val="center"/>
        </w:trPr>
        <w:tc>
          <w:tcPr>
            <w:tcW w:w="9113" w:type="dxa"/>
            <w:gridSpan w:val="4"/>
          </w:tcPr>
          <w:p w:rsidR="001B7D3E" w:rsidRPr="002A1976" w:rsidRDefault="001B7D3E" w:rsidP="001405F4">
            <w:pPr>
              <w:pStyle w:val="LegBasic"/>
              <w:spacing w:after="120" w:line="360" w:lineRule="auto"/>
            </w:pPr>
            <w:r>
              <w:t>1. to 3.   [No change]</w:t>
            </w:r>
          </w:p>
        </w:tc>
      </w:tr>
      <w:tr w:rsidR="001B7D3E" w:rsidRPr="002A1976" w:rsidTr="001405F4">
        <w:trPr>
          <w:gridAfter w:val="1"/>
          <w:wAfter w:w="33" w:type="dxa"/>
          <w:jc w:val="center"/>
        </w:trPr>
        <w:tc>
          <w:tcPr>
            <w:tcW w:w="6112" w:type="dxa"/>
            <w:gridSpan w:val="3"/>
          </w:tcPr>
          <w:p w:rsidR="001B7D3E" w:rsidRDefault="001B7D3E" w:rsidP="001405F4">
            <w:pPr>
              <w:pStyle w:val="LegBasic"/>
              <w:spacing w:after="120" w:line="360" w:lineRule="auto"/>
              <w:rPr>
                <w:rFonts w:eastAsia="SimSun"/>
                <w:b/>
                <w:bCs/>
              </w:rPr>
            </w:pPr>
            <w:r>
              <w:rPr>
                <w:rFonts w:eastAsia="SimSun"/>
                <w:b/>
                <w:bCs/>
              </w:rPr>
              <w:t>Reductions</w:t>
            </w:r>
          </w:p>
          <w:p w:rsidR="001B7D3E" w:rsidRPr="00763EC0" w:rsidRDefault="001B7D3E" w:rsidP="001405F4">
            <w:pPr>
              <w:pStyle w:val="LegBasic"/>
              <w:spacing w:after="120" w:line="360" w:lineRule="auto"/>
              <w:rPr>
                <w:rFonts w:eastAsia="SimSun"/>
                <w:b/>
                <w:bCs/>
              </w:rPr>
            </w:pPr>
            <w:r>
              <w:t>4.   [No change]</w:t>
            </w:r>
          </w:p>
        </w:tc>
        <w:tc>
          <w:tcPr>
            <w:tcW w:w="3001" w:type="dxa"/>
          </w:tcPr>
          <w:p w:rsidR="001B7D3E" w:rsidRPr="00763EC0" w:rsidRDefault="001B7D3E" w:rsidP="001405F4">
            <w:pPr>
              <w:pStyle w:val="LegBasic"/>
              <w:spacing w:after="120" w:line="360" w:lineRule="auto"/>
              <w:rPr>
                <w:rFonts w:eastAsia="SimSun"/>
                <w:b/>
                <w:bCs/>
              </w:rPr>
            </w:pPr>
          </w:p>
        </w:tc>
      </w:tr>
      <w:tr w:rsidR="001B7D3E" w:rsidRPr="002A1976" w:rsidTr="001405F4">
        <w:trPr>
          <w:gridBefore w:val="1"/>
          <w:wBefore w:w="33" w:type="dxa"/>
          <w:cantSplit/>
          <w:jc w:val="center"/>
        </w:trPr>
        <w:tc>
          <w:tcPr>
            <w:tcW w:w="9113" w:type="dxa"/>
            <w:gridSpan w:val="4"/>
          </w:tcPr>
          <w:p w:rsidR="001B7D3E" w:rsidRPr="002A1976" w:rsidRDefault="001B7D3E" w:rsidP="001405F4">
            <w:pPr>
              <w:pStyle w:val="LegBasic"/>
              <w:spacing w:after="120" w:line="360" w:lineRule="auto"/>
              <w:rPr>
                <w:rFonts w:eastAsia="SimSun"/>
                <w:lang w:eastAsia="zh-CN"/>
              </w:rPr>
            </w:pPr>
            <w:r w:rsidRPr="002A1976">
              <w:rPr>
                <w:rFonts w:eastAsia="SimSun"/>
                <w:lang w:eastAsia="zh-CN"/>
              </w:rPr>
              <w:t>5.</w:t>
            </w:r>
            <w:r w:rsidRPr="002A1976">
              <w:rPr>
                <w:rFonts w:eastAsia="SimSun"/>
                <w:lang w:eastAsia="zh-CN"/>
              </w:rPr>
              <w:tab/>
              <w:t>The international filing fee under item 1 (where applicable, as reduced under item 4), the supplementary search handling fee under item 2 and the handling fee under item 3 are reduced by 90% if the international application is filed by:</w:t>
            </w:r>
          </w:p>
        </w:tc>
      </w:tr>
      <w:tr w:rsidR="001B7D3E" w:rsidRPr="002A1976" w:rsidTr="001405F4">
        <w:trPr>
          <w:gridBefore w:val="1"/>
          <w:wBefore w:w="33" w:type="dxa"/>
          <w:cantSplit/>
          <w:jc w:val="center"/>
        </w:trPr>
        <w:tc>
          <w:tcPr>
            <w:tcW w:w="573" w:type="dxa"/>
          </w:tcPr>
          <w:p w:rsidR="001B7D3E" w:rsidRPr="002A1976" w:rsidRDefault="001B7D3E" w:rsidP="001405F4">
            <w:pPr>
              <w:suppressAutoHyphens/>
              <w:spacing w:after="120" w:line="360" w:lineRule="auto"/>
              <w:rPr>
                <w:szCs w:val="28"/>
              </w:rPr>
            </w:pPr>
            <w:r w:rsidRPr="002A1976">
              <w:rPr>
                <w:szCs w:val="28"/>
              </w:rPr>
              <w:br w:type="page"/>
            </w:r>
          </w:p>
        </w:tc>
        <w:tc>
          <w:tcPr>
            <w:tcW w:w="8540" w:type="dxa"/>
            <w:gridSpan w:val="3"/>
          </w:tcPr>
          <w:p w:rsidR="001B7D3E" w:rsidRPr="002A1976" w:rsidRDefault="001B7D3E" w:rsidP="001405F4">
            <w:pPr>
              <w:pStyle w:val="LegBasic"/>
              <w:spacing w:after="120" w:line="360" w:lineRule="auto"/>
              <w:rPr>
                <w:rFonts w:eastAsia="SimSun"/>
              </w:rPr>
            </w:pPr>
            <w:r w:rsidRPr="002A1976">
              <w:rPr>
                <w:rFonts w:eastAsia="SimSun"/>
              </w:rPr>
              <w:t>(a)</w:t>
            </w:r>
            <w:r w:rsidRPr="002A1976">
              <w:rPr>
                <w:rFonts w:eastAsia="SimSun"/>
              </w:rPr>
              <w:tab/>
            </w:r>
            <w:r>
              <w:t>[No change]  </w:t>
            </w:r>
            <w:r w:rsidRPr="002A1976">
              <w:rPr>
                <w:rFonts w:eastAsia="SimSun"/>
              </w:rPr>
              <w:t>an applicant who is a natural person and who is a national of and resides in a State</w:t>
            </w:r>
            <w:r w:rsidRPr="002A1976">
              <w:rPr>
                <w:rFonts w:eastAsia="SimSun"/>
                <w:color w:val="0070C0"/>
              </w:rPr>
              <w:t xml:space="preserve"> </w:t>
            </w:r>
            <w:r w:rsidRPr="002A1976">
              <w:rPr>
                <w:rFonts w:eastAsia="SimSun"/>
              </w:rPr>
              <w:t>that is listed as being a State</w:t>
            </w:r>
            <w:r w:rsidRPr="002A1976">
              <w:rPr>
                <w:rFonts w:eastAsia="SimSun"/>
                <w:color w:val="0070C0"/>
              </w:rPr>
              <w:t xml:space="preserve"> </w:t>
            </w:r>
            <w:r w:rsidRPr="002A1976">
              <w:rPr>
                <w:rFonts w:eastAsia="SimSun"/>
              </w:rPr>
              <w:t>whose per capita gross domestic product</w:t>
            </w:r>
            <w:r w:rsidRPr="002A1976">
              <w:rPr>
                <w:rFonts w:eastAsia="SimSun"/>
                <w:color w:val="0070C0"/>
              </w:rPr>
              <w:t xml:space="preserve"> </w:t>
            </w:r>
            <w:r w:rsidRPr="002A1976">
              <w:rPr>
                <w:rFonts w:eastAsia="SimSun"/>
              </w:rPr>
              <w:t>is below US$ 25,000 (according to the most recent 10</w:t>
            </w:r>
            <w:r w:rsidRPr="002A1976">
              <w:rPr>
                <w:rFonts w:eastAsia="SimSun"/>
              </w:rPr>
              <w:noBreakHyphen/>
              <w:t>year</w:t>
            </w:r>
            <w:r w:rsidRPr="002A1976">
              <w:rPr>
                <w:rFonts w:eastAsia="SimSun"/>
                <w:color w:val="0070C0"/>
              </w:rPr>
              <w:t xml:space="preserve"> </w:t>
            </w:r>
            <w:r w:rsidRPr="002A1976">
              <w:rPr>
                <w:rFonts w:eastAsia="SimSun"/>
              </w:rPr>
              <w:t>average per capita gross domestic product</w:t>
            </w:r>
            <w:r w:rsidRPr="002A1976">
              <w:rPr>
                <w:rFonts w:eastAsia="SimSun"/>
                <w:color w:val="0070C0"/>
              </w:rPr>
              <w:t xml:space="preserve"> </w:t>
            </w:r>
            <w:r w:rsidRPr="002A1976">
              <w:rPr>
                <w:rFonts w:eastAsia="SimSun"/>
              </w:rPr>
              <w:t>figures</w:t>
            </w:r>
            <w:r w:rsidRPr="002A1976">
              <w:rPr>
                <w:rFonts w:eastAsia="SimSun"/>
                <w:color w:val="0070C0"/>
              </w:rPr>
              <w:t xml:space="preserve"> </w:t>
            </w:r>
            <w:r w:rsidRPr="002A1976">
              <w:rPr>
                <w:rFonts w:eastAsia="SimSun"/>
              </w:rPr>
              <w:t>at constant 2005 US$ values published</w:t>
            </w:r>
            <w:r w:rsidRPr="002A1976">
              <w:rPr>
                <w:rFonts w:eastAsia="SimSun"/>
                <w:color w:val="0070C0"/>
              </w:rPr>
              <w:t xml:space="preserve"> </w:t>
            </w:r>
            <w:r w:rsidRPr="002A1976">
              <w:rPr>
                <w:rFonts w:eastAsia="SimSun"/>
              </w:rPr>
              <w:t>by the United Nations), and whose nationals and residents who are natural persons have filed less than 10 international applications per year (per million population) or less than 50 international applications per year (in absolute numbers) according to the most recent five</w:t>
            </w:r>
            <w:r w:rsidRPr="002A1976">
              <w:rPr>
                <w:rFonts w:eastAsia="SimSun"/>
              </w:rPr>
              <w:noBreakHyphen/>
              <w:t>year average yearly filing figures published by the International Bureau;  or</w:t>
            </w:r>
          </w:p>
        </w:tc>
      </w:tr>
      <w:tr w:rsidR="001B7D3E" w:rsidRPr="002A1976" w:rsidTr="001405F4">
        <w:trPr>
          <w:gridBefore w:val="1"/>
          <w:wBefore w:w="33" w:type="dxa"/>
          <w:cantSplit/>
          <w:jc w:val="center"/>
        </w:trPr>
        <w:tc>
          <w:tcPr>
            <w:tcW w:w="573" w:type="dxa"/>
          </w:tcPr>
          <w:p w:rsidR="001B7D3E" w:rsidRPr="002A1976" w:rsidRDefault="001B7D3E" w:rsidP="001405F4">
            <w:pPr>
              <w:suppressAutoHyphens/>
              <w:spacing w:after="120" w:line="360" w:lineRule="auto"/>
              <w:rPr>
                <w:szCs w:val="28"/>
              </w:rPr>
            </w:pPr>
          </w:p>
        </w:tc>
        <w:tc>
          <w:tcPr>
            <w:tcW w:w="8540" w:type="dxa"/>
            <w:gridSpan w:val="3"/>
          </w:tcPr>
          <w:p w:rsidR="001B7D3E" w:rsidRPr="002A1976" w:rsidRDefault="001B7D3E" w:rsidP="001405F4">
            <w:pPr>
              <w:pStyle w:val="LegBasic"/>
              <w:spacing w:after="120" w:line="360" w:lineRule="auto"/>
              <w:rPr>
                <w:rFonts w:eastAsia="SimSun"/>
              </w:rPr>
            </w:pPr>
            <w:r w:rsidRPr="002A1976">
              <w:rPr>
                <w:rFonts w:eastAsia="SimSun"/>
              </w:rPr>
              <w:t>(b)</w:t>
            </w:r>
            <w:r w:rsidRPr="002A1976">
              <w:rPr>
                <w:rFonts w:eastAsia="SimSun"/>
              </w:rPr>
              <w:tab/>
            </w:r>
            <w:r>
              <w:t>[No change]  </w:t>
            </w:r>
            <w:r w:rsidRPr="002A1976">
              <w:rPr>
                <w:rFonts w:eastAsia="SimSun"/>
              </w:rPr>
              <w:t>an applicant, whether a natural person or not, who is a national of and resides in a State that is</w:t>
            </w:r>
            <w:r w:rsidRPr="002A1976">
              <w:rPr>
                <w:rFonts w:eastAsia="SimSun"/>
                <w:color w:val="0070C0"/>
              </w:rPr>
              <w:t xml:space="preserve"> </w:t>
            </w:r>
            <w:r w:rsidRPr="002A1976">
              <w:rPr>
                <w:rFonts w:eastAsia="SimSun"/>
              </w:rPr>
              <w:t>listed as being classified by the United Nations as a least developed country;</w:t>
            </w:r>
          </w:p>
        </w:tc>
      </w:tr>
      <w:tr w:rsidR="001B7D3E" w:rsidRPr="002A1976" w:rsidTr="001405F4">
        <w:trPr>
          <w:gridBefore w:val="1"/>
          <w:wBefore w:w="33" w:type="dxa"/>
          <w:cantSplit/>
          <w:jc w:val="center"/>
        </w:trPr>
        <w:tc>
          <w:tcPr>
            <w:tcW w:w="9113" w:type="dxa"/>
            <w:gridSpan w:val="4"/>
          </w:tcPr>
          <w:p w:rsidR="001B7D3E" w:rsidRPr="002A1976" w:rsidRDefault="001B7D3E" w:rsidP="001405F4">
            <w:pPr>
              <w:pStyle w:val="LegBasic"/>
              <w:spacing w:after="120" w:line="360" w:lineRule="auto"/>
              <w:rPr>
                <w:rFonts w:eastAsia="SimSun"/>
              </w:rPr>
            </w:pPr>
            <w:r w:rsidRPr="002A1976">
              <w:rPr>
                <w:rFonts w:eastAsia="SimSun"/>
              </w:rPr>
              <w:t>provided that</w:t>
            </w:r>
            <w:r>
              <w:rPr>
                <w:rFonts w:eastAsia="SimSun"/>
              </w:rPr>
              <w:t xml:space="preserve">, </w:t>
            </w:r>
            <w:r w:rsidRPr="001B7D3E">
              <w:rPr>
                <w:rFonts w:eastAsia="SimSun"/>
              </w:rPr>
              <w:t>at the time of filing of the international application, there are no beneficial owners of the international application who would not satisfy the criteria in sub-item (a) or (b) and provided that</w:t>
            </w:r>
            <w:r w:rsidRPr="00A61B26">
              <w:rPr>
                <w:rFonts w:eastAsia="SimSun"/>
              </w:rPr>
              <w:t>,</w:t>
            </w:r>
            <w:r w:rsidRPr="002A1976">
              <w:rPr>
                <w:rFonts w:eastAsia="SimSun"/>
              </w:rPr>
              <w:t xml:space="preserve"> if there are several applicants, each must satisfy the criteria set out in either sub-item (a) or (b).</w:t>
            </w:r>
            <w:r w:rsidRPr="002A1976">
              <w:rPr>
                <w:rFonts w:eastAsia="SimSun"/>
                <w:color w:val="0070C0"/>
              </w:rPr>
              <w:t xml:space="preserve">  </w:t>
            </w:r>
            <w:r w:rsidRPr="002A1976">
              <w:rPr>
                <w:rFonts w:eastAsia="SimSun"/>
              </w:rPr>
              <w:t>The lists of States referred to in sub-items (a) and (b)</w:t>
            </w:r>
            <w:r w:rsidRPr="002A1976">
              <w:rPr>
                <w:rFonts w:eastAsia="SimSun"/>
                <w:vertAlign w:val="superscript"/>
              </w:rPr>
              <w:footnoteReference w:id="5"/>
            </w:r>
            <w:r w:rsidRPr="002A1976">
              <w:rPr>
                <w:rFonts w:eastAsia="SimSun"/>
              </w:rPr>
              <w:t xml:space="preserve"> shall be updated by the Director General at least every five years according to directives given by the Ass</w:t>
            </w:r>
            <w:r>
              <w:rPr>
                <w:rFonts w:eastAsia="SimSun"/>
              </w:rPr>
              <w:t xml:space="preserve">embly.  The criteria set out in </w:t>
            </w:r>
            <w:r w:rsidRPr="002A1976">
              <w:rPr>
                <w:rFonts w:eastAsia="SimSun"/>
              </w:rPr>
              <w:t>sub-items</w:t>
            </w:r>
            <w:r>
              <w:rPr>
                <w:rFonts w:eastAsia="SimSun"/>
              </w:rPr>
              <w:t> </w:t>
            </w:r>
            <w:r w:rsidRPr="002A1976">
              <w:rPr>
                <w:rFonts w:eastAsia="SimSun"/>
              </w:rPr>
              <w:t>(a) and (b) shall be reviewed by the Assembly at least every five years.</w:t>
            </w:r>
          </w:p>
        </w:tc>
      </w:tr>
      <w:bookmarkEnd w:id="29"/>
    </w:tbl>
    <w:p w:rsidR="001B7D3E" w:rsidRDefault="001B7D3E"/>
    <w:p w:rsidR="00957053" w:rsidRDefault="00957053" w:rsidP="00957053">
      <w:pPr>
        <w:pStyle w:val="Endofdocument-Annex"/>
      </w:pPr>
      <w:r>
        <w:t>[End of Annex II and of document]</w:t>
      </w:r>
    </w:p>
    <w:sectPr w:rsidR="00957053" w:rsidSect="001B7D3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22" w:rsidRDefault="003F7422">
      <w:r>
        <w:separator/>
      </w:r>
    </w:p>
  </w:endnote>
  <w:endnote w:type="continuationSeparator" w:id="0">
    <w:p w:rsidR="003F7422" w:rsidRDefault="003F7422" w:rsidP="003B38C1">
      <w:r>
        <w:separator/>
      </w:r>
    </w:p>
    <w:p w:rsidR="003F7422" w:rsidRPr="003B38C1" w:rsidRDefault="003F7422" w:rsidP="003B38C1">
      <w:pPr>
        <w:spacing w:after="60"/>
        <w:rPr>
          <w:sz w:val="17"/>
        </w:rPr>
      </w:pPr>
      <w:r>
        <w:rPr>
          <w:sz w:val="17"/>
        </w:rPr>
        <w:t>[Endnote continued from previous page]</w:t>
      </w:r>
    </w:p>
  </w:endnote>
  <w:endnote w:type="continuationNotice" w:id="1">
    <w:p w:rsidR="003F7422" w:rsidRPr="003B38C1" w:rsidRDefault="003F74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22" w:rsidRDefault="003F7422">
      <w:r>
        <w:separator/>
      </w:r>
    </w:p>
  </w:footnote>
  <w:footnote w:type="continuationSeparator" w:id="0">
    <w:p w:rsidR="003F7422" w:rsidRDefault="003F7422" w:rsidP="008B60B2">
      <w:r>
        <w:separator/>
      </w:r>
    </w:p>
    <w:p w:rsidR="003F7422" w:rsidRPr="00ED77FB" w:rsidRDefault="003F7422" w:rsidP="008B60B2">
      <w:pPr>
        <w:spacing w:after="60"/>
        <w:rPr>
          <w:sz w:val="17"/>
          <w:szCs w:val="17"/>
        </w:rPr>
      </w:pPr>
      <w:r w:rsidRPr="00ED77FB">
        <w:rPr>
          <w:sz w:val="17"/>
          <w:szCs w:val="17"/>
        </w:rPr>
        <w:t>[Footnote continued from previous page]</w:t>
      </w:r>
    </w:p>
  </w:footnote>
  <w:footnote w:type="continuationNotice" w:id="1">
    <w:p w:rsidR="003F7422" w:rsidRPr="00ED77FB" w:rsidRDefault="003F7422" w:rsidP="008B60B2">
      <w:pPr>
        <w:spacing w:before="60"/>
        <w:jc w:val="right"/>
        <w:rPr>
          <w:sz w:val="17"/>
          <w:szCs w:val="17"/>
        </w:rPr>
      </w:pPr>
      <w:r w:rsidRPr="00ED77FB">
        <w:rPr>
          <w:sz w:val="17"/>
          <w:szCs w:val="17"/>
        </w:rPr>
        <w:t>[Footnote continued on next page]</w:t>
      </w:r>
    </w:p>
  </w:footnote>
  <w:footnote w:id="2">
    <w:p w:rsidR="00957053" w:rsidRDefault="00957053" w:rsidP="00957053">
      <w:pPr>
        <w:pStyle w:val="FootnoteText"/>
      </w:pPr>
      <w:r>
        <w:rPr>
          <w:rStyle w:val="FootnoteReference"/>
        </w:rPr>
        <w:footnoteRef/>
      </w:r>
      <w:r>
        <w:t xml:space="preserve"> </w:t>
      </w:r>
      <w:r>
        <w:tab/>
      </w:r>
      <w:r>
        <w:rPr>
          <w:szCs w:val="18"/>
        </w:rPr>
        <w:t>References in this document to “Articles” and “Rules” are to those of the PCT and the Regulations under the PCT (“the Regulations”), or to such provisions as proposed to be amended or added, as the case may be.  References to “national laws”, “national applications”, “the national phase”, etc., include references to regional laws, regional applications, the regional phase, etc.</w:t>
      </w:r>
    </w:p>
  </w:footnote>
  <w:footnote w:id="3">
    <w:p w:rsidR="00957053" w:rsidRDefault="00957053" w:rsidP="00957053">
      <w:pPr>
        <w:pStyle w:val="FootnoteText"/>
        <w:tabs>
          <w:tab w:val="left" w:pos="567"/>
        </w:tabs>
        <w:rPr>
          <w:szCs w:val="18"/>
        </w:rPr>
      </w:pPr>
      <w:r>
        <w:rPr>
          <w:rStyle w:val="FootnoteReference"/>
          <w:szCs w:val="18"/>
        </w:rPr>
        <w:footnoteRef/>
      </w:r>
      <w:r>
        <w:rPr>
          <w:szCs w:val="18"/>
        </w:rPr>
        <w:t xml:space="preserve"> </w:t>
      </w:r>
      <w:r>
        <w:rPr>
          <w:szCs w:val="18"/>
        </w:rPr>
        <w:tab/>
        <w:t>Proposed additions and deletions are indicated, respectively, by underlining and striking through the text concerned.  A “clean” copy of the proposed amended provisions (without underlining or striking thro</w:t>
      </w:r>
      <w:r w:rsidR="004E6616">
        <w:rPr>
          <w:szCs w:val="18"/>
        </w:rPr>
        <w:t>ugh) appears in Annex II</w:t>
      </w:r>
      <w:r>
        <w:rPr>
          <w:szCs w:val="18"/>
        </w:rPr>
        <w:t>.</w:t>
      </w:r>
    </w:p>
  </w:footnote>
  <w:footnote w:id="4">
    <w:p w:rsidR="001B7D3E" w:rsidRPr="00F34CC7" w:rsidRDefault="001B7D3E" w:rsidP="001B7D3E">
      <w:pPr>
        <w:pStyle w:val="FootnoteText"/>
        <w:rPr>
          <w:szCs w:val="24"/>
          <w:lang w:val="en-GB"/>
        </w:rPr>
      </w:pPr>
      <w:r>
        <w:rPr>
          <w:rStyle w:val="FootnoteReference"/>
        </w:rPr>
        <w:footnoteRef/>
      </w:r>
      <w:r>
        <w:t xml:space="preserve"> </w:t>
      </w:r>
      <w:r>
        <w:tab/>
      </w:r>
      <w:r w:rsidRPr="00F34CC7">
        <w:rPr>
          <w:i/>
          <w:szCs w:val="24"/>
        </w:rPr>
        <w:t>Editor’s Note:</w:t>
      </w:r>
      <w:r>
        <w:rPr>
          <w:szCs w:val="24"/>
        </w:rPr>
        <w:t xml:space="preserve"> </w:t>
      </w:r>
      <w:r w:rsidRPr="00F34CC7">
        <w:rPr>
          <w:szCs w:val="24"/>
        </w:rPr>
        <w:t xml:space="preserve">The first lists of States were published in the Gazette of </w:t>
      </w:r>
      <w:r>
        <w:rPr>
          <w:szCs w:val="24"/>
        </w:rPr>
        <w:t>February 12,</w:t>
      </w:r>
      <w:r>
        <w:t> </w:t>
      </w:r>
      <w:r w:rsidRPr="00F34CC7">
        <w:rPr>
          <w:szCs w:val="24"/>
        </w:rPr>
        <w:t xml:space="preserve">2015, page 32 (see </w:t>
      </w:r>
      <w:r w:rsidRPr="00E4625E">
        <w:rPr>
          <w:szCs w:val="24"/>
        </w:rPr>
        <w:t>www.wipo.int/pct/en/official_notices/index.htm</w:t>
      </w:r>
      <w:r w:rsidRPr="00E4625E">
        <w:rPr>
          <w:szCs w:val="24"/>
          <w:lang w:val="en-GB"/>
        </w:rPr>
        <w:t>l</w:t>
      </w:r>
      <w:r w:rsidRPr="00F34CC7">
        <w:rPr>
          <w:szCs w:val="24"/>
          <w:lang w:val="en-GB"/>
        </w:rPr>
        <w:t>)</w:t>
      </w:r>
      <w:r>
        <w:rPr>
          <w:szCs w:val="24"/>
          <w:lang w:val="en-GB"/>
        </w:rPr>
        <w:t>.</w:t>
      </w:r>
    </w:p>
  </w:footnote>
  <w:footnote w:id="5">
    <w:p w:rsidR="001B7D3E" w:rsidRPr="00F34CC7" w:rsidRDefault="001B7D3E" w:rsidP="001B7D3E">
      <w:pPr>
        <w:pStyle w:val="FootnoteText"/>
        <w:rPr>
          <w:szCs w:val="24"/>
          <w:lang w:val="en-GB"/>
        </w:rPr>
      </w:pPr>
      <w:r>
        <w:rPr>
          <w:rStyle w:val="FootnoteReference"/>
        </w:rPr>
        <w:footnoteRef/>
      </w:r>
      <w:r>
        <w:t xml:space="preserve"> </w:t>
      </w:r>
      <w:r>
        <w:tab/>
      </w:r>
      <w:r w:rsidRPr="00F34CC7">
        <w:rPr>
          <w:i/>
          <w:szCs w:val="24"/>
        </w:rPr>
        <w:t>Editor’s Note:</w:t>
      </w:r>
      <w:r>
        <w:rPr>
          <w:szCs w:val="24"/>
        </w:rPr>
        <w:t xml:space="preserve"> </w:t>
      </w:r>
      <w:r w:rsidRPr="00F34CC7">
        <w:rPr>
          <w:szCs w:val="24"/>
        </w:rPr>
        <w:t xml:space="preserve">The first lists of States were published in the Gazette of </w:t>
      </w:r>
      <w:r>
        <w:rPr>
          <w:szCs w:val="24"/>
        </w:rPr>
        <w:t>February 12,</w:t>
      </w:r>
      <w:r>
        <w:t> </w:t>
      </w:r>
      <w:r w:rsidRPr="00F34CC7">
        <w:rPr>
          <w:szCs w:val="24"/>
        </w:rPr>
        <w:t xml:space="preserve">2015, page 32 (see </w:t>
      </w:r>
      <w:r w:rsidRPr="00E4625E">
        <w:rPr>
          <w:szCs w:val="24"/>
        </w:rPr>
        <w:t>www.wipo.int/pct/en/official_notices/index.htm</w:t>
      </w:r>
      <w:r w:rsidRPr="00E4625E">
        <w:rPr>
          <w:szCs w:val="24"/>
          <w:lang w:val="en-GB"/>
        </w:rPr>
        <w:t>l</w:t>
      </w:r>
      <w:r w:rsidRPr="00F34CC7">
        <w:rPr>
          <w:szCs w:val="24"/>
          <w:lang w:val="en-GB"/>
        </w:rPr>
        <w:t>)</w:t>
      </w:r>
      <w:r>
        <w:rPr>
          <w:szCs w:val="24"/>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1786B" w:rsidP="00477D6B">
    <w:pPr>
      <w:jc w:val="right"/>
    </w:pPr>
    <w:bookmarkStart w:id="8" w:name="Code2"/>
    <w:bookmarkEnd w:id="8"/>
    <w:r>
      <w:t>PCT/A/49/4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5717F">
      <w:rPr>
        <w:noProof/>
      </w:rPr>
      <w:t>2</w:t>
    </w:r>
    <w:r>
      <w:fldChar w:fldCharType="end"/>
    </w:r>
  </w:p>
  <w:p w:rsidR="00EC4E49" w:rsidRDefault="00EC4E49" w:rsidP="00477D6B">
    <w:pPr>
      <w:jc w:val="right"/>
    </w:pPr>
  </w:p>
  <w:p w:rsidR="00B50B99" w:rsidRDefault="00B50B9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3E" w:rsidRDefault="001B7D3E" w:rsidP="00477D6B">
    <w:pPr>
      <w:jc w:val="right"/>
    </w:pPr>
    <w:r>
      <w:t>PCT/A/49/4</w:t>
    </w:r>
  </w:p>
  <w:p w:rsidR="001B7D3E" w:rsidRDefault="001B7D3E" w:rsidP="00477D6B">
    <w:pPr>
      <w:jc w:val="right"/>
    </w:pPr>
    <w:r>
      <w:t xml:space="preserve">Annex I, page </w:t>
    </w:r>
    <w:r>
      <w:fldChar w:fldCharType="begin"/>
    </w:r>
    <w:r>
      <w:instrText xml:space="preserve"> PAGE  \* MERGEFORMAT </w:instrText>
    </w:r>
    <w:r>
      <w:fldChar w:fldCharType="separate"/>
    </w:r>
    <w:r w:rsidR="00E5717F">
      <w:rPr>
        <w:noProof/>
      </w:rPr>
      <w:t>4</w:t>
    </w:r>
    <w:r>
      <w:fldChar w:fldCharType="end"/>
    </w:r>
  </w:p>
  <w:p w:rsidR="001B7D3E" w:rsidRDefault="001B7D3E" w:rsidP="00477D6B">
    <w:pPr>
      <w:jc w:val="right"/>
    </w:pPr>
  </w:p>
  <w:p w:rsidR="001B7D3E" w:rsidRDefault="001B7D3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3E" w:rsidRDefault="001B7D3E" w:rsidP="001B7D3E">
    <w:pPr>
      <w:pStyle w:val="Header"/>
      <w:jc w:val="right"/>
    </w:pPr>
    <w:r>
      <w:t>PCT/A/49/4</w:t>
    </w:r>
  </w:p>
  <w:p w:rsidR="00E5717F" w:rsidRDefault="00E5717F" w:rsidP="001B7D3E">
    <w:pPr>
      <w:pStyle w:val="Header"/>
      <w:jc w:val="right"/>
    </w:pPr>
    <w:r>
      <w:t>ANNEX I</w:t>
    </w:r>
  </w:p>
  <w:p w:rsidR="001B7D3E" w:rsidRDefault="001B7D3E" w:rsidP="001B7D3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3E" w:rsidRPr="00383F79" w:rsidRDefault="001B7D3E" w:rsidP="00477D6B">
    <w:pPr>
      <w:jc w:val="right"/>
      <w:rPr>
        <w:lang w:val="fr-CH"/>
      </w:rPr>
    </w:pPr>
    <w:r w:rsidRPr="00383F79">
      <w:rPr>
        <w:lang w:val="fr-CH"/>
      </w:rPr>
      <w:t>PCT/A/49/4</w:t>
    </w:r>
  </w:p>
  <w:p w:rsidR="001B7D3E" w:rsidRPr="00383F79" w:rsidRDefault="001B7D3E" w:rsidP="00477D6B">
    <w:pPr>
      <w:jc w:val="right"/>
      <w:rPr>
        <w:lang w:val="fr-CH"/>
      </w:rPr>
    </w:pPr>
    <w:proofErr w:type="spellStart"/>
    <w:r w:rsidRPr="00383F79">
      <w:rPr>
        <w:lang w:val="fr-CH"/>
      </w:rPr>
      <w:t>Annex</w:t>
    </w:r>
    <w:proofErr w:type="spellEnd"/>
    <w:r w:rsidRPr="00383F79">
      <w:rPr>
        <w:lang w:val="fr-CH"/>
      </w:rPr>
      <w:t xml:space="preserve"> II, page </w:t>
    </w:r>
    <w:r>
      <w:fldChar w:fldCharType="begin"/>
    </w:r>
    <w:r w:rsidRPr="00383F79">
      <w:rPr>
        <w:lang w:val="fr-CH"/>
      </w:rPr>
      <w:instrText xml:space="preserve"> PAGE  \* MERGEFORMAT </w:instrText>
    </w:r>
    <w:r>
      <w:fldChar w:fldCharType="separate"/>
    </w:r>
    <w:r w:rsidR="00E5717F">
      <w:rPr>
        <w:noProof/>
        <w:lang w:val="fr-CH"/>
      </w:rPr>
      <w:t>4</w:t>
    </w:r>
    <w:r>
      <w:fldChar w:fldCharType="end"/>
    </w:r>
  </w:p>
  <w:p w:rsidR="001B7D3E" w:rsidRPr="00383F79" w:rsidRDefault="001B7D3E" w:rsidP="00477D6B">
    <w:pPr>
      <w:jc w:val="right"/>
      <w:rPr>
        <w:lang w:val="fr-CH"/>
      </w:rPr>
    </w:pPr>
  </w:p>
  <w:p w:rsidR="001B7D3E" w:rsidRPr="00383F79" w:rsidRDefault="001B7D3E"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17F" w:rsidRDefault="00E5717F" w:rsidP="001B7D3E">
    <w:pPr>
      <w:pStyle w:val="Header"/>
      <w:jc w:val="right"/>
    </w:pPr>
    <w:r>
      <w:t>PCT/A/49/4</w:t>
    </w:r>
  </w:p>
  <w:p w:rsidR="00E5717F" w:rsidRDefault="00E5717F" w:rsidP="001B7D3E">
    <w:pPr>
      <w:pStyle w:val="Header"/>
      <w:jc w:val="right"/>
    </w:pPr>
    <w:r>
      <w:t>ANNEX II</w:t>
    </w:r>
  </w:p>
  <w:p w:rsidR="00E5717F" w:rsidRDefault="00E5717F" w:rsidP="001B7D3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6B"/>
    <w:rsid w:val="00043CAA"/>
    <w:rsid w:val="0005328E"/>
    <w:rsid w:val="00075432"/>
    <w:rsid w:val="000968ED"/>
    <w:rsid w:val="000B156E"/>
    <w:rsid w:val="000D4C42"/>
    <w:rsid w:val="000F5E56"/>
    <w:rsid w:val="001362EE"/>
    <w:rsid w:val="001832A6"/>
    <w:rsid w:val="001B7D3E"/>
    <w:rsid w:val="001F452E"/>
    <w:rsid w:val="002121FA"/>
    <w:rsid w:val="002634C4"/>
    <w:rsid w:val="002928D3"/>
    <w:rsid w:val="002F1FE6"/>
    <w:rsid w:val="002F4E68"/>
    <w:rsid w:val="00312F7F"/>
    <w:rsid w:val="003228B7"/>
    <w:rsid w:val="00352EAB"/>
    <w:rsid w:val="00362ED3"/>
    <w:rsid w:val="00365FB3"/>
    <w:rsid w:val="003673CF"/>
    <w:rsid w:val="00381C71"/>
    <w:rsid w:val="00383F79"/>
    <w:rsid w:val="003845C1"/>
    <w:rsid w:val="003A6F89"/>
    <w:rsid w:val="003B38C1"/>
    <w:rsid w:val="003D074D"/>
    <w:rsid w:val="003F7422"/>
    <w:rsid w:val="00423E3E"/>
    <w:rsid w:val="00427AF4"/>
    <w:rsid w:val="0043386F"/>
    <w:rsid w:val="004400E2"/>
    <w:rsid w:val="004647DA"/>
    <w:rsid w:val="00474062"/>
    <w:rsid w:val="004743CC"/>
    <w:rsid w:val="00477D6B"/>
    <w:rsid w:val="004A718E"/>
    <w:rsid w:val="004B31DE"/>
    <w:rsid w:val="004E6616"/>
    <w:rsid w:val="0050041D"/>
    <w:rsid w:val="0053057A"/>
    <w:rsid w:val="00531ED8"/>
    <w:rsid w:val="00560A29"/>
    <w:rsid w:val="005705A2"/>
    <w:rsid w:val="00570D75"/>
    <w:rsid w:val="0058183D"/>
    <w:rsid w:val="00605827"/>
    <w:rsid w:val="00646050"/>
    <w:rsid w:val="006713CA"/>
    <w:rsid w:val="00676C5C"/>
    <w:rsid w:val="006A405F"/>
    <w:rsid w:val="006D5E0F"/>
    <w:rsid w:val="007058FB"/>
    <w:rsid w:val="007B6A58"/>
    <w:rsid w:val="007D1613"/>
    <w:rsid w:val="00812A22"/>
    <w:rsid w:val="00890627"/>
    <w:rsid w:val="00890C93"/>
    <w:rsid w:val="008B2CC1"/>
    <w:rsid w:val="008B60B2"/>
    <w:rsid w:val="008D6B8F"/>
    <w:rsid w:val="0090731E"/>
    <w:rsid w:val="00916EE2"/>
    <w:rsid w:val="0091786B"/>
    <w:rsid w:val="00957053"/>
    <w:rsid w:val="00966A22"/>
    <w:rsid w:val="0096722F"/>
    <w:rsid w:val="00980843"/>
    <w:rsid w:val="009E2791"/>
    <w:rsid w:val="009E3F6F"/>
    <w:rsid w:val="009F3BF9"/>
    <w:rsid w:val="009F499F"/>
    <w:rsid w:val="00A1318E"/>
    <w:rsid w:val="00A42DAF"/>
    <w:rsid w:val="00A45BD8"/>
    <w:rsid w:val="00A725B0"/>
    <w:rsid w:val="00A85B8E"/>
    <w:rsid w:val="00AC205C"/>
    <w:rsid w:val="00B05A69"/>
    <w:rsid w:val="00B50B99"/>
    <w:rsid w:val="00B64ED9"/>
    <w:rsid w:val="00B9734B"/>
    <w:rsid w:val="00C11BFE"/>
    <w:rsid w:val="00C35406"/>
    <w:rsid w:val="00C94629"/>
    <w:rsid w:val="00D45252"/>
    <w:rsid w:val="00D71B4D"/>
    <w:rsid w:val="00D72073"/>
    <w:rsid w:val="00D752B5"/>
    <w:rsid w:val="00D93D55"/>
    <w:rsid w:val="00E31400"/>
    <w:rsid w:val="00E335FE"/>
    <w:rsid w:val="00E5021F"/>
    <w:rsid w:val="00E5717F"/>
    <w:rsid w:val="00EC4E49"/>
    <w:rsid w:val="00ED77FB"/>
    <w:rsid w:val="00F021A6"/>
    <w:rsid w:val="00F66152"/>
    <w:rsid w:val="00FC19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Heading1Char">
    <w:name w:val="Heading 1 Char"/>
    <w:basedOn w:val="DefaultParagraphFont"/>
    <w:link w:val="Heading1"/>
    <w:rsid w:val="00957053"/>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957053"/>
    <w:rPr>
      <w:rFonts w:ascii="Arial" w:eastAsia="SimSun" w:hAnsi="Arial" w:cs="Arial"/>
      <w:sz w:val="18"/>
      <w:lang w:val="en-US" w:eastAsia="zh-CN"/>
    </w:rPr>
  </w:style>
  <w:style w:type="character" w:styleId="FootnoteReference">
    <w:name w:val="footnote reference"/>
    <w:basedOn w:val="DefaultParagraphFont"/>
    <w:unhideWhenUsed/>
    <w:rsid w:val="00957053"/>
    <w:rPr>
      <w:vertAlign w:val="superscript"/>
    </w:rPr>
  </w:style>
  <w:style w:type="character" w:customStyle="1" w:styleId="ONUMEChar">
    <w:name w:val="ONUM E Char"/>
    <w:basedOn w:val="DefaultParagraphFont"/>
    <w:link w:val="ONUME"/>
    <w:locked/>
    <w:rsid w:val="00957053"/>
    <w:rPr>
      <w:rFonts w:ascii="Arial" w:eastAsia="SimSun" w:hAnsi="Arial" w:cs="Arial"/>
      <w:sz w:val="22"/>
      <w:lang w:val="en-US" w:eastAsia="zh-CN"/>
    </w:rPr>
  </w:style>
  <w:style w:type="paragraph" w:customStyle="1" w:styleId="LegTitle">
    <w:name w:val="Leg # Title"/>
    <w:basedOn w:val="Normal"/>
    <w:next w:val="Normal"/>
    <w:rsid w:val="000D4C42"/>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0D4C42"/>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Normal"/>
    <w:rsid w:val="000D4C42"/>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Normal"/>
    <w:rsid w:val="000D4C42"/>
    <w:pPr>
      <w:tabs>
        <w:tab w:val="right" w:pos="1020"/>
        <w:tab w:val="left" w:pos="1191"/>
      </w:tabs>
      <w:snapToGrid w:val="0"/>
      <w:spacing w:before="60" w:line="480" w:lineRule="auto"/>
      <w:jc w:val="both"/>
    </w:pPr>
    <w:rPr>
      <w:rFonts w:eastAsia="Times New Roman" w:cs="Times New Roman"/>
      <w:lang w:eastAsia="en-US"/>
    </w:rPr>
  </w:style>
  <w:style w:type="character" w:customStyle="1" w:styleId="DeletedText">
    <w:name w:val="Deleted Text"/>
    <w:basedOn w:val="DefaultParagraphFont"/>
    <w:uiPriority w:val="1"/>
    <w:qFormat/>
    <w:rsid w:val="000D4C42"/>
    <w:rPr>
      <w:strike/>
      <w:color w:val="FF0000"/>
    </w:rPr>
  </w:style>
  <w:style w:type="character" w:customStyle="1" w:styleId="InsertedText">
    <w:name w:val="Inserted Text"/>
    <w:basedOn w:val="DefaultParagraphFont"/>
    <w:qFormat/>
    <w:rsid w:val="000D4C42"/>
    <w:rPr>
      <w:color w:val="1F497D" w:themeColor="text2"/>
      <w:u w:val="single"/>
    </w:rPr>
  </w:style>
  <w:style w:type="paragraph" w:customStyle="1" w:styleId="LegBasic">
    <w:name w:val="Leg Basic"/>
    <w:rsid w:val="001B7D3E"/>
    <w:pPr>
      <w:spacing w:after="480" w:line="480" w:lineRule="auto"/>
    </w:pPr>
    <w:rPr>
      <w:rFonts w:ascii="Arial" w:hAnsi="Arial"/>
      <w:snapToGrid w:val="0"/>
      <w:sz w:val="22"/>
      <w:lang w:val="en-US" w:eastAsia="en-US"/>
    </w:rPr>
  </w:style>
  <w:style w:type="character" w:customStyle="1" w:styleId="LegAddedText">
    <w:name w:val="Leg Added Text"/>
    <w:basedOn w:val="DefaultParagraphFont"/>
    <w:uiPriority w:val="1"/>
    <w:qFormat/>
    <w:rsid w:val="001B7D3E"/>
    <w:rPr>
      <w:color w:val="0070C0"/>
      <w:u w:val="single"/>
    </w:rPr>
  </w:style>
  <w:style w:type="paragraph" w:styleId="TOC1">
    <w:name w:val="toc 1"/>
    <w:basedOn w:val="Normal"/>
    <w:next w:val="Normal"/>
    <w:autoRedefine/>
    <w:uiPriority w:val="39"/>
    <w:qFormat/>
    <w:rsid w:val="001B7D3E"/>
    <w:pPr>
      <w:spacing w:before="240" w:after="100"/>
    </w:pPr>
  </w:style>
  <w:style w:type="paragraph" w:styleId="TOC2">
    <w:name w:val="toc 2"/>
    <w:basedOn w:val="Normal"/>
    <w:next w:val="Normal"/>
    <w:autoRedefine/>
    <w:uiPriority w:val="39"/>
    <w:qFormat/>
    <w:rsid w:val="001B7D3E"/>
    <w:pPr>
      <w:spacing w:after="100"/>
      <w:ind w:left="220"/>
    </w:pPr>
  </w:style>
  <w:style w:type="character" w:styleId="Hyperlink">
    <w:name w:val="Hyperlink"/>
    <w:basedOn w:val="DefaultParagraphFont"/>
    <w:uiPriority w:val="99"/>
    <w:unhideWhenUsed/>
    <w:rsid w:val="001B7D3E"/>
    <w:rPr>
      <w:color w:val="0000FF" w:themeColor="hyperlink"/>
      <w:u w:val="single"/>
    </w:rPr>
  </w:style>
  <w:style w:type="character" w:styleId="CommentReference">
    <w:name w:val="annotation reference"/>
    <w:basedOn w:val="DefaultParagraphFont"/>
    <w:rsid w:val="00A1318E"/>
    <w:rPr>
      <w:sz w:val="16"/>
      <w:szCs w:val="16"/>
    </w:rPr>
  </w:style>
  <w:style w:type="paragraph" w:styleId="CommentSubject">
    <w:name w:val="annotation subject"/>
    <w:basedOn w:val="CommentText"/>
    <w:next w:val="CommentText"/>
    <w:link w:val="CommentSubjectChar"/>
    <w:rsid w:val="00A1318E"/>
    <w:rPr>
      <w:b/>
      <w:bCs/>
      <w:sz w:val="20"/>
    </w:rPr>
  </w:style>
  <w:style w:type="character" w:customStyle="1" w:styleId="CommentTextChar">
    <w:name w:val="Comment Text Char"/>
    <w:basedOn w:val="DefaultParagraphFont"/>
    <w:link w:val="CommentText"/>
    <w:semiHidden/>
    <w:rsid w:val="00A1318E"/>
    <w:rPr>
      <w:rFonts w:ascii="Arial" w:eastAsia="SimSun" w:hAnsi="Arial" w:cs="Arial"/>
      <w:sz w:val="18"/>
      <w:lang w:val="en-US" w:eastAsia="zh-CN"/>
    </w:rPr>
  </w:style>
  <w:style w:type="character" w:customStyle="1" w:styleId="CommentSubjectChar">
    <w:name w:val="Comment Subject Char"/>
    <w:basedOn w:val="CommentTextChar"/>
    <w:link w:val="CommentSubject"/>
    <w:rsid w:val="00A1318E"/>
    <w:rPr>
      <w:rFonts w:ascii="Arial" w:eastAsia="SimSun" w:hAnsi="Arial" w:cs="Arial"/>
      <w:b/>
      <w:bCs/>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Heading1Char">
    <w:name w:val="Heading 1 Char"/>
    <w:basedOn w:val="DefaultParagraphFont"/>
    <w:link w:val="Heading1"/>
    <w:rsid w:val="00957053"/>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957053"/>
    <w:rPr>
      <w:rFonts w:ascii="Arial" w:eastAsia="SimSun" w:hAnsi="Arial" w:cs="Arial"/>
      <w:sz w:val="18"/>
      <w:lang w:val="en-US" w:eastAsia="zh-CN"/>
    </w:rPr>
  </w:style>
  <w:style w:type="character" w:styleId="FootnoteReference">
    <w:name w:val="footnote reference"/>
    <w:basedOn w:val="DefaultParagraphFont"/>
    <w:unhideWhenUsed/>
    <w:rsid w:val="00957053"/>
    <w:rPr>
      <w:vertAlign w:val="superscript"/>
    </w:rPr>
  </w:style>
  <w:style w:type="character" w:customStyle="1" w:styleId="ONUMEChar">
    <w:name w:val="ONUM E Char"/>
    <w:basedOn w:val="DefaultParagraphFont"/>
    <w:link w:val="ONUME"/>
    <w:locked/>
    <w:rsid w:val="00957053"/>
    <w:rPr>
      <w:rFonts w:ascii="Arial" w:eastAsia="SimSun" w:hAnsi="Arial" w:cs="Arial"/>
      <w:sz w:val="22"/>
      <w:lang w:val="en-US" w:eastAsia="zh-CN"/>
    </w:rPr>
  </w:style>
  <w:style w:type="paragraph" w:customStyle="1" w:styleId="LegTitle">
    <w:name w:val="Leg # Title"/>
    <w:basedOn w:val="Normal"/>
    <w:next w:val="Normal"/>
    <w:rsid w:val="000D4C42"/>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0D4C42"/>
    <w:pPr>
      <w:keepNext/>
      <w:keepLines/>
      <w:tabs>
        <w:tab w:val="left" w:pos="510"/>
      </w:tabs>
      <w:snapToGrid w:val="0"/>
      <w:spacing w:before="480" w:line="480" w:lineRule="auto"/>
      <w:ind w:left="533" w:hanging="533"/>
    </w:pPr>
    <w:rPr>
      <w:rFonts w:eastAsia="Arial Unicode MS" w:cs="Times New Roman"/>
      <w:lang w:eastAsia="en-US"/>
    </w:rPr>
  </w:style>
  <w:style w:type="paragraph" w:customStyle="1" w:styleId="Lega">
    <w:name w:val="Leg (a)"/>
    <w:basedOn w:val="Normal"/>
    <w:rsid w:val="000D4C42"/>
    <w:pPr>
      <w:tabs>
        <w:tab w:val="left" w:pos="454"/>
      </w:tabs>
      <w:snapToGrid w:val="0"/>
      <w:spacing w:before="240" w:after="240" w:line="480" w:lineRule="auto"/>
      <w:jc w:val="both"/>
    </w:pPr>
    <w:rPr>
      <w:rFonts w:eastAsia="Times New Roman" w:cs="Times New Roman"/>
      <w:lang w:eastAsia="en-US"/>
    </w:rPr>
  </w:style>
  <w:style w:type="paragraph" w:customStyle="1" w:styleId="Legi">
    <w:name w:val="Leg (i)"/>
    <w:basedOn w:val="Normal"/>
    <w:rsid w:val="000D4C42"/>
    <w:pPr>
      <w:tabs>
        <w:tab w:val="right" w:pos="1020"/>
        <w:tab w:val="left" w:pos="1191"/>
      </w:tabs>
      <w:snapToGrid w:val="0"/>
      <w:spacing w:before="60" w:line="480" w:lineRule="auto"/>
      <w:jc w:val="both"/>
    </w:pPr>
    <w:rPr>
      <w:rFonts w:eastAsia="Times New Roman" w:cs="Times New Roman"/>
      <w:lang w:eastAsia="en-US"/>
    </w:rPr>
  </w:style>
  <w:style w:type="character" w:customStyle="1" w:styleId="DeletedText">
    <w:name w:val="Deleted Text"/>
    <w:basedOn w:val="DefaultParagraphFont"/>
    <w:uiPriority w:val="1"/>
    <w:qFormat/>
    <w:rsid w:val="000D4C42"/>
    <w:rPr>
      <w:strike/>
      <w:color w:val="FF0000"/>
    </w:rPr>
  </w:style>
  <w:style w:type="character" w:customStyle="1" w:styleId="InsertedText">
    <w:name w:val="Inserted Text"/>
    <w:basedOn w:val="DefaultParagraphFont"/>
    <w:qFormat/>
    <w:rsid w:val="000D4C42"/>
    <w:rPr>
      <w:color w:val="1F497D" w:themeColor="text2"/>
      <w:u w:val="single"/>
    </w:rPr>
  </w:style>
  <w:style w:type="paragraph" w:customStyle="1" w:styleId="LegBasic">
    <w:name w:val="Leg Basic"/>
    <w:rsid w:val="001B7D3E"/>
    <w:pPr>
      <w:spacing w:after="480" w:line="480" w:lineRule="auto"/>
    </w:pPr>
    <w:rPr>
      <w:rFonts w:ascii="Arial" w:hAnsi="Arial"/>
      <w:snapToGrid w:val="0"/>
      <w:sz w:val="22"/>
      <w:lang w:val="en-US" w:eastAsia="en-US"/>
    </w:rPr>
  </w:style>
  <w:style w:type="character" w:customStyle="1" w:styleId="LegAddedText">
    <w:name w:val="Leg Added Text"/>
    <w:basedOn w:val="DefaultParagraphFont"/>
    <w:uiPriority w:val="1"/>
    <w:qFormat/>
    <w:rsid w:val="001B7D3E"/>
    <w:rPr>
      <w:color w:val="0070C0"/>
      <w:u w:val="single"/>
    </w:rPr>
  </w:style>
  <w:style w:type="paragraph" w:styleId="TOC1">
    <w:name w:val="toc 1"/>
    <w:basedOn w:val="Normal"/>
    <w:next w:val="Normal"/>
    <w:autoRedefine/>
    <w:uiPriority w:val="39"/>
    <w:qFormat/>
    <w:rsid w:val="001B7D3E"/>
    <w:pPr>
      <w:spacing w:before="240" w:after="100"/>
    </w:pPr>
  </w:style>
  <w:style w:type="paragraph" w:styleId="TOC2">
    <w:name w:val="toc 2"/>
    <w:basedOn w:val="Normal"/>
    <w:next w:val="Normal"/>
    <w:autoRedefine/>
    <w:uiPriority w:val="39"/>
    <w:qFormat/>
    <w:rsid w:val="001B7D3E"/>
    <w:pPr>
      <w:spacing w:after="100"/>
      <w:ind w:left="220"/>
    </w:pPr>
  </w:style>
  <w:style w:type="character" w:styleId="Hyperlink">
    <w:name w:val="Hyperlink"/>
    <w:basedOn w:val="DefaultParagraphFont"/>
    <w:uiPriority w:val="99"/>
    <w:unhideWhenUsed/>
    <w:rsid w:val="001B7D3E"/>
    <w:rPr>
      <w:color w:val="0000FF" w:themeColor="hyperlink"/>
      <w:u w:val="single"/>
    </w:rPr>
  </w:style>
  <w:style w:type="character" w:styleId="CommentReference">
    <w:name w:val="annotation reference"/>
    <w:basedOn w:val="DefaultParagraphFont"/>
    <w:rsid w:val="00A1318E"/>
    <w:rPr>
      <w:sz w:val="16"/>
      <w:szCs w:val="16"/>
    </w:rPr>
  </w:style>
  <w:style w:type="paragraph" w:styleId="CommentSubject">
    <w:name w:val="annotation subject"/>
    <w:basedOn w:val="CommentText"/>
    <w:next w:val="CommentText"/>
    <w:link w:val="CommentSubjectChar"/>
    <w:rsid w:val="00A1318E"/>
    <w:rPr>
      <w:b/>
      <w:bCs/>
      <w:sz w:val="20"/>
    </w:rPr>
  </w:style>
  <w:style w:type="character" w:customStyle="1" w:styleId="CommentTextChar">
    <w:name w:val="Comment Text Char"/>
    <w:basedOn w:val="DefaultParagraphFont"/>
    <w:link w:val="CommentText"/>
    <w:semiHidden/>
    <w:rsid w:val="00A1318E"/>
    <w:rPr>
      <w:rFonts w:ascii="Arial" w:eastAsia="SimSun" w:hAnsi="Arial" w:cs="Arial"/>
      <w:sz w:val="18"/>
      <w:lang w:val="en-US" w:eastAsia="zh-CN"/>
    </w:rPr>
  </w:style>
  <w:style w:type="character" w:customStyle="1" w:styleId="CommentSubjectChar">
    <w:name w:val="Comment Subject Char"/>
    <w:basedOn w:val="CommentTextChar"/>
    <w:link w:val="CommentSubject"/>
    <w:rsid w:val="00A1318E"/>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3736">
      <w:bodyDiv w:val="1"/>
      <w:marLeft w:val="0"/>
      <w:marRight w:val="0"/>
      <w:marTop w:val="0"/>
      <w:marBottom w:val="0"/>
      <w:divBdr>
        <w:top w:val="none" w:sz="0" w:space="0" w:color="auto"/>
        <w:left w:val="none" w:sz="0" w:space="0" w:color="auto"/>
        <w:bottom w:val="none" w:sz="0" w:space="0" w:color="auto"/>
        <w:right w:val="none" w:sz="0" w:space="0" w:color="auto"/>
      </w:divBdr>
    </w:div>
    <w:div w:id="1059088863">
      <w:bodyDiv w:val="1"/>
      <w:marLeft w:val="0"/>
      <w:marRight w:val="0"/>
      <w:marTop w:val="0"/>
      <w:marBottom w:val="0"/>
      <w:divBdr>
        <w:top w:val="none" w:sz="0" w:space="0" w:color="auto"/>
        <w:left w:val="none" w:sz="0" w:space="0" w:color="auto"/>
        <w:bottom w:val="none" w:sz="0" w:space="0" w:color="auto"/>
        <w:right w:val="none" w:sz="0" w:space="0" w:color="auto"/>
      </w:divBdr>
    </w:div>
    <w:div w:id="1174301577">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326661791">
      <w:bodyDiv w:val="1"/>
      <w:marLeft w:val="0"/>
      <w:marRight w:val="0"/>
      <w:marTop w:val="0"/>
      <w:marBottom w:val="0"/>
      <w:divBdr>
        <w:top w:val="none" w:sz="0" w:space="0" w:color="auto"/>
        <w:left w:val="none" w:sz="0" w:space="0" w:color="auto"/>
        <w:bottom w:val="none" w:sz="0" w:space="0" w:color="auto"/>
        <w:right w:val="none" w:sz="0" w:space="0" w:color="auto"/>
      </w:divBdr>
    </w:div>
    <w:div w:id="17757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9903-519E-4C19-A1A7-E2DCDC89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(E).dotm</Template>
  <TotalTime>27</TotalTime>
  <Pages>10</Pages>
  <Words>1755</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PCT/A/49/</vt:lpstr>
    </vt:vector>
  </TitlesOfParts>
  <Company>WIPO</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dc:title>
  <dc:creator>RICHARDSON Michael</dc:creator>
  <cp:lastModifiedBy>RICHARDSON Michael</cp:lastModifiedBy>
  <cp:revision>12</cp:revision>
  <cp:lastPrinted>2017-06-16T07:16:00Z</cp:lastPrinted>
  <dcterms:created xsi:type="dcterms:W3CDTF">2017-06-02T10:37:00Z</dcterms:created>
  <dcterms:modified xsi:type="dcterms:W3CDTF">2017-06-19T07:41:00Z</dcterms:modified>
</cp:coreProperties>
</file>