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D2B2" w14:textId="77777777" w:rsidR="008A7269" w:rsidRDefault="008A7269" w:rsidP="008A7269">
      <w:pPr>
        <w:spacing w:line="360" w:lineRule="auto"/>
        <w:ind w:left="4592"/>
        <w:rPr>
          <w:rFonts w:ascii="Arial Black" w:hAnsi="Arial Black"/>
          <w:caps/>
          <w:sz w:val="15"/>
        </w:rPr>
      </w:pPr>
      <w:bookmarkStart w:id="0" w:name="_GoBack"/>
      <w:bookmarkEnd w:id="0"/>
      <w:r>
        <w:rPr>
          <w:noProof/>
        </w:rPr>
        <w:drawing>
          <wp:inline distT="0" distB="0" distL="0" distR="0" wp14:anchorId="412E7CCA" wp14:editId="2F763B42">
            <wp:extent cx="1857600" cy="1324800"/>
            <wp:effectExtent l="0" t="0" r="0" b="8890"/>
            <wp:docPr id="2" name="Picture 2"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F2DE63B" w14:textId="0F316361" w:rsidR="008A7269" w:rsidRPr="006E4F5F" w:rsidRDefault="008A7269" w:rsidP="008A7269">
      <w:pPr>
        <w:pBdr>
          <w:top w:val="single" w:sz="4" w:space="10" w:color="auto"/>
        </w:pBdr>
        <w:spacing w:before="120"/>
        <w:jc w:val="right"/>
        <w:rPr>
          <w:rFonts w:ascii="Arial Black" w:hAnsi="Arial Black"/>
          <w:b/>
          <w:caps/>
          <w:sz w:val="15"/>
        </w:rPr>
      </w:pPr>
      <w:r>
        <w:rPr>
          <w:rFonts w:ascii="Arial Black" w:hAnsi="Arial Black"/>
          <w:b/>
          <w:caps/>
          <w:sz w:val="15"/>
        </w:rPr>
        <w:t>WO/CC/76</w:t>
      </w:r>
      <w:r w:rsidRPr="006E4F5F">
        <w:rPr>
          <w:rFonts w:ascii="Arial Black" w:hAnsi="Arial Black"/>
          <w:b/>
          <w:caps/>
          <w:sz w:val="15"/>
        </w:rPr>
        <w:t>/</w:t>
      </w:r>
      <w:bookmarkStart w:id="1" w:name="Code"/>
      <w:bookmarkEnd w:id="1"/>
      <w:r>
        <w:rPr>
          <w:rFonts w:ascii="Arial Black" w:hAnsi="Arial Black"/>
          <w:b/>
          <w:caps/>
          <w:sz w:val="15"/>
        </w:rPr>
        <w:t>INF/</w:t>
      </w:r>
      <w:r w:rsidR="00C7658A">
        <w:rPr>
          <w:rFonts w:ascii="Arial Black" w:hAnsi="Arial Black"/>
          <w:b/>
          <w:caps/>
          <w:sz w:val="15"/>
        </w:rPr>
        <w:t>1</w:t>
      </w:r>
    </w:p>
    <w:p w14:paraId="4EE66808" w14:textId="7E269BFD" w:rsidR="008A7269" w:rsidRPr="006E4F5F" w:rsidRDefault="008A7269" w:rsidP="008A7269">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C74477">
        <w:rPr>
          <w:rFonts w:ascii="Arial Black" w:hAnsi="Arial Black"/>
          <w:b/>
          <w:caps/>
          <w:sz w:val="15"/>
        </w:rPr>
        <w:t xml:space="preserve"> </w:t>
      </w:r>
      <w:r>
        <w:rPr>
          <w:rFonts w:ascii="Arial Black" w:hAnsi="Arial Black"/>
          <w:b/>
          <w:caps/>
          <w:sz w:val="15"/>
        </w:rPr>
        <w:t>English</w:t>
      </w:r>
    </w:p>
    <w:p w14:paraId="7831EBD2" w14:textId="64E80417" w:rsidR="008A7269" w:rsidRPr="006E4F5F" w:rsidRDefault="008A7269" w:rsidP="008A7269">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2C6C38">
        <w:rPr>
          <w:rFonts w:ascii="Arial Black" w:hAnsi="Arial Black"/>
          <w:b/>
          <w:caps/>
          <w:sz w:val="15"/>
        </w:rPr>
        <w:t xml:space="preserve"> </w:t>
      </w:r>
      <w:r w:rsidR="00C7658A">
        <w:rPr>
          <w:rFonts w:ascii="Arial Black" w:hAnsi="Arial Black"/>
          <w:b/>
          <w:caps/>
          <w:sz w:val="15"/>
        </w:rPr>
        <w:t xml:space="preserve">July </w:t>
      </w:r>
      <w:r w:rsidR="00063F95">
        <w:rPr>
          <w:rFonts w:ascii="Arial Black" w:hAnsi="Arial Black"/>
          <w:b/>
          <w:caps/>
          <w:sz w:val="15"/>
        </w:rPr>
        <w:t>5</w:t>
      </w:r>
      <w:r>
        <w:rPr>
          <w:rFonts w:ascii="Arial Black" w:hAnsi="Arial Black"/>
          <w:b/>
          <w:caps/>
          <w:sz w:val="15"/>
        </w:rPr>
        <w:t>, 2019</w:t>
      </w:r>
    </w:p>
    <w:p w14:paraId="656578C2" w14:textId="78D6E296" w:rsidR="00C74477" w:rsidRPr="00A9630D" w:rsidRDefault="00C74477" w:rsidP="00A9630D">
      <w:pPr>
        <w:pStyle w:val="Heading1"/>
        <w:spacing w:before="0" w:after="600"/>
        <w:rPr>
          <w:sz w:val="28"/>
          <w:szCs w:val="28"/>
          <w:lang w:eastAsia="zh-CN"/>
        </w:rPr>
      </w:pPr>
      <w:r w:rsidRPr="00A9630D">
        <w:rPr>
          <w:sz w:val="28"/>
          <w:szCs w:val="28"/>
          <w:lang w:eastAsia="zh-CN"/>
        </w:rPr>
        <w:t>WIPO</w:t>
      </w:r>
      <w:r w:rsidR="00A9630D" w:rsidRPr="00A9630D">
        <w:rPr>
          <w:caps w:val="0"/>
          <w:sz w:val="28"/>
          <w:szCs w:val="28"/>
          <w:lang w:eastAsia="zh-CN"/>
        </w:rPr>
        <w:t xml:space="preserve"> Coordination Committee</w:t>
      </w:r>
    </w:p>
    <w:p w14:paraId="5C77C93A" w14:textId="77777777" w:rsidR="00C74477" w:rsidRPr="00C74477" w:rsidRDefault="00C74477" w:rsidP="00C74477">
      <w:pPr>
        <w:spacing w:after="720"/>
        <w:rPr>
          <w:rFonts w:eastAsia="SimSun"/>
          <w:b/>
          <w:sz w:val="24"/>
          <w:lang w:eastAsia="zh-CN"/>
        </w:rPr>
      </w:pPr>
      <w:bookmarkStart w:id="4" w:name="TitleOfDoc"/>
      <w:bookmarkEnd w:id="4"/>
      <w:r w:rsidRPr="00C74477">
        <w:rPr>
          <w:rFonts w:eastAsia="SimSun"/>
          <w:b/>
          <w:sz w:val="24"/>
          <w:lang w:eastAsia="zh-CN"/>
        </w:rPr>
        <w:t>Seventy-Sixth (50</w:t>
      </w:r>
      <w:r w:rsidRPr="00C74477">
        <w:rPr>
          <w:rFonts w:eastAsia="SimSun"/>
          <w:b/>
          <w:sz w:val="24"/>
          <w:vertAlign w:val="superscript"/>
          <w:lang w:eastAsia="zh-CN"/>
        </w:rPr>
        <w:t>th</w:t>
      </w:r>
      <w:r w:rsidRPr="00C74477">
        <w:rPr>
          <w:rFonts w:eastAsia="SimSun"/>
          <w:b/>
          <w:sz w:val="24"/>
          <w:lang w:eastAsia="zh-CN"/>
        </w:rPr>
        <w:t xml:space="preserve"> Ordinary) Session</w:t>
      </w:r>
      <w:r w:rsidRPr="00C74477">
        <w:rPr>
          <w:rFonts w:eastAsia="SimSun"/>
          <w:b/>
          <w:sz w:val="24"/>
          <w:lang w:eastAsia="zh-CN"/>
        </w:rPr>
        <w:br/>
        <w:t>Geneva, September 30 to October 9, 2019</w:t>
      </w:r>
    </w:p>
    <w:p w14:paraId="629ED986" w14:textId="77777777" w:rsidR="008A7269" w:rsidRPr="000D05A0" w:rsidRDefault="008A7269" w:rsidP="008A7269">
      <w:pPr>
        <w:spacing w:after="360"/>
        <w:rPr>
          <w:caps/>
          <w:sz w:val="24"/>
          <w:szCs w:val="24"/>
        </w:rPr>
      </w:pPr>
      <w:r w:rsidRPr="000D05A0">
        <w:rPr>
          <w:caps/>
          <w:sz w:val="24"/>
          <w:szCs w:val="24"/>
        </w:rPr>
        <w:t>Annual Report on Human Resources</w:t>
      </w:r>
    </w:p>
    <w:p w14:paraId="030BC911" w14:textId="77777777" w:rsidR="008A7269" w:rsidRPr="009C127D" w:rsidRDefault="008A7269" w:rsidP="008A7269">
      <w:pPr>
        <w:spacing w:after="960"/>
        <w:rPr>
          <w:i/>
        </w:rPr>
      </w:pPr>
      <w:bookmarkStart w:id="5" w:name="Prepared"/>
      <w:bookmarkEnd w:id="5"/>
      <w:r>
        <w:rPr>
          <w:i/>
        </w:rPr>
        <w:t>prepared by the Secretariat</w:t>
      </w:r>
    </w:p>
    <w:p w14:paraId="762D4D6A" w14:textId="05EB64F0" w:rsidR="00B36863" w:rsidRDefault="008A7269" w:rsidP="00C90BB2">
      <w:pPr>
        <w:pStyle w:val="Heading2"/>
        <w:numPr>
          <w:ilvl w:val="0"/>
          <w:numId w:val="36"/>
        </w:numPr>
        <w:ind w:left="0" w:firstLine="0"/>
        <w:rPr>
          <w:b/>
        </w:rPr>
      </w:pPr>
      <w:r w:rsidRPr="00C74477">
        <w:rPr>
          <w:b/>
        </w:rPr>
        <w:t>INTRODUCTION</w:t>
      </w:r>
    </w:p>
    <w:p w14:paraId="328C0136" w14:textId="77777777" w:rsidR="004069C4" w:rsidRPr="004069C4" w:rsidRDefault="004069C4" w:rsidP="004069C4"/>
    <w:p w14:paraId="6CD63B34" w14:textId="597E12AA" w:rsidR="001558E4" w:rsidRDefault="001558E4" w:rsidP="001558E4">
      <w:pPr>
        <w:pStyle w:val="ListParagraph"/>
        <w:numPr>
          <w:ilvl w:val="0"/>
          <w:numId w:val="21"/>
        </w:numPr>
        <w:ind w:left="0" w:firstLine="0"/>
        <w:rPr>
          <w:rFonts w:ascii="Arial" w:hAnsi="Arial" w:cs="Arial"/>
          <w:sz w:val="22"/>
          <w:szCs w:val="22"/>
        </w:rPr>
      </w:pPr>
      <w:r w:rsidRPr="001558E4">
        <w:rPr>
          <w:rFonts w:ascii="Arial" w:hAnsi="Arial" w:cs="Arial"/>
          <w:sz w:val="22"/>
          <w:szCs w:val="22"/>
        </w:rPr>
        <w:t xml:space="preserve">This annual </w:t>
      </w:r>
      <w:r>
        <w:rPr>
          <w:rFonts w:ascii="Arial" w:hAnsi="Arial" w:cs="Arial"/>
          <w:sz w:val="22"/>
          <w:szCs w:val="22"/>
        </w:rPr>
        <w:t xml:space="preserve">report on human resources (HR) covers all HR matters required to </w:t>
      </w:r>
      <w:r w:rsidR="001D467D">
        <w:rPr>
          <w:rFonts w:ascii="Arial" w:hAnsi="Arial" w:cs="Arial"/>
          <w:sz w:val="22"/>
          <w:szCs w:val="22"/>
        </w:rPr>
        <w:t xml:space="preserve">for </w:t>
      </w:r>
      <w:r w:rsidR="002F5E93">
        <w:rPr>
          <w:rFonts w:ascii="Arial" w:hAnsi="Arial" w:cs="Arial"/>
          <w:sz w:val="22"/>
          <w:szCs w:val="22"/>
        </w:rPr>
        <w:t>report</w:t>
      </w:r>
      <w:r w:rsidR="001D467D">
        <w:rPr>
          <w:rFonts w:ascii="Arial" w:hAnsi="Arial" w:cs="Arial"/>
          <w:sz w:val="22"/>
          <w:szCs w:val="22"/>
        </w:rPr>
        <w:t>ing</w:t>
      </w:r>
      <w:r w:rsidR="002F5E93">
        <w:rPr>
          <w:rFonts w:ascii="Arial" w:hAnsi="Arial" w:cs="Arial"/>
          <w:sz w:val="22"/>
          <w:szCs w:val="22"/>
        </w:rPr>
        <w:t xml:space="preserve"> to the WIPO Coordination Committee</w:t>
      </w:r>
      <w:r w:rsidR="00A816B8">
        <w:rPr>
          <w:rFonts w:ascii="Arial" w:hAnsi="Arial" w:cs="Arial"/>
          <w:sz w:val="22"/>
          <w:szCs w:val="22"/>
        </w:rPr>
        <w:t xml:space="preserve"> </w:t>
      </w:r>
      <w:r w:rsidR="004052AD">
        <w:rPr>
          <w:rFonts w:ascii="Arial" w:hAnsi="Arial" w:cs="Arial"/>
          <w:sz w:val="22"/>
          <w:szCs w:val="22"/>
        </w:rPr>
        <w:t>and</w:t>
      </w:r>
      <w:r w:rsidR="002F5E93">
        <w:rPr>
          <w:rFonts w:ascii="Arial" w:hAnsi="Arial" w:cs="Arial"/>
          <w:sz w:val="22"/>
          <w:szCs w:val="22"/>
        </w:rPr>
        <w:t xml:space="preserve"> other staff matters of interest to Member States.  </w:t>
      </w:r>
      <w:r w:rsidR="0001267C">
        <w:rPr>
          <w:rFonts w:ascii="Arial" w:hAnsi="Arial" w:cs="Arial"/>
          <w:sz w:val="22"/>
          <w:szCs w:val="22"/>
        </w:rPr>
        <w:t xml:space="preserve">It includes information on progress made </w:t>
      </w:r>
      <w:r w:rsidR="00C53230">
        <w:rPr>
          <w:rFonts w:ascii="Arial" w:hAnsi="Arial" w:cs="Arial"/>
          <w:sz w:val="22"/>
          <w:szCs w:val="22"/>
        </w:rPr>
        <w:t xml:space="preserve">in achieving goals relating to some of these staff matters and a brief description of relevant policies, </w:t>
      </w:r>
      <w:r w:rsidR="00283F80">
        <w:rPr>
          <w:rFonts w:ascii="Arial" w:hAnsi="Arial" w:cs="Arial"/>
          <w:sz w:val="22"/>
          <w:szCs w:val="22"/>
        </w:rPr>
        <w:t>initiatives</w:t>
      </w:r>
      <w:r w:rsidR="00C53230">
        <w:rPr>
          <w:rFonts w:ascii="Arial" w:hAnsi="Arial" w:cs="Arial"/>
          <w:sz w:val="22"/>
          <w:szCs w:val="22"/>
        </w:rPr>
        <w:t xml:space="preserve"> and activities </w:t>
      </w:r>
      <w:r w:rsidR="001D467D">
        <w:rPr>
          <w:rFonts w:ascii="Arial" w:hAnsi="Arial" w:cs="Arial"/>
          <w:sz w:val="22"/>
          <w:szCs w:val="22"/>
        </w:rPr>
        <w:t xml:space="preserve">that </w:t>
      </w:r>
      <w:r w:rsidR="00C53230">
        <w:rPr>
          <w:rFonts w:ascii="Arial" w:hAnsi="Arial" w:cs="Arial"/>
          <w:sz w:val="22"/>
          <w:szCs w:val="22"/>
        </w:rPr>
        <w:t>are aligned with WIPO</w:t>
      </w:r>
      <w:r w:rsidR="002F5E93">
        <w:rPr>
          <w:rFonts w:ascii="Arial" w:hAnsi="Arial" w:cs="Arial"/>
          <w:sz w:val="22"/>
          <w:szCs w:val="22"/>
        </w:rPr>
        <w:t>’s HR Strategy 2017-2021</w:t>
      </w:r>
      <w:r w:rsidR="00C53230">
        <w:rPr>
          <w:rFonts w:ascii="Arial" w:hAnsi="Arial" w:cs="Arial"/>
          <w:sz w:val="22"/>
          <w:szCs w:val="22"/>
        </w:rPr>
        <w:t>.</w:t>
      </w:r>
      <w:r w:rsidR="0020166A">
        <w:rPr>
          <w:rStyle w:val="FootnoteReference"/>
          <w:rFonts w:ascii="Arial" w:hAnsi="Arial" w:cs="Arial"/>
          <w:sz w:val="22"/>
          <w:szCs w:val="22"/>
        </w:rPr>
        <w:footnoteReference w:id="1"/>
      </w:r>
    </w:p>
    <w:p w14:paraId="71AA2AE1" w14:textId="77777777" w:rsidR="0020166A" w:rsidRDefault="0020166A" w:rsidP="0020166A">
      <w:pPr>
        <w:pStyle w:val="ListParagraph"/>
        <w:ind w:left="0"/>
        <w:rPr>
          <w:rFonts w:ascii="Arial" w:hAnsi="Arial" w:cs="Arial"/>
          <w:sz w:val="22"/>
          <w:szCs w:val="22"/>
        </w:rPr>
      </w:pPr>
    </w:p>
    <w:p w14:paraId="283BF6A5" w14:textId="718319EB" w:rsidR="0020166A" w:rsidRDefault="0020166A" w:rsidP="001558E4">
      <w:pPr>
        <w:pStyle w:val="ListParagraph"/>
        <w:numPr>
          <w:ilvl w:val="0"/>
          <w:numId w:val="21"/>
        </w:numPr>
        <w:ind w:left="0" w:firstLine="0"/>
        <w:rPr>
          <w:rFonts w:ascii="Arial" w:hAnsi="Arial" w:cs="Arial"/>
          <w:sz w:val="22"/>
          <w:szCs w:val="22"/>
        </w:rPr>
      </w:pPr>
      <w:r>
        <w:rPr>
          <w:rFonts w:ascii="Arial" w:hAnsi="Arial" w:cs="Arial"/>
          <w:sz w:val="22"/>
          <w:szCs w:val="22"/>
        </w:rPr>
        <w:t xml:space="preserve">This report covers the period from July 1, 2018 to June 30, 2019, in order to provide the most recent data to Member States, except in specific cases indicated in the report where the period of coverage is by calendar year.  </w:t>
      </w:r>
      <w:r w:rsidR="00022502">
        <w:rPr>
          <w:rFonts w:ascii="Arial" w:hAnsi="Arial" w:cs="Arial"/>
          <w:sz w:val="22"/>
          <w:szCs w:val="22"/>
        </w:rPr>
        <w:t>Complementing this report is</w:t>
      </w:r>
      <w:r>
        <w:rPr>
          <w:rFonts w:ascii="Arial" w:hAnsi="Arial" w:cs="Arial"/>
          <w:sz w:val="22"/>
          <w:szCs w:val="22"/>
        </w:rPr>
        <w:t xml:space="preserve"> a separate HR brochure (“HR brochure”) </w:t>
      </w:r>
      <w:r w:rsidR="002C06BA">
        <w:rPr>
          <w:rFonts w:ascii="Arial" w:hAnsi="Arial" w:cs="Arial"/>
          <w:sz w:val="22"/>
          <w:szCs w:val="22"/>
        </w:rPr>
        <w:t xml:space="preserve">containing key workforce data covering </w:t>
      </w:r>
      <w:r w:rsidR="00581CCF">
        <w:rPr>
          <w:rFonts w:ascii="Arial" w:hAnsi="Arial" w:cs="Arial"/>
          <w:sz w:val="22"/>
          <w:szCs w:val="22"/>
        </w:rPr>
        <w:t>the same</w:t>
      </w:r>
      <w:r w:rsidR="002C06BA">
        <w:rPr>
          <w:rFonts w:ascii="Arial" w:hAnsi="Arial" w:cs="Arial"/>
          <w:sz w:val="22"/>
          <w:szCs w:val="22"/>
        </w:rPr>
        <w:t xml:space="preserve"> reporting period or by calendar year.  The 2019 HR brochure, </w:t>
      </w:r>
      <w:r w:rsidR="002C06BA" w:rsidRPr="00ED656C">
        <w:rPr>
          <w:rFonts w:ascii="Arial" w:hAnsi="Arial" w:cs="Arial"/>
          <w:sz w:val="22"/>
          <w:szCs w:val="22"/>
        </w:rPr>
        <w:t>entitled</w:t>
      </w:r>
      <w:r w:rsidR="00022502" w:rsidRPr="00ED656C">
        <w:rPr>
          <w:rFonts w:ascii="Arial" w:hAnsi="Arial" w:cs="Arial"/>
          <w:sz w:val="22"/>
          <w:szCs w:val="22"/>
        </w:rPr>
        <w:t xml:space="preserve"> </w:t>
      </w:r>
      <w:r w:rsidR="00A61918" w:rsidRPr="00ED656C">
        <w:rPr>
          <w:rFonts w:ascii="Arial" w:hAnsi="Arial" w:cs="Arial"/>
          <w:sz w:val="22"/>
          <w:szCs w:val="22"/>
        </w:rPr>
        <w:t>“</w:t>
      </w:r>
      <w:r w:rsidR="00084CF0">
        <w:rPr>
          <w:rFonts w:ascii="Arial" w:hAnsi="Arial" w:cs="Arial"/>
          <w:color w:val="000000"/>
          <w:sz w:val="22"/>
          <w:szCs w:val="22"/>
          <w:shd w:val="clear" w:color="auto" w:fill="FFFFFF"/>
        </w:rPr>
        <w:t xml:space="preserve">Staff @ </w:t>
      </w:r>
      <w:r w:rsidR="008007FC" w:rsidRPr="00ED656C">
        <w:rPr>
          <w:rFonts w:ascii="Arial" w:hAnsi="Arial" w:cs="Arial"/>
          <w:color w:val="000000"/>
          <w:sz w:val="22"/>
          <w:szCs w:val="22"/>
          <w:shd w:val="clear" w:color="auto" w:fill="FFFFFF"/>
        </w:rPr>
        <w:t>WIPO: Serving the Global IP System</w:t>
      </w:r>
      <w:r w:rsidR="00A61918" w:rsidRPr="00ED656C">
        <w:rPr>
          <w:rFonts w:ascii="Arial" w:hAnsi="Arial" w:cs="Arial"/>
          <w:color w:val="000000"/>
          <w:sz w:val="22"/>
          <w:szCs w:val="22"/>
          <w:shd w:val="clear" w:color="auto" w:fill="FFFFFF"/>
        </w:rPr>
        <w:t>”</w:t>
      </w:r>
      <w:r w:rsidR="002C06BA" w:rsidRPr="00ED656C">
        <w:rPr>
          <w:rFonts w:ascii="Arial" w:hAnsi="Arial" w:cs="Arial"/>
          <w:sz w:val="22"/>
          <w:szCs w:val="22"/>
        </w:rPr>
        <w:t>,</w:t>
      </w:r>
      <w:r w:rsidR="002C06BA">
        <w:rPr>
          <w:rFonts w:ascii="Arial" w:hAnsi="Arial" w:cs="Arial"/>
          <w:sz w:val="22"/>
          <w:szCs w:val="22"/>
        </w:rPr>
        <w:t xml:space="preserve"> is available on the WIPO website.</w:t>
      </w:r>
      <w:r w:rsidR="002C06BA">
        <w:rPr>
          <w:rStyle w:val="FootnoteReference"/>
          <w:rFonts w:ascii="Arial" w:hAnsi="Arial" w:cs="Arial"/>
          <w:sz w:val="22"/>
          <w:szCs w:val="22"/>
        </w:rPr>
        <w:footnoteReference w:id="2"/>
      </w:r>
      <w:r w:rsidR="002C06BA">
        <w:rPr>
          <w:rFonts w:ascii="Arial" w:hAnsi="Arial" w:cs="Arial"/>
          <w:sz w:val="22"/>
          <w:szCs w:val="22"/>
        </w:rPr>
        <w:t xml:space="preserve">  </w:t>
      </w:r>
      <w:r w:rsidR="001D467D">
        <w:rPr>
          <w:rFonts w:ascii="Arial" w:hAnsi="Arial" w:cs="Arial"/>
          <w:sz w:val="22"/>
          <w:szCs w:val="22"/>
        </w:rPr>
        <w:t>C</w:t>
      </w:r>
      <w:r w:rsidR="002C06BA">
        <w:rPr>
          <w:rFonts w:ascii="Arial" w:hAnsi="Arial" w:cs="Arial"/>
          <w:sz w:val="22"/>
          <w:szCs w:val="22"/>
        </w:rPr>
        <w:t xml:space="preserve">harts and tables </w:t>
      </w:r>
      <w:r w:rsidR="001D467D">
        <w:rPr>
          <w:rFonts w:ascii="Arial" w:hAnsi="Arial" w:cs="Arial"/>
          <w:sz w:val="22"/>
          <w:szCs w:val="22"/>
        </w:rPr>
        <w:t xml:space="preserve">from </w:t>
      </w:r>
      <w:r w:rsidR="002C06BA">
        <w:rPr>
          <w:rFonts w:ascii="Arial" w:hAnsi="Arial" w:cs="Arial"/>
          <w:sz w:val="22"/>
          <w:szCs w:val="22"/>
        </w:rPr>
        <w:t xml:space="preserve">the HR brochure are referenced in </w:t>
      </w:r>
      <w:r w:rsidR="00022502">
        <w:rPr>
          <w:rFonts w:ascii="Arial" w:hAnsi="Arial" w:cs="Arial"/>
          <w:sz w:val="22"/>
          <w:szCs w:val="22"/>
        </w:rPr>
        <w:t>th</w:t>
      </w:r>
      <w:r w:rsidR="005B4BF6">
        <w:rPr>
          <w:rFonts w:ascii="Arial" w:hAnsi="Arial" w:cs="Arial"/>
          <w:sz w:val="22"/>
          <w:szCs w:val="22"/>
        </w:rPr>
        <w:t>is</w:t>
      </w:r>
      <w:r w:rsidR="002C06BA">
        <w:rPr>
          <w:rFonts w:ascii="Arial" w:hAnsi="Arial" w:cs="Arial"/>
          <w:sz w:val="22"/>
          <w:szCs w:val="22"/>
        </w:rPr>
        <w:t xml:space="preserve"> report.</w:t>
      </w:r>
    </w:p>
    <w:p w14:paraId="1F71E9FD" w14:textId="77777777" w:rsidR="008A7269" w:rsidRPr="00687560" w:rsidRDefault="008A7269" w:rsidP="00687560">
      <w:pPr>
        <w:pStyle w:val="ListParagraph"/>
        <w:rPr>
          <w:rFonts w:ascii="Arial" w:hAnsi="Arial" w:cs="Arial"/>
          <w:sz w:val="22"/>
          <w:szCs w:val="22"/>
        </w:rPr>
      </w:pPr>
    </w:p>
    <w:p w14:paraId="6F4A98AB" w14:textId="77777777" w:rsidR="00ED656C" w:rsidRDefault="00ED656C">
      <w:pPr>
        <w:rPr>
          <w:b/>
          <w:szCs w:val="22"/>
        </w:rPr>
      </w:pPr>
      <w:r>
        <w:rPr>
          <w:b/>
          <w:szCs w:val="22"/>
        </w:rPr>
        <w:br w:type="page"/>
      </w:r>
    </w:p>
    <w:p w14:paraId="702A64C6" w14:textId="0216AA1B" w:rsidR="00022502" w:rsidRDefault="00022502" w:rsidP="00C74477">
      <w:pPr>
        <w:pStyle w:val="Heading2"/>
        <w:numPr>
          <w:ilvl w:val="0"/>
          <w:numId w:val="36"/>
        </w:numPr>
        <w:ind w:left="0" w:firstLine="0"/>
        <w:rPr>
          <w:b/>
        </w:rPr>
      </w:pPr>
      <w:r w:rsidRPr="00C74477">
        <w:rPr>
          <w:b/>
        </w:rPr>
        <w:lastRenderedPageBreak/>
        <w:t>WORKFORCE DATA IN SUMMARY</w:t>
      </w:r>
    </w:p>
    <w:p w14:paraId="3A888E19" w14:textId="77777777" w:rsidR="00C74477" w:rsidRPr="00C74477" w:rsidRDefault="00C74477" w:rsidP="00C74477"/>
    <w:p w14:paraId="49229F7E" w14:textId="52B70191" w:rsidR="002C06BA" w:rsidRDefault="00EB4641" w:rsidP="001558E4">
      <w:pPr>
        <w:pStyle w:val="ListParagraph"/>
        <w:numPr>
          <w:ilvl w:val="0"/>
          <w:numId w:val="21"/>
        </w:numPr>
        <w:ind w:left="0" w:firstLine="0"/>
        <w:rPr>
          <w:rFonts w:ascii="Arial" w:hAnsi="Arial" w:cs="Arial"/>
          <w:sz w:val="22"/>
          <w:szCs w:val="22"/>
        </w:rPr>
      </w:pPr>
      <w:r>
        <w:rPr>
          <w:rFonts w:ascii="Arial" w:hAnsi="Arial" w:cs="Arial"/>
          <w:sz w:val="22"/>
          <w:szCs w:val="22"/>
        </w:rPr>
        <w:t>WIPO’s</w:t>
      </w:r>
      <w:r w:rsidR="00022502">
        <w:rPr>
          <w:rFonts w:ascii="Arial" w:hAnsi="Arial" w:cs="Arial"/>
          <w:sz w:val="22"/>
          <w:szCs w:val="22"/>
        </w:rPr>
        <w:t xml:space="preserve"> </w:t>
      </w:r>
      <w:r>
        <w:rPr>
          <w:rFonts w:ascii="Arial" w:hAnsi="Arial" w:cs="Arial"/>
          <w:sz w:val="22"/>
          <w:szCs w:val="22"/>
        </w:rPr>
        <w:t xml:space="preserve">total workforce as </w:t>
      </w:r>
      <w:r w:rsidR="001D467D">
        <w:rPr>
          <w:rFonts w:ascii="Arial" w:hAnsi="Arial" w:cs="Arial"/>
          <w:sz w:val="22"/>
          <w:szCs w:val="22"/>
        </w:rPr>
        <w:t xml:space="preserve">of </w:t>
      </w:r>
      <w:r w:rsidR="00022502">
        <w:rPr>
          <w:rFonts w:ascii="Arial" w:hAnsi="Arial" w:cs="Arial"/>
          <w:sz w:val="22"/>
          <w:szCs w:val="22"/>
        </w:rPr>
        <w:t>June 30, 2</w:t>
      </w:r>
      <w:r w:rsidR="00A71F18">
        <w:rPr>
          <w:rFonts w:ascii="Arial" w:hAnsi="Arial" w:cs="Arial"/>
          <w:sz w:val="22"/>
          <w:szCs w:val="22"/>
        </w:rPr>
        <w:t>019</w:t>
      </w:r>
      <w:r>
        <w:rPr>
          <w:rFonts w:ascii="Arial" w:hAnsi="Arial" w:cs="Arial"/>
          <w:sz w:val="22"/>
          <w:szCs w:val="22"/>
        </w:rPr>
        <w:t xml:space="preserve"> stands </w:t>
      </w:r>
      <w:r w:rsidRPr="00D05CB1">
        <w:rPr>
          <w:rFonts w:ascii="Arial" w:hAnsi="Arial" w:cs="Arial"/>
          <w:sz w:val="22"/>
          <w:szCs w:val="22"/>
        </w:rPr>
        <w:t xml:space="preserve">at </w:t>
      </w:r>
      <w:r w:rsidR="00B94E64" w:rsidRPr="00D05CB1">
        <w:rPr>
          <w:rFonts w:ascii="Arial" w:hAnsi="Arial" w:cs="Arial"/>
          <w:sz w:val="22"/>
          <w:szCs w:val="22"/>
        </w:rPr>
        <w:t>1,</w:t>
      </w:r>
      <w:r w:rsidR="00D05CB1" w:rsidRPr="00D05CB1">
        <w:rPr>
          <w:rFonts w:ascii="Arial" w:hAnsi="Arial" w:cs="Arial"/>
          <w:sz w:val="22"/>
          <w:szCs w:val="22"/>
        </w:rPr>
        <w:t>5</w:t>
      </w:r>
      <w:r w:rsidR="001D467D">
        <w:rPr>
          <w:rFonts w:ascii="Arial" w:hAnsi="Arial" w:cs="Arial"/>
          <w:sz w:val="22"/>
          <w:szCs w:val="22"/>
        </w:rPr>
        <w:t>36</w:t>
      </w:r>
      <w:r w:rsidR="005B4BF6" w:rsidRPr="00D05CB1">
        <w:rPr>
          <w:rFonts w:ascii="Arial" w:hAnsi="Arial" w:cs="Arial"/>
          <w:sz w:val="22"/>
          <w:szCs w:val="22"/>
        </w:rPr>
        <w:t xml:space="preserve"> </w:t>
      </w:r>
      <w:r w:rsidR="00BF0FB4" w:rsidRPr="00D05CB1">
        <w:rPr>
          <w:rFonts w:ascii="Arial" w:hAnsi="Arial" w:cs="Arial"/>
          <w:sz w:val="22"/>
          <w:szCs w:val="22"/>
        </w:rPr>
        <w:t xml:space="preserve">with </w:t>
      </w:r>
      <w:r w:rsidR="004A48DD" w:rsidRPr="00D05CB1">
        <w:rPr>
          <w:rFonts w:ascii="Arial" w:hAnsi="Arial" w:cs="Arial"/>
          <w:sz w:val="22"/>
          <w:szCs w:val="22"/>
        </w:rPr>
        <w:t>a</w:t>
      </w:r>
      <w:r w:rsidR="00BF0FB4" w:rsidRPr="00D05CB1">
        <w:rPr>
          <w:rFonts w:ascii="Arial" w:hAnsi="Arial" w:cs="Arial"/>
          <w:sz w:val="22"/>
          <w:szCs w:val="22"/>
        </w:rPr>
        <w:t xml:space="preserve"> stable</w:t>
      </w:r>
      <w:r w:rsidRPr="00D05CB1">
        <w:rPr>
          <w:rFonts w:ascii="Arial" w:hAnsi="Arial" w:cs="Arial"/>
          <w:sz w:val="22"/>
          <w:szCs w:val="22"/>
        </w:rPr>
        <w:t xml:space="preserve"> </w:t>
      </w:r>
      <w:r w:rsidR="00022502" w:rsidRPr="00D05CB1">
        <w:rPr>
          <w:rFonts w:ascii="Arial" w:hAnsi="Arial" w:cs="Arial"/>
          <w:sz w:val="22"/>
          <w:szCs w:val="22"/>
        </w:rPr>
        <w:t>proportion</w:t>
      </w:r>
      <w:r w:rsidRPr="00D05CB1">
        <w:rPr>
          <w:rFonts w:ascii="Arial" w:hAnsi="Arial" w:cs="Arial"/>
          <w:sz w:val="22"/>
          <w:szCs w:val="22"/>
        </w:rPr>
        <w:t xml:space="preserve"> </w:t>
      </w:r>
      <w:r w:rsidR="00022502" w:rsidRPr="00D05CB1">
        <w:rPr>
          <w:rFonts w:ascii="Arial" w:hAnsi="Arial" w:cs="Arial"/>
          <w:sz w:val="22"/>
          <w:szCs w:val="22"/>
        </w:rPr>
        <w:t xml:space="preserve">between </w:t>
      </w:r>
      <w:r w:rsidR="004052AD" w:rsidRPr="00D05CB1">
        <w:rPr>
          <w:rFonts w:ascii="Arial" w:hAnsi="Arial" w:cs="Arial"/>
          <w:sz w:val="22"/>
          <w:szCs w:val="22"/>
        </w:rPr>
        <w:t>core</w:t>
      </w:r>
      <w:r w:rsidR="00022502" w:rsidRPr="00D05CB1">
        <w:rPr>
          <w:rFonts w:ascii="Arial" w:hAnsi="Arial" w:cs="Arial"/>
          <w:sz w:val="22"/>
          <w:szCs w:val="22"/>
        </w:rPr>
        <w:t xml:space="preserve"> </w:t>
      </w:r>
      <w:r w:rsidR="00BF0FB4" w:rsidRPr="00D05CB1">
        <w:rPr>
          <w:rFonts w:ascii="Arial" w:hAnsi="Arial" w:cs="Arial"/>
          <w:sz w:val="22"/>
          <w:szCs w:val="22"/>
        </w:rPr>
        <w:t>(</w:t>
      </w:r>
      <w:r w:rsidR="00783133" w:rsidRPr="00D05CB1">
        <w:rPr>
          <w:rFonts w:ascii="Arial" w:hAnsi="Arial" w:cs="Arial"/>
          <w:sz w:val="22"/>
          <w:szCs w:val="22"/>
        </w:rPr>
        <w:t>70.</w:t>
      </w:r>
      <w:r w:rsidR="001D467D">
        <w:rPr>
          <w:rFonts w:ascii="Arial" w:hAnsi="Arial" w:cs="Arial"/>
          <w:sz w:val="22"/>
          <w:szCs w:val="22"/>
        </w:rPr>
        <w:t>2</w:t>
      </w:r>
      <w:r w:rsidR="00BF0FB4" w:rsidRPr="00D05CB1">
        <w:rPr>
          <w:rFonts w:ascii="Arial" w:hAnsi="Arial" w:cs="Arial"/>
          <w:sz w:val="22"/>
          <w:szCs w:val="22"/>
        </w:rPr>
        <w:t xml:space="preserve"> per cent) </w:t>
      </w:r>
      <w:r w:rsidR="00022502" w:rsidRPr="00D05CB1">
        <w:rPr>
          <w:rFonts w:ascii="Arial" w:hAnsi="Arial" w:cs="Arial"/>
          <w:sz w:val="22"/>
          <w:szCs w:val="22"/>
        </w:rPr>
        <w:t xml:space="preserve">and flexible </w:t>
      </w:r>
      <w:r w:rsidR="00BF0FB4" w:rsidRPr="00D05CB1">
        <w:rPr>
          <w:rFonts w:ascii="Arial" w:hAnsi="Arial" w:cs="Arial"/>
          <w:sz w:val="22"/>
          <w:szCs w:val="22"/>
        </w:rPr>
        <w:t>(</w:t>
      </w:r>
      <w:r w:rsidR="00022510" w:rsidRPr="00D05CB1">
        <w:rPr>
          <w:rFonts w:ascii="Arial" w:hAnsi="Arial" w:cs="Arial"/>
          <w:sz w:val="22"/>
          <w:szCs w:val="22"/>
        </w:rPr>
        <w:t>29.</w:t>
      </w:r>
      <w:r w:rsidR="001D467D">
        <w:rPr>
          <w:rFonts w:ascii="Arial" w:hAnsi="Arial" w:cs="Arial"/>
          <w:sz w:val="22"/>
          <w:szCs w:val="22"/>
        </w:rPr>
        <w:t>8</w:t>
      </w:r>
      <w:r w:rsidR="00BF0FB4" w:rsidRPr="00D05CB1">
        <w:rPr>
          <w:rFonts w:ascii="Arial" w:hAnsi="Arial" w:cs="Arial"/>
          <w:sz w:val="22"/>
          <w:szCs w:val="22"/>
        </w:rPr>
        <w:t xml:space="preserve"> per cent) </w:t>
      </w:r>
      <w:r w:rsidR="00022502" w:rsidRPr="00D05CB1">
        <w:rPr>
          <w:rFonts w:ascii="Arial" w:hAnsi="Arial" w:cs="Arial"/>
          <w:sz w:val="22"/>
          <w:szCs w:val="22"/>
        </w:rPr>
        <w:t>resources</w:t>
      </w:r>
      <w:r w:rsidR="00BF0FB4" w:rsidRPr="00D05CB1">
        <w:rPr>
          <w:rFonts w:ascii="Arial" w:hAnsi="Arial" w:cs="Arial"/>
          <w:sz w:val="22"/>
          <w:szCs w:val="22"/>
        </w:rPr>
        <w:t xml:space="preserve"> </w:t>
      </w:r>
      <w:r w:rsidR="00022502" w:rsidRPr="00D05CB1">
        <w:rPr>
          <w:rFonts w:ascii="Arial" w:hAnsi="Arial" w:cs="Arial"/>
          <w:sz w:val="22"/>
          <w:szCs w:val="22"/>
        </w:rPr>
        <w:t>(Table 1</w:t>
      </w:r>
      <w:r w:rsidR="005B4BF6" w:rsidRPr="00D05CB1">
        <w:rPr>
          <w:rFonts w:ascii="Arial" w:hAnsi="Arial" w:cs="Arial"/>
          <w:sz w:val="22"/>
          <w:szCs w:val="22"/>
        </w:rPr>
        <w:t>)</w:t>
      </w:r>
      <w:r w:rsidR="004A48DD" w:rsidRPr="00D05CB1">
        <w:rPr>
          <w:rFonts w:ascii="Arial" w:hAnsi="Arial" w:cs="Arial"/>
          <w:sz w:val="22"/>
          <w:szCs w:val="22"/>
        </w:rPr>
        <w:t>,</w:t>
      </w:r>
      <w:r w:rsidR="004A48DD" w:rsidRPr="00D05CB1">
        <w:rPr>
          <w:rStyle w:val="FootnoteReference"/>
          <w:rFonts w:ascii="Arial" w:hAnsi="Arial" w:cs="Arial"/>
          <w:sz w:val="22"/>
          <w:szCs w:val="22"/>
        </w:rPr>
        <w:footnoteReference w:id="3"/>
      </w:r>
      <w:r w:rsidR="004A48DD" w:rsidRPr="00D05CB1">
        <w:rPr>
          <w:rFonts w:ascii="Arial" w:hAnsi="Arial" w:cs="Arial"/>
          <w:sz w:val="22"/>
          <w:szCs w:val="22"/>
        </w:rPr>
        <w:t xml:space="preserve"> which is comparable to the last reporting period</w:t>
      </w:r>
      <w:r w:rsidR="005B4BF6" w:rsidRPr="00D05CB1">
        <w:rPr>
          <w:rFonts w:ascii="Arial" w:hAnsi="Arial" w:cs="Arial"/>
          <w:sz w:val="22"/>
          <w:szCs w:val="22"/>
        </w:rPr>
        <w:t>.</w:t>
      </w:r>
      <w:r w:rsidR="004A48DD" w:rsidRPr="00D05CB1">
        <w:rPr>
          <w:rStyle w:val="FootnoteReference"/>
          <w:rFonts w:ascii="Arial" w:hAnsi="Arial" w:cs="Arial"/>
          <w:sz w:val="22"/>
          <w:szCs w:val="22"/>
        </w:rPr>
        <w:footnoteReference w:id="4"/>
      </w:r>
      <w:r w:rsidR="00022502" w:rsidRPr="00D05CB1">
        <w:rPr>
          <w:rFonts w:ascii="Arial" w:hAnsi="Arial" w:cs="Arial"/>
          <w:sz w:val="22"/>
          <w:szCs w:val="22"/>
        </w:rPr>
        <w:t xml:space="preserve">  Workforce productivity</w:t>
      </w:r>
      <w:r w:rsidR="00022502">
        <w:rPr>
          <w:rFonts w:ascii="Arial" w:hAnsi="Arial" w:cs="Arial"/>
          <w:sz w:val="22"/>
          <w:szCs w:val="22"/>
        </w:rPr>
        <w:t xml:space="preserve"> </w:t>
      </w:r>
      <w:r w:rsidR="00022502" w:rsidRPr="006C0DCE">
        <w:rPr>
          <w:rFonts w:ascii="Arial" w:hAnsi="Arial" w:cs="Arial"/>
          <w:sz w:val="22"/>
          <w:szCs w:val="22"/>
        </w:rPr>
        <w:t>continues to increase</w:t>
      </w:r>
      <w:r w:rsidR="005B4BF6" w:rsidRPr="006C0DCE">
        <w:rPr>
          <w:rFonts w:ascii="Arial" w:hAnsi="Arial" w:cs="Arial"/>
          <w:sz w:val="22"/>
          <w:szCs w:val="22"/>
        </w:rPr>
        <w:t>,</w:t>
      </w:r>
      <w:r w:rsidR="00022502" w:rsidRPr="006C0DCE">
        <w:rPr>
          <w:rFonts w:ascii="Arial" w:hAnsi="Arial" w:cs="Arial"/>
          <w:sz w:val="22"/>
          <w:szCs w:val="22"/>
        </w:rPr>
        <w:t xml:space="preserve"> </w:t>
      </w:r>
      <w:r w:rsidR="004A48DD" w:rsidRPr="00D05CB1">
        <w:rPr>
          <w:rFonts w:ascii="Arial" w:hAnsi="Arial" w:cs="Arial"/>
          <w:sz w:val="22"/>
          <w:szCs w:val="22"/>
        </w:rPr>
        <w:t>in particular,</w:t>
      </w:r>
      <w:r w:rsidR="00022502" w:rsidRPr="00D05CB1">
        <w:rPr>
          <w:rFonts w:ascii="Arial" w:hAnsi="Arial" w:cs="Arial"/>
          <w:sz w:val="22"/>
          <w:szCs w:val="22"/>
        </w:rPr>
        <w:t xml:space="preserve"> by the performance</w:t>
      </w:r>
      <w:r w:rsidR="004A48DD" w:rsidRPr="00D05CB1">
        <w:rPr>
          <w:rFonts w:ascii="Arial" w:hAnsi="Arial" w:cs="Arial"/>
          <w:sz w:val="22"/>
          <w:szCs w:val="22"/>
        </w:rPr>
        <w:t xml:space="preserve"> of the Patent</w:t>
      </w:r>
      <w:r w:rsidR="00022502" w:rsidRPr="00D05CB1">
        <w:rPr>
          <w:rFonts w:ascii="Arial" w:hAnsi="Arial" w:cs="Arial"/>
          <w:sz w:val="22"/>
          <w:szCs w:val="22"/>
        </w:rPr>
        <w:t xml:space="preserve"> Cooperation Treat</w:t>
      </w:r>
      <w:r w:rsidR="00283F80" w:rsidRPr="00D05CB1">
        <w:rPr>
          <w:rFonts w:ascii="Arial" w:hAnsi="Arial" w:cs="Arial"/>
          <w:sz w:val="22"/>
          <w:szCs w:val="22"/>
        </w:rPr>
        <w:t>y</w:t>
      </w:r>
      <w:r w:rsidR="00022502" w:rsidRPr="00D05CB1">
        <w:rPr>
          <w:rFonts w:ascii="Arial" w:hAnsi="Arial" w:cs="Arial"/>
          <w:sz w:val="22"/>
          <w:szCs w:val="22"/>
        </w:rPr>
        <w:t xml:space="preserve"> (PCT)</w:t>
      </w:r>
      <w:r w:rsidR="001D467D">
        <w:rPr>
          <w:rFonts w:ascii="Arial" w:hAnsi="Arial" w:cs="Arial"/>
          <w:sz w:val="22"/>
          <w:szCs w:val="22"/>
        </w:rPr>
        <w:t>. T</w:t>
      </w:r>
      <w:r w:rsidR="00D10BAD" w:rsidRPr="00D05CB1">
        <w:rPr>
          <w:rFonts w:ascii="Arial" w:hAnsi="Arial" w:cs="Arial"/>
          <w:sz w:val="22"/>
          <w:szCs w:val="22"/>
        </w:rPr>
        <w:t>he</w:t>
      </w:r>
      <w:r w:rsidR="00022502" w:rsidRPr="00D05CB1">
        <w:rPr>
          <w:rFonts w:ascii="Arial" w:hAnsi="Arial" w:cs="Arial"/>
          <w:sz w:val="22"/>
          <w:szCs w:val="22"/>
        </w:rPr>
        <w:t xml:space="preserve"> Madrid </w:t>
      </w:r>
      <w:r w:rsidR="004052AD" w:rsidRPr="00D05CB1">
        <w:rPr>
          <w:rFonts w:ascii="Arial" w:hAnsi="Arial" w:cs="Arial"/>
          <w:sz w:val="22"/>
          <w:szCs w:val="22"/>
        </w:rPr>
        <w:t xml:space="preserve">Registration </w:t>
      </w:r>
      <w:r w:rsidR="004A48DD" w:rsidRPr="00D05CB1">
        <w:rPr>
          <w:rFonts w:ascii="Arial" w:hAnsi="Arial" w:cs="Arial"/>
          <w:sz w:val="22"/>
          <w:szCs w:val="22"/>
        </w:rPr>
        <w:t xml:space="preserve">System </w:t>
      </w:r>
      <w:r w:rsidR="00D10BAD" w:rsidRPr="00D05CB1">
        <w:rPr>
          <w:rFonts w:ascii="Arial" w:hAnsi="Arial" w:cs="Arial"/>
          <w:sz w:val="22"/>
          <w:szCs w:val="22"/>
        </w:rPr>
        <w:t xml:space="preserve">also shows increased productivity </w:t>
      </w:r>
      <w:r w:rsidR="004A48DD" w:rsidRPr="00D05CB1">
        <w:rPr>
          <w:rFonts w:ascii="Arial" w:hAnsi="Arial" w:cs="Arial"/>
          <w:sz w:val="22"/>
          <w:szCs w:val="22"/>
        </w:rPr>
        <w:t>(Table 6</w:t>
      </w:r>
      <w:r w:rsidR="00022502" w:rsidRPr="00D05CB1">
        <w:rPr>
          <w:rFonts w:ascii="Arial" w:hAnsi="Arial" w:cs="Arial"/>
          <w:sz w:val="22"/>
          <w:szCs w:val="22"/>
        </w:rPr>
        <w:t>)</w:t>
      </w:r>
      <w:r w:rsidR="005B4BF6" w:rsidRPr="00D05CB1">
        <w:rPr>
          <w:rFonts w:ascii="Arial" w:hAnsi="Arial" w:cs="Arial"/>
          <w:sz w:val="22"/>
          <w:szCs w:val="22"/>
        </w:rPr>
        <w:t>.  These two systems</w:t>
      </w:r>
      <w:r w:rsidR="001D467D">
        <w:rPr>
          <w:rFonts w:ascii="Arial" w:hAnsi="Arial" w:cs="Arial"/>
          <w:sz w:val="22"/>
          <w:szCs w:val="22"/>
        </w:rPr>
        <w:t>,</w:t>
      </w:r>
      <w:r w:rsidR="004052AD" w:rsidRPr="00D05CB1">
        <w:rPr>
          <w:rFonts w:ascii="Arial" w:hAnsi="Arial" w:cs="Arial"/>
          <w:sz w:val="22"/>
          <w:szCs w:val="22"/>
        </w:rPr>
        <w:t xml:space="preserve"> </w:t>
      </w:r>
      <w:r w:rsidR="00022502">
        <w:rPr>
          <w:rFonts w:ascii="Arial" w:hAnsi="Arial" w:cs="Arial"/>
          <w:sz w:val="22"/>
          <w:szCs w:val="22"/>
        </w:rPr>
        <w:t xml:space="preserve">the </w:t>
      </w:r>
      <w:r>
        <w:rPr>
          <w:rFonts w:ascii="Arial" w:hAnsi="Arial" w:cs="Arial"/>
          <w:sz w:val="22"/>
          <w:szCs w:val="22"/>
        </w:rPr>
        <w:t xml:space="preserve">top two </w:t>
      </w:r>
      <w:r w:rsidR="00022502">
        <w:rPr>
          <w:rFonts w:ascii="Arial" w:hAnsi="Arial" w:cs="Arial"/>
          <w:sz w:val="22"/>
          <w:szCs w:val="22"/>
        </w:rPr>
        <w:t xml:space="preserve">global registration services </w:t>
      </w:r>
      <w:r w:rsidR="00283F80">
        <w:rPr>
          <w:rFonts w:ascii="Arial" w:hAnsi="Arial" w:cs="Arial"/>
          <w:sz w:val="22"/>
          <w:szCs w:val="22"/>
        </w:rPr>
        <w:t xml:space="preserve">administered by WIPO, </w:t>
      </w:r>
      <w:r w:rsidR="00F93299">
        <w:rPr>
          <w:rFonts w:ascii="Arial" w:hAnsi="Arial" w:cs="Arial"/>
          <w:sz w:val="22"/>
          <w:szCs w:val="22"/>
        </w:rPr>
        <w:t xml:space="preserve">are </w:t>
      </w:r>
      <w:r w:rsidR="001D467D">
        <w:rPr>
          <w:rFonts w:ascii="Arial" w:hAnsi="Arial" w:cs="Arial"/>
          <w:sz w:val="22"/>
          <w:szCs w:val="22"/>
        </w:rPr>
        <w:t xml:space="preserve">also </w:t>
      </w:r>
      <w:r>
        <w:rPr>
          <w:rFonts w:ascii="Arial" w:hAnsi="Arial" w:cs="Arial"/>
          <w:sz w:val="22"/>
          <w:szCs w:val="22"/>
        </w:rPr>
        <w:t>the principal source</w:t>
      </w:r>
      <w:r w:rsidR="004052AD">
        <w:rPr>
          <w:rFonts w:ascii="Arial" w:hAnsi="Arial" w:cs="Arial"/>
          <w:sz w:val="22"/>
          <w:szCs w:val="22"/>
        </w:rPr>
        <w:t>s</w:t>
      </w:r>
      <w:r>
        <w:rPr>
          <w:rFonts w:ascii="Arial" w:hAnsi="Arial" w:cs="Arial"/>
          <w:sz w:val="22"/>
          <w:szCs w:val="22"/>
        </w:rPr>
        <w:t xml:space="preserve"> of revenue</w:t>
      </w:r>
      <w:r w:rsidR="00F93299">
        <w:rPr>
          <w:rFonts w:ascii="Arial" w:hAnsi="Arial" w:cs="Arial"/>
          <w:sz w:val="22"/>
          <w:szCs w:val="22"/>
        </w:rPr>
        <w:t xml:space="preserve"> account</w:t>
      </w:r>
      <w:r w:rsidR="002C6C38">
        <w:rPr>
          <w:rFonts w:ascii="Arial" w:hAnsi="Arial" w:cs="Arial"/>
          <w:sz w:val="22"/>
          <w:szCs w:val="22"/>
        </w:rPr>
        <w:t>ing</w:t>
      </w:r>
      <w:r w:rsidR="00F93299">
        <w:rPr>
          <w:rFonts w:ascii="Arial" w:hAnsi="Arial" w:cs="Arial"/>
          <w:sz w:val="22"/>
          <w:szCs w:val="22"/>
        </w:rPr>
        <w:t xml:space="preserve"> for the bulk of its workforce</w:t>
      </w:r>
      <w:r>
        <w:rPr>
          <w:rFonts w:ascii="Arial" w:hAnsi="Arial" w:cs="Arial"/>
          <w:sz w:val="22"/>
          <w:szCs w:val="22"/>
        </w:rPr>
        <w:t>.</w:t>
      </w:r>
    </w:p>
    <w:p w14:paraId="504D8C79" w14:textId="77777777" w:rsidR="00EB4641" w:rsidRDefault="00EB4641" w:rsidP="00EB4641">
      <w:pPr>
        <w:pStyle w:val="ListParagraph"/>
        <w:ind w:left="0"/>
        <w:rPr>
          <w:rFonts w:ascii="Arial" w:hAnsi="Arial" w:cs="Arial"/>
          <w:sz w:val="22"/>
          <w:szCs w:val="22"/>
        </w:rPr>
      </w:pPr>
    </w:p>
    <w:p w14:paraId="4A12E6C8" w14:textId="6BB8CE47" w:rsidR="00EB4641" w:rsidRDefault="00EB4641" w:rsidP="001558E4">
      <w:pPr>
        <w:pStyle w:val="ListParagraph"/>
        <w:numPr>
          <w:ilvl w:val="0"/>
          <w:numId w:val="21"/>
        </w:numPr>
        <w:ind w:left="0" w:firstLine="0"/>
        <w:rPr>
          <w:rFonts w:ascii="Arial" w:hAnsi="Arial" w:cs="Arial"/>
          <w:sz w:val="22"/>
          <w:szCs w:val="22"/>
        </w:rPr>
      </w:pPr>
      <w:r>
        <w:rPr>
          <w:rFonts w:ascii="Arial" w:hAnsi="Arial" w:cs="Arial"/>
          <w:sz w:val="22"/>
          <w:szCs w:val="22"/>
        </w:rPr>
        <w:t>This year, WIPO’s Internship Program turns 20.</w:t>
      </w:r>
      <w:r w:rsidR="00283F80">
        <w:rPr>
          <w:rFonts w:ascii="Arial" w:hAnsi="Arial" w:cs="Arial"/>
          <w:sz w:val="22"/>
          <w:szCs w:val="22"/>
        </w:rPr>
        <w:t xml:space="preserve"> </w:t>
      </w:r>
      <w:r>
        <w:rPr>
          <w:rFonts w:ascii="Arial" w:hAnsi="Arial" w:cs="Arial"/>
          <w:sz w:val="22"/>
          <w:szCs w:val="22"/>
        </w:rPr>
        <w:t xml:space="preserve"> Established in 1999 </w:t>
      </w:r>
      <w:r w:rsidR="005B4BF6">
        <w:rPr>
          <w:rFonts w:ascii="Arial" w:hAnsi="Arial" w:cs="Arial"/>
          <w:sz w:val="22"/>
          <w:szCs w:val="22"/>
        </w:rPr>
        <w:t xml:space="preserve">on </w:t>
      </w:r>
      <w:r>
        <w:rPr>
          <w:rFonts w:ascii="Arial" w:hAnsi="Arial" w:cs="Arial"/>
          <w:sz w:val="22"/>
          <w:szCs w:val="22"/>
        </w:rPr>
        <w:t>the cusp of the new millennium, it is one of the Organization’s investments in young talent</w:t>
      </w:r>
      <w:r w:rsidR="006F58BB">
        <w:rPr>
          <w:rFonts w:ascii="Arial" w:hAnsi="Arial" w:cs="Arial"/>
          <w:sz w:val="22"/>
          <w:szCs w:val="22"/>
        </w:rPr>
        <w:t>.</w:t>
      </w:r>
      <w:r w:rsidR="00553E23">
        <w:rPr>
          <w:rFonts w:ascii="Arial" w:hAnsi="Arial" w:cs="Arial"/>
          <w:sz w:val="22"/>
          <w:szCs w:val="22"/>
        </w:rPr>
        <w:t xml:space="preserve"> </w:t>
      </w:r>
      <w:r>
        <w:rPr>
          <w:rFonts w:ascii="Arial" w:hAnsi="Arial" w:cs="Arial"/>
          <w:sz w:val="22"/>
          <w:szCs w:val="22"/>
        </w:rPr>
        <w:t xml:space="preserve"> Recognized as a “business model for internships” in a 2018 Joint Inspection Unit</w:t>
      </w:r>
      <w:r w:rsidR="001D467D">
        <w:rPr>
          <w:rFonts w:ascii="Arial" w:hAnsi="Arial" w:cs="Arial"/>
          <w:sz w:val="22"/>
          <w:szCs w:val="22"/>
        </w:rPr>
        <w:t xml:space="preserve"> report</w:t>
      </w:r>
      <w:r>
        <w:rPr>
          <w:rFonts w:ascii="Arial" w:hAnsi="Arial" w:cs="Arial"/>
          <w:sz w:val="22"/>
          <w:szCs w:val="22"/>
        </w:rPr>
        <w:t>,</w:t>
      </w:r>
      <w:r>
        <w:rPr>
          <w:rStyle w:val="FootnoteReference"/>
          <w:rFonts w:ascii="Arial" w:hAnsi="Arial" w:cs="Arial"/>
          <w:sz w:val="22"/>
          <w:szCs w:val="22"/>
        </w:rPr>
        <w:footnoteReference w:id="5"/>
      </w:r>
      <w:r>
        <w:rPr>
          <w:rFonts w:ascii="Arial" w:hAnsi="Arial" w:cs="Arial"/>
          <w:sz w:val="22"/>
          <w:szCs w:val="22"/>
        </w:rPr>
        <w:t xml:space="preserve"> WIPO’s Internship Program continues to provide opportunities for </w:t>
      </w:r>
      <w:r w:rsidR="008607C2">
        <w:rPr>
          <w:rFonts w:ascii="Arial" w:hAnsi="Arial" w:cs="Arial"/>
          <w:sz w:val="22"/>
          <w:szCs w:val="22"/>
        </w:rPr>
        <w:t>keen</w:t>
      </w:r>
      <w:r>
        <w:rPr>
          <w:rFonts w:ascii="Arial" w:hAnsi="Arial" w:cs="Arial"/>
          <w:sz w:val="22"/>
          <w:szCs w:val="22"/>
        </w:rPr>
        <w:t xml:space="preserve"> young minds to </w:t>
      </w:r>
      <w:r w:rsidR="00F93299">
        <w:rPr>
          <w:rFonts w:ascii="Arial" w:hAnsi="Arial" w:cs="Arial"/>
          <w:sz w:val="22"/>
          <w:szCs w:val="22"/>
        </w:rPr>
        <w:t>experience the</w:t>
      </w:r>
      <w:r>
        <w:rPr>
          <w:rFonts w:ascii="Arial" w:hAnsi="Arial" w:cs="Arial"/>
          <w:sz w:val="22"/>
          <w:szCs w:val="22"/>
        </w:rPr>
        <w:t xml:space="preserve"> operationalization of WIPO’s mandate and to learn about the Organization’s core values.  </w:t>
      </w:r>
      <w:r w:rsidR="003E5457">
        <w:rPr>
          <w:rFonts w:ascii="Arial" w:hAnsi="Arial" w:cs="Arial"/>
          <w:sz w:val="22"/>
          <w:szCs w:val="22"/>
        </w:rPr>
        <w:t xml:space="preserve">Another training activity </w:t>
      </w:r>
      <w:r w:rsidR="001D467D">
        <w:rPr>
          <w:rFonts w:ascii="Arial" w:hAnsi="Arial" w:cs="Arial"/>
          <w:sz w:val="22"/>
          <w:szCs w:val="22"/>
        </w:rPr>
        <w:t>for</w:t>
      </w:r>
      <w:r w:rsidR="003E5457">
        <w:rPr>
          <w:rFonts w:ascii="Arial" w:hAnsi="Arial" w:cs="Arial"/>
          <w:sz w:val="22"/>
          <w:szCs w:val="22"/>
        </w:rPr>
        <w:t xml:space="preserve"> young professionals</w:t>
      </w:r>
      <w:r w:rsidR="001D467D">
        <w:rPr>
          <w:rFonts w:ascii="Arial" w:hAnsi="Arial" w:cs="Arial"/>
          <w:sz w:val="22"/>
          <w:szCs w:val="22"/>
        </w:rPr>
        <w:t xml:space="preserve"> is</w:t>
      </w:r>
      <w:r w:rsidR="003E5457">
        <w:rPr>
          <w:rFonts w:ascii="Arial" w:hAnsi="Arial" w:cs="Arial"/>
          <w:sz w:val="22"/>
          <w:szCs w:val="22"/>
        </w:rPr>
        <w:t xml:space="preserve"> WIPO’s Fellowship Programs, established 10 years ago in 2009.  </w:t>
      </w:r>
      <w:r w:rsidR="001D467D">
        <w:rPr>
          <w:rFonts w:ascii="Arial" w:hAnsi="Arial" w:cs="Arial"/>
          <w:sz w:val="22"/>
          <w:szCs w:val="22"/>
        </w:rPr>
        <w:t>M</w:t>
      </w:r>
      <w:r>
        <w:rPr>
          <w:rFonts w:ascii="Arial" w:hAnsi="Arial" w:cs="Arial"/>
          <w:sz w:val="22"/>
          <w:szCs w:val="22"/>
        </w:rPr>
        <w:t xml:space="preserve">ore </w:t>
      </w:r>
      <w:r w:rsidR="001D467D">
        <w:rPr>
          <w:rFonts w:ascii="Arial" w:hAnsi="Arial" w:cs="Arial"/>
          <w:sz w:val="22"/>
          <w:szCs w:val="22"/>
        </w:rPr>
        <w:t>information</w:t>
      </w:r>
      <w:r w:rsidR="002C6C38">
        <w:rPr>
          <w:rFonts w:ascii="Arial" w:hAnsi="Arial" w:cs="Arial"/>
          <w:sz w:val="22"/>
          <w:szCs w:val="22"/>
        </w:rPr>
        <w:t xml:space="preserve"> </w:t>
      </w:r>
      <w:r w:rsidR="008A35B1">
        <w:rPr>
          <w:rFonts w:ascii="Arial" w:hAnsi="Arial" w:cs="Arial"/>
          <w:sz w:val="22"/>
          <w:szCs w:val="22"/>
        </w:rPr>
        <w:t>on</w:t>
      </w:r>
      <w:r>
        <w:rPr>
          <w:rFonts w:ascii="Arial" w:hAnsi="Arial" w:cs="Arial"/>
          <w:sz w:val="22"/>
          <w:szCs w:val="22"/>
        </w:rPr>
        <w:t xml:space="preserve"> WIPO’s training programs for </w:t>
      </w:r>
      <w:r w:rsidR="003E5457">
        <w:rPr>
          <w:rFonts w:ascii="Arial" w:hAnsi="Arial" w:cs="Arial"/>
          <w:sz w:val="22"/>
          <w:szCs w:val="22"/>
        </w:rPr>
        <w:t>developing up-and-coming talents</w:t>
      </w:r>
      <w:r w:rsidR="008A35B1">
        <w:rPr>
          <w:rFonts w:ascii="Arial" w:hAnsi="Arial" w:cs="Arial"/>
          <w:sz w:val="22"/>
          <w:szCs w:val="22"/>
        </w:rPr>
        <w:t xml:space="preserve"> </w:t>
      </w:r>
      <w:r w:rsidR="001D467D">
        <w:rPr>
          <w:rFonts w:ascii="Arial" w:hAnsi="Arial" w:cs="Arial"/>
          <w:sz w:val="22"/>
          <w:szCs w:val="22"/>
        </w:rPr>
        <w:t>is available later</w:t>
      </w:r>
      <w:r w:rsidR="008A35B1">
        <w:rPr>
          <w:rFonts w:ascii="Arial" w:hAnsi="Arial" w:cs="Arial"/>
          <w:sz w:val="22"/>
          <w:szCs w:val="22"/>
        </w:rPr>
        <w:t xml:space="preserve"> in the report</w:t>
      </w:r>
      <w:r w:rsidR="00553E23">
        <w:rPr>
          <w:rFonts w:ascii="Arial" w:hAnsi="Arial" w:cs="Arial"/>
          <w:sz w:val="22"/>
          <w:szCs w:val="22"/>
        </w:rPr>
        <w:t>.</w:t>
      </w:r>
    </w:p>
    <w:p w14:paraId="522C64EA" w14:textId="77777777" w:rsidR="00EB4641" w:rsidRDefault="00EB4641" w:rsidP="00EB4641">
      <w:pPr>
        <w:rPr>
          <w:szCs w:val="22"/>
        </w:rPr>
      </w:pPr>
    </w:p>
    <w:p w14:paraId="0C28522F" w14:textId="1AC8AC39" w:rsidR="00EB4641" w:rsidRPr="00C74477" w:rsidRDefault="00EB4641" w:rsidP="00C74477">
      <w:pPr>
        <w:pStyle w:val="Heading2"/>
        <w:numPr>
          <w:ilvl w:val="0"/>
          <w:numId w:val="36"/>
        </w:numPr>
        <w:ind w:left="540" w:hanging="540"/>
        <w:rPr>
          <w:b/>
        </w:rPr>
      </w:pPr>
      <w:r w:rsidRPr="00C74477">
        <w:rPr>
          <w:b/>
        </w:rPr>
        <w:t>MATTERS FOR OBLIGATORY REPORTING</w:t>
      </w:r>
      <w:r w:rsidR="008007FC" w:rsidRPr="00C74477">
        <w:rPr>
          <w:b/>
        </w:rPr>
        <w:t xml:space="preserve"> TO THE WIPO COORDINATION COMMITTEE</w:t>
      </w:r>
    </w:p>
    <w:p w14:paraId="5BB1D20B" w14:textId="77777777" w:rsidR="00C65141" w:rsidRPr="00C74477" w:rsidRDefault="00C65141" w:rsidP="0021112C">
      <w:pPr>
        <w:pStyle w:val="Heading3"/>
        <w:spacing w:after="0"/>
        <w:ind w:left="540"/>
        <w:rPr>
          <w:u w:val="none"/>
        </w:rPr>
      </w:pPr>
      <w:r w:rsidRPr="00C74477">
        <w:rPr>
          <w:u w:val="none"/>
        </w:rPr>
        <w:t>TERMINATION OF APPOINTMENTS</w:t>
      </w:r>
    </w:p>
    <w:p w14:paraId="4FD3D227" w14:textId="77777777" w:rsidR="00C65141" w:rsidRPr="00EB4641" w:rsidRDefault="00C65141" w:rsidP="00EB4641">
      <w:pPr>
        <w:rPr>
          <w:szCs w:val="22"/>
        </w:rPr>
      </w:pPr>
    </w:p>
    <w:p w14:paraId="0C321111" w14:textId="4A3563EB" w:rsidR="00EB4641" w:rsidRPr="008A35B1" w:rsidRDefault="00EB4641" w:rsidP="00EB4641">
      <w:pPr>
        <w:pStyle w:val="ListParagraph"/>
        <w:numPr>
          <w:ilvl w:val="0"/>
          <w:numId w:val="21"/>
        </w:numPr>
        <w:ind w:left="0" w:firstLine="0"/>
        <w:rPr>
          <w:rFonts w:ascii="Arial" w:hAnsi="Arial" w:cs="Arial"/>
          <w:sz w:val="22"/>
          <w:szCs w:val="22"/>
        </w:rPr>
      </w:pPr>
      <w:r w:rsidRPr="008A35B1">
        <w:rPr>
          <w:rFonts w:ascii="Arial" w:hAnsi="Arial" w:cs="Arial"/>
          <w:sz w:val="22"/>
          <w:szCs w:val="22"/>
        </w:rPr>
        <w:t xml:space="preserve">WIPO Staff Regulation 9.2(g) </w:t>
      </w:r>
      <w:r w:rsidRPr="008607C2">
        <w:rPr>
          <w:rFonts w:ascii="Arial" w:hAnsi="Arial" w:cs="Arial"/>
          <w:sz w:val="22"/>
          <w:szCs w:val="22"/>
        </w:rPr>
        <w:t xml:space="preserve">requires the Director General to report to the </w:t>
      </w:r>
      <w:r w:rsidR="00ED656C">
        <w:rPr>
          <w:rFonts w:ascii="Arial" w:hAnsi="Arial" w:cs="Arial"/>
          <w:sz w:val="22"/>
          <w:szCs w:val="22"/>
        </w:rPr>
        <w:br/>
      </w:r>
      <w:r w:rsidRPr="008607C2">
        <w:rPr>
          <w:rFonts w:ascii="Arial" w:hAnsi="Arial" w:cs="Arial"/>
          <w:sz w:val="22"/>
          <w:szCs w:val="22"/>
        </w:rPr>
        <w:t>WIPO Coordination Committee all cases of termination of appointments of staff.</w:t>
      </w:r>
      <w:r w:rsidR="00C65141" w:rsidRPr="008607C2">
        <w:rPr>
          <w:rFonts w:ascii="Arial" w:hAnsi="Arial" w:cs="Arial"/>
          <w:sz w:val="22"/>
          <w:szCs w:val="22"/>
        </w:rPr>
        <w:t xml:space="preserve"> </w:t>
      </w:r>
      <w:r w:rsidRPr="008607C2">
        <w:rPr>
          <w:rFonts w:ascii="Arial" w:hAnsi="Arial" w:cs="Arial"/>
          <w:sz w:val="22"/>
          <w:szCs w:val="22"/>
        </w:rPr>
        <w:t xml:space="preserve"> The following terminations</w:t>
      </w:r>
      <w:r w:rsidR="00A71F18">
        <w:rPr>
          <w:rFonts w:ascii="Arial" w:hAnsi="Arial" w:cs="Arial"/>
          <w:sz w:val="22"/>
          <w:szCs w:val="22"/>
        </w:rPr>
        <w:t xml:space="preserve"> took place between July 1, 2018 and June 30, 2019</w:t>
      </w:r>
      <w:r w:rsidRPr="008607C2">
        <w:rPr>
          <w:rFonts w:ascii="Arial" w:hAnsi="Arial" w:cs="Arial"/>
          <w:sz w:val="22"/>
          <w:szCs w:val="22"/>
        </w:rPr>
        <w:t>:</w:t>
      </w:r>
    </w:p>
    <w:p w14:paraId="77C5660E" w14:textId="77777777" w:rsidR="00C65141" w:rsidRPr="00EB4641" w:rsidRDefault="00C65141" w:rsidP="00C65141">
      <w:pPr>
        <w:pStyle w:val="ListParagraph"/>
        <w:ind w:left="0"/>
        <w:rPr>
          <w:rFonts w:ascii="Arial" w:hAnsi="Arial" w:cs="Arial"/>
          <w:sz w:val="22"/>
          <w:szCs w:val="22"/>
        </w:rPr>
      </w:pPr>
    </w:p>
    <w:p w14:paraId="6AE91FB8" w14:textId="77777777" w:rsidR="00C65141" w:rsidRDefault="00EB4641" w:rsidP="00C65141">
      <w:pPr>
        <w:pStyle w:val="ListParagraph"/>
        <w:numPr>
          <w:ilvl w:val="0"/>
          <w:numId w:val="22"/>
        </w:numPr>
        <w:tabs>
          <w:tab w:val="left" w:pos="993"/>
        </w:tabs>
        <w:ind w:hanging="720"/>
        <w:rPr>
          <w:rFonts w:ascii="Arial" w:hAnsi="Arial" w:cs="Arial"/>
          <w:sz w:val="22"/>
          <w:szCs w:val="22"/>
        </w:rPr>
      </w:pPr>
      <w:r w:rsidRPr="00C65141">
        <w:rPr>
          <w:rFonts w:ascii="Arial" w:hAnsi="Arial" w:cs="Arial"/>
          <w:sz w:val="22"/>
          <w:szCs w:val="22"/>
        </w:rPr>
        <w:t>three for health reasons in accordance with Staff Regulati</w:t>
      </w:r>
      <w:r w:rsidR="00C65141" w:rsidRPr="00C65141">
        <w:rPr>
          <w:rFonts w:ascii="Arial" w:hAnsi="Arial" w:cs="Arial"/>
          <w:sz w:val="22"/>
          <w:szCs w:val="22"/>
        </w:rPr>
        <w:t>on 9.2(a)(2);</w:t>
      </w:r>
    </w:p>
    <w:p w14:paraId="0C72C0C5" w14:textId="77777777" w:rsidR="00C65141" w:rsidRDefault="00A71F18" w:rsidP="00C65141">
      <w:pPr>
        <w:pStyle w:val="ListParagraph"/>
        <w:numPr>
          <w:ilvl w:val="0"/>
          <w:numId w:val="22"/>
        </w:numPr>
        <w:tabs>
          <w:tab w:val="left" w:pos="993"/>
        </w:tabs>
        <w:ind w:hanging="720"/>
        <w:rPr>
          <w:rFonts w:ascii="Arial" w:hAnsi="Arial" w:cs="Arial"/>
          <w:sz w:val="22"/>
          <w:szCs w:val="22"/>
        </w:rPr>
      </w:pPr>
      <w:r>
        <w:rPr>
          <w:rFonts w:ascii="Arial" w:hAnsi="Arial" w:cs="Arial"/>
          <w:sz w:val="22"/>
          <w:szCs w:val="22"/>
        </w:rPr>
        <w:t>two</w:t>
      </w:r>
      <w:r w:rsidR="00EB4641" w:rsidRPr="00C65141">
        <w:rPr>
          <w:rFonts w:ascii="Arial" w:hAnsi="Arial" w:cs="Arial"/>
          <w:sz w:val="22"/>
          <w:szCs w:val="22"/>
        </w:rPr>
        <w:t xml:space="preserve"> for misconduct in accordance with Staff Regulation 9.2(a)(3); </w:t>
      </w:r>
      <w:r w:rsidR="00C65141">
        <w:rPr>
          <w:rFonts w:ascii="Arial" w:hAnsi="Arial" w:cs="Arial"/>
          <w:sz w:val="22"/>
          <w:szCs w:val="22"/>
        </w:rPr>
        <w:t xml:space="preserve"> and</w:t>
      </w:r>
    </w:p>
    <w:p w14:paraId="295A00D6" w14:textId="13DE2F7F" w:rsidR="00EB4641" w:rsidRPr="00C65141" w:rsidRDefault="00EB4641" w:rsidP="00C65141">
      <w:pPr>
        <w:pStyle w:val="ListParagraph"/>
        <w:numPr>
          <w:ilvl w:val="0"/>
          <w:numId w:val="22"/>
        </w:numPr>
        <w:tabs>
          <w:tab w:val="left" w:pos="993"/>
        </w:tabs>
        <w:ind w:left="993" w:hanging="426"/>
        <w:rPr>
          <w:rFonts w:ascii="Arial" w:hAnsi="Arial" w:cs="Arial"/>
          <w:sz w:val="22"/>
          <w:szCs w:val="22"/>
        </w:rPr>
      </w:pPr>
      <w:r w:rsidRPr="00C65141">
        <w:rPr>
          <w:rFonts w:ascii="Arial" w:hAnsi="Arial" w:cs="Arial"/>
          <w:sz w:val="22"/>
          <w:szCs w:val="22"/>
        </w:rPr>
        <w:t>eight in the interest of the good administration of the Organization</w:t>
      </w:r>
      <w:r w:rsidRPr="00C65141">
        <w:rPr>
          <w:rFonts w:ascii="Arial" w:hAnsi="Arial" w:cs="Arial"/>
          <w:sz w:val="20"/>
          <w:szCs w:val="20"/>
        </w:rPr>
        <w:t xml:space="preserve"> </w:t>
      </w:r>
      <w:r w:rsidRPr="008607C2">
        <w:rPr>
          <w:rFonts w:ascii="Arial" w:hAnsi="Arial" w:cs="Arial"/>
          <w:sz w:val="22"/>
          <w:szCs w:val="22"/>
        </w:rPr>
        <w:t xml:space="preserve">and with the consent of the staff members concerned, in accordance with </w:t>
      </w:r>
      <w:r w:rsidR="00ED656C">
        <w:rPr>
          <w:rFonts w:ascii="Arial" w:hAnsi="Arial" w:cs="Arial"/>
          <w:sz w:val="22"/>
          <w:szCs w:val="22"/>
        </w:rPr>
        <w:br/>
      </w:r>
      <w:r w:rsidRPr="008607C2">
        <w:rPr>
          <w:rFonts w:ascii="Arial" w:hAnsi="Arial" w:cs="Arial"/>
          <w:sz w:val="22"/>
          <w:szCs w:val="22"/>
        </w:rPr>
        <w:t>Staff Regulation 9.2(a)(5).</w:t>
      </w:r>
    </w:p>
    <w:p w14:paraId="0D263A25" w14:textId="77777777" w:rsidR="00C65141" w:rsidRPr="00C74477" w:rsidRDefault="00C65141" w:rsidP="0021112C">
      <w:pPr>
        <w:pStyle w:val="Heading3"/>
        <w:spacing w:after="0"/>
        <w:ind w:left="540"/>
        <w:rPr>
          <w:u w:val="none"/>
        </w:rPr>
      </w:pPr>
      <w:r w:rsidRPr="00C74477">
        <w:rPr>
          <w:u w:val="none"/>
        </w:rPr>
        <w:t>GENDER BALANCE</w:t>
      </w:r>
    </w:p>
    <w:p w14:paraId="0E9145FB" w14:textId="77777777" w:rsidR="00B3178F" w:rsidRDefault="00B3178F" w:rsidP="00C65141">
      <w:pPr>
        <w:ind w:left="567"/>
        <w:rPr>
          <w:b/>
          <w:szCs w:val="22"/>
        </w:rPr>
      </w:pPr>
    </w:p>
    <w:p w14:paraId="76366BEC" w14:textId="64D1EC3F" w:rsidR="00CF0BAB" w:rsidRDefault="00CF0BAB" w:rsidP="00C65141">
      <w:pPr>
        <w:pStyle w:val="ListParagraph"/>
        <w:numPr>
          <w:ilvl w:val="0"/>
          <w:numId w:val="21"/>
        </w:numPr>
        <w:ind w:left="0" w:firstLine="0"/>
        <w:rPr>
          <w:rFonts w:ascii="Arial" w:hAnsi="Arial" w:cs="Arial"/>
          <w:sz w:val="22"/>
          <w:szCs w:val="22"/>
        </w:rPr>
      </w:pPr>
      <w:r w:rsidRPr="00CB1760">
        <w:rPr>
          <w:rFonts w:ascii="Arial" w:hAnsi="Arial" w:cs="Arial"/>
          <w:sz w:val="22"/>
          <w:szCs w:val="22"/>
        </w:rPr>
        <w:t>WIPO</w:t>
      </w:r>
      <w:r w:rsidR="000B1F74">
        <w:rPr>
          <w:rFonts w:ascii="Arial" w:hAnsi="Arial" w:cs="Arial"/>
          <w:sz w:val="22"/>
          <w:szCs w:val="22"/>
        </w:rPr>
        <w:t xml:space="preserve"> is committed to improving representation </w:t>
      </w:r>
      <w:r w:rsidR="001D467D">
        <w:rPr>
          <w:rFonts w:ascii="Arial" w:hAnsi="Arial" w:cs="Arial"/>
          <w:sz w:val="22"/>
          <w:szCs w:val="22"/>
        </w:rPr>
        <w:t xml:space="preserve">of women </w:t>
      </w:r>
      <w:r w:rsidR="000B1F74">
        <w:rPr>
          <w:rFonts w:ascii="Arial" w:hAnsi="Arial" w:cs="Arial"/>
          <w:sz w:val="22"/>
          <w:szCs w:val="22"/>
        </w:rPr>
        <w:t>among its staff</w:t>
      </w:r>
      <w:r w:rsidR="00A12584">
        <w:rPr>
          <w:rFonts w:ascii="Arial" w:hAnsi="Arial" w:cs="Arial"/>
          <w:sz w:val="22"/>
          <w:szCs w:val="22"/>
        </w:rPr>
        <w:t>, particular</w:t>
      </w:r>
      <w:r w:rsidR="008A35B1">
        <w:rPr>
          <w:rFonts w:ascii="Arial" w:hAnsi="Arial" w:cs="Arial"/>
          <w:sz w:val="22"/>
          <w:szCs w:val="22"/>
        </w:rPr>
        <w:t>ly</w:t>
      </w:r>
      <w:r w:rsidR="00A12584">
        <w:rPr>
          <w:rFonts w:ascii="Arial" w:hAnsi="Arial" w:cs="Arial"/>
          <w:sz w:val="22"/>
          <w:szCs w:val="22"/>
        </w:rPr>
        <w:t xml:space="preserve"> within management</w:t>
      </w:r>
      <w:r w:rsidR="000B1F74">
        <w:rPr>
          <w:rFonts w:ascii="Arial" w:hAnsi="Arial" w:cs="Arial"/>
          <w:sz w:val="22"/>
          <w:szCs w:val="22"/>
        </w:rPr>
        <w:t xml:space="preserve">. </w:t>
      </w:r>
      <w:r w:rsidRPr="00CB1760">
        <w:rPr>
          <w:rFonts w:ascii="Arial" w:hAnsi="Arial" w:cs="Arial"/>
          <w:sz w:val="22"/>
          <w:szCs w:val="22"/>
        </w:rPr>
        <w:t xml:space="preserve"> </w:t>
      </w:r>
      <w:r w:rsidR="000B1F74">
        <w:rPr>
          <w:rFonts w:ascii="Arial" w:hAnsi="Arial" w:cs="Arial"/>
          <w:sz w:val="22"/>
          <w:szCs w:val="22"/>
        </w:rPr>
        <w:t>It participates in</w:t>
      </w:r>
      <w:r w:rsidR="00CB1760">
        <w:rPr>
          <w:rFonts w:ascii="Arial" w:hAnsi="Arial" w:cs="Arial"/>
          <w:sz w:val="22"/>
          <w:szCs w:val="22"/>
        </w:rPr>
        <w:t xml:space="preserve"> UN system-wide </w:t>
      </w:r>
      <w:r w:rsidR="00A12584">
        <w:rPr>
          <w:rFonts w:ascii="Arial" w:hAnsi="Arial" w:cs="Arial"/>
          <w:sz w:val="22"/>
          <w:szCs w:val="22"/>
        </w:rPr>
        <w:t>initiatives</w:t>
      </w:r>
      <w:r w:rsidR="00CB1760">
        <w:rPr>
          <w:rFonts w:ascii="Arial" w:hAnsi="Arial" w:cs="Arial"/>
          <w:sz w:val="22"/>
          <w:szCs w:val="22"/>
        </w:rPr>
        <w:t xml:space="preserve"> </w:t>
      </w:r>
      <w:r w:rsidR="000B1F74">
        <w:rPr>
          <w:rFonts w:ascii="Arial" w:hAnsi="Arial" w:cs="Arial"/>
          <w:sz w:val="22"/>
          <w:szCs w:val="22"/>
        </w:rPr>
        <w:t xml:space="preserve">to promote and facilitate gender balance.  It </w:t>
      </w:r>
      <w:r w:rsidR="00B3178F">
        <w:rPr>
          <w:rFonts w:ascii="Arial" w:hAnsi="Arial" w:cs="Arial"/>
          <w:sz w:val="22"/>
          <w:szCs w:val="22"/>
        </w:rPr>
        <w:t xml:space="preserve">also </w:t>
      </w:r>
      <w:r w:rsidR="000B1F74">
        <w:rPr>
          <w:rFonts w:ascii="Arial" w:hAnsi="Arial" w:cs="Arial"/>
          <w:sz w:val="22"/>
          <w:szCs w:val="22"/>
        </w:rPr>
        <w:t>undertakes activities on its own initiative</w:t>
      </w:r>
      <w:r w:rsidR="00B3178F">
        <w:rPr>
          <w:rFonts w:ascii="Arial" w:hAnsi="Arial" w:cs="Arial"/>
          <w:sz w:val="22"/>
          <w:szCs w:val="22"/>
        </w:rPr>
        <w:t>.</w:t>
      </w:r>
    </w:p>
    <w:p w14:paraId="20D7305A" w14:textId="77777777" w:rsidR="000B1F74" w:rsidRPr="00CB1760" w:rsidRDefault="000B1F74" w:rsidP="000B1F74">
      <w:pPr>
        <w:pStyle w:val="ListParagraph"/>
        <w:ind w:left="0"/>
        <w:rPr>
          <w:rFonts w:ascii="Arial" w:hAnsi="Arial" w:cs="Arial"/>
          <w:sz w:val="22"/>
          <w:szCs w:val="22"/>
        </w:rPr>
      </w:pPr>
    </w:p>
    <w:p w14:paraId="7A66AAA8" w14:textId="0ABA7220" w:rsidR="008607C2" w:rsidRDefault="00C65141" w:rsidP="00C65141">
      <w:pPr>
        <w:pStyle w:val="ListParagraph"/>
        <w:numPr>
          <w:ilvl w:val="0"/>
          <w:numId w:val="21"/>
        </w:numPr>
        <w:ind w:left="0" w:firstLine="0"/>
        <w:rPr>
          <w:rFonts w:ascii="Arial" w:hAnsi="Arial" w:cs="Arial"/>
          <w:sz w:val="22"/>
          <w:szCs w:val="22"/>
        </w:rPr>
      </w:pPr>
      <w:r w:rsidRPr="00CB1760">
        <w:rPr>
          <w:rFonts w:ascii="Arial" w:hAnsi="Arial" w:cs="Arial"/>
          <w:sz w:val="22"/>
          <w:szCs w:val="22"/>
        </w:rPr>
        <w:t xml:space="preserve">The WIPO Policy on Gender Equality provides that Member States will be kept fully informed of progress made on the implementation of the policy.  The Policy has served to accelerate WIPO’s implementation of the UN System-wide Action Plan on Gender Equality and the Empowerment of Women (UN-SWAP).  The first phase of UN-SWAP was endorsed by the </w:t>
      </w:r>
      <w:r w:rsidR="001E2C87" w:rsidRPr="00CB1760">
        <w:rPr>
          <w:rFonts w:ascii="Arial" w:hAnsi="Arial" w:cs="Arial"/>
          <w:sz w:val="22"/>
          <w:szCs w:val="22"/>
        </w:rPr>
        <w:t xml:space="preserve">UN System </w:t>
      </w:r>
      <w:r w:rsidRPr="00CB1760">
        <w:rPr>
          <w:rFonts w:ascii="Arial" w:hAnsi="Arial" w:cs="Arial"/>
          <w:sz w:val="22"/>
          <w:szCs w:val="22"/>
        </w:rPr>
        <w:t>Chief Executive</w:t>
      </w:r>
      <w:r w:rsidR="001E2C87" w:rsidRPr="00CB1760">
        <w:rPr>
          <w:rFonts w:ascii="Arial" w:hAnsi="Arial" w:cs="Arial"/>
          <w:sz w:val="22"/>
          <w:szCs w:val="22"/>
        </w:rPr>
        <w:t>s</w:t>
      </w:r>
      <w:r w:rsidRPr="00CB1760">
        <w:rPr>
          <w:rFonts w:ascii="Arial" w:hAnsi="Arial" w:cs="Arial"/>
          <w:sz w:val="22"/>
          <w:szCs w:val="22"/>
        </w:rPr>
        <w:t xml:space="preserve"> Board for Coordination (CEB)</w:t>
      </w:r>
      <w:r w:rsidR="00063F95">
        <w:rPr>
          <w:rFonts w:ascii="Arial" w:hAnsi="Arial" w:cs="Arial"/>
          <w:sz w:val="22"/>
          <w:szCs w:val="22"/>
        </w:rPr>
        <w:t xml:space="preserve"> </w:t>
      </w:r>
      <w:r w:rsidR="008D3F81">
        <w:rPr>
          <w:rFonts w:ascii="Arial" w:hAnsi="Arial" w:cs="Arial"/>
          <w:sz w:val="22"/>
          <w:szCs w:val="22"/>
        </w:rPr>
        <w:t>and lasted from</w:t>
      </w:r>
      <w:r w:rsidRPr="00CB1760">
        <w:rPr>
          <w:rFonts w:ascii="Arial" w:hAnsi="Arial" w:cs="Arial"/>
          <w:sz w:val="22"/>
          <w:szCs w:val="22"/>
        </w:rPr>
        <w:t xml:space="preserve"> 2012 </w:t>
      </w:r>
      <w:r w:rsidR="008D3F81">
        <w:rPr>
          <w:rFonts w:ascii="Arial" w:hAnsi="Arial" w:cs="Arial"/>
          <w:sz w:val="22"/>
          <w:szCs w:val="22"/>
        </w:rPr>
        <w:t>to</w:t>
      </w:r>
      <w:r w:rsidRPr="00CB1760">
        <w:rPr>
          <w:rFonts w:ascii="Arial" w:hAnsi="Arial" w:cs="Arial"/>
          <w:sz w:val="22"/>
          <w:szCs w:val="22"/>
        </w:rPr>
        <w:t xml:space="preserve"> </w:t>
      </w:r>
      <w:r w:rsidRPr="00CB1760">
        <w:rPr>
          <w:rFonts w:ascii="Arial" w:hAnsi="Arial" w:cs="Arial"/>
          <w:sz w:val="22"/>
          <w:szCs w:val="22"/>
        </w:rPr>
        <w:lastRenderedPageBreak/>
        <w:t>2017</w:t>
      </w:r>
      <w:r w:rsidR="00ED42C1">
        <w:rPr>
          <w:rFonts w:ascii="Arial" w:hAnsi="Arial" w:cs="Arial"/>
          <w:sz w:val="22"/>
          <w:szCs w:val="22"/>
        </w:rPr>
        <w:t>,</w:t>
      </w:r>
      <w:r w:rsidRPr="00CB1760">
        <w:rPr>
          <w:rFonts w:ascii="Arial" w:hAnsi="Arial" w:cs="Arial"/>
          <w:sz w:val="22"/>
          <w:szCs w:val="22"/>
        </w:rPr>
        <w:t xml:space="preserve"> during which </w:t>
      </w:r>
      <w:r w:rsidR="001E2C87" w:rsidRPr="00CB1760">
        <w:rPr>
          <w:rFonts w:ascii="Arial" w:hAnsi="Arial" w:cs="Arial"/>
          <w:sz w:val="22"/>
          <w:szCs w:val="22"/>
        </w:rPr>
        <w:t>UN system organizations</w:t>
      </w:r>
      <w:r w:rsidRPr="00CB1760">
        <w:rPr>
          <w:rFonts w:ascii="Arial" w:hAnsi="Arial" w:cs="Arial"/>
          <w:sz w:val="22"/>
          <w:szCs w:val="22"/>
        </w:rPr>
        <w:t xml:space="preserve"> were expected to meet the UN-SWAP requirements.</w:t>
      </w:r>
      <w:r w:rsidRPr="00CB1760">
        <w:rPr>
          <w:rStyle w:val="FootnoteReference"/>
          <w:sz w:val="22"/>
          <w:szCs w:val="22"/>
        </w:rPr>
        <w:footnoteReference w:id="6"/>
      </w:r>
      <w:r w:rsidRPr="00CB1760">
        <w:rPr>
          <w:rFonts w:ascii="Arial" w:hAnsi="Arial" w:cs="Arial"/>
          <w:sz w:val="22"/>
          <w:szCs w:val="22"/>
        </w:rPr>
        <w:t xml:space="preserve">  The second phase</w:t>
      </w:r>
      <w:r w:rsidR="008D3F81">
        <w:rPr>
          <w:rFonts w:ascii="Arial" w:hAnsi="Arial" w:cs="Arial"/>
          <w:sz w:val="22"/>
          <w:szCs w:val="22"/>
        </w:rPr>
        <w:t>,</w:t>
      </w:r>
      <w:r w:rsidRPr="00CB1760">
        <w:rPr>
          <w:rFonts w:ascii="Arial" w:hAnsi="Arial" w:cs="Arial"/>
          <w:sz w:val="22"/>
          <w:szCs w:val="22"/>
        </w:rPr>
        <w:t xml:space="preserve"> </w:t>
      </w:r>
      <w:r w:rsidR="008D3F81" w:rsidRPr="00CB1760">
        <w:rPr>
          <w:rFonts w:ascii="Arial" w:hAnsi="Arial" w:cs="Arial"/>
          <w:sz w:val="22"/>
          <w:szCs w:val="22"/>
        </w:rPr>
        <w:t>“UN-SWAP 2.0”</w:t>
      </w:r>
      <w:r w:rsidR="008D3F81">
        <w:rPr>
          <w:rFonts w:ascii="Arial" w:hAnsi="Arial" w:cs="Arial"/>
          <w:sz w:val="22"/>
          <w:szCs w:val="22"/>
        </w:rPr>
        <w:t xml:space="preserve">, </w:t>
      </w:r>
      <w:r w:rsidR="001E2C87" w:rsidRPr="00CB1760">
        <w:rPr>
          <w:rFonts w:ascii="Arial" w:hAnsi="Arial" w:cs="Arial"/>
          <w:sz w:val="22"/>
          <w:szCs w:val="22"/>
        </w:rPr>
        <w:t>followed</w:t>
      </w:r>
      <w:r w:rsidRPr="00CB1760">
        <w:rPr>
          <w:rFonts w:ascii="Arial" w:hAnsi="Arial" w:cs="Arial"/>
          <w:sz w:val="22"/>
          <w:szCs w:val="22"/>
        </w:rPr>
        <w:t xml:space="preserve"> in 2018.  </w:t>
      </w:r>
    </w:p>
    <w:p w14:paraId="4FADF78D" w14:textId="77777777" w:rsidR="008607C2" w:rsidRPr="008607C2" w:rsidRDefault="008607C2" w:rsidP="008607C2">
      <w:pPr>
        <w:pStyle w:val="ListParagraph"/>
        <w:rPr>
          <w:rFonts w:ascii="Arial" w:hAnsi="Arial" w:cs="Arial"/>
          <w:sz w:val="22"/>
          <w:szCs w:val="22"/>
        </w:rPr>
      </w:pPr>
    </w:p>
    <w:p w14:paraId="5FFEB443" w14:textId="4103645B" w:rsidR="00C65141" w:rsidRPr="00CB1760" w:rsidRDefault="00ED42C1" w:rsidP="00C65141">
      <w:pPr>
        <w:pStyle w:val="ListParagraph"/>
        <w:numPr>
          <w:ilvl w:val="0"/>
          <w:numId w:val="21"/>
        </w:numPr>
        <w:ind w:left="0" w:firstLine="0"/>
        <w:rPr>
          <w:rFonts w:ascii="Arial" w:hAnsi="Arial" w:cs="Arial"/>
          <w:sz w:val="22"/>
          <w:szCs w:val="22"/>
        </w:rPr>
      </w:pPr>
      <w:r w:rsidRPr="00CB1760">
        <w:rPr>
          <w:rFonts w:ascii="Arial" w:hAnsi="Arial" w:cs="Arial"/>
          <w:sz w:val="22"/>
          <w:szCs w:val="22"/>
        </w:rPr>
        <w:t>UN</w:t>
      </w:r>
      <w:r w:rsidR="008607C2">
        <w:rPr>
          <w:rFonts w:ascii="Arial" w:hAnsi="Arial" w:cs="Arial"/>
          <w:sz w:val="22"/>
          <w:szCs w:val="22"/>
        </w:rPr>
        <w:t>-</w:t>
      </w:r>
      <w:r w:rsidR="00C65141" w:rsidRPr="00CB1760">
        <w:rPr>
          <w:rFonts w:ascii="Arial" w:hAnsi="Arial" w:cs="Arial"/>
          <w:sz w:val="22"/>
          <w:szCs w:val="22"/>
        </w:rPr>
        <w:t xml:space="preserve">SWAP 2.0 refined existing indicators and raised the bar for accountability and results for the next five years </w:t>
      </w:r>
      <w:r>
        <w:rPr>
          <w:rFonts w:ascii="Arial" w:hAnsi="Arial" w:cs="Arial"/>
          <w:sz w:val="22"/>
          <w:szCs w:val="22"/>
        </w:rPr>
        <w:t>by</w:t>
      </w:r>
      <w:r w:rsidRPr="00CB1760">
        <w:rPr>
          <w:rFonts w:ascii="Arial" w:hAnsi="Arial" w:cs="Arial"/>
          <w:sz w:val="22"/>
          <w:szCs w:val="22"/>
        </w:rPr>
        <w:t xml:space="preserve"> </w:t>
      </w:r>
      <w:r w:rsidR="00C65141" w:rsidRPr="00CB1760">
        <w:rPr>
          <w:rFonts w:ascii="Arial" w:hAnsi="Arial" w:cs="Arial"/>
          <w:sz w:val="22"/>
          <w:szCs w:val="22"/>
        </w:rPr>
        <w:t>strengthening</w:t>
      </w:r>
      <w:r w:rsidR="001E2C87" w:rsidRPr="00CB1760">
        <w:rPr>
          <w:rFonts w:ascii="Arial" w:hAnsi="Arial" w:cs="Arial"/>
          <w:sz w:val="22"/>
          <w:szCs w:val="22"/>
        </w:rPr>
        <w:t xml:space="preserve"> </w:t>
      </w:r>
      <w:r w:rsidR="00C65141" w:rsidRPr="00CB1760">
        <w:rPr>
          <w:rFonts w:ascii="Arial" w:hAnsi="Arial" w:cs="Arial"/>
          <w:sz w:val="22"/>
          <w:szCs w:val="22"/>
        </w:rPr>
        <w:t xml:space="preserve">requirements for the performance indicators on </w:t>
      </w:r>
      <w:r w:rsidR="00B3178F">
        <w:rPr>
          <w:rFonts w:ascii="Arial" w:hAnsi="Arial" w:cs="Arial"/>
          <w:sz w:val="22"/>
          <w:szCs w:val="22"/>
        </w:rPr>
        <w:t>Evaluation, Audit and Coherence</w:t>
      </w:r>
      <w:r w:rsidR="00C65141" w:rsidRPr="00CB1760">
        <w:rPr>
          <w:rFonts w:ascii="Arial" w:hAnsi="Arial" w:cs="Arial"/>
          <w:sz w:val="22"/>
          <w:szCs w:val="22"/>
        </w:rPr>
        <w:t xml:space="preserve"> and </w:t>
      </w:r>
      <w:r>
        <w:rPr>
          <w:rFonts w:ascii="Arial" w:hAnsi="Arial" w:cs="Arial"/>
          <w:sz w:val="22"/>
          <w:szCs w:val="22"/>
        </w:rPr>
        <w:t xml:space="preserve">by </w:t>
      </w:r>
      <w:r w:rsidR="00C65141" w:rsidRPr="00CB1760">
        <w:rPr>
          <w:rFonts w:ascii="Arial" w:hAnsi="Arial" w:cs="Arial"/>
          <w:sz w:val="22"/>
          <w:szCs w:val="22"/>
        </w:rPr>
        <w:t xml:space="preserve">adding </w:t>
      </w:r>
      <w:r w:rsidR="001E2C87" w:rsidRPr="00CB1760">
        <w:rPr>
          <w:rFonts w:ascii="Arial" w:hAnsi="Arial" w:cs="Arial"/>
          <w:sz w:val="22"/>
          <w:szCs w:val="22"/>
        </w:rPr>
        <w:t xml:space="preserve">a </w:t>
      </w:r>
      <w:r w:rsidR="00C65141" w:rsidRPr="00CB1760">
        <w:rPr>
          <w:rFonts w:ascii="Arial" w:hAnsi="Arial" w:cs="Arial"/>
          <w:sz w:val="22"/>
          <w:szCs w:val="22"/>
        </w:rPr>
        <w:t>new performance indicator on Leadership and a stand-alone indicator measuring the Equal Representation of Women in Staffing.  Of the 17 UN-SWAP 2.0 performance indicators,</w:t>
      </w:r>
      <w:r w:rsidR="00C65141" w:rsidRPr="00CB1760">
        <w:rPr>
          <w:rStyle w:val="FootnoteReference"/>
          <w:sz w:val="22"/>
          <w:szCs w:val="22"/>
        </w:rPr>
        <w:footnoteReference w:id="7"/>
      </w:r>
      <w:r w:rsidR="00C65141" w:rsidRPr="00CB1760">
        <w:rPr>
          <w:rFonts w:ascii="Arial" w:hAnsi="Arial" w:cs="Arial"/>
          <w:sz w:val="22"/>
          <w:szCs w:val="22"/>
        </w:rPr>
        <w:t xml:space="preserve"> WIPO me</w:t>
      </w:r>
      <w:r w:rsidR="00B3178F">
        <w:rPr>
          <w:rFonts w:ascii="Arial" w:hAnsi="Arial" w:cs="Arial"/>
          <w:sz w:val="22"/>
          <w:szCs w:val="22"/>
        </w:rPr>
        <w:t>e</w:t>
      </w:r>
      <w:r w:rsidR="00C65141" w:rsidRPr="00CB1760">
        <w:rPr>
          <w:rFonts w:ascii="Arial" w:hAnsi="Arial" w:cs="Arial"/>
          <w:sz w:val="22"/>
          <w:szCs w:val="22"/>
        </w:rPr>
        <w:t>t</w:t>
      </w:r>
      <w:r w:rsidR="00B3178F">
        <w:rPr>
          <w:rFonts w:ascii="Arial" w:hAnsi="Arial" w:cs="Arial"/>
          <w:sz w:val="22"/>
          <w:szCs w:val="22"/>
        </w:rPr>
        <w:t>s</w:t>
      </w:r>
      <w:r w:rsidR="00C65141" w:rsidRPr="00CB1760">
        <w:rPr>
          <w:rFonts w:ascii="Arial" w:hAnsi="Arial" w:cs="Arial"/>
          <w:sz w:val="22"/>
          <w:szCs w:val="22"/>
        </w:rPr>
        <w:t xml:space="preserve"> the requ</w:t>
      </w:r>
      <w:r w:rsidR="00B3178F">
        <w:rPr>
          <w:rFonts w:ascii="Arial" w:hAnsi="Arial" w:cs="Arial"/>
          <w:sz w:val="22"/>
          <w:szCs w:val="22"/>
        </w:rPr>
        <w:t xml:space="preserve">irements for </w:t>
      </w:r>
      <w:r w:rsidR="002C6C38">
        <w:rPr>
          <w:rFonts w:ascii="Arial" w:hAnsi="Arial" w:cs="Arial"/>
          <w:sz w:val="22"/>
          <w:szCs w:val="22"/>
        </w:rPr>
        <w:t xml:space="preserve">six </w:t>
      </w:r>
      <w:r w:rsidR="00B3178F">
        <w:rPr>
          <w:rFonts w:ascii="Arial" w:hAnsi="Arial" w:cs="Arial"/>
          <w:sz w:val="22"/>
          <w:szCs w:val="22"/>
        </w:rPr>
        <w:t>and approaches</w:t>
      </w:r>
      <w:r w:rsidR="00C65141" w:rsidRPr="00CB1760">
        <w:rPr>
          <w:rFonts w:ascii="Arial" w:hAnsi="Arial" w:cs="Arial"/>
          <w:sz w:val="22"/>
          <w:szCs w:val="22"/>
        </w:rPr>
        <w:t xml:space="preserve"> requirements in </w:t>
      </w:r>
      <w:r w:rsidR="002C6C38">
        <w:rPr>
          <w:rFonts w:ascii="Arial" w:hAnsi="Arial" w:cs="Arial"/>
          <w:sz w:val="22"/>
          <w:szCs w:val="22"/>
        </w:rPr>
        <w:t>seven</w:t>
      </w:r>
      <w:r w:rsidR="00C65141" w:rsidRPr="00CB1760">
        <w:rPr>
          <w:rFonts w:ascii="Arial" w:hAnsi="Arial" w:cs="Arial"/>
          <w:sz w:val="22"/>
          <w:szCs w:val="22"/>
        </w:rPr>
        <w:t xml:space="preserve">. </w:t>
      </w:r>
      <w:r w:rsidR="00CF0BAB" w:rsidRPr="00CB1760">
        <w:rPr>
          <w:rFonts w:ascii="Arial" w:hAnsi="Arial" w:cs="Arial"/>
          <w:sz w:val="22"/>
          <w:szCs w:val="22"/>
        </w:rPr>
        <w:t xml:space="preserve"> </w:t>
      </w:r>
      <w:r w:rsidR="00C65141" w:rsidRPr="00CB1760">
        <w:rPr>
          <w:rFonts w:ascii="Arial" w:hAnsi="Arial" w:cs="Arial"/>
          <w:sz w:val="22"/>
          <w:szCs w:val="22"/>
        </w:rPr>
        <w:t>The chart below reflects WIPO’s results in the first year of UN-SWAP 2.0.</w:t>
      </w:r>
    </w:p>
    <w:p w14:paraId="49565897" w14:textId="77777777" w:rsidR="001E2C87" w:rsidRPr="00CB1760" w:rsidRDefault="001E2C87" w:rsidP="001E2C87">
      <w:pPr>
        <w:pStyle w:val="ListParagraph"/>
        <w:ind w:left="0"/>
        <w:rPr>
          <w:rFonts w:ascii="Arial" w:hAnsi="Arial" w:cs="Arial"/>
          <w:sz w:val="22"/>
          <w:szCs w:val="22"/>
        </w:rPr>
      </w:pPr>
    </w:p>
    <w:p w14:paraId="10916210" w14:textId="77777777" w:rsidR="00C65141" w:rsidRPr="00CB1760" w:rsidRDefault="00C65141" w:rsidP="00C65141">
      <w:pPr>
        <w:pStyle w:val="ListParagraph"/>
        <w:contextualSpacing w:val="0"/>
        <w:jc w:val="center"/>
        <w:rPr>
          <w:rFonts w:ascii="Arial" w:hAnsi="Arial" w:cs="Arial"/>
          <w:sz w:val="22"/>
          <w:szCs w:val="22"/>
        </w:rPr>
      </w:pPr>
      <w:r w:rsidRPr="00CB1760">
        <w:rPr>
          <w:noProof/>
          <w:sz w:val="22"/>
          <w:szCs w:val="22"/>
        </w:rPr>
        <w:drawing>
          <wp:inline distT="0" distB="0" distL="0" distR="0" wp14:anchorId="65CC1FB3" wp14:editId="6CBE12FA">
            <wp:extent cx="4586605" cy="1944806"/>
            <wp:effectExtent l="0" t="0" r="4445" b="17780"/>
            <wp:docPr id="1" name="Chart 1" descr="WIPO's Results in UN SWAP 2.0&#10;" title="WIPO's Results in UN SWAP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6BC50C" w14:textId="77777777" w:rsidR="00B546BA" w:rsidRDefault="00B546BA" w:rsidP="00C65141">
      <w:pPr>
        <w:pStyle w:val="ListParagraph"/>
        <w:contextualSpacing w:val="0"/>
        <w:jc w:val="center"/>
        <w:rPr>
          <w:rFonts w:ascii="Arial" w:hAnsi="Arial" w:cs="Arial"/>
          <w:sz w:val="22"/>
          <w:szCs w:val="22"/>
        </w:rPr>
      </w:pPr>
    </w:p>
    <w:p w14:paraId="257330E8" w14:textId="77777777" w:rsidR="00C36F2B" w:rsidRDefault="00C36F2B" w:rsidP="00B546BA">
      <w:pPr>
        <w:pStyle w:val="ListParagraph"/>
        <w:numPr>
          <w:ilvl w:val="0"/>
          <w:numId w:val="21"/>
        </w:numPr>
        <w:ind w:left="0" w:firstLine="0"/>
        <w:rPr>
          <w:rFonts w:ascii="Arial" w:hAnsi="Arial" w:cs="Arial"/>
          <w:sz w:val="22"/>
          <w:szCs w:val="22"/>
        </w:rPr>
      </w:pPr>
      <w:r>
        <w:rPr>
          <w:rFonts w:ascii="Arial" w:hAnsi="Arial" w:cs="Arial"/>
          <w:sz w:val="22"/>
          <w:szCs w:val="22"/>
        </w:rPr>
        <w:t>One of the UN-SWAP indicators that WIPO continues to make progress on is the use of a gender equality marker.</w:t>
      </w:r>
      <w:r w:rsidR="00484327">
        <w:rPr>
          <w:rStyle w:val="FootnoteReference"/>
          <w:rFonts w:ascii="Arial" w:hAnsi="Arial" w:cs="Arial"/>
          <w:sz w:val="22"/>
          <w:szCs w:val="22"/>
        </w:rPr>
        <w:footnoteReference w:id="8"/>
      </w:r>
      <w:r>
        <w:rPr>
          <w:rFonts w:ascii="Arial" w:hAnsi="Arial" w:cs="Arial"/>
          <w:sz w:val="22"/>
          <w:szCs w:val="22"/>
        </w:rPr>
        <w:t xml:space="preserve">  Nearly half (47 per cent) of the 97 operational units at WIPO substantially completed the gender marker in their 2018 workplan, which is a significant increase compared to 20 per cent in 2017 and 8 per cent in 2016.</w:t>
      </w:r>
    </w:p>
    <w:p w14:paraId="4F27FC10" w14:textId="77777777" w:rsidR="00C36F2B" w:rsidRDefault="00C36F2B" w:rsidP="00C36F2B">
      <w:pPr>
        <w:pStyle w:val="ListParagraph"/>
        <w:ind w:left="0"/>
        <w:rPr>
          <w:rFonts w:ascii="Arial" w:hAnsi="Arial" w:cs="Arial"/>
          <w:sz w:val="22"/>
          <w:szCs w:val="22"/>
        </w:rPr>
      </w:pPr>
    </w:p>
    <w:p w14:paraId="4BFDCC1A" w14:textId="4CE2060D" w:rsidR="007C63F5" w:rsidRDefault="00CF0BAB" w:rsidP="00B546BA">
      <w:pPr>
        <w:pStyle w:val="ListParagraph"/>
        <w:numPr>
          <w:ilvl w:val="0"/>
          <w:numId w:val="21"/>
        </w:numPr>
        <w:ind w:left="0" w:firstLine="0"/>
        <w:rPr>
          <w:rFonts w:ascii="Arial" w:hAnsi="Arial" w:cs="Arial"/>
          <w:sz w:val="22"/>
          <w:szCs w:val="22"/>
        </w:rPr>
      </w:pPr>
      <w:r w:rsidRPr="00CB1760">
        <w:rPr>
          <w:rFonts w:ascii="Arial" w:hAnsi="Arial" w:cs="Arial"/>
          <w:sz w:val="22"/>
          <w:szCs w:val="22"/>
        </w:rPr>
        <w:t xml:space="preserve">Following the System-wide Strategy on Gender Parity launched by the </w:t>
      </w:r>
      <w:r w:rsidR="00482E17">
        <w:rPr>
          <w:rFonts w:ascii="Arial" w:hAnsi="Arial" w:cs="Arial"/>
          <w:sz w:val="22"/>
          <w:szCs w:val="22"/>
        </w:rPr>
        <w:t>UN Secretary</w:t>
      </w:r>
      <w:r w:rsidR="00482E17">
        <w:rPr>
          <w:rFonts w:ascii="Arial" w:hAnsi="Arial" w:cs="Arial"/>
          <w:sz w:val="22"/>
          <w:szCs w:val="22"/>
        </w:rPr>
        <w:noBreakHyphen/>
      </w:r>
      <w:r w:rsidRPr="00CB1760">
        <w:rPr>
          <w:rFonts w:ascii="Arial" w:hAnsi="Arial" w:cs="Arial"/>
          <w:sz w:val="22"/>
          <w:szCs w:val="22"/>
        </w:rPr>
        <w:t>General in 2017</w:t>
      </w:r>
      <w:r w:rsidR="000B1F74">
        <w:rPr>
          <w:rFonts w:ascii="Arial" w:hAnsi="Arial" w:cs="Arial"/>
          <w:sz w:val="22"/>
          <w:szCs w:val="22"/>
        </w:rPr>
        <w:t>,</w:t>
      </w:r>
      <w:r w:rsidR="007C63F5">
        <w:rPr>
          <w:rStyle w:val="FootnoteReference"/>
          <w:rFonts w:ascii="Arial" w:hAnsi="Arial" w:cs="Arial"/>
          <w:sz w:val="22"/>
          <w:szCs w:val="22"/>
        </w:rPr>
        <w:footnoteReference w:id="9"/>
      </w:r>
      <w:r w:rsidR="000B1F74">
        <w:rPr>
          <w:rFonts w:ascii="Arial" w:hAnsi="Arial" w:cs="Arial"/>
          <w:sz w:val="22"/>
          <w:szCs w:val="22"/>
        </w:rPr>
        <w:t xml:space="preserve"> </w:t>
      </w:r>
      <w:r w:rsidR="000B1F74" w:rsidRPr="000B1F74">
        <w:rPr>
          <w:rFonts w:ascii="Arial" w:hAnsi="Arial" w:cs="Arial"/>
          <w:sz w:val="22"/>
          <w:szCs w:val="22"/>
        </w:rPr>
        <w:t>WIPO is implementing its organizational</w:t>
      </w:r>
      <w:r w:rsidR="00A12584">
        <w:rPr>
          <w:rFonts w:ascii="Arial" w:hAnsi="Arial" w:cs="Arial"/>
          <w:sz w:val="22"/>
          <w:szCs w:val="22"/>
        </w:rPr>
        <w:t xml:space="preserve"> G</w:t>
      </w:r>
      <w:r w:rsidR="000B1F74" w:rsidRPr="00CB1760">
        <w:rPr>
          <w:rFonts w:ascii="Arial" w:hAnsi="Arial" w:cs="Arial"/>
          <w:sz w:val="22"/>
          <w:szCs w:val="22"/>
        </w:rPr>
        <w:t xml:space="preserve">ender </w:t>
      </w:r>
      <w:r w:rsidR="00A44FAA">
        <w:rPr>
          <w:rFonts w:ascii="Arial" w:hAnsi="Arial" w:cs="Arial"/>
          <w:sz w:val="22"/>
          <w:szCs w:val="22"/>
        </w:rPr>
        <w:t>Action Plan</w:t>
      </w:r>
      <w:r w:rsidR="000B1F74" w:rsidRPr="00CB1760">
        <w:rPr>
          <w:rFonts w:ascii="Arial" w:hAnsi="Arial" w:cs="Arial"/>
          <w:sz w:val="22"/>
          <w:szCs w:val="22"/>
        </w:rPr>
        <w:t xml:space="preserve"> 2019-2021.</w:t>
      </w:r>
      <w:r w:rsidR="000B1F74" w:rsidRPr="000B1F74">
        <w:rPr>
          <w:rFonts w:ascii="Arial" w:hAnsi="Arial" w:cs="Arial"/>
          <w:sz w:val="22"/>
          <w:szCs w:val="22"/>
        </w:rPr>
        <w:t xml:space="preserve">  </w:t>
      </w:r>
      <w:r w:rsidR="00A12584">
        <w:rPr>
          <w:rFonts w:ascii="Arial" w:hAnsi="Arial" w:cs="Arial"/>
          <w:sz w:val="22"/>
          <w:szCs w:val="22"/>
        </w:rPr>
        <w:t xml:space="preserve">The </w:t>
      </w:r>
      <w:r w:rsidR="00ED42C1">
        <w:rPr>
          <w:rFonts w:ascii="Arial" w:hAnsi="Arial" w:cs="Arial"/>
          <w:sz w:val="22"/>
          <w:szCs w:val="22"/>
        </w:rPr>
        <w:t>a</w:t>
      </w:r>
      <w:r w:rsidR="000B1F74">
        <w:rPr>
          <w:rFonts w:ascii="Arial" w:hAnsi="Arial" w:cs="Arial"/>
          <w:sz w:val="22"/>
          <w:szCs w:val="22"/>
        </w:rPr>
        <w:t xml:space="preserve">ction </w:t>
      </w:r>
      <w:r w:rsidR="00ED42C1">
        <w:rPr>
          <w:rFonts w:ascii="Arial" w:hAnsi="Arial" w:cs="Arial"/>
          <w:sz w:val="22"/>
          <w:szCs w:val="22"/>
        </w:rPr>
        <w:t>p</w:t>
      </w:r>
      <w:r w:rsidR="00A12584">
        <w:rPr>
          <w:rFonts w:ascii="Arial" w:hAnsi="Arial" w:cs="Arial"/>
          <w:sz w:val="22"/>
          <w:szCs w:val="22"/>
        </w:rPr>
        <w:t>lan</w:t>
      </w:r>
      <w:r w:rsidR="000B1F74">
        <w:rPr>
          <w:rFonts w:ascii="Arial" w:hAnsi="Arial" w:cs="Arial"/>
          <w:sz w:val="22"/>
          <w:szCs w:val="22"/>
        </w:rPr>
        <w:t xml:space="preserve"> focuses on six strategic areas: </w:t>
      </w:r>
      <w:r w:rsidR="000B1F74" w:rsidRPr="000B1F74">
        <w:rPr>
          <w:rFonts w:ascii="Arial" w:hAnsi="Arial" w:cs="Arial"/>
          <w:sz w:val="22"/>
          <w:szCs w:val="22"/>
        </w:rPr>
        <w:t xml:space="preserve"> </w:t>
      </w:r>
      <w:r w:rsidR="00ED42C1">
        <w:rPr>
          <w:rFonts w:ascii="Arial" w:hAnsi="Arial" w:cs="Arial"/>
          <w:sz w:val="22"/>
          <w:szCs w:val="22"/>
        </w:rPr>
        <w:t>l</w:t>
      </w:r>
      <w:r w:rsidR="000B1F74">
        <w:rPr>
          <w:rFonts w:ascii="Arial" w:hAnsi="Arial" w:cs="Arial"/>
          <w:sz w:val="22"/>
          <w:szCs w:val="22"/>
        </w:rPr>
        <w:t xml:space="preserve">eadership and accountability, </w:t>
      </w:r>
      <w:r w:rsidR="00ED42C1">
        <w:rPr>
          <w:rFonts w:ascii="Arial" w:hAnsi="Arial" w:cs="Arial"/>
          <w:sz w:val="22"/>
          <w:szCs w:val="22"/>
        </w:rPr>
        <w:t>r</w:t>
      </w:r>
      <w:r w:rsidR="000B1F74">
        <w:rPr>
          <w:rFonts w:ascii="Arial" w:hAnsi="Arial" w:cs="Arial"/>
          <w:sz w:val="22"/>
          <w:szCs w:val="22"/>
        </w:rPr>
        <w:t>ecruitment and selection,</w:t>
      </w:r>
      <w:r w:rsidR="000B1F74" w:rsidRPr="000B1F74">
        <w:rPr>
          <w:rFonts w:ascii="Arial" w:hAnsi="Arial" w:cs="Arial"/>
          <w:sz w:val="22"/>
          <w:szCs w:val="22"/>
        </w:rPr>
        <w:t xml:space="preserve"> </w:t>
      </w:r>
      <w:r w:rsidR="00ED42C1">
        <w:rPr>
          <w:rFonts w:ascii="Arial" w:hAnsi="Arial" w:cs="Arial"/>
          <w:sz w:val="22"/>
          <w:szCs w:val="22"/>
        </w:rPr>
        <w:t>t</w:t>
      </w:r>
      <w:r w:rsidR="000B1F74" w:rsidRPr="000B1F74">
        <w:rPr>
          <w:rFonts w:ascii="Arial" w:hAnsi="Arial" w:cs="Arial"/>
          <w:sz w:val="22"/>
          <w:szCs w:val="22"/>
        </w:rPr>
        <w:t>alent management/</w:t>
      </w:r>
      <w:r w:rsidR="00ED42C1">
        <w:rPr>
          <w:rFonts w:ascii="Arial" w:hAnsi="Arial" w:cs="Arial"/>
          <w:sz w:val="22"/>
          <w:szCs w:val="22"/>
        </w:rPr>
        <w:t>s</w:t>
      </w:r>
      <w:r w:rsidR="000B1F74" w:rsidRPr="000B1F74">
        <w:rPr>
          <w:rFonts w:ascii="Arial" w:hAnsi="Arial" w:cs="Arial"/>
          <w:sz w:val="22"/>
          <w:szCs w:val="22"/>
        </w:rPr>
        <w:t>taff dev</w:t>
      </w:r>
      <w:r w:rsidR="000B1F74">
        <w:rPr>
          <w:rFonts w:ascii="Arial" w:hAnsi="Arial" w:cs="Arial"/>
          <w:sz w:val="22"/>
          <w:szCs w:val="22"/>
        </w:rPr>
        <w:t>elopment,</w:t>
      </w:r>
      <w:r w:rsidR="000B1F74" w:rsidRPr="000B1F74">
        <w:rPr>
          <w:rFonts w:ascii="Arial" w:hAnsi="Arial" w:cs="Arial"/>
          <w:sz w:val="22"/>
          <w:szCs w:val="22"/>
        </w:rPr>
        <w:t xml:space="preserve"> </w:t>
      </w:r>
      <w:r w:rsidR="00ED42C1">
        <w:rPr>
          <w:rFonts w:ascii="Arial" w:hAnsi="Arial" w:cs="Arial"/>
          <w:sz w:val="22"/>
          <w:szCs w:val="22"/>
        </w:rPr>
        <w:t>c</w:t>
      </w:r>
      <w:r w:rsidR="000B1F74" w:rsidRPr="000B1F74">
        <w:rPr>
          <w:rFonts w:ascii="Arial" w:hAnsi="Arial" w:cs="Arial"/>
          <w:sz w:val="22"/>
          <w:szCs w:val="22"/>
        </w:rPr>
        <w:t>rea</w:t>
      </w:r>
      <w:r w:rsidR="000B1F74">
        <w:rPr>
          <w:rFonts w:ascii="Arial" w:hAnsi="Arial" w:cs="Arial"/>
          <w:sz w:val="22"/>
          <w:szCs w:val="22"/>
        </w:rPr>
        <w:t xml:space="preserve">ting an enabling environment, </w:t>
      </w:r>
      <w:r w:rsidR="00ED42C1">
        <w:rPr>
          <w:rFonts w:ascii="Arial" w:hAnsi="Arial" w:cs="Arial"/>
          <w:sz w:val="22"/>
          <w:szCs w:val="22"/>
        </w:rPr>
        <w:t>c</w:t>
      </w:r>
      <w:r w:rsidR="000B1F74">
        <w:rPr>
          <w:rFonts w:ascii="Arial" w:hAnsi="Arial" w:cs="Arial"/>
          <w:sz w:val="22"/>
          <w:szCs w:val="22"/>
        </w:rPr>
        <w:t>ommunication and advocacy and</w:t>
      </w:r>
      <w:r w:rsidR="000B1F74" w:rsidRPr="000B1F74">
        <w:rPr>
          <w:rFonts w:ascii="Arial" w:hAnsi="Arial" w:cs="Arial"/>
          <w:sz w:val="22"/>
          <w:szCs w:val="22"/>
        </w:rPr>
        <w:t xml:space="preserve"> </w:t>
      </w:r>
      <w:r w:rsidR="00ED42C1">
        <w:rPr>
          <w:rFonts w:ascii="Arial" w:hAnsi="Arial" w:cs="Arial"/>
          <w:sz w:val="22"/>
          <w:szCs w:val="22"/>
        </w:rPr>
        <w:t>m</w:t>
      </w:r>
      <w:r w:rsidR="000B1F74" w:rsidRPr="000B1F74">
        <w:rPr>
          <w:rFonts w:ascii="Arial" w:hAnsi="Arial" w:cs="Arial"/>
          <w:sz w:val="22"/>
          <w:szCs w:val="22"/>
        </w:rPr>
        <w:t>onitoring and reporting.</w:t>
      </w:r>
      <w:r w:rsidR="00A12584">
        <w:rPr>
          <w:rFonts w:ascii="Arial" w:hAnsi="Arial" w:cs="Arial"/>
          <w:sz w:val="22"/>
          <w:szCs w:val="22"/>
        </w:rPr>
        <w:t xml:space="preserve">  </w:t>
      </w:r>
      <w:r w:rsidR="002D2C8C">
        <w:rPr>
          <w:rFonts w:ascii="Arial" w:hAnsi="Arial" w:cs="Arial"/>
          <w:sz w:val="22"/>
          <w:szCs w:val="22"/>
        </w:rPr>
        <w:t xml:space="preserve">In respect of recruitment and selection, recent data show positive changes relating to women candidates.  In the last three years from 2016 to 2018, the </w:t>
      </w:r>
      <w:r w:rsidR="002922A1">
        <w:rPr>
          <w:rFonts w:ascii="Arial" w:hAnsi="Arial" w:cs="Arial"/>
          <w:sz w:val="22"/>
          <w:szCs w:val="22"/>
        </w:rPr>
        <w:t>percentage</w:t>
      </w:r>
      <w:r w:rsidR="002D2C8C">
        <w:rPr>
          <w:rFonts w:ascii="Arial" w:hAnsi="Arial" w:cs="Arial"/>
          <w:sz w:val="22"/>
          <w:szCs w:val="22"/>
        </w:rPr>
        <w:t xml:space="preserve"> of women candidates </w:t>
      </w:r>
      <w:r w:rsidR="002922A1">
        <w:rPr>
          <w:rFonts w:ascii="Arial" w:hAnsi="Arial" w:cs="Arial"/>
          <w:sz w:val="22"/>
          <w:szCs w:val="22"/>
        </w:rPr>
        <w:t xml:space="preserve">who </w:t>
      </w:r>
      <w:r w:rsidR="000B335E">
        <w:rPr>
          <w:rFonts w:ascii="Arial" w:hAnsi="Arial" w:cs="Arial"/>
          <w:sz w:val="22"/>
          <w:szCs w:val="22"/>
        </w:rPr>
        <w:t>were selected</w:t>
      </w:r>
      <w:r w:rsidR="00AD1A99">
        <w:rPr>
          <w:rFonts w:ascii="Arial" w:hAnsi="Arial" w:cs="Arial"/>
          <w:sz w:val="22"/>
          <w:szCs w:val="22"/>
        </w:rPr>
        <w:t xml:space="preserve"> for</w:t>
      </w:r>
      <w:r w:rsidR="002922A1">
        <w:rPr>
          <w:rFonts w:ascii="Arial" w:hAnsi="Arial" w:cs="Arial"/>
          <w:sz w:val="22"/>
          <w:szCs w:val="22"/>
        </w:rPr>
        <w:t xml:space="preserve"> vacant positions</w:t>
      </w:r>
      <w:r w:rsidR="000B335E">
        <w:rPr>
          <w:rFonts w:ascii="Arial" w:hAnsi="Arial" w:cs="Arial"/>
          <w:sz w:val="22"/>
          <w:szCs w:val="22"/>
        </w:rPr>
        <w:t xml:space="preserve"> (P4 to D2)</w:t>
      </w:r>
      <w:r w:rsidR="002922A1">
        <w:rPr>
          <w:rFonts w:ascii="Arial" w:hAnsi="Arial" w:cs="Arial"/>
          <w:sz w:val="22"/>
          <w:szCs w:val="22"/>
        </w:rPr>
        <w:t xml:space="preserve"> </w:t>
      </w:r>
      <w:r w:rsidR="00142B83">
        <w:rPr>
          <w:rFonts w:ascii="Arial" w:hAnsi="Arial" w:cs="Arial"/>
          <w:sz w:val="22"/>
          <w:szCs w:val="22"/>
        </w:rPr>
        <w:t>has been</w:t>
      </w:r>
      <w:r w:rsidR="000B335E">
        <w:rPr>
          <w:rFonts w:ascii="Arial" w:hAnsi="Arial" w:cs="Arial"/>
          <w:sz w:val="22"/>
          <w:szCs w:val="22"/>
        </w:rPr>
        <w:t xml:space="preserve"> increasing.  In 2018, 42 per cent of those selected for appointments </w:t>
      </w:r>
      <w:r w:rsidR="00142B83">
        <w:rPr>
          <w:rFonts w:ascii="Arial" w:hAnsi="Arial" w:cs="Arial"/>
          <w:sz w:val="22"/>
          <w:szCs w:val="22"/>
        </w:rPr>
        <w:t xml:space="preserve">at these grade levels </w:t>
      </w:r>
      <w:r w:rsidR="000B335E">
        <w:rPr>
          <w:rFonts w:ascii="Arial" w:hAnsi="Arial" w:cs="Arial"/>
          <w:sz w:val="22"/>
          <w:szCs w:val="22"/>
        </w:rPr>
        <w:t xml:space="preserve">were women compared with </w:t>
      </w:r>
      <w:r w:rsidR="00142B83">
        <w:rPr>
          <w:rFonts w:ascii="Arial" w:hAnsi="Arial" w:cs="Arial"/>
          <w:sz w:val="22"/>
          <w:szCs w:val="22"/>
        </w:rPr>
        <w:t xml:space="preserve">(only) </w:t>
      </w:r>
      <w:r w:rsidR="000B335E">
        <w:rPr>
          <w:rFonts w:ascii="Arial" w:hAnsi="Arial" w:cs="Arial"/>
          <w:sz w:val="22"/>
          <w:szCs w:val="22"/>
        </w:rPr>
        <w:t xml:space="preserve">22 per cent in 2016 </w:t>
      </w:r>
      <w:r w:rsidR="002D2C8C">
        <w:rPr>
          <w:rFonts w:ascii="Arial" w:hAnsi="Arial" w:cs="Arial"/>
          <w:sz w:val="22"/>
          <w:szCs w:val="22"/>
        </w:rPr>
        <w:t>(Table 20)</w:t>
      </w:r>
      <w:r w:rsidR="00127C4B">
        <w:rPr>
          <w:rFonts w:ascii="Arial" w:hAnsi="Arial" w:cs="Arial"/>
          <w:sz w:val="22"/>
          <w:szCs w:val="22"/>
        </w:rPr>
        <w:t>.  Efforts are being exerted by the Organization to establish and sustain an increasing trend.</w:t>
      </w:r>
    </w:p>
    <w:p w14:paraId="29B33957" w14:textId="570B1278" w:rsidR="00176714" w:rsidRDefault="00176714" w:rsidP="00B546BA">
      <w:pPr>
        <w:pStyle w:val="ListParagraph"/>
        <w:numPr>
          <w:ilvl w:val="0"/>
          <w:numId w:val="21"/>
        </w:numPr>
        <w:ind w:left="0" w:firstLine="0"/>
        <w:rPr>
          <w:rFonts w:ascii="Arial" w:hAnsi="Arial" w:cs="Arial"/>
          <w:sz w:val="22"/>
          <w:szCs w:val="22"/>
        </w:rPr>
      </w:pPr>
      <w:r w:rsidRPr="00176714">
        <w:rPr>
          <w:rFonts w:ascii="Arial" w:hAnsi="Arial" w:cs="Arial"/>
          <w:sz w:val="22"/>
          <w:szCs w:val="22"/>
        </w:rPr>
        <w:lastRenderedPageBreak/>
        <w:t xml:space="preserve">WIPO </w:t>
      </w:r>
      <w:r w:rsidR="00ED42C1">
        <w:rPr>
          <w:rFonts w:ascii="Arial" w:hAnsi="Arial" w:cs="Arial"/>
          <w:sz w:val="22"/>
          <w:szCs w:val="22"/>
        </w:rPr>
        <w:t>remains</w:t>
      </w:r>
      <w:r w:rsidRPr="00176714">
        <w:rPr>
          <w:rFonts w:ascii="Arial" w:hAnsi="Arial" w:cs="Arial"/>
          <w:sz w:val="22"/>
          <w:szCs w:val="22"/>
        </w:rPr>
        <w:t xml:space="preserve"> an active </w:t>
      </w:r>
      <w:r w:rsidR="00D81CB2">
        <w:rPr>
          <w:rFonts w:ascii="Arial" w:hAnsi="Arial" w:cs="Arial"/>
          <w:sz w:val="22"/>
          <w:szCs w:val="22"/>
        </w:rPr>
        <w:t>participant</w:t>
      </w:r>
      <w:r w:rsidRPr="00176714">
        <w:rPr>
          <w:rFonts w:ascii="Arial" w:hAnsi="Arial" w:cs="Arial"/>
          <w:sz w:val="22"/>
          <w:szCs w:val="22"/>
        </w:rPr>
        <w:t xml:space="preserve"> </w:t>
      </w:r>
      <w:r w:rsidR="00ED42C1">
        <w:rPr>
          <w:rFonts w:ascii="Arial" w:hAnsi="Arial" w:cs="Arial"/>
          <w:sz w:val="22"/>
          <w:szCs w:val="22"/>
        </w:rPr>
        <w:t>in</w:t>
      </w:r>
      <w:r w:rsidR="00ED42C1" w:rsidRPr="00176714">
        <w:rPr>
          <w:rFonts w:ascii="Arial" w:hAnsi="Arial" w:cs="Arial"/>
          <w:sz w:val="22"/>
          <w:szCs w:val="22"/>
        </w:rPr>
        <w:t xml:space="preserve"> </w:t>
      </w:r>
      <w:r w:rsidRPr="00176714">
        <w:rPr>
          <w:rFonts w:ascii="Arial" w:hAnsi="Arial" w:cs="Arial"/>
          <w:sz w:val="22"/>
          <w:szCs w:val="22"/>
        </w:rPr>
        <w:t xml:space="preserve">EMERGE, a program jointly developed by 11 </w:t>
      </w:r>
      <w:r w:rsidR="00ED656C">
        <w:rPr>
          <w:rFonts w:ascii="Arial" w:hAnsi="Arial" w:cs="Arial"/>
          <w:sz w:val="22"/>
          <w:szCs w:val="22"/>
        </w:rPr>
        <w:br/>
      </w:r>
      <w:r w:rsidRPr="00176714">
        <w:rPr>
          <w:rFonts w:ascii="Arial" w:hAnsi="Arial" w:cs="Arial"/>
          <w:sz w:val="22"/>
          <w:szCs w:val="22"/>
        </w:rPr>
        <w:t>UN entities</w:t>
      </w:r>
      <w:r w:rsidR="00ED42C1">
        <w:rPr>
          <w:rFonts w:ascii="Arial" w:hAnsi="Arial" w:cs="Arial"/>
          <w:sz w:val="22"/>
          <w:szCs w:val="22"/>
        </w:rPr>
        <w:t>,</w:t>
      </w:r>
      <w:r w:rsidRPr="00D81CB2">
        <w:rPr>
          <w:rStyle w:val="FootnoteReference"/>
          <w:rFonts w:ascii="Arial" w:hAnsi="Arial" w:cs="Arial"/>
          <w:sz w:val="22"/>
          <w:szCs w:val="22"/>
        </w:rPr>
        <w:footnoteReference w:id="10"/>
      </w:r>
      <w:r w:rsidR="009B1FCE" w:rsidRPr="00D81CB2">
        <w:rPr>
          <w:rFonts w:ascii="Arial" w:hAnsi="Arial" w:cs="Arial"/>
          <w:sz w:val="22"/>
          <w:szCs w:val="22"/>
        </w:rPr>
        <w:t xml:space="preserve"> </w:t>
      </w:r>
      <w:r w:rsidR="00ED42C1">
        <w:rPr>
          <w:rFonts w:ascii="Arial" w:hAnsi="Arial" w:cs="Arial"/>
          <w:sz w:val="22"/>
          <w:szCs w:val="22"/>
        </w:rPr>
        <w:t>now</w:t>
      </w:r>
      <w:r w:rsidR="009B1FCE">
        <w:rPr>
          <w:rFonts w:ascii="Arial" w:hAnsi="Arial" w:cs="Arial"/>
          <w:sz w:val="22"/>
          <w:szCs w:val="22"/>
        </w:rPr>
        <w:t xml:space="preserve"> </w:t>
      </w:r>
      <w:r w:rsidR="00ED42C1">
        <w:rPr>
          <w:rFonts w:ascii="Arial" w:hAnsi="Arial" w:cs="Arial"/>
          <w:sz w:val="22"/>
          <w:szCs w:val="22"/>
        </w:rPr>
        <w:t>i</w:t>
      </w:r>
      <w:r w:rsidR="009B1FCE">
        <w:rPr>
          <w:rFonts w:ascii="Arial" w:hAnsi="Arial" w:cs="Arial"/>
          <w:sz w:val="22"/>
          <w:szCs w:val="22"/>
        </w:rPr>
        <w:t xml:space="preserve">n its </w:t>
      </w:r>
      <w:r w:rsidR="00D81CB2" w:rsidRPr="00D81CB2">
        <w:rPr>
          <w:rFonts w:ascii="Arial" w:hAnsi="Arial" w:cs="Arial"/>
          <w:sz w:val="22"/>
          <w:szCs w:val="22"/>
        </w:rPr>
        <w:t>third</w:t>
      </w:r>
      <w:r w:rsidR="009B1FCE" w:rsidRPr="00D81CB2">
        <w:rPr>
          <w:rFonts w:ascii="Arial" w:hAnsi="Arial" w:cs="Arial"/>
          <w:sz w:val="22"/>
          <w:szCs w:val="22"/>
        </w:rPr>
        <w:t xml:space="preserve"> year of implementation</w:t>
      </w:r>
      <w:r w:rsidR="009B1FCE">
        <w:rPr>
          <w:rFonts w:ascii="Arial" w:hAnsi="Arial" w:cs="Arial"/>
          <w:sz w:val="22"/>
          <w:szCs w:val="22"/>
        </w:rPr>
        <w:t>.</w:t>
      </w:r>
      <w:r w:rsidRPr="00176714">
        <w:rPr>
          <w:rFonts w:ascii="Arial" w:hAnsi="Arial" w:cs="Arial"/>
          <w:sz w:val="22"/>
          <w:szCs w:val="22"/>
        </w:rPr>
        <w:t xml:space="preserve">  The nine-month program prepares female staff at the P3 grade for leadership positions.  The second batch of 33 participants, of whom three were WIPO staff, completed the program in June 2019.  </w:t>
      </w:r>
      <w:r w:rsidR="008D3F81">
        <w:rPr>
          <w:rFonts w:ascii="Arial" w:hAnsi="Arial" w:cs="Arial"/>
          <w:sz w:val="22"/>
          <w:szCs w:val="22"/>
        </w:rPr>
        <w:t>A</w:t>
      </w:r>
      <w:r w:rsidRPr="00176714">
        <w:rPr>
          <w:rFonts w:ascii="Arial" w:hAnsi="Arial" w:cs="Arial"/>
          <w:sz w:val="22"/>
          <w:szCs w:val="22"/>
        </w:rPr>
        <w:t xml:space="preserve"> total of seven WIPO participants have benefited from the program.</w:t>
      </w:r>
    </w:p>
    <w:p w14:paraId="5BAB8F14" w14:textId="77777777" w:rsidR="00176714" w:rsidRPr="00176714" w:rsidRDefault="00176714" w:rsidP="00176714">
      <w:pPr>
        <w:pStyle w:val="ListParagraph"/>
        <w:rPr>
          <w:rFonts w:ascii="Arial" w:hAnsi="Arial" w:cs="Arial"/>
          <w:sz w:val="22"/>
          <w:szCs w:val="22"/>
        </w:rPr>
      </w:pPr>
    </w:p>
    <w:p w14:paraId="5F9CCF40" w14:textId="5B3758F4" w:rsidR="00176714" w:rsidRPr="00CB1760" w:rsidRDefault="00176714" w:rsidP="00176714">
      <w:pPr>
        <w:pStyle w:val="ListParagraph"/>
        <w:numPr>
          <w:ilvl w:val="0"/>
          <w:numId w:val="21"/>
        </w:numPr>
        <w:ind w:left="0" w:firstLine="0"/>
        <w:rPr>
          <w:rFonts w:ascii="Arial" w:hAnsi="Arial" w:cs="Arial"/>
          <w:sz w:val="22"/>
          <w:szCs w:val="22"/>
        </w:rPr>
      </w:pPr>
      <w:r w:rsidRPr="00CB1760">
        <w:rPr>
          <w:rFonts w:ascii="Arial" w:hAnsi="Arial" w:cs="Arial"/>
          <w:sz w:val="22"/>
          <w:szCs w:val="22"/>
        </w:rPr>
        <w:t>Gender parity targets</w:t>
      </w:r>
      <w:r w:rsidR="00EA4188">
        <w:rPr>
          <w:rFonts w:ascii="Arial" w:hAnsi="Arial" w:cs="Arial"/>
          <w:sz w:val="22"/>
          <w:szCs w:val="22"/>
        </w:rPr>
        <w:t xml:space="preserve"> from P4 to D2</w:t>
      </w:r>
      <w:r w:rsidRPr="009B10AC">
        <w:rPr>
          <w:rStyle w:val="FootnoteReference"/>
          <w:rFonts w:ascii="Arial" w:hAnsi="Arial" w:cs="Arial"/>
          <w:sz w:val="22"/>
          <w:szCs w:val="22"/>
        </w:rPr>
        <w:footnoteReference w:id="11"/>
      </w:r>
      <w:r w:rsidRPr="009B10AC">
        <w:rPr>
          <w:rFonts w:ascii="Arial" w:hAnsi="Arial" w:cs="Arial"/>
          <w:sz w:val="22"/>
          <w:szCs w:val="22"/>
        </w:rPr>
        <w:t xml:space="preserve"> </w:t>
      </w:r>
      <w:r w:rsidRPr="00CB1760">
        <w:rPr>
          <w:rFonts w:ascii="Arial" w:hAnsi="Arial" w:cs="Arial"/>
          <w:sz w:val="22"/>
          <w:szCs w:val="22"/>
        </w:rPr>
        <w:t xml:space="preserve">were approved by Member </w:t>
      </w:r>
      <w:r w:rsidR="00D2661F">
        <w:rPr>
          <w:rFonts w:ascii="Arial" w:hAnsi="Arial" w:cs="Arial"/>
          <w:sz w:val="22"/>
          <w:szCs w:val="22"/>
        </w:rPr>
        <w:t xml:space="preserve">States </w:t>
      </w:r>
      <w:r w:rsidR="008D3F81">
        <w:rPr>
          <w:rFonts w:ascii="Arial" w:hAnsi="Arial" w:cs="Arial"/>
          <w:sz w:val="22"/>
          <w:szCs w:val="22"/>
        </w:rPr>
        <w:t>and added to</w:t>
      </w:r>
      <w:r w:rsidRPr="00CB1760">
        <w:rPr>
          <w:rFonts w:ascii="Arial" w:hAnsi="Arial" w:cs="Arial"/>
          <w:sz w:val="22"/>
          <w:szCs w:val="22"/>
        </w:rPr>
        <w:t xml:space="preserve"> the Organization’s performance indicators.  The chart below reflects these targets and shows the evolution of women’s representation in managerial po</w:t>
      </w:r>
      <w:r w:rsidR="00EA4188">
        <w:rPr>
          <w:rFonts w:ascii="Arial" w:hAnsi="Arial" w:cs="Arial"/>
          <w:sz w:val="22"/>
          <w:szCs w:val="22"/>
        </w:rPr>
        <w:t>sitions in the last four years</w:t>
      </w:r>
      <w:r w:rsidRPr="00CB1760">
        <w:rPr>
          <w:rFonts w:ascii="Arial" w:hAnsi="Arial" w:cs="Arial"/>
          <w:sz w:val="22"/>
          <w:szCs w:val="22"/>
        </w:rPr>
        <w:t xml:space="preserve">.  In June 2019, WIPO achieved its targets for the P4 and D1 </w:t>
      </w:r>
      <w:r w:rsidR="00EA4188">
        <w:rPr>
          <w:rFonts w:ascii="Arial" w:hAnsi="Arial" w:cs="Arial"/>
          <w:sz w:val="22"/>
          <w:szCs w:val="22"/>
        </w:rPr>
        <w:t>grades</w:t>
      </w:r>
      <w:r w:rsidRPr="00CB1760">
        <w:rPr>
          <w:rFonts w:ascii="Arial" w:hAnsi="Arial" w:cs="Arial"/>
          <w:sz w:val="22"/>
          <w:szCs w:val="22"/>
        </w:rPr>
        <w:t>; however, for D2 and P5, women</w:t>
      </w:r>
      <w:r w:rsidR="008D3F81">
        <w:rPr>
          <w:rFonts w:ascii="Arial" w:hAnsi="Arial" w:cs="Arial"/>
          <w:sz w:val="22"/>
          <w:szCs w:val="22"/>
        </w:rPr>
        <w:t>’s</w:t>
      </w:r>
      <w:r w:rsidRPr="00CB1760">
        <w:rPr>
          <w:rFonts w:ascii="Arial" w:hAnsi="Arial" w:cs="Arial"/>
          <w:sz w:val="22"/>
          <w:szCs w:val="22"/>
        </w:rPr>
        <w:t xml:space="preserve"> representation has </w:t>
      </w:r>
      <w:r w:rsidR="008D3F81">
        <w:rPr>
          <w:rFonts w:ascii="Arial" w:hAnsi="Arial" w:cs="Arial"/>
          <w:sz w:val="22"/>
          <w:szCs w:val="22"/>
        </w:rPr>
        <w:t>decreased</w:t>
      </w:r>
      <w:r w:rsidRPr="00CB1760">
        <w:rPr>
          <w:rFonts w:ascii="Arial" w:hAnsi="Arial" w:cs="Arial"/>
          <w:sz w:val="22"/>
          <w:szCs w:val="22"/>
        </w:rPr>
        <w:t xml:space="preserve"> since 2016.</w:t>
      </w:r>
      <w:r w:rsidR="009B1FCE">
        <w:rPr>
          <w:rFonts w:ascii="Arial" w:hAnsi="Arial" w:cs="Arial"/>
          <w:sz w:val="22"/>
          <w:szCs w:val="22"/>
        </w:rPr>
        <w:t xml:space="preserve">  </w:t>
      </w:r>
      <w:r w:rsidRPr="00CB1760">
        <w:rPr>
          <w:rFonts w:ascii="Arial" w:hAnsi="Arial" w:cs="Arial"/>
          <w:sz w:val="22"/>
          <w:szCs w:val="22"/>
        </w:rPr>
        <w:t>Renewed efforts</w:t>
      </w:r>
      <w:r w:rsidR="005B4365">
        <w:rPr>
          <w:rFonts w:ascii="Arial" w:hAnsi="Arial" w:cs="Arial"/>
          <w:sz w:val="22"/>
          <w:szCs w:val="22"/>
        </w:rPr>
        <w:t xml:space="preserve"> are being undertaken </w:t>
      </w:r>
      <w:r w:rsidRPr="00CB1760">
        <w:rPr>
          <w:rFonts w:ascii="Arial" w:hAnsi="Arial" w:cs="Arial"/>
          <w:sz w:val="22"/>
          <w:szCs w:val="22"/>
        </w:rPr>
        <w:t>to reverse this trend.</w:t>
      </w:r>
    </w:p>
    <w:p w14:paraId="1DC7B40D" w14:textId="77777777" w:rsidR="00176714" w:rsidRPr="00B546BA" w:rsidRDefault="00176714" w:rsidP="00176714">
      <w:pPr>
        <w:pStyle w:val="ListParagraph"/>
        <w:ind w:left="0"/>
        <w:rPr>
          <w:rFonts w:ascii="Arial" w:hAnsi="Arial" w:cs="Arial"/>
          <w:sz w:val="22"/>
          <w:szCs w:val="22"/>
        </w:rPr>
      </w:pPr>
    </w:p>
    <w:tbl>
      <w:tblPr>
        <w:tblStyle w:val="TableGrid"/>
        <w:tblW w:w="9199" w:type="dxa"/>
        <w:tblInd w:w="-5" w:type="dxa"/>
        <w:tblLayout w:type="fixed"/>
        <w:tblLook w:val="04A0" w:firstRow="1" w:lastRow="0" w:firstColumn="1" w:lastColumn="0" w:noHBand="0" w:noVBand="1"/>
        <w:tblCaption w:val="Gender parity targets from P4 to D2"/>
      </w:tblPr>
      <w:tblGrid>
        <w:gridCol w:w="993"/>
        <w:gridCol w:w="1707"/>
        <w:gridCol w:w="1836"/>
        <w:gridCol w:w="1560"/>
        <w:gridCol w:w="1559"/>
        <w:gridCol w:w="1544"/>
      </w:tblGrid>
      <w:tr w:rsidR="00176714" w14:paraId="15817CCA" w14:textId="77777777" w:rsidTr="0067019B">
        <w:trPr>
          <w:trHeight w:val="20"/>
          <w:tblHeader/>
        </w:trPr>
        <w:tc>
          <w:tcPr>
            <w:tcW w:w="993" w:type="dxa"/>
            <w:vAlign w:val="center"/>
          </w:tcPr>
          <w:p w14:paraId="11531C7C" w14:textId="77777777" w:rsidR="00176714" w:rsidRPr="00395248" w:rsidRDefault="00176714" w:rsidP="007B2F09">
            <w:pPr>
              <w:pStyle w:val="ListParagraph"/>
              <w:ind w:left="0"/>
              <w:jc w:val="center"/>
              <w:rPr>
                <w:rFonts w:ascii="Arial" w:hAnsi="Arial" w:cs="Arial"/>
                <w:b/>
                <w:sz w:val="20"/>
                <w:szCs w:val="20"/>
              </w:rPr>
            </w:pPr>
            <w:r w:rsidRPr="00395248">
              <w:rPr>
                <w:rFonts w:ascii="Arial" w:hAnsi="Arial" w:cs="Arial"/>
                <w:b/>
                <w:sz w:val="20"/>
                <w:szCs w:val="20"/>
              </w:rPr>
              <w:t>Grades</w:t>
            </w:r>
          </w:p>
        </w:tc>
        <w:tc>
          <w:tcPr>
            <w:tcW w:w="1707" w:type="dxa"/>
            <w:vAlign w:val="center"/>
          </w:tcPr>
          <w:p w14:paraId="3C7878A5" w14:textId="77777777" w:rsidR="00176714" w:rsidRPr="00395248" w:rsidRDefault="00176714" w:rsidP="007B2F09">
            <w:pPr>
              <w:pStyle w:val="ListParagraph"/>
              <w:ind w:left="0"/>
              <w:jc w:val="center"/>
              <w:rPr>
                <w:rFonts w:ascii="Arial" w:hAnsi="Arial" w:cs="Arial"/>
                <w:b/>
                <w:sz w:val="20"/>
                <w:szCs w:val="20"/>
              </w:rPr>
            </w:pPr>
            <w:r w:rsidRPr="00395248">
              <w:rPr>
                <w:rFonts w:ascii="Arial" w:hAnsi="Arial" w:cs="Arial"/>
                <w:b/>
                <w:sz w:val="20"/>
                <w:szCs w:val="20"/>
              </w:rPr>
              <w:t>Targets for December 2019</w:t>
            </w:r>
          </w:p>
        </w:tc>
        <w:tc>
          <w:tcPr>
            <w:tcW w:w="1836" w:type="dxa"/>
          </w:tcPr>
          <w:p w14:paraId="74B9233C" w14:textId="77777777" w:rsidR="00176714" w:rsidRPr="00395248" w:rsidRDefault="00176714" w:rsidP="007B2F09">
            <w:pPr>
              <w:pStyle w:val="ListParagraph"/>
              <w:ind w:left="0"/>
              <w:jc w:val="center"/>
              <w:rPr>
                <w:rFonts w:ascii="Arial" w:hAnsi="Arial" w:cs="Arial"/>
                <w:b/>
                <w:sz w:val="20"/>
                <w:szCs w:val="20"/>
              </w:rPr>
            </w:pPr>
            <w:r w:rsidRPr="00395248">
              <w:rPr>
                <w:rFonts w:ascii="Arial" w:hAnsi="Arial" w:cs="Arial"/>
                <w:b/>
                <w:sz w:val="20"/>
                <w:szCs w:val="20"/>
              </w:rPr>
              <w:t>Status as at</w:t>
            </w:r>
            <w:r>
              <w:rPr>
                <w:rFonts w:ascii="Arial" w:hAnsi="Arial" w:cs="Arial"/>
                <w:b/>
                <w:sz w:val="20"/>
                <w:szCs w:val="20"/>
              </w:rPr>
              <w:t xml:space="preserve"> </w:t>
            </w:r>
            <w:r w:rsidRPr="00395248">
              <w:rPr>
                <w:rFonts w:ascii="Arial" w:hAnsi="Arial" w:cs="Arial"/>
                <w:b/>
                <w:sz w:val="20"/>
                <w:szCs w:val="20"/>
              </w:rPr>
              <w:t>June 30, 20</w:t>
            </w:r>
            <w:r>
              <w:rPr>
                <w:rFonts w:ascii="Arial" w:hAnsi="Arial" w:cs="Arial"/>
                <w:b/>
                <w:sz w:val="20"/>
                <w:szCs w:val="20"/>
              </w:rPr>
              <w:t>19</w:t>
            </w:r>
          </w:p>
        </w:tc>
        <w:tc>
          <w:tcPr>
            <w:tcW w:w="1560" w:type="dxa"/>
            <w:vAlign w:val="center"/>
          </w:tcPr>
          <w:p w14:paraId="7D89B811" w14:textId="77777777" w:rsidR="00176714" w:rsidRPr="00395248" w:rsidRDefault="00176714" w:rsidP="007B2F09">
            <w:pPr>
              <w:pStyle w:val="ListParagraph"/>
              <w:ind w:left="0"/>
              <w:jc w:val="center"/>
              <w:rPr>
                <w:rFonts w:ascii="Arial" w:hAnsi="Arial" w:cs="Arial"/>
                <w:b/>
                <w:sz w:val="20"/>
                <w:szCs w:val="20"/>
              </w:rPr>
            </w:pPr>
            <w:r w:rsidRPr="00395248">
              <w:rPr>
                <w:rFonts w:ascii="Arial" w:hAnsi="Arial" w:cs="Arial"/>
                <w:b/>
                <w:sz w:val="20"/>
                <w:szCs w:val="20"/>
              </w:rPr>
              <w:t>Status as at</w:t>
            </w:r>
            <w:r>
              <w:rPr>
                <w:rFonts w:ascii="Arial" w:hAnsi="Arial" w:cs="Arial"/>
                <w:b/>
                <w:sz w:val="20"/>
                <w:szCs w:val="20"/>
              </w:rPr>
              <w:t xml:space="preserve"> </w:t>
            </w:r>
            <w:r w:rsidRPr="00395248">
              <w:rPr>
                <w:rFonts w:ascii="Arial" w:hAnsi="Arial" w:cs="Arial"/>
                <w:b/>
                <w:sz w:val="20"/>
                <w:szCs w:val="20"/>
              </w:rPr>
              <w:t>June 30, 2018</w:t>
            </w:r>
          </w:p>
        </w:tc>
        <w:tc>
          <w:tcPr>
            <w:tcW w:w="1559" w:type="dxa"/>
            <w:vAlign w:val="center"/>
          </w:tcPr>
          <w:p w14:paraId="27676D5F" w14:textId="77777777" w:rsidR="00176714" w:rsidRDefault="00176714" w:rsidP="007B2F09">
            <w:pPr>
              <w:pStyle w:val="ListParagraph"/>
              <w:ind w:left="0"/>
              <w:jc w:val="center"/>
              <w:rPr>
                <w:rFonts w:ascii="Arial" w:hAnsi="Arial" w:cs="Arial"/>
                <w:b/>
                <w:sz w:val="20"/>
                <w:szCs w:val="20"/>
              </w:rPr>
            </w:pPr>
            <w:r w:rsidRPr="00395248">
              <w:rPr>
                <w:rFonts w:ascii="Arial" w:hAnsi="Arial" w:cs="Arial"/>
                <w:b/>
                <w:sz w:val="20"/>
                <w:szCs w:val="20"/>
              </w:rPr>
              <w:t>Status as at</w:t>
            </w:r>
            <w:r>
              <w:rPr>
                <w:rFonts w:ascii="Arial" w:hAnsi="Arial" w:cs="Arial"/>
                <w:b/>
                <w:sz w:val="20"/>
                <w:szCs w:val="20"/>
              </w:rPr>
              <w:t xml:space="preserve"> June 30, 2017</w:t>
            </w:r>
          </w:p>
        </w:tc>
        <w:tc>
          <w:tcPr>
            <w:tcW w:w="1544" w:type="dxa"/>
          </w:tcPr>
          <w:p w14:paraId="45DB9F77" w14:textId="77777777" w:rsidR="00176714" w:rsidRDefault="00176714" w:rsidP="007B2F09">
            <w:pPr>
              <w:pStyle w:val="ListParagraph"/>
              <w:ind w:left="0"/>
              <w:jc w:val="center"/>
              <w:rPr>
                <w:rFonts w:ascii="Arial" w:hAnsi="Arial" w:cs="Arial"/>
                <w:b/>
                <w:sz w:val="20"/>
                <w:szCs w:val="20"/>
              </w:rPr>
            </w:pPr>
            <w:r w:rsidRPr="00395248">
              <w:rPr>
                <w:rFonts w:ascii="Arial" w:hAnsi="Arial" w:cs="Arial"/>
                <w:b/>
                <w:sz w:val="20"/>
                <w:szCs w:val="20"/>
              </w:rPr>
              <w:t>Status as at</w:t>
            </w:r>
            <w:r>
              <w:rPr>
                <w:rFonts w:ascii="Arial" w:hAnsi="Arial" w:cs="Arial"/>
                <w:b/>
                <w:sz w:val="20"/>
                <w:szCs w:val="20"/>
              </w:rPr>
              <w:t xml:space="preserve"> June 30, 2016</w:t>
            </w:r>
          </w:p>
        </w:tc>
      </w:tr>
      <w:tr w:rsidR="00176714" w14:paraId="68868EC1" w14:textId="77777777" w:rsidTr="0067019B">
        <w:trPr>
          <w:trHeight w:val="20"/>
        </w:trPr>
        <w:tc>
          <w:tcPr>
            <w:tcW w:w="993" w:type="dxa"/>
          </w:tcPr>
          <w:p w14:paraId="239CFBB8" w14:textId="77777777" w:rsidR="00176714" w:rsidRPr="00E509D4" w:rsidRDefault="00176714" w:rsidP="007B2F09">
            <w:pPr>
              <w:pStyle w:val="ListParagraph"/>
              <w:ind w:left="0"/>
              <w:jc w:val="center"/>
              <w:rPr>
                <w:rFonts w:ascii="Arial" w:hAnsi="Arial" w:cs="Arial"/>
                <w:sz w:val="22"/>
                <w:szCs w:val="22"/>
              </w:rPr>
            </w:pPr>
            <w:r w:rsidRPr="00E509D4">
              <w:rPr>
                <w:rFonts w:ascii="Arial" w:hAnsi="Arial" w:cs="Arial"/>
                <w:sz w:val="22"/>
                <w:szCs w:val="22"/>
              </w:rPr>
              <w:t>D2</w:t>
            </w:r>
          </w:p>
        </w:tc>
        <w:tc>
          <w:tcPr>
            <w:tcW w:w="1707" w:type="dxa"/>
          </w:tcPr>
          <w:p w14:paraId="58718D5F" w14:textId="755C67F2" w:rsidR="00176714" w:rsidRPr="00E509D4" w:rsidRDefault="00176714" w:rsidP="007B2F09">
            <w:pPr>
              <w:pStyle w:val="ListParagraph"/>
              <w:ind w:left="0"/>
              <w:jc w:val="center"/>
              <w:rPr>
                <w:rFonts w:ascii="Arial" w:hAnsi="Arial" w:cs="Arial"/>
                <w:sz w:val="22"/>
                <w:szCs w:val="22"/>
              </w:rPr>
            </w:pPr>
            <w:r w:rsidRPr="00E509D4">
              <w:rPr>
                <w:rFonts w:ascii="Arial" w:hAnsi="Arial" w:cs="Arial"/>
                <w:sz w:val="22"/>
                <w:szCs w:val="22"/>
              </w:rPr>
              <w:t>20%</w:t>
            </w:r>
          </w:p>
        </w:tc>
        <w:tc>
          <w:tcPr>
            <w:tcW w:w="1836" w:type="dxa"/>
          </w:tcPr>
          <w:p w14:paraId="174952F3" w14:textId="73DFA851" w:rsidR="00176714" w:rsidRPr="00E509D4" w:rsidRDefault="00C36F2B" w:rsidP="00C36F2B">
            <w:pPr>
              <w:pStyle w:val="ListParagraph"/>
              <w:ind w:left="0"/>
              <w:jc w:val="center"/>
              <w:rPr>
                <w:rFonts w:ascii="Arial" w:hAnsi="Arial" w:cs="Arial"/>
                <w:sz w:val="22"/>
                <w:szCs w:val="22"/>
              </w:rPr>
            </w:pPr>
            <w:r w:rsidRPr="00E509D4">
              <w:rPr>
                <w:rFonts w:ascii="Arial" w:hAnsi="Arial" w:cs="Arial"/>
                <w:sz w:val="22"/>
                <w:szCs w:val="22"/>
              </w:rPr>
              <w:t>15.4</w:t>
            </w:r>
            <w:r w:rsidR="00D05CB1" w:rsidRPr="00E509D4">
              <w:rPr>
                <w:rFonts w:ascii="Arial" w:hAnsi="Arial" w:cs="Arial"/>
                <w:sz w:val="22"/>
                <w:szCs w:val="22"/>
              </w:rPr>
              <w:t>%</w:t>
            </w:r>
          </w:p>
        </w:tc>
        <w:tc>
          <w:tcPr>
            <w:tcW w:w="1560" w:type="dxa"/>
          </w:tcPr>
          <w:p w14:paraId="72FFFB28" w14:textId="750CB0E9" w:rsidR="00176714" w:rsidRPr="00E509D4" w:rsidRDefault="00176714" w:rsidP="007B2F09">
            <w:pPr>
              <w:pStyle w:val="ListParagraph"/>
              <w:ind w:left="0"/>
              <w:jc w:val="center"/>
              <w:rPr>
                <w:rFonts w:ascii="Arial" w:hAnsi="Arial" w:cs="Arial"/>
                <w:sz w:val="22"/>
                <w:szCs w:val="22"/>
              </w:rPr>
            </w:pPr>
            <w:r w:rsidRPr="00E509D4">
              <w:rPr>
                <w:rFonts w:ascii="Arial" w:hAnsi="Arial" w:cs="Arial"/>
                <w:sz w:val="22"/>
                <w:szCs w:val="22"/>
              </w:rPr>
              <w:t>16.7%</w:t>
            </w:r>
          </w:p>
        </w:tc>
        <w:tc>
          <w:tcPr>
            <w:tcW w:w="1559" w:type="dxa"/>
          </w:tcPr>
          <w:p w14:paraId="6153274A" w14:textId="77777777" w:rsidR="00176714" w:rsidRPr="00E509D4" w:rsidRDefault="00176714" w:rsidP="007B2F09">
            <w:pPr>
              <w:pStyle w:val="ListParagraph"/>
              <w:ind w:left="0"/>
              <w:jc w:val="center"/>
              <w:rPr>
                <w:rFonts w:ascii="Arial" w:hAnsi="Arial" w:cs="Arial"/>
                <w:sz w:val="22"/>
                <w:szCs w:val="22"/>
              </w:rPr>
            </w:pPr>
            <w:r w:rsidRPr="00E509D4">
              <w:rPr>
                <w:rFonts w:ascii="Arial" w:hAnsi="Arial" w:cs="Arial"/>
                <w:sz w:val="22"/>
                <w:szCs w:val="22"/>
              </w:rPr>
              <w:t>18%</w:t>
            </w:r>
          </w:p>
        </w:tc>
        <w:tc>
          <w:tcPr>
            <w:tcW w:w="1544" w:type="dxa"/>
          </w:tcPr>
          <w:p w14:paraId="4E17222A" w14:textId="77777777" w:rsidR="00176714" w:rsidRPr="00E509D4" w:rsidRDefault="00176714" w:rsidP="007B2F09">
            <w:pPr>
              <w:pStyle w:val="ListParagraph"/>
              <w:ind w:left="0"/>
              <w:jc w:val="center"/>
              <w:rPr>
                <w:rFonts w:ascii="Arial" w:hAnsi="Arial" w:cs="Arial"/>
                <w:sz w:val="22"/>
                <w:szCs w:val="22"/>
              </w:rPr>
            </w:pPr>
            <w:r w:rsidRPr="00E509D4">
              <w:rPr>
                <w:rFonts w:ascii="Arial" w:hAnsi="Arial" w:cs="Arial"/>
                <w:sz w:val="22"/>
                <w:szCs w:val="22"/>
              </w:rPr>
              <w:t>18%</w:t>
            </w:r>
          </w:p>
        </w:tc>
      </w:tr>
      <w:tr w:rsidR="00176714" w:rsidRPr="009B1FCE" w14:paraId="437D7E63" w14:textId="77777777" w:rsidTr="0067019B">
        <w:trPr>
          <w:trHeight w:val="20"/>
        </w:trPr>
        <w:tc>
          <w:tcPr>
            <w:tcW w:w="993" w:type="dxa"/>
          </w:tcPr>
          <w:p w14:paraId="0D1F78BA"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D1</w:t>
            </w:r>
          </w:p>
        </w:tc>
        <w:tc>
          <w:tcPr>
            <w:tcW w:w="1707" w:type="dxa"/>
          </w:tcPr>
          <w:p w14:paraId="0B673FA8" w14:textId="02EBE08C"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35%</w:t>
            </w:r>
          </w:p>
        </w:tc>
        <w:tc>
          <w:tcPr>
            <w:tcW w:w="1836" w:type="dxa"/>
          </w:tcPr>
          <w:p w14:paraId="1301B978" w14:textId="2A278581" w:rsidR="00176714" w:rsidRPr="00D05CB1" w:rsidRDefault="00C36F2B" w:rsidP="007B2F09">
            <w:pPr>
              <w:pStyle w:val="ListParagraph"/>
              <w:ind w:left="0"/>
              <w:jc w:val="center"/>
              <w:rPr>
                <w:rFonts w:ascii="Arial" w:hAnsi="Arial" w:cs="Arial"/>
                <w:sz w:val="22"/>
                <w:szCs w:val="22"/>
              </w:rPr>
            </w:pPr>
            <w:r w:rsidRPr="00D05CB1">
              <w:rPr>
                <w:rFonts w:ascii="Arial" w:hAnsi="Arial" w:cs="Arial"/>
                <w:sz w:val="22"/>
                <w:szCs w:val="22"/>
              </w:rPr>
              <w:t>36.8</w:t>
            </w:r>
            <w:r w:rsidR="00176714" w:rsidRPr="00D05CB1">
              <w:rPr>
                <w:rFonts w:ascii="Arial" w:hAnsi="Arial" w:cs="Arial"/>
                <w:sz w:val="22"/>
                <w:szCs w:val="22"/>
              </w:rPr>
              <w:t>%</w:t>
            </w:r>
          </w:p>
        </w:tc>
        <w:tc>
          <w:tcPr>
            <w:tcW w:w="1560" w:type="dxa"/>
          </w:tcPr>
          <w:p w14:paraId="4434F53A"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34.6%</w:t>
            </w:r>
          </w:p>
        </w:tc>
        <w:tc>
          <w:tcPr>
            <w:tcW w:w="1559" w:type="dxa"/>
          </w:tcPr>
          <w:p w14:paraId="3EB09A98"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31%</w:t>
            </w:r>
          </w:p>
        </w:tc>
        <w:tc>
          <w:tcPr>
            <w:tcW w:w="1544" w:type="dxa"/>
          </w:tcPr>
          <w:p w14:paraId="1827A1F9"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30%</w:t>
            </w:r>
          </w:p>
        </w:tc>
      </w:tr>
      <w:tr w:rsidR="00176714" w:rsidRPr="009B1FCE" w14:paraId="64708AA0" w14:textId="77777777" w:rsidTr="0067019B">
        <w:trPr>
          <w:trHeight w:val="20"/>
        </w:trPr>
        <w:tc>
          <w:tcPr>
            <w:tcW w:w="993" w:type="dxa"/>
          </w:tcPr>
          <w:p w14:paraId="406666E5"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P5</w:t>
            </w:r>
          </w:p>
        </w:tc>
        <w:tc>
          <w:tcPr>
            <w:tcW w:w="1707" w:type="dxa"/>
          </w:tcPr>
          <w:p w14:paraId="33862B3F" w14:textId="2E11FEC0"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40%</w:t>
            </w:r>
          </w:p>
        </w:tc>
        <w:tc>
          <w:tcPr>
            <w:tcW w:w="1836" w:type="dxa"/>
          </w:tcPr>
          <w:p w14:paraId="3D35D160" w14:textId="7B0055CA" w:rsidR="00176714" w:rsidRPr="00D05CB1" w:rsidRDefault="00176714" w:rsidP="00D05CB1">
            <w:pPr>
              <w:pStyle w:val="ListParagraph"/>
              <w:ind w:left="0"/>
              <w:jc w:val="center"/>
              <w:rPr>
                <w:rFonts w:ascii="Arial" w:hAnsi="Arial" w:cs="Arial"/>
                <w:sz w:val="22"/>
                <w:szCs w:val="22"/>
              </w:rPr>
            </w:pPr>
            <w:r w:rsidRPr="00D05CB1">
              <w:rPr>
                <w:rFonts w:ascii="Arial" w:hAnsi="Arial" w:cs="Arial"/>
                <w:sz w:val="22"/>
                <w:szCs w:val="22"/>
              </w:rPr>
              <w:t>32.</w:t>
            </w:r>
            <w:r w:rsidR="0067019B" w:rsidRPr="00D05CB1">
              <w:rPr>
                <w:rFonts w:ascii="Arial" w:hAnsi="Arial" w:cs="Arial"/>
                <w:sz w:val="22"/>
                <w:szCs w:val="22"/>
              </w:rPr>
              <w:t>4</w:t>
            </w:r>
            <w:r w:rsidRPr="00D05CB1">
              <w:rPr>
                <w:rFonts w:ascii="Arial" w:hAnsi="Arial" w:cs="Arial"/>
                <w:sz w:val="22"/>
                <w:szCs w:val="22"/>
              </w:rPr>
              <w:t>%</w:t>
            </w:r>
          </w:p>
        </w:tc>
        <w:tc>
          <w:tcPr>
            <w:tcW w:w="1560" w:type="dxa"/>
          </w:tcPr>
          <w:p w14:paraId="54AE2046"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33.3%</w:t>
            </w:r>
          </w:p>
        </w:tc>
        <w:tc>
          <w:tcPr>
            <w:tcW w:w="1559" w:type="dxa"/>
          </w:tcPr>
          <w:p w14:paraId="3718F373"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35%</w:t>
            </w:r>
          </w:p>
        </w:tc>
        <w:tc>
          <w:tcPr>
            <w:tcW w:w="1544" w:type="dxa"/>
          </w:tcPr>
          <w:p w14:paraId="53404A55"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36%</w:t>
            </w:r>
          </w:p>
        </w:tc>
      </w:tr>
      <w:tr w:rsidR="00176714" w:rsidRPr="009B1FCE" w14:paraId="340D4D1F" w14:textId="77777777" w:rsidTr="0067019B">
        <w:trPr>
          <w:trHeight w:val="20"/>
        </w:trPr>
        <w:tc>
          <w:tcPr>
            <w:tcW w:w="993" w:type="dxa"/>
          </w:tcPr>
          <w:p w14:paraId="4C82FD9B"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P4</w:t>
            </w:r>
          </w:p>
        </w:tc>
        <w:tc>
          <w:tcPr>
            <w:tcW w:w="1707" w:type="dxa"/>
          </w:tcPr>
          <w:p w14:paraId="58480936" w14:textId="0366E5D2"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48%</w:t>
            </w:r>
          </w:p>
        </w:tc>
        <w:tc>
          <w:tcPr>
            <w:tcW w:w="1836" w:type="dxa"/>
          </w:tcPr>
          <w:p w14:paraId="5E9637A7" w14:textId="00F62452" w:rsidR="00176714" w:rsidRPr="00D05CB1" w:rsidRDefault="00176714" w:rsidP="00D05CB1">
            <w:pPr>
              <w:pStyle w:val="ListParagraph"/>
              <w:ind w:left="0"/>
              <w:jc w:val="center"/>
              <w:rPr>
                <w:rFonts w:ascii="Arial" w:hAnsi="Arial" w:cs="Arial"/>
                <w:sz w:val="22"/>
                <w:szCs w:val="22"/>
              </w:rPr>
            </w:pPr>
            <w:r w:rsidRPr="00D05CB1">
              <w:rPr>
                <w:rFonts w:ascii="Arial" w:hAnsi="Arial" w:cs="Arial"/>
                <w:sz w:val="22"/>
                <w:szCs w:val="22"/>
              </w:rPr>
              <w:t>48.</w:t>
            </w:r>
            <w:r w:rsidR="0067019B" w:rsidRPr="00D05CB1">
              <w:rPr>
                <w:rFonts w:ascii="Arial" w:hAnsi="Arial" w:cs="Arial"/>
                <w:sz w:val="22"/>
                <w:szCs w:val="22"/>
              </w:rPr>
              <w:t>7</w:t>
            </w:r>
            <w:r w:rsidRPr="00D05CB1">
              <w:rPr>
                <w:rFonts w:ascii="Arial" w:hAnsi="Arial" w:cs="Arial"/>
                <w:sz w:val="22"/>
                <w:szCs w:val="22"/>
              </w:rPr>
              <w:t>%</w:t>
            </w:r>
          </w:p>
        </w:tc>
        <w:tc>
          <w:tcPr>
            <w:tcW w:w="1560" w:type="dxa"/>
          </w:tcPr>
          <w:p w14:paraId="43E1F61B"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47.2%</w:t>
            </w:r>
          </w:p>
        </w:tc>
        <w:tc>
          <w:tcPr>
            <w:tcW w:w="1559" w:type="dxa"/>
          </w:tcPr>
          <w:p w14:paraId="4EAB4DFD"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45%</w:t>
            </w:r>
          </w:p>
        </w:tc>
        <w:tc>
          <w:tcPr>
            <w:tcW w:w="1544" w:type="dxa"/>
          </w:tcPr>
          <w:p w14:paraId="1CDBB722" w14:textId="77777777" w:rsidR="00176714" w:rsidRPr="009B1FCE" w:rsidRDefault="00176714" w:rsidP="007B2F09">
            <w:pPr>
              <w:pStyle w:val="ListParagraph"/>
              <w:ind w:left="0"/>
              <w:jc w:val="center"/>
              <w:rPr>
                <w:rFonts w:ascii="Arial" w:hAnsi="Arial" w:cs="Arial"/>
                <w:sz w:val="22"/>
                <w:szCs w:val="22"/>
              </w:rPr>
            </w:pPr>
            <w:r w:rsidRPr="009B1FCE">
              <w:rPr>
                <w:rFonts w:ascii="Arial" w:hAnsi="Arial" w:cs="Arial"/>
                <w:sz w:val="22"/>
                <w:szCs w:val="22"/>
              </w:rPr>
              <w:t>47%</w:t>
            </w:r>
          </w:p>
        </w:tc>
      </w:tr>
    </w:tbl>
    <w:p w14:paraId="7D5479D2" w14:textId="77777777" w:rsidR="00176714" w:rsidRPr="009B1FCE" w:rsidRDefault="00176714" w:rsidP="00176714">
      <w:pPr>
        <w:pStyle w:val="ListParagraph"/>
        <w:ind w:left="0"/>
        <w:rPr>
          <w:rFonts w:ascii="Arial" w:hAnsi="Arial" w:cs="Arial"/>
          <w:sz w:val="22"/>
          <w:szCs w:val="22"/>
        </w:rPr>
      </w:pPr>
    </w:p>
    <w:p w14:paraId="2CD26C25" w14:textId="7C7C3454" w:rsidR="00176714" w:rsidRDefault="00176714" w:rsidP="00176714">
      <w:pPr>
        <w:pStyle w:val="ListParagraph"/>
        <w:numPr>
          <w:ilvl w:val="0"/>
          <w:numId w:val="21"/>
        </w:numPr>
        <w:ind w:left="0" w:firstLine="0"/>
        <w:rPr>
          <w:rFonts w:ascii="Arial" w:hAnsi="Arial" w:cs="Arial"/>
          <w:sz w:val="22"/>
          <w:szCs w:val="22"/>
        </w:rPr>
      </w:pPr>
      <w:r w:rsidRPr="009B1FCE">
        <w:rPr>
          <w:rFonts w:ascii="Arial" w:hAnsi="Arial" w:cs="Arial"/>
          <w:sz w:val="22"/>
          <w:szCs w:val="22"/>
        </w:rPr>
        <w:t>WIPO</w:t>
      </w:r>
      <w:r w:rsidR="009B1FCE" w:rsidRPr="009B1FCE">
        <w:rPr>
          <w:rFonts w:ascii="Arial" w:hAnsi="Arial" w:cs="Arial"/>
          <w:sz w:val="22"/>
          <w:szCs w:val="22"/>
        </w:rPr>
        <w:t xml:space="preserve">’s </w:t>
      </w:r>
      <w:r w:rsidRPr="009B1FCE">
        <w:rPr>
          <w:rFonts w:ascii="Arial" w:hAnsi="Arial" w:cs="Arial"/>
          <w:sz w:val="22"/>
          <w:szCs w:val="22"/>
        </w:rPr>
        <w:t>program on professional and career development, which targets female staff at the P3, P4 and P5 levels, is in its</w:t>
      </w:r>
      <w:r w:rsidR="00B3178F">
        <w:rPr>
          <w:rFonts w:ascii="Arial" w:hAnsi="Arial" w:cs="Arial"/>
          <w:sz w:val="22"/>
          <w:szCs w:val="22"/>
        </w:rPr>
        <w:t xml:space="preserve"> fourth year.  The evaluation of</w:t>
      </w:r>
      <w:r w:rsidRPr="009B1FCE">
        <w:rPr>
          <w:rFonts w:ascii="Arial" w:hAnsi="Arial" w:cs="Arial"/>
          <w:sz w:val="22"/>
          <w:szCs w:val="22"/>
        </w:rPr>
        <w:t xml:space="preserve"> the second phase of the pilot program, conducted in 2018 as part of WIPO’s independent oversight activities, found </w:t>
      </w:r>
      <w:r w:rsidR="00607DDB">
        <w:rPr>
          <w:rFonts w:ascii="Arial" w:hAnsi="Arial" w:cs="Arial"/>
          <w:sz w:val="22"/>
          <w:szCs w:val="22"/>
        </w:rPr>
        <w:t xml:space="preserve">that </w:t>
      </w:r>
      <w:r w:rsidRPr="009B1FCE">
        <w:rPr>
          <w:rFonts w:ascii="Arial" w:hAnsi="Arial" w:cs="Arial"/>
          <w:sz w:val="22"/>
          <w:szCs w:val="22"/>
        </w:rPr>
        <w:t xml:space="preserve">the pilot program </w:t>
      </w:r>
      <w:r w:rsidR="00607DDB">
        <w:rPr>
          <w:rFonts w:ascii="Arial" w:hAnsi="Arial" w:cs="Arial"/>
          <w:sz w:val="22"/>
          <w:szCs w:val="22"/>
        </w:rPr>
        <w:t>was</w:t>
      </w:r>
      <w:r w:rsidRPr="009B1FCE">
        <w:rPr>
          <w:rFonts w:ascii="Arial" w:hAnsi="Arial" w:cs="Arial"/>
          <w:sz w:val="22"/>
          <w:szCs w:val="22"/>
        </w:rPr>
        <w:t xml:space="preserve"> relevant, effective and efficient</w:t>
      </w:r>
      <w:r w:rsidR="009B1FCE" w:rsidRPr="009B1FCE">
        <w:rPr>
          <w:rFonts w:ascii="Arial" w:hAnsi="Arial" w:cs="Arial"/>
          <w:sz w:val="22"/>
          <w:szCs w:val="22"/>
        </w:rPr>
        <w:t xml:space="preserve"> but un</w:t>
      </w:r>
      <w:r w:rsidRPr="009B1FCE">
        <w:rPr>
          <w:rFonts w:ascii="Arial" w:hAnsi="Arial" w:cs="Arial"/>
          <w:sz w:val="22"/>
          <w:szCs w:val="22"/>
        </w:rPr>
        <w:t>sustainable</w:t>
      </w:r>
      <w:r w:rsidR="009B1FCE" w:rsidRPr="009B1FCE">
        <w:rPr>
          <w:rFonts w:ascii="Arial" w:hAnsi="Arial" w:cs="Arial"/>
          <w:sz w:val="22"/>
          <w:szCs w:val="22"/>
        </w:rPr>
        <w:t xml:space="preserve"> in its current form.  The </w:t>
      </w:r>
      <w:r w:rsidR="009B1FCE" w:rsidRPr="00C027DC">
        <w:rPr>
          <w:rFonts w:ascii="Arial" w:hAnsi="Arial" w:cs="Arial"/>
          <w:sz w:val="22"/>
          <w:szCs w:val="22"/>
        </w:rPr>
        <w:t>evaluation pointed to</w:t>
      </w:r>
      <w:r w:rsidRPr="00C027DC">
        <w:rPr>
          <w:rFonts w:ascii="Arial" w:hAnsi="Arial" w:cs="Arial"/>
          <w:sz w:val="22"/>
          <w:szCs w:val="22"/>
        </w:rPr>
        <w:t xml:space="preserve"> </w:t>
      </w:r>
      <w:r w:rsidR="009B1FCE" w:rsidRPr="00C027DC">
        <w:rPr>
          <w:rFonts w:ascii="Arial" w:hAnsi="Arial" w:cs="Arial"/>
          <w:sz w:val="22"/>
          <w:szCs w:val="22"/>
        </w:rPr>
        <w:t xml:space="preserve">the insufficiency of </w:t>
      </w:r>
      <w:r w:rsidRPr="00C027DC">
        <w:rPr>
          <w:rFonts w:ascii="Arial" w:hAnsi="Arial" w:cs="Arial"/>
          <w:sz w:val="22"/>
          <w:szCs w:val="22"/>
        </w:rPr>
        <w:t>WIPO’s structure fo</w:t>
      </w:r>
      <w:r w:rsidR="009B1FCE" w:rsidRPr="00C027DC">
        <w:rPr>
          <w:rFonts w:ascii="Arial" w:hAnsi="Arial" w:cs="Arial"/>
          <w:sz w:val="22"/>
          <w:szCs w:val="22"/>
        </w:rPr>
        <w:t xml:space="preserve">r career development services in view of </w:t>
      </w:r>
      <w:r w:rsidRPr="00C027DC">
        <w:rPr>
          <w:rFonts w:ascii="Arial" w:hAnsi="Arial" w:cs="Arial"/>
          <w:sz w:val="22"/>
          <w:szCs w:val="22"/>
        </w:rPr>
        <w:t xml:space="preserve">existing and future organizational and individual </w:t>
      </w:r>
      <w:r w:rsidR="00A01F28">
        <w:rPr>
          <w:rFonts w:ascii="Arial" w:hAnsi="Arial" w:cs="Arial"/>
          <w:sz w:val="22"/>
          <w:szCs w:val="22"/>
        </w:rPr>
        <w:t>needs</w:t>
      </w:r>
      <w:r w:rsidRPr="00C027DC">
        <w:rPr>
          <w:rFonts w:ascii="Arial" w:hAnsi="Arial" w:cs="Arial"/>
          <w:sz w:val="22"/>
          <w:szCs w:val="22"/>
        </w:rPr>
        <w:t xml:space="preserve">.  </w:t>
      </w:r>
      <w:r w:rsidR="000077BC">
        <w:rPr>
          <w:rFonts w:ascii="Arial" w:hAnsi="Arial" w:cs="Arial"/>
          <w:sz w:val="22"/>
          <w:szCs w:val="22"/>
        </w:rPr>
        <w:t>The Human Resources Management Department</w:t>
      </w:r>
      <w:r w:rsidR="00853A3E">
        <w:rPr>
          <w:rFonts w:ascii="Arial" w:hAnsi="Arial" w:cs="Arial"/>
          <w:sz w:val="22"/>
          <w:szCs w:val="22"/>
        </w:rPr>
        <w:t xml:space="preserve"> (HRMD)</w:t>
      </w:r>
      <w:r w:rsidRPr="00C027DC">
        <w:rPr>
          <w:rFonts w:ascii="Arial" w:hAnsi="Arial" w:cs="Arial"/>
          <w:sz w:val="22"/>
          <w:szCs w:val="22"/>
        </w:rPr>
        <w:t xml:space="preserve"> is implementing the recommendations to develop a full-fledged career support framework</w:t>
      </w:r>
      <w:r w:rsidR="00A01F28">
        <w:rPr>
          <w:rFonts w:ascii="Arial" w:hAnsi="Arial" w:cs="Arial"/>
          <w:sz w:val="22"/>
          <w:szCs w:val="22"/>
        </w:rPr>
        <w:t>, including the design and implementation of the career support strategy, engagement of managers and staff,</w:t>
      </w:r>
      <w:r w:rsidRPr="00C027DC">
        <w:rPr>
          <w:rFonts w:ascii="Arial" w:hAnsi="Arial" w:cs="Arial"/>
          <w:sz w:val="22"/>
          <w:szCs w:val="22"/>
        </w:rPr>
        <w:t xml:space="preserve"> and </w:t>
      </w:r>
      <w:r w:rsidR="008B73D3">
        <w:rPr>
          <w:rFonts w:ascii="Arial" w:hAnsi="Arial" w:cs="Arial"/>
          <w:sz w:val="22"/>
          <w:szCs w:val="22"/>
        </w:rPr>
        <w:t xml:space="preserve">the </w:t>
      </w:r>
      <w:r w:rsidRPr="00C027DC">
        <w:rPr>
          <w:rFonts w:ascii="Arial" w:hAnsi="Arial" w:cs="Arial"/>
          <w:sz w:val="22"/>
          <w:szCs w:val="22"/>
        </w:rPr>
        <w:t>establish</w:t>
      </w:r>
      <w:r w:rsidR="00A01F28">
        <w:rPr>
          <w:rFonts w:ascii="Arial" w:hAnsi="Arial" w:cs="Arial"/>
          <w:sz w:val="22"/>
          <w:szCs w:val="22"/>
        </w:rPr>
        <w:t>ment of</w:t>
      </w:r>
      <w:r w:rsidRPr="00C027DC">
        <w:rPr>
          <w:rFonts w:ascii="Arial" w:hAnsi="Arial" w:cs="Arial"/>
          <w:sz w:val="22"/>
          <w:szCs w:val="22"/>
        </w:rPr>
        <w:t xml:space="preserve"> a focal point for coordination.</w:t>
      </w:r>
      <w:r w:rsidRPr="00C027DC">
        <w:rPr>
          <w:rStyle w:val="FootnoteReference"/>
          <w:rFonts w:ascii="Arial" w:hAnsi="Arial" w:cs="Arial"/>
          <w:sz w:val="22"/>
          <w:szCs w:val="22"/>
        </w:rPr>
        <w:footnoteReference w:id="12"/>
      </w:r>
    </w:p>
    <w:p w14:paraId="1F8B8EDA" w14:textId="77777777" w:rsidR="00C63138" w:rsidRDefault="00C63138" w:rsidP="00C63138">
      <w:pPr>
        <w:pStyle w:val="ListParagraph"/>
        <w:ind w:left="0"/>
        <w:rPr>
          <w:rFonts w:ascii="Arial" w:hAnsi="Arial" w:cs="Arial"/>
          <w:sz w:val="22"/>
          <w:szCs w:val="22"/>
        </w:rPr>
      </w:pPr>
    </w:p>
    <w:p w14:paraId="47F3F8A4" w14:textId="25C7587E" w:rsidR="009B1FCE" w:rsidRDefault="009B1FCE" w:rsidP="008A7269">
      <w:pPr>
        <w:pStyle w:val="ListParagraph"/>
        <w:numPr>
          <w:ilvl w:val="0"/>
          <w:numId w:val="21"/>
        </w:numPr>
        <w:shd w:val="clear" w:color="auto" w:fill="FFFFFF"/>
        <w:ind w:left="0" w:firstLine="0"/>
        <w:rPr>
          <w:rStyle w:val="null1"/>
          <w:rFonts w:ascii="Arial" w:hAnsi="Arial" w:cs="Arial"/>
          <w:color w:val="000000"/>
          <w:sz w:val="22"/>
          <w:szCs w:val="22"/>
        </w:rPr>
      </w:pPr>
      <w:r w:rsidRPr="00A01F28">
        <w:rPr>
          <w:rStyle w:val="null1"/>
          <w:rFonts w:ascii="Arial" w:hAnsi="Arial" w:cs="Arial"/>
          <w:color w:val="000000"/>
          <w:sz w:val="22"/>
          <w:szCs w:val="22"/>
        </w:rPr>
        <w:t xml:space="preserve">In November 2018, the Committee on Development </w:t>
      </w:r>
      <w:r w:rsidR="00AC4B77">
        <w:rPr>
          <w:rStyle w:val="null1"/>
          <w:rFonts w:ascii="Arial" w:hAnsi="Arial" w:cs="Arial"/>
          <w:color w:val="000000"/>
          <w:sz w:val="22"/>
          <w:szCs w:val="22"/>
        </w:rPr>
        <w:t>and Intellectual Property</w:t>
      </w:r>
      <w:r w:rsidRPr="00A01F28">
        <w:rPr>
          <w:rStyle w:val="null1"/>
          <w:rFonts w:ascii="Arial" w:hAnsi="Arial" w:cs="Arial"/>
          <w:color w:val="000000"/>
          <w:sz w:val="22"/>
          <w:szCs w:val="22"/>
        </w:rPr>
        <w:t xml:space="preserve"> (CDIP) adopted a </w:t>
      </w:r>
      <w:r w:rsidR="00A01F28" w:rsidRPr="00A01F28">
        <w:rPr>
          <w:rStyle w:val="null1"/>
          <w:rFonts w:ascii="Arial" w:hAnsi="Arial" w:cs="Arial"/>
          <w:color w:val="000000"/>
          <w:sz w:val="22"/>
          <w:szCs w:val="22"/>
        </w:rPr>
        <w:t>decision</w:t>
      </w:r>
      <w:r w:rsidRPr="00A01F28">
        <w:rPr>
          <w:rStyle w:val="null1"/>
          <w:rFonts w:ascii="Arial" w:hAnsi="Arial" w:cs="Arial"/>
          <w:color w:val="000000"/>
          <w:sz w:val="22"/>
          <w:szCs w:val="22"/>
        </w:rPr>
        <w:t xml:space="preserve"> on Women and IP, which </w:t>
      </w:r>
      <w:r w:rsidR="00A01F28" w:rsidRPr="00A01F28">
        <w:rPr>
          <w:rStyle w:val="null1"/>
          <w:rFonts w:ascii="Arial" w:hAnsi="Arial" w:cs="Arial"/>
          <w:color w:val="000000"/>
          <w:sz w:val="22"/>
          <w:szCs w:val="22"/>
        </w:rPr>
        <w:t xml:space="preserve">urged WIPO Member States to foster broader and increased opportunities for participation of women innovators and creators in the </w:t>
      </w:r>
      <w:r w:rsidR="00ED656C">
        <w:rPr>
          <w:rStyle w:val="null1"/>
          <w:rFonts w:ascii="Arial" w:hAnsi="Arial" w:cs="Arial"/>
          <w:color w:val="000000"/>
          <w:sz w:val="22"/>
          <w:szCs w:val="22"/>
        </w:rPr>
        <w:br/>
      </w:r>
      <w:r w:rsidR="00A01F28" w:rsidRPr="00A01F28">
        <w:rPr>
          <w:rStyle w:val="null1"/>
          <w:rFonts w:ascii="Arial" w:hAnsi="Arial" w:cs="Arial"/>
          <w:color w:val="000000"/>
          <w:sz w:val="22"/>
          <w:szCs w:val="22"/>
        </w:rPr>
        <w:t xml:space="preserve">IP system, </w:t>
      </w:r>
      <w:r w:rsidR="008D3F81">
        <w:rPr>
          <w:rStyle w:val="null1"/>
          <w:rFonts w:ascii="Arial" w:hAnsi="Arial" w:cs="Arial"/>
          <w:color w:val="000000"/>
          <w:sz w:val="22"/>
          <w:szCs w:val="22"/>
        </w:rPr>
        <w:t xml:space="preserve">to </w:t>
      </w:r>
      <w:r w:rsidR="00A01F28" w:rsidRPr="00A01F28">
        <w:rPr>
          <w:rStyle w:val="null1"/>
          <w:rFonts w:ascii="Arial" w:hAnsi="Arial" w:cs="Arial"/>
          <w:color w:val="000000"/>
          <w:sz w:val="22"/>
          <w:szCs w:val="22"/>
        </w:rPr>
        <w:t xml:space="preserve">promote opportunities for the inclusion of women and girls in science, technology and decision-taking processes and </w:t>
      </w:r>
      <w:r w:rsidR="008D3F81">
        <w:rPr>
          <w:rStyle w:val="null1"/>
          <w:rFonts w:ascii="Arial" w:hAnsi="Arial" w:cs="Arial"/>
          <w:color w:val="000000"/>
          <w:sz w:val="22"/>
          <w:szCs w:val="22"/>
        </w:rPr>
        <w:t xml:space="preserve">to </w:t>
      </w:r>
      <w:r w:rsidR="00A01F28" w:rsidRPr="00A01F28">
        <w:rPr>
          <w:rStyle w:val="null1"/>
          <w:rFonts w:ascii="Arial" w:hAnsi="Arial" w:cs="Arial"/>
          <w:color w:val="000000"/>
          <w:sz w:val="22"/>
          <w:szCs w:val="22"/>
        </w:rPr>
        <w:t>share best practices.</w:t>
      </w:r>
      <w:r w:rsidR="0067019B">
        <w:rPr>
          <w:rStyle w:val="FootnoteReference"/>
          <w:rFonts w:ascii="Arial" w:hAnsi="Arial" w:cs="Arial"/>
          <w:color w:val="000000"/>
          <w:sz w:val="22"/>
          <w:szCs w:val="22"/>
        </w:rPr>
        <w:footnoteReference w:id="13"/>
      </w:r>
      <w:r w:rsidR="00A01F28" w:rsidRPr="00A01F28">
        <w:rPr>
          <w:rStyle w:val="null1"/>
          <w:rFonts w:ascii="Arial" w:hAnsi="Arial" w:cs="Arial"/>
          <w:color w:val="000000"/>
          <w:sz w:val="22"/>
          <w:szCs w:val="22"/>
        </w:rPr>
        <w:t xml:space="preserve">  </w:t>
      </w:r>
      <w:r w:rsidR="002A3D33">
        <w:rPr>
          <w:rStyle w:val="null1"/>
          <w:rFonts w:ascii="Arial" w:hAnsi="Arial" w:cs="Arial"/>
          <w:color w:val="000000"/>
          <w:sz w:val="22"/>
          <w:szCs w:val="22"/>
        </w:rPr>
        <w:t xml:space="preserve">The </w:t>
      </w:r>
      <w:r w:rsidR="00A01F28" w:rsidRPr="00A01F28">
        <w:rPr>
          <w:rStyle w:val="null1"/>
          <w:rFonts w:ascii="Arial" w:hAnsi="Arial" w:cs="Arial"/>
          <w:color w:val="000000"/>
          <w:sz w:val="22"/>
          <w:szCs w:val="22"/>
        </w:rPr>
        <w:t>CDIP requested the Secretariat to engage in</w:t>
      </w:r>
      <w:r w:rsidR="00B3178F" w:rsidRPr="00A01F28">
        <w:rPr>
          <w:rStyle w:val="null1"/>
          <w:rFonts w:ascii="Arial" w:hAnsi="Arial" w:cs="Arial"/>
          <w:color w:val="000000"/>
          <w:sz w:val="22"/>
          <w:szCs w:val="22"/>
        </w:rPr>
        <w:t xml:space="preserve"> data gathering,</w:t>
      </w:r>
      <w:r w:rsidR="004275C1" w:rsidRPr="00A01F28">
        <w:rPr>
          <w:rStyle w:val="null1"/>
          <w:rFonts w:ascii="Arial" w:hAnsi="Arial" w:cs="Arial"/>
          <w:color w:val="000000"/>
          <w:sz w:val="22"/>
          <w:szCs w:val="22"/>
        </w:rPr>
        <w:t xml:space="preserve"> measurement and analysis of women’s participation in IP generation </w:t>
      </w:r>
      <w:r w:rsidR="00A01F28" w:rsidRPr="00A01F28">
        <w:rPr>
          <w:rStyle w:val="null1"/>
          <w:rFonts w:ascii="Arial" w:hAnsi="Arial" w:cs="Arial"/>
          <w:color w:val="000000"/>
          <w:sz w:val="22"/>
          <w:szCs w:val="22"/>
        </w:rPr>
        <w:t>and continued implementation of the WIPO Policy on Gender Equality</w:t>
      </w:r>
      <w:r w:rsidR="002A3D33">
        <w:rPr>
          <w:rStyle w:val="null1"/>
          <w:rFonts w:ascii="Arial" w:hAnsi="Arial" w:cs="Arial"/>
          <w:color w:val="000000"/>
          <w:sz w:val="22"/>
          <w:szCs w:val="22"/>
        </w:rPr>
        <w:t>,</w:t>
      </w:r>
      <w:r w:rsidR="00A01F28" w:rsidRPr="00A01F28">
        <w:rPr>
          <w:rStyle w:val="null1"/>
          <w:rFonts w:ascii="Arial" w:hAnsi="Arial" w:cs="Arial"/>
          <w:color w:val="000000"/>
          <w:sz w:val="22"/>
          <w:szCs w:val="22"/>
        </w:rPr>
        <w:t xml:space="preserve"> </w:t>
      </w:r>
      <w:r w:rsidR="004275C1" w:rsidRPr="00A01F28">
        <w:rPr>
          <w:rStyle w:val="null1"/>
          <w:rFonts w:ascii="Arial" w:hAnsi="Arial" w:cs="Arial"/>
          <w:color w:val="000000"/>
          <w:sz w:val="22"/>
          <w:szCs w:val="22"/>
        </w:rPr>
        <w:t>with the objective of assisting Member States to encourage increased i</w:t>
      </w:r>
      <w:r w:rsidR="005B2A8D">
        <w:rPr>
          <w:rStyle w:val="null1"/>
          <w:rFonts w:ascii="Arial" w:hAnsi="Arial" w:cs="Arial"/>
          <w:color w:val="000000"/>
          <w:sz w:val="22"/>
          <w:szCs w:val="22"/>
        </w:rPr>
        <w:t>nvolvement of women and girls.</w:t>
      </w:r>
    </w:p>
    <w:p w14:paraId="7596954D" w14:textId="7841315E" w:rsidR="00A01F28" w:rsidRPr="00A01F28" w:rsidRDefault="00A01F28" w:rsidP="00A01F28">
      <w:pPr>
        <w:pStyle w:val="ListParagraph"/>
        <w:rPr>
          <w:rStyle w:val="null1"/>
          <w:rFonts w:ascii="Arial" w:hAnsi="Arial" w:cs="Arial"/>
          <w:color w:val="000000"/>
          <w:sz w:val="22"/>
          <w:szCs w:val="22"/>
        </w:rPr>
      </w:pPr>
    </w:p>
    <w:p w14:paraId="2CEA9021" w14:textId="4AAFB004" w:rsidR="009B1FCE" w:rsidRPr="00176714" w:rsidRDefault="009B1FCE" w:rsidP="009B1FCE">
      <w:pPr>
        <w:pStyle w:val="ListParagraph"/>
        <w:numPr>
          <w:ilvl w:val="0"/>
          <w:numId w:val="21"/>
        </w:numPr>
        <w:ind w:left="0" w:firstLine="0"/>
        <w:rPr>
          <w:rFonts w:ascii="Arial" w:hAnsi="Arial" w:cs="Arial"/>
          <w:sz w:val="22"/>
          <w:szCs w:val="22"/>
        </w:rPr>
      </w:pPr>
      <w:r w:rsidRPr="00FF48E2">
        <w:rPr>
          <w:rStyle w:val="null1"/>
          <w:rFonts w:ascii="Arial" w:hAnsi="Arial" w:cs="Arial"/>
          <w:color w:val="000000"/>
          <w:sz w:val="22"/>
          <w:szCs w:val="22"/>
        </w:rPr>
        <w:t xml:space="preserve">In the same session </w:t>
      </w:r>
      <w:r>
        <w:rPr>
          <w:rStyle w:val="null1"/>
          <w:rFonts w:ascii="Arial" w:hAnsi="Arial" w:cs="Arial"/>
          <w:color w:val="000000"/>
          <w:sz w:val="22"/>
          <w:szCs w:val="22"/>
        </w:rPr>
        <w:t xml:space="preserve">and </w:t>
      </w:r>
      <w:r w:rsidRPr="00FF48E2">
        <w:rPr>
          <w:rStyle w:val="null1"/>
          <w:rFonts w:ascii="Arial" w:hAnsi="Arial" w:cs="Arial"/>
          <w:color w:val="000000"/>
          <w:sz w:val="22"/>
          <w:szCs w:val="22"/>
        </w:rPr>
        <w:t xml:space="preserve">at the </w:t>
      </w:r>
      <w:r w:rsidR="002A3D33">
        <w:rPr>
          <w:rStyle w:val="null1"/>
          <w:rFonts w:ascii="Arial" w:hAnsi="Arial" w:cs="Arial"/>
          <w:color w:val="000000"/>
          <w:sz w:val="22"/>
          <w:szCs w:val="22"/>
        </w:rPr>
        <w:t>CDIP’s</w:t>
      </w:r>
      <w:r w:rsidR="002A3D33" w:rsidRPr="00FF48E2">
        <w:rPr>
          <w:rStyle w:val="null1"/>
          <w:rFonts w:ascii="Arial" w:hAnsi="Arial" w:cs="Arial"/>
          <w:color w:val="000000"/>
          <w:sz w:val="22"/>
          <w:szCs w:val="22"/>
        </w:rPr>
        <w:t xml:space="preserve"> </w:t>
      </w:r>
      <w:r w:rsidRPr="00FF48E2">
        <w:rPr>
          <w:rStyle w:val="null1"/>
          <w:rFonts w:ascii="Arial" w:hAnsi="Arial" w:cs="Arial"/>
          <w:color w:val="000000"/>
          <w:sz w:val="22"/>
          <w:szCs w:val="22"/>
        </w:rPr>
        <w:t>request, WIPO presented</w:t>
      </w:r>
      <w:r w:rsidRPr="00EF12DA">
        <w:rPr>
          <w:rStyle w:val="null1"/>
          <w:rFonts w:ascii="Arial" w:hAnsi="Arial" w:cs="Arial"/>
          <w:color w:val="000000"/>
          <w:sz w:val="22"/>
          <w:szCs w:val="22"/>
        </w:rPr>
        <w:t xml:space="preserve"> </w:t>
      </w:r>
      <w:r w:rsidRPr="00FF48E2">
        <w:rPr>
          <w:rStyle w:val="null1"/>
          <w:rFonts w:ascii="Arial" w:hAnsi="Arial" w:cs="Arial"/>
          <w:color w:val="000000"/>
          <w:sz w:val="22"/>
          <w:szCs w:val="22"/>
        </w:rPr>
        <w:t xml:space="preserve">for the first time its initiatives to promote </w:t>
      </w:r>
      <w:r>
        <w:rPr>
          <w:rStyle w:val="null1"/>
          <w:rFonts w:ascii="Arial" w:hAnsi="Arial" w:cs="Arial"/>
          <w:color w:val="000000"/>
          <w:sz w:val="22"/>
          <w:szCs w:val="22"/>
        </w:rPr>
        <w:t xml:space="preserve">the </w:t>
      </w:r>
      <w:r w:rsidRPr="00FF48E2">
        <w:rPr>
          <w:rStyle w:val="null1"/>
          <w:rFonts w:ascii="Arial" w:hAnsi="Arial" w:cs="Arial"/>
          <w:color w:val="000000"/>
          <w:sz w:val="22"/>
          <w:szCs w:val="22"/>
        </w:rPr>
        <w:t>participation of women in IP.</w:t>
      </w:r>
      <w:r w:rsidR="005B4365">
        <w:rPr>
          <w:rStyle w:val="null1"/>
          <w:rFonts w:ascii="Arial" w:hAnsi="Arial" w:cs="Arial"/>
          <w:color w:val="000000"/>
          <w:sz w:val="22"/>
          <w:szCs w:val="22"/>
        </w:rPr>
        <w:t xml:space="preserve">  These initiatives included data collection and analysis, such as the preliminary data on women’s contribution in the Hague </w:t>
      </w:r>
      <w:r w:rsidR="002A3D33">
        <w:rPr>
          <w:rStyle w:val="null1"/>
          <w:rFonts w:ascii="Arial" w:hAnsi="Arial" w:cs="Arial"/>
          <w:color w:val="000000"/>
          <w:sz w:val="22"/>
          <w:szCs w:val="22"/>
        </w:rPr>
        <w:t>S</w:t>
      </w:r>
      <w:r w:rsidR="005B4365">
        <w:rPr>
          <w:rStyle w:val="null1"/>
          <w:rFonts w:ascii="Arial" w:hAnsi="Arial" w:cs="Arial"/>
          <w:color w:val="000000"/>
          <w:sz w:val="22"/>
          <w:szCs w:val="22"/>
        </w:rPr>
        <w:t xml:space="preserve">ystem (industrial designs) and the promotion of women’s participation in innovation in </w:t>
      </w:r>
      <w:r w:rsidR="005B4365">
        <w:rPr>
          <w:rStyle w:val="null1"/>
          <w:rFonts w:ascii="Arial" w:hAnsi="Arial" w:cs="Arial"/>
          <w:color w:val="000000"/>
          <w:sz w:val="22"/>
          <w:szCs w:val="22"/>
        </w:rPr>
        <w:lastRenderedPageBreak/>
        <w:t>various regions such as the Middle East and Latin America and the Caribbean</w:t>
      </w:r>
      <w:r w:rsidR="008F10CD">
        <w:rPr>
          <w:rStyle w:val="null1"/>
          <w:rFonts w:ascii="Arial" w:hAnsi="Arial" w:cs="Arial"/>
          <w:color w:val="000000"/>
          <w:sz w:val="22"/>
          <w:szCs w:val="22"/>
        </w:rPr>
        <w:t>.  In early 2019</w:t>
      </w:r>
      <w:r w:rsidR="00ED656C">
        <w:rPr>
          <w:rStyle w:val="null1"/>
          <w:rFonts w:ascii="Arial" w:hAnsi="Arial" w:cs="Arial"/>
          <w:color w:val="000000"/>
          <w:sz w:val="22"/>
          <w:szCs w:val="22"/>
        </w:rPr>
        <w:t>,</w:t>
      </w:r>
      <w:r w:rsidR="008F10CD">
        <w:rPr>
          <w:rStyle w:val="null1"/>
          <w:rFonts w:ascii="Arial" w:hAnsi="Arial" w:cs="Arial"/>
          <w:color w:val="000000"/>
          <w:sz w:val="22"/>
          <w:szCs w:val="22"/>
        </w:rPr>
        <w:t xml:space="preserve"> implementation started of a CDIP-approved four-year project on “Increasing the Role of Women in Innovation and Entrepreneurship:  Encouraging Women in Developing Countries to use the Intellectual Property System”.  For the first year, </w:t>
      </w:r>
      <w:r w:rsidR="00C7489F">
        <w:rPr>
          <w:rStyle w:val="null1"/>
          <w:rFonts w:ascii="Arial" w:hAnsi="Arial" w:cs="Arial"/>
          <w:color w:val="000000"/>
          <w:sz w:val="22"/>
          <w:szCs w:val="22"/>
        </w:rPr>
        <w:t xml:space="preserve">the </w:t>
      </w:r>
      <w:r w:rsidR="008F10CD">
        <w:rPr>
          <w:rStyle w:val="null1"/>
          <w:rFonts w:ascii="Arial" w:hAnsi="Arial" w:cs="Arial"/>
          <w:color w:val="000000"/>
          <w:sz w:val="22"/>
          <w:szCs w:val="22"/>
        </w:rPr>
        <w:t xml:space="preserve">focus is on establishing baselines in the participating countries, conducting background research and </w:t>
      </w:r>
      <w:r w:rsidR="00C7489F">
        <w:rPr>
          <w:rStyle w:val="null1"/>
          <w:rFonts w:ascii="Arial" w:hAnsi="Arial" w:cs="Arial"/>
          <w:color w:val="000000"/>
          <w:sz w:val="22"/>
          <w:szCs w:val="22"/>
        </w:rPr>
        <w:t xml:space="preserve">developing </w:t>
      </w:r>
      <w:r w:rsidR="008F10CD">
        <w:rPr>
          <w:rStyle w:val="null1"/>
          <w:rFonts w:ascii="Arial" w:hAnsi="Arial" w:cs="Arial"/>
          <w:color w:val="000000"/>
          <w:sz w:val="22"/>
          <w:szCs w:val="22"/>
        </w:rPr>
        <w:t>raining materials.</w:t>
      </w:r>
    </w:p>
    <w:p w14:paraId="70C2996A" w14:textId="77777777" w:rsidR="00260CB2" w:rsidRPr="00C74477" w:rsidRDefault="00260CB2" w:rsidP="0021112C">
      <w:pPr>
        <w:pStyle w:val="Heading3"/>
        <w:spacing w:after="0"/>
        <w:ind w:left="540"/>
        <w:rPr>
          <w:u w:val="none"/>
        </w:rPr>
      </w:pPr>
      <w:r w:rsidRPr="00C74477">
        <w:rPr>
          <w:u w:val="none"/>
        </w:rPr>
        <w:t>REPORT O</w:t>
      </w:r>
      <w:r w:rsidR="002A3D33" w:rsidRPr="00C74477">
        <w:rPr>
          <w:u w:val="none"/>
        </w:rPr>
        <w:t>F</w:t>
      </w:r>
      <w:r w:rsidRPr="00C74477">
        <w:rPr>
          <w:u w:val="none"/>
        </w:rPr>
        <w:t xml:space="preserve"> THE INTERNATIONAL CIVIL SERVICE COMMISSION (ICSC)</w:t>
      </w:r>
    </w:p>
    <w:p w14:paraId="7484760F" w14:textId="77777777" w:rsidR="00260CB2" w:rsidRDefault="00260CB2" w:rsidP="00260CB2">
      <w:pPr>
        <w:pStyle w:val="ListParagraph"/>
        <w:ind w:left="567"/>
        <w:rPr>
          <w:rFonts w:ascii="Arial" w:hAnsi="Arial" w:cs="Arial"/>
          <w:sz w:val="22"/>
          <w:szCs w:val="22"/>
        </w:rPr>
      </w:pPr>
    </w:p>
    <w:p w14:paraId="18B215B6" w14:textId="204A0FF4" w:rsidR="00260F8F" w:rsidRPr="00260F8F" w:rsidRDefault="00260CB2" w:rsidP="00B546BA">
      <w:pPr>
        <w:pStyle w:val="ListParagraph"/>
        <w:numPr>
          <w:ilvl w:val="0"/>
          <w:numId w:val="21"/>
        </w:numPr>
        <w:ind w:left="0" w:firstLine="0"/>
        <w:rPr>
          <w:rFonts w:ascii="Arial" w:hAnsi="Arial" w:cs="Arial"/>
          <w:sz w:val="22"/>
          <w:szCs w:val="22"/>
        </w:rPr>
      </w:pPr>
      <w:r>
        <w:rPr>
          <w:rFonts w:ascii="Arial" w:hAnsi="Arial" w:cs="Arial"/>
          <w:sz w:val="22"/>
          <w:szCs w:val="22"/>
        </w:rPr>
        <w:t xml:space="preserve">Article 17 of </w:t>
      </w:r>
      <w:r w:rsidR="00B7443C">
        <w:rPr>
          <w:rFonts w:ascii="Arial" w:hAnsi="Arial" w:cs="Arial"/>
          <w:sz w:val="22"/>
          <w:szCs w:val="22"/>
        </w:rPr>
        <w:t>the S</w:t>
      </w:r>
      <w:r w:rsidR="00260F8F">
        <w:rPr>
          <w:rFonts w:ascii="Arial" w:hAnsi="Arial" w:cs="Arial"/>
          <w:sz w:val="22"/>
          <w:szCs w:val="22"/>
        </w:rPr>
        <w:t xml:space="preserve">tatute of the ICSC provides that “the Commission shall submit </w:t>
      </w:r>
      <w:r w:rsidR="00B7443C">
        <w:rPr>
          <w:rFonts w:ascii="Arial" w:hAnsi="Arial" w:cs="Arial"/>
          <w:sz w:val="22"/>
          <w:szCs w:val="22"/>
        </w:rPr>
        <w:t>a</w:t>
      </w:r>
      <w:r w:rsidR="00260F8F">
        <w:rPr>
          <w:rFonts w:ascii="Arial" w:hAnsi="Arial" w:cs="Arial"/>
          <w:sz w:val="22"/>
          <w:szCs w:val="22"/>
        </w:rPr>
        <w:t xml:space="preserve">n annual </w:t>
      </w:r>
      <w:r w:rsidR="00260F8F" w:rsidRPr="00260F8F">
        <w:rPr>
          <w:rFonts w:ascii="Arial" w:hAnsi="Arial" w:cs="Arial"/>
          <w:sz w:val="22"/>
          <w:szCs w:val="22"/>
        </w:rPr>
        <w:t>report to the [UN] General Assembly, including information on the implementation of its decisions and recommendations.  The report shall be transmitted to the governing organs of the other organizations, through their executive heads […]”</w:t>
      </w:r>
      <w:r w:rsidR="00DC51D8">
        <w:rPr>
          <w:rFonts w:ascii="Arial" w:hAnsi="Arial" w:cs="Arial"/>
          <w:sz w:val="22"/>
          <w:szCs w:val="22"/>
        </w:rPr>
        <w:t>.</w:t>
      </w:r>
      <w:r w:rsidR="00260F8F" w:rsidRPr="00260F8F">
        <w:rPr>
          <w:rFonts w:ascii="Arial" w:hAnsi="Arial" w:cs="Arial"/>
          <w:sz w:val="22"/>
          <w:szCs w:val="22"/>
        </w:rPr>
        <w:t xml:space="preserve">  Accordingly, the </w:t>
      </w:r>
      <w:r w:rsidR="00ED656C">
        <w:rPr>
          <w:rFonts w:ascii="Arial" w:hAnsi="Arial" w:cs="Arial"/>
          <w:sz w:val="22"/>
          <w:szCs w:val="22"/>
        </w:rPr>
        <w:br/>
      </w:r>
      <w:r w:rsidR="00260F8F" w:rsidRPr="00260F8F">
        <w:rPr>
          <w:rFonts w:ascii="Arial" w:hAnsi="Arial" w:cs="Arial"/>
          <w:sz w:val="22"/>
          <w:szCs w:val="22"/>
        </w:rPr>
        <w:t xml:space="preserve">Director General draws the attention of the WIPO Coordination Committee to the report of the ICSC for the year 2018 (UN </w:t>
      </w:r>
      <w:r w:rsidR="00260F8F" w:rsidRPr="00DC51D8">
        <w:rPr>
          <w:rFonts w:ascii="Arial" w:hAnsi="Arial" w:cs="Arial"/>
          <w:sz w:val="22"/>
          <w:szCs w:val="22"/>
        </w:rPr>
        <w:t xml:space="preserve">document </w:t>
      </w:r>
      <w:r w:rsidR="00FD04B1" w:rsidRPr="00DC51D8">
        <w:rPr>
          <w:rFonts w:ascii="Arial" w:hAnsi="Arial" w:cs="Arial"/>
          <w:sz w:val="22"/>
          <w:szCs w:val="22"/>
        </w:rPr>
        <w:t>A/73/30</w:t>
      </w:r>
      <w:r w:rsidR="00260F8F" w:rsidRPr="00DC51D8">
        <w:rPr>
          <w:rFonts w:ascii="Arial" w:hAnsi="Arial" w:cs="Arial"/>
          <w:sz w:val="22"/>
          <w:szCs w:val="22"/>
        </w:rPr>
        <w:t>).</w:t>
      </w:r>
      <w:r w:rsidR="00DC51D8">
        <w:rPr>
          <w:rStyle w:val="FootnoteReference"/>
          <w:rFonts w:ascii="Arial" w:hAnsi="Arial" w:cs="Arial"/>
          <w:sz w:val="22"/>
          <w:szCs w:val="22"/>
        </w:rPr>
        <w:footnoteReference w:id="14"/>
      </w:r>
    </w:p>
    <w:p w14:paraId="73062774" w14:textId="77777777" w:rsidR="00260F8F" w:rsidRPr="00C74477" w:rsidRDefault="00260F8F" w:rsidP="0021112C">
      <w:pPr>
        <w:pStyle w:val="Heading3"/>
        <w:spacing w:after="0"/>
        <w:ind w:left="540"/>
        <w:rPr>
          <w:u w:val="none"/>
        </w:rPr>
      </w:pPr>
      <w:r w:rsidRPr="00C74477">
        <w:rPr>
          <w:u w:val="none"/>
        </w:rPr>
        <w:t>REPORT OF THE UNITED NATIONS JO</w:t>
      </w:r>
      <w:r w:rsidR="00B7443C" w:rsidRPr="00C74477">
        <w:rPr>
          <w:u w:val="none"/>
        </w:rPr>
        <w:t>INT STAFF PENSION BOARD (UNJSPB)</w:t>
      </w:r>
    </w:p>
    <w:p w14:paraId="4E247C43" w14:textId="77777777" w:rsidR="00260F8F" w:rsidRPr="00260F8F" w:rsidRDefault="00260F8F" w:rsidP="00260F8F">
      <w:pPr>
        <w:pStyle w:val="ListParagraph"/>
        <w:ind w:left="567"/>
        <w:rPr>
          <w:rFonts w:ascii="Arial" w:hAnsi="Arial" w:cs="Arial"/>
          <w:sz w:val="22"/>
          <w:szCs w:val="22"/>
        </w:rPr>
      </w:pPr>
    </w:p>
    <w:p w14:paraId="68BFEF21" w14:textId="1E5C9BAF" w:rsidR="00260F8F" w:rsidRDefault="00260F8F" w:rsidP="00260F8F">
      <w:pPr>
        <w:pStyle w:val="ListParagraph"/>
        <w:numPr>
          <w:ilvl w:val="0"/>
          <w:numId w:val="21"/>
        </w:numPr>
        <w:ind w:left="0" w:firstLine="0"/>
        <w:rPr>
          <w:rFonts w:ascii="Arial" w:hAnsi="Arial" w:cs="Arial"/>
          <w:sz w:val="22"/>
          <w:szCs w:val="22"/>
        </w:rPr>
      </w:pPr>
      <w:r w:rsidRPr="00260F8F">
        <w:rPr>
          <w:rFonts w:ascii="Arial" w:hAnsi="Arial" w:cs="Arial"/>
          <w:sz w:val="22"/>
          <w:szCs w:val="22"/>
        </w:rPr>
        <w:t xml:space="preserve">Article 14(a) of the Regulations of the United Nations Joint Staff Pension Fund (the Fund) provides that the UNJSPB shall present to the UN General Assembly and to member organizations at least once a year, “a report, including financial statements, on the operations of the Fund, and shall inform each member organization of any action taken by the </w:t>
      </w:r>
      <w:r w:rsidR="00ED656C">
        <w:rPr>
          <w:rFonts w:ascii="Arial" w:hAnsi="Arial" w:cs="Arial"/>
          <w:sz w:val="22"/>
          <w:szCs w:val="22"/>
        </w:rPr>
        <w:br/>
      </w:r>
      <w:r w:rsidRPr="00260F8F">
        <w:rPr>
          <w:rFonts w:ascii="Arial" w:hAnsi="Arial" w:cs="Arial"/>
          <w:sz w:val="22"/>
          <w:szCs w:val="22"/>
        </w:rPr>
        <w:t xml:space="preserve">General Assembly upon the report.” </w:t>
      </w:r>
      <w:r w:rsidR="00FD04B1">
        <w:rPr>
          <w:rFonts w:ascii="Arial" w:hAnsi="Arial" w:cs="Arial"/>
          <w:sz w:val="22"/>
          <w:szCs w:val="22"/>
        </w:rPr>
        <w:t xml:space="preserve"> </w:t>
      </w:r>
      <w:r w:rsidRPr="00260F8F">
        <w:rPr>
          <w:rFonts w:ascii="Arial" w:hAnsi="Arial" w:cs="Arial"/>
          <w:sz w:val="22"/>
          <w:szCs w:val="22"/>
        </w:rPr>
        <w:t>The 2018 report of the UNJSPB was presented to the UN General Assembly at its Seventy-third Session (UN document A/73/</w:t>
      </w:r>
      <w:r w:rsidR="00FD04B1">
        <w:rPr>
          <w:rFonts w:ascii="Arial" w:hAnsi="Arial" w:cs="Arial"/>
          <w:sz w:val="22"/>
          <w:szCs w:val="22"/>
        </w:rPr>
        <w:t>9</w:t>
      </w:r>
      <w:r w:rsidRPr="00260F8F">
        <w:rPr>
          <w:rFonts w:ascii="Arial" w:hAnsi="Arial" w:cs="Arial"/>
          <w:sz w:val="22"/>
          <w:szCs w:val="22"/>
        </w:rPr>
        <w:t>).</w:t>
      </w:r>
      <w:r w:rsidR="00FD04B1">
        <w:rPr>
          <w:rStyle w:val="FootnoteReference"/>
          <w:rFonts w:ascii="Arial" w:hAnsi="Arial" w:cs="Arial"/>
          <w:sz w:val="22"/>
          <w:szCs w:val="22"/>
        </w:rPr>
        <w:footnoteReference w:id="15"/>
      </w:r>
      <w:r w:rsidRPr="00260F8F">
        <w:rPr>
          <w:rFonts w:ascii="Arial" w:hAnsi="Arial" w:cs="Arial"/>
          <w:sz w:val="22"/>
          <w:szCs w:val="22"/>
        </w:rPr>
        <w:t xml:space="preserve"> </w:t>
      </w:r>
      <w:r w:rsidR="00FD04B1">
        <w:rPr>
          <w:rFonts w:ascii="Arial" w:hAnsi="Arial" w:cs="Arial"/>
          <w:sz w:val="22"/>
          <w:szCs w:val="22"/>
        </w:rPr>
        <w:t xml:space="preserve"> </w:t>
      </w:r>
      <w:r w:rsidRPr="00260F8F">
        <w:rPr>
          <w:rFonts w:ascii="Arial" w:hAnsi="Arial" w:cs="Arial"/>
          <w:sz w:val="22"/>
          <w:szCs w:val="22"/>
        </w:rPr>
        <w:t>The International Bureau draws the attention of Member States to this report.</w:t>
      </w:r>
    </w:p>
    <w:p w14:paraId="59524C85" w14:textId="649BB1DD" w:rsidR="00BA7907" w:rsidRDefault="00A77F96" w:rsidP="0021112C">
      <w:pPr>
        <w:pStyle w:val="Heading3"/>
        <w:spacing w:after="0"/>
        <w:ind w:left="540"/>
        <w:rPr>
          <w:u w:val="none"/>
        </w:rPr>
      </w:pPr>
      <w:r w:rsidRPr="00C74477">
        <w:rPr>
          <w:u w:val="none"/>
        </w:rPr>
        <w:t>A CULTURE OF RECOGNITION AND APPRECIATION</w:t>
      </w:r>
    </w:p>
    <w:p w14:paraId="4403565C" w14:textId="77777777" w:rsidR="0021112C" w:rsidRPr="0021112C" w:rsidRDefault="0021112C" w:rsidP="0021112C"/>
    <w:p w14:paraId="454E79A9" w14:textId="77777777" w:rsidR="00A71F18" w:rsidRDefault="00A71F18" w:rsidP="00BA7907">
      <w:pPr>
        <w:pStyle w:val="ListParagraph"/>
        <w:numPr>
          <w:ilvl w:val="0"/>
          <w:numId w:val="21"/>
        </w:numPr>
        <w:ind w:left="0" w:firstLine="0"/>
        <w:rPr>
          <w:rFonts w:ascii="Arial" w:hAnsi="Arial" w:cs="Arial"/>
          <w:sz w:val="22"/>
          <w:szCs w:val="22"/>
        </w:rPr>
      </w:pPr>
      <w:r>
        <w:rPr>
          <w:rFonts w:ascii="Arial" w:hAnsi="Arial" w:cs="Arial"/>
          <w:sz w:val="22"/>
          <w:szCs w:val="22"/>
        </w:rPr>
        <w:t>WIPO’s Rewards and Recognition Program (RRP) demonstrates WIPO’s culture of recognition of the contributions of its staff at the individual and collective levels, which make possible the fulfillment of the Organization’s mandate.</w:t>
      </w:r>
    </w:p>
    <w:p w14:paraId="6E9E1F16" w14:textId="77777777" w:rsidR="00A71F18" w:rsidRDefault="00A71F18" w:rsidP="00A71F18">
      <w:pPr>
        <w:pStyle w:val="ListParagraph"/>
        <w:ind w:left="0"/>
        <w:rPr>
          <w:rFonts w:ascii="Arial" w:hAnsi="Arial" w:cs="Arial"/>
          <w:sz w:val="22"/>
          <w:szCs w:val="22"/>
        </w:rPr>
      </w:pPr>
    </w:p>
    <w:p w14:paraId="431B6EE7" w14:textId="43F074CC" w:rsidR="00A816B8" w:rsidRDefault="00A816B8" w:rsidP="00BA7907">
      <w:pPr>
        <w:pStyle w:val="ListParagraph"/>
        <w:numPr>
          <w:ilvl w:val="0"/>
          <w:numId w:val="21"/>
        </w:numPr>
        <w:ind w:left="0" w:firstLine="0"/>
        <w:rPr>
          <w:rFonts w:ascii="Arial" w:hAnsi="Arial" w:cs="Arial"/>
          <w:sz w:val="22"/>
          <w:szCs w:val="22"/>
        </w:rPr>
      </w:pPr>
      <w:r>
        <w:rPr>
          <w:rFonts w:ascii="Arial" w:hAnsi="Arial" w:cs="Arial"/>
          <w:sz w:val="22"/>
          <w:szCs w:val="22"/>
        </w:rPr>
        <w:t>At its annual meeting in September 2018, the</w:t>
      </w:r>
      <w:r w:rsidR="00BA7907">
        <w:rPr>
          <w:rFonts w:ascii="Arial" w:hAnsi="Arial" w:cs="Arial"/>
          <w:sz w:val="22"/>
          <w:szCs w:val="22"/>
        </w:rPr>
        <w:t xml:space="preserve"> WIPO Coordination Committee </w:t>
      </w:r>
      <w:r>
        <w:rPr>
          <w:rFonts w:ascii="Arial" w:hAnsi="Arial" w:cs="Arial"/>
          <w:sz w:val="22"/>
          <w:szCs w:val="22"/>
        </w:rPr>
        <w:t xml:space="preserve">requested </w:t>
      </w:r>
      <w:r w:rsidR="00BA7907">
        <w:rPr>
          <w:rFonts w:ascii="Arial" w:hAnsi="Arial" w:cs="Arial"/>
          <w:sz w:val="22"/>
          <w:szCs w:val="22"/>
        </w:rPr>
        <w:t xml:space="preserve">the Secretariat to report on the implementation of </w:t>
      </w:r>
      <w:r w:rsidR="00A71F18">
        <w:rPr>
          <w:rFonts w:ascii="Arial" w:hAnsi="Arial" w:cs="Arial"/>
          <w:sz w:val="22"/>
          <w:szCs w:val="22"/>
        </w:rPr>
        <w:t xml:space="preserve">the </w:t>
      </w:r>
      <w:r w:rsidR="00BA7907" w:rsidRPr="007B2F09">
        <w:rPr>
          <w:rFonts w:ascii="Arial" w:hAnsi="Arial" w:cs="Arial"/>
          <w:sz w:val="22"/>
          <w:szCs w:val="22"/>
        </w:rPr>
        <w:t>RRP</w:t>
      </w:r>
      <w:r>
        <w:rPr>
          <w:rFonts w:ascii="Arial" w:hAnsi="Arial" w:cs="Arial"/>
          <w:sz w:val="22"/>
          <w:szCs w:val="22"/>
        </w:rPr>
        <w:t xml:space="preserve"> and provide an update on any changes made to it.  In response</w:t>
      </w:r>
      <w:r w:rsidR="00096818">
        <w:rPr>
          <w:rFonts w:ascii="Arial" w:hAnsi="Arial" w:cs="Arial"/>
          <w:sz w:val="22"/>
          <w:szCs w:val="22"/>
        </w:rPr>
        <w:t xml:space="preserve">, a recapitulation of </w:t>
      </w:r>
      <w:r w:rsidR="00A77F96">
        <w:rPr>
          <w:rFonts w:ascii="Arial" w:hAnsi="Arial" w:cs="Arial"/>
          <w:sz w:val="22"/>
          <w:szCs w:val="22"/>
        </w:rPr>
        <w:t>the</w:t>
      </w:r>
      <w:r w:rsidR="00096818">
        <w:rPr>
          <w:rFonts w:ascii="Arial" w:hAnsi="Arial" w:cs="Arial"/>
          <w:sz w:val="22"/>
          <w:szCs w:val="22"/>
        </w:rPr>
        <w:t xml:space="preserve"> seven-year history</w:t>
      </w:r>
      <w:r w:rsidR="00A77F96">
        <w:rPr>
          <w:rFonts w:ascii="Arial" w:hAnsi="Arial" w:cs="Arial"/>
          <w:sz w:val="22"/>
          <w:szCs w:val="22"/>
        </w:rPr>
        <w:t xml:space="preserve"> of the RRP</w:t>
      </w:r>
      <w:r w:rsidR="00096818">
        <w:rPr>
          <w:rFonts w:ascii="Arial" w:hAnsi="Arial" w:cs="Arial"/>
          <w:sz w:val="22"/>
          <w:szCs w:val="22"/>
        </w:rPr>
        <w:t xml:space="preserve"> is provided </w:t>
      </w:r>
      <w:r w:rsidR="002A3D33">
        <w:rPr>
          <w:rFonts w:ascii="Arial" w:hAnsi="Arial" w:cs="Arial"/>
          <w:sz w:val="22"/>
          <w:szCs w:val="22"/>
        </w:rPr>
        <w:t>below</w:t>
      </w:r>
      <w:r w:rsidR="00096818">
        <w:rPr>
          <w:rFonts w:ascii="Arial" w:hAnsi="Arial" w:cs="Arial"/>
          <w:sz w:val="22"/>
          <w:szCs w:val="22"/>
        </w:rPr>
        <w:t>.</w:t>
      </w:r>
    </w:p>
    <w:p w14:paraId="0E7A5A94" w14:textId="77777777" w:rsidR="00A816B8" w:rsidRDefault="00A816B8" w:rsidP="00A816B8">
      <w:pPr>
        <w:pStyle w:val="ListParagraph"/>
        <w:ind w:left="0"/>
        <w:rPr>
          <w:rFonts w:ascii="Arial" w:hAnsi="Arial" w:cs="Arial"/>
          <w:sz w:val="22"/>
          <w:szCs w:val="22"/>
        </w:rPr>
      </w:pPr>
    </w:p>
    <w:p w14:paraId="06F19E42" w14:textId="77777777" w:rsidR="00BA7907" w:rsidRDefault="00BA7907" w:rsidP="00BA7907">
      <w:pPr>
        <w:pStyle w:val="ListParagraph"/>
        <w:numPr>
          <w:ilvl w:val="0"/>
          <w:numId w:val="21"/>
        </w:numPr>
        <w:ind w:left="0" w:firstLine="0"/>
        <w:rPr>
          <w:rFonts w:ascii="Arial" w:hAnsi="Arial" w:cs="Arial"/>
          <w:sz w:val="22"/>
          <w:szCs w:val="22"/>
        </w:rPr>
      </w:pPr>
      <w:r w:rsidRPr="007B2F09">
        <w:rPr>
          <w:rFonts w:ascii="Arial" w:hAnsi="Arial" w:cs="Arial"/>
          <w:sz w:val="22"/>
          <w:szCs w:val="22"/>
        </w:rPr>
        <w:t xml:space="preserve">The </w:t>
      </w:r>
      <w:r>
        <w:rPr>
          <w:rFonts w:ascii="Arial" w:hAnsi="Arial" w:cs="Arial"/>
          <w:sz w:val="22"/>
          <w:szCs w:val="22"/>
        </w:rPr>
        <w:t>RRP</w:t>
      </w:r>
      <w:r w:rsidRPr="007B2F09">
        <w:rPr>
          <w:rFonts w:ascii="Arial" w:hAnsi="Arial" w:cs="Arial"/>
          <w:sz w:val="22"/>
          <w:szCs w:val="22"/>
        </w:rPr>
        <w:t xml:space="preserve"> was launched in 2013 in the form of a pilot</w:t>
      </w:r>
      <w:r w:rsidR="00087066">
        <w:rPr>
          <w:rFonts w:ascii="Arial" w:hAnsi="Arial" w:cs="Arial"/>
          <w:sz w:val="22"/>
          <w:szCs w:val="22"/>
        </w:rPr>
        <w:t xml:space="preserve"> and </w:t>
      </w:r>
      <w:r w:rsidR="00EE148C">
        <w:rPr>
          <w:rFonts w:ascii="Arial" w:hAnsi="Arial" w:cs="Arial"/>
          <w:sz w:val="22"/>
          <w:szCs w:val="22"/>
        </w:rPr>
        <w:t>was composed of</w:t>
      </w:r>
      <w:r w:rsidR="00EE148C" w:rsidRPr="007B2F09">
        <w:rPr>
          <w:rFonts w:ascii="Arial" w:hAnsi="Arial" w:cs="Arial"/>
          <w:sz w:val="22"/>
          <w:szCs w:val="22"/>
        </w:rPr>
        <w:t xml:space="preserve"> </w:t>
      </w:r>
      <w:r w:rsidR="00087066">
        <w:rPr>
          <w:rFonts w:ascii="Arial" w:hAnsi="Arial" w:cs="Arial"/>
          <w:sz w:val="22"/>
          <w:szCs w:val="22"/>
        </w:rPr>
        <w:t>the following rewards:</w:t>
      </w:r>
    </w:p>
    <w:p w14:paraId="7E51102E" w14:textId="77777777" w:rsidR="00837C99" w:rsidRPr="00837C99" w:rsidRDefault="00837C99" w:rsidP="00837C99">
      <w:pPr>
        <w:pStyle w:val="ListParagraph"/>
        <w:rPr>
          <w:rFonts w:ascii="Arial" w:hAnsi="Arial" w:cs="Arial"/>
          <w:sz w:val="22"/>
          <w:szCs w:val="22"/>
        </w:rPr>
      </w:pPr>
    </w:p>
    <w:p w14:paraId="06E6BC7C" w14:textId="1933769C" w:rsidR="00BA7907" w:rsidRDefault="00BA7907" w:rsidP="00ED656C">
      <w:pPr>
        <w:pStyle w:val="ListParagraph"/>
        <w:widowControl w:val="0"/>
        <w:numPr>
          <w:ilvl w:val="0"/>
          <w:numId w:val="23"/>
        </w:numPr>
        <w:tabs>
          <w:tab w:val="left" w:pos="851"/>
        </w:tabs>
        <w:autoSpaceDE w:val="0"/>
        <w:autoSpaceDN w:val="0"/>
        <w:ind w:left="851" w:right="132" w:hanging="284"/>
        <w:contextualSpacing w:val="0"/>
        <w:rPr>
          <w:rFonts w:ascii="Arial" w:hAnsi="Arial" w:cs="Arial"/>
          <w:sz w:val="22"/>
          <w:szCs w:val="22"/>
        </w:rPr>
      </w:pPr>
      <w:r w:rsidRPr="00087066">
        <w:rPr>
          <w:rFonts w:ascii="Arial" w:hAnsi="Arial" w:cs="Arial"/>
          <w:sz w:val="22"/>
          <w:szCs w:val="22"/>
        </w:rPr>
        <w:t xml:space="preserve">Results and Service-Orientation (12 individual rewards in the amount of </w:t>
      </w:r>
      <w:r w:rsidR="00ED656C">
        <w:rPr>
          <w:rFonts w:ascii="Arial" w:hAnsi="Arial" w:cs="Arial"/>
          <w:sz w:val="22"/>
          <w:szCs w:val="22"/>
        </w:rPr>
        <w:br/>
      </w:r>
      <w:r w:rsidRPr="00087066">
        <w:rPr>
          <w:rFonts w:ascii="Arial" w:hAnsi="Arial" w:cs="Arial"/>
          <w:sz w:val="22"/>
          <w:szCs w:val="22"/>
        </w:rPr>
        <w:t>2,500 Swiss francs each)</w:t>
      </w:r>
      <w:r w:rsidR="00087066">
        <w:rPr>
          <w:rFonts w:ascii="Arial" w:hAnsi="Arial" w:cs="Arial"/>
          <w:sz w:val="22"/>
          <w:szCs w:val="22"/>
        </w:rPr>
        <w:t>;</w:t>
      </w:r>
    </w:p>
    <w:p w14:paraId="5CD9999E" w14:textId="77777777" w:rsidR="00BA7907" w:rsidRDefault="00BA7907" w:rsidP="00ED656C">
      <w:pPr>
        <w:pStyle w:val="ListParagraph"/>
        <w:widowControl w:val="0"/>
        <w:numPr>
          <w:ilvl w:val="0"/>
          <w:numId w:val="23"/>
        </w:numPr>
        <w:tabs>
          <w:tab w:val="left" w:pos="851"/>
        </w:tabs>
        <w:autoSpaceDE w:val="0"/>
        <w:autoSpaceDN w:val="0"/>
        <w:ind w:left="851" w:right="132" w:hanging="284"/>
        <w:contextualSpacing w:val="0"/>
        <w:rPr>
          <w:rFonts w:ascii="Arial" w:hAnsi="Arial" w:cs="Arial"/>
          <w:sz w:val="22"/>
          <w:szCs w:val="22"/>
        </w:rPr>
      </w:pPr>
      <w:r w:rsidRPr="00087066">
        <w:rPr>
          <w:rFonts w:ascii="Arial" w:hAnsi="Arial" w:cs="Arial"/>
          <w:sz w:val="22"/>
          <w:szCs w:val="22"/>
        </w:rPr>
        <w:t xml:space="preserve">Working as One (three team rewards in the amount of 5,000 Swiss francs </w:t>
      </w:r>
      <w:r w:rsidR="00087066">
        <w:rPr>
          <w:rFonts w:ascii="Arial" w:hAnsi="Arial" w:cs="Arial"/>
          <w:sz w:val="22"/>
          <w:szCs w:val="22"/>
        </w:rPr>
        <w:t>per team</w:t>
      </w:r>
      <w:r w:rsidRPr="00087066">
        <w:rPr>
          <w:rFonts w:ascii="Arial" w:hAnsi="Arial" w:cs="Arial"/>
          <w:sz w:val="22"/>
          <w:szCs w:val="22"/>
        </w:rPr>
        <w:t>)</w:t>
      </w:r>
      <w:r w:rsidR="00087066">
        <w:rPr>
          <w:rFonts w:ascii="Arial" w:hAnsi="Arial" w:cs="Arial"/>
          <w:sz w:val="22"/>
          <w:szCs w:val="22"/>
        </w:rPr>
        <w:t>;</w:t>
      </w:r>
    </w:p>
    <w:p w14:paraId="22E7218F" w14:textId="77777777" w:rsidR="00087066" w:rsidRDefault="00BA7907" w:rsidP="00ED656C">
      <w:pPr>
        <w:pStyle w:val="ListParagraph"/>
        <w:widowControl w:val="0"/>
        <w:numPr>
          <w:ilvl w:val="0"/>
          <w:numId w:val="23"/>
        </w:numPr>
        <w:tabs>
          <w:tab w:val="left" w:pos="851"/>
        </w:tabs>
        <w:autoSpaceDE w:val="0"/>
        <w:autoSpaceDN w:val="0"/>
        <w:ind w:left="851" w:right="132" w:hanging="284"/>
        <w:contextualSpacing w:val="0"/>
        <w:rPr>
          <w:rFonts w:ascii="Arial" w:hAnsi="Arial" w:cs="Arial"/>
          <w:sz w:val="22"/>
          <w:szCs w:val="22"/>
        </w:rPr>
      </w:pPr>
      <w:r w:rsidRPr="00087066">
        <w:rPr>
          <w:rFonts w:ascii="Arial" w:hAnsi="Arial" w:cs="Arial"/>
          <w:sz w:val="22"/>
          <w:szCs w:val="22"/>
        </w:rPr>
        <w:t xml:space="preserve">Innovation and Efficiency (three individual rewards in the form of a professional training program of </w:t>
      </w:r>
      <w:r w:rsidR="00087066">
        <w:rPr>
          <w:rFonts w:ascii="Arial" w:hAnsi="Arial" w:cs="Arial"/>
          <w:sz w:val="22"/>
          <w:szCs w:val="22"/>
        </w:rPr>
        <w:t>up to</w:t>
      </w:r>
      <w:r w:rsidRPr="00087066">
        <w:rPr>
          <w:rFonts w:ascii="Arial" w:hAnsi="Arial" w:cs="Arial"/>
          <w:sz w:val="22"/>
          <w:szCs w:val="22"/>
        </w:rPr>
        <w:t xml:space="preserve"> four weeks’ duration)</w:t>
      </w:r>
      <w:r w:rsidR="00087066">
        <w:rPr>
          <w:rFonts w:ascii="Arial" w:hAnsi="Arial" w:cs="Arial"/>
          <w:sz w:val="22"/>
          <w:szCs w:val="22"/>
        </w:rPr>
        <w:t>;  and</w:t>
      </w:r>
    </w:p>
    <w:p w14:paraId="17FF38A7" w14:textId="77777777" w:rsidR="00087066" w:rsidRDefault="00087066" w:rsidP="00087066">
      <w:pPr>
        <w:pStyle w:val="ListParagraph"/>
        <w:widowControl w:val="0"/>
        <w:numPr>
          <w:ilvl w:val="0"/>
          <w:numId w:val="23"/>
        </w:numPr>
        <w:tabs>
          <w:tab w:val="left" w:pos="851"/>
        </w:tabs>
        <w:autoSpaceDE w:val="0"/>
        <w:autoSpaceDN w:val="0"/>
        <w:ind w:right="132" w:hanging="499"/>
        <w:contextualSpacing w:val="0"/>
        <w:rPr>
          <w:rFonts w:ascii="Arial" w:hAnsi="Arial" w:cs="Arial"/>
          <w:sz w:val="22"/>
          <w:szCs w:val="22"/>
        </w:rPr>
      </w:pPr>
      <w:r w:rsidRPr="007B2F09">
        <w:rPr>
          <w:rFonts w:ascii="Arial" w:hAnsi="Arial" w:cs="Arial"/>
          <w:sz w:val="22"/>
          <w:szCs w:val="22"/>
        </w:rPr>
        <w:t>Certificate</w:t>
      </w:r>
      <w:r>
        <w:rPr>
          <w:rFonts w:ascii="Arial" w:hAnsi="Arial" w:cs="Arial"/>
          <w:sz w:val="22"/>
          <w:szCs w:val="22"/>
        </w:rPr>
        <w:t xml:space="preserve">s of Appreciation to staff with </w:t>
      </w:r>
      <w:r w:rsidRPr="007B2F09">
        <w:rPr>
          <w:rFonts w:ascii="Arial" w:hAnsi="Arial" w:cs="Arial"/>
          <w:sz w:val="22"/>
          <w:szCs w:val="22"/>
        </w:rPr>
        <w:t>outstanding performance</w:t>
      </w:r>
      <w:r>
        <w:rPr>
          <w:rFonts w:ascii="Arial" w:hAnsi="Arial" w:cs="Arial"/>
          <w:sz w:val="22"/>
          <w:szCs w:val="22"/>
        </w:rPr>
        <w:t>.</w:t>
      </w:r>
    </w:p>
    <w:p w14:paraId="352D2002" w14:textId="77777777" w:rsidR="00087066" w:rsidRDefault="00087066" w:rsidP="00087066">
      <w:pPr>
        <w:widowControl w:val="0"/>
        <w:tabs>
          <w:tab w:val="left" w:pos="851"/>
        </w:tabs>
        <w:autoSpaceDE w:val="0"/>
        <w:autoSpaceDN w:val="0"/>
        <w:ind w:right="132"/>
        <w:rPr>
          <w:szCs w:val="22"/>
        </w:rPr>
      </w:pPr>
    </w:p>
    <w:p w14:paraId="1F31AF31" w14:textId="77777777" w:rsidR="00BA7907" w:rsidRDefault="00087066" w:rsidP="006E60AA">
      <w:pPr>
        <w:pStyle w:val="ListParagraph"/>
        <w:numPr>
          <w:ilvl w:val="0"/>
          <w:numId w:val="21"/>
        </w:numPr>
        <w:ind w:left="0" w:firstLine="0"/>
        <w:rPr>
          <w:rFonts w:ascii="Arial" w:hAnsi="Arial" w:cs="Arial"/>
          <w:sz w:val="22"/>
          <w:szCs w:val="22"/>
        </w:rPr>
      </w:pPr>
      <w:r w:rsidRPr="00087066">
        <w:rPr>
          <w:rFonts w:ascii="Arial" w:hAnsi="Arial" w:cs="Arial"/>
          <w:sz w:val="22"/>
          <w:szCs w:val="22"/>
        </w:rPr>
        <w:lastRenderedPageBreak/>
        <w:t xml:space="preserve">The pilot was extended in 2014 and evaluated by the Internal Oversight Division in 2015.  </w:t>
      </w:r>
      <w:r w:rsidR="00BA7907" w:rsidRPr="00087066">
        <w:rPr>
          <w:rFonts w:ascii="Arial" w:hAnsi="Arial" w:cs="Arial"/>
          <w:sz w:val="22"/>
          <w:szCs w:val="22"/>
        </w:rPr>
        <w:t>Following the evaluation, se</w:t>
      </w:r>
      <w:r>
        <w:rPr>
          <w:rFonts w:ascii="Arial" w:hAnsi="Arial" w:cs="Arial"/>
          <w:sz w:val="22"/>
          <w:szCs w:val="22"/>
        </w:rPr>
        <w:t>veral changes were introduced:</w:t>
      </w:r>
    </w:p>
    <w:p w14:paraId="501AA2B2" w14:textId="77777777" w:rsidR="00837C99" w:rsidRDefault="00837C99" w:rsidP="00837C99">
      <w:pPr>
        <w:pStyle w:val="ListParagraph"/>
        <w:ind w:left="0"/>
        <w:rPr>
          <w:rFonts w:ascii="Arial" w:hAnsi="Arial" w:cs="Arial"/>
          <w:sz w:val="22"/>
          <w:szCs w:val="22"/>
        </w:rPr>
      </w:pPr>
    </w:p>
    <w:p w14:paraId="28E073D6" w14:textId="7ABDA0BB" w:rsidR="00BA7907" w:rsidRDefault="00BA7907" w:rsidP="00087066">
      <w:pPr>
        <w:pStyle w:val="ListParagraph"/>
        <w:numPr>
          <w:ilvl w:val="0"/>
          <w:numId w:val="24"/>
        </w:numPr>
        <w:ind w:left="851" w:hanging="284"/>
        <w:rPr>
          <w:rFonts w:ascii="Arial" w:hAnsi="Arial" w:cs="Arial"/>
          <w:sz w:val="22"/>
          <w:szCs w:val="22"/>
        </w:rPr>
      </w:pPr>
      <w:r w:rsidRPr="00087066">
        <w:rPr>
          <w:rFonts w:ascii="Arial" w:hAnsi="Arial" w:cs="Arial"/>
          <w:sz w:val="22"/>
          <w:szCs w:val="22"/>
        </w:rPr>
        <w:t xml:space="preserve">Introduction of the “Environmental, Social and Governance Responsibility” reward, where staff members nominate and select the </w:t>
      </w:r>
      <w:r w:rsidR="008B73D3">
        <w:rPr>
          <w:rFonts w:ascii="Arial" w:hAnsi="Arial" w:cs="Arial"/>
          <w:sz w:val="22"/>
          <w:szCs w:val="22"/>
        </w:rPr>
        <w:t>award recipients</w:t>
      </w:r>
      <w:r w:rsidR="008B73D3" w:rsidRPr="00087066">
        <w:rPr>
          <w:rFonts w:ascii="Arial" w:hAnsi="Arial" w:cs="Arial"/>
          <w:sz w:val="22"/>
          <w:szCs w:val="22"/>
        </w:rPr>
        <w:t xml:space="preserve"> </w:t>
      </w:r>
      <w:r w:rsidRPr="00087066">
        <w:rPr>
          <w:rFonts w:ascii="Arial" w:hAnsi="Arial" w:cs="Arial"/>
          <w:sz w:val="22"/>
          <w:szCs w:val="22"/>
        </w:rPr>
        <w:t>through voting (three individual rewards in the amount of 2,500 Swiss francs each)</w:t>
      </w:r>
      <w:r w:rsidR="00087066">
        <w:rPr>
          <w:rFonts w:ascii="Arial" w:hAnsi="Arial" w:cs="Arial"/>
          <w:sz w:val="22"/>
          <w:szCs w:val="22"/>
        </w:rPr>
        <w:t>;</w:t>
      </w:r>
    </w:p>
    <w:p w14:paraId="45C8A52B" w14:textId="77777777" w:rsidR="00BA7907" w:rsidRDefault="00BA7907" w:rsidP="00087066">
      <w:pPr>
        <w:pStyle w:val="ListParagraph"/>
        <w:numPr>
          <w:ilvl w:val="0"/>
          <w:numId w:val="24"/>
        </w:numPr>
        <w:ind w:left="851" w:hanging="284"/>
        <w:rPr>
          <w:rFonts w:ascii="Arial" w:hAnsi="Arial" w:cs="Arial"/>
          <w:sz w:val="22"/>
          <w:szCs w:val="22"/>
        </w:rPr>
      </w:pPr>
      <w:r w:rsidRPr="00087066">
        <w:rPr>
          <w:rFonts w:ascii="Arial" w:hAnsi="Arial" w:cs="Arial"/>
          <w:sz w:val="22"/>
          <w:szCs w:val="22"/>
        </w:rPr>
        <w:t>Nomination</w:t>
      </w:r>
      <w:r w:rsidR="00947317">
        <w:rPr>
          <w:rFonts w:ascii="Arial" w:hAnsi="Arial" w:cs="Arial"/>
          <w:sz w:val="22"/>
          <w:szCs w:val="22"/>
        </w:rPr>
        <w:t xml:space="preserve"> of candidates for the rewards</w:t>
      </w:r>
      <w:r w:rsidRPr="00087066">
        <w:rPr>
          <w:rFonts w:ascii="Arial" w:hAnsi="Arial" w:cs="Arial"/>
          <w:sz w:val="22"/>
          <w:szCs w:val="22"/>
        </w:rPr>
        <w:t xml:space="preserve"> by managers to Program Managers/SMT</w:t>
      </w:r>
      <w:r w:rsidR="00087066">
        <w:rPr>
          <w:rFonts w:ascii="Arial" w:hAnsi="Arial" w:cs="Arial"/>
          <w:sz w:val="22"/>
          <w:szCs w:val="22"/>
        </w:rPr>
        <w:t>;</w:t>
      </w:r>
    </w:p>
    <w:p w14:paraId="3D7546F3" w14:textId="77777777" w:rsidR="00BA7907" w:rsidRDefault="00BA7907" w:rsidP="00087066">
      <w:pPr>
        <w:pStyle w:val="ListParagraph"/>
        <w:numPr>
          <w:ilvl w:val="0"/>
          <w:numId w:val="24"/>
        </w:numPr>
        <w:ind w:left="851" w:hanging="284"/>
        <w:rPr>
          <w:rFonts w:ascii="Arial" w:hAnsi="Arial" w:cs="Arial"/>
          <w:sz w:val="22"/>
          <w:szCs w:val="22"/>
        </w:rPr>
      </w:pPr>
      <w:r w:rsidRPr="00087066">
        <w:rPr>
          <w:rFonts w:ascii="Arial" w:hAnsi="Arial" w:cs="Arial"/>
          <w:sz w:val="22"/>
          <w:szCs w:val="22"/>
        </w:rPr>
        <w:t xml:space="preserve">Creation of </w:t>
      </w:r>
      <w:r w:rsidR="00087066">
        <w:rPr>
          <w:rFonts w:ascii="Arial" w:hAnsi="Arial" w:cs="Arial"/>
          <w:sz w:val="22"/>
          <w:szCs w:val="22"/>
        </w:rPr>
        <w:t>an</w:t>
      </w:r>
      <w:r w:rsidRPr="00087066">
        <w:rPr>
          <w:rFonts w:ascii="Arial" w:hAnsi="Arial" w:cs="Arial"/>
          <w:sz w:val="22"/>
          <w:szCs w:val="22"/>
        </w:rPr>
        <w:t xml:space="preserve"> Intranet page</w:t>
      </w:r>
      <w:r w:rsidR="00087066">
        <w:rPr>
          <w:rFonts w:ascii="Arial" w:hAnsi="Arial" w:cs="Arial"/>
          <w:sz w:val="22"/>
          <w:szCs w:val="22"/>
        </w:rPr>
        <w:t xml:space="preserve"> dedicated to the RRP; </w:t>
      </w:r>
      <w:r w:rsidR="00A35BBB">
        <w:rPr>
          <w:rFonts w:ascii="Arial" w:hAnsi="Arial" w:cs="Arial"/>
          <w:sz w:val="22"/>
          <w:szCs w:val="22"/>
        </w:rPr>
        <w:t xml:space="preserve"> </w:t>
      </w:r>
      <w:r w:rsidR="00087066">
        <w:rPr>
          <w:rFonts w:ascii="Arial" w:hAnsi="Arial" w:cs="Arial"/>
          <w:sz w:val="22"/>
          <w:szCs w:val="22"/>
        </w:rPr>
        <w:t>and</w:t>
      </w:r>
    </w:p>
    <w:p w14:paraId="572FBA6F" w14:textId="5B0E783D" w:rsidR="00BA7907" w:rsidRPr="00087066" w:rsidRDefault="00BA7907" w:rsidP="00087066">
      <w:pPr>
        <w:pStyle w:val="ListParagraph"/>
        <w:numPr>
          <w:ilvl w:val="0"/>
          <w:numId w:val="24"/>
        </w:numPr>
        <w:ind w:left="851" w:hanging="284"/>
        <w:rPr>
          <w:rFonts w:ascii="Arial" w:hAnsi="Arial" w:cs="Arial"/>
          <w:sz w:val="22"/>
          <w:szCs w:val="22"/>
        </w:rPr>
      </w:pPr>
      <w:r w:rsidRPr="00087066">
        <w:rPr>
          <w:rFonts w:ascii="Arial" w:hAnsi="Arial" w:cs="Arial"/>
          <w:sz w:val="22"/>
          <w:szCs w:val="22"/>
        </w:rPr>
        <w:t>Publication of a new</w:t>
      </w:r>
      <w:r w:rsidR="008B73D3">
        <w:rPr>
          <w:rFonts w:ascii="Arial" w:hAnsi="Arial" w:cs="Arial"/>
          <w:sz w:val="22"/>
          <w:szCs w:val="22"/>
        </w:rPr>
        <w:t xml:space="preserve"> Performance Management and Staff Development System</w:t>
      </w:r>
      <w:r w:rsidRPr="00087066">
        <w:rPr>
          <w:rFonts w:ascii="Arial" w:hAnsi="Arial" w:cs="Arial"/>
          <w:sz w:val="22"/>
          <w:szCs w:val="22"/>
        </w:rPr>
        <w:t xml:space="preserve"> </w:t>
      </w:r>
      <w:r w:rsidR="00063F95">
        <w:rPr>
          <w:rFonts w:ascii="Arial" w:hAnsi="Arial" w:cs="Arial"/>
          <w:sz w:val="22"/>
          <w:szCs w:val="22"/>
        </w:rPr>
        <w:t>(</w:t>
      </w:r>
      <w:r w:rsidRPr="00087066">
        <w:rPr>
          <w:rFonts w:ascii="Arial" w:hAnsi="Arial" w:cs="Arial"/>
          <w:sz w:val="22"/>
          <w:szCs w:val="22"/>
        </w:rPr>
        <w:t>PMSDS</w:t>
      </w:r>
      <w:r w:rsidR="00063F95">
        <w:rPr>
          <w:rFonts w:ascii="Arial" w:hAnsi="Arial" w:cs="Arial"/>
          <w:sz w:val="22"/>
          <w:szCs w:val="22"/>
        </w:rPr>
        <w:t>)</w:t>
      </w:r>
      <w:r w:rsidRPr="00087066">
        <w:rPr>
          <w:rFonts w:ascii="Arial" w:hAnsi="Arial" w:cs="Arial"/>
          <w:sz w:val="22"/>
          <w:szCs w:val="22"/>
        </w:rPr>
        <w:t xml:space="preserve"> Handbook on “Showing Recognition”</w:t>
      </w:r>
      <w:r w:rsidR="0003230F">
        <w:rPr>
          <w:rFonts w:ascii="Arial" w:hAnsi="Arial" w:cs="Arial"/>
          <w:sz w:val="22"/>
          <w:szCs w:val="22"/>
        </w:rPr>
        <w:t xml:space="preserve"> explaining its importance and underlying principles and providing examples of showing appreciation and recognition by managers.</w:t>
      </w:r>
    </w:p>
    <w:p w14:paraId="5D100C37" w14:textId="77777777" w:rsidR="00BA7907" w:rsidRPr="007B2F09" w:rsidRDefault="00BA7907" w:rsidP="00BA7907">
      <w:pPr>
        <w:rPr>
          <w:szCs w:val="22"/>
        </w:rPr>
      </w:pPr>
    </w:p>
    <w:p w14:paraId="4BB1764B" w14:textId="77777777" w:rsidR="00BA7907" w:rsidRDefault="00BA7907" w:rsidP="00BA7907">
      <w:pPr>
        <w:pStyle w:val="ListParagraph"/>
        <w:numPr>
          <w:ilvl w:val="0"/>
          <w:numId w:val="21"/>
        </w:numPr>
        <w:ind w:left="0" w:firstLine="0"/>
        <w:rPr>
          <w:rFonts w:ascii="Arial" w:hAnsi="Arial" w:cs="Arial"/>
          <w:sz w:val="22"/>
          <w:szCs w:val="22"/>
        </w:rPr>
      </w:pPr>
      <w:r w:rsidRPr="007B2F09">
        <w:rPr>
          <w:rFonts w:ascii="Arial" w:hAnsi="Arial" w:cs="Arial"/>
          <w:sz w:val="22"/>
          <w:szCs w:val="22"/>
        </w:rPr>
        <w:t>In 2017, the amounts of the monetary rewards were increased</w:t>
      </w:r>
      <w:r w:rsidR="0003230F">
        <w:rPr>
          <w:rFonts w:ascii="Arial" w:hAnsi="Arial" w:cs="Arial"/>
          <w:sz w:val="22"/>
          <w:szCs w:val="22"/>
        </w:rPr>
        <w:t xml:space="preserve"> as follows</w:t>
      </w:r>
      <w:r w:rsidRPr="007B2F09">
        <w:rPr>
          <w:rFonts w:ascii="Arial" w:hAnsi="Arial" w:cs="Arial"/>
          <w:sz w:val="22"/>
          <w:szCs w:val="22"/>
        </w:rPr>
        <w:t>:</w:t>
      </w:r>
    </w:p>
    <w:p w14:paraId="7213ECB1" w14:textId="77777777" w:rsidR="00837C99" w:rsidRDefault="00837C99" w:rsidP="00837C99">
      <w:pPr>
        <w:pStyle w:val="ListParagraph"/>
        <w:ind w:left="0"/>
        <w:rPr>
          <w:rFonts w:ascii="Arial" w:hAnsi="Arial" w:cs="Arial"/>
          <w:sz w:val="22"/>
          <w:szCs w:val="22"/>
        </w:rPr>
      </w:pPr>
    </w:p>
    <w:p w14:paraId="016C2D27" w14:textId="77777777" w:rsidR="00BA7907" w:rsidRDefault="00BA7907" w:rsidP="0003230F">
      <w:pPr>
        <w:pStyle w:val="ListParagraph"/>
        <w:numPr>
          <w:ilvl w:val="0"/>
          <w:numId w:val="25"/>
        </w:numPr>
        <w:ind w:left="993" w:hanging="426"/>
        <w:rPr>
          <w:rFonts w:ascii="Arial" w:hAnsi="Arial" w:cs="Arial"/>
          <w:sz w:val="22"/>
          <w:szCs w:val="22"/>
        </w:rPr>
      </w:pPr>
      <w:r w:rsidRPr="0003230F">
        <w:rPr>
          <w:rFonts w:ascii="Arial" w:hAnsi="Arial" w:cs="Arial"/>
          <w:sz w:val="22"/>
          <w:szCs w:val="22"/>
        </w:rPr>
        <w:t>“Results and Service-Orientation” increased from 2,500 to 3,000 Swiss francs</w:t>
      </w:r>
    </w:p>
    <w:p w14:paraId="2E0CE58B" w14:textId="77777777" w:rsidR="00BA7907" w:rsidRDefault="0003230F" w:rsidP="0003230F">
      <w:pPr>
        <w:pStyle w:val="ListParagraph"/>
        <w:numPr>
          <w:ilvl w:val="0"/>
          <w:numId w:val="25"/>
        </w:numPr>
        <w:ind w:left="993" w:hanging="426"/>
        <w:rPr>
          <w:rFonts w:ascii="Arial" w:hAnsi="Arial" w:cs="Arial"/>
          <w:sz w:val="22"/>
          <w:szCs w:val="22"/>
        </w:rPr>
      </w:pPr>
      <w:r>
        <w:rPr>
          <w:rFonts w:ascii="Arial" w:hAnsi="Arial" w:cs="Arial"/>
          <w:sz w:val="22"/>
          <w:szCs w:val="22"/>
        </w:rPr>
        <w:t>“</w:t>
      </w:r>
      <w:r w:rsidR="00BA7907" w:rsidRPr="0003230F">
        <w:rPr>
          <w:rFonts w:ascii="Arial" w:hAnsi="Arial" w:cs="Arial"/>
          <w:sz w:val="22"/>
          <w:szCs w:val="22"/>
        </w:rPr>
        <w:t>Environmental, Social and Governance Responsibility” increased from 2,500 to 3,000 Swiss francs</w:t>
      </w:r>
      <w:r w:rsidR="00A35BBB">
        <w:rPr>
          <w:rFonts w:ascii="Arial" w:hAnsi="Arial" w:cs="Arial"/>
          <w:sz w:val="22"/>
          <w:szCs w:val="22"/>
        </w:rPr>
        <w:t>;  and</w:t>
      </w:r>
    </w:p>
    <w:p w14:paraId="3FCEDE10" w14:textId="77777777" w:rsidR="00BA7907" w:rsidRPr="0003230F" w:rsidRDefault="00BA7907" w:rsidP="0003230F">
      <w:pPr>
        <w:pStyle w:val="ListParagraph"/>
        <w:numPr>
          <w:ilvl w:val="0"/>
          <w:numId w:val="25"/>
        </w:numPr>
        <w:ind w:left="993" w:hanging="426"/>
        <w:rPr>
          <w:rFonts w:ascii="Arial" w:hAnsi="Arial" w:cs="Arial"/>
          <w:sz w:val="22"/>
          <w:szCs w:val="22"/>
        </w:rPr>
      </w:pPr>
      <w:r w:rsidRPr="0003230F">
        <w:rPr>
          <w:rFonts w:ascii="Arial" w:hAnsi="Arial" w:cs="Arial"/>
          <w:sz w:val="22"/>
          <w:szCs w:val="22"/>
        </w:rPr>
        <w:t>“Working as One” increased from 5,000 to 6,000 Swiss francs</w:t>
      </w:r>
      <w:r w:rsidR="00A35BBB">
        <w:rPr>
          <w:rFonts w:ascii="Arial" w:hAnsi="Arial" w:cs="Arial"/>
          <w:sz w:val="22"/>
          <w:szCs w:val="22"/>
        </w:rPr>
        <w:t>.</w:t>
      </w:r>
    </w:p>
    <w:p w14:paraId="7E29E59C" w14:textId="77777777" w:rsidR="00BA7907" w:rsidRPr="007B2F09" w:rsidRDefault="00BA7907" w:rsidP="00BA7907">
      <w:pPr>
        <w:rPr>
          <w:szCs w:val="22"/>
        </w:rPr>
      </w:pPr>
    </w:p>
    <w:p w14:paraId="285A9972" w14:textId="77777777" w:rsidR="00BA7907" w:rsidRPr="00A71F18" w:rsidRDefault="00BA7907" w:rsidP="002C6C38">
      <w:pPr>
        <w:pStyle w:val="ListParagraph"/>
        <w:numPr>
          <w:ilvl w:val="0"/>
          <w:numId w:val="21"/>
        </w:numPr>
        <w:ind w:left="0" w:firstLine="0"/>
        <w:rPr>
          <w:rFonts w:ascii="Arial" w:hAnsi="Arial" w:cs="Arial"/>
          <w:sz w:val="22"/>
          <w:szCs w:val="22"/>
        </w:rPr>
      </w:pPr>
      <w:r w:rsidRPr="00A71F18">
        <w:rPr>
          <w:rFonts w:ascii="Arial" w:hAnsi="Arial" w:cs="Arial"/>
          <w:sz w:val="22"/>
          <w:szCs w:val="22"/>
        </w:rPr>
        <w:t xml:space="preserve">In 2018, </w:t>
      </w:r>
      <w:r w:rsidR="00A71F18" w:rsidRPr="00A71F18">
        <w:rPr>
          <w:rFonts w:ascii="Arial" w:hAnsi="Arial" w:cs="Arial"/>
          <w:sz w:val="22"/>
          <w:szCs w:val="22"/>
        </w:rPr>
        <w:t>the RRP went through its fourth iteration, with four categories of individual and team rewards highlighting each of WIPO’s revised core values (“Shaping the Future”, “Working as One”, “Acting Responsibly” and “Delivering Excellence”).  In addition, in recognition of the excellent performance of WIPO as a whol</w:t>
      </w:r>
      <w:r w:rsidR="00450B52">
        <w:rPr>
          <w:rFonts w:ascii="Arial" w:hAnsi="Arial" w:cs="Arial"/>
          <w:sz w:val="22"/>
          <w:szCs w:val="22"/>
        </w:rPr>
        <w:t>e,</w:t>
      </w:r>
      <w:r w:rsidR="00A71F18" w:rsidRPr="00A71F18">
        <w:rPr>
          <w:rFonts w:ascii="Arial" w:hAnsi="Arial" w:cs="Arial"/>
          <w:sz w:val="22"/>
          <w:szCs w:val="22"/>
        </w:rPr>
        <w:t xml:space="preserve"> the financial allocation for the RRP</w:t>
      </w:r>
      <w:r w:rsidR="00450B52">
        <w:rPr>
          <w:rFonts w:ascii="Arial" w:hAnsi="Arial" w:cs="Arial"/>
          <w:sz w:val="22"/>
          <w:szCs w:val="22"/>
        </w:rPr>
        <w:t xml:space="preserve"> and</w:t>
      </w:r>
      <w:r w:rsidR="00A71F18" w:rsidRPr="00A71F18">
        <w:rPr>
          <w:rFonts w:ascii="Arial" w:hAnsi="Arial" w:cs="Arial"/>
          <w:sz w:val="22"/>
          <w:szCs w:val="22"/>
        </w:rPr>
        <w:t xml:space="preserve"> </w:t>
      </w:r>
      <w:r w:rsidR="00947317" w:rsidRPr="00A71F18">
        <w:rPr>
          <w:rFonts w:ascii="Arial" w:hAnsi="Arial" w:cs="Arial"/>
          <w:sz w:val="22"/>
          <w:szCs w:val="22"/>
        </w:rPr>
        <w:t>the number of rewards and the number of staff who may receive them</w:t>
      </w:r>
      <w:r w:rsidR="00450B52">
        <w:rPr>
          <w:rFonts w:ascii="Arial" w:hAnsi="Arial" w:cs="Arial"/>
          <w:sz w:val="22"/>
          <w:szCs w:val="22"/>
        </w:rPr>
        <w:t>, were increased</w:t>
      </w:r>
      <w:r w:rsidR="00947317" w:rsidRPr="00A71F18">
        <w:rPr>
          <w:rFonts w:ascii="Arial" w:hAnsi="Arial" w:cs="Arial"/>
          <w:sz w:val="22"/>
          <w:szCs w:val="22"/>
        </w:rPr>
        <w:t>.  Accordingly</w:t>
      </w:r>
      <w:r w:rsidRPr="00A71F18">
        <w:rPr>
          <w:rFonts w:ascii="Arial" w:hAnsi="Arial" w:cs="Arial"/>
          <w:sz w:val="22"/>
          <w:szCs w:val="22"/>
        </w:rPr>
        <w:t xml:space="preserve">, </w:t>
      </w:r>
      <w:r w:rsidR="00947317" w:rsidRPr="00A71F18">
        <w:rPr>
          <w:rFonts w:ascii="Arial" w:hAnsi="Arial" w:cs="Arial"/>
          <w:sz w:val="22"/>
          <w:szCs w:val="22"/>
        </w:rPr>
        <w:t>the following changes were made:</w:t>
      </w:r>
    </w:p>
    <w:p w14:paraId="36BD62FC" w14:textId="77777777" w:rsidR="00837C99" w:rsidRDefault="00837C99" w:rsidP="00837C99">
      <w:pPr>
        <w:pStyle w:val="ListParagraph"/>
        <w:ind w:left="0"/>
        <w:rPr>
          <w:rFonts w:ascii="Arial" w:hAnsi="Arial" w:cs="Arial"/>
          <w:sz w:val="22"/>
          <w:szCs w:val="22"/>
        </w:rPr>
      </w:pPr>
    </w:p>
    <w:p w14:paraId="1A8B3CB5" w14:textId="61232231" w:rsidR="00BA7907" w:rsidRDefault="00947317" w:rsidP="0003230F">
      <w:pPr>
        <w:pStyle w:val="ListParagraph"/>
        <w:numPr>
          <w:ilvl w:val="0"/>
          <w:numId w:val="26"/>
        </w:numPr>
        <w:ind w:left="851" w:hanging="284"/>
        <w:rPr>
          <w:rFonts w:ascii="Arial" w:hAnsi="Arial" w:cs="Arial"/>
          <w:sz w:val="22"/>
          <w:szCs w:val="22"/>
        </w:rPr>
      </w:pPr>
      <w:r>
        <w:rPr>
          <w:rFonts w:ascii="Arial" w:hAnsi="Arial" w:cs="Arial"/>
          <w:sz w:val="22"/>
          <w:szCs w:val="22"/>
        </w:rPr>
        <w:t>The</w:t>
      </w:r>
      <w:r w:rsidR="00BA7907" w:rsidRPr="0003230F">
        <w:rPr>
          <w:rFonts w:ascii="Arial" w:hAnsi="Arial" w:cs="Arial"/>
          <w:sz w:val="22"/>
          <w:szCs w:val="22"/>
        </w:rPr>
        <w:t xml:space="preserve"> “Delive</w:t>
      </w:r>
      <w:r w:rsidR="0003230F">
        <w:rPr>
          <w:rFonts w:ascii="Arial" w:hAnsi="Arial" w:cs="Arial"/>
          <w:sz w:val="22"/>
          <w:szCs w:val="22"/>
        </w:rPr>
        <w:t>ring Ex</w:t>
      </w:r>
      <w:r w:rsidR="00A35BBB">
        <w:rPr>
          <w:rFonts w:ascii="Arial" w:hAnsi="Arial" w:cs="Arial"/>
          <w:sz w:val="22"/>
          <w:szCs w:val="22"/>
        </w:rPr>
        <w:t xml:space="preserve">cellence” reward </w:t>
      </w:r>
      <w:r>
        <w:rPr>
          <w:rFonts w:ascii="Arial" w:hAnsi="Arial" w:cs="Arial"/>
          <w:sz w:val="22"/>
          <w:szCs w:val="22"/>
        </w:rPr>
        <w:t xml:space="preserve">replaced the previous “Results and </w:t>
      </w:r>
      <w:r w:rsidR="00ED656C">
        <w:rPr>
          <w:rFonts w:ascii="Arial" w:hAnsi="Arial" w:cs="Arial"/>
          <w:sz w:val="22"/>
          <w:szCs w:val="22"/>
        </w:rPr>
        <w:br/>
      </w:r>
      <w:r>
        <w:rPr>
          <w:rFonts w:ascii="Arial" w:hAnsi="Arial" w:cs="Arial"/>
          <w:sz w:val="22"/>
          <w:szCs w:val="22"/>
        </w:rPr>
        <w:t xml:space="preserve">Service-Orientation” reward.  This reward </w:t>
      </w:r>
      <w:r w:rsidR="0003230F">
        <w:rPr>
          <w:rFonts w:ascii="Arial" w:hAnsi="Arial" w:cs="Arial"/>
          <w:sz w:val="22"/>
          <w:szCs w:val="22"/>
        </w:rPr>
        <w:t xml:space="preserve">may be given </w:t>
      </w:r>
      <w:r w:rsidR="00A35BBB">
        <w:rPr>
          <w:rFonts w:ascii="Arial" w:hAnsi="Arial" w:cs="Arial"/>
          <w:sz w:val="22"/>
          <w:szCs w:val="22"/>
        </w:rPr>
        <w:t>to one individual staff member in each sector for every</w:t>
      </w:r>
      <w:r w:rsidR="00BA7907" w:rsidRPr="0003230F">
        <w:rPr>
          <w:rFonts w:ascii="Arial" w:hAnsi="Arial" w:cs="Arial"/>
          <w:sz w:val="22"/>
          <w:szCs w:val="22"/>
        </w:rPr>
        <w:t xml:space="preserve"> 50</w:t>
      </w:r>
      <w:r w:rsidR="00A35BBB">
        <w:rPr>
          <w:rFonts w:ascii="Arial" w:hAnsi="Arial" w:cs="Arial"/>
          <w:sz w:val="22"/>
          <w:szCs w:val="22"/>
        </w:rPr>
        <w:t xml:space="preserve"> staff members</w:t>
      </w:r>
      <w:r w:rsidR="00BA7907" w:rsidRPr="0003230F">
        <w:rPr>
          <w:rFonts w:ascii="Arial" w:hAnsi="Arial" w:cs="Arial"/>
          <w:sz w:val="22"/>
          <w:szCs w:val="22"/>
        </w:rPr>
        <w:t xml:space="preserve"> </w:t>
      </w:r>
      <w:r w:rsidR="00A35BBB">
        <w:rPr>
          <w:rFonts w:ascii="Arial" w:hAnsi="Arial" w:cs="Arial"/>
          <w:sz w:val="22"/>
          <w:szCs w:val="22"/>
        </w:rPr>
        <w:t>in that sector (</w:t>
      </w:r>
      <w:r>
        <w:rPr>
          <w:rFonts w:ascii="Arial" w:hAnsi="Arial" w:cs="Arial"/>
          <w:sz w:val="22"/>
          <w:szCs w:val="22"/>
        </w:rPr>
        <w:t>instead of every</w:t>
      </w:r>
      <w:r w:rsidR="00BA7907" w:rsidRPr="0003230F">
        <w:rPr>
          <w:rFonts w:ascii="Arial" w:hAnsi="Arial" w:cs="Arial"/>
          <w:sz w:val="22"/>
          <w:szCs w:val="22"/>
        </w:rPr>
        <w:t xml:space="preserve"> </w:t>
      </w:r>
      <w:r w:rsidR="00A35BBB">
        <w:rPr>
          <w:rFonts w:ascii="Arial" w:hAnsi="Arial" w:cs="Arial"/>
          <w:sz w:val="22"/>
          <w:szCs w:val="22"/>
        </w:rPr>
        <w:t>100</w:t>
      </w:r>
      <w:r>
        <w:rPr>
          <w:rFonts w:ascii="Arial" w:hAnsi="Arial" w:cs="Arial"/>
          <w:sz w:val="22"/>
          <w:szCs w:val="22"/>
        </w:rPr>
        <w:t xml:space="preserve"> staff members previously</w:t>
      </w:r>
      <w:r w:rsidR="00A35BBB">
        <w:rPr>
          <w:rFonts w:ascii="Arial" w:hAnsi="Arial" w:cs="Arial"/>
          <w:sz w:val="22"/>
          <w:szCs w:val="22"/>
        </w:rPr>
        <w:t>),</w:t>
      </w:r>
      <w:r w:rsidR="00BA7907" w:rsidRPr="0003230F">
        <w:rPr>
          <w:rFonts w:ascii="Arial" w:hAnsi="Arial" w:cs="Arial"/>
          <w:sz w:val="22"/>
          <w:szCs w:val="22"/>
        </w:rPr>
        <w:t xml:space="preserve"> </w:t>
      </w:r>
      <w:r w:rsidR="00A71F18">
        <w:rPr>
          <w:rFonts w:ascii="Arial" w:hAnsi="Arial" w:cs="Arial"/>
          <w:sz w:val="22"/>
          <w:szCs w:val="22"/>
        </w:rPr>
        <w:t xml:space="preserve">in the form of a cash lump sum, </w:t>
      </w:r>
      <w:r>
        <w:rPr>
          <w:rFonts w:ascii="Arial" w:hAnsi="Arial" w:cs="Arial"/>
          <w:sz w:val="22"/>
          <w:szCs w:val="22"/>
        </w:rPr>
        <w:t>the amount of which was in</w:t>
      </w:r>
      <w:r w:rsidR="00BA7907" w:rsidRPr="0003230F">
        <w:rPr>
          <w:rFonts w:ascii="Arial" w:hAnsi="Arial" w:cs="Arial"/>
          <w:sz w:val="22"/>
          <w:szCs w:val="22"/>
        </w:rPr>
        <w:t>creased from 3,000 to 6,000 Swiss francs</w:t>
      </w:r>
      <w:r w:rsidR="00A35BBB">
        <w:rPr>
          <w:rFonts w:ascii="Arial" w:hAnsi="Arial" w:cs="Arial"/>
          <w:sz w:val="22"/>
          <w:szCs w:val="22"/>
        </w:rPr>
        <w:t>;</w:t>
      </w:r>
    </w:p>
    <w:p w14:paraId="6AA4B974" w14:textId="77777777" w:rsidR="00BA7907" w:rsidRDefault="00947317" w:rsidP="00A35BBB">
      <w:pPr>
        <w:pStyle w:val="ListParagraph"/>
        <w:numPr>
          <w:ilvl w:val="0"/>
          <w:numId w:val="26"/>
        </w:numPr>
        <w:ind w:left="851" w:hanging="284"/>
        <w:rPr>
          <w:rFonts w:ascii="Arial" w:hAnsi="Arial" w:cs="Arial"/>
          <w:sz w:val="22"/>
          <w:szCs w:val="22"/>
        </w:rPr>
      </w:pPr>
      <w:r>
        <w:rPr>
          <w:rFonts w:ascii="Arial" w:hAnsi="Arial" w:cs="Arial"/>
          <w:sz w:val="22"/>
          <w:szCs w:val="22"/>
        </w:rPr>
        <w:t>The</w:t>
      </w:r>
      <w:r w:rsidR="00A35BBB" w:rsidRPr="00A35BBB">
        <w:rPr>
          <w:rFonts w:ascii="Arial" w:hAnsi="Arial" w:cs="Arial"/>
          <w:sz w:val="22"/>
          <w:szCs w:val="22"/>
        </w:rPr>
        <w:t xml:space="preserve"> “Acting Responsibly”</w:t>
      </w:r>
      <w:r>
        <w:rPr>
          <w:rFonts w:ascii="Arial" w:hAnsi="Arial" w:cs="Arial"/>
          <w:sz w:val="22"/>
          <w:szCs w:val="22"/>
        </w:rPr>
        <w:t xml:space="preserve"> reward replaced the previous </w:t>
      </w:r>
      <w:r w:rsidRPr="00A35BBB">
        <w:rPr>
          <w:rFonts w:ascii="Arial" w:hAnsi="Arial" w:cs="Arial"/>
          <w:sz w:val="22"/>
          <w:szCs w:val="22"/>
        </w:rPr>
        <w:t xml:space="preserve">Environmental, Social and Governance Responsibility” </w:t>
      </w:r>
      <w:r>
        <w:rPr>
          <w:rFonts w:ascii="Arial" w:hAnsi="Arial" w:cs="Arial"/>
          <w:sz w:val="22"/>
          <w:szCs w:val="22"/>
        </w:rPr>
        <w:t>reward</w:t>
      </w:r>
      <w:r w:rsidR="00A35BBB">
        <w:rPr>
          <w:rFonts w:ascii="Arial" w:hAnsi="Arial" w:cs="Arial"/>
          <w:sz w:val="22"/>
          <w:szCs w:val="22"/>
        </w:rPr>
        <w:t>;</w:t>
      </w:r>
    </w:p>
    <w:p w14:paraId="4C6B7ED7" w14:textId="77777777" w:rsidR="00BA7907" w:rsidRDefault="00A61E07" w:rsidP="00D72CFC">
      <w:pPr>
        <w:pStyle w:val="ListParagraph"/>
        <w:numPr>
          <w:ilvl w:val="0"/>
          <w:numId w:val="26"/>
        </w:numPr>
        <w:ind w:left="851" w:hanging="284"/>
        <w:rPr>
          <w:rFonts w:ascii="Arial" w:hAnsi="Arial" w:cs="Arial"/>
          <w:sz w:val="22"/>
          <w:szCs w:val="22"/>
        </w:rPr>
      </w:pPr>
      <w:r w:rsidRPr="00A61E07">
        <w:rPr>
          <w:rFonts w:ascii="Arial" w:hAnsi="Arial" w:cs="Arial"/>
          <w:sz w:val="22"/>
          <w:szCs w:val="22"/>
        </w:rPr>
        <w:t xml:space="preserve">The amount of the cash lump sum for the </w:t>
      </w:r>
      <w:r>
        <w:rPr>
          <w:rFonts w:ascii="Arial" w:hAnsi="Arial" w:cs="Arial"/>
          <w:sz w:val="22"/>
          <w:szCs w:val="22"/>
        </w:rPr>
        <w:t>“</w:t>
      </w:r>
      <w:r w:rsidR="00BA7907" w:rsidRPr="00A61E07">
        <w:rPr>
          <w:rFonts w:ascii="Arial" w:hAnsi="Arial" w:cs="Arial"/>
          <w:sz w:val="22"/>
          <w:szCs w:val="22"/>
        </w:rPr>
        <w:t xml:space="preserve">Working as One” </w:t>
      </w:r>
      <w:r w:rsidR="00A35BBB" w:rsidRPr="00A61E07">
        <w:rPr>
          <w:rFonts w:ascii="Arial" w:hAnsi="Arial" w:cs="Arial"/>
          <w:sz w:val="22"/>
          <w:szCs w:val="22"/>
        </w:rPr>
        <w:t xml:space="preserve">reward was </w:t>
      </w:r>
      <w:r w:rsidR="00BA7907" w:rsidRPr="00A61E07">
        <w:rPr>
          <w:rFonts w:ascii="Arial" w:hAnsi="Arial" w:cs="Arial"/>
          <w:sz w:val="22"/>
          <w:szCs w:val="22"/>
        </w:rPr>
        <w:t>increased from 6,000 to 9,000 Swiss francs</w:t>
      </w:r>
      <w:r>
        <w:rPr>
          <w:rFonts w:ascii="Arial" w:hAnsi="Arial" w:cs="Arial"/>
          <w:sz w:val="22"/>
          <w:szCs w:val="22"/>
        </w:rPr>
        <w:t>;  and</w:t>
      </w:r>
    </w:p>
    <w:p w14:paraId="52EDE6EE" w14:textId="77777777" w:rsidR="00A61E07" w:rsidRPr="00A61E07" w:rsidRDefault="00A61E07" w:rsidP="00D72CFC">
      <w:pPr>
        <w:pStyle w:val="ListParagraph"/>
        <w:numPr>
          <w:ilvl w:val="0"/>
          <w:numId w:val="26"/>
        </w:numPr>
        <w:ind w:left="851" w:hanging="284"/>
        <w:rPr>
          <w:rFonts w:ascii="Arial" w:hAnsi="Arial" w:cs="Arial"/>
          <w:sz w:val="22"/>
          <w:szCs w:val="22"/>
        </w:rPr>
      </w:pPr>
      <w:r>
        <w:rPr>
          <w:rFonts w:ascii="Arial" w:hAnsi="Arial" w:cs="Arial"/>
          <w:sz w:val="22"/>
          <w:szCs w:val="22"/>
        </w:rPr>
        <w:t>A new organizational performance reward was introduced, to recognize the contribution of every staff member to the Organization’s performance, resulting in the payment of a cash lump sum to all eligible staff of 2,000 Swiss francs for WIPO’s excellent business res</w:t>
      </w:r>
      <w:r w:rsidR="00892786">
        <w:rPr>
          <w:rFonts w:ascii="Arial" w:hAnsi="Arial" w:cs="Arial"/>
          <w:sz w:val="22"/>
          <w:szCs w:val="22"/>
        </w:rPr>
        <w:t>ults in the 2016-2017 biennium.</w:t>
      </w:r>
    </w:p>
    <w:p w14:paraId="0BC116B9" w14:textId="77777777" w:rsidR="00BA7907" w:rsidRPr="007B2F09" w:rsidRDefault="00BA7907" w:rsidP="00BA7907">
      <w:pPr>
        <w:rPr>
          <w:szCs w:val="22"/>
        </w:rPr>
      </w:pPr>
    </w:p>
    <w:p w14:paraId="09917E05" w14:textId="4ADAA153" w:rsidR="00BA7907" w:rsidRPr="007B2F09" w:rsidRDefault="00BA7907" w:rsidP="00BA7907">
      <w:pPr>
        <w:pStyle w:val="ListParagraph"/>
        <w:numPr>
          <w:ilvl w:val="0"/>
          <w:numId w:val="21"/>
        </w:numPr>
        <w:ind w:left="0" w:firstLine="0"/>
        <w:rPr>
          <w:rFonts w:ascii="Arial" w:hAnsi="Arial" w:cs="Arial"/>
          <w:sz w:val="22"/>
          <w:szCs w:val="22"/>
        </w:rPr>
      </w:pPr>
      <w:r w:rsidRPr="007B2F09">
        <w:rPr>
          <w:rFonts w:ascii="Arial" w:hAnsi="Arial" w:cs="Arial"/>
          <w:sz w:val="22"/>
          <w:szCs w:val="22"/>
        </w:rPr>
        <w:t>In 2018, the overall cost of the RRP was 2</w:t>
      </w:r>
      <w:r w:rsidR="00D10851">
        <w:rPr>
          <w:rFonts w:ascii="Arial" w:hAnsi="Arial" w:cs="Arial"/>
          <w:sz w:val="22"/>
          <w:szCs w:val="22"/>
        </w:rPr>
        <w:t>,</w:t>
      </w:r>
      <w:r w:rsidR="002809D6">
        <w:rPr>
          <w:rFonts w:ascii="Arial" w:hAnsi="Arial" w:cs="Arial"/>
          <w:sz w:val="22"/>
          <w:szCs w:val="22"/>
        </w:rPr>
        <w:t>531,800</w:t>
      </w:r>
      <w:r w:rsidRPr="007B2F09">
        <w:rPr>
          <w:rFonts w:ascii="Arial" w:hAnsi="Arial" w:cs="Arial"/>
          <w:sz w:val="22"/>
          <w:szCs w:val="22"/>
        </w:rPr>
        <w:t xml:space="preserve"> </w:t>
      </w:r>
      <w:r w:rsidR="00A35BBB">
        <w:rPr>
          <w:rFonts w:ascii="Arial" w:hAnsi="Arial" w:cs="Arial"/>
          <w:sz w:val="22"/>
          <w:szCs w:val="22"/>
        </w:rPr>
        <w:t xml:space="preserve">Swiss </w:t>
      </w:r>
      <w:r w:rsidR="008B73D3">
        <w:rPr>
          <w:rFonts w:ascii="Arial" w:hAnsi="Arial" w:cs="Arial"/>
          <w:sz w:val="22"/>
          <w:szCs w:val="22"/>
        </w:rPr>
        <w:t>f</w:t>
      </w:r>
      <w:r w:rsidR="00A35BBB">
        <w:rPr>
          <w:rFonts w:ascii="Arial" w:hAnsi="Arial" w:cs="Arial"/>
          <w:sz w:val="22"/>
          <w:szCs w:val="22"/>
        </w:rPr>
        <w:t>rancs</w:t>
      </w:r>
      <w:r w:rsidRPr="007B2F09">
        <w:rPr>
          <w:rFonts w:ascii="Arial" w:hAnsi="Arial" w:cs="Arial"/>
          <w:sz w:val="22"/>
          <w:szCs w:val="22"/>
        </w:rPr>
        <w:t xml:space="preserve">, </w:t>
      </w:r>
      <w:r w:rsidR="00A35BBB">
        <w:rPr>
          <w:rFonts w:ascii="Arial" w:hAnsi="Arial" w:cs="Arial"/>
          <w:sz w:val="22"/>
          <w:szCs w:val="22"/>
        </w:rPr>
        <w:t xml:space="preserve">representing </w:t>
      </w:r>
      <w:r w:rsidR="002809D6">
        <w:rPr>
          <w:rFonts w:ascii="Arial" w:hAnsi="Arial" w:cs="Arial"/>
          <w:sz w:val="22"/>
          <w:szCs w:val="22"/>
        </w:rPr>
        <w:t xml:space="preserve">approximately </w:t>
      </w:r>
      <w:r w:rsidR="00A35BBB" w:rsidRPr="0033688E">
        <w:rPr>
          <w:rFonts w:ascii="Arial" w:hAnsi="Arial" w:cs="Arial"/>
          <w:sz w:val="22"/>
          <w:szCs w:val="22"/>
        </w:rPr>
        <w:t>1</w:t>
      </w:r>
      <w:r w:rsidR="00DC683A" w:rsidRPr="0033688E">
        <w:rPr>
          <w:rFonts w:ascii="Arial" w:hAnsi="Arial" w:cs="Arial"/>
          <w:sz w:val="22"/>
          <w:szCs w:val="22"/>
        </w:rPr>
        <w:t> </w:t>
      </w:r>
      <w:r w:rsidR="00A35BBB" w:rsidRPr="0033688E">
        <w:rPr>
          <w:rFonts w:ascii="Arial" w:hAnsi="Arial" w:cs="Arial"/>
          <w:sz w:val="22"/>
          <w:szCs w:val="22"/>
        </w:rPr>
        <w:t>per cent</w:t>
      </w:r>
      <w:r w:rsidRPr="007B2F09">
        <w:rPr>
          <w:rFonts w:ascii="Arial" w:hAnsi="Arial" w:cs="Arial"/>
          <w:sz w:val="22"/>
          <w:szCs w:val="22"/>
        </w:rPr>
        <w:t xml:space="preserve"> of WIPO’s </w:t>
      </w:r>
      <w:r w:rsidR="00A35BBB">
        <w:rPr>
          <w:rFonts w:ascii="Arial" w:hAnsi="Arial" w:cs="Arial"/>
          <w:sz w:val="22"/>
          <w:szCs w:val="22"/>
        </w:rPr>
        <w:t xml:space="preserve">total </w:t>
      </w:r>
      <w:r w:rsidRPr="007B2F09">
        <w:rPr>
          <w:rFonts w:ascii="Arial" w:hAnsi="Arial" w:cs="Arial"/>
          <w:sz w:val="22"/>
          <w:szCs w:val="22"/>
        </w:rPr>
        <w:t xml:space="preserve">remuneration costs </w:t>
      </w:r>
      <w:r w:rsidRPr="007B2F09">
        <w:rPr>
          <w:rFonts w:ascii="Arial" w:eastAsia="DengXian" w:hAnsi="Arial" w:cs="Arial"/>
          <w:sz w:val="22"/>
          <w:szCs w:val="22"/>
        </w:rPr>
        <w:t>(i.e., net remuneration for Professional and higher categories of staff, and salaries for the General Service and related categories).</w:t>
      </w:r>
    </w:p>
    <w:p w14:paraId="2D9C2BE2" w14:textId="77777777" w:rsidR="00BA7907" w:rsidRPr="007B2F09" w:rsidRDefault="00BA7907" w:rsidP="00BA7907">
      <w:pPr>
        <w:pStyle w:val="ListParagraph"/>
        <w:ind w:left="0"/>
        <w:rPr>
          <w:rFonts w:ascii="Arial" w:hAnsi="Arial" w:cs="Arial"/>
          <w:sz w:val="22"/>
          <w:szCs w:val="22"/>
        </w:rPr>
      </w:pPr>
    </w:p>
    <w:p w14:paraId="5B4C3B11" w14:textId="4C36CF74" w:rsidR="00BA7907" w:rsidRDefault="00A71F18" w:rsidP="00A71F18">
      <w:pPr>
        <w:pStyle w:val="ListParagraph"/>
        <w:numPr>
          <w:ilvl w:val="0"/>
          <w:numId w:val="21"/>
        </w:numPr>
        <w:ind w:left="0" w:firstLine="0"/>
        <w:rPr>
          <w:rFonts w:ascii="Arial" w:hAnsi="Arial" w:cs="Arial"/>
          <w:sz w:val="22"/>
          <w:szCs w:val="22"/>
        </w:rPr>
      </w:pPr>
      <w:r>
        <w:rPr>
          <w:rFonts w:ascii="Arial" w:hAnsi="Arial" w:cs="Arial"/>
          <w:sz w:val="22"/>
          <w:szCs w:val="22"/>
        </w:rPr>
        <w:t>In 2019, no organizational performance reward will be granted</w:t>
      </w:r>
      <w:r w:rsidR="00460946">
        <w:rPr>
          <w:rFonts w:ascii="Arial" w:hAnsi="Arial" w:cs="Arial"/>
          <w:sz w:val="22"/>
          <w:szCs w:val="22"/>
        </w:rPr>
        <w:t xml:space="preserve">. </w:t>
      </w:r>
      <w:r w:rsidR="00D10851">
        <w:rPr>
          <w:rFonts w:ascii="Arial" w:hAnsi="Arial" w:cs="Arial"/>
          <w:sz w:val="22"/>
          <w:szCs w:val="22"/>
        </w:rPr>
        <w:t xml:space="preserve"> </w:t>
      </w:r>
      <w:r w:rsidR="00460946">
        <w:rPr>
          <w:rFonts w:ascii="Arial" w:hAnsi="Arial" w:cs="Arial"/>
          <w:sz w:val="22"/>
          <w:szCs w:val="22"/>
        </w:rPr>
        <w:t>A</w:t>
      </w:r>
      <w:r>
        <w:rPr>
          <w:rFonts w:ascii="Arial" w:hAnsi="Arial" w:cs="Arial"/>
          <w:sz w:val="22"/>
          <w:szCs w:val="22"/>
        </w:rPr>
        <w:t xml:space="preserve"> new category of </w:t>
      </w:r>
      <w:r w:rsidR="00ED656C">
        <w:rPr>
          <w:rFonts w:ascii="Arial" w:hAnsi="Arial" w:cs="Arial"/>
          <w:sz w:val="22"/>
          <w:szCs w:val="22"/>
        </w:rPr>
        <w:br/>
      </w:r>
      <w:r>
        <w:rPr>
          <w:rFonts w:ascii="Arial" w:hAnsi="Arial" w:cs="Arial"/>
          <w:sz w:val="22"/>
          <w:szCs w:val="22"/>
        </w:rPr>
        <w:t xml:space="preserve">non-monetary reward has been added to recognize special contributions, through voluntary service, to the internal functioning of the Organization.  Such voluntary service includes service on the WIPO Appeal Board (WAB) and the Joint Advisory Group (JAG), two administrative bodies with staff participation which respectively advise the Director General </w:t>
      </w:r>
      <w:r>
        <w:rPr>
          <w:rFonts w:ascii="Arial" w:hAnsi="Arial" w:cs="Arial"/>
          <w:sz w:val="22"/>
          <w:szCs w:val="22"/>
        </w:rPr>
        <w:lastRenderedPageBreak/>
        <w:t>on staff appeals and on personnel and administrative matters.  In addition, f</w:t>
      </w:r>
      <w:r w:rsidR="00A35BBB">
        <w:rPr>
          <w:rFonts w:ascii="Arial" w:hAnsi="Arial" w:cs="Arial"/>
          <w:sz w:val="22"/>
          <w:szCs w:val="22"/>
        </w:rPr>
        <w:t>or</w:t>
      </w:r>
      <w:r w:rsidR="00BA7907" w:rsidRPr="007B2F09">
        <w:rPr>
          <w:rFonts w:ascii="Arial" w:hAnsi="Arial" w:cs="Arial"/>
          <w:sz w:val="22"/>
          <w:szCs w:val="22"/>
        </w:rPr>
        <w:t xml:space="preserve"> 2019</w:t>
      </w:r>
      <w:r w:rsidR="00A35BBB">
        <w:rPr>
          <w:rFonts w:ascii="Arial" w:hAnsi="Arial" w:cs="Arial"/>
          <w:sz w:val="22"/>
          <w:szCs w:val="22"/>
        </w:rPr>
        <w:t xml:space="preserve">, </w:t>
      </w:r>
      <w:r w:rsidR="00BA7907" w:rsidRPr="007B2F09">
        <w:rPr>
          <w:rFonts w:ascii="Arial" w:hAnsi="Arial" w:cs="Arial"/>
          <w:sz w:val="22"/>
          <w:szCs w:val="22"/>
        </w:rPr>
        <w:t xml:space="preserve">the amounts </w:t>
      </w:r>
      <w:r w:rsidR="00A61E07">
        <w:rPr>
          <w:rFonts w:ascii="Arial" w:hAnsi="Arial" w:cs="Arial"/>
          <w:sz w:val="22"/>
          <w:szCs w:val="22"/>
        </w:rPr>
        <w:t xml:space="preserve">of the cash lump sum </w:t>
      </w:r>
      <w:r w:rsidR="00BA7907" w:rsidRPr="007B2F09">
        <w:rPr>
          <w:rFonts w:ascii="Arial" w:hAnsi="Arial" w:cs="Arial"/>
          <w:sz w:val="22"/>
          <w:szCs w:val="22"/>
        </w:rPr>
        <w:t>for three categories of rewards have been increased:</w:t>
      </w:r>
    </w:p>
    <w:p w14:paraId="3571DDC5" w14:textId="77777777" w:rsidR="00BA7907" w:rsidRPr="00A35BBB" w:rsidRDefault="00A35BBB" w:rsidP="00A35BBB">
      <w:pPr>
        <w:pStyle w:val="ListParagraph"/>
        <w:numPr>
          <w:ilvl w:val="0"/>
          <w:numId w:val="27"/>
        </w:numPr>
        <w:ind w:left="851" w:hanging="284"/>
        <w:rPr>
          <w:rFonts w:ascii="Arial" w:hAnsi="Arial" w:cs="Arial"/>
          <w:sz w:val="22"/>
          <w:szCs w:val="22"/>
        </w:rPr>
      </w:pPr>
      <w:r>
        <w:rPr>
          <w:rFonts w:ascii="Arial" w:hAnsi="Arial" w:cs="Arial"/>
          <w:sz w:val="22"/>
          <w:szCs w:val="22"/>
          <w:lang w:val="en"/>
        </w:rPr>
        <w:t xml:space="preserve">“Delivering Excellence”, </w:t>
      </w:r>
      <w:r w:rsidR="00BA7907" w:rsidRPr="00A35BBB">
        <w:rPr>
          <w:rFonts w:ascii="Arial" w:hAnsi="Arial" w:cs="Arial"/>
          <w:sz w:val="22"/>
          <w:szCs w:val="22"/>
          <w:lang w:val="en"/>
        </w:rPr>
        <w:t>from 6,000 to 7,500 Swiss francs</w:t>
      </w:r>
      <w:r>
        <w:rPr>
          <w:rFonts w:ascii="Arial" w:hAnsi="Arial" w:cs="Arial"/>
          <w:sz w:val="22"/>
          <w:szCs w:val="22"/>
          <w:lang w:val="en"/>
        </w:rPr>
        <w:t>;</w:t>
      </w:r>
    </w:p>
    <w:p w14:paraId="6C55AAE0" w14:textId="77777777" w:rsidR="00BA7907" w:rsidRPr="00A35BBB" w:rsidRDefault="00A35BBB" w:rsidP="00A35BBB">
      <w:pPr>
        <w:pStyle w:val="ListParagraph"/>
        <w:numPr>
          <w:ilvl w:val="0"/>
          <w:numId w:val="27"/>
        </w:numPr>
        <w:ind w:left="851" w:hanging="284"/>
        <w:rPr>
          <w:rFonts w:ascii="Arial" w:hAnsi="Arial" w:cs="Arial"/>
          <w:sz w:val="22"/>
          <w:szCs w:val="22"/>
        </w:rPr>
      </w:pPr>
      <w:r>
        <w:rPr>
          <w:rFonts w:ascii="Arial" w:hAnsi="Arial" w:cs="Arial"/>
          <w:sz w:val="22"/>
          <w:szCs w:val="22"/>
          <w:lang w:val="en"/>
        </w:rPr>
        <w:t xml:space="preserve">“Acting Responsibly”, </w:t>
      </w:r>
      <w:r w:rsidR="00BA7907" w:rsidRPr="00A35BBB">
        <w:rPr>
          <w:rFonts w:ascii="Arial" w:hAnsi="Arial" w:cs="Arial"/>
          <w:sz w:val="22"/>
          <w:szCs w:val="22"/>
          <w:lang w:val="en"/>
        </w:rPr>
        <w:t>from 3,000 to 4,000 Swiss francs</w:t>
      </w:r>
      <w:r>
        <w:rPr>
          <w:rFonts w:ascii="Arial" w:hAnsi="Arial" w:cs="Arial"/>
          <w:sz w:val="22"/>
          <w:szCs w:val="22"/>
          <w:lang w:val="en"/>
        </w:rPr>
        <w:t>;  and</w:t>
      </w:r>
    </w:p>
    <w:p w14:paraId="2D894B30" w14:textId="77777777" w:rsidR="00BA7907" w:rsidRPr="00A35BBB" w:rsidRDefault="00A35BBB" w:rsidP="00A35BBB">
      <w:pPr>
        <w:pStyle w:val="ListParagraph"/>
        <w:numPr>
          <w:ilvl w:val="0"/>
          <w:numId w:val="27"/>
        </w:numPr>
        <w:ind w:left="851" w:hanging="284"/>
        <w:rPr>
          <w:rFonts w:ascii="Arial" w:hAnsi="Arial" w:cs="Arial"/>
          <w:sz w:val="22"/>
          <w:szCs w:val="22"/>
        </w:rPr>
      </w:pPr>
      <w:r>
        <w:rPr>
          <w:rFonts w:ascii="Arial" w:hAnsi="Arial" w:cs="Arial"/>
          <w:sz w:val="22"/>
          <w:szCs w:val="22"/>
          <w:lang w:val="en"/>
        </w:rPr>
        <w:t xml:space="preserve">“Working as One”, </w:t>
      </w:r>
      <w:r w:rsidR="00BA7907" w:rsidRPr="00A35BBB">
        <w:rPr>
          <w:rFonts w:ascii="Arial" w:hAnsi="Arial" w:cs="Arial"/>
          <w:sz w:val="22"/>
          <w:szCs w:val="22"/>
          <w:lang w:val="en"/>
        </w:rPr>
        <w:t>from 9,000 to 10,000 Swiss francs</w:t>
      </w:r>
      <w:r>
        <w:rPr>
          <w:rFonts w:ascii="Arial" w:hAnsi="Arial" w:cs="Arial"/>
          <w:sz w:val="22"/>
          <w:szCs w:val="22"/>
          <w:lang w:val="en"/>
        </w:rPr>
        <w:t>.</w:t>
      </w:r>
    </w:p>
    <w:p w14:paraId="07163500" w14:textId="77777777" w:rsidR="00BA7907" w:rsidRPr="007B2F09" w:rsidRDefault="00BA7907" w:rsidP="00BA7907">
      <w:pPr>
        <w:pStyle w:val="ListParagraph"/>
        <w:tabs>
          <w:tab w:val="left" w:pos="705"/>
          <w:tab w:val="left" w:pos="706"/>
        </w:tabs>
        <w:ind w:right="132"/>
        <w:rPr>
          <w:rFonts w:ascii="Arial" w:hAnsi="Arial" w:cs="Arial"/>
          <w:sz w:val="22"/>
          <w:szCs w:val="22"/>
          <w:lang w:val="en"/>
        </w:rPr>
      </w:pPr>
    </w:p>
    <w:p w14:paraId="79FBFC31" w14:textId="77777777" w:rsidR="00BA7907" w:rsidRDefault="00BA7907" w:rsidP="00BA7907">
      <w:pPr>
        <w:pStyle w:val="ListParagraph"/>
        <w:numPr>
          <w:ilvl w:val="0"/>
          <w:numId w:val="21"/>
        </w:numPr>
        <w:ind w:left="0" w:firstLine="0"/>
        <w:rPr>
          <w:rFonts w:ascii="Arial" w:hAnsi="Arial" w:cs="Arial"/>
          <w:sz w:val="22"/>
          <w:szCs w:val="22"/>
        </w:rPr>
      </w:pPr>
      <w:r w:rsidRPr="007B2F09">
        <w:rPr>
          <w:rFonts w:ascii="Arial" w:hAnsi="Arial" w:cs="Arial"/>
          <w:sz w:val="22"/>
          <w:szCs w:val="22"/>
        </w:rPr>
        <w:t xml:space="preserve">Consistent with the ICSC’s </w:t>
      </w:r>
      <w:r w:rsidR="006340DA">
        <w:rPr>
          <w:rFonts w:ascii="Arial" w:hAnsi="Arial" w:cs="Arial"/>
          <w:sz w:val="22"/>
          <w:szCs w:val="22"/>
        </w:rPr>
        <w:t>“P</w:t>
      </w:r>
      <w:r w:rsidRPr="00F744EF">
        <w:rPr>
          <w:rFonts w:ascii="Arial" w:hAnsi="Arial" w:cs="Arial"/>
          <w:sz w:val="22"/>
          <w:szCs w:val="22"/>
        </w:rPr>
        <w:t>rinciples and guidelines for performance appraisal and management for the recognition of different levels of performance”</w:t>
      </w:r>
      <w:r w:rsidRPr="007B2F09">
        <w:rPr>
          <w:rFonts w:ascii="Arial" w:hAnsi="Arial" w:cs="Arial"/>
          <w:sz w:val="22"/>
          <w:szCs w:val="22"/>
        </w:rPr>
        <w:t>,</w:t>
      </w:r>
      <w:r>
        <w:rPr>
          <w:rStyle w:val="FootnoteReference"/>
          <w:rFonts w:ascii="Arial" w:hAnsi="Arial" w:cs="Arial"/>
          <w:sz w:val="22"/>
          <w:szCs w:val="22"/>
        </w:rPr>
        <w:footnoteReference w:id="16"/>
      </w:r>
      <w:r w:rsidRPr="007B2F09">
        <w:rPr>
          <w:rFonts w:ascii="Arial" w:hAnsi="Arial" w:cs="Arial"/>
          <w:sz w:val="22"/>
          <w:szCs w:val="22"/>
        </w:rPr>
        <w:t xml:space="preserve"> the following conditions for the rewards have been </w:t>
      </w:r>
      <w:r w:rsidR="00675218">
        <w:rPr>
          <w:rFonts w:ascii="Arial" w:hAnsi="Arial" w:cs="Arial"/>
          <w:sz w:val="22"/>
          <w:szCs w:val="22"/>
        </w:rPr>
        <w:t>added to</w:t>
      </w:r>
      <w:r w:rsidRPr="007B2F09">
        <w:rPr>
          <w:rFonts w:ascii="Arial" w:hAnsi="Arial" w:cs="Arial"/>
          <w:sz w:val="22"/>
          <w:szCs w:val="22"/>
        </w:rPr>
        <w:t xml:space="preserve"> the 2018 and 2019 revisions of the policy governing the RRP</w:t>
      </w:r>
      <w:r w:rsidR="001F7A1B">
        <w:rPr>
          <w:rFonts w:ascii="Arial" w:hAnsi="Arial" w:cs="Arial"/>
          <w:sz w:val="22"/>
          <w:szCs w:val="22"/>
        </w:rPr>
        <w:t>, respectively</w:t>
      </w:r>
      <w:r w:rsidRPr="007B2F09">
        <w:rPr>
          <w:rFonts w:ascii="Arial" w:hAnsi="Arial" w:cs="Arial"/>
          <w:sz w:val="22"/>
          <w:szCs w:val="22"/>
        </w:rPr>
        <w:t>:</w:t>
      </w:r>
    </w:p>
    <w:p w14:paraId="5306D0AC" w14:textId="77777777" w:rsidR="00837C99" w:rsidRPr="007B2F09" w:rsidRDefault="00837C99" w:rsidP="00837C99">
      <w:pPr>
        <w:pStyle w:val="ListParagraph"/>
        <w:ind w:left="0"/>
        <w:rPr>
          <w:rFonts w:ascii="Arial" w:hAnsi="Arial" w:cs="Arial"/>
          <w:sz w:val="22"/>
          <w:szCs w:val="22"/>
        </w:rPr>
      </w:pPr>
    </w:p>
    <w:p w14:paraId="47802D7A" w14:textId="126B222C" w:rsidR="00BA7907" w:rsidRDefault="00BA7907" w:rsidP="00675218">
      <w:pPr>
        <w:pStyle w:val="ListParagraph"/>
        <w:widowControl w:val="0"/>
        <w:numPr>
          <w:ilvl w:val="0"/>
          <w:numId w:val="28"/>
        </w:numPr>
        <w:autoSpaceDE w:val="0"/>
        <w:autoSpaceDN w:val="0"/>
        <w:ind w:left="851" w:right="132" w:hanging="284"/>
        <w:contextualSpacing w:val="0"/>
        <w:rPr>
          <w:rFonts w:ascii="Arial" w:hAnsi="Arial" w:cs="Arial"/>
          <w:sz w:val="22"/>
          <w:szCs w:val="22"/>
        </w:rPr>
      </w:pPr>
      <w:r w:rsidRPr="007B2F09">
        <w:rPr>
          <w:rFonts w:ascii="Arial" w:hAnsi="Arial" w:cs="Arial"/>
          <w:sz w:val="22"/>
          <w:szCs w:val="22"/>
        </w:rPr>
        <w:t xml:space="preserve">Monetary rewards shall </w:t>
      </w:r>
      <w:r w:rsidR="00A61E07">
        <w:rPr>
          <w:rFonts w:ascii="Arial" w:hAnsi="Arial" w:cs="Arial"/>
          <w:sz w:val="22"/>
          <w:szCs w:val="22"/>
        </w:rPr>
        <w:t>not exceed</w:t>
      </w:r>
      <w:r w:rsidRPr="007B2F09">
        <w:rPr>
          <w:rFonts w:ascii="Arial" w:hAnsi="Arial" w:cs="Arial"/>
          <w:sz w:val="22"/>
          <w:szCs w:val="22"/>
        </w:rPr>
        <w:t xml:space="preserve"> </w:t>
      </w:r>
      <w:r w:rsidR="00A61E07">
        <w:rPr>
          <w:rFonts w:ascii="Arial" w:hAnsi="Arial" w:cs="Arial"/>
          <w:sz w:val="22"/>
          <w:szCs w:val="22"/>
        </w:rPr>
        <w:t>10 per cent</w:t>
      </w:r>
      <w:r w:rsidRPr="007B2F09">
        <w:rPr>
          <w:rFonts w:ascii="Arial" w:hAnsi="Arial" w:cs="Arial"/>
          <w:sz w:val="22"/>
          <w:szCs w:val="22"/>
        </w:rPr>
        <w:t xml:space="preserve"> of a staff member’s net base salary (</w:t>
      </w:r>
      <w:r w:rsidR="00A71F18">
        <w:rPr>
          <w:rFonts w:ascii="Arial" w:hAnsi="Arial" w:cs="Arial"/>
          <w:sz w:val="22"/>
          <w:szCs w:val="22"/>
        </w:rPr>
        <w:t>calculated without post adjustment for</w:t>
      </w:r>
      <w:r w:rsidRPr="007B2F09">
        <w:rPr>
          <w:rFonts w:ascii="Arial" w:hAnsi="Arial" w:cs="Arial"/>
          <w:sz w:val="22"/>
          <w:szCs w:val="22"/>
        </w:rPr>
        <w:t xml:space="preserve"> staff in the Professional and higher categories). </w:t>
      </w:r>
      <w:r w:rsidR="00675218">
        <w:rPr>
          <w:rFonts w:ascii="Arial" w:hAnsi="Arial" w:cs="Arial"/>
          <w:sz w:val="22"/>
          <w:szCs w:val="22"/>
        </w:rPr>
        <w:t xml:space="preserve"> </w:t>
      </w:r>
      <w:r w:rsidRPr="007B2F09">
        <w:rPr>
          <w:rFonts w:ascii="Arial" w:hAnsi="Arial" w:cs="Arial"/>
          <w:sz w:val="22"/>
          <w:szCs w:val="22"/>
        </w:rPr>
        <w:t xml:space="preserve">Where a staff member is awarded one or more monetary rewards in any given year which individually or cumulatively exceed(s) the above-mentioned cap, the total amount will be adjusted downward accordingly; </w:t>
      </w:r>
      <w:r w:rsidR="00093D10">
        <w:rPr>
          <w:rFonts w:ascii="Arial" w:hAnsi="Arial" w:cs="Arial"/>
          <w:sz w:val="22"/>
          <w:szCs w:val="22"/>
        </w:rPr>
        <w:t xml:space="preserve"> </w:t>
      </w:r>
      <w:r w:rsidRPr="007B2F09">
        <w:rPr>
          <w:rFonts w:ascii="Arial" w:hAnsi="Arial" w:cs="Arial"/>
          <w:sz w:val="22"/>
          <w:szCs w:val="22"/>
        </w:rPr>
        <w:t>and</w:t>
      </w:r>
    </w:p>
    <w:p w14:paraId="1B5D76BE" w14:textId="77777777" w:rsidR="00BA7907" w:rsidRPr="00093D10" w:rsidRDefault="00BA7907" w:rsidP="00093D10">
      <w:pPr>
        <w:pStyle w:val="ListParagraph"/>
        <w:widowControl w:val="0"/>
        <w:numPr>
          <w:ilvl w:val="0"/>
          <w:numId w:val="28"/>
        </w:numPr>
        <w:autoSpaceDE w:val="0"/>
        <w:autoSpaceDN w:val="0"/>
        <w:ind w:left="851" w:right="132" w:hanging="284"/>
        <w:contextualSpacing w:val="0"/>
        <w:rPr>
          <w:rFonts w:ascii="Arial" w:hAnsi="Arial" w:cs="Arial"/>
          <w:sz w:val="22"/>
          <w:szCs w:val="22"/>
        </w:rPr>
      </w:pPr>
      <w:r w:rsidRPr="00093D10">
        <w:rPr>
          <w:rFonts w:ascii="Arial" w:hAnsi="Arial" w:cs="Arial"/>
          <w:sz w:val="22"/>
          <w:szCs w:val="22"/>
        </w:rPr>
        <w:t xml:space="preserve">The overall cost </w:t>
      </w:r>
      <w:r w:rsidR="00093D10">
        <w:rPr>
          <w:rFonts w:ascii="Arial" w:hAnsi="Arial" w:cs="Arial"/>
          <w:sz w:val="22"/>
          <w:szCs w:val="22"/>
        </w:rPr>
        <w:t>of the RRP shall not exceed 1.5 per cent</w:t>
      </w:r>
      <w:r w:rsidRPr="00093D10">
        <w:rPr>
          <w:rFonts w:ascii="Arial" w:hAnsi="Arial" w:cs="Arial"/>
          <w:sz w:val="22"/>
          <w:szCs w:val="22"/>
        </w:rPr>
        <w:t xml:space="preserve"> of WIPO’s </w:t>
      </w:r>
      <w:r w:rsidRPr="00093D10">
        <w:rPr>
          <w:rFonts w:ascii="Arial" w:eastAsia="DengXian" w:hAnsi="Arial" w:cs="Arial"/>
          <w:sz w:val="22"/>
          <w:szCs w:val="22"/>
        </w:rPr>
        <w:t>projected remuneration costs (i.e., net remuneration for Professional and higher categories of staff, and salaries for the General Service and related categories).</w:t>
      </w:r>
    </w:p>
    <w:p w14:paraId="1C841D85" w14:textId="77777777" w:rsidR="00A816B8" w:rsidRPr="00902371" w:rsidRDefault="00A816B8" w:rsidP="0021112C">
      <w:pPr>
        <w:pStyle w:val="Heading3"/>
        <w:spacing w:after="0"/>
        <w:ind w:left="540"/>
        <w:rPr>
          <w:u w:val="none"/>
        </w:rPr>
      </w:pPr>
      <w:r w:rsidRPr="00902371">
        <w:rPr>
          <w:u w:val="none"/>
        </w:rPr>
        <w:t>EXTENSIONS OF TEMPORARY APPOINTMENTS</w:t>
      </w:r>
    </w:p>
    <w:p w14:paraId="136D2F97" w14:textId="77777777" w:rsidR="00A816B8" w:rsidRDefault="00A816B8" w:rsidP="00A816B8">
      <w:pPr>
        <w:pStyle w:val="ListParagraph"/>
        <w:ind w:left="567"/>
        <w:rPr>
          <w:rFonts w:ascii="Arial" w:hAnsi="Arial" w:cs="Arial"/>
          <w:sz w:val="22"/>
          <w:szCs w:val="22"/>
        </w:rPr>
      </w:pPr>
    </w:p>
    <w:p w14:paraId="5EC77724" w14:textId="024FE0CA" w:rsidR="00BA7907" w:rsidRDefault="00A61E07" w:rsidP="00093D10">
      <w:pPr>
        <w:pStyle w:val="ListParagraph"/>
        <w:numPr>
          <w:ilvl w:val="0"/>
          <w:numId w:val="21"/>
        </w:numPr>
        <w:ind w:left="0" w:firstLine="0"/>
        <w:rPr>
          <w:rFonts w:ascii="Arial" w:hAnsi="Arial" w:cs="Arial"/>
          <w:sz w:val="22"/>
          <w:szCs w:val="22"/>
        </w:rPr>
      </w:pPr>
      <w:r>
        <w:rPr>
          <w:rFonts w:ascii="Arial" w:hAnsi="Arial" w:cs="Arial"/>
          <w:sz w:val="22"/>
          <w:szCs w:val="22"/>
        </w:rPr>
        <w:t>At</w:t>
      </w:r>
      <w:r w:rsidR="00A04A4A">
        <w:rPr>
          <w:rFonts w:ascii="Arial" w:hAnsi="Arial" w:cs="Arial"/>
          <w:sz w:val="22"/>
          <w:szCs w:val="22"/>
        </w:rPr>
        <w:t xml:space="preserve"> its annual meeting in September 2018, the WIPO Coordination Committee requested t</w:t>
      </w:r>
      <w:r w:rsidR="00A04A4A" w:rsidRPr="00A04A4A">
        <w:rPr>
          <w:rFonts w:ascii="Arial" w:hAnsi="Arial" w:cs="Arial"/>
          <w:sz w:val="22"/>
          <w:szCs w:val="22"/>
        </w:rPr>
        <w:t xml:space="preserve">he Secretariat </w:t>
      </w:r>
      <w:r w:rsidR="00A04A4A">
        <w:rPr>
          <w:rFonts w:ascii="Arial" w:hAnsi="Arial" w:cs="Arial"/>
          <w:sz w:val="22"/>
          <w:szCs w:val="22"/>
        </w:rPr>
        <w:t>to include</w:t>
      </w:r>
      <w:r w:rsidR="005D2C96">
        <w:rPr>
          <w:rFonts w:ascii="Arial" w:hAnsi="Arial" w:cs="Arial"/>
          <w:sz w:val="22"/>
          <w:szCs w:val="22"/>
        </w:rPr>
        <w:t xml:space="preserve"> systematically</w:t>
      </w:r>
      <w:r w:rsidR="00A04A4A">
        <w:rPr>
          <w:rFonts w:ascii="Arial" w:hAnsi="Arial" w:cs="Arial"/>
          <w:sz w:val="22"/>
          <w:szCs w:val="22"/>
        </w:rPr>
        <w:t xml:space="preserve"> in its annual report on HR detailed information on the number of temporary appointments extended by the Director General beyond two years under Staff Regulation 4.16(a)</w:t>
      </w:r>
      <w:r w:rsidR="00EE3FF8">
        <w:rPr>
          <w:rStyle w:val="FootnoteReference"/>
          <w:rFonts w:ascii="Arial" w:hAnsi="Arial" w:cs="Arial"/>
          <w:sz w:val="22"/>
          <w:szCs w:val="22"/>
        </w:rPr>
        <w:footnoteReference w:id="17"/>
      </w:r>
      <w:r w:rsidR="00A04A4A">
        <w:rPr>
          <w:rFonts w:ascii="Arial" w:hAnsi="Arial" w:cs="Arial"/>
          <w:sz w:val="22"/>
          <w:szCs w:val="22"/>
        </w:rPr>
        <w:t xml:space="preserve"> and the rationale for the use of this exceptional measure.</w:t>
      </w:r>
    </w:p>
    <w:p w14:paraId="25327E44" w14:textId="77777777" w:rsidR="00EE3FF8" w:rsidRDefault="00EE3FF8" w:rsidP="00EE3FF8">
      <w:pPr>
        <w:pStyle w:val="ListParagraph"/>
        <w:ind w:left="0"/>
        <w:rPr>
          <w:rFonts w:ascii="Arial" w:hAnsi="Arial" w:cs="Arial"/>
          <w:sz w:val="22"/>
          <w:szCs w:val="22"/>
        </w:rPr>
      </w:pPr>
    </w:p>
    <w:p w14:paraId="1D22B68B" w14:textId="77777777" w:rsidR="00EE3FF8" w:rsidRDefault="00EE3FF8" w:rsidP="00093D10">
      <w:pPr>
        <w:pStyle w:val="ListParagraph"/>
        <w:numPr>
          <w:ilvl w:val="0"/>
          <w:numId w:val="21"/>
        </w:numPr>
        <w:ind w:left="0" w:firstLine="0"/>
        <w:rPr>
          <w:rFonts w:ascii="Arial" w:hAnsi="Arial" w:cs="Arial"/>
          <w:sz w:val="22"/>
          <w:szCs w:val="22"/>
        </w:rPr>
      </w:pPr>
      <w:r>
        <w:rPr>
          <w:rFonts w:ascii="Arial" w:hAnsi="Arial" w:cs="Arial"/>
          <w:sz w:val="22"/>
          <w:szCs w:val="22"/>
        </w:rPr>
        <w:t xml:space="preserve">Between January and June 2019, four temporary appointments were extended beyond </w:t>
      </w:r>
      <w:r w:rsidR="00FF7988">
        <w:rPr>
          <w:rFonts w:ascii="Arial" w:hAnsi="Arial" w:cs="Arial"/>
          <w:sz w:val="22"/>
          <w:szCs w:val="22"/>
        </w:rPr>
        <w:t>two years</w:t>
      </w:r>
      <w:r>
        <w:rPr>
          <w:rFonts w:ascii="Arial" w:hAnsi="Arial" w:cs="Arial"/>
          <w:sz w:val="22"/>
          <w:szCs w:val="22"/>
        </w:rPr>
        <w:t>.  The rationale for these exceptional extensions are as follows:</w:t>
      </w:r>
    </w:p>
    <w:p w14:paraId="57C1C30B" w14:textId="77777777" w:rsidR="00EE3FF8" w:rsidRPr="00EE3FF8" w:rsidRDefault="00EE3FF8" w:rsidP="00EE3FF8">
      <w:pPr>
        <w:pStyle w:val="ListParagraph"/>
        <w:rPr>
          <w:rFonts w:ascii="Arial" w:hAnsi="Arial" w:cs="Arial"/>
          <w:sz w:val="22"/>
          <w:szCs w:val="22"/>
        </w:rPr>
      </w:pPr>
    </w:p>
    <w:p w14:paraId="3F6460F3" w14:textId="1ECDD86C" w:rsidR="00EE3FF8" w:rsidRDefault="00EE3FF8" w:rsidP="00ED656C">
      <w:pPr>
        <w:pStyle w:val="ListParagraph"/>
        <w:numPr>
          <w:ilvl w:val="0"/>
          <w:numId w:val="29"/>
        </w:numPr>
        <w:ind w:left="851" w:hanging="284"/>
        <w:rPr>
          <w:rFonts w:ascii="Arial" w:hAnsi="Arial" w:cs="Arial"/>
          <w:sz w:val="22"/>
          <w:szCs w:val="22"/>
        </w:rPr>
      </w:pPr>
      <w:r>
        <w:rPr>
          <w:rFonts w:ascii="Arial" w:hAnsi="Arial" w:cs="Arial"/>
          <w:sz w:val="22"/>
          <w:szCs w:val="22"/>
        </w:rPr>
        <w:t xml:space="preserve">Two of the temporary </w:t>
      </w:r>
      <w:r w:rsidR="004B28BE">
        <w:rPr>
          <w:rFonts w:ascii="Arial" w:hAnsi="Arial" w:cs="Arial"/>
          <w:sz w:val="22"/>
          <w:szCs w:val="22"/>
        </w:rPr>
        <w:t>positions</w:t>
      </w:r>
      <w:r>
        <w:rPr>
          <w:rFonts w:ascii="Arial" w:hAnsi="Arial" w:cs="Arial"/>
          <w:sz w:val="22"/>
          <w:szCs w:val="22"/>
        </w:rPr>
        <w:t xml:space="preserve"> </w:t>
      </w:r>
      <w:r w:rsidR="004B28BE">
        <w:rPr>
          <w:rFonts w:ascii="Arial" w:hAnsi="Arial" w:cs="Arial"/>
          <w:sz w:val="22"/>
          <w:szCs w:val="22"/>
        </w:rPr>
        <w:t xml:space="preserve">were to be </w:t>
      </w:r>
      <w:r w:rsidR="00460946">
        <w:rPr>
          <w:rFonts w:ascii="Arial" w:hAnsi="Arial" w:cs="Arial"/>
          <w:sz w:val="22"/>
          <w:szCs w:val="22"/>
        </w:rPr>
        <w:t>replaced by fixed-term appointments</w:t>
      </w:r>
      <w:r w:rsidR="004B28BE">
        <w:rPr>
          <w:rFonts w:ascii="Arial" w:hAnsi="Arial" w:cs="Arial"/>
          <w:sz w:val="22"/>
          <w:szCs w:val="22"/>
        </w:rPr>
        <w:t xml:space="preserve">.  </w:t>
      </w:r>
      <w:r w:rsidR="00DC683A">
        <w:rPr>
          <w:rFonts w:ascii="Arial" w:hAnsi="Arial" w:cs="Arial"/>
          <w:sz w:val="22"/>
          <w:szCs w:val="22"/>
        </w:rPr>
        <w:t xml:space="preserve">Owing </w:t>
      </w:r>
      <w:r w:rsidR="004B28BE">
        <w:rPr>
          <w:rFonts w:ascii="Arial" w:hAnsi="Arial" w:cs="Arial"/>
          <w:sz w:val="22"/>
          <w:szCs w:val="22"/>
        </w:rPr>
        <w:t xml:space="preserve">to </w:t>
      </w:r>
      <w:r>
        <w:rPr>
          <w:rFonts w:ascii="Arial" w:hAnsi="Arial" w:cs="Arial"/>
          <w:sz w:val="22"/>
          <w:szCs w:val="22"/>
        </w:rPr>
        <w:t>unanticipated delays</w:t>
      </w:r>
      <w:r w:rsidR="004B28BE">
        <w:rPr>
          <w:rFonts w:ascii="Arial" w:hAnsi="Arial" w:cs="Arial"/>
          <w:sz w:val="22"/>
          <w:szCs w:val="22"/>
        </w:rPr>
        <w:t>,</w:t>
      </w:r>
      <w:r>
        <w:rPr>
          <w:rFonts w:ascii="Arial" w:hAnsi="Arial" w:cs="Arial"/>
          <w:sz w:val="22"/>
          <w:szCs w:val="22"/>
        </w:rPr>
        <w:t xml:space="preserve"> </w:t>
      </w:r>
      <w:r w:rsidR="004B28BE">
        <w:rPr>
          <w:rFonts w:ascii="Arial" w:hAnsi="Arial" w:cs="Arial"/>
          <w:sz w:val="22"/>
          <w:szCs w:val="22"/>
        </w:rPr>
        <w:t>the</w:t>
      </w:r>
      <w:r>
        <w:rPr>
          <w:rFonts w:ascii="Arial" w:hAnsi="Arial" w:cs="Arial"/>
          <w:sz w:val="22"/>
          <w:szCs w:val="22"/>
        </w:rPr>
        <w:t xml:space="preserve"> </w:t>
      </w:r>
      <w:r w:rsidR="004B28BE">
        <w:rPr>
          <w:rFonts w:ascii="Arial" w:hAnsi="Arial" w:cs="Arial"/>
          <w:sz w:val="22"/>
          <w:szCs w:val="22"/>
        </w:rPr>
        <w:t xml:space="preserve">recruitment for the fixed-term posts could not be completed before the expiration of the temporary appointments.  To ensure continuity of service, the temporary appointments were extended for six and five months respectively, </w:t>
      </w:r>
      <w:r w:rsidR="000A149E">
        <w:rPr>
          <w:rFonts w:ascii="Arial" w:hAnsi="Arial" w:cs="Arial"/>
          <w:sz w:val="22"/>
          <w:szCs w:val="22"/>
        </w:rPr>
        <w:t>to allow</w:t>
      </w:r>
      <w:r w:rsidR="004B28BE">
        <w:rPr>
          <w:rFonts w:ascii="Arial" w:hAnsi="Arial" w:cs="Arial"/>
          <w:sz w:val="22"/>
          <w:szCs w:val="22"/>
        </w:rPr>
        <w:t xml:space="preserve"> </w:t>
      </w:r>
      <w:r w:rsidR="008D3F81">
        <w:rPr>
          <w:rFonts w:ascii="Arial" w:hAnsi="Arial" w:cs="Arial"/>
          <w:sz w:val="22"/>
          <w:szCs w:val="22"/>
        </w:rPr>
        <w:t xml:space="preserve">for completion of </w:t>
      </w:r>
      <w:r w:rsidR="004B28BE">
        <w:rPr>
          <w:rFonts w:ascii="Arial" w:hAnsi="Arial" w:cs="Arial"/>
          <w:sz w:val="22"/>
          <w:szCs w:val="22"/>
        </w:rPr>
        <w:t xml:space="preserve">the selection process </w:t>
      </w:r>
      <w:r w:rsidR="00460946">
        <w:rPr>
          <w:rFonts w:ascii="Arial" w:hAnsi="Arial" w:cs="Arial"/>
          <w:sz w:val="22"/>
          <w:szCs w:val="22"/>
        </w:rPr>
        <w:t>for fixed-term appointments</w:t>
      </w:r>
      <w:r w:rsidR="004B28BE">
        <w:rPr>
          <w:rFonts w:ascii="Arial" w:hAnsi="Arial" w:cs="Arial"/>
          <w:sz w:val="22"/>
          <w:szCs w:val="22"/>
        </w:rPr>
        <w:t>.</w:t>
      </w:r>
    </w:p>
    <w:p w14:paraId="08E82FF5" w14:textId="77777777" w:rsidR="004B28BE" w:rsidRDefault="004B28BE" w:rsidP="00ED656C">
      <w:pPr>
        <w:pStyle w:val="ListParagraph"/>
        <w:ind w:left="851" w:hanging="284"/>
        <w:rPr>
          <w:rFonts w:ascii="Arial" w:hAnsi="Arial" w:cs="Arial"/>
          <w:sz w:val="22"/>
          <w:szCs w:val="22"/>
        </w:rPr>
      </w:pPr>
    </w:p>
    <w:p w14:paraId="4E849023" w14:textId="77777777" w:rsidR="004B28BE" w:rsidRDefault="004B28BE" w:rsidP="00ED656C">
      <w:pPr>
        <w:pStyle w:val="ListParagraph"/>
        <w:numPr>
          <w:ilvl w:val="0"/>
          <w:numId w:val="29"/>
        </w:numPr>
        <w:ind w:left="851" w:hanging="284"/>
        <w:rPr>
          <w:rFonts w:ascii="Arial" w:hAnsi="Arial" w:cs="Arial"/>
          <w:sz w:val="22"/>
          <w:szCs w:val="22"/>
        </w:rPr>
      </w:pPr>
      <w:r>
        <w:rPr>
          <w:rFonts w:ascii="Arial" w:hAnsi="Arial" w:cs="Arial"/>
          <w:sz w:val="22"/>
          <w:szCs w:val="22"/>
        </w:rPr>
        <w:t xml:space="preserve">One temporary appointment was extended to address the </w:t>
      </w:r>
      <w:r w:rsidR="007B5DCD">
        <w:rPr>
          <w:rFonts w:ascii="Arial" w:hAnsi="Arial" w:cs="Arial"/>
          <w:sz w:val="22"/>
          <w:szCs w:val="22"/>
        </w:rPr>
        <w:t>need to continue</w:t>
      </w:r>
      <w:r>
        <w:rPr>
          <w:rFonts w:ascii="Arial" w:hAnsi="Arial" w:cs="Arial"/>
          <w:sz w:val="22"/>
          <w:szCs w:val="22"/>
        </w:rPr>
        <w:t xml:space="preserve"> the temporary functions </w:t>
      </w:r>
      <w:r w:rsidRPr="005D2C96">
        <w:rPr>
          <w:rFonts w:ascii="Arial" w:hAnsi="Arial" w:cs="Arial"/>
          <w:sz w:val="22"/>
          <w:szCs w:val="22"/>
        </w:rPr>
        <w:t xml:space="preserve">for </w:t>
      </w:r>
      <w:r w:rsidR="007B5DCD" w:rsidRPr="005D2C96">
        <w:rPr>
          <w:rFonts w:ascii="Arial" w:hAnsi="Arial" w:cs="Arial"/>
          <w:sz w:val="22"/>
          <w:szCs w:val="22"/>
        </w:rPr>
        <w:t>six</w:t>
      </w:r>
      <w:r w:rsidRPr="005D2C96">
        <w:rPr>
          <w:rFonts w:ascii="Arial" w:hAnsi="Arial" w:cs="Arial"/>
          <w:sz w:val="22"/>
          <w:szCs w:val="22"/>
        </w:rPr>
        <w:t xml:space="preserve"> months more only.</w:t>
      </w:r>
    </w:p>
    <w:p w14:paraId="4E9A6927" w14:textId="77777777" w:rsidR="004B28BE" w:rsidRPr="004B28BE" w:rsidRDefault="004B28BE" w:rsidP="00ED656C">
      <w:pPr>
        <w:pStyle w:val="ListParagraph"/>
        <w:ind w:left="851" w:hanging="284"/>
        <w:rPr>
          <w:rFonts w:ascii="Arial" w:hAnsi="Arial" w:cs="Arial"/>
          <w:sz w:val="22"/>
          <w:szCs w:val="22"/>
        </w:rPr>
      </w:pPr>
    </w:p>
    <w:p w14:paraId="14C0E03A" w14:textId="1E57A167" w:rsidR="004B28BE" w:rsidRDefault="007B5DCD" w:rsidP="00ED656C">
      <w:pPr>
        <w:pStyle w:val="ListParagraph"/>
        <w:numPr>
          <w:ilvl w:val="0"/>
          <w:numId w:val="29"/>
        </w:numPr>
        <w:ind w:left="851" w:hanging="284"/>
        <w:rPr>
          <w:rFonts w:ascii="Arial" w:hAnsi="Arial" w:cs="Arial"/>
          <w:sz w:val="22"/>
          <w:szCs w:val="22"/>
        </w:rPr>
      </w:pPr>
      <w:r>
        <w:rPr>
          <w:rFonts w:ascii="Arial" w:hAnsi="Arial" w:cs="Arial"/>
          <w:sz w:val="22"/>
          <w:szCs w:val="22"/>
        </w:rPr>
        <w:t>One tempor</w:t>
      </w:r>
      <w:r w:rsidR="004B28BE">
        <w:rPr>
          <w:rFonts w:ascii="Arial" w:hAnsi="Arial" w:cs="Arial"/>
          <w:sz w:val="22"/>
          <w:szCs w:val="22"/>
        </w:rPr>
        <w:t xml:space="preserve">ary appointment was extended </w:t>
      </w:r>
      <w:r>
        <w:rPr>
          <w:rFonts w:ascii="Arial" w:hAnsi="Arial" w:cs="Arial"/>
          <w:sz w:val="22"/>
          <w:szCs w:val="22"/>
        </w:rPr>
        <w:t xml:space="preserve">for two months to allow the incumbent to complete the temporary mandate, which included a technical presentation of a </w:t>
      </w:r>
      <w:r w:rsidR="00837C99">
        <w:rPr>
          <w:rFonts w:ascii="Arial" w:hAnsi="Arial" w:cs="Arial"/>
          <w:sz w:val="22"/>
          <w:szCs w:val="22"/>
        </w:rPr>
        <w:lastRenderedPageBreak/>
        <w:t>newly launched</w:t>
      </w:r>
      <w:r>
        <w:rPr>
          <w:rFonts w:ascii="Arial" w:hAnsi="Arial" w:cs="Arial"/>
          <w:sz w:val="22"/>
          <w:szCs w:val="22"/>
        </w:rPr>
        <w:t xml:space="preserve"> WIPO project at a meeting organized by a stakeholder and scheduled on dates falling after the expiration of the temporary appointment.</w:t>
      </w:r>
      <w:r w:rsidR="00EC2D9E">
        <w:rPr>
          <w:rFonts w:ascii="Arial" w:hAnsi="Arial" w:cs="Arial"/>
          <w:sz w:val="22"/>
          <w:szCs w:val="22"/>
        </w:rPr>
        <w:t xml:space="preserve"> </w:t>
      </w:r>
    </w:p>
    <w:p w14:paraId="704CB7FE" w14:textId="237A7ACF" w:rsidR="00DE709A" w:rsidRPr="00695BAD" w:rsidRDefault="00DE709A" w:rsidP="00695BAD">
      <w:pPr>
        <w:pStyle w:val="Heading2"/>
        <w:numPr>
          <w:ilvl w:val="0"/>
          <w:numId w:val="36"/>
        </w:numPr>
        <w:tabs>
          <w:tab w:val="left" w:pos="540"/>
        </w:tabs>
        <w:ind w:left="0" w:firstLine="0"/>
        <w:rPr>
          <w:b/>
        </w:rPr>
      </w:pPr>
      <w:r w:rsidRPr="00695BAD">
        <w:rPr>
          <w:b/>
        </w:rPr>
        <w:t>OTHER STAFF MATTERS</w:t>
      </w:r>
    </w:p>
    <w:p w14:paraId="68CD1FCA" w14:textId="77777777" w:rsidR="00DE709A" w:rsidRPr="00482E17" w:rsidRDefault="00DE709A" w:rsidP="0021112C">
      <w:pPr>
        <w:pStyle w:val="Heading3"/>
        <w:spacing w:after="0"/>
        <w:ind w:left="540"/>
        <w:rPr>
          <w:u w:val="none"/>
        </w:rPr>
      </w:pPr>
      <w:r w:rsidRPr="00482E17">
        <w:rPr>
          <w:u w:val="none"/>
        </w:rPr>
        <w:t>GEOGRAPHICAL REPRESENTATION</w:t>
      </w:r>
    </w:p>
    <w:p w14:paraId="20497F39" w14:textId="77777777" w:rsidR="00DE709A" w:rsidRPr="00DE709A" w:rsidRDefault="00DE709A" w:rsidP="00DE709A">
      <w:pPr>
        <w:pStyle w:val="ListParagraph"/>
        <w:ind w:left="567"/>
        <w:rPr>
          <w:rFonts w:ascii="Arial" w:hAnsi="Arial" w:cs="Arial"/>
          <w:sz w:val="22"/>
          <w:szCs w:val="22"/>
        </w:rPr>
      </w:pPr>
    </w:p>
    <w:p w14:paraId="3EA26455" w14:textId="59F45850" w:rsidR="00DE709A" w:rsidRPr="00637471" w:rsidRDefault="00DE709A" w:rsidP="00DE709A">
      <w:pPr>
        <w:pStyle w:val="ListParagraph"/>
        <w:numPr>
          <w:ilvl w:val="0"/>
          <w:numId w:val="21"/>
        </w:numPr>
        <w:ind w:left="0" w:firstLine="0"/>
        <w:rPr>
          <w:rFonts w:ascii="Arial" w:hAnsi="Arial" w:cs="Arial"/>
          <w:sz w:val="22"/>
          <w:szCs w:val="22"/>
        </w:rPr>
      </w:pPr>
      <w:r>
        <w:rPr>
          <w:rFonts w:ascii="Arial" w:hAnsi="Arial" w:cs="Arial"/>
          <w:sz w:val="22"/>
          <w:szCs w:val="22"/>
        </w:rPr>
        <w:t xml:space="preserve">WIPO continues to improve </w:t>
      </w:r>
      <w:r w:rsidR="00CD0758">
        <w:rPr>
          <w:rFonts w:ascii="Arial" w:hAnsi="Arial" w:cs="Arial"/>
          <w:sz w:val="22"/>
          <w:szCs w:val="22"/>
        </w:rPr>
        <w:t>the</w:t>
      </w:r>
      <w:r>
        <w:rPr>
          <w:rFonts w:ascii="Arial" w:hAnsi="Arial" w:cs="Arial"/>
          <w:sz w:val="22"/>
          <w:szCs w:val="22"/>
        </w:rPr>
        <w:t xml:space="preserve"> geographical </w:t>
      </w:r>
      <w:r w:rsidR="00CD0758">
        <w:rPr>
          <w:rFonts w:ascii="Arial" w:hAnsi="Arial" w:cs="Arial"/>
          <w:sz w:val="22"/>
          <w:szCs w:val="22"/>
        </w:rPr>
        <w:t>distribution of</w:t>
      </w:r>
      <w:r>
        <w:rPr>
          <w:rFonts w:ascii="Arial" w:hAnsi="Arial" w:cs="Arial"/>
          <w:sz w:val="22"/>
          <w:szCs w:val="22"/>
        </w:rPr>
        <w:t xml:space="preserve"> its staff.  </w:t>
      </w:r>
      <w:r w:rsidRPr="00DE709A">
        <w:rPr>
          <w:rFonts w:ascii="Arial" w:hAnsi="Arial" w:cs="Arial"/>
          <w:sz w:val="22"/>
          <w:szCs w:val="22"/>
        </w:rPr>
        <w:t xml:space="preserve">For six consecutive years since 2013, </w:t>
      </w:r>
      <w:r w:rsidR="005C5AB1">
        <w:rPr>
          <w:rFonts w:ascii="Arial" w:hAnsi="Arial" w:cs="Arial"/>
          <w:sz w:val="22"/>
          <w:szCs w:val="22"/>
        </w:rPr>
        <w:t xml:space="preserve">the proportion of staff in </w:t>
      </w:r>
      <w:r w:rsidR="005C5AB1" w:rsidRPr="00DE709A">
        <w:rPr>
          <w:rFonts w:ascii="Arial" w:hAnsi="Arial" w:cs="Arial"/>
          <w:sz w:val="22"/>
          <w:szCs w:val="22"/>
        </w:rPr>
        <w:t xml:space="preserve">the Professional and higher categories </w:t>
      </w:r>
      <w:r w:rsidR="005C5AB1" w:rsidRPr="00637471">
        <w:rPr>
          <w:rFonts w:ascii="Arial" w:hAnsi="Arial" w:cs="Arial"/>
          <w:sz w:val="22"/>
          <w:szCs w:val="22"/>
        </w:rPr>
        <w:t xml:space="preserve">coming from one region (Western Europe) </w:t>
      </w:r>
      <w:r w:rsidR="00FF7988">
        <w:rPr>
          <w:rFonts w:ascii="Arial" w:hAnsi="Arial" w:cs="Arial"/>
          <w:sz w:val="22"/>
          <w:szCs w:val="22"/>
        </w:rPr>
        <w:t xml:space="preserve">has </w:t>
      </w:r>
      <w:r w:rsidR="00460946">
        <w:rPr>
          <w:rFonts w:ascii="Arial" w:hAnsi="Arial" w:cs="Arial"/>
          <w:sz w:val="22"/>
          <w:szCs w:val="22"/>
        </w:rPr>
        <w:t xml:space="preserve">declined and now stands at </w:t>
      </w:r>
      <w:r w:rsidR="006A1AB7">
        <w:rPr>
          <w:rFonts w:ascii="Arial" w:hAnsi="Arial" w:cs="Arial"/>
          <w:sz w:val="22"/>
          <w:szCs w:val="22"/>
        </w:rPr>
        <w:br/>
      </w:r>
      <w:r w:rsidR="00AE236A" w:rsidRPr="00AE236A">
        <w:rPr>
          <w:rFonts w:ascii="Arial" w:hAnsi="Arial" w:cs="Arial"/>
          <w:sz w:val="22"/>
          <w:szCs w:val="22"/>
        </w:rPr>
        <w:t>45.1</w:t>
      </w:r>
      <w:r w:rsidR="00030410" w:rsidRPr="00AE236A">
        <w:rPr>
          <w:rFonts w:ascii="Arial" w:hAnsi="Arial" w:cs="Arial"/>
          <w:sz w:val="22"/>
          <w:szCs w:val="22"/>
        </w:rPr>
        <w:t xml:space="preserve"> per cent as </w:t>
      </w:r>
      <w:r w:rsidR="008D3F81">
        <w:rPr>
          <w:rFonts w:ascii="Arial" w:hAnsi="Arial" w:cs="Arial"/>
          <w:sz w:val="22"/>
          <w:szCs w:val="22"/>
        </w:rPr>
        <w:t xml:space="preserve">of </w:t>
      </w:r>
      <w:r w:rsidR="00030410" w:rsidRPr="00AE236A">
        <w:rPr>
          <w:rFonts w:ascii="Arial" w:hAnsi="Arial" w:cs="Arial"/>
          <w:sz w:val="22"/>
          <w:szCs w:val="22"/>
        </w:rPr>
        <w:t>June 30, 2019</w:t>
      </w:r>
      <w:r w:rsidR="00FF7988" w:rsidRPr="00AE236A">
        <w:rPr>
          <w:rFonts w:ascii="Arial" w:hAnsi="Arial" w:cs="Arial"/>
          <w:sz w:val="22"/>
          <w:szCs w:val="22"/>
        </w:rPr>
        <w:t xml:space="preserve"> </w:t>
      </w:r>
      <w:r w:rsidR="00030410" w:rsidRPr="00AE236A">
        <w:rPr>
          <w:rFonts w:ascii="Arial" w:hAnsi="Arial" w:cs="Arial"/>
          <w:sz w:val="22"/>
          <w:szCs w:val="22"/>
        </w:rPr>
        <w:t>(Tables 8 and 8</w:t>
      </w:r>
      <w:r w:rsidR="005C5AB1" w:rsidRPr="00637471">
        <w:rPr>
          <w:rFonts w:ascii="Arial" w:hAnsi="Arial" w:cs="Arial"/>
          <w:sz w:val="22"/>
          <w:szCs w:val="22"/>
        </w:rPr>
        <w:t>a)</w:t>
      </w:r>
      <w:r w:rsidR="00B140E7">
        <w:rPr>
          <w:rFonts w:ascii="Arial" w:hAnsi="Arial" w:cs="Arial"/>
          <w:sz w:val="22"/>
          <w:szCs w:val="22"/>
        </w:rPr>
        <w:t>, compared to 49.2 per cent i</w:t>
      </w:r>
      <w:r w:rsidR="00460946">
        <w:rPr>
          <w:rFonts w:ascii="Arial" w:hAnsi="Arial" w:cs="Arial"/>
          <w:sz w:val="22"/>
          <w:szCs w:val="22"/>
        </w:rPr>
        <w:t>n 2013.  This resulted in</w:t>
      </w:r>
      <w:r w:rsidR="00250A68">
        <w:rPr>
          <w:rFonts w:ascii="Arial" w:hAnsi="Arial" w:cs="Arial"/>
          <w:sz w:val="22"/>
          <w:szCs w:val="22"/>
        </w:rPr>
        <w:t xml:space="preserve"> increased representation from</w:t>
      </w:r>
      <w:r w:rsidR="005C5AB1" w:rsidRPr="00637471">
        <w:rPr>
          <w:rFonts w:ascii="Arial" w:hAnsi="Arial" w:cs="Arial"/>
          <w:sz w:val="22"/>
          <w:szCs w:val="22"/>
        </w:rPr>
        <w:t xml:space="preserve"> other geographical regions</w:t>
      </w:r>
      <w:r w:rsidR="00460946">
        <w:rPr>
          <w:rFonts w:ascii="Arial" w:hAnsi="Arial" w:cs="Arial"/>
          <w:sz w:val="22"/>
          <w:szCs w:val="22"/>
        </w:rPr>
        <w:t>.</w:t>
      </w:r>
    </w:p>
    <w:p w14:paraId="76EFD450" w14:textId="77777777" w:rsidR="00426A50" w:rsidRPr="00637471" w:rsidRDefault="00426A50" w:rsidP="00426A50">
      <w:pPr>
        <w:pStyle w:val="ListParagraph"/>
        <w:ind w:left="0"/>
        <w:rPr>
          <w:rFonts w:ascii="Arial" w:hAnsi="Arial" w:cs="Arial"/>
          <w:sz w:val="22"/>
          <w:szCs w:val="22"/>
        </w:rPr>
      </w:pPr>
    </w:p>
    <w:p w14:paraId="69B0ED2F" w14:textId="1D5C07EF" w:rsidR="00C65141" w:rsidRDefault="00030410" w:rsidP="00426A50">
      <w:pPr>
        <w:pStyle w:val="ListParagraph"/>
        <w:numPr>
          <w:ilvl w:val="0"/>
          <w:numId w:val="21"/>
        </w:numPr>
        <w:ind w:left="0" w:firstLine="0"/>
        <w:rPr>
          <w:rFonts w:ascii="Arial" w:hAnsi="Arial" w:cs="Arial"/>
          <w:sz w:val="22"/>
          <w:szCs w:val="22"/>
        </w:rPr>
      </w:pPr>
      <w:r w:rsidRPr="00030410">
        <w:rPr>
          <w:rFonts w:ascii="Arial" w:hAnsi="Arial" w:cs="Arial"/>
          <w:sz w:val="22"/>
          <w:szCs w:val="22"/>
        </w:rPr>
        <w:t xml:space="preserve">There </w:t>
      </w:r>
      <w:r w:rsidR="00450B52">
        <w:rPr>
          <w:rFonts w:ascii="Arial" w:hAnsi="Arial" w:cs="Arial"/>
          <w:sz w:val="22"/>
          <w:szCs w:val="22"/>
        </w:rPr>
        <w:t>were</w:t>
      </w:r>
      <w:r w:rsidRPr="00030410">
        <w:rPr>
          <w:rFonts w:ascii="Arial" w:hAnsi="Arial" w:cs="Arial"/>
          <w:sz w:val="22"/>
          <w:szCs w:val="22"/>
        </w:rPr>
        <w:t xml:space="preserve"> </w:t>
      </w:r>
      <w:r w:rsidR="00DE709A" w:rsidRPr="00AE236A">
        <w:rPr>
          <w:rFonts w:ascii="Arial" w:hAnsi="Arial" w:cs="Arial"/>
          <w:sz w:val="22"/>
          <w:szCs w:val="22"/>
        </w:rPr>
        <w:t>12</w:t>
      </w:r>
      <w:r w:rsidR="00AE236A" w:rsidRPr="00AE236A">
        <w:rPr>
          <w:rFonts w:ascii="Arial" w:hAnsi="Arial" w:cs="Arial"/>
          <w:sz w:val="22"/>
          <w:szCs w:val="22"/>
        </w:rPr>
        <w:t>3</w:t>
      </w:r>
      <w:r w:rsidR="00DE709A" w:rsidRPr="00AE236A">
        <w:rPr>
          <w:rFonts w:ascii="Arial" w:hAnsi="Arial" w:cs="Arial"/>
          <w:sz w:val="22"/>
          <w:szCs w:val="22"/>
        </w:rPr>
        <w:t xml:space="preserve"> nationalities repr</w:t>
      </w:r>
      <w:r w:rsidR="00426A50" w:rsidRPr="00AE236A">
        <w:rPr>
          <w:rFonts w:ascii="Arial" w:hAnsi="Arial" w:cs="Arial"/>
          <w:sz w:val="22"/>
          <w:szCs w:val="22"/>
        </w:rPr>
        <w:t>esented among WIPO</w:t>
      </w:r>
      <w:r w:rsidR="00426A50" w:rsidRPr="00637471">
        <w:rPr>
          <w:rFonts w:ascii="Arial" w:hAnsi="Arial" w:cs="Arial"/>
          <w:sz w:val="22"/>
          <w:szCs w:val="22"/>
        </w:rPr>
        <w:t xml:space="preserve"> staff </w:t>
      </w:r>
      <w:r w:rsidR="00EC45A7">
        <w:rPr>
          <w:rFonts w:ascii="Arial" w:hAnsi="Arial" w:cs="Arial"/>
          <w:sz w:val="22"/>
          <w:szCs w:val="22"/>
        </w:rPr>
        <w:t xml:space="preserve">as at the end of 2018 </w:t>
      </w:r>
      <w:r w:rsidR="00EC45A7" w:rsidRPr="00637471">
        <w:rPr>
          <w:rFonts w:ascii="Arial" w:hAnsi="Arial" w:cs="Arial"/>
          <w:sz w:val="22"/>
          <w:szCs w:val="22"/>
        </w:rPr>
        <w:t xml:space="preserve">(Table </w:t>
      </w:r>
      <w:r w:rsidR="00EC45A7">
        <w:rPr>
          <w:rFonts w:ascii="Arial" w:hAnsi="Arial" w:cs="Arial"/>
          <w:sz w:val="22"/>
          <w:szCs w:val="22"/>
        </w:rPr>
        <w:t>9</w:t>
      </w:r>
      <w:r w:rsidR="00EC45A7" w:rsidRPr="00637471">
        <w:rPr>
          <w:rFonts w:ascii="Arial" w:hAnsi="Arial" w:cs="Arial"/>
          <w:sz w:val="22"/>
          <w:szCs w:val="22"/>
        </w:rPr>
        <w:t>)</w:t>
      </w:r>
      <w:r w:rsidR="00EC45A7">
        <w:rPr>
          <w:rFonts w:ascii="Arial" w:hAnsi="Arial" w:cs="Arial"/>
          <w:sz w:val="22"/>
          <w:szCs w:val="22"/>
        </w:rPr>
        <w:t xml:space="preserve">, </w:t>
      </w:r>
      <w:r w:rsidR="00DE709A" w:rsidRPr="00637471">
        <w:rPr>
          <w:rFonts w:ascii="Arial" w:hAnsi="Arial" w:cs="Arial"/>
          <w:sz w:val="22"/>
          <w:szCs w:val="22"/>
        </w:rPr>
        <w:t xml:space="preserve">up from 118 </w:t>
      </w:r>
      <w:r w:rsidR="00DC683A">
        <w:rPr>
          <w:rFonts w:ascii="Arial" w:hAnsi="Arial" w:cs="Arial"/>
          <w:sz w:val="22"/>
          <w:szCs w:val="22"/>
        </w:rPr>
        <w:t>during</w:t>
      </w:r>
      <w:r w:rsidR="00DC683A" w:rsidRPr="00637471">
        <w:rPr>
          <w:rFonts w:ascii="Arial" w:hAnsi="Arial" w:cs="Arial"/>
          <w:sz w:val="22"/>
          <w:szCs w:val="22"/>
        </w:rPr>
        <w:t xml:space="preserve"> </w:t>
      </w:r>
      <w:r w:rsidR="00DE709A" w:rsidRPr="00637471">
        <w:rPr>
          <w:rFonts w:ascii="Arial" w:hAnsi="Arial" w:cs="Arial"/>
          <w:sz w:val="22"/>
          <w:szCs w:val="22"/>
        </w:rPr>
        <w:t xml:space="preserve">the same period last year.  Of these, </w:t>
      </w:r>
      <w:r w:rsidR="00AE236A">
        <w:rPr>
          <w:rFonts w:ascii="Arial" w:hAnsi="Arial" w:cs="Arial"/>
          <w:sz w:val="22"/>
          <w:szCs w:val="22"/>
        </w:rPr>
        <w:t>six</w:t>
      </w:r>
      <w:r w:rsidR="00DE709A" w:rsidRPr="00637471">
        <w:rPr>
          <w:rFonts w:ascii="Arial" w:hAnsi="Arial" w:cs="Arial"/>
          <w:sz w:val="22"/>
          <w:szCs w:val="22"/>
        </w:rPr>
        <w:t xml:space="preserve"> Member States are newly represented:  Albania, </w:t>
      </w:r>
      <w:r w:rsidR="004C0F16">
        <w:rPr>
          <w:rFonts w:ascii="Arial" w:hAnsi="Arial" w:cs="Arial"/>
          <w:sz w:val="22"/>
          <w:szCs w:val="22"/>
        </w:rPr>
        <w:t xml:space="preserve">Mauritania, </w:t>
      </w:r>
      <w:r w:rsidR="00DE709A" w:rsidRPr="00637471">
        <w:rPr>
          <w:rFonts w:ascii="Arial" w:hAnsi="Arial" w:cs="Arial"/>
          <w:sz w:val="22"/>
          <w:szCs w:val="22"/>
        </w:rPr>
        <w:t xml:space="preserve">Mozambique, </w:t>
      </w:r>
      <w:r w:rsidR="00B140E7">
        <w:rPr>
          <w:rFonts w:ascii="Arial" w:hAnsi="Arial" w:cs="Arial"/>
          <w:sz w:val="22"/>
          <w:szCs w:val="22"/>
        </w:rPr>
        <w:t xml:space="preserve">Sudan, </w:t>
      </w:r>
      <w:r w:rsidR="00DE709A" w:rsidRPr="00637471">
        <w:rPr>
          <w:rFonts w:ascii="Arial" w:hAnsi="Arial" w:cs="Arial"/>
          <w:sz w:val="22"/>
          <w:szCs w:val="22"/>
        </w:rPr>
        <w:t>Thailand</w:t>
      </w:r>
      <w:r w:rsidR="00B140E7">
        <w:rPr>
          <w:rFonts w:ascii="Arial" w:hAnsi="Arial" w:cs="Arial"/>
          <w:sz w:val="22"/>
          <w:szCs w:val="22"/>
        </w:rPr>
        <w:t xml:space="preserve"> and Uzbekistan</w:t>
      </w:r>
      <w:r w:rsidR="00DE709A" w:rsidRPr="00637471">
        <w:rPr>
          <w:rFonts w:ascii="Arial" w:hAnsi="Arial" w:cs="Arial"/>
          <w:sz w:val="22"/>
          <w:szCs w:val="22"/>
        </w:rPr>
        <w:t>.</w:t>
      </w:r>
      <w:r w:rsidR="008E4199">
        <w:rPr>
          <w:rFonts w:ascii="Arial" w:hAnsi="Arial" w:cs="Arial"/>
          <w:sz w:val="22"/>
          <w:szCs w:val="22"/>
        </w:rPr>
        <w:t xml:space="preserve">  </w:t>
      </w:r>
      <w:r w:rsidR="005129CA">
        <w:rPr>
          <w:rFonts w:ascii="Arial" w:hAnsi="Arial" w:cs="Arial"/>
          <w:sz w:val="22"/>
          <w:szCs w:val="22"/>
        </w:rPr>
        <w:t xml:space="preserve">Other data show encouraging recent trends.  </w:t>
      </w:r>
      <w:r w:rsidR="008E4199" w:rsidRPr="00484327">
        <w:rPr>
          <w:rFonts w:ascii="Arial" w:hAnsi="Arial" w:cs="Arial"/>
          <w:sz w:val="22"/>
          <w:szCs w:val="22"/>
        </w:rPr>
        <w:t xml:space="preserve">New hires from unrepresented countries or underrepresented regions for fixed-term positions in the Professional and Director categories </w:t>
      </w:r>
      <w:r w:rsidR="00450B52" w:rsidRPr="00484327">
        <w:rPr>
          <w:rFonts w:ascii="Arial" w:hAnsi="Arial" w:cs="Arial"/>
          <w:sz w:val="22"/>
          <w:szCs w:val="22"/>
        </w:rPr>
        <w:t>have</w:t>
      </w:r>
      <w:r w:rsidR="008E4199" w:rsidRPr="00484327">
        <w:rPr>
          <w:rFonts w:ascii="Arial" w:hAnsi="Arial" w:cs="Arial"/>
          <w:sz w:val="22"/>
          <w:szCs w:val="22"/>
        </w:rPr>
        <w:t xml:space="preserve"> been increasing since 2016 (Table 19)</w:t>
      </w:r>
      <w:r w:rsidR="005129CA" w:rsidRPr="00484327">
        <w:rPr>
          <w:rFonts w:ascii="Arial" w:hAnsi="Arial" w:cs="Arial"/>
          <w:sz w:val="22"/>
          <w:szCs w:val="22"/>
        </w:rPr>
        <w:t>.</w:t>
      </w:r>
      <w:r w:rsidR="005129CA">
        <w:rPr>
          <w:rFonts w:ascii="Arial" w:hAnsi="Arial" w:cs="Arial"/>
          <w:sz w:val="22"/>
          <w:szCs w:val="22"/>
        </w:rPr>
        <w:t xml:space="preserve">  At the same time,</w:t>
      </w:r>
      <w:r w:rsidR="008F427B">
        <w:rPr>
          <w:rFonts w:ascii="Arial" w:hAnsi="Arial" w:cs="Arial"/>
          <w:sz w:val="22"/>
          <w:szCs w:val="22"/>
        </w:rPr>
        <w:t xml:space="preserve"> </w:t>
      </w:r>
      <w:r w:rsidR="005129CA">
        <w:rPr>
          <w:rFonts w:ascii="Arial" w:hAnsi="Arial" w:cs="Arial"/>
          <w:sz w:val="22"/>
          <w:szCs w:val="22"/>
        </w:rPr>
        <w:t xml:space="preserve">the total number of </w:t>
      </w:r>
      <w:r w:rsidR="008F427B">
        <w:rPr>
          <w:rFonts w:ascii="Arial" w:hAnsi="Arial" w:cs="Arial"/>
          <w:sz w:val="22"/>
          <w:szCs w:val="22"/>
        </w:rPr>
        <w:t>applications from unrepresented Member States continue</w:t>
      </w:r>
      <w:r w:rsidR="00450B52">
        <w:rPr>
          <w:rFonts w:ascii="Arial" w:hAnsi="Arial" w:cs="Arial"/>
          <w:sz w:val="22"/>
          <w:szCs w:val="22"/>
        </w:rPr>
        <w:t>s</w:t>
      </w:r>
      <w:r w:rsidR="008F427B">
        <w:rPr>
          <w:rFonts w:ascii="Arial" w:hAnsi="Arial" w:cs="Arial"/>
          <w:sz w:val="22"/>
          <w:szCs w:val="22"/>
        </w:rPr>
        <w:t xml:space="preserve"> to increase</w:t>
      </w:r>
      <w:r w:rsidR="005129CA">
        <w:rPr>
          <w:rFonts w:ascii="Arial" w:hAnsi="Arial" w:cs="Arial"/>
          <w:sz w:val="22"/>
          <w:szCs w:val="22"/>
        </w:rPr>
        <w:t xml:space="preserve">;  notably </w:t>
      </w:r>
      <w:r w:rsidR="005129CA" w:rsidRPr="00D05CB1">
        <w:rPr>
          <w:rFonts w:ascii="Arial" w:hAnsi="Arial" w:cs="Arial"/>
          <w:sz w:val="22"/>
          <w:szCs w:val="22"/>
        </w:rPr>
        <w:t xml:space="preserve">in </w:t>
      </w:r>
      <w:r w:rsidR="008F427B" w:rsidRPr="00D05CB1">
        <w:rPr>
          <w:rFonts w:ascii="Arial" w:hAnsi="Arial" w:cs="Arial"/>
          <w:sz w:val="22"/>
          <w:szCs w:val="22"/>
        </w:rPr>
        <w:t>2018</w:t>
      </w:r>
      <w:r w:rsidR="005129CA" w:rsidRPr="00D05CB1">
        <w:rPr>
          <w:rFonts w:ascii="Arial" w:hAnsi="Arial" w:cs="Arial"/>
          <w:sz w:val="22"/>
          <w:szCs w:val="22"/>
        </w:rPr>
        <w:t xml:space="preserve">, such applications were </w:t>
      </w:r>
      <w:r w:rsidR="006B3C74" w:rsidRPr="00D05CB1">
        <w:rPr>
          <w:rFonts w:ascii="Arial" w:hAnsi="Arial" w:cs="Arial"/>
          <w:sz w:val="22"/>
          <w:szCs w:val="22"/>
        </w:rPr>
        <w:t xml:space="preserve">much higher than in 2017 </w:t>
      </w:r>
      <w:r w:rsidR="00AE236A" w:rsidRPr="00D05CB1">
        <w:rPr>
          <w:rFonts w:ascii="Arial" w:hAnsi="Arial" w:cs="Arial"/>
          <w:sz w:val="22"/>
          <w:szCs w:val="22"/>
        </w:rPr>
        <w:t xml:space="preserve">(by 21.5 per cent) and </w:t>
      </w:r>
      <w:r w:rsidR="006B3C74" w:rsidRPr="00D05CB1">
        <w:rPr>
          <w:rFonts w:ascii="Arial" w:hAnsi="Arial" w:cs="Arial"/>
          <w:sz w:val="22"/>
          <w:szCs w:val="22"/>
        </w:rPr>
        <w:t>in 2016</w:t>
      </w:r>
      <w:r w:rsidR="00AE236A" w:rsidRPr="00D05CB1">
        <w:rPr>
          <w:rFonts w:ascii="Arial" w:hAnsi="Arial" w:cs="Arial"/>
          <w:sz w:val="22"/>
          <w:szCs w:val="22"/>
        </w:rPr>
        <w:t xml:space="preserve"> (by </w:t>
      </w:r>
      <w:r w:rsidR="00ED656C">
        <w:rPr>
          <w:rFonts w:ascii="Arial" w:hAnsi="Arial" w:cs="Arial"/>
          <w:sz w:val="22"/>
          <w:szCs w:val="22"/>
        </w:rPr>
        <w:br/>
      </w:r>
      <w:r w:rsidR="00AE236A" w:rsidRPr="00D05CB1">
        <w:rPr>
          <w:rFonts w:ascii="Arial" w:hAnsi="Arial" w:cs="Arial"/>
          <w:sz w:val="22"/>
          <w:szCs w:val="22"/>
        </w:rPr>
        <w:t xml:space="preserve">26 per cent) </w:t>
      </w:r>
      <w:r w:rsidR="008F427B" w:rsidRPr="00D05CB1">
        <w:rPr>
          <w:rFonts w:ascii="Arial" w:hAnsi="Arial" w:cs="Arial"/>
          <w:sz w:val="22"/>
          <w:szCs w:val="22"/>
        </w:rPr>
        <w:t xml:space="preserve"> (Table 1</w:t>
      </w:r>
      <w:r w:rsidR="006B3C74" w:rsidRPr="00D05CB1">
        <w:rPr>
          <w:rFonts w:ascii="Arial" w:hAnsi="Arial" w:cs="Arial"/>
          <w:sz w:val="22"/>
          <w:szCs w:val="22"/>
        </w:rPr>
        <w:t>7</w:t>
      </w:r>
      <w:r w:rsidR="008F427B" w:rsidRPr="00D05CB1">
        <w:rPr>
          <w:rFonts w:ascii="Arial" w:hAnsi="Arial" w:cs="Arial"/>
          <w:sz w:val="22"/>
          <w:szCs w:val="22"/>
        </w:rPr>
        <w:t>).</w:t>
      </w:r>
      <w:r w:rsidR="008F427B" w:rsidRPr="00D05CB1">
        <w:rPr>
          <w:rStyle w:val="FootnoteReference"/>
          <w:rFonts w:ascii="Arial" w:hAnsi="Arial" w:cs="Arial"/>
          <w:sz w:val="22"/>
          <w:szCs w:val="22"/>
        </w:rPr>
        <w:footnoteReference w:id="18"/>
      </w:r>
    </w:p>
    <w:p w14:paraId="23B9943E" w14:textId="77777777" w:rsidR="00853A3E" w:rsidRPr="00853A3E" w:rsidRDefault="00853A3E" w:rsidP="00853A3E">
      <w:pPr>
        <w:pStyle w:val="ListParagraph"/>
        <w:rPr>
          <w:rFonts w:ascii="Arial" w:hAnsi="Arial" w:cs="Arial"/>
          <w:sz w:val="22"/>
          <w:szCs w:val="22"/>
        </w:rPr>
      </w:pPr>
    </w:p>
    <w:p w14:paraId="6307223E" w14:textId="3B0AD70F" w:rsidR="00853A3E" w:rsidRDefault="00853A3E" w:rsidP="00426A50">
      <w:pPr>
        <w:pStyle w:val="ListParagraph"/>
        <w:numPr>
          <w:ilvl w:val="0"/>
          <w:numId w:val="21"/>
        </w:numPr>
        <w:ind w:left="0" w:firstLine="0"/>
        <w:rPr>
          <w:rFonts w:ascii="Arial" w:hAnsi="Arial" w:cs="Arial"/>
          <w:sz w:val="22"/>
          <w:szCs w:val="22"/>
        </w:rPr>
      </w:pPr>
      <w:r>
        <w:rPr>
          <w:rFonts w:ascii="Arial" w:hAnsi="Arial" w:cs="Arial"/>
          <w:sz w:val="22"/>
          <w:szCs w:val="22"/>
        </w:rPr>
        <w:t>Renewed e</w:t>
      </w:r>
      <w:r w:rsidRPr="00637471">
        <w:rPr>
          <w:rFonts w:ascii="Arial" w:hAnsi="Arial" w:cs="Arial"/>
          <w:sz w:val="22"/>
          <w:szCs w:val="22"/>
        </w:rPr>
        <w:t>fforts a</w:t>
      </w:r>
      <w:r>
        <w:rPr>
          <w:rFonts w:ascii="Arial" w:hAnsi="Arial" w:cs="Arial"/>
          <w:sz w:val="22"/>
          <w:szCs w:val="22"/>
        </w:rPr>
        <w:t xml:space="preserve">re under way to reignite support for and </w:t>
      </w:r>
      <w:r w:rsidRPr="00637471">
        <w:rPr>
          <w:rFonts w:ascii="Arial" w:hAnsi="Arial" w:cs="Arial"/>
          <w:sz w:val="22"/>
          <w:szCs w:val="22"/>
        </w:rPr>
        <w:t>interest in the Focal Point initiative endorsed by the WIPO Coordination Committee in 2016</w:t>
      </w:r>
      <w:r>
        <w:rPr>
          <w:rFonts w:ascii="Arial" w:hAnsi="Arial" w:cs="Arial"/>
          <w:sz w:val="22"/>
          <w:szCs w:val="22"/>
        </w:rPr>
        <w:t xml:space="preserve"> in relation to improving geographical representation among WIPO staff</w:t>
      </w:r>
      <w:r w:rsidRPr="00637471">
        <w:rPr>
          <w:rFonts w:ascii="Arial" w:hAnsi="Arial" w:cs="Arial"/>
          <w:sz w:val="22"/>
          <w:szCs w:val="22"/>
        </w:rPr>
        <w:t>,</w:t>
      </w:r>
      <w:r>
        <w:rPr>
          <w:rStyle w:val="FootnoteReference"/>
          <w:rFonts w:ascii="Arial" w:hAnsi="Arial" w:cs="Arial"/>
          <w:sz w:val="22"/>
          <w:szCs w:val="22"/>
        </w:rPr>
        <w:footnoteReference w:id="19"/>
      </w:r>
      <w:r w:rsidRPr="00637471">
        <w:rPr>
          <w:rFonts w:ascii="Arial" w:hAnsi="Arial" w:cs="Arial"/>
          <w:sz w:val="22"/>
          <w:szCs w:val="22"/>
        </w:rPr>
        <w:t xml:space="preserve"> </w:t>
      </w:r>
      <w:r w:rsidR="00A709AC">
        <w:rPr>
          <w:rFonts w:ascii="Arial" w:hAnsi="Arial" w:cs="Arial"/>
          <w:sz w:val="22"/>
          <w:szCs w:val="22"/>
        </w:rPr>
        <w:t xml:space="preserve">and </w:t>
      </w:r>
      <w:r w:rsidRPr="00637471">
        <w:rPr>
          <w:rFonts w:ascii="Arial" w:hAnsi="Arial" w:cs="Arial"/>
          <w:sz w:val="22"/>
          <w:szCs w:val="22"/>
        </w:rPr>
        <w:t xml:space="preserve">founded on the premise that participation and engagement of unrepresented Member States and underrepresented regions are </w:t>
      </w:r>
      <w:r>
        <w:rPr>
          <w:rFonts w:ascii="Arial" w:hAnsi="Arial" w:cs="Arial"/>
          <w:sz w:val="22"/>
          <w:szCs w:val="22"/>
        </w:rPr>
        <w:t>key to</w:t>
      </w:r>
      <w:r w:rsidRPr="00637471">
        <w:rPr>
          <w:rFonts w:ascii="Arial" w:hAnsi="Arial" w:cs="Arial"/>
          <w:sz w:val="22"/>
          <w:szCs w:val="22"/>
        </w:rPr>
        <w:t xml:space="preserve"> assist</w:t>
      </w:r>
      <w:r>
        <w:rPr>
          <w:rFonts w:ascii="Arial" w:hAnsi="Arial" w:cs="Arial"/>
          <w:sz w:val="22"/>
          <w:szCs w:val="22"/>
        </w:rPr>
        <w:t>ing</w:t>
      </w:r>
      <w:r w:rsidRPr="00637471">
        <w:rPr>
          <w:rFonts w:ascii="Arial" w:hAnsi="Arial" w:cs="Arial"/>
          <w:sz w:val="22"/>
          <w:szCs w:val="22"/>
        </w:rPr>
        <w:t xml:space="preserve"> WIPO in achieving its diversity goals.  </w:t>
      </w:r>
      <w:r w:rsidRPr="00AE236A">
        <w:rPr>
          <w:rFonts w:ascii="Arial" w:hAnsi="Arial" w:cs="Arial"/>
          <w:sz w:val="22"/>
          <w:szCs w:val="22"/>
        </w:rPr>
        <w:t xml:space="preserve">By June 2019, </w:t>
      </w:r>
      <w:r w:rsidR="00ED656C">
        <w:rPr>
          <w:rFonts w:ascii="Arial" w:hAnsi="Arial" w:cs="Arial"/>
          <w:sz w:val="22"/>
          <w:szCs w:val="22"/>
        </w:rPr>
        <w:br/>
      </w:r>
      <w:r w:rsidRPr="00AE236A">
        <w:rPr>
          <w:rFonts w:ascii="Arial" w:hAnsi="Arial" w:cs="Arial"/>
          <w:sz w:val="22"/>
          <w:szCs w:val="22"/>
        </w:rPr>
        <w:t>46 Member States have nominated Focal Points, including 14 new ones in the first half of 2019.  Further</w:t>
      </w:r>
      <w:r w:rsidRPr="00637471">
        <w:rPr>
          <w:rFonts w:ascii="Arial" w:hAnsi="Arial" w:cs="Arial"/>
          <w:sz w:val="22"/>
          <w:szCs w:val="22"/>
        </w:rPr>
        <w:t xml:space="preserve"> engagement with these Focal Points</w:t>
      </w:r>
      <w:r w:rsidRPr="00637471" w:rsidDel="00DC683A">
        <w:rPr>
          <w:rFonts w:ascii="Arial" w:hAnsi="Arial" w:cs="Arial"/>
          <w:sz w:val="22"/>
          <w:szCs w:val="22"/>
        </w:rPr>
        <w:t xml:space="preserve"> </w:t>
      </w:r>
      <w:r>
        <w:rPr>
          <w:rFonts w:ascii="Arial" w:hAnsi="Arial" w:cs="Arial"/>
          <w:sz w:val="22"/>
          <w:szCs w:val="22"/>
        </w:rPr>
        <w:t>is ongoing</w:t>
      </w:r>
      <w:r w:rsidRPr="00637471">
        <w:rPr>
          <w:rFonts w:ascii="Arial" w:hAnsi="Arial" w:cs="Arial"/>
          <w:sz w:val="22"/>
          <w:szCs w:val="22"/>
        </w:rPr>
        <w:t>.</w:t>
      </w:r>
    </w:p>
    <w:p w14:paraId="022E13F9" w14:textId="77777777" w:rsidR="00853A3E" w:rsidRPr="00853A3E" w:rsidRDefault="00853A3E" w:rsidP="00853A3E">
      <w:pPr>
        <w:pStyle w:val="ListParagraph"/>
        <w:rPr>
          <w:rFonts w:ascii="Arial" w:hAnsi="Arial" w:cs="Arial"/>
          <w:sz w:val="22"/>
          <w:szCs w:val="22"/>
        </w:rPr>
      </w:pPr>
    </w:p>
    <w:p w14:paraId="578E1E52" w14:textId="2DB8DF36" w:rsidR="00853A3E" w:rsidRPr="00D05CB1" w:rsidRDefault="00853A3E" w:rsidP="00426A50">
      <w:pPr>
        <w:pStyle w:val="ListParagraph"/>
        <w:numPr>
          <w:ilvl w:val="0"/>
          <w:numId w:val="21"/>
        </w:numPr>
        <w:ind w:left="0" w:firstLine="0"/>
        <w:rPr>
          <w:rFonts w:ascii="Arial" w:hAnsi="Arial" w:cs="Arial"/>
          <w:sz w:val="22"/>
          <w:szCs w:val="22"/>
        </w:rPr>
      </w:pPr>
      <w:r>
        <w:rPr>
          <w:rFonts w:ascii="Arial" w:hAnsi="Arial" w:cs="Arial"/>
          <w:sz w:val="22"/>
          <w:szCs w:val="22"/>
        </w:rPr>
        <w:t>In an effort to increase o</w:t>
      </w:r>
      <w:r w:rsidRPr="00C95D5D">
        <w:rPr>
          <w:rFonts w:ascii="Arial" w:hAnsi="Arial" w:cs="Arial"/>
          <w:sz w:val="22"/>
          <w:szCs w:val="22"/>
        </w:rPr>
        <w:t xml:space="preserve">utreach </w:t>
      </w:r>
      <w:r>
        <w:rPr>
          <w:rFonts w:ascii="Arial" w:hAnsi="Arial" w:cs="Arial"/>
          <w:sz w:val="22"/>
          <w:szCs w:val="22"/>
        </w:rPr>
        <w:t>to unrepresented Member States, HRMD has collaborated with other departments to conduct outreach to potential applicants within the context of WIPO organized events in these countries</w:t>
      </w:r>
      <w:r w:rsidRPr="00C95D5D">
        <w:rPr>
          <w:rFonts w:ascii="Arial" w:hAnsi="Arial" w:cs="Arial"/>
          <w:sz w:val="22"/>
          <w:szCs w:val="22"/>
        </w:rPr>
        <w:t xml:space="preserve">. </w:t>
      </w:r>
      <w:r>
        <w:rPr>
          <w:rFonts w:ascii="Arial" w:hAnsi="Arial" w:cs="Arial"/>
          <w:sz w:val="22"/>
          <w:szCs w:val="22"/>
        </w:rPr>
        <w:t xml:space="preserve"> </w:t>
      </w:r>
      <w:r w:rsidRPr="00C95D5D">
        <w:rPr>
          <w:rFonts w:ascii="Arial" w:hAnsi="Arial" w:cs="Arial"/>
          <w:sz w:val="22"/>
          <w:szCs w:val="22"/>
        </w:rPr>
        <w:t>T</w:t>
      </w:r>
      <w:r>
        <w:rPr>
          <w:rFonts w:ascii="Arial" w:hAnsi="Arial" w:cs="Arial"/>
          <w:sz w:val="22"/>
          <w:szCs w:val="22"/>
        </w:rPr>
        <w:t>his outreach took place in t</w:t>
      </w:r>
      <w:r w:rsidRPr="00C95D5D">
        <w:rPr>
          <w:rFonts w:ascii="Arial" w:hAnsi="Arial" w:cs="Arial"/>
          <w:sz w:val="22"/>
          <w:szCs w:val="22"/>
        </w:rPr>
        <w:t xml:space="preserve">hree </w:t>
      </w:r>
      <w:r>
        <w:rPr>
          <w:rFonts w:ascii="Arial" w:hAnsi="Arial" w:cs="Arial"/>
          <w:sz w:val="22"/>
          <w:szCs w:val="22"/>
        </w:rPr>
        <w:t xml:space="preserve">countries in the first half of 2019: </w:t>
      </w:r>
      <w:r w:rsidRPr="00C95D5D">
        <w:rPr>
          <w:rFonts w:ascii="Arial" w:hAnsi="Arial" w:cs="Arial"/>
          <w:sz w:val="22"/>
          <w:szCs w:val="22"/>
        </w:rPr>
        <w:t>Oman</w:t>
      </w:r>
      <w:r w:rsidR="008B73D3">
        <w:rPr>
          <w:rFonts w:ascii="Arial" w:hAnsi="Arial" w:cs="Arial"/>
          <w:sz w:val="22"/>
          <w:szCs w:val="22"/>
        </w:rPr>
        <w:t>,</w:t>
      </w:r>
      <w:r w:rsidRPr="00C95D5D">
        <w:rPr>
          <w:rFonts w:ascii="Arial" w:hAnsi="Arial" w:cs="Arial"/>
          <w:sz w:val="22"/>
          <w:szCs w:val="22"/>
        </w:rPr>
        <w:t xml:space="preserve"> Qatar</w:t>
      </w:r>
      <w:r w:rsidR="008B73D3">
        <w:rPr>
          <w:rFonts w:ascii="Arial" w:hAnsi="Arial" w:cs="Arial"/>
          <w:sz w:val="22"/>
          <w:szCs w:val="22"/>
        </w:rPr>
        <w:t xml:space="preserve"> and</w:t>
      </w:r>
      <w:r w:rsidR="008B73D3" w:rsidRPr="008B73D3">
        <w:rPr>
          <w:rFonts w:ascii="Arial" w:hAnsi="Arial" w:cs="Arial"/>
          <w:sz w:val="22"/>
          <w:szCs w:val="22"/>
        </w:rPr>
        <w:t xml:space="preserve"> </w:t>
      </w:r>
      <w:r w:rsidR="008B73D3" w:rsidRPr="00C95D5D">
        <w:rPr>
          <w:rFonts w:ascii="Arial" w:hAnsi="Arial" w:cs="Arial"/>
          <w:sz w:val="22"/>
          <w:szCs w:val="22"/>
        </w:rPr>
        <w:t>Sudan</w:t>
      </w:r>
      <w:r w:rsidRPr="00C95D5D">
        <w:rPr>
          <w:rFonts w:ascii="Arial" w:hAnsi="Arial" w:cs="Arial"/>
          <w:sz w:val="22"/>
          <w:szCs w:val="22"/>
        </w:rPr>
        <w:t xml:space="preserve">. </w:t>
      </w:r>
      <w:r>
        <w:rPr>
          <w:rFonts w:ascii="Arial" w:hAnsi="Arial" w:cs="Arial"/>
          <w:sz w:val="22"/>
          <w:szCs w:val="22"/>
        </w:rPr>
        <w:t xml:space="preserve"> </w:t>
      </w:r>
      <w:r w:rsidRPr="00C95D5D">
        <w:rPr>
          <w:rFonts w:ascii="Arial" w:hAnsi="Arial" w:cs="Arial"/>
          <w:sz w:val="22"/>
          <w:szCs w:val="22"/>
        </w:rPr>
        <w:t xml:space="preserve">Participants </w:t>
      </w:r>
      <w:r>
        <w:rPr>
          <w:rFonts w:ascii="Arial" w:hAnsi="Arial" w:cs="Arial"/>
          <w:sz w:val="22"/>
          <w:szCs w:val="22"/>
        </w:rPr>
        <w:t>demonstrated</w:t>
      </w:r>
      <w:r w:rsidRPr="00C95D5D">
        <w:rPr>
          <w:rFonts w:ascii="Arial" w:hAnsi="Arial" w:cs="Arial"/>
          <w:sz w:val="22"/>
          <w:szCs w:val="22"/>
        </w:rPr>
        <w:t xml:space="preserve"> a high level of engagement </w:t>
      </w:r>
      <w:r>
        <w:rPr>
          <w:rFonts w:ascii="Arial" w:hAnsi="Arial" w:cs="Arial"/>
          <w:sz w:val="22"/>
          <w:szCs w:val="22"/>
        </w:rPr>
        <w:t>during the outreach</w:t>
      </w:r>
      <w:r w:rsidRPr="00C95D5D">
        <w:rPr>
          <w:rFonts w:ascii="Arial" w:hAnsi="Arial" w:cs="Arial"/>
          <w:sz w:val="22"/>
          <w:szCs w:val="22"/>
        </w:rPr>
        <w:t xml:space="preserve"> and an evaluation questionnaire </w:t>
      </w:r>
      <w:r>
        <w:rPr>
          <w:rFonts w:ascii="Arial" w:hAnsi="Arial" w:cs="Arial"/>
          <w:sz w:val="22"/>
          <w:szCs w:val="22"/>
        </w:rPr>
        <w:t>showed</w:t>
      </w:r>
      <w:r w:rsidRPr="00C95D5D">
        <w:rPr>
          <w:rFonts w:ascii="Arial" w:hAnsi="Arial" w:cs="Arial"/>
          <w:sz w:val="22"/>
          <w:szCs w:val="22"/>
        </w:rPr>
        <w:t xml:space="preserve"> that participan</w:t>
      </w:r>
      <w:r>
        <w:rPr>
          <w:rFonts w:ascii="Arial" w:hAnsi="Arial" w:cs="Arial"/>
          <w:sz w:val="22"/>
          <w:szCs w:val="22"/>
        </w:rPr>
        <w:t>ts found the information useful, indicating</w:t>
      </w:r>
      <w:r w:rsidRPr="00C95D5D">
        <w:rPr>
          <w:rFonts w:ascii="Arial" w:hAnsi="Arial" w:cs="Arial"/>
          <w:sz w:val="22"/>
          <w:szCs w:val="22"/>
        </w:rPr>
        <w:t xml:space="preserve"> that they were likely to apply or refer </w:t>
      </w:r>
      <w:r w:rsidRPr="00B312DF">
        <w:rPr>
          <w:rFonts w:ascii="Arial" w:hAnsi="Arial" w:cs="Arial"/>
          <w:sz w:val="22"/>
          <w:szCs w:val="22"/>
        </w:rPr>
        <w:t xml:space="preserve">someone they know to apply for </w:t>
      </w:r>
      <w:r>
        <w:rPr>
          <w:rFonts w:ascii="Arial" w:hAnsi="Arial" w:cs="Arial"/>
          <w:sz w:val="22"/>
          <w:szCs w:val="22"/>
        </w:rPr>
        <w:t xml:space="preserve">job </w:t>
      </w:r>
      <w:r w:rsidRPr="00B312DF">
        <w:rPr>
          <w:rFonts w:ascii="Arial" w:hAnsi="Arial" w:cs="Arial"/>
          <w:sz w:val="22"/>
          <w:szCs w:val="22"/>
        </w:rPr>
        <w:t>opportunities at WIPO.</w:t>
      </w:r>
      <w:r>
        <w:rPr>
          <w:rFonts w:ascii="Arial" w:hAnsi="Arial" w:cs="Arial"/>
          <w:sz w:val="22"/>
          <w:szCs w:val="22"/>
        </w:rPr>
        <w:t xml:space="preserve">  Based on the positive results, this approach is being replicated in missions planned to other unrepresented Member States.</w:t>
      </w:r>
      <w:r>
        <w:rPr>
          <w:rStyle w:val="FootnoteReference"/>
          <w:rFonts w:ascii="Arial" w:hAnsi="Arial" w:cs="Arial"/>
          <w:sz w:val="22"/>
          <w:szCs w:val="22"/>
        </w:rPr>
        <w:footnoteReference w:id="20"/>
      </w:r>
    </w:p>
    <w:p w14:paraId="4388021C" w14:textId="77777777" w:rsidR="00426A50" w:rsidRPr="00637471" w:rsidRDefault="00426A50" w:rsidP="00426A50">
      <w:pPr>
        <w:pStyle w:val="ListParagraph"/>
        <w:rPr>
          <w:rFonts w:ascii="Arial" w:hAnsi="Arial" w:cs="Arial"/>
          <w:sz w:val="22"/>
          <w:szCs w:val="22"/>
        </w:rPr>
      </w:pPr>
    </w:p>
    <w:p w14:paraId="2CC03C20" w14:textId="77777777" w:rsidR="00EC2D9E" w:rsidRDefault="00EC2D9E">
      <w:pPr>
        <w:rPr>
          <w:szCs w:val="22"/>
        </w:rPr>
      </w:pPr>
      <w:r>
        <w:rPr>
          <w:szCs w:val="22"/>
        </w:rPr>
        <w:br w:type="page"/>
      </w:r>
    </w:p>
    <w:p w14:paraId="53C5C470" w14:textId="1A398C18" w:rsidR="00426A50" w:rsidRPr="00695BAD" w:rsidRDefault="00341418" w:rsidP="0021112C">
      <w:pPr>
        <w:pStyle w:val="Heading3"/>
        <w:spacing w:after="0"/>
        <w:ind w:left="540"/>
        <w:rPr>
          <w:u w:val="none"/>
        </w:rPr>
      </w:pPr>
      <w:r w:rsidRPr="00695BAD">
        <w:rPr>
          <w:u w:val="none"/>
        </w:rPr>
        <w:lastRenderedPageBreak/>
        <w:t xml:space="preserve">FURTHER </w:t>
      </w:r>
      <w:r w:rsidR="00637471" w:rsidRPr="00695BAD">
        <w:rPr>
          <w:u w:val="none"/>
        </w:rPr>
        <w:t>IMPROVING DIVERSITY</w:t>
      </w:r>
    </w:p>
    <w:p w14:paraId="650DD57A" w14:textId="77777777" w:rsidR="00426A50" w:rsidRPr="00637471" w:rsidRDefault="00426A50" w:rsidP="00426A50">
      <w:pPr>
        <w:pStyle w:val="ListParagraph"/>
        <w:rPr>
          <w:rFonts w:ascii="Arial" w:hAnsi="Arial" w:cs="Arial"/>
          <w:i/>
          <w:sz w:val="22"/>
          <w:szCs w:val="22"/>
        </w:rPr>
      </w:pPr>
    </w:p>
    <w:p w14:paraId="16248167" w14:textId="43CEBEA8" w:rsidR="00426A50" w:rsidRDefault="00426A50" w:rsidP="00637471">
      <w:pPr>
        <w:pStyle w:val="ListParagraph"/>
        <w:numPr>
          <w:ilvl w:val="0"/>
          <w:numId w:val="21"/>
        </w:numPr>
        <w:ind w:left="0" w:firstLine="0"/>
        <w:rPr>
          <w:rFonts w:ascii="Arial" w:hAnsi="Arial" w:cs="Arial"/>
          <w:sz w:val="22"/>
          <w:szCs w:val="22"/>
        </w:rPr>
      </w:pPr>
      <w:r w:rsidRPr="00637471">
        <w:rPr>
          <w:rFonts w:ascii="Arial" w:hAnsi="Arial" w:cs="Arial"/>
          <w:sz w:val="22"/>
          <w:szCs w:val="22"/>
        </w:rPr>
        <w:t>Other initiatives focused on diversity include the creation of WIPO Talent Pools</w:t>
      </w:r>
      <w:r w:rsidR="00637471">
        <w:rPr>
          <w:rFonts w:ascii="Arial" w:hAnsi="Arial" w:cs="Arial"/>
          <w:sz w:val="22"/>
          <w:szCs w:val="22"/>
        </w:rPr>
        <w:t xml:space="preserve"> to</w:t>
      </w:r>
      <w:r w:rsidRPr="00637471">
        <w:rPr>
          <w:rFonts w:ascii="Arial" w:hAnsi="Arial" w:cs="Arial"/>
          <w:sz w:val="22"/>
          <w:szCs w:val="22"/>
        </w:rPr>
        <w:t xml:space="preserve"> enable the Organization to ensure a pipeline of ext</w:t>
      </w:r>
      <w:r w:rsidR="00FF7988">
        <w:rPr>
          <w:rFonts w:ascii="Arial" w:hAnsi="Arial" w:cs="Arial"/>
          <w:sz w:val="22"/>
          <w:szCs w:val="22"/>
        </w:rPr>
        <w:t>ernal qualified candidates for P</w:t>
      </w:r>
      <w:r w:rsidRPr="00637471">
        <w:rPr>
          <w:rFonts w:ascii="Arial" w:hAnsi="Arial" w:cs="Arial"/>
          <w:sz w:val="22"/>
          <w:szCs w:val="22"/>
        </w:rPr>
        <w:t>rofessional posts</w:t>
      </w:r>
      <w:r w:rsidR="00AA6C29">
        <w:rPr>
          <w:rFonts w:ascii="Arial" w:hAnsi="Arial" w:cs="Arial"/>
          <w:sz w:val="22"/>
          <w:szCs w:val="22"/>
        </w:rPr>
        <w:t xml:space="preserve">.  </w:t>
      </w:r>
      <w:r w:rsidR="00D8285F">
        <w:rPr>
          <w:rFonts w:ascii="Arial" w:hAnsi="Arial" w:cs="Arial"/>
          <w:sz w:val="22"/>
          <w:szCs w:val="22"/>
        </w:rPr>
        <w:t>Profiles of positions</w:t>
      </w:r>
      <w:r w:rsidR="00AA6C29">
        <w:rPr>
          <w:rFonts w:ascii="Arial" w:hAnsi="Arial" w:cs="Arial"/>
          <w:sz w:val="22"/>
          <w:szCs w:val="22"/>
        </w:rPr>
        <w:t xml:space="preserve"> </w:t>
      </w:r>
      <w:r w:rsidRPr="00637471">
        <w:rPr>
          <w:rFonts w:ascii="Arial" w:hAnsi="Arial" w:cs="Arial"/>
          <w:sz w:val="22"/>
          <w:szCs w:val="22"/>
        </w:rPr>
        <w:t xml:space="preserve">that are regularly </w:t>
      </w:r>
      <w:r w:rsidR="00FF7988">
        <w:rPr>
          <w:rFonts w:ascii="Arial" w:hAnsi="Arial" w:cs="Arial"/>
          <w:sz w:val="22"/>
          <w:szCs w:val="22"/>
        </w:rPr>
        <w:t xml:space="preserve">subject of recruitment </w:t>
      </w:r>
      <w:r w:rsidRPr="00637471">
        <w:rPr>
          <w:rFonts w:ascii="Arial" w:hAnsi="Arial" w:cs="Arial"/>
          <w:sz w:val="22"/>
          <w:szCs w:val="22"/>
        </w:rPr>
        <w:t xml:space="preserve">and/or difficult to </w:t>
      </w:r>
      <w:r w:rsidR="00D8285F">
        <w:rPr>
          <w:rFonts w:ascii="Arial" w:hAnsi="Arial" w:cs="Arial"/>
          <w:sz w:val="22"/>
          <w:szCs w:val="22"/>
        </w:rPr>
        <w:t>fill</w:t>
      </w:r>
      <w:r w:rsidR="00AA6C29">
        <w:rPr>
          <w:rFonts w:ascii="Arial" w:hAnsi="Arial" w:cs="Arial"/>
          <w:sz w:val="22"/>
          <w:szCs w:val="22"/>
        </w:rPr>
        <w:t xml:space="preserve"> are specifically targeted</w:t>
      </w:r>
      <w:r w:rsidRPr="00637471">
        <w:rPr>
          <w:rFonts w:ascii="Arial" w:hAnsi="Arial" w:cs="Arial"/>
          <w:sz w:val="22"/>
          <w:szCs w:val="22"/>
        </w:rPr>
        <w:t>, such as</w:t>
      </w:r>
      <w:r w:rsidR="00637471">
        <w:rPr>
          <w:rFonts w:ascii="Arial" w:hAnsi="Arial" w:cs="Arial"/>
          <w:sz w:val="22"/>
          <w:szCs w:val="22"/>
        </w:rPr>
        <w:t xml:space="preserve"> </w:t>
      </w:r>
      <w:r w:rsidRPr="00250A68">
        <w:rPr>
          <w:rFonts w:ascii="Arial" w:hAnsi="Arial" w:cs="Arial"/>
          <w:sz w:val="22"/>
          <w:szCs w:val="22"/>
        </w:rPr>
        <w:t xml:space="preserve">Legal, Program Management, Translation, and Information Technology.  </w:t>
      </w:r>
      <w:r w:rsidR="001B026B">
        <w:rPr>
          <w:rFonts w:ascii="Arial" w:hAnsi="Arial" w:cs="Arial"/>
          <w:sz w:val="22"/>
          <w:szCs w:val="22"/>
        </w:rPr>
        <w:t xml:space="preserve">In addition, a Senior Female Talent Pool (P5 and above) will facilitate WIPO’s efforts toward meeting its gender targets at senior levels.  These Talent Pools are currently being set up on </w:t>
      </w:r>
      <w:r w:rsidR="00637471">
        <w:rPr>
          <w:rFonts w:ascii="Arial" w:hAnsi="Arial" w:cs="Arial"/>
          <w:sz w:val="22"/>
          <w:szCs w:val="22"/>
        </w:rPr>
        <w:t xml:space="preserve">the job page of </w:t>
      </w:r>
      <w:r w:rsidRPr="00637471">
        <w:rPr>
          <w:rFonts w:ascii="Arial" w:hAnsi="Arial" w:cs="Arial"/>
          <w:sz w:val="22"/>
          <w:szCs w:val="22"/>
        </w:rPr>
        <w:t xml:space="preserve">WIPO’s website </w:t>
      </w:r>
      <w:r w:rsidR="001B026B">
        <w:rPr>
          <w:rFonts w:ascii="Arial" w:hAnsi="Arial" w:cs="Arial"/>
          <w:sz w:val="22"/>
          <w:szCs w:val="22"/>
        </w:rPr>
        <w:t>and will be</w:t>
      </w:r>
      <w:r w:rsidR="00D8285F">
        <w:rPr>
          <w:rFonts w:ascii="Arial" w:hAnsi="Arial" w:cs="Arial"/>
          <w:sz w:val="22"/>
          <w:szCs w:val="22"/>
        </w:rPr>
        <w:t xml:space="preserve"> </w:t>
      </w:r>
      <w:r w:rsidR="00637471">
        <w:rPr>
          <w:rFonts w:ascii="Arial" w:hAnsi="Arial" w:cs="Arial"/>
          <w:sz w:val="22"/>
          <w:szCs w:val="22"/>
        </w:rPr>
        <w:t>promoted</w:t>
      </w:r>
      <w:r w:rsidRPr="00637471">
        <w:rPr>
          <w:rFonts w:ascii="Arial" w:hAnsi="Arial" w:cs="Arial"/>
          <w:sz w:val="22"/>
          <w:szCs w:val="22"/>
        </w:rPr>
        <w:t xml:space="preserve"> </w:t>
      </w:r>
      <w:r w:rsidR="001B026B">
        <w:rPr>
          <w:rFonts w:ascii="Arial" w:hAnsi="Arial" w:cs="Arial"/>
          <w:sz w:val="22"/>
          <w:szCs w:val="22"/>
        </w:rPr>
        <w:t xml:space="preserve">on social media, as well as </w:t>
      </w:r>
      <w:r w:rsidRPr="00637471">
        <w:rPr>
          <w:rFonts w:ascii="Arial" w:hAnsi="Arial" w:cs="Arial"/>
          <w:sz w:val="22"/>
          <w:szCs w:val="22"/>
        </w:rPr>
        <w:t>during outreach missions and career fairs</w:t>
      </w:r>
      <w:r w:rsidR="001B026B">
        <w:rPr>
          <w:rFonts w:ascii="Arial" w:hAnsi="Arial" w:cs="Arial"/>
          <w:sz w:val="22"/>
          <w:szCs w:val="22"/>
        </w:rPr>
        <w:t xml:space="preserve"> to help ensure that the Talent Pools are continuously supplied with fresh and diverse talent</w:t>
      </w:r>
      <w:r w:rsidRPr="00637471">
        <w:rPr>
          <w:rFonts w:ascii="Arial" w:hAnsi="Arial" w:cs="Arial"/>
          <w:sz w:val="22"/>
          <w:szCs w:val="22"/>
        </w:rPr>
        <w:t xml:space="preserve">.  </w:t>
      </w:r>
      <w:r w:rsidR="001B026B">
        <w:rPr>
          <w:rFonts w:ascii="Arial" w:hAnsi="Arial" w:cs="Arial"/>
          <w:sz w:val="22"/>
          <w:szCs w:val="22"/>
        </w:rPr>
        <w:t>Talent Pools will be</w:t>
      </w:r>
      <w:r w:rsidRPr="00637471">
        <w:rPr>
          <w:rFonts w:ascii="Arial" w:hAnsi="Arial" w:cs="Arial"/>
          <w:sz w:val="22"/>
          <w:szCs w:val="22"/>
        </w:rPr>
        <w:t xml:space="preserve"> open year-round </w:t>
      </w:r>
      <w:r w:rsidR="001B026B">
        <w:rPr>
          <w:rFonts w:ascii="Arial" w:hAnsi="Arial" w:cs="Arial"/>
          <w:sz w:val="22"/>
          <w:szCs w:val="22"/>
        </w:rPr>
        <w:t>to</w:t>
      </w:r>
      <w:r w:rsidR="00450B52">
        <w:rPr>
          <w:rFonts w:ascii="Arial" w:hAnsi="Arial" w:cs="Arial"/>
          <w:sz w:val="22"/>
          <w:szCs w:val="22"/>
        </w:rPr>
        <w:t xml:space="preserve"> allow</w:t>
      </w:r>
      <w:r w:rsidRPr="00637471">
        <w:rPr>
          <w:rFonts w:ascii="Arial" w:hAnsi="Arial" w:cs="Arial"/>
          <w:sz w:val="22"/>
          <w:szCs w:val="22"/>
        </w:rPr>
        <w:t xml:space="preserve"> potential applicants</w:t>
      </w:r>
      <w:r w:rsidR="00450B52">
        <w:rPr>
          <w:rFonts w:ascii="Arial" w:hAnsi="Arial" w:cs="Arial"/>
          <w:sz w:val="22"/>
          <w:szCs w:val="22"/>
        </w:rPr>
        <w:t xml:space="preserve"> to</w:t>
      </w:r>
      <w:r w:rsidR="00A143BA">
        <w:rPr>
          <w:rFonts w:ascii="Arial" w:hAnsi="Arial" w:cs="Arial"/>
          <w:sz w:val="22"/>
          <w:szCs w:val="22"/>
        </w:rPr>
        <w:t xml:space="preserve"> submit</w:t>
      </w:r>
      <w:r w:rsidRPr="00637471">
        <w:rPr>
          <w:rFonts w:ascii="Arial" w:hAnsi="Arial" w:cs="Arial"/>
          <w:sz w:val="22"/>
          <w:szCs w:val="22"/>
        </w:rPr>
        <w:t xml:space="preserve"> expression</w:t>
      </w:r>
      <w:r w:rsidR="00A143BA">
        <w:rPr>
          <w:rFonts w:ascii="Arial" w:hAnsi="Arial" w:cs="Arial"/>
          <w:sz w:val="22"/>
          <w:szCs w:val="22"/>
        </w:rPr>
        <w:t>s</w:t>
      </w:r>
      <w:r w:rsidRPr="00637471">
        <w:rPr>
          <w:rFonts w:ascii="Arial" w:hAnsi="Arial" w:cs="Arial"/>
          <w:sz w:val="22"/>
          <w:szCs w:val="22"/>
        </w:rPr>
        <w:t xml:space="preserve"> of intere</w:t>
      </w:r>
      <w:r w:rsidR="00A143BA">
        <w:rPr>
          <w:rFonts w:ascii="Arial" w:hAnsi="Arial" w:cs="Arial"/>
          <w:sz w:val="22"/>
          <w:szCs w:val="22"/>
        </w:rPr>
        <w:t xml:space="preserve">st </w:t>
      </w:r>
      <w:r w:rsidR="00A709AC">
        <w:rPr>
          <w:rFonts w:ascii="Arial" w:hAnsi="Arial" w:cs="Arial"/>
          <w:sz w:val="22"/>
          <w:szCs w:val="22"/>
        </w:rPr>
        <w:t>in</w:t>
      </w:r>
      <w:r w:rsidR="00A143BA">
        <w:rPr>
          <w:rFonts w:ascii="Arial" w:hAnsi="Arial" w:cs="Arial"/>
          <w:sz w:val="22"/>
          <w:szCs w:val="22"/>
        </w:rPr>
        <w:t xml:space="preserve"> employment with WIPO for </w:t>
      </w:r>
      <w:r w:rsidR="00250A68">
        <w:rPr>
          <w:rFonts w:ascii="Arial" w:hAnsi="Arial" w:cs="Arial"/>
          <w:sz w:val="22"/>
          <w:szCs w:val="22"/>
        </w:rPr>
        <w:t>specific areas</w:t>
      </w:r>
      <w:r w:rsidR="00A143BA">
        <w:rPr>
          <w:rFonts w:ascii="Arial" w:hAnsi="Arial" w:cs="Arial"/>
          <w:sz w:val="22"/>
          <w:szCs w:val="22"/>
        </w:rPr>
        <w:t xml:space="preserve"> of expertise</w:t>
      </w:r>
      <w:r w:rsidRPr="00637471">
        <w:rPr>
          <w:rFonts w:ascii="Arial" w:hAnsi="Arial" w:cs="Arial"/>
          <w:sz w:val="22"/>
          <w:szCs w:val="22"/>
        </w:rPr>
        <w:t>, in the absence of suitable vacancies matching their profile</w:t>
      </w:r>
      <w:r w:rsidR="00A143BA">
        <w:rPr>
          <w:rFonts w:ascii="Arial" w:hAnsi="Arial" w:cs="Arial"/>
          <w:sz w:val="22"/>
          <w:szCs w:val="22"/>
        </w:rPr>
        <w:t>s</w:t>
      </w:r>
      <w:r w:rsidRPr="00637471">
        <w:rPr>
          <w:rFonts w:ascii="Arial" w:hAnsi="Arial" w:cs="Arial"/>
          <w:sz w:val="22"/>
          <w:szCs w:val="22"/>
        </w:rPr>
        <w:t>.  WIPO will notify these individuals as and when a</w:t>
      </w:r>
      <w:r w:rsidR="00A143BA">
        <w:rPr>
          <w:rFonts w:ascii="Arial" w:hAnsi="Arial" w:cs="Arial"/>
          <w:sz w:val="22"/>
          <w:szCs w:val="22"/>
        </w:rPr>
        <w:t xml:space="preserve"> suitable</w:t>
      </w:r>
      <w:r w:rsidRPr="00637471">
        <w:rPr>
          <w:rFonts w:ascii="Arial" w:hAnsi="Arial" w:cs="Arial"/>
          <w:sz w:val="22"/>
          <w:szCs w:val="22"/>
        </w:rPr>
        <w:t xml:space="preserve"> vacancy arises, </w:t>
      </w:r>
      <w:r w:rsidR="00A143BA">
        <w:rPr>
          <w:rFonts w:ascii="Arial" w:hAnsi="Arial" w:cs="Arial"/>
          <w:sz w:val="22"/>
          <w:szCs w:val="22"/>
        </w:rPr>
        <w:t>including</w:t>
      </w:r>
      <w:r w:rsidRPr="00637471">
        <w:rPr>
          <w:rFonts w:ascii="Arial" w:hAnsi="Arial" w:cs="Arial"/>
          <w:sz w:val="22"/>
          <w:szCs w:val="22"/>
        </w:rPr>
        <w:t xml:space="preserve"> temporary opportunities</w:t>
      </w:r>
      <w:r w:rsidR="00A143BA">
        <w:rPr>
          <w:rFonts w:ascii="Arial" w:hAnsi="Arial" w:cs="Arial"/>
          <w:sz w:val="22"/>
          <w:szCs w:val="22"/>
        </w:rPr>
        <w:t>.</w:t>
      </w:r>
    </w:p>
    <w:p w14:paraId="1184FCC0" w14:textId="77777777" w:rsidR="00450B52" w:rsidRPr="00450B52" w:rsidRDefault="00450B52" w:rsidP="00450B52">
      <w:pPr>
        <w:pStyle w:val="ListParagraph"/>
        <w:rPr>
          <w:rFonts w:ascii="Arial" w:hAnsi="Arial" w:cs="Arial"/>
          <w:sz w:val="22"/>
          <w:szCs w:val="22"/>
        </w:rPr>
      </w:pPr>
    </w:p>
    <w:p w14:paraId="30EAFA8F" w14:textId="77777777" w:rsidR="00AA6C29" w:rsidRDefault="00AA6C29" w:rsidP="00AA6C29">
      <w:pPr>
        <w:pStyle w:val="ListParagraph"/>
        <w:numPr>
          <w:ilvl w:val="0"/>
          <w:numId w:val="21"/>
        </w:numPr>
        <w:ind w:left="0" w:firstLine="0"/>
        <w:rPr>
          <w:rFonts w:ascii="Arial" w:hAnsi="Arial" w:cs="Arial"/>
          <w:sz w:val="22"/>
          <w:szCs w:val="22"/>
        </w:rPr>
      </w:pPr>
      <w:r w:rsidRPr="00E22A3F">
        <w:rPr>
          <w:rFonts w:ascii="Arial" w:hAnsi="Arial" w:cs="Arial"/>
          <w:sz w:val="22"/>
          <w:szCs w:val="22"/>
        </w:rPr>
        <w:t xml:space="preserve">WIPO participated during the whole month of June 2019 in the campaign #WeCanDoBetter, </w:t>
      </w:r>
      <w:r w:rsidR="00E22A3F">
        <w:rPr>
          <w:rFonts w:ascii="Arial" w:hAnsi="Arial" w:cs="Arial"/>
          <w:sz w:val="22"/>
          <w:szCs w:val="22"/>
        </w:rPr>
        <w:t>led by Impactpool</w:t>
      </w:r>
      <w:r w:rsidRPr="00E22A3F">
        <w:rPr>
          <w:rFonts w:ascii="Arial" w:hAnsi="Arial" w:cs="Arial"/>
          <w:sz w:val="22"/>
          <w:szCs w:val="22"/>
        </w:rPr>
        <w:t>,</w:t>
      </w:r>
      <w:r w:rsidR="00E22A3F">
        <w:rPr>
          <w:rStyle w:val="FootnoteReference"/>
          <w:rFonts w:ascii="Arial" w:hAnsi="Arial" w:cs="Arial"/>
          <w:sz w:val="22"/>
          <w:szCs w:val="22"/>
        </w:rPr>
        <w:footnoteReference w:id="21"/>
      </w:r>
      <w:r w:rsidRPr="00E22A3F">
        <w:rPr>
          <w:rFonts w:ascii="Arial" w:hAnsi="Arial" w:cs="Arial"/>
          <w:sz w:val="22"/>
          <w:szCs w:val="22"/>
        </w:rPr>
        <w:t xml:space="preserve"> which aimed at introducing talents with disabilities</w:t>
      </w:r>
      <w:r w:rsidR="00E22A3F" w:rsidRPr="00E22A3F">
        <w:rPr>
          <w:rFonts w:ascii="Arial" w:hAnsi="Arial" w:cs="Arial"/>
          <w:sz w:val="22"/>
          <w:szCs w:val="22"/>
        </w:rPr>
        <w:t xml:space="preserve"> all over the world</w:t>
      </w:r>
      <w:r w:rsidRPr="00E22A3F">
        <w:rPr>
          <w:rFonts w:ascii="Arial" w:hAnsi="Arial" w:cs="Arial"/>
          <w:sz w:val="22"/>
          <w:szCs w:val="22"/>
        </w:rPr>
        <w:t xml:space="preserve"> </w:t>
      </w:r>
      <w:r w:rsidR="00E22A3F" w:rsidRPr="00E22A3F">
        <w:rPr>
          <w:rFonts w:ascii="Arial" w:hAnsi="Arial" w:cs="Arial"/>
          <w:sz w:val="22"/>
          <w:szCs w:val="22"/>
        </w:rPr>
        <w:t>to</w:t>
      </w:r>
      <w:r w:rsidRPr="00E22A3F">
        <w:rPr>
          <w:rFonts w:ascii="Arial" w:hAnsi="Arial" w:cs="Arial"/>
          <w:sz w:val="22"/>
          <w:szCs w:val="22"/>
        </w:rPr>
        <w:t xml:space="preserve"> opportunities at W</w:t>
      </w:r>
      <w:r w:rsidR="003D31E7">
        <w:rPr>
          <w:rFonts w:ascii="Arial" w:hAnsi="Arial" w:cs="Arial"/>
          <w:sz w:val="22"/>
          <w:szCs w:val="22"/>
        </w:rPr>
        <w:t>IPO, the UN and other partner</w:t>
      </w:r>
      <w:r w:rsidRPr="00E22A3F">
        <w:rPr>
          <w:rFonts w:ascii="Arial" w:hAnsi="Arial" w:cs="Arial"/>
          <w:sz w:val="22"/>
          <w:szCs w:val="22"/>
        </w:rPr>
        <w:t xml:space="preserve"> organizations</w:t>
      </w:r>
      <w:r w:rsidR="00E22A3F" w:rsidRPr="00E22A3F">
        <w:rPr>
          <w:rFonts w:ascii="Arial" w:hAnsi="Arial" w:cs="Arial"/>
          <w:sz w:val="22"/>
          <w:szCs w:val="22"/>
        </w:rPr>
        <w:t xml:space="preserve">.  The campaign was also meant to </w:t>
      </w:r>
      <w:r w:rsidR="00E22A3F">
        <w:rPr>
          <w:rFonts w:ascii="Arial" w:hAnsi="Arial" w:cs="Arial"/>
          <w:sz w:val="22"/>
          <w:szCs w:val="22"/>
        </w:rPr>
        <w:t>bring</w:t>
      </w:r>
      <w:r w:rsidRPr="00E22A3F">
        <w:rPr>
          <w:rFonts w:ascii="Arial" w:hAnsi="Arial" w:cs="Arial"/>
          <w:sz w:val="22"/>
          <w:szCs w:val="22"/>
        </w:rPr>
        <w:t xml:space="preserve"> light to the inequality </w:t>
      </w:r>
      <w:r w:rsidR="00E22A3F">
        <w:rPr>
          <w:rFonts w:ascii="Arial" w:hAnsi="Arial" w:cs="Arial"/>
          <w:sz w:val="22"/>
          <w:szCs w:val="22"/>
        </w:rPr>
        <w:t>that</w:t>
      </w:r>
      <w:r w:rsidRPr="00E22A3F">
        <w:rPr>
          <w:rFonts w:ascii="Arial" w:hAnsi="Arial" w:cs="Arial"/>
          <w:sz w:val="22"/>
          <w:szCs w:val="22"/>
        </w:rPr>
        <w:t xml:space="preserve"> talents </w:t>
      </w:r>
      <w:r w:rsidR="00E22A3F">
        <w:rPr>
          <w:rFonts w:ascii="Arial" w:hAnsi="Arial" w:cs="Arial"/>
          <w:sz w:val="22"/>
          <w:szCs w:val="22"/>
        </w:rPr>
        <w:t xml:space="preserve">with disabilities </w:t>
      </w:r>
      <w:r w:rsidR="00C97851">
        <w:rPr>
          <w:rFonts w:ascii="Arial" w:hAnsi="Arial" w:cs="Arial"/>
          <w:sz w:val="22"/>
          <w:szCs w:val="22"/>
        </w:rPr>
        <w:t>still face.</w:t>
      </w:r>
    </w:p>
    <w:p w14:paraId="419B0628" w14:textId="77777777" w:rsidR="005B4365" w:rsidRPr="005B4365" w:rsidRDefault="005B4365" w:rsidP="005B4365">
      <w:pPr>
        <w:pStyle w:val="ListParagraph"/>
        <w:rPr>
          <w:rFonts w:ascii="Arial" w:hAnsi="Arial" w:cs="Arial"/>
          <w:sz w:val="22"/>
          <w:szCs w:val="22"/>
        </w:rPr>
      </w:pPr>
    </w:p>
    <w:p w14:paraId="23BE777F" w14:textId="7E672F4A" w:rsidR="00C65141" w:rsidRPr="00853A3E" w:rsidRDefault="0031752F" w:rsidP="00853A3E">
      <w:pPr>
        <w:pStyle w:val="ListParagraph"/>
        <w:numPr>
          <w:ilvl w:val="0"/>
          <w:numId w:val="21"/>
        </w:numPr>
        <w:ind w:left="0" w:firstLine="0"/>
        <w:rPr>
          <w:rFonts w:ascii="Arial" w:hAnsi="Arial" w:cs="Arial"/>
          <w:sz w:val="22"/>
          <w:szCs w:val="22"/>
        </w:rPr>
      </w:pPr>
      <w:r>
        <w:rPr>
          <w:rFonts w:ascii="Arial" w:hAnsi="Arial" w:cs="Arial"/>
          <w:sz w:val="22"/>
          <w:szCs w:val="22"/>
        </w:rPr>
        <w:t xml:space="preserve">In April 2019, </w:t>
      </w:r>
      <w:r w:rsidR="005B4365">
        <w:rPr>
          <w:rFonts w:ascii="Arial" w:hAnsi="Arial" w:cs="Arial"/>
          <w:sz w:val="22"/>
          <w:szCs w:val="22"/>
        </w:rPr>
        <w:t xml:space="preserve">WIPO </w:t>
      </w:r>
      <w:r>
        <w:rPr>
          <w:rFonts w:ascii="Arial" w:hAnsi="Arial" w:cs="Arial"/>
          <w:sz w:val="22"/>
          <w:szCs w:val="22"/>
        </w:rPr>
        <w:t>adopted the UN System-wide policy on disability inclusion and its accountability framework.  The framework includes a number of areas related to human resources, such as reasonable accommodation and employment and capacity development in disability inclusion</w:t>
      </w:r>
      <w:r w:rsidRPr="004F6D21">
        <w:rPr>
          <w:rFonts w:ascii="Arial" w:hAnsi="Arial" w:cs="Arial"/>
          <w:sz w:val="22"/>
          <w:szCs w:val="22"/>
        </w:rPr>
        <w:t xml:space="preserve">.  WIPO </w:t>
      </w:r>
      <w:r>
        <w:rPr>
          <w:rFonts w:ascii="Arial" w:hAnsi="Arial" w:cs="Arial"/>
          <w:sz w:val="22"/>
          <w:szCs w:val="22"/>
        </w:rPr>
        <w:t>already has a number of good practices in disability inclusion, which were cited by t</w:t>
      </w:r>
      <w:r w:rsidRPr="004F6D21">
        <w:rPr>
          <w:rFonts w:ascii="Arial" w:hAnsi="Arial" w:cs="Arial"/>
          <w:sz w:val="22"/>
          <w:szCs w:val="22"/>
        </w:rPr>
        <w:t>he Joint Inspect</w:t>
      </w:r>
      <w:r>
        <w:rPr>
          <w:rFonts w:ascii="Arial" w:hAnsi="Arial" w:cs="Arial"/>
          <w:sz w:val="22"/>
          <w:szCs w:val="22"/>
        </w:rPr>
        <w:t xml:space="preserve">ion Unit in </w:t>
      </w:r>
      <w:r w:rsidR="00EC45A7">
        <w:rPr>
          <w:rFonts w:ascii="Arial" w:hAnsi="Arial" w:cs="Arial"/>
          <w:sz w:val="22"/>
          <w:szCs w:val="22"/>
        </w:rPr>
        <w:t>its</w:t>
      </w:r>
      <w:r>
        <w:rPr>
          <w:rFonts w:ascii="Arial" w:hAnsi="Arial" w:cs="Arial"/>
          <w:sz w:val="22"/>
          <w:szCs w:val="22"/>
        </w:rPr>
        <w:t xml:space="preserve"> recent report, “Enhancing </w:t>
      </w:r>
      <w:r w:rsidRPr="00EC45A7">
        <w:rPr>
          <w:rFonts w:ascii="Arial" w:hAnsi="Arial" w:cs="Arial"/>
          <w:sz w:val="22"/>
          <w:szCs w:val="22"/>
        </w:rPr>
        <w:t>Accessibility for Persons with Disabilities to Conferences and Meetings of the United Nations System”.</w:t>
      </w:r>
      <w:r w:rsidRPr="00EC45A7">
        <w:rPr>
          <w:rStyle w:val="FootnoteReference"/>
          <w:rFonts w:ascii="Arial" w:hAnsi="Arial" w:cs="Arial"/>
          <w:sz w:val="22"/>
          <w:szCs w:val="22"/>
        </w:rPr>
        <w:footnoteReference w:id="22"/>
      </w:r>
      <w:r w:rsidRPr="00EC45A7">
        <w:rPr>
          <w:rFonts w:ascii="Arial" w:hAnsi="Arial" w:cs="Arial"/>
          <w:sz w:val="22"/>
          <w:szCs w:val="22"/>
        </w:rPr>
        <w:t xml:space="preserve">  </w:t>
      </w:r>
      <w:r w:rsidRPr="004F6D21">
        <w:rPr>
          <w:rFonts w:ascii="Arial" w:hAnsi="Arial" w:cs="Arial"/>
          <w:sz w:val="22"/>
          <w:szCs w:val="22"/>
        </w:rPr>
        <w:t xml:space="preserve">WIPO </w:t>
      </w:r>
      <w:r>
        <w:rPr>
          <w:rFonts w:ascii="Arial" w:hAnsi="Arial" w:cs="Arial"/>
          <w:sz w:val="22"/>
          <w:szCs w:val="22"/>
        </w:rPr>
        <w:t xml:space="preserve">recently </w:t>
      </w:r>
      <w:r w:rsidRPr="004F6D21">
        <w:rPr>
          <w:rFonts w:ascii="Arial" w:hAnsi="Arial" w:cs="Arial"/>
          <w:sz w:val="22"/>
          <w:szCs w:val="22"/>
        </w:rPr>
        <w:t>provided sign language interpretation for the first time during a side event in the April 2019 session of the Standing Committee on Copyright and Related Rights</w:t>
      </w:r>
      <w:r>
        <w:rPr>
          <w:rFonts w:ascii="Arial" w:hAnsi="Arial" w:cs="Arial"/>
          <w:sz w:val="22"/>
          <w:szCs w:val="22"/>
        </w:rPr>
        <w:t>.</w:t>
      </w:r>
      <w:r w:rsidR="004C2FEC">
        <w:rPr>
          <w:rStyle w:val="FootnoteReference"/>
          <w:rFonts w:ascii="Arial" w:hAnsi="Arial" w:cs="Arial"/>
          <w:sz w:val="22"/>
          <w:szCs w:val="22"/>
        </w:rPr>
        <w:footnoteReference w:id="23"/>
      </w:r>
    </w:p>
    <w:p w14:paraId="5CFB17CE" w14:textId="77777777" w:rsidR="00A46F26" w:rsidRPr="00A46F26" w:rsidRDefault="00A46F26" w:rsidP="00A46F26">
      <w:pPr>
        <w:pStyle w:val="ListParagraph"/>
        <w:rPr>
          <w:rFonts w:ascii="Arial" w:hAnsi="Arial" w:cs="Arial"/>
          <w:sz w:val="22"/>
          <w:szCs w:val="22"/>
        </w:rPr>
      </w:pPr>
    </w:p>
    <w:p w14:paraId="27CD1D6B" w14:textId="5AFF80C5" w:rsidR="00A46F26" w:rsidRDefault="00DF7C6B" w:rsidP="00A46F26">
      <w:pPr>
        <w:pStyle w:val="ListParagraph"/>
        <w:numPr>
          <w:ilvl w:val="0"/>
          <w:numId w:val="21"/>
        </w:numPr>
        <w:ind w:left="0" w:firstLine="0"/>
        <w:rPr>
          <w:rFonts w:ascii="Arial" w:hAnsi="Arial" w:cs="Arial"/>
          <w:sz w:val="22"/>
          <w:szCs w:val="22"/>
        </w:rPr>
      </w:pPr>
      <w:r w:rsidRPr="00C3225E">
        <w:rPr>
          <w:rFonts w:ascii="Arial" w:hAnsi="Arial" w:cs="Arial"/>
          <w:sz w:val="22"/>
          <w:szCs w:val="22"/>
        </w:rPr>
        <w:t>WIPO is further increasing its use of social media for targeted outreach and sourcing of talents, as well as participation in outreach campaigns.  A campaign on “Women in Tech” ran from January to February 2019</w:t>
      </w:r>
      <w:r w:rsidRPr="00432521">
        <w:rPr>
          <w:rFonts w:ascii="Arial" w:hAnsi="Arial" w:cs="Arial"/>
          <w:sz w:val="22"/>
          <w:szCs w:val="22"/>
        </w:rPr>
        <w:t xml:space="preserve">, including a webinar featuring senior women in </w:t>
      </w:r>
      <w:r>
        <w:rPr>
          <w:rFonts w:ascii="Arial" w:hAnsi="Arial" w:cs="Arial"/>
          <w:sz w:val="22"/>
          <w:szCs w:val="22"/>
        </w:rPr>
        <w:t>T</w:t>
      </w:r>
      <w:r w:rsidRPr="00C3225E">
        <w:rPr>
          <w:rFonts w:ascii="Arial" w:hAnsi="Arial" w:cs="Arial"/>
          <w:sz w:val="22"/>
          <w:szCs w:val="22"/>
        </w:rPr>
        <w:t xml:space="preserve">ech at WIPO. </w:t>
      </w:r>
      <w:r>
        <w:rPr>
          <w:rFonts w:ascii="Arial" w:hAnsi="Arial" w:cs="Arial"/>
          <w:sz w:val="22"/>
          <w:szCs w:val="22"/>
        </w:rPr>
        <w:t xml:space="preserve"> </w:t>
      </w:r>
      <w:r w:rsidRPr="00C3225E">
        <w:rPr>
          <w:rFonts w:ascii="Arial" w:hAnsi="Arial" w:cs="Arial"/>
          <w:sz w:val="22"/>
          <w:szCs w:val="22"/>
        </w:rPr>
        <w:t xml:space="preserve">The aim of the campaign was to raise awareness of WIPO as an employer of choice </w:t>
      </w:r>
      <w:r>
        <w:rPr>
          <w:rFonts w:ascii="Arial" w:hAnsi="Arial" w:cs="Arial"/>
          <w:sz w:val="22"/>
          <w:szCs w:val="22"/>
        </w:rPr>
        <w:t xml:space="preserve">for this contingent </w:t>
      </w:r>
      <w:r w:rsidRPr="00C3225E">
        <w:rPr>
          <w:rFonts w:ascii="Arial" w:hAnsi="Arial" w:cs="Arial"/>
          <w:sz w:val="22"/>
          <w:szCs w:val="22"/>
        </w:rPr>
        <w:t>and to increase applications from women for vacancies in Tech-related positions.  The campaign generated significant interest with an international audience from 146 countries, including individuals from a number of unrepresented Member States.</w:t>
      </w:r>
      <w:r>
        <w:rPr>
          <w:rFonts w:ascii="Arial" w:hAnsi="Arial" w:cs="Arial"/>
          <w:sz w:val="22"/>
          <w:szCs w:val="22"/>
        </w:rPr>
        <w:t xml:space="preserve">  </w:t>
      </w:r>
      <w:r w:rsidRPr="00C3225E">
        <w:rPr>
          <w:rFonts w:ascii="Arial" w:hAnsi="Arial" w:cs="Arial"/>
          <w:sz w:val="22"/>
          <w:szCs w:val="22"/>
        </w:rPr>
        <w:t>WIPO has also increased its visibility on LinkedIn</w:t>
      </w:r>
      <w:r w:rsidR="008D3F81">
        <w:rPr>
          <w:rFonts w:ascii="Arial" w:hAnsi="Arial" w:cs="Arial"/>
          <w:sz w:val="22"/>
          <w:szCs w:val="22"/>
        </w:rPr>
        <w:t>, establishing</w:t>
      </w:r>
      <w:r w:rsidRPr="00C3225E">
        <w:rPr>
          <w:rFonts w:ascii="Arial" w:hAnsi="Arial" w:cs="Arial"/>
          <w:sz w:val="22"/>
          <w:szCs w:val="22"/>
        </w:rPr>
        <w:t xml:space="preserve"> a career page, paid advertisements and sourcing.</w:t>
      </w:r>
    </w:p>
    <w:p w14:paraId="0C347E7F" w14:textId="617AD3C4" w:rsidR="007C6A06" w:rsidRDefault="00B312DF" w:rsidP="0021112C">
      <w:pPr>
        <w:pStyle w:val="Heading3"/>
        <w:spacing w:after="0"/>
        <w:ind w:left="540"/>
        <w:rPr>
          <w:u w:val="none"/>
        </w:rPr>
      </w:pPr>
      <w:r w:rsidRPr="00695BAD">
        <w:rPr>
          <w:u w:val="none"/>
        </w:rPr>
        <w:t>BUILDING AND SUSTAINING CAPABILITY FOR THE FUTURE</w:t>
      </w:r>
    </w:p>
    <w:p w14:paraId="401AFF96" w14:textId="77777777" w:rsidR="0021112C" w:rsidRPr="0021112C" w:rsidRDefault="0021112C" w:rsidP="0021112C"/>
    <w:p w14:paraId="03796EE7" w14:textId="476A5078" w:rsidR="00850850" w:rsidRPr="00B312DF" w:rsidRDefault="00B312DF" w:rsidP="007C6A06">
      <w:pPr>
        <w:pStyle w:val="ListParagraph"/>
        <w:numPr>
          <w:ilvl w:val="0"/>
          <w:numId w:val="21"/>
        </w:numPr>
        <w:ind w:left="0" w:firstLine="0"/>
        <w:rPr>
          <w:rFonts w:ascii="Arial" w:hAnsi="Arial" w:cs="Arial"/>
          <w:sz w:val="22"/>
          <w:szCs w:val="22"/>
        </w:rPr>
      </w:pPr>
      <w:r>
        <w:rPr>
          <w:rFonts w:ascii="Arial" w:hAnsi="Arial" w:cs="Arial"/>
          <w:sz w:val="22"/>
          <w:szCs w:val="22"/>
        </w:rPr>
        <w:t>E</w:t>
      </w:r>
      <w:r w:rsidR="00636587" w:rsidRPr="00B312DF">
        <w:rPr>
          <w:rFonts w:ascii="Arial" w:hAnsi="Arial" w:cs="Arial"/>
          <w:sz w:val="22"/>
          <w:szCs w:val="22"/>
        </w:rPr>
        <w:t xml:space="preserve">merging </w:t>
      </w:r>
      <w:r w:rsidR="00B61C12" w:rsidRPr="00B312DF">
        <w:rPr>
          <w:rFonts w:ascii="Arial" w:hAnsi="Arial" w:cs="Arial"/>
          <w:sz w:val="22"/>
          <w:szCs w:val="22"/>
        </w:rPr>
        <w:t xml:space="preserve">new forces </w:t>
      </w:r>
      <w:r w:rsidR="00850850" w:rsidRPr="00B312DF">
        <w:rPr>
          <w:rFonts w:ascii="Arial" w:hAnsi="Arial" w:cs="Arial"/>
          <w:sz w:val="22"/>
          <w:szCs w:val="22"/>
        </w:rPr>
        <w:t>continue</w:t>
      </w:r>
      <w:r w:rsidR="00A4629C" w:rsidRPr="00B312DF">
        <w:rPr>
          <w:rFonts w:ascii="Arial" w:hAnsi="Arial" w:cs="Arial"/>
          <w:sz w:val="22"/>
          <w:szCs w:val="22"/>
        </w:rPr>
        <w:t xml:space="preserve"> to </w:t>
      </w:r>
      <w:r>
        <w:rPr>
          <w:rFonts w:ascii="Arial" w:hAnsi="Arial" w:cs="Arial"/>
          <w:sz w:val="22"/>
          <w:szCs w:val="22"/>
        </w:rPr>
        <w:t>transform the world and</w:t>
      </w:r>
      <w:r w:rsidR="00850850" w:rsidRPr="00B312DF">
        <w:rPr>
          <w:rFonts w:ascii="Arial" w:hAnsi="Arial" w:cs="Arial"/>
          <w:sz w:val="22"/>
          <w:szCs w:val="22"/>
        </w:rPr>
        <w:t xml:space="preserve"> require that </w:t>
      </w:r>
      <w:r w:rsidR="00B756CA" w:rsidRPr="00B312DF">
        <w:rPr>
          <w:rFonts w:ascii="Arial" w:hAnsi="Arial" w:cs="Arial"/>
          <w:sz w:val="22"/>
          <w:szCs w:val="22"/>
        </w:rPr>
        <w:t xml:space="preserve">organizations </w:t>
      </w:r>
      <w:r w:rsidR="00A4629C" w:rsidRPr="00B312DF">
        <w:rPr>
          <w:rFonts w:ascii="Arial" w:hAnsi="Arial" w:cs="Arial"/>
          <w:sz w:val="22"/>
          <w:szCs w:val="22"/>
        </w:rPr>
        <w:t>regularly</w:t>
      </w:r>
      <w:r w:rsidR="00342A50" w:rsidRPr="00B312DF">
        <w:rPr>
          <w:rFonts w:ascii="Arial" w:hAnsi="Arial" w:cs="Arial"/>
          <w:sz w:val="22"/>
          <w:szCs w:val="22"/>
        </w:rPr>
        <w:t xml:space="preserve"> review workforce needs </w:t>
      </w:r>
      <w:r w:rsidR="00FE7F0A" w:rsidRPr="00B312DF">
        <w:rPr>
          <w:rFonts w:ascii="Arial" w:hAnsi="Arial" w:cs="Arial"/>
          <w:sz w:val="22"/>
          <w:szCs w:val="22"/>
        </w:rPr>
        <w:t>and</w:t>
      </w:r>
      <w:r>
        <w:rPr>
          <w:rFonts w:ascii="Arial" w:hAnsi="Arial" w:cs="Arial"/>
          <w:sz w:val="22"/>
          <w:szCs w:val="22"/>
        </w:rPr>
        <w:t xml:space="preserve"> seek new and </w:t>
      </w:r>
      <w:r w:rsidR="00850850" w:rsidRPr="00B312DF">
        <w:rPr>
          <w:rFonts w:ascii="Arial" w:hAnsi="Arial" w:cs="Arial"/>
          <w:sz w:val="22"/>
          <w:szCs w:val="22"/>
        </w:rPr>
        <w:t xml:space="preserve">creative </w:t>
      </w:r>
      <w:r w:rsidR="00A4629C" w:rsidRPr="00B312DF">
        <w:rPr>
          <w:rFonts w:ascii="Arial" w:hAnsi="Arial" w:cs="Arial"/>
          <w:sz w:val="22"/>
          <w:szCs w:val="22"/>
        </w:rPr>
        <w:t>ways</w:t>
      </w:r>
      <w:r w:rsidR="00850850" w:rsidRPr="00B312DF">
        <w:rPr>
          <w:rFonts w:ascii="Arial" w:hAnsi="Arial" w:cs="Arial"/>
          <w:sz w:val="22"/>
          <w:szCs w:val="22"/>
        </w:rPr>
        <w:t xml:space="preserve"> to address the opportunities and challenges ahead. </w:t>
      </w:r>
      <w:r>
        <w:rPr>
          <w:rFonts w:ascii="Arial" w:hAnsi="Arial" w:cs="Arial"/>
          <w:sz w:val="22"/>
          <w:szCs w:val="22"/>
        </w:rPr>
        <w:t xml:space="preserve"> </w:t>
      </w:r>
      <w:r w:rsidR="00850850" w:rsidRPr="00B312DF">
        <w:rPr>
          <w:rFonts w:ascii="Arial" w:hAnsi="Arial" w:cs="Arial"/>
          <w:sz w:val="22"/>
          <w:szCs w:val="22"/>
        </w:rPr>
        <w:t xml:space="preserve">To </w:t>
      </w:r>
      <w:r w:rsidR="00A4629C" w:rsidRPr="00B312DF">
        <w:rPr>
          <w:rFonts w:ascii="Arial" w:hAnsi="Arial" w:cs="Arial"/>
          <w:sz w:val="22"/>
          <w:szCs w:val="22"/>
        </w:rPr>
        <w:t>be an</w:t>
      </w:r>
      <w:r w:rsidR="00850850" w:rsidRPr="00B312DF">
        <w:rPr>
          <w:rFonts w:ascii="Arial" w:hAnsi="Arial" w:cs="Arial"/>
          <w:sz w:val="22"/>
          <w:szCs w:val="22"/>
        </w:rPr>
        <w:t xml:space="preserve"> employer of choice</w:t>
      </w:r>
      <w:r w:rsidR="00A4629C" w:rsidRPr="00B312DF">
        <w:rPr>
          <w:rFonts w:ascii="Arial" w:hAnsi="Arial" w:cs="Arial"/>
          <w:sz w:val="22"/>
          <w:szCs w:val="22"/>
        </w:rPr>
        <w:t xml:space="preserve"> and remain competitive in the market for talent</w:t>
      </w:r>
      <w:r w:rsidR="00850850" w:rsidRPr="00B312DF">
        <w:rPr>
          <w:rFonts w:ascii="Arial" w:hAnsi="Arial" w:cs="Arial"/>
          <w:sz w:val="22"/>
          <w:szCs w:val="22"/>
        </w:rPr>
        <w:t xml:space="preserve">, </w:t>
      </w:r>
      <w:r w:rsidR="00342A50" w:rsidRPr="00B312DF">
        <w:rPr>
          <w:rFonts w:ascii="Arial" w:hAnsi="Arial" w:cs="Arial"/>
          <w:sz w:val="22"/>
          <w:szCs w:val="22"/>
        </w:rPr>
        <w:t>WIPO</w:t>
      </w:r>
      <w:r w:rsidR="00850850" w:rsidRPr="00B312DF">
        <w:rPr>
          <w:rFonts w:ascii="Arial" w:hAnsi="Arial" w:cs="Arial"/>
          <w:sz w:val="22"/>
          <w:szCs w:val="22"/>
        </w:rPr>
        <w:t xml:space="preserve"> proactively </w:t>
      </w:r>
      <w:r w:rsidR="00A4629C" w:rsidRPr="00B312DF">
        <w:rPr>
          <w:rFonts w:ascii="Arial" w:hAnsi="Arial" w:cs="Arial"/>
          <w:sz w:val="22"/>
          <w:szCs w:val="22"/>
        </w:rPr>
        <w:t xml:space="preserve">and continuously </w:t>
      </w:r>
      <w:r w:rsidR="0009657A">
        <w:rPr>
          <w:rFonts w:ascii="Arial" w:hAnsi="Arial" w:cs="Arial"/>
          <w:sz w:val="22"/>
          <w:szCs w:val="22"/>
        </w:rPr>
        <w:t>develops</w:t>
      </w:r>
      <w:r>
        <w:rPr>
          <w:rFonts w:ascii="Arial" w:hAnsi="Arial" w:cs="Arial"/>
          <w:sz w:val="22"/>
          <w:szCs w:val="22"/>
        </w:rPr>
        <w:t xml:space="preserve"> HR </w:t>
      </w:r>
      <w:r w:rsidR="0022731F">
        <w:rPr>
          <w:rFonts w:ascii="Arial" w:hAnsi="Arial" w:cs="Arial"/>
          <w:sz w:val="22"/>
          <w:szCs w:val="22"/>
        </w:rPr>
        <w:t>approaches</w:t>
      </w:r>
      <w:r w:rsidR="002F62B5" w:rsidRPr="00B312DF">
        <w:rPr>
          <w:rFonts w:ascii="Arial" w:hAnsi="Arial" w:cs="Arial"/>
          <w:sz w:val="22"/>
          <w:szCs w:val="22"/>
        </w:rPr>
        <w:t>.</w:t>
      </w:r>
    </w:p>
    <w:p w14:paraId="74E83376" w14:textId="77777777" w:rsidR="004E6BFB" w:rsidRPr="00B312DF" w:rsidRDefault="009E52CA" w:rsidP="0021112C">
      <w:pPr>
        <w:pStyle w:val="Heading4"/>
        <w:spacing w:after="0"/>
        <w:ind w:left="540"/>
      </w:pPr>
      <w:r>
        <w:lastRenderedPageBreak/>
        <w:t>The Future of Work</w:t>
      </w:r>
    </w:p>
    <w:p w14:paraId="0B0B3A1F" w14:textId="77777777" w:rsidR="00D95835" w:rsidRPr="00482E17" w:rsidRDefault="00D95835" w:rsidP="004E6BFB">
      <w:pPr>
        <w:rPr>
          <w:szCs w:val="22"/>
        </w:rPr>
      </w:pPr>
    </w:p>
    <w:p w14:paraId="48C15B4D" w14:textId="59E5105A" w:rsidR="00911C98" w:rsidRDefault="00416631" w:rsidP="00911C98">
      <w:pPr>
        <w:pStyle w:val="ListParagraph"/>
        <w:numPr>
          <w:ilvl w:val="0"/>
          <w:numId w:val="21"/>
        </w:numPr>
        <w:ind w:left="0" w:firstLine="0"/>
        <w:rPr>
          <w:rFonts w:ascii="Arial" w:hAnsi="Arial" w:cs="Arial"/>
          <w:sz w:val="22"/>
          <w:szCs w:val="22"/>
        </w:rPr>
      </w:pPr>
      <w:r w:rsidRPr="00B312DF">
        <w:rPr>
          <w:rFonts w:ascii="Arial" w:hAnsi="Arial" w:cs="Arial"/>
          <w:sz w:val="22"/>
          <w:szCs w:val="22"/>
        </w:rPr>
        <w:t xml:space="preserve">Critical to </w:t>
      </w:r>
      <w:r w:rsidR="004E6BFB" w:rsidRPr="00B312DF">
        <w:rPr>
          <w:rFonts w:ascii="Arial" w:hAnsi="Arial" w:cs="Arial"/>
          <w:sz w:val="22"/>
          <w:szCs w:val="22"/>
        </w:rPr>
        <w:t>positioning WIPO to deliver on its programmatic goals is ensuring that talent needs are proactively anticipated.</w:t>
      </w:r>
      <w:r w:rsidR="002F62B5" w:rsidRPr="00B312DF">
        <w:rPr>
          <w:rFonts w:ascii="Arial" w:hAnsi="Arial" w:cs="Arial"/>
          <w:sz w:val="22"/>
          <w:szCs w:val="22"/>
        </w:rPr>
        <w:t xml:space="preserve"> </w:t>
      </w:r>
      <w:r w:rsidR="00B312DF">
        <w:rPr>
          <w:rFonts w:ascii="Arial" w:hAnsi="Arial" w:cs="Arial"/>
          <w:sz w:val="22"/>
          <w:szCs w:val="22"/>
        </w:rPr>
        <w:t xml:space="preserve"> </w:t>
      </w:r>
      <w:r w:rsidR="00911C98" w:rsidRPr="00B312DF">
        <w:rPr>
          <w:rFonts w:ascii="Arial" w:hAnsi="Arial" w:cs="Arial"/>
          <w:sz w:val="22"/>
          <w:szCs w:val="22"/>
        </w:rPr>
        <w:t>New accessions</w:t>
      </w:r>
      <w:r w:rsidR="00A16612">
        <w:rPr>
          <w:rFonts w:ascii="Arial" w:hAnsi="Arial" w:cs="Arial"/>
          <w:sz w:val="22"/>
          <w:szCs w:val="22"/>
        </w:rPr>
        <w:t xml:space="preserve"> to WIPO-administered treaties which result in new or </w:t>
      </w:r>
      <w:r w:rsidR="00911C98" w:rsidRPr="00B312DF">
        <w:rPr>
          <w:rFonts w:ascii="Arial" w:hAnsi="Arial" w:cs="Arial"/>
          <w:sz w:val="22"/>
          <w:szCs w:val="22"/>
        </w:rPr>
        <w:t>different language combinations</w:t>
      </w:r>
      <w:r w:rsidR="00A16612">
        <w:rPr>
          <w:rFonts w:ascii="Arial" w:hAnsi="Arial" w:cs="Arial"/>
          <w:sz w:val="22"/>
          <w:szCs w:val="22"/>
        </w:rPr>
        <w:t xml:space="preserve"> of filings</w:t>
      </w:r>
      <w:r w:rsidR="00911C98" w:rsidRPr="00B312DF">
        <w:rPr>
          <w:rFonts w:ascii="Arial" w:hAnsi="Arial" w:cs="Arial"/>
          <w:sz w:val="22"/>
          <w:szCs w:val="22"/>
        </w:rPr>
        <w:t xml:space="preserve">, </w:t>
      </w:r>
      <w:r w:rsidR="00A16612">
        <w:rPr>
          <w:rFonts w:ascii="Arial" w:hAnsi="Arial" w:cs="Arial"/>
          <w:sz w:val="22"/>
          <w:szCs w:val="22"/>
        </w:rPr>
        <w:t xml:space="preserve">increasing </w:t>
      </w:r>
      <w:r w:rsidR="00911C98" w:rsidRPr="00B312DF">
        <w:rPr>
          <w:rFonts w:ascii="Arial" w:hAnsi="Arial" w:cs="Arial"/>
          <w:sz w:val="22"/>
          <w:szCs w:val="22"/>
        </w:rPr>
        <w:t>automation</w:t>
      </w:r>
      <w:r w:rsidR="00A16612">
        <w:rPr>
          <w:rFonts w:ascii="Arial" w:hAnsi="Arial" w:cs="Arial"/>
          <w:sz w:val="22"/>
          <w:szCs w:val="22"/>
        </w:rPr>
        <w:t xml:space="preserve"> and </w:t>
      </w:r>
      <w:r w:rsidR="005D2C96">
        <w:rPr>
          <w:rFonts w:ascii="Arial" w:hAnsi="Arial" w:cs="Arial"/>
          <w:sz w:val="22"/>
          <w:szCs w:val="22"/>
        </w:rPr>
        <w:t>rapidly evolving</w:t>
      </w:r>
      <w:r w:rsidR="00A16612">
        <w:rPr>
          <w:rFonts w:ascii="Arial" w:hAnsi="Arial" w:cs="Arial"/>
          <w:sz w:val="22"/>
          <w:szCs w:val="22"/>
        </w:rPr>
        <w:t xml:space="preserve"> technologies are some of the challenges directly</w:t>
      </w:r>
      <w:r w:rsidR="00911C98" w:rsidRPr="00B312DF">
        <w:rPr>
          <w:rFonts w:ascii="Arial" w:hAnsi="Arial" w:cs="Arial"/>
          <w:sz w:val="22"/>
          <w:szCs w:val="22"/>
        </w:rPr>
        <w:t xml:space="preserve"> </w:t>
      </w:r>
      <w:r w:rsidR="00837C99" w:rsidRPr="00B312DF">
        <w:rPr>
          <w:rFonts w:ascii="Arial" w:hAnsi="Arial" w:cs="Arial"/>
          <w:sz w:val="22"/>
          <w:szCs w:val="22"/>
        </w:rPr>
        <w:t>affecting</w:t>
      </w:r>
      <w:r w:rsidR="00911C98" w:rsidRPr="00B312DF">
        <w:rPr>
          <w:rFonts w:ascii="Arial" w:hAnsi="Arial" w:cs="Arial"/>
          <w:sz w:val="22"/>
          <w:szCs w:val="22"/>
        </w:rPr>
        <w:t xml:space="preserve"> many of WIPO’s programs. </w:t>
      </w:r>
      <w:r w:rsidR="00A16612">
        <w:rPr>
          <w:rFonts w:ascii="Arial" w:hAnsi="Arial" w:cs="Arial"/>
          <w:sz w:val="22"/>
          <w:szCs w:val="22"/>
        </w:rPr>
        <w:t xml:space="preserve"> </w:t>
      </w:r>
      <w:r w:rsidR="00911C98" w:rsidRPr="00B312DF">
        <w:rPr>
          <w:rFonts w:ascii="Arial" w:hAnsi="Arial" w:cs="Arial"/>
          <w:sz w:val="22"/>
          <w:szCs w:val="22"/>
        </w:rPr>
        <w:t>The workforce planning process</w:t>
      </w:r>
      <w:r w:rsidR="00A16612">
        <w:rPr>
          <w:rFonts w:ascii="Arial" w:hAnsi="Arial" w:cs="Arial"/>
          <w:sz w:val="22"/>
          <w:szCs w:val="22"/>
        </w:rPr>
        <w:t xml:space="preserve"> formally</w:t>
      </w:r>
      <w:r w:rsidR="00911C98" w:rsidRPr="00B312DF">
        <w:rPr>
          <w:rFonts w:ascii="Arial" w:hAnsi="Arial" w:cs="Arial"/>
          <w:sz w:val="22"/>
          <w:szCs w:val="22"/>
        </w:rPr>
        <w:t xml:space="preserve"> introduced into the Program and Budget planning cycl</w:t>
      </w:r>
      <w:r w:rsidR="00A16612">
        <w:rPr>
          <w:rFonts w:ascii="Arial" w:hAnsi="Arial" w:cs="Arial"/>
          <w:sz w:val="22"/>
          <w:szCs w:val="22"/>
        </w:rPr>
        <w:t xml:space="preserve">e for the first time in 2017-18 is an essential tool enabling program managers to </w:t>
      </w:r>
      <w:r w:rsidR="002A02C6">
        <w:rPr>
          <w:rFonts w:ascii="Arial" w:hAnsi="Arial" w:cs="Arial"/>
          <w:sz w:val="22"/>
          <w:szCs w:val="22"/>
        </w:rPr>
        <w:t xml:space="preserve">plan and </w:t>
      </w:r>
      <w:r w:rsidR="00A16612">
        <w:rPr>
          <w:rFonts w:ascii="Arial" w:hAnsi="Arial" w:cs="Arial"/>
          <w:sz w:val="22"/>
          <w:szCs w:val="22"/>
        </w:rPr>
        <w:t>act in anticipation</w:t>
      </w:r>
      <w:r w:rsidR="00BD408D" w:rsidRPr="00B312DF">
        <w:rPr>
          <w:rFonts w:ascii="Arial" w:hAnsi="Arial" w:cs="Arial"/>
          <w:sz w:val="22"/>
          <w:szCs w:val="22"/>
        </w:rPr>
        <w:t>.</w:t>
      </w:r>
      <w:r w:rsidR="006B676B">
        <w:rPr>
          <w:rFonts w:ascii="Arial" w:hAnsi="Arial" w:cs="Arial"/>
          <w:sz w:val="22"/>
          <w:szCs w:val="22"/>
        </w:rPr>
        <w:t xml:space="preserve">  </w:t>
      </w:r>
      <w:r w:rsidR="006B676B" w:rsidRPr="00284F16">
        <w:rPr>
          <w:rFonts w:ascii="Arial" w:hAnsi="Arial" w:cs="Arial"/>
          <w:sz w:val="22"/>
          <w:szCs w:val="22"/>
        </w:rPr>
        <w:t xml:space="preserve">Further, WIPO is strengthening its </w:t>
      </w:r>
      <w:r w:rsidR="006B676B">
        <w:rPr>
          <w:rFonts w:ascii="Arial" w:hAnsi="Arial" w:cs="Arial"/>
          <w:sz w:val="22"/>
          <w:szCs w:val="22"/>
        </w:rPr>
        <w:t>competencies in the collection and responsible use of people data</w:t>
      </w:r>
      <w:r w:rsidR="003F347C">
        <w:rPr>
          <w:rFonts w:ascii="Arial" w:hAnsi="Arial" w:cs="Arial"/>
          <w:sz w:val="22"/>
          <w:szCs w:val="22"/>
        </w:rPr>
        <w:t>. I</w:t>
      </w:r>
      <w:r w:rsidR="006B676B">
        <w:rPr>
          <w:rFonts w:ascii="Arial" w:hAnsi="Arial" w:cs="Arial"/>
          <w:sz w:val="22"/>
          <w:szCs w:val="22"/>
        </w:rPr>
        <w:t>nsights from analysis of these data furnish key elements for formulating effective workforce-planning strategies.</w:t>
      </w:r>
    </w:p>
    <w:p w14:paraId="3CD880F9" w14:textId="77777777" w:rsidR="00B04578" w:rsidRDefault="00B04578" w:rsidP="00B04578">
      <w:pPr>
        <w:pStyle w:val="ListParagraph"/>
        <w:ind w:left="0"/>
        <w:rPr>
          <w:rFonts w:ascii="Arial" w:hAnsi="Arial" w:cs="Arial"/>
          <w:sz w:val="22"/>
          <w:szCs w:val="22"/>
        </w:rPr>
      </w:pPr>
    </w:p>
    <w:p w14:paraId="58D8AECA" w14:textId="608AB443" w:rsidR="00D07468" w:rsidRPr="00284F16" w:rsidRDefault="008D3F81" w:rsidP="003624A0">
      <w:pPr>
        <w:pStyle w:val="ListParagraph"/>
        <w:numPr>
          <w:ilvl w:val="0"/>
          <w:numId w:val="21"/>
        </w:numPr>
        <w:ind w:left="0" w:firstLine="0"/>
        <w:rPr>
          <w:rFonts w:ascii="Arial" w:hAnsi="Arial" w:cs="Arial"/>
          <w:sz w:val="22"/>
          <w:szCs w:val="22"/>
        </w:rPr>
      </w:pPr>
      <w:r>
        <w:rPr>
          <w:rFonts w:ascii="Arial" w:hAnsi="Arial" w:cs="Arial"/>
          <w:sz w:val="22"/>
          <w:szCs w:val="22"/>
        </w:rPr>
        <w:t>Effective</w:t>
      </w:r>
      <w:r w:rsidR="00A06DD2" w:rsidRPr="00284F16">
        <w:rPr>
          <w:rFonts w:ascii="Arial" w:hAnsi="Arial" w:cs="Arial"/>
          <w:sz w:val="22"/>
          <w:szCs w:val="22"/>
        </w:rPr>
        <w:t xml:space="preserve"> January </w:t>
      </w:r>
      <w:r w:rsidR="00B756CA" w:rsidRPr="00284F16">
        <w:rPr>
          <w:rFonts w:ascii="Arial" w:hAnsi="Arial" w:cs="Arial"/>
          <w:sz w:val="22"/>
          <w:szCs w:val="22"/>
        </w:rPr>
        <w:t xml:space="preserve">1, </w:t>
      </w:r>
      <w:r w:rsidR="00A06DD2" w:rsidRPr="00284F16">
        <w:rPr>
          <w:rFonts w:ascii="Arial" w:hAnsi="Arial" w:cs="Arial"/>
          <w:sz w:val="22"/>
          <w:szCs w:val="22"/>
        </w:rPr>
        <w:t xml:space="preserve">2020, </w:t>
      </w:r>
      <w:r w:rsidR="00A06DD2" w:rsidRPr="00CD3821">
        <w:rPr>
          <w:rFonts w:ascii="Arial" w:hAnsi="Arial" w:cs="Arial"/>
          <w:sz w:val="22"/>
          <w:szCs w:val="22"/>
        </w:rPr>
        <w:t>staff</w:t>
      </w:r>
      <w:r w:rsidR="00BC7DBB">
        <w:rPr>
          <w:rFonts w:ascii="Arial" w:hAnsi="Arial" w:cs="Arial"/>
          <w:sz w:val="22"/>
          <w:szCs w:val="22"/>
        </w:rPr>
        <w:t xml:space="preserve"> </w:t>
      </w:r>
      <w:r w:rsidR="00A06DD2" w:rsidRPr="00284F16">
        <w:rPr>
          <w:rFonts w:ascii="Arial" w:hAnsi="Arial" w:cs="Arial"/>
          <w:sz w:val="22"/>
          <w:szCs w:val="22"/>
        </w:rPr>
        <w:t xml:space="preserve">whose </w:t>
      </w:r>
      <w:r w:rsidR="00BC7DBB">
        <w:rPr>
          <w:rFonts w:ascii="Arial" w:hAnsi="Arial" w:cs="Arial"/>
          <w:sz w:val="22"/>
          <w:szCs w:val="22"/>
        </w:rPr>
        <w:t xml:space="preserve">mandatory </w:t>
      </w:r>
      <w:r w:rsidR="00A06DD2" w:rsidRPr="00284F16">
        <w:rPr>
          <w:rFonts w:ascii="Arial" w:hAnsi="Arial" w:cs="Arial"/>
          <w:sz w:val="22"/>
          <w:szCs w:val="22"/>
        </w:rPr>
        <w:t xml:space="preserve">retirement </w:t>
      </w:r>
      <w:r w:rsidR="00B756CA" w:rsidRPr="00284F16">
        <w:rPr>
          <w:rFonts w:ascii="Arial" w:hAnsi="Arial" w:cs="Arial"/>
          <w:sz w:val="22"/>
          <w:szCs w:val="22"/>
        </w:rPr>
        <w:t xml:space="preserve">age </w:t>
      </w:r>
      <w:r w:rsidR="00A06DD2" w:rsidRPr="00284F16">
        <w:rPr>
          <w:rFonts w:ascii="Arial" w:hAnsi="Arial" w:cs="Arial"/>
          <w:sz w:val="22"/>
          <w:szCs w:val="22"/>
        </w:rPr>
        <w:t>was previously set at 60 or 62 will have the option of retiring at</w:t>
      </w:r>
      <w:r w:rsidR="00B756CA" w:rsidRPr="00284F16">
        <w:rPr>
          <w:rFonts w:ascii="Arial" w:hAnsi="Arial" w:cs="Arial"/>
          <w:sz w:val="22"/>
          <w:szCs w:val="22"/>
        </w:rPr>
        <w:t xml:space="preserve"> the age of</w:t>
      </w:r>
      <w:r w:rsidR="00A06DD2" w:rsidRPr="00284F16">
        <w:rPr>
          <w:rFonts w:ascii="Arial" w:hAnsi="Arial" w:cs="Arial"/>
          <w:sz w:val="22"/>
          <w:szCs w:val="22"/>
        </w:rPr>
        <w:t xml:space="preserve"> 65.  </w:t>
      </w:r>
      <w:r w:rsidR="00BC7DBB">
        <w:rPr>
          <w:rFonts w:ascii="Arial" w:hAnsi="Arial" w:cs="Arial"/>
          <w:sz w:val="22"/>
          <w:szCs w:val="22"/>
        </w:rPr>
        <w:t>Within that three or five-</w:t>
      </w:r>
      <w:r w:rsidR="00B41586" w:rsidRPr="00284F16">
        <w:rPr>
          <w:rFonts w:ascii="Arial" w:hAnsi="Arial" w:cs="Arial"/>
          <w:sz w:val="22"/>
          <w:szCs w:val="22"/>
        </w:rPr>
        <w:t xml:space="preserve">year extension, as the case may be, the staff members concerned </w:t>
      </w:r>
      <w:r w:rsidR="00DB1F46" w:rsidRPr="00284F16">
        <w:rPr>
          <w:rFonts w:ascii="Arial" w:hAnsi="Arial" w:cs="Arial"/>
          <w:sz w:val="22"/>
          <w:szCs w:val="22"/>
        </w:rPr>
        <w:t>have the right to</w:t>
      </w:r>
      <w:r w:rsidR="00B41586" w:rsidRPr="00284F16">
        <w:rPr>
          <w:rFonts w:ascii="Arial" w:hAnsi="Arial" w:cs="Arial"/>
          <w:sz w:val="22"/>
          <w:szCs w:val="22"/>
        </w:rPr>
        <w:t xml:space="preserve"> decide at any time to partly or fully extend their service at WIPO</w:t>
      </w:r>
      <w:r w:rsidR="002A02C6" w:rsidRPr="00284F16">
        <w:rPr>
          <w:rFonts w:ascii="Arial" w:hAnsi="Arial" w:cs="Arial"/>
          <w:sz w:val="22"/>
          <w:szCs w:val="22"/>
        </w:rPr>
        <w:t xml:space="preserve">.  </w:t>
      </w:r>
      <w:r w:rsidR="00BC7DBB">
        <w:rPr>
          <w:rFonts w:ascii="Arial" w:hAnsi="Arial" w:cs="Arial"/>
          <w:sz w:val="22"/>
          <w:szCs w:val="22"/>
        </w:rPr>
        <w:t xml:space="preserve">Between 2020 and 2025, </w:t>
      </w:r>
      <w:r w:rsidR="00BC7DBB" w:rsidRPr="00D05CB1">
        <w:rPr>
          <w:rFonts w:ascii="Arial" w:hAnsi="Arial" w:cs="Arial"/>
          <w:sz w:val="22"/>
          <w:szCs w:val="22"/>
        </w:rPr>
        <w:t xml:space="preserve">some </w:t>
      </w:r>
      <w:r w:rsidR="003E1AD1" w:rsidRPr="00D05CB1">
        <w:rPr>
          <w:rFonts w:ascii="Arial" w:hAnsi="Arial" w:cs="Arial"/>
          <w:sz w:val="22"/>
          <w:szCs w:val="22"/>
        </w:rPr>
        <w:t>25</w:t>
      </w:r>
      <w:r w:rsidR="00BC7DBB" w:rsidRPr="00D05CB1">
        <w:rPr>
          <w:rFonts w:ascii="Arial" w:hAnsi="Arial" w:cs="Arial"/>
          <w:sz w:val="22"/>
          <w:szCs w:val="22"/>
        </w:rPr>
        <w:t xml:space="preserve">0 staff members </w:t>
      </w:r>
      <w:r w:rsidR="003E1AD1" w:rsidRPr="00D05CB1">
        <w:rPr>
          <w:rFonts w:ascii="Arial" w:hAnsi="Arial" w:cs="Arial"/>
          <w:sz w:val="22"/>
          <w:szCs w:val="22"/>
        </w:rPr>
        <w:t>(Table 21)</w:t>
      </w:r>
      <w:r w:rsidR="00975B76" w:rsidRPr="00D05CB1">
        <w:rPr>
          <w:rFonts w:ascii="Arial" w:hAnsi="Arial" w:cs="Arial"/>
          <w:sz w:val="22"/>
          <w:szCs w:val="22"/>
        </w:rPr>
        <w:t xml:space="preserve"> </w:t>
      </w:r>
      <w:r w:rsidR="00BC7DBB" w:rsidRPr="00D05CB1">
        <w:rPr>
          <w:rFonts w:ascii="Arial" w:hAnsi="Arial" w:cs="Arial"/>
          <w:sz w:val="22"/>
          <w:szCs w:val="22"/>
        </w:rPr>
        <w:t xml:space="preserve">will </w:t>
      </w:r>
      <w:r w:rsidR="00DF7DB9" w:rsidRPr="00D05CB1">
        <w:rPr>
          <w:rFonts w:ascii="Arial" w:hAnsi="Arial" w:cs="Arial"/>
          <w:sz w:val="22"/>
          <w:szCs w:val="22"/>
        </w:rPr>
        <w:t xml:space="preserve">have the option </w:t>
      </w:r>
      <w:r>
        <w:rPr>
          <w:rFonts w:ascii="Arial" w:hAnsi="Arial" w:cs="Arial"/>
          <w:sz w:val="22"/>
          <w:szCs w:val="22"/>
        </w:rPr>
        <w:t>to retire</w:t>
      </w:r>
      <w:r w:rsidR="00DF7DB9" w:rsidRPr="00D05CB1">
        <w:rPr>
          <w:rFonts w:ascii="Arial" w:hAnsi="Arial" w:cs="Arial"/>
          <w:sz w:val="22"/>
          <w:szCs w:val="22"/>
        </w:rPr>
        <w:t xml:space="preserve"> at 65</w:t>
      </w:r>
      <w:r w:rsidR="00B7443C" w:rsidRPr="00D05CB1">
        <w:rPr>
          <w:rFonts w:ascii="Arial" w:hAnsi="Arial" w:cs="Arial"/>
          <w:sz w:val="22"/>
          <w:szCs w:val="22"/>
        </w:rPr>
        <w:t xml:space="preserve"> years in</w:t>
      </w:r>
      <w:r w:rsidR="00B7443C">
        <w:rPr>
          <w:rFonts w:ascii="Arial" w:hAnsi="Arial" w:cs="Arial"/>
          <w:sz w:val="22"/>
          <w:szCs w:val="22"/>
        </w:rPr>
        <w:t>stead of 60 or 62</w:t>
      </w:r>
      <w:r w:rsidR="00DF7DB9">
        <w:rPr>
          <w:rFonts w:ascii="Arial" w:hAnsi="Arial" w:cs="Arial"/>
          <w:sz w:val="22"/>
          <w:szCs w:val="22"/>
        </w:rPr>
        <w:t xml:space="preserve">. </w:t>
      </w:r>
      <w:r w:rsidR="00BC7DBB">
        <w:rPr>
          <w:rFonts w:ascii="Arial" w:hAnsi="Arial" w:cs="Arial"/>
          <w:sz w:val="22"/>
          <w:szCs w:val="22"/>
        </w:rPr>
        <w:t xml:space="preserve"> </w:t>
      </w:r>
      <w:r w:rsidR="00052B62" w:rsidRPr="00284F16">
        <w:rPr>
          <w:rFonts w:ascii="Arial" w:hAnsi="Arial" w:cs="Arial"/>
          <w:sz w:val="22"/>
          <w:szCs w:val="22"/>
        </w:rPr>
        <w:t>Given the biennial time frame for WIPO’s planning processes, this</w:t>
      </w:r>
      <w:r w:rsidR="00DB1F46" w:rsidRPr="00284F16">
        <w:rPr>
          <w:rFonts w:ascii="Arial" w:hAnsi="Arial" w:cs="Arial"/>
          <w:sz w:val="22"/>
          <w:szCs w:val="22"/>
        </w:rPr>
        <w:t xml:space="preserve"> presents </w:t>
      </w:r>
      <w:r w:rsidR="0009657A">
        <w:rPr>
          <w:rFonts w:ascii="Arial" w:hAnsi="Arial" w:cs="Arial"/>
          <w:sz w:val="22"/>
          <w:szCs w:val="22"/>
        </w:rPr>
        <w:t>challenges for</w:t>
      </w:r>
      <w:r w:rsidR="00052B62" w:rsidRPr="00284F16">
        <w:rPr>
          <w:rFonts w:ascii="Arial" w:hAnsi="Arial" w:cs="Arial"/>
          <w:sz w:val="22"/>
          <w:szCs w:val="22"/>
        </w:rPr>
        <w:t xml:space="preserve"> workforce planning</w:t>
      </w:r>
      <w:r w:rsidR="0022731F">
        <w:rPr>
          <w:rFonts w:ascii="Arial" w:hAnsi="Arial" w:cs="Arial"/>
          <w:sz w:val="22"/>
          <w:szCs w:val="22"/>
        </w:rPr>
        <w:t xml:space="preserve"> and skills renewal</w:t>
      </w:r>
      <w:r w:rsidR="00052B62" w:rsidRPr="00284F16">
        <w:rPr>
          <w:rFonts w:ascii="Arial" w:hAnsi="Arial" w:cs="Arial"/>
          <w:sz w:val="22"/>
          <w:szCs w:val="22"/>
        </w:rPr>
        <w:t xml:space="preserve"> in the years to come</w:t>
      </w:r>
      <w:r w:rsidR="00DB1F46" w:rsidRPr="00284F16">
        <w:rPr>
          <w:rFonts w:ascii="Arial" w:hAnsi="Arial" w:cs="Arial"/>
          <w:sz w:val="22"/>
          <w:szCs w:val="22"/>
        </w:rPr>
        <w:t>.</w:t>
      </w:r>
      <w:r w:rsidR="00DB1F46">
        <w:rPr>
          <w:rStyle w:val="FootnoteReference"/>
          <w:rFonts w:ascii="Arial" w:hAnsi="Arial" w:cs="Arial"/>
          <w:sz w:val="22"/>
          <w:szCs w:val="22"/>
        </w:rPr>
        <w:footnoteReference w:id="24"/>
      </w:r>
    </w:p>
    <w:p w14:paraId="70E12FFC" w14:textId="77777777" w:rsidR="0013524D" w:rsidRPr="00532C60" w:rsidRDefault="000526F7" w:rsidP="0021112C">
      <w:pPr>
        <w:pStyle w:val="Heading4"/>
        <w:spacing w:after="0"/>
        <w:ind w:left="540"/>
      </w:pPr>
      <w:r w:rsidRPr="00532C60">
        <w:t>Tra</w:t>
      </w:r>
      <w:r w:rsidR="007F2033">
        <w:t>nsitioning Young People to the “World of Work”</w:t>
      </w:r>
    </w:p>
    <w:p w14:paraId="09FABB41" w14:textId="77777777" w:rsidR="00B36863" w:rsidRPr="00532C60" w:rsidRDefault="00B36863" w:rsidP="007C6A06">
      <w:pPr>
        <w:rPr>
          <w:i/>
          <w:szCs w:val="22"/>
        </w:rPr>
      </w:pPr>
    </w:p>
    <w:p w14:paraId="72EE64E2" w14:textId="4432573D" w:rsidR="003C6A5A" w:rsidRDefault="00DB1F46" w:rsidP="009563A8">
      <w:pPr>
        <w:pStyle w:val="ListParagraph"/>
        <w:numPr>
          <w:ilvl w:val="0"/>
          <w:numId w:val="21"/>
        </w:numPr>
        <w:ind w:left="0" w:firstLine="0"/>
        <w:rPr>
          <w:rFonts w:ascii="Arial" w:hAnsi="Arial" w:cs="Arial"/>
          <w:sz w:val="22"/>
          <w:szCs w:val="22"/>
        </w:rPr>
      </w:pPr>
      <w:r w:rsidRPr="00532C60">
        <w:rPr>
          <w:rFonts w:ascii="Arial" w:hAnsi="Arial" w:cs="Arial"/>
          <w:sz w:val="22"/>
          <w:szCs w:val="22"/>
        </w:rPr>
        <w:t xml:space="preserve">As mentioned earlier in this report, </w:t>
      </w:r>
      <w:r w:rsidR="00752C83" w:rsidRPr="00532C60">
        <w:rPr>
          <w:rFonts w:ascii="Arial" w:hAnsi="Arial" w:cs="Arial"/>
          <w:sz w:val="22"/>
          <w:szCs w:val="22"/>
        </w:rPr>
        <w:t>2019 marks the 20</w:t>
      </w:r>
      <w:r w:rsidR="00752C83" w:rsidRPr="00532C60">
        <w:rPr>
          <w:rFonts w:ascii="Arial" w:hAnsi="Arial" w:cs="Arial"/>
          <w:sz w:val="22"/>
          <w:szCs w:val="22"/>
          <w:vertAlign w:val="superscript"/>
        </w:rPr>
        <w:t>th</w:t>
      </w:r>
      <w:r w:rsidR="00752C83" w:rsidRPr="00532C60">
        <w:rPr>
          <w:rFonts w:ascii="Arial" w:hAnsi="Arial" w:cs="Arial"/>
          <w:sz w:val="22"/>
          <w:szCs w:val="22"/>
        </w:rPr>
        <w:t xml:space="preserve"> anniversary of WIPO’s </w:t>
      </w:r>
      <w:r w:rsidRPr="00532C60">
        <w:rPr>
          <w:rFonts w:ascii="Arial" w:hAnsi="Arial" w:cs="Arial"/>
          <w:sz w:val="22"/>
          <w:szCs w:val="22"/>
        </w:rPr>
        <w:t>Internship P</w:t>
      </w:r>
      <w:r w:rsidR="00752C83" w:rsidRPr="00532C60">
        <w:rPr>
          <w:rFonts w:ascii="Arial" w:hAnsi="Arial" w:cs="Arial"/>
          <w:sz w:val="22"/>
          <w:szCs w:val="22"/>
        </w:rPr>
        <w:t>rogram</w:t>
      </w:r>
      <w:r w:rsidR="00532C60" w:rsidRPr="00532C60">
        <w:rPr>
          <w:rFonts w:ascii="Arial" w:hAnsi="Arial" w:cs="Arial"/>
          <w:sz w:val="22"/>
          <w:szCs w:val="22"/>
        </w:rPr>
        <w:t xml:space="preserve">.  </w:t>
      </w:r>
      <w:r w:rsidR="007D709B">
        <w:rPr>
          <w:rFonts w:ascii="Arial" w:hAnsi="Arial" w:cs="Arial"/>
          <w:sz w:val="22"/>
          <w:szCs w:val="22"/>
        </w:rPr>
        <w:t xml:space="preserve">The Organization is proud </w:t>
      </w:r>
      <w:r w:rsidR="000A2BF1">
        <w:rPr>
          <w:rFonts w:ascii="Arial" w:hAnsi="Arial" w:cs="Arial"/>
          <w:sz w:val="22"/>
          <w:szCs w:val="22"/>
        </w:rPr>
        <w:t xml:space="preserve">to </w:t>
      </w:r>
      <w:r w:rsidR="00B24A5F">
        <w:rPr>
          <w:rFonts w:ascii="Arial" w:hAnsi="Arial" w:cs="Arial"/>
          <w:sz w:val="22"/>
          <w:szCs w:val="22"/>
        </w:rPr>
        <w:t>hav</w:t>
      </w:r>
      <w:r w:rsidR="000A2BF1">
        <w:rPr>
          <w:rFonts w:ascii="Arial" w:hAnsi="Arial" w:cs="Arial"/>
          <w:sz w:val="22"/>
          <w:szCs w:val="22"/>
        </w:rPr>
        <w:t>e</w:t>
      </w:r>
      <w:r w:rsidR="00B24A5F">
        <w:rPr>
          <w:rFonts w:ascii="Arial" w:hAnsi="Arial" w:cs="Arial"/>
          <w:sz w:val="22"/>
          <w:szCs w:val="22"/>
        </w:rPr>
        <w:t xml:space="preserve"> provided</w:t>
      </w:r>
      <w:r w:rsidR="00195F7A">
        <w:rPr>
          <w:rFonts w:ascii="Arial" w:hAnsi="Arial" w:cs="Arial"/>
          <w:sz w:val="22"/>
          <w:szCs w:val="22"/>
        </w:rPr>
        <w:t xml:space="preserve"> well-structured</w:t>
      </w:r>
      <w:r w:rsidR="007F2033">
        <w:rPr>
          <w:rFonts w:ascii="Arial" w:hAnsi="Arial" w:cs="Arial"/>
          <w:sz w:val="22"/>
          <w:szCs w:val="22"/>
        </w:rPr>
        <w:t xml:space="preserve"> training opportunities to </w:t>
      </w:r>
      <w:r w:rsidR="00FB2FF7" w:rsidRPr="00D05CB1">
        <w:rPr>
          <w:rFonts w:ascii="Arial" w:hAnsi="Arial" w:cs="Arial"/>
          <w:sz w:val="22"/>
          <w:szCs w:val="22"/>
        </w:rPr>
        <w:t>nearly</w:t>
      </w:r>
      <w:r w:rsidR="007F2033" w:rsidRPr="00D05CB1">
        <w:rPr>
          <w:rFonts w:ascii="Arial" w:hAnsi="Arial" w:cs="Arial"/>
          <w:sz w:val="22"/>
          <w:szCs w:val="22"/>
        </w:rPr>
        <w:t xml:space="preserve"> </w:t>
      </w:r>
      <w:r w:rsidR="00FB2FF7" w:rsidRPr="00D05CB1">
        <w:rPr>
          <w:rFonts w:ascii="Arial" w:hAnsi="Arial" w:cs="Arial"/>
          <w:sz w:val="22"/>
          <w:szCs w:val="22"/>
        </w:rPr>
        <w:t>65</w:t>
      </w:r>
      <w:r w:rsidR="007F2033" w:rsidRPr="00D05CB1">
        <w:rPr>
          <w:rFonts w:ascii="Arial" w:hAnsi="Arial" w:cs="Arial"/>
          <w:sz w:val="22"/>
          <w:szCs w:val="22"/>
        </w:rPr>
        <w:t>0</w:t>
      </w:r>
      <w:r w:rsidR="00532C60" w:rsidRPr="00D05CB1">
        <w:rPr>
          <w:rFonts w:ascii="Arial" w:hAnsi="Arial" w:cs="Arial"/>
          <w:sz w:val="22"/>
          <w:szCs w:val="22"/>
        </w:rPr>
        <w:t xml:space="preserve"> young</w:t>
      </w:r>
      <w:r w:rsidR="00532C60">
        <w:rPr>
          <w:rFonts w:ascii="Arial" w:hAnsi="Arial" w:cs="Arial"/>
          <w:sz w:val="22"/>
          <w:szCs w:val="22"/>
        </w:rPr>
        <w:t xml:space="preserve"> professionals</w:t>
      </w:r>
      <w:r w:rsidR="00195F7A">
        <w:rPr>
          <w:rFonts w:ascii="Arial" w:hAnsi="Arial" w:cs="Arial"/>
          <w:sz w:val="22"/>
          <w:szCs w:val="22"/>
        </w:rPr>
        <w:t xml:space="preserve"> worldwide, typically between 22 and </w:t>
      </w:r>
      <w:r w:rsidR="00ED656C">
        <w:rPr>
          <w:rFonts w:ascii="Arial" w:hAnsi="Arial" w:cs="Arial"/>
          <w:sz w:val="22"/>
          <w:szCs w:val="22"/>
        </w:rPr>
        <w:br/>
      </w:r>
      <w:r w:rsidR="00195F7A">
        <w:rPr>
          <w:rFonts w:ascii="Arial" w:hAnsi="Arial" w:cs="Arial"/>
          <w:sz w:val="22"/>
          <w:szCs w:val="22"/>
        </w:rPr>
        <w:t>30 years old,</w:t>
      </w:r>
      <w:r w:rsidR="00532C60">
        <w:rPr>
          <w:rFonts w:ascii="Arial" w:hAnsi="Arial" w:cs="Arial"/>
          <w:sz w:val="22"/>
          <w:szCs w:val="22"/>
        </w:rPr>
        <w:t xml:space="preserve"> </w:t>
      </w:r>
      <w:r w:rsidR="00EC0FDB">
        <w:rPr>
          <w:rFonts w:ascii="Arial" w:hAnsi="Arial" w:cs="Arial"/>
          <w:sz w:val="22"/>
          <w:szCs w:val="22"/>
        </w:rPr>
        <w:t>in the course of these</w:t>
      </w:r>
      <w:r w:rsidR="00532C60">
        <w:rPr>
          <w:rFonts w:ascii="Arial" w:hAnsi="Arial" w:cs="Arial"/>
          <w:sz w:val="22"/>
          <w:szCs w:val="22"/>
        </w:rPr>
        <w:t xml:space="preserve"> two decades</w:t>
      </w:r>
      <w:r w:rsidR="00725DB5">
        <w:rPr>
          <w:rFonts w:ascii="Arial" w:hAnsi="Arial" w:cs="Arial"/>
          <w:sz w:val="22"/>
          <w:szCs w:val="22"/>
        </w:rPr>
        <w:t>.</w:t>
      </w:r>
      <w:r w:rsidR="007D709B">
        <w:rPr>
          <w:rFonts w:ascii="Arial" w:hAnsi="Arial" w:cs="Arial"/>
          <w:sz w:val="22"/>
          <w:szCs w:val="22"/>
        </w:rPr>
        <w:t xml:space="preserve"> </w:t>
      </w:r>
      <w:r w:rsidR="00725DB5">
        <w:rPr>
          <w:rFonts w:ascii="Arial" w:hAnsi="Arial" w:cs="Arial"/>
          <w:sz w:val="22"/>
          <w:szCs w:val="22"/>
        </w:rPr>
        <w:t xml:space="preserve"> In recent years</w:t>
      </w:r>
      <w:r w:rsidR="00195F7A">
        <w:rPr>
          <w:rFonts w:ascii="Arial" w:hAnsi="Arial" w:cs="Arial"/>
          <w:sz w:val="22"/>
          <w:szCs w:val="22"/>
        </w:rPr>
        <w:t>, the</w:t>
      </w:r>
      <w:r w:rsidR="003C6A5A">
        <w:rPr>
          <w:rFonts w:ascii="Arial" w:hAnsi="Arial" w:cs="Arial"/>
          <w:sz w:val="22"/>
          <w:szCs w:val="22"/>
        </w:rPr>
        <w:t xml:space="preserve"> annual </w:t>
      </w:r>
      <w:r w:rsidR="00EC0FDB">
        <w:rPr>
          <w:rFonts w:ascii="Arial" w:hAnsi="Arial" w:cs="Arial"/>
          <w:sz w:val="22"/>
          <w:szCs w:val="22"/>
        </w:rPr>
        <w:t xml:space="preserve">intake </w:t>
      </w:r>
      <w:r w:rsidR="00195F7A">
        <w:rPr>
          <w:rFonts w:ascii="Arial" w:hAnsi="Arial" w:cs="Arial"/>
          <w:sz w:val="22"/>
          <w:szCs w:val="22"/>
        </w:rPr>
        <w:t>has ranged</w:t>
      </w:r>
      <w:r w:rsidR="00EC0FDB">
        <w:rPr>
          <w:rFonts w:ascii="Arial" w:hAnsi="Arial" w:cs="Arial"/>
          <w:sz w:val="22"/>
          <w:szCs w:val="22"/>
        </w:rPr>
        <w:t xml:space="preserve"> between 30 and 50 interns</w:t>
      </w:r>
      <w:r w:rsidR="000A2BF1">
        <w:rPr>
          <w:rFonts w:ascii="Arial" w:hAnsi="Arial" w:cs="Arial"/>
          <w:sz w:val="22"/>
          <w:szCs w:val="22"/>
        </w:rPr>
        <w:t>,</w:t>
      </w:r>
      <w:r w:rsidR="003C6A5A">
        <w:rPr>
          <w:rFonts w:ascii="Arial" w:hAnsi="Arial" w:cs="Arial"/>
          <w:sz w:val="22"/>
          <w:szCs w:val="22"/>
        </w:rPr>
        <w:t xml:space="preserve"> with f</w:t>
      </w:r>
      <w:r w:rsidR="005E4F27">
        <w:rPr>
          <w:rFonts w:ascii="Arial" w:hAnsi="Arial" w:cs="Arial"/>
          <w:sz w:val="22"/>
          <w:szCs w:val="22"/>
        </w:rPr>
        <w:t>em</w:t>
      </w:r>
      <w:r w:rsidR="003C6A5A">
        <w:rPr>
          <w:rFonts w:ascii="Arial" w:hAnsi="Arial" w:cs="Arial"/>
          <w:sz w:val="22"/>
          <w:szCs w:val="22"/>
        </w:rPr>
        <w:t xml:space="preserve">ale interns regularly outnumbering </w:t>
      </w:r>
      <w:r w:rsidR="005E4F27">
        <w:rPr>
          <w:rFonts w:ascii="Arial" w:hAnsi="Arial" w:cs="Arial"/>
          <w:sz w:val="22"/>
          <w:szCs w:val="22"/>
        </w:rPr>
        <w:t>male interns</w:t>
      </w:r>
      <w:r w:rsidR="003C6A5A">
        <w:rPr>
          <w:rFonts w:ascii="Arial" w:hAnsi="Arial" w:cs="Arial"/>
          <w:sz w:val="22"/>
          <w:szCs w:val="22"/>
        </w:rPr>
        <w:t>.  The</w:t>
      </w:r>
      <w:r w:rsidR="005E4F27">
        <w:rPr>
          <w:rFonts w:ascii="Arial" w:hAnsi="Arial" w:cs="Arial"/>
          <w:sz w:val="22"/>
          <w:szCs w:val="22"/>
        </w:rPr>
        <w:t xml:space="preserve"> 20-year </w:t>
      </w:r>
      <w:r w:rsidR="003C6A5A">
        <w:rPr>
          <w:rFonts w:ascii="Arial" w:hAnsi="Arial" w:cs="Arial"/>
          <w:sz w:val="22"/>
          <w:szCs w:val="22"/>
        </w:rPr>
        <w:t>data show a total ratio of</w:t>
      </w:r>
      <w:r w:rsidR="005E4F27">
        <w:rPr>
          <w:rFonts w:ascii="Arial" w:hAnsi="Arial" w:cs="Arial"/>
          <w:sz w:val="22"/>
          <w:szCs w:val="22"/>
        </w:rPr>
        <w:t xml:space="preserve"> 63 per cent</w:t>
      </w:r>
      <w:r w:rsidR="003C6A5A">
        <w:rPr>
          <w:rFonts w:ascii="Arial" w:hAnsi="Arial" w:cs="Arial"/>
          <w:sz w:val="22"/>
          <w:szCs w:val="22"/>
        </w:rPr>
        <w:t xml:space="preserve"> female</w:t>
      </w:r>
      <w:r w:rsidR="005E4F27">
        <w:rPr>
          <w:rFonts w:ascii="Arial" w:hAnsi="Arial" w:cs="Arial"/>
          <w:sz w:val="22"/>
          <w:szCs w:val="22"/>
        </w:rPr>
        <w:t xml:space="preserve"> and 37 per cent</w:t>
      </w:r>
      <w:r w:rsidR="003C6A5A">
        <w:rPr>
          <w:rFonts w:ascii="Arial" w:hAnsi="Arial" w:cs="Arial"/>
          <w:sz w:val="22"/>
          <w:szCs w:val="22"/>
        </w:rPr>
        <w:t xml:space="preserve"> male</w:t>
      </w:r>
      <w:r w:rsidR="000A2BF1">
        <w:rPr>
          <w:rFonts w:ascii="Arial" w:hAnsi="Arial" w:cs="Arial"/>
          <w:sz w:val="22"/>
          <w:szCs w:val="22"/>
        </w:rPr>
        <w:t>,</w:t>
      </w:r>
      <w:r w:rsidR="003C6A5A">
        <w:rPr>
          <w:rFonts w:ascii="Arial" w:hAnsi="Arial" w:cs="Arial"/>
          <w:sz w:val="22"/>
          <w:szCs w:val="22"/>
        </w:rPr>
        <w:t xml:space="preserve"> with a</w:t>
      </w:r>
      <w:r w:rsidR="005E4F27">
        <w:rPr>
          <w:rFonts w:ascii="Arial" w:hAnsi="Arial" w:cs="Arial"/>
          <w:sz w:val="22"/>
          <w:szCs w:val="22"/>
        </w:rPr>
        <w:t xml:space="preserve">bout </w:t>
      </w:r>
      <w:r w:rsidR="003C6A5A">
        <w:rPr>
          <w:rFonts w:ascii="Arial" w:hAnsi="Arial" w:cs="Arial"/>
          <w:sz w:val="22"/>
          <w:szCs w:val="22"/>
        </w:rPr>
        <w:t>equal numbers originating</w:t>
      </w:r>
      <w:r w:rsidR="005E4F27">
        <w:rPr>
          <w:rFonts w:ascii="Arial" w:hAnsi="Arial" w:cs="Arial"/>
          <w:sz w:val="22"/>
          <w:szCs w:val="22"/>
        </w:rPr>
        <w:t xml:space="preserve"> from </w:t>
      </w:r>
      <w:r w:rsidR="00B3267B">
        <w:rPr>
          <w:rFonts w:ascii="Arial" w:hAnsi="Arial" w:cs="Arial"/>
          <w:sz w:val="22"/>
          <w:szCs w:val="22"/>
        </w:rPr>
        <w:t xml:space="preserve">two regions, </w:t>
      </w:r>
      <w:r w:rsidR="005E4F27">
        <w:rPr>
          <w:rFonts w:ascii="Arial" w:hAnsi="Arial" w:cs="Arial"/>
          <w:sz w:val="22"/>
          <w:szCs w:val="22"/>
        </w:rPr>
        <w:t xml:space="preserve">Asia and </w:t>
      </w:r>
      <w:r w:rsidR="00EC45A7">
        <w:rPr>
          <w:rFonts w:ascii="Arial" w:hAnsi="Arial" w:cs="Arial"/>
          <w:sz w:val="22"/>
          <w:szCs w:val="22"/>
        </w:rPr>
        <w:t xml:space="preserve">the </w:t>
      </w:r>
      <w:r w:rsidR="005E4F27">
        <w:rPr>
          <w:rFonts w:ascii="Arial" w:hAnsi="Arial" w:cs="Arial"/>
          <w:sz w:val="22"/>
          <w:szCs w:val="22"/>
        </w:rPr>
        <w:t>Pacific</w:t>
      </w:r>
      <w:r w:rsidR="003C6A5A">
        <w:rPr>
          <w:rFonts w:ascii="Arial" w:hAnsi="Arial" w:cs="Arial"/>
          <w:sz w:val="22"/>
          <w:szCs w:val="22"/>
        </w:rPr>
        <w:t xml:space="preserve"> and Western Europe</w:t>
      </w:r>
      <w:r w:rsidR="000A2BF1">
        <w:rPr>
          <w:rFonts w:ascii="Arial" w:hAnsi="Arial" w:cs="Arial"/>
          <w:sz w:val="22"/>
          <w:szCs w:val="22"/>
        </w:rPr>
        <w:t>,</w:t>
      </w:r>
      <w:r w:rsidR="003C6A5A">
        <w:rPr>
          <w:rFonts w:ascii="Arial" w:hAnsi="Arial" w:cs="Arial"/>
          <w:sz w:val="22"/>
          <w:szCs w:val="22"/>
        </w:rPr>
        <w:t xml:space="preserve"> followed by </w:t>
      </w:r>
      <w:r w:rsidR="00B3267B">
        <w:rPr>
          <w:rFonts w:ascii="Arial" w:hAnsi="Arial" w:cs="Arial"/>
          <w:sz w:val="22"/>
          <w:szCs w:val="22"/>
        </w:rPr>
        <w:t xml:space="preserve">those coming from two other regions, Eastern </w:t>
      </w:r>
      <w:r w:rsidR="00A91690">
        <w:rPr>
          <w:rFonts w:ascii="Arial" w:hAnsi="Arial" w:cs="Arial"/>
          <w:sz w:val="22"/>
          <w:szCs w:val="22"/>
        </w:rPr>
        <w:t xml:space="preserve">and Central </w:t>
      </w:r>
      <w:r w:rsidR="00B3267B">
        <w:rPr>
          <w:rFonts w:ascii="Arial" w:hAnsi="Arial" w:cs="Arial"/>
          <w:sz w:val="22"/>
          <w:szCs w:val="22"/>
        </w:rPr>
        <w:t>Europ</w:t>
      </w:r>
      <w:r w:rsidR="00E87239">
        <w:rPr>
          <w:rFonts w:ascii="Arial" w:hAnsi="Arial" w:cs="Arial"/>
          <w:sz w:val="22"/>
          <w:szCs w:val="22"/>
        </w:rPr>
        <w:t xml:space="preserve">e and Central Asia and </w:t>
      </w:r>
      <w:r w:rsidR="003C6A5A">
        <w:rPr>
          <w:rFonts w:ascii="Arial" w:hAnsi="Arial" w:cs="Arial"/>
          <w:sz w:val="22"/>
          <w:szCs w:val="22"/>
        </w:rPr>
        <w:t>North America</w:t>
      </w:r>
      <w:r w:rsidR="00FC07C1">
        <w:rPr>
          <w:rFonts w:ascii="Arial" w:hAnsi="Arial" w:cs="Arial"/>
          <w:sz w:val="22"/>
          <w:szCs w:val="22"/>
        </w:rPr>
        <w:t xml:space="preserve"> (Table 5)</w:t>
      </w:r>
      <w:r w:rsidR="003C6A5A">
        <w:rPr>
          <w:rFonts w:ascii="Arial" w:hAnsi="Arial" w:cs="Arial"/>
          <w:sz w:val="22"/>
          <w:szCs w:val="22"/>
        </w:rPr>
        <w:t xml:space="preserve">.  </w:t>
      </w:r>
      <w:r w:rsidR="00195F7A">
        <w:rPr>
          <w:rFonts w:ascii="Arial" w:hAnsi="Arial" w:cs="Arial"/>
          <w:sz w:val="22"/>
          <w:szCs w:val="22"/>
        </w:rPr>
        <w:t>All work sectors in WIPO participate in the hosting and training of interns</w:t>
      </w:r>
      <w:r w:rsidR="0022731F">
        <w:rPr>
          <w:rFonts w:ascii="Arial" w:hAnsi="Arial" w:cs="Arial"/>
          <w:sz w:val="22"/>
          <w:szCs w:val="22"/>
        </w:rPr>
        <w:t>.</w:t>
      </w:r>
      <w:r w:rsidR="00680863">
        <w:rPr>
          <w:rFonts w:ascii="Arial" w:hAnsi="Arial" w:cs="Arial"/>
          <w:sz w:val="22"/>
          <w:szCs w:val="22"/>
        </w:rPr>
        <w:t xml:space="preserve">  </w:t>
      </w:r>
      <w:r w:rsidR="00725DB5">
        <w:rPr>
          <w:rFonts w:ascii="Arial" w:hAnsi="Arial" w:cs="Arial"/>
          <w:sz w:val="22"/>
          <w:szCs w:val="22"/>
        </w:rPr>
        <w:t>The results of an</w:t>
      </w:r>
      <w:r w:rsidR="007D709B">
        <w:rPr>
          <w:rFonts w:ascii="Arial" w:hAnsi="Arial" w:cs="Arial"/>
          <w:sz w:val="22"/>
          <w:szCs w:val="22"/>
        </w:rPr>
        <w:t xml:space="preserve"> </w:t>
      </w:r>
      <w:r w:rsidR="00725DB5">
        <w:rPr>
          <w:rFonts w:ascii="Arial" w:hAnsi="Arial" w:cs="Arial"/>
          <w:sz w:val="22"/>
          <w:szCs w:val="22"/>
        </w:rPr>
        <w:t xml:space="preserve">evaluation survey </w:t>
      </w:r>
      <w:r w:rsidR="00195F7A">
        <w:rPr>
          <w:rFonts w:ascii="Arial" w:hAnsi="Arial" w:cs="Arial"/>
          <w:sz w:val="22"/>
          <w:szCs w:val="22"/>
        </w:rPr>
        <w:t>of interns</w:t>
      </w:r>
      <w:r w:rsidR="00725DB5">
        <w:rPr>
          <w:rFonts w:ascii="Arial" w:hAnsi="Arial" w:cs="Arial"/>
          <w:sz w:val="22"/>
          <w:szCs w:val="22"/>
        </w:rPr>
        <w:t xml:space="preserve"> have been extreme</w:t>
      </w:r>
      <w:r w:rsidR="003C6A5A">
        <w:rPr>
          <w:rFonts w:ascii="Arial" w:hAnsi="Arial" w:cs="Arial"/>
          <w:sz w:val="22"/>
          <w:szCs w:val="22"/>
        </w:rPr>
        <w:t>ly positive</w:t>
      </w:r>
      <w:r w:rsidR="000A2BF1">
        <w:rPr>
          <w:rFonts w:ascii="Arial" w:hAnsi="Arial" w:cs="Arial"/>
          <w:sz w:val="22"/>
          <w:szCs w:val="22"/>
        </w:rPr>
        <w:t>,</w:t>
      </w:r>
      <w:r w:rsidR="003C6A5A">
        <w:rPr>
          <w:rFonts w:ascii="Arial" w:hAnsi="Arial" w:cs="Arial"/>
          <w:sz w:val="22"/>
          <w:szCs w:val="22"/>
        </w:rPr>
        <w:t xml:space="preserve"> </w:t>
      </w:r>
      <w:r w:rsidR="00725DB5">
        <w:rPr>
          <w:rFonts w:ascii="Arial" w:hAnsi="Arial" w:cs="Arial"/>
          <w:sz w:val="22"/>
          <w:szCs w:val="22"/>
        </w:rPr>
        <w:t>show</w:t>
      </w:r>
      <w:r w:rsidR="003C6A5A">
        <w:rPr>
          <w:rFonts w:ascii="Arial" w:hAnsi="Arial" w:cs="Arial"/>
          <w:sz w:val="22"/>
          <w:szCs w:val="22"/>
        </w:rPr>
        <w:t>ing</w:t>
      </w:r>
      <w:r w:rsidR="00725DB5">
        <w:rPr>
          <w:rFonts w:ascii="Arial" w:hAnsi="Arial" w:cs="Arial"/>
          <w:sz w:val="22"/>
          <w:szCs w:val="22"/>
        </w:rPr>
        <w:t xml:space="preserve"> that i</w:t>
      </w:r>
      <w:r w:rsidR="007D709B">
        <w:rPr>
          <w:rFonts w:ascii="Arial" w:hAnsi="Arial" w:cs="Arial"/>
          <w:sz w:val="22"/>
          <w:szCs w:val="22"/>
        </w:rPr>
        <w:t>nterns appreciate the meaningful work assigned to them</w:t>
      </w:r>
      <w:r w:rsidR="003C6A5A">
        <w:rPr>
          <w:rFonts w:ascii="Arial" w:hAnsi="Arial" w:cs="Arial"/>
          <w:sz w:val="22"/>
          <w:szCs w:val="22"/>
        </w:rPr>
        <w:t xml:space="preserve">, </w:t>
      </w:r>
      <w:r w:rsidR="00195F7A">
        <w:rPr>
          <w:rFonts w:ascii="Arial" w:hAnsi="Arial" w:cs="Arial"/>
          <w:sz w:val="22"/>
          <w:szCs w:val="22"/>
        </w:rPr>
        <w:t>the</w:t>
      </w:r>
      <w:r w:rsidR="003C6A5A">
        <w:rPr>
          <w:rFonts w:ascii="Arial" w:hAnsi="Arial" w:cs="Arial"/>
          <w:sz w:val="22"/>
          <w:szCs w:val="22"/>
        </w:rPr>
        <w:t xml:space="preserve"> </w:t>
      </w:r>
      <w:r w:rsidR="007D709B">
        <w:rPr>
          <w:rFonts w:ascii="Arial" w:hAnsi="Arial" w:cs="Arial"/>
          <w:sz w:val="22"/>
          <w:szCs w:val="22"/>
        </w:rPr>
        <w:t>clear work objectives</w:t>
      </w:r>
      <w:r w:rsidR="00195F7A">
        <w:rPr>
          <w:rFonts w:ascii="Arial" w:hAnsi="Arial" w:cs="Arial"/>
          <w:sz w:val="22"/>
          <w:szCs w:val="22"/>
        </w:rPr>
        <w:t xml:space="preserve"> that are established</w:t>
      </w:r>
      <w:r w:rsidR="003C6A5A">
        <w:rPr>
          <w:rFonts w:ascii="Arial" w:hAnsi="Arial" w:cs="Arial"/>
          <w:sz w:val="22"/>
          <w:szCs w:val="22"/>
        </w:rPr>
        <w:t>,</w:t>
      </w:r>
      <w:r w:rsidR="007D709B">
        <w:rPr>
          <w:rFonts w:ascii="Arial" w:hAnsi="Arial" w:cs="Arial"/>
          <w:sz w:val="22"/>
          <w:szCs w:val="22"/>
        </w:rPr>
        <w:t xml:space="preserve"> and the guidance</w:t>
      </w:r>
      <w:r w:rsidR="00725DB5">
        <w:rPr>
          <w:rFonts w:ascii="Arial" w:hAnsi="Arial" w:cs="Arial"/>
          <w:sz w:val="22"/>
          <w:szCs w:val="22"/>
        </w:rPr>
        <w:t xml:space="preserve"> they received.  Interns viewed the experience </w:t>
      </w:r>
      <w:r w:rsidR="00411BD0">
        <w:rPr>
          <w:rFonts w:ascii="Arial" w:hAnsi="Arial" w:cs="Arial"/>
          <w:sz w:val="22"/>
          <w:szCs w:val="22"/>
        </w:rPr>
        <w:t xml:space="preserve">at WIPO </w:t>
      </w:r>
      <w:r w:rsidR="00725DB5">
        <w:rPr>
          <w:rFonts w:ascii="Arial" w:hAnsi="Arial" w:cs="Arial"/>
          <w:sz w:val="22"/>
          <w:szCs w:val="22"/>
        </w:rPr>
        <w:t xml:space="preserve">as professionally enriching and </w:t>
      </w:r>
      <w:r w:rsidR="003C6A5A">
        <w:rPr>
          <w:rFonts w:ascii="Arial" w:hAnsi="Arial" w:cs="Arial"/>
          <w:sz w:val="22"/>
          <w:szCs w:val="22"/>
        </w:rPr>
        <w:t>helpful</w:t>
      </w:r>
      <w:r w:rsidR="00725DB5">
        <w:rPr>
          <w:rFonts w:ascii="Arial" w:hAnsi="Arial" w:cs="Arial"/>
          <w:sz w:val="22"/>
          <w:szCs w:val="22"/>
        </w:rPr>
        <w:t xml:space="preserve"> </w:t>
      </w:r>
      <w:r w:rsidR="0022731F">
        <w:rPr>
          <w:rFonts w:ascii="Arial" w:hAnsi="Arial" w:cs="Arial"/>
          <w:sz w:val="22"/>
          <w:szCs w:val="22"/>
        </w:rPr>
        <w:t>for</w:t>
      </w:r>
      <w:r w:rsidR="00725DB5">
        <w:rPr>
          <w:rFonts w:ascii="Arial" w:hAnsi="Arial" w:cs="Arial"/>
          <w:sz w:val="22"/>
          <w:szCs w:val="22"/>
        </w:rPr>
        <w:t xml:space="preserve"> future employment</w:t>
      </w:r>
      <w:r w:rsidR="00DF7DB9">
        <w:rPr>
          <w:rFonts w:ascii="Arial" w:hAnsi="Arial" w:cs="Arial"/>
          <w:sz w:val="22"/>
          <w:szCs w:val="22"/>
        </w:rPr>
        <w:t>.</w:t>
      </w:r>
      <w:r w:rsidR="00725DB5">
        <w:rPr>
          <w:rStyle w:val="FootnoteReference"/>
          <w:rFonts w:ascii="Arial" w:hAnsi="Arial" w:cs="Arial"/>
          <w:sz w:val="22"/>
          <w:szCs w:val="22"/>
        </w:rPr>
        <w:footnoteReference w:id="25"/>
      </w:r>
    </w:p>
    <w:p w14:paraId="3EA11BC0" w14:textId="77777777" w:rsidR="003C6A5A" w:rsidRDefault="003C6A5A" w:rsidP="003C6A5A">
      <w:pPr>
        <w:pStyle w:val="ListParagraph"/>
        <w:ind w:left="0"/>
        <w:rPr>
          <w:rFonts w:ascii="Arial" w:hAnsi="Arial" w:cs="Arial"/>
          <w:sz w:val="22"/>
          <w:szCs w:val="22"/>
        </w:rPr>
      </w:pPr>
    </w:p>
    <w:p w14:paraId="45B27316" w14:textId="54EAF2AB" w:rsidR="009563A8" w:rsidRPr="005A175E" w:rsidRDefault="00411BD0" w:rsidP="009563A8">
      <w:pPr>
        <w:pStyle w:val="ListParagraph"/>
        <w:numPr>
          <w:ilvl w:val="0"/>
          <w:numId w:val="21"/>
        </w:numPr>
        <w:ind w:left="0" w:firstLine="0"/>
        <w:rPr>
          <w:rFonts w:ascii="Arial" w:hAnsi="Arial" w:cs="Arial"/>
          <w:sz w:val="22"/>
          <w:szCs w:val="22"/>
        </w:rPr>
      </w:pPr>
      <w:r w:rsidRPr="005A175E">
        <w:rPr>
          <w:rFonts w:ascii="Arial" w:hAnsi="Arial" w:cs="Arial"/>
          <w:sz w:val="22"/>
          <w:szCs w:val="22"/>
        </w:rPr>
        <w:t>A</w:t>
      </w:r>
      <w:r w:rsidR="00306D30" w:rsidRPr="005A175E">
        <w:rPr>
          <w:rFonts w:ascii="Arial" w:hAnsi="Arial" w:cs="Arial"/>
          <w:sz w:val="22"/>
          <w:szCs w:val="22"/>
        </w:rPr>
        <w:t xml:space="preserve"> number of </w:t>
      </w:r>
      <w:r w:rsidR="008F4847" w:rsidRPr="005A175E">
        <w:rPr>
          <w:rFonts w:ascii="Arial" w:hAnsi="Arial" w:cs="Arial"/>
          <w:sz w:val="22"/>
          <w:szCs w:val="22"/>
        </w:rPr>
        <w:t xml:space="preserve">improvements have been introduced </w:t>
      </w:r>
      <w:r w:rsidRPr="005A175E">
        <w:rPr>
          <w:rFonts w:ascii="Arial" w:hAnsi="Arial" w:cs="Arial"/>
          <w:sz w:val="22"/>
          <w:szCs w:val="22"/>
        </w:rPr>
        <w:t>to WIPO’s internship program, effective January</w:t>
      </w:r>
      <w:r w:rsidR="00DF7DB9" w:rsidRPr="005A175E">
        <w:rPr>
          <w:rFonts w:ascii="Arial" w:hAnsi="Arial" w:cs="Arial"/>
          <w:sz w:val="22"/>
          <w:szCs w:val="22"/>
        </w:rPr>
        <w:t xml:space="preserve"> </w:t>
      </w:r>
      <w:r w:rsidRPr="005A175E">
        <w:rPr>
          <w:rFonts w:ascii="Arial" w:hAnsi="Arial" w:cs="Arial"/>
          <w:sz w:val="22"/>
          <w:szCs w:val="22"/>
        </w:rPr>
        <w:t>2019</w:t>
      </w:r>
      <w:r w:rsidR="000A2BF1">
        <w:rPr>
          <w:rFonts w:ascii="Arial" w:hAnsi="Arial" w:cs="Arial"/>
          <w:sz w:val="22"/>
          <w:szCs w:val="22"/>
        </w:rPr>
        <w:t>,</w:t>
      </w:r>
      <w:r w:rsidR="00BE4A3C" w:rsidRPr="005A175E">
        <w:rPr>
          <w:rFonts w:ascii="Arial" w:hAnsi="Arial" w:cs="Arial"/>
          <w:sz w:val="22"/>
          <w:szCs w:val="22"/>
        </w:rPr>
        <w:t xml:space="preserve"> to support WIPO’s pool of young talent by</w:t>
      </w:r>
      <w:r w:rsidRPr="005A175E">
        <w:rPr>
          <w:rFonts w:ascii="Arial" w:hAnsi="Arial" w:cs="Arial"/>
          <w:sz w:val="22"/>
          <w:szCs w:val="22"/>
        </w:rPr>
        <w:t xml:space="preserve"> </w:t>
      </w:r>
      <w:r w:rsidR="008A12C3" w:rsidRPr="005A175E">
        <w:rPr>
          <w:rFonts w:ascii="Arial" w:hAnsi="Arial" w:cs="Arial"/>
          <w:sz w:val="22"/>
          <w:szCs w:val="22"/>
        </w:rPr>
        <w:t xml:space="preserve">increasing </w:t>
      </w:r>
      <w:r w:rsidR="00BE4A3C" w:rsidRPr="005A175E">
        <w:rPr>
          <w:rFonts w:ascii="Arial" w:hAnsi="Arial" w:cs="Arial"/>
          <w:sz w:val="22"/>
          <w:szCs w:val="22"/>
        </w:rPr>
        <w:t>internship</w:t>
      </w:r>
      <w:r w:rsidR="008A12C3" w:rsidRPr="005A175E">
        <w:rPr>
          <w:rFonts w:ascii="Arial" w:hAnsi="Arial" w:cs="Arial"/>
          <w:sz w:val="22"/>
          <w:szCs w:val="22"/>
        </w:rPr>
        <w:t xml:space="preserve"> opportunities </w:t>
      </w:r>
      <w:r w:rsidRPr="005A175E">
        <w:rPr>
          <w:rFonts w:ascii="Arial" w:hAnsi="Arial" w:cs="Arial"/>
          <w:sz w:val="22"/>
          <w:szCs w:val="22"/>
        </w:rPr>
        <w:t>and expanding access to</w:t>
      </w:r>
      <w:r w:rsidR="00EC0FDB" w:rsidRPr="005A175E">
        <w:rPr>
          <w:rFonts w:ascii="Arial" w:hAnsi="Arial" w:cs="Arial"/>
          <w:sz w:val="22"/>
          <w:szCs w:val="22"/>
        </w:rPr>
        <w:t xml:space="preserve"> </w:t>
      </w:r>
      <w:r w:rsidR="00BE4A3C" w:rsidRPr="005A175E">
        <w:rPr>
          <w:rFonts w:ascii="Arial" w:hAnsi="Arial" w:cs="Arial"/>
          <w:sz w:val="22"/>
          <w:szCs w:val="22"/>
        </w:rPr>
        <w:t>these</w:t>
      </w:r>
      <w:r w:rsidR="008A12C3" w:rsidRPr="005A175E">
        <w:rPr>
          <w:rFonts w:ascii="Arial" w:hAnsi="Arial" w:cs="Arial"/>
          <w:sz w:val="22"/>
          <w:szCs w:val="22"/>
        </w:rPr>
        <w:t xml:space="preserve"> internships.</w:t>
      </w:r>
      <w:r w:rsidR="009563A8" w:rsidRPr="005A175E">
        <w:rPr>
          <w:rFonts w:ascii="Arial" w:hAnsi="Arial" w:cs="Arial"/>
          <w:sz w:val="22"/>
          <w:szCs w:val="22"/>
        </w:rPr>
        <w:t xml:space="preserve"> </w:t>
      </w:r>
      <w:r w:rsidR="00DF7DB9" w:rsidRPr="005A175E">
        <w:rPr>
          <w:rFonts w:ascii="Arial" w:hAnsi="Arial" w:cs="Arial"/>
          <w:sz w:val="22"/>
          <w:szCs w:val="22"/>
        </w:rPr>
        <w:t xml:space="preserve"> Notably, t</w:t>
      </w:r>
      <w:r w:rsidR="009563A8" w:rsidRPr="005A175E">
        <w:rPr>
          <w:rFonts w:ascii="Arial" w:hAnsi="Arial" w:cs="Arial"/>
          <w:sz w:val="22"/>
          <w:szCs w:val="22"/>
        </w:rPr>
        <w:t xml:space="preserve">hree </w:t>
      </w:r>
      <w:r w:rsidR="00EC0FDB" w:rsidRPr="005A175E">
        <w:rPr>
          <w:rFonts w:ascii="Arial" w:hAnsi="Arial" w:cs="Arial"/>
          <w:sz w:val="22"/>
          <w:szCs w:val="22"/>
        </w:rPr>
        <w:t>slots</w:t>
      </w:r>
      <w:r w:rsidR="005B0533" w:rsidRPr="005A175E">
        <w:rPr>
          <w:rFonts w:ascii="Arial" w:hAnsi="Arial" w:cs="Arial"/>
          <w:sz w:val="22"/>
          <w:szCs w:val="22"/>
        </w:rPr>
        <w:t xml:space="preserve"> have</w:t>
      </w:r>
      <w:r w:rsidR="00331835" w:rsidRPr="005A175E">
        <w:rPr>
          <w:rFonts w:ascii="Arial" w:hAnsi="Arial" w:cs="Arial"/>
          <w:sz w:val="22"/>
          <w:szCs w:val="22"/>
        </w:rPr>
        <w:t xml:space="preserve"> </w:t>
      </w:r>
      <w:r w:rsidR="005B0533" w:rsidRPr="005A175E">
        <w:rPr>
          <w:rFonts w:ascii="Arial" w:hAnsi="Arial" w:cs="Arial"/>
          <w:sz w:val="22"/>
          <w:szCs w:val="22"/>
        </w:rPr>
        <w:t xml:space="preserve">been </w:t>
      </w:r>
      <w:r w:rsidR="00EC0FDB" w:rsidRPr="005A175E">
        <w:rPr>
          <w:rFonts w:ascii="Arial" w:hAnsi="Arial" w:cs="Arial"/>
          <w:sz w:val="22"/>
          <w:szCs w:val="22"/>
        </w:rPr>
        <w:t>added</w:t>
      </w:r>
      <w:r w:rsidR="009563A8" w:rsidRPr="005A175E">
        <w:rPr>
          <w:rFonts w:ascii="Arial" w:hAnsi="Arial" w:cs="Arial"/>
          <w:sz w:val="22"/>
          <w:szCs w:val="22"/>
        </w:rPr>
        <w:t xml:space="preserve"> exclusively </w:t>
      </w:r>
      <w:r w:rsidR="00EC0FDB" w:rsidRPr="005A175E">
        <w:rPr>
          <w:rFonts w:ascii="Arial" w:hAnsi="Arial" w:cs="Arial"/>
          <w:sz w:val="22"/>
          <w:szCs w:val="22"/>
        </w:rPr>
        <w:t>for</w:t>
      </w:r>
      <w:r w:rsidR="009563A8" w:rsidRPr="005A175E">
        <w:rPr>
          <w:rFonts w:ascii="Arial" w:hAnsi="Arial" w:cs="Arial"/>
          <w:sz w:val="22"/>
          <w:szCs w:val="22"/>
        </w:rPr>
        <w:t xml:space="preserve"> nationals of WIPO unrepresented Member States</w:t>
      </w:r>
      <w:r w:rsidRPr="005A175E">
        <w:rPr>
          <w:rFonts w:ascii="Arial" w:hAnsi="Arial" w:cs="Arial"/>
          <w:sz w:val="22"/>
          <w:szCs w:val="22"/>
        </w:rPr>
        <w:t xml:space="preserve">.  </w:t>
      </w:r>
      <w:r w:rsidR="00DF7DB9" w:rsidRPr="005A175E">
        <w:rPr>
          <w:rFonts w:ascii="Arial" w:hAnsi="Arial" w:cs="Arial"/>
          <w:sz w:val="22"/>
          <w:szCs w:val="22"/>
        </w:rPr>
        <w:t>I</w:t>
      </w:r>
      <w:r w:rsidRPr="005A175E">
        <w:rPr>
          <w:rFonts w:ascii="Arial" w:hAnsi="Arial" w:cs="Arial"/>
          <w:sz w:val="22"/>
          <w:szCs w:val="22"/>
        </w:rPr>
        <w:t xml:space="preserve">nterns selected for these new openings </w:t>
      </w:r>
      <w:r w:rsidR="00056DC7">
        <w:rPr>
          <w:rFonts w:ascii="Arial" w:hAnsi="Arial" w:cs="Arial"/>
          <w:sz w:val="22"/>
          <w:szCs w:val="22"/>
        </w:rPr>
        <w:t xml:space="preserve">may </w:t>
      </w:r>
      <w:r w:rsidR="00680863" w:rsidRPr="005A175E">
        <w:rPr>
          <w:rFonts w:ascii="Arial" w:hAnsi="Arial" w:cs="Arial"/>
          <w:sz w:val="22"/>
          <w:szCs w:val="22"/>
        </w:rPr>
        <w:t xml:space="preserve">receive </w:t>
      </w:r>
      <w:r w:rsidRPr="005A175E">
        <w:rPr>
          <w:rFonts w:ascii="Arial" w:hAnsi="Arial" w:cs="Arial"/>
          <w:sz w:val="22"/>
          <w:szCs w:val="22"/>
        </w:rPr>
        <w:t>reimbursement of travel costs</w:t>
      </w:r>
      <w:r w:rsidR="00056DC7">
        <w:rPr>
          <w:rStyle w:val="FootnoteReference"/>
          <w:rFonts w:ascii="Arial" w:hAnsi="Arial" w:cs="Arial"/>
          <w:sz w:val="22"/>
          <w:szCs w:val="22"/>
        </w:rPr>
        <w:t xml:space="preserve"> </w:t>
      </w:r>
      <w:r w:rsidR="00056DC7">
        <w:rPr>
          <w:rFonts w:ascii="Arial" w:hAnsi="Arial" w:cs="Arial"/>
          <w:sz w:val="22"/>
          <w:szCs w:val="22"/>
        </w:rPr>
        <w:t>under certain conditions</w:t>
      </w:r>
      <w:r w:rsidR="00306D30" w:rsidRPr="005A175E">
        <w:rPr>
          <w:rFonts w:ascii="Arial" w:hAnsi="Arial" w:cs="Arial"/>
          <w:sz w:val="22"/>
          <w:szCs w:val="22"/>
        </w:rPr>
        <w:t>.</w:t>
      </w:r>
      <w:r w:rsidRPr="005A175E">
        <w:rPr>
          <w:rFonts w:ascii="Arial" w:hAnsi="Arial" w:cs="Arial"/>
          <w:sz w:val="22"/>
          <w:szCs w:val="22"/>
        </w:rPr>
        <w:t xml:space="preserve"> </w:t>
      </w:r>
      <w:r w:rsidR="00306D30" w:rsidRPr="005A175E">
        <w:rPr>
          <w:rFonts w:ascii="Arial" w:hAnsi="Arial" w:cs="Arial"/>
          <w:sz w:val="22"/>
          <w:szCs w:val="22"/>
        </w:rPr>
        <w:t xml:space="preserve"> </w:t>
      </w:r>
      <w:r w:rsidR="00E05F76" w:rsidRPr="005A175E">
        <w:rPr>
          <w:rFonts w:ascii="Arial" w:hAnsi="Arial" w:cs="Arial"/>
          <w:sz w:val="22"/>
          <w:szCs w:val="22"/>
        </w:rPr>
        <w:t xml:space="preserve">These </w:t>
      </w:r>
      <w:r w:rsidR="00680863" w:rsidRPr="005A175E">
        <w:rPr>
          <w:rFonts w:ascii="Arial" w:hAnsi="Arial" w:cs="Arial"/>
          <w:sz w:val="22"/>
          <w:szCs w:val="22"/>
        </w:rPr>
        <w:t>opportunities</w:t>
      </w:r>
      <w:r w:rsidR="00EC0FDB" w:rsidRPr="005A175E">
        <w:rPr>
          <w:rFonts w:ascii="Arial" w:hAnsi="Arial" w:cs="Arial"/>
          <w:sz w:val="22"/>
          <w:szCs w:val="22"/>
        </w:rPr>
        <w:t xml:space="preserve"> </w:t>
      </w:r>
      <w:r w:rsidR="00E05F76" w:rsidRPr="005A175E">
        <w:rPr>
          <w:rFonts w:ascii="Arial" w:hAnsi="Arial" w:cs="Arial"/>
          <w:sz w:val="22"/>
          <w:szCs w:val="22"/>
        </w:rPr>
        <w:t>are being</w:t>
      </w:r>
      <w:r w:rsidR="00306D30" w:rsidRPr="005A175E">
        <w:rPr>
          <w:rFonts w:ascii="Arial" w:hAnsi="Arial" w:cs="Arial"/>
          <w:sz w:val="22"/>
          <w:szCs w:val="22"/>
        </w:rPr>
        <w:t xml:space="preserve"> actively promot</w:t>
      </w:r>
      <w:r w:rsidR="00E05F76" w:rsidRPr="005A175E">
        <w:rPr>
          <w:rFonts w:ascii="Arial" w:hAnsi="Arial" w:cs="Arial"/>
          <w:sz w:val="22"/>
          <w:szCs w:val="22"/>
        </w:rPr>
        <w:t xml:space="preserve">ed </w:t>
      </w:r>
      <w:r w:rsidR="00B92EEA" w:rsidRPr="005A175E">
        <w:rPr>
          <w:rFonts w:ascii="Arial" w:hAnsi="Arial" w:cs="Arial"/>
          <w:sz w:val="22"/>
          <w:szCs w:val="22"/>
        </w:rPr>
        <w:t xml:space="preserve">with various universities </w:t>
      </w:r>
      <w:r w:rsidR="00680863" w:rsidRPr="005A175E">
        <w:rPr>
          <w:rFonts w:ascii="Arial" w:hAnsi="Arial" w:cs="Arial"/>
          <w:sz w:val="22"/>
          <w:szCs w:val="22"/>
        </w:rPr>
        <w:t xml:space="preserve">worldwide </w:t>
      </w:r>
      <w:r w:rsidR="00B92EEA" w:rsidRPr="005A175E">
        <w:rPr>
          <w:rFonts w:ascii="Arial" w:hAnsi="Arial" w:cs="Arial"/>
          <w:sz w:val="22"/>
          <w:szCs w:val="22"/>
        </w:rPr>
        <w:t xml:space="preserve">that have significant international student populations, as well as with major universities in unrepresented Member States.  In March 2019, WIPO received its first intern </w:t>
      </w:r>
      <w:r w:rsidR="00A2489D" w:rsidRPr="005A175E">
        <w:rPr>
          <w:rFonts w:ascii="Arial" w:hAnsi="Arial" w:cs="Arial"/>
          <w:sz w:val="22"/>
          <w:szCs w:val="22"/>
        </w:rPr>
        <w:t>from</w:t>
      </w:r>
      <w:r w:rsidR="00507896" w:rsidRPr="005A175E">
        <w:rPr>
          <w:rFonts w:ascii="Arial" w:hAnsi="Arial" w:cs="Arial"/>
          <w:sz w:val="22"/>
          <w:szCs w:val="22"/>
        </w:rPr>
        <w:t xml:space="preserve"> Mali</w:t>
      </w:r>
      <w:r w:rsidR="00A2489D" w:rsidRPr="005A175E">
        <w:rPr>
          <w:rFonts w:ascii="Arial" w:hAnsi="Arial" w:cs="Arial"/>
          <w:sz w:val="22"/>
          <w:szCs w:val="22"/>
        </w:rPr>
        <w:t>, an unrepresented Member State</w:t>
      </w:r>
      <w:r w:rsidR="00507896" w:rsidRPr="005A175E">
        <w:rPr>
          <w:rFonts w:ascii="Arial" w:hAnsi="Arial" w:cs="Arial"/>
          <w:sz w:val="22"/>
          <w:szCs w:val="22"/>
        </w:rPr>
        <w:t>.</w:t>
      </w:r>
      <w:r w:rsidR="00530BA3" w:rsidRPr="005A175E">
        <w:rPr>
          <w:rFonts w:ascii="Arial" w:hAnsi="Arial" w:cs="Arial"/>
          <w:sz w:val="22"/>
          <w:szCs w:val="22"/>
        </w:rPr>
        <w:t xml:space="preserve">  </w:t>
      </w:r>
      <w:r w:rsidR="00DF7DB9" w:rsidRPr="005A175E">
        <w:rPr>
          <w:rFonts w:ascii="Arial" w:hAnsi="Arial" w:cs="Arial"/>
          <w:sz w:val="22"/>
          <w:szCs w:val="22"/>
        </w:rPr>
        <w:t>Furthermore, e</w:t>
      </w:r>
      <w:r w:rsidR="00680863" w:rsidRPr="005A175E">
        <w:rPr>
          <w:rFonts w:ascii="Arial" w:hAnsi="Arial" w:cs="Arial"/>
          <w:sz w:val="22"/>
          <w:szCs w:val="22"/>
        </w:rPr>
        <w:t xml:space="preserve">ligibility for the internship program has been expanded.  In addition to graduate students, </w:t>
      </w:r>
      <w:r w:rsidR="00D337ED" w:rsidRPr="005A175E">
        <w:rPr>
          <w:rFonts w:ascii="Arial" w:hAnsi="Arial" w:cs="Arial"/>
          <w:sz w:val="22"/>
          <w:szCs w:val="22"/>
        </w:rPr>
        <w:t>internship</w:t>
      </w:r>
      <w:r w:rsidR="00DF7DB9" w:rsidRPr="005A175E">
        <w:rPr>
          <w:rFonts w:ascii="Arial" w:hAnsi="Arial" w:cs="Arial"/>
          <w:sz w:val="22"/>
          <w:szCs w:val="22"/>
        </w:rPr>
        <w:t>s are</w:t>
      </w:r>
      <w:r w:rsidR="00680863" w:rsidRPr="005A175E">
        <w:rPr>
          <w:rFonts w:ascii="Arial" w:hAnsi="Arial" w:cs="Arial"/>
          <w:sz w:val="22"/>
          <w:szCs w:val="22"/>
        </w:rPr>
        <w:t xml:space="preserve"> now open to u</w:t>
      </w:r>
      <w:r w:rsidR="008A12C3" w:rsidRPr="005A175E">
        <w:rPr>
          <w:rFonts w:ascii="Arial" w:hAnsi="Arial" w:cs="Arial"/>
          <w:sz w:val="22"/>
          <w:szCs w:val="22"/>
        </w:rPr>
        <w:t>ndergraduate students in their third or fourth year</w:t>
      </w:r>
      <w:r w:rsidR="00D337ED" w:rsidRPr="005A175E">
        <w:rPr>
          <w:rFonts w:ascii="Arial" w:hAnsi="Arial" w:cs="Arial"/>
          <w:sz w:val="22"/>
          <w:szCs w:val="22"/>
        </w:rPr>
        <w:t xml:space="preserve"> of university studies</w:t>
      </w:r>
      <w:r w:rsidR="00B756CA" w:rsidRPr="005A175E">
        <w:rPr>
          <w:rFonts w:ascii="Arial" w:hAnsi="Arial" w:cs="Arial"/>
          <w:sz w:val="22"/>
          <w:szCs w:val="22"/>
        </w:rPr>
        <w:t>,</w:t>
      </w:r>
      <w:r w:rsidR="008A12C3" w:rsidRPr="005A175E">
        <w:rPr>
          <w:rFonts w:ascii="Arial" w:hAnsi="Arial" w:cs="Arial"/>
          <w:sz w:val="22"/>
          <w:szCs w:val="22"/>
        </w:rPr>
        <w:t xml:space="preserve"> or for whom the completion of an </w:t>
      </w:r>
      <w:r w:rsidR="008A12C3" w:rsidRPr="005A175E">
        <w:rPr>
          <w:rFonts w:ascii="Arial" w:hAnsi="Arial" w:cs="Arial"/>
          <w:sz w:val="22"/>
          <w:szCs w:val="22"/>
        </w:rPr>
        <w:lastRenderedPageBreak/>
        <w:t>internship is a condition of the</w:t>
      </w:r>
      <w:r w:rsidR="003C10AC" w:rsidRPr="005A175E">
        <w:rPr>
          <w:rFonts w:ascii="Arial" w:hAnsi="Arial" w:cs="Arial"/>
          <w:sz w:val="22"/>
          <w:szCs w:val="22"/>
        </w:rPr>
        <w:t>ir academic</w:t>
      </w:r>
      <w:r w:rsidR="008A12C3" w:rsidRPr="005A175E">
        <w:rPr>
          <w:rFonts w:ascii="Arial" w:hAnsi="Arial" w:cs="Arial"/>
          <w:sz w:val="22"/>
          <w:szCs w:val="22"/>
        </w:rPr>
        <w:t xml:space="preserve"> program</w:t>
      </w:r>
      <w:r w:rsidR="00680863" w:rsidRPr="005A175E">
        <w:rPr>
          <w:rFonts w:ascii="Arial" w:hAnsi="Arial" w:cs="Arial"/>
          <w:sz w:val="22"/>
          <w:szCs w:val="22"/>
        </w:rPr>
        <w:t xml:space="preserve">. </w:t>
      </w:r>
      <w:r w:rsidR="00824CD9" w:rsidRPr="005A175E">
        <w:rPr>
          <w:rFonts w:ascii="Arial" w:hAnsi="Arial" w:cs="Arial"/>
          <w:sz w:val="22"/>
          <w:szCs w:val="22"/>
        </w:rPr>
        <w:t xml:space="preserve"> </w:t>
      </w:r>
      <w:r w:rsidR="00680863" w:rsidRPr="005A175E">
        <w:rPr>
          <w:rFonts w:ascii="Arial" w:hAnsi="Arial" w:cs="Arial"/>
          <w:sz w:val="22"/>
          <w:szCs w:val="22"/>
        </w:rPr>
        <w:t xml:space="preserve">Finally, the two-month mandatory break in service between the end of an internship and the start of a temporary appointment or </w:t>
      </w:r>
      <w:r w:rsidR="00ED656C">
        <w:rPr>
          <w:rFonts w:ascii="Arial" w:hAnsi="Arial" w:cs="Arial"/>
          <w:sz w:val="22"/>
          <w:szCs w:val="22"/>
        </w:rPr>
        <w:br/>
      </w:r>
      <w:r w:rsidR="00680863" w:rsidRPr="005A175E">
        <w:rPr>
          <w:rFonts w:ascii="Arial" w:hAnsi="Arial" w:cs="Arial"/>
          <w:sz w:val="22"/>
          <w:szCs w:val="22"/>
        </w:rPr>
        <w:t>non-staff contract at WIPO</w:t>
      </w:r>
      <w:r w:rsidR="00D337ED" w:rsidRPr="005A175E">
        <w:rPr>
          <w:rFonts w:ascii="Arial" w:hAnsi="Arial" w:cs="Arial"/>
          <w:sz w:val="22"/>
          <w:szCs w:val="22"/>
        </w:rPr>
        <w:t xml:space="preserve"> has been eliminated.</w:t>
      </w:r>
    </w:p>
    <w:p w14:paraId="69F5E0C4" w14:textId="77777777" w:rsidR="0046290D" w:rsidRPr="005A175E" w:rsidRDefault="0046290D" w:rsidP="0046290D">
      <w:pPr>
        <w:pStyle w:val="ListParagraph"/>
        <w:ind w:left="0"/>
        <w:rPr>
          <w:rFonts w:ascii="Arial" w:hAnsi="Arial" w:cs="Arial"/>
          <w:sz w:val="22"/>
          <w:szCs w:val="22"/>
        </w:rPr>
      </w:pPr>
    </w:p>
    <w:p w14:paraId="18BCADE0" w14:textId="77777777" w:rsidR="00D8285F" w:rsidRPr="005A175E" w:rsidRDefault="004F51E7" w:rsidP="00D8285F">
      <w:pPr>
        <w:pStyle w:val="ListParagraph"/>
        <w:numPr>
          <w:ilvl w:val="0"/>
          <w:numId w:val="21"/>
        </w:numPr>
        <w:ind w:left="0" w:firstLine="0"/>
        <w:rPr>
          <w:rFonts w:ascii="Arial" w:hAnsi="Arial" w:cs="Arial"/>
          <w:sz w:val="22"/>
          <w:szCs w:val="22"/>
        </w:rPr>
      </w:pPr>
      <w:r w:rsidRPr="005A175E">
        <w:rPr>
          <w:rFonts w:ascii="Arial" w:hAnsi="Arial" w:cs="Arial"/>
          <w:sz w:val="22"/>
          <w:szCs w:val="22"/>
        </w:rPr>
        <w:t xml:space="preserve">Since 2009, WIPO has hosted </w:t>
      </w:r>
      <w:r w:rsidRPr="00D05CB1">
        <w:rPr>
          <w:rFonts w:ascii="Arial" w:hAnsi="Arial" w:cs="Arial"/>
          <w:sz w:val="22"/>
          <w:szCs w:val="22"/>
        </w:rPr>
        <w:t>some 2</w:t>
      </w:r>
      <w:r w:rsidR="008C4129" w:rsidRPr="00D05CB1">
        <w:rPr>
          <w:rFonts w:ascii="Arial" w:hAnsi="Arial" w:cs="Arial"/>
          <w:sz w:val="22"/>
          <w:szCs w:val="22"/>
        </w:rPr>
        <w:t>80</w:t>
      </w:r>
      <w:r w:rsidRPr="00D05CB1">
        <w:rPr>
          <w:rFonts w:ascii="Arial" w:hAnsi="Arial" w:cs="Arial"/>
          <w:sz w:val="22"/>
          <w:szCs w:val="22"/>
        </w:rPr>
        <w:t xml:space="preserve"> fellows.</w:t>
      </w:r>
      <w:r w:rsidRPr="005A175E">
        <w:rPr>
          <w:rFonts w:ascii="Arial" w:hAnsi="Arial" w:cs="Arial"/>
          <w:sz w:val="22"/>
          <w:szCs w:val="22"/>
        </w:rPr>
        <w:t xml:space="preserve">  A fellowship is a specifically tailored training activity </w:t>
      </w:r>
      <w:r>
        <w:rPr>
          <w:rFonts w:ascii="Arial" w:hAnsi="Arial" w:cs="Arial"/>
          <w:sz w:val="22"/>
          <w:szCs w:val="22"/>
        </w:rPr>
        <w:t>aimed at providing</w:t>
      </w:r>
      <w:r w:rsidRPr="005A175E">
        <w:rPr>
          <w:rFonts w:ascii="Arial" w:hAnsi="Arial" w:cs="Arial"/>
          <w:sz w:val="22"/>
          <w:szCs w:val="22"/>
        </w:rPr>
        <w:t xml:space="preserve"> qualified individuals </w:t>
      </w:r>
      <w:r>
        <w:rPr>
          <w:rFonts w:ascii="Arial" w:hAnsi="Arial" w:cs="Arial"/>
          <w:sz w:val="22"/>
          <w:szCs w:val="22"/>
        </w:rPr>
        <w:t>with opportunities to strengthen their knowledge and professional competence</w:t>
      </w:r>
      <w:r w:rsidRPr="005A175E">
        <w:rPr>
          <w:rFonts w:ascii="Arial" w:hAnsi="Arial" w:cs="Arial"/>
          <w:sz w:val="22"/>
          <w:szCs w:val="22"/>
        </w:rPr>
        <w:t xml:space="preserve"> in line with WIPO’s mission to lead the development of a balanced and effective international intellectual property system that enables innovation and creativity for the benefit of all. </w:t>
      </w:r>
      <w:r>
        <w:rPr>
          <w:rFonts w:ascii="Arial" w:hAnsi="Arial" w:cs="Arial"/>
          <w:sz w:val="22"/>
          <w:szCs w:val="22"/>
        </w:rPr>
        <w:t xml:space="preserve"> </w:t>
      </w:r>
      <w:r w:rsidRPr="005A175E">
        <w:rPr>
          <w:rFonts w:ascii="Arial" w:hAnsi="Arial" w:cs="Arial"/>
          <w:sz w:val="22"/>
          <w:szCs w:val="22"/>
        </w:rPr>
        <w:t>Fellowships are open to individuals from specialized disciplines, particularly from countries and communities in need of development support, including candidates nominated b</w:t>
      </w:r>
      <w:r w:rsidR="00056DC7">
        <w:rPr>
          <w:rFonts w:ascii="Arial" w:hAnsi="Arial" w:cs="Arial"/>
          <w:sz w:val="22"/>
          <w:szCs w:val="22"/>
        </w:rPr>
        <w:t>y their respective governments.</w:t>
      </w:r>
    </w:p>
    <w:p w14:paraId="196728B8" w14:textId="77777777" w:rsidR="005A175E" w:rsidRPr="005A175E" w:rsidRDefault="005A175E" w:rsidP="005A175E">
      <w:pPr>
        <w:pStyle w:val="ListParagraph"/>
        <w:rPr>
          <w:rFonts w:ascii="Arial" w:hAnsi="Arial" w:cs="Arial"/>
          <w:sz w:val="22"/>
          <w:szCs w:val="22"/>
        </w:rPr>
      </w:pPr>
    </w:p>
    <w:p w14:paraId="2591D31E" w14:textId="30618D42" w:rsidR="00D8285F" w:rsidRPr="005A175E" w:rsidRDefault="004F51E7" w:rsidP="004F51E7">
      <w:pPr>
        <w:pStyle w:val="ListParagraph"/>
        <w:numPr>
          <w:ilvl w:val="0"/>
          <w:numId w:val="21"/>
        </w:numPr>
        <w:ind w:left="0" w:firstLine="0"/>
        <w:rPr>
          <w:rFonts w:ascii="Arial" w:hAnsi="Arial" w:cs="Arial"/>
          <w:sz w:val="22"/>
          <w:szCs w:val="22"/>
        </w:rPr>
      </w:pPr>
      <w:r>
        <w:rPr>
          <w:rFonts w:ascii="Arial" w:hAnsi="Arial" w:cs="Arial"/>
          <w:sz w:val="22"/>
          <w:szCs w:val="22"/>
        </w:rPr>
        <w:t xml:space="preserve">Similar to the internship program, there have been more female </w:t>
      </w:r>
      <w:r w:rsidR="00837C99">
        <w:rPr>
          <w:rFonts w:ascii="Arial" w:hAnsi="Arial" w:cs="Arial"/>
          <w:sz w:val="22"/>
          <w:szCs w:val="22"/>
        </w:rPr>
        <w:t xml:space="preserve">(70 per cent of total fellows to date) </w:t>
      </w:r>
      <w:r>
        <w:rPr>
          <w:rFonts w:ascii="Arial" w:hAnsi="Arial" w:cs="Arial"/>
          <w:sz w:val="22"/>
          <w:szCs w:val="22"/>
        </w:rPr>
        <w:t>than male fell</w:t>
      </w:r>
      <w:r w:rsidR="00837C99">
        <w:rPr>
          <w:rFonts w:ascii="Arial" w:hAnsi="Arial" w:cs="Arial"/>
          <w:sz w:val="22"/>
          <w:szCs w:val="22"/>
        </w:rPr>
        <w:t>ows</w:t>
      </w:r>
      <w:r w:rsidR="00D8285F" w:rsidRPr="005A175E">
        <w:rPr>
          <w:rFonts w:ascii="Arial" w:hAnsi="Arial" w:cs="Arial"/>
          <w:sz w:val="22"/>
          <w:szCs w:val="22"/>
        </w:rPr>
        <w:t xml:space="preserve">. </w:t>
      </w:r>
      <w:r w:rsidR="00A26757">
        <w:rPr>
          <w:rFonts w:ascii="Arial" w:hAnsi="Arial" w:cs="Arial"/>
          <w:sz w:val="22"/>
          <w:szCs w:val="22"/>
        </w:rPr>
        <w:t xml:space="preserve"> </w:t>
      </w:r>
      <w:r w:rsidR="00D8285F" w:rsidRPr="005A175E">
        <w:rPr>
          <w:rFonts w:ascii="Arial" w:hAnsi="Arial" w:cs="Arial"/>
          <w:sz w:val="22"/>
          <w:szCs w:val="22"/>
        </w:rPr>
        <w:t xml:space="preserve">While fellows are assigned throughout the Organization, the largest number of fellows are in the following three areas: </w:t>
      </w:r>
      <w:r w:rsidR="00A26757">
        <w:rPr>
          <w:rFonts w:ascii="Arial" w:hAnsi="Arial" w:cs="Arial"/>
          <w:sz w:val="22"/>
          <w:szCs w:val="22"/>
        </w:rPr>
        <w:t xml:space="preserve"> </w:t>
      </w:r>
      <w:r w:rsidR="00D8285F" w:rsidRPr="005A175E">
        <w:rPr>
          <w:rFonts w:ascii="Arial" w:hAnsi="Arial" w:cs="Arial"/>
          <w:sz w:val="22"/>
          <w:szCs w:val="22"/>
        </w:rPr>
        <w:t>PCT</w:t>
      </w:r>
      <w:r>
        <w:rPr>
          <w:rFonts w:ascii="Arial" w:hAnsi="Arial" w:cs="Arial"/>
          <w:sz w:val="22"/>
          <w:szCs w:val="22"/>
        </w:rPr>
        <w:t xml:space="preserve"> Translation and Terminology</w:t>
      </w:r>
      <w:r w:rsidR="00D8285F" w:rsidRPr="005A175E">
        <w:rPr>
          <w:rFonts w:ascii="Arial" w:hAnsi="Arial" w:cs="Arial"/>
          <w:sz w:val="22"/>
          <w:szCs w:val="22"/>
        </w:rPr>
        <w:t xml:space="preserve"> (46</w:t>
      </w:r>
      <w:r w:rsidR="00A26757">
        <w:rPr>
          <w:rFonts w:ascii="Arial" w:hAnsi="Arial" w:cs="Arial"/>
          <w:sz w:val="22"/>
          <w:szCs w:val="22"/>
        </w:rPr>
        <w:t xml:space="preserve"> per cent</w:t>
      </w:r>
      <w:r w:rsidR="00D8285F" w:rsidRPr="005A175E">
        <w:rPr>
          <w:rFonts w:ascii="Arial" w:hAnsi="Arial" w:cs="Arial"/>
          <w:sz w:val="22"/>
          <w:szCs w:val="22"/>
        </w:rPr>
        <w:t xml:space="preserve">), Madrid </w:t>
      </w:r>
      <w:r w:rsidR="004D45F8">
        <w:rPr>
          <w:rFonts w:ascii="Arial" w:hAnsi="Arial" w:cs="Arial"/>
          <w:sz w:val="22"/>
          <w:szCs w:val="22"/>
        </w:rPr>
        <w:t xml:space="preserve">Registry </w:t>
      </w:r>
      <w:r w:rsidR="00D8285F" w:rsidRPr="005A175E">
        <w:rPr>
          <w:rFonts w:ascii="Arial" w:hAnsi="Arial" w:cs="Arial"/>
          <w:sz w:val="22"/>
          <w:szCs w:val="22"/>
        </w:rPr>
        <w:t>(19</w:t>
      </w:r>
      <w:r w:rsidR="00A26757">
        <w:rPr>
          <w:rFonts w:ascii="Arial" w:hAnsi="Arial" w:cs="Arial"/>
          <w:sz w:val="22"/>
          <w:szCs w:val="22"/>
        </w:rPr>
        <w:t xml:space="preserve"> per cent</w:t>
      </w:r>
      <w:r w:rsidR="00D8285F" w:rsidRPr="005A175E">
        <w:rPr>
          <w:rFonts w:ascii="Arial" w:hAnsi="Arial" w:cs="Arial"/>
          <w:sz w:val="22"/>
          <w:szCs w:val="22"/>
        </w:rPr>
        <w:t>) and the Arbitration and Mediation Center (17</w:t>
      </w:r>
      <w:r w:rsidR="00A26757">
        <w:rPr>
          <w:rFonts w:ascii="Arial" w:hAnsi="Arial" w:cs="Arial"/>
          <w:sz w:val="22"/>
          <w:szCs w:val="22"/>
        </w:rPr>
        <w:t xml:space="preserve"> per cent</w:t>
      </w:r>
      <w:r w:rsidR="00D8285F" w:rsidRPr="005A175E">
        <w:rPr>
          <w:rFonts w:ascii="Arial" w:hAnsi="Arial" w:cs="Arial"/>
          <w:sz w:val="22"/>
          <w:szCs w:val="22"/>
        </w:rPr>
        <w:t xml:space="preserve">). </w:t>
      </w:r>
      <w:r w:rsidR="00A26757">
        <w:rPr>
          <w:rFonts w:ascii="Arial" w:hAnsi="Arial" w:cs="Arial"/>
          <w:sz w:val="22"/>
          <w:szCs w:val="22"/>
        </w:rPr>
        <w:t xml:space="preserve"> </w:t>
      </w:r>
      <w:r w:rsidR="00FC07C1">
        <w:rPr>
          <w:rFonts w:ascii="Arial" w:hAnsi="Arial" w:cs="Arial"/>
          <w:sz w:val="22"/>
          <w:szCs w:val="22"/>
        </w:rPr>
        <w:t>Similar to interns, f</w:t>
      </w:r>
      <w:r w:rsidR="003E5457">
        <w:rPr>
          <w:rFonts w:ascii="Arial" w:hAnsi="Arial" w:cs="Arial"/>
          <w:sz w:val="22"/>
          <w:szCs w:val="22"/>
        </w:rPr>
        <w:t xml:space="preserve">ellows come from different geographic regions, with the highest </w:t>
      </w:r>
      <w:r w:rsidR="00FC07C1">
        <w:rPr>
          <w:rFonts w:ascii="Arial" w:hAnsi="Arial" w:cs="Arial"/>
          <w:sz w:val="22"/>
          <w:szCs w:val="22"/>
        </w:rPr>
        <w:t xml:space="preserve">number originating from the Asia and the Pacific region, followed by Western Europe, then North America and </w:t>
      </w:r>
      <w:r w:rsidR="00B3267B">
        <w:rPr>
          <w:rFonts w:ascii="Arial" w:hAnsi="Arial" w:cs="Arial"/>
          <w:sz w:val="22"/>
          <w:szCs w:val="22"/>
        </w:rPr>
        <w:t xml:space="preserve">the region of </w:t>
      </w:r>
      <w:r w:rsidR="00FC07C1">
        <w:rPr>
          <w:rFonts w:ascii="Arial" w:hAnsi="Arial" w:cs="Arial"/>
          <w:sz w:val="22"/>
          <w:szCs w:val="22"/>
        </w:rPr>
        <w:t xml:space="preserve">Eastern </w:t>
      </w:r>
      <w:r w:rsidR="00A91690">
        <w:rPr>
          <w:rFonts w:ascii="Arial" w:hAnsi="Arial" w:cs="Arial"/>
          <w:sz w:val="22"/>
          <w:szCs w:val="22"/>
        </w:rPr>
        <w:t xml:space="preserve">and Central </w:t>
      </w:r>
      <w:r w:rsidR="00FC07C1">
        <w:rPr>
          <w:rFonts w:ascii="Arial" w:hAnsi="Arial" w:cs="Arial"/>
          <w:sz w:val="22"/>
          <w:szCs w:val="22"/>
        </w:rPr>
        <w:t xml:space="preserve">Europe </w:t>
      </w:r>
      <w:r w:rsidR="00B3267B">
        <w:rPr>
          <w:rFonts w:ascii="Arial" w:hAnsi="Arial" w:cs="Arial"/>
          <w:sz w:val="22"/>
          <w:szCs w:val="22"/>
        </w:rPr>
        <w:t xml:space="preserve">and Central Asia </w:t>
      </w:r>
      <w:r w:rsidR="00FC07C1">
        <w:rPr>
          <w:rFonts w:ascii="Arial" w:hAnsi="Arial" w:cs="Arial"/>
          <w:sz w:val="22"/>
          <w:szCs w:val="22"/>
        </w:rPr>
        <w:t xml:space="preserve">(Table 5).  </w:t>
      </w:r>
      <w:r w:rsidR="00C47C80">
        <w:rPr>
          <w:rFonts w:ascii="Arial" w:hAnsi="Arial" w:cs="Arial"/>
          <w:sz w:val="22"/>
          <w:szCs w:val="22"/>
        </w:rPr>
        <w:t>F</w:t>
      </w:r>
      <w:r w:rsidR="00D8285F" w:rsidRPr="005A175E">
        <w:rPr>
          <w:rFonts w:ascii="Arial" w:hAnsi="Arial" w:cs="Arial"/>
          <w:sz w:val="22"/>
          <w:szCs w:val="22"/>
        </w:rPr>
        <w:t>ellows</w:t>
      </w:r>
      <w:r w:rsidR="004D45F8">
        <w:rPr>
          <w:rFonts w:ascii="Arial" w:hAnsi="Arial" w:cs="Arial"/>
          <w:sz w:val="22"/>
          <w:szCs w:val="22"/>
        </w:rPr>
        <w:t xml:space="preserve"> </w:t>
      </w:r>
      <w:r w:rsidRPr="005A175E">
        <w:rPr>
          <w:rFonts w:ascii="Arial" w:hAnsi="Arial" w:cs="Arial"/>
          <w:sz w:val="22"/>
          <w:szCs w:val="22"/>
        </w:rPr>
        <w:t>receive extensive training and coaching from highly</w:t>
      </w:r>
      <w:r>
        <w:rPr>
          <w:rFonts w:ascii="Arial" w:hAnsi="Arial" w:cs="Arial"/>
          <w:sz w:val="22"/>
          <w:szCs w:val="22"/>
        </w:rPr>
        <w:t xml:space="preserve"> </w:t>
      </w:r>
      <w:r w:rsidRPr="005A175E">
        <w:rPr>
          <w:rFonts w:ascii="Arial" w:hAnsi="Arial" w:cs="Arial"/>
          <w:sz w:val="22"/>
          <w:szCs w:val="22"/>
        </w:rPr>
        <w:t xml:space="preserve">skilled staff </w:t>
      </w:r>
      <w:r w:rsidR="00BA07EA">
        <w:rPr>
          <w:rFonts w:ascii="Arial" w:hAnsi="Arial" w:cs="Arial"/>
          <w:sz w:val="22"/>
          <w:szCs w:val="22"/>
        </w:rPr>
        <w:t xml:space="preserve">and </w:t>
      </w:r>
      <w:r w:rsidR="004D45F8" w:rsidRPr="005A175E">
        <w:rPr>
          <w:rFonts w:ascii="Arial" w:hAnsi="Arial" w:cs="Arial"/>
          <w:sz w:val="22"/>
          <w:szCs w:val="22"/>
        </w:rPr>
        <w:t>gain valuable exposure to the workings of an international or</w:t>
      </w:r>
      <w:r w:rsidR="00BA07EA">
        <w:rPr>
          <w:rFonts w:ascii="Arial" w:hAnsi="Arial" w:cs="Arial"/>
          <w:sz w:val="22"/>
          <w:szCs w:val="22"/>
        </w:rPr>
        <w:t xml:space="preserve">ganization.  In addition, they </w:t>
      </w:r>
      <w:r w:rsidR="00C47C80">
        <w:rPr>
          <w:rFonts w:ascii="Arial" w:hAnsi="Arial" w:cs="Arial"/>
          <w:sz w:val="22"/>
          <w:szCs w:val="22"/>
        </w:rPr>
        <w:t>experience working in</w:t>
      </w:r>
      <w:r w:rsidR="00BA07EA">
        <w:rPr>
          <w:rFonts w:ascii="Arial" w:hAnsi="Arial" w:cs="Arial"/>
          <w:sz w:val="22"/>
          <w:szCs w:val="22"/>
        </w:rPr>
        <w:t xml:space="preserve"> a highly diverse, multicultural working environment</w:t>
      </w:r>
      <w:r w:rsidR="00C47C80">
        <w:rPr>
          <w:rFonts w:ascii="Arial" w:hAnsi="Arial" w:cs="Arial"/>
          <w:sz w:val="22"/>
          <w:szCs w:val="22"/>
        </w:rPr>
        <w:t>, and have the opportunity to interact</w:t>
      </w:r>
      <w:r w:rsidR="004D45F8" w:rsidRPr="005A175E">
        <w:rPr>
          <w:rFonts w:ascii="Arial" w:hAnsi="Arial" w:cs="Arial"/>
          <w:sz w:val="22"/>
          <w:szCs w:val="22"/>
        </w:rPr>
        <w:t xml:space="preserve"> with IP specialists around the world.</w:t>
      </w:r>
      <w:r w:rsidR="00C47C80">
        <w:rPr>
          <w:rFonts w:ascii="Arial" w:hAnsi="Arial" w:cs="Arial"/>
          <w:sz w:val="22"/>
          <w:szCs w:val="22"/>
        </w:rPr>
        <w:t xml:space="preserve">  </w:t>
      </w:r>
      <w:r w:rsidR="004D45F8">
        <w:rPr>
          <w:rFonts w:ascii="Arial" w:hAnsi="Arial" w:cs="Arial"/>
          <w:sz w:val="22"/>
          <w:szCs w:val="22"/>
        </w:rPr>
        <w:t>T</w:t>
      </w:r>
      <w:r w:rsidR="00B94E64">
        <w:rPr>
          <w:rFonts w:ascii="Arial" w:hAnsi="Arial" w:cs="Arial"/>
          <w:sz w:val="22"/>
          <w:szCs w:val="22"/>
        </w:rPr>
        <w:t>he Fellowship Programs have</w:t>
      </w:r>
      <w:r w:rsidR="00D8285F" w:rsidRPr="005A175E">
        <w:rPr>
          <w:rFonts w:ascii="Arial" w:hAnsi="Arial" w:cs="Arial"/>
          <w:sz w:val="22"/>
          <w:szCs w:val="22"/>
        </w:rPr>
        <w:t xml:space="preserve"> benefited WIPO </w:t>
      </w:r>
      <w:r w:rsidR="00C47C80">
        <w:rPr>
          <w:rFonts w:ascii="Arial" w:hAnsi="Arial" w:cs="Arial"/>
          <w:sz w:val="22"/>
          <w:szCs w:val="22"/>
        </w:rPr>
        <w:t>in</w:t>
      </w:r>
      <w:r w:rsidR="00D8285F" w:rsidRPr="005A175E">
        <w:rPr>
          <w:rFonts w:ascii="Arial" w:hAnsi="Arial" w:cs="Arial"/>
          <w:sz w:val="22"/>
          <w:szCs w:val="22"/>
        </w:rPr>
        <w:t xml:space="preserve"> </w:t>
      </w:r>
      <w:r w:rsidR="00C47C80">
        <w:rPr>
          <w:rFonts w:ascii="Arial" w:hAnsi="Arial" w:cs="Arial"/>
          <w:sz w:val="22"/>
          <w:szCs w:val="22"/>
        </w:rPr>
        <w:t>many ways.  Fellows contribute</w:t>
      </w:r>
      <w:r w:rsidR="00C47C80" w:rsidRPr="005A175E">
        <w:rPr>
          <w:rFonts w:ascii="Arial" w:hAnsi="Arial" w:cs="Arial"/>
          <w:sz w:val="22"/>
          <w:szCs w:val="22"/>
        </w:rPr>
        <w:t xml:space="preserve"> to core activities </w:t>
      </w:r>
      <w:r w:rsidR="00C47C80">
        <w:rPr>
          <w:rFonts w:ascii="Arial" w:hAnsi="Arial" w:cs="Arial"/>
          <w:sz w:val="22"/>
          <w:szCs w:val="22"/>
        </w:rPr>
        <w:t xml:space="preserve">of the Organization, </w:t>
      </w:r>
      <w:r w:rsidR="00D8285F" w:rsidRPr="005A175E">
        <w:rPr>
          <w:rFonts w:ascii="Arial" w:hAnsi="Arial" w:cs="Arial"/>
          <w:sz w:val="22"/>
          <w:szCs w:val="22"/>
        </w:rPr>
        <w:t>significant</w:t>
      </w:r>
      <w:r w:rsidR="00C47C80">
        <w:rPr>
          <w:rFonts w:ascii="Arial" w:hAnsi="Arial" w:cs="Arial"/>
          <w:sz w:val="22"/>
          <w:szCs w:val="22"/>
        </w:rPr>
        <w:t>ly</w:t>
      </w:r>
      <w:r w:rsidR="00D8285F" w:rsidRPr="005A175E">
        <w:rPr>
          <w:rFonts w:ascii="Arial" w:hAnsi="Arial" w:cs="Arial"/>
          <w:sz w:val="22"/>
          <w:szCs w:val="22"/>
        </w:rPr>
        <w:t xml:space="preserve"> increase scarce language resources</w:t>
      </w:r>
      <w:r>
        <w:rPr>
          <w:rFonts w:ascii="Arial" w:hAnsi="Arial" w:cs="Arial"/>
          <w:sz w:val="22"/>
          <w:szCs w:val="22"/>
        </w:rPr>
        <w:t xml:space="preserve"> (in particular </w:t>
      </w:r>
      <w:r w:rsidR="006A4DE1">
        <w:rPr>
          <w:rFonts w:ascii="Arial" w:hAnsi="Arial" w:cs="Arial"/>
          <w:sz w:val="22"/>
          <w:szCs w:val="22"/>
        </w:rPr>
        <w:t>for</w:t>
      </w:r>
      <w:r>
        <w:rPr>
          <w:rFonts w:ascii="Arial" w:hAnsi="Arial" w:cs="Arial"/>
          <w:sz w:val="22"/>
          <w:szCs w:val="22"/>
        </w:rPr>
        <w:t xml:space="preserve"> difficult language combinations)</w:t>
      </w:r>
      <w:r w:rsidR="00C47C80">
        <w:rPr>
          <w:rFonts w:ascii="Arial" w:hAnsi="Arial" w:cs="Arial"/>
          <w:sz w:val="22"/>
          <w:szCs w:val="22"/>
        </w:rPr>
        <w:t xml:space="preserve">, </w:t>
      </w:r>
      <w:r w:rsidR="00D8285F" w:rsidRPr="005A175E">
        <w:rPr>
          <w:rFonts w:ascii="Arial" w:hAnsi="Arial" w:cs="Arial"/>
          <w:sz w:val="22"/>
          <w:szCs w:val="22"/>
        </w:rPr>
        <w:t>an</w:t>
      </w:r>
      <w:r w:rsidR="00C47C80">
        <w:rPr>
          <w:rFonts w:ascii="Arial" w:hAnsi="Arial" w:cs="Arial"/>
          <w:sz w:val="22"/>
          <w:szCs w:val="22"/>
        </w:rPr>
        <w:t xml:space="preserve">d expand </w:t>
      </w:r>
      <w:r w:rsidR="00D8285F" w:rsidRPr="005A175E">
        <w:rPr>
          <w:rFonts w:ascii="Arial" w:hAnsi="Arial" w:cs="Arial"/>
          <w:sz w:val="22"/>
          <w:szCs w:val="22"/>
        </w:rPr>
        <w:t xml:space="preserve">internal technical expertise. </w:t>
      </w:r>
      <w:r w:rsidR="00A26757">
        <w:rPr>
          <w:rFonts w:ascii="Arial" w:hAnsi="Arial" w:cs="Arial"/>
          <w:sz w:val="22"/>
          <w:szCs w:val="22"/>
        </w:rPr>
        <w:t xml:space="preserve"> </w:t>
      </w:r>
      <w:r w:rsidR="00B94E64">
        <w:rPr>
          <w:rFonts w:ascii="Arial" w:hAnsi="Arial" w:cs="Arial"/>
          <w:sz w:val="22"/>
          <w:szCs w:val="22"/>
        </w:rPr>
        <w:t>They also represent additional workforce capacity, enhancing flexibility of the Organizati</w:t>
      </w:r>
      <w:r w:rsidR="0009657A">
        <w:rPr>
          <w:rFonts w:ascii="Arial" w:hAnsi="Arial" w:cs="Arial"/>
          <w:sz w:val="22"/>
          <w:szCs w:val="22"/>
        </w:rPr>
        <w:t>on to meet its evolving needs.</w:t>
      </w:r>
    </w:p>
    <w:p w14:paraId="665CE92F" w14:textId="77777777" w:rsidR="005A175E" w:rsidRPr="005A175E" w:rsidRDefault="005A175E" w:rsidP="005A175E">
      <w:pPr>
        <w:pStyle w:val="ListParagraph"/>
        <w:ind w:left="0"/>
        <w:rPr>
          <w:rFonts w:ascii="Arial" w:hAnsi="Arial" w:cs="Arial"/>
          <w:sz w:val="22"/>
          <w:szCs w:val="22"/>
        </w:rPr>
      </w:pPr>
    </w:p>
    <w:p w14:paraId="156A8E43" w14:textId="7E5A4950" w:rsidR="00D8285F" w:rsidRPr="005A175E" w:rsidRDefault="00D8285F" w:rsidP="00D8285F">
      <w:pPr>
        <w:pStyle w:val="ListParagraph"/>
        <w:numPr>
          <w:ilvl w:val="0"/>
          <w:numId w:val="21"/>
        </w:numPr>
        <w:ind w:left="0" w:firstLine="0"/>
        <w:rPr>
          <w:rFonts w:ascii="Arial" w:hAnsi="Arial" w:cs="Arial"/>
          <w:sz w:val="22"/>
          <w:szCs w:val="22"/>
        </w:rPr>
      </w:pPr>
      <w:r w:rsidRPr="005A175E">
        <w:rPr>
          <w:rFonts w:ascii="Arial" w:hAnsi="Arial" w:cs="Arial"/>
          <w:sz w:val="22"/>
          <w:szCs w:val="22"/>
        </w:rPr>
        <w:t>Junior Professional Officer</w:t>
      </w:r>
      <w:r w:rsidR="00056DC7">
        <w:rPr>
          <w:rFonts w:ascii="Arial" w:hAnsi="Arial" w:cs="Arial"/>
          <w:sz w:val="22"/>
          <w:szCs w:val="22"/>
        </w:rPr>
        <w:t>s</w:t>
      </w:r>
      <w:r w:rsidRPr="005A175E">
        <w:rPr>
          <w:rFonts w:ascii="Arial" w:hAnsi="Arial" w:cs="Arial"/>
          <w:sz w:val="22"/>
          <w:szCs w:val="22"/>
        </w:rPr>
        <w:t xml:space="preserve"> (JPO) </w:t>
      </w:r>
      <w:r w:rsidR="00056DC7">
        <w:rPr>
          <w:rFonts w:ascii="Arial" w:hAnsi="Arial" w:cs="Arial"/>
          <w:sz w:val="22"/>
          <w:szCs w:val="22"/>
        </w:rPr>
        <w:t>constitute</w:t>
      </w:r>
      <w:r w:rsidRPr="005A175E">
        <w:rPr>
          <w:rFonts w:ascii="Arial" w:hAnsi="Arial" w:cs="Arial"/>
          <w:sz w:val="22"/>
          <w:szCs w:val="22"/>
        </w:rPr>
        <w:t xml:space="preserve"> another category of young professionals at WIPO.</w:t>
      </w:r>
      <w:r w:rsidR="00A26757">
        <w:rPr>
          <w:rFonts w:ascii="Arial" w:hAnsi="Arial" w:cs="Arial"/>
          <w:sz w:val="22"/>
          <w:szCs w:val="22"/>
        </w:rPr>
        <w:t xml:space="preserve"> </w:t>
      </w:r>
      <w:r w:rsidRPr="005A175E">
        <w:rPr>
          <w:rFonts w:ascii="Arial" w:hAnsi="Arial" w:cs="Arial"/>
          <w:sz w:val="22"/>
          <w:szCs w:val="22"/>
        </w:rPr>
        <w:t xml:space="preserve"> The JPO Program was originally established by the UN General Assembly and is sponsored by Member States interested in investing in young, university-trained nationals of their own country or other countries. </w:t>
      </w:r>
      <w:r w:rsidR="00A26757">
        <w:rPr>
          <w:rFonts w:ascii="Arial" w:hAnsi="Arial" w:cs="Arial"/>
          <w:sz w:val="22"/>
          <w:szCs w:val="22"/>
        </w:rPr>
        <w:t xml:space="preserve"> </w:t>
      </w:r>
      <w:r w:rsidRPr="005A175E">
        <w:rPr>
          <w:rFonts w:ascii="Arial" w:hAnsi="Arial" w:cs="Arial"/>
          <w:sz w:val="22"/>
          <w:szCs w:val="22"/>
        </w:rPr>
        <w:t xml:space="preserve">WIPO welcomes young professionals under its JPO Program, offering a first-class, hands-on experience in programmatic areas of WIPO’s work or in operational and management support.  JPO assignments are normally for a period of two years, with the possibility </w:t>
      </w:r>
      <w:r w:rsidR="00A26757">
        <w:rPr>
          <w:rFonts w:ascii="Arial" w:hAnsi="Arial" w:cs="Arial"/>
          <w:sz w:val="22"/>
          <w:szCs w:val="22"/>
        </w:rPr>
        <w:t>of</w:t>
      </w:r>
      <w:r w:rsidR="00A26757" w:rsidRPr="005A175E">
        <w:rPr>
          <w:rFonts w:ascii="Arial" w:hAnsi="Arial" w:cs="Arial"/>
          <w:sz w:val="22"/>
          <w:szCs w:val="22"/>
        </w:rPr>
        <w:t xml:space="preserve"> </w:t>
      </w:r>
      <w:r w:rsidRPr="005A175E">
        <w:rPr>
          <w:rFonts w:ascii="Arial" w:hAnsi="Arial" w:cs="Arial"/>
          <w:sz w:val="22"/>
          <w:szCs w:val="22"/>
        </w:rPr>
        <w:t xml:space="preserve">extension. </w:t>
      </w:r>
      <w:r w:rsidR="00A26757">
        <w:rPr>
          <w:rFonts w:ascii="Arial" w:hAnsi="Arial" w:cs="Arial"/>
          <w:sz w:val="22"/>
          <w:szCs w:val="22"/>
        </w:rPr>
        <w:t xml:space="preserve"> </w:t>
      </w:r>
      <w:r w:rsidRPr="005A175E">
        <w:rPr>
          <w:rFonts w:ascii="Arial" w:hAnsi="Arial" w:cs="Arial"/>
          <w:sz w:val="22"/>
          <w:szCs w:val="22"/>
        </w:rPr>
        <w:t xml:space="preserve">WIPO currently has JPO positions funded by the governments of Germany, Italy and the Republic of Korea. </w:t>
      </w:r>
      <w:r w:rsidR="00A26757">
        <w:rPr>
          <w:rFonts w:ascii="Arial" w:hAnsi="Arial" w:cs="Arial"/>
          <w:sz w:val="22"/>
          <w:szCs w:val="22"/>
        </w:rPr>
        <w:t xml:space="preserve"> </w:t>
      </w:r>
      <w:r w:rsidRPr="005A175E">
        <w:rPr>
          <w:rFonts w:ascii="Arial" w:hAnsi="Arial" w:cs="Arial"/>
          <w:sz w:val="22"/>
          <w:szCs w:val="22"/>
        </w:rPr>
        <w:t xml:space="preserve">JPOs at WIPO gain an unparalleled opportunity to contribute to the Organization’s distinctive global mandate. </w:t>
      </w:r>
      <w:r w:rsidR="00A26757">
        <w:rPr>
          <w:rFonts w:ascii="Arial" w:hAnsi="Arial" w:cs="Arial"/>
          <w:sz w:val="22"/>
          <w:szCs w:val="22"/>
        </w:rPr>
        <w:t xml:space="preserve"> </w:t>
      </w:r>
      <w:r w:rsidRPr="005A175E">
        <w:rPr>
          <w:rFonts w:ascii="Arial" w:hAnsi="Arial" w:cs="Arial"/>
          <w:sz w:val="22"/>
          <w:szCs w:val="22"/>
        </w:rPr>
        <w:t xml:space="preserve">They gain valuable exposure in an international </w:t>
      </w:r>
      <w:r w:rsidR="00B94E64">
        <w:rPr>
          <w:rFonts w:ascii="Arial" w:hAnsi="Arial" w:cs="Arial"/>
          <w:sz w:val="22"/>
          <w:szCs w:val="22"/>
        </w:rPr>
        <w:t>setting</w:t>
      </w:r>
      <w:r w:rsidRPr="005A175E">
        <w:rPr>
          <w:rFonts w:ascii="Arial" w:hAnsi="Arial" w:cs="Arial"/>
          <w:sz w:val="22"/>
          <w:szCs w:val="22"/>
        </w:rPr>
        <w:t xml:space="preserve"> </w:t>
      </w:r>
      <w:r w:rsidR="00056DC7">
        <w:rPr>
          <w:rFonts w:ascii="Arial" w:hAnsi="Arial" w:cs="Arial"/>
          <w:sz w:val="22"/>
          <w:szCs w:val="22"/>
        </w:rPr>
        <w:t>and expand</w:t>
      </w:r>
      <w:r w:rsidRPr="005A175E">
        <w:rPr>
          <w:rFonts w:ascii="Arial" w:hAnsi="Arial" w:cs="Arial"/>
          <w:sz w:val="22"/>
          <w:szCs w:val="22"/>
        </w:rPr>
        <w:t xml:space="preserve"> their professional networks. </w:t>
      </w:r>
      <w:r w:rsidR="00A26757">
        <w:rPr>
          <w:rFonts w:ascii="Arial" w:hAnsi="Arial" w:cs="Arial"/>
          <w:sz w:val="22"/>
          <w:szCs w:val="22"/>
        </w:rPr>
        <w:t xml:space="preserve"> </w:t>
      </w:r>
      <w:r w:rsidRPr="005A175E">
        <w:rPr>
          <w:rFonts w:ascii="Arial" w:hAnsi="Arial" w:cs="Arial"/>
          <w:sz w:val="22"/>
          <w:szCs w:val="22"/>
        </w:rPr>
        <w:t>WIPO also benefits from the contributions of JPOs, who bring fresh perspectives and knowledge of the latest developments in their specialist fields and enrich the diversity of WIPO’s workforce.</w:t>
      </w:r>
    </w:p>
    <w:p w14:paraId="33E0602E" w14:textId="77777777" w:rsidR="005A175E" w:rsidRPr="005A175E" w:rsidRDefault="005A175E" w:rsidP="005A175E">
      <w:pPr>
        <w:pStyle w:val="ListParagraph"/>
        <w:ind w:left="0"/>
        <w:rPr>
          <w:rFonts w:ascii="Arial" w:hAnsi="Arial" w:cs="Arial"/>
          <w:sz w:val="22"/>
          <w:szCs w:val="22"/>
        </w:rPr>
      </w:pPr>
    </w:p>
    <w:p w14:paraId="41D69542" w14:textId="2C66AD15" w:rsidR="0046290D" w:rsidRPr="005A175E" w:rsidRDefault="00D8285F" w:rsidP="005A175E">
      <w:pPr>
        <w:pStyle w:val="ListParagraph"/>
        <w:numPr>
          <w:ilvl w:val="0"/>
          <w:numId w:val="21"/>
        </w:numPr>
        <w:ind w:left="0" w:firstLine="0"/>
        <w:rPr>
          <w:rFonts w:ascii="Arial" w:hAnsi="Arial" w:cs="Arial"/>
          <w:sz w:val="22"/>
          <w:szCs w:val="22"/>
        </w:rPr>
      </w:pPr>
      <w:r w:rsidRPr="005A175E">
        <w:rPr>
          <w:rFonts w:ascii="Arial" w:hAnsi="Arial" w:cs="Arial"/>
          <w:sz w:val="22"/>
          <w:szCs w:val="22"/>
        </w:rPr>
        <w:t xml:space="preserve">JPOs work as professional members of staff and are coached by their supervisor and colleagues throughout their assignment. </w:t>
      </w:r>
      <w:r w:rsidR="00A26757">
        <w:rPr>
          <w:rFonts w:ascii="Arial" w:hAnsi="Arial" w:cs="Arial"/>
          <w:sz w:val="22"/>
          <w:szCs w:val="22"/>
        </w:rPr>
        <w:t xml:space="preserve"> </w:t>
      </w:r>
      <w:r w:rsidRPr="005A175E">
        <w:rPr>
          <w:rFonts w:ascii="Arial" w:hAnsi="Arial" w:cs="Arial"/>
          <w:sz w:val="22"/>
          <w:szCs w:val="22"/>
        </w:rPr>
        <w:t xml:space="preserve">They </w:t>
      </w:r>
      <w:r w:rsidR="00A26757">
        <w:rPr>
          <w:rFonts w:ascii="Arial" w:hAnsi="Arial" w:cs="Arial"/>
          <w:sz w:val="22"/>
          <w:szCs w:val="22"/>
        </w:rPr>
        <w:t xml:space="preserve">are </w:t>
      </w:r>
      <w:r w:rsidRPr="005A175E">
        <w:rPr>
          <w:rFonts w:ascii="Arial" w:hAnsi="Arial" w:cs="Arial"/>
          <w:sz w:val="22"/>
          <w:szCs w:val="22"/>
        </w:rPr>
        <w:t xml:space="preserve">also </w:t>
      </w:r>
      <w:r w:rsidR="00A26757">
        <w:rPr>
          <w:rFonts w:ascii="Arial" w:hAnsi="Arial" w:cs="Arial"/>
          <w:sz w:val="22"/>
          <w:szCs w:val="22"/>
        </w:rPr>
        <w:t>included</w:t>
      </w:r>
      <w:r w:rsidRPr="005A175E">
        <w:rPr>
          <w:rFonts w:ascii="Arial" w:hAnsi="Arial" w:cs="Arial"/>
          <w:sz w:val="22"/>
          <w:szCs w:val="22"/>
        </w:rPr>
        <w:t xml:space="preserve"> in the perfor</w:t>
      </w:r>
      <w:r w:rsidR="00056DC7">
        <w:rPr>
          <w:rFonts w:ascii="Arial" w:hAnsi="Arial" w:cs="Arial"/>
          <w:sz w:val="22"/>
          <w:szCs w:val="22"/>
        </w:rPr>
        <w:t>mance management system of the O</w:t>
      </w:r>
      <w:r w:rsidRPr="005A175E">
        <w:rPr>
          <w:rFonts w:ascii="Arial" w:hAnsi="Arial" w:cs="Arial"/>
          <w:sz w:val="22"/>
          <w:szCs w:val="22"/>
        </w:rPr>
        <w:t>rganization</w:t>
      </w:r>
      <w:r w:rsidR="0022731F">
        <w:rPr>
          <w:rFonts w:ascii="Arial" w:hAnsi="Arial" w:cs="Arial"/>
          <w:sz w:val="22"/>
          <w:szCs w:val="22"/>
        </w:rPr>
        <w:t>.</w:t>
      </w:r>
    </w:p>
    <w:p w14:paraId="1C7CD824" w14:textId="6E6FEA79" w:rsidR="004C0988" w:rsidRPr="00695BAD" w:rsidRDefault="00E9392C" w:rsidP="0021112C">
      <w:pPr>
        <w:pStyle w:val="Heading3"/>
        <w:spacing w:after="0"/>
        <w:ind w:left="540"/>
        <w:rPr>
          <w:u w:val="none"/>
        </w:rPr>
      </w:pPr>
      <w:r w:rsidRPr="00695BAD">
        <w:rPr>
          <w:u w:val="none"/>
        </w:rPr>
        <w:t>ST</w:t>
      </w:r>
      <w:r w:rsidR="00A26757" w:rsidRPr="00695BAD">
        <w:rPr>
          <w:u w:val="none"/>
        </w:rPr>
        <w:t>R</w:t>
      </w:r>
      <w:r w:rsidRPr="00695BAD">
        <w:rPr>
          <w:u w:val="none"/>
        </w:rPr>
        <w:t>EAMLINING RECRUITMENT</w:t>
      </w:r>
    </w:p>
    <w:p w14:paraId="7C7CA335" w14:textId="77777777" w:rsidR="002A5C5A" w:rsidRPr="00D54166" w:rsidRDefault="002A5C5A" w:rsidP="007C6A06">
      <w:pPr>
        <w:rPr>
          <w:i/>
          <w:szCs w:val="22"/>
        </w:rPr>
      </w:pPr>
    </w:p>
    <w:p w14:paraId="6CC9E137" w14:textId="70E07497" w:rsidR="001E1418" w:rsidRDefault="00606272" w:rsidP="0074161E">
      <w:pPr>
        <w:pStyle w:val="ListParagraph"/>
        <w:numPr>
          <w:ilvl w:val="0"/>
          <w:numId w:val="21"/>
        </w:numPr>
        <w:ind w:left="0" w:firstLine="0"/>
        <w:rPr>
          <w:rFonts w:ascii="Arial" w:hAnsi="Arial" w:cs="Arial"/>
          <w:sz w:val="22"/>
          <w:szCs w:val="22"/>
        </w:rPr>
      </w:pPr>
      <w:r w:rsidRPr="00EC2D9E">
        <w:rPr>
          <w:rFonts w:ascii="Arial" w:hAnsi="Arial" w:cs="Arial"/>
          <w:sz w:val="22"/>
          <w:szCs w:val="22"/>
        </w:rPr>
        <w:t>Between January and December</w:t>
      </w:r>
      <w:r w:rsidR="006E72E7" w:rsidRPr="00EC2D9E">
        <w:rPr>
          <w:rFonts w:ascii="Arial" w:hAnsi="Arial" w:cs="Arial"/>
          <w:sz w:val="22"/>
          <w:szCs w:val="22"/>
        </w:rPr>
        <w:t xml:space="preserve"> 2018, WIPO </w:t>
      </w:r>
      <w:r w:rsidR="00F35A32" w:rsidRPr="00EC2D9E">
        <w:rPr>
          <w:rFonts w:ascii="Arial" w:hAnsi="Arial" w:cs="Arial"/>
          <w:sz w:val="22"/>
          <w:szCs w:val="22"/>
        </w:rPr>
        <w:t xml:space="preserve">advertised </w:t>
      </w:r>
      <w:r w:rsidRPr="00EC2D9E">
        <w:rPr>
          <w:rFonts w:ascii="Arial" w:hAnsi="Arial" w:cs="Arial"/>
          <w:sz w:val="22"/>
          <w:szCs w:val="22"/>
        </w:rPr>
        <w:t>1</w:t>
      </w:r>
      <w:r w:rsidR="00FC07C1" w:rsidRPr="00EC2D9E">
        <w:rPr>
          <w:rFonts w:ascii="Arial" w:hAnsi="Arial" w:cs="Arial"/>
          <w:sz w:val="22"/>
          <w:szCs w:val="22"/>
        </w:rPr>
        <w:t>51</w:t>
      </w:r>
      <w:r w:rsidRPr="00EC2D9E">
        <w:rPr>
          <w:rFonts w:ascii="Arial" w:hAnsi="Arial" w:cs="Arial"/>
          <w:sz w:val="22"/>
          <w:szCs w:val="22"/>
        </w:rPr>
        <w:t xml:space="preserve"> </w:t>
      </w:r>
      <w:r w:rsidR="00F35A32" w:rsidRPr="00EC2D9E">
        <w:rPr>
          <w:rFonts w:ascii="Arial" w:hAnsi="Arial" w:cs="Arial"/>
          <w:sz w:val="22"/>
          <w:szCs w:val="22"/>
        </w:rPr>
        <w:t>vacancies</w:t>
      </w:r>
      <w:r w:rsidR="00FC07C1" w:rsidRPr="00EC2D9E">
        <w:rPr>
          <w:rFonts w:ascii="Arial" w:hAnsi="Arial" w:cs="Arial"/>
          <w:sz w:val="22"/>
          <w:szCs w:val="22"/>
        </w:rPr>
        <w:t xml:space="preserve"> </w:t>
      </w:r>
      <w:r w:rsidR="00ED656C" w:rsidRPr="00EC2D9E">
        <w:rPr>
          <w:rFonts w:ascii="Arial" w:hAnsi="Arial" w:cs="Arial"/>
          <w:sz w:val="22"/>
          <w:szCs w:val="22"/>
        </w:rPr>
        <w:br/>
      </w:r>
      <w:r w:rsidR="00FC07C1" w:rsidRPr="00EC2D9E">
        <w:rPr>
          <w:rFonts w:ascii="Arial" w:hAnsi="Arial" w:cs="Arial"/>
          <w:sz w:val="22"/>
          <w:szCs w:val="22"/>
        </w:rPr>
        <w:t>(106</w:t>
      </w:r>
      <w:r w:rsidRPr="00EC2D9E">
        <w:rPr>
          <w:rFonts w:ascii="Arial" w:hAnsi="Arial" w:cs="Arial"/>
          <w:sz w:val="22"/>
          <w:szCs w:val="22"/>
        </w:rPr>
        <w:t xml:space="preserve"> fixed-term, 45 temporary)</w:t>
      </w:r>
      <w:r w:rsidR="006E72E7" w:rsidRPr="00EC2D9E">
        <w:rPr>
          <w:rFonts w:ascii="Arial" w:hAnsi="Arial" w:cs="Arial"/>
          <w:sz w:val="22"/>
          <w:szCs w:val="22"/>
        </w:rPr>
        <w:t xml:space="preserve"> </w:t>
      </w:r>
      <w:r w:rsidR="00FC07C1" w:rsidRPr="00EC2D9E">
        <w:rPr>
          <w:rFonts w:ascii="Arial" w:hAnsi="Arial" w:cs="Arial"/>
          <w:sz w:val="22"/>
          <w:szCs w:val="22"/>
        </w:rPr>
        <w:t xml:space="preserve">(Table 14) </w:t>
      </w:r>
      <w:r w:rsidR="006E72E7" w:rsidRPr="00EC2D9E">
        <w:rPr>
          <w:rFonts w:ascii="Arial" w:hAnsi="Arial" w:cs="Arial"/>
          <w:sz w:val="22"/>
          <w:szCs w:val="22"/>
        </w:rPr>
        <w:t xml:space="preserve">and </w:t>
      </w:r>
      <w:r w:rsidR="00F35A32" w:rsidRPr="00EC2D9E">
        <w:rPr>
          <w:rFonts w:ascii="Arial" w:hAnsi="Arial" w:cs="Arial"/>
          <w:sz w:val="22"/>
          <w:szCs w:val="22"/>
        </w:rPr>
        <w:t xml:space="preserve">received </w:t>
      </w:r>
      <w:r w:rsidRPr="00EC2D9E">
        <w:rPr>
          <w:rFonts w:ascii="Arial" w:hAnsi="Arial" w:cs="Arial"/>
          <w:sz w:val="22"/>
          <w:szCs w:val="22"/>
        </w:rPr>
        <w:t>16,</w:t>
      </w:r>
      <w:r w:rsidR="007E04EA" w:rsidRPr="00EC2D9E">
        <w:rPr>
          <w:rFonts w:ascii="Arial" w:hAnsi="Arial" w:cs="Arial"/>
          <w:sz w:val="22"/>
          <w:szCs w:val="22"/>
        </w:rPr>
        <w:t>401</w:t>
      </w:r>
      <w:r w:rsidRPr="00EC2D9E">
        <w:rPr>
          <w:rFonts w:ascii="Arial" w:hAnsi="Arial" w:cs="Arial"/>
          <w:sz w:val="22"/>
          <w:szCs w:val="22"/>
        </w:rPr>
        <w:t xml:space="preserve"> </w:t>
      </w:r>
      <w:r w:rsidR="006E72E7" w:rsidRPr="00EC2D9E">
        <w:rPr>
          <w:rFonts w:ascii="Arial" w:hAnsi="Arial" w:cs="Arial"/>
          <w:sz w:val="22"/>
          <w:szCs w:val="22"/>
        </w:rPr>
        <w:t>applications</w:t>
      </w:r>
      <w:r w:rsidR="001E1418" w:rsidRPr="00EC2D9E">
        <w:rPr>
          <w:rFonts w:ascii="Arial" w:hAnsi="Arial" w:cs="Arial"/>
          <w:sz w:val="22"/>
          <w:szCs w:val="22"/>
        </w:rPr>
        <w:t xml:space="preserve"> (</w:t>
      </w:r>
      <w:r w:rsidR="00FC07C1" w:rsidRPr="00EC2D9E">
        <w:rPr>
          <w:rFonts w:ascii="Arial" w:hAnsi="Arial" w:cs="Arial"/>
          <w:sz w:val="22"/>
          <w:szCs w:val="22"/>
        </w:rPr>
        <w:t>Table 15</w:t>
      </w:r>
      <w:r w:rsidR="00B7443C" w:rsidRPr="00EC2D9E">
        <w:rPr>
          <w:rFonts w:ascii="Arial" w:hAnsi="Arial" w:cs="Arial"/>
          <w:sz w:val="22"/>
          <w:szCs w:val="22"/>
        </w:rPr>
        <w:t>), continuing the over</w:t>
      </w:r>
      <w:r w:rsidR="001E1418" w:rsidRPr="00EC2D9E">
        <w:rPr>
          <w:rFonts w:ascii="Arial" w:hAnsi="Arial" w:cs="Arial"/>
          <w:sz w:val="22"/>
          <w:szCs w:val="22"/>
        </w:rPr>
        <w:t xml:space="preserve">all trend of </w:t>
      </w:r>
      <w:r w:rsidR="00B7443C" w:rsidRPr="00EC2D9E">
        <w:rPr>
          <w:rFonts w:ascii="Arial" w:hAnsi="Arial" w:cs="Arial"/>
          <w:sz w:val="22"/>
          <w:szCs w:val="22"/>
        </w:rPr>
        <w:t xml:space="preserve">a </w:t>
      </w:r>
      <w:r w:rsidR="001E1418" w:rsidRPr="00EC2D9E">
        <w:rPr>
          <w:rFonts w:ascii="Arial" w:hAnsi="Arial" w:cs="Arial"/>
          <w:sz w:val="22"/>
          <w:szCs w:val="22"/>
        </w:rPr>
        <w:t>steadily increasing number of vacancies</w:t>
      </w:r>
      <w:r w:rsidR="00D33D4B" w:rsidRPr="00EC2D9E">
        <w:rPr>
          <w:rFonts w:ascii="Arial" w:hAnsi="Arial" w:cs="Arial"/>
          <w:sz w:val="22"/>
          <w:szCs w:val="22"/>
        </w:rPr>
        <w:t xml:space="preserve"> and applications</w:t>
      </w:r>
      <w:r w:rsidR="006E72E7" w:rsidRPr="00EC2D9E">
        <w:rPr>
          <w:rFonts w:ascii="Arial" w:hAnsi="Arial" w:cs="Arial"/>
          <w:sz w:val="22"/>
          <w:szCs w:val="22"/>
        </w:rPr>
        <w:t xml:space="preserve">. </w:t>
      </w:r>
      <w:r w:rsidR="00253375" w:rsidRPr="00EC2D9E">
        <w:rPr>
          <w:rFonts w:ascii="Arial" w:hAnsi="Arial" w:cs="Arial"/>
          <w:sz w:val="22"/>
          <w:szCs w:val="22"/>
        </w:rPr>
        <w:t xml:space="preserve"> </w:t>
      </w:r>
      <w:r w:rsidR="001E1418" w:rsidRPr="00EC2D9E">
        <w:rPr>
          <w:rFonts w:ascii="Arial" w:hAnsi="Arial" w:cs="Arial"/>
          <w:sz w:val="22"/>
          <w:szCs w:val="22"/>
        </w:rPr>
        <w:t xml:space="preserve">This trend may </w:t>
      </w:r>
      <w:r w:rsidR="00CC23E0" w:rsidRPr="00EC2D9E">
        <w:rPr>
          <w:rFonts w:ascii="Arial" w:hAnsi="Arial" w:cs="Arial"/>
          <w:sz w:val="22"/>
          <w:szCs w:val="22"/>
        </w:rPr>
        <w:t>change with</w:t>
      </w:r>
      <w:r w:rsidR="001E1418" w:rsidRPr="00EC2D9E">
        <w:rPr>
          <w:rFonts w:ascii="Arial" w:hAnsi="Arial" w:cs="Arial"/>
          <w:sz w:val="22"/>
          <w:szCs w:val="22"/>
        </w:rPr>
        <w:t xml:space="preserve"> the number of vacancies </w:t>
      </w:r>
      <w:r w:rsidR="00CC23E0" w:rsidRPr="00EC2D9E">
        <w:rPr>
          <w:rFonts w:ascii="Arial" w:hAnsi="Arial" w:cs="Arial"/>
          <w:sz w:val="22"/>
          <w:szCs w:val="22"/>
        </w:rPr>
        <w:t xml:space="preserve">being </w:t>
      </w:r>
      <w:r w:rsidR="001E1418" w:rsidRPr="00EC2D9E">
        <w:rPr>
          <w:rFonts w:ascii="Arial" w:hAnsi="Arial" w:cs="Arial"/>
          <w:sz w:val="22"/>
          <w:szCs w:val="22"/>
        </w:rPr>
        <w:t xml:space="preserve">reduced </w:t>
      </w:r>
      <w:r w:rsidR="00A26757" w:rsidRPr="00EC2D9E">
        <w:rPr>
          <w:rFonts w:ascii="Arial" w:hAnsi="Arial" w:cs="Arial"/>
          <w:sz w:val="22"/>
          <w:szCs w:val="22"/>
        </w:rPr>
        <w:t>because</w:t>
      </w:r>
      <w:r w:rsidR="001E1418" w:rsidRPr="00EC2D9E">
        <w:rPr>
          <w:rFonts w:ascii="Arial" w:hAnsi="Arial" w:cs="Arial"/>
          <w:sz w:val="22"/>
          <w:szCs w:val="22"/>
        </w:rPr>
        <w:t xml:space="preserve"> of the raising of the retirement age to 65</w:t>
      </w:r>
      <w:r w:rsidR="00B3267B" w:rsidRPr="00EC2D9E">
        <w:rPr>
          <w:rFonts w:ascii="Arial" w:hAnsi="Arial" w:cs="Arial"/>
          <w:sz w:val="22"/>
          <w:szCs w:val="22"/>
        </w:rPr>
        <w:t xml:space="preserve"> (see</w:t>
      </w:r>
      <w:r w:rsidR="00FC14B6" w:rsidRPr="00EC2D9E">
        <w:rPr>
          <w:rFonts w:ascii="Arial" w:hAnsi="Arial" w:cs="Arial"/>
          <w:sz w:val="22"/>
          <w:szCs w:val="22"/>
        </w:rPr>
        <w:t xml:space="preserve"> para</w:t>
      </w:r>
      <w:r w:rsidR="008B73D3" w:rsidRPr="00EC2D9E">
        <w:rPr>
          <w:rFonts w:ascii="Arial" w:hAnsi="Arial" w:cs="Arial"/>
          <w:sz w:val="22"/>
          <w:szCs w:val="22"/>
        </w:rPr>
        <w:t>graph</w:t>
      </w:r>
      <w:r w:rsidR="001E1418" w:rsidRPr="00EC2D9E">
        <w:rPr>
          <w:rFonts w:ascii="Arial" w:hAnsi="Arial" w:cs="Arial"/>
          <w:sz w:val="22"/>
          <w:szCs w:val="22"/>
        </w:rPr>
        <w:t xml:space="preserve"> </w:t>
      </w:r>
      <w:r w:rsidR="005E195D" w:rsidRPr="00EC2D9E">
        <w:rPr>
          <w:rFonts w:ascii="Arial" w:hAnsi="Arial" w:cs="Arial"/>
          <w:sz w:val="22"/>
          <w:szCs w:val="22"/>
        </w:rPr>
        <w:t>39</w:t>
      </w:r>
      <w:r w:rsidR="00B3267B" w:rsidRPr="00EC2D9E">
        <w:rPr>
          <w:rFonts w:ascii="Arial" w:hAnsi="Arial" w:cs="Arial"/>
          <w:sz w:val="22"/>
          <w:szCs w:val="22"/>
        </w:rPr>
        <w:t>)</w:t>
      </w:r>
      <w:r w:rsidR="001E1418" w:rsidRPr="00EC2D9E">
        <w:rPr>
          <w:rFonts w:ascii="Arial" w:hAnsi="Arial" w:cs="Arial"/>
          <w:sz w:val="22"/>
          <w:szCs w:val="22"/>
        </w:rPr>
        <w:t>.</w:t>
      </w:r>
    </w:p>
    <w:p w14:paraId="17D1E0BC" w14:textId="5D8B05DF" w:rsidR="00CE2347" w:rsidRDefault="002A5C5A" w:rsidP="00D72CFC">
      <w:pPr>
        <w:pStyle w:val="ListParagraph"/>
        <w:numPr>
          <w:ilvl w:val="0"/>
          <w:numId w:val="21"/>
        </w:numPr>
        <w:ind w:left="0" w:firstLine="0"/>
        <w:rPr>
          <w:rFonts w:ascii="Arial" w:hAnsi="Arial" w:cs="Arial"/>
          <w:sz w:val="22"/>
          <w:szCs w:val="22"/>
        </w:rPr>
      </w:pPr>
      <w:r w:rsidRPr="00CC23E0">
        <w:rPr>
          <w:rFonts w:ascii="Arial" w:hAnsi="Arial" w:cs="Arial"/>
          <w:sz w:val="22"/>
          <w:szCs w:val="22"/>
        </w:rPr>
        <w:lastRenderedPageBreak/>
        <w:t xml:space="preserve">The </w:t>
      </w:r>
      <w:r w:rsidR="00253375" w:rsidRPr="00CC23E0">
        <w:rPr>
          <w:rFonts w:ascii="Arial" w:hAnsi="Arial" w:cs="Arial"/>
          <w:sz w:val="22"/>
          <w:szCs w:val="22"/>
        </w:rPr>
        <w:t>high</w:t>
      </w:r>
      <w:r w:rsidRPr="00CC23E0">
        <w:rPr>
          <w:rFonts w:ascii="Arial" w:hAnsi="Arial" w:cs="Arial"/>
          <w:sz w:val="22"/>
          <w:szCs w:val="22"/>
        </w:rPr>
        <w:t xml:space="preserve"> number of vacancies </w:t>
      </w:r>
      <w:r w:rsidR="00253375" w:rsidRPr="00CC23E0">
        <w:rPr>
          <w:rFonts w:ascii="Arial" w:hAnsi="Arial" w:cs="Arial"/>
          <w:sz w:val="22"/>
          <w:szCs w:val="22"/>
        </w:rPr>
        <w:t>and the steady annual increase</w:t>
      </w:r>
      <w:r w:rsidR="006B1B15" w:rsidRPr="00CC23E0">
        <w:rPr>
          <w:rFonts w:ascii="Arial" w:hAnsi="Arial" w:cs="Arial"/>
          <w:sz w:val="22"/>
          <w:szCs w:val="22"/>
        </w:rPr>
        <w:t xml:space="preserve"> </w:t>
      </w:r>
      <w:r w:rsidR="00253375" w:rsidRPr="00CC23E0">
        <w:rPr>
          <w:rFonts w:ascii="Arial" w:hAnsi="Arial" w:cs="Arial"/>
          <w:sz w:val="22"/>
          <w:szCs w:val="22"/>
        </w:rPr>
        <w:t>underline</w:t>
      </w:r>
      <w:r w:rsidRPr="00CC23E0">
        <w:rPr>
          <w:rFonts w:ascii="Arial" w:hAnsi="Arial" w:cs="Arial"/>
          <w:sz w:val="22"/>
          <w:szCs w:val="22"/>
        </w:rPr>
        <w:t xml:space="preserve"> the importance of </w:t>
      </w:r>
      <w:r w:rsidR="00253375" w:rsidRPr="00CC23E0">
        <w:rPr>
          <w:rFonts w:ascii="Arial" w:hAnsi="Arial" w:cs="Arial"/>
          <w:sz w:val="22"/>
          <w:szCs w:val="22"/>
        </w:rPr>
        <w:t xml:space="preserve">ensuring </w:t>
      </w:r>
      <w:r w:rsidR="00A26757">
        <w:rPr>
          <w:rFonts w:ascii="Arial" w:hAnsi="Arial" w:cs="Arial"/>
          <w:sz w:val="22"/>
          <w:szCs w:val="22"/>
        </w:rPr>
        <w:t xml:space="preserve">the </w:t>
      </w:r>
      <w:r w:rsidR="00594A3E" w:rsidRPr="00CC23E0">
        <w:rPr>
          <w:rFonts w:ascii="Arial" w:hAnsi="Arial" w:cs="Arial"/>
          <w:sz w:val="22"/>
          <w:szCs w:val="22"/>
        </w:rPr>
        <w:t xml:space="preserve">efficiency and effectiveness </w:t>
      </w:r>
      <w:r w:rsidR="00253375" w:rsidRPr="00CC23E0">
        <w:rPr>
          <w:rFonts w:ascii="Arial" w:hAnsi="Arial" w:cs="Arial"/>
          <w:sz w:val="22"/>
          <w:szCs w:val="22"/>
        </w:rPr>
        <w:t>of WIPO’s recruitment processes</w:t>
      </w:r>
      <w:r w:rsidR="00594A3E" w:rsidRPr="00CC23E0">
        <w:rPr>
          <w:rFonts w:ascii="Arial" w:hAnsi="Arial" w:cs="Arial"/>
          <w:sz w:val="22"/>
          <w:szCs w:val="22"/>
        </w:rPr>
        <w:t>.</w:t>
      </w:r>
      <w:r w:rsidRPr="00CC23E0">
        <w:rPr>
          <w:rFonts w:ascii="Arial" w:hAnsi="Arial" w:cs="Arial"/>
          <w:sz w:val="22"/>
          <w:szCs w:val="22"/>
        </w:rPr>
        <w:t xml:space="preserve"> </w:t>
      </w:r>
      <w:r w:rsidR="006B1B15" w:rsidRPr="00CC23E0">
        <w:rPr>
          <w:rFonts w:ascii="Arial" w:hAnsi="Arial" w:cs="Arial"/>
          <w:sz w:val="22"/>
          <w:szCs w:val="22"/>
        </w:rPr>
        <w:t xml:space="preserve"> </w:t>
      </w:r>
      <w:r w:rsidR="00A26757">
        <w:rPr>
          <w:rFonts w:ascii="Arial" w:hAnsi="Arial" w:cs="Arial"/>
          <w:sz w:val="22"/>
          <w:szCs w:val="22"/>
        </w:rPr>
        <w:t>With</w:t>
      </w:r>
      <w:r w:rsidR="00A26757" w:rsidRPr="00CC23E0">
        <w:rPr>
          <w:rFonts w:ascii="Arial" w:hAnsi="Arial" w:cs="Arial"/>
          <w:sz w:val="22"/>
          <w:szCs w:val="22"/>
        </w:rPr>
        <w:t xml:space="preserve"> </w:t>
      </w:r>
      <w:r w:rsidR="00CE2347" w:rsidRPr="00CC23E0">
        <w:rPr>
          <w:rFonts w:ascii="Arial" w:hAnsi="Arial" w:cs="Arial"/>
          <w:sz w:val="22"/>
          <w:szCs w:val="22"/>
        </w:rPr>
        <w:t xml:space="preserve">an average </w:t>
      </w:r>
      <w:r w:rsidR="00A26757">
        <w:rPr>
          <w:rFonts w:ascii="Arial" w:hAnsi="Arial" w:cs="Arial"/>
          <w:sz w:val="22"/>
          <w:szCs w:val="22"/>
        </w:rPr>
        <w:t xml:space="preserve">duration </w:t>
      </w:r>
      <w:r w:rsidR="00CE2347" w:rsidRPr="00CC23E0">
        <w:rPr>
          <w:rFonts w:ascii="Arial" w:hAnsi="Arial" w:cs="Arial"/>
          <w:sz w:val="22"/>
          <w:szCs w:val="22"/>
        </w:rPr>
        <w:t xml:space="preserve">of 18 weeks and involving a four-member </w:t>
      </w:r>
      <w:r w:rsidR="003952D6" w:rsidRPr="00CC23E0">
        <w:rPr>
          <w:rFonts w:ascii="Arial" w:hAnsi="Arial" w:cs="Arial"/>
          <w:sz w:val="22"/>
          <w:szCs w:val="22"/>
        </w:rPr>
        <w:t>appointment</w:t>
      </w:r>
      <w:r w:rsidR="00CE2347" w:rsidRPr="00CC23E0">
        <w:rPr>
          <w:rFonts w:ascii="Arial" w:hAnsi="Arial" w:cs="Arial"/>
          <w:sz w:val="22"/>
          <w:szCs w:val="22"/>
        </w:rPr>
        <w:t xml:space="preserve"> board in addition to secretariat support</w:t>
      </w:r>
      <w:r w:rsidR="000077BC">
        <w:rPr>
          <w:rFonts w:ascii="Arial" w:hAnsi="Arial" w:cs="Arial"/>
          <w:sz w:val="22"/>
          <w:szCs w:val="22"/>
        </w:rPr>
        <w:t xml:space="preserve"> provided by </w:t>
      </w:r>
      <w:r w:rsidR="00853A3E">
        <w:rPr>
          <w:rFonts w:ascii="Arial" w:hAnsi="Arial" w:cs="Arial"/>
          <w:sz w:val="22"/>
          <w:szCs w:val="22"/>
        </w:rPr>
        <w:t>HRMD</w:t>
      </w:r>
      <w:r w:rsidR="00CE2347" w:rsidRPr="00CC23E0">
        <w:rPr>
          <w:rFonts w:ascii="Arial" w:hAnsi="Arial" w:cs="Arial"/>
          <w:sz w:val="22"/>
          <w:szCs w:val="22"/>
        </w:rPr>
        <w:t xml:space="preserve">, there is room for </w:t>
      </w:r>
      <w:r w:rsidR="003952D6" w:rsidRPr="00CC23E0">
        <w:rPr>
          <w:rFonts w:ascii="Arial" w:hAnsi="Arial" w:cs="Arial"/>
          <w:sz w:val="22"/>
          <w:szCs w:val="22"/>
        </w:rPr>
        <w:t>improving</w:t>
      </w:r>
      <w:r w:rsidR="00CE2347" w:rsidRPr="00CC23E0">
        <w:rPr>
          <w:rFonts w:ascii="Arial" w:hAnsi="Arial" w:cs="Arial"/>
          <w:sz w:val="22"/>
          <w:szCs w:val="22"/>
        </w:rPr>
        <w:t xml:space="preserve"> the recruitment process f</w:t>
      </w:r>
      <w:r w:rsidR="003952D6" w:rsidRPr="00CC23E0">
        <w:rPr>
          <w:rFonts w:ascii="Arial" w:hAnsi="Arial" w:cs="Arial"/>
          <w:sz w:val="22"/>
          <w:szCs w:val="22"/>
        </w:rPr>
        <w:t xml:space="preserve">or fixed-term positions.  </w:t>
      </w:r>
      <w:r w:rsidR="00CC23E0" w:rsidRPr="00CC23E0">
        <w:rPr>
          <w:rFonts w:ascii="Arial" w:hAnsi="Arial" w:cs="Arial"/>
          <w:sz w:val="22"/>
          <w:szCs w:val="22"/>
        </w:rPr>
        <w:t>Measure</w:t>
      </w:r>
      <w:r w:rsidR="00B7443C">
        <w:rPr>
          <w:rFonts w:ascii="Arial" w:hAnsi="Arial" w:cs="Arial"/>
          <w:sz w:val="22"/>
          <w:szCs w:val="22"/>
        </w:rPr>
        <w:t>s</w:t>
      </w:r>
      <w:r w:rsidR="00CC23E0" w:rsidRPr="00CC23E0">
        <w:rPr>
          <w:rFonts w:ascii="Arial" w:hAnsi="Arial" w:cs="Arial"/>
          <w:sz w:val="22"/>
          <w:szCs w:val="22"/>
        </w:rPr>
        <w:t xml:space="preserve"> to trim down and light</w:t>
      </w:r>
      <w:r w:rsidR="00CC23E0">
        <w:rPr>
          <w:rFonts w:ascii="Arial" w:hAnsi="Arial" w:cs="Arial"/>
          <w:sz w:val="22"/>
          <w:szCs w:val="22"/>
        </w:rPr>
        <w:t>en</w:t>
      </w:r>
      <w:r w:rsidR="00CC23E0" w:rsidRPr="00CC23E0">
        <w:rPr>
          <w:rFonts w:ascii="Arial" w:hAnsi="Arial" w:cs="Arial"/>
          <w:sz w:val="22"/>
          <w:szCs w:val="22"/>
        </w:rPr>
        <w:t xml:space="preserve"> the recruitment pro</w:t>
      </w:r>
      <w:r w:rsidR="00CC23E0">
        <w:rPr>
          <w:rFonts w:ascii="Arial" w:hAnsi="Arial" w:cs="Arial"/>
          <w:sz w:val="22"/>
          <w:szCs w:val="22"/>
        </w:rPr>
        <w:t>cesses are under consideration.</w:t>
      </w:r>
    </w:p>
    <w:p w14:paraId="69A7598C" w14:textId="77777777" w:rsidR="00CC23E0" w:rsidRPr="00CC23E0" w:rsidRDefault="00CC23E0" w:rsidP="00CC23E0">
      <w:pPr>
        <w:pStyle w:val="ListParagraph"/>
        <w:rPr>
          <w:rFonts w:ascii="Arial" w:hAnsi="Arial" w:cs="Arial"/>
          <w:sz w:val="22"/>
          <w:szCs w:val="22"/>
        </w:rPr>
      </w:pPr>
    </w:p>
    <w:p w14:paraId="5423341D" w14:textId="41423404" w:rsidR="004C0988" w:rsidRPr="00D54166" w:rsidRDefault="007539B1" w:rsidP="001632EA">
      <w:pPr>
        <w:pStyle w:val="ListParagraph"/>
        <w:numPr>
          <w:ilvl w:val="0"/>
          <w:numId w:val="21"/>
        </w:numPr>
        <w:ind w:left="0" w:firstLine="0"/>
        <w:rPr>
          <w:rFonts w:ascii="Arial" w:hAnsi="Arial" w:cs="Arial"/>
          <w:sz w:val="22"/>
          <w:szCs w:val="22"/>
        </w:rPr>
      </w:pPr>
      <w:r w:rsidRPr="00D54166">
        <w:rPr>
          <w:rFonts w:ascii="Arial" w:hAnsi="Arial" w:cs="Arial"/>
          <w:sz w:val="22"/>
          <w:szCs w:val="22"/>
        </w:rPr>
        <w:t>Another</w:t>
      </w:r>
      <w:r w:rsidR="002A5C5A" w:rsidRPr="00D54166">
        <w:rPr>
          <w:rFonts w:ascii="Arial" w:hAnsi="Arial" w:cs="Arial"/>
          <w:sz w:val="22"/>
          <w:szCs w:val="22"/>
        </w:rPr>
        <w:t xml:space="preserve"> </w:t>
      </w:r>
      <w:r w:rsidR="00CE2347">
        <w:rPr>
          <w:rFonts w:ascii="Arial" w:hAnsi="Arial" w:cs="Arial"/>
          <w:sz w:val="22"/>
          <w:szCs w:val="22"/>
        </w:rPr>
        <w:t xml:space="preserve">area for potential high efficiency gains </w:t>
      </w:r>
      <w:r w:rsidR="003952D6">
        <w:rPr>
          <w:rFonts w:ascii="Arial" w:hAnsi="Arial" w:cs="Arial"/>
          <w:sz w:val="22"/>
          <w:szCs w:val="22"/>
        </w:rPr>
        <w:t xml:space="preserve">concerns the use of appropriate </w:t>
      </w:r>
      <w:r w:rsidR="003952D6" w:rsidRPr="00066E7A">
        <w:rPr>
          <w:rFonts w:ascii="Arial" w:hAnsi="Arial" w:cs="Arial"/>
          <w:sz w:val="22"/>
          <w:szCs w:val="22"/>
        </w:rPr>
        <w:t xml:space="preserve">technology.  </w:t>
      </w:r>
      <w:r w:rsidR="001632EA" w:rsidRPr="00066E7A">
        <w:rPr>
          <w:rFonts w:ascii="Arial" w:hAnsi="Arial" w:cs="Arial"/>
          <w:sz w:val="22"/>
          <w:szCs w:val="22"/>
        </w:rPr>
        <w:t xml:space="preserve">The screening of </w:t>
      </w:r>
      <w:r w:rsidR="00DF501C" w:rsidRPr="00066E7A">
        <w:rPr>
          <w:rFonts w:ascii="Arial" w:hAnsi="Arial" w:cs="Arial"/>
          <w:sz w:val="22"/>
          <w:szCs w:val="22"/>
        </w:rPr>
        <w:t>the</w:t>
      </w:r>
      <w:r w:rsidR="001632EA" w:rsidRPr="00066E7A">
        <w:rPr>
          <w:rFonts w:ascii="Arial" w:hAnsi="Arial" w:cs="Arial"/>
          <w:sz w:val="22"/>
          <w:szCs w:val="22"/>
        </w:rPr>
        <w:t xml:space="preserve"> heavy volume of applications per vacancy (an aver</w:t>
      </w:r>
      <w:r w:rsidR="00752062" w:rsidRPr="00066E7A">
        <w:rPr>
          <w:rFonts w:ascii="Arial" w:hAnsi="Arial" w:cs="Arial"/>
          <w:sz w:val="22"/>
          <w:szCs w:val="22"/>
        </w:rPr>
        <w:t xml:space="preserve">age of </w:t>
      </w:r>
      <w:r w:rsidR="006E5B8F" w:rsidRPr="00066E7A">
        <w:rPr>
          <w:rFonts w:ascii="Arial" w:hAnsi="Arial" w:cs="Arial"/>
          <w:sz w:val="22"/>
          <w:szCs w:val="22"/>
        </w:rPr>
        <w:t>11</w:t>
      </w:r>
      <w:r w:rsidR="00542A9C" w:rsidRPr="00066E7A">
        <w:rPr>
          <w:rFonts w:ascii="Arial" w:hAnsi="Arial" w:cs="Arial"/>
          <w:sz w:val="22"/>
          <w:szCs w:val="22"/>
        </w:rPr>
        <w:t>8</w:t>
      </w:r>
      <w:r w:rsidR="00752062" w:rsidRPr="00066E7A">
        <w:rPr>
          <w:rFonts w:ascii="Arial" w:hAnsi="Arial" w:cs="Arial"/>
          <w:sz w:val="22"/>
          <w:szCs w:val="22"/>
        </w:rPr>
        <w:t xml:space="preserve"> applications per externally-advertised fixed-term position</w:t>
      </w:r>
      <w:r w:rsidR="00ED656C">
        <w:rPr>
          <w:rFonts w:ascii="Arial" w:hAnsi="Arial" w:cs="Arial"/>
          <w:sz w:val="22"/>
          <w:szCs w:val="22"/>
        </w:rPr>
        <w:t>)</w:t>
      </w:r>
      <w:r w:rsidR="006E5B8F" w:rsidRPr="00066E7A">
        <w:rPr>
          <w:rFonts w:ascii="Arial" w:hAnsi="Arial" w:cs="Arial"/>
          <w:sz w:val="22"/>
          <w:szCs w:val="22"/>
        </w:rPr>
        <w:t xml:space="preserve">, </w:t>
      </w:r>
      <w:r w:rsidR="0022731F" w:rsidRPr="00066E7A">
        <w:rPr>
          <w:rFonts w:ascii="Arial" w:hAnsi="Arial" w:cs="Arial"/>
          <w:sz w:val="22"/>
          <w:szCs w:val="22"/>
        </w:rPr>
        <w:t xml:space="preserve">may </w:t>
      </w:r>
      <w:r w:rsidR="001632EA" w:rsidRPr="00066E7A">
        <w:rPr>
          <w:rFonts w:ascii="Arial" w:hAnsi="Arial" w:cs="Arial"/>
          <w:sz w:val="22"/>
          <w:szCs w:val="22"/>
        </w:rPr>
        <w:t>lend itself to the use of A</w:t>
      </w:r>
      <w:r w:rsidR="004C0988" w:rsidRPr="00066E7A">
        <w:rPr>
          <w:rFonts w:ascii="Arial" w:hAnsi="Arial" w:cs="Arial"/>
          <w:sz w:val="22"/>
          <w:szCs w:val="22"/>
        </w:rPr>
        <w:t>rtificial</w:t>
      </w:r>
      <w:r w:rsidR="007178DE" w:rsidRPr="00D54166">
        <w:rPr>
          <w:rFonts w:ascii="Arial" w:hAnsi="Arial" w:cs="Arial"/>
          <w:sz w:val="22"/>
          <w:szCs w:val="22"/>
        </w:rPr>
        <w:t xml:space="preserve"> Intelligence (AI)</w:t>
      </w:r>
      <w:r w:rsidR="004C0988" w:rsidRPr="00D54166">
        <w:rPr>
          <w:rFonts w:ascii="Arial" w:hAnsi="Arial" w:cs="Arial"/>
          <w:sz w:val="22"/>
          <w:szCs w:val="22"/>
        </w:rPr>
        <w:t xml:space="preserve"> to reduce</w:t>
      </w:r>
      <w:r w:rsidR="008F7019" w:rsidRPr="00D54166">
        <w:rPr>
          <w:rFonts w:ascii="Arial" w:hAnsi="Arial" w:cs="Arial"/>
          <w:sz w:val="22"/>
          <w:szCs w:val="22"/>
        </w:rPr>
        <w:t xml:space="preserve"> </w:t>
      </w:r>
      <w:r w:rsidR="004C0988" w:rsidRPr="00D54166">
        <w:rPr>
          <w:rFonts w:ascii="Arial" w:hAnsi="Arial" w:cs="Arial"/>
          <w:sz w:val="22"/>
          <w:szCs w:val="22"/>
        </w:rPr>
        <w:t>time-co</w:t>
      </w:r>
      <w:r w:rsidR="00DF501C">
        <w:rPr>
          <w:rFonts w:ascii="Arial" w:hAnsi="Arial" w:cs="Arial"/>
          <w:sz w:val="22"/>
          <w:szCs w:val="22"/>
        </w:rPr>
        <w:t>nsuming activities like manual</w:t>
      </w:r>
      <w:r w:rsidR="004C0988" w:rsidRPr="00D54166">
        <w:rPr>
          <w:rFonts w:ascii="Arial" w:hAnsi="Arial" w:cs="Arial"/>
          <w:sz w:val="22"/>
          <w:szCs w:val="22"/>
        </w:rPr>
        <w:t xml:space="preserve"> screening </w:t>
      </w:r>
      <w:r w:rsidR="00DF501C">
        <w:rPr>
          <w:rFonts w:ascii="Arial" w:hAnsi="Arial" w:cs="Arial"/>
          <w:sz w:val="22"/>
          <w:szCs w:val="22"/>
        </w:rPr>
        <w:t xml:space="preserve">of </w:t>
      </w:r>
      <w:r w:rsidR="004C0988" w:rsidRPr="00D54166">
        <w:rPr>
          <w:rFonts w:ascii="Arial" w:hAnsi="Arial" w:cs="Arial"/>
          <w:sz w:val="22"/>
          <w:szCs w:val="22"/>
        </w:rPr>
        <w:t xml:space="preserve">applications. </w:t>
      </w:r>
      <w:r w:rsidR="006E72E7" w:rsidRPr="00D54166">
        <w:rPr>
          <w:rFonts w:ascii="Arial" w:hAnsi="Arial" w:cs="Arial"/>
          <w:sz w:val="22"/>
          <w:szCs w:val="22"/>
        </w:rPr>
        <w:t xml:space="preserve"> It </w:t>
      </w:r>
      <w:r w:rsidR="001632EA">
        <w:rPr>
          <w:rFonts w:ascii="Arial" w:hAnsi="Arial" w:cs="Arial"/>
          <w:sz w:val="22"/>
          <w:szCs w:val="22"/>
        </w:rPr>
        <w:t>could</w:t>
      </w:r>
      <w:r w:rsidR="006E72E7" w:rsidRPr="00D54166">
        <w:rPr>
          <w:rFonts w:ascii="Arial" w:hAnsi="Arial" w:cs="Arial"/>
          <w:sz w:val="22"/>
          <w:szCs w:val="22"/>
        </w:rPr>
        <w:t xml:space="preserve"> also contribute to </w:t>
      </w:r>
      <w:r w:rsidR="001632EA">
        <w:rPr>
          <w:rFonts w:ascii="Arial" w:hAnsi="Arial" w:cs="Arial"/>
          <w:sz w:val="22"/>
          <w:szCs w:val="22"/>
        </w:rPr>
        <w:t>reduc</w:t>
      </w:r>
      <w:r w:rsidR="008F7019">
        <w:rPr>
          <w:rFonts w:ascii="Arial" w:hAnsi="Arial" w:cs="Arial"/>
          <w:sz w:val="22"/>
          <w:szCs w:val="22"/>
        </w:rPr>
        <w:t>ing</w:t>
      </w:r>
      <w:r w:rsidR="001632EA">
        <w:rPr>
          <w:rFonts w:ascii="Arial" w:hAnsi="Arial" w:cs="Arial"/>
          <w:sz w:val="22"/>
          <w:szCs w:val="22"/>
        </w:rPr>
        <w:t xml:space="preserve"> bias in screening and </w:t>
      </w:r>
      <w:r w:rsidR="0022731F">
        <w:rPr>
          <w:rFonts w:ascii="Arial" w:hAnsi="Arial" w:cs="Arial"/>
          <w:sz w:val="22"/>
          <w:szCs w:val="22"/>
        </w:rPr>
        <w:t xml:space="preserve">may be </w:t>
      </w:r>
      <w:r w:rsidR="00DF501C">
        <w:rPr>
          <w:rFonts w:ascii="Arial" w:hAnsi="Arial" w:cs="Arial"/>
          <w:sz w:val="22"/>
          <w:szCs w:val="22"/>
        </w:rPr>
        <w:t>useful for</w:t>
      </w:r>
      <w:r w:rsidR="001632EA">
        <w:rPr>
          <w:rFonts w:ascii="Arial" w:hAnsi="Arial" w:cs="Arial"/>
          <w:sz w:val="22"/>
          <w:szCs w:val="22"/>
        </w:rPr>
        <w:t xml:space="preserve"> searching candidates or candidate pools</w:t>
      </w:r>
      <w:r w:rsidR="004F4BD7">
        <w:rPr>
          <w:rFonts w:ascii="Arial" w:hAnsi="Arial" w:cs="Arial"/>
          <w:sz w:val="22"/>
          <w:szCs w:val="22"/>
        </w:rPr>
        <w:t xml:space="preserve"> with specific skills</w:t>
      </w:r>
      <w:r w:rsidR="006E72E7" w:rsidRPr="00D54166">
        <w:rPr>
          <w:rFonts w:ascii="Arial" w:hAnsi="Arial" w:cs="Arial"/>
          <w:sz w:val="22"/>
          <w:szCs w:val="22"/>
        </w:rPr>
        <w:t xml:space="preserve">. </w:t>
      </w:r>
      <w:r w:rsidR="004F4BD7">
        <w:rPr>
          <w:rFonts w:ascii="Arial" w:hAnsi="Arial" w:cs="Arial"/>
          <w:sz w:val="22"/>
          <w:szCs w:val="22"/>
        </w:rPr>
        <w:t xml:space="preserve"> A </w:t>
      </w:r>
      <w:r w:rsidR="00594A3E" w:rsidRPr="00D54166">
        <w:rPr>
          <w:rFonts w:ascii="Arial" w:hAnsi="Arial" w:cs="Arial"/>
          <w:sz w:val="22"/>
          <w:szCs w:val="22"/>
        </w:rPr>
        <w:t xml:space="preserve">pilot to determine the reliability </w:t>
      </w:r>
      <w:r w:rsidR="00AA66EF" w:rsidRPr="00D54166">
        <w:rPr>
          <w:rFonts w:ascii="Arial" w:hAnsi="Arial" w:cs="Arial"/>
          <w:sz w:val="22"/>
          <w:szCs w:val="22"/>
        </w:rPr>
        <w:t xml:space="preserve">and effectiveness </w:t>
      </w:r>
      <w:r w:rsidR="00594A3E" w:rsidRPr="00D54166">
        <w:rPr>
          <w:rFonts w:ascii="Arial" w:hAnsi="Arial" w:cs="Arial"/>
          <w:sz w:val="22"/>
          <w:szCs w:val="22"/>
        </w:rPr>
        <w:t xml:space="preserve">of using </w:t>
      </w:r>
      <w:r w:rsidR="001632EA">
        <w:rPr>
          <w:rFonts w:ascii="Arial" w:hAnsi="Arial" w:cs="Arial"/>
          <w:sz w:val="22"/>
          <w:szCs w:val="22"/>
        </w:rPr>
        <w:t>AI in</w:t>
      </w:r>
      <w:r w:rsidR="00067BBA" w:rsidRPr="00D54166">
        <w:rPr>
          <w:rFonts w:ascii="Arial" w:hAnsi="Arial" w:cs="Arial"/>
          <w:sz w:val="22"/>
          <w:szCs w:val="22"/>
        </w:rPr>
        <w:t xml:space="preserve"> screening applications</w:t>
      </w:r>
      <w:r w:rsidR="00DF501C">
        <w:rPr>
          <w:rFonts w:ascii="Arial" w:hAnsi="Arial" w:cs="Arial"/>
          <w:sz w:val="22"/>
          <w:szCs w:val="22"/>
        </w:rPr>
        <w:t xml:space="preserve"> at WIPO</w:t>
      </w:r>
      <w:r w:rsidR="00067BBA" w:rsidRPr="00D54166">
        <w:rPr>
          <w:rFonts w:ascii="Arial" w:hAnsi="Arial" w:cs="Arial"/>
          <w:sz w:val="22"/>
          <w:szCs w:val="22"/>
        </w:rPr>
        <w:t xml:space="preserve"> was launched</w:t>
      </w:r>
      <w:r w:rsidR="00594A3E" w:rsidRPr="00D54166">
        <w:rPr>
          <w:rFonts w:ascii="Arial" w:hAnsi="Arial" w:cs="Arial"/>
          <w:sz w:val="22"/>
          <w:szCs w:val="22"/>
        </w:rPr>
        <w:t xml:space="preserve"> in September 2018</w:t>
      </w:r>
      <w:r w:rsidR="004F4BD7">
        <w:rPr>
          <w:rFonts w:ascii="Arial" w:hAnsi="Arial" w:cs="Arial"/>
          <w:sz w:val="22"/>
          <w:szCs w:val="22"/>
        </w:rPr>
        <w:t>.</w:t>
      </w:r>
      <w:r w:rsidR="00AA66EF" w:rsidRPr="00D54166">
        <w:rPr>
          <w:rFonts w:ascii="Arial" w:hAnsi="Arial" w:cs="Arial"/>
          <w:sz w:val="22"/>
          <w:szCs w:val="22"/>
        </w:rPr>
        <w:t xml:space="preserve">  </w:t>
      </w:r>
      <w:r w:rsidR="001632EA">
        <w:rPr>
          <w:rFonts w:ascii="Arial" w:hAnsi="Arial" w:cs="Arial"/>
          <w:sz w:val="22"/>
          <w:szCs w:val="22"/>
        </w:rPr>
        <w:t>The</w:t>
      </w:r>
      <w:r w:rsidR="00AA66EF" w:rsidRPr="00D54166">
        <w:rPr>
          <w:rFonts w:ascii="Arial" w:hAnsi="Arial" w:cs="Arial"/>
          <w:sz w:val="22"/>
          <w:szCs w:val="22"/>
        </w:rPr>
        <w:t xml:space="preserve"> pilot will be extended for a further six months</w:t>
      </w:r>
      <w:r w:rsidR="00067BBA" w:rsidRPr="00D54166">
        <w:rPr>
          <w:rFonts w:ascii="Arial" w:hAnsi="Arial" w:cs="Arial"/>
          <w:sz w:val="22"/>
          <w:szCs w:val="22"/>
        </w:rPr>
        <w:t xml:space="preserve"> in 2019.</w:t>
      </w:r>
      <w:r w:rsidR="00DF501C">
        <w:rPr>
          <w:rFonts w:ascii="Arial" w:hAnsi="Arial" w:cs="Arial"/>
          <w:sz w:val="22"/>
          <w:szCs w:val="22"/>
        </w:rPr>
        <w:t xml:space="preserve">  A </w:t>
      </w:r>
      <w:r w:rsidR="004F4BD7">
        <w:rPr>
          <w:rFonts w:ascii="Arial" w:hAnsi="Arial" w:cs="Arial"/>
          <w:sz w:val="22"/>
          <w:szCs w:val="22"/>
        </w:rPr>
        <w:t>conclusion</w:t>
      </w:r>
      <w:r w:rsidR="00DF501C">
        <w:rPr>
          <w:rFonts w:ascii="Arial" w:hAnsi="Arial" w:cs="Arial"/>
          <w:sz w:val="22"/>
          <w:szCs w:val="22"/>
        </w:rPr>
        <w:t xml:space="preserve"> on the suitability of AI for screening of applications in WIPO is expected in 2020.</w:t>
      </w:r>
    </w:p>
    <w:p w14:paraId="5701F038" w14:textId="6E08C79D" w:rsidR="007B2F09" w:rsidRDefault="007B2F09" w:rsidP="0021112C">
      <w:pPr>
        <w:pStyle w:val="Heading3"/>
        <w:spacing w:after="0"/>
        <w:ind w:left="540"/>
        <w:rPr>
          <w:u w:val="none"/>
        </w:rPr>
      </w:pPr>
      <w:r w:rsidRPr="00695BAD">
        <w:rPr>
          <w:u w:val="none"/>
        </w:rPr>
        <w:t>STAFF PERFORMANCE</w:t>
      </w:r>
    </w:p>
    <w:p w14:paraId="61DED250" w14:textId="77777777" w:rsidR="0021112C" w:rsidRPr="0021112C" w:rsidRDefault="0021112C" w:rsidP="0021112C"/>
    <w:p w14:paraId="00697049" w14:textId="2857ED31" w:rsidR="007B2F09" w:rsidRPr="00EA4188" w:rsidRDefault="00056DC7" w:rsidP="007B2F09">
      <w:pPr>
        <w:pStyle w:val="ListParagraph"/>
        <w:numPr>
          <w:ilvl w:val="0"/>
          <w:numId w:val="21"/>
        </w:numPr>
        <w:ind w:left="0" w:firstLine="0"/>
        <w:rPr>
          <w:rFonts w:ascii="Arial" w:hAnsi="Arial" w:cs="Arial"/>
          <w:sz w:val="22"/>
          <w:szCs w:val="22"/>
        </w:rPr>
      </w:pPr>
      <w:r>
        <w:rPr>
          <w:rFonts w:ascii="Arial" w:hAnsi="Arial" w:cs="Arial"/>
          <w:sz w:val="22"/>
          <w:szCs w:val="22"/>
        </w:rPr>
        <w:t>WIPO</w:t>
      </w:r>
      <w:r w:rsidR="007B2F09" w:rsidRPr="007B2F09">
        <w:rPr>
          <w:rFonts w:ascii="Arial" w:hAnsi="Arial" w:cs="Arial"/>
          <w:sz w:val="22"/>
          <w:szCs w:val="22"/>
        </w:rPr>
        <w:t xml:space="preserve"> staff </w:t>
      </w:r>
      <w:r w:rsidR="007B2F09" w:rsidRPr="00EA4188">
        <w:rPr>
          <w:rFonts w:ascii="Arial" w:hAnsi="Arial" w:cs="Arial"/>
          <w:sz w:val="22"/>
          <w:szCs w:val="22"/>
        </w:rPr>
        <w:t xml:space="preserve">continues to be </w:t>
      </w:r>
      <w:r w:rsidR="00851CF1" w:rsidRPr="00EA4188">
        <w:rPr>
          <w:rFonts w:ascii="Arial" w:hAnsi="Arial" w:cs="Arial"/>
          <w:sz w:val="22"/>
          <w:szCs w:val="22"/>
        </w:rPr>
        <w:t>high performing</w:t>
      </w:r>
      <w:r w:rsidR="007B2F09" w:rsidRPr="00EA4188">
        <w:rPr>
          <w:rFonts w:ascii="Arial" w:hAnsi="Arial" w:cs="Arial"/>
          <w:sz w:val="22"/>
          <w:szCs w:val="22"/>
        </w:rPr>
        <w:t xml:space="preserve">, which reflects WIPO’s overall performance </w:t>
      </w:r>
      <w:r w:rsidR="004F4BD7" w:rsidRPr="00EA4188">
        <w:rPr>
          <w:rFonts w:ascii="Arial" w:hAnsi="Arial" w:cs="Arial"/>
          <w:sz w:val="22"/>
          <w:szCs w:val="22"/>
        </w:rPr>
        <w:t xml:space="preserve">and results </w:t>
      </w:r>
      <w:r w:rsidR="007B2F09" w:rsidRPr="00EA4188">
        <w:rPr>
          <w:rFonts w:ascii="Arial" w:hAnsi="Arial" w:cs="Arial"/>
          <w:sz w:val="22"/>
          <w:szCs w:val="22"/>
        </w:rPr>
        <w:t xml:space="preserve">as an organization. </w:t>
      </w:r>
      <w:r w:rsidR="00DF501C" w:rsidRPr="00EA4188">
        <w:rPr>
          <w:rFonts w:ascii="Arial" w:hAnsi="Arial" w:cs="Arial"/>
          <w:sz w:val="22"/>
          <w:szCs w:val="22"/>
        </w:rPr>
        <w:t xml:space="preserve"> </w:t>
      </w:r>
      <w:r w:rsidR="007B2F09" w:rsidRPr="00EA4188">
        <w:rPr>
          <w:rFonts w:ascii="Arial" w:hAnsi="Arial" w:cs="Arial"/>
          <w:sz w:val="22"/>
          <w:szCs w:val="22"/>
        </w:rPr>
        <w:t>As shown by data for the 2018 PMSDS cycle (</w:t>
      </w:r>
      <w:r w:rsidR="00DF501C" w:rsidRPr="00EA4188">
        <w:rPr>
          <w:rFonts w:ascii="Arial" w:hAnsi="Arial" w:cs="Arial"/>
          <w:sz w:val="22"/>
          <w:szCs w:val="22"/>
        </w:rPr>
        <w:t>T</w:t>
      </w:r>
      <w:r w:rsidR="007B2F09" w:rsidRPr="00EA4188">
        <w:rPr>
          <w:rFonts w:ascii="Arial" w:hAnsi="Arial" w:cs="Arial"/>
          <w:sz w:val="22"/>
          <w:szCs w:val="22"/>
        </w:rPr>
        <w:t xml:space="preserve">able </w:t>
      </w:r>
      <w:r w:rsidR="00292A53" w:rsidRPr="00EA4188">
        <w:rPr>
          <w:rFonts w:ascii="Arial" w:hAnsi="Arial" w:cs="Arial"/>
          <w:sz w:val="22"/>
          <w:szCs w:val="22"/>
        </w:rPr>
        <w:t>24</w:t>
      </w:r>
      <w:r w:rsidR="007B2F09" w:rsidRPr="00EA4188">
        <w:rPr>
          <w:rFonts w:ascii="Arial" w:hAnsi="Arial" w:cs="Arial"/>
          <w:sz w:val="22"/>
          <w:szCs w:val="22"/>
        </w:rPr>
        <w:t xml:space="preserve">), a large majority </w:t>
      </w:r>
      <w:r w:rsidR="00DF501C" w:rsidRPr="00EA4188">
        <w:rPr>
          <w:rFonts w:ascii="Arial" w:hAnsi="Arial" w:cs="Arial"/>
          <w:sz w:val="22"/>
          <w:szCs w:val="22"/>
        </w:rPr>
        <w:t xml:space="preserve">of staff members </w:t>
      </w:r>
      <w:r w:rsidR="001F7A1B" w:rsidRPr="00EA4188">
        <w:rPr>
          <w:rFonts w:ascii="Arial" w:hAnsi="Arial" w:cs="Arial"/>
          <w:sz w:val="22"/>
          <w:szCs w:val="22"/>
        </w:rPr>
        <w:t>(</w:t>
      </w:r>
      <w:r w:rsidR="00410B3B">
        <w:rPr>
          <w:rFonts w:ascii="Arial" w:hAnsi="Arial" w:cs="Arial"/>
          <w:sz w:val="22"/>
          <w:szCs w:val="22"/>
        </w:rPr>
        <w:t>74.6</w:t>
      </w:r>
      <w:r w:rsidR="007B2F09" w:rsidRPr="00EA4188">
        <w:rPr>
          <w:rFonts w:ascii="Arial" w:hAnsi="Arial" w:cs="Arial"/>
          <w:sz w:val="22"/>
          <w:szCs w:val="22"/>
        </w:rPr>
        <w:t xml:space="preserve"> per cent) </w:t>
      </w:r>
      <w:r w:rsidR="00DF501C" w:rsidRPr="00EA4188">
        <w:rPr>
          <w:rFonts w:ascii="Arial" w:hAnsi="Arial" w:cs="Arial"/>
          <w:sz w:val="22"/>
          <w:szCs w:val="22"/>
        </w:rPr>
        <w:t>were</w:t>
      </w:r>
      <w:r w:rsidR="007B2F09" w:rsidRPr="00EA4188">
        <w:rPr>
          <w:rFonts w:ascii="Arial" w:hAnsi="Arial" w:cs="Arial"/>
          <w:sz w:val="22"/>
          <w:szCs w:val="22"/>
        </w:rPr>
        <w:t xml:space="preserve"> rated by their supervisors as effective performers </w:t>
      </w:r>
      <w:r w:rsidRPr="00EA4188">
        <w:rPr>
          <w:rFonts w:ascii="Arial" w:hAnsi="Arial" w:cs="Arial"/>
          <w:sz w:val="22"/>
          <w:szCs w:val="22"/>
        </w:rPr>
        <w:t>and</w:t>
      </w:r>
      <w:r w:rsidR="008F7019" w:rsidRPr="00EA4188">
        <w:rPr>
          <w:rFonts w:ascii="Arial" w:hAnsi="Arial" w:cs="Arial"/>
          <w:sz w:val="22"/>
          <w:szCs w:val="22"/>
        </w:rPr>
        <w:t xml:space="preserve"> </w:t>
      </w:r>
      <w:r w:rsidR="00562EA3" w:rsidRPr="00EA4188">
        <w:rPr>
          <w:rFonts w:ascii="Arial" w:hAnsi="Arial" w:cs="Arial"/>
          <w:sz w:val="22"/>
          <w:szCs w:val="22"/>
        </w:rPr>
        <w:t xml:space="preserve">nearly </w:t>
      </w:r>
      <w:r w:rsidR="007B2F09" w:rsidRPr="00EA4188">
        <w:rPr>
          <w:rFonts w:ascii="Arial" w:hAnsi="Arial" w:cs="Arial"/>
          <w:sz w:val="22"/>
          <w:szCs w:val="22"/>
        </w:rPr>
        <w:t>one-fifth (</w:t>
      </w:r>
      <w:r w:rsidR="00292A53" w:rsidRPr="00EA4188">
        <w:rPr>
          <w:rFonts w:ascii="Arial" w:hAnsi="Arial" w:cs="Arial"/>
          <w:sz w:val="22"/>
          <w:szCs w:val="22"/>
        </w:rPr>
        <w:t>18</w:t>
      </w:r>
      <w:r w:rsidR="00410B3B">
        <w:rPr>
          <w:rFonts w:ascii="Arial" w:hAnsi="Arial" w:cs="Arial"/>
          <w:sz w:val="22"/>
          <w:szCs w:val="22"/>
        </w:rPr>
        <w:t>.</w:t>
      </w:r>
      <w:r w:rsidR="00E3762B">
        <w:rPr>
          <w:rFonts w:ascii="Arial" w:hAnsi="Arial" w:cs="Arial"/>
          <w:sz w:val="22"/>
          <w:szCs w:val="22"/>
        </w:rPr>
        <w:t>4</w:t>
      </w:r>
      <w:r w:rsidRPr="00EA4188">
        <w:rPr>
          <w:rFonts w:ascii="Arial" w:hAnsi="Arial" w:cs="Arial"/>
          <w:sz w:val="22"/>
          <w:szCs w:val="22"/>
        </w:rPr>
        <w:t xml:space="preserve"> per cent) received</w:t>
      </w:r>
      <w:r w:rsidR="007B2F09" w:rsidRPr="00EA4188">
        <w:rPr>
          <w:rFonts w:ascii="Arial" w:hAnsi="Arial" w:cs="Arial"/>
          <w:sz w:val="22"/>
          <w:szCs w:val="22"/>
        </w:rPr>
        <w:t xml:space="preserve"> a rating of “Outstanding”. </w:t>
      </w:r>
      <w:r w:rsidR="00DF501C" w:rsidRPr="00EA4188">
        <w:rPr>
          <w:rFonts w:ascii="Arial" w:hAnsi="Arial" w:cs="Arial"/>
          <w:sz w:val="22"/>
          <w:szCs w:val="22"/>
        </w:rPr>
        <w:t xml:space="preserve"> </w:t>
      </w:r>
      <w:r w:rsidR="004F4BD7" w:rsidRPr="00EA4188">
        <w:rPr>
          <w:rFonts w:ascii="Arial" w:hAnsi="Arial" w:cs="Arial"/>
          <w:sz w:val="22"/>
          <w:szCs w:val="22"/>
        </w:rPr>
        <w:t>Only v</w:t>
      </w:r>
      <w:r w:rsidR="007B2F09" w:rsidRPr="00EA4188">
        <w:rPr>
          <w:rFonts w:ascii="Arial" w:hAnsi="Arial" w:cs="Arial"/>
          <w:sz w:val="22"/>
          <w:szCs w:val="22"/>
        </w:rPr>
        <w:t xml:space="preserve">ery few staff </w:t>
      </w:r>
      <w:r w:rsidR="00CC23E0" w:rsidRPr="00EA4188">
        <w:rPr>
          <w:rFonts w:ascii="Arial" w:hAnsi="Arial" w:cs="Arial"/>
          <w:sz w:val="22"/>
          <w:szCs w:val="22"/>
        </w:rPr>
        <w:t xml:space="preserve">members </w:t>
      </w:r>
      <w:r w:rsidR="007B2F09" w:rsidRPr="00EA4188">
        <w:rPr>
          <w:rFonts w:ascii="Arial" w:hAnsi="Arial" w:cs="Arial"/>
          <w:sz w:val="22"/>
          <w:szCs w:val="22"/>
        </w:rPr>
        <w:t xml:space="preserve">were rated </w:t>
      </w:r>
      <w:r w:rsidR="001F7A1B" w:rsidRPr="00EA4188">
        <w:rPr>
          <w:rFonts w:ascii="Arial" w:hAnsi="Arial" w:cs="Arial"/>
          <w:sz w:val="22"/>
          <w:szCs w:val="22"/>
        </w:rPr>
        <w:t xml:space="preserve">as </w:t>
      </w:r>
      <w:r w:rsidR="00562EA3" w:rsidRPr="00EA4188">
        <w:rPr>
          <w:rFonts w:ascii="Arial" w:hAnsi="Arial" w:cs="Arial"/>
          <w:sz w:val="22"/>
          <w:szCs w:val="22"/>
        </w:rPr>
        <w:t>underperformers (a low of 0.</w:t>
      </w:r>
      <w:r w:rsidR="00292A53" w:rsidRPr="00EA4188">
        <w:rPr>
          <w:rFonts w:ascii="Arial" w:hAnsi="Arial" w:cs="Arial"/>
          <w:sz w:val="22"/>
          <w:szCs w:val="22"/>
        </w:rPr>
        <w:t>2</w:t>
      </w:r>
      <w:r w:rsidR="007B2F09" w:rsidRPr="00EA4188">
        <w:rPr>
          <w:rFonts w:ascii="Arial" w:hAnsi="Arial" w:cs="Arial"/>
          <w:sz w:val="22"/>
          <w:szCs w:val="22"/>
        </w:rPr>
        <w:t xml:space="preserve"> per cent)</w:t>
      </w:r>
      <w:r w:rsidR="004F4BD7" w:rsidRPr="00EA4188">
        <w:rPr>
          <w:rFonts w:ascii="Arial" w:hAnsi="Arial" w:cs="Arial"/>
          <w:sz w:val="22"/>
          <w:szCs w:val="22"/>
        </w:rPr>
        <w:t xml:space="preserve"> which requires further follow up with managers</w:t>
      </w:r>
      <w:r w:rsidR="007B2F09" w:rsidRPr="00EA4188">
        <w:rPr>
          <w:rFonts w:ascii="Arial" w:hAnsi="Arial" w:cs="Arial"/>
          <w:sz w:val="22"/>
          <w:szCs w:val="22"/>
        </w:rPr>
        <w:t>.</w:t>
      </w:r>
      <w:r w:rsidR="00562EA3" w:rsidRPr="00EA4188">
        <w:rPr>
          <w:rFonts w:ascii="Arial" w:hAnsi="Arial" w:cs="Arial"/>
          <w:sz w:val="22"/>
          <w:szCs w:val="22"/>
        </w:rPr>
        <w:t xml:space="preserve">  A small number of eval</w:t>
      </w:r>
      <w:r w:rsidR="00292A53" w:rsidRPr="00EA4188">
        <w:rPr>
          <w:rFonts w:ascii="Arial" w:hAnsi="Arial" w:cs="Arial"/>
          <w:sz w:val="22"/>
          <w:szCs w:val="22"/>
        </w:rPr>
        <w:t xml:space="preserve">uations were not completed </w:t>
      </w:r>
      <w:r w:rsidR="00ED656C">
        <w:rPr>
          <w:rFonts w:ascii="Arial" w:hAnsi="Arial" w:cs="Arial"/>
          <w:sz w:val="22"/>
          <w:szCs w:val="22"/>
        </w:rPr>
        <w:br/>
      </w:r>
      <w:r w:rsidR="00292A53" w:rsidRPr="00EA4188">
        <w:rPr>
          <w:rFonts w:ascii="Arial" w:hAnsi="Arial" w:cs="Arial"/>
          <w:sz w:val="22"/>
          <w:szCs w:val="22"/>
        </w:rPr>
        <w:t>(</w:t>
      </w:r>
      <w:r w:rsidR="00410B3B">
        <w:rPr>
          <w:rFonts w:ascii="Arial" w:hAnsi="Arial" w:cs="Arial"/>
          <w:sz w:val="22"/>
          <w:szCs w:val="22"/>
        </w:rPr>
        <w:t>3.3</w:t>
      </w:r>
      <w:r w:rsidR="00562EA3" w:rsidRPr="00EA4188">
        <w:rPr>
          <w:rFonts w:ascii="Arial" w:hAnsi="Arial" w:cs="Arial"/>
          <w:sz w:val="22"/>
          <w:szCs w:val="22"/>
        </w:rPr>
        <w:t xml:space="preserve"> per cent) or </w:t>
      </w:r>
      <w:r w:rsidR="00853A3E">
        <w:rPr>
          <w:rFonts w:ascii="Arial" w:hAnsi="Arial" w:cs="Arial"/>
          <w:sz w:val="22"/>
          <w:szCs w:val="22"/>
        </w:rPr>
        <w:t>the evaluation process</w:t>
      </w:r>
      <w:r w:rsidR="00A80B25">
        <w:rPr>
          <w:rFonts w:ascii="Arial" w:hAnsi="Arial" w:cs="Arial"/>
          <w:sz w:val="22"/>
          <w:szCs w:val="22"/>
        </w:rPr>
        <w:t xml:space="preserve"> </w:t>
      </w:r>
      <w:r w:rsidR="00562EA3" w:rsidRPr="00EA4188">
        <w:rPr>
          <w:rFonts w:ascii="Arial" w:hAnsi="Arial" w:cs="Arial"/>
          <w:sz w:val="22"/>
          <w:szCs w:val="22"/>
        </w:rPr>
        <w:t>cancelle</w:t>
      </w:r>
      <w:r w:rsidR="00292A53" w:rsidRPr="00EA4188">
        <w:rPr>
          <w:rFonts w:ascii="Arial" w:hAnsi="Arial" w:cs="Arial"/>
          <w:sz w:val="22"/>
          <w:szCs w:val="22"/>
        </w:rPr>
        <w:t>d (3</w:t>
      </w:r>
      <w:r w:rsidR="00410B3B">
        <w:rPr>
          <w:rFonts w:ascii="Arial" w:hAnsi="Arial" w:cs="Arial"/>
          <w:sz w:val="22"/>
          <w:szCs w:val="22"/>
        </w:rPr>
        <w:t>.6</w:t>
      </w:r>
      <w:r w:rsidR="00562EA3" w:rsidRPr="00EA4188">
        <w:rPr>
          <w:rFonts w:ascii="Arial" w:hAnsi="Arial" w:cs="Arial"/>
          <w:sz w:val="22"/>
          <w:szCs w:val="22"/>
        </w:rPr>
        <w:t xml:space="preserve"> per cent), </w:t>
      </w:r>
      <w:r w:rsidR="004F4BD7" w:rsidRPr="00EA4188">
        <w:rPr>
          <w:rFonts w:ascii="Arial" w:hAnsi="Arial" w:cs="Arial"/>
          <w:sz w:val="22"/>
          <w:szCs w:val="22"/>
        </w:rPr>
        <w:t>for administrative reasons.</w:t>
      </w:r>
    </w:p>
    <w:p w14:paraId="2EB957B8" w14:textId="305EBBF0" w:rsidR="007B2F09" w:rsidRDefault="007B2F09" w:rsidP="0021112C">
      <w:pPr>
        <w:pStyle w:val="Heading3"/>
        <w:spacing w:after="0"/>
        <w:ind w:left="540"/>
        <w:rPr>
          <w:u w:val="none"/>
        </w:rPr>
      </w:pPr>
      <w:r w:rsidRPr="00695BAD">
        <w:rPr>
          <w:u w:val="none"/>
        </w:rPr>
        <w:t>STAFF DEVELOPMENT AND LEARNING</w:t>
      </w:r>
    </w:p>
    <w:p w14:paraId="3D5CB9BC" w14:textId="77777777" w:rsidR="0021112C" w:rsidRPr="0021112C" w:rsidRDefault="0021112C" w:rsidP="0021112C"/>
    <w:p w14:paraId="1766EE96" w14:textId="6E876BBF" w:rsidR="007B2F09" w:rsidRDefault="007B2F09" w:rsidP="00F744EF">
      <w:pPr>
        <w:pStyle w:val="ListParagraph"/>
        <w:numPr>
          <w:ilvl w:val="0"/>
          <w:numId w:val="21"/>
        </w:numPr>
        <w:ind w:left="0" w:firstLine="0"/>
        <w:rPr>
          <w:rFonts w:ascii="Arial" w:hAnsi="Arial" w:cs="Arial"/>
          <w:sz w:val="22"/>
          <w:szCs w:val="22"/>
        </w:rPr>
      </w:pPr>
      <w:r w:rsidRPr="00F744EF">
        <w:rPr>
          <w:rFonts w:ascii="Arial" w:hAnsi="Arial" w:cs="Arial"/>
          <w:sz w:val="22"/>
          <w:szCs w:val="22"/>
        </w:rPr>
        <w:t xml:space="preserve">Since its introduction in early 2018, the Enterprise Learning Management (ELM) system has </w:t>
      </w:r>
      <w:r w:rsidR="00A5252B">
        <w:rPr>
          <w:rFonts w:ascii="Arial" w:hAnsi="Arial" w:cs="Arial"/>
          <w:sz w:val="22"/>
          <w:szCs w:val="22"/>
        </w:rPr>
        <w:t>served as the</w:t>
      </w:r>
      <w:r w:rsidRPr="00F744EF">
        <w:rPr>
          <w:rFonts w:ascii="Arial" w:hAnsi="Arial" w:cs="Arial"/>
          <w:sz w:val="22"/>
          <w:szCs w:val="22"/>
        </w:rPr>
        <w:t xml:space="preserve"> online platform for enrolment </w:t>
      </w:r>
      <w:r w:rsidR="008F7019">
        <w:rPr>
          <w:rFonts w:ascii="Arial" w:hAnsi="Arial" w:cs="Arial"/>
          <w:sz w:val="22"/>
          <w:szCs w:val="22"/>
        </w:rPr>
        <w:t>in</w:t>
      </w:r>
      <w:r w:rsidR="008F7019" w:rsidRPr="00F744EF">
        <w:rPr>
          <w:rFonts w:ascii="Arial" w:hAnsi="Arial" w:cs="Arial"/>
          <w:sz w:val="22"/>
          <w:szCs w:val="22"/>
        </w:rPr>
        <w:t xml:space="preserve"> </w:t>
      </w:r>
      <w:r w:rsidRPr="00F744EF">
        <w:rPr>
          <w:rFonts w:ascii="Arial" w:hAnsi="Arial" w:cs="Arial"/>
          <w:sz w:val="22"/>
          <w:szCs w:val="22"/>
        </w:rPr>
        <w:t xml:space="preserve">training programs and access to content, </w:t>
      </w:r>
      <w:r w:rsidR="001C03B4">
        <w:rPr>
          <w:rFonts w:ascii="Arial" w:hAnsi="Arial" w:cs="Arial"/>
          <w:sz w:val="22"/>
          <w:szCs w:val="22"/>
        </w:rPr>
        <w:t>covering both</w:t>
      </w:r>
      <w:r w:rsidRPr="00F744EF">
        <w:rPr>
          <w:rFonts w:ascii="Arial" w:hAnsi="Arial" w:cs="Arial"/>
          <w:sz w:val="22"/>
          <w:szCs w:val="22"/>
        </w:rPr>
        <w:t xml:space="preserve"> classroom courses </w:t>
      </w:r>
      <w:r w:rsidR="001C03B4">
        <w:rPr>
          <w:rFonts w:ascii="Arial" w:hAnsi="Arial" w:cs="Arial"/>
          <w:sz w:val="22"/>
          <w:szCs w:val="22"/>
        </w:rPr>
        <w:t>and</w:t>
      </w:r>
      <w:r w:rsidRPr="00F744EF">
        <w:rPr>
          <w:rFonts w:ascii="Arial" w:hAnsi="Arial" w:cs="Arial"/>
          <w:sz w:val="22"/>
          <w:szCs w:val="22"/>
        </w:rPr>
        <w:t xml:space="preserve"> self-paced learning activities.  </w:t>
      </w:r>
      <w:r w:rsidR="004D432C">
        <w:rPr>
          <w:rFonts w:ascii="Arial" w:hAnsi="Arial" w:cs="Arial"/>
          <w:sz w:val="22"/>
          <w:szCs w:val="22"/>
        </w:rPr>
        <w:t>It has the useful functionality of tracking the completion of training programs.  With the introduction of the ELM, the training categories were redefined, in particular the two separate categories on Management and Communication.</w:t>
      </w:r>
    </w:p>
    <w:p w14:paraId="62DBA192" w14:textId="77777777" w:rsidR="00F744EF" w:rsidRDefault="00F744EF" w:rsidP="00F744EF">
      <w:pPr>
        <w:pStyle w:val="ListParagraph"/>
        <w:ind w:left="0"/>
        <w:rPr>
          <w:rFonts w:ascii="Arial" w:hAnsi="Arial" w:cs="Arial"/>
          <w:sz w:val="22"/>
          <w:szCs w:val="22"/>
        </w:rPr>
      </w:pPr>
    </w:p>
    <w:p w14:paraId="1ED236E8" w14:textId="540F1318" w:rsidR="007B2F09" w:rsidRPr="00A32901" w:rsidRDefault="00C91120" w:rsidP="007B2F09">
      <w:pPr>
        <w:pStyle w:val="ListParagraph"/>
        <w:numPr>
          <w:ilvl w:val="0"/>
          <w:numId w:val="21"/>
        </w:numPr>
        <w:ind w:left="0" w:firstLine="0"/>
        <w:rPr>
          <w:rFonts w:ascii="Arial" w:hAnsi="Arial" w:cs="Arial"/>
          <w:sz w:val="22"/>
          <w:szCs w:val="22"/>
        </w:rPr>
      </w:pPr>
      <w:r>
        <w:rPr>
          <w:rFonts w:ascii="Arial" w:hAnsi="Arial" w:cs="Arial"/>
          <w:sz w:val="22"/>
          <w:szCs w:val="22"/>
        </w:rPr>
        <w:t>In addition to</w:t>
      </w:r>
      <w:r w:rsidR="007B2F09" w:rsidRPr="00A32901">
        <w:rPr>
          <w:rFonts w:ascii="Arial" w:hAnsi="Arial" w:cs="Arial"/>
          <w:sz w:val="22"/>
          <w:szCs w:val="22"/>
        </w:rPr>
        <w:t xml:space="preserve"> the regular training programs in languages, communication, management, IT and registration systems, new courses were offered in 2018-2019, keeping learning opportunities interesting and current</w:t>
      </w:r>
      <w:r>
        <w:rPr>
          <w:rFonts w:ascii="Arial" w:hAnsi="Arial" w:cs="Arial"/>
          <w:sz w:val="22"/>
          <w:szCs w:val="22"/>
        </w:rPr>
        <w:t xml:space="preserve">.  </w:t>
      </w:r>
      <w:r w:rsidR="00056DC7">
        <w:rPr>
          <w:rFonts w:ascii="Arial" w:hAnsi="Arial" w:cs="Arial"/>
          <w:sz w:val="22"/>
          <w:szCs w:val="22"/>
        </w:rPr>
        <w:t>Notably, a series of workshops on change management held at the end of 2018 prepare</w:t>
      </w:r>
      <w:r w:rsidR="006A4DE1">
        <w:rPr>
          <w:rFonts w:ascii="Arial" w:hAnsi="Arial" w:cs="Arial"/>
          <w:sz w:val="22"/>
          <w:szCs w:val="22"/>
        </w:rPr>
        <w:t>d</w:t>
      </w:r>
      <w:r w:rsidR="00056DC7">
        <w:rPr>
          <w:rFonts w:ascii="Arial" w:hAnsi="Arial" w:cs="Arial"/>
          <w:sz w:val="22"/>
          <w:szCs w:val="22"/>
        </w:rPr>
        <w:t xml:space="preserve"> managers for the new time </w:t>
      </w:r>
      <w:r w:rsidR="00AD689C">
        <w:rPr>
          <w:rFonts w:ascii="Arial" w:hAnsi="Arial" w:cs="Arial"/>
          <w:sz w:val="22"/>
          <w:szCs w:val="22"/>
        </w:rPr>
        <w:t>management system (see para</w:t>
      </w:r>
      <w:r w:rsidR="006A4DE1">
        <w:rPr>
          <w:rFonts w:ascii="Arial" w:hAnsi="Arial" w:cs="Arial"/>
          <w:sz w:val="22"/>
          <w:szCs w:val="22"/>
        </w:rPr>
        <w:t>graphs</w:t>
      </w:r>
      <w:r w:rsidR="00AD689C" w:rsidRPr="00066E7A">
        <w:rPr>
          <w:rFonts w:ascii="Arial" w:hAnsi="Arial" w:cs="Arial"/>
          <w:sz w:val="22"/>
          <w:szCs w:val="22"/>
        </w:rPr>
        <w:t xml:space="preserve"> 7</w:t>
      </w:r>
      <w:r w:rsidR="0046608C">
        <w:rPr>
          <w:rFonts w:ascii="Arial" w:hAnsi="Arial" w:cs="Arial"/>
          <w:sz w:val="22"/>
          <w:szCs w:val="22"/>
        </w:rPr>
        <w:t>1</w:t>
      </w:r>
      <w:r w:rsidR="008B73D3">
        <w:rPr>
          <w:rFonts w:ascii="Arial" w:hAnsi="Arial" w:cs="Arial"/>
          <w:sz w:val="22"/>
          <w:szCs w:val="22"/>
        </w:rPr>
        <w:t xml:space="preserve"> and </w:t>
      </w:r>
      <w:r w:rsidR="00AD689C" w:rsidRPr="00066E7A">
        <w:rPr>
          <w:rFonts w:ascii="Arial" w:hAnsi="Arial" w:cs="Arial"/>
          <w:sz w:val="22"/>
          <w:szCs w:val="22"/>
        </w:rPr>
        <w:t>7</w:t>
      </w:r>
      <w:r w:rsidR="0046608C">
        <w:rPr>
          <w:rFonts w:ascii="Arial" w:hAnsi="Arial" w:cs="Arial"/>
          <w:sz w:val="22"/>
          <w:szCs w:val="22"/>
        </w:rPr>
        <w:t>2</w:t>
      </w:r>
      <w:r w:rsidR="00056DC7" w:rsidRPr="00066E7A">
        <w:rPr>
          <w:rFonts w:ascii="Arial" w:hAnsi="Arial" w:cs="Arial"/>
          <w:sz w:val="22"/>
          <w:szCs w:val="22"/>
        </w:rPr>
        <w:t>)</w:t>
      </w:r>
      <w:r w:rsidR="001A42CF" w:rsidRPr="00066E7A">
        <w:rPr>
          <w:rFonts w:ascii="Arial" w:hAnsi="Arial" w:cs="Arial"/>
          <w:sz w:val="22"/>
          <w:szCs w:val="22"/>
        </w:rPr>
        <w:t>, which</w:t>
      </w:r>
      <w:r w:rsidR="001A42CF">
        <w:rPr>
          <w:rFonts w:ascii="Arial" w:hAnsi="Arial" w:cs="Arial"/>
          <w:sz w:val="22"/>
          <w:szCs w:val="22"/>
        </w:rPr>
        <w:t xml:space="preserve"> </w:t>
      </w:r>
      <w:r w:rsidR="004D432C">
        <w:rPr>
          <w:rFonts w:ascii="Arial" w:hAnsi="Arial" w:cs="Arial"/>
          <w:sz w:val="22"/>
          <w:szCs w:val="22"/>
        </w:rPr>
        <w:t>significantly increased</w:t>
      </w:r>
      <w:r w:rsidR="001A42CF">
        <w:rPr>
          <w:rFonts w:ascii="Arial" w:hAnsi="Arial" w:cs="Arial"/>
          <w:sz w:val="22"/>
          <w:szCs w:val="22"/>
        </w:rPr>
        <w:t xml:space="preserve"> the </w:t>
      </w:r>
      <w:r w:rsidR="00CB67B8">
        <w:rPr>
          <w:rFonts w:ascii="Arial" w:hAnsi="Arial" w:cs="Arial"/>
          <w:sz w:val="22"/>
          <w:szCs w:val="22"/>
        </w:rPr>
        <w:t xml:space="preserve">year’s total </w:t>
      </w:r>
      <w:r w:rsidR="001A42CF">
        <w:rPr>
          <w:rFonts w:ascii="Arial" w:hAnsi="Arial" w:cs="Arial"/>
          <w:sz w:val="22"/>
          <w:szCs w:val="22"/>
        </w:rPr>
        <w:t xml:space="preserve">training days devoted to </w:t>
      </w:r>
      <w:r w:rsidR="00E91652">
        <w:rPr>
          <w:rFonts w:ascii="Arial" w:hAnsi="Arial" w:cs="Arial"/>
          <w:sz w:val="22"/>
          <w:szCs w:val="22"/>
        </w:rPr>
        <w:t>enhancing</w:t>
      </w:r>
      <w:r w:rsidR="001A42CF">
        <w:rPr>
          <w:rFonts w:ascii="Arial" w:hAnsi="Arial" w:cs="Arial"/>
          <w:sz w:val="22"/>
          <w:szCs w:val="22"/>
        </w:rPr>
        <w:t xml:space="preserve"> </w:t>
      </w:r>
      <w:r w:rsidR="00CB67B8">
        <w:rPr>
          <w:rFonts w:ascii="Arial" w:hAnsi="Arial" w:cs="Arial"/>
          <w:sz w:val="22"/>
          <w:szCs w:val="22"/>
        </w:rPr>
        <w:t>management skills,</w:t>
      </w:r>
      <w:r w:rsidR="001A42CF">
        <w:rPr>
          <w:rFonts w:ascii="Arial" w:hAnsi="Arial" w:cs="Arial"/>
          <w:sz w:val="22"/>
          <w:szCs w:val="22"/>
        </w:rPr>
        <w:t xml:space="preserve"> compared with 2017</w:t>
      </w:r>
      <w:r w:rsidR="00056DC7">
        <w:rPr>
          <w:rFonts w:ascii="Arial" w:hAnsi="Arial" w:cs="Arial"/>
          <w:sz w:val="22"/>
          <w:szCs w:val="22"/>
        </w:rPr>
        <w:t>.</w:t>
      </w:r>
      <w:r w:rsidR="001A42CF">
        <w:rPr>
          <w:rStyle w:val="FootnoteReference"/>
          <w:rFonts w:ascii="Arial" w:hAnsi="Arial" w:cs="Arial"/>
          <w:sz w:val="22"/>
          <w:szCs w:val="22"/>
        </w:rPr>
        <w:footnoteReference w:id="26"/>
      </w:r>
      <w:r w:rsidR="00056DC7">
        <w:rPr>
          <w:rFonts w:ascii="Arial" w:hAnsi="Arial" w:cs="Arial"/>
          <w:sz w:val="22"/>
          <w:szCs w:val="22"/>
        </w:rPr>
        <w:t xml:space="preserve">  </w:t>
      </w:r>
      <w:r w:rsidR="00F0344F">
        <w:rPr>
          <w:rFonts w:ascii="Arial" w:hAnsi="Arial" w:cs="Arial"/>
          <w:sz w:val="22"/>
          <w:szCs w:val="22"/>
        </w:rPr>
        <w:t>The workshops contributed to the smooth deployment of the system and a broad buy-in from managers and staff alike of new flexible working arrangements.</w:t>
      </w:r>
    </w:p>
    <w:p w14:paraId="01912618" w14:textId="77777777" w:rsidR="00F744EF" w:rsidRPr="00A32901" w:rsidRDefault="00F744EF" w:rsidP="00F744EF">
      <w:pPr>
        <w:pStyle w:val="ListParagraph"/>
        <w:rPr>
          <w:rFonts w:ascii="Arial" w:hAnsi="Arial" w:cs="Arial"/>
          <w:sz w:val="22"/>
          <w:szCs w:val="22"/>
        </w:rPr>
      </w:pPr>
    </w:p>
    <w:p w14:paraId="386F28F5" w14:textId="6CE42509" w:rsidR="007B2F09" w:rsidRDefault="007B2F09" w:rsidP="00F744EF">
      <w:pPr>
        <w:pStyle w:val="ListParagraph"/>
        <w:numPr>
          <w:ilvl w:val="0"/>
          <w:numId w:val="21"/>
        </w:numPr>
        <w:ind w:left="0" w:firstLine="0"/>
        <w:rPr>
          <w:rFonts w:ascii="Arial" w:hAnsi="Arial" w:cs="Arial"/>
          <w:sz w:val="22"/>
          <w:szCs w:val="22"/>
        </w:rPr>
      </w:pPr>
      <w:r w:rsidRPr="00A32901">
        <w:rPr>
          <w:rFonts w:ascii="Arial" w:hAnsi="Arial" w:cs="Arial"/>
          <w:sz w:val="22"/>
          <w:szCs w:val="22"/>
        </w:rPr>
        <w:t xml:space="preserve">During the International Coaching Week, WIPO organized for the first time a “Coaching Day” </w:t>
      </w:r>
      <w:r w:rsidRPr="00E46413">
        <w:rPr>
          <w:rFonts w:ascii="Arial" w:hAnsi="Arial" w:cs="Arial"/>
          <w:sz w:val="22"/>
          <w:szCs w:val="22"/>
        </w:rPr>
        <w:t>on April 30, 2019 with a variety of short coaching session</w:t>
      </w:r>
      <w:r w:rsidR="00B26E67">
        <w:rPr>
          <w:rFonts w:ascii="Arial" w:hAnsi="Arial" w:cs="Arial"/>
          <w:sz w:val="22"/>
          <w:szCs w:val="22"/>
        </w:rPr>
        <w:t>s and presentations on coaching, allowing s</w:t>
      </w:r>
      <w:r w:rsidR="00545257">
        <w:rPr>
          <w:rFonts w:ascii="Arial" w:hAnsi="Arial" w:cs="Arial"/>
          <w:sz w:val="22"/>
          <w:szCs w:val="22"/>
        </w:rPr>
        <w:t>ome 40 participants from WIPO and other UN organizations</w:t>
      </w:r>
      <w:r w:rsidR="00DF7C6B">
        <w:rPr>
          <w:rFonts w:ascii="Arial" w:hAnsi="Arial" w:cs="Arial"/>
          <w:sz w:val="22"/>
          <w:szCs w:val="22"/>
        </w:rPr>
        <w:t xml:space="preserve"> to</w:t>
      </w:r>
      <w:r w:rsidR="00545257">
        <w:rPr>
          <w:rFonts w:ascii="Arial" w:hAnsi="Arial" w:cs="Arial"/>
          <w:sz w:val="22"/>
          <w:szCs w:val="22"/>
        </w:rPr>
        <w:t xml:space="preserve"> </w:t>
      </w:r>
      <w:r w:rsidR="00DF7C6B">
        <w:rPr>
          <w:rFonts w:ascii="Arial" w:hAnsi="Arial" w:cs="Arial"/>
          <w:sz w:val="22"/>
          <w:szCs w:val="22"/>
        </w:rPr>
        <w:t>benefit</w:t>
      </w:r>
      <w:r w:rsidR="00545257">
        <w:rPr>
          <w:rFonts w:ascii="Arial" w:hAnsi="Arial" w:cs="Arial"/>
          <w:sz w:val="22"/>
          <w:szCs w:val="22"/>
        </w:rPr>
        <w:t xml:space="preserve"> from the occasion </w:t>
      </w:r>
      <w:r w:rsidR="00DF7C6B">
        <w:rPr>
          <w:rFonts w:ascii="Arial" w:hAnsi="Arial" w:cs="Arial"/>
          <w:sz w:val="22"/>
          <w:szCs w:val="22"/>
        </w:rPr>
        <w:t>by learning</w:t>
      </w:r>
      <w:r w:rsidR="00545257">
        <w:rPr>
          <w:rFonts w:ascii="Arial" w:hAnsi="Arial" w:cs="Arial"/>
          <w:sz w:val="22"/>
          <w:szCs w:val="22"/>
        </w:rPr>
        <w:t xml:space="preserve"> more about the coaching approach.  Currently, six WIPO staff members who are certified coaches assist with coaching activities offered by WIPO to staff.</w:t>
      </w:r>
    </w:p>
    <w:p w14:paraId="0CE4900F" w14:textId="1F7C02AD" w:rsidR="00233A04" w:rsidRDefault="007B2F09" w:rsidP="008A7269">
      <w:pPr>
        <w:pStyle w:val="ListParagraph"/>
        <w:numPr>
          <w:ilvl w:val="0"/>
          <w:numId w:val="21"/>
        </w:numPr>
        <w:ind w:left="0" w:firstLine="0"/>
        <w:rPr>
          <w:rFonts w:ascii="Arial" w:hAnsi="Arial" w:cs="Arial"/>
          <w:sz w:val="22"/>
          <w:szCs w:val="22"/>
        </w:rPr>
      </w:pPr>
      <w:r w:rsidRPr="00233A04">
        <w:rPr>
          <w:rFonts w:ascii="Arial" w:hAnsi="Arial" w:cs="Arial"/>
          <w:sz w:val="22"/>
          <w:szCs w:val="22"/>
        </w:rPr>
        <w:lastRenderedPageBreak/>
        <w:t xml:space="preserve">In 2018, </w:t>
      </w:r>
      <w:r w:rsidR="00127C4B">
        <w:rPr>
          <w:rFonts w:ascii="Arial" w:hAnsi="Arial" w:cs="Arial"/>
          <w:sz w:val="22"/>
          <w:szCs w:val="22"/>
        </w:rPr>
        <w:t xml:space="preserve">there </w:t>
      </w:r>
      <w:r w:rsidR="004D432C">
        <w:rPr>
          <w:rFonts w:ascii="Arial" w:hAnsi="Arial" w:cs="Arial"/>
          <w:sz w:val="22"/>
          <w:szCs w:val="22"/>
        </w:rPr>
        <w:t>was a sharp</w:t>
      </w:r>
      <w:r w:rsidR="000D0A96">
        <w:rPr>
          <w:rFonts w:ascii="Arial" w:hAnsi="Arial" w:cs="Arial"/>
          <w:sz w:val="22"/>
          <w:szCs w:val="22"/>
        </w:rPr>
        <w:t xml:space="preserve"> increase of</w:t>
      </w:r>
      <w:r w:rsidR="004D432C">
        <w:rPr>
          <w:rFonts w:ascii="Arial" w:hAnsi="Arial" w:cs="Arial"/>
          <w:sz w:val="22"/>
          <w:szCs w:val="22"/>
        </w:rPr>
        <w:t xml:space="preserve"> nearly 6</w:t>
      </w:r>
      <w:r w:rsidR="00127C4B">
        <w:rPr>
          <w:rFonts w:ascii="Arial" w:hAnsi="Arial" w:cs="Arial"/>
          <w:sz w:val="22"/>
          <w:szCs w:val="22"/>
        </w:rPr>
        <w:t xml:space="preserve">0 per cent </w:t>
      </w:r>
      <w:r w:rsidR="000D0A96">
        <w:rPr>
          <w:rFonts w:ascii="Arial" w:hAnsi="Arial" w:cs="Arial"/>
          <w:sz w:val="22"/>
          <w:szCs w:val="22"/>
        </w:rPr>
        <w:t xml:space="preserve">in the number of participants </w:t>
      </w:r>
      <w:r w:rsidR="00127C4B">
        <w:rPr>
          <w:rFonts w:ascii="Arial" w:hAnsi="Arial" w:cs="Arial"/>
          <w:sz w:val="22"/>
          <w:szCs w:val="22"/>
        </w:rPr>
        <w:t xml:space="preserve">in the training programs offered by WIPO compared </w:t>
      </w:r>
      <w:r w:rsidR="004A7E9F">
        <w:rPr>
          <w:rFonts w:ascii="Arial" w:hAnsi="Arial" w:cs="Arial"/>
          <w:sz w:val="22"/>
          <w:szCs w:val="22"/>
        </w:rPr>
        <w:t>with</w:t>
      </w:r>
      <w:r w:rsidR="00127C4B">
        <w:rPr>
          <w:rFonts w:ascii="Arial" w:hAnsi="Arial" w:cs="Arial"/>
          <w:sz w:val="22"/>
          <w:szCs w:val="22"/>
        </w:rPr>
        <w:t xml:space="preserve"> 2017</w:t>
      </w:r>
      <w:r w:rsidR="000D0A96">
        <w:rPr>
          <w:rStyle w:val="FootnoteReference"/>
          <w:rFonts w:ascii="Arial" w:hAnsi="Arial" w:cs="Arial"/>
          <w:sz w:val="22"/>
          <w:szCs w:val="22"/>
        </w:rPr>
        <w:footnoteReference w:id="27"/>
      </w:r>
      <w:r w:rsidR="00E91652">
        <w:rPr>
          <w:rFonts w:ascii="Arial" w:hAnsi="Arial" w:cs="Arial"/>
          <w:sz w:val="22"/>
          <w:szCs w:val="22"/>
        </w:rPr>
        <w:t xml:space="preserve">, which indicates </w:t>
      </w:r>
      <w:r w:rsidR="00D85775">
        <w:rPr>
          <w:rFonts w:ascii="Arial" w:hAnsi="Arial" w:cs="Arial"/>
          <w:sz w:val="22"/>
          <w:szCs w:val="22"/>
        </w:rPr>
        <w:t>that more staff are benefiting</w:t>
      </w:r>
      <w:r w:rsidR="001A42CF">
        <w:rPr>
          <w:rFonts w:ascii="Arial" w:hAnsi="Arial" w:cs="Arial"/>
          <w:sz w:val="22"/>
          <w:szCs w:val="22"/>
        </w:rPr>
        <w:t xml:space="preserve"> from continuing professional development</w:t>
      </w:r>
      <w:r w:rsidR="00D85775">
        <w:rPr>
          <w:rFonts w:ascii="Arial" w:hAnsi="Arial" w:cs="Arial"/>
          <w:sz w:val="22"/>
          <w:szCs w:val="22"/>
        </w:rPr>
        <w:t xml:space="preserve">. </w:t>
      </w:r>
      <w:r w:rsidR="001A42CF">
        <w:rPr>
          <w:rFonts w:ascii="Arial" w:hAnsi="Arial" w:cs="Arial"/>
          <w:sz w:val="22"/>
          <w:szCs w:val="22"/>
        </w:rPr>
        <w:t xml:space="preserve"> </w:t>
      </w:r>
      <w:r w:rsidR="00D85775">
        <w:rPr>
          <w:rFonts w:ascii="Arial" w:hAnsi="Arial" w:cs="Arial"/>
          <w:sz w:val="22"/>
          <w:szCs w:val="22"/>
        </w:rPr>
        <w:t xml:space="preserve">On the other hand, </w:t>
      </w:r>
      <w:r w:rsidRPr="00233A04">
        <w:rPr>
          <w:rFonts w:ascii="Arial" w:hAnsi="Arial" w:cs="Arial"/>
          <w:sz w:val="22"/>
          <w:szCs w:val="22"/>
        </w:rPr>
        <w:t xml:space="preserve">average training days per staff member </w:t>
      </w:r>
      <w:r w:rsidR="008F7019" w:rsidRPr="00066E7A">
        <w:rPr>
          <w:rFonts w:ascii="Arial" w:hAnsi="Arial" w:cs="Arial"/>
          <w:sz w:val="22"/>
          <w:szCs w:val="22"/>
        </w:rPr>
        <w:t>fell</w:t>
      </w:r>
      <w:r w:rsidRPr="00066E7A">
        <w:rPr>
          <w:rFonts w:ascii="Arial" w:hAnsi="Arial" w:cs="Arial"/>
          <w:sz w:val="22"/>
          <w:szCs w:val="22"/>
        </w:rPr>
        <w:t xml:space="preserve"> </w:t>
      </w:r>
      <w:r w:rsidR="00CC23E0" w:rsidRPr="00066E7A">
        <w:rPr>
          <w:rFonts w:ascii="Arial" w:hAnsi="Arial" w:cs="Arial"/>
          <w:sz w:val="22"/>
          <w:szCs w:val="22"/>
        </w:rPr>
        <w:t>to</w:t>
      </w:r>
      <w:r w:rsidRPr="00066E7A">
        <w:rPr>
          <w:rFonts w:ascii="Arial" w:hAnsi="Arial" w:cs="Arial"/>
          <w:sz w:val="22"/>
          <w:szCs w:val="22"/>
        </w:rPr>
        <w:t xml:space="preserve"> 4</w:t>
      </w:r>
      <w:r w:rsidR="004D432C" w:rsidRPr="00066E7A">
        <w:rPr>
          <w:rFonts w:ascii="Arial" w:hAnsi="Arial" w:cs="Arial"/>
          <w:sz w:val="22"/>
          <w:szCs w:val="22"/>
        </w:rPr>
        <w:t>.0</w:t>
      </w:r>
      <w:r w:rsidR="003753F2" w:rsidRPr="00066E7A">
        <w:rPr>
          <w:rFonts w:ascii="Arial" w:hAnsi="Arial" w:cs="Arial"/>
          <w:sz w:val="22"/>
          <w:szCs w:val="22"/>
        </w:rPr>
        <w:t xml:space="preserve"> days</w:t>
      </w:r>
      <w:r w:rsidR="003753F2" w:rsidRPr="00233A04">
        <w:rPr>
          <w:rFonts w:ascii="Arial" w:hAnsi="Arial" w:cs="Arial"/>
          <w:sz w:val="22"/>
          <w:szCs w:val="22"/>
        </w:rPr>
        <w:t xml:space="preserve"> from 4.8 days in </w:t>
      </w:r>
      <w:r w:rsidR="003753F2" w:rsidRPr="00D8540F">
        <w:rPr>
          <w:rFonts w:ascii="Arial" w:hAnsi="Arial" w:cs="Arial"/>
          <w:sz w:val="22"/>
          <w:szCs w:val="22"/>
        </w:rPr>
        <w:t xml:space="preserve">2017 (Table </w:t>
      </w:r>
      <w:r w:rsidR="00D8540F" w:rsidRPr="00D8540F">
        <w:rPr>
          <w:rFonts w:ascii="Arial" w:hAnsi="Arial" w:cs="Arial"/>
          <w:sz w:val="22"/>
          <w:szCs w:val="22"/>
        </w:rPr>
        <w:t>23</w:t>
      </w:r>
      <w:r w:rsidRPr="00D8540F">
        <w:rPr>
          <w:rFonts w:ascii="Arial" w:hAnsi="Arial" w:cs="Arial"/>
          <w:sz w:val="22"/>
          <w:szCs w:val="22"/>
        </w:rPr>
        <w:t>).</w:t>
      </w:r>
      <w:r w:rsidRPr="00233A04">
        <w:rPr>
          <w:rFonts w:ascii="Arial" w:hAnsi="Arial" w:cs="Arial"/>
          <w:sz w:val="22"/>
          <w:szCs w:val="22"/>
        </w:rPr>
        <w:t xml:space="preserve"> </w:t>
      </w:r>
      <w:r w:rsidR="008F7019">
        <w:rPr>
          <w:rFonts w:ascii="Arial" w:hAnsi="Arial" w:cs="Arial"/>
          <w:sz w:val="22"/>
          <w:szCs w:val="22"/>
        </w:rPr>
        <w:t xml:space="preserve"> </w:t>
      </w:r>
      <w:r w:rsidRPr="00233A04">
        <w:rPr>
          <w:rFonts w:ascii="Arial" w:hAnsi="Arial" w:cs="Arial"/>
          <w:sz w:val="22"/>
          <w:szCs w:val="22"/>
        </w:rPr>
        <w:t>The reduction is due to two factors:</w:t>
      </w:r>
      <w:r w:rsidR="00CC23E0" w:rsidRPr="00233A04">
        <w:rPr>
          <w:rFonts w:ascii="Arial" w:hAnsi="Arial" w:cs="Arial"/>
          <w:sz w:val="22"/>
          <w:szCs w:val="22"/>
        </w:rPr>
        <w:t xml:space="preserve"> </w:t>
      </w:r>
      <w:r w:rsidRPr="00233A04">
        <w:rPr>
          <w:rFonts w:ascii="Arial" w:hAnsi="Arial" w:cs="Arial"/>
          <w:sz w:val="22"/>
          <w:szCs w:val="22"/>
        </w:rPr>
        <w:t xml:space="preserve"> the change in the language training policy to align language training with organizational needs, resulting in a reduction in the number of language courses sponsored by the </w:t>
      </w:r>
      <w:r w:rsidR="0009657A" w:rsidRPr="00233A04">
        <w:rPr>
          <w:rFonts w:ascii="Arial" w:hAnsi="Arial" w:cs="Arial"/>
          <w:sz w:val="22"/>
          <w:szCs w:val="22"/>
        </w:rPr>
        <w:t>Organization</w:t>
      </w:r>
      <w:r w:rsidR="0009657A">
        <w:rPr>
          <w:rFonts w:ascii="Arial" w:hAnsi="Arial" w:cs="Arial"/>
          <w:sz w:val="22"/>
          <w:szCs w:val="22"/>
        </w:rPr>
        <w:t>,</w:t>
      </w:r>
      <w:r w:rsidR="003753F2" w:rsidRPr="00233A04">
        <w:rPr>
          <w:rFonts w:ascii="Arial" w:hAnsi="Arial" w:cs="Arial"/>
          <w:sz w:val="22"/>
          <w:szCs w:val="22"/>
        </w:rPr>
        <w:t xml:space="preserve"> and</w:t>
      </w:r>
      <w:r w:rsidRPr="00233A04">
        <w:rPr>
          <w:rFonts w:ascii="Arial" w:hAnsi="Arial" w:cs="Arial"/>
          <w:sz w:val="22"/>
          <w:szCs w:val="22"/>
        </w:rPr>
        <w:t xml:space="preserve"> the reduction in training courses on WIPO’s registration systems</w:t>
      </w:r>
      <w:r w:rsidR="004A7E9F">
        <w:rPr>
          <w:rFonts w:ascii="Arial" w:hAnsi="Arial" w:cs="Arial"/>
          <w:sz w:val="22"/>
          <w:szCs w:val="22"/>
        </w:rPr>
        <w:t xml:space="preserve"> </w:t>
      </w:r>
      <w:r w:rsidR="00D85775">
        <w:rPr>
          <w:rFonts w:ascii="Arial" w:hAnsi="Arial" w:cs="Arial"/>
          <w:sz w:val="22"/>
          <w:szCs w:val="22"/>
        </w:rPr>
        <w:t>(</w:t>
      </w:r>
      <w:r w:rsidRPr="00233A04">
        <w:rPr>
          <w:rFonts w:ascii="Arial" w:hAnsi="Arial" w:cs="Arial"/>
          <w:sz w:val="22"/>
          <w:szCs w:val="22"/>
        </w:rPr>
        <w:t>as users have become more proficien</w:t>
      </w:r>
      <w:r w:rsidR="00D85775">
        <w:rPr>
          <w:rFonts w:ascii="Arial" w:hAnsi="Arial" w:cs="Arial"/>
          <w:sz w:val="22"/>
          <w:szCs w:val="22"/>
        </w:rPr>
        <w:t>t)</w:t>
      </w:r>
      <w:r w:rsidR="004A7E9F">
        <w:rPr>
          <w:rFonts w:ascii="Arial" w:hAnsi="Arial" w:cs="Arial"/>
          <w:sz w:val="22"/>
          <w:szCs w:val="22"/>
        </w:rPr>
        <w:t xml:space="preserve">. </w:t>
      </w:r>
      <w:r w:rsidR="004D432C">
        <w:rPr>
          <w:rFonts w:ascii="Arial" w:hAnsi="Arial" w:cs="Arial"/>
          <w:sz w:val="22"/>
          <w:szCs w:val="22"/>
        </w:rPr>
        <w:t xml:space="preserve"> The reduction in total training tim</w:t>
      </w:r>
      <w:r w:rsidR="00C63E61">
        <w:rPr>
          <w:rFonts w:ascii="Arial" w:hAnsi="Arial" w:cs="Arial"/>
          <w:sz w:val="22"/>
          <w:szCs w:val="22"/>
        </w:rPr>
        <w:t>e indicates a shift to shorter and more compact training, which reflects</w:t>
      </w:r>
      <w:r w:rsidR="004D432C">
        <w:rPr>
          <w:rFonts w:ascii="Arial" w:hAnsi="Arial" w:cs="Arial"/>
          <w:sz w:val="22"/>
          <w:szCs w:val="22"/>
        </w:rPr>
        <w:t xml:space="preserve"> </w:t>
      </w:r>
      <w:r w:rsidR="00C63E61">
        <w:rPr>
          <w:rFonts w:ascii="Arial" w:hAnsi="Arial" w:cs="Arial"/>
          <w:sz w:val="22"/>
          <w:szCs w:val="22"/>
        </w:rPr>
        <w:t>best</w:t>
      </w:r>
      <w:r w:rsidR="004D432C">
        <w:rPr>
          <w:rFonts w:ascii="Arial" w:hAnsi="Arial" w:cs="Arial"/>
          <w:sz w:val="22"/>
          <w:szCs w:val="22"/>
        </w:rPr>
        <w:t xml:space="preserve"> practice</w:t>
      </w:r>
      <w:r w:rsidR="00C63E61">
        <w:rPr>
          <w:rFonts w:ascii="Arial" w:hAnsi="Arial" w:cs="Arial"/>
          <w:sz w:val="22"/>
          <w:szCs w:val="22"/>
        </w:rPr>
        <w:t xml:space="preserve"> in learning and development.</w:t>
      </w:r>
    </w:p>
    <w:p w14:paraId="377752BC" w14:textId="77777777" w:rsidR="001B20AB" w:rsidRPr="001B20AB" w:rsidRDefault="001B20AB" w:rsidP="001B20AB">
      <w:pPr>
        <w:pStyle w:val="ListParagraph"/>
        <w:rPr>
          <w:rFonts w:ascii="Arial" w:hAnsi="Arial" w:cs="Arial"/>
          <w:sz w:val="22"/>
          <w:szCs w:val="22"/>
        </w:rPr>
      </w:pPr>
    </w:p>
    <w:p w14:paraId="77ADD47B" w14:textId="77777777" w:rsidR="007B2F09" w:rsidRPr="00A32901" w:rsidRDefault="007B2F09" w:rsidP="00F744EF">
      <w:pPr>
        <w:pStyle w:val="ListParagraph"/>
        <w:numPr>
          <w:ilvl w:val="0"/>
          <w:numId w:val="21"/>
        </w:numPr>
        <w:ind w:left="0" w:firstLine="0"/>
        <w:rPr>
          <w:rFonts w:ascii="Arial" w:hAnsi="Arial" w:cs="Arial"/>
          <w:sz w:val="22"/>
          <w:szCs w:val="22"/>
        </w:rPr>
      </w:pPr>
      <w:r w:rsidRPr="00233A04">
        <w:rPr>
          <w:rFonts w:ascii="Arial" w:hAnsi="Arial" w:cs="Arial"/>
          <w:sz w:val="22"/>
          <w:szCs w:val="22"/>
        </w:rPr>
        <w:t>Based on the success of the pilot Mentoring Program launched in 2018 as determined through feedback from participating mentees and mentors</w:t>
      </w:r>
      <w:r w:rsidRPr="00A32901">
        <w:rPr>
          <w:rFonts w:ascii="Arial" w:hAnsi="Arial" w:cs="Arial"/>
          <w:sz w:val="22"/>
          <w:szCs w:val="22"/>
        </w:rPr>
        <w:t>, another pilot was launched in early 2019 with an e</w:t>
      </w:r>
      <w:r w:rsidR="00613AFF">
        <w:rPr>
          <w:rFonts w:ascii="Arial" w:hAnsi="Arial" w:cs="Arial"/>
          <w:sz w:val="22"/>
          <w:szCs w:val="22"/>
        </w:rPr>
        <w:t>xtended duration of nine</w:t>
      </w:r>
      <w:r w:rsidRPr="00A32901">
        <w:rPr>
          <w:rFonts w:ascii="Arial" w:hAnsi="Arial" w:cs="Arial"/>
          <w:sz w:val="22"/>
          <w:szCs w:val="22"/>
        </w:rPr>
        <w:t xml:space="preserve"> months</w:t>
      </w:r>
      <w:r w:rsidR="00D57BA6">
        <w:rPr>
          <w:rFonts w:ascii="Arial" w:hAnsi="Arial" w:cs="Arial"/>
          <w:sz w:val="22"/>
          <w:szCs w:val="22"/>
        </w:rPr>
        <w:t xml:space="preserve"> </w:t>
      </w:r>
      <w:r w:rsidR="001B20AB">
        <w:rPr>
          <w:rFonts w:ascii="Arial" w:hAnsi="Arial" w:cs="Arial"/>
          <w:sz w:val="22"/>
          <w:szCs w:val="22"/>
        </w:rPr>
        <w:t>(up from six months during the initial pilot)</w:t>
      </w:r>
      <w:r w:rsidRPr="00A32901">
        <w:rPr>
          <w:rFonts w:ascii="Arial" w:hAnsi="Arial" w:cs="Arial"/>
          <w:sz w:val="22"/>
          <w:szCs w:val="22"/>
        </w:rPr>
        <w:t xml:space="preserve"> and a higher number of participants (21 mentoring pairs compared to 12 in 2018). </w:t>
      </w:r>
      <w:r w:rsidR="003753F2">
        <w:rPr>
          <w:rFonts w:ascii="Arial" w:hAnsi="Arial" w:cs="Arial"/>
          <w:sz w:val="22"/>
          <w:szCs w:val="22"/>
        </w:rPr>
        <w:t xml:space="preserve"> </w:t>
      </w:r>
      <w:r w:rsidRPr="00A32901">
        <w:rPr>
          <w:rFonts w:ascii="Arial" w:hAnsi="Arial" w:cs="Arial"/>
          <w:sz w:val="22"/>
          <w:szCs w:val="22"/>
        </w:rPr>
        <w:t xml:space="preserve">Mentors continue to be sourced internally to tap the Organization’s rich pool of talent and resources. </w:t>
      </w:r>
      <w:r w:rsidR="00D57BA6">
        <w:rPr>
          <w:rFonts w:ascii="Arial" w:hAnsi="Arial" w:cs="Arial"/>
          <w:sz w:val="22"/>
          <w:szCs w:val="22"/>
        </w:rPr>
        <w:t xml:space="preserve"> </w:t>
      </w:r>
      <w:r w:rsidRPr="00A32901">
        <w:rPr>
          <w:rFonts w:ascii="Arial" w:hAnsi="Arial" w:cs="Arial"/>
          <w:sz w:val="22"/>
          <w:szCs w:val="22"/>
        </w:rPr>
        <w:t>The overall objective of the program is to strengthen staff satisfaction, productivity and knowledge management.</w:t>
      </w:r>
    </w:p>
    <w:p w14:paraId="62BD58E2" w14:textId="77777777" w:rsidR="00F744EF" w:rsidRPr="00A32901" w:rsidRDefault="00F744EF" w:rsidP="00F744EF">
      <w:pPr>
        <w:pStyle w:val="ListParagraph"/>
        <w:rPr>
          <w:rFonts w:ascii="Arial" w:hAnsi="Arial" w:cs="Arial"/>
          <w:sz w:val="22"/>
          <w:szCs w:val="22"/>
        </w:rPr>
      </w:pPr>
    </w:p>
    <w:p w14:paraId="1507CD04" w14:textId="4B20FB9B" w:rsidR="007B2F09" w:rsidRPr="00A32901" w:rsidRDefault="00B26E67" w:rsidP="00F744EF">
      <w:pPr>
        <w:pStyle w:val="ListParagraph"/>
        <w:numPr>
          <w:ilvl w:val="0"/>
          <w:numId w:val="21"/>
        </w:numPr>
        <w:ind w:left="0" w:firstLine="0"/>
        <w:rPr>
          <w:rFonts w:ascii="Arial" w:hAnsi="Arial" w:cs="Arial"/>
          <w:sz w:val="22"/>
          <w:szCs w:val="22"/>
        </w:rPr>
      </w:pPr>
      <w:r>
        <w:rPr>
          <w:rFonts w:ascii="Arial" w:hAnsi="Arial" w:cs="Arial"/>
          <w:sz w:val="22"/>
          <w:szCs w:val="22"/>
        </w:rPr>
        <w:t>O</w:t>
      </w:r>
      <w:r w:rsidR="007B2F09" w:rsidRPr="00A32901">
        <w:rPr>
          <w:rFonts w:ascii="Arial" w:hAnsi="Arial" w:cs="Arial"/>
          <w:sz w:val="22"/>
          <w:szCs w:val="22"/>
        </w:rPr>
        <w:t>n-the-job training was initiated in 2018</w:t>
      </w:r>
      <w:r>
        <w:rPr>
          <w:rFonts w:ascii="Arial" w:hAnsi="Arial" w:cs="Arial"/>
          <w:sz w:val="22"/>
          <w:szCs w:val="22"/>
        </w:rPr>
        <w:t xml:space="preserve"> (</w:t>
      </w:r>
      <w:r w:rsidR="007B2F09" w:rsidRPr="00A32901">
        <w:rPr>
          <w:rFonts w:ascii="Arial" w:hAnsi="Arial" w:cs="Arial"/>
          <w:sz w:val="22"/>
          <w:szCs w:val="22"/>
        </w:rPr>
        <w:t>with one staff member of the Procurement and Travel Division assigned to work for three months in a private company</w:t>
      </w:r>
      <w:r>
        <w:rPr>
          <w:rFonts w:ascii="Arial" w:hAnsi="Arial" w:cs="Arial"/>
          <w:sz w:val="22"/>
          <w:szCs w:val="22"/>
        </w:rPr>
        <w:t xml:space="preserve">), as </w:t>
      </w:r>
      <w:r w:rsidR="007B2F09" w:rsidRPr="00A32901">
        <w:rPr>
          <w:rFonts w:ascii="Arial" w:hAnsi="Arial" w:cs="Arial"/>
          <w:sz w:val="22"/>
          <w:szCs w:val="22"/>
        </w:rPr>
        <w:t xml:space="preserve">a developmental tool aimed at bringing new ideas and best practices into the Organization.  </w:t>
      </w:r>
      <w:r>
        <w:rPr>
          <w:rFonts w:ascii="Arial" w:hAnsi="Arial" w:cs="Arial"/>
          <w:sz w:val="22"/>
          <w:szCs w:val="22"/>
        </w:rPr>
        <w:t>It</w:t>
      </w:r>
      <w:r w:rsidR="007B2F09" w:rsidRPr="00A32901">
        <w:rPr>
          <w:rFonts w:ascii="Arial" w:hAnsi="Arial" w:cs="Arial"/>
          <w:sz w:val="22"/>
          <w:szCs w:val="22"/>
        </w:rPr>
        <w:t xml:space="preserve"> was a positive experience for both the participating individual and the entire Division: </w:t>
      </w:r>
      <w:r w:rsidR="003753F2">
        <w:rPr>
          <w:rFonts w:ascii="Arial" w:hAnsi="Arial" w:cs="Arial"/>
          <w:sz w:val="22"/>
          <w:szCs w:val="22"/>
        </w:rPr>
        <w:t xml:space="preserve"> </w:t>
      </w:r>
      <w:r w:rsidR="007B2F09" w:rsidRPr="00A32901">
        <w:rPr>
          <w:rFonts w:ascii="Arial" w:hAnsi="Arial" w:cs="Arial"/>
          <w:sz w:val="22"/>
          <w:szCs w:val="22"/>
        </w:rPr>
        <w:t xml:space="preserve">the staff member benefitted from </w:t>
      </w:r>
      <w:r w:rsidR="006A4DE1">
        <w:rPr>
          <w:rFonts w:ascii="Arial" w:hAnsi="Arial" w:cs="Arial"/>
          <w:sz w:val="22"/>
          <w:szCs w:val="22"/>
        </w:rPr>
        <w:t>exposure</w:t>
      </w:r>
      <w:r w:rsidR="007B2F09" w:rsidRPr="00A32901">
        <w:rPr>
          <w:rFonts w:ascii="Arial" w:hAnsi="Arial" w:cs="Arial"/>
          <w:sz w:val="22"/>
          <w:szCs w:val="22"/>
        </w:rPr>
        <w:t xml:space="preserve"> to the private sector and </w:t>
      </w:r>
      <w:r w:rsidR="00DE2F38" w:rsidRPr="00A32901">
        <w:rPr>
          <w:rFonts w:ascii="Arial" w:hAnsi="Arial" w:cs="Arial"/>
          <w:sz w:val="22"/>
          <w:szCs w:val="22"/>
        </w:rPr>
        <w:t>learn</w:t>
      </w:r>
      <w:r w:rsidR="00DE2F38">
        <w:rPr>
          <w:rFonts w:ascii="Arial" w:hAnsi="Arial" w:cs="Arial"/>
          <w:sz w:val="22"/>
          <w:szCs w:val="22"/>
        </w:rPr>
        <w:t>ing</w:t>
      </w:r>
      <w:r w:rsidR="00DE2F38" w:rsidRPr="00A32901">
        <w:rPr>
          <w:rFonts w:ascii="Arial" w:hAnsi="Arial" w:cs="Arial"/>
          <w:sz w:val="22"/>
          <w:szCs w:val="22"/>
        </w:rPr>
        <w:t xml:space="preserve"> </w:t>
      </w:r>
      <w:r w:rsidR="007B2F09" w:rsidRPr="00A32901">
        <w:rPr>
          <w:rFonts w:ascii="Arial" w:hAnsi="Arial" w:cs="Arial"/>
          <w:sz w:val="22"/>
          <w:szCs w:val="22"/>
        </w:rPr>
        <w:t xml:space="preserve">current practices in vendor management and sourcing, which were in turn shared with the Division.  This experience translated into new ideas and suggestions </w:t>
      </w:r>
      <w:r w:rsidR="00DE2F38">
        <w:rPr>
          <w:rFonts w:ascii="Arial" w:hAnsi="Arial" w:cs="Arial"/>
          <w:sz w:val="22"/>
          <w:szCs w:val="22"/>
        </w:rPr>
        <w:t>to improve</w:t>
      </w:r>
      <w:r w:rsidR="007B2F09" w:rsidRPr="00A32901">
        <w:rPr>
          <w:rFonts w:ascii="Arial" w:hAnsi="Arial" w:cs="Arial"/>
          <w:sz w:val="22"/>
          <w:szCs w:val="22"/>
        </w:rPr>
        <w:t xml:space="preserve"> WIPO’s procurement practices. </w:t>
      </w:r>
      <w:r w:rsidR="003753F2">
        <w:rPr>
          <w:rFonts w:ascii="Arial" w:hAnsi="Arial" w:cs="Arial"/>
          <w:sz w:val="22"/>
          <w:szCs w:val="22"/>
        </w:rPr>
        <w:t xml:space="preserve"> </w:t>
      </w:r>
      <w:r>
        <w:rPr>
          <w:rFonts w:ascii="Arial" w:hAnsi="Arial" w:cs="Arial"/>
          <w:sz w:val="22"/>
          <w:szCs w:val="22"/>
        </w:rPr>
        <w:t>T</w:t>
      </w:r>
      <w:r w:rsidR="007B2F09" w:rsidRPr="00A32901">
        <w:rPr>
          <w:rFonts w:ascii="Arial" w:hAnsi="Arial" w:cs="Arial"/>
          <w:sz w:val="22"/>
          <w:szCs w:val="22"/>
        </w:rPr>
        <w:t xml:space="preserve">he Organization is planning to expand on-the-job training to </w:t>
      </w:r>
      <w:r w:rsidR="004F4BD7">
        <w:rPr>
          <w:rFonts w:ascii="Arial" w:hAnsi="Arial" w:cs="Arial"/>
          <w:sz w:val="22"/>
          <w:szCs w:val="22"/>
        </w:rPr>
        <w:t>other</w:t>
      </w:r>
      <w:r w:rsidR="007B2F09" w:rsidRPr="00A32901">
        <w:rPr>
          <w:rFonts w:ascii="Arial" w:hAnsi="Arial" w:cs="Arial"/>
          <w:sz w:val="22"/>
          <w:szCs w:val="22"/>
        </w:rPr>
        <w:t xml:space="preserve"> sectors in 2020.</w:t>
      </w:r>
    </w:p>
    <w:p w14:paraId="6750D00B" w14:textId="77777777" w:rsidR="00F744EF" w:rsidRPr="00A32901" w:rsidRDefault="00F744EF" w:rsidP="00F744EF">
      <w:pPr>
        <w:pStyle w:val="ListParagraph"/>
        <w:rPr>
          <w:rFonts w:ascii="Arial" w:hAnsi="Arial" w:cs="Arial"/>
          <w:sz w:val="22"/>
          <w:szCs w:val="22"/>
        </w:rPr>
      </w:pPr>
    </w:p>
    <w:p w14:paraId="224A1BAD" w14:textId="6F7C01E7" w:rsidR="007B2F09" w:rsidRPr="00A32901" w:rsidRDefault="007B2F09" w:rsidP="00F744EF">
      <w:pPr>
        <w:pStyle w:val="ListParagraph"/>
        <w:numPr>
          <w:ilvl w:val="0"/>
          <w:numId w:val="21"/>
        </w:numPr>
        <w:ind w:left="0" w:firstLine="0"/>
        <w:rPr>
          <w:rFonts w:ascii="Arial" w:hAnsi="Arial" w:cs="Arial"/>
          <w:sz w:val="22"/>
          <w:szCs w:val="22"/>
        </w:rPr>
      </w:pPr>
      <w:r w:rsidRPr="00A32901">
        <w:rPr>
          <w:rFonts w:ascii="Arial" w:hAnsi="Arial" w:cs="Arial"/>
          <w:sz w:val="22"/>
          <w:szCs w:val="22"/>
        </w:rPr>
        <w:t xml:space="preserve">Following the </w:t>
      </w:r>
      <w:r w:rsidR="001B20AB">
        <w:rPr>
          <w:rFonts w:ascii="Arial" w:hAnsi="Arial" w:cs="Arial"/>
          <w:sz w:val="22"/>
          <w:szCs w:val="22"/>
        </w:rPr>
        <w:t>positive feedback</w:t>
      </w:r>
      <w:r w:rsidR="000037A1">
        <w:rPr>
          <w:rFonts w:ascii="Arial" w:hAnsi="Arial" w:cs="Arial"/>
          <w:sz w:val="22"/>
          <w:szCs w:val="22"/>
        </w:rPr>
        <w:t xml:space="preserve"> received</w:t>
      </w:r>
      <w:r w:rsidR="001B20AB">
        <w:rPr>
          <w:rFonts w:ascii="Arial" w:hAnsi="Arial" w:cs="Arial"/>
          <w:sz w:val="22"/>
          <w:szCs w:val="22"/>
        </w:rPr>
        <w:t xml:space="preserve"> from participating staff</w:t>
      </w:r>
      <w:r w:rsidR="000037A1">
        <w:rPr>
          <w:rFonts w:ascii="Arial" w:hAnsi="Arial" w:cs="Arial"/>
          <w:sz w:val="22"/>
          <w:szCs w:val="22"/>
        </w:rPr>
        <w:t xml:space="preserve"> on the pilot skills inventory</w:t>
      </w:r>
      <w:r w:rsidRPr="00A32901">
        <w:rPr>
          <w:rFonts w:ascii="Arial" w:hAnsi="Arial" w:cs="Arial"/>
          <w:sz w:val="22"/>
          <w:szCs w:val="22"/>
        </w:rPr>
        <w:t xml:space="preserve">, which was part of the ERP Talent Management project, the development of a comprehensive skills inventory is under </w:t>
      </w:r>
      <w:r w:rsidR="00BA5889">
        <w:rPr>
          <w:rFonts w:ascii="Arial" w:hAnsi="Arial" w:cs="Arial"/>
          <w:sz w:val="22"/>
          <w:szCs w:val="22"/>
        </w:rPr>
        <w:t>preparation</w:t>
      </w:r>
      <w:r w:rsidRPr="00A32901">
        <w:rPr>
          <w:rFonts w:ascii="Arial" w:hAnsi="Arial" w:cs="Arial"/>
          <w:sz w:val="22"/>
          <w:szCs w:val="22"/>
        </w:rPr>
        <w:t>.  An inventory of skills available in WIPO would provide visibility for internal career opportunities to staff members and facilitate the identification of internal talent for resource management and workforce planning</w:t>
      </w:r>
      <w:r w:rsidR="00DE2F38">
        <w:rPr>
          <w:rFonts w:ascii="Arial" w:hAnsi="Arial" w:cs="Arial"/>
          <w:sz w:val="22"/>
          <w:szCs w:val="22"/>
        </w:rPr>
        <w:t xml:space="preserve"> purposes</w:t>
      </w:r>
      <w:r w:rsidRPr="00A32901">
        <w:rPr>
          <w:rFonts w:ascii="Arial" w:hAnsi="Arial" w:cs="Arial"/>
          <w:sz w:val="22"/>
          <w:szCs w:val="22"/>
        </w:rPr>
        <w:t>.</w:t>
      </w:r>
    </w:p>
    <w:p w14:paraId="7DCB549E" w14:textId="77777777" w:rsidR="00F744EF" w:rsidRPr="00695BAD" w:rsidRDefault="00F744EF" w:rsidP="00695BAD">
      <w:pPr>
        <w:pStyle w:val="Heading3"/>
        <w:ind w:left="540"/>
        <w:rPr>
          <w:u w:val="none"/>
        </w:rPr>
      </w:pPr>
      <w:r w:rsidRPr="00695BAD">
        <w:rPr>
          <w:u w:val="none"/>
        </w:rPr>
        <w:t>MEDICAL SUPPORT/HEALTH SERVICES</w:t>
      </w:r>
    </w:p>
    <w:p w14:paraId="7C7A3AD0" w14:textId="77777777" w:rsidR="00F744EF" w:rsidRPr="00A32901" w:rsidRDefault="00F744EF" w:rsidP="00F744EF">
      <w:pPr>
        <w:pStyle w:val="ListParagraph"/>
        <w:rPr>
          <w:rFonts w:ascii="Arial" w:hAnsi="Arial" w:cs="Arial"/>
          <w:sz w:val="22"/>
          <w:szCs w:val="22"/>
        </w:rPr>
      </w:pPr>
    </w:p>
    <w:p w14:paraId="782F42DB" w14:textId="0361EAF1" w:rsidR="00F744EF" w:rsidRPr="00A32901" w:rsidRDefault="00D57BA6" w:rsidP="00F744EF">
      <w:pPr>
        <w:pStyle w:val="ListParagraph"/>
        <w:numPr>
          <w:ilvl w:val="0"/>
          <w:numId w:val="21"/>
        </w:numPr>
        <w:ind w:left="0" w:firstLine="0"/>
        <w:rPr>
          <w:rFonts w:ascii="Arial" w:hAnsi="Arial" w:cs="Arial"/>
          <w:sz w:val="22"/>
          <w:szCs w:val="22"/>
        </w:rPr>
      </w:pPr>
      <w:r>
        <w:rPr>
          <w:rFonts w:ascii="Arial" w:hAnsi="Arial" w:cs="Arial"/>
          <w:sz w:val="22"/>
          <w:szCs w:val="22"/>
        </w:rPr>
        <w:t>In</w:t>
      </w:r>
      <w:r w:rsidR="00613AFF">
        <w:rPr>
          <w:rFonts w:ascii="Arial" w:hAnsi="Arial" w:cs="Arial"/>
          <w:sz w:val="22"/>
          <w:szCs w:val="22"/>
        </w:rPr>
        <w:t xml:space="preserve"> July 2018, </w:t>
      </w:r>
      <w:r w:rsidR="00F744EF" w:rsidRPr="00A32901">
        <w:rPr>
          <w:rFonts w:ascii="Arial" w:hAnsi="Arial" w:cs="Arial"/>
          <w:sz w:val="22"/>
          <w:szCs w:val="22"/>
        </w:rPr>
        <w:t>the Medical Service</w:t>
      </w:r>
      <w:r w:rsidR="00613AFF">
        <w:rPr>
          <w:rFonts w:ascii="Arial" w:hAnsi="Arial" w:cs="Arial"/>
          <w:sz w:val="22"/>
          <w:szCs w:val="22"/>
        </w:rPr>
        <w:t xml:space="preserve">s Section of </w:t>
      </w:r>
      <w:r w:rsidR="00B7443C">
        <w:rPr>
          <w:rFonts w:ascii="Arial" w:hAnsi="Arial" w:cs="Arial"/>
          <w:sz w:val="22"/>
          <w:szCs w:val="22"/>
        </w:rPr>
        <w:t xml:space="preserve">the </w:t>
      </w:r>
      <w:r w:rsidR="001F7A1B">
        <w:rPr>
          <w:rFonts w:ascii="Arial" w:hAnsi="Arial" w:cs="Arial"/>
          <w:sz w:val="22"/>
          <w:szCs w:val="22"/>
        </w:rPr>
        <w:t>U</w:t>
      </w:r>
      <w:r w:rsidR="00B7443C">
        <w:rPr>
          <w:rFonts w:ascii="Arial" w:hAnsi="Arial" w:cs="Arial"/>
          <w:sz w:val="22"/>
          <w:szCs w:val="22"/>
        </w:rPr>
        <w:t>nited Nations Office at Geneva</w:t>
      </w:r>
      <w:r w:rsidR="00613AFF">
        <w:rPr>
          <w:rFonts w:ascii="Arial" w:hAnsi="Arial" w:cs="Arial"/>
          <w:sz w:val="22"/>
          <w:szCs w:val="22"/>
        </w:rPr>
        <w:t xml:space="preserve"> (</w:t>
      </w:r>
      <w:r w:rsidR="00F744EF" w:rsidRPr="00A32901">
        <w:rPr>
          <w:rFonts w:ascii="Arial" w:hAnsi="Arial" w:cs="Arial"/>
          <w:sz w:val="22"/>
          <w:szCs w:val="22"/>
        </w:rPr>
        <w:t>UNOG</w:t>
      </w:r>
      <w:r w:rsidR="00517D7F">
        <w:rPr>
          <w:rFonts w:ascii="Arial" w:hAnsi="Arial" w:cs="Arial"/>
          <w:sz w:val="22"/>
          <w:szCs w:val="22"/>
        </w:rPr>
        <w:t>-MSS</w:t>
      </w:r>
      <w:r w:rsidR="00613AFF">
        <w:rPr>
          <w:rFonts w:ascii="Arial" w:hAnsi="Arial" w:cs="Arial"/>
          <w:sz w:val="22"/>
          <w:szCs w:val="22"/>
        </w:rPr>
        <w:t xml:space="preserve">) ceased providing medical services to WIPO.  </w:t>
      </w:r>
      <w:r w:rsidR="00B7443C">
        <w:rPr>
          <w:rFonts w:ascii="Arial" w:hAnsi="Arial" w:cs="Arial"/>
          <w:sz w:val="22"/>
          <w:szCs w:val="22"/>
        </w:rPr>
        <w:t>The Organization</w:t>
      </w:r>
      <w:r w:rsidR="00613AFF">
        <w:rPr>
          <w:rFonts w:ascii="Arial" w:hAnsi="Arial" w:cs="Arial"/>
          <w:sz w:val="22"/>
          <w:szCs w:val="22"/>
        </w:rPr>
        <w:t xml:space="preserve"> therefore recruited a Senior Medical Adviser to act as its medical adviser.  The Senior Medical Adviser provides advice and services to the WIP</w:t>
      </w:r>
      <w:r w:rsidR="00B7443C">
        <w:rPr>
          <w:rFonts w:ascii="Arial" w:hAnsi="Arial" w:cs="Arial"/>
          <w:sz w:val="22"/>
          <w:szCs w:val="22"/>
        </w:rPr>
        <w:t>O</w:t>
      </w:r>
      <w:r w:rsidR="00613AFF">
        <w:rPr>
          <w:rFonts w:ascii="Arial" w:hAnsi="Arial" w:cs="Arial"/>
          <w:sz w:val="22"/>
          <w:szCs w:val="22"/>
        </w:rPr>
        <w:t xml:space="preserve"> </w:t>
      </w:r>
      <w:r w:rsidR="00DE2F38">
        <w:rPr>
          <w:rFonts w:ascii="Arial" w:hAnsi="Arial" w:cs="Arial"/>
          <w:sz w:val="22"/>
          <w:szCs w:val="22"/>
        </w:rPr>
        <w:t xml:space="preserve">Administration </w:t>
      </w:r>
      <w:r w:rsidR="00613AFF">
        <w:rPr>
          <w:rFonts w:ascii="Arial" w:hAnsi="Arial" w:cs="Arial"/>
          <w:sz w:val="22"/>
          <w:szCs w:val="22"/>
        </w:rPr>
        <w:t xml:space="preserve">on medical issues, including in </w:t>
      </w:r>
      <w:r w:rsidR="00517D7F">
        <w:rPr>
          <w:rFonts w:ascii="Arial" w:hAnsi="Arial" w:cs="Arial"/>
          <w:sz w:val="22"/>
          <w:szCs w:val="22"/>
        </w:rPr>
        <w:t>relation</w:t>
      </w:r>
      <w:r w:rsidR="00613AFF">
        <w:rPr>
          <w:rFonts w:ascii="Arial" w:hAnsi="Arial" w:cs="Arial"/>
          <w:sz w:val="22"/>
          <w:szCs w:val="22"/>
        </w:rPr>
        <w:t xml:space="preserve"> to the </w:t>
      </w:r>
      <w:r w:rsidR="00517D7F">
        <w:rPr>
          <w:rFonts w:ascii="Arial" w:hAnsi="Arial" w:cs="Arial"/>
          <w:sz w:val="22"/>
          <w:szCs w:val="22"/>
        </w:rPr>
        <w:t>medical</w:t>
      </w:r>
      <w:r w:rsidR="00613AFF">
        <w:rPr>
          <w:rFonts w:ascii="Arial" w:hAnsi="Arial" w:cs="Arial"/>
          <w:sz w:val="22"/>
          <w:szCs w:val="22"/>
        </w:rPr>
        <w:t xml:space="preserve"> fitness of staff and occupational health</w:t>
      </w:r>
      <w:r w:rsidR="00E51C27">
        <w:rPr>
          <w:rFonts w:ascii="Arial" w:hAnsi="Arial" w:cs="Arial"/>
          <w:sz w:val="22"/>
          <w:szCs w:val="22"/>
        </w:rPr>
        <w:t xml:space="preserve"> issues</w:t>
      </w:r>
      <w:r w:rsidR="00613AFF">
        <w:rPr>
          <w:rFonts w:ascii="Arial" w:hAnsi="Arial" w:cs="Arial"/>
          <w:sz w:val="22"/>
          <w:szCs w:val="22"/>
        </w:rPr>
        <w:t xml:space="preserve">.  The Senior Medical Adviser </w:t>
      </w:r>
      <w:r w:rsidR="000C6674">
        <w:rPr>
          <w:rFonts w:ascii="Arial" w:hAnsi="Arial" w:cs="Arial"/>
          <w:sz w:val="22"/>
          <w:szCs w:val="22"/>
        </w:rPr>
        <w:t xml:space="preserve">manages the </w:t>
      </w:r>
      <w:r w:rsidR="00F744EF" w:rsidRPr="00A32901">
        <w:rPr>
          <w:rFonts w:ascii="Arial" w:hAnsi="Arial" w:cs="Arial"/>
          <w:sz w:val="22"/>
          <w:szCs w:val="22"/>
        </w:rPr>
        <w:t>WIPO Medical Unit</w:t>
      </w:r>
      <w:r w:rsidR="00E51C27">
        <w:rPr>
          <w:rFonts w:ascii="Arial" w:hAnsi="Arial" w:cs="Arial"/>
          <w:sz w:val="22"/>
          <w:szCs w:val="22"/>
        </w:rPr>
        <w:t xml:space="preserve"> (WMU)</w:t>
      </w:r>
      <w:r w:rsidR="000C6674">
        <w:rPr>
          <w:rFonts w:ascii="Arial" w:hAnsi="Arial" w:cs="Arial"/>
          <w:sz w:val="22"/>
          <w:szCs w:val="22"/>
        </w:rPr>
        <w:t xml:space="preserve">, which also </w:t>
      </w:r>
      <w:r>
        <w:rPr>
          <w:rFonts w:ascii="Arial" w:hAnsi="Arial" w:cs="Arial"/>
          <w:sz w:val="22"/>
          <w:szCs w:val="22"/>
        </w:rPr>
        <w:t xml:space="preserve">includes </w:t>
      </w:r>
      <w:r w:rsidR="000C6674">
        <w:rPr>
          <w:rFonts w:ascii="Arial" w:hAnsi="Arial" w:cs="Arial"/>
          <w:sz w:val="22"/>
          <w:szCs w:val="22"/>
        </w:rPr>
        <w:t xml:space="preserve">an Occupational Health Nurse and </w:t>
      </w:r>
      <w:r w:rsidR="00E51C27">
        <w:rPr>
          <w:rFonts w:ascii="Arial" w:hAnsi="Arial" w:cs="Arial"/>
          <w:sz w:val="22"/>
          <w:szCs w:val="22"/>
        </w:rPr>
        <w:t xml:space="preserve">a </w:t>
      </w:r>
      <w:r w:rsidR="000C6674">
        <w:rPr>
          <w:rFonts w:ascii="Arial" w:hAnsi="Arial" w:cs="Arial"/>
          <w:sz w:val="22"/>
          <w:szCs w:val="22"/>
        </w:rPr>
        <w:t>Secretary</w:t>
      </w:r>
      <w:r w:rsidR="00F744EF" w:rsidRPr="00A32901">
        <w:rPr>
          <w:rFonts w:ascii="Arial" w:hAnsi="Arial" w:cs="Arial"/>
          <w:sz w:val="22"/>
          <w:szCs w:val="22"/>
        </w:rPr>
        <w:t>.</w:t>
      </w:r>
    </w:p>
    <w:p w14:paraId="4824D128" w14:textId="77777777" w:rsidR="00F744EF" w:rsidRPr="00A32901" w:rsidRDefault="00F744EF" w:rsidP="00F744EF">
      <w:pPr>
        <w:pStyle w:val="ListParagraph"/>
        <w:ind w:left="0"/>
        <w:rPr>
          <w:rFonts w:ascii="Arial" w:hAnsi="Arial" w:cs="Arial"/>
          <w:sz w:val="22"/>
          <w:szCs w:val="22"/>
        </w:rPr>
      </w:pPr>
    </w:p>
    <w:p w14:paraId="4778C046" w14:textId="07B7194D" w:rsidR="00F744EF" w:rsidRPr="00A32901" w:rsidRDefault="00DE2F38" w:rsidP="00F744EF">
      <w:pPr>
        <w:pStyle w:val="ListParagraph"/>
        <w:numPr>
          <w:ilvl w:val="0"/>
          <w:numId w:val="21"/>
        </w:numPr>
        <w:ind w:left="0" w:firstLine="0"/>
        <w:rPr>
          <w:rFonts w:ascii="Arial" w:hAnsi="Arial" w:cs="Arial"/>
          <w:sz w:val="22"/>
          <w:szCs w:val="22"/>
        </w:rPr>
      </w:pPr>
      <w:r>
        <w:rPr>
          <w:rFonts w:ascii="Arial" w:hAnsi="Arial" w:cs="Arial"/>
          <w:sz w:val="22"/>
          <w:szCs w:val="22"/>
        </w:rPr>
        <w:t>To</w:t>
      </w:r>
      <w:r w:rsidR="00F744EF" w:rsidRPr="00A32901">
        <w:rPr>
          <w:rFonts w:ascii="Arial" w:hAnsi="Arial" w:cs="Arial"/>
          <w:sz w:val="22"/>
          <w:szCs w:val="22"/>
        </w:rPr>
        <w:t xml:space="preserve"> ensure more efficient and confidential data </w:t>
      </w:r>
      <w:r w:rsidR="004F4BD7">
        <w:rPr>
          <w:rFonts w:ascii="Arial" w:hAnsi="Arial" w:cs="Arial"/>
          <w:sz w:val="22"/>
          <w:szCs w:val="22"/>
        </w:rPr>
        <w:t>ma</w:t>
      </w:r>
      <w:r w:rsidR="0009657A">
        <w:rPr>
          <w:rFonts w:ascii="Arial" w:hAnsi="Arial" w:cs="Arial"/>
          <w:sz w:val="22"/>
          <w:szCs w:val="22"/>
        </w:rPr>
        <w:t>nagement</w:t>
      </w:r>
      <w:r w:rsidR="002B078E">
        <w:rPr>
          <w:rFonts w:ascii="Arial" w:hAnsi="Arial" w:cs="Arial"/>
          <w:sz w:val="22"/>
          <w:szCs w:val="22"/>
        </w:rPr>
        <w:t xml:space="preserve">, a new medical </w:t>
      </w:r>
      <w:r w:rsidR="0009657A">
        <w:rPr>
          <w:rFonts w:ascii="Arial" w:hAnsi="Arial" w:cs="Arial"/>
          <w:sz w:val="22"/>
          <w:szCs w:val="22"/>
        </w:rPr>
        <w:t>datab</w:t>
      </w:r>
      <w:r w:rsidR="0009657A" w:rsidRPr="00A32901">
        <w:rPr>
          <w:rFonts w:ascii="Arial" w:hAnsi="Arial" w:cs="Arial"/>
          <w:sz w:val="22"/>
          <w:szCs w:val="22"/>
        </w:rPr>
        <w:t>ase</w:t>
      </w:r>
      <w:r w:rsidR="0009657A">
        <w:rPr>
          <w:rFonts w:ascii="Arial" w:hAnsi="Arial" w:cs="Arial"/>
          <w:sz w:val="22"/>
          <w:szCs w:val="22"/>
        </w:rPr>
        <w:t xml:space="preserve"> “</w:t>
      </w:r>
      <w:r w:rsidR="00F744EF" w:rsidRPr="00A32901">
        <w:rPr>
          <w:rFonts w:ascii="Arial" w:hAnsi="Arial" w:cs="Arial"/>
          <w:sz w:val="22"/>
          <w:szCs w:val="22"/>
        </w:rPr>
        <w:t xml:space="preserve">EarthMed” </w:t>
      </w:r>
      <w:r>
        <w:rPr>
          <w:rFonts w:ascii="Arial" w:hAnsi="Arial" w:cs="Arial"/>
          <w:sz w:val="22"/>
          <w:szCs w:val="22"/>
        </w:rPr>
        <w:t>was</w:t>
      </w:r>
      <w:r w:rsidR="00F744EF" w:rsidRPr="00A32901">
        <w:rPr>
          <w:rFonts w:ascii="Arial" w:hAnsi="Arial" w:cs="Arial"/>
          <w:sz w:val="22"/>
          <w:szCs w:val="22"/>
        </w:rPr>
        <w:t xml:space="preserve"> introduced at WIPO</w:t>
      </w:r>
      <w:r w:rsidR="00517D7F">
        <w:rPr>
          <w:rFonts w:ascii="Arial" w:hAnsi="Arial" w:cs="Arial"/>
          <w:sz w:val="22"/>
          <w:szCs w:val="22"/>
        </w:rPr>
        <w:t xml:space="preserve"> </w:t>
      </w:r>
      <w:r>
        <w:rPr>
          <w:rFonts w:ascii="Arial" w:hAnsi="Arial" w:cs="Arial"/>
          <w:sz w:val="22"/>
          <w:szCs w:val="22"/>
        </w:rPr>
        <w:t xml:space="preserve">in </w:t>
      </w:r>
      <w:r w:rsidR="00517D7F">
        <w:rPr>
          <w:rFonts w:ascii="Arial" w:hAnsi="Arial" w:cs="Arial"/>
          <w:sz w:val="22"/>
          <w:szCs w:val="22"/>
        </w:rPr>
        <w:t>July 2018</w:t>
      </w:r>
      <w:r w:rsidR="00F744EF" w:rsidRPr="00A32901">
        <w:rPr>
          <w:rFonts w:ascii="Arial" w:hAnsi="Arial" w:cs="Arial"/>
          <w:sz w:val="22"/>
          <w:szCs w:val="22"/>
        </w:rPr>
        <w:t xml:space="preserve">. </w:t>
      </w:r>
      <w:r w:rsidR="00517D7F">
        <w:rPr>
          <w:rFonts w:ascii="Arial" w:hAnsi="Arial" w:cs="Arial"/>
          <w:sz w:val="22"/>
          <w:szCs w:val="22"/>
        </w:rPr>
        <w:t xml:space="preserve"> Previous</w:t>
      </w:r>
      <w:r w:rsidR="00B26E67">
        <w:rPr>
          <w:rFonts w:ascii="Arial" w:hAnsi="Arial" w:cs="Arial"/>
          <w:sz w:val="22"/>
          <w:szCs w:val="22"/>
        </w:rPr>
        <w:t>ly,</w:t>
      </w:r>
      <w:r w:rsidR="00517D7F">
        <w:rPr>
          <w:rFonts w:ascii="Arial" w:hAnsi="Arial" w:cs="Arial"/>
          <w:sz w:val="22"/>
          <w:szCs w:val="22"/>
        </w:rPr>
        <w:t xml:space="preserve"> staff’s medical information was </w:t>
      </w:r>
      <w:r w:rsidR="00B26E67">
        <w:rPr>
          <w:rFonts w:ascii="Arial" w:hAnsi="Arial" w:cs="Arial"/>
          <w:sz w:val="22"/>
          <w:szCs w:val="22"/>
        </w:rPr>
        <w:t xml:space="preserve">kept </w:t>
      </w:r>
      <w:r w:rsidR="00517D7F">
        <w:rPr>
          <w:rFonts w:ascii="Arial" w:hAnsi="Arial" w:cs="Arial"/>
          <w:sz w:val="22"/>
          <w:szCs w:val="22"/>
        </w:rPr>
        <w:t xml:space="preserve">on paper files at UNOG-MSS.  These files are now </w:t>
      </w:r>
      <w:r w:rsidR="0009657A">
        <w:rPr>
          <w:rFonts w:ascii="Arial" w:hAnsi="Arial" w:cs="Arial"/>
          <w:sz w:val="22"/>
          <w:szCs w:val="22"/>
        </w:rPr>
        <w:t>with</w:t>
      </w:r>
      <w:r w:rsidR="00517D7F">
        <w:rPr>
          <w:rFonts w:ascii="Arial" w:hAnsi="Arial" w:cs="Arial"/>
          <w:sz w:val="22"/>
          <w:szCs w:val="22"/>
        </w:rPr>
        <w:t xml:space="preserve"> WIPO and will be digitalized and stored </w:t>
      </w:r>
      <w:r w:rsidR="004F4BD7">
        <w:rPr>
          <w:rFonts w:ascii="Arial" w:hAnsi="Arial" w:cs="Arial"/>
          <w:sz w:val="22"/>
          <w:szCs w:val="22"/>
        </w:rPr>
        <w:t>in</w:t>
      </w:r>
      <w:r w:rsidR="00517D7F">
        <w:rPr>
          <w:rFonts w:ascii="Arial" w:hAnsi="Arial" w:cs="Arial"/>
          <w:sz w:val="22"/>
          <w:szCs w:val="22"/>
        </w:rPr>
        <w:t xml:space="preserve"> EarthMed.</w:t>
      </w:r>
    </w:p>
    <w:p w14:paraId="7E7527F9" w14:textId="77777777" w:rsidR="000B29F9" w:rsidRPr="000B29F9" w:rsidRDefault="000B29F9" w:rsidP="000B29F9">
      <w:pPr>
        <w:pStyle w:val="ListParagraph"/>
        <w:rPr>
          <w:rFonts w:ascii="Arial" w:hAnsi="Arial" w:cs="Arial"/>
          <w:sz w:val="22"/>
          <w:szCs w:val="22"/>
        </w:rPr>
      </w:pPr>
    </w:p>
    <w:p w14:paraId="6F8B86E5" w14:textId="2FBC2785" w:rsidR="000B29F9" w:rsidRDefault="000B29F9" w:rsidP="000B29F9">
      <w:pPr>
        <w:pStyle w:val="ListParagraph"/>
        <w:numPr>
          <w:ilvl w:val="0"/>
          <w:numId w:val="21"/>
        </w:numPr>
        <w:ind w:left="0" w:firstLine="0"/>
        <w:rPr>
          <w:rFonts w:ascii="Arial" w:hAnsi="Arial" w:cs="Arial"/>
          <w:sz w:val="22"/>
          <w:szCs w:val="22"/>
        </w:rPr>
      </w:pPr>
      <w:r>
        <w:rPr>
          <w:rFonts w:ascii="Arial" w:hAnsi="Arial" w:cs="Arial"/>
          <w:sz w:val="22"/>
          <w:szCs w:val="22"/>
        </w:rPr>
        <w:lastRenderedPageBreak/>
        <w:t>T</w:t>
      </w:r>
      <w:r w:rsidRPr="00A32901">
        <w:rPr>
          <w:rFonts w:ascii="Arial" w:hAnsi="Arial" w:cs="Arial"/>
          <w:sz w:val="22"/>
          <w:szCs w:val="22"/>
        </w:rPr>
        <w:t xml:space="preserve">he </w:t>
      </w:r>
      <w:r w:rsidR="00E51C27">
        <w:rPr>
          <w:rFonts w:ascii="Arial" w:hAnsi="Arial" w:cs="Arial"/>
          <w:sz w:val="22"/>
          <w:szCs w:val="22"/>
        </w:rPr>
        <w:t>WMU</w:t>
      </w:r>
      <w:r w:rsidRPr="00A32901">
        <w:rPr>
          <w:rFonts w:ascii="Arial" w:hAnsi="Arial" w:cs="Arial"/>
          <w:sz w:val="22"/>
          <w:szCs w:val="22"/>
        </w:rPr>
        <w:t xml:space="preserve"> </w:t>
      </w:r>
      <w:r>
        <w:rPr>
          <w:rFonts w:ascii="Arial" w:hAnsi="Arial" w:cs="Arial"/>
          <w:sz w:val="22"/>
          <w:szCs w:val="22"/>
        </w:rPr>
        <w:t>participates</w:t>
      </w:r>
      <w:r w:rsidRPr="00A32901">
        <w:rPr>
          <w:rFonts w:ascii="Arial" w:hAnsi="Arial" w:cs="Arial"/>
          <w:sz w:val="22"/>
          <w:szCs w:val="22"/>
        </w:rPr>
        <w:t xml:space="preserve"> in several internal WIPO committees </w:t>
      </w:r>
      <w:r>
        <w:rPr>
          <w:rFonts w:ascii="Arial" w:hAnsi="Arial" w:cs="Arial"/>
          <w:sz w:val="22"/>
          <w:szCs w:val="22"/>
        </w:rPr>
        <w:t>and</w:t>
      </w:r>
      <w:r w:rsidRPr="00A32901">
        <w:rPr>
          <w:rFonts w:ascii="Arial" w:hAnsi="Arial" w:cs="Arial"/>
          <w:sz w:val="22"/>
          <w:szCs w:val="22"/>
        </w:rPr>
        <w:t xml:space="preserve"> </w:t>
      </w:r>
      <w:r>
        <w:rPr>
          <w:rFonts w:ascii="Arial" w:hAnsi="Arial" w:cs="Arial"/>
          <w:sz w:val="22"/>
          <w:szCs w:val="22"/>
        </w:rPr>
        <w:t xml:space="preserve">UN </w:t>
      </w:r>
      <w:r w:rsidRPr="00A32901">
        <w:rPr>
          <w:rFonts w:ascii="Arial" w:hAnsi="Arial" w:cs="Arial"/>
          <w:sz w:val="22"/>
          <w:szCs w:val="22"/>
        </w:rPr>
        <w:t>inter</w:t>
      </w:r>
      <w:r w:rsidR="00E51C27">
        <w:rPr>
          <w:rFonts w:ascii="Arial" w:hAnsi="Arial" w:cs="Arial"/>
          <w:sz w:val="22"/>
          <w:szCs w:val="22"/>
        </w:rPr>
        <w:t>-</w:t>
      </w:r>
      <w:r w:rsidRPr="00A32901">
        <w:rPr>
          <w:rFonts w:ascii="Arial" w:hAnsi="Arial" w:cs="Arial"/>
          <w:sz w:val="22"/>
          <w:szCs w:val="22"/>
        </w:rPr>
        <w:t xml:space="preserve">agency </w:t>
      </w:r>
      <w:r w:rsidR="00E1348C">
        <w:rPr>
          <w:rFonts w:ascii="Arial" w:hAnsi="Arial" w:cs="Arial"/>
          <w:sz w:val="22"/>
          <w:szCs w:val="22"/>
        </w:rPr>
        <w:t xml:space="preserve">groups </w:t>
      </w:r>
      <w:r w:rsidRPr="00A32901">
        <w:rPr>
          <w:rFonts w:ascii="Arial" w:hAnsi="Arial" w:cs="Arial"/>
          <w:sz w:val="22"/>
          <w:szCs w:val="22"/>
        </w:rPr>
        <w:t xml:space="preserve">such as </w:t>
      </w:r>
      <w:r>
        <w:rPr>
          <w:rFonts w:ascii="Arial" w:hAnsi="Arial" w:cs="Arial"/>
          <w:sz w:val="22"/>
          <w:szCs w:val="22"/>
        </w:rPr>
        <w:t xml:space="preserve">the </w:t>
      </w:r>
      <w:r w:rsidRPr="00A32901">
        <w:rPr>
          <w:rFonts w:ascii="Arial" w:hAnsi="Arial" w:cs="Arial"/>
          <w:sz w:val="22"/>
          <w:szCs w:val="22"/>
        </w:rPr>
        <w:t xml:space="preserve">Mental Health Strategy Implementation </w:t>
      </w:r>
      <w:r w:rsidR="00E51C27">
        <w:rPr>
          <w:rFonts w:ascii="Arial" w:hAnsi="Arial" w:cs="Arial"/>
          <w:sz w:val="22"/>
          <w:szCs w:val="22"/>
        </w:rPr>
        <w:t>Board and</w:t>
      </w:r>
      <w:r w:rsidRPr="00A32901">
        <w:rPr>
          <w:rFonts w:ascii="Arial" w:hAnsi="Arial" w:cs="Arial"/>
          <w:sz w:val="22"/>
          <w:szCs w:val="22"/>
        </w:rPr>
        <w:t xml:space="preserve"> Return to Work Policy Working Group.</w:t>
      </w:r>
      <w:r>
        <w:rPr>
          <w:rFonts w:ascii="Arial" w:hAnsi="Arial" w:cs="Arial"/>
          <w:sz w:val="22"/>
          <w:szCs w:val="22"/>
        </w:rPr>
        <w:t xml:space="preserve">  Policies and strategies discussed in these </w:t>
      </w:r>
      <w:r w:rsidR="00E51C27">
        <w:rPr>
          <w:rFonts w:ascii="Arial" w:hAnsi="Arial" w:cs="Arial"/>
          <w:sz w:val="22"/>
          <w:szCs w:val="22"/>
        </w:rPr>
        <w:t xml:space="preserve">inter-agency </w:t>
      </w:r>
      <w:r w:rsidR="004F4BD7">
        <w:rPr>
          <w:rFonts w:ascii="Arial" w:hAnsi="Arial" w:cs="Arial"/>
          <w:sz w:val="22"/>
          <w:szCs w:val="22"/>
        </w:rPr>
        <w:t>fora</w:t>
      </w:r>
      <w:r w:rsidR="00F84691">
        <w:rPr>
          <w:rFonts w:ascii="Arial" w:hAnsi="Arial" w:cs="Arial"/>
          <w:sz w:val="22"/>
          <w:szCs w:val="22"/>
        </w:rPr>
        <w:t xml:space="preserve"> will</w:t>
      </w:r>
      <w:r>
        <w:rPr>
          <w:rFonts w:ascii="Arial" w:hAnsi="Arial" w:cs="Arial"/>
          <w:sz w:val="22"/>
          <w:szCs w:val="22"/>
        </w:rPr>
        <w:t xml:space="preserve"> influence the direction </w:t>
      </w:r>
      <w:r w:rsidR="00063F95">
        <w:rPr>
          <w:rFonts w:ascii="Arial" w:hAnsi="Arial" w:cs="Arial"/>
          <w:sz w:val="22"/>
          <w:szCs w:val="22"/>
        </w:rPr>
        <w:t xml:space="preserve">of </w:t>
      </w:r>
      <w:r>
        <w:rPr>
          <w:rFonts w:ascii="Arial" w:hAnsi="Arial" w:cs="Arial"/>
          <w:sz w:val="22"/>
          <w:szCs w:val="22"/>
        </w:rPr>
        <w:t>all UN organizations</w:t>
      </w:r>
      <w:r w:rsidR="00DF6EDE">
        <w:rPr>
          <w:rFonts w:ascii="Arial" w:hAnsi="Arial" w:cs="Arial"/>
          <w:sz w:val="22"/>
          <w:szCs w:val="22"/>
        </w:rPr>
        <w:t>, including WIPO,</w:t>
      </w:r>
      <w:r>
        <w:rPr>
          <w:rFonts w:ascii="Arial" w:hAnsi="Arial" w:cs="Arial"/>
          <w:sz w:val="22"/>
          <w:szCs w:val="22"/>
        </w:rPr>
        <w:t xml:space="preserve"> </w:t>
      </w:r>
      <w:r w:rsidR="004F4BD7">
        <w:rPr>
          <w:rFonts w:ascii="Arial" w:hAnsi="Arial" w:cs="Arial"/>
          <w:sz w:val="22"/>
          <w:szCs w:val="22"/>
        </w:rPr>
        <w:t>and ensure cohere</w:t>
      </w:r>
      <w:r w:rsidR="00F84691">
        <w:rPr>
          <w:rFonts w:ascii="Arial" w:hAnsi="Arial" w:cs="Arial"/>
          <w:sz w:val="22"/>
          <w:szCs w:val="22"/>
        </w:rPr>
        <w:t>nce and consistency in policies</w:t>
      </w:r>
      <w:r>
        <w:rPr>
          <w:rFonts w:ascii="Arial" w:hAnsi="Arial" w:cs="Arial"/>
          <w:sz w:val="22"/>
          <w:szCs w:val="22"/>
        </w:rPr>
        <w:t>.</w:t>
      </w:r>
    </w:p>
    <w:p w14:paraId="1200551D" w14:textId="77777777" w:rsidR="00A32901" w:rsidRPr="00695BAD" w:rsidRDefault="004D7123" w:rsidP="00695BAD">
      <w:pPr>
        <w:pStyle w:val="Heading3"/>
        <w:ind w:left="540"/>
        <w:rPr>
          <w:u w:val="none"/>
        </w:rPr>
      </w:pPr>
      <w:r w:rsidRPr="00695BAD">
        <w:rPr>
          <w:u w:val="none"/>
        </w:rPr>
        <w:t>STAFF</w:t>
      </w:r>
      <w:r w:rsidR="00A32901" w:rsidRPr="00695BAD">
        <w:rPr>
          <w:u w:val="none"/>
        </w:rPr>
        <w:t xml:space="preserve"> WELFARE</w:t>
      </w:r>
    </w:p>
    <w:p w14:paraId="31CDF614" w14:textId="77777777" w:rsidR="00E9350C" w:rsidRPr="00A32901" w:rsidRDefault="00E9350C" w:rsidP="00E9350C">
      <w:pPr>
        <w:pStyle w:val="CommentText"/>
        <w:rPr>
          <w:sz w:val="22"/>
          <w:szCs w:val="22"/>
        </w:rPr>
      </w:pPr>
    </w:p>
    <w:p w14:paraId="45662E1D" w14:textId="16526482" w:rsidR="000619AA" w:rsidRDefault="00851CF1" w:rsidP="00A32901">
      <w:pPr>
        <w:pStyle w:val="ListParagraph"/>
        <w:numPr>
          <w:ilvl w:val="0"/>
          <w:numId w:val="21"/>
        </w:numPr>
        <w:ind w:left="0" w:firstLine="0"/>
        <w:rPr>
          <w:rFonts w:ascii="Arial" w:hAnsi="Arial" w:cs="Arial"/>
          <w:sz w:val="22"/>
          <w:szCs w:val="22"/>
        </w:rPr>
      </w:pPr>
      <w:r>
        <w:rPr>
          <w:rFonts w:ascii="Arial" w:hAnsi="Arial" w:cs="Arial"/>
          <w:sz w:val="22"/>
          <w:szCs w:val="22"/>
        </w:rPr>
        <w:t>Based on</w:t>
      </w:r>
      <w:r w:rsidR="000619AA">
        <w:rPr>
          <w:rFonts w:ascii="Arial" w:hAnsi="Arial" w:cs="Arial"/>
          <w:sz w:val="22"/>
          <w:szCs w:val="22"/>
        </w:rPr>
        <w:t xml:space="preserve"> a proposal to the Program and Budget Committee </w:t>
      </w:r>
      <w:r w:rsidR="008B73D3">
        <w:rPr>
          <w:rFonts w:ascii="Arial" w:hAnsi="Arial" w:cs="Arial"/>
          <w:sz w:val="22"/>
          <w:szCs w:val="22"/>
        </w:rPr>
        <w:t xml:space="preserve">(PBC) </w:t>
      </w:r>
      <w:r w:rsidR="000619AA">
        <w:rPr>
          <w:rFonts w:ascii="Arial" w:hAnsi="Arial" w:cs="Arial"/>
          <w:sz w:val="22"/>
          <w:szCs w:val="22"/>
        </w:rPr>
        <w:t>at its 28</w:t>
      </w:r>
      <w:r w:rsidR="000619AA" w:rsidRPr="000619AA">
        <w:rPr>
          <w:rFonts w:ascii="Arial" w:hAnsi="Arial" w:cs="Arial"/>
          <w:sz w:val="22"/>
          <w:szCs w:val="22"/>
          <w:vertAlign w:val="superscript"/>
        </w:rPr>
        <w:t>th</w:t>
      </w:r>
      <w:r w:rsidR="000619AA">
        <w:rPr>
          <w:rFonts w:ascii="Arial" w:hAnsi="Arial" w:cs="Arial"/>
          <w:sz w:val="22"/>
          <w:szCs w:val="22"/>
        </w:rPr>
        <w:t xml:space="preserve"> session in September 2018, WIPO assessed the prospective needs and the scope of services that could be offered to staff with respect to the provision </w:t>
      </w:r>
      <w:r w:rsidR="00DF6EDE">
        <w:rPr>
          <w:rFonts w:ascii="Arial" w:hAnsi="Arial" w:cs="Arial"/>
          <w:sz w:val="22"/>
          <w:szCs w:val="22"/>
        </w:rPr>
        <w:t>of day</w:t>
      </w:r>
      <w:r w:rsidR="000619AA">
        <w:rPr>
          <w:rFonts w:ascii="Arial" w:hAnsi="Arial" w:cs="Arial"/>
          <w:sz w:val="22"/>
          <w:szCs w:val="22"/>
        </w:rPr>
        <w:t xml:space="preserve">care </w:t>
      </w:r>
      <w:r w:rsidR="00DF6EDE">
        <w:rPr>
          <w:rFonts w:ascii="Arial" w:hAnsi="Arial" w:cs="Arial"/>
          <w:sz w:val="22"/>
          <w:szCs w:val="22"/>
        </w:rPr>
        <w:t>for pre-school age children or crèche services</w:t>
      </w:r>
      <w:r w:rsidR="000619AA">
        <w:rPr>
          <w:rFonts w:ascii="Arial" w:hAnsi="Arial" w:cs="Arial"/>
          <w:sz w:val="22"/>
          <w:szCs w:val="22"/>
        </w:rPr>
        <w:t xml:space="preserve">.  Following </w:t>
      </w:r>
      <w:r w:rsidR="00AA7EAC">
        <w:rPr>
          <w:rFonts w:ascii="Arial" w:hAnsi="Arial" w:cs="Arial"/>
          <w:sz w:val="22"/>
          <w:szCs w:val="22"/>
        </w:rPr>
        <w:t xml:space="preserve">the findings of a </w:t>
      </w:r>
      <w:r w:rsidR="004F4BD7">
        <w:rPr>
          <w:rFonts w:ascii="Arial" w:hAnsi="Arial" w:cs="Arial"/>
          <w:sz w:val="22"/>
          <w:szCs w:val="22"/>
        </w:rPr>
        <w:t>working group</w:t>
      </w:r>
      <w:r w:rsidR="00AA7EAC">
        <w:rPr>
          <w:rFonts w:ascii="Arial" w:hAnsi="Arial" w:cs="Arial"/>
          <w:sz w:val="22"/>
          <w:szCs w:val="22"/>
        </w:rPr>
        <w:t xml:space="preserve"> established for this purpose</w:t>
      </w:r>
      <w:r w:rsidR="000619AA">
        <w:rPr>
          <w:rFonts w:ascii="Arial" w:hAnsi="Arial" w:cs="Arial"/>
          <w:sz w:val="22"/>
          <w:szCs w:val="22"/>
        </w:rPr>
        <w:t>, including the results of</w:t>
      </w:r>
      <w:r w:rsidR="00DF6EDE">
        <w:rPr>
          <w:rFonts w:ascii="Arial" w:hAnsi="Arial" w:cs="Arial"/>
          <w:sz w:val="22"/>
          <w:szCs w:val="22"/>
        </w:rPr>
        <w:t xml:space="preserve"> staff</w:t>
      </w:r>
      <w:r w:rsidR="000619AA">
        <w:rPr>
          <w:rFonts w:ascii="Arial" w:hAnsi="Arial" w:cs="Arial"/>
          <w:sz w:val="22"/>
          <w:szCs w:val="22"/>
        </w:rPr>
        <w:t xml:space="preserve"> surveys conducted in February and March 2019, a</w:t>
      </w:r>
      <w:r w:rsidR="001C191C">
        <w:rPr>
          <w:rFonts w:ascii="Arial" w:hAnsi="Arial" w:cs="Arial"/>
          <w:sz w:val="22"/>
          <w:szCs w:val="22"/>
        </w:rPr>
        <w:t xml:space="preserve"> pilot program will be launched,</w:t>
      </w:r>
      <w:r w:rsidR="000619AA">
        <w:rPr>
          <w:rFonts w:ascii="Arial" w:hAnsi="Arial" w:cs="Arial"/>
          <w:sz w:val="22"/>
          <w:szCs w:val="22"/>
        </w:rPr>
        <w:t xml:space="preserve"> from September 2019, with a crèche located near the WIPO campus</w:t>
      </w:r>
      <w:r w:rsidR="00DF6EDE">
        <w:rPr>
          <w:rFonts w:ascii="Arial" w:hAnsi="Arial" w:cs="Arial"/>
          <w:sz w:val="22"/>
          <w:szCs w:val="22"/>
        </w:rPr>
        <w:t xml:space="preserve"> in Geneva</w:t>
      </w:r>
      <w:r w:rsidR="000619AA">
        <w:rPr>
          <w:rFonts w:ascii="Arial" w:hAnsi="Arial" w:cs="Arial"/>
          <w:sz w:val="22"/>
          <w:szCs w:val="22"/>
        </w:rPr>
        <w:t xml:space="preserve">.  </w:t>
      </w:r>
      <w:r w:rsidR="00B26E67">
        <w:rPr>
          <w:rFonts w:ascii="Arial" w:hAnsi="Arial" w:cs="Arial"/>
          <w:sz w:val="22"/>
          <w:szCs w:val="22"/>
        </w:rPr>
        <w:t>The c</w:t>
      </w:r>
      <w:r w:rsidR="00DF6EDE">
        <w:rPr>
          <w:rFonts w:ascii="Arial" w:hAnsi="Arial" w:cs="Arial"/>
          <w:sz w:val="22"/>
          <w:szCs w:val="22"/>
        </w:rPr>
        <w:t>rèche will assign a limited</w:t>
      </w:r>
      <w:r w:rsidR="001C191C">
        <w:rPr>
          <w:rFonts w:ascii="Arial" w:hAnsi="Arial" w:cs="Arial"/>
          <w:sz w:val="22"/>
          <w:szCs w:val="22"/>
        </w:rPr>
        <w:t xml:space="preserve"> number of places </w:t>
      </w:r>
      <w:r w:rsidR="00AA7EAC">
        <w:rPr>
          <w:rFonts w:ascii="Arial" w:hAnsi="Arial" w:cs="Arial"/>
          <w:sz w:val="22"/>
          <w:szCs w:val="22"/>
        </w:rPr>
        <w:t>on a first-come, first-served basis</w:t>
      </w:r>
      <w:r w:rsidR="001C191C">
        <w:rPr>
          <w:rFonts w:ascii="Arial" w:hAnsi="Arial" w:cs="Arial"/>
          <w:sz w:val="22"/>
          <w:szCs w:val="22"/>
        </w:rPr>
        <w:t xml:space="preserve"> to interested </w:t>
      </w:r>
      <w:r w:rsidR="004F4BD7">
        <w:rPr>
          <w:rFonts w:ascii="Arial" w:hAnsi="Arial" w:cs="Arial"/>
          <w:sz w:val="22"/>
          <w:szCs w:val="22"/>
        </w:rPr>
        <w:t xml:space="preserve">WIPO </w:t>
      </w:r>
      <w:r w:rsidR="001C191C">
        <w:rPr>
          <w:rFonts w:ascii="Arial" w:hAnsi="Arial" w:cs="Arial"/>
          <w:sz w:val="22"/>
          <w:szCs w:val="22"/>
        </w:rPr>
        <w:t>staff members</w:t>
      </w:r>
      <w:r w:rsidR="004F4BD7">
        <w:rPr>
          <w:rFonts w:ascii="Arial" w:hAnsi="Arial" w:cs="Arial"/>
          <w:sz w:val="22"/>
          <w:szCs w:val="22"/>
        </w:rPr>
        <w:t>.</w:t>
      </w:r>
      <w:r w:rsidR="00AA7EAC">
        <w:rPr>
          <w:rFonts w:ascii="Arial" w:hAnsi="Arial" w:cs="Arial"/>
          <w:sz w:val="22"/>
          <w:szCs w:val="22"/>
        </w:rPr>
        <w:t xml:space="preserve">  </w:t>
      </w:r>
      <w:r w:rsidR="00B26E67">
        <w:rPr>
          <w:rFonts w:ascii="Arial" w:hAnsi="Arial" w:cs="Arial"/>
          <w:sz w:val="22"/>
          <w:szCs w:val="22"/>
        </w:rPr>
        <w:t xml:space="preserve">WIPO will provide a </w:t>
      </w:r>
      <w:r w:rsidR="00DF6EDE">
        <w:rPr>
          <w:rFonts w:ascii="Arial" w:hAnsi="Arial" w:cs="Arial"/>
          <w:sz w:val="22"/>
          <w:szCs w:val="22"/>
        </w:rPr>
        <w:t>financial contribution to the crèche</w:t>
      </w:r>
      <w:r w:rsidR="00264B34">
        <w:rPr>
          <w:rFonts w:ascii="Arial" w:hAnsi="Arial" w:cs="Arial"/>
          <w:sz w:val="22"/>
          <w:szCs w:val="22"/>
        </w:rPr>
        <w:t xml:space="preserve"> for places assigned to WIPO staff based on their gross family income, in line with a model </w:t>
      </w:r>
      <w:r w:rsidR="00F84691">
        <w:rPr>
          <w:rFonts w:ascii="Arial" w:hAnsi="Arial" w:cs="Arial"/>
          <w:sz w:val="22"/>
          <w:szCs w:val="22"/>
        </w:rPr>
        <w:t>already in place at the ILO for almost two decades with the same crèche</w:t>
      </w:r>
      <w:r w:rsidR="004F4BD7">
        <w:rPr>
          <w:rFonts w:ascii="Arial" w:hAnsi="Arial" w:cs="Arial"/>
          <w:sz w:val="22"/>
          <w:szCs w:val="22"/>
        </w:rPr>
        <w:t>.</w:t>
      </w:r>
    </w:p>
    <w:p w14:paraId="7C03E7FF" w14:textId="77777777" w:rsidR="001C191C" w:rsidRDefault="001C191C" w:rsidP="001C191C">
      <w:pPr>
        <w:pStyle w:val="ListParagraph"/>
        <w:ind w:left="0"/>
        <w:rPr>
          <w:rFonts w:ascii="Arial" w:hAnsi="Arial" w:cs="Arial"/>
          <w:sz w:val="22"/>
          <w:szCs w:val="22"/>
        </w:rPr>
      </w:pPr>
    </w:p>
    <w:p w14:paraId="3CE81D32" w14:textId="77777777" w:rsidR="00F744EF" w:rsidRDefault="004264BF" w:rsidP="00A32901">
      <w:pPr>
        <w:pStyle w:val="ListParagraph"/>
        <w:numPr>
          <w:ilvl w:val="0"/>
          <w:numId w:val="21"/>
        </w:numPr>
        <w:ind w:left="0" w:firstLine="0"/>
        <w:rPr>
          <w:rFonts w:ascii="Arial" w:hAnsi="Arial" w:cs="Arial"/>
          <w:sz w:val="22"/>
          <w:szCs w:val="22"/>
        </w:rPr>
      </w:pPr>
      <w:r>
        <w:rPr>
          <w:rFonts w:ascii="Arial" w:hAnsi="Arial" w:cs="Arial"/>
          <w:sz w:val="22"/>
          <w:szCs w:val="22"/>
        </w:rPr>
        <w:t>WIPO</w:t>
      </w:r>
      <w:r w:rsidR="000520E2">
        <w:rPr>
          <w:rFonts w:ascii="Arial" w:hAnsi="Arial" w:cs="Arial"/>
          <w:sz w:val="22"/>
          <w:szCs w:val="22"/>
        </w:rPr>
        <w:t>’s staff welfare</w:t>
      </w:r>
      <w:r w:rsidR="00D57BA6">
        <w:rPr>
          <w:rFonts w:ascii="Arial" w:hAnsi="Arial" w:cs="Arial"/>
          <w:sz w:val="22"/>
          <w:szCs w:val="22"/>
        </w:rPr>
        <w:t>-</w:t>
      </w:r>
      <w:r w:rsidR="000520E2">
        <w:rPr>
          <w:rFonts w:ascii="Arial" w:hAnsi="Arial" w:cs="Arial"/>
          <w:sz w:val="22"/>
          <w:szCs w:val="22"/>
        </w:rPr>
        <w:t xml:space="preserve">related initiatives and activities </w:t>
      </w:r>
      <w:r w:rsidR="00E9350C">
        <w:rPr>
          <w:rFonts w:ascii="Arial" w:hAnsi="Arial" w:cs="Arial"/>
          <w:sz w:val="22"/>
          <w:szCs w:val="22"/>
        </w:rPr>
        <w:t>continue to be</w:t>
      </w:r>
      <w:r w:rsidR="000520E2">
        <w:rPr>
          <w:rFonts w:ascii="Arial" w:hAnsi="Arial" w:cs="Arial"/>
          <w:sz w:val="22"/>
          <w:szCs w:val="22"/>
        </w:rPr>
        <w:t xml:space="preserve"> strengthened through the dedicated service of a Staff Counsellor.  D</w:t>
      </w:r>
      <w:r>
        <w:rPr>
          <w:rFonts w:ascii="Arial" w:hAnsi="Arial" w:cs="Arial"/>
          <w:sz w:val="22"/>
          <w:szCs w:val="22"/>
        </w:rPr>
        <w:t>evelop</w:t>
      </w:r>
      <w:r w:rsidR="000520E2">
        <w:rPr>
          <w:rFonts w:ascii="Arial" w:hAnsi="Arial" w:cs="Arial"/>
          <w:sz w:val="22"/>
          <w:szCs w:val="22"/>
        </w:rPr>
        <w:t>ment of a</w:t>
      </w:r>
      <w:r w:rsidR="00F744EF" w:rsidRPr="00A32901">
        <w:rPr>
          <w:rFonts w:ascii="Arial" w:hAnsi="Arial" w:cs="Arial"/>
          <w:sz w:val="22"/>
          <w:szCs w:val="22"/>
        </w:rPr>
        <w:t xml:space="preserve"> Wellbeing Strategy </w:t>
      </w:r>
      <w:r w:rsidR="000520E2">
        <w:rPr>
          <w:rFonts w:ascii="Arial" w:hAnsi="Arial" w:cs="Arial"/>
          <w:sz w:val="22"/>
          <w:szCs w:val="22"/>
        </w:rPr>
        <w:t>was initiated in 2018</w:t>
      </w:r>
      <w:r w:rsidR="00F9486D">
        <w:rPr>
          <w:rFonts w:ascii="Arial" w:hAnsi="Arial" w:cs="Arial"/>
          <w:sz w:val="22"/>
          <w:szCs w:val="22"/>
        </w:rPr>
        <w:t>.  It</w:t>
      </w:r>
      <w:r w:rsidR="00B53151">
        <w:rPr>
          <w:rFonts w:ascii="Arial" w:hAnsi="Arial" w:cs="Arial"/>
          <w:sz w:val="22"/>
          <w:szCs w:val="22"/>
        </w:rPr>
        <w:t xml:space="preserve"> will</w:t>
      </w:r>
      <w:r w:rsidR="00F744EF" w:rsidRPr="00A32901">
        <w:rPr>
          <w:rFonts w:ascii="Arial" w:hAnsi="Arial" w:cs="Arial"/>
          <w:sz w:val="22"/>
          <w:szCs w:val="22"/>
        </w:rPr>
        <w:t xml:space="preserve"> serve as </w:t>
      </w:r>
      <w:r w:rsidR="004D7123">
        <w:rPr>
          <w:rFonts w:ascii="Arial" w:hAnsi="Arial" w:cs="Arial"/>
          <w:sz w:val="22"/>
          <w:szCs w:val="22"/>
        </w:rPr>
        <w:t>the</w:t>
      </w:r>
      <w:r w:rsidR="00F744EF" w:rsidRPr="00A32901">
        <w:rPr>
          <w:rFonts w:ascii="Arial" w:hAnsi="Arial" w:cs="Arial"/>
          <w:sz w:val="22"/>
          <w:szCs w:val="22"/>
        </w:rPr>
        <w:t xml:space="preserve"> overarching framework for initiatives that aim at positively affecting </w:t>
      </w:r>
      <w:r w:rsidR="004D7123">
        <w:rPr>
          <w:rFonts w:ascii="Arial" w:hAnsi="Arial" w:cs="Arial"/>
          <w:sz w:val="22"/>
          <w:szCs w:val="22"/>
        </w:rPr>
        <w:t xml:space="preserve">the </w:t>
      </w:r>
      <w:r w:rsidR="00F744EF" w:rsidRPr="00A32901">
        <w:rPr>
          <w:rFonts w:ascii="Arial" w:hAnsi="Arial" w:cs="Arial"/>
          <w:sz w:val="22"/>
          <w:szCs w:val="22"/>
        </w:rPr>
        <w:t xml:space="preserve">wellbeing and health of WIPO personnel and </w:t>
      </w:r>
      <w:r w:rsidR="004D7123">
        <w:rPr>
          <w:rFonts w:ascii="Arial" w:hAnsi="Arial" w:cs="Arial"/>
          <w:sz w:val="22"/>
          <w:szCs w:val="22"/>
        </w:rPr>
        <w:t>their implementation</w:t>
      </w:r>
      <w:r w:rsidR="00F744EF" w:rsidRPr="00A32901">
        <w:rPr>
          <w:rFonts w:ascii="Arial" w:hAnsi="Arial" w:cs="Arial"/>
          <w:sz w:val="22"/>
          <w:szCs w:val="22"/>
        </w:rPr>
        <w:t xml:space="preserve"> of </w:t>
      </w:r>
      <w:r w:rsidR="004D7123">
        <w:rPr>
          <w:rFonts w:ascii="Arial" w:hAnsi="Arial" w:cs="Arial"/>
          <w:sz w:val="22"/>
          <w:szCs w:val="22"/>
        </w:rPr>
        <w:t xml:space="preserve">their functions </w:t>
      </w:r>
      <w:r w:rsidR="00F744EF" w:rsidRPr="00A32901">
        <w:rPr>
          <w:rFonts w:ascii="Arial" w:hAnsi="Arial" w:cs="Arial"/>
          <w:sz w:val="22"/>
          <w:szCs w:val="22"/>
        </w:rPr>
        <w:t xml:space="preserve">in an atmosphere of </w:t>
      </w:r>
      <w:r w:rsidR="004D7123">
        <w:rPr>
          <w:rFonts w:ascii="Arial" w:hAnsi="Arial" w:cs="Arial"/>
          <w:sz w:val="22"/>
          <w:szCs w:val="22"/>
        </w:rPr>
        <w:t>mutual respect and harmony</w:t>
      </w:r>
      <w:r w:rsidR="00F744EF" w:rsidRPr="00A32901">
        <w:rPr>
          <w:rFonts w:ascii="Arial" w:hAnsi="Arial" w:cs="Arial"/>
          <w:sz w:val="22"/>
          <w:szCs w:val="22"/>
        </w:rPr>
        <w:t>.</w:t>
      </w:r>
    </w:p>
    <w:p w14:paraId="2FB4CEDF" w14:textId="77777777" w:rsidR="00E9350C" w:rsidRDefault="00E9350C" w:rsidP="00E9350C">
      <w:pPr>
        <w:pStyle w:val="ListParagraph"/>
        <w:ind w:left="0"/>
        <w:rPr>
          <w:rFonts w:ascii="Arial" w:hAnsi="Arial" w:cs="Arial"/>
          <w:sz w:val="22"/>
          <w:szCs w:val="22"/>
        </w:rPr>
      </w:pPr>
    </w:p>
    <w:p w14:paraId="46711455" w14:textId="77777777" w:rsidR="00E9350C" w:rsidRDefault="00F744EF" w:rsidP="00E9350C">
      <w:pPr>
        <w:pStyle w:val="ListParagraph"/>
        <w:numPr>
          <w:ilvl w:val="0"/>
          <w:numId w:val="21"/>
        </w:numPr>
        <w:ind w:left="0" w:firstLine="0"/>
        <w:rPr>
          <w:rFonts w:ascii="Arial" w:hAnsi="Arial" w:cs="Arial"/>
          <w:sz w:val="22"/>
          <w:szCs w:val="22"/>
        </w:rPr>
      </w:pPr>
      <w:r w:rsidRPr="00E9350C">
        <w:rPr>
          <w:rFonts w:ascii="Arial" w:hAnsi="Arial" w:cs="Arial"/>
          <w:sz w:val="22"/>
          <w:szCs w:val="22"/>
        </w:rPr>
        <w:t xml:space="preserve">WIPO </w:t>
      </w:r>
      <w:r w:rsidR="000520E2" w:rsidRPr="00E9350C">
        <w:rPr>
          <w:rFonts w:ascii="Arial" w:hAnsi="Arial" w:cs="Arial"/>
          <w:sz w:val="22"/>
          <w:szCs w:val="22"/>
        </w:rPr>
        <w:t xml:space="preserve">also </w:t>
      </w:r>
      <w:r w:rsidRPr="00E9350C">
        <w:rPr>
          <w:rFonts w:ascii="Arial" w:hAnsi="Arial" w:cs="Arial"/>
          <w:sz w:val="22"/>
          <w:szCs w:val="22"/>
        </w:rPr>
        <w:t>continue</w:t>
      </w:r>
      <w:r w:rsidR="000520E2" w:rsidRPr="00E9350C">
        <w:rPr>
          <w:rFonts w:ascii="Arial" w:hAnsi="Arial" w:cs="Arial"/>
          <w:sz w:val="22"/>
          <w:szCs w:val="22"/>
        </w:rPr>
        <w:t>d</w:t>
      </w:r>
      <w:r w:rsidRPr="00E9350C">
        <w:rPr>
          <w:rFonts w:ascii="Arial" w:hAnsi="Arial" w:cs="Arial"/>
          <w:sz w:val="22"/>
          <w:szCs w:val="22"/>
        </w:rPr>
        <w:t xml:space="preserve"> its active involvement in </w:t>
      </w:r>
      <w:r w:rsidR="008A5100" w:rsidRPr="00E9350C">
        <w:rPr>
          <w:rFonts w:ascii="Arial" w:hAnsi="Arial" w:cs="Arial"/>
          <w:sz w:val="22"/>
          <w:szCs w:val="22"/>
        </w:rPr>
        <w:t>inter-</w:t>
      </w:r>
      <w:r w:rsidRPr="00E9350C">
        <w:rPr>
          <w:rFonts w:ascii="Arial" w:hAnsi="Arial" w:cs="Arial"/>
          <w:sz w:val="22"/>
          <w:szCs w:val="22"/>
        </w:rPr>
        <w:t>agency efforts in the area of psychosocial wellbeing and health by participating in the work of</w:t>
      </w:r>
      <w:r w:rsidR="008A5100" w:rsidRPr="00E9350C">
        <w:rPr>
          <w:rFonts w:ascii="Arial" w:hAnsi="Arial" w:cs="Arial"/>
          <w:sz w:val="22"/>
          <w:szCs w:val="22"/>
        </w:rPr>
        <w:t xml:space="preserve"> the</w:t>
      </w:r>
      <w:r w:rsidRPr="00E9350C">
        <w:rPr>
          <w:rFonts w:ascii="Arial" w:hAnsi="Arial" w:cs="Arial"/>
          <w:sz w:val="22"/>
          <w:szCs w:val="22"/>
        </w:rPr>
        <w:t xml:space="preserve"> Inter-Agency Duty of Care Taskforce, Staff </w:t>
      </w:r>
      <w:r w:rsidR="00D72CFC" w:rsidRPr="00E9350C">
        <w:rPr>
          <w:rFonts w:ascii="Arial" w:hAnsi="Arial" w:cs="Arial"/>
          <w:sz w:val="22"/>
          <w:szCs w:val="22"/>
        </w:rPr>
        <w:t xml:space="preserve">and Stress Counsellors network </w:t>
      </w:r>
      <w:r w:rsidRPr="00E9350C">
        <w:rPr>
          <w:rFonts w:ascii="Arial" w:hAnsi="Arial" w:cs="Arial"/>
          <w:sz w:val="22"/>
          <w:szCs w:val="22"/>
        </w:rPr>
        <w:t>and the UN Health Intelligence Working Group</w:t>
      </w:r>
      <w:r w:rsidR="000520E2" w:rsidRPr="00E9350C">
        <w:rPr>
          <w:rFonts w:ascii="Arial" w:hAnsi="Arial" w:cs="Arial"/>
          <w:sz w:val="22"/>
          <w:szCs w:val="22"/>
        </w:rPr>
        <w:t>.  M</w:t>
      </w:r>
      <w:r w:rsidRPr="00E9350C">
        <w:rPr>
          <w:rFonts w:ascii="Arial" w:hAnsi="Arial" w:cs="Arial"/>
          <w:sz w:val="22"/>
          <w:szCs w:val="22"/>
        </w:rPr>
        <w:t>easures that are in line with the recommendations of these inter</w:t>
      </w:r>
      <w:r w:rsidR="008A5100" w:rsidRPr="00E9350C">
        <w:rPr>
          <w:rFonts w:ascii="Arial" w:hAnsi="Arial" w:cs="Arial"/>
          <w:sz w:val="22"/>
          <w:szCs w:val="22"/>
        </w:rPr>
        <w:t>-</w:t>
      </w:r>
      <w:r w:rsidRPr="00E9350C">
        <w:rPr>
          <w:rFonts w:ascii="Arial" w:hAnsi="Arial" w:cs="Arial"/>
          <w:sz w:val="22"/>
          <w:szCs w:val="22"/>
        </w:rPr>
        <w:t>agency fora and best practices of UN organizations</w:t>
      </w:r>
      <w:r w:rsidR="000520E2" w:rsidRPr="00E9350C">
        <w:rPr>
          <w:rFonts w:ascii="Arial" w:hAnsi="Arial" w:cs="Arial"/>
          <w:sz w:val="22"/>
          <w:szCs w:val="22"/>
        </w:rPr>
        <w:t xml:space="preserve"> were developed and implemented</w:t>
      </w:r>
      <w:r w:rsidRPr="00E9350C">
        <w:rPr>
          <w:rFonts w:ascii="Arial" w:hAnsi="Arial" w:cs="Arial"/>
          <w:sz w:val="22"/>
          <w:szCs w:val="22"/>
        </w:rPr>
        <w:t>.</w:t>
      </w:r>
      <w:r w:rsidR="00E9350C" w:rsidRPr="00E9350C">
        <w:rPr>
          <w:rFonts w:ascii="Arial" w:hAnsi="Arial" w:cs="Arial"/>
          <w:sz w:val="22"/>
          <w:szCs w:val="22"/>
        </w:rPr>
        <w:t xml:space="preserve">  </w:t>
      </w:r>
      <w:r w:rsidR="00E9350C">
        <w:rPr>
          <w:rFonts w:ascii="Arial" w:hAnsi="Arial" w:cs="Arial"/>
          <w:sz w:val="22"/>
          <w:szCs w:val="22"/>
        </w:rPr>
        <w:t xml:space="preserve">Some of these measures are:  </w:t>
      </w:r>
      <w:r w:rsidR="00F9486D">
        <w:rPr>
          <w:rFonts w:ascii="Arial" w:hAnsi="Arial" w:cs="Arial"/>
          <w:sz w:val="22"/>
          <w:szCs w:val="22"/>
        </w:rPr>
        <w:t xml:space="preserve">the implementation of the </w:t>
      </w:r>
      <w:r w:rsidR="00E9350C" w:rsidRPr="00E9350C">
        <w:rPr>
          <w:rFonts w:ascii="Arial" w:hAnsi="Arial" w:cs="Arial"/>
          <w:sz w:val="22"/>
          <w:szCs w:val="22"/>
        </w:rPr>
        <w:t>Guidelines on Confidentiality and Ethical Guidelines for staff counsellors</w:t>
      </w:r>
      <w:r w:rsidR="00D57BA6">
        <w:rPr>
          <w:rFonts w:ascii="Arial" w:hAnsi="Arial" w:cs="Arial"/>
          <w:sz w:val="22"/>
          <w:szCs w:val="22"/>
        </w:rPr>
        <w:t xml:space="preserve">; </w:t>
      </w:r>
      <w:r w:rsidR="00ED195A">
        <w:rPr>
          <w:rFonts w:ascii="Arial" w:hAnsi="Arial" w:cs="Arial"/>
          <w:sz w:val="22"/>
          <w:szCs w:val="22"/>
        </w:rPr>
        <w:t xml:space="preserve"> </w:t>
      </w:r>
      <w:r w:rsidR="00F9486D">
        <w:rPr>
          <w:rFonts w:ascii="Arial" w:hAnsi="Arial" w:cs="Arial"/>
          <w:sz w:val="22"/>
          <w:szCs w:val="22"/>
        </w:rPr>
        <w:t xml:space="preserve">implementation of </w:t>
      </w:r>
      <w:r w:rsidR="00ED195A">
        <w:rPr>
          <w:rFonts w:ascii="Arial" w:hAnsi="Arial" w:cs="Arial"/>
          <w:sz w:val="22"/>
          <w:szCs w:val="22"/>
        </w:rPr>
        <w:t>t</w:t>
      </w:r>
      <w:r w:rsidR="00E9350C">
        <w:rPr>
          <w:rFonts w:ascii="Arial" w:hAnsi="Arial" w:cs="Arial"/>
          <w:sz w:val="22"/>
          <w:szCs w:val="22"/>
        </w:rPr>
        <w:t xml:space="preserve">he recommendation of the </w:t>
      </w:r>
      <w:r w:rsidR="00E9350C" w:rsidRPr="00E9350C">
        <w:rPr>
          <w:rFonts w:ascii="Arial" w:hAnsi="Arial" w:cs="Arial"/>
          <w:sz w:val="22"/>
          <w:szCs w:val="22"/>
        </w:rPr>
        <w:t xml:space="preserve">Mental Health Strategy </w:t>
      </w:r>
      <w:r w:rsidR="00E9350C">
        <w:rPr>
          <w:rFonts w:ascii="Arial" w:hAnsi="Arial" w:cs="Arial"/>
          <w:sz w:val="22"/>
          <w:szCs w:val="22"/>
        </w:rPr>
        <w:t xml:space="preserve">Implementation </w:t>
      </w:r>
      <w:r w:rsidR="00E9350C" w:rsidRPr="00E9350C">
        <w:rPr>
          <w:rFonts w:ascii="Arial" w:hAnsi="Arial" w:cs="Arial"/>
          <w:sz w:val="22"/>
          <w:szCs w:val="22"/>
        </w:rPr>
        <w:t>Board to review the health insurance conditions for mental health</w:t>
      </w:r>
      <w:r w:rsidR="00D57BA6">
        <w:rPr>
          <w:rFonts w:ascii="Arial" w:hAnsi="Arial" w:cs="Arial"/>
          <w:sz w:val="22"/>
          <w:szCs w:val="22"/>
        </w:rPr>
        <w:t>,</w:t>
      </w:r>
      <w:r w:rsidR="00E9350C" w:rsidRPr="00E9350C">
        <w:rPr>
          <w:rFonts w:ascii="Arial" w:hAnsi="Arial" w:cs="Arial"/>
          <w:sz w:val="22"/>
          <w:szCs w:val="22"/>
        </w:rPr>
        <w:t xml:space="preserve"> </w:t>
      </w:r>
      <w:r w:rsidR="00F9486D">
        <w:rPr>
          <w:rFonts w:ascii="Arial" w:hAnsi="Arial" w:cs="Arial"/>
          <w:sz w:val="22"/>
          <w:szCs w:val="22"/>
        </w:rPr>
        <w:t xml:space="preserve">following which </w:t>
      </w:r>
      <w:r w:rsidR="00E9350C" w:rsidRPr="00E9350C">
        <w:rPr>
          <w:rFonts w:ascii="Arial" w:hAnsi="Arial" w:cs="Arial"/>
          <w:sz w:val="22"/>
          <w:szCs w:val="22"/>
        </w:rPr>
        <w:t>new conditions</w:t>
      </w:r>
      <w:r w:rsidR="00F9486D">
        <w:rPr>
          <w:rFonts w:ascii="Arial" w:hAnsi="Arial" w:cs="Arial"/>
          <w:sz w:val="22"/>
          <w:szCs w:val="22"/>
        </w:rPr>
        <w:t xml:space="preserve"> were</w:t>
      </w:r>
      <w:r w:rsidR="00E9350C" w:rsidRPr="00E9350C">
        <w:rPr>
          <w:rFonts w:ascii="Arial" w:hAnsi="Arial" w:cs="Arial"/>
          <w:sz w:val="22"/>
          <w:szCs w:val="22"/>
        </w:rPr>
        <w:t xml:space="preserve"> re-negotiated with </w:t>
      </w:r>
      <w:r w:rsidR="00E9350C">
        <w:rPr>
          <w:rFonts w:ascii="Arial" w:hAnsi="Arial" w:cs="Arial"/>
          <w:sz w:val="22"/>
          <w:szCs w:val="22"/>
        </w:rPr>
        <w:t>WIPO’s health insurance provider</w:t>
      </w:r>
      <w:r w:rsidR="00D57BA6">
        <w:rPr>
          <w:rFonts w:ascii="Arial" w:hAnsi="Arial" w:cs="Arial"/>
          <w:sz w:val="22"/>
          <w:szCs w:val="22"/>
        </w:rPr>
        <w:t xml:space="preserve">; </w:t>
      </w:r>
      <w:r w:rsidR="00ED195A">
        <w:rPr>
          <w:rFonts w:ascii="Arial" w:hAnsi="Arial" w:cs="Arial"/>
          <w:sz w:val="22"/>
          <w:szCs w:val="22"/>
        </w:rPr>
        <w:t xml:space="preserve"> and m</w:t>
      </w:r>
      <w:r w:rsidR="00E9350C" w:rsidRPr="00E9350C">
        <w:rPr>
          <w:rFonts w:ascii="Arial" w:hAnsi="Arial" w:cs="Arial"/>
          <w:sz w:val="22"/>
          <w:szCs w:val="22"/>
        </w:rPr>
        <w:t xml:space="preserve">ainstreaming of wellbeing and </w:t>
      </w:r>
      <w:r w:rsidR="00D57BA6">
        <w:rPr>
          <w:rFonts w:ascii="Arial" w:hAnsi="Arial" w:cs="Arial"/>
          <w:sz w:val="22"/>
          <w:szCs w:val="22"/>
        </w:rPr>
        <w:t xml:space="preserve">a </w:t>
      </w:r>
      <w:r w:rsidR="00E9350C" w:rsidRPr="00E9350C">
        <w:rPr>
          <w:rFonts w:ascii="Arial" w:hAnsi="Arial" w:cs="Arial"/>
          <w:sz w:val="22"/>
          <w:szCs w:val="22"/>
        </w:rPr>
        <w:t xml:space="preserve">case management approach to </w:t>
      </w:r>
      <w:r w:rsidR="00E9350C" w:rsidRPr="00F9486D">
        <w:rPr>
          <w:rFonts w:ascii="Arial" w:hAnsi="Arial" w:cs="Arial"/>
          <w:sz w:val="22"/>
          <w:szCs w:val="22"/>
        </w:rPr>
        <w:t xml:space="preserve">wellbeing and mental health as standard practice at WIPO </w:t>
      </w:r>
      <w:r w:rsidR="00ED195A" w:rsidRPr="00F9486D">
        <w:rPr>
          <w:rFonts w:ascii="Arial" w:hAnsi="Arial" w:cs="Arial"/>
          <w:sz w:val="22"/>
          <w:szCs w:val="22"/>
        </w:rPr>
        <w:t>through</w:t>
      </w:r>
      <w:r w:rsidR="00E9350C" w:rsidRPr="00F9486D">
        <w:rPr>
          <w:rFonts w:ascii="Arial" w:hAnsi="Arial" w:cs="Arial"/>
          <w:sz w:val="22"/>
          <w:szCs w:val="22"/>
        </w:rPr>
        <w:t xml:space="preserve"> </w:t>
      </w:r>
      <w:r w:rsidR="00ED195A" w:rsidRPr="00F9486D">
        <w:rPr>
          <w:rFonts w:ascii="Arial" w:hAnsi="Arial" w:cs="Arial"/>
          <w:sz w:val="22"/>
          <w:szCs w:val="22"/>
        </w:rPr>
        <w:t>increased</w:t>
      </w:r>
      <w:r w:rsidR="00E9350C" w:rsidRPr="00F9486D">
        <w:rPr>
          <w:rFonts w:ascii="Arial" w:hAnsi="Arial" w:cs="Arial"/>
          <w:sz w:val="22"/>
          <w:szCs w:val="22"/>
        </w:rPr>
        <w:t xml:space="preserve"> multi-disciplinary collaboration.</w:t>
      </w:r>
    </w:p>
    <w:p w14:paraId="7B25DA1D" w14:textId="77777777" w:rsidR="00AD689C" w:rsidRPr="00AD689C" w:rsidRDefault="00AD689C" w:rsidP="00AD689C">
      <w:pPr>
        <w:pStyle w:val="ListParagraph"/>
        <w:rPr>
          <w:rFonts w:ascii="Arial" w:hAnsi="Arial" w:cs="Arial"/>
          <w:sz w:val="22"/>
          <w:szCs w:val="22"/>
        </w:rPr>
      </w:pPr>
    </w:p>
    <w:p w14:paraId="762D978C" w14:textId="366CDFD1" w:rsidR="00AD689C" w:rsidRPr="00F9486D" w:rsidRDefault="00AD689C" w:rsidP="00E9350C">
      <w:pPr>
        <w:pStyle w:val="ListParagraph"/>
        <w:numPr>
          <w:ilvl w:val="0"/>
          <w:numId w:val="21"/>
        </w:numPr>
        <w:ind w:left="0" w:firstLine="0"/>
        <w:rPr>
          <w:rFonts w:ascii="Arial" w:hAnsi="Arial" w:cs="Arial"/>
          <w:sz w:val="22"/>
          <w:szCs w:val="22"/>
        </w:rPr>
      </w:pPr>
      <w:r>
        <w:rPr>
          <w:rFonts w:ascii="Arial" w:hAnsi="Arial" w:cs="Arial"/>
          <w:sz w:val="22"/>
          <w:szCs w:val="22"/>
        </w:rPr>
        <w:t>Support for new WIPO staff and non-staff personnel is provided during onboarding.  Serving staff members receive assistance on a variety of welfare issues relating to them or their dependents</w:t>
      </w:r>
      <w:r w:rsidR="009E52CA">
        <w:rPr>
          <w:rFonts w:ascii="Arial" w:hAnsi="Arial" w:cs="Arial"/>
          <w:sz w:val="22"/>
          <w:szCs w:val="22"/>
        </w:rPr>
        <w:t xml:space="preserve"> and </w:t>
      </w:r>
      <w:r>
        <w:rPr>
          <w:rFonts w:ascii="Arial" w:hAnsi="Arial" w:cs="Arial"/>
          <w:sz w:val="22"/>
          <w:szCs w:val="22"/>
        </w:rPr>
        <w:t>for retirement</w:t>
      </w:r>
      <w:r w:rsidR="00DE2F38">
        <w:rPr>
          <w:rFonts w:ascii="Arial" w:hAnsi="Arial" w:cs="Arial"/>
          <w:sz w:val="22"/>
          <w:szCs w:val="22"/>
        </w:rPr>
        <w:t xml:space="preserve"> preparation</w:t>
      </w:r>
      <w:r>
        <w:rPr>
          <w:rFonts w:ascii="Arial" w:hAnsi="Arial" w:cs="Arial"/>
          <w:sz w:val="22"/>
          <w:szCs w:val="22"/>
        </w:rPr>
        <w:t>.  WIPO retirees benefit from organizational support on social and health matters, including after-service health insurance</w:t>
      </w:r>
      <w:r w:rsidR="00600249">
        <w:rPr>
          <w:rFonts w:ascii="Arial" w:hAnsi="Arial" w:cs="Arial"/>
          <w:sz w:val="22"/>
          <w:szCs w:val="22"/>
        </w:rPr>
        <w:t>.</w:t>
      </w:r>
      <w:r>
        <w:rPr>
          <w:rFonts w:ascii="Arial" w:hAnsi="Arial" w:cs="Arial"/>
          <w:sz w:val="22"/>
          <w:szCs w:val="22"/>
        </w:rPr>
        <w:t xml:space="preserve"> </w:t>
      </w:r>
    </w:p>
    <w:p w14:paraId="4E1BD05E" w14:textId="77777777" w:rsidR="00F9486D" w:rsidRPr="00F9486D" w:rsidRDefault="00F9486D" w:rsidP="00F9486D">
      <w:pPr>
        <w:pStyle w:val="ListParagraph"/>
        <w:rPr>
          <w:rFonts w:ascii="Arial" w:hAnsi="Arial" w:cs="Arial"/>
          <w:sz w:val="22"/>
          <w:szCs w:val="22"/>
        </w:rPr>
      </w:pPr>
    </w:p>
    <w:p w14:paraId="1C157F64" w14:textId="77777777" w:rsidR="00ED195A" w:rsidRPr="00F9486D" w:rsidRDefault="00F744EF" w:rsidP="00F9486D">
      <w:pPr>
        <w:pStyle w:val="ListParagraph"/>
        <w:numPr>
          <w:ilvl w:val="0"/>
          <w:numId w:val="21"/>
        </w:numPr>
        <w:ind w:left="0" w:firstLine="0"/>
        <w:rPr>
          <w:rFonts w:ascii="Arial" w:hAnsi="Arial" w:cs="Arial"/>
          <w:sz w:val="22"/>
          <w:szCs w:val="22"/>
        </w:rPr>
      </w:pPr>
      <w:r w:rsidRPr="00F9486D">
        <w:rPr>
          <w:rFonts w:ascii="Arial" w:hAnsi="Arial" w:cs="Arial"/>
          <w:sz w:val="22"/>
          <w:szCs w:val="22"/>
        </w:rPr>
        <w:t>Finally, the WIPO Occupational Safety and Health Committee</w:t>
      </w:r>
      <w:r w:rsidR="00F9486D">
        <w:rPr>
          <w:rFonts w:ascii="Arial" w:hAnsi="Arial" w:cs="Arial"/>
          <w:sz w:val="22"/>
          <w:szCs w:val="22"/>
        </w:rPr>
        <w:t>,</w:t>
      </w:r>
      <w:r w:rsidRPr="00F9486D">
        <w:rPr>
          <w:rFonts w:ascii="Arial" w:hAnsi="Arial" w:cs="Arial"/>
          <w:sz w:val="22"/>
          <w:szCs w:val="22"/>
        </w:rPr>
        <w:t xml:space="preserve"> comp</w:t>
      </w:r>
      <w:r w:rsidR="00D57BA6">
        <w:rPr>
          <w:rFonts w:ascii="Arial" w:hAnsi="Arial" w:cs="Arial"/>
          <w:sz w:val="22"/>
          <w:szCs w:val="22"/>
        </w:rPr>
        <w:t>o</w:t>
      </w:r>
      <w:r w:rsidRPr="00F9486D">
        <w:rPr>
          <w:rFonts w:ascii="Arial" w:hAnsi="Arial" w:cs="Arial"/>
          <w:sz w:val="22"/>
          <w:szCs w:val="22"/>
        </w:rPr>
        <w:t>sed of relevant services and staff representatives</w:t>
      </w:r>
      <w:r w:rsidR="00F9486D">
        <w:rPr>
          <w:rFonts w:ascii="Arial" w:hAnsi="Arial" w:cs="Arial"/>
          <w:sz w:val="22"/>
          <w:szCs w:val="22"/>
        </w:rPr>
        <w:t>,</w:t>
      </w:r>
      <w:r w:rsidRPr="00F9486D">
        <w:rPr>
          <w:rFonts w:ascii="Arial" w:hAnsi="Arial" w:cs="Arial"/>
          <w:sz w:val="22"/>
          <w:szCs w:val="22"/>
        </w:rPr>
        <w:t xml:space="preserve"> meets regularly and </w:t>
      </w:r>
      <w:r w:rsidR="00ED195A" w:rsidRPr="00F9486D">
        <w:rPr>
          <w:rFonts w:ascii="Arial" w:hAnsi="Arial" w:cs="Arial"/>
          <w:sz w:val="22"/>
          <w:szCs w:val="22"/>
        </w:rPr>
        <w:t>provide</w:t>
      </w:r>
      <w:r w:rsidR="00DF6EDE">
        <w:rPr>
          <w:rFonts w:ascii="Arial" w:hAnsi="Arial" w:cs="Arial"/>
          <w:sz w:val="22"/>
          <w:szCs w:val="22"/>
        </w:rPr>
        <w:t>s</w:t>
      </w:r>
      <w:r w:rsidR="00ED195A" w:rsidRPr="00F9486D">
        <w:rPr>
          <w:rFonts w:ascii="Arial" w:hAnsi="Arial" w:cs="Arial"/>
          <w:sz w:val="22"/>
          <w:szCs w:val="22"/>
        </w:rPr>
        <w:t xml:space="preserve"> a forum for discussion and coordination of issues related </w:t>
      </w:r>
      <w:r w:rsidRPr="00F9486D">
        <w:rPr>
          <w:rFonts w:ascii="Arial" w:hAnsi="Arial" w:cs="Arial"/>
          <w:sz w:val="22"/>
          <w:szCs w:val="22"/>
        </w:rPr>
        <w:t>to</w:t>
      </w:r>
      <w:r w:rsidR="00A32901" w:rsidRPr="00F9486D">
        <w:rPr>
          <w:rFonts w:ascii="Arial" w:hAnsi="Arial" w:cs="Arial"/>
          <w:sz w:val="22"/>
          <w:szCs w:val="22"/>
        </w:rPr>
        <w:t xml:space="preserve"> safety, health and wellbeing</w:t>
      </w:r>
      <w:r w:rsidR="00975B76">
        <w:rPr>
          <w:rFonts w:ascii="Arial" w:hAnsi="Arial" w:cs="Arial"/>
          <w:sz w:val="22"/>
          <w:szCs w:val="22"/>
        </w:rPr>
        <w:t>, such as</w:t>
      </w:r>
      <w:r w:rsidR="00F9486D" w:rsidRPr="00F9486D">
        <w:rPr>
          <w:rFonts w:ascii="Arial" w:hAnsi="Arial" w:cs="Arial"/>
          <w:sz w:val="22"/>
          <w:szCs w:val="22"/>
        </w:rPr>
        <w:t>:</w:t>
      </w:r>
      <w:r w:rsidR="00ED195A" w:rsidRPr="00F9486D">
        <w:rPr>
          <w:rFonts w:ascii="Arial" w:hAnsi="Arial" w:cs="Arial"/>
          <w:sz w:val="22"/>
          <w:szCs w:val="22"/>
        </w:rPr>
        <w:t xml:space="preserve">  distribution of iodine pills, us</w:t>
      </w:r>
      <w:r w:rsidR="00DF6EDE">
        <w:rPr>
          <w:rFonts w:ascii="Arial" w:hAnsi="Arial" w:cs="Arial"/>
          <w:sz w:val="22"/>
          <w:szCs w:val="22"/>
        </w:rPr>
        <w:t>e</w:t>
      </w:r>
      <w:r w:rsidR="00ED195A" w:rsidRPr="00F9486D">
        <w:rPr>
          <w:rFonts w:ascii="Arial" w:hAnsi="Arial" w:cs="Arial"/>
          <w:sz w:val="22"/>
          <w:szCs w:val="22"/>
        </w:rPr>
        <w:t xml:space="preserve"> of e-bicycles by WIPO </w:t>
      </w:r>
      <w:r w:rsidR="00F9486D" w:rsidRPr="00F9486D">
        <w:rPr>
          <w:rFonts w:ascii="Arial" w:hAnsi="Arial" w:cs="Arial"/>
          <w:sz w:val="22"/>
          <w:szCs w:val="22"/>
        </w:rPr>
        <w:t xml:space="preserve">personnel, </w:t>
      </w:r>
      <w:r w:rsidR="00ED195A" w:rsidRPr="00F9486D">
        <w:rPr>
          <w:rFonts w:ascii="Arial" w:hAnsi="Arial" w:cs="Arial"/>
          <w:sz w:val="22"/>
          <w:szCs w:val="22"/>
        </w:rPr>
        <w:t xml:space="preserve">ongoing renovations of WIPO premises, </w:t>
      </w:r>
      <w:r w:rsidR="00F9486D">
        <w:rPr>
          <w:rFonts w:ascii="Arial" w:hAnsi="Arial" w:cs="Arial"/>
          <w:sz w:val="22"/>
          <w:szCs w:val="22"/>
        </w:rPr>
        <w:t>staff wellbeing strategy</w:t>
      </w:r>
      <w:r w:rsidR="00ED195A" w:rsidRPr="00F9486D">
        <w:rPr>
          <w:rFonts w:ascii="Arial" w:hAnsi="Arial" w:cs="Arial"/>
          <w:sz w:val="22"/>
          <w:szCs w:val="22"/>
        </w:rPr>
        <w:t>, occupancy and fire safety</w:t>
      </w:r>
      <w:r w:rsidR="00F9486D">
        <w:rPr>
          <w:rFonts w:ascii="Arial" w:hAnsi="Arial" w:cs="Arial"/>
          <w:sz w:val="22"/>
          <w:szCs w:val="22"/>
        </w:rPr>
        <w:t xml:space="preserve"> of meetings rooms</w:t>
      </w:r>
      <w:r w:rsidR="00ED195A" w:rsidRPr="00F9486D">
        <w:rPr>
          <w:rFonts w:ascii="Arial" w:hAnsi="Arial" w:cs="Arial"/>
          <w:sz w:val="22"/>
          <w:szCs w:val="22"/>
        </w:rPr>
        <w:t>, workspace and office furniture, UN guidelines on air po</w:t>
      </w:r>
      <w:r w:rsidR="00F9486D">
        <w:rPr>
          <w:rFonts w:ascii="Arial" w:hAnsi="Arial" w:cs="Arial"/>
          <w:sz w:val="22"/>
          <w:szCs w:val="22"/>
        </w:rPr>
        <w:t xml:space="preserve">llution, </w:t>
      </w:r>
      <w:r w:rsidR="00DF6EDE">
        <w:rPr>
          <w:rFonts w:ascii="Arial" w:hAnsi="Arial" w:cs="Arial"/>
          <w:sz w:val="22"/>
          <w:szCs w:val="22"/>
        </w:rPr>
        <w:t xml:space="preserve">provision of </w:t>
      </w:r>
      <w:r w:rsidR="00F9486D">
        <w:rPr>
          <w:rFonts w:ascii="Arial" w:hAnsi="Arial" w:cs="Arial"/>
          <w:sz w:val="22"/>
          <w:szCs w:val="22"/>
        </w:rPr>
        <w:t xml:space="preserve">cafeteria </w:t>
      </w:r>
      <w:r w:rsidR="00DF6EDE">
        <w:rPr>
          <w:rFonts w:ascii="Arial" w:hAnsi="Arial" w:cs="Arial"/>
          <w:sz w:val="22"/>
          <w:szCs w:val="22"/>
        </w:rPr>
        <w:t xml:space="preserve">services for colleagues holding offices outside the main WIPO campus </w:t>
      </w:r>
      <w:r w:rsidR="00F9486D">
        <w:rPr>
          <w:rFonts w:ascii="Arial" w:hAnsi="Arial" w:cs="Arial"/>
          <w:sz w:val="22"/>
          <w:szCs w:val="22"/>
        </w:rPr>
        <w:t>and</w:t>
      </w:r>
      <w:r w:rsidR="00ED195A" w:rsidRPr="00F9486D">
        <w:rPr>
          <w:rFonts w:ascii="Arial" w:hAnsi="Arial" w:cs="Arial"/>
          <w:sz w:val="22"/>
          <w:szCs w:val="22"/>
        </w:rPr>
        <w:t xml:space="preserve"> open space arrangements</w:t>
      </w:r>
      <w:r w:rsidR="00F9486D">
        <w:rPr>
          <w:rFonts w:ascii="Arial" w:hAnsi="Arial" w:cs="Arial"/>
          <w:sz w:val="22"/>
          <w:szCs w:val="22"/>
        </w:rPr>
        <w:t>.</w:t>
      </w:r>
    </w:p>
    <w:p w14:paraId="3EC38465" w14:textId="2291E28A" w:rsidR="00E22A3F" w:rsidRPr="00695BAD" w:rsidRDefault="00695BAD" w:rsidP="00CA7A5A">
      <w:pPr>
        <w:pStyle w:val="Heading3"/>
        <w:ind w:left="540"/>
        <w:rPr>
          <w:u w:val="none"/>
        </w:rPr>
      </w:pPr>
      <w:r w:rsidRPr="00695BAD">
        <w:rPr>
          <w:u w:val="none"/>
        </w:rPr>
        <w:lastRenderedPageBreak/>
        <w:t>PROMOTING A RESPECTFUL AND HARMONIOUS WORKPLACE, FREE FROM HARASSMENT</w:t>
      </w:r>
    </w:p>
    <w:p w14:paraId="6DBAE1FE" w14:textId="77777777" w:rsidR="00E22A3F" w:rsidRPr="00E22A3F" w:rsidRDefault="00E22A3F" w:rsidP="00E22A3F">
      <w:pPr>
        <w:pStyle w:val="ListParagraph"/>
        <w:rPr>
          <w:rFonts w:ascii="Arial" w:hAnsi="Arial" w:cs="Arial"/>
          <w:sz w:val="22"/>
          <w:szCs w:val="22"/>
        </w:rPr>
      </w:pPr>
    </w:p>
    <w:p w14:paraId="357CBC2B" w14:textId="09D330DE" w:rsidR="00E22A3F" w:rsidRPr="00E17A10" w:rsidRDefault="00E22A3F" w:rsidP="00E22A3F">
      <w:pPr>
        <w:pStyle w:val="ListParagraph"/>
        <w:numPr>
          <w:ilvl w:val="0"/>
          <w:numId w:val="21"/>
        </w:numPr>
        <w:ind w:left="0" w:firstLine="0"/>
        <w:rPr>
          <w:rFonts w:ascii="Arial" w:hAnsi="Arial" w:cs="Arial"/>
          <w:sz w:val="22"/>
          <w:szCs w:val="22"/>
        </w:rPr>
      </w:pPr>
      <w:r w:rsidRPr="00E22A3F">
        <w:rPr>
          <w:rFonts w:ascii="Arial" w:hAnsi="Arial" w:cs="Arial"/>
          <w:sz w:val="22"/>
          <w:szCs w:val="22"/>
        </w:rPr>
        <w:t xml:space="preserve">WIPO participated in </w:t>
      </w:r>
      <w:r w:rsidR="002906E7">
        <w:rPr>
          <w:rFonts w:ascii="Arial" w:hAnsi="Arial" w:cs="Arial"/>
          <w:sz w:val="22"/>
          <w:szCs w:val="22"/>
        </w:rPr>
        <w:t>the</w:t>
      </w:r>
      <w:r w:rsidR="00E17A10">
        <w:rPr>
          <w:rFonts w:ascii="Arial" w:hAnsi="Arial" w:cs="Arial"/>
          <w:sz w:val="22"/>
          <w:szCs w:val="22"/>
        </w:rPr>
        <w:t xml:space="preserve"> UN system-wide </w:t>
      </w:r>
      <w:r w:rsidRPr="00E22A3F">
        <w:rPr>
          <w:rFonts w:ascii="Arial" w:hAnsi="Arial" w:cs="Arial"/>
          <w:sz w:val="22"/>
          <w:szCs w:val="22"/>
        </w:rPr>
        <w:t>“Safe Space: Survey on Sexual Harassment in our Workplace”, the results of which showed a high level of prevalence of sex</w:t>
      </w:r>
      <w:r w:rsidR="00E17A10">
        <w:rPr>
          <w:rFonts w:ascii="Arial" w:hAnsi="Arial" w:cs="Arial"/>
          <w:sz w:val="22"/>
          <w:szCs w:val="22"/>
        </w:rPr>
        <w:t>ual harassment throughout the UN</w:t>
      </w:r>
      <w:r w:rsidRPr="00E22A3F">
        <w:rPr>
          <w:rFonts w:ascii="Arial" w:hAnsi="Arial" w:cs="Arial"/>
          <w:sz w:val="22"/>
          <w:szCs w:val="22"/>
        </w:rPr>
        <w:t xml:space="preserve"> system.</w:t>
      </w:r>
      <w:r w:rsidR="00824864">
        <w:rPr>
          <w:rFonts w:ascii="Arial" w:hAnsi="Arial" w:cs="Arial"/>
          <w:sz w:val="22"/>
          <w:szCs w:val="22"/>
        </w:rPr>
        <w:t xml:space="preserve"> </w:t>
      </w:r>
      <w:r w:rsidRPr="00E22A3F">
        <w:rPr>
          <w:rFonts w:ascii="Arial" w:hAnsi="Arial" w:cs="Arial"/>
          <w:sz w:val="22"/>
          <w:szCs w:val="22"/>
        </w:rPr>
        <w:t xml:space="preserve"> </w:t>
      </w:r>
      <w:r w:rsidR="00F84691">
        <w:rPr>
          <w:rFonts w:ascii="Arial" w:hAnsi="Arial" w:cs="Arial"/>
          <w:sz w:val="22"/>
          <w:szCs w:val="22"/>
        </w:rPr>
        <w:t>WIPO has joined efforts</w:t>
      </w:r>
      <w:r w:rsidR="00600249">
        <w:rPr>
          <w:rFonts w:ascii="Arial" w:hAnsi="Arial" w:cs="Arial"/>
          <w:sz w:val="22"/>
          <w:szCs w:val="22"/>
        </w:rPr>
        <w:t xml:space="preserve"> with</w:t>
      </w:r>
      <w:r w:rsidR="00E17A10">
        <w:rPr>
          <w:rFonts w:ascii="Arial" w:hAnsi="Arial" w:cs="Arial"/>
          <w:sz w:val="22"/>
          <w:szCs w:val="22"/>
        </w:rPr>
        <w:t xml:space="preserve"> other organizations to ensure a harassment-free workplace by introducing measures that focus on </w:t>
      </w:r>
      <w:r w:rsidR="00DE2F38">
        <w:rPr>
          <w:rFonts w:ascii="Arial" w:hAnsi="Arial" w:cs="Arial"/>
          <w:sz w:val="22"/>
          <w:szCs w:val="22"/>
        </w:rPr>
        <w:t>promoting</w:t>
      </w:r>
      <w:r w:rsidR="00E17A10">
        <w:rPr>
          <w:rFonts w:ascii="Arial" w:hAnsi="Arial" w:cs="Arial"/>
          <w:sz w:val="22"/>
          <w:szCs w:val="22"/>
        </w:rPr>
        <w:t xml:space="preserve"> a </w:t>
      </w:r>
      <w:r w:rsidR="00E17A10" w:rsidRPr="00E17A10">
        <w:rPr>
          <w:rFonts w:ascii="Arial" w:hAnsi="Arial" w:cs="Arial"/>
          <w:sz w:val="22"/>
          <w:szCs w:val="22"/>
        </w:rPr>
        <w:t xml:space="preserve">respectful and harmonious workplace.  </w:t>
      </w:r>
      <w:r w:rsidRPr="00E17A10">
        <w:rPr>
          <w:rFonts w:ascii="Arial" w:hAnsi="Arial" w:cs="Arial"/>
          <w:sz w:val="22"/>
          <w:szCs w:val="22"/>
        </w:rPr>
        <w:t>In 2019, WIPO will be engaging managers, staff and non-sta</w:t>
      </w:r>
      <w:r w:rsidR="00E17A10" w:rsidRPr="00E17A10">
        <w:rPr>
          <w:rFonts w:ascii="Arial" w:hAnsi="Arial" w:cs="Arial"/>
          <w:sz w:val="22"/>
          <w:szCs w:val="22"/>
        </w:rPr>
        <w:t>ff personnel in various actions</w:t>
      </w:r>
      <w:r w:rsidRPr="00E17A10">
        <w:rPr>
          <w:rFonts w:ascii="Arial" w:hAnsi="Arial" w:cs="Arial"/>
          <w:sz w:val="22"/>
          <w:szCs w:val="22"/>
        </w:rPr>
        <w:t>, including:</w:t>
      </w:r>
    </w:p>
    <w:p w14:paraId="0D4B90DF" w14:textId="77777777" w:rsidR="00E17A10" w:rsidRPr="00E17A10" w:rsidRDefault="00E17A10" w:rsidP="00E17A10">
      <w:pPr>
        <w:pStyle w:val="ListParagraph"/>
        <w:ind w:left="0"/>
        <w:rPr>
          <w:rFonts w:ascii="Arial" w:hAnsi="Arial" w:cs="Arial"/>
          <w:sz w:val="22"/>
          <w:szCs w:val="22"/>
        </w:rPr>
      </w:pPr>
    </w:p>
    <w:p w14:paraId="270166EC" w14:textId="77777777" w:rsidR="00E22A3F" w:rsidRDefault="00824864" w:rsidP="00B8520B">
      <w:pPr>
        <w:pStyle w:val="ListParagraph"/>
        <w:numPr>
          <w:ilvl w:val="0"/>
          <w:numId w:val="32"/>
        </w:numPr>
        <w:ind w:left="851" w:hanging="284"/>
        <w:rPr>
          <w:rFonts w:ascii="Arial" w:hAnsi="Arial" w:cs="Arial"/>
          <w:sz w:val="22"/>
          <w:szCs w:val="22"/>
        </w:rPr>
      </w:pPr>
      <w:r>
        <w:rPr>
          <w:rFonts w:ascii="Arial" w:hAnsi="Arial" w:cs="Arial"/>
          <w:sz w:val="22"/>
          <w:szCs w:val="22"/>
        </w:rPr>
        <w:t>a</w:t>
      </w:r>
      <w:r w:rsidR="00E22A3F" w:rsidRPr="00E17A10">
        <w:rPr>
          <w:rFonts w:ascii="Arial" w:hAnsi="Arial" w:cs="Arial"/>
          <w:sz w:val="22"/>
          <w:szCs w:val="22"/>
        </w:rPr>
        <w:t xml:space="preserve">n organization-wide campaign to raise awareness of all personnel on what is appropriate behavior and what is not, and </w:t>
      </w:r>
      <w:r w:rsidR="00E17A10">
        <w:rPr>
          <w:rFonts w:ascii="Arial" w:hAnsi="Arial" w:cs="Arial"/>
          <w:sz w:val="22"/>
          <w:szCs w:val="22"/>
        </w:rPr>
        <w:t>to ensure</w:t>
      </w:r>
      <w:r w:rsidR="00E22A3F" w:rsidRPr="00E17A10">
        <w:rPr>
          <w:rFonts w:ascii="Arial" w:hAnsi="Arial" w:cs="Arial"/>
          <w:sz w:val="22"/>
          <w:szCs w:val="22"/>
        </w:rPr>
        <w:t xml:space="preserve"> that everyone can easily find information </w:t>
      </w:r>
      <w:r w:rsidR="00E17A10">
        <w:rPr>
          <w:rFonts w:ascii="Arial" w:hAnsi="Arial" w:cs="Arial"/>
          <w:sz w:val="22"/>
          <w:szCs w:val="22"/>
        </w:rPr>
        <w:t>and assistance</w:t>
      </w:r>
      <w:r w:rsidR="00E22A3F" w:rsidRPr="00E17A10">
        <w:rPr>
          <w:rFonts w:ascii="Arial" w:hAnsi="Arial" w:cs="Arial"/>
          <w:sz w:val="22"/>
          <w:szCs w:val="22"/>
        </w:rPr>
        <w:t xml:space="preserve"> in case an</w:t>
      </w:r>
      <w:r w:rsidR="00E17A10">
        <w:rPr>
          <w:rFonts w:ascii="Arial" w:hAnsi="Arial" w:cs="Arial"/>
          <w:sz w:val="22"/>
          <w:szCs w:val="22"/>
        </w:rPr>
        <w:t xml:space="preserve"> issue arises;</w:t>
      </w:r>
    </w:p>
    <w:p w14:paraId="7BD63024" w14:textId="77777777" w:rsidR="00E17A10" w:rsidRDefault="00E17A10" w:rsidP="00B8520B">
      <w:pPr>
        <w:pStyle w:val="ListParagraph"/>
        <w:ind w:left="851" w:hanging="284"/>
        <w:rPr>
          <w:rFonts w:ascii="Arial" w:hAnsi="Arial" w:cs="Arial"/>
          <w:sz w:val="22"/>
          <w:szCs w:val="22"/>
        </w:rPr>
      </w:pPr>
    </w:p>
    <w:p w14:paraId="6301CF0F" w14:textId="77777777" w:rsidR="00E22A3F" w:rsidRDefault="00824864" w:rsidP="00B8520B">
      <w:pPr>
        <w:pStyle w:val="ListParagraph"/>
        <w:numPr>
          <w:ilvl w:val="0"/>
          <w:numId w:val="32"/>
        </w:numPr>
        <w:ind w:left="851" w:hanging="284"/>
        <w:rPr>
          <w:rFonts w:ascii="Arial" w:hAnsi="Arial" w:cs="Arial"/>
          <w:sz w:val="22"/>
          <w:szCs w:val="22"/>
        </w:rPr>
      </w:pPr>
      <w:r>
        <w:rPr>
          <w:rFonts w:ascii="Arial" w:hAnsi="Arial" w:cs="Arial"/>
          <w:sz w:val="22"/>
          <w:szCs w:val="22"/>
        </w:rPr>
        <w:t>i</w:t>
      </w:r>
      <w:r w:rsidR="00E22A3F" w:rsidRPr="00E17A10">
        <w:rPr>
          <w:rFonts w:ascii="Arial" w:hAnsi="Arial" w:cs="Arial"/>
          <w:sz w:val="22"/>
          <w:szCs w:val="22"/>
        </w:rPr>
        <w:t>nte</w:t>
      </w:r>
      <w:r w:rsidR="00E17A10">
        <w:rPr>
          <w:rFonts w:ascii="Arial" w:hAnsi="Arial" w:cs="Arial"/>
          <w:sz w:val="22"/>
          <w:szCs w:val="22"/>
        </w:rPr>
        <w:t xml:space="preserve">grating awareness-raising of WIPO’s zero-tolerance policy </w:t>
      </w:r>
      <w:r w:rsidR="002906E7">
        <w:rPr>
          <w:rFonts w:ascii="Arial" w:hAnsi="Arial" w:cs="Arial"/>
          <w:sz w:val="22"/>
          <w:szCs w:val="22"/>
        </w:rPr>
        <w:t>for</w:t>
      </w:r>
      <w:r w:rsidR="00E22A3F" w:rsidRPr="00E17A10">
        <w:rPr>
          <w:rFonts w:ascii="Arial" w:hAnsi="Arial" w:cs="Arial"/>
          <w:sz w:val="22"/>
          <w:szCs w:val="22"/>
        </w:rPr>
        <w:t xml:space="preserve"> harassment and discrimination in key processes, such as the induction program for newcomers and the performance evaluation process;</w:t>
      </w:r>
      <w:r>
        <w:rPr>
          <w:rFonts w:ascii="Arial" w:hAnsi="Arial" w:cs="Arial"/>
          <w:sz w:val="22"/>
          <w:szCs w:val="22"/>
        </w:rPr>
        <w:t xml:space="preserve">  and</w:t>
      </w:r>
    </w:p>
    <w:p w14:paraId="57716790" w14:textId="77777777" w:rsidR="00E17A10" w:rsidRPr="00E17A10" w:rsidRDefault="00E17A10" w:rsidP="00B8520B">
      <w:pPr>
        <w:pStyle w:val="ListParagraph"/>
        <w:ind w:left="851" w:hanging="284"/>
        <w:rPr>
          <w:rFonts w:ascii="Arial" w:hAnsi="Arial" w:cs="Arial"/>
          <w:sz w:val="22"/>
          <w:szCs w:val="22"/>
        </w:rPr>
      </w:pPr>
    </w:p>
    <w:p w14:paraId="349ED57B" w14:textId="77777777" w:rsidR="00824864" w:rsidRDefault="00A65D7B" w:rsidP="00B8520B">
      <w:pPr>
        <w:pStyle w:val="ListParagraph"/>
        <w:numPr>
          <w:ilvl w:val="0"/>
          <w:numId w:val="32"/>
        </w:numPr>
        <w:ind w:left="851" w:hanging="284"/>
        <w:rPr>
          <w:rFonts w:ascii="Arial" w:hAnsi="Arial" w:cs="Arial"/>
          <w:sz w:val="22"/>
          <w:szCs w:val="22"/>
        </w:rPr>
      </w:pPr>
      <w:r>
        <w:rPr>
          <w:rFonts w:ascii="Arial" w:hAnsi="Arial" w:cs="Arial"/>
          <w:sz w:val="22"/>
          <w:szCs w:val="22"/>
        </w:rPr>
        <w:t>c</w:t>
      </w:r>
      <w:r w:rsidR="00E22A3F" w:rsidRPr="00E17A10">
        <w:rPr>
          <w:rFonts w:ascii="Arial" w:hAnsi="Arial" w:cs="Arial"/>
          <w:sz w:val="22"/>
          <w:szCs w:val="22"/>
        </w:rPr>
        <w:t xml:space="preserve">onducting training sessions to build capacity and skills of managers and of all </w:t>
      </w:r>
      <w:r w:rsidR="00083A2B">
        <w:rPr>
          <w:rFonts w:ascii="Arial" w:hAnsi="Arial" w:cs="Arial"/>
          <w:sz w:val="22"/>
          <w:szCs w:val="22"/>
        </w:rPr>
        <w:t xml:space="preserve">WIPO </w:t>
      </w:r>
      <w:r w:rsidR="00E22A3F" w:rsidRPr="00E17A10">
        <w:rPr>
          <w:rFonts w:ascii="Arial" w:hAnsi="Arial" w:cs="Arial"/>
          <w:sz w:val="22"/>
          <w:szCs w:val="22"/>
        </w:rPr>
        <w:t xml:space="preserve">personnel </w:t>
      </w:r>
      <w:r w:rsidR="00083A2B">
        <w:rPr>
          <w:rFonts w:ascii="Arial" w:hAnsi="Arial" w:cs="Arial"/>
          <w:sz w:val="22"/>
          <w:szCs w:val="22"/>
        </w:rPr>
        <w:t>in jointly nurturing</w:t>
      </w:r>
      <w:r w:rsidR="00E22A3F" w:rsidRPr="00E17A10">
        <w:rPr>
          <w:rFonts w:ascii="Arial" w:hAnsi="Arial" w:cs="Arial"/>
          <w:sz w:val="22"/>
          <w:szCs w:val="22"/>
        </w:rPr>
        <w:t xml:space="preserve"> a respectful and harmonious workplace.</w:t>
      </w:r>
    </w:p>
    <w:p w14:paraId="4C70A52D" w14:textId="77777777" w:rsidR="00824864" w:rsidRPr="008607C2" w:rsidRDefault="00824864" w:rsidP="008607C2">
      <w:pPr>
        <w:pStyle w:val="ListParagraph"/>
        <w:rPr>
          <w:rFonts w:ascii="Arial" w:hAnsi="Arial" w:cs="Arial"/>
          <w:sz w:val="22"/>
          <w:szCs w:val="22"/>
        </w:rPr>
      </w:pPr>
    </w:p>
    <w:p w14:paraId="187D92DB" w14:textId="54A5E58B" w:rsidR="00E22A3F" w:rsidRPr="008607C2" w:rsidRDefault="002906E7" w:rsidP="008607C2">
      <w:pPr>
        <w:pStyle w:val="ListParagraph"/>
        <w:numPr>
          <w:ilvl w:val="0"/>
          <w:numId w:val="21"/>
        </w:numPr>
        <w:ind w:left="0" w:firstLine="0"/>
        <w:rPr>
          <w:rFonts w:ascii="Arial" w:hAnsi="Arial" w:cs="Arial"/>
          <w:sz w:val="22"/>
          <w:szCs w:val="22"/>
        </w:rPr>
      </w:pPr>
      <w:r>
        <w:rPr>
          <w:rFonts w:ascii="Arial" w:hAnsi="Arial" w:cs="Arial"/>
          <w:sz w:val="22"/>
          <w:szCs w:val="22"/>
        </w:rPr>
        <w:t xml:space="preserve">Regarding </w:t>
      </w:r>
      <w:r w:rsidR="00824864" w:rsidRPr="008607C2">
        <w:rPr>
          <w:rFonts w:ascii="Arial" w:hAnsi="Arial" w:cs="Arial"/>
          <w:sz w:val="22"/>
          <w:szCs w:val="22"/>
        </w:rPr>
        <w:t xml:space="preserve">this </w:t>
      </w:r>
      <w:r w:rsidR="00824864" w:rsidRPr="002906E7">
        <w:rPr>
          <w:rFonts w:ascii="Arial" w:hAnsi="Arial" w:cs="Arial"/>
          <w:sz w:val="22"/>
          <w:szCs w:val="22"/>
        </w:rPr>
        <w:t>last point,</w:t>
      </w:r>
      <w:r>
        <w:rPr>
          <w:rFonts w:ascii="Arial" w:hAnsi="Arial" w:cs="Arial"/>
          <w:sz w:val="22"/>
          <w:szCs w:val="22"/>
        </w:rPr>
        <w:t xml:space="preserve"> </w:t>
      </w:r>
      <w:r w:rsidR="00E22A3F" w:rsidRPr="002906E7">
        <w:rPr>
          <w:rFonts w:ascii="Arial" w:hAnsi="Arial" w:cs="Arial"/>
          <w:sz w:val="22"/>
          <w:szCs w:val="22"/>
        </w:rPr>
        <w:t>WIPO launch</w:t>
      </w:r>
      <w:r w:rsidR="00E17A10" w:rsidRPr="002906E7">
        <w:rPr>
          <w:rFonts w:ascii="Arial" w:hAnsi="Arial" w:cs="Arial"/>
          <w:sz w:val="22"/>
          <w:szCs w:val="22"/>
        </w:rPr>
        <w:t>ed</w:t>
      </w:r>
      <w:r w:rsidR="00E22A3F" w:rsidRPr="00824864">
        <w:rPr>
          <w:rFonts w:ascii="Arial" w:hAnsi="Arial" w:cs="Arial"/>
          <w:sz w:val="22"/>
          <w:szCs w:val="22"/>
        </w:rPr>
        <w:t xml:space="preserve"> </w:t>
      </w:r>
      <w:r>
        <w:rPr>
          <w:rFonts w:ascii="Arial" w:hAnsi="Arial" w:cs="Arial"/>
          <w:sz w:val="22"/>
          <w:szCs w:val="22"/>
        </w:rPr>
        <w:t xml:space="preserve">in May 2019 </w:t>
      </w:r>
      <w:r w:rsidR="00E22A3F" w:rsidRPr="00824864">
        <w:rPr>
          <w:rFonts w:ascii="Arial" w:hAnsi="Arial" w:cs="Arial"/>
          <w:sz w:val="22"/>
          <w:szCs w:val="22"/>
        </w:rPr>
        <w:t xml:space="preserve">a mandatory </w:t>
      </w:r>
      <w:r w:rsidR="00D72CFC" w:rsidRPr="00824864">
        <w:rPr>
          <w:rFonts w:ascii="Arial" w:hAnsi="Arial" w:cs="Arial"/>
          <w:sz w:val="22"/>
          <w:szCs w:val="22"/>
        </w:rPr>
        <w:t>online</w:t>
      </w:r>
      <w:r w:rsidR="00E22A3F" w:rsidRPr="00824864">
        <w:rPr>
          <w:rFonts w:ascii="Arial" w:hAnsi="Arial" w:cs="Arial"/>
          <w:sz w:val="22"/>
          <w:szCs w:val="22"/>
        </w:rPr>
        <w:t xml:space="preserve"> course</w:t>
      </w:r>
      <w:r w:rsidR="00D72CFC" w:rsidRPr="00824864">
        <w:rPr>
          <w:rFonts w:ascii="Arial" w:hAnsi="Arial" w:cs="Arial"/>
          <w:sz w:val="22"/>
          <w:szCs w:val="22"/>
        </w:rPr>
        <w:t xml:space="preserve"> on</w:t>
      </w:r>
      <w:r w:rsidR="00E22A3F" w:rsidRPr="00824864">
        <w:rPr>
          <w:rFonts w:ascii="Arial" w:hAnsi="Arial" w:cs="Arial"/>
          <w:sz w:val="22"/>
          <w:szCs w:val="22"/>
        </w:rPr>
        <w:t xml:space="preserve"> “Working Together Harmoniously”,</w:t>
      </w:r>
      <w:r w:rsidR="00083A2B" w:rsidRPr="00824864">
        <w:rPr>
          <w:rFonts w:ascii="Arial" w:hAnsi="Arial" w:cs="Arial"/>
          <w:sz w:val="22"/>
          <w:szCs w:val="22"/>
        </w:rPr>
        <w:t xml:space="preserve"> </w:t>
      </w:r>
      <w:r w:rsidR="00E22A3F" w:rsidRPr="00824864">
        <w:rPr>
          <w:rFonts w:ascii="Arial" w:hAnsi="Arial" w:cs="Arial"/>
          <w:sz w:val="22"/>
          <w:szCs w:val="22"/>
        </w:rPr>
        <w:t xml:space="preserve">which </w:t>
      </w:r>
      <w:r w:rsidR="00083A2B" w:rsidRPr="00824864">
        <w:rPr>
          <w:rFonts w:ascii="Arial" w:hAnsi="Arial" w:cs="Arial"/>
          <w:sz w:val="22"/>
          <w:szCs w:val="22"/>
        </w:rPr>
        <w:t>also</w:t>
      </w:r>
      <w:r w:rsidR="00E17A10" w:rsidRPr="00824864">
        <w:rPr>
          <w:rFonts w:ascii="Arial" w:hAnsi="Arial" w:cs="Arial"/>
          <w:sz w:val="22"/>
          <w:szCs w:val="22"/>
        </w:rPr>
        <w:t xml:space="preserve"> address</w:t>
      </w:r>
      <w:r>
        <w:rPr>
          <w:rFonts w:ascii="Arial" w:hAnsi="Arial" w:cs="Arial"/>
          <w:sz w:val="22"/>
          <w:szCs w:val="22"/>
        </w:rPr>
        <w:t>e</w:t>
      </w:r>
      <w:r w:rsidR="007E1B66">
        <w:rPr>
          <w:rFonts w:ascii="Arial" w:hAnsi="Arial" w:cs="Arial"/>
          <w:sz w:val="22"/>
          <w:szCs w:val="22"/>
        </w:rPr>
        <w:t>s</w:t>
      </w:r>
      <w:r w:rsidR="00E17A10" w:rsidRPr="00824864">
        <w:rPr>
          <w:rFonts w:ascii="Arial" w:hAnsi="Arial" w:cs="Arial"/>
          <w:sz w:val="22"/>
          <w:szCs w:val="22"/>
        </w:rPr>
        <w:t xml:space="preserve"> harassment.  </w:t>
      </w:r>
      <w:r>
        <w:rPr>
          <w:rFonts w:ascii="Arial" w:hAnsi="Arial" w:cs="Arial"/>
          <w:sz w:val="22"/>
          <w:szCs w:val="22"/>
        </w:rPr>
        <w:t>The first part of the course is</w:t>
      </w:r>
      <w:r w:rsidR="00083A2B" w:rsidRPr="00824864">
        <w:rPr>
          <w:rFonts w:ascii="Arial" w:hAnsi="Arial" w:cs="Arial"/>
          <w:sz w:val="22"/>
          <w:szCs w:val="22"/>
        </w:rPr>
        <w:t xml:space="preserve"> mandatory for all WIPO staff</w:t>
      </w:r>
      <w:r w:rsidR="00824864">
        <w:rPr>
          <w:rFonts w:ascii="Arial" w:hAnsi="Arial" w:cs="Arial"/>
          <w:sz w:val="22"/>
          <w:szCs w:val="22"/>
        </w:rPr>
        <w:t>,</w:t>
      </w:r>
      <w:r w:rsidR="00083A2B" w:rsidRPr="00824864">
        <w:rPr>
          <w:rFonts w:ascii="Arial" w:hAnsi="Arial" w:cs="Arial"/>
          <w:sz w:val="22"/>
          <w:szCs w:val="22"/>
        </w:rPr>
        <w:t xml:space="preserve"> while</w:t>
      </w:r>
      <w:r w:rsidR="00FD14C0" w:rsidRPr="00824864">
        <w:rPr>
          <w:rFonts w:ascii="Arial" w:hAnsi="Arial" w:cs="Arial"/>
          <w:sz w:val="22"/>
          <w:szCs w:val="22"/>
        </w:rPr>
        <w:t xml:space="preserve"> </w:t>
      </w:r>
      <w:r w:rsidR="00083A2B" w:rsidRPr="00824864">
        <w:rPr>
          <w:rFonts w:ascii="Arial" w:hAnsi="Arial" w:cs="Arial"/>
          <w:sz w:val="22"/>
          <w:szCs w:val="22"/>
        </w:rPr>
        <w:t>non-staff</w:t>
      </w:r>
      <w:r w:rsidR="00E22A3F" w:rsidRPr="00824864">
        <w:rPr>
          <w:rFonts w:ascii="Arial" w:hAnsi="Arial" w:cs="Arial"/>
          <w:sz w:val="22"/>
          <w:szCs w:val="22"/>
        </w:rPr>
        <w:t xml:space="preserve"> personnel are strongly encouraged to complete it.</w:t>
      </w:r>
      <w:r w:rsidR="00824864">
        <w:rPr>
          <w:rFonts w:ascii="Arial" w:hAnsi="Arial" w:cs="Arial"/>
          <w:sz w:val="22"/>
          <w:szCs w:val="22"/>
        </w:rPr>
        <w:t xml:space="preserve"> </w:t>
      </w:r>
      <w:r w:rsidR="00E22A3F" w:rsidRPr="00824864">
        <w:rPr>
          <w:rFonts w:ascii="Arial" w:hAnsi="Arial" w:cs="Arial"/>
          <w:sz w:val="22"/>
          <w:szCs w:val="22"/>
        </w:rPr>
        <w:t xml:space="preserve"> </w:t>
      </w:r>
      <w:r>
        <w:rPr>
          <w:rFonts w:ascii="Arial" w:hAnsi="Arial" w:cs="Arial"/>
          <w:sz w:val="22"/>
          <w:szCs w:val="22"/>
        </w:rPr>
        <w:t>The second part</w:t>
      </w:r>
      <w:r w:rsidR="00E22A3F" w:rsidRPr="00824864">
        <w:rPr>
          <w:rFonts w:ascii="Arial" w:hAnsi="Arial" w:cs="Arial"/>
          <w:sz w:val="22"/>
          <w:szCs w:val="22"/>
        </w:rPr>
        <w:t xml:space="preserve"> has been specifically designed</w:t>
      </w:r>
      <w:r w:rsidR="00083A2B" w:rsidRPr="00824864">
        <w:rPr>
          <w:rFonts w:ascii="Arial" w:hAnsi="Arial" w:cs="Arial"/>
          <w:sz w:val="22"/>
          <w:szCs w:val="22"/>
        </w:rPr>
        <w:t xml:space="preserve"> and made mandatory</w:t>
      </w:r>
      <w:r w:rsidR="00E22A3F" w:rsidRPr="00824864">
        <w:rPr>
          <w:rFonts w:ascii="Arial" w:hAnsi="Arial" w:cs="Arial"/>
          <w:sz w:val="22"/>
          <w:szCs w:val="22"/>
        </w:rPr>
        <w:t xml:space="preserve"> for managers</w:t>
      </w:r>
      <w:r w:rsidR="00D72CFC" w:rsidRPr="00824864">
        <w:rPr>
          <w:rFonts w:ascii="Arial" w:hAnsi="Arial" w:cs="Arial"/>
          <w:sz w:val="22"/>
          <w:szCs w:val="22"/>
        </w:rPr>
        <w:t>,</w:t>
      </w:r>
      <w:r w:rsidR="00083A2B" w:rsidRPr="00824864">
        <w:rPr>
          <w:rFonts w:ascii="Arial" w:hAnsi="Arial" w:cs="Arial"/>
          <w:sz w:val="22"/>
          <w:szCs w:val="22"/>
        </w:rPr>
        <w:t xml:space="preserve"> recognizing the key role that they play in</w:t>
      </w:r>
      <w:r w:rsidR="00E22A3F" w:rsidRPr="008607C2">
        <w:rPr>
          <w:rFonts w:ascii="Arial" w:hAnsi="Arial" w:cs="Arial"/>
          <w:sz w:val="22"/>
          <w:szCs w:val="22"/>
        </w:rPr>
        <w:t xml:space="preserve"> promoting a respectful and harmonious workplace</w:t>
      </w:r>
      <w:r w:rsidR="00083A2B" w:rsidRPr="008607C2">
        <w:rPr>
          <w:rFonts w:ascii="Arial" w:hAnsi="Arial" w:cs="Arial"/>
          <w:sz w:val="22"/>
          <w:szCs w:val="22"/>
        </w:rPr>
        <w:t xml:space="preserve">, while all </w:t>
      </w:r>
      <w:r w:rsidR="00E22A3F" w:rsidRPr="008607C2">
        <w:rPr>
          <w:rFonts w:ascii="Arial" w:hAnsi="Arial" w:cs="Arial"/>
          <w:sz w:val="22"/>
          <w:szCs w:val="22"/>
        </w:rPr>
        <w:t xml:space="preserve">WIPO </w:t>
      </w:r>
      <w:r w:rsidR="00083A2B" w:rsidRPr="008607C2">
        <w:rPr>
          <w:rFonts w:ascii="Arial" w:hAnsi="Arial" w:cs="Arial"/>
          <w:sz w:val="22"/>
          <w:szCs w:val="22"/>
        </w:rPr>
        <w:t>personnel are encouraged to</w:t>
      </w:r>
      <w:r w:rsidR="00E22A3F" w:rsidRPr="008607C2">
        <w:rPr>
          <w:rFonts w:ascii="Arial" w:hAnsi="Arial" w:cs="Arial"/>
          <w:sz w:val="22"/>
          <w:szCs w:val="22"/>
        </w:rPr>
        <w:t xml:space="preserve"> complete it. </w:t>
      </w:r>
      <w:r w:rsidR="00083A2B" w:rsidRPr="008607C2">
        <w:rPr>
          <w:rFonts w:ascii="Arial" w:hAnsi="Arial" w:cs="Arial"/>
          <w:sz w:val="22"/>
          <w:szCs w:val="22"/>
        </w:rPr>
        <w:t xml:space="preserve"> </w:t>
      </w:r>
      <w:r>
        <w:rPr>
          <w:rFonts w:ascii="Arial" w:hAnsi="Arial" w:cs="Arial"/>
          <w:sz w:val="22"/>
          <w:szCs w:val="22"/>
        </w:rPr>
        <w:t>The online course</w:t>
      </w:r>
      <w:r w:rsidR="00D72CFC" w:rsidRPr="008607C2">
        <w:rPr>
          <w:rFonts w:ascii="Arial" w:hAnsi="Arial" w:cs="Arial"/>
          <w:sz w:val="22"/>
          <w:szCs w:val="22"/>
        </w:rPr>
        <w:t xml:space="preserve"> will be supplemented by specific, in-person</w:t>
      </w:r>
      <w:r w:rsidR="00E22A3F" w:rsidRPr="008607C2">
        <w:rPr>
          <w:rFonts w:ascii="Arial" w:hAnsi="Arial" w:cs="Arial"/>
          <w:sz w:val="22"/>
          <w:szCs w:val="22"/>
        </w:rPr>
        <w:t xml:space="preserve"> workshops for managers and</w:t>
      </w:r>
      <w:r w:rsidR="00D72CFC" w:rsidRPr="008607C2">
        <w:rPr>
          <w:rFonts w:ascii="Arial" w:hAnsi="Arial" w:cs="Arial"/>
          <w:sz w:val="22"/>
          <w:szCs w:val="22"/>
        </w:rPr>
        <w:t xml:space="preserve"> team</w:t>
      </w:r>
      <w:r w:rsidR="00E22A3F" w:rsidRPr="008607C2">
        <w:rPr>
          <w:rFonts w:ascii="Arial" w:hAnsi="Arial" w:cs="Arial"/>
          <w:sz w:val="22"/>
          <w:szCs w:val="22"/>
        </w:rPr>
        <w:t xml:space="preserve"> workshops for all WIPO personnel</w:t>
      </w:r>
      <w:r w:rsidR="00E9392C" w:rsidRPr="008607C2">
        <w:rPr>
          <w:rFonts w:ascii="Arial" w:hAnsi="Arial" w:cs="Arial"/>
          <w:sz w:val="22"/>
          <w:szCs w:val="22"/>
        </w:rPr>
        <w:t>.</w:t>
      </w:r>
    </w:p>
    <w:p w14:paraId="1AF90F76" w14:textId="77777777" w:rsidR="00A32901" w:rsidRPr="00CA7A5A" w:rsidRDefault="00A32901" w:rsidP="00CA7A5A">
      <w:pPr>
        <w:pStyle w:val="Heading3"/>
        <w:ind w:left="540"/>
        <w:rPr>
          <w:u w:val="none"/>
        </w:rPr>
      </w:pPr>
      <w:r w:rsidRPr="00CA7A5A">
        <w:rPr>
          <w:u w:val="none"/>
        </w:rPr>
        <w:t>INTERNAL JUSTICE – FORMAL CONFLICT RESOLUTION AND DISCIPLINARY CASES</w:t>
      </w:r>
    </w:p>
    <w:p w14:paraId="5FD2D3B1" w14:textId="77777777" w:rsidR="00A32901" w:rsidRPr="00BE4A3C" w:rsidRDefault="00A32901" w:rsidP="00A32901">
      <w:pPr>
        <w:pStyle w:val="ListParagraph"/>
        <w:ind w:left="567"/>
        <w:rPr>
          <w:rFonts w:ascii="Arial" w:hAnsi="Arial" w:cs="Arial"/>
          <w:sz w:val="22"/>
          <w:szCs w:val="22"/>
        </w:rPr>
      </w:pPr>
    </w:p>
    <w:p w14:paraId="3610257D" w14:textId="06066342" w:rsidR="00011C7B" w:rsidRPr="00BE4A3C" w:rsidRDefault="00011C7B" w:rsidP="00A32901">
      <w:pPr>
        <w:pStyle w:val="ListParagraph"/>
        <w:numPr>
          <w:ilvl w:val="0"/>
          <w:numId w:val="21"/>
        </w:numPr>
        <w:ind w:left="0" w:firstLine="0"/>
        <w:rPr>
          <w:rFonts w:ascii="Arial" w:hAnsi="Arial" w:cs="Arial"/>
          <w:sz w:val="22"/>
          <w:szCs w:val="22"/>
        </w:rPr>
      </w:pPr>
      <w:r w:rsidRPr="00BE4A3C">
        <w:rPr>
          <w:rFonts w:ascii="Arial" w:hAnsi="Arial" w:cs="Arial"/>
          <w:sz w:val="22"/>
          <w:szCs w:val="22"/>
        </w:rPr>
        <w:t xml:space="preserve">Tables </w:t>
      </w:r>
      <w:r w:rsidR="00542A9C">
        <w:rPr>
          <w:rFonts w:ascii="Arial" w:hAnsi="Arial" w:cs="Arial"/>
          <w:sz w:val="22"/>
          <w:szCs w:val="22"/>
        </w:rPr>
        <w:t xml:space="preserve">25 </w:t>
      </w:r>
      <w:r w:rsidRPr="00BE4A3C">
        <w:rPr>
          <w:rFonts w:ascii="Arial" w:hAnsi="Arial" w:cs="Arial"/>
          <w:sz w:val="22"/>
          <w:szCs w:val="22"/>
        </w:rPr>
        <w:t xml:space="preserve">and </w:t>
      </w:r>
      <w:r w:rsidR="00542A9C">
        <w:rPr>
          <w:rFonts w:ascii="Arial" w:hAnsi="Arial" w:cs="Arial"/>
          <w:sz w:val="22"/>
          <w:szCs w:val="22"/>
        </w:rPr>
        <w:t>26</w:t>
      </w:r>
      <w:r w:rsidRPr="00BE4A3C">
        <w:rPr>
          <w:rFonts w:ascii="Arial" w:hAnsi="Arial" w:cs="Arial"/>
          <w:sz w:val="22"/>
          <w:szCs w:val="22"/>
        </w:rPr>
        <w:t xml:space="preserve"> show the number of cases filed by staff through the internal justice system between July 1, 2018 and June 30, 2019, and the subject matter of these cases. </w:t>
      </w:r>
      <w:r w:rsidR="006E60AA" w:rsidRPr="00BE4A3C">
        <w:rPr>
          <w:rFonts w:ascii="Arial" w:hAnsi="Arial" w:cs="Arial"/>
          <w:sz w:val="22"/>
          <w:szCs w:val="22"/>
        </w:rPr>
        <w:t xml:space="preserve"> </w:t>
      </w:r>
      <w:r w:rsidR="00DE2F38">
        <w:rPr>
          <w:rFonts w:ascii="Arial" w:hAnsi="Arial" w:cs="Arial"/>
          <w:sz w:val="22"/>
          <w:szCs w:val="22"/>
        </w:rPr>
        <w:t>D</w:t>
      </w:r>
      <w:r w:rsidRPr="00BE4A3C">
        <w:rPr>
          <w:rFonts w:ascii="Arial" w:hAnsi="Arial" w:cs="Arial"/>
          <w:sz w:val="22"/>
          <w:szCs w:val="22"/>
        </w:rPr>
        <w:t xml:space="preserve">uring the reporting period, 253 complaints were filed before the Administrative Tribunal of the International Labour Organization (ILOAT) by staff serving in Geneva in the Professional and higher categories, against the reduction of the </w:t>
      </w:r>
      <w:r w:rsidR="006B4388">
        <w:rPr>
          <w:rFonts w:ascii="Arial" w:hAnsi="Arial" w:cs="Arial"/>
          <w:sz w:val="22"/>
          <w:szCs w:val="22"/>
        </w:rPr>
        <w:t xml:space="preserve">Geneva </w:t>
      </w:r>
      <w:r w:rsidRPr="00BE4A3C">
        <w:rPr>
          <w:rFonts w:ascii="Arial" w:hAnsi="Arial" w:cs="Arial"/>
          <w:sz w:val="22"/>
          <w:szCs w:val="22"/>
        </w:rPr>
        <w:t>post adjustment multiplier</w:t>
      </w:r>
      <w:r w:rsidR="00600249">
        <w:rPr>
          <w:rFonts w:ascii="Arial" w:hAnsi="Arial" w:cs="Arial"/>
          <w:sz w:val="22"/>
          <w:szCs w:val="22"/>
        </w:rPr>
        <w:t xml:space="preserve"> </w:t>
      </w:r>
      <w:r w:rsidR="00F84691">
        <w:rPr>
          <w:rFonts w:ascii="Arial" w:hAnsi="Arial" w:cs="Arial"/>
          <w:sz w:val="22"/>
          <w:szCs w:val="22"/>
        </w:rPr>
        <w:t>in 2018</w:t>
      </w:r>
      <w:r w:rsidR="00600249">
        <w:rPr>
          <w:rFonts w:ascii="Arial" w:hAnsi="Arial" w:cs="Arial"/>
          <w:sz w:val="22"/>
          <w:szCs w:val="22"/>
        </w:rPr>
        <w:t>.</w:t>
      </w:r>
    </w:p>
    <w:p w14:paraId="247AED60" w14:textId="77777777" w:rsidR="00873712" w:rsidRPr="00BE4A3C" w:rsidRDefault="00873712" w:rsidP="00873712">
      <w:pPr>
        <w:pStyle w:val="ListParagraph"/>
        <w:ind w:left="0"/>
        <w:rPr>
          <w:rFonts w:ascii="Arial" w:hAnsi="Arial" w:cs="Arial"/>
          <w:sz w:val="22"/>
          <w:szCs w:val="22"/>
        </w:rPr>
      </w:pPr>
    </w:p>
    <w:p w14:paraId="1AF141DC" w14:textId="5DEBFE62" w:rsidR="00011C7B" w:rsidRPr="00BE4A3C" w:rsidRDefault="00011C7B" w:rsidP="00873712">
      <w:pPr>
        <w:pStyle w:val="ListParagraph"/>
        <w:numPr>
          <w:ilvl w:val="0"/>
          <w:numId w:val="21"/>
        </w:numPr>
        <w:ind w:left="0" w:firstLine="0"/>
        <w:rPr>
          <w:rFonts w:ascii="Arial" w:hAnsi="Arial" w:cs="Arial"/>
          <w:sz w:val="22"/>
          <w:szCs w:val="22"/>
        </w:rPr>
      </w:pPr>
      <w:r w:rsidRPr="00BE4A3C">
        <w:rPr>
          <w:rFonts w:ascii="Arial" w:hAnsi="Arial" w:cs="Arial"/>
          <w:sz w:val="22"/>
          <w:szCs w:val="22"/>
        </w:rPr>
        <w:t xml:space="preserve">In the same period, the Administration initiated disciplinary proceedings </w:t>
      </w:r>
      <w:r w:rsidRPr="00066E7A">
        <w:rPr>
          <w:rFonts w:ascii="Arial" w:hAnsi="Arial" w:cs="Arial"/>
          <w:sz w:val="22"/>
          <w:szCs w:val="22"/>
        </w:rPr>
        <w:t xml:space="preserve">against </w:t>
      </w:r>
      <w:r w:rsidR="00D72CFC" w:rsidRPr="00066E7A">
        <w:rPr>
          <w:rFonts w:ascii="Arial" w:hAnsi="Arial" w:cs="Arial"/>
          <w:sz w:val="22"/>
          <w:szCs w:val="22"/>
        </w:rPr>
        <w:t>four</w:t>
      </w:r>
      <w:r w:rsidRPr="00BE4A3C">
        <w:rPr>
          <w:rFonts w:ascii="Arial" w:hAnsi="Arial" w:cs="Arial"/>
          <w:sz w:val="22"/>
          <w:szCs w:val="22"/>
        </w:rPr>
        <w:t xml:space="preserve"> staff members (</w:t>
      </w:r>
      <w:r w:rsidR="00D72CFC">
        <w:rPr>
          <w:rFonts w:ascii="Arial" w:hAnsi="Arial" w:cs="Arial"/>
          <w:sz w:val="22"/>
          <w:szCs w:val="22"/>
        </w:rPr>
        <w:t>compared to two</w:t>
      </w:r>
      <w:r w:rsidRPr="00BE4A3C">
        <w:rPr>
          <w:rFonts w:ascii="Arial" w:hAnsi="Arial" w:cs="Arial"/>
          <w:sz w:val="22"/>
          <w:szCs w:val="22"/>
        </w:rPr>
        <w:t xml:space="preserve"> during the previous reporting period) and disciplinary measures were applied in </w:t>
      </w:r>
      <w:r w:rsidR="006B676B">
        <w:rPr>
          <w:rFonts w:ascii="Arial" w:hAnsi="Arial" w:cs="Arial"/>
          <w:sz w:val="22"/>
          <w:szCs w:val="22"/>
        </w:rPr>
        <w:t>three</w:t>
      </w:r>
      <w:r w:rsidRPr="00BE4A3C">
        <w:rPr>
          <w:rFonts w:ascii="Arial" w:hAnsi="Arial" w:cs="Arial"/>
          <w:sz w:val="22"/>
          <w:szCs w:val="22"/>
        </w:rPr>
        <w:t xml:space="preserve"> cases, as follows:  summary dismissal in one case, </w:t>
      </w:r>
      <w:r w:rsidR="006B676B">
        <w:rPr>
          <w:rFonts w:ascii="Arial" w:hAnsi="Arial" w:cs="Arial"/>
          <w:sz w:val="22"/>
          <w:szCs w:val="22"/>
        </w:rPr>
        <w:t>dismissal in another case</w:t>
      </w:r>
      <w:r w:rsidR="007E1B66">
        <w:rPr>
          <w:rFonts w:ascii="Arial" w:hAnsi="Arial" w:cs="Arial"/>
          <w:sz w:val="22"/>
          <w:szCs w:val="22"/>
        </w:rPr>
        <w:t>,</w:t>
      </w:r>
      <w:r w:rsidR="006B676B">
        <w:rPr>
          <w:rFonts w:ascii="Arial" w:hAnsi="Arial" w:cs="Arial"/>
          <w:sz w:val="22"/>
          <w:szCs w:val="22"/>
        </w:rPr>
        <w:t xml:space="preserve"> </w:t>
      </w:r>
      <w:r w:rsidRPr="00BE4A3C">
        <w:rPr>
          <w:rFonts w:ascii="Arial" w:hAnsi="Arial" w:cs="Arial"/>
          <w:sz w:val="22"/>
          <w:szCs w:val="22"/>
        </w:rPr>
        <w:t xml:space="preserve">and demotion to a lower grade for a specified period of time in the </w:t>
      </w:r>
      <w:r w:rsidR="006B676B">
        <w:rPr>
          <w:rFonts w:ascii="Arial" w:hAnsi="Arial" w:cs="Arial"/>
          <w:sz w:val="22"/>
          <w:szCs w:val="22"/>
        </w:rPr>
        <w:t>third</w:t>
      </w:r>
      <w:r w:rsidRPr="00BE4A3C">
        <w:rPr>
          <w:rFonts w:ascii="Arial" w:hAnsi="Arial" w:cs="Arial"/>
          <w:sz w:val="22"/>
          <w:szCs w:val="22"/>
        </w:rPr>
        <w:t xml:space="preserve"> case.</w:t>
      </w:r>
    </w:p>
    <w:p w14:paraId="093E5789" w14:textId="77777777" w:rsidR="00873712" w:rsidRPr="00CA7A5A" w:rsidRDefault="00873712" w:rsidP="00CA7A5A">
      <w:pPr>
        <w:pStyle w:val="Heading3"/>
        <w:ind w:left="540"/>
        <w:rPr>
          <w:u w:val="none"/>
        </w:rPr>
      </w:pPr>
      <w:r w:rsidRPr="00CA7A5A">
        <w:rPr>
          <w:u w:val="none"/>
        </w:rPr>
        <w:t>INTERNAL JUSTICE COSTS</w:t>
      </w:r>
    </w:p>
    <w:p w14:paraId="37B0DA71" w14:textId="77777777" w:rsidR="00873712" w:rsidRPr="00BE4A3C" w:rsidRDefault="00873712" w:rsidP="00873712">
      <w:pPr>
        <w:pStyle w:val="ListParagraph"/>
        <w:rPr>
          <w:rFonts w:ascii="Arial" w:hAnsi="Arial" w:cs="Arial"/>
          <w:sz w:val="22"/>
          <w:szCs w:val="22"/>
        </w:rPr>
      </w:pPr>
    </w:p>
    <w:p w14:paraId="16B8F952" w14:textId="35DE5232" w:rsidR="00011C7B" w:rsidRPr="00BE4A3C" w:rsidRDefault="00011C7B" w:rsidP="00873712">
      <w:pPr>
        <w:pStyle w:val="ListParagraph"/>
        <w:numPr>
          <w:ilvl w:val="0"/>
          <w:numId w:val="21"/>
        </w:numPr>
        <w:ind w:left="0" w:firstLine="0"/>
        <w:rPr>
          <w:rFonts w:ascii="Arial" w:hAnsi="Arial" w:cs="Arial"/>
          <w:sz w:val="22"/>
          <w:szCs w:val="22"/>
        </w:rPr>
      </w:pPr>
      <w:r w:rsidRPr="00BE4A3C">
        <w:rPr>
          <w:rFonts w:ascii="Arial" w:hAnsi="Arial" w:cs="Arial"/>
          <w:sz w:val="22"/>
          <w:szCs w:val="22"/>
        </w:rPr>
        <w:t xml:space="preserve">Awards rendered by the ILOAT against WIPO during the reporting period amounted to 39,000 Swiss francs.  In addition, the Director General decided to award a total of </w:t>
      </w:r>
      <w:r w:rsidR="007E67B6" w:rsidRPr="00513BEE">
        <w:rPr>
          <w:rFonts w:ascii="Arial" w:hAnsi="Arial" w:cs="Arial"/>
          <w:sz w:val="22"/>
          <w:szCs w:val="22"/>
        </w:rPr>
        <w:t>8,</w:t>
      </w:r>
      <w:r w:rsidR="00513BEE" w:rsidRPr="00513BEE">
        <w:rPr>
          <w:rFonts w:ascii="Arial" w:hAnsi="Arial" w:cs="Arial"/>
          <w:sz w:val="22"/>
          <w:szCs w:val="22"/>
        </w:rPr>
        <w:t>316</w:t>
      </w:r>
      <w:r w:rsidR="00B20412">
        <w:rPr>
          <w:rFonts w:ascii="Arial" w:hAnsi="Arial" w:cs="Arial"/>
          <w:sz w:val="22"/>
          <w:szCs w:val="22"/>
        </w:rPr>
        <w:t> </w:t>
      </w:r>
      <w:r w:rsidRPr="00513BEE">
        <w:rPr>
          <w:rFonts w:ascii="Arial" w:hAnsi="Arial" w:cs="Arial"/>
          <w:sz w:val="22"/>
          <w:szCs w:val="22"/>
        </w:rPr>
        <w:t>Swiss francs following appeals</w:t>
      </w:r>
      <w:r w:rsidRPr="00BE4A3C">
        <w:rPr>
          <w:rFonts w:ascii="Arial" w:hAnsi="Arial" w:cs="Arial"/>
          <w:sz w:val="22"/>
          <w:szCs w:val="22"/>
        </w:rPr>
        <w:t xml:space="preserve"> to the WIPO Appeal Board (WAB).</w:t>
      </w:r>
    </w:p>
    <w:p w14:paraId="51417137" w14:textId="77777777" w:rsidR="00873712" w:rsidRPr="00BE4A3C" w:rsidRDefault="00873712" w:rsidP="00873712">
      <w:pPr>
        <w:pStyle w:val="ListParagraph"/>
        <w:ind w:left="0"/>
        <w:rPr>
          <w:rFonts w:ascii="Arial" w:hAnsi="Arial" w:cs="Arial"/>
          <w:sz w:val="22"/>
          <w:szCs w:val="22"/>
        </w:rPr>
      </w:pPr>
    </w:p>
    <w:p w14:paraId="56A12E2F" w14:textId="42B29F11" w:rsidR="00011C7B" w:rsidRPr="00513BEE" w:rsidRDefault="00011C7B" w:rsidP="00873712">
      <w:pPr>
        <w:pStyle w:val="ListParagraph"/>
        <w:numPr>
          <w:ilvl w:val="0"/>
          <w:numId w:val="21"/>
        </w:numPr>
        <w:ind w:left="0" w:firstLine="0"/>
        <w:rPr>
          <w:rFonts w:ascii="Arial" w:hAnsi="Arial" w:cs="Arial"/>
          <w:sz w:val="22"/>
          <w:szCs w:val="22"/>
        </w:rPr>
      </w:pPr>
      <w:r w:rsidRPr="00513BEE">
        <w:rPr>
          <w:rFonts w:ascii="Arial" w:hAnsi="Arial" w:cs="Arial"/>
          <w:sz w:val="22"/>
          <w:szCs w:val="22"/>
        </w:rPr>
        <w:lastRenderedPageBreak/>
        <w:t xml:space="preserve">The total amount of administrative fixed costs for cases examined by the ILOAT and the WAB during the reporting period was approximately </w:t>
      </w:r>
      <w:r w:rsidR="00513BEE" w:rsidRPr="00513BEE">
        <w:rPr>
          <w:rFonts w:ascii="Arial" w:hAnsi="Arial" w:cs="Arial"/>
          <w:sz w:val="22"/>
          <w:szCs w:val="22"/>
        </w:rPr>
        <w:t>296</w:t>
      </w:r>
      <w:r w:rsidR="00513BEE">
        <w:rPr>
          <w:rFonts w:ascii="Arial" w:hAnsi="Arial" w:cs="Arial"/>
          <w:sz w:val="22"/>
          <w:szCs w:val="22"/>
        </w:rPr>
        <w:t>,</w:t>
      </w:r>
      <w:r w:rsidR="00513BEE" w:rsidRPr="00513BEE">
        <w:rPr>
          <w:rFonts w:ascii="Arial" w:hAnsi="Arial" w:cs="Arial"/>
          <w:sz w:val="22"/>
          <w:szCs w:val="22"/>
        </w:rPr>
        <w:t>506</w:t>
      </w:r>
      <w:r w:rsidRPr="00513BEE">
        <w:rPr>
          <w:rFonts w:ascii="Arial" w:hAnsi="Arial" w:cs="Arial"/>
          <w:sz w:val="22"/>
          <w:szCs w:val="22"/>
        </w:rPr>
        <w:t xml:space="preserve"> Swiss francs, </w:t>
      </w:r>
      <w:r w:rsidRPr="00513BEE">
        <w:rPr>
          <w:rFonts w:ascii="Arial" w:hAnsi="Arial" w:cs="Arial"/>
          <w:sz w:val="22"/>
          <w:szCs w:val="22"/>
        </w:rPr>
        <w:br/>
        <w:t xml:space="preserve">i.e., </w:t>
      </w:r>
      <w:r w:rsidR="007E67B6" w:rsidRPr="00513BEE">
        <w:rPr>
          <w:rFonts w:ascii="Arial" w:hAnsi="Arial" w:cs="Arial"/>
          <w:sz w:val="22"/>
          <w:szCs w:val="22"/>
        </w:rPr>
        <w:t>180,228</w:t>
      </w:r>
      <w:r w:rsidRPr="00513BEE">
        <w:rPr>
          <w:rFonts w:ascii="Arial" w:hAnsi="Arial" w:cs="Arial"/>
          <w:sz w:val="22"/>
          <w:szCs w:val="22"/>
        </w:rPr>
        <w:t xml:space="preserve"> Swiss francs for the ILOAT and </w:t>
      </w:r>
      <w:r w:rsidR="00513BEE" w:rsidRPr="00513BEE">
        <w:rPr>
          <w:rFonts w:ascii="Arial" w:hAnsi="Arial" w:cs="Arial"/>
          <w:sz w:val="22"/>
          <w:szCs w:val="22"/>
        </w:rPr>
        <w:t>116,278</w:t>
      </w:r>
      <w:r w:rsidRPr="00513BEE">
        <w:rPr>
          <w:rFonts w:ascii="Arial" w:hAnsi="Arial" w:cs="Arial"/>
          <w:sz w:val="22"/>
          <w:szCs w:val="22"/>
        </w:rPr>
        <w:t xml:space="preserve"> Swiss francs for the WAB (excluding the cost of the P3 staff member who performs the functions of Secretary of the WAB).  </w:t>
      </w:r>
      <w:r w:rsidR="007E67B6" w:rsidRPr="00513BEE">
        <w:rPr>
          <w:rFonts w:ascii="Arial" w:hAnsi="Arial" w:cs="Arial"/>
          <w:sz w:val="22"/>
          <w:szCs w:val="22"/>
        </w:rPr>
        <w:t>This</w:t>
      </w:r>
      <w:r w:rsidRPr="00513BEE">
        <w:rPr>
          <w:rFonts w:ascii="Arial" w:hAnsi="Arial" w:cs="Arial"/>
          <w:sz w:val="22"/>
          <w:szCs w:val="22"/>
        </w:rPr>
        <w:t xml:space="preserve"> represent</w:t>
      </w:r>
      <w:r w:rsidR="007E67B6" w:rsidRPr="00513BEE">
        <w:rPr>
          <w:rFonts w:ascii="Arial" w:hAnsi="Arial" w:cs="Arial"/>
          <w:sz w:val="22"/>
          <w:szCs w:val="22"/>
        </w:rPr>
        <w:t>s</w:t>
      </w:r>
      <w:r w:rsidRPr="00513BEE">
        <w:rPr>
          <w:rFonts w:ascii="Arial" w:hAnsi="Arial" w:cs="Arial"/>
          <w:sz w:val="22"/>
          <w:szCs w:val="22"/>
        </w:rPr>
        <w:t xml:space="preserve"> an average fixed cost of 18,</w:t>
      </w:r>
      <w:r w:rsidR="007E67B6" w:rsidRPr="00513BEE">
        <w:rPr>
          <w:rFonts w:ascii="Arial" w:hAnsi="Arial" w:cs="Arial"/>
          <w:sz w:val="22"/>
          <w:szCs w:val="22"/>
        </w:rPr>
        <w:t>023</w:t>
      </w:r>
      <w:r w:rsidRPr="00513BEE">
        <w:rPr>
          <w:rFonts w:ascii="Arial" w:hAnsi="Arial" w:cs="Arial"/>
          <w:sz w:val="22"/>
          <w:szCs w:val="22"/>
        </w:rPr>
        <w:t xml:space="preserve"> Swiss francs per judgement delivered by the ILOAT and </w:t>
      </w:r>
      <w:r w:rsidR="00513BEE" w:rsidRPr="00513BEE">
        <w:rPr>
          <w:rFonts w:ascii="Arial" w:hAnsi="Arial" w:cs="Arial"/>
          <w:sz w:val="22"/>
          <w:szCs w:val="22"/>
        </w:rPr>
        <w:t>10,570</w:t>
      </w:r>
      <w:r w:rsidRPr="00513BEE">
        <w:rPr>
          <w:rFonts w:ascii="Arial" w:hAnsi="Arial" w:cs="Arial"/>
          <w:sz w:val="22"/>
          <w:szCs w:val="22"/>
        </w:rPr>
        <w:t xml:space="preserve"> Swiss francs per conclusion rendered by the WAB.</w:t>
      </w:r>
      <w:r w:rsidR="006B4388">
        <w:rPr>
          <w:rStyle w:val="FootnoteReference"/>
          <w:rFonts w:ascii="Arial" w:hAnsi="Arial" w:cs="Arial"/>
          <w:sz w:val="22"/>
          <w:szCs w:val="22"/>
        </w:rPr>
        <w:footnoteReference w:id="28"/>
      </w:r>
      <w:r w:rsidRPr="00513BEE">
        <w:rPr>
          <w:rFonts w:ascii="Arial" w:hAnsi="Arial" w:cs="Arial"/>
          <w:sz w:val="22"/>
          <w:szCs w:val="22"/>
        </w:rPr>
        <w:t xml:space="preserve">  </w:t>
      </w:r>
    </w:p>
    <w:p w14:paraId="3D993417" w14:textId="77777777" w:rsidR="005B0CF8" w:rsidRPr="001A3E8D" w:rsidRDefault="00241085" w:rsidP="001A3E8D">
      <w:pPr>
        <w:pStyle w:val="Heading3"/>
        <w:ind w:left="540"/>
        <w:rPr>
          <w:u w:val="none"/>
        </w:rPr>
      </w:pPr>
      <w:r w:rsidRPr="001A3E8D">
        <w:rPr>
          <w:u w:val="none"/>
        </w:rPr>
        <w:t>NEW</w:t>
      </w:r>
      <w:r w:rsidR="00151FAF" w:rsidRPr="001A3E8D">
        <w:rPr>
          <w:u w:val="none"/>
        </w:rPr>
        <w:t xml:space="preserve"> POLICY ON</w:t>
      </w:r>
      <w:r w:rsidRPr="001A3E8D">
        <w:rPr>
          <w:u w:val="none"/>
        </w:rPr>
        <w:t xml:space="preserve"> TIME MANAGEMENT AND FLEXIBLE WORKING ARRANGEMENTS</w:t>
      </w:r>
    </w:p>
    <w:p w14:paraId="39702D0D" w14:textId="77777777" w:rsidR="00241085" w:rsidRPr="00241085" w:rsidRDefault="00241085" w:rsidP="00241085">
      <w:pPr>
        <w:ind w:left="567"/>
        <w:rPr>
          <w:szCs w:val="22"/>
        </w:rPr>
      </w:pPr>
    </w:p>
    <w:p w14:paraId="1F7D10BC" w14:textId="77777777" w:rsidR="00241085" w:rsidRPr="006B676B" w:rsidRDefault="005B0CF8" w:rsidP="002C6C38">
      <w:pPr>
        <w:pStyle w:val="ListParagraph"/>
        <w:numPr>
          <w:ilvl w:val="0"/>
          <w:numId w:val="21"/>
        </w:numPr>
        <w:ind w:left="0" w:firstLine="0"/>
        <w:rPr>
          <w:rFonts w:ascii="Arial" w:hAnsi="Arial" w:cs="Arial"/>
          <w:sz w:val="22"/>
          <w:szCs w:val="22"/>
        </w:rPr>
      </w:pPr>
      <w:r w:rsidRPr="006B676B">
        <w:rPr>
          <w:rFonts w:ascii="Arial" w:hAnsi="Arial" w:cs="Arial"/>
          <w:sz w:val="22"/>
          <w:szCs w:val="22"/>
        </w:rPr>
        <w:t>The new Policy on Time Management and Flexible Working Arrangements was launched on January 1, 2019</w:t>
      </w:r>
      <w:r w:rsidR="00151FAF" w:rsidRPr="006B676B">
        <w:rPr>
          <w:rFonts w:ascii="Arial" w:hAnsi="Arial" w:cs="Arial"/>
          <w:sz w:val="22"/>
          <w:szCs w:val="22"/>
        </w:rPr>
        <w:t xml:space="preserve">.  </w:t>
      </w:r>
      <w:r w:rsidR="006B676B" w:rsidRPr="006B676B">
        <w:rPr>
          <w:rFonts w:ascii="Arial" w:hAnsi="Arial" w:cs="Arial"/>
          <w:sz w:val="22"/>
          <w:szCs w:val="22"/>
        </w:rPr>
        <w:t>It</w:t>
      </w:r>
      <w:r w:rsidR="00151FAF" w:rsidRPr="006B676B">
        <w:rPr>
          <w:rFonts w:ascii="Arial" w:hAnsi="Arial" w:cs="Arial"/>
          <w:sz w:val="22"/>
          <w:szCs w:val="22"/>
        </w:rPr>
        <w:t xml:space="preserve"> was established following recommendations made by a working group with staff participation</w:t>
      </w:r>
      <w:r w:rsidR="00C97851" w:rsidRPr="006B676B">
        <w:rPr>
          <w:rFonts w:ascii="Arial" w:hAnsi="Arial" w:cs="Arial"/>
          <w:sz w:val="22"/>
          <w:szCs w:val="22"/>
        </w:rPr>
        <w:t>.</w:t>
      </w:r>
      <w:r w:rsidR="006B676B">
        <w:rPr>
          <w:rFonts w:ascii="Arial" w:hAnsi="Arial" w:cs="Arial"/>
          <w:sz w:val="22"/>
          <w:szCs w:val="22"/>
        </w:rPr>
        <w:t xml:space="preserve">  </w:t>
      </w:r>
      <w:r w:rsidR="00241085" w:rsidRPr="006B676B">
        <w:rPr>
          <w:rFonts w:ascii="Arial" w:hAnsi="Arial" w:cs="Arial"/>
          <w:sz w:val="22"/>
          <w:szCs w:val="22"/>
        </w:rPr>
        <w:t>In line with this policy, the historical clocking system was abolished.  Staff members can now request to follow two</w:t>
      </w:r>
      <w:r w:rsidR="00D46F2A" w:rsidRPr="006B676B">
        <w:rPr>
          <w:rFonts w:ascii="Arial" w:hAnsi="Arial" w:cs="Arial"/>
          <w:sz w:val="22"/>
          <w:szCs w:val="22"/>
        </w:rPr>
        <w:t xml:space="preserve"> </w:t>
      </w:r>
      <w:r w:rsidR="0001267C" w:rsidRPr="006B676B">
        <w:rPr>
          <w:rFonts w:ascii="Arial" w:hAnsi="Arial" w:cs="Arial"/>
          <w:sz w:val="22"/>
          <w:szCs w:val="22"/>
        </w:rPr>
        <w:t>types of</w:t>
      </w:r>
      <w:r w:rsidR="00241085" w:rsidRPr="006B676B">
        <w:rPr>
          <w:rFonts w:ascii="Arial" w:hAnsi="Arial" w:cs="Arial"/>
          <w:sz w:val="22"/>
          <w:szCs w:val="22"/>
        </w:rPr>
        <w:t xml:space="preserve"> flexible working arrangements, subject to organizational needs:</w:t>
      </w:r>
    </w:p>
    <w:p w14:paraId="1BF7BAF1" w14:textId="77777777" w:rsidR="00241085" w:rsidRDefault="00241085" w:rsidP="00241085">
      <w:pPr>
        <w:pStyle w:val="ListParagraph"/>
        <w:rPr>
          <w:rFonts w:ascii="Arial" w:hAnsi="Arial" w:cs="Arial"/>
          <w:sz w:val="22"/>
          <w:szCs w:val="22"/>
        </w:rPr>
      </w:pPr>
    </w:p>
    <w:p w14:paraId="09CB5D56" w14:textId="77777777" w:rsidR="00241085" w:rsidRDefault="00241085" w:rsidP="00B8520B">
      <w:pPr>
        <w:pStyle w:val="ListParagraph"/>
        <w:numPr>
          <w:ilvl w:val="0"/>
          <w:numId w:val="31"/>
        </w:numPr>
        <w:tabs>
          <w:tab w:val="left" w:pos="851"/>
        </w:tabs>
        <w:ind w:left="851" w:hanging="284"/>
        <w:rPr>
          <w:rFonts w:ascii="Arial" w:hAnsi="Arial" w:cs="Arial"/>
          <w:sz w:val="22"/>
          <w:szCs w:val="22"/>
        </w:rPr>
      </w:pPr>
      <w:r w:rsidRPr="00241085">
        <w:rPr>
          <w:rFonts w:ascii="Arial" w:hAnsi="Arial" w:cs="Arial"/>
          <w:sz w:val="22"/>
          <w:szCs w:val="22"/>
        </w:rPr>
        <w:t>staggered working hours, with flexible times of arrival at and departure from work</w:t>
      </w:r>
      <w:r w:rsidR="00824864">
        <w:rPr>
          <w:rFonts w:ascii="Arial" w:hAnsi="Arial" w:cs="Arial"/>
          <w:sz w:val="22"/>
          <w:szCs w:val="22"/>
        </w:rPr>
        <w:t xml:space="preserve">; </w:t>
      </w:r>
      <w:r w:rsidRPr="00241085">
        <w:rPr>
          <w:rFonts w:ascii="Arial" w:hAnsi="Arial" w:cs="Arial"/>
          <w:sz w:val="22"/>
          <w:szCs w:val="22"/>
        </w:rPr>
        <w:t xml:space="preserve"> and/or</w:t>
      </w:r>
    </w:p>
    <w:p w14:paraId="59C85F0B" w14:textId="77777777" w:rsidR="00241085" w:rsidRPr="00241085" w:rsidRDefault="00241085" w:rsidP="00B8520B">
      <w:pPr>
        <w:pStyle w:val="ListParagraph"/>
        <w:numPr>
          <w:ilvl w:val="0"/>
          <w:numId w:val="31"/>
        </w:numPr>
        <w:tabs>
          <w:tab w:val="left" w:pos="851"/>
        </w:tabs>
        <w:ind w:left="851" w:hanging="284"/>
        <w:rPr>
          <w:rFonts w:ascii="Arial" w:hAnsi="Arial" w:cs="Arial"/>
          <w:sz w:val="22"/>
          <w:szCs w:val="22"/>
        </w:rPr>
      </w:pPr>
      <w:r>
        <w:rPr>
          <w:rFonts w:ascii="Arial" w:hAnsi="Arial" w:cs="Arial"/>
          <w:sz w:val="22"/>
          <w:szCs w:val="22"/>
        </w:rPr>
        <w:t>c</w:t>
      </w:r>
      <w:r w:rsidRPr="00241085">
        <w:rPr>
          <w:rFonts w:ascii="Arial" w:hAnsi="Arial" w:cs="Arial"/>
          <w:sz w:val="22"/>
          <w:szCs w:val="22"/>
        </w:rPr>
        <w:t xml:space="preserve">ompressed working hours, which allow them to have a half-day or full day off on a regular basis by working up to one more hour per </w:t>
      </w:r>
      <w:r w:rsidR="00C97851">
        <w:rPr>
          <w:rFonts w:ascii="Arial" w:hAnsi="Arial" w:cs="Arial"/>
          <w:sz w:val="22"/>
          <w:szCs w:val="22"/>
        </w:rPr>
        <w:t>day during a predefined period.</w:t>
      </w:r>
    </w:p>
    <w:p w14:paraId="76F308AD" w14:textId="77777777" w:rsidR="00241085" w:rsidRPr="00241085" w:rsidRDefault="00241085" w:rsidP="00241085">
      <w:pPr>
        <w:rPr>
          <w:szCs w:val="22"/>
        </w:rPr>
      </w:pPr>
    </w:p>
    <w:p w14:paraId="64A0D353" w14:textId="2F11DAFC" w:rsidR="00241085" w:rsidRPr="00D46F2A" w:rsidRDefault="006B676B" w:rsidP="00241085">
      <w:pPr>
        <w:pStyle w:val="ListParagraph"/>
        <w:numPr>
          <w:ilvl w:val="0"/>
          <w:numId w:val="21"/>
        </w:numPr>
        <w:ind w:left="0" w:firstLine="0"/>
        <w:rPr>
          <w:rFonts w:ascii="Arial" w:hAnsi="Arial" w:cs="Arial"/>
          <w:sz w:val="22"/>
          <w:szCs w:val="22"/>
        </w:rPr>
      </w:pPr>
      <w:r>
        <w:rPr>
          <w:rFonts w:ascii="Arial" w:hAnsi="Arial" w:cs="Arial"/>
          <w:sz w:val="22"/>
          <w:szCs w:val="22"/>
        </w:rPr>
        <w:t>The launch of the</w:t>
      </w:r>
      <w:r w:rsidR="00241085" w:rsidRPr="00241085">
        <w:rPr>
          <w:rFonts w:ascii="Arial" w:hAnsi="Arial" w:cs="Arial"/>
          <w:sz w:val="22"/>
          <w:szCs w:val="22"/>
        </w:rPr>
        <w:t xml:space="preserve"> new policy was preceded by a detailed change management </w:t>
      </w:r>
      <w:r w:rsidR="00241085" w:rsidRPr="00D46F2A">
        <w:rPr>
          <w:rFonts w:ascii="Arial" w:hAnsi="Arial" w:cs="Arial"/>
          <w:sz w:val="22"/>
          <w:szCs w:val="22"/>
        </w:rPr>
        <w:t>strategy, including</w:t>
      </w:r>
      <w:r w:rsidR="00D46F2A" w:rsidRPr="00D46F2A">
        <w:rPr>
          <w:rFonts w:ascii="Arial" w:hAnsi="Arial" w:cs="Arial"/>
          <w:sz w:val="22"/>
          <w:szCs w:val="22"/>
        </w:rPr>
        <w:t xml:space="preserve"> a top</w:t>
      </w:r>
      <w:r w:rsidR="00824864">
        <w:rPr>
          <w:rFonts w:ascii="Arial" w:hAnsi="Arial" w:cs="Arial"/>
          <w:sz w:val="22"/>
          <w:szCs w:val="22"/>
        </w:rPr>
        <w:t>-</w:t>
      </w:r>
      <w:r w:rsidR="00D46F2A" w:rsidRPr="00D46F2A">
        <w:rPr>
          <w:rFonts w:ascii="Arial" w:hAnsi="Arial" w:cs="Arial"/>
          <w:sz w:val="22"/>
          <w:szCs w:val="22"/>
        </w:rPr>
        <w:t>down communication</w:t>
      </w:r>
      <w:r w:rsidR="00DE2F38">
        <w:rPr>
          <w:rFonts w:ascii="Arial" w:hAnsi="Arial" w:cs="Arial"/>
          <w:sz w:val="22"/>
          <w:szCs w:val="22"/>
        </w:rPr>
        <w:t>s</w:t>
      </w:r>
      <w:r w:rsidR="00D46F2A" w:rsidRPr="00D46F2A">
        <w:rPr>
          <w:rFonts w:ascii="Arial" w:hAnsi="Arial" w:cs="Arial"/>
          <w:sz w:val="22"/>
          <w:szCs w:val="22"/>
        </w:rPr>
        <w:t xml:space="preserve"> plan</w:t>
      </w:r>
      <w:r w:rsidR="003C3785">
        <w:rPr>
          <w:rFonts w:ascii="Arial" w:hAnsi="Arial" w:cs="Arial"/>
          <w:sz w:val="22"/>
          <w:szCs w:val="22"/>
        </w:rPr>
        <w:t xml:space="preserve">, </w:t>
      </w:r>
      <w:r w:rsidR="00F0344F">
        <w:rPr>
          <w:rFonts w:ascii="Arial" w:hAnsi="Arial" w:cs="Arial"/>
          <w:sz w:val="22"/>
          <w:szCs w:val="22"/>
        </w:rPr>
        <w:t xml:space="preserve">a series of </w:t>
      </w:r>
      <w:r w:rsidR="003C3785">
        <w:rPr>
          <w:rFonts w:ascii="Arial" w:hAnsi="Arial" w:cs="Arial"/>
          <w:sz w:val="22"/>
          <w:szCs w:val="22"/>
        </w:rPr>
        <w:t>workshops</w:t>
      </w:r>
      <w:r w:rsidR="00F0344F">
        <w:rPr>
          <w:rFonts w:ascii="Arial" w:hAnsi="Arial" w:cs="Arial"/>
          <w:sz w:val="22"/>
          <w:szCs w:val="22"/>
        </w:rPr>
        <w:t xml:space="preserve"> to prepare managers for the changes</w:t>
      </w:r>
      <w:r w:rsidR="00D46F2A" w:rsidRPr="00D46F2A">
        <w:rPr>
          <w:rFonts w:ascii="Arial" w:hAnsi="Arial" w:cs="Arial"/>
          <w:sz w:val="22"/>
          <w:szCs w:val="22"/>
        </w:rPr>
        <w:t xml:space="preserve"> and </w:t>
      </w:r>
      <w:r w:rsidR="00241085" w:rsidRPr="00D46F2A">
        <w:rPr>
          <w:rFonts w:ascii="Arial" w:hAnsi="Arial" w:cs="Arial"/>
          <w:sz w:val="22"/>
          <w:szCs w:val="22"/>
        </w:rPr>
        <w:t>a pilot implementation by selected teams in specific areas of WIPO.</w:t>
      </w:r>
      <w:r w:rsidR="00D46F2A">
        <w:rPr>
          <w:rFonts w:ascii="Arial" w:hAnsi="Arial" w:cs="Arial"/>
          <w:sz w:val="22"/>
          <w:szCs w:val="22"/>
        </w:rPr>
        <w:t xml:space="preserve">  A new </w:t>
      </w:r>
      <w:r w:rsidR="008B73D3">
        <w:rPr>
          <w:rFonts w:ascii="Arial" w:hAnsi="Arial" w:cs="Arial"/>
          <w:sz w:val="22"/>
          <w:szCs w:val="22"/>
        </w:rPr>
        <w:t>Administrative Integrated Management System (</w:t>
      </w:r>
      <w:r w:rsidR="00D46F2A">
        <w:rPr>
          <w:rFonts w:ascii="Arial" w:hAnsi="Arial" w:cs="Arial"/>
          <w:sz w:val="22"/>
          <w:szCs w:val="22"/>
        </w:rPr>
        <w:t>AIMS</w:t>
      </w:r>
      <w:r w:rsidR="008B73D3">
        <w:rPr>
          <w:rFonts w:ascii="Arial" w:hAnsi="Arial" w:cs="Arial"/>
          <w:sz w:val="22"/>
          <w:szCs w:val="22"/>
        </w:rPr>
        <w:t>)</w:t>
      </w:r>
      <w:r w:rsidR="00D46F2A">
        <w:rPr>
          <w:rFonts w:ascii="Arial" w:hAnsi="Arial" w:cs="Arial"/>
          <w:sz w:val="22"/>
          <w:szCs w:val="22"/>
        </w:rPr>
        <w:t xml:space="preserve"> self-service </w:t>
      </w:r>
      <w:r w:rsidR="0001267C">
        <w:rPr>
          <w:rFonts w:ascii="Arial" w:hAnsi="Arial" w:cs="Arial"/>
          <w:sz w:val="22"/>
          <w:szCs w:val="22"/>
        </w:rPr>
        <w:t xml:space="preserve">module </w:t>
      </w:r>
      <w:r w:rsidR="00D46F2A">
        <w:rPr>
          <w:rFonts w:ascii="Arial" w:hAnsi="Arial" w:cs="Arial"/>
          <w:sz w:val="22"/>
          <w:szCs w:val="22"/>
        </w:rPr>
        <w:t xml:space="preserve">was developed through which </w:t>
      </w:r>
      <w:r w:rsidR="005D2C96">
        <w:rPr>
          <w:rFonts w:ascii="Arial" w:hAnsi="Arial" w:cs="Arial"/>
          <w:sz w:val="22"/>
          <w:szCs w:val="22"/>
        </w:rPr>
        <w:t>requests for</w:t>
      </w:r>
      <w:r w:rsidR="00600249">
        <w:rPr>
          <w:rFonts w:ascii="Arial" w:hAnsi="Arial" w:cs="Arial"/>
          <w:sz w:val="22"/>
          <w:szCs w:val="22"/>
        </w:rPr>
        <w:t xml:space="preserve"> the</w:t>
      </w:r>
      <w:r w:rsidR="00D46F2A">
        <w:rPr>
          <w:rFonts w:ascii="Arial" w:hAnsi="Arial" w:cs="Arial"/>
          <w:sz w:val="22"/>
          <w:szCs w:val="22"/>
        </w:rPr>
        <w:t xml:space="preserve"> new flexible working arrangements are</w:t>
      </w:r>
      <w:r w:rsidR="00600249">
        <w:rPr>
          <w:rFonts w:ascii="Arial" w:hAnsi="Arial" w:cs="Arial"/>
          <w:sz w:val="22"/>
          <w:szCs w:val="22"/>
        </w:rPr>
        <w:t xml:space="preserve"> </w:t>
      </w:r>
      <w:r w:rsidR="005D2C96">
        <w:rPr>
          <w:rFonts w:ascii="Arial" w:hAnsi="Arial" w:cs="Arial"/>
          <w:sz w:val="22"/>
          <w:szCs w:val="22"/>
        </w:rPr>
        <w:t>managed.</w:t>
      </w:r>
      <w:r w:rsidR="00D46F2A">
        <w:rPr>
          <w:rFonts w:ascii="Arial" w:hAnsi="Arial" w:cs="Arial"/>
          <w:sz w:val="22"/>
          <w:szCs w:val="22"/>
        </w:rPr>
        <w:t xml:space="preserve">  A dedicated Intranet page was established </w:t>
      </w:r>
      <w:r w:rsidR="00824864">
        <w:rPr>
          <w:rFonts w:ascii="Arial" w:hAnsi="Arial" w:cs="Arial"/>
          <w:sz w:val="22"/>
          <w:szCs w:val="22"/>
        </w:rPr>
        <w:t xml:space="preserve">with </w:t>
      </w:r>
      <w:r w:rsidR="00422A53">
        <w:rPr>
          <w:rFonts w:ascii="Arial" w:hAnsi="Arial" w:cs="Arial"/>
          <w:sz w:val="22"/>
          <w:szCs w:val="22"/>
        </w:rPr>
        <w:t>all relevant information</w:t>
      </w:r>
      <w:r w:rsidR="00151FAF">
        <w:rPr>
          <w:rFonts w:ascii="Arial" w:hAnsi="Arial" w:cs="Arial"/>
          <w:sz w:val="22"/>
          <w:szCs w:val="22"/>
        </w:rPr>
        <w:t xml:space="preserve"> on the new policy</w:t>
      </w:r>
      <w:r w:rsidR="00422A53">
        <w:rPr>
          <w:rFonts w:ascii="Arial" w:hAnsi="Arial" w:cs="Arial"/>
          <w:sz w:val="22"/>
          <w:szCs w:val="22"/>
        </w:rPr>
        <w:t xml:space="preserve">.  A walk-in clinic was also made available during the </w:t>
      </w:r>
      <w:r>
        <w:rPr>
          <w:rFonts w:ascii="Arial" w:hAnsi="Arial" w:cs="Arial"/>
          <w:sz w:val="22"/>
          <w:szCs w:val="22"/>
        </w:rPr>
        <w:t>first weeks of implementation.</w:t>
      </w:r>
    </w:p>
    <w:p w14:paraId="62C5E998" w14:textId="77777777" w:rsidR="00AA6C29" w:rsidRPr="001A3E8D" w:rsidRDefault="00AA6C29" w:rsidP="001A3E8D">
      <w:pPr>
        <w:pStyle w:val="Heading3"/>
        <w:ind w:left="540"/>
        <w:rPr>
          <w:u w:val="none"/>
        </w:rPr>
      </w:pPr>
      <w:r w:rsidRPr="001A3E8D">
        <w:rPr>
          <w:u w:val="none"/>
        </w:rPr>
        <w:t>OTHER POLICY DEVELOPMENT</w:t>
      </w:r>
      <w:r w:rsidR="00E9392C" w:rsidRPr="001A3E8D">
        <w:rPr>
          <w:u w:val="none"/>
        </w:rPr>
        <w:t>S</w:t>
      </w:r>
    </w:p>
    <w:p w14:paraId="5D9F5830" w14:textId="77777777" w:rsidR="00AA6C29" w:rsidRPr="00BE4A3C" w:rsidRDefault="00AA6C29" w:rsidP="00AA6C29">
      <w:pPr>
        <w:pStyle w:val="ListParagraph"/>
        <w:rPr>
          <w:rFonts w:ascii="Arial" w:hAnsi="Arial" w:cs="Arial"/>
          <w:sz w:val="22"/>
          <w:szCs w:val="22"/>
        </w:rPr>
      </w:pPr>
    </w:p>
    <w:p w14:paraId="45071FD3" w14:textId="77777777" w:rsidR="00AA6C29" w:rsidRDefault="00AA6C29" w:rsidP="008A7269">
      <w:pPr>
        <w:pStyle w:val="ListParagraph"/>
        <w:numPr>
          <w:ilvl w:val="0"/>
          <w:numId w:val="21"/>
        </w:numPr>
        <w:ind w:left="0" w:firstLine="0"/>
        <w:rPr>
          <w:rFonts w:ascii="Arial" w:hAnsi="Arial" w:cs="Arial"/>
          <w:sz w:val="22"/>
          <w:szCs w:val="22"/>
        </w:rPr>
      </w:pPr>
      <w:r w:rsidRPr="0001267C">
        <w:rPr>
          <w:rFonts w:ascii="Arial" w:hAnsi="Arial" w:cs="Arial"/>
          <w:sz w:val="22"/>
          <w:szCs w:val="22"/>
        </w:rPr>
        <w:t>At its annual meeting in October 2018, the WIPO Coordination Committee approved amendments to the Staff Regulations and was notified of amendments to the Staff Rules, which entered into force on January 1, 2019.</w:t>
      </w:r>
      <w:r w:rsidRPr="00BE4A3C">
        <w:rPr>
          <w:rFonts w:ascii="Arial" w:hAnsi="Arial" w:cs="Arial"/>
          <w:sz w:val="22"/>
          <w:szCs w:val="22"/>
          <w:vertAlign w:val="superscript"/>
        </w:rPr>
        <w:footnoteReference w:id="29"/>
      </w:r>
    </w:p>
    <w:p w14:paraId="3D5CBB31" w14:textId="77777777" w:rsidR="0001267C" w:rsidRPr="0001267C" w:rsidRDefault="0001267C" w:rsidP="0001267C">
      <w:pPr>
        <w:pStyle w:val="ListParagraph"/>
        <w:ind w:left="0"/>
        <w:rPr>
          <w:rFonts w:ascii="Arial" w:hAnsi="Arial" w:cs="Arial"/>
          <w:sz w:val="22"/>
          <w:szCs w:val="22"/>
        </w:rPr>
      </w:pPr>
    </w:p>
    <w:p w14:paraId="298622F7" w14:textId="77777777" w:rsidR="00AA6C29" w:rsidRPr="00BE4A3C" w:rsidRDefault="00AA6C29" w:rsidP="00AA6C29">
      <w:pPr>
        <w:pStyle w:val="ListParagraph"/>
        <w:numPr>
          <w:ilvl w:val="0"/>
          <w:numId w:val="21"/>
        </w:numPr>
        <w:ind w:left="0" w:firstLine="0"/>
        <w:rPr>
          <w:rFonts w:ascii="Arial" w:hAnsi="Arial" w:cs="Arial"/>
          <w:sz w:val="22"/>
          <w:szCs w:val="22"/>
        </w:rPr>
      </w:pPr>
      <w:r w:rsidRPr="00BE4A3C">
        <w:rPr>
          <w:rFonts w:ascii="Arial" w:hAnsi="Arial" w:cs="Arial"/>
          <w:sz w:val="22"/>
          <w:szCs w:val="22"/>
        </w:rPr>
        <w:t>As part of the continued enhancement of the HR policy framework</w:t>
      </w:r>
      <w:r w:rsidRPr="00066E7A">
        <w:rPr>
          <w:rFonts w:ascii="Arial" w:hAnsi="Arial" w:cs="Arial"/>
          <w:sz w:val="22"/>
          <w:szCs w:val="22"/>
        </w:rPr>
        <w:t>, a dozen new</w:t>
      </w:r>
      <w:r w:rsidRPr="00BE4A3C">
        <w:rPr>
          <w:rFonts w:ascii="Arial" w:hAnsi="Arial" w:cs="Arial"/>
          <w:sz w:val="22"/>
          <w:szCs w:val="22"/>
        </w:rPr>
        <w:t xml:space="preserve"> or revised Office Instructions and other administrative documents were issued during the reporting period, accompanied where necessary by all-staff communications to ensure that staff fully understood the policy developments.</w:t>
      </w:r>
    </w:p>
    <w:p w14:paraId="19F8213E" w14:textId="77777777" w:rsidR="00AA6C29" w:rsidRPr="00BE4A3C" w:rsidRDefault="00AA6C29" w:rsidP="00AA6C29">
      <w:pPr>
        <w:pStyle w:val="ListParagraph"/>
        <w:rPr>
          <w:rFonts w:ascii="Arial" w:hAnsi="Arial" w:cs="Arial"/>
          <w:sz w:val="22"/>
          <w:szCs w:val="22"/>
        </w:rPr>
      </w:pPr>
    </w:p>
    <w:p w14:paraId="5F201440" w14:textId="598D31DB" w:rsidR="00AA6C29" w:rsidRPr="00BE4A3C" w:rsidRDefault="00AA6C29" w:rsidP="00AA6C29">
      <w:pPr>
        <w:pStyle w:val="ListParagraph"/>
        <w:numPr>
          <w:ilvl w:val="0"/>
          <w:numId w:val="21"/>
        </w:numPr>
        <w:ind w:left="0" w:firstLine="0"/>
        <w:rPr>
          <w:rFonts w:ascii="Arial" w:hAnsi="Arial" w:cs="Arial"/>
          <w:sz w:val="22"/>
          <w:szCs w:val="22"/>
        </w:rPr>
      </w:pPr>
      <w:r w:rsidRPr="00BE4A3C">
        <w:rPr>
          <w:rFonts w:ascii="Arial" w:hAnsi="Arial" w:cs="Arial"/>
          <w:sz w:val="22"/>
          <w:szCs w:val="22"/>
        </w:rPr>
        <w:t xml:space="preserve">An enhanced online HR Handbook was launched on the WIPO </w:t>
      </w:r>
      <w:r w:rsidR="00824864">
        <w:rPr>
          <w:rFonts w:ascii="Arial" w:hAnsi="Arial" w:cs="Arial"/>
          <w:sz w:val="22"/>
          <w:szCs w:val="22"/>
        </w:rPr>
        <w:t>I</w:t>
      </w:r>
      <w:r w:rsidRPr="00BE4A3C">
        <w:rPr>
          <w:rFonts w:ascii="Arial" w:hAnsi="Arial" w:cs="Arial"/>
          <w:sz w:val="22"/>
          <w:szCs w:val="22"/>
        </w:rPr>
        <w:t xml:space="preserve">ntranet, providing easy-to-access information on HR-related topics for WIPO </w:t>
      </w:r>
      <w:r>
        <w:rPr>
          <w:rFonts w:ascii="Arial" w:hAnsi="Arial" w:cs="Arial"/>
          <w:sz w:val="22"/>
          <w:szCs w:val="22"/>
        </w:rPr>
        <w:t>personnel</w:t>
      </w:r>
      <w:r w:rsidRPr="00BE4A3C">
        <w:rPr>
          <w:rFonts w:ascii="Arial" w:hAnsi="Arial" w:cs="Arial"/>
          <w:sz w:val="22"/>
          <w:szCs w:val="22"/>
        </w:rPr>
        <w:t>, with links to relevant documents such as Staff Regulations and Rules, Office Instructions, and forms.</w:t>
      </w:r>
    </w:p>
    <w:p w14:paraId="6CB5B516" w14:textId="77777777" w:rsidR="00AA6C29" w:rsidRDefault="00AA6C29" w:rsidP="00AA6C29">
      <w:pPr>
        <w:pStyle w:val="ListParagraph"/>
        <w:ind w:left="0"/>
        <w:rPr>
          <w:rFonts w:ascii="Arial" w:hAnsi="Arial" w:cs="Arial"/>
          <w:sz w:val="22"/>
          <w:szCs w:val="22"/>
        </w:rPr>
      </w:pPr>
    </w:p>
    <w:p w14:paraId="11F10508" w14:textId="77777777" w:rsidR="009768E5" w:rsidRDefault="009768E5" w:rsidP="00AA6C29">
      <w:pPr>
        <w:pStyle w:val="ListParagraph"/>
        <w:ind w:left="0"/>
        <w:rPr>
          <w:rFonts w:ascii="Arial" w:hAnsi="Arial" w:cs="Arial"/>
          <w:sz w:val="22"/>
          <w:szCs w:val="22"/>
        </w:rPr>
      </w:pPr>
    </w:p>
    <w:p w14:paraId="665AB715" w14:textId="77777777" w:rsidR="009768E5" w:rsidRDefault="009768E5" w:rsidP="007A3A70">
      <w:pPr>
        <w:pStyle w:val="ListParagraph"/>
        <w:ind w:left="5533"/>
        <w:rPr>
          <w:rFonts w:ascii="Arial" w:hAnsi="Arial" w:cs="Arial"/>
          <w:sz w:val="22"/>
          <w:szCs w:val="22"/>
        </w:rPr>
      </w:pPr>
      <w:r>
        <w:rPr>
          <w:rFonts w:ascii="Arial" w:hAnsi="Arial" w:cs="Arial"/>
          <w:sz w:val="22"/>
          <w:szCs w:val="22"/>
        </w:rPr>
        <w:t>[End of document]</w:t>
      </w:r>
    </w:p>
    <w:sectPr w:rsidR="009768E5" w:rsidSect="008F4A3A">
      <w:headerReference w:type="even" r:id="rId10"/>
      <w:headerReference w:type="default" r:id="rId11"/>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C726" w14:textId="77777777" w:rsidR="002C6C38" w:rsidRDefault="002C6C38" w:rsidP="005E689F">
      <w:r>
        <w:separator/>
      </w:r>
    </w:p>
  </w:endnote>
  <w:endnote w:type="continuationSeparator" w:id="0">
    <w:p w14:paraId="3874B019" w14:textId="77777777" w:rsidR="002C6C38" w:rsidRDefault="002C6C38" w:rsidP="005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1BED" w14:textId="77777777" w:rsidR="002C6C38" w:rsidRDefault="002C6C38" w:rsidP="005E689F">
      <w:r>
        <w:separator/>
      </w:r>
    </w:p>
  </w:footnote>
  <w:footnote w:type="continuationSeparator" w:id="0">
    <w:p w14:paraId="041A90F7" w14:textId="77777777" w:rsidR="002C6C38" w:rsidRDefault="002C6C38" w:rsidP="005E689F">
      <w:r>
        <w:continuationSeparator/>
      </w:r>
    </w:p>
  </w:footnote>
  <w:footnote w:id="1">
    <w:p w14:paraId="4593770E" w14:textId="57F69A85" w:rsidR="002C6C38" w:rsidRDefault="002C6C38">
      <w:pPr>
        <w:pStyle w:val="FootnoteText"/>
      </w:pPr>
      <w:r>
        <w:rPr>
          <w:rStyle w:val="FootnoteReference"/>
        </w:rPr>
        <w:footnoteRef/>
      </w:r>
      <w:r>
        <w:t xml:space="preserve"> </w:t>
      </w:r>
      <w:r>
        <w:tab/>
        <w:t xml:space="preserve">The HR Strategy is available on WIPO’s website at:  </w:t>
      </w:r>
      <w:hyperlink r:id="rId1" w:history="1">
        <w:r w:rsidRPr="009C2D9E">
          <w:rPr>
            <w:rStyle w:val="Hyperlink"/>
          </w:rPr>
          <w:t>https://www.wipo.int/edocs/mdocs/govbody/en/wo_cc_74/wo_cc_74_5.pdf</w:t>
        </w:r>
      </w:hyperlink>
      <w:r>
        <w:t xml:space="preserve">. </w:t>
      </w:r>
    </w:p>
  </w:footnote>
  <w:footnote w:id="2">
    <w:p w14:paraId="454B28C1" w14:textId="2A92C59F" w:rsidR="002C6C38" w:rsidRPr="002C6C38" w:rsidRDefault="002C6C38">
      <w:pPr>
        <w:pStyle w:val="FootnoteText"/>
        <w:rPr>
          <w:szCs w:val="18"/>
        </w:rPr>
      </w:pPr>
      <w:r w:rsidRPr="002C6C38">
        <w:rPr>
          <w:rStyle w:val="FootnoteReference"/>
          <w:szCs w:val="18"/>
        </w:rPr>
        <w:footnoteRef/>
      </w:r>
      <w:r w:rsidRPr="002C6C38">
        <w:rPr>
          <w:szCs w:val="18"/>
        </w:rPr>
        <w:t xml:space="preserve"> </w:t>
      </w:r>
      <w:r w:rsidRPr="002C6C38">
        <w:rPr>
          <w:szCs w:val="18"/>
        </w:rPr>
        <w:tab/>
      </w:r>
      <w:hyperlink r:id="rId2" w:history="1">
        <w:r w:rsidRPr="00E509D4">
          <w:rPr>
            <w:rStyle w:val="Hyperlink"/>
            <w:szCs w:val="18"/>
          </w:rPr>
          <w:t>https://www.wipo.int/publications/en/details.jsp?id=4431</w:t>
        </w:r>
      </w:hyperlink>
    </w:p>
  </w:footnote>
  <w:footnote w:id="3">
    <w:p w14:paraId="6F6757B1" w14:textId="77777777" w:rsidR="002C6C38" w:rsidRDefault="002C6C38" w:rsidP="004A48DD">
      <w:pPr>
        <w:pStyle w:val="FootnoteText"/>
      </w:pPr>
      <w:r>
        <w:rPr>
          <w:rStyle w:val="FootnoteReference"/>
        </w:rPr>
        <w:footnoteRef/>
      </w:r>
      <w:r>
        <w:t xml:space="preserve"> </w:t>
      </w:r>
      <w:r>
        <w:tab/>
        <w:t>All Tables referenced in this report are found in the HR Brochure.</w:t>
      </w:r>
    </w:p>
  </w:footnote>
  <w:footnote w:id="4">
    <w:p w14:paraId="6A9C0A7F" w14:textId="77777777" w:rsidR="002C6C38" w:rsidRDefault="002C6C38" w:rsidP="004A48DD">
      <w:pPr>
        <w:pStyle w:val="FootnoteText"/>
      </w:pPr>
      <w:r>
        <w:rPr>
          <w:rStyle w:val="FootnoteReference"/>
        </w:rPr>
        <w:footnoteRef/>
      </w:r>
      <w:r>
        <w:t xml:space="preserve"> </w:t>
      </w:r>
      <w:r>
        <w:tab/>
        <w:t>In the last reporting period, the total workforce was 1,558 with a 70/30 proportion between core and flexible resources.</w:t>
      </w:r>
    </w:p>
  </w:footnote>
  <w:footnote w:id="5">
    <w:p w14:paraId="7F4BAB3C" w14:textId="5BB42E6A" w:rsidR="002C6C38" w:rsidRDefault="002C6C38" w:rsidP="00EB4641">
      <w:pPr>
        <w:pStyle w:val="FootnoteText"/>
      </w:pPr>
      <w:r>
        <w:rPr>
          <w:rStyle w:val="FootnoteReference"/>
        </w:rPr>
        <w:footnoteRef/>
      </w:r>
      <w:r>
        <w:t xml:space="preserve"> </w:t>
      </w:r>
      <w:r>
        <w:tab/>
        <w:t xml:space="preserve">The JIU cited the internship programs of the International Labour Organization and WIPO as exemplary in its “Review of Internship Programmes in the United Nations System” (JIU/REP/2018/1, see paragraphs 54-56), which may be accessed at:  </w:t>
      </w:r>
      <w:hyperlink r:id="rId3" w:history="1">
        <w:r w:rsidRPr="009C2D9E">
          <w:rPr>
            <w:rStyle w:val="Hyperlink"/>
          </w:rPr>
          <w:t>https://www.unjiu.org/sites/www.unjiu.org/files/jiu_rep_2018_1_english.pdf</w:t>
        </w:r>
      </w:hyperlink>
      <w:r>
        <w:t>.</w:t>
      </w:r>
    </w:p>
  </w:footnote>
  <w:footnote w:id="6">
    <w:p w14:paraId="1A357D06" w14:textId="77777777" w:rsidR="002C6C38" w:rsidRDefault="002C6C38" w:rsidP="00C65141">
      <w:pPr>
        <w:pStyle w:val="FootnoteText"/>
      </w:pPr>
      <w:r>
        <w:rPr>
          <w:rStyle w:val="FootnoteReference"/>
        </w:rPr>
        <w:footnoteRef/>
      </w:r>
      <w:r>
        <w:t xml:space="preserve"> </w:t>
      </w:r>
      <w:r>
        <w:tab/>
        <w:t>UN-SWAP operationalizes the strategy included in the UN System-wide Policy on Gender Equality and the Empowerment of Women adopted in 2006 by the CEB.</w:t>
      </w:r>
    </w:p>
  </w:footnote>
  <w:footnote w:id="7">
    <w:p w14:paraId="110A097A" w14:textId="7147F4FB" w:rsidR="002C6C38" w:rsidRPr="00D6172B" w:rsidRDefault="002C6C38" w:rsidP="00C65141">
      <w:pPr>
        <w:pStyle w:val="FootnoteText"/>
        <w:rPr>
          <w:szCs w:val="18"/>
        </w:rPr>
      </w:pPr>
      <w:r w:rsidRPr="003A215C">
        <w:rPr>
          <w:rStyle w:val="FootnoteReference"/>
          <w:sz w:val="16"/>
          <w:szCs w:val="16"/>
        </w:rPr>
        <w:footnoteRef/>
      </w:r>
      <w:r w:rsidRPr="003A215C">
        <w:rPr>
          <w:sz w:val="16"/>
          <w:szCs w:val="16"/>
        </w:rPr>
        <w:t xml:space="preserve"> </w:t>
      </w:r>
      <w:r w:rsidRPr="003A215C">
        <w:rPr>
          <w:sz w:val="16"/>
          <w:szCs w:val="16"/>
        </w:rPr>
        <w:tab/>
      </w:r>
      <w:r>
        <w:rPr>
          <w:szCs w:val="18"/>
        </w:rPr>
        <w:t>The 17</w:t>
      </w:r>
      <w:r w:rsidRPr="00D6172B">
        <w:rPr>
          <w:szCs w:val="18"/>
        </w:rPr>
        <w:t xml:space="preserve"> indicators and WIPO’s progress for each of them are as follows</w:t>
      </w:r>
      <w:r>
        <w:rPr>
          <w:szCs w:val="18"/>
        </w:rPr>
        <w:t xml:space="preserve">: </w:t>
      </w:r>
      <w:r w:rsidRPr="00D6172B">
        <w:rPr>
          <w:szCs w:val="18"/>
        </w:rPr>
        <w:t xml:space="preserve"> </w:t>
      </w:r>
      <w:r>
        <w:rPr>
          <w:szCs w:val="18"/>
        </w:rPr>
        <w:t>WIPO meets requirements (4) Evaluation</w:t>
      </w:r>
      <w:r w:rsidRPr="00D6172B">
        <w:rPr>
          <w:szCs w:val="18"/>
        </w:rPr>
        <w:t xml:space="preserve">, </w:t>
      </w:r>
      <w:r>
        <w:rPr>
          <w:szCs w:val="18"/>
        </w:rPr>
        <w:t>(5) Audit</w:t>
      </w:r>
      <w:r w:rsidRPr="00D6172B">
        <w:rPr>
          <w:szCs w:val="18"/>
        </w:rPr>
        <w:t xml:space="preserve">, </w:t>
      </w:r>
      <w:r>
        <w:rPr>
          <w:szCs w:val="18"/>
        </w:rPr>
        <w:t>(6) </w:t>
      </w:r>
      <w:r w:rsidRPr="00D6172B">
        <w:rPr>
          <w:szCs w:val="18"/>
        </w:rPr>
        <w:t xml:space="preserve">Policy, </w:t>
      </w:r>
      <w:r>
        <w:rPr>
          <w:szCs w:val="18"/>
        </w:rPr>
        <w:t>(8) Gender-Responsive Performance Management, (16) Knowledge and Communication</w:t>
      </w:r>
      <w:r w:rsidRPr="00D6172B">
        <w:rPr>
          <w:szCs w:val="18"/>
        </w:rPr>
        <w:t xml:space="preserve">, and </w:t>
      </w:r>
      <w:r>
        <w:rPr>
          <w:szCs w:val="18"/>
        </w:rPr>
        <w:t xml:space="preserve">(17) Coherence;  WIPO approaches requirements (7) Leadership, (9) Financial </w:t>
      </w:r>
      <w:r w:rsidRPr="00D6172B">
        <w:rPr>
          <w:szCs w:val="18"/>
        </w:rPr>
        <w:t xml:space="preserve">Resource Tracking, </w:t>
      </w:r>
      <w:r>
        <w:rPr>
          <w:szCs w:val="18"/>
        </w:rPr>
        <w:t>(11) </w:t>
      </w:r>
      <w:r w:rsidRPr="00D6172B">
        <w:rPr>
          <w:szCs w:val="18"/>
        </w:rPr>
        <w:t xml:space="preserve">Gender Architecture, </w:t>
      </w:r>
      <w:r>
        <w:rPr>
          <w:szCs w:val="18"/>
        </w:rPr>
        <w:t>(12) Equal Representation of Women, (13) </w:t>
      </w:r>
      <w:r w:rsidRPr="00D6172B">
        <w:rPr>
          <w:szCs w:val="18"/>
        </w:rPr>
        <w:t xml:space="preserve">Organizational Culture, </w:t>
      </w:r>
      <w:r>
        <w:rPr>
          <w:szCs w:val="18"/>
        </w:rPr>
        <w:t>(14) </w:t>
      </w:r>
      <w:r w:rsidRPr="00D6172B">
        <w:rPr>
          <w:szCs w:val="18"/>
        </w:rPr>
        <w:t>Capacity Assessment</w:t>
      </w:r>
      <w:r>
        <w:rPr>
          <w:szCs w:val="18"/>
        </w:rPr>
        <w:t xml:space="preserve"> and</w:t>
      </w:r>
      <w:r w:rsidRPr="00D6172B">
        <w:rPr>
          <w:szCs w:val="18"/>
        </w:rPr>
        <w:t xml:space="preserve"> </w:t>
      </w:r>
      <w:r>
        <w:rPr>
          <w:szCs w:val="18"/>
        </w:rPr>
        <w:t xml:space="preserve">(15) Capacity Development;  Still missing are (1) Strategic Planning </w:t>
      </w:r>
      <w:r>
        <w:rPr>
          <w:szCs w:val="18"/>
        </w:rPr>
        <w:br/>
        <w:t>Gender-related SDG Results, (2) Reporting on Gender-related SDG Results and (10) Financial Resource Allocation;  Not applicable is ( 3) Programmatic Gender-related SDG Results.</w:t>
      </w:r>
    </w:p>
  </w:footnote>
  <w:footnote w:id="8">
    <w:p w14:paraId="491A4CEF" w14:textId="77777777" w:rsidR="002C6C38" w:rsidRDefault="002C6C38">
      <w:pPr>
        <w:pStyle w:val="FootnoteText"/>
      </w:pPr>
      <w:r>
        <w:rPr>
          <w:rStyle w:val="FootnoteReference"/>
        </w:rPr>
        <w:footnoteRef/>
      </w:r>
      <w:r>
        <w:t xml:space="preserve"> </w:t>
      </w:r>
      <w:r>
        <w:tab/>
        <w:t>The gender equality marker is a tool commonly used by the UN Common System entities within the framework of UN-SWAP to indicate the extent that a specific activity incorporates gender perspectives.</w:t>
      </w:r>
    </w:p>
  </w:footnote>
  <w:footnote w:id="9">
    <w:p w14:paraId="11064ED5" w14:textId="2A65878E" w:rsidR="002C6C38" w:rsidRDefault="002C6C38">
      <w:pPr>
        <w:pStyle w:val="FootnoteText"/>
      </w:pPr>
      <w:r>
        <w:rPr>
          <w:rStyle w:val="FootnoteReference"/>
        </w:rPr>
        <w:footnoteRef/>
      </w:r>
      <w:r>
        <w:t xml:space="preserve"> </w:t>
      </w:r>
      <w:r>
        <w:tab/>
      </w:r>
      <w:r w:rsidRPr="00D6172B">
        <w:rPr>
          <w:szCs w:val="18"/>
        </w:rPr>
        <w:t>The document “System-wide Strategy on Gender Parity” is available at</w:t>
      </w:r>
      <w:r>
        <w:rPr>
          <w:szCs w:val="18"/>
        </w:rPr>
        <w:t xml:space="preserve">: </w:t>
      </w:r>
      <w:r w:rsidRPr="00D6172B">
        <w:rPr>
          <w:szCs w:val="18"/>
        </w:rPr>
        <w:t xml:space="preserve"> </w:t>
      </w:r>
      <w:hyperlink r:id="rId4" w:history="1">
        <w:r w:rsidRPr="00D6172B">
          <w:rPr>
            <w:rStyle w:val="Hyperlink"/>
            <w:szCs w:val="18"/>
          </w:rPr>
          <w:t>https://www.un.int/sites/www.un.int/files/Permanent%20Missions/delegate/17-00102b_gender_strategy_report_13_sept_2017.pdf</w:t>
        </w:r>
      </w:hyperlink>
      <w:r w:rsidRPr="00D6172B">
        <w:rPr>
          <w:szCs w:val="18"/>
        </w:rPr>
        <w:t>.</w:t>
      </w:r>
    </w:p>
  </w:footnote>
  <w:footnote w:id="10">
    <w:p w14:paraId="3A0B0B55" w14:textId="140E0D68" w:rsidR="002C6C38" w:rsidRPr="00892786" w:rsidRDefault="002C6C38" w:rsidP="00176714">
      <w:pPr>
        <w:pStyle w:val="FootnoteText"/>
      </w:pPr>
      <w:r>
        <w:rPr>
          <w:rStyle w:val="FootnoteReference"/>
        </w:rPr>
        <w:footnoteRef/>
      </w:r>
      <w:r>
        <w:t xml:space="preserve"> </w:t>
      </w:r>
      <w:r>
        <w:tab/>
        <w:t xml:space="preserve">More information on the program can be found at:  </w:t>
      </w:r>
      <w:hyperlink r:id="rId5" w:history="1">
        <w:r w:rsidRPr="001E2A78">
          <w:rPr>
            <w:rStyle w:val="Hyperlink"/>
          </w:rPr>
          <w:t>https://learning.unog.ch/node/9019</w:t>
        </w:r>
      </w:hyperlink>
      <w:r>
        <w:rPr>
          <w:rStyle w:val="Hyperlink"/>
          <w:u w:val="none"/>
        </w:rPr>
        <w:t>.</w:t>
      </w:r>
    </w:p>
  </w:footnote>
  <w:footnote w:id="11">
    <w:p w14:paraId="54BEA06F" w14:textId="77777777" w:rsidR="002C6C38" w:rsidRDefault="002C6C38" w:rsidP="00176714">
      <w:pPr>
        <w:pStyle w:val="FootnoteText"/>
      </w:pPr>
      <w:r>
        <w:rPr>
          <w:rStyle w:val="FootnoteReference"/>
        </w:rPr>
        <w:footnoteRef/>
      </w:r>
      <w:r>
        <w:t xml:space="preserve"> </w:t>
      </w:r>
      <w:r>
        <w:tab/>
        <w:t>Staff covered are those on fixed-term, permanent and continuing appointments, based on post grade, and occupying regular-funded positions.</w:t>
      </w:r>
    </w:p>
  </w:footnote>
  <w:footnote w:id="12">
    <w:p w14:paraId="301D9306" w14:textId="7A2518CF" w:rsidR="002C6C38" w:rsidRDefault="002C6C38" w:rsidP="00176714">
      <w:pPr>
        <w:pStyle w:val="FootnoteText"/>
      </w:pPr>
      <w:r>
        <w:rPr>
          <w:rStyle w:val="FootnoteReference"/>
        </w:rPr>
        <w:footnoteRef/>
      </w:r>
      <w:r>
        <w:t xml:space="preserve"> </w:t>
      </w:r>
      <w:r>
        <w:tab/>
        <w:t xml:space="preserve">Evaluation of the Pilot Program on Professional and Career Development (Phase 2), Internal Oversight Service, EVAL 2018-01, September 28, 2018, available at:  </w:t>
      </w:r>
      <w:hyperlink r:id="rId6" w:history="1">
        <w:r w:rsidRPr="00D52665">
          <w:rPr>
            <w:rStyle w:val="Hyperlink"/>
          </w:rPr>
          <w:t>https://www.wipo.int/export/sites/www/about-wipo/en/oversight/iaod/evaluation/pdf/prof_dev_phase2_2018.pdf</w:t>
        </w:r>
      </w:hyperlink>
      <w:r>
        <w:t xml:space="preserve">. </w:t>
      </w:r>
    </w:p>
  </w:footnote>
  <w:footnote w:id="13">
    <w:p w14:paraId="799E18B4" w14:textId="7C35A8B8" w:rsidR="002C6C38" w:rsidRDefault="002C6C38">
      <w:pPr>
        <w:pStyle w:val="FootnoteText"/>
      </w:pPr>
      <w:r>
        <w:rPr>
          <w:rStyle w:val="FootnoteReference"/>
        </w:rPr>
        <w:footnoteRef/>
      </w:r>
      <w:r>
        <w:t xml:space="preserve"> </w:t>
      </w:r>
      <w:r>
        <w:tab/>
        <w:t>The CDIP decision is reflected under para</w:t>
      </w:r>
      <w:r w:rsidR="008B73D3">
        <w:t>graph</w:t>
      </w:r>
      <w:r>
        <w:t xml:space="preserve"> 9 of the Summary of the Chair, which document is available at:  </w:t>
      </w:r>
      <w:hyperlink r:id="rId7" w:history="1">
        <w:r w:rsidRPr="00774493">
          <w:rPr>
            <w:rStyle w:val="Hyperlink"/>
          </w:rPr>
          <w:t>https://www.wipo.int/meetings/en/doc_details.jsp?doc_id=421755</w:t>
        </w:r>
      </w:hyperlink>
      <w:r>
        <w:t>.</w:t>
      </w:r>
    </w:p>
  </w:footnote>
  <w:footnote w:id="14">
    <w:p w14:paraId="4126B531" w14:textId="31968DDC" w:rsidR="002C6C38" w:rsidRDefault="002C6C38">
      <w:pPr>
        <w:pStyle w:val="FootnoteText"/>
      </w:pPr>
      <w:r>
        <w:rPr>
          <w:rStyle w:val="FootnoteReference"/>
        </w:rPr>
        <w:footnoteRef/>
      </w:r>
      <w:r>
        <w:t xml:space="preserve"> </w:t>
      </w:r>
      <w:r>
        <w:tab/>
        <w:t xml:space="preserve">Document A/73/30 is available at:  </w:t>
      </w:r>
      <w:hyperlink r:id="rId8" w:history="1">
        <w:r w:rsidRPr="00B76767">
          <w:rPr>
            <w:rStyle w:val="Hyperlink"/>
          </w:rPr>
          <w:t>https://icscweb.un.org/resources/pdfs/ar/AR2018.pdf?d=52920193:51:04AM</w:t>
        </w:r>
      </w:hyperlink>
      <w:r>
        <w:t>.</w:t>
      </w:r>
    </w:p>
  </w:footnote>
  <w:footnote w:id="15">
    <w:p w14:paraId="0501DFC3" w14:textId="77CD03DD" w:rsidR="002C6C38" w:rsidRDefault="002C6C38">
      <w:pPr>
        <w:pStyle w:val="FootnoteText"/>
      </w:pPr>
      <w:r>
        <w:rPr>
          <w:rStyle w:val="FootnoteReference"/>
        </w:rPr>
        <w:footnoteRef/>
      </w:r>
      <w:r>
        <w:t xml:space="preserve"> </w:t>
      </w:r>
      <w:r>
        <w:tab/>
        <w:t xml:space="preserve">Document A/73/9 is available at:  </w:t>
      </w:r>
      <w:hyperlink r:id="rId9" w:history="1">
        <w:r w:rsidRPr="00505618">
          <w:rPr>
            <w:rStyle w:val="Hyperlink"/>
          </w:rPr>
          <w:t>https://undocs.org/A/73/9</w:t>
        </w:r>
      </w:hyperlink>
      <w:r>
        <w:t>.</w:t>
      </w:r>
    </w:p>
  </w:footnote>
  <w:footnote w:id="16">
    <w:p w14:paraId="33F1EFD7" w14:textId="0F1A386A" w:rsidR="002C6C38" w:rsidRDefault="002C6C38" w:rsidP="00BA7907">
      <w:pPr>
        <w:pStyle w:val="FootnoteText"/>
      </w:pPr>
      <w:r>
        <w:rPr>
          <w:rStyle w:val="FootnoteReference"/>
        </w:rPr>
        <w:footnoteRef/>
      </w:r>
      <w:r>
        <w:t xml:space="preserve"> </w:t>
      </w:r>
      <w:r>
        <w:tab/>
        <w:t>See para</w:t>
      </w:r>
      <w:r w:rsidR="008B73D3">
        <w:t>graph</w:t>
      </w:r>
      <w:r>
        <w:t>s 65</w:t>
      </w:r>
      <w:r w:rsidR="00063F95">
        <w:t xml:space="preserve"> to </w:t>
      </w:r>
      <w:r>
        <w:t xml:space="preserve">67 and Annex VI of the Report of the International Civil Service Commission for the year 2017 available at:  </w:t>
      </w:r>
      <w:hyperlink r:id="rId10" w:history="1">
        <w:r w:rsidRPr="00B76767">
          <w:rPr>
            <w:rStyle w:val="Hyperlink"/>
          </w:rPr>
          <w:t>https://icsc.un.org/Resources/General/AnnualReports/AR2017.pdf?r=09860932</w:t>
        </w:r>
      </w:hyperlink>
      <w:r>
        <w:t>.  As stated in para</w:t>
      </w:r>
      <w:r w:rsidR="008B73D3">
        <w:t>graph</w:t>
      </w:r>
      <w:r>
        <w:t xml:space="preserve"> 67 of the cited report, the ICSC “decided that the organizations should use the measures in Annex VI as guidelines, subject to their approval by the General Assembly, and urged the organizations to continue their efforts in the area of performance management with a view to improving organizational performance as a whole.”</w:t>
      </w:r>
    </w:p>
  </w:footnote>
  <w:footnote w:id="17">
    <w:p w14:paraId="638AE731" w14:textId="77777777" w:rsidR="002C6C38" w:rsidRDefault="002C6C38">
      <w:pPr>
        <w:pStyle w:val="FootnoteText"/>
      </w:pPr>
      <w:r>
        <w:rPr>
          <w:rStyle w:val="FootnoteReference"/>
        </w:rPr>
        <w:footnoteRef/>
      </w:r>
      <w:r>
        <w:t xml:space="preserve"> </w:t>
      </w:r>
      <w:r>
        <w:tab/>
        <w:t>Staff Regulation 4.16(a) was amended with effect from January 1, 2019, to allow the Director General, in exceptional circumstances, to extend the maximum cumulative length of a temporary appointment from two to three years.</w:t>
      </w:r>
    </w:p>
  </w:footnote>
  <w:footnote w:id="18">
    <w:p w14:paraId="62D425B4" w14:textId="5EEF705F" w:rsidR="002C6C38" w:rsidRDefault="002C6C38">
      <w:pPr>
        <w:pStyle w:val="FootnoteText"/>
      </w:pPr>
      <w:r>
        <w:rPr>
          <w:rStyle w:val="FootnoteReference"/>
        </w:rPr>
        <w:footnoteRef/>
      </w:r>
      <w:r>
        <w:t xml:space="preserve"> </w:t>
      </w:r>
      <w:r>
        <w:tab/>
        <w:t>Table 17 also shows an increase in the number of vacancies over the three-year period from 2016 to 2018, although proportionately less than the increase in the number of applications received.</w:t>
      </w:r>
    </w:p>
  </w:footnote>
  <w:footnote w:id="19">
    <w:p w14:paraId="37877B95" w14:textId="30E8B67F" w:rsidR="002C6C38" w:rsidRDefault="002C6C38" w:rsidP="00853A3E">
      <w:pPr>
        <w:pStyle w:val="FootnoteText"/>
      </w:pPr>
      <w:r>
        <w:rPr>
          <w:rStyle w:val="FootnoteReference"/>
        </w:rPr>
        <w:footnoteRef/>
      </w:r>
      <w:r>
        <w:t xml:space="preserve"> </w:t>
      </w:r>
      <w:r>
        <w:tab/>
        <w:t>See para</w:t>
      </w:r>
      <w:r w:rsidR="008B73D3">
        <w:t>graph</w:t>
      </w:r>
      <w:r>
        <w:t xml:space="preserve"> 17 of document WO/CC/73/5), available at:  </w:t>
      </w:r>
      <w:hyperlink r:id="rId11" w:history="1">
        <w:r w:rsidRPr="00714F6C">
          <w:rPr>
            <w:rStyle w:val="Hyperlink"/>
          </w:rPr>
          <w:t>https://www.wipo.int/edocs/mdocs/govbody/en/wo_cc_73/wo_cc_73_5.pdf</w:t>
        </w:r>
      </w:hyperlink>
      <w:r>
        <w:t xml:space="preserve"> and para. 44 of document WO/CC/73/7 available at:  </w:t>
      </w:r>
      <w:hyperlink r:id="rId12" w:history="1">
        <w:r w:rsidRPr="00714F6C">
          <w:rPr>
            <w:rStyle w:val="Hyperlink"/>
          </w:rPr>
          <w:t>https://www.wipo.int/edocs/mdocs/govbody/en/wo_cc_73/wo_cc_73_7.pdf</w:t>
        </w:r>
      </w:hyperlink>
      <w:r>
        <w:t>.</w:t>
      </w:r>
    </w:p>
  </w:footnote>
  <w:footnote w:id="20">
    <w:p w14:paraId="3F852448" w14:textId="77777777" w:rsidR="002C6C38" w:rsidRDefault="002C6C38" w:rsidP="00853A3E">
      <w:pPr>
        <w:pStyle w:val="FootnoteText"/>
      </w:pPr>
      <w:r>
        <w:rPr>
          <w:rStyle w:val="FootnoteReference"/>
        </w:rPr>
        <w:footnoteRef/>
      </w:r>
      <w:r>
        <w:t xml:space="preserve"> </w:t>
      </w:r>
      <w:r>
        <w:tab/>
        <w:t>Since 2016, seven recruitment outreach missions have taken place to improve geographical representation among staff.  Table 18 show the evolution in the number of applications to fixed-term vacancies received from those countries that hosted these missions.  The Secretariat is carefully monitoring these data to determine the missions’ impact over time, if any, on the number of applications.</w:t>
      </w:r>
    </w:p>
  </w:footnote>
  <w:footnote w:id="21">
    <w:p w14:paraId="7FB76199" w14:textId="77777777" w:rsidR="002C6C38" w:rsidRDefault="002C6C38">
      <w:pPr>
        <w:pStyle w:val="FootnoteText"/>
      </w:pPr>
      <w:r>
        <w:rPr>
          <w:rStyle w:val="FootnoteReference"/>
        </w:rPr>
        <w:footnoteRef/>
      </w:r>
      <w:r>
        <w:t xml:space="preserve"> </w:t>
      </w:r>
      <w:r>
        <w:tab/>
        <w:t>Impactpool is a career platform and service provided by International Talent Management (or Intalma), a social enterprise devoted to providing the best possible support to individuals who want to pursue a career in an international organization.</w:t>
      </w:r>
    </w:p>
  </w:footnote>
  <w:footnote w:id="22">
    <w:p w14:paraId="39282A69" w14:textId="6AADFAE1" w:rsidR="002C6C38" w:rsidRPr="004C2FEC" w:rsidRDefault="002C6C38" w:rsidP="0031752F">
      <w:pPr>
        <w:pStyle w:val="FootnoteText"/>
        <w:rPr>
          <w:szCs w:val="18"/>
        </w:rPr>
      </w:pPr>
      <w:r>
        <w:rPr>
          <w:rStyle w:val="FootnoteReference"/>
        </w:rPr>
        <w:footnoteRef/>
      </w:r>
      <w:r w:rsidRPr="0031752F">
        <w:t xml:space="preserve"> </w:t>
      </w:r>
      <w:r w:rsidRPr="0031752F">
        <w:tab/>
        <w:t xml:space="preserve">Document JIU/REP/2018/6 is available at:  </w:t>
      </w:r>
      <w:hyperlink r:id="rId13" w:history="1">
        <w:r w:rsidRPr="004C2FEC">
          <w:rPr>
            <w:rStyle w:val="Hyperlink"/>
            <w:szCs w:val="18"/>
          </w:rPr>
          <w:t>https://www.unjiu.org/sites/www.unjiu.org/files/jiu_rep_2018_6_english.pdf</w:t>
        </w:r>
      </w:hyperlink>
    </w:p>
  </w:footnote>
  <w:footnote w:id="23">
    <w:p w14:paraId="54EFD37D" w14:textId="77777777" w:rsidR="002C6C38" w:rsidRPr="004C2FEC" w:rsidRDefault="002C6C38">
      <w:pPr>
        <w:pStyle w:val="FootnoteText"/>
        <w:rPr>
          <w:szCs w:val="18"/>
        </w:rPr>
      </w:pPr>
      <w:r w:rsidRPr="004C2FEC">
        <w:rPr>
          <w:rStyle w:val="FootnoteReference"/>
          <w:szCs w:val="18"/>
        </w:rPr>
        <w:footnoteRef/>
      </w:r>
      <w:r w:rsidRPr="004C2FEC">
        <w:rPr>
          <w:szCs w:val="18"/>
        </w:rPr>
        <w:t xml:space="preserve"> </w:t>
      </w:r>
      <w:r w:rsidRPr="004C2FEC">
        <w:rPr>
          <w:szCs w:val="18"/>
        </w:rPr>
        <w:tab/>
      </w:r>
      <w:r>
        <w:rPr>
          <w:szCs w:val="18"/>
        </w:rPr>
        <w:t>During</w:t>
      </w:r>
      <w:r w:rsidRPr="004C2FEC">
        <w:rPr>
          <w:szCs w:val="18"/>
        </w:rPr>
        <w:t xml:space="preserve"> the event, the speaker presented in American </w:t>
      </w:r>
      <w:r>
        <w:rPr>
          <w:szCs w:val="18"/>
        </w:rPr>
        <w:t>S</w:t>
      </w:r>
      <w:r w:rsidRPr="004C2FEC">
        <w:rPr>
          <w:szCs w:val="18"/>
        </w:rPr>
        <w:t xml:space="preserve">ign </w:t>
      </w:r>
      <w:r>
        <w:rPr>
          <w:szCs w:val="18"/>
        </w:rPr>
        <w:t>L</w:t>
      </w:r>
      <w:r w:rsidRPr="004C2FEC">
        <w:rPr>
          <w:szCs w:val="18"/>
        </w:rPr>
        <w:t>anguage, which was interpreted first in</w:t>
      </w:r>
      <w:r>
        <w:rPr>
          <w:szCs w:val="18"/>
        </w:rPr>
        <w:t>to</w:t>
      </w:r>
      <w:r w:rsidRPr="004C2FEC">
        <w:rPr>
          <w:szCs w:val="18"/>
        </w:rPr>
        <w:t xml:space="preserve"> English and then </w:t>
      </w:r>
      <w:r>
        <w:rPr>
          <w:szCs w:val="18"/>
        </w:rPr>
        <w:t xml:space="preserve">relayed </w:t>
      </w:r>
      <w:r w:rsidRPr="004C2FEC">
        <w:rPr>
          <w:szCs w:val="18"/>
        </w:rPr>
        <w:t>in</w:t>
      </w:r>
      <w:r>
        <w:rPr>
          <w:szCs w:val="18"/>
        </w:rPr>
        <w:t>to</w:t>
      </w:r>
      <w:r w:rsidRPr="004C2FEC">
        <w:rPr>
          <w:szCs w:val="18"/>
        </w:rPr>
        <w:t xml:space="preserve"> French and Spanish.</w:t>
      </w:r>
    </w:p>
  </w:footnote>
  <w:footnote w:id="24">
    <w:p w14:paraId="511D5C4B" w14:textId="71CDC70E" w:rsidR="002C6C38" w:rsidRPr="00725DB5" w:rsidRDefault="002C6C38">
      <w:pPr>
        <w:pStyle w:val="FootnoteText"/>
        <w:rPr>
          <w:szCs w:val="18"/>
        </w:rPr>
      </w:pPr>
      <w:r>
        <w:rPr>
          <w:rStyle w:val="FootnoteReference"/>
        </w:rPr>
        <w:footnoteRef/>
      </w:r>
      <w:r>
        <w:t xml:space="preserve"> </w:t>
      </w:r>
      <w:r>
        <w:tab/>
      </w:r>
      <w:r w:rsidRPr="00725DB5">
        <w:rPr>
          <w:szCs w:val="18"/>
        </w:rPr>
        <w:t>To mitigate such uncertainty, th</w:t>
      </w:r>
      <w:r>
        <w:rPr>
          <w:szCs w:val="18"/>
        </w:rPr>
        <w:t xml:space="preserve">e Administration has requested </w:t>
      </w:r>
      <w:r w:rsidRPr="00725DB5">
        <w:rPr>
          <w:szCs w:val="18"/>
        </w:rPr>
        <w:t xml:space="preserve">staff members </w:t>
      </w:r>
      <w:r>
        <w:rPr>
          <w:szCs w:val="18"/>
        </w:rPr>
        <w:t xml:space="preserve">who will reach 60 or 62 in the coming three years, but who could choose to retire at 65, </w:t>
      </w:r>
      <w:r w:rsidRPr="00725DB5">
        <w:rPr>
          <w:szCs w:val="18"/>
        </w:rPr>
        <w:t>to indicate</w:t>
      </w:r>
      <w:r>
        <w:rPr>
          <w:szCs w:val="18"/>
        </w:rPr>
        <w:t xml:space="preserve"> </w:t>
      </w:r>
      <w:r w:rsidRPr="00725DB5">
        <w:rPr>
          <w:szCs w:val="18"/>
        </w:rPr>
        <w:t xml:space="preserve">their intentions </w:t>
      </w:r>
      <w:r>
        <w:rPr>
          <w:szCs w:val="18"/>
        </w:rPr>
        <w:t>in advance</w:t>
      </w:r>
      <w:r w:rsidRPr="00725DB5">
        <w:rPr>
          <w:szCs w:val="18"/>
        </w:rPr>
        <w:t xml:space="preserve"> to assist with workforce planning.  However, responses have been few, suggest</w:t>
      </w:r>
      <w:r>
        <w:rPr>
          <w:szCs w:val="18"/>
        </w:rPr>
        <w:t>ing</w:t>
      </w:r>
      <w:r w:rsidRPr="00725DB5">
        <w:rPr>
          <w:szCs w:val="18"/>
        </w:rPr>
        <w:t xml:space="preserve"> that staff members prefer not to make any anticipatory announcement of their eventual decision.</w:t>
      </w:r>
    </w:p>
  </w:footnote>
  <w:footnote w:id="25">
    <w:p w14:paraId="6E6A875B" w14:textId="77777777" w:rsidR="002C6C38" w:rsidRDefault="002C6C38">
      <w:pPr>
        <w:pStyle w:val="FootnoteText"/>
      </w:pPr>
      <w:r>
        <w:rPr>
          <w:rStyle w:val="FootnoteReference"/>
        </w:rPr>
        <w:footnoteRef/>
      </w:r>
      <w:r>
        <w:t xml:space="preserve"> </w:t>
      </w:r>
      <w:r>
        <w:tab/>
        <w:t>In January 2019, WIPO introduced a questionnaire that was sent to all interns upon completing their internship.  The response rate was 82 per cent for the period of January to April 2019.</w:t>
      </w:r>
    </w:p>
  </w:footnote>
  <w:footnote w:id="26">
    <w:p w14:paraId="29C84688" w14:textId="60963410" w:rsidR="002C6C38" w:rsidRDefault="002C6C38">
      <w:pPr>
        <w:pStyle w:val="FootnoteText"/>
      </w:pPr>
      <w:r>
        <w:rPr>
          <w:rStyle w:val="FootnoteReference"/>
        </w:rPr>
        <w:footnoteRef/>
      </w:r>
      <w:r>
        <w:t xml:space="preserve"> </w:t>
      </w:r>
      <w:r>
        <w:tab/>
        <w:t>In 2017, there were 693 training days for management-related training.  In 2018, the total training days for this category was 1,162 (Table 23).</w:t>
      </w:r>
    </w:p>
  </w:footnote>
  <w:footnote w:id="27">
    <w:p w14:paraId="0C832B52" w14:textId="351A7578" w:rsidR="002C6C38" w:rsidRDefault="002C6C38">
      <w:pPr>
        <w:pStyle w:val="FootnoteText"/>
      </w:pPr>
      <w:r>
        <w:rPr>
          <w:rStyle w:val="FootnoteReference"/>
        </w:rPr>
        <w:footnoteRef/>
      </w:r>
      <w:r>
        <w:t xml:space="preserve"> </w:t>
      </w:r>
      <w:r>
        <w:tab/>
        <w:t>In 2017, there were 3’953 participants in WIPO’s training programs.  In 2018, the total number of participants was 6’269 (Table 23).</w:t>
      </w:r>
    </w:p>
  </w:footnote>
  <w:footnote w:id="28">
    <w:p w14:paraId="2A79F8D6" w14:textId="67223060" w:rsidR="002C6C38" w:rsidRPr="006B4388" w:rsidRDefault="002C6C38">
      <w:pPr>
        <w:pStyle w:val="FootnoteText"/>
      </w:pPr>
      <w:r>
        <w:rPr>
          <w:rStyle w:val="FootnoteReference"/>
        </w:rPr>
        <w:footnoteRef/>
      </w:r>
      <w:r>
        <w:t xml:space="preserve"> </w:t>
      </w:r>
      <w:r>
        <w:tab/>
      </w:r>
      <w:r w:rsidRPr="00DF7C6B">
        <w:rPr>
          <w:szCs w:val="18"/>
        </w:rPr>
        <w:t>Fixed costs for cases examined by the WAB include:  fees paid to the Chair and Deputy Chair of the WAB;  travel expenses for the Deputy Chair;  and the cost of an agency worker who provides administrative support to the WAB.</w:t>
      </w:r>
    </w:p>
  </w:footnote>
  <w:footnote w:id="29">
    <w:p w14:paraId="07D78D4C" w14:textId="2F7E744A" w:rsidR="002C6C38" w:rsidRPr="00D6172B" w:rsidRDefault="002C6C38" w:rsidP="00AA6C29">
      <w:pPr>
        <w:pStyle w:val="FootnoteText"/>
        <w:rPr>
          <w:szCs w:val="18"/>
        </w:rPr>
      </w:pPr>
      <w:r w:rsidRPr="00C936D9">
        <w:rPr>
          <w:rStyle w:val="FootnoteReference"/>
          <w:szCs w:val="18"/>
        </w:rPr>
        <w:footnoteRef/>
      </w:r>
      <w:r w:rsidRPr="00467764">
        <w:rPr>
          <w:szCs w:val="18"/>
        </w:rPr>
        <w:t xml:space="preserve"> </w:t>
      </w:r>
      <w:r>
        <w:rPr>
          <w:szCs w:val="18"/>
        </w:rPr>
        <w:tab/>
      </w:r>
      <w:r w:rsidRPr="00467764">
        <w:rPr>
          <w:szCs w:val="18"/>
        </w:rPr>
        <w:t>See documents WO/CC/75/2 and WO/CC/75/3 at:</w:t>
      </w:r>
      <w:r>
        <w:rPr>
          <w:szCs w:val="18"/>
        </w:rPr>
        <w:t xml:space="preserve">  </w:t>
      </w:r>
      <w:hyperlink r:id="rId14" w:history="1">
        <w:r w:rsidRPr="00C936D9">
          <w:rPr>
            <w:rStyle w:val="Hyperlink"/>
            <w:szCs w:val="18"/>
          </w:rPr>
          <w:t>https://www.wipo.int/meetings/en/details.jsp?meeting_id=47812</w:t>
        </w:r>
      </w:hyperlink>
      <w:r w:rsidRPr="00C936D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CFEC" w14:textId="3778B0F3" w:rsidR="008F4A3A" w:rsidRDefault="008F4A3A" w:rsidP="008F4A3A">
    <w:pPr>
      <w:jc w:val="right"/>
    </w:pPr>
  </w:p>
  <w:p w14:paraId="0AF77511" w14:textId="77777777" w:rsidR="008F4A3A" w:rsidRDefault="008F4A3A" w:rsidP="008F4A3A">
    <w:pPr>
      <w:jc w:val="right"/>
    </w:pPr>
    <w:r>
      <w:t>WO/CC/76/INF/1</w:t>
    </w:r>
  </w:p>
  <w:p w14:paraId="5252C8F8" w14:textId="20546DAE" w:rsidR="008F4A3A" w:rsidRDefault="008F4A3A" w:rsidP="008F4A3A">
    <w:pPr>
      <w:jc w:val="right"/>
    </w:pPr>
    <w:r>
      <w:t xml:space="preserve">page </w:t>
    </w:r>
    <w:r>
      <w:fldChar w:fldCharType="begin"/>
    </w:r>
    <w:r>
      <w:instrText xml:space="preserve"> PAGE  \* MERGEFORMAT </w:instrText>
    </w:r>
    <w:r>
      <w:fldChar w:fldCharType="separate"/>
    </w:r>
    <w:r>
      <w:rPr>
        <w:noProof/>
      </w:rPr>
      <w:t>16</w:t>
    </w:r>
    <w:r>
      <w:fldChar w:fldCharType="end"/>
    </w:r>
  </w:p>
  <w:p w14:paraId="4CF4A9FC" w14:textId="77777777" w:rsidR="008F4A3A" w:rsidRDefault="008F4A3A" w:rsidP="008F4A3A">
    <w:pPr>
      <w:pStyle w:val="Header"/>
    </w:pPr>
  </w:p>
  <w:p w14:paraId="612A04DB" w14:textId="77777777" w:rsidR="008F4A3A" w:rsidRDefault="008F4A3A" w:rsidP="008F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6BA5" w14:textId="5E477B85" w:rsidR="002C6C38" w:rsidRDefault="002C6C38" w:rsidP="00C7658A">
    <w:pPr>
      <w:jc w:val="right"/>
    </w:pPr>
  </w:p>
  <w:p w14:paraId="3732B93A" w14:textId="12816258" w:rsidR="002C6C38" w:rsidRDefault="002C6C38" w:rsidP="00C7658A">
    <w:pPr>
      <w:jc w:val="right"/>
    </w:pPr>
    <w:r>
      <w:t>WO/CC/76/INF/1</w:t>
    </w:r>
  </w:p>
  <w:p w14:paraId="2FF8B592" w14:textId="1E143B7B" w:rsidR="002C6C38" w:rsidRDefault="002C6C38" w:rsidP="00C7658A">
    <w:pPr>
      <w:jc w:val="right"/>
    </w:pPr>
    <w:r>
      <w:t xml:space="preserve">page </w:t>
    </w:r>
    <w:r>
      <w:fldChar w:fldCharType="begin"/>
    </w:r>
    <w:r>
      <w:instrText xml:space="preserve"> PAGE  \* MERGEFORMAT </w:instrText>
    </w:r>
    <w:r>
      <w:fldChar w:fldCharType="separate"/>
    </w:r>
    <w:r w:rsidR="008F4A3A">
      <w:rPr>
        <w:noProof/>
      </w:rPr>
      <w:t>15</w:t>
    </w:r>
    <w:r>
      <w:fldChar w:fldCharType="end"/>
    </w:r>
  </w:p>
  <w:p w14:paraId="120C9707" w14:textId="5CED612A" w:rsidR="002C6C38" w:rsidRDefault="002C6C38">
    <w:pPr>
      <w:pStyle w:val="Header"/>
    </w:pPr>
  </w:p>
  <w:p w14:paraId="19B57AFA" w14:textId="77777777" w:rsidR="002C6C38" w:rsidRDefault="002C6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9F00" w14:textId="11495E88" w:rsidR="008F4A3A" w:rsidRDefault="008F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15231D"/>
    <w:multiLevelType w:val="hybridMultilevel"/>
    <w:tmpl w:val="9EF2471A"/>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5303F8B"/>
    <w:multiLevelType w:val="hybridMultilevel"/>
    <w:tmpl w:val="83327506"/>
    <w:lvl w:ilvl="0" w:tplc="980ED3D0">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3" w15:restartNumberingAfterBreak="0">
    <w:nsid w:val="061C0949"/>
    <w:multiLevelType w:val="hybridMultilevel"/>
    <w:tmpl w:val="6CEC1D1C"/>
    <w:lvl w:ilvl="0" w:tplc="B8E6DE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E7BB5"/>
    <w:multiLevelType w:val="hybridMultilevel"/>
    <w:tmpl w:val="3B0EE54C"/>
    <w:lvl w:ilvl="0" w:tplc="AAD07F7C">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3DD5"/>
    <w:multiLevelType w:val="hybridMultilevel"/>
    <w:tmpl w:val="0BBA2184"/>
    <w:lvl w:ilvl="0" w:tplc="088E9858">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9" w15:restartNumberingAfterBreak="0">
    <w:nsid w:val="29112BD2"/>
    <w:multiLevelType w:val="hybridMultilevel"/>
    <w:tmpl w:val="8E1071B8"/>
    <w:lvl w:ilvl="0" w:tplc="326848AA">
      <w:start w:val="1"/>
      <w:numFmt w:val="bullet"/>
      <w:lvlText w:val=""/>
      <w:lvlJc w:val="left"/>
      <w:pPr>
        <w:tabs>
          <w:tab w:val="num" w:pos="720"/>
        </w:tabs>
        <w:ind w:left="720" w:hanging="360"/>
      </w:pPr>
      <w:rPr>
        <w:rFonts w:ascii="Wingdings" w:hAnsi="Wingdings" w:hint="default"/>
      </w:rPr>
    </w:lvl>
    <w:lvl w:ilvl="1" w:tplc="225A4974">
      <w:start w:val="1076"/>
      <w:numFmt w:val="bullet"/>
      <w:lvlText w:val=""/>
      <w:lvlJc w:val="left"/>
      <w:pPr>
        <w:tabs>
          <w:tab w:val="num" w:pos="1440"/>
        </w:tabs>
        <w:ind w:left="1440" w:hanging="360"/>
      </w:pPr>
      <w:rPr>
        <w:rFonts w:ascii="Wingdings" w:hAnsi="Wingdings" w:hint="default"/>
      </w:rPr>
    </w:lvl>
    <w:lvl w:ilvl="2" w:tplc="6A92BF28" w:tentative="1">
      <w:start w:val="1"/>
      <w:numFmt w:val="bullet"/>
      <w:lvlText w:val=""/>
      <w:lvlJc w:val="left"/>
      <w:pPr>
        <w:tabs>
          <w:tab w:val="num" w:pos="2160"/>
        </w:tabs>
        <w:ind w:left="2160" w:hanging="360"/>
      </w:pPr>
      <w:rPr>
        <w:rFonts w:ascii="Wingdings" w:hAnsi="Wingdings" w:hint="default"/>
      </w:rPr>
    </w:lvl>
    <w:lvl w:ilvl="3" w:tplc="1C6CD8DE" w:tentative="1">
      <w:start w:val="1"/>
      <w:numFmt w:val="bullet"/>
      <w:lvlText w:val=""/>
      <w:lvlJc w:val="left"/>
      <w:pPr>
        <w:tabs>
          <w:tab w:val="num" w:pos="2880"/>
        </w:tabs>
        <w:ind w:left="2880" w:hanging="360"/>
      </w:pPr>
      <w:rPr>
        <w:rFonts w:ascii="Wingdings" w:hAnsi="Wingdings" w:hint="default"/>
      </w:rPr>
    </w:lvl>
    <w:lvl w:ilvl="4" w:tplc="36BE7CB4" w:tentative="1">
      <w:start w:val="1"/>
      <w:numFmt w:val="bullet"/>
      <w:lvlText w:val=""/>
      <w:lvlJc w:val="left"/>
      <w:pPr>
        <w:tabs>
          <w:tab w:val="num" w:pos="3600"/>
        </w:tabs>
        <w:ind w:left="3600" w:hanging="360"/>
      </w:pPr>
      <w:rPr>
        <w:rFonts w:ascii="Wingdings" w:hAnsi="Wingdings" w:hint="default"/>
      </w:rPr>
    </w:lvl>
    <w:lvl w:ilvl="5" w:tplc="68028832" w:tentative="1">
      <w:start w:val="1"/>
      <w:numFmt w:val="bullet"/>
      <w:lvlText w:val=""/>
      <w:lvlJc w:val="left"/>
      <w:pPr>
        <w:tabs>
          <w:tab w:val="num" w:pos="4320"/>
        </w:tabs>
        <w:ind w:left="4320" w:hanging="360"/>
      </w:pPr>
      <w:rPr>
        <w:rFonts w:ascii="Wingdings" w:hAnsi="Wingdings" w:hint="default"/>
      </w:rPr>
    </w:lvl>
    <w:lvl w:ilvl="6" w:tplc="4D0E9A6E" w:tentative="1">
      <w:start w:val="1"/>
      <w:numFmt w:val="bullet"/>
      <w:lvlText w:val=""/>
      <w:lvlJc w:val="left"/>
      <w:pPr>
        <w:tabs>
          <w:tab w:val="num" w:pos="5040"/>
        </w:tabs>
        <w:ind w:left="5040" w:hanging="360"/>
      </w:pPr>
      <w:rPr>
        <w:rFonts w:ascii="Wingdings" w:hAnsi="Wingdings" w:hint="default"/>
      </w:rPr>
    </w:lvl>
    <w:lvl w:ilvl="7" w:tplc="E132F284" w:tentative="1">
      <w:start w:val="1"/>
      <w:numFmt w:val="bullet"/>
      <w:lvlText w:val=""/>
      <w:lvlJc w:val="left"/>
      <w:pPr>
        <w:tabs>
          <w:tab w:val="num" w:pos="5760"/>
        </w:tabs>
        <w:ind w:left="5760" w:hanging="360"/>
      </w:pPr>
      <w:rPr>
        <w:rFonts w:ascii="Wingdings" w:hAnsi="Wingdings" w:hint="default"/>
      </w:rPr>
    </w:lvl>
    <w:lvl w:ilvl="8" w:tplc="54C0D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24B4E"/>
    <w:multiLevelType w:val="hybridMultilevel"/>
    <w:tmpl w:val="9044EFA4"/>
    <w:lvl w:ilvl="0" w:tplc="B6DA4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5CF2"/>
    <w:multiLevelType w:val="hybridMultilevel"/>
    <w:tmpl w:val="0DF2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0518"/>
    <w:multiLevelType w:val="hybridMultilevel"/>
    <w:tmpl w:val="25B03466"/>
    <w:lvl w:ilvl="0" w:tplc="0D689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92BF6"/>
    <w:multiLevelType w:val="multilevel"/>
    <w:tmpl w:val="8B9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5" w15:restartNumberingAfterBreak="0">
    <w:nsid w:val="33ED5049"/>
    <w:multiLevelType w:val="hybridMultilevel"/>
    <w:tmpl w:val="7778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87B6C"/>
    <w:multiLevelType w:val="hybridMultilevel"/>
    <w:tmpl w:val="77FE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82483"/>
    <w:multiLevelType w:val="hybridMultilevel"/>
    <w:tmpl w:val="6F686A02"/>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15F22B0"/>
    <w:multiLevelType w:val="hybridMultilevel"/>
    <w:tmpl w:val="0548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D51887"/>
    <w:multiLevelType w:val="hybridMultilevel"/>
    <w:tmpl w:val="17403476"/>
    <w:lvl w:ilvl="0" w:tplc="617C3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3B9"/>
    <w:multiLevelType w:val="hybridMultilevel"/>
    <w:tmpl w:val="40DCB1D4"/>
    <w:lvl w:ilvl="0" w:tplc="A93E29DE">
      <w:start w:val="1"/>
      <w:numFmt w:val="bullet"/>
      <w:lvlText w:val=""/>
      <w:lvlJc w:val="left"/>
      <w:pPr>
        <w:tabs>
          <w:tab w:val="num" w:pos="720"/>
        </w:tabs>
        <w:ind w:left="720" w:hanging="360"/>
      </w:pPr>
      <w:rPr>
        <w:rFonts w:ascii="Wingdings" w:hAnsi="Wingdings" w:hint="default"/>
      </w:rPr>
    </w:lvl>
    <w:lvl w:ilvl="1" w:tplc="ACC232C6">
      <w:start w:val="1"/>
      <w:numFmt w:val="bullet"/>
      <w:lvlText w:val=""/>
      <w:lvlJc w:val="left"/>
      <w:pPr>
        <w:tabs>
          <w:tab w:val="num" w:pos="1440"/>
        </w:tabs>
        <w:ind w:left="1440" w:hanging="360"/>
      </w:pPr>
      <w:rPr>
        <w:rFonts w:ascii="Wingdings" w:hAnsi="Wingdings" w:hint="default"/>
      </w:rPr>
    </w:lvl>
    <w:lvl w:ilvl="2" w:tplc="1F1023A2" w:tentative="1">
      <w:start w:val="1"/>
      <w:numFmt w:val="bullet"/>
      <w:lvlText w:val=""/>
      <w:lvlJc w:val="left"/>
      <w:pPr>
        <w:tabs>
          <w:tab w:val="num" w:pos="2160"/>
        </w:tabs>
        <w:ind w:left="2160" w:hanging="360"/>
      </w:pPr>
      <w:rPr>
        <w:rFonts w:ascii="Wingdings" w:hAnsi="Wingdings" w:hint="default"/>
      </w:rPr>
    </w:lvl>
    <w:lvl w:ilvl="3" w:tplc="5D90B5B4" w:tentative="1">
      <w:start w:val="1"/>
      <w:numFmt w:val="bullet"/>
      <w:lvlText w:val=""/>
      <w:lvlJc w:val="left"/>
      <w:pPr>
        <w:tabs>
          <w:tab w:val="num" w:pos="2880"/>
        </w:tabs>
        <w:ind w:left="2880" w:hanging="360"/>
      </w:pPr>
      <w:rPr>
        <w:rFonts w:ascii="Wingdings" w:hAnsi="Wingdings" w:hint="default"/>
      </w:rPr>
    </w:lvl>
    <w:lvl w:ilvl="4" w:tplc="38A21F7C" w:tentative="1">
      <w:start w:val="1"/>
      <w:numFmt w:val="bullet"/>
      <w:lvlText w:val=""/>
      <w:lvlJc w:val="left"/>
      <w:pPr>
        <w:tabs>
          <w:tab w:val="num" w:pos="3600"/>
        </w:tabs>
        <w:ind w:left="3600" w:hanging="360"/>
      </w:pPr>
      <w:rPr>
        <w:rFonts w:ascii="Wingdings" w:hAnsi="Wingdings" w:hint="default"/>
      </w:rPr>
    </w:lvl>
    <w:lvl w:ilvl="5" w:tplc="3BD4A0F6" w:tentative="1">
      <w:start w:val="1"/>
      <w:numFmt w:val="bullet"/>
      <w:lvlText w:val=""/>
      <w:lvlJc w:val="left"/>
      <w:pPr>
        <w:tabs>
          <w:tab w:val="num" w:pos="4320"/>
        </w:tabs>
        <w:ind w:left="4320" w:hanging="360"/>
      </w:pPr>
      <w:rPr>
        <w:rFonts w:ascii="Wingdings" w:hAnsi="Wingdings" w:hint="default"/>
      </w:rPr>
    </w:lvl>
    <w:lvl w:ilvl="6" w:tplc="6BD078E8" w:tentative="1">
      <w:start w:val="1"/>
      <w:numFmt w:val="bullet"/>
      <w:lvlText w:val=""/>
      <w:lvlJc w:val="left"/>
      <w:pPr>
        <w:tabs>
          <w:tab w:val="num" w:pos="5040"/>
        </w:tabs>
        <w:ind w:left="5040" w:hanging="360"/>
      </w:pPr>
      <w:rPr>
        <w:rFonts w:ascii="Wingdings" w:hAnsi="Wingdings" w:hint="default"/>
      </w:rPr>
    </w:lvl>
    <w:lvl w:ilvl="7" w:tplc="031C9358" w:tentative="1">
      <w:start w:val="1"/>
      <w:numFmt w:val="bullet"/>
      <w:lvlText w:val=""/>
      <w:lvlJc w:val="left"/>
      <w:pPr>
        <w:tabs>
          <w:tab w:val="num" w:pos="5760"/>
        </w:tabs>
        <w:ind w:left="5760" w:hanging="360"/>
      </w:pPr>
      <w:rPr>
        <w:rFonts w:ascii="Wingdings" w:hAnsi="Wingdings" w:hint="default"/>
      </w:rPr>
    </w:lvl>
    <w:lvl w:ilvl="8" w:tplc="420E5E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8" w15:restartNumberingAfterBreak="0">
    <w:nsid w:val="627F6A2C"/>
    <w:multiLevelType w:val="hybridMultilevel"/>
    <w:tmpl w:val="DB84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07963"/>
    <w:multiLevelType w:val="hybridMultilevel"/>
    <w:tmpl w:val="7DC0B1AC"/>
    <w:lvl w:ilvl="0" w:tplc="E31AF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2143E96"/>
    <w:multiLevelType w:val="hybridMultilevel"/>
    <w:tmpl w:val="0E9AA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9EB0B02"/>
    <w:multiLevelType w:val="hybridMultilevel"/>
    <w:tmpl w:val="2C4821AE"/>
    <w:lvl w:ilvl="0" w:tplc="F4FCF14A">
      <w:start w:val="3"/>
      <w:numFmt w:val="decimal"/>
      <w:lvlText w:val="%1."/>
      <w:lvlJc w:val="left"/>
      <w:pPr>
        <w:ind w:left="138" w:hanging="567"/>
      </w:pPr>
      <w:rPr>
        <w:rFonts w:ascii="Arial" w:eastAsia="Arial" w:hAnsi="Arial" w:cs="Arial" w:hint="default"/>
        <w:spacing w:val="-1"/>
        <w:w w:val="100"/>
        <w:sz w:val="22"/>
        <w:szCs w:val="22"/>
        <w:lang w:val="en-US" w:eastAsia="en-US" w:bidi="en-US"/>
      </w:rPr>
    </w:lvl>
    <w:lvl w:ilvl="1" w:tplc="4FB435AE">
      <w:numFmt w:val="bullet"/>
      <w:lvlText w:val=""/>
      <w:lvlJc w:val="left"/>
      <w:pPr>
        <w:ind w:left="858" w:hanging="360"/>
      </w:pPr>
      <w:rPr>
        <w:rFonts w:ascii="Symbol" w:eastAsia="Symbol" w:hAnsi="Symbol" w:cs="Symbol" w:hint="default"/>
        <w:w w:val="100"/>
        <w:sz w:val="22"/>
        <w:szCs w:val="22"/>
        <w:lang w:val="en-US" w:eastAsia="en-US" w:bidi="en-US"/>
      </w:rPr>
    </w:lvl>
    <w:lvl w:ilvl="2" w:tplc="D2C0BF74">
      <w:numFmt w:val="bullet"/>
      <w:lvlText w:val="•"/>
      <w:lvlJc w:val="left"/>
      <w:pPr>
        <w:ind w:left="1834" w:hanging="360"/>
      </w:pPr>
      <w:rPr>
        <w:rFonts w:hint="default"/>
        <w:lang w:val="en-US" w:eastAsia="en-US" w:bidi="en-US"/>
      </w:rPr>
    </w:lvl>
    <w:lvl w:ilvl="3" w:tplc="4D9EFA9E">
      <w:numFmt w:val="bullet"/>
      <w:lvlText w:val="•"/>
      <w:lvlJc w:val="left"/>
      <w:pPr>
        <w:ind w:left="2808" w:hanging="360"/>
      </w:pPr>
      <w:rPr>
        <w:rFonts w:hint="default"/>
        <w:lang w:val="en-US" w:eastAsia="en-US" w:bidi="en-US"/>
      </w:rPr>
    </w:lvl>
    <w:lvl w:ilvl="4" w:tplc="221ABF06">
      <w:numFmt w:val="bullet"/>
      <w:lvlText w:val="•"/>
      <w:lvlJc w:val="left"/>
      <w:pPr>
        <w:ind w:left="3782" w:hanging="360"/>
      </w:pPr>
      <w:rPr>
        <w:rFonts w:hint="default"/>
        <w:lang w:val="en-US" w:eastAsia="en-US" w:bidi="en-US"/>
      </w:rPr>
    </w:lvl>
    <w:lvl w:ilvl="5" w:tplc="CDE2CF12">
      <w:numFmt w:val="bullet"/>
      <w:lvlText w:val="•"/>
      <w:lvlJc w:val="left"/>
      <w:pPr>
        <w:ind w:left="4756" w:hanging="360"/>
      </w:pPr>
      <w:rPr>
        <w:rFonts w:hint="default"/>
        <w:lang w:val="en-US" w:eastAsia="en-US" w:bidi="en-US"/>
      </w:rPr>
    </w:lvl>
    <w:lvl w:ilvl="6" w:tplc="9008FC5C">
      <w:numFmt w:val="bullet"/>
      <w:lvlText w:val="•"/>
      <w:lvlJc w:val="left"/>
      <w:pPr>
        <w:ind w:left="5730" w:hanging="360"/>
      </w:pPr>
      <w:rPr>
        <w:rFonts w:hint="default"/>
        <w:lang w:val="en-US" w:eastAsia="en-US" w:bidi="en-US"/>
      </w:rPr>
    </w:lvl>
    <w:lvl w:ilvl="7" w:tplc="05D89030">
      <w:numFmt w:val="bullet"/>
      <w:lvlText w:val="•"/>
      <w:lvlJc w:val="left"/>
      <w:pPr>
        <w:ind w:left="6704" w:hanging="360"/>
      </w:pPr>
      <w:rPr>
        <w:rFonts w:hint="default"/>
        <w:lang w:val="en-US" w:eastAsia="en-US" w:bidi="en-US"/>
      </w:rPr>
    </w:lvl>
    <w:lvl w:ilvl="8" w:tplc="FA5A0F4C">
      <w:numFmt w:val="bullet"/>
      <w:lvlText w:val="•"/>
      <w:lvlJc w:val="left"/>
      <w:pPr>
        <w:ind w:left="7678" w:hanging="360"/>
      </w:pPr>
      <w:rPr>
        <w:rFonts w:hint="default"/>
        <w:lang w:val="en-US" w:eastAsia="en-US" w:bidi="en-US"/>
      </w:rPr>
    </w:lvl>
  </w:abstractNum>
  <w:abstractNum w:abstractNumId="35"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3"/>
  </w:num>
  <w:num w:numId="4">
    <w:abstractNumId w:val="31"/>
  </w:num>
  <w:num w:numId="5">
    <w:abstractNumId w:val="0"/>
  </w:num>
  <w:num w:numId="6">
    <w:abstractNumId w:val="26"/>
  </w:num>
  <w:num w:numId="7">
    <w:abstractNumId w:val="9"/>
  </w:num>
  <w:num w:numId="8">
    <w:abstractNumId w:val="24"/>
  </w:num>
  <w:num w:numId="9">
    <w:abstractNumId w:val="13"/>
  </w:num>
  <w:num w:numId="10">
    <w:abstractNumId w:val="10"/>
  </w:num>
  <w:num w:numId="11">
    <w:abstractNumId w:val="34"/>
  </w:num>
  <w:num w:numId="12">
    <w:abstractNumId w:val="2"/>
  </w:num>
  <w:num w:numId="13">
    <w:abstractNumId w:val="8"/>
  </w:num>
  <w:num w:numId="14">
    <w:abstractNumId w:val="1"/>
  </w:num>
  <w:num w:numId="15">
    <w:abstractNumId w:val="19"/>
  </w:num>
  <w:num w:numId="16">
    <w:abstractNumId w:val="15"/>
  </w:num>
  <w:num w:numId="17">
    <w:abstractNumId w:val="28"/>
  </w:num>
  <w:num w:numId="18">
    <w:abstractNumId w:val="32"/>
  </w:num>
  <w:num w:numId="19">
    <w:abstractNumId w:val="12"/>
  </w:num>
  <w:num w:numId="20">
    <w:abstractNumId w:val="4"/>
  </w:num>
  <w:num w:numId="21">
    <w:abstractNumId w:val="17"/>
  </w:num>
  <w:num w:numId="22">
    <w:abstractNumId w:val="18"/>
  </w:num>
  <w:num w:numId="23">
    <w:abstractNumId w:val="27"/>
  </w:num>
  <w:num w:numId="24">
    <w:abstractNumId w:val="30"/>
  </w:num>
  <w:num w:numId="25">
    <w:abstractNumId w:val="23"/>
  </w:num>
  <w:num w:numId="26">
    <w:abstractNumId w:val="7"/>
  </w:num>
  <w:num w:numId="27">
    <w:abstractNumId w:val="6"/>
  </w:num>
  <w:num w:numId="28">
    <w:abstractNumId w:val="14"/>
  </w:num>
  <w:num w:numId="29">
    <w:abstractNumId w:val="25"/>
  </w:num>
  <w:num w:numId="30">
    <w:abstractNumId w:val="29"/>
  </w:num>
  <w:num w:numId="31">
    <w:abstractNumId w:val="21"/>
  </w:num>
  <w:num w:numId="32">
    <w:abstractNumId w:val="35"/>
  </w:num>
  <w:num w:numId="33">
    <w:abstractNumId w:val="16"/>
  </w:num>
  <w:num w:numId="34">
    <w:abstractNumId w:val="11"/>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9F"/>
    <w:rsid w:val="000037A1"/>
    <w:rsid w:val="000077BC"/>
    <w:rsid w:val="00011C7B"/>
    <w:rsid w:val="0001267C"/>
    <w:rsid w:val="00012F02"/>
    <w:rsid w:val="00015C68"/>
    <w:rsid w:val="0001640A"/>
    <w:rsid w:val="0001763F"/>
    <w:rsid w:val="00017E40"/>
    <w:rsid w:val="0002065D"/>
    <w:rsid w:val="00022502"/>
    <w:rsid w:val="00022510"/>
    <w:rsid w:val="0002622C"/>
    <w:rsid w:val="00030410"/>
    <w:rsid w:val="0003230F"/>
    <w:rsid w:val="00033EB8"/>
    <w:rsid w:val="00036324"/>
    <w:rsid w:val="000520E2"/>
    <w:rsid w:val="00052161"/>
    <w:rsid w:val="000526F7"/>
    <w:rsid w:val="00052B62"/>
    <w:rsid w:val="0005472F"/>
    <w:rsid w:val="00055D7A"/>
    <w:rsid w:val="00056DC7"/>
    <w:rsid w:val="000619AA"/>
    <w:rsid w:val="00063F95"/>
    <w:rsid w:val="00066E7A"/>
    <w:rsid w:val="00067BBA"/>
    <w:rsid w:val="00073000"/>
    <w:rsid w:val="000737AF"/>
    <w:rsid w:val="000833CD"/>
    <w:rsid w:val="00083A2B"/>
    <w:rsid w:val="00084CF0"/>
    <w:rsid w:val="00087066"/>
    <w:rsid w:val="00093D10"/>
    <w:rsid w:val="0009657A"/>
    <w:rsid w:val="00096818"/>
    <w:rsid w:val="000A149E"/>
    <w:rsid w:val="000A1B3B"/>
    <w:rsid w:val="000A2BF1"/>
    <w:rsid w:val="000A5D4C"/>
    <w:rsid w:val="000B1F74"/>
    <w:rsid w:val="000B29F9"/>
    <w:rsid w:val="000B335E"/>
    <w:rsid w:val="000B34E7"/>
    <w:rsid w:val="000B3BF7"/>
    <w:rsid w:val="000C1AFB"/>
    <w:rsid w:val="000C6674"/>
    <w:rsid w:val="000D05A0"/>
    <w:rsid w:val="000D0A96"/>
    <w:rsid w:val="000D11E9"/>
    <w:rsid w:val="000D4453"/>
    <w:rsid w:val="000F3E7F"/>
    <w:rsid w:val="000F5E56"/>
    <w:rsid w:val="00114A64"/>
    <w:rsid w:val="00127C4B"/>
    <w:rsid w:val="0013216C"/>
    <w:rsid w:val="0013271C"/>
    <w:rsid w:val="0013524D"/>
    <w:rsid w:val="00136803"/>
    <w:rsid w:val="00141D5F"/>
    <w:rsid w:val="00142B83"/>
    <w:rsid w:val="001507FB"/>
    <w:rsid w:val="001514F9"/>
    <w:rsid w:val="00151FAF"/>
    <w:rsid w:val="001558E4"/>
    <w:rsid w:val="0015769F"/>
    <w:rsid w:val="001632EA"/>
    <w:rsid w:val="00166628"/>
    <w:rsid w:val="00175430"/>
    <w:rsid w:val="00176714"/>
    <w:rsid w:val="00192631"/>
    <w:rsid w:val="00195F7A"/>
    <w:rsid w:val="00197343"/>
    <w:rsid w:val="001A3E8D"/>
    <w:rsid w:val="001A42CF"/>
    <w:rsid w:val="001A6F56"/>
    <w:rsid w:val="001B026B"/>
    <w:rsid w:val="001B20AB"/>
    <w:rsid w:val="001B4881"/>
    <w:rsid w:val="001B4CA2"/>
    <w:rsid w:val="001C03B4"/>
    <w:rsid w:val="001C191C"/>
    <w:rsid w:val="001C5B21"/>
    <w:rsid w:val="001D309D"/>
    <w:rsid w:val="001D467D"/>
    <w:rsid w:val="001E1418"/>
    <w:rsid w:val="001E2C87"/>
    <w:rsid w:val="001E562F"/>
    <w:rsid w:val="001F00CF"/>
    <w:rsid w:val="001F4258"/>
    <w:rsid w:val="001F4966"/>
    <w:rsid w:val="001F7A1B"/>
    <w:rsid w:val="0020166A"/>
    <w:rsid w:val="00205C73"/>
    <w:rsid w:val="0021112C"/>
    <w:rsid w:val="00213C74"/>
    <w:rsid w:val="002154D0"/>
    <w:rsid w:val="00220A00"/>
    <w:rsid w:val="00220EB6"/>
    <w:rsid w:val="0022250A"/>
    <w:rsid w:val="00225C5A"/>
    <w:rsid w:val="0022731F"/>
    <w:rsid w:val="00227374"/>
    <w:rsid w:val="00227B39"/>
    <w:rsid w:val="00233A04"/>
    <w:rsid w:val="00241085"/>
    <w:rsid w:val="00244CDD"/>
    <w:rsid w:val="0024532C"/>
    <w:rsid w:val="00250A68"/>
    <w:rsid w:val="00253375"/>
    <w:rsid w:val="002533F8"/>
    <w:rsid w:val="00260CB2"/>
    <w:rsid w:val="00260F8F"/>
    <w:rsid w:val="002618D1"/>
    <w:rsid w:val="00261FE9"/>
    <w:rsid w:val="00264B34"/>
    <w:rsid w:val="00266979"/>
    <w:rsid w:val="00271A7D"/>
    <w:rsid w:val="00275753"/>
    <w:rsid w:val="002809D6"/>
    <w:rsid w:val="002812D3"/>
    <w:rsid w:val="00283F80"/>
    <w:rsid w:val="00284F16"/>
    <w:rsid w:val="002906E7"/>
    <w:rsid w:val="002922A1"/>
    <w:rsid w:val="00292A53"/>
    <w:rsid w:val="002A02C6"/>
    <w:rsid w:val="002A3D33"/>
    <w:rsid w:val="002A5C5A"/>
    <w:rsid w:val="002A7A7F"/>
    <w:rsid w:val="002B078E"/>
    <w:rsid w:val="002C06BA"/>
    <w:rsid w:val="002C6C38"/>
    <w:rsid w:val="002D2C8C"/>
    <w:rsid w:val="002E048B"/>
    <w:rsid w:val="002E566E"/>
    <w:rsid w:val="002E619D"/>
    <w:rsid w:val="002F5E93"/>
    <w:rsid w:val="002F62B5"/>
    <w:rsid w:val="0030106B"/>
    <w:rsid w:val="00301651"/>
    <w:rsid w:val="00302A5D"/>
    <w:rsid w:val="00306D30"/>
    <w:rsid w:val="003163F9"/>
    <w:rsid w:val="0031752F"/>
    <w:rsid w:val="003223AC"/>
    <w:rsid w:val="00325CF5"/>
    <w:rsid w:val="00330C56"/>
    <w:rsid w:val="00331835"/>
    <w:rsid w:val="0033688E"/>
    <w:rsid w:val="00337ECE"/>
    <w:rsid w:val="0034134D"/>
    <w:rsid w:val="00341418"/>
    <w:rsid w:val="00342A50"/>
    <w:rsid w:val="00343A6C"/>
    <w:rsid w:val="0035358C"/>
    <w:rsid w:val="003535B2"/>
    <w:rsid w:val="003624A0"/>
    <w:rsid w:val="003753F2"/>
    <w:rsid w:val="00384F8C"/>
    <w:rsid w:val="0038505F"/>
    <w:rsid w:val="00391804"/>
    <w:rsid w:val="00395147"/>
    <w:rsid w:val="003952D6"/>
    <w:rsid w:val="003A75CF"/>
    <w:rsid w:val="003B34AC"/>
    <w:rsid w:val="003B3C6C"/>
    <w:rsid w:val="003B7744"/>
    <w:rsid w:val="003C10AC"/>
    <w:rsid w:val="003C162E"/>
    <w:rsid w:val="003C3785"/>
    <w:rsid w:val="003C6A5A"/>
    <w:rsid w:val="003D31E7"/>
    <w:rsid w:val="003E1AD1"/>
    <w:rsid w:val="003E5457"/>
    <w:rsid w:val="003F347C"/>
    <w:rsid w:val="004051C1"/>
    <w:rsid w:val="004052AD"/>
    <w:rsid w:val="00405734"/>
    <w:rsid w:val="004069C4"/>
    <w:rsid w:val="00410B3B"/>
    <w:rsid w:val="00411BD0"/>
    <w:rsid w:val="00414D21"/>
    <w:rsid w:val="00416631"/>
    <w:rsid w:val="00422A53"/>
    <w:rsid w:val="004264BF"/>
    <w:rsid w:val="00426A50"/>
    <w:rsid w:val="004275C1"/>
    <w:rsid w:val="00431118"/>
    <w:rsid w:val="00442E18"/>
    <w:rsid w:val="00450B52"/>
    <w:rsid w:val="00460946"/>
    <w:rsid w:val="00460A86"/>
    <w:rsid w:val="0046290D"/>
    <w:rsid w:val="0046608C"/>
    <w:rsid w:val="00474673"/>
    <w:rsid w:val="00476F23"/>
    <w:rsid w:val="00482E17"/>
    <w:rsid w:val="00484327"/>
    <w:rsid w:val="0049527F"/>
    <w:rsid w:val="004A0315"/>
    <w:rsid w:val="004A48DD"/>
    <w:rsid w:val="004A686C"/>
    <w:rsid w:val="004A7E9F"/>
    <w:rsid w:val="004B28BE"/>
    <w:rsid w:val="004C0988"/>
    <w:rsid w:val="004C0F16"/>
    <w:rsid w:val="004C2FEC"/>
    <w:rsid w:val="004C7F7A"/>
    <w:rsid w:val="004D1791"/>
    <w:rsid w:val="004D432C"/>
    <w:rsid w:val="004D45F8"/>
    <w:rsid w:val="004D7123"/>
    <w:rsid w:val="004E0760"/>
    <w:rsid w:val="004E6BFB"/>
    <w:rsid w:val="004F2172"/>
    <w:rsid w:val="004F4BD7"/>
    <w:rsid w:val="004F51E7"/>
    <w:rsid w:val="00504BF7"/>
    <w:rsid w:val="00507888"/>
    <w:rsid w:val="00507896"/>
    <w:rsid w:val="0051021E"/>
    <w:rsid w:val="005129CA"/>
    <w:rsid w:val="00513BEE"/>
    <w:rsid w:val="0051739F"/>
    <w:rsid w:val="00517D7F"/>
    <w:rsid w:val="00530BA3"/>
    <w:rsid w:val="005321B7"/>
    <w:rsid w:val="00532C60"/>
    <w:rsid w:val="00540B78"/>
    <w:rsid w:val="00540EBB"/>
    <w:rsid w:val="00542A9C"/>
    <w:rsid w:val="00545257"/>
    <w:rsid w:val="00553E23"/>
    <w:rsid w:val="0056041B"/>
    <w:rsid w:val="00560C0C"/>
    <w:rsid w:val="00562EA3"/>
    <w:rsid w:val="00564BA2"/>
    <w:rsid w:val="00581CCF"/>
    <w:rsid w:val="005827B8"/>
    <w:rsid w:val="005872CA"/>
    <w:rsid w:val="00594A3E"/>
    <w:rsid w:val="00597BAC"/>
    <w:rsid w:val="005A175E"/>
    <w:rsid w:val="005B0533"/>
    <w:rsid w:val="005B0CF8"/>
    <w:rsid w:val="005B2A8D"/>
    <w:rsid w:val="005B4365"/>
    <w:rsid w:val="005B4BF6"/>
    <w:rsid w:val="005C14BA"/>
    <w:rsid w:val="005C270F"/>
    <w:rsid w:val="005C4B27"/>
    <w:rsid w:val="005C5AB1"/>
    <w:rsid w:val="005D2C96"/>
    <w:rsid w:val="005E195D"/>
    <w:rsid w:val="005E4F27"/>
    <w:rsid w:val="005E689F"/>
    <w:rsid w:val="005E7B2E"/>
    <w:rsid w:val="005F3627"/>
    <w:rsid w:val="00600249"/>
    <w:rsid w:val="00606272"/>
    <w:rsid w:val="00607DDB"/>
    <w:rsid w:val="00613AFF"/>
    <w:rsid w:val="006169F3"/>
    <w:rsid w:val="0062055F"/>
    <w:rsid w:val="0062360F"/>
    <w:rsid w:val="006340DA"/>
    <w:rsid w:val="00636587"/>
    <w:rsid w:val="00637471"/>
    <w:rsid w:val="00653EF3"/>
    <w:rsid w:val="0066525D"/>
    <w:rsid w:val="0067019B"/>
    <w:rsid w:val="00675218"/>
    <w:rsid w:val="00680863"/>
    <w:rsid w:val="00687560"/>
    <w:rsid w:val="00690B94"/>
    <w:rsid w:val="006910B0"/>
    <w:rsid w:val="00694142"/>
    <w:rsid w:val="006952D8"/>
    <w:rsid w:val="00695BAD"/>
    <w:rsid w:val="006A058E"/>
    <w:rsid w:val="006A0F6F"/>
    <w:rsid w:val="006A1AB7"/>
    <w:rsid w:val="006A4DE1"/>
    <w:rsid w:val="006A6456"/>
    <w:rsid w:val="006B1B15"/>
    <w:rsid w:val="006B3C74"/>
    <w:rsid w:val="006B4388"/>
    <w:rsid w:val="006B676B"/>
    <w:rsid w:val="006C0DCE"/>
    <w:rsid w:val="006D6311"/>
    <w:rsid w:val="006E5B8F"/>
    <w:rsid w:val="006E60AA"/>
    <w:rsid w:val="006E72E7"/>
    <w:rsid w:val="006F16DE"/>
    <w:rsid w:val="006F58BB"/>
    <w:rsid w:val="006F69FE"/>
    <w:rsid w:val="00703CAE"/>
    <w:rsid w:val="007178DE"/>
    <w:rsid w:val="00725DB5"/>
    <w:rsid w:val="00746634"/>
    <w:rsid w:val="00752062"/>
    <w:rsid w:val="00752C83"/>
    <w:rsid w:val="007539B1"/>
    <w:rsid w:val="0075465C"/>
    <w:rsid w:val="00757033"/>
    <w:rsid w:val="00761543"/>
    <w:rsid w:val="00772639"/>
    <w:rsid w:val="007756EB"/>
    <w:rsid w:val="00781909"/>
    <w:rsid w:val="00783133"/>
    <w:rsid w:val="00785385"/>
    <w:rsid w:val="007900EA"/>
    <w:rsid w:val="0079529F"/>
    <w:rsid w:val="007A3A70"/>
    <w:rsid w:val="007B240C"/>
    <w:rsid w:val="007B2F09"/>
    <w:rsid w:val="007B366A"/>
    <w:rsid w:val="007B5DCD"/>
    <w:rsid w:val="007B6355"/>
    <w:rsid w:val="007B65E9"/>
    <w:rsid w:val="007C63F5"/>
    <w:rsid w:val="007C6A06"/>
    <w:rsid w:val="007C7C5B"/>
    <w:rsid w:val="007D2471"/>
    <w:rsid w:val="007D53C7"/>
    <w:rsid w:val="007D709B"/>
    <w:rsid w:val="007D79A4"/>
    <w:rsid w:val="007E02F1"/>
    <w:rsid w:val="007E04EA"/>
    <w:rsid w:val="007E1B66"/>
    <w:rsid w:val="007E67B6"/>
    <w:rsid w:val="007E6FC8"/>
    <w:rsid w:val="007F2033"/>
    <w:rsid w:val="007F4ABF"/>
    <w:rsid w:val="008007FC"/>
    <w:rsid w:val="008042B8"/>
    <w:rsid w:val="00804DB7"/>
    <w:rsid w:val="00823AE4"/>
    <w:rsid w:val="00824740"/>
    <w:rsid w:val="00824864"/>
    <w:rsid w:val="00824CD9"/>
    <w:rsid w:val="00837C99"/>
    <w:rsid w:val="00850850"/>
    <w:rsid w:val="00851CF1"/>
    <w:rsid w:val="00853A3E"/>
    <w:rsid w:val="008607C2"/>
    <w:rsid w:val="00873712"/>
    <w:rsid w:val="00883387"/>
    <w:rsid w:val="008877D9"/>
    <w:rsid w:val="00887830"/>
    <w:rsid w:val="00892786"/>
    <w:rsid w:val="00893D1F"/>
    <w:rsid w:val="0089588E"/>
    <w:rsid w:val="008A12C3"/>
    <w:rsid w:val="008A35B1"/>
    <w:rsid w:val="008A5100"/>
    <w:rsid w:val="008A7269"/>
    <w:rsid w:val="008B005D"/>
    <w:rsid w:val="008B2F68"/>
    <w:rsid w:val="008B3CD8"/>
    <w:rsid w:val="008B73D3"/>
    <w:rsid w:val="008C4129"/>
    <w:rsid w:val="008D3F81"/>
    <w:rsid w:val="008D60CA"/>
    <w:rsid w:val="008E4016"/>
    <w:rsid w:val="008E4199"/>
    <w:rsid w:val="008E6951"/>
    <w:rsid w:val="008F0C6A"/>
    <w:rsid w:val="008F10CD"/>
    <w:rsid w:val="008F427B"/>
    <w:rsid w:val="008F4847"/>
    <w:rsid w:val="008F4A3A"/>
    <w:rsid w:val="008F7019"/>
    <w:rsid w:val="00902371"/>
    <w:rsid w:val="00911C98"/>
    <w:rsid w:val="0091604D"/>
    <w:rsid w:val="00921C3B"/>
    <w:rsid w:val="00923819"/>
    <w:rsid w:val="00930D9F"/>
    <w:rsid w:val="009339FC"/>
    <w:rsid w:val="00943E9A"/>
    <w:rsid w:val="00947317"/>
    <w:rsid w:val="00950DFA"/>
    <w:rsid w:val="0095457D"/>
    <w:rsid w:val="009563A8"/>
    <w:rsid w:val="009620BC"/>
    <w:rsid w:val="00963733"/>
    <w:rsid w:val="00970043"/>
    <w:rsid w:val="00971AB9"/>
    <w:rsid w:val="0097558A"/>
    <w:rsid w:val="00975B76"/>
    <w:rsid w:val="009768E5"/>
    <w:rsid w:val="009873CB"/>
    <w:rsid w:val="009A5E49"/>
    <w:rsid w:val="009B109F"/>
    <w:rsid w:val="009B10AC"/>
    <w:rsid w:val="009B1C87"/>
    <w:rsid w:val="009B1FCE"/>
    <w:rsid w:val="009B208B"/>
    <w:rsid w:val="009B22FF"/>
    <w:rsid w:val="009B291D"/>
    <w:rsid w:val="009C4B56"/>
    <w:rsid w:val="009C58B2"/>
    <w:rsid w:val="009D2DBB"/>
    <w:rsid w:val="009E52CA"/>
    <w:rsid w:val="009E7F29"/>
    <w:rsid w:val="00A010D4"/>
    <w:rsid w:val="00A01F28"/>
    <w:rsid w:val="00A04A4A"/>
    <w:rsid w:val="00A054A7"/>
    <w:rsid w:val="00A06DD2"/>
    <w:rsid w:val="00A11296"/>
    <w:rsid w:val="00A12584"/>
    <w:rsid w:val="00A1409C"/>
    <w:rsid w:val="00A143BA"/>
    <w:rsid w:val="00A16612"/>
    <w:rsid w:val="00A16CB4"/>
    <w:rsid w:val="00A16E22"/>
    <w:rsid w:val="00A232BA"/>
    <w:rsid w:val="00A24499"/>
    <w:rsid w:val="00A2489D"/>
    <w:rsid w:val="00A26757"/>
    <w:rsid w:val="00A3226B"/>
    <w:rsid w:val="00A32820"/>
    <w:rsid w:val="00A32901"/>
    <w:rsid w:val="00A35BBB"/>
    <w:rsid w:val="00A41CFA"/>
    <w:rsid w:val="00A44FAA"/>
    <w:rsid w:val="00A46045"/>
    <w:rsid w:val="00A4629C"/>
    <w:rsid w:val="00A46F26"/>
    <w:rsid w:val="00A5252B"/>
    <w:rsid w:val="00A61918"/>
    <w:rsid w:val="00A61A99"/>
    <w:rsid w:val="00A61E07"/>
    <w:rsid w:val="00A65D7B"/>
    <w:rsid w:val="00A709AC"/>
    <w:rsid w:val="00A71F18"/>
    <w:rsid w:val="00A72DD9"/>
    <w:rsid w:val="00A77F96"/>
    <w:rsid w:val="00A80B25"/>
    <w:rsid w:val="00A816B8"/>
    <w:rsid w:val="00A903C9"/>
    <w:rsid w:val="00A91690"/>
    <w:rsid w:val="00A92301"/>
    <w:rsid w:val="00A95DD5"/>
    <w:rsid w:val="00A9630D"/>
    <w:rsid w:val="00AA286D"/>
    <w:rsid w:val="00AA39F0"/>
    <w:rsid w:val="00AA66A2"/>
    <w:rsid w:val="00AA66EF"/>
    <w:rsid w:val="00AA6C29"/>
    <w:rsid w:val="00AA7EAC"/>
    <w:rsid w:val="00AB19BC"/>
    <w:rsid w:val="00AB5EE9"/>
    <w:rsid w:val="00AC4B77"/>
    <w:rsid w:val="00AD1A99"/>
    <w:rsid w:val="00AD1C8E"/>
    <w:rsid w:val="00AD689C"/>
    <w:rsid w:val="00AE0B1B"/>
    <w:rsid w:val="00AE162D"/>
    <w:rsid w:val="00AE236A"/>
    <w:rsid w:val="00B04578"/>
    <w:rsid w:val="00B10975"/>
    <w:rsid w:val="00B140E7"/>
    <w:rsid w:val="00B20412"/>
    <w:rsid w:val="00B24A5F"/>
    <w:rsid w:val="00B26C37"/>
    <w:rsid w:val="00B26E67"/>
    <w:rsid w:val="00B30765"/>
    <w:rsid w:val="00B312DF"/>
    <w:rsid w:val="00B3178F"/>
    <w:rsid w:val="00B3267B"/>
    <w:rsid w:val="00B36863"/>
    <w:rsid w:val="00B41586"/>
    <w:rsid w:val="00B457E5"/>
    <w:rsid w:val="00B526C9"/>
    <w:rsid w:val="00B53151"/>
    <w:rsid w:val="00B546BA"/>
    <w:rsid w:val="00B61C12"/>
    <w:rsid w:val="00B632F5"/>
    <w:rsid w:val="00B66A0E"/>
    <w:rsid w:val="00B67AB0"/>
    <w:rsid w:val="00B718A2"/>
    <w:rsid w:val="00B7443C"/>
    <w:rsid w:val="00B756CA"/>
    <w:rsid w:val="00B83F99"/>
    <w:rsid w:val="00B8520B"/>
    <w:rsid w:val="00B857AA"/>
    <w:rsid w:val="00B8604A"/>
    <w:rsid w:val="00B92EEA"/>
    <w:rsid w:val="00B94E64"/>
    <w:rsid w:val="00B9532B"/>
    <w:rsid w:val="00BA0409"/>
    <w:rsid w:val="00BA07EA"/>
    <w:rsid w:val="00BA5889"/>
    <w:rsid w:val="00BA7907"/>
    <w:rsid w:val="00BB009A"/>
    <w:rsid w:val="00BC7DBB"/>
    <w:rsid w:val="00BD408D"/>
    <w:rsid w:val="00BE4A3C"/>
    <w:rsid w:val="00BF0FB4"/>
    <w:rsid w:val="00BF67B3"/>
    <w:rsid w:val="00C027DC"/>
    <w:rsid w:val="00C12BAB"/>
    <w:rsid w:val="00C31022"/>
    <w:rsid w:val="00C354E7"/>
    <w:rsid w:val="00C36F2B"/>
    <w:rsid w:val="00C3796F"/>
    <w:rsid w:val="00C403CC"/>
    <w:rsid w:val="00C41CEE"/>
    <w:rsid w:val="00C47C80"/>
    <w:rsid w:val="00C53230"/>
    <w:rsid w:val="00C554EC"/>
    <w:rsid w:val="00C576CF"/>
    <w:rsid w:val="00C63138"/>
    <w:rsid w:val="00C63E61"/>
    <w:rsid w:val="00C65141"/>
    <w:rsid w:val="00C74477"/>
    <w:rsid w:val="00C7489F"/>
    <w:rsid w:val="00C7658A"/>
    <w:rsid w:val="00C816B2"/>
    <w:rsid w:val="00C86CF7"/>
    <w:rsid w:val="00C90BB2"/>
    <w:rsid w:val="00C91120"/>
    <w:rsid w:val="00C95D5D"/>
    <w:rsid w:val="00C97851"/>
    <w:rsid w:val="00CA4933"/>
    <w:rsid w:val="00CA75AC"/>
    <w:rsid w:val="00CA78D2"/>
    <w:rsid w:val="00CA7A5A"/>
    <w:rsid w:val="00CB149A"/>
    <w:rsid w:val="00CB1760"/>
    <w:rsid w:val="00CB67B8"/>
    <w:rsid w:val="00CB6D4D"/>
    <w:rsid w:val="00CC23E0"/>
    <w:rsid w:val="00CC465F"/>
    <w:rsid w:val="00CD0758"/>
    <w:rsid w:val="00CD2185"/>
    <w:rsid w:val="00CD3821"/>
    <w:rsid w:val="00CE2347"/>
    <w:rsid w:val="00CE2BF8"/>
    <w:rsid w:val="00CE3E9A"/>
    <w:rsid w:val="00CF0BAB"/>
    <w:rsid w:val="00CF2B2B"/>
    <w:rsid w:val="00CF67B9"/>
    <w:rsid w:val="00D003C7"/>
    <w:rsid w:val="00D0393D"/>
    <w:rsid w:val="00D05A21"/>
    <w:rsid w:val="00D05CB1"/>
    <w:rsid w:val="00D07468"/>
    <w:rsid w:val="00D10851"/>
    <w:rsid w:val="00D10BAD"/>
    <w:rsid w:val="00D13E25"/>
    <w:rsid w:val="00D13FC2"/>
    <w:rsid w:val="00D2119C"/>
    <w:rsid w:val="00D24502"/>
    <w:rsid w:val="00D2661F"/>
    <w:rsid w:val="00D26E2F"/>
    <w:rsid w:val="00D337ED"/>
    <w:rsid w:val="00D33D4B"/>
    <w:rsid w:val="00D46F2A"/>
    <w:rsid w:val="00D54166"/>
    <w:rsid w:val="00D57BA6"/>
    <w:rsid w:val="00D60B75"/>
    <w:rsid w:val="00D66E5E"/>
    <w:rsid w:val="00D72CFC"/>
    <w:rsid w:val="00D74D66"/>
    <w:rsid w:val="00D81CB2"/>
    <w:rsid w:val="00D81F6B"/>
    <w:rsid w:val="00D8285F"/>
    <w:rsid w:val="00D82AC3"/>
    <w:rsid w:val="00D8540F"/>
    <w:rsid w:val="00D85775"/>
    <w:rsid w:val="00D86111"/>
    <w:rsid w:val="00D86DEA"/>
    <w:rsid w:val="00D95153"/>
    <w:rsid w:val="00D95835"/>
    <w:rsid w:val="00DA79C9"/>
    <w:rsid w:val="00DB1F46"/>
    <w:rsid w:val="00DB6EBF"/>
    <w:rsid w:val="00DC0D1A"/>
    <w:rsid w:val="00DC51D8"/>
    <w:rsid w:val="00DC683A"/>
    <w:rsid w:val="00DD04B4"/>
    <w:rsid w:val="00DD1BC8"/>
    <w:rsid w:val="00DD1EEE"/>
    <w:rsid w:val="00DE2F38"/>
    <w:rsid w:val="00DE709A"/>
    <w:rsid w:val="00DF0AF7"/>
    <w:rsid w:val="00DF501C"/>
    <w:rsid w:val="00DF5D6C"/>
    <w:rsid w:val="00DF6EDE"/>
    <w:rsid w:val="00DF7C6B"/>
    <w:rsid w:val="00DF7DB9"/>
    <w:rsid w:val="00E000CF"/>
    <w:rsid w:val="00E02976"/>
    <w:rsid w:val="00E05F76"/>
    <w:rsid w:val="00E1348C"/>
    <w:rsid w:val="00E17A10"/>
    <w:rsid w:val="00E22A3F"/>
    <w:rsid w:val="00E247C8"/>
    <w:rsid w:val="00E33681"/>
    <w:rsid w:val="00E3762B"/>
    <w:rsid w:val="00E46413"/>
    <w:rsid w:val="00E509D4"/>
    <w:rsid w:val="00E51C27"/>
    <w:rsid w:val="00E573FE"/>
    <w:rsid w:val="00E636D9"/>
    <w:rsid w:val="00E71FB0"/>
    <w:rsid w:val="00E80176"/>
    <w:rsid w:val="00E86EF7"/>
    <w:rsid w:val="00E87239"/>
    <w:rsid w:val="00E91652"/>
    <w:rsid w:val="00E9350C"/>
    <w:rsid w:val="00E9392C"/>
    <w:rsid w:val="00E94218"/>
    <w:rsid w:val="00E9456B"/>
    <w:rsid w:val="00E94C06"/>
    <w:rsid w:val="00EA4188"/>
    <w:rsid w:val="00EB4641"/>
    <w:rsid w:val="00EC0FDB"/>
    <w:rsid w:val="00EC2D9E"/>
    <w:rsid w:val="00EC45A7"/>
    <w:rsid w:val="00EC5C7A"/>
    <w:rsid w:val="00ED195A"/>
    <w:rsid w:val="00ED42C1"/>
    <w:rsid w:val="00ED656C"/>
    <w:rsid w:val="00ED6CF7"/>
    <w:rsid w:val="00ED7397"/>
    <w:rsid w:val="00ED7700"/>
    <w:rsid w:val="00EE148C"/>
    <w:rsid w:val="00EE19F5"/>
    <w:rsid w:val="00EE3FF8"/>
    <w:rsid w:val="00EE4741"/>
    <w:rsid w:val="00EF0E47"/>
    <w:rsid w:val="00EF25A3"/>
    <w:rsid w:val="00EF655B"/>
    <w:rsid w:val="00EF706F"/>
    <w:rsid w:val="00F0344F"/>
    <w:rsid w:val="00F054AA"/>
    <w:rsid w:val="00F11CE9"/>
    <w:rsid w:val="00F13159"/>
    <w:rsid w:val="00F15DC4"/>
    <w:rsid w:val="00F1600F"/>
    <w:rsid w:val="00F256F9"/>
    <w:rsid w:val="00F35A32"/>
    <w:rsid w:val="00F43B38"/>
    <w:rsid w:val="00F47BD2"/>
    <w:rsid w:val="00F51ADB"/>
    <w:rsid w:val="00F56E62"/>
    <w:rsid w:val="00F64E2B"/>
    <w:rsid w:val="00F744EF"/>
    <w:rsid w:val="00F84691"/>
    <w:rsid w:val="00F868E7"/>
    <w:rsid w:val="00F93299"/>
    <w:rsid w:val="00F9486D"/>
    <w:rsid w:val="00F961F6"/>
    <w:rsid w:val="00FA4CE9"/>
    <w:rsid w:val="00FB1F63"/>
    <w:rsid w:val="00FB2FF7"/>
    <w:rsid w:val="00FB753A"/>
    <w:rsid w:val="00FC07C1"/>
    <w:rsid w:val="00FC14B6"/>
    <w:rsid w:val="00FC2523"/>
    <w:rsid w:val="00FC3E3D"/>
    <w:rsid w:val="00FC4871"/>
    <w:rsid w:val="00FC7714"/>
    <w:rsid w:val="00FD04B1"/>
    <w:rsid w:val="00FD14C0"/>
    <w:rsid w:val="00FD7568"/>
    <w:rsid w:val="00FE7F0A"/>
    <w:rsid w:val="00FF7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48AE"/>
  <w15:docId w15:val="{5FDBB4A5-1F18-44E7-B773-FF66B53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5E689F"/>
    <w:rPr>
      <w:rFonts w:ascii="Tahoma" w:hAnsi="Tahoma" w:cs="Tahoma"/>
      <w:sz w:val="16"/>
      <w:szCs w:val="16"/>
    </w:rPr>
  </w:style>
  <w:style w:type="character" w:customStyle="1" w:styleId="BalloonTextChar">
    <w:name w:val="Balloon Text Char"/>
    <w:basedOn w:val="DefaultParagraphFont"/>
    <w:link w:val="BalloonText"/>
    <w:rsid w:val="005E689F"/>
    <w:rPr>
      <w:rFonts w:ascii="Tahoma" w:hAnsi="Tahoma" w:cs="Tahoma"/>
      <w:sz w:val="16"/>
      <w:szCs w:val="16"/>
    </w:rPr>
  </w:style>
  <w:style w:type="paragraph" w:styleId="ListParagraph">
    <w:name w:val="List Paragraph"/>
    <w:basedOn w:val="Normal"/>
    <w:uiPriority w:val="34"/>
    <w:qFormat/>
    <w:rsid w:val="00963733"/>
    <w:pPr>
      <w:ind w:left="720"/>
      <w:contextualSpacing/>
    </w:pPr>
    <w:rPr>
      <w:rFonts w:ascii="Times New Roman" w:hAnsi="Times New Roman" w:cs="Times New Roman"/>
      <w:sz w:val="24"/>
      <w:szCs w:val="24"/>
    </w:rPr>
  </w:style>
  <w:style w:type="paragraph" w:styleId="NormalWeb">
    <w:name w:val="Normal (Web)"/>
    <w:basedOn w:val="Normal"/>
    <w:uiPriority w:val="99"/>
    <w:unhideWhenUsed/>
    <w:rsid w:val="00963733"/>
    <w:pP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AB5EE9"/>
    <w:rPr>
      <w:rFonts w:ascii="Arial" w:hAnsi="Arial" w:cs="Arial"/>
      <w:sz w:val="22"/>
    </w:rPr>
  </w:style>
  <w:style w:type="character" w:styleId="CommentReference">
    <w:name w:val="annotation reference"/>
    <w:basedOn w:val="DefaultParagraphFont"/>
    <w:rsid w:val="00B30765"/>
    <w:rPr>
      <w:sz w:val="18"/>
      <w:szCs w:val="18"/>
    </w:rPr>
  </w:style>
  <w:style w:type="paragraph" w:styleId="CommentSubject">
    <w:name w:val="annotation subject"/>
    <w:basedOn w:val="CommentText"/>
    <w:next w:val="CommentText"/>
    <w:link w:val="CommentSubjectChar"/>
    <w:rsid w:val="00B30765"/>
    <w:rPr>
      <w:b/>
      <w:bCs/>
      <w:sz w:val="20"/>
    </w:rPr>
  </w:style>
  <w:style w:type="character" w:customStyle="1" w:styleId="CommentTextChar">
    <w:name w:val="Comment Text Char"/>
    <w:basedOn w:val="DefaultParagraphFont"/>
    <w:link w:val="CommentText"/>
    <w:semiHidden/>
    <w:rsid w:val="00B30765"/>
    <w:rPr>
      <w:rFonts w:ascii="Arial" w:hAnsi="Arial" w:cs="Arial"/>
      <w:sz w:val="18"/>
    </w:rPr>
  </w:style>
  <w:style w:type="character" w:customStyle="1" w:styleId="CommentSubjectChar">
    <w:name w:val="Comment Subject Char"/>
    <w:basedOn w:val="CommentTextChar"/>
    <w:link w:val="CommentSubject"/>
    <w:rsid w:val="00B30765"/>
    <w:rPr>
      <w:rFonts w:ascii="Arial" w:hAnsi="Arial" w:cs="Arial"/>
      <w:b/>
      <w:bCs/>
      <w:sz w:val="18"/>
    </w:rPr>
  </w:style>
  <w:style w:type="paragraph" w:customStyle="1" w:styleId="Default">
    <w:name w:val="Default"/>
    <w:rsid w:val="00B3686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971AB9"/>
    <w:rPr>
      <w:rFonts w:ascii="Arial" w:hAnsi="Arial" w:cs="Arial"/>
      <w:sz w:val="22"/>
    </w:rPr>
  </w:style>
  <w:style w:type="table" w:styleId="TableGrid">
    <w:name w:val="Table Grid"/>
    <w:basedOn w:val="TableNormal"/>
    <w:uiPriority w:val="59"/>
    <w:rsid w:val="00011C7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C7B"/>
    <w:rPr>
      <w:color w:val="0000FF" w:themeColor="hyperlink"/>
      <w:u w:val="single"/>
    </w:rPr>
  </w:style>
  <w:style w:type="character" w:customStyle="1" w:styleId="FootnoteTextChar">
    <w:name w:val="Footnote Text Char"/>
    <w:basedOn w:val="DefaultParagraphFont"/>
    <w:link w:val="FootnoteText"/>
    <w:uiPriority w:val="99"/>
    <w:semiHidden/>
    <w:rsid w:val="00011C7B"/>
    <w:rPr>
      <w:rFonts w:ascii="Arial" w:hAnsi="Arial" w:cs="Arial"/>
      <w:sz w:val="18"/>
    </w:rPr>
  </w:style>
  <w:style w:type="character" w:styleId="FootnoteReference">
    <w:name w:val="footnote reference"/>
    <w:basedOn w:val="DefaultParagraphFont"/>
    <w:uiPriority w:val="99"/>
    <w:unhideWhenUsed/>
    <w:rsid w:val="00011C7B"/>
    <w:rPr>
      <w:vertAlign w:val="superscript"/>
    </w:rPr>
  </w:style>
  <w:style w:type="paragraph" w:customStyle="1" w:styleId="null">
    <w:name w:val="null"/>
    <w:basedOn w:val="Normal"/>
    <w:uiPriority w:val="99"/>
    <w:rsid w:val="00C65141"/>
    <w:rPr>
      <w:rFonts w:ascii="Times New Roman" w:eastAsiaTheme="minorEastAsia" w:hAnsi="Times New Roman" w:cs="Times New Roman"/>
      <w:sz w:val="24"/>
      <w:szCs w:val="24"/>
      <w:lang w:eastAsia="ja-JP"/>
    </w:rPr>
  </w:style>
  <w:style w:type="character" w:customStyle="1" w:styleId="null1">
    <w:name w:val="null1"/>
    <w:basedOn w:val="DefaultParagraphFont"/>
    <w:rsid w:val="00C65141"/>
  </w:style>
  <w:style w:type="character" w:styleId="FollowedHyperlink">
    <w:name w:val="FollowedHyperlink"/>
    <w:basedOn w:val="DefaultParagraphFont"/>
    <w:semiHidden/>
    <w:unhideWhenUsed/>
    <w:rsid w:val="007B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7372">
      <w:bodyDiv w:val="1"/>
      <w:marLeft w:val="0"/>
      <w:marRight w:val="0"/>
      <w:marTop w:val="0"/>
      <w:marBottom w:val="0"/>
      <w:divBdr>
        <w:top w:val="none" w:sz="0" w:space="0" w:color="auto"/>
        <w:left w:val="none" w:sz="0" w:space="0" w:color="auto"/>
        <w:bottom w:val="none" w:sz="0" w:space="0" w:color="auto"/>
        <w:right w:val="none" w:sz="0" w:space="0" w:color="auto"/>
      </w:divBdr>
    </w:div>
    <w:div w:id="703142955">
      <w:bodyDiv w:val="1"/>
      <w:marLeft w:val="0"/>
      <w:marRight w:val="0"/>
      <w:marTop w:val="0"/>
      <w:marBottom w:val="0"/>
      <w:divBdr>
        <w:top w:val="none" w:sz="0" w:space="0" w:color="auto"/>
        <w:left w:val="none" w:sz="0" w:space="0" w:color="auto"/>
        <w:bottom w:val="none" w:sz="0" w:space="0" w:color="auto"/>
        <w:right w:val="none" w:sz="0" w:space="0" w:color="auto"/>
      </w:divBdr>
    </w:div>
    <w:div w:id="1010958770">
      <w:bodyDiv w:val="1"/>
      <w:marLeft w:val="0"/>
      <w:marRight w:val="0"/>
      <w:marTop w:val="0"/>
      <w:marBottom w:val="0"/>
      <w:divBdr>
        <w:top w:val="none" w:sz="0" w:space="0" w:color="auto"/>
        <w:left w:val="none" w:sz="0" w:space="0" w:color="auto"/>
        <w:bottom w:val="none" w:sz="0" w:space="0" w:color="auto"/>
        <w:right w:val="none" w:sz="0" w:space="0" w:color="auto"/>
      </w:divBdr>
    </w:div>
    <w:div w:id="1047872637">
      <w:bodyDiv w:val="1"/>
      <w:marLeft w:val="0"/>
      <w:marRight w:val="0"/>
      <w:marTop w:val="0"/>
      <w:marBottom w:val="0"/>
      <w:divBdr>
        <w:top w:val="none" w:sz="0" w:space="0" w:color="auto"/>
        <w:left w:val="none" w:sz="0" w:space="0" w:color="auto"/>
        <w:bottom w:val="none" w:sz="0" w:space="0" w:color="auto"/>
        <w:right w:val="none" w:sz="0" w:space="0" w:color="auto"/>
      </w:divBdr>
    </w:div>
    <w:div w:id="118878856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40">
          <w:marLeft w:val="0"/>
          <w:marRight w:val="0"/>
          <w:marTop w:val="0"/>
          <w:marBottom w:val="0"/>
          <w:divBdr>
            <w:top w:val="none" w:sz="0" w:space="0" w:color="auto"/>
            <w:left w:val="none" w:sz="0" w:space="0" w:color="auto"/>
            <w:bottom w:val="none" w:sz="0" w:space="0" w:color="auto"/>
            <w:right w:val="none" w:sz="0" w:space="0" w:color="auto"/>
          </w:divBdr>
          <w:divsChild>
            <w:div w:id="987515912">
              <w:marLeft w:val="0"/>
              <w:marRight w:val="0"/>
              <w:marTop w:val="0"/>
              <w:marBottom w:val="0"/>
              <w:divBdr>
                <w:top w:val="none" w:sz="0" w:space="0" w:color="auto"/>
                <w:left w:val="none" w:sz="0" w:space="0" w:color="auto"/>
                <w:bottom w:val="none" w:sz="0" w:space="0" w:color="auto"/>
                <w:right w:val="none" w:sz="0" w:space="0" w:color="auto"/>
              </w:divBdr>
              <w:divsChild>
                <w:div w:id="47851311">
                  <w:marLeft w:val="0"/>
                  <w:marRight w:val="0"/>
                  <w:marTop w:val="0"/>
                  <w:marBottom w:val="0"/>
                  <w:divBdr>
                    <w:top w:val="none" w:sz="0" w:space="0" w:color="auto"/>
                    <w:left w:val="none" w:sz="0" w:space="0" w:color="auto"/>
                    <w:bottom w:val="none" w:sz="0" w:space="0" w:color="auto"/>
                    <w:right w:val="none" w:sz="0" w:space="0" w:color="auto"/>
                  </w:divBdr>
                  <w:divsChild>
                    <w:div w:id="681399318">
                      <w:marLeft w:val="0"/>
                      <w:marRight w:val="0"/>
                      <w:marTop w:val="0"/>
                      <w:marBottom w:val="0"/>
                      <w:divBdr>
                        <w:top w:val="none" w:sz="0" w:space="0" w:color="auto"/>
                        <w:left w:val="none" w:sz="0" w:space="0" w:color="auto"/>
                        <w:bottom w:val="none" w:sz="0" w:space="0" w:color="auto"/>
                        <w:right w:val="none" w:sz="0" w:space="0" w:color="auto"/>
                      </w:divBdr>
                      <w:divsChild>
                        <w:div w:id="1172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4315">
      <w:bodyDiv w:val="1"/>
      <w:marLeft w:val="0"/>
      <w:marRight w:val="0"/>
      <w:marTop w:val="0"/>
      <w:marBottom w:val="0"/>
      <w:divBdr>
        <w:top w:val="none" w:sz="0" w:space="0" w:color="auto"/>
        <w:left w:val="none" w:sz="0" w:space="0" w:color="auto"/>
        <w:bottom w:val="none" w:sz="0" w:space="0" w:color="auto"/>
        <w:right w:val="none" w:sz="0" w:space="0" w:color="auto"/>
      </w:divBdr>
      <w:divsChild>
        <w:div w:id="42756074">
          <w:marLeft w:val="1166"/>
          <w:marRight w:val="0"/>
          <w:marTop w:val="115"/>
          <w:marBottom w:val="0"/>
          <w:divBdr>
            <w:top w:val="none" w:sz="0" w:space="0" w:color="auto"/>
            <w:left w:val="none" w:sz="0" w:space="0" w:color="auto"/>
            <w:bottom w:val="none" w:sz="0" w:space="0" w:color="auto"/>
            <w:right w:val="none" w:sz="0" w:space="0" w:color="auto"/>
          </w:divBdr>
        </w:div>
        <w:div w:id="578363974">
          <w:marLeft w:val="1166"/>
          <w:marRight w:val="0"/>
          <w:marTop w:val="115"/>
          <w:marBottom w:val="0"/>
          <w:divBdr>
            <w:top w:val="none" w:sz="0" w:space="0" w:color="auto"/>
            <w:left w:val="none" w:sz="0" w:space="0" w:color="auto"/>
            <w:bottom w:val="none" w:sz="0" w:space="0" w:color="auto"/>
            <w:right w:val="none" w:sz="0" w:space="0" w:color="auto"/>
          </w:divBdr>
        </w:div>
        <w:div w:id="766196341">
          <w:marLeft w:val="1166"/>
          <w:marRight w:val="0"/>
          <w:marTop w:val="115"/>
          <w:marBottom w:val="0"/>
          <w:divBdr>
            <w:top w:val="none" w:sz="0" w:space="0" w:color="auto"/>
            <w:left w:val="none" w:sz="0" w:space="0" w:color="auto"/>
            <w:bottom w:val="none" w:sz="0" w:space="0" w:color="auto"/>
            <w:right w:val="none" w:sz="0" w:space="0" w:color="auto"/>
          </w:divBdr>
        </w:div>
        <w:div w:id="1387922356">
          <w:marLeft w:val="1166"/>
          <w:marRight w:val="0"/>
          <w:marTop w:val="115"/>
          <w:marBottom w:val="0"/>
          <w:divBdr>
            <w:top w:val="none" w:sz="0" w:space="0" w:color="auto"/>
            <w:left w:val="none" w:sz="0" w:space="0" w:color="auto"/>
            <w:bottom w:val="none" w:sz="0" w:space="0" w:color="auto"/>
            <w:right w:val="none" w:sz="0" w:space="0" w:color="auto"/>
          </w:divBdr>
        </w:div>
        <w:div w:id="1854027475">
          <w:marLeft w:val="547"/>
          <w:marRight w:val="0"/>
          <w:marTop w:val="115"/>
          <w:marBottom w:val="0"/>
          <w:divBdr>
            <w:top w:val="none" w:sz="0" w:space="0" w:color="auto"/>
            <w:left w:val="none" w:sz="0" w:space="0" w:color="auto"/>
            <w:bottom w:val="none" w:sz="0" w:space="0" w:color="auto"/>
            <w:right w:val="none" w:sz="0" w:space="0" w:color="auto"/>
          </w:divBdr>
        </w:div>
        <w:div w:id="1937863847">
          <w:marLeft w:val="547"/>
          <w:marRight w:val="0"/>
          <w:marTop w:val="115"/>
          <w:marBottom w:val="0"/>
          <w:divBdr>
            <w:top w:val="none" w:sz="0" w:space="0" w:color="auto"/>
            <w:left w:val="none" w:sz="0" w:space="0" w:color="auto"/>
            <w:bottom w:val="none" w:sz="0" w:space="0" w:color="auto"/>
            <w:right w:val="none" w:sz="0" w:space="0" w:color="auto"/>
          </w:divBdr>
        </w:div>
      </w:divsChild>
    </w:div>
    <w:div w:id="1988049226">
      <w:bodyDiv w:val="1"/>
      <w:marLeft w:val="0"/>
      <w:marRight w:val="0"/>
      <w:marTop w:val="0"/>
      <w:marBottom w:val="0"/>
      <w:divBdr>
        <w:top w:val="none" w:sz="0" w:space="0" w:color="auto"/>
        <w:left w:val="none" w:sz="0" w:space="0" w:color="auto"/>
        <w:bottom w:val="none" w:sz="0" w:space="0" w:color="auto"/>
        <w:right w:val="none" w:sz="0" w:space="0" w:color="auto"/>
      </w:divBdr>
    </w:div>
    <w:div w:id="20715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scweb.un.org/resources/pdfs/ar/AR2018.pdf?d=52920193:51:04AM" TargetMode="External"/><Relationship Id="rId13" Type="http://schemas.openxmlformats.org/officeDocument/2006/relationships/hyperlink" Target="https://www.unjiu.org/sites/www.unjiu.org/files/jiu_rep_2018_6_english.pdf" TargetMode="External"/><Relationship Id="rId3" Type="http://schemas.openxmlformats.org/officeDocument/2006/relationships/hyperlink" Target="https://www.unjiu.org/sites/www.unjiu.org/files/jiu_rep_2018_1_english.pdf" TargetMode="External"/><Relationship Id="rId7" Type="http://schemas.openxmlformats.org/officeDocument/2006/relationships/hyperlink" Target="https://www.wipo.int/meetings/en/doc_details.jsp?doc_id=421755" TargetMode="External"/><Relationship Id="rId12" Type="http://schemas.openxmlformats.org/officeDocument/2006/relationships/hyperlink" Target="https://www.wipo.int/edocs/mdocs/govbody/en/wo_cc_73/wo_cc_73_7.pdf" TargetMode="External"/><Relationship Id="rId2" Type="http://schemas.openxmlformats.org/officeDocument/2006/relationships/hyperlink" Target="https://www.wipo.int/publications/en/details.jsp?id=4431" TargetMode="External"/><Relationship Id="rId1" Type="http://schemas.openxmlformats.org/officeDocument/2006/relationships/hyperlink" Target="https://www.wipo.int/edocs/mdocs/govbody/en/wo_cc_74/wo_cc_74_5.pdf" TargetMode="External"/><Relationship Id="rId6" Type="http://schemas.openxmlformats.org/officeDocument/2006/relationships/hyperlink" Target="https://www.wipo.int/export/sites/www/about-wipo/en/oversight/iaod/evaluation/pdf/prof_dev_phase2_2018.pdf" TargetMode="External"/><Relationship Id="rId11" Type="http://schemas.openxmlformats.org/officeDocument/2006/relationships/hyperlink" Target="https://www.wipo.int/edocs/mdocs/govbody/en/wo_cc_73/wo_cc_73_5.pdf" TargetMode="External"/><Relationship Id="rId5" Type="http://schemas.openxmlformats.org/officeDocument/2006/relationships/hyperlink" Target="https://learning.unog.ch/node/9019" TargetMode="External"/><Relationship Id="rId10" Type="http://schemas.openxmlformats.org/officeDocument/2006/relationships/hyperlink" Target="https://icsc.un.org/Resources/General/AnnualReports/AR2017.pdf?r=09860932" TargetMode="External"/><Relationship Id="rId4" Type="http://schemas.openxmlformats.org/officeDocument/2006/relationships/hyperlink" Target="https://www.un.int/sites/www.un.int/files/Permanent%20Missions/delegate/17-00102b_gender_strategy_report_13_sept_2017.pdf" TargetMode="External"/><Relationship Id="rId9" Type="http://schemas.openxmlformats.org/officeDocument/2006/relationships/hyperlink" Target="https://undocs.org/A/73/9" TargetMode="External"/><Relationship Id="rId14" Type="http://schemas.openxmlformats.org/officeDocument/2006/relationships/hyperlink" Target="https://www.wipo.int/meetings/en/details.jsp?meeting_id=4781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Gender\Shared\UN-SWAP\WIPO's%20SWAP%20progress\WIPO's%20progress%20in%20UN%20SWAP%202018%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WIPO's Results in UN SWAP 2.0</a:t>
            </a:r>
          </a:p>
        </c:rich>
      </c:tx>
      <c:layout/>
      <c:overlay val="0"/>
    </c:title>
    <c:autoTitleDeleted val="0"/>
    <c:plotArea>
      <c:layout/>
      <c:barChart>
        <c:barDir val="col"/>
        <c:grouping val="percentStacked"/>
        <c:varyColors val="0"/>
        <c:ser>
          <c:idx val="0"/>
          <c:order val="0"/>
          <c:tx>
            <c:strRef>
              <c:f>Sheet1!$A$4</c:f>
              <c:strCache>
                <c:ptCount val="1"/>
                <c:pt idx="0">
                  <c:v>Not applicable</c:v>
                </c:pt>
              </c:strCache>
            </c:strRef>
          </c:tx>
          <c:spPr>
            <a:solidFill>
              <a:schemeClr val="bg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c:f>
              <c:numCache>
                <c:formatCode>General</c:formatCode>
                <c:ptCount val="1"/>
                <c:pt idx="0">
                  <c:v>2018</c:v>
                </c:pt>
              </c:numCache>
            </c:numRef>
          </c:cat>
          <c:val>
            <c:numRef>
              <c:f>Sheet1!$B$4</c:f>
              <c:numCache>
                <c:formatCode>General</c:formatCode>
                <c:ptCount val="1"/>
                <c:pt idx="0">
                  <c:v>1</c:v>
                </c:pt>
              </c:numCache>
            </c:numRef>
          </c:val>
          <c:extLst>
            <c:ext xmlns:c16="http://schemas.microsoft.com/office/drawing/2014/chart" uri="{C3380CC4-5D6E-409C-BE32-E72D297353CC}">
              <c16:uniqueId val="{00000000-995C-4A06-A7B2-ACB70A0114EC}"/>
            </c:ext>
          </c:extLst>
        </c:ser>
        <c:ser>
          <c:idx val="1"/>
          <c:order val="1"/>
          <c:tx>
            <c:strRef>
              <c:f>Sheet1!$A$5</c:f>
              <c:strCache>
                <c:ptCount val="1"/>
                <c:pt idx="0">
                  <c:v>Missing</c:v>
                </c:pt>
              </c:strCache>
            </c:strRef>
          </c:tx>
          <c:spPr>
            <a:solidFill>
              <a:srgbClr val="FF0000"/>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Sheet1!$B$3</c:f>
              <c:numCache>
                <c:formatCode>General</c:formatCode>
                <c:ptCount val="1"/>
                <c:pt idx="0">
                  <c:v>2018</c:v>
                </c:pt>
              </c:numCache>
            </c:numRef>
          </c:cat>
          <c:val>
            <c:numRef>
              <c:f>Sheet1!$B$5</c:f>
              <c:numCache>
                <c:formatCode>General</c:formatCode>
                <c:ptCount val="1"/>
                <c:pt idx="0">
                  <c:v>3</c:v>
                </c:pt>
              </c:numCache>
            </c:numRef>
          </c:val>
          <c:extLst>
            <c:ext xmlns:c16="http://schemas.microsoft.com/office/drawing/2014/chart" uri="{C3380CC4-5D6E-409C-BE32-E72D297353CC}">
              <c16:uniqueId val="{00000001-995C-4A06-A7B2-ACB70A0114EC}"/>
            </c:ext>
          </c:extLst>
        </c:ser>
        <c:ser>
          <c:idx val="2"/>
          <c:order val="2"/>
          <c:tx>
            <c:strRef>
              <c:f>Sheet1!$A$6</c:f>
              <c:strCache>
                <c:ptCount val="1"/>
                <c:pt idx="0">
                  <c:v>Approaches requirement</c:v>
                </c:pt>
              </c:strCache>
            </c:strRef>
          </c:tx>
          <c:spPr>
            <a:solidFill>
              <a:srgbClr val="FFFF00"/>
            </a:solidFill>
          </c:spPr>
          <c:invertIfNegative val="0"/>
          <c:dLbls>
            <c:dLbl>
              <c:idx val="0"/>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700-4196-B5F0-FDC75C14A5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c:f>
              <c:numCache>
                <c:formatCode>General</c:formatCode>
                <c:ptCount val="1"/>
                <c:pt idx="0">
                  <c:v>2018</c:v>
                </c:pt>
              </c:numCache>
            </c:numRef>
          </c:cat>
          <c:val>
            <c:numRef>
              <c:f>Sheet1!$B$6</c:f>
              <c:numCache>
                <c:formatCode>General</c:formatCode>
                <c:ptCount val="1"/>
                <c:pt idx="0">
                  <c:v>8</c:v>
                </c:pt>
              </c:numCache>
            </c:numRef>
          </c:val>
          <c:extLst>
            <c:ext xmlns:c16="http://schemas.microsoft.com/office/drawing/2014/chart" uri="{C3380CC4-5D6E-409C-BE32-E72D297353CC}">
              <c16:uniqueId val="{00000002-995C-4A06-A7B2-ACB70A0114EC}"/>
            </c:ext>
          </c:extLst>
        </c:ser>
        <c:ser>
          <c:idx val="3"/>
          <c:order val="3"/>
          <c:tx>
            <c:strRef>
              <c:f>Sheet1!$A$7</c:f>
              <c:strCache>
                <c:ptCount val="1"/>
                <c:pt idx="0">
                  <c:v>Meets requirement</c:v>
                </c:pt>
              </c:strCache>
            </c:strRef>
          </c:tx>
          <c:spPr>
            <a:solidFill>
              <a:srgbClr val="00B050"/>
            </a:solidFill>
            <a:ln>
              <a:solidFill>
                <a:schemeClr val="tx1"/>
              </a:solidFill>
            </a:ln>
          </c:spPr>
          <c:invertIfNegative val="0"/>
          <c:dLbls>
            <c:dLbl>
              <c:idx val="0"/>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95C-4A06-A7B2-ACB70A0114E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Sheet1!$B$3</c:f>
              <c:numCache>
                <c:formatCode>General</c:formatCode>
                <c:ptCount val="1"/>
                <c:pt idx="0">
                  <c:v>2018</c:v>
                </c:pt>
              </c:numCache>
            </c:numRef>
          </c:cat>
          <c:val>
            <c:numRef>
              <c:f>Sheet1!$B$7</c:f>
              <c:numCache>
                <c:formatCode>General</c:formatCode>
                <c:ptCount val="1"/>
                <c:pt idx="0">
                  <c:v>5</c:v>
                </c:pt>
              </c:numCache>
            </c:numRef>
          </c:val>
          <c:extLst>
            <c:ext xmlns:c16="http://schemas.microsoft.com/office/drawing/2014/chart" uri="{C3380CC4-5D6E-409C-BE32-E72D297353CC}">
              <c16:uniqueId val="{00000004-995C-4A06-A7B2-ACB70A0114EC}"/>
            </c:ext>
          </c:extLst>
        </c:ser>
        <c:dLbls>
          <c:showLegendKey val="0"/>
          <c:showVal val="0"/>
          <c:showCatName val="0"/>
          <c:showSerName val="0"/>
          <c:showPercent val="0"/>
          <c:showBubbleSize val="0"/>
        </c:dLbls>
        <c:gapWidth val="150"/>
        <c:overlap val="100"/>
        <c:axId val="109536384"/>
        <c:axId val="109538304"/>
      </c:barChart>
      <c:catAx>
        <c:axId val="109536384"/>
        <c:scaling>
          <c:orientation val="minMax"/>
        </c:scaling>
        <c:delete val="0"/>
        <c:axPos val="b"/>
        <c:numFmt formatCode="General" sourceLinked="1"/>
        <c:majorTickMark val="out"/>
        <c:minorTickMark val="none"/>
        <c:tickLblPos val="nextTo"/>
        <c:crossAx val="109538304"/>
        <c:crosses val="autoZero"/>
        <c:auto val="1"/>
        <c:lblAlgn val="ctr"/>
        <c:lblOffset val="100"/>
        <c:noMultiLvlLbl val="0"/>
      </c:catAx>
      <c:valAx>
        <c:axId val="109538304"/>
        <c:scaling>
          <c:orientation val="minMax"/>
        </c:scaling>
        <c:delete val="0"/>
        <c:axPos val="l"/>
        <c:majorGridlines/>
        <c:numFmt formatCode="0%" sourceLinked="1"/>
        <c:majorTickMark val="out"/>
        <c:minorTickMark val="none"/>
        <c:tickLblPos val="nextTo"/>
        <c:crossAx val="1095363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BAC0-6AF0-439C-82E4-FE536E0E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7106</Words>
  <Characters>39558</Characters>
  <Application>Microsoft Office Word</Application>
  <DocSecurity>0</DocSecurity>
  <Lines>733</Lines>
  <Paragraphs>169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DUKE Anne</dc:creator>
  <cp:keywords>PUBLIC</cp:keywords>
  <cp:lastModifiedBy>HÄFLIGER Patience</cp:lastModifiedBy>
  <cp:revision>26</cp:revision>
  <cp:lastPrinted>2019-07-05T16:09:00Z</cp:lastPrinted>
  <dcterms:created xsi:type="dcterms:W3CDTF">2019-07-05T16:09:00Z</dcterms:created>
  <dcterms:modified xsi:type="dcterms:W3CDTF">2019-08-14T10:30:00Z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2f646be7-ebea-4221-8a22-1af0564a40ff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