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CA5DC5"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A5DC5" w:rsidP="00202FE0">
            <w:pPr>
              <w:jc w:val="right"/>
              <w:rPr>
                <w:rFonts w:ascii="Arial Black" w:hAnsi="Arial Black"/>
                <w:caps/>
                <w:sz w:val="15"/>
              </w:rPr>
            </w:pPr>
            <w:r>
              <w:rPr>
                <w:rFonts w:ascii="Arial Black" w:hAnsi="Arial Black"/>
                <w:caps/>
                <w:sz w:val="15"/>
              </w:rPr>
              <w:t>WO/GA/49/</w:t>
            </w:r>
            <w:bookmarkStart w:id="1" w:name="Code"/>
            <w:bookmarkEnd w:id="1"/>
            <w:r w:rsidR="00202FE0">
              <w:rPr>
                <w:rFonts w:ascii="Arial Black" w:hAnsi="Arial Black"/>
                <w:caps/>
                <w:sz w:val="15"/>
              </w:rPr>
              <w:t>15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8F0CBF">
              <w:rPr>
                <w:rFonts w:ascii="Arial Black" w:hAnsi="Arial Black"/>
                <w:caps/>
                <w:sz w:val="15"/>
              </w:rPr>
              <w:t xml:space="preserve">english </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53DF9">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653DF9">
              <w:rPr>
                <w:rFonts w:ascii="Arial Black" w:hAnsi="Arial Black"/>
                <w:caps/>
                <w:sz w:val="15"/>
              </w:rPr>
              <w:t>July 3</w:t>
            </w:r>
            <w:r w:rsidR="008F0CBF">
              <w:rPr>
                <w:rFonts w:ascii="Arial Black" w:hAnsi="Arial Black"/>
                <w:caps/>
                <w:sz w:val="15"/>
              </w:rPr>
              <w:t>,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A5DC5" w:rsidP="008B2CC1">
      <w:pPr>
        <w:rPr>
          <w:b/>
          <w:sz w:val="28"/>
          <w:szCs w:val="28"/>
        </w:rPr>
      </w:pPr>
      <w:r w:rsidRPr="00CA5DC5">
        <w:rPr>
          <w:b/>
          <w:sz w:val="28"/>
          <w:szCs w:val="28"/>
        </w:rPr>
        <w:t>WIPO General Assembly</w:t>
      </w:r>
    </w:p>
    <w:p w:rsidR="003845C1" w:rsidRDefault="003845C1" w:rsidP="003845C1"/>
    <w:p w:rsidR="003845C1" w:rsidRDefault="003845C1" w:rsidP="003845C1"/>
    <w:p w:rsidR="00CA5DC5" w:rsidRPr="00CA5DC5" w:rsidRDefault="00CA5DC5" w:rsidP="00CA5DC5">
      <w:pPr>
        <w:rPr>
          <w:b/>
          <w:sz w:val="24"/>
          <w:szCs w:val="24"/>
        </w:rPr>
      </w:pPr>
      <w:r w:rsidRPr="00CA5DC5">
        <w:rPr>
          <w:b/>
          <w:sz w:val="24"/>
          <w:szCs w:val="24"/>
        </w:rPr>
        <w:t>Forty-Ninth (23</w:t>
      </w:r>
      <w:r w:rsidRPr="00CA5DC5">
        <w:rPr>
          <w:b/>
          <w:sz w:val="24"/>
          <w:szCs w:val="24"/>
          <w:vertAlign w:val="superscript"/>
        </w:rPr>
        <w:t>rd</w:t>
      </w:r>
      <w:r w:rsidRPr="00CA5DC5">
        <w:rPr>
          <w:b/>
          <w:sz w:val="24"/>
          <w:szCs w:val="24"/>
        </w:rPr>
        <w:t xml:space="preserve"> Ordinary) Session</w:t>
      </w:r>
    </w:p>
    <w:p w:rsidR="008B2CC1" w:rsidRPr="003845C1" w:rsidRDefault="00CA5DC5" w:rsidP="00CA5DC5">
      <w:pPr>
        <w:rPr>
          <w:b/>
          <w:sz w:val="24"/>
          <w:szCs w:val="24"/>
        </w:rPr>
      </w:pPr>
      <w:r w:rsidRPr="00CA5DC5">
        <w:rPr>
          <w:b/>
          <w:sz w:val="24"/>
          <w:szCs w:val="24"/>
        </w:rPr>
        <w:t>Geneva, October 2 to 11, 2017</w:t>
      </w:r>
    </w:p>
    <w:p w:rsidR="008B2CC1" w:rsidRPr="008B2CC1" w:rsidRDefault="008B2CC1" w:rsidP="008B2CC1"/>
    <w:p w:rsidR="008B2CC1" w:rsidRPr="008B2CC1" w:rsidRDefault="008B2CC1" w:rsidP="008B2CC1"/>
    <w:p w:rsidR="008B2CC1" w:rsidRPr="008B2CC1" w:rsidRDefault="008B2CC1" w:rsidP="008B2CC1"/>
    <w:p w:rsidR="008F0CBF" w:rsidRDefault="008F0CBF" w:rsidP="008F0CBF">
      <w:pPr>
        <w:rPr>
          <w:caps/>
          <w:sz w:val="24"/>
        </w:rPr>
      </w:pPr>
      <w:bookmarkStart w:id="4" w:name="TitleOfDoc"/>
      <w:bookmarkEnd w:id="4"/>
      <w:r>
        <w:rPr>
          <w:caps/>
          <w:sz w:val="24"/>
        </w:rPr>
        <w:t xml:space="preserve">COOPERATION UNDER THE AGREED STATEMENTS BY THE </w:t>
      </w:r>
    </w:p>
    <w:p w:rsidR="008F0CBF" w:rsidRDefault="008F0CBF" w:rsidP="008F0CBF">
      <w:pPr>
        <w:rPr>
          <w:caps/>
          <w:sz w:val="24"/>
        </w:rPr>
      </w:pPr>
      <w:r>
        <w:rPr>
          <w:caps/>
          <w:sz w:val="24"/>
        </w:rPr>
        <w:t>DIPLOMATIC CONFERENCE REGARDING THE PATENT LAW TREATY (PLT)</w:t>
      </w:r>
    </w:p>
    <w:p w:rsidR="008B2CC1" w:rsidRPr="003845C1" w:rsidRDefault="008B2CC1" w:rsidP="008B2CC1">
      <w:pPr>
        <w:rPr>
          <w:caps/>
          <w:sz w:val="24"/>
        </w:rPr>
      </w:pPr>
    </w:p>
    <w:p w:rsidR="008B2CC1" w:rsidRPr="008B2CC1" w:rsidRDefault="008B2CC1" w:rsidP="008B2CC1"/>
    <w:p w:rsidR="008B2CC1" w:rsidRPr="008B2CC1" w:rsidRDefault="008F0CBF" w:rsidP="008B2CC1">
      <w:pPr>
        <w:rPr>
          <w:i/>
        </w:rPr>
      </w:pPr>
      <w:bookmarkStart w:id="5" w:name="Prepared"/>
      <w:bookmarkEnd w:id="5"/>
      <w:r>
        <w:rPr>
          <w:i/>
        </w:rPr>
        <w:t>Document prepared by the Secretariat</w:t>
      </w:r>
    </w:p>
    <w:p w:rsidR="00AC205C" w:rsidRDefault="00AC205C"/>
    <w:p w:rsidR="000F5E56" w:rsidRDefault="000F5E56"/>
    <w:p w:rsidR="002928D3" w:rsidRDefault="002928D3"/>
    <w:p w:rsidR="002928D3" w:rsidRDefault="002928D3" w:rsidP="0053057A"/>
    <w:p w:rsidR="008F0CBF" w:rsidRDefault="008F0CBF" w:rsidP="008F0CBF">
      <w:pPr>
        <w:pStyle w:val="BodyText"/>
        <w:spacing w:after="0"/>
        <w:rPr>
          <w:b/>
          <w:szCs w:val="22"/>
        </w:rPr>
      </w:pPr>
      <w:r>
        <w:rPr>
          <w:b/>
          <w:szCs w:val="22"/>
        </w:rPr>
        <w:t>I.</w:t>
      </w:r>
      <w:r>
        <w:rPr>
          <w:b/>
          <w:szCs w:val="22"/>
        </w:rPr>
        <w:tab/>
        <w:t>INTRODUCTION</w:t>
      </w:r>
    </w:p>
    <w:p w:rsidR="008F0CBF" w:rsidRDefault="008F0CBF" w:rsidP="008F0CBF">
      <w:pPr>
        <w:pStyle w:val="BodyText"/>
        <w:spacing w:after="0"/>
        <w:rPr>
          <w:szCs w:val="22"/>
        </w:rPr>
      </w:pPr>
    </w:p>
    <w:p w:rsidR="008F0CBF" w:rsidRDefault="008F0CBF" w:rsidP="008F0CBF">
      <w:pPr>
        <w:pStyle w:val="BodyText"/>
        <w:spacing w:after="0"/>
        <w:rPr>
          <w:szCs w:val="22"/>
        </w:rPr>
      </w:pPr>
      <w:r>
        <w:rPr>
          <w:szCs w:val="22"/>
        </w:rPr>
        <w:fldChar w:fldCharType="begin"/>
      </w:r>
      <w:r>
        <w:rPr>
          <w:szCs w:val="22"/>
        </w:rPr>
        <w:instrText xml:space="preserve"> AUTONUM  </w:instrText>
      </w:r>
      <w:r>
        <w:rPr>
          <w:szCs w:val="22"/>
        </w:rPr>
        <w:fldChar w:fldCharType="end"/>
      </w:r>
      <w:r>
        <w:rPr>
          <w:szCs w:val="22"/>
        </w:rPr>
        <w:tab/>
        <w:t>Item 4 of the Agreed Statements by the Diplomatic Conference for the Adoption of the Patent Law Treaty (PLT) (hereinafter referred to as the Agreed Statements), adopted on June 1,</w:t>
      </w:r>
      <w:r w:rsidR="00653DF9">
        <w:rPr>
          <w:szCs w:val="22"/>
        </w:rPr>
        <w:t> </w:t>
      </w:r>
      <w:r>
        <w:rPr>
          <w:szCs w:val="22"/>
        </w:rPr>
        <w:t xml:space="preserve">2000, </w:t>
      </w:r>
      <w:proofErr w:type="gramStart"/>
      <w:r>
        <w:rPr>
          <w:szCs w:val="22"/>
        </w:rPr>
        <w:t>states</w:t>
      </w:r>
      <w:proofErr w:type="gramEnd"/>
      <w:r>
        <w:rPr>
          <w:szCs w:val="22"/>
        </w:rPr>
        <w:t xml:space="preserve"> the following:</w:t>
      </w:r>
    </w:p>
    <w:p w:rsidR="008F0CBF" w:rsidRDefault="008F0CBF" w:rsidP="008F0CBF">
      <w:pPr>
        <w:pStyle w:val="BodyText"/>
        <w:spacing w:after="0"/>
        <w:rPr>
          <w:szCs w:val="22"/>
        </w:rPr>
      </w:pPr>
    </w:p>
    <w:p w:rsidR="008F0CBF" w:rsidRDefault="008F0CBF" w:rsidP="008F0CBF">
      <w:pPr>
        <w:ind w:left="550"/>
        <w:rPr>
          <w:szCs w:val="22"/>
        </w:rPr>
      </w:pPr>
      <w:r>
        <w:rPr>
          <w:szCs w:val="22"/>
        </w:rPr>
        <w:t xml:space="preserve">“4.  With a view to facilitating the implementation of Rule 8(1)(a) of this Treaty, the Diplomatic Conference requests the General Assembly of the World Intellectual Property Organization (WIPO) and the Contracting Parties to provide the developing and least developed countries and countries in transition with additional technical assistance to meet their obligations under this Treaty, even before the entry into force of the Treaty. </w:t>
      </w:r>
    </w:p>
    <w:p w:rsidR="008F0CBF" w:rsidRDefault="008F0CBF" w:rsidP="008F0CBF">
      <w:pPr>
        <w:ind w:left="550"/>
        <w:rPr>
          <w:szCs w:val="22"/>
        </w:rPr>
      </w:pPr>
    </w:p>
    <w:p w:rsidR="008F0CBF" w:rsidRDefault="008F0CBF" w:rsidP="008F0CBF">
      <w:pPr>
        <w:ind w:left="550"/>
        <w:rPr>
          <w:szCs w:val="22"/>
        </w:rPr>
      </w:pPr>
      <w:r>
        <w:rPr>
          <w:szCs w:val="22"/>
        </w:rPr>
        <w:t xml:space="preserve">“The Diplomatic Conference further urges industrialized market economy countries to provide, on request and on mutually agreed terms and conditions, technical and financial cooperation in favor of developing and least developed countries and countries in transition. </w:t>
      </w:r>
    </w:p>
    <w:p w:rsidR="008F0CBF" w:rsidRDefault="008F0CBF" w:rsidP="008F0CBF">
      <w:pPr>
        <w:ind w:left="550"/>
        <w:rPr>
          <w:szCs w:val="22"/>
        </w:rPr>
      </w:pPr>
    </w:p>
    <w:p w:rsidR="008F0CBF" w:rsidRDefault="008F0CBF" w:rsidP="008F0CBF">
      <w:pPr>
        <w:ind w:left="550"/>
        <w:rPr>
          <w:szCs w:val="22"/>
        </w:rPr>
      </w:pPr>
      <w:r>
        <w:rPr>
          <w:szCs w:val="22"/>
        </w:rPr>
        <w:t>“The Diplomatic Conference requests the WIPO General Assembly, once the Treaty has entered into force, to monitor and evaluate the progress of that cooperation every ordinary session.”</w:t>
      </w:r>
    </w:p>
    <w:p w:rsidR="008F0CBF" w:rsidRDefault="008F0CBF" w:rsidP="008F0CBF">
      <w:pPr>
        <w:pStyle w:val="BodyText"/>
        <w:spacing w:after="0"/>
        <w:rPr>
          <w:szCs w:val="22"/>
        </w:rPr>
      </w:pPr>
    </w:p>
    <w:p w:rsidR="008F0CBF" w:rsidRDefault="008F0CBF" w:rsidP="008F0CBF">
      <w:pPr>
        <w:pStyle w:val="BodyText"/>
        <w:keepLines/>
        <w:spacing w:after="0"/>
        <w:rPr>
          <w:rFonts w:eastAsia="MS Mincho"/>
          <w:szCs w:val="22"/>
          <w:lang w:eastAsia="ja-JP"/>
        </w:rPr>
      </w:pPr>
      <w:r>
        <w:rPr>
          <w:szCs w:val="22"/>
        </w:rPr>
        <w:lastRenderedPageBreak/>
        <w:fldChar w:fldCharType="begin"/>
      </w:r>
      <w:r>
        <w:rPr>
          <w:szCs w:val="22"/>
        </w:rPr>
        <w:instrText xml:space="preserve"> AUTONUM  </w:instrText>
      </w:r>
      <w:r>
        <w:rPr>
          <w:szCs w:val="22"/>
        </w:rPr>
        <w:fldChar w:fldCharType="end"/>
      </w:r>
      <w:r>
        <w:rPr>
          <w:szCs w:val="22"/>
        </w:rPr>
        <w:tab/>
        <w:t xml:space="preserve">In accordance with the third paragraph of item 4 of the Agreed Statements, the WIPO General Assembly is requested to monitor and evaluate the progress of technical and financial cooperation in favor of developing and least developed countries (LDCs) and countries in transition, which facilitates the filing of communications in electronic form in those countries.  </w:t>
      </w:r>
    </w:p>
    <w:p w:rsidR="008F0CBF" w:rsidRDefault="008F0CBF" w:rsidP="008F0CBF">
      <w:pPr>
        <w:pStyle w:val="BodyText"/>
        <w:keepLines/>
        <w:spacing w:after="0"/>
        <w:rPr>
          <w:rFonts w:eastAsia="MS Mincho"/>
          <w:szCs w:val="22"/>
          <w:lang w:eastAsia="ja-JP"/>
        </w:rPr>
      </w:pPr>
    </w:p>
    <w:p w:rsidR="008F0CBF" w:rsidRDefault="008F0CBF" w:rsidP="008F0CBF">
      <w:pPr>
        <w:pStyle w:val="BodyText"/>
        <w:keepLines/>
        <w:spacing w:after="0"/>
        <w:rPr>
          <w:szCs w:val="22"/>
        </w:rPr>
      </w:pPr>
      <w:r>
        <w:rPr>
          <w:szCs w:val="22"/>
        </w:rPr>
        <w:fldChar w:fldCharType="begin"/>
      </w:r>
      <w:r>
        <w:rPr>
          <w:szCs w:val="22"/>
        </w:rPr>
        <w:instrText xml:space="preserve"> AUTONUM  </w:instrText>
      </w:r>
      <w:r>
        <w:rPr>
          <w:szCs w:val="22"/>
        </w:rPr>
        <w:fldChar w:fldCharType="end"/>
      </w:r>
      <w:r>
        <w:rPr>
          <w:szCs w:val="22"/>
        </w:rPr>
        <w:tab/>
        <w:t xml:space="preserve">Against this backdrop, </w:t>
      </w:r>
      <w:r w:rsidR="00653DF9">
        <w:rPr>
          <w:szCs w:val="22"/>
        </w:rPr>
        <w:t>“</w:t>
      </w:r>
      <w:r>
        <w:rPr>
          <w:szCs w:val="22"/>
        </w:rPr>
        <w:t>industrialized market economy countries</w:t>
      </w:r>
      <w:r w:rsidR="00653DF9">
        <w:rPr>
          <w:szCs w:val="22"/>
        </w:rPr>
        <w:t>”</w:t>
      </w:r>
      <w:r>
        <w:rPr>
          <w:szCs w:val="22"/>
        </w:rPr>
        <w:t xml:space="preserve"> referred to in</w:t>
      </w:r>
      <w:r w:rsidR="00653DF9">
        <w:rPr>
          <w:szCs w:val="22"/>
        </w:rPr>
        <w:t xml:space="preserve"> paragraph </w:t>
      </w:r>
      <w:r w:rsidR="00C457B8">
        <w:rPr>
          <w:szCs w:val="22"/>
        </w:rPr>
        <w:t>2</w:t>
      </w:r>
      <w:r w:rsidR="00653DF9">
        <w:rPr>
          <w:szCs w:val="22"/>
        </w:rPr>
        <w:t>,</w:t>
      </w:r>
      <w:r>
        <w:rPr>
          <w:szCs w:val="22"/>
        </w:rPr>
        <w:t xml:space="preserve"> item 4 of the Agreed Statements above</w:t>
      </w:r>
      <w:r w:rsidR="00101B38">
        <w:rPr>
          <w:szCs w:val="22"/>
        </w:rPr>
        <w:t>,</w:t>
      </w:r>
      <w:r>
        <w:rPr>
          <w:szCs w:val="22"/>
        </w:rPr>
        <w:t xml:space="preserve"> are invited to provide information as set forth in that </w:t>
      </w:r>
      <w:r w:rsidR="00653DF9">
        <w:rPr>
          <w:szCs w:val="22"/>
        </w:rPr>
        <w:t>paragraph</w:t>
      </w:r>
      <w:r>
        <w:rPr>
          <w:szCs w:val="22"/>
        </w:rPr>
        <w:t xml:space="preserve"> to the </w:t>
      </w:r>
      <w:r>
        <w:rPr>
          <w:rFonts w:eastAsia="MS Mincho"/>
          <w:szCs w:val="22"/>
          <w:lang w:eastAsia="ja-JP"/>
        </w:rPr>
        <w:t>f</w:t>
      </w:r>
      <w:r>
        <w:rPr>
          <w:szCs w:val="22"/>
        </w:rPr>
        <w:t>or</w:t>
      </w:r>
      <w:r w:rsidR="00653DF9">
        <w:rPr>
          <w:szCs w:val="22"/>
        </w:rPr>
        <w:t xml:space="preserve">thcoming </w:t>
      </w:r>
      <w:r>
        <w:rPr>
          <w:rFonts w:eastAsia="MS Mincho"/>
          <w:szCs w:val="22"/>
          <w:lang w:eastAsia="ja-JP"/>
        </w:rPr>
        <w:t>s</w:t>
      </w:r>
      <w:r>
        <w:rPr>
          <w:szCs w:val="22"/>
        </w:rPr>
        <w:t>ession</w:t>
      </w:r>
      <w:r>
        <w:rPr>
          <w:rFonts w:eastAsia="MS Mincho"/>
          <w:szCs w:val="22"/>
          <w:lang w:eastAsia="ja-JP"/>
        </w:rPr>
        <w:t xml:space="preserve"> of the </w:t>
      </w:r>
      <w:r w:rsidR="00653DF9">
        <w:rPr>
          <w:rFonts w:eastAsia="MS Mincho"/>
          <w:szCs w:val="22"/>
          <w:lang w:eastAsia="ja-JP"/>
        </w:rPr>
        <w:t xml:space="preserve">WIPO </w:t>
      </w:r>
      <w:r>
        <w:rPr>
          <w:szCs w:val="22"/>
        </w:rPr>
        <w:t>General Assembly</w:t>
      </w:r>
      <w:r>
        <w:rPr>
          <w:rFonts w:eastAsia="MS Mincho"/>
          <w:szCs w:val="22"/>
          <w:lang w:eastAsia="ja-JP"/>
        </w:rPr>
        <w:t xml:space="preserve"> so that it could monitor and evaluate the progress of the cooperation</w:t>
      </w:r>
      <w:r>
        <w:rPr>
          <w:szCs w:val="22"/>
        </w:rPr>
        <w:t>.</w:t>
      </w:r>
    </w:p>
    <w:p w:rsidR="008F0CBF" w:rsidRDefault="008F0CBF" w:rsidP="008F0CBF">
      <w:pPr>
        <w:pStyle w:val="BodyText"/>
        <w:spacing w:after="0"/>
        <w:ind w:left="550" w:hanging="550"/>
        <w:rPr>
          <w:szCs w:val="22"/>
        </w:rPr>
      </w:pPr>
    </w:p>
    <w:p w:rsidR="008F0CBF" w:rsidRDefault="008F0CBF" w:rsidP="008F0CBF">
      <w:pPr>
        <w:pStyle w:val="BodyText"/>
        <w:spacing w:after="0"/>
        <w:ind w:left="550" w:hanging="550"/>
        <w:rPr>
          <w:szCs w:val="22"/>
        </w:rPr>
      </w:pPr>
    </w:p>
    <w:p w:rsidR="008F0CBF" w:rsidRDefault="008F0CBF" w:rsidP="008F0CBF">
      <w:pPr>
        <w:pStyle w:val="BodyText"/>
        <w:spacing w:after="0"/>
        <w:rPr>
          <w:b/>
          <w:szCs w:val="22"/>
        </w:rPr>
      </w:pPr>
      <w:r>
        <w:rPr>
          <w:b/>
          <w:szCs w:val="22"/>
        </w:rPr>
        <w:t>II.</w:t>
      </w:r>
      <w:r>
        <w:rPr>
          <w:b/>
          <w:szCs w:val="22"/>
        </w:rPr>
        <w:tab/>
        <w:t xml:space="preserve">ACTIVITIES OF WIPO </w:t>
      </w:r>
    </w:p>
    <w:p w:rsidR="008F0CBF" w:rsidRDefault="008F0CBF" w:rsidP="008F0CBF">
      <w:pPr>
        <w:pStyle w:val="BodyText"/>
        <w:spacing w:after="0"/>
        <w:rPr>
          <w:szCs w:val="22"/>
        </w:rPr>
      </w:pPr>
    </w:p>
    <w:p w:rsidR="008F0CBF" w:rsidRDefault="008F0CBF" w:rsidP="008F0CBF">
      <w:pPr>
        <w:pStyle w:val="BodyText"/>
        <w:spacing w:after="0"/>
        <w:rPr>
          <w:szCs w:val="22"/>
        </w:rPr>
      </w:pPr>
      <w:r>
        <w:rPr>
          <w:szCs w:val="22"/>
        </w:rPr>
        <w:fldChar w:fldCharType="begin"/>
      </w:r>
      <w:r>
        <w:rPr>
          <w:szCs w:val="22"/>
        </w:rPr>
        <w:instrText xml:space="preserve"> AUTONUM  </w:instrText>
      </w:r>
      <w:r>
        <w:rPr>
          <w:szCs w:val="22"/>
        </w:rPr>
        <w:fldChar w:fldCharType="end"/>
      </w:r>
      <w:r>
        <w:rPr>
          <w:szCs w:val="22"/>
        </w:rPr>
        <w:tab/>
        <w:t>With respect to the relevant activities of WIPO, when adopting Rule 8 of the Regulations under the PLT at the Diplomatic Conference for the Adoption of the PLT, the Director General of WIPO stated that WIPO would remain committed to its technical cooperation program, and that it would further translate the content of Rule 8 into a meaningful capacity building for developing countries and countries in transition.</w:t>
      </w:r>
      <w:r>
        <w:rPr>
          <w:rStyle w:val="FootnoteReference"/>
          <w:szCs w:val="22"/>
        </w:rPr>
        <w:footnoteReference w:id="2"/>
      </w:r>
      <w:r>
        <w:rPr>
          <w:szCs w:val="22"/>
        </w:rPr>
        <w:t xml:space="preserve">  </w:t>
      </w:r>
    </w:p>
    <w:p w:rsidR="008F0CBF" w:rsidRDefault="008F0CBF" w:rsidP="008F0CBF">
      <w:pPr>
        <w:pStyle w:val="BodyText"/>
        <w:spacing w:after="0"/>
        <w:rPr>
          <w:szCs w:val="22"/>
        </w:rPr>
      </w:pPr>
    </w:p>
    <w:p w:rsidR="008F0CBF" w:rsidRDefault="008F0CBF" w:rsidP="008F0CBF">
      <w:pPr>
        <w:pStyle w:val="BodyText"/>
        <w:spacing w:after="0"/>
        <w:rPr>
          <w:szCs w:val="22"/>
        </w:rPr>
      </w:pPr>
      <w:r>
        <w:rPr>
          <w:szCs w:val="22"/>
        </w:rPr>
        <w:fldChar w:fldCharType="begin"/>
      </w:r>
      <w:r>
        <w:rPr>
          <w:szCs w:val="22"/>
        </w:rPr>
        <w:instrText xml:space="preserve"> AUTONUM  </w:instrText>
      </w:r>
      <w:r>
        <w:rPr>
          <w:szCs w:val="22"/>
        </w:rPr>
        <w:fldChar w:fldCharType="end"/>
      </w:r>
      <w:r>
        <w:rPr>
          <w:szCs w:val="22"/>
        </w:rPr>
        <w:tab/>
        <w:t>In addition, the recommendations of the WIPO Development Agenda (DA) refer to development and improvement of infrastructure and other facilities, including those relating to information and communication technologies (ICT).  In particular, the following recommendations appear to be relevant in this context:</w:t>
      </w:r>
    </w:p>
    <w:p w:rsidR="008F0CBF" w:rsidRDefault="008F0CBF" w:rsidP="008F0CBF">
      <w:pPr>
        <w:pStyle w:val="BodyText"/>
        <w:spacing w:after="0"/>
        <w:rPr>
          <w:szCs w:val="22"/>
        </w:rPr>
      </w:pPr>
    </w:p>
    <w:p w:rsidR="008F0CBF" w:rsidRDefault="008F0CBF" w:rsidP="008F0CBF">
      <w:pPr>
        <w:pStyle w:val="BodyText"/>
        <w:spacing w:after="0"/>
        <w:ind w:left="1100"/>
        <w:rPr>
          <w:szCs w:val="22"/>
          <w:lang w:val="en"/>
        </w:rPr>
      </w:pPr>
      <w:r>
        <w:rPr>
          <w:szCs w:val="22"/>
        </w:rPr>
        <w:t xml:space="preserve">“10.  </w:t>
      </w:r>
      <w:r>
        <w:rPr>
          <w:szCs w:val="22"/>
          <w:lang w:val="en"/>
        </w:rPr>
        <w:t>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w:t>
      </w:r>
      <w:r>
        <w:rPr>
          <w:szCs w:val="22"/>
          <w:lang w:val="en"/>
        </w:rPr>
        <w:noBreakHyphen/>
        <w:t>regional and regional organizations dealing with intellectual property.</w:t>
      </w:r>
    </w:p>
    <w:p w:rsidR="008F0CBF" w:rsidRDefault="008F0CBF" w:rsidP="008F0CBF">
      <w:pPr>
        <w:pStyle w:val="BodyText"/>
        <w:spacing w:after="0"/>
        <w:ind w:left="1100"/>
        <w:rPr>
          <w:szCs w:val="22"/>
          <w:lang w:val="en"/>
        </w:rPr>
      </w:pPr>
    </w:p>
    <w:p w:rsidR="008F0CBF" w:rsidRDefault="008F0CBF" w:rsidP="008F0CBF">
      <w:pPr>
        <w:pStyle w:val="BodyText"/>
        <w:spacing w:after="0"/>
        <w:ind w:left="1100"/>
        <w:rPr>
          <w:szCs w:val="22"/>
          <w:lang w:val="en"/>
        </w:rPr>
      </w:pPr>
      <w:r>
        <w:rPr>
          <w:szCs w:val="22"/>
          <w:lang w:val="en"/>
        </w:rPr>
        <w:t>“24.  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p w:rsidR="008F0CBF" w:rsidRDefault="008F0CBF" w:rsidP="008F0CBF">
      <w:pPr>
        <w:pStyle w:val="BodyText"/>
        <w:shd w:val="clear" w:color="auto" w:fill="FFFFFF"/>
        <w:spacing w:after="0"/>
        <w:rPr>
          <w:szCs w:val="22"/>
        </w:rPr>
      </w:pPr>
    </w:p>
    <w:p w:rsidR="008F0CBF" w:rsidRPr="00EE2B4C" w:rsidRDefault="008F0CBF" w:rsidP="008F0CBF">
      <w:pPr>
        <w:pStyle w:val="BodyText"/>
        <w:spacing w:after="0"/>
        <w:rPr>
          <w:szCs w:val="22"/>
          <w:shd w:val="clear" w:color="auto" w:fill="FFFFFF"/>
        </w:rPr>
      </w:pPr>
      <w:r w:rsidRPr="00EE2B4C">
        <w:rPr>
          <w:szCs w:val="22"/>
          <w:shd w:val="clear" w:color="auto" w:fill="FFFFFF"/>
        </w:rPr>
        <w:fldChar w:fldCharType="begin"/>
      </w:r>
      <w:r w:rsidRPr="00EE2B4C">
        <w:rPr>
          <w:szCs w:val="22"/>
          <w:shd w:val="clear" w:color="auto" w:fill="FFFFFF"/>
        </w:rPr>
        <w:instrText xml:space="preserve"> AUTONUM  </w:instrText>
      </w:r>
      <w:r w:rsidRPr="00EE2B4C">
        <w:rPr>
          <w:szCs w:val="22"/>
          <w:shd w:val="clear" w:color="auto" w:fill="FFFFFF"/>
        </w:rPr>
        <w:fldChar w:fldCharType="end"/>
      </w:r>
      <w:r w:rsidRPr="00EE2B4C">
        <w:rPr>
          <w:szCs w:val="22"/>
          <w:shd w:val="clear" w:color="auto" w:fill="FFFFFF"/>
        </w:rPr>
        <w:tab/>
        <w:t xml:space="preserve">Specifically, between the previous ordinary session of the </w:t>
      </w:r>
      <w:r w:rsidRPr="00EE2B4C">
        <w:rPr>
          <w:szCs w:val="22"/>
        </w:rPr>
        <w:t>WIPO</w:t>
      </w:r>
      <w:r w:rsidRPr="00EE2B4C">
        <w:rPr>
          <w:szCs w:val="22"/>
          <w:shd w:val="clear" w:color="auto" w:fill="FFFFFF"/>
        </w:rPr>
        <w:t xml:space="preserve"> General Assembly in 201</w:t>
      </w:r>
      <w:r w:rsidR="0082695E" w:rsidRPr="00EE2B4C">
        <w:rPr>
          <w:szCs w:val="22"/>
          <w:shd w:val="clear" w:color="auto" w:fill="FFFFFF"/>
        </w:rPr>
        <w:t>5 and the end of May 2017</w:t>
      </w:r>
      <w:r w:rsidRPr="00EE2B4C">
        <w:rPr>
          <w:szCs w:val="22"/>
          <w:shd w:val="clear" w:color="auto" w:fill="FFFFFF"/>
        </w:rPr>
        <w:t>, the following developments in the context of the Patent Cooperation Treaty (PCT) should be noted, given the strong relationship between the PCT and the PLT.  Since these activities have already been adopted in the framework of the PCT, they may have medium and long-term potential for application in the PLT context.</w:t>
      </w:r>
    </w:p>
    <w:p w:rsidR="008F0CBF" w:rsidRPr="00EE2B4C" w:rsidRDefault="008F0CBF" w:rsidP="008F0CBF">
      <w:pPr>
        <w:shd w:val="clear" w:color="auto" w:fill="FFFFFF"/>
        <w:rPr>
          <w:szCs w:val="22"/>
          <w:shd w:val="pct15" w:color="auto" w:fill="FFFFFF"/>
        </w:rPr>
      </w:pPr>
    </w:p>
    <w:p w:rsidR="008F0CBF" w:rsidRPr="00EE2B4C" w:rsidRDefault="008F0CBF" w:rsidP="008F0CBF">
      <w:pPr>
        <w:shd w:val="clear" w:color="auto" w:fill="FFFFFF"/>
        <w:rPr>
          <w:szCs w:val="22"/>
          <w:shd w:val="clear" w:color="auto" w:fill="FFFFFF"/>
        </w:rPr>
      </w:pPr>
      <w:r w:rsidRPr="00EE2B4C">
        <w:rPr>
          <w:szCs w:val="22"/>
          <w:shd w:val="clear" w:color="auto" w:fill="FFFFFF"/>
        </w:rPr>
        <w:fldChar w:fldCharType="begin"/>
      </w:r>
      <w:r w:rsidRPr="00EE2B4C">
        <w:rPr>
          <w:szCs w:val="22"/>
          <w:shd w:val="clear" w:color="auto" w:fill="FFFFFF"/>
        </w:rPr>
        <w:instrText xml:space="preserve"> AUTONUM  </w:instrText>
      </w:r>
      <w:r w:rsidRPr="00EE2B4C">
        <w:rPr>
          <w:szCs w:val="22"/>
          <w:shd w:val="clear" w:color="auto" w:fill="FFFFFF"/>
        </w:rPr>
        <w:fldChar w:fldCharType="end"/>
      </w:r>
      <w:r w:rsidRPr="00EE2B4C">
        <w:rPr>
          <w:szCs w:val="22"/>
          <w:shd w:val="clear" w:color="auto" w:fill="FFFFFF"/>
        </w:rPr>
        <w:tab/>
      </w:r>
      <w:proofErr w:type="spellStart"/>
      <w:proofErr w:type="gramStart"/>
      <w:r w:rsidRPr="00EE2B4C">
        <w:rPr>
          <w:szCs w:val="22"/>
          <w:shd w:val="clear" w:color="auto" w:fill="FFFFFF"/>
        </w:rPr>
        <w:t>ePCT</w:t>
      </w:r>
      <w:proofErr w:type="spellEnd"/>
      <w:proofErr w:type="gramEnd"/>
      <w:r w:rsidRPr="00EE2B4C">
        <w:rPr>
          <w:szCs w:val="22"/>
          <w:shd w:val="clear" w:color="auto" w:fill="FFFFFF"/>
        </w:rPr>
        <w:t xml:space="preserve">:  The International Bureau (IB) has continued to develop and deploy the </w:t>
      </w:r>
      <w:proofErr w:type="spellStart"/>
      <w:r w:rsidRPr="00EE2B4C">
        <w:rPr>
          <w:szCs w:val="22"/>
          <w:shd w:val="clear" w:color="auto" w:fill="FFFFFF"/>
        </w:rPr>
        <w:t>ePCT</w:t>
      </w:r>
      <w:proofErr w:type="spellEnd"/>
      <w:r w:rsidRPr="00EE2B4C">
        <w:rPr>
          <w:szCs w:val="22"/>
          <w:shd w:val="clear" w:color="auto" w:fill="FFFFFF"/>
        </w:rPr>
        <w:t xml:space="preserve"> system.  </w:t>
      </w:r>
      <w:r w:rsidR="005E0B7F">
        <w:rPr>
          <w:szCs w:val="22"/>
          <w:shd w:val="clear" w:color="auto" w:fill="FFFFFF"/>
        </w:rPr>
        <w:t>T</w:t>
      </w:r>
      <w:r w:rsidRPr="00EE2B4C">
        <w:rPr>
          <w:szCs w:val="22"/>
          <w:shd w:val="clear" w:color="auto" w:fill="FFFFFF"/>
        </w:rPr>
        <w:t xml:space="preserve">here are now over </w:t>
      </w:r>
      <w:r w:rsidR="005E0B7F">
        <w:rPr>
          <w:szCs w:val="22"/>
          <w:shd w:val="clear" w:color="auto" w:fill="FFFFFF"/>
        </w:rPr>
        <w:t>34</w:t>
      </w:r>
      <w:r w:rsidRPr="00EE2B4C">
        <w:rPr>
          <w:szCs w:val="22"/>
          <w:shd w:val="clear" w:color="auto" w:fill="FFFFFF"/>
        </w:rPr>
        <w:t xml:space="preserve">,000 registered users from over 100 different countries using </w:t>
      </w:r>
      <w:proofErr w:type="spellStart"/>
      <w:r w:rsidRPr="00EE2B4C">
        <w:rPr>
          <w:szCs w:val="22"/>
          <w:shd w:val="clear" w:color="auto" w:fill="FFFFFF"/>
        </w:rPr>
        <w:t>ePCT</w:t>
      </w:r>
      <w:proofErr w:type="spellEnd"/>
      <w:r w:rsidRPr="00EE2B4C">
        <w:rPr>
          <w:szCs w:val="22"/>
          <w:shd w:val="clear" w:color="auto" w:fill="FFFFFF"/>
        </w:rPr>
        <w:t xml:space="preserve"> to file and/or subsequently manage international applications.  The system has also been opened to </w:t>
      </w:r>
      <w:r w:rsidRPr="00EE2B4C">
        <w:rPr>
          <w:rFonts w:eastAsia="MS Mincho"/>
          <w:szCs w:val="22"/>
          <w:shd w:val="clear" w:color="auto" w:fill="FFFFFF"/>
          <w:lang w:eastAsia="ja-JP"/>
        </w:rPr>
        <w:t>national/regional offices,</w:t>
      </w:r>
      <w:r w:rsidRPr="00EE2B4C">
        <w:rPr>
          <w:szCs w:val="22"/>
          <w:shd w:val="clear" w:color="auto" w:fill="FFFFFF"/>
        </w:rPr>
        <w:t xml:space="preserve"> wh</w:t>
      </w:r>
      <w:r w:rsidRPr="00EE2B4C">
        <w:rPr>
          <w:rFonts w:eastAsia="MS Mincho"/>
          <w:szCs w:val="22"/>
          <w:shd w:val="clear" w:color="auto" w:fill="FFFFFF"/>
          <w:lang w:eastAsia="ja-JP"/>
        </w:rPr>
        <w:t>ich</w:t>
      </w:r>
      <w:r w:rsidRPr="00EE2B4C">
        <w:rPr>
          <w:szCs w:val="22"/>
          <w:shd w:val="clear" w:color="auto" w:fill="FFFFFF"/>
        </w:rPr>
        <w:t xml:space="preserve"> can now access the service in their roles as receiving Office (RO), International Searching Authority (ISA) and International Preliminary Examining Authority (IPEA) as well as </w:t>
      </w:r>
      <w:r w:rsidRPr="00EE2B4C">
        <w:rPr>
          <w:rFonts w:eastAsia="MS Mincho"/>
          <w:szCs w:val="22"/>
          <w:shd w:val="clear" w:color="auto" w:fill="FFFFFF"/>
          <w:lang w:eastAsia="ja-JP"/>
        </w:rPr>
        <w:t>d</w:t>
      </w:r>
      <w:r w:rsidRPr="00EE2B4C">
        <w:rPr>
          <w:szCs w:val="22"/>
          <w:shd w:val="clear" w:color="auto" w:fill="FFFFFF"/>
        </w:rPr>
        <w:t xml:space="preserve">esignated Office (DO).  To date, the offices </w:t>
      </w:r>
      <w:r w:rsidRPr="00EE2B4C">
        <w:rPr>
          <w:rFonts w:eastAsia="MS Mincho"/>
          <w:szCs w:val="22"/>
          <w:shd w:val="clear" w:color="auto" w:fill="FFFFFF"/>
          <w:lang w:eastAsia="ja-JP"/>
        </w:rPr>
        <w:t xml:space="preserve">of the following countries and regional patent organizations </w:t>
      </w:r>
      <w:r w:rsidRPr="00EE2B4C">
        <w:rPr>
          <w:szCs w:val="22"/>
          <w:shd w:val="clear" w:color="auto" w:fill="FFFFFF"/>
        </w:rPr>
        <w:t xml:space="preserve">have started to use these additional services:  </w:t>
      </w:r>
      <w:r w:rsidR="005E0B7F" w:rsidRPr="005E0B7F">
        <w:rPr>
          <w:szCs w:val="22"/>
          <w:shd w:val="clear" w:color="auto" w:fill="FFFFFF"/>
        </w:rPr>
        <w:t xml:space="preserve">Algeria, Australia, Austria, Azerbaijan, Belgium, Brazil, Brunei Darussalam, Bulgaria, Canada, Chile, China, Colombia, Comoros, Cuba, </w:t>
      </w:r>
      <w:r w:rsidR="00653DF9">
        <w:rPr>
          <w:szCs w:val="22"/>
          <w:shd w:val="clear" w:color="auto" w:fill="FFFFFF"/>
        </w:rPr>
        <w:t>Czech Republic</w:t>
      </w:r>
      <w:r w:rsidR="005E0B7F" w:rsidRPr="005E0B7F">
        <w:rPr>
          <w:szCs w:val="22"/>
          <w:shd w:val="clear" w:color="auto" w:fill="FFFFFF"/>
        </w:rPr>
        <w:t xml:space="preserve">, Denmark, Dominican Republic, </w:t>
      </w:r>
      <w:r w:rsidR="005E0B7F" w:rsidRPr="005E0B7F">
        <w:rPr>
          <w:szCs w:val="22"/>
          <w:shd w:val="clear" w:color="auto" w:fill="FFFFFF"/>
        </w:rPr>
        <w:lastRenderedPageBreak/>
        <w:t xml:space="preserve">Ecuador, Egypt, Estonia, Eurasian Patent Office, European Patent Office, Finland, France, Georgia, Germany, Greece, Hungary, Iceland, India, Indonesia, Iran (Islamic Republic of), Israel, Italy, Japan, Kenya, Latvia, Lithuania, Malaysia, Mexico, Morocco, Netherlands, New Zealand, Nicaragua, Nordic Patent Institute, Norway, Oman, Panama, Peru, Philippines, Poland, Portugal, Qatar, Republic of Korea, Russian Federation, Saudi Arabia, Singapore, Slovenia, Slovakia, South Africa, Spain, Sweden, Switzerland, Thailand, Turkey, Ukraine, United Kingdom, United States of America and </w:t>
      </w:r>
      <w:proofErr w:type="spellStart"/>
      <w:r w:rsidR="005E0B7F" w:rsidRPr="005E0B7F">
        <w:rPr>
          <w:szCs w:val="22"/>
          <w:shd w:val="clear" w:color="auto" w:fill="FFFFFF"/>
        </w:rPr>
        <w:t>Visegrad</w:t>
      </w:r>
      <w:proofErr w:type="spellEnd"/>
      <w:r w:rsidR="005E0B7F" w:rsidRPr="005E0B7F">
        <w:rPr>
          <w:szCs w:val="22"/>
          <w:shd w:val="clear" w:color="auto" w:fill="FFFFFF"/>
        </w:rPr>
        <w:t xml:space="preserve"> Patent Institute.  In addition, the web</w:t>
      </w:r>
      <w:r w:rsidR="005E0B7F" w:rsidRPr="005E0B7F">
        <w:rPr>
          <w:szCs w:val="22"/>
          <w:shd w:val="clear" w:color="auto" w:fill="FFFFFF"/>
        </w:rPr>
        <w:noBreakHyphen/>
        <w:t xml:space="preserve">based filing solution, </w:t>
      </w:r>
      <w:proofErr w:type="spellStart"/>
      <w:r w:rsidR="005E0B7F" w:rsidRPr="005E0B7F">
        <w:rPr>
          <w:szCs w:val="22"/>
          <w:shd w:val="clear" w:color="auto" w:fill="FFFFFF"/>
        </w:rPr>
        <w:t>ePCT</w:t>
      </w:r>
      <w:proofErr w:type="spellEnd"/>
      <w:r w:rsidR="005E0B7F" w:rsidRPr="005E0B7F">
        <w:rPr>
          <w:szCs w:val="22"/>
          <w:shd w:val="clear" w:color="auto" w:fill="FFFFFF"/>
        </w:rPr>
        <w:t>-Filing, which is intended to supersede PCT-SAFE and provides all offices with the ability to offer an electronic filing solution to applicants, is accepted by 44</w:t>
      </w:r>
      <w:r w:rsidR="00653DF9">
        <w:rPr>
          <w:szCs w:val="22"/>
          <w:shd w:val="clear" w:color="auto" w:fill="FFFFFF"/>
        </w:rPr>
        <w:t> </w:t>
      </w:r>
      <w:r w:rsidR="005E0B7F" w:rsidRPr="005E0B7F">
        <w:rPr>
          <w:szCs w:val="22"/>
          <w:shd w:val="clear" w:color="auto" w:fill="FFFFFF"/>
        </w:rPr>
        <w:t xml:space="preserve">ROs (as of May 1, 2017).  In April 2015 the </w:t>
      </w:r>
      <w:proofErr w:type="spellStart"/>
      <w:r w:rsidR="005E0B7F" w:rsidRPr="005E0B7F">
        <w:rPr>
          <w:szCs w:val="22"/>
          <w:shd w:val="clear" w:color="auto" w:fill="FFFFFF"/>
        </w:rPr>
        <w:t>ePCT</w:t>
      </w:r>
      <w:proofErr w:type="spellEnd"/>
      <w:r w:rsidR="005E0B7F" w:rsidRPr="005E0B7F">
        <w:rPr>
          <w:szCs w:val="22"/>
          <w:shd w:val="clear" w:color="auto" w:fill="FFFFFF"/>
        </w:rPr>
        <w:t xml:space="preserve"> user interface became available in all languages of international publication under the PCT:  Arabic, Chinese, English, French, German, Japanese, Korean, Portuguese, Russian and Spanish.</w:t>
      </w:r>
    </w:p>
    <w:p w:rsidR="008F0CBF" w:rsidRPr="00EE2B4C" w:rsidRDefault="008F0CBF" w:rsidP="008F0CBF">
      <w:pPr>
        <w:shd w:val="clear" w:color="auto" w:fill="FFFFFF"/>
        <w:rPr>
          <w:szCs w:val="22"/>
          <w:shd w:val="clear" w:color="auto" w:fill="FFFFFF"/>
        </w:rPr>
      </w:pPr>
    </w:p>
    <w:p w:rsidR="005E0B7F" w:rsidRPr="00080B4E" w:rsidRDefault="008F0CBF" w:rsidP="005E0B7F">
      <w:pPr>
        <w:shd w:val="clear" w:color="auto" w:fill="FFFFFF"/>
        <w:tabs>
          <w:tab w:val="left" w:pos="567"/>
        </w:tabs>
        <w:rPr>
          <w:szCs w:val="22"/>
          <w:shd w:val="clear" w:color="auto" w:fill="FFFFFF"/>
        </w:rPr>
      </w:pPr>
      <w:r w:rsidRPr="00EE2B4C">
        <w:rPr>
          <w:szCs w:val="22"/>
          <w:shd w:val="clear" w:color="auto" w:fill="FFFFFF"/>
        </w:rPr>
        <w:fldChar w:fldCharType="begin"/>
      </w:r>
      <w:r w:rsidRPr="00EE2B4C">
        <w:rPr>
          <w:szCs w:val="22"/>
          <w:shd w:val="clear" w:color="auto" w:fill="FFFFFF"/>
        </w:rPr>
        <w:instrText xml:space="preserve"> AUTONUM  </w:instrText>
      </w:r>
      <w:r w:rsidRPr="00EE2B4C">
        <w:rPr>
          <w:szCs w:val="22"/>
          <w:shd w:val="clear" w:color="auto" w:fill="FFFFFF"/>
        </w:rPr>
        <w:fldChar w:fldCharType="end"/>
      </w:r>
      <w:r w:rsidRPr="00EE2B4C">
        <w:rPr>
          <w:szCs w:val="22"/>
          <w:shd w:val="clear" w:color="auto" w:fill="FFFFFF"/>
        </w:rPr>
        <w:tab/>
      </w:r>
      <w:proofErr w:type="spellStart"/>
      <w:proofErr w:type="gramStart"/>
      <w:r w:rsidRPr="00EE2B4C">
        <w:rPr>
          <w:szCs w:val="22"/>
          <w:shd w:val="clear" w:color="auto" w:fill="FFFFFF"/>
        </w:rPr>
        <w:t>ePCT</w:t>
      </w:r>
      <w:proofErr w:type="spellEnd"/>
      <w:proofErr w:type="gramEnd"/>
      <w:r w:rsidRPr="00EE2B4C">
        <w:rPr>
          <w:szCs w:val="22"/>
          <w:shd w:val="clear" w:color="auto" w:fill="FFFFFF"/>
        </w:rPr>
        <w:t xml:space="preserve"> hosted filing: The IB now offers fully hosted </w:t>
      </w:r>
      <w:proofErr w:type="spellStart"/>
      <w:r w:rsidRPr="00EE2B4C">
        <w:rPr>
          <w:szCs w:val="22"/>
          <w:shd w:val="clear" w:color="auto" w:fill="FFFFFF"/>
        </w:rPr>
        <w:t>ePCT</w:t>
      </w:r>
      <w:proofErr w:type="spellEnd"/>
      <w:r w:rsidRPr="00EE2B4C">
        <w:rPr>
          <w:szCs w:val="22"/>
          <w:shd w:val="clear" w:color="auto" w:fill="FFFFFF"/>
        </w:rPr>
        <w:t xml:space="preserve"> RO services compatible with the </w:t>
      </w:r>
      <w:proofErr w:type="spellStart"/>
      <w:r w:rsidRPr="00EE2B4C">
        <w:rPr>
          <w:szCs w:val="22"/>
          <w:shd w:val="clear" w:color="auto" w:fill="FFFFFF"/>
        </w:rPr>
        <w:t>ePCT</w:t>
      </w:r>
      <w:proofErr w:type="spellEnd"/>
      <w:r w:rsidRPr="00EE2B4C">
        <w:rPr>
          <w:szCs w:val="22"/>
          <w:shd w:val="clear" w:color="auto" w:fill="FFFFFF"/>
        </w:rPr>
        <w:t xml:space="preserve">-Filing web filing solution.  These services are available to offices of all Member States, which do not have the capacity or desire to develop, operate and maintain local IT infrastructure for RO operations, allowing them to offer their applicants the same level of service as that enjoyed at highly automated offices.  Participating offices only require a standard web browser and Internet connection (plus scanner for handling documents filed on paper).  The IB currently hosts </w:t>
      </w:r>
      <w:proofErr w:type="spellStart"/>
      <w:r w:rsidRPr="00EE2B4C">
        <w:rPr>
          <w:szCs w:val="22"/>
          <w:shd w:val="clear" w:color="auto" w:fill="FFFFFF"/>
        </w:rPr>
        <w:t>ePCT</w:t>
      </w:r>
      <w:proofErr w:type="spellEnd"/>
      <w:r w:rsidRPr="00EE2B4C">
        <w:rPr>
          <w:szCs w:val="22"/>
          <w:shd w:val="clear" w:color="auto" w:fill="FFFFFF"/>
        </w:rPr>
        <w:t xml:space="preserve"> servers for  </w:t>
      </w:r>
      <w:r w:rsidRPr="00EE2B4C">
        <w:rPr>
          <w:rFonts w:eastAsia="MS Mincho"/>
          <w:szCs w:val="22"/>
          <w:shd w:val="clear" w:color="auto" w:fill="FFFFFF"/>
          <w:lang w:eastAsia="ja-JP"/>
        </w:rPr>
        <w:t xml:space="preserve">a number of </w:t>
      </w:r>
      <w:r w:rsidRPr="00EE2B4C">
        <w:rPr>
          <w:szCs w:val="22"/>
          <w:shd w:val="clear" w:color="auto" w:fill="FFFFFF"/>
        </w:rPr>
        <w:t>ROs</w:t>
      </w:r>
      <w:r w:rsidRPr="00EE2B4C">
        <w:rPr>
          <w:rFonts w:eastAsia="MS Mincho"/>
          <w:szCs w:val="22"/>
          <w:shd w:val="clear" w:color="auto" w:fill="FFFFFF"/>
          <w:lang w:eastAsia="ja-JP"/>
        </w:rPr>
        <w:t>, namely,</w:t>
      </w:r>
      <w:r w:rsidRPr="00EE2B4C">
        <w:rPr>
          <w:szCs w:val="22"/>
          <w:shd w:val="clear" w:color="auto" w:fill="FFFFFF"/>
        </w:rPr>
        <w:t xml:space="preserve"> </w:t>
      </w:r>
      <w:r w:rsidRPr="00EE2B4C">
        <w:rPr>
          <w:rFonts w:eastAsia="MS Mincho"/>
          <w:szCs w:val="22"/>
          <w:shd w:val="clear" w:color="auto" w:fill="FFFFFF"/>
          <w:lang w:eastAsia="ja-JP"/>
        </w:rPr>
        <w:t xml:space="preserve">the offices of </w:t>
      </w:r>
      <w:r w:rsidR="005E0B7F">
        <w:rPr>
          <w:rFonts w:eastAsia="MS Mincho"/>
          <w:szCs w:val="22"/>
          <w:shd w:val="clear" w:color="auto" w:fill="FFFFFF"/>
          <w:lang w:eastAsia="ja-JP"/>
        </w:rPr>
        <w:t xml:space="preserve">Algeria, Austria, </w:t>
      </w:r>
      <w:r w:rsidR="005E0B7F" w:rsidRPr="00080B4E">
        <w:rPr>
          <w:szCs w:val="22"/>
          <w:shd w:val="clear" w:color="auto" w:fill="FFFFFF"/>
        </w:rPr>
        <w:t xml:space="preserve">Australia, </w:t>
      </w:r>
      <w:r w:rsidR="005E0B7F">
        <w:rPr>
          <w:szCs w:val="22"/>
          <w:shd w:val="clear" w:color="auto" w:fill="FFFFFF"/>
        </w:rPr>
        <w:t xml:space="preserve">Azerbaijan, </w:t>
      </w:r>
      <w:r w:rsidR="005E0B7F" w:rsidRPr="00080B4E">
        <w:rPr>
          <w:szCs w:val="22"/>
          <w:shd w:val="clear" w:color="auto" w:fill="FFFFFF"/>
        </w:rPr>
        <w:t xml:space="preserve">Brazil, </w:t>
      </w:r>
      <w:r w:rsidR="005E0B7F" w:rsidRPr="00495194">
        <w:rPr>
          <w:szCs w:val="22"/>
          <w:shd w:val="clear" w:color="auto" w:fill="FFFFFF"/>
        </w:rPr>
        <w:t>Brunei Darussalam</w:t>
      </w:r>
      <w:r w:rsidR="005E0B7F">
        <w:rPr>
          <w:szCs w:val="22"/>
          <w:shd w:val="clear" w:color="auto" w:fill="FFFFFF"/>
        </w:rPr>
        <w:t xml:space="preserve">, </w:t>
      </w:r>
      <w:r w:rsidR="005E0B7F" w:rsidRPr="00080B4E">
        <w:rPr>
          <w:szCs w:val="22"/>
          <w:shd w:val="clear" w:color="auto" w:fill="FFFFFF"/>
        </w:rPr>
        <w:t>Chile,</w:t>
      </w:r>
      <w:r w:rsidR="005E0B7F">
        <w:rPr>
          <w:szCs w:val="22"/>
          <w:shd w:val="clear" w:color="auto" w:fill="FFFFFF"/>
        </w:rPr>
        <w:t xml:space="preserve"> Colombia, Cuba, </w:t>
      </w:r>
      <w:r w:rsidR="00653DF9">
        <w:rPr>
          <w:szCs w:val="22"/>
          <w:shd w:val="clear" w:color="auto" w:fill="FFFFFF"/>
        </w:rPr>
        <w:t>Czech Republic</w:t>
      </w:r>
      <w:r w:rsidR="005E0B7F">
        <w:rPr>
          <w:szCs w:val="22"/>
          <w:shd w:val="clear" w:color="auto" w:fill="FFFFFF"/>
        </w:rPr>
        <w:t>, Dominican Republic,</w:t>
      </w:r>
      <w:r w:rsidR="005E0B7F" w:rsidRPr="00080B4E">
        <w:rPr>
          <w:szCs w:val="22"/>
          <w:shd w:val="clear" w:color="auto" w:fill="FFFFFF"/>
        </w:rPr>
        <w:t xml:space="preserve"> Estonia, </w:t>
      </w:r>
      <w:r w:rsidR="005E0B7F">
        <w:rPr>
          <w:szCs w:val="22"/>
          <w:shd w:val="clear" w:color="auto" w:fill="FFFFFF"/>
        </w:rPr>
        <w:t xml:space="preserve">Hungary, </w:t>
      </w:r>
      <w:r w:rsidR="005E0B7F" w:rsidRPr="00080B4E">
        <w:rPr>
          <w:szCs w:val="22"/>
          <w:shd w:val="clear" w:color="auto" w:fill="FFFFFF"/>
        </w:rPr>
        <w:t>India,</w:t>
      </w:r>
      <w:r w:rsidR="005E0B7F">
        <w:rPr>
          <w:szCs w:val="22"/>
          <w:shd w:val="clear" w:color="auto" w:fill="FFFFFF"/>
        </w:rPr>
        <w:t xml:space="preserve"> Indonesia, Iran (Islamic Republic of),</w:t>
      </w:r>
      <w:r w:rsidR="005E0B7F" w:rsidRPr="00080B4E">
        <w:rPr>
          <w:szCs w:val="22"/>
          <w:shd w:val="clear" w:color="auto" w:fill="FFFFFF"/>
        </w:rPr>
        <w:t xml:space="preserve"> Latvia, Malaysia, </w:t>
      </w:r>
      <w:r w:rsidR="005E0B7F">
        <w:rPr>
          <w:szCs w:val="22"/>
          <w:shd w:val="clear" w:color="auto" w:fill="FFFFFF"/>
        </w:rPr>
        <w:t xml:space="preserve">Mexico, Morocco, </w:t>
      </w:r>
      <w:r w:rsidR="005E0B7F" w:rsidRPr="00080B4E">
        <w:rPr>
          <w:szCs w:val="22"/>
          <w:shd w:val="clear" w:color="auto" w:fill="FFFFFF"/>
        </w:rPr>
        <w:t>New Zealand,</w:t>
      </w:r>
      <w:r w:rsidR="005E0B7F">
        <w:rPr>
          <w:szCs w:val="22"/>
          <w:shd w:val="clear" w:color="auto" w:fill="FFFFFF"/>
        </w:rPr>
        <w:t xml:space="preserve"> Oman, Panama, Philippines, Portugal, Qatar, Russian Federation,</w:t>
      </w:r>
      <w:r w:rsidR="005E0B7F" w:rsidRPr="00080B4E">
        <w:rPr>
          <w:szCs w:val="22"/>
          <w:shd w:val="clear" w:color="auto" w:fill="FFFFFF"/>
        </w:rPr>
        <w:t xml:space="preserve"> Saudi Arabia</w:t>
      </w:r>
      <w:r w:rsidR="005E0B7F">
        <w:rPr>
          <w:szCs w:val="22"/>
          <w:shd w:val="clear" w:color="auto" w:fill="FFFFFF"/>
        </w:rPr>
        <w:t>,</w:t>
      </w:r>
      <w:r w:rsidR="005E0B7F" w:rsidRPr="00080B4E">
        <w:rPr>
          <w:szCs w:val="22"/>
          <w:shd w:val="clear" w:color="auto" w:fill="FFFFFF"/>
        </w:rPr>
        <w:t xml:space="preserve"> Singapore</w:t>
      </w:r>
      <w:r w:rsidR="005E0B7F">
        <w:rPr>
          <w:szCs w:val="22"/>
          <w:shd w:val="clear" w:color="auto" w:fill="FFFFFF"/>
        </w:rPr>
        <w:t>, Slovakia, South Africa and Turkey,</w:t>
      </w:r>
      <w:r w:rsidR="005E0B7F" w:rsidRPr="0085599A">
        <w:rPr>
          <w:rFonts w:eastAsia="MS Mincho" w:hint="eastAsia"/>
          <w:szCs w:val="22"/>
          <w:shd w:val="clear" w:color="auto" w:fill="FFFFFF"/>
          <w:lang w:eastAsia="ja-JP"/>
        </w:rPr>
        <w:t xml:space="preserve"> a</w:t>
      </w:r>
      <w:r w:rsidR="005E0B7F">
        <w:rPr>
          <w:rFonts w:eastAsia="MS Mincho" w:hint="eastAsia"/>
          <w:szCs w:val="22"/>
          <w:shd w:val="clear" w:color="auto" w:fill="FFFFFF"/>
          <w:lang w:eastAsia="ja-JP"/>
        </w:rPr>
        <w:t>s well as</w:t>
      </w:r>
      <w:r w:rsidR="005E0B7F" w:rsidRPr="0085599A">
        <w:rPr>
          <w:rFonts w:eastAsia="MS Mincho" w:hint="eastAsia"/>
          <w:szCs w:val="22"/>
          <w:shd w:val="clear" w:color="auto" w:fill="FFFFFF"/>
          <w:lang w:eastAsia="ja-JP"/>
        </w:rPr>
        <w:t xml:space="preserve"> the Eurasian Patent Office</w:t>
      </w:r>
      <w:r w:rsidR="005E0B7F" w:rsidRPr="00080B4E">
        <w:rPr>
          <w:szCs w:val="22"/>
          <w:shd w:val="clear" w:color="auto" w:fill="FFFFFF"/>
        </w:rPr>
        <w:t>.</w:t>
      </w:r>
    </w:p>
    <w:p w:rsidR="008F0CBF" w:rsidRPr="00EE2B4C" w:rsidRDefault="008F0CBF" w:rsidP="005E0B7F">
      <w:pPr>
        <w:shd w:val="clear" w:color="auto" w:fill="FFFFFF"/>
        <w:tabs>
          <w:tab w:val="left" w:pos="567"/>
        </w:tabs>
        <w:rPr>
          <w:szCs w:val="22"/>
          <w:shd w:val="clear" w:color="auto" w:fill="FFFFFF"/>
        </w:rPr>
      </w:pPr>
    </w:p>
    <w:p w:rsidR="008F0CBF" w:rsidRDefault="008F0CBF" w:rsidP="008F0CBF">
      <w:pPr>
        <w:shd w:val="clear" w:color="auto" w:fill="FFFFFF"/>
        <w:rPr>
          <w:szCs w:val="22"/>
          <w:shd w:val="clear" w:color="auto" w:fill="FFFFFF"/>
        </w:rPr>
      </w:pPr>
      <w:r w:rsidRPr="00EE2B4C">
        <w:rPr>
          <w:szCs w:val="22"/>
          <w:shd w:val="clear" w:color="auto" w:fill="FFFFFF"/>
        </w:rPr>
        <w:fldChar w:fldCharType="begin"/>
      </w:r>
      <w:r w:rsidRPr="00EE2B4C">
        <w:rPr>
          <w:szCs w:val="22"/>
          <w:shd w:val="clear" w:color="auto" w:fill="FFFFFF"/>
        </w:rPr>
        <w:instrText xml:space="preserve"> AUTONUM  </w:instrText>
      </w:r>
      <w:r w:rsidRPr="00EE2B4C">
        <w:rPr>
          <w:szCs w:val="22"/>
          <w:shd w:val="clear" w:color="auto" w:fill="FFFFFF"/>
        </w:rPr>
        <w:fldChar w:fldCharType="end"/>
      </w:r>
      <w:r w:rsidRPr="00EE2B4C">
        <w:rPr>
          <w:szCs w:val="22"/>
          <w:shd w:val="clear" w:color="auto" w:fill="FFFFFF"/>
        </w:rPr>
        <w:tab/>
      </w:r>
      <w:r w:rsidR="005E0B7F" w:rsidRPr="00080B4E">
        <w:rPr>
          <w:szCs w:val="22"/>
          <w:shd w:val="clear" w:color="auto" w:fill="FFFFFF"/>
        </w:rPr>
        <w:t xml:space="preserve">In addition to the services listed above, WIPO offers assistance to offices in their preparations for </w:t>
      </w:r>
      <w:proofErr w:type="spellStart"/>
      <w:r w:rsidR="005E0B7F" w:rsidRPr="00080B4E">
        <w:rPr>
          <w:szCs w:val="22"/>
          <w:shd w:val="clear" w:color="auto" w:fill="FFFFFF"/>
        </w:rPr>
        <w:t>ePCT</w:t>
      </w:r>
      <w:proofErr w:type="spellEnd"/>
      <w:r w:rsidR="005E0B7F" w:rsidRPr="00080B4E">
        <w:rPr>
          <w:szCs w:val="22"/>
          <w:shd w:val="clear" w:color="auto" w:fill="FFFFFF"/>
        </w:rPr>
        <w:t xml:space="preserve"> services to enter into effect.  This inclu</w:t>
      </w:r>
      <w:r w:rsidR="005E0B7F">
        <w:rPr>
          <w:szCs w:val="22"/>
          <w:shd w:val="clear" w:color="auto" w:fill="FFFFFF"/>
        </w:rPr>
        <w:t>des technical assistance, e.g., </w:t>
      </w:r>
      <w:r w:rsidR="005E0B7F" w:rsidRPr="00080B4E">
        <w:rPr>
          <w:szCs w:val="22"/>
          <w:shd w:val="clear" w:color="auto" w:fill="FFFFFF"/>
        </w:rPr>
        <w:t xml:space="preserve">providing test environments to the RO in order to test the end-to-end filing process, </w:t>
      </w:r>
      <w:r w:rsidR="005E0B7F" w:rsidRPr="00131330">
        <w:rPr>
          <w:szCs w:val="22"/>
          <w:shd w:val="clear" w:color="auto" w:fill="FFFFFF"/>
        </w:rPr>
        <w:t>transmittal</w:t>
      </w:r>
      <w:r w:rsidR="005E0B7F">
        <w:rPr>
          <w:szCs w:val="22"/>
          <w:shd w:val="clear" w:color="auto" w:fill="FFFFFF"/>
        </w:rPr>
        <w:t xml:space="preserve"> of record copy packages</w:t>
      </w:r>
      <w:r w:rsidR="005E0B7F" w:rsidRPr="00131330">
        <w:rPr>
          <w:szCs w:val="22"/>
          <w:shd w:val="clear" w:color="auto" w:fill="FFFFFF"/>
        </w:rPr>
        <w:t xml:space="preserve"> to the </w:t>
      </w:r>
      <w:r w:rsidR="005E0B7F" w:rsidRPr="007C1A2B">
        <w:rPr>
          <w:szCs w:val="22"/>
          <w:shd w:val="clear" w:color="auto" w:fill="FFFFFF"/>
        </w:rPr>
        <w:t>IB</w:t>
      </w:r>
      <w:r w:rsidR="005E0B7F" w:rsidRPr="00080B4E">
        <w:rPr>
          <w:szCs w:val="22"/>
          <w:shd w:val="clear" w:color="auto" w:fill="FFFFFF"/>
        </w:rPr>
        <w:t xml:space="preserve">, as well as legal and procedural assistance.  </w:t>
      </w:r>
      <w:r w:rsidR="005E0B7F" w:rsidRPr="00131330">
        <w:rPr>
          <w:szCs w:val="22"/>
          <w:shd w:val="clear" w:color="auto" w:fill="FFFFFF"/>
        </w:rPr>
        <w:t xml:space="preserve">In addition, </w:t>
      </w:r>
      <w:r w:rsidR="005E0B7F">
        <w:rPr>
          <w:szCs w:val="22"/>
          <w:shd w:val="clear" w:color="auto" w:fill="FFFFFF"/>
        </w:rPr>
        <w:t xml:space="preserve">the </w:t>
      </w:r>
      <w:r w:rsidR="005E0B7F" w:rsidRPr="00131330">
        <w:rPr>
          <w:szCs w:val="22"/>
          <w:shd w:val="clear" w:color="auto" w:fill="FFFFFF"/>
        </w:rPr>
        <w:t xml:space="preserve">WIPO Certification Authorities (CA), </w:t>
      </w:r>
      <w:r w:rsidR="005E0B7F" w:rsidRPr="00131330">
        <w:rPr>
          <w:rFonts w:eastAsia="MS Mincho" w:hint="eastAsia"/>
          <w:szCs w:val="22"/>
          <w:shd w:val="clear" w:color="auto" w:fill="FFFFFF"/>
          <w:lang w:eastAsia="ja-JP"/>
        </w:rPr>
        <w:t>which</w:t>
      </w:r>
      <w:r w:rsidR="005E0B7F" w:rsidRPr="00131330">
        <w:rPr>
          <w:szCs w:val="22"/>
          <w:shd w:val="clear" w:color="auto" w:fill="FFFFFF"/>
        </w:rPr>
        <w:t xml:space="preserve"> distribute and manage digital certificates, have continued to operate.  One CA is used by applicants</w:t>
      </w:r>
      <w:r w:rsidR="005E0B7F">
        <w:rPr>
          <w:szCs w:val="22"/>
          <w:shd w:val="clear" w:color="auto" w:fill="FFFFFF"/>
        </w:rPr>
        <w:t xml:space="preserve"> and office users</w:t>
      </w:r>
      <w:r w:rsidR="005E0B7F" w:rsidRPr="00131330">
        <w:rPr>
          <w:szCs w:val="22"/>
          <w:shd w:val="clear" w:color="auto" w:fill="FFFFFF"/>
        </w:rPr>
        <w:t xml:space="preserve"> </w:t>
      </w:r>
      <w:r w:rsidR="005E0B7F">
        <w:rPr>
          <w:szCs w:val="22"/>
          <w:shd w:val="clear" w:color="auto" w:fill="FFFFFF"/>
        </w:rPr>
        <w:t xml:space="preserve">for strong authentication access to </w:t>
      </w:r>
      <w:proofErr w:type="spellStart"/>
      <w:r w:rsidR="005E0B7F">
        <w:rPr>
          <w:szCs w:val="22"/>
          <w:shd w:val="clear" w:color="auto" w:fill="FFFFFF"/>
        </w:rPr>
        <w:t>ePCT</w:t>
      </w:r>
      <w:proofErr w:type="spellEnd"/>
      <w:r w:rsidR="005E0B7F">
        <w:rPr>
          <w:szCs w:val="22"/>
          <w:shd w:val="clear" w:color="auto" w:fill="FFFFFF"/>
        </w:rPr>
        <w:t xml:space="preserve"> services</w:t>
      </w:r>
      <w:r w:rsidR="005E0B7F" w:rsidRPr="00131330">
        <w:rPr>
          <w:szCs w:val="22"/>
          <w:shd w:val="clear" w:color="auto" w:fill="FFFFFF"/>
        </w:rPr>
        <w:t>.</w:t>
      </w:r>
      <w:r w:rsidR="005E0B7F" w:rsidRPr="00080B4E">
        <w:rPr>
          <w:szCs w:val="22"/>
          <w:shd w:val="clear" w:color="auto" w:fill="FFFFFF"/>
        </w:rPr>
        <w:t xml:space="preserve"> </w:t>
      </w:r>
      <w:r w:rsidR="005E0B7F">
        <w:rPr>
          <w:szCs w:val="22"/>
          <w:shd w:val="clear" w:color="auto" w:fill="FFFFFF"/>
        </w:rPr>
        <w:t xml:space="preserve"> In March 2017</w:t>
      </w:r>
      <w:r w:rsidR="00653DF9">
        <w:rPr>
          <w:szCs w:val="22"/>
          <w:shd w:val="clear" w:color="auto" w:fill="FFFFFF"/>
        </w:rPr>
        <w:t>,</w:t>
      </w:r>
      <w:r w:rsidR="005E0B7F">
        <w:rPr>
          <w:szCs w:val="22"/>
          <w:shd w:val="clear" w:color="auto" w:fill="FFFFFF"/>
        </w:rPr>
        <w:t xml:space="preserve"> two new strong authentication methods were implemented (‘one time password’ generated either by an application or</w:t>
      </w:r>
      <w:r w:rsidR="00653DF9">
        <w:rPr>
          <w:szCs w:val="22"/>
          <w:shd w:val="clear" w:color="auto" w:fill="FFFFFF"/>
        </w:rPr>
        <w:t> </w:t>
      </w:r>
      <w:r w:rsidR="005E0B7F" w:rsidRPr="00653DF9">
        <w:rPr>
          <w:i/>
          <w:szCs w:val="22"/>
          <w:shd w:val="clear" w:color="auto" w:fill="FFFFFF"/>
        </w:rPr>
        <w:t>via</w:t>
      </w:r>
      <w:r w:rsidR="00653DF9">
        <w:rPr>
          <w:i/>
          <w:szCs w:val="22"/>
          <w:shd w:val="clear" w:color="auto" w:fill="FFFFFF"/>
        </w:rPr>
        <w:t> </w:t>
      </w:r>
      <w:r w:rsidR="005E0B7F">
        <w:rPr>
          <w:szCs w:val="22"/>
          <w:shd w:val="clear" w:color="auto" w:fill="FFFFFF"/>
        </w:rPr>
        <w:t xml:space="preserve">SMS) as part of the new </w:t>
      </w:r>
      <w:proofErr w:type="spellStart"/>
      <w:r w:rsidR="005E0B7F">
        <w:rPr>
          <w:szCs w:val="22"/>
          <w:shd w:val="clear" w:color="auto" w:fill="FFFFFF"/>
        </w:rPr>
        <w:t>ePCT</w:t>
      </w:r>
      <w:proofErr w:type="spellEnd"/>
      <w:r w:rsidR="005E0B7F">
        <w:rPr>
          <w:szCs w:val="22"/>
          <w:shd w:val="clear" w:color="auto" w:fill="FFFFFF"/>
        </w:rPr>
        <w:t xml:space="preserve"> Design deployment.</w:t>
      </w:r>
    </w:p>
    <w:p w:rsidR="005E0B7F" w:rsidRPr="00EE2B4C" w:rsidRDefault="005E0B7F" w:rsidP="008F0CBF">
      <w:pPr>
        <w:shd w:val="clear" w:color="auto" w:fill="FFFFFF"/>
        <w:rPr>
          <w:szCs w:val="22"/>
          <w:shd w:val="clear" w:color="auto" w:fill="FFFFFF"/>
        </w:rPr>
      </w:pPr>
    </w:p>
    <w:p w:rsidR="008F0CBF" w:rsidRPr="00EE2B4C" w:rsidRDefault="008F0CBF" w:rsidP="008F0CBF">
      <w:pPr>
        <w:shd w:val="clear" w:color="auto" w:fill="FFFFFF"/>
        <w:rPr>
          <w:szCs w:val="22"/>
          <w:shd w:val="clear" w:color="auto" w:fill="FFFFFF"/>
        </w:rPr>
      </w:pPr>
      <w:r w:rsidRPr="00EE2B4C">
        <w:rPr>
          <w:szCs w:val="22"/>
          <w:shd w:val="clear" w:color="auto" w:fill="FFFFFF"/>
        </w:rPr>
        <w:fldChar w:fldCharType="begin"/>
      </w:r>
      <w:r w:rsidRPr="00EE2B4C">
        <w:rPr>
          <w:szCs w:val="22"/>
          <w:shd w:val="clear" w:color="auto" w:fill="FFFFFF"/>
        </w:rPr>
        <w:instrText xml:space="preserve"> AUTONUM  </w:instrText>
      </w:r>
      <w:r w:rsidRPr="00EE2B4C">
        <w:rPr>
          <w:szCs w:val="22"/>
          <w:shd w:val="clear" w:color="auto" w:fill="FFFFFF"/>
        </w:rPr>
        <w:fldChar w:fldCharType="end"/>
      </w:r>
      <w:r w:rsidRPr="00EE2B4C">
        <w:rPr>
          <w:szCs w:val="22"/>
          <w:shd w:val="clear" w:color="auto" w:fill="FFFFFF"/>
        </w:rPr>
        <w:tab/>
        <w:t>Transitions away from legacy services</w:t>
      </w:r>
      <w:r w:rsidRPr="00EE2B4C">
        <w:rPr>
          <w:rFonts w:eastAsia="MS Mincho"/>
          <w:szCs w:val="22"/>
          <w:shd w:val="clear" w:color="auto" w:fill="FFFFFF"/>
          <w:lang w:eastAsia="ja-JP"/>
        </w:rPr>
        <w:t>:</w:t>
      </w:r>
      <w:r w:rsidRPr="00EE2B4C">
        <w:rPr>
          <w:szCs w:val="22"/>
          <w:shd w:val="clear" w:color="auto" w:fill="FFFFFF"/>
        </w:rPr>
        <w:t xml:space="preserve">  Following the emergence of more efficient and accessible alternatives, the following transitional activities should be noted for three legacy services that had been reported in document WO/GA/43/15:</w:t>
      </w:r>
    </w:p>
    <w:p w:rsidR="008F0CBF" w:rsidRPr="00EE2B4C" w:rsidRDefault="008F0CBF" w:rsidP="008F0CBF">
      <w:pPr>
        <w:shd w:val="clear" w:color="auto" w:fill="FFFFFF"/>
        <w:rPr>
          <w:szCs w:val="22"/>
          <w:shd w:val="pct15" w:color="auto" w:fill="FFFFFF"/>
        </w:rPr>
      </w:pPr>
    </w:p>
    <w:p w:rsidR="008F0CBF" w:rsidRPr="00EE2B4C" w:rsidRDefault="008F0CBF" w:rsidP="008F0CBF">
      <w:pPr>
        <w:pStyle w:val="ONUME"/>
        <w:numPr>
          <w:ilvl w:val="1"/>
          <w:numId w:val="7"/>
        </w:numPr>
        <w:shd w:val="clear" w:color="auto" w:fill="FFFFFF"/>
        <w:spacing w:after="0"/>
        <w:rPr>
          <w:szCs w:val="22"/>
          <w:shd w:val="clear" w:color="auto" w:fill="FFFFFF"/>
        </w:rPr>
      </w:pPr>
      <w:r w:rsidRPr="00EE2B4C">
        <w:rPr>
          <w:szCs w:val="22"/>
          <w:shd w:val="clear" w:color="auto" w:fill="FFFFFF"/>
        </w:rPr>
        <w:t xml:space="preserve">PCT-SAFE:  With </w:t>
      </w:r>
      <w:proofErr w:type="spellStart"/>
      <w:r w:rsidRPr="00EE2B4C">
        <w:rPr>
          <w:szCs w:val="22"/>
          <w:shd w:val="clear" w:color="auto" w:fill="FFFFFF"/>
        </w:rPr>
        <w:t>ePCT</w:t>
      </w:r>
      <w:proofErr w:type="spellEnd"/>
      <w:r w:rsidRPr="00EE2B4C">
        <w:rPr>
          <w:szCs w:val="22"/>
          <w:shd w:val="clear" w:color="auto" w:fill="FFFFFF"/>
        </w:rPr>
        <w:t xml:space="preserve"> superseding PCT-SAFE as the IB’s solution for electronic filing under the PCT, the number of ROs that accept electronic filings under the PCT using PCT-SAFE h</w:t>
      </w:r>
      <w:r w:rsidR="005E0B7F">
        <w:rPr>
          <w:szCs w:val="22"/>
          <w:shd w:val="clear" w:color="auto" w:fill="FFFFFF"/>
        </w:rPr>
        <w:t>as reduced from 27 in 2013 to 20</w:t>
      </w:r>
      <w:r w:rsidRPr="00EE2B4C">
        <w:rPr>
          <w:szCs w:val="22"/>
          <w:shd w:val="clear" w:color="auto" w:fill="FFFFFF"/>
        </w:rPr>
        <w:t>.  Nevertheless, updated versions of the PCT-SAFE software have continued to be released in a timely manner in order to support the ongoing evolution of the legal and procedural framework of the PCT, such as various PCT Rule changes.</w:t>
      </w:r>
    </w:p>
    <w:p w:rsidR="008F0CBF" w:rsidRPr="00EE2B4C" w:rsidRDefault="008F0CBF" w:rsidP="008F0CBF">
      <w:pPr>
        <w:pStyle w:val="ONUME"/>
        <w:numPr>
          <w:ilvl w:val="0"/>
          <w:numId w:val="0"/>
        </w:numPr>
        <w:shd w:val="clear" w:color="auto" w:fill="FFFFFF"/>
        <w:tabs>
          <w:tab w:val="left" w:pos="720"/>
        </w:tabs>
        <w:spacing w:after="0"/>
        <w:ind w:left="567"/>
        <w:rPr>
          <w:szCs w:val="22"/>
          <w:shd w:val="pct15" w:color="auto" w:fill="FFFFFF"/>
        </w:rPr>
      </w:pPr>
    </w:p>
    <w:p w:rsidR="005E0B7F" w:rsidRPr="00080B4E" w:rsidRDefault="005E0B7F" w:rsidP="005E0B7F">
      <w:pPr>
        <w:pStyle w:val="ONUME"/>
        <w:numPr>
          <w:ilvl w:val="1"/>
          <w:numId w:val="7"/>
        </w:numPr>
        <w:shd w:val="clear" w:color="auto" w:fill="FFFFFF"/>
        <w:spacing w:after="0"/>
        <w:rPr>
          <w:szCs w:val="22"/>
          <w:shd w:val="clear" w:color="auto" w:fill="FFFFFF"/>
        </w:rPr>
      </w:pPr>
      <w:r w:rsidRPr="00080B4E">
        <w:rPr>
          <w:szCs w:val="22"/>
          <w:shd w:val="clear" w:color="auto" w:fill="FFFFFF"/>
        </w:rPr>
        <w:t>PCT-EASY:  Following consultations between the IB and Member States the PCT</w:t>
      </w:r>
      <w:r w:rsidR="00210906">
        <w:rPr>
          <w:szCs w:val="22"/>
          <w:shd w:val="clear" w:color="auto" w:fill="FFFFFF"/>
        </w:rPr>
        <w:noBreakHyphen/>
      </w:r>
      <w:r w:rsidRPr="00080B4E">
        <w:rPr>
          <w:szCs w:val="22"/>
          <w:shd w:val="clear" w:color="auto" w:fill="FFFFFF"/>
        </w:rPr>
        <w:t>EASY filing method</w:t>
      </w:r>
      <w:r>
        <w:rPr>
          <w:szCs w:val="22"/>
          <w:shd w:val="clear" w:color="auto" w:fill="FFFFFF"/>
        </w:rPr>
        <w:t xml:space="preserve"> was</w:t>
      </w:r>
      <w:r w:rsidRPr="00080B4E">
        <w:rPr>
          <w:szCs w:val="22"/>
          <w:shd w:val="clear" w:color="auto" w:fill="FFFFFF"/>
        </w:rPr>
        <w:t xml:space="preserve"> discontinued with effect from July </w:t>
      </w:r>
      <w:r w:rsidRPr="0085599A">
        <w:rPr>
          <w:rFonts w:eastAsia="MS Mincho" w:hint="eastAsia"/>
          <w:szCs w:val="22"/>
          <w:shd w:val="clear" w:color="auto" w:fill="FFFFFF"/>
          <w:lang w:eastAsia="ja-JP"/>
        </w:rPr>
        <w:t xml:space="preserve">1, </w:t>
      </w:r>
      <w:r w:rsidRPr="00080B4E">
        <w:rPr>
          <w:szCs w:val="22"/>
          <w:shd w:val="clear" w:color="auto" w:fill="FFFFFF"/>
        </w:rPr>
        <w:t>2015.</w:t>
      </w:r>
    </w:p>
    <w:p w:rsidR="008F0CBF" w:rsidRPr="00EE2B4C" w:rsidRDefault="008F0CBF" w:rsidP="008F0CBF">
      <w:pPr>
        <w:pStyle w:val="ONUME"/>
        <w:numPr>
          <w:ilvl w:val="0"/>
          <w:numId w:val="0"/>
        </w:numPr>
        <w:shd w:val="clear" w:color="auto" w:fill="FFFFFF"/>
        <w:tabs>
          <w:tab w:val="left" w:pos="720"/>
        </w:tabs>
        <w:spacing w:after="0"/>
        <w:ind w:left="567"/>
        <w:rPr>
          <w:szCs w:val="22"/>
          <w:shd w:val="clear" w:color="auto" w:fill="FFFFFF"/>
        </w:rPr>
      </w:pPr>
    </w:p>
    <w:p w:rsidR="008F0CBF" w:rsidRPr="00EE2B4C" w:rsidRDefault="005E0B7F" w:rsidP="008F0CBF">
      <w:pPr>
        <w:pStyle w:val="ONUME"/>
        <w:numPr>
          <w:ilvl w:val="1"/>
          <w:numId w:val="7"/>
        </w:numPr>
        <w:shd w:val="clear" w:color="auto" w:fill="FFFFFF"/>
        <w:spacing w:after="0"/>
        <w:rPr>
          <w:szCs w:val="22"/>
          <w:shd w:val="clear" w:color="auto" w:fill="FFFFFF"/>
        </w:rPr>
      </w:pPr>
      <w:r w:rsidRPr="00080B4E">
        <w:rPr>
          <w:szCs w:val="22"/>
          <w:shd w:val="clear" w:color="auto" w:fill="FFFFFF"/>
        </w:rPr>
        <w:t xml:space="preserve">PCT Automated Document Ordering System (PADOS):  The </w:t>
      </w:r>
      <w:r>
        <w:rPr>
          <w:szCs w:val="22"/>
          <w:shd w:val="clear" w:color="auto" w:fill="FFFFFF"/>
        </w:rPr>
        <w:t xml:space="preserve">IB has requested the last </w:t>
      </w:r>
      <w:r w:rsidRPr="00080B4E">
        <w:rPr>
          <w:szCs w:val="22"/>
          <w:shd w:val="clear" w:color="auto" w:fill="FFFFFF"/>
        </w:rPr>
        <w:t>Office (</w:t>
      </w:r>
      <w:r w:rsidRPr="0085599A">
        <w:rPr>
          <w:rFonts w:eastAsia="MS Mincho" w:hint="eastAsia"/>
          <w:szCs w:val="22"/>
          <w:shd w:val="clear" w:color="auto" w:fill="FFFFFF"/>
          <w:lang w:eastAsia="ja-JP"/>
        </w:rPr>
        <w:t>the Japan Patent Office</w:t>
      </w:r>
      <w:r w:rsidRPr="00080B4E">
        <w:rPr>
          <w:szCs w:val="22"/>
          <w:shd w:val="clear" w:color="auto" w:fill="FFFFFF"/>
        </w:rPr>
        <w:t xml:space="preserve">) using the system </w:t>
      </w:r>
      <w:r>
        <w:rPr>
          <w:szCs w:val="22"/>
          <w:shd w:val="clear" w:color="auto" w:fill="FFFFFF"/>
        </w:rPr>
        <w:t xml:space="preserve">to transition </w:t>
      </w:r>
      <w:r w:rsidRPr="00080B4E">
        <w:rPr>
          <w:szCs w:val="22"/>
          <w:shd w:val="clear" w:color="auto" w:fill="FFFFFF"/>
        </w:rPr>
        <w:t>to PATENTSCOPE web services</w:t>
      </w:r>
      <w:r w:rsidR="00BA40AA">
        <w:rPr>
          <w:szCs w:val="22"/>
          <w:shd w:val="clear" w:color="auto" w:fill="FFFFFF"/>
        </w:rPr>
        <w:t>.</w:t>
      </w:r>
    </w:p>
    <w:p w:rsidR="008F0CBF" w:rsidRPr="003505AC" w:rsidRDefault="008F0CBF" w:rsidP="008F0CBF">
      <w:pPr>
        <w:shd w:val="clear" w:color="auto" w:fill="FFFFFF"/>
        <w:rPr>
          <w:szCs w:val="22"/>
          <w:shd w:val="pct15" w:color="auto" w:fill="FFFFFF"/>
        </w:rPr>
      </w:pPr>
    </w:p>
    <w:p w:rsidR="00BA40AA" w:rsidRPr="00BA40AA" w:rsidRDefault="008F0CBF" w:rsidP="00BA40AA">
      <w:pPr>
        <w:pStyle w:val="NormalWeb"/>
        <w:rPr>
          <w:rFonts w:ascii="Arial" w:eastAsia="SimSun" w:hAnsi="Arial" w:cs="Arial"/>
          <w:sz w:val="22"/>
          <w:szCs w:val="22"/>
          <w:shd w:val="clear" w:color="auto" w:fill="FFFFFF"/>
          <w:lang w:eastAsia="zh-CN"/>
        </w:rPr>
      </w:pPr>
      <w:r w:rsidRPr="00BA40AA">
        <w:rPr>
          <w:rFonts w:ascii="Arial" w:eastAsia="SimSun" w:hAnsi="Arial" w:cs="Arial"/>
          <w:sz w:val="22"/>
          <w:szCs w:val="22"/>
          <w:shd w:val="clear" w:color="auto" w:fill="FFFFFF"/>
          <w:lang w:eastAsia="zh-CN"/>
        </w:rPr>
        <w:lastRenderedPageBreak/>
        <w:fldChar w:fldCharType="begin"/>
      </w:r>
      <w:r w:rsidRPr="00BA40AA">
        <w:rPr>
          <w:rFonts w:ascii="Arial" w:eastAsia="SimSun" w:hAnsi="Arial" w:cs="Arial"/>
          <w:sz w:val="22"/>
          <w:szCs w:val="22"/>
          <w:shd w:val="clear" w:color="auto" w:fill="FFFFFF"/>
          <w:lang w:eastAsia="zh-CN"/>
        </w:rPr>
        <w:instrText xml:space="preserve"> AUTONUM  </w:instrText>
      </w:r>
      <w:r w:rsidRPr="00BA40AA">
        <w:rPr>
          <w:rFonts w:ascii="Arial" w:eastAsia="SimSun" w:hAnsi="Arial" w:cs="Arial"/>
          <w:sz w:val="22"/>
          <w:szCs w:val="22"/>
          <w:shd w:val="clear" w:color="auto" w:fill="FFFFFF"/>
          <w:lang w:eastAsia="zh-CN"/>
        </w:rPr>
        <w:fldChar w:fldCharType="end"/>
      </w:r>
      <w:r w:rsidRPr="00BA40AA">
        <w:rPr>
          <w:rFonts w:ascii="Arial" w:eastAsia="SimSun" w:hAnsi="Arial" w:cs="Arial"/>
          <w:sz w:val="22"/>
          <w:szCs w:val="22"/>
          <w:shd w:val="clear" w:color="auto" w:fill="FFFFFF"/>
          <w:lang w:eastAsia="zh-CN"/>
        </w:rPr>
        <w:tab/>
      </w:r>
      <w:r w:rsidR="00BA40AA" w:rsidRPr="00BA40AA">
        <w:rPr>
          <w:rFonts w:ascii="Arial" w:eastAsia="SimSun" w:hAnsi="Arial" w:cs="Arial"/>
          <w:sz w:val="22"/>
          <w:szCs w:val="22"/>
          <w:shd w:val="clear" w:color="auto" w:fill="FFFFFF"/>
          <w:lang w:eastAsia="zh-CN"/>
        </w:rPr>
        <w:t>Program 15 aims to enhance national and regional IP Offices’ IP business systems and technical infrastructure so as to help them provide more cost-effective and higher-quality services to their own stakeholders.  The assistance provided is aligned with the Development Agenda recommendations aiming at strengthening institutional and technical infrastructure of IP offices and institutions.  The Program’s services include technical consultancy;  business needs assessment;  project scoping and planning;  business process analysis;  ongoing development and deployment of customized business systems solutions for the administration of IP rights and for the exchange of priority documents, and of search and examination results;  establishment of IP databases;  assistance with digitization of IP records and preparation of data for online publications and electronic data exchange;  training and knowledge transfer to staff of IP institutions;  and support for the systems provided by WIPO.  The assistance takes into account WIPO Standards on IP data and information where appropriate.  On-site training, mentoring and regional training workshops account for a significant portion of the Program’s work and are critical in achieving the desired results.</w:t>
      </w:r>
    </w:p>
    <w:p w:rsidR="00BA40AA" w:rsidRPr="00BA40AA" w:rsidRDefault="00BA40AA" w:rsidP="00BA40AA">
      <w:pPr>
        <w:pStyle w:val="NormalWeb"/>
        <w:rPr>
          <w:rFonts w:ascii="Arial" w:eastAsia="SimSun" w:hAnsi="Arial" w:cs="Arial"/>
          <w:sz w:val="22"/>
          <w:szCs w:val="22"/>
          <w:shd w:val="clear" w:color="auto" w:fill="FFFFFF"/>
          <w:lang w:eastAsia="zh-CN"/>
        </w:rPr>
      </w:pPr>
    </w:p>
    <w:p w:rsidR="00BA40AA" w:rsidRDefault="00BA40AA" w:rsidP="00BA40AA">
      <w:pPr>
        <w:rPr>
          <w:szCs w:val="22"/>
          <w:shd w:val="clear" w:color="auto" w:fill="FFFFFF"/>
        </w:rPr>
      </w:pPr>
      <w:r w:rsidRPr="00BA40AA">
        <w:rPr>
          <w:szCs w:val="22"/>
          <w:shd w:val="clear" w:color="auto" w:fill="FFFFFF"/>
        </w:rPr>
        <w:fldChar w:fldCharType="begin"/>
      </w:r>
      <w:r w:rsidRPr="00BA40AA">
        <w:rPr>
          <w:szCs w:val="22"/>
          <w:shd w:val="clear" w:color="auto" w:fill="FFFFFF"/>
        </w:rPr>
        <w:instrText xml:space="preserve"> AUTONUM  </w:instrText>
      </w:r>
      <w:r w:rsidRPr="00BA40AA">
        <w:rPr>
          <w:szCs w:val="22"/>
          <w:shd w:val="clear" w:color="auto" w:fill="FFFFFF"/>
        </w:rPr>
        <w:fldChar w:fldCharType="end"/>
      </w:r>
      <w:r w:rsidRPr="00BA40AA">
        <w:rPr>
          <w:szCs w:val="22"/>
          <w:shd w:val="clear" w:color="auto" w:fill="FFFFFF"/>
        </w:rPr>
        <w:tab/>
        <w:t>Within the framework of this program, activities were undertaken with 85 IP offices in 2016, including 15 regional or sub-regional training workshops.  At the end of 2016, 81 IP Offices, from developing countries in all regions, were actively using WIPO Business Solutions for the administration of their IP rights.  A key focus of the program for the current biennium is to upgrade the service level of IP Offices by assisting them to mo</w:t>
      </w:r>
      <w:r w:rsidR="00210906">
        <w:rPr>
          <w:szCs w:val="22"/>
          <w:shd w:val="clear" w:color="auto" w:fill="FFFFFF"/>
        </w:rPr>
        <w:t>v</w:t>
      </w:r>
      <w:r w:rsidRPr="00BA40AA">
        <w:rPr>
          <w:szCs w:val="22"/>
          <w:shd w:val="clear" w:color="auto" w:fill="FFFFFF"/>
        </w:rPr>
        <w:t>e to online services for filing and for IP information dissemination.  For more information please consult the website of WIPO’s technical assistance program for IP Offices</w:t>
      </w:r>
      <w:r w:rsidR="00D2757B">
        <w:rPr>
          <w:szCs w:val="22"/>
          <w:shd w:val="clear" w:color="auto" w:fill="FFFFFF"/>
        </w:rPr>
        <w:t xml:space="preserve"> at:</w:t>
      </w:r>
    </w:p>
    <w:p w:rsidR="00BA40AA" w:rsidRDefault="000824DE" w:rsidP="00BA40AA">
      <w:pPr>
        <w:rPr>
          <w:szCs w:val="22"/>
          <w:shd w:val="clear" w:color="auto" w:fill="FFFFFF"/>
        </w:rPr>
      </w:pPr>
      <w:hyperlink r:id="rId9" w:history="1">
        <w:r w:rsidR="00BA40AA" w:rsidRPr="00BA40AA">
          <w:rPr>
            <w:szCs w:val="22"/>
            <w:shd w:val="clear" w:color="auto" w:fill="FFFFFF"/>
          </w:rPr>
          <w:t>http://www.wipo.int/global_ip/en/activities/technicalassistance/</w:t>
        </w:r>
      </w:hyperlink>
      <w:r w:rsidR="00BA40AA">
        <w:rPr>
          <w:szCs w:val="22"/>
          <w:shd w:val="clear" w:color="auto" w:fill="FFFFFF"/>
        </w:rPr>
        <w:t>.</w:t>
      </w:r>
    </w:p>
    <w:p w:rsidR="008F0CBF" w:rsidRDefault="008F0CBF" w:rsidP="008F0CBF">
      <w:pPr>
        <w:shd w:val="clear" w:color="auto" w:fill="FFFFFF"/>
        <w:autoSpaceDE w:val="0"/>
        <w:autoSpaceDN w:val="0"/>
        <w:adjustRightInd w:val="0"/>
        <w:rPr>
          <w:shd w:val="clear" w:color="auto" w:fill="FFFFFF"/>
        </w:rPr>
      </w:pPr>
    </w:p>
    <w:p w:rsidR="008F0CBF" w:rsidRDefault="008F0CBF" w:rsidP="008F0CBF">
      <w:pPr>
        <w:pStyle w:val="Endofdocument"/>
        <w:ind w:left="5533"/>
        <w:jc w:val="left"/>
        <w:rPr>
          <w:rFonts w:ascii="Arial" w:hAnsi="Arial" w:cs="Arial"/>
          <w:i/>
          <w:sz w:val="22"/>
          <w:szCs w:val="22"/>
        </w:rPr>
      </w:pPr>
      <w:r>
        <w:rPr>
          <w:rFonts w:ascii="Arial" w:hAnsi="Arial" w:cs="Arial"/>
          <w:i/>
          <w:sz w:val="22"/>
          <w:szCs w:val="22"/>
        </w:rPr>
        <w:fldChar w:fldCharType="begin"/>
      </w:r>
      <w:r>
        <w:rPr>
          <w:rFonts w:ascii="Arial" w:hAnsi="Arial" w:cs="Arial"/>
          <w:i/>
          <w:sz w:val="22"/>
          <w:szCs w:val="22"/>
        </w:rPr>
        <w:instrText xml:space="preserve"> AUTONUM  </w:instrText>
      </w:r>
      <w:r>
        <w:rPr>
          <w:rFonts w:ascii="Arial" w:hAnsi="Arial" w:cs="Arial"/>
          <w:i/>
          <w:sz w:val="22"/>
          <w:szCs w:val="22"/>
        </w:rPr>
        <w:fldChar w:fldCharType="end"/>
      </w:r>
      <w:r>
        <w:rPr>
          <w:rFonts w:ascii="Arial" w:hAnsi="Arial" w:cs="Arial"/>
          <w:i/>
          <w:sz w:val="22"/>
          <w:szCs w:val="22"/>
        </w:rPr>
        <w:tab/>
        <w:t>The WIPO General Assembly is invited to take note of the “Cooperation under the Agreed Statements by the Diplomatic Conference Regarding the Patent Law Treaty” (document WO/GA/4</w:t>
      </w:r>
      <w:r w:rsidR="00087A45">
        <w:rPr>
          <w:rFonts w:ascii="Arial" w:hAnsi="Arial" w:cs="Arial"/>
          <w:i/>
          <w:sz w:val="22"/>
          <w:szCs w:val="22"/>
        </w:rPr>
        <w:t>9</w:t>
      </w:r>
      <w:r>
        <w:rPr>
          <w:rFonts w:ascii="Arial" w:hAnsi="Arial" w:cs="Arial"/>
          <w:i/>
          <w:sz w:val="22"/>
          <w:szCs w:val="22"/>
        </w:rPr>
        <w:t>/</w:t>
      </w:r>
      <w:r w:rsidR="00D2757B">
        <w:rPr>
          <w:rFonts w:ascii="Arial" w:hAnsi="Arial" w:cs="Arial"/>
          <w:i/>
          <w:sz w:val="22"/>
          <w:szCs w:val="22"/>
        </w:rPr>
        <w:t>15</w:t>
      </w:r>
      <w:r>
        <w:rPr>
          <w:rFonts w:ascii="Arial" w:hAnsi="Arial" w:cs="Arial"/>
          <w:i/>
          <w:sz w:val="22"/>
          <w:szCs w:val="22"/>
        </w:rPr>
        <w:t>)</w:t>
      </w:r>
      <w:r w:rsidR="00951A90">
        <w:rPr>
          <w:rFonts w:ascii="Arial" w:hAnsi="Arial" w:cs="Arial"/>
          <w:i/>
          <w:sz w:val="22"/>
          <w:szCs w:val="22"/>
        </w:rPr>
        <w:t>.</w:t>
      </w:r>
    </w:p>
    <w:p w:rsidR="008F0CBF" w:rsidRDefault="008F0CBF" w:rsidP="008F0CBF">
      <w:pPr>
        <w:shd w:val="clear" w:color="auto" w:fill="FFFFFF"/>
        <w:tabs>
          <w:tab w:val="left" w:pos="6096"/>
        </w:tabs>
        <w:ind w:left="5533"/>
        <w:rPr>
          <w:szCs w:val="22"/>
        </w:rPr>
      </w:pPr>
    </w:p>
    <w:p w:rsidR="008F0CBF" w:rsidRDefault="008F0CBF" w:rsidP="008F0CBF">
      <w:pPr>
        <w:pStyle w:val="Endofdocument"/>
        <w:tabs>
          <w:tab w:val="left" w:pos="5529"/>
        </w:tabs>
        <w:ind w:left="5533"/>
        <w:jc w:val="left"/>
        <w:rPr>
          <w:rFonts w:ascii="Arial" w:eastAsia="MS Mincho" w:hAnsi="Arial"/>
          <w:sz w:val="22"/>
          <w:szCs w:val="22"/>
          <w:lang w:eastAsia="ja-JP"/>
        </w:rPr>
      </w:pPr>
    </w:p>
    <w:p w:rsidR="008F0CBF" w:rsidRDefault="008F0CBF" w:rsidP="008F0CBF">
      <w:pPr>
        <w:pStyle w:val="Endofdocument"/>
        <w:tabs>
          <w:tab w:val="left" w:pos="5387"/>
          <w:tab w:val="left" w:pos="5529"/>
        </w:tabs>
        <w:ind w:left="5533"/>
        <w:jc w:val="left"/>
        <w:rPr>
          <w:rFonts w:ascii="Arial" w:eastAsia="MS Mincho" w:hAnsi="Arial"/>
          <w:i/>
          <w:sz w:val="22"/>
          <w:szCs w:val="22"/>
          <w:lang w:eastAsia="ja-JP"/>
        </w:rPr>
      </w:pPr>
    </w:p>
    <w:p w:rsidR="008F0CBF" w:rsidRDefault="008F0CBF" w:rsidP="008F0CBF">
      <w:pPr>
        <w:pStyle w:val="Endofdocument"/>
        <w:ind w:left="5533"/>
        <w:jc w:val="left"/>
        <w:rPr>
          <w:rFonts w:ascii="Arial" w:hAnsi="Arial"/>
          <w:sz w:val="22"/>
          <w:szCs w:val="22"/>
        </w:rPr>
      </w:pPr>
      <w:r>
        <w:rPr>
          <w:rFonts w:ascii="Arial" w:hAnsi="Arial"/>
          <w:sz w:val="22"/>
          <w:szCs w:val="22"/>
        </w:rPr>
        <w:t>[End of document]</w:t>
      </w:r>
    </w:p>
    <w:p w:rsidR="008F0CBF" w:rsidRDefault="008F0CBF" w:rsidP="008F0CBF"/>
    <w:p w:rsidR="008F0CBF" w:rsidRDefault="008F0CBF" w:rsidP="008F0CBF"/>
    <w:p w:rsidR="008F0CBF" w:rsidRDefault="008F0CBF" w:rsidP="008F0CBF"/>
    <w:p w:rsidR="008F0CBF" w:rsidRDefault="008F0CBF" w:rsidP="008F0CBF"/>
    <w:p w:rsidR="008F0CBF" w:rsidRDefault="008F0CBF" w:rsidP="008F0CBF"/>
    <w:p w:rsidR="002928D3" w:rsidRDefault="002928D3"/>
    <w:sectPr w:rsidR="002928D3" w:rsidSect="008F0CBF">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CBF" w:rsidRDefault="008F0CBF">
      <w:r>
        <w:separator/>
      </w:r>
    </w:p>
  </w:endnote>
  <w:endnote w:type="continuationSeparator" w:id="0">
    <w:p w:rsidR="008F0CBF" w:rsidRDefault="008F0CBF" w:rsidP="003B38C1">
      <w:r>
        <w:separator/>
      </w:r>
    </w:p>
    <w:p w:rsidR="008F0CBF" w:rsidRPr="003B38C1" w:rsidRDefault="008F0CBF" w:rsidP="003B38C1">
      <w:pPr>
        <w:spacing w:after="60"/>
        <w:rPr>
          <w:sz w:val="17"/>
        </w:rPr>
      </w:pPr>
      <w:r>
        <w:rPr>
          <w:sz w:val="17"/>
        </w:rPr>
        <w:t>[Endnote continued from previous page]</w:t>
      </w:r>
    </w:p>
  </w:endnote>
  <w:endnote w:type="continuationNotice" w:id="1">
    <w:p w:rsidR="008F0CBF" w:rsidRPr="003B38C1" w:rsidRDefault="008F0CB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CBF" w:rsidRDefault="008F0CBF">
      <w:r>
        <w:separator/>
      </w:r>
    </w:p>
  </w:footnote>
  <w:footnote w:type="continuationSeparator" w:id="0">
    <w:p w:rsidR="008F0CBF" w:rsidRDefault="008F0CBF" w:rsidP="008B60B2">
      <w:r>
        <w:separator/>
      </w:r>
    </w:p>
    <w:p w:rsidR="008F0CBF" w:rsidRPr="00ED77FB" w:rsidRDefault="008F0CBF" w:rsidP="008B60B2">
      <w:pPr>
        <w:spacing w:after="60"/>
        <w:rPr>
          <w:sz w:val="17"/>
          <w:szCs w:val="17"/>
        </w:rPr>
      </w:pPr>
      <w:r w:rsidRPr="00ED77FB">
        <w:rPr>
          <w:sz w:val="17"/>
          <w:szCs w:val="17"/>
        </w:rPr>
        <w:t>[Footnote continued from previous page]</w:t>
      </w:r>
    </w:p>
  </w:footnote>
  <w:footnote w:type="continuationNotice" w:id="1">
    <w:p w:rsidR="008F0CBF" w:rsidRPr="00ED77FB" w:rsidRDefault="008F0CBF" w:rsidP="008B60B2">
      <w:pPr>
        <w:spacing w:before="60"/>
        <w:jc w:val="right"/>
        <w:rPr>
          <w:sz w:val="17"/>
          <w:szCs w:val="17"/>
        </w:rPr>
      </w:pPr>
      <w:r w:rsidRPr="00ED77FB">
        <w:rPr>
          <w:sz w:val="17"/>
          <w:szCs w:val="17"/>
        </w:rPr>
        <w:t>[Footnote continued on next page]</w:t>
      </w:r>
    </w:p>
  </w:footnote>
  <w:footnote w:id="2">
    <w:p w:rsidR="008F0CBF" w:rsidRDefault="008F0CBF" w:rsidP="008F0CBF">
      <w:pPr>
        <w:pStyle w:val="FootnoteText"/>
        <w:ind w:left="567" w:hanging="567"/>
        <w:rPr>
          <w:sz w:val="20"/>
        </w:rPr>
      </w:pPr>
      <w:r>
        <w:rPr>
          <w:rStyle w:val="FootnoteReference"/>
          <w:sz w:val="20"/>
        </w:rPr>
        <w:footnoteRef/>
      </w:r>
      <w:r>
        <w:rPr>
          <w:sz w:val="20"/>
        </w:rPr>
        <w:tab/>
      </w:r>
      <w:r>
        <w:rPr>
          <w:szCs w:val="18"/>
        </w:rPr>
        <w:t>See paragraphs 2556 and 2563 of the Summary Minutes of the Main Committee I contained  in the Records of the Diplomatic Conference for the Adoption of the Patent Law Treaty (WIPO publication No. 327)</w:t>
      </w:r>
      <w:r w:rsidR="0082695E">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F0CBF" w:rsidP="00477D6B">
    <w:pPr>
      <w:jc w:val="right"/>
    </w:pPr>
    <w:bookmarkStart w:id="6" w:name="Code2"/>
    <w:bookmarkEnd w:id="6"/>
    <w:r>
      <w:t>W</w:t>
    </w:r>
    <w:r w:rsidR="003D3ADA">
      <w:t>O/GA/49/</w:t>
    </w:r>
    <w:r w:rsidR="00D2757B">
      <w:t>15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824DE">
      <w:rPr>
        <w:noProof/>
      </w:rPr>
      <w:t>4</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BF"/>
    <w:rsid w:val="00043CAA"/>
    <w:rsid w:val="00075432"/>
    <w:rsid w:val="000824DE"/>
    <w:rsid w:val="00087A45"/>
    <w:rsid w:val="000968ED"/>
    <w:rsid w:val="000F5E56"/>
    <w:rsid w:val="00101B38"/>
    <w:rsid w:val="001362EE"/>
    <w:rsid w:val="001647D5"/>
    <w:rsid w:val="001832A6"/>
    <w:rsid w:val="001C6A45"/>
    <w:rsid w:val="00202FE0"/>
    <w:rsid w:val="00210906"/>
    <w:rsid w:val="0021217E"/>
    <w:rsid w:val="002634C4"/>
    <w:rsid w:val="002728DA"/>
    <w:rsid w:val="002928D3"/>
    <w:rsid w:val="002F1FE6"/>
    <w:rsid w:val="002F4E68"/>
    <w:rsid w:val="00312F7F"/>
    <w:rsid w:val="003505AC"/>
    <w:rsid w:val="00361450"/>
    <w:rsid w:val="003673CF"/>
    <w:rsid w:val="003845C1"/>
    <w:rsid w:val="003A6F89"/>
    <w:rsid w:val="003B38C1"/>
    <w:rsid w:val="003B3BAD"/>
    <w:rsid w:val="003D3ADA"/>
    <w:rsid w:val="00423E3E"/>
    <w:rsid w:val="00427AF4"/>
    <w:rsid w:val="004647DA"/>
    <w:rsid w:val="00474062"/>
    <w:rsid w:val="00477D6B"/>
    <w:rsid w:val="005019FF"/>
    <w:rsid w:val="0053057A"/>
    <w:rsid w:val="00535889"/>
    <w:rsid w:val="00560A29"/>
    <w:rsid w:val="0058605A"/>
    <w:rsid w:val="00591FA4"/>
    <w:rsid w:val="005C6649"/>
    <w:rsid w:val="005E0B7F"/>
    <w:rsid w:val="00605827"/>
    <w:rsid w:val="00646050"/>
    <w:rsid w:val="00653DF9"/>
    <w:rsid w:val="006713CA"/>
    <w:rsid w:val="00676C5C"/>
    <w:rsid w:val="007D1613"/>
    <w:rsid w:val="007E4C0E"/>
    <w:rsid w:val="0082695E"/>
    <w:rsid w:val="008A134B"/>
    <w:rsid w:val="008B2CC1"/>
    <w:rsid w:val="008B60B2"/>
    <w:rsid w:val="008F0CBF"/>
    <w:rsid w:val="0090731E"/>
    <w:rsid w:val="00916EE2"/>
    <w:rsid w:val="0092625B"/>
    <w:rsid w:val="00951A90"/>
    <w:rsid w:val="00965715"/>
    <w:rsid w:val="00966A22"/>
    <w:rsid w:val="0096722F"/>
    <w:rsid w:val="00980843"/>
    <w:rsid w:val="009E2791"/>
    <w:rsid w:val="009E3F6F"/>
    <w:rsid w:val="009F499F"/>
    <w:rsid w:val="00A42DAF"/>
    <w:rsid w:val="00A45BD8"/>
    <w:rsid w:val="00A869B7"/>
    <w:rsid w:val="00AB5393"/>
    <w:rsid w:val="00AC205C"/>
    <w:rsid w:val="00AF0A6B"/>
    <w:rsid w:val="00B05A69"/>
    <w:rsid w:val="00B9734B"/>
    <w:rsid w:val="00BA30E2"/>
    <w:rsid w:val="00BA40AA"/>
    <w:rsid w:val="00C11BFE"/>
    <w:rsid w:val="00C336D9"/>
    <w:rsid w:val="00C457B8"/>
    <w:rsid w:val="00C5068F"/>
    <w:rsid w:val="00C86D74"/>
    <w:rsid w:val="00CA5DC5"/>
    <w:rsid w:val="00CD04F1"/>
    <w:rsid w:val="00D2757B"/>
    <w:rsid w:val="00D45252"/>
    <w:rsid w:val="00D71B4D"/>
    <w:rsid w:val="00D93D55"/>
    <w:rsid w:val="00D9602E"/>
    <w:rsid w:val="00E15015"/>
    <w:rsid w:val="00E335FE"/>
    <w:rsid w:val="00EA3191"/>
    <w:rsid w:val="00EA7D6E"/>
    <w:rsid w:val="00EC4E49"/>
    <w:rsid w:val="00ED77FB"/>
    <w:rsid w:val="00EE2B4C"/>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F0CBF"/>
    <w:rPr>
      <w:rFonts w:ascii="Tahoma" w:hAnsi="Tahoma" w:cs="Tahoma"/>
      <w:sz w:val="16"/>
      <w:szCs w:val="16"/>
    </w:rPr>
  </w:style>
  <w:style w:type="character" w:customStyle="1" w:styleId="BalloonTextChar">
    <w:name w:val="Balloon Text Char"/>
    <w:basedOn w:val="DefaultParagraphFont"/>
    <w:link w:val="BalloonText"/>
    <w:rsid w:val="008F0CBF"/>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8F0CBF"/>
    <w:rPr>
      <w:rFonts w:ascii="Arial" w:eastAsia="SimSun" w:hAnsi="Arial" w:cs="Arial"/>
      <w:sz w:val="18"/>
      <w:lang w:val="en-US" w:eastAsia="zh-CN"/>
    </w:rPr>
  </w:style>
  <w:style w:type="character" w:customStyle="1" w:styleId="BodyTextChar">
    <w:name w:val="Body Text Char"/>
    <w:basedOn w:val="DefaultParagraphFont"/>
    <w:link w:val="BodyText"/>
    <w:rsid w:val="008F0CBF"/>
    <w:rPr>
      <w:rFonts w:ascii="Arial" w:eastAsia="SimSun" w:hAnsi="Arial" w:cs="Arial"/>
      <w:sz w:val="22"/>
      <w:lang w:val="en-US" w:eastAsia="zh-CN"/>
    </w:rPr>
  </w:style>
  <w:style w:type="character" w:customStyle="1" w:styleId="ONUMEChar">
    <w:name w:val="ONUM E Char"/>
    <w:link w:val="ONUME"/>
    <w:locked/>
    <w:rsid w:val="008F0CBF"/>
    <w:rPr>
      <w:rFonts w:ascii="Arial" w:eastAsia="SimSun" w:hAnsi="Arial" w:cs="Arial"/>
      <w:sz w:val="22"/>
      <w:lang w:val="en-US" w:eastAsia="zh-CN"/>
    </w:rPr>
  </w:style>
  <w:style w:type="paragraph" w:customStyle="1" w:styleId="Endofdocument">
    <w:name w:val="End of document"/>
    <w:basedOn w:val="Normal"/>
    <w:rsid w:val="008F0CBF"/>
    <w:pPr>
      <w:ind w:left="4536"/>
      <w:jc w:val="center"/>
    </w:pPr>
    <w:rPr>
      <w:rFonts w:ascii="Times New Roman" w:eastAsia="Times New Roman" w:hAnsi="Times New Roman" w:cs="Times New Roman"/>
      <w:sz w:val="24"/>
      <w:lang w:eastAsia="en-US"/>
    </w:rPr>
  </w:style>
  <w:style w:type="character" w:styleId="FootnoteReference">
    <w:name w:val="footnote reference"/>
    <w:unhideWhenUsed/>
    <w:rsid w:val="008F0CBF"/>
    <w:rPr>
      <w:vertAlign w:val="superscript"/>
    </w:rPr>
  </w:style>
  <w:style w:type="character" w:styleId="Hyperlink">
    <w:name w:val="Hyperlink"/>
    <w:basedOn w:val="DefaultParagraphFont"/>
    <w:uiPriority w:val="99"/>
    <w:unhideWhenUsed/>
    <w:rsid w:val="00BA40AA"/>
    <w:rPr>
      <w:color w:val="0000FF"/>
      <w:u w:val="single"/>
    </w:rPr>
  </w:style>
  <w:style w:type="paragraph" w:styleId="NormalWeb">
    <w:name w:val="Normal (Web)"/>
    <w:basedOn w:val="Normal"/>
    <w:uiPriority w:val="99"/>
    <w:unhideWhenUsed/>
    <w:rsid w:val="00BA40AA"/>
    <w:rPr>
      <w:rFonts w:ascii="Times New Roman" w:eastAsiaTheme="minorHAns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F0CBF"/>
    <w:rPr>
      <w:rFonts w:ascii="Tahoma" w:hAnsi="Tahoma" w:cs="Tahoma"/>
      <w:sz w:val="16"/>
      <w:szCs w:val="16"/>
    </w:rPr>
  </w:style>
  <w:style w:type="character" w:customStyle="1" w:styleId="BalloonTextChar">
    <w:name w:val="Balloon Text Char"/>
    <w:basedOn w:val="DefaultParagraphFont"/>
    <w:link w:val="BalloonText"/>
    <w:rsid w:val="008F0CBF"/>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8F0CBF"/>
    <w:rPr>
      <w:rFonts w:ascii="Arial" w:eastAsia="SimSun" w:hAnsi="Arial" w:cs="Arial"/>
      <w:sz w:val="18"/>
      <w:lang w:val="en-US" w:eastAsia="zh-CN"/>
    </w:rPr>
  </w:style>
  <w:style w:type="character" w:customStyle="1" w:styleId="BodyTextChar">
    <w:name w:val="Body Text Char"/>
    <w:basedOn w:val="DefaultParagraphFont"/>
    <w:link w:val="BodyText"/>
    <w:rsid w:val="008F0CBF"/>
    <w:rPr>
      <w:rFonts w:ascii="Arial" w:eastAsia="SimSun" w:hAnsi="Arial" w:cs="Arial"/>
      <w:sz w:val="22"/>
      <w:lang w:val="en-US" w:eastAsia="zh-CN"/>
    </w:rPr>
  </w:style>
  <w:style w:type="character" w:customStyle="1" w:styleId="ONUMEChar">
    <w:name w:val="ONUM E Char"/>
    <w:link w:val="ONUME"/>
    <w:locked/>
    <w:rsid w:val="008F0CBF"/>
    <w:rPr>
      <w:rFonts w:ascii="Arial" w:eastAsia="SimSun" w:hAnsi="Arial" w:cs="Arial"/>
      <w:sz w:val="22"/>
      <w:lang w:val="en-US" w:eastAsia="zh-CN"/>
    </w:rPr>
  </w:style>
  <w:style w:type="paragraph" w:customStyle="1" w:styleId="Endofdocument">
    <w:name w:val="End of document"/>
    <w:basedOn w:val="Normal"/>
    <w:rsid w:val="008F0CBF"/>
    <w:pPr>
      <w:ind w:left="4536"/>
      <w:jc w:val="center"/>
    </w:pPr>
    <w:rPr>
      <w:rFonts w:ascii="Times New Roman" w:eastAsia="Times New Roman" w:hAnsi="Times New Roman" w:cs="Times New Roman"/>
      <w:sz w:val="24"/>
      <w:lang w:eastAsia="en-US"/>
    </w:rPr>
  </w:style>
  <w:style w:type="character" w:styleId="FootnoteReference">
    <w:name w:val="footnote reference"/>
    <w:unhideWhenUsed/>
    <w:rsid w:val="008F0CBF"/>
    <w:rPr>
      <w:vertAlign w:val="superscript"/>
    </w:rPr>
  </w:style>
  <w:style w:type="character" w:styleId="Hyperlink">
    <w:name w:val="Hyperlink"/>
    <w:basedOn w:val="DefaultParagraphFont"/>
    <w:uiPriority w:val="99"/>
    <w:unhideWhenUsed/>
    <w:rsid w:val="00BA40AA"/>
    <w:rPr>
      <w:color w:val="0000FF"/>
      <w:u w:val="single"/>
    </w:rPr>
  </w:style>
  <w:style w:type="paragraph" w:styleId="NormalWeb">
    <w:name w:val="Normal (Web)"/>
    <w:basedOn w:val="Normal"/>
    <w:uiPriority w:val="99"/>
    <w:unhideWhenUsed/>
    <w:rsid w:val="00BA40AA"/>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273105">
      <w:bodyDiv w:val="1"/>
      <w:marLeft w:val="0"/>
      <w:marRight w:val="0"/>
      <w:marTop w:val="0"/>
      <w:marBottom w:val="0"/>
      <w:divBdr>
        <w:top w:val="none" w:sz="0" w:space="0" w:color="auto"/>
        <w:left w:val="none" w:sz="0" w:space="0" w:color="auto"/>
        <w:bottom w:val="none" w:sz="0" w:space="0" w:color="auto"/>
        <w:right w:val="none" w:sz="0" w:space="0" w:color="auto"/>
      </w:divBdr>
    </w:div>
    <w:div w:id="1792702387">
      <w:bodyDiv w:val="1"/>
      <w:marLeft w:val="0"/>
      <w:marRight w:val="0"/>
      <w:marTop w:val="0"/>
      <w:marBottom w:val="0"/>
      <w:divBdr>
        <w:top w:val="none" w:sz="0" w:space="0" w:color="auto"/>
        <w:left w:val="none" w:sz="0" w:space="0" w:color="auto"/>
        <w:bottom w:val="none" w:sz="0" w:space="0" w:color="auto"/>
        <w:right w:val="none" w:sz="0" w:space="0" w:color="auto"/>
      </w:divBdr>
    </w:div>
    <w:div w:id="19494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global_ip/en/activities/technicalassist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49 (E)</Template>
  <TotalTime>4</TotalTime>
  <Pages>4</Pages>
  <Words>1592</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dc:title>
  <dc:creator>Dolotbaeva Aida</dc:creator>
  <cp:lastModifiedBy>HÄFLIGER Patience</cp:lastModifiedBy>
  <cp:revision>11</cp:revision>
  <cp:lastPrinted>2017-06-22T09:29:00Z</cp:lastPrinted>
  <dcterms:created xsi:type="dcterms:W3CDTF">2017-06-15T12:20:00Z</dcterms:created>
  <dcterms:modified xsi:type="dcterms:W3CDTF">2017-06-22T09:29:00Z</dcterms:modified>
</cp:coreProperties>
</file>