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516A5" w14:textId="77777777" w:rsidR="00E5566B" w:rsidRPr="00123893" w:rsidRDefault="00E5566B" w:rsidP="00E5566B">
      <w:pPr>
        <w:widowControl w:val="0"/>
        <w:jc w:val="right"/>
        <w:rPr>
          <w:b/>
          <w:sz w:val="2"/>
          <w:szCs w:val="40"/>
        </w:rPr>
      </w:pPr>
      <w:bookmarkStart w:id="0" w:name="_GoBack"/>
      <w:bookmarkEnd w:id="0"/>
      <w:r>
        <w:rPr>
          <w:b/>
          <w:sz w:val="40"/>
          <w:szCs w:val="40"/>
        </w:rPr>
        <w:t>E</w:t>
      </w:r>
    </w:p>
    <w:p w14:paraId="7CB28CFB"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62B76F71" wp14:editId="323B269B">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68D77F9A" w14:textId="77777777" w:rsidR="006E4F5F" w:rsidRPr="006E4F5F" w:rsidRDefault="00B61109" w:rsidP="00AA2DD4">
      <w:pPr>
        <w:pBdr>
          <w:top w:val="single" w:sz="4" w:space="10" w:color="auto"/>
        </w:pBdr>
        <w:spacing w:before="120"/>
        <w:jc w:val="right"/>
        <w:rPr>
          <w:rFonts w:ascii="Arial Black" w:hAnsi="Arial Black"/>
          <w:b/>
          <w:caps/>
          <w:sz w:val="15"/>
        </w:rPr>
      </w:pPr>
      <w:r w:rsidRPr="00B61109">
        <w:rPr>
          <w:rFonts w:ascii="Arial Black" w:hAnsi="Arial Black"/>
          <w:b/>
          <w:caps/>
          <w:sz w:val="15"/>
        </w:rPr>
        <w:t>WO/GA/51</w:t>
      </w:r>
      <w:r w:rsidR="006E4F5F" w:rsidRPr="006E4F5F">
        <w:rPr>
          <w:rFonts w:ascii="Arial Black" w:hAnsi="Arial Black"/>
          <w:b/>
          <w:caps/>
          <w:sz w:val="15"/>
        </w:rPr>
        <w:t>/</w:t>
      </w:r>
      <w:bookmarkStart w:id="1" w:name="Code"/>
      <w:bookmarkEnd w:id="1"/>
      <w:r w:rsidR="00B006A3">
        <w:rPr>
          <w:rFonts w:ascii="Arial Black" w:hAnsi="Arial Black"/>
          <w:b/>
          <w:caps/>
          <w:sz w:val="15"/>
        </w:rPr>
        <w:t>16</w:t>
      </w:r>
    </w:p>
    <w:p w14:paraId="2E47320E"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F967F0">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B006A3">
        <w:rPr>
          <w:rFonts w:ascii="Arial Black" w:hAnsi="Arial Black"/>
          <w:b/>
          <w:caps/>
          <w:sz w:val="15"/>
        </w:rPr>
        <w:t>English</w:t>
      </w:r>
    </w:p>
    <w:p w14:paraId="7C580744" w14:textId="637E5A9A"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F967F0">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B006A3">
        <w:rPr>
          <w:rFonts w:ascii="Arial Black" w:hAnsi="Arial Black"/>
          <w:b/>
          <w:caps/>
          <w:sz w:val="15"/>
        </w:rPr>
        <w:t xml:space="preserve">June </w:t>
      </w:r>
      <w:r w:rsidR="00E6655B">
        <w:rPr>
          <w:rFonts w:ascii="Arial Black" w:hAnsi="Arial Black"/>
          <w:b/>
          <w:caps/>
          <w:sz w:val="15"/>
        </w:rPr>
        <w:t>28</w:t>
      </w:r>
      <w:r w:rsidR="00B006A3">
        <w:rPr>
          <w:rFonts w:ascii="Arial Black" w:hAnsi="Arial Black"/>
          <w:b/>
          <w:caps/>
          <w:sz w:val="15"/>
        </w:rPr>
        <w:t>, 2019</w:t>
      </w:r>
    </w:p>
    <w:p w14:paraId="581BC725" w14:textId="77777777" w:rsidR="008B2CC1" w:rsidRPr="003D57B0" w:rsidRDefault="00B61109" w:rsidP="000C117A">
      <w:pPr>
        <w:pStyle w:val="Heading1"/>
      </w:pPr>
      <w:r w:rsidRPr="00B61109">
        <w:t>WIPO General Assembly</w:t>
      </w:r>
    </w:p>
    <w:p w14:paraId="3CB3B1A1" w14:textId="77777777" w:rsidR="008B2CC1" w:rsidRPr="009C127D" w:rsidRDefault="00B61109" w:rsidP="003D2030">
      <w:pPr>
        <w:spacing w:after="720"/>
        <w:rPr>
          <w:b/>
          <w:sz w:val="24"/>
        </w:rPr>
      </w:pPr>
      <w:r w:rsidRPr="00B61109">
        <w:rPr>
          <w:b/>
          <w:sz w:val="24"/>
        </w:rPr>
        <w:t>Fifty-First (24</w:t>
      </w:r>
      <w:r w:rsidRPr="00231BB0">
        <w:rPr>
          <w:b/>
          <w:sz w:val="24"/>
          <w:vertAlign w:val="superscript"/>
        </w:rPr>
        <w:t>th</w:t>
      </w:r>
      <w:r w:rsidRPr="00B61109">
        <w:rPr>
          <w:b/>
          <w:sz w:val="24"/>
        </w:rPr>
        <w:t xml:space="preserve"> Ordinary) Session</w:t>
      </w:r>
      <w:r w:rsidR="003D57B0" w:rsidRPr="009C127D">
        <w:rPr>
          <w:b/>
          <w:sz w:val="24"/>
        </w:rPr>
        <w:br/>
      </w:r>
      <w:r w:rsidRPr="00B61109">
        <w:rPr>
          <w:b/>
          <w:sz w:val="24"/>
        </w:rPr>
        <w:t>Geneva, September 30 to October 9, 2019</w:t>
      </w:r>
    </w:p>
    <w:p w14:paraId="54B24980" w14:textId="77777777" w:rsidR="008B2CC1" w:rsidRPr="009C127D" w:rsidRDefault="00B006A3" w:rsidP="003D2030">
      <w:pPr>
        <w:spacing w:after="360"/>
        <w:rPr>
          <w:caps/>
          <w:sz w:val="24"/>
        </w:rPr>
      </w:pPr>
      <w:bookmarkStart w:id="4" w:name="TitleOfDoc"/>
      <w:bookmarkEnd w:id="4"/>
      <w:r>
        <w:rPr>
          <w:caps/>
          <w:sz w:val="24"/>
        </w:rPr>
        <w:t>Technical assistance and cooperation regarding the patent law treaty (PLT)</w:t>
      </w:r>
    </w:p>
    <w:p w14:paraId="56BA8F70" w14:textId="51D11C47" w:rsidR="008B2CC1" w:rsidRPr="009C127D" w:rsidRDefault="00E6655B" w:rsidP="009C127D">
      <w:pPr>
        <w:spacing w:after="960"/>
        <w:rPr>
          <w:i/>
        </w:rPr>
      </w:pPr>
      <w:bookmarkStart w:id="5" w:name="Prepared"/>
      <w:bookmarkEnd w:id="5"/>
      <w:r>
        <w:rPr>
          <w:i/>
        </w:rPr>
        <w:t xml:space="preserve">Document </w:t>
      </w:r>
      <w:r w:rsidR="00B006A3">
        <w:rPr>
          <w:i/>
        </w:rPr>
        <w:t>prepared by the Secretariat</w:t>
      </w:r>
    </w:p>
    <w:p w14:paraId="4E1D90A8" w14:textId="5C995ACF" w:rsidR="00A61943" w:rsidRDefault="00F25F9A" w:rsidP="005B4AC5">
      <w:pPr>
        <w:pStyle w:val="ONUME"/>
      </w:pPr>
      <w:proofErr w:type="gramStart"/>
      <w:r>
        <w:t xml:space="preserve">In its Agreed Statements regarding the Patent Law Treaty and the Regulations under the Patent Law Treaty, the Diplomatic Conference for the Adoption of the Patent Law Treaty (PLT), held in Geneva from May </w:t>
      </w:r>
      <w:r w:rsidR="00307ECA">
        <w:t>11</w:t>
      </w:r>
      <w:r>
        <w:t xml:space="preserve"> to June </w:t>
      </w:r>
      <w:r w:rsidR="00307ECA">
        <w:t>2</w:t>
      </w:r>
      <w:r>
        <w:t xml:space="preserve">, 2000, requested </w:t>
      </w:r>
      <w:r w:rsidR="00A61943" w:rsidRPr="00A61943">
        <w:t>the General Assembly of the World Intellectual Property Organization (WIPO) and the Contracting Parties to provide the developing and least developed countries and countries in transition with additional technical assistance to meet their obligations under th</w:t>
      </w:r>
      <w:r w:rsidR="00A61943">
        <w:t>at</w:t>
      </w:r>
      <w:r w:rsidR="00A61943" w:rsidRPr="00A61943">
        <w:t xml:space="preserve"> Treaty</w:t>
      </w:r>
      <w:r w:rsidR="00417461">
        <w:t>, w</w:t>
      </w:r>
      <w:r w:rsidR="00417461" w:rsidRPr="00417461">
        <w:t xml:space="preserve">ith a view to facilitating </w:t>
      </w:r>
      <w:r w:rsidR="0045753D">
        <w:t>the implementation of Rule</w:t>
      </w:r>
      <w:r w:rsidR="002A0A9E">
        <w:t> </w:t>
      </w:r>
      <w:r w:rsidR="0045753D">
        <w:t>8(1</w:t>
      </w:r>
      <w:r w:rsidR="002A0A9E">
        <w:t>)(</w:t>
      </w:r>
      <w:r w:rsidR="0045753D">
        <w:t>a) of the PLT</w:t>
      </w:r>
      <w:r w:rsidR="00A61943" w:rsidRPr="00417461">
        <w:t>.</w:t>
      </w:r>
      <w:r w:rsidR="00417461">
        <w:rPr>
          <w:rStyle w:val="FootnoteReference"/>
        </w:rPr>
        <w:footnoteReference w:id="2"/>
      </w:r>
      <w:proofErr w:type="gramEnd"/>
      <w:r w:rsidR="00417461">
        <w:t xml:space="preserve">  Specifically, t</w:t>
      </w:r>
      <w:r w:rsidR="00A61943" w:rsidRPr="00A61943">
        <w:t>he Diplomatic Conference requests the WIPO General Assembly</w:t>
      </w:r>
      <w:r w:rsidR="00417461">
        <w:t xml:space="preserve"> to mon</w:t>
      </w:r>
      <w:r w:rsidR="00A61943" w:rsidRPr="00A61943">
        <w:t xml:space="preserve">itor and evaluate the progress of </w:t>
      </w:r>
      <w:r w:rsidR="00417461">
        <w:t>such</w:t>
      </w:r>
      <w:r w:rsidR="00A61943" w:rsidRPr="00A61943">
        <w:t xml:space="preserve"> cooperation </w:t>
      </w:r>
      <w:r w:rsidR="00417461">
        <w:t xml:space="preserve">at </w:t>
      </w:r>
      <w:r w:rsidR="00A61943" w:rsidRPr="00A61943">
        <w:t>every ordinary session.</w:t>
      </w:r>
      <w:r w:rsidR="00417461">
        <w:t xml:space="preserve">  </w:t>
      </w:r>
    </w:p>
    <w:p w14:paraId="354BBBFA" w14:textId="3117C7FD" w:rsidR="006C578A" w:rsidRDefault="00417461" w:rsidP="005B4AC5">
      <w:pPr>
        <w:pStyle w:val="ONUME"/>
      </w:pPr>
      <w:r>
        <w:t xml:space="preserve">Based on the said Agreed </w:t>
      </w:r>
      <w:r w:rsidR="007B6139">
        <w:t>S</w:t>
      </w:r>
      <w:r>
        <w:t>tatements, the Secretariat has regularly submitted to the</w:t>
      </w:r>
      <w:r w:rsidR="007B6139">
        <w:t xml:space="preserve"> WIPO </w:t>
      </w:r>
      <w:r>
        <w:t xml:space="preserve">General Assembly </w:t>
      </w:r>
      <w:r w:rsidR="007B6139">
        <w:t>information on the relevant technical assistance and cooperation activities</w:t>
      </w:r>
      <w:r w:rsidR="002A0A9E">
        <w:t>,</w:t>
      </w:r>
      <w:r w:rsidR="007B6139">
        <w:t xml:space="preserve"> carried out by the WIPO Secretariat</w:t>
      </w:r>
      <w:r w:rsidR="002A0A9E">
        <w:t>,</w:t>
      </w:r>
      <w:r w:rsidR="0045753D" w:rsidRPr="0045753D">
        <w:t xml:space="preserve"> </w:t>
      </w:r>
      <w:r w:rsidR="0045753D">
        <w:t xml:space="preserve">to facilitate </w:t>
      </w:r>
      <w:r w:rsidR="0045753D" w:rsidRPr="0045753D">
        <w:t>filing of communications in electronic form</w:t>
      </w:r>
      <w:r w:rsidR="007B6139">
        <w:t>.  The relevant activities for the period from June 2017 to May 2019 are included in Annex</w:t>
      </w:r>
      <w:r w:rsidR="00660B46">
        <w:t> </w:t>
      </w:r>
      <w:r w:rsidR="007B6139">
        <w:t xml:space="preserve">I </w:t>
      </w:r>
      <w:r w:rsidR="006C578A">
        <w:t>to this document.  A list of the PLT Contracting Parties, as of June 2019, is contained in Annex</w:t>
      </w:r>
      <w:r w:rsidR="002C476E">
        <w:t> </w:t>
      </w:r>
      <w:r w:rsidR="006C578A">
        <w:t>II, for information purposes.</w:t>
      </w:r>
    </w:p>
    <w:p w14:paraId="3577420F" w14:textId="77777777" w:rsidR="006C578A" w:rsidRDefault="006C578A" w:rsidP="006515F3"/>
    <w:p w14:paraId="07A8AFBF" w14:textId="77777777" w:rsidR="006515F3" w:rsidRDefault="006515F3" w:rsidP="006515F3">
      <w:pPr>
        <w:pStyle w:val="ListParagraph"/>
        <w:numPr>
          <w:ilvl w:val="0"/>
          <w:numId w:val="13"/>
        </w:numPr>
        <w:ind w:left="0" w:firstLine="0"/>
      </w:pPr>
      <w:r>
        <w:br w:type="page"/>
      </w:r>
    </w:p>
    <w:p w14:paraId="3B2E03EE" w14:textId="50E54C30" w:rsidR="006C578A" w:rsidRDefault="006C578A" w:rsidP="005B4AC5">
      <w:pPr>
        <w:pStyle w:val="ONUME"/>
      </w:pPr>
      <w:r>
        <w:lastRenderedPageBreak/>
        <w:t xml:space="preserve">In addition, </w:t>
      </w:r>
      <w:r w:rsidRPr="006C578A">
        <w:t xml:space="preserve">“industrialized market economy countries” referred to in paragraph 3, item </w:t>
      </w:r>
      <w:proofErr w:type="gramStart"/>
      <w:r w:rsidRPr="006C578A">
        <w:t>4</w:t>
      </w:r>
      <w:proofErr w:type="gramEnd"/>
      <w:r w:rsidRPr="006C578A">
        <w:t xml:space="preserve"> of the Agreed Statements are invited to provide information as set forth in that paragraph to the WIPO General Assembly so that it could monitor and evaluate the progress of the cooperation.</w:t>
      </w:r>
    </w:p>
    <w:p w14:paraId="59128863" w14:textId="6D6AF1D9" w:rsidR="0045753D" w:rsidRDefault="0045753D" w:rsidP="0012506D">
      <w:pPr>
        <w:pStyle w:val="ONUME"/>
        <w:ind w:left="5533"/>
        <w:rPr>
          <w:i/>
          <w:szCs w:val="22"/>
        </w:rPr>
      </w:pPr>
      <w:r>
        <w:rPr>
          <w:i/>
          <w:szCs w:val="22"/>
        </w:rPr>
        <w:t xml:space="preserve">The WIPO General Assembly </w:t>
      </w:r>
      <w:proofErr w:type="gramStart"/>
      <w:r>
        <w:rPr>
          <w:i/>
          <w:szCs w:val="22"/>
        </w:rPr>
        <w:t>is invited</w:t>
      </w:r>
      <w:proofErr w:type="gramEnd"/>
      <w:r>
        <w:rPr>
          <w:i/>
          <w:szCs w:val="22"/>
        </w:rPr>
        <w:t xml:space="preserve"> to take note of the information on “Technical Assistance a</w:t>
      </w:r>
      <w:r w:rsidRPr="0045753D">
        <w:rPr>
          <w:i/>
          <w:szCs w:val="22"/>
        </w:rPr>
        <w:t xml:space="preserve">nd Cooperation </w:t>
      </w:r>
      <w:r>
        <w:rPr>
          <w:i/>
          <w:szCs w:val="22"/>
        </w:rPr>
        <w:t>r</w:t>
      </w:r>
      <w:r w:rsidRPr="0045753D">
        <w:rPr>
          <w:i/>
          <w:szCs w:val="22"/>
        </w:rPr>
        <w:t xml:space="preserve">egarding </w:t>
      </w:r>
      <w:r>
        <w:rPr>
          <w:i/>
          <w:szCs w:val="22"/>
        </w:rPr>
        <w:t>t</w:t>
      </w:r>
      <w:r w:rsidRPr="0045753D">
        <w:rPr>
          <w:i/>
          <w:szCs w:val="22"/>
        </w:rPr>
        <w:t>he Patent Law Treaty (PLT)</w:t>
      </w:r>
      <w:r>
        <w:rPr>
          <w:i/>
          <w:szCs w:val="22"/>
        </w:rPr>
        <w:t>” (document WO/GA/</w:t>
      </w:r>
      <w:r w:rsidR="00B5766B">
        <w:rPr>
          <w:i/>
          <w:szCs w:val="22"/>
        </w:rPr>
        <w:t>51</w:t>
      </w:r>
      <w:r>
        <w:rPr>
          <w:i/>
          <w:szCs w:val="22"/>
        </w:rPr>
        <w:t>/16).</w:t>
      </w:r>
    </w:p>
    <w:p w14:paraId="50D32ACF" w14:textId="31A076DF" w:rsidR="0045753D" w:rsidRDefault="0045753D" w:rsidP="0012506D">
      <w:pPr>
        <w:pStyle w:val="Endofdocument-Annex"/>
        <w:ind w:left="5533"/>
      </w:pPr>
      <w:r>
        <w:t>[Annex</w:t>
      </w:r>
      <w:r w:rsidR="00E239A3">
        <w:t>es</w:t>
      </w:r>
      <w:r>
        <w:t xml:space="preserve"> follow]</w:t>
      </w:r>
    </w:p>
    <w:p w14:paraId="501E1F3D" w14:textId="77777777" w:rsidR="00F25F9A" w:rsidRDefault="00F25F9A" w:rsidP="00F25F9A"/>
    <w:p w14:paraId="2EA15169" w14:textId="77777777" w:rsidR="0045753D" w:rsidRDefault="0045753D" w:rsidP="00F25F9A">
      <w:pPr>
        <w:sectPr w:rsidR="0045753D" w:rsidSect="00CB6E4E">
          <w:headerReference w:type="default" r:id="rId9"/>
          <w:endnotePr>
            <w:numFmt w:val="decimal"/>
          </w:endnotePr>
          <w:pgSz w:w="11907" w:h="16840" w:code="9"/>
          <w:pgMar w:top="567" w:right="1134" w:bottom="1418" w:left="1418" w:header="510" w:footer="1021" w:gutter="0"/>
          <w:cols w:space="720"/>
          <w:titlePg/>
          <w:docGrid w:linePitch="299"/>
        </w:sectPr>
      </w:pPr>
    </w:p>
    <w:p w14:paraId="5EB99D82" w14:textId="2B2C169D" w:rsidR="0045753D" w:rsidRPr="00841345" w:rsidRDefault="0045753D" w:rsidP="00084A93">
      <w:pPr>
        <w:pStyle w:val="Heading3"/>
      </w:pPr>
      <w:r w:rsidRPr="00841345">
        <w:lastRenderedPageBreak/>
        <w:t xml:space="preserve">Technical assistance and cooperation </w:t>
      </w:r>
      <w:r w:rsidR="00F31BFD" w:rsidRPr="00841345">
        <w:t>FOR DEVELOPING</w:t>
      </w:r>
      <w:r w:rsidR="00E239A3">
        <w:t xml:space="preserve"> </w:t>
      </w:r>
      <w:r w:rsidR="00F31BFD" w:rsidRPr="00841345">
        <w:t>AND LEAST DEVELOPED COUNTRIES AND COUNTRIES IN TRANSITION TO FACILITATE</w:t>
      </w:r>
      <w:r w:rsidR="00084A93">
        <w:t xml:space="preserve"> </w:t>
      </w:r>
      <w:r w:rsidR="00F31BFD" w:rsidRPr="00841345">
        <w:t>THE IMPLEMENTATION OF rULE 8(1</w:t>
      </w:r>
      <w:proofErr w:type="gramStart"/>
      <w:r w:rsidR="00F31BFD" w:rsidRPr="00841345">
        <w:t>)(</w:t>
      </w:r>
      <w:proofErr w:type="gramEnd"/>
      <w:r w:rsidR="00F31BFD" w:rsidRPr="00841345">
        <w:t>a) of the</w:t>
      </w:r>
      <w:r w:rsidRPr="00841345">
        <w:t xml:space="preserve"> patent law treaty (PLT)</w:t>
      </w:r>
      <w:r w:rsidR="00084A93">
        <w:t xml:space="preserve"> </w:t>
      </w:r>
      <w:r w:rsidR="00F31BFD" w:rsidRPr="00841345">
        <w:t xml:space="preserve">For the period </w:t>
      </w:r>
      <w:r w:rsidR="00B5766B">
        <w:t xml:space="preserve">from </w:t>
      </w:r>
      <w:r w:rsidR="00F31BFD" w:rsidRPr="00841345">
        <w:t>June 2017 to may 2019</w:t>
      </w:r>
    </w:p>
    <w:p w14:paraId="11DC5E85" w14:textId="77777777" w:rsidR="00F31BFD" w:rsidRDefault="00F31BFD" w:rsidP="00F31BFD">
      <w:pPr>
        <w:jc w:val="center"/>
        <w:rPr>
          <w:caps/>
          <w:sz w:val="24"/>
        </w:rPr>
      </w:pPr>
    </w:p>
    <w:p w14:paraId="4E22C312" w14:textId="77777777" w:rsidR="00F31BFD" w:rsidRDefault="00F31BFD" w:rsidP="00F31BFD">
      <w:pPr>
        <w:jc w:val="center"/>
        <w:rPr>
          <w:caps/>
          <w:sz w:val="24"/>
        </w:rPr>
      </w:pPr>
    </w:p>
    <w:p w14:paraId="26A27091" w14:textId="0468FA28" w:rsidR="00841345" w:rsidRPr="00084A93" w:rsidRDefault="00841345" w:rsidP="00084A93">
      <w:pPr>
        <w:pStyle w:val="ONUME"/>
        <w:numPr>
          <w:ilvl w:val="0"/>
          <w:numId w:val="17"/>
        </w:numPr>
        <w:rPr>
          <w:shd w:val="clear" w:color="auto" w:fill="FFFFFF"/>
        </w:rPr>
      </w:pPr>
      <w:proofErr w:type="gramStart"/>
      <w:r w:rsidRPr="00084A93">
        <w:rPr>
          <w:shd w:val="clear" w:color="auto" w:fill="FFFFFF"/>
        </w:rPr>
        <w:t>From June 201</w:t>
      </w:r>
      <w:r w:rsidR="002A0A9E" w:rsidRPr="00084A93">
        <w:rPr>
          <w:shd w:val="clear" w:color="auto" w:fill="FFFFFF"/>
        </w:rPr>
        <w:t>7</w:t>
      </w:r>
      <w:r w:rsidRPr="00084A93">
        <w:rPr>
          <w:shd w:val="clear" w:color="auto" w:fill="FFFFFF"/>
        </w:rPr>
        <w:t xml:space="preserve"> to May 201</w:t>
      </w:r>
      <w:r w:rsidR="002A0A9E" w:rsidRPr="00084A93">
        <w:rPr>
          <w:shd w:val="clear" w:color="auto" w:fill="FFFFFF"/>
        </w:rPr>
        <w:t>9</w:t>
      </w:r>
      <w:r w:rsidRPr="00084A93">
        <w:rPr>
          <w:shd w:val="clear" w:color="auto" w:fill="FFFFFF"/>
        </w:rPr>
        <w:t>, the WIPO Secretariat provided technical assistance and cooperation to developing and least developed countries and countries in transition</w:t>
      </w:r>
      <w:r w:rsidRPr="007E58FB">
        <w:rPr>
          <w:shd w:val="clear" w:color="auto" w:fill="FFFFFF"/>
          <w:vertAlign w:val="superscript"/>
        </w:rPr>
        <w:footnoteReference w:id="3"/>
      </w:r>
      <w:r w:rsidRPr="00084A93">
        <w:rPr>
          <w:shd w:val="clear" w:color="auto" w:fill="FFFFFF"/>
        </w:rPr>
        <w:t xml:space="preserve"> to facilitate the implementation of Rule 8(1)(a) of the Patent Law Treat (PLT), i.e., facilitating the filing of electronic communications in those countries, </w:t>
      </w:r>
      <w:r w:rsidR="007E58FB" w:rsidRPr="00084A93">
        <w:rPr>
          <w:shd w:val="clear" w:color="auto" w:fill="FFFFFF"/>
        </w:rPr>
        <w:t>with respect to the following areas</w:t>
      </w:r>
      <w:r w:rsidRPr="00084A93">
        <w:rPr>
          <w:shd w:val="clear" w:color="auto" w:fill="FFFFFF"/>
        </w:rPr>
        <w:t>:  (</w:t>
      </w:r>
      <w:r w:rsidR="00740042" w:rsidRPr="00084A93">
        <w:rPr>
          <w:shd w:val="clear" w:color="auto" w:fill="FFFFFF"/>
        </w:rPr>
        <w:t>a</w:t>
      </w:r>
      <w:r w:rsidRPr="00084A93">
        <w:rPr>
          <w:shd w:val="clear" w:color="auto" w:fill="FFFFFF"/>
        </w:rPr>
        <w:t xml:space="preserve">) </w:t>
      </w:r>
      <w:r w:rsidR="007E58FB" w:rsidRPr="00084A93">
        <w:rPr>
          <w:shd w:val="clear" w:color="auto" w:fill="FFFFFF"/>
        </w:rPr>
        <w:t>technical infrastructure of national and regional IP Offices</w:t>
      </w:r>
      <w:r w:rsidR="00740042" w:rsidRPr="00084A93">
        <w:rPr>
          <w:shd w:val="clear" w:color="auto" w:fill="FFFFFF"/>
        </w:rPr>
        <w:t>;  and (b) electronic communications under the Patent Cooperation Treaty (PCT)</w:t>
      </w:r>
      <w:r w:rsidR="007E58FB" w:rsidRPr="00084A93">
        <w:rPr>
          <w:shd w:val="clear" w:color="auto" w:fill="FFFFFF"/>
        </w:rPr>
        <w:t>.</w:t>
      </w:r>
      <w:proofErr w:type="gramEnd"/>
    </w:p>
    <w:p w14:paraId="40C53B26" w14:textId="6E1A68A1" w:rsidR="00F31BFD" w:rsidRDefault="00841345" w:rsidP="00084A93">
      <w:pPr>
        <w:pStyle w:val="ONUME"/>
        <w:rPr>
          <w:shd w:val="clear" w:color="auto" w:fill="FFFFFF"/>
        </w:rPr>
      </w:pPr>
      <w:r w:rsidRPr="00F84EC9">
        <w:rPr>
          <w:shd w:val="clear" w:color="auto" w:fill="FFFFFF"/>
        </w:rPr>
        <w:t xml:space="preserve">The activities </w:t>
      </w:r>
      <w:proofErr w:type="gramStart"/>
      <w:r w:rsidRPr="00F84EC9">
        <w:rPr>
          <w:shd w:val="clear" w:color="auto" w:fill="FFFFFF"/>
        </w:rPr>
        <w:t>were aligned</w:t>
      </w:r>
      <w:proofErr w:type="gramEnd"/>
      <w:r w:rsidRPr="00F84EC9">
        <w:rPr>
          <w:shd w:val="clear" w:color="auto" w:fill="FFFFFF"/>
        </w:rPr>
        <w:t xml:space="preserve"> with the Development Agenda recommendations aiming at </w:t>
      </w:r>
      <w:r w:rsidR="00E448B4" w:rsidRPr="00F84EC9">
        <w:rPr>
          <w:shd w:val="clear" w:color="auto" w:fill="FFFFFF"/>
        </w:rPr>
        <w:t>strengthening institutional and technical infrastructure of IP offices and institutions</w:t>
      </w:r>
      <w:r w:rsidR="007E58FB" w:rsidRPr="00F84EC9">
        <w:rPr>
          <w:shd w:val="clear" w:color="auto" w:fill="FFFFFF"/>
        </w:rPr>
        <w:t>.</w:t>
      </w:r>
      <w:r w:rsidR="007E58FB">
        <w:rPr>
          <w:rStyle w:val="FootnoteReference"/>
          <w:shd w:val="clear" w:color="auto" w:fill="FFFFFF"/>
        </w:rPr>
        <w:footnoteReference w:id="4"/>
      </w:r>
      <w:r w:rsidR="007E58FB" w:rsidRPr="00F84EC9">
        <w:rPr>
          <w:shd w:val="clear" w:color="auto" w:fill="FFFFFF"/>
        </w:rPr>
        <w:t xml:space="preserve">  </w:t>
      </w:r>
    </w:p>
    <w:p w14:paraId="697AFDCA" w14:textId="58067A04" w:rsidR="007E58FB" w:rsidRPr="00E448B4" w:rsidRDefault="00E448B4" w:rsidP="00084A93">
      <w:pPr>
        <w:pStyle w:val="ONUME"/>
        <w:numPr>
          <w:ilvl w:val="0"/>
          <w:numId w:val="0"/>
        </w:numPr>
        <w:rPr>
          <w:shd w:val="clear" w:color="auto" w:fill="FFFFFF"/>
        </w:rPr>
      </w:pPr>
      <w:r>
        <w:rPr>
          <w:shd w:val="clear" w:color="auto" w:fill="FFFFFF"/>
        </w:rPr>
        <w:t>A.</w:t>
      </w:r>
      <w:r>
        <w:rPr>
          <w:shd w:val="clear" w:color="auto" w:fill="FFFFFF"/>
        </w:rPr>
        <w:tab/>
      </w:r>
      <w:r w:rsidR="00740042" w:rsidRPr="00740042">
        <w:rPr>
          <w:shd w:val="clear" w:color="auto" w:fill="FFFFFF"/>
        </w:rPr>
        <w:t xml:space="preserve">Technical </w:t>
      </w:r>
      <w:r w:rsidR="00E6655B">
        <w:rPr>
          <w:shd w:val="clear" w:color="auto" w:fill="FFFFFF"/>
        </w:rPr>
        <w:t>I</w:t>
      </w:r>
      <w:r w:rsidR="00740042" w:rsidRPr="00740042">
        <w:rPr>
          <w:shd w:val="clear" w:color="auto" w:fill="FFFFFF"/>
        </w:rPr>
        <w:t xml:space="preserve">nfrastructure of </w:t>
      </w:r>
      <w:r w:rsidR="00E6655B">
        <w:rPr>
          <w:shd w:val="clear" w:color="auto" w:fill="FFFFFF"/>
        </w:rPr>
        <w:t>N</w:t>
      </w:r>
      <w:r w:rsidR="00740042" w:rsidRPr="00740042">
        <w:rPr>
          <w:shd w:val="clear" w:color="auto" w:fill="FFFFFF"/>
        </w:rPr>
        <w:t xml:space="preserve">ational and </w:t>
      </w:r>
      <w:r w:rsidR="00E6655B">
        <w:rPr>
          <w:shd w:val="clear" w:color="auto" w:fill="FFFFFF"/>
        </w:rPr>
        <w:t>R</w:t>
      </w:r>
      <w:r w:rsidR="00740042" w:rsidRPr="00740042">
        <w:rPr>
          <w:shd w:val="clear" w:color="auto" w:fill="FFFFFF"/>
        </w:rPr>
        <w:t xml:space="preserve">egional IP Offices </w:t>
      </w:r>
    </w:p>
    <w:p w14:paraId="44CB5441" w14:textId="0B83D781" w:rsidR="00E62DA0" w:rsidRPr="00E62DA0" w:rsidRDefault="00E62DA0" w:rsidP="00084A93">
      <w:pPr>
        <w:pStyle w:val="ONUME"/>
      </w:pPr>
      <w:r w:rsidRPr="00E62DA0">
        <w:t xml:space="preserve">During the reporting period, the Secretariat continued to support enhancement of national and regional IP Offices’ IP business systems and technical infrastructure </w:t>
      </w:r>
      <w:proofErr w:type="gramStart"/>
      <w:r w:rsidRPr="00E62DA0">
        <w:t>so as to</w:t>
      </w:r>
      <w:proofErr w:type="gramEnd"/>
      <w:r w:rsidRPr="00E62DA0">
        <w:t xml:space="preserve"> help them provide more cost-effective and higher-quality services to their own stakeholders.  </w:t>
      </w:r>
      <w:r w:rsidRPr="00E62DA0">
        <w:rPr>
          <w:lang w:val="en" w:eastAsia="ja-JP"/>
        </w:rPr>
        <w:t>A key focus of the Program for the current biennium is to upgrade the service level of IPOs by assisting them to move to online services for filing and for IP information dissemination.  More information is available on the website of WIPO’s technical assistance program for IPOs http://www.wipo.int/global_ip/en/activities/technicalassistance/</w:t>
      </w:r>
      <w:r w:rsidRPr="00E62DA0">
        <w:rPr>
          <w:lang w:val="en-GB"/>
        </w:rPr>
        <w:t>.</w:t>
      </w:r>
      <w:r w:rsidRPr="00E62DA0">
        <w:t xml:space="preserve"> </w:t>
      </w:r>
    </w:p>
    <w:p w14:paraId="19D78DBF" w14:textId="77777777" w:rsidR="00E62DA0" w:rsidRPr="00E62DA0" w:rsidRDefault="00E62DA0" w:rsidP="00084A93">
      <w:pPr>
        <w:pStyle w:val="ONUME"/>
      </w:pPr>
      <w:proofErr w:type="gramStart"/>
      <w:r w:rsidRPr="00E62DA0">
        <w:t>The technical assistance and cooperation provided include technical consultancy;  business needs assessment;  project scoping and planning;  business process analysis;  ongoing development and deployment of customized business systems solutions for the administration of IP rights and for the exchange of priority documents, and of search and examination results;  establishment of IP databases;  assistance with digitization of IP records and preparation of data for online publications and electronic data exchange;  training and knowledge transfer to staff of IP institutions;  and support for the systems provided by WIPO.</w:t>
      </w:r>
      <w:proofErr w:type="gramEnd"/>
      <w:r w:rsidRPr="00E62DA0">
        <w:t xml:space="preserve">  The assistance takes into account WIPO Standards on IP data and information where appropriate.  On-site training, mentoring and regional training workshops account for a significant portion of the Secretariat’s activities and are critical in achieving the desired results.</w:t>
      </w:r>
    </w:p>
    <w:p w14:paraId="3AC1F9D2" w14:textId="7FBE5730" w:rsidR="00E62DA0" w:rsidRPr="00E62DA0" w:rsidRDefault="00E62DA0" w:rsidP="00084A93">
      <w:pPr>
        <w:pStyle w:val="ONUME"/>
      </w:pPr>
      <w:r w:rsidRPr="00E62DA0">
        <w:rPr>
          <w:lang w:val="en" w:eastAsia="ja-JP"/>
        </w:rPr>
        <w:t xml:space="preserve">During this period, activities </w:t>
      </w:r>
      <w:proofErr w:type="gramStart"/>
      <w:r w:rsidRPr="00E62DA0">
        <w:rPr>
          <w:lang w:val="en" w:eastAsia="ja-JP"/>
        </w:rPr>
        <w:t>were undertaken</w:t>
      </w:r>
      <w:proofErr w:type="gramEnd"/>
      <w:r w:rsidRPr="00E62DA0">
        <w:rPr>
          <w:lang w:val="en" w:eastAsia="ja-JP"/>
        </w:rPr>
        <w:t xml:space="preserve"> with 70 IPOs, including 22 regional or sub</w:t>
      </w:r>
      <w:r w:rsidR="00E6655B">
        <w:rPr>
          <w:lang w:val="en" w:eastAsia="ja-JP"/>
        </w:rPr>
        <w:noBreakHyphen/>
      </w:r>
      <w:r w:rsidRPr="00E62DA0">
        <w:rPr>
          <w:lang w:val="en" w:eastAsia="ja-JP"/>
        </w:rPr>
        <w:t xml:space="preserve">regional training workshops, in developing and least developed countries and countries in transition.  To date, 84 IPOs from those countries in all regions are actively using WIPO Business Solutions for the administration of their IP rights, in which WIPO Standards are integrated.  </w:t>
      </w:r>
    </w:p>
    <w:p w14:paraId="1012F3E4" w14:textId="77777777" w:rsidR="00084A93" w:rsidRDefault="00084A93">
      <w:r>
        <w:br w:type="page"/>
      </w:r>
    </w:p>
    <w:p w14:paraId="257B3193" w14:textId="71B7E3D6" w:rsidR="00740042" w:rsidRDefault="00740042" w:rsidP="00084A93">
      <w:pPr>
        <w:pStyle w:val="ONUME"/>
        <w:numPr>
          <w:ilvl w:val="0"/>
          <w:numId w:val="0"/>
        </w:numPr>
        <w:rPr>
          <w:shd w:val="clear" w:color="auto" w:fill="FFFFFF"/>
        </w:rPr>
      </w:pPr>
      <w:r>
        <w:lastRenderedPageBreak/>
        <w:t>B.</w:t>
      </w:r>
      <w:r>
        <w:tab/>
      </w:r>
      <w:r w:rsidRPr="00E448B4">
        <w:rPr>
          <w:shd w:val="clear" w:color="auto" w:fill="FFFFFF"/>
        </w:rPr>
        <w:t xml:space="preserve">Electronic </w:t>
      </w:r>
      <w:r w:rsidR="00E6655B">
        <w:rPr>
          <w:shd w:val="clear" w:color="auto" w:fill="FFFFFF"/>
        </w:rPr>
        <w:t>C</w:t>
      </w:r>
      <w:r w:rsidRPr="00E448B4">
        <w:rPr>
          <w:shd w:val="clear" w:color="auto" w:fill="FFFFFF"/>
        </w:rPr>
        <w:t>ommunications under the Patent Cooperation Treaty (PCT)</w:t>
      </w:r>
    </w:p>
    <w:p w14:paraId="12AFA1FA" w14:textId="3904EE9C" w:rsidR="00740042" w:rsidRDefault="00084A93" w:rsidP="00084A93">
      <w:pPr>
        <w:pStyle w:val="ONUME"/>
      </w:pPr>
      <w:r>
        <w:t>G</w:t>
      </w:r>
      <w:r w:rsidR="008A4D7C">
        <w:t xml:space="preserve">iven the strong relationship between the PLT and the PCT, the following developments during the reporting period in the context of the PCT </w:t>
      </w:r>
      <w:proofErr w:type="gramStart"/>
      <w:r w:rsidR="008A4D7C">
        <w:t>should be noted</w:t>
      </w:r>
      <w:proofErr w:type="gramEnd"/>
      <w:r w:rsidR="008A4D7C">
        <w:t xml:space="preserve">.  </w:t>
      </w:r>
    </w:p>
    <w:p w14:paraId="63D9F113" w14:textId="36347812" w:rsidR="006919FD" w:rsidRDefault="008A4D7C" w:rsidP="00084A93">
      <w:pPr>
        <w:pStyle w:val="ONUME"/>
      </w:pPr>
      <w:r>
        <w:t xml:space="preserve">The International Bureau (IB) has continued to develop and deploy the </w:t>
      </w:r>
      <w:proofErr w:type="spellStart"/>
      <w:r>
        <w:t>ePCT</w:t>
      </w:r>
      <w:proofErr w:type="spellEnd"/>
      <w:r>
        <w:t xml:space="preserve"> system.  There are now over </w:t>
      </w:r>
      <w:r w:rsidR="003B53AA">
        <w:t>58,000</w:t>
      </w:r>
      <w:r>
        <w:t xml:space="preserve"> registered users from over 100 different countries using </w:t>
      </w:r>
      <w:proofErr w:type="spellStart"/>
      <w:r>
        <w:t>ePCT</w:t>
      </w:r>
      <w:proofErr w:type="spellEnd"/>
      <w:r>
        <w:t xml:space="preserve"> to file and/or subsequently manage international applications.  The system </w:t>
      </w:r>
      <w:r w:rsidR="003B53AA">
        <w:t xml:space="preserve">is </w:t>
      </w:r>
      <w:r>
        <w:t xml:space="preserve">also </w:t>
      </w:r>
      <w:r w:rsidR="003B53AA">
        <w:t>o</w:t>
      </w:r>
      <w:r>
        <w:t xml:space="preserve">pen to national/regional </w:t>
      </w:r>
      <w:r w:rsidR="006201AF">
        <w:t>O</w:t>
      </w:r>
      <w:r>
        <w:t>ffices, which can now access the service in their roles as receiving Office (RO), International Searching Authority (ISA) and International Preliminary Examining Authority (IPEA) as well as designated Office (DO).</w:t>
      </w:r>
      <w:r w:rsidR="00746A33">
        <w:t xml:space="preserve"> </w:t>
      </w:r>
      <w:r w:rsidR="006919FD">
        <w:t xml:space="preserve"> To date, </w:t>
      </w:r>
      <w:r w:rsidR="003B53AA">
        <w:t xml:space="preserve">86 </w:t>
      </w:r>
      <w:r w:rsidR="006919FD">
        <w:t xml:space="preserve">IP </w:t>
      </w:r>
      <w:r w:rsidR="006201AF">
        <w:t>O</w:t>
      </w:r>
      <w:r w:rsidR="006919FD">
        <w:t>ffices are using these additional services.</w:t>
      </w:r>
      <w:r w:rsidR="00746A33">
        <w:t xml:space="preserve"> </w:t>
      </w:r>
    </w:p>
    <w:p w14:paraId="63C3C61F" w14:textId="6487D11A" w:rsidR="008A4D7C" w:rsidRDefault="008A4D7C" w:rsidP="00084A93">
      <w:pPr>
        <w:pStyle w:val="ONUME"/>
      </w:pPr>
      <w:r>
        <w:t xml:space="preserve">In addition, the web based filing solution, </w:t>
      </w:r>
      <w:proofErr w:type="spellStart"/>
      <w:r>
        <w:t>ePCT</w:t>
      </w:r>
      <w:proofErr w:type="spellEnd"/>
      <w:r>
        <w:t xml:space="preserve">-Filing, which is intended to supersede PCT-SAFE and provides all offices with the ability to offer an electronic filing solution to applicants, is accepted by </w:t>
      </w:r>
      <w:r w:rsidR="003B53AA">
        <w:t xml:space="preserve">56 </w:t>
      </w:r>
      <w:r>
        <w:t xml:space="preserve">ROs (as of </w:t>
      </w:r>
      <w:r w:rsidR="003B53AA">
        <w:t>June 1, 2019</w:t>
      </w:r>
      <w:r>
        <w:t xml:space="preserve">).  </w:t>
      </w:r>
      <w:r w:rsidR="00685A68">
        <w:t>T</w:t>
      </w:r>
      <w:r>
        <w:t xml:space="preserve">he </w:t>
      </w:r>
      <w:proofErr w:type="spellStart"/>
      <w:r>
        <w:t>ePCT</w:t>
      </w:r>
      <w:proofErr w:type="spellEnd"/>
      <w:r>
        <w:t xml:space="preserve"> user interface </w:t>
      </w:r>
      <w:r w:rsidR="00685A68">
        <w:t xml:space="preserve">is </w:t>
      </w:r>
      <w:r>
        <w:t xml:space="preserve">available in all languages of international publication under the PCT:  </w:t>
      </w:r>
      <w:r w:rsidR="00E6655B">
        <w:t xml:space="preserve">English, </w:t>
      </w:r>
      <w:r>
        <w:t>Arabic, Chinese, French, German, Japanese, Korean, Portuguese, Russian and Spanish.</w:t>
      </w:r>
    </w:p>
    <w:p w14:paraId="21D6C85C" w14:textId="496DD053" w:rsidR="008A4D7C" w:rsidRDefault="00D378CB" w:rsidP="00084A93">
      <w:pPr>
        <w:pStyle w:val="ONUME"/>
      </w:pPr>
      <w:r>
        <w:t>Furthermore, t</w:t>
      </w:r>
      <w:r w:rsidR="008A4D7C">
        <w:t xml:space="preserve">he IB offers fully hosted </w:t>
      </w:r>
      <w:proofErr w:type="spellStart"/>
      <w:r w:rsidR="008A4D7C">
        <w:t>ePCT</w:t>
      </w:r>
      <w:proofErr w:type="spellEnd"/>
      <w:r w:rsidR="008A4D7C">
        <w:t xml:space="preserve"> RO services compatible with the </w:t>
      </w:r>
      <w:proofErr w:type="spellStart"/>
      <w:r w:rsidR="008A4D7C">
        <w:t>ePCT</w:t>
      </w:r>
      <w:proofErr w:type="spellEnd"/>
      <w:r w:rsidR="008A4D7C">
        <w:t>-Filing web filing solution.  These services are available to offices of all Member States, which do not have the capacity or desire to develop, operate and maintain local IT infrastructure for RO</w:t>
      </w:r>
      <w:r w:rsidR="00084A93">
        <w:t> </w:t>
      </w:r>
      <w:r w:rsidR="008A4D7C">
        <w:t xml:space="preserve">operations, allowing them to offer their applicants the same level of service as that enjoyed at highly automated offices.  Participating offices only require a standard web browser and Internet connection (plus scanner for handling documents filed on paper).  The IB currently hosts </w:t>
      </w:r>
      <w:proofErr w:type="spellStart"/>
      <w:r w:rsidR="008A4D7C">
        <w:t>ePCT</w:t>
      </w:r>
      <w:proofErr w:type="spellEnd"/>
      <w:r w:rsidR="008A4D7C">
        <w:t xml:space="preserve"> servers for  a number of ROs, </w:t>
      </w:r>
      <w:r w:rsidR="003B53AA">
        <w:t xml:space="preserve">including the Offices of </w:t>
      </w:r>
      <w:r w:rsidR="003B53AA" w:rsidRPr="003B53AA">
        <w:t>Algeria, Azerbaijan, Brazil, Brunei Darussalam, Chile, Colombia, Costa Rica, Cuba, Dominican Republic, Egypt, Georgia, India, Indonesia, Iran (Islamic Republic of), Jordan, Kenya, Malaysia, Mexico, Morocco, Oman, Panama, Peru, Philippines, Qatar, Russian Federation, Saudi Arabia, Serbia, Singapore, South</w:t>
      </w:r>
      <w:r w:rsidR="00D27FB7">
        <w:t> </w:t>
      </w:r>
      <w:r w:rsidR="003B53AA" w:rsidRPr="003B53AA">
        <w:t>Africa</w:t>
      </w:r>
      <w:r w:rsidR="00E6655B">
        <w:t>,</w:t>
      </w:r>
      <w:r w:rsidR="003B53AA">
        <w:t xml:space="preserve"> as well as the Eurasian Patent Office.</w:t>
      </w:r>
    </w:p>
    <w:p w14:paraId="40A07946" w14:textId="194F98EA" w:rsidR="008A4D7C" w:rsidRDefault="008A4D7C" w:rsidP="00084A93">
      <w:pPr>
        <w:pStyle w:val="ONUME"/>
      </w:pPr>
      <w:r>
        <w:t xml:space="preserve">In addition to the services listed above, WIPO </w:t>
      </w:r>
      <w:proofErr w:type="gramStart"/>
      <w:r>
        <w:t>offers assistance</w:t>
      </w:r>
      <w:proofErr w:type="gramEnd"/>
      <w:r>
        <w:t xml:space="preserve"> to </w:t>
      </w:r>
      <w:r w:rsidR="003B53AA">
        <w:t>O</w:t>
      </w:r>
      <w:r>
        <w:t xml:space="preserve">ffices in their preparations for </w:t>
      </w:r>
      <w:proofErr w:type="spellStart"/>
      <w:r>
        <w:t>ePCT</w:t>
      </w:r>
      <w:proofErr w:type="spellEnd"/>
      <w:r>
        <w:t xml:space="preserve"> services to enter into effect.  This includes technical assistance, e.g., providing test environments to the RO in order to test the end-to-end filing process, transmittal of record copy packages to the IB, as well as legal and procedural assistance.  In addition, the WIPO Certification Authorities (CA), which distribute and manage digital certificates, have continued to operate.  </w:t>
      </w:r>
      <w:proofErr w:type="gramStart"/>
      <w:r>
        <w:t xml:space="preserve">One CA is used by applicants and office users for strong authentication access to </w:t>
      </w:r>
      <w:proofErr w:type="spellStart"/>
      <w:r>
        <w:t>ePCT</w:t>
      </w:r>
      <w:proofErr w:type="spellEnd"/>
      <w:r>
        <w:t xml:space="preserve"> services</w:t>
      </w:r>
      <w:proofErr w:type="gramEnd"/>
      <w:r>
        <w:t xml:space="preserve">.  In March 2017, two new strong authentication methods were implemented (‘one time password’ generated either by an application or </w:t>
      </w:r>
      <w:r w:rsidRPr="00E6655B">
        <w:rPr>
          <w:i/>
        </w:rPr>
        <w:t>via</w:t>
      </w:r>
      <w:r>
        <w:t xml:space="preserve"> SMS) as part of the new </w:t>
      </w:r>
      <w:proofErr w:type="spellStart"/>
      <w:r>
        <w:t>ePCT</w:t>
      </w:r>
      <w:proofErr w:type="spellEnd"/>
      <w:r>
        <w:t xml:space="preserve"> Design deployment.</w:t>
      </w:r>
    </w:p>
    <w:p w14:paraId="0A74ADEE" w14:textId="02EB1EBB" w:rsidR="008A4D7C" w:rsidRDefault="008A4D7C" w:rsidP="00084A93">
      <w:pPr>
        <w:pStyle w:val="ONUME"/>
      </w:pPr>
      <w:r>
        <w:t xml:space="preserve">Following the emergence of more efficient and accessible alternatives, transitional activities </w:t>
      </w:r>
      <w:proofErr w:type="gramStart"/>
      <w:r w:rsidR="00C165E5">
        <w:t>have been carried out</w:t>
      </w:r>
      <w:proofErr w:type="gramEnd"/>
      <w:r w:rsidR="00C165E5">
        <w:t xml:space="preserve"> </w:t>
      </w:r>
      <w:r>
        <w:t>for three legacy services that had been reported in document</w:t>
      </w:r>
      <w:r w:rsidR="00D27FB7">
        <w:t> </w:t>
      </w:r>
      <w:r>
        <w:t>WO/GA/43/15</w:t>
      </w:r>
      <w:r w:rsidR="00C165E5">
        <w:t>.  In particular, w</w:t>
      </w:r>
      <w:r>
        <w:t xml:space="preserve">ith </w:t>
      </w:r>
      <w:proofErr w:type="spellStart"/>
      <w:r>
        <w:t>ePCT</w:t>
      </w:r>
      <w:proofErr w:type="spellEnd"/>
      <w:r>
        <w:t xml:space="preserve"> superseding PCT-SAFE as the IB’s solution for electronic filing under the PCT, the number of ROs that accept electronic filings under the PCT using PCT-SAFE has reduced from 27 in 2013 to </w:t>
      </w:r>
      <w:r w:rsidR="006201AF">
        <w:t>12 as of June 1, 2019</w:t>
      </w:r>
      <w:r>
        <w:t xml:space="preserve">.  Nevertheless, updated versions of the PCT-SAFE software have continued to </w:t>
      </w:r>
      <w:proofErr w:type="gramStart"/>
      <w:r>
        <w:t>be released</w:t>
      </w:r>
      <w:proofErr w:type="gramEnd"/>
      <w:r>
        <w:t xml:space="preserve"> in a timely manner in order to support the ongoing evolution of the legal and procedural framework of the PCT, such as various PCT Rule changes.</w:t>
      </w:r>
    </w:p>
    <w:p w14:paraId="78ABA8CA" w14:textId="1854A9EF" w:rsidR="006919FD" w:rsidRPr="00084A93" w:rsidRDefault="006919FD" w:rsidP="00084A93">
      <w:pPr>
        <w:pStyle w:val="Endofdocument-Annex"/>
      </w:pPr>
      <w:r w:rsidRPr="00084A93">
        <w:t>[Annex II follows]</w:t>
      </w:r>
    </w:p>
    <w:p w14:paraId="6C775287" w14:textId="77777777" w:rsidR="006919FD" w:rsidRDefault="006919FD" w:rsidP="007E58FB">
      <w:pPr>
        <w:sectPr w:rsidR="006919FD" w:rsidSect="00B006A3">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38A5FCB4" w14:textId="77777777" w:rsidR="006919FD" w:rsidRPr="006919FD" w:rsidRDefault="006919FD" w:rsidP="006919FD">
      <w:pPr>
        <w:autoSpaceDE w:val="0"/>
        <w:autoSpaceDN w:val="0"/>
        <w:adjustRightInd w:val="0"/>
        <w:jc w:val="center"/>
        <w:rPr>
          <w:color w:val="000000"/>
          <w:szCs w:val="24"/>
        </w:rPr>
      </w:pPr>
      <w:r w:rsidRPr="006919FD">
        <w:rPr>
          <w:bCs/>
          <w:color w:val="000000"/>
          <w:szCs w:val="24"/>
        </w:rPr>
        <w:lastRenderedPageBreak/>
        <w:t>Patent Law Treaty</w:t>
      </w:r>
      <w:r w:rsidRPr="006919FD">
        <w:rPr>
          <w:bCs/>
          <w:color w:val="000000"/>
          <w:szCs w:val="24"/>
          <w:vertAlign w:val="superscript"/>
        </w:rPr>
        <w:footnoteReference w:id="5"/>
      </w:r>
    </w:p>
    <w:p w14:paraId="52DC6260" w14:textId="77777777" w:rsidR="006919FD" w:rsidRPr="006919FD" w:rsidRDefault="006919FD" w:rsidP="006919FD">
      <w:pPr>
        <w:autoSpaceDE w:val="0"/>
        <w:autoSpaceDN w:val="0"/>
        <w:adjustRightInd w:val="0"/>
        <w:jc w:val="center"/>
        <w:rPr>
          <w:color w:val="000000"/>
          <w:szCs w:val="24"/>
        </w:rPr>
      </w:pPr>
      <w:r w:rsidRPr="006919FD">
        <w:rPr>
          <w:color w:val="000000"/>
          <w:szCs w:val="24"/>
        </w:rPr>
        <w:t xml:space="preserve">(Geneva, 2000) </w:t>
      </w:r>
    </w:p>
    <w:p w14:paraId="6BB6E6AC" w14:textId="77777777" w:rsidR="006919FD" w:rsidRPr="006919FD" w:rsidRDefault="006919FD" w:rsidP="006919FD">
      <w:pPr>
        <w:autoSpaceDE w:val="0"/>
        <w:autoSpaceDN w:val="0"/>
        <w:adjustRightInd w:val="0"/>
        <w:jc w:val="center"/>
        <w:rPr>
          <w:color w:val="000000"/>
          <w:szCs w:val="24"/>
        </w:rPr>
      </w:pPr>
      <w:r w:rsidRPr="006919FD">
        <w:rPr>
          <w:bCs/>
          <w:color w:val="000000"/>
          <w:szCs w:val="24"/>
        </w:rPr>
        <w:t xml:space="preserve">Status on </w:t>
      </w:r>
      <w:r w:rsidR="00F84EC9">
        <w:rPr>
          <w:bCs/>
          <w:color w:val="000000"/>
          <w:szCs w:val="24"/>
        </w:rPr>
        <w:t>June</w:t>
      </w:r>
      <w:r w:rsidRPr="006919FD">
        <w:rPr>
          <w:bCs/>
          <w:color w:val="000000"/>
          <w:szCs w:val="24"/>
        </w:rPr>
        <w:t xml:space="preserve"> 201</w:t>
      </w:r>
      <w:r w:rsidR="00D378CB">
        <w:rPr>
          <w:bCs/>
          <w:color w:val="000000"/>
          <w:szCs w:val="24"/>
        </w:rPr>
        <w:t>9</w:t>
      </w:r>
    </w:p>
    <w:p w14:paraId="62BC409B" w14:textId="77777777" w:rsidR="006919FD" w:rsidRPr="006919FD" w:rsidRDefault="006919FD" w:rsidP="006919FD">
      <w:pPr>
        <w:autoSpaceDE w:val="0"/>
        <w:autoSpaceDN w:val="0"/>
        <w:adjustRightInd w:val="0"/>
        <w:jc w:val="center"/>
        <w:rPr>
          <w:color w:val="000000"/>
          <w:szCs w:val="24"/>
        </w:rPr>
      </w:pPr>
    </w:p>
    <w:p w14:paraId="6B075857" w14:textId="77777777" w:rsidR="006919FD" w:rsidRPr="006919FD" w:rsidRDefault="006919FD" w:rsidP="006919FD">
      <w:pPr>
        <w:autoSpaceDE w:val="0"/>
        <w:autoSpaceDN w:val="0"/>
        <w:adjustRightInd w:val="0"/>
        <w:jc w:val="center"/>
        <w:rPr>
          <w:color w:val="000000"/>
          <w:szCs w:val="24"/>
        </w:rPr>
      </w:pPr>
    </w:p>
    <w:tbl>
      <w:tblPr>
        <w:tblW w:w="0" w:type="auto"/>
        <w:tblLayout w:type="fixed"/>
        <w:tblLook w:val="01E0" w:firstRow="1" w:lastRow="1" w:firstColumn="1" w:lastColumn="1" w:noHBand="0" w:noVBand="0"/>
      </w:tblPr>
      <w:tblGrid>
        <w:gridCol w:w="3085"/>
        <w:gridCol w:w="4536"/>
      </w:tblGrid>
      <w:tr w:rsidR="006919FD" w:rsidRPr="006919FD" w14:paraId="09C1C719" w14:textId="77777777" w:rsidTr="00A50D64">
        <w:trPr>
          <w:trHeight w:val="395"/>
        </w:trPr>
        <w:tc>
          <w:tcPr>
            <w:tcW w:w="3085" w:type="dxa"/>
            <w:tcBorders>
              <w:top w:val="single" w:sz="4" w:space="0" w:color="auto"/>
              <w:bottom w:val="single" w:sz="4" w:space="0" w:color="auto"/>
            </w:tcBorders>
            <w:shd w:val="clear" w:color="auto" w:fill="auto"/>
          </w:tcPr>
          <w:p w14:paraId="13D5003D" w14:textId="77777777" w:rsidR="006919FD" w:rsidRPr="006919FD" w:rsidRDefault="006919FD" w:rsidP="00084A93"/>
          <w:p w14:paraId="6D76D6BC" w14:textId="77777777" w:rsidR="006919FD" w:rsidRPr="006919FD" w:rsidRDefault="006919FD" w:rsidP="00084A93">
            <w:pPr>
              <w:rPr>
                <w:sz w:val="18"/>
              </w:rPr>
            </w:pPr>
            <w:r w:rsidRPr="006919FD">
              <w:rPr>
                <w:sz w:val="18"/>
              </w:rPr>
              <w:t>State</w:t>
            </w:r>
          </w:p>
        </w:tc>
        <w:tc>
          <w:tcPr>
            <w:tcW w:w="4536" w:type="dxa"/>
            <w:tcBorders>
              <w:top w:val="single" w:sz="4" w:space="0" w:color="auto"/>
              <w:bottom w:val="single" w:sz="4" w:space="0" w:color="auto"/>
            </w:tcBorders>
            <w:shd w:val="clear" w:color="auto" w:fill="auto"/>
          </w:tcPr>
          <w:p w14:paraId="0318DB71" w14:textId="77777777" w:rsidR="006919FD" w:rsidRPr="006919FD" w:rsidRDefault="006919FD" w:rsidP="00084A93"/>
          <w:p w14:paraId="6BA73C50" w14:textId="77777777" w:rsidR="006919FD" w:rsidRPr="006919FD" w:rsidRDefault="006919FD" w:rsidP="00084A93">
            <w:pPr>
              <w:rPr>
                <w:sz w:val="18"/>
              </w:rPr>
            </w:pPr>
            <w:r w:rsidRPr="006919FD">
              <w:rPr>
                <w:sz w:val="18"/>
              </w:rPr>
              <w:t>Date on which State became party to the Treaty</w:t>
            </w:r>
          </w:p>
        </w:tc>
      </w:tr>
      <w:tr w:rsidR="006919FD" w:rsidRPr="006919FD" w14:paraId="4C519A5F" w14:textId="77777777" w:rsidTr="00A50D64">
        <w:tc>
          <w:tcPr>
            <w:tcW w:w="3085" w:type="dxa"/>
            <w:tcBorders>
              <w:top w:val="single" w:sz="4" w:space="0" w:color="auto"/>
            </w:tcBorders>
            <w:shd w:val="clear" w:color="auto" w:fill="auto"/>
          </w:tcPr>
          <w:p w14:paraId="69FFC233" w14:textId="77777777" w:rsidR="006919FD" w:rsidRPr="006919FD" w:rsidRDefault="006919FD" w:rsidP="00084A93">
            <w:pPr>
              <w:rPr>
                <w:sz w:val="18"/>
              </w:rPr>
            </w:pPr>
          </w:p>
        </w:tc>
        <w:tc>
          <w:tcPr>
            <w:tcW w:w="4536" w:type="dxa"/>
            <w:tcBorders>
              <w:top w:val="single" w:sz="4" w:space="0" w:color="auto"/>
            </w:tcBorders>
            <w:shd w:val="clear" w:color="auto" w:fill="auto"/>
          </w:tcPr>
          <w:p w14:paraId="13CA209B" w14:textId="77777777" w:rsidR="006919FD" w:rsidRPr="006919FD" w:rsidRDefault="006919FD" w:rsidP="00084A93">
            <w:pPr>
              <w:rPr>
                <w:sz w:val="18"/>
              </w:rPr>
            </w:pPr>
          </w:p>
        </w:tc>
      </w:tr>
      <w:tr w:rsidR="006919FD" w:rsidRPr="006919FD" w14:paraId="7D49AAAA" w14:textId="77777777" w:rsidTr="00A50D64">
        <w:tc>
          <w:tcPr>
            <w:tcW w:w="3085" w:type="dxa"/>
            <w:shd w:val="clear" w:color="auto" w:fill="auto"/>
          </w:tcPr>
          <w:p w14:paraId="719C13F6"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Albania ..........................................</w:t>
            </w:r>
            <w:proofErr w:type="gramEnd"/>
          </w:p>
        </w:tc>
        <w:tc>
          <w:tcPr>
            <w:tcW w:w="4536" w:type="dxa"/>
            <w:shd w:val="clear" w:color="auto" w:fill="auto"/>
          </w:tcPr>
          <w:p w14:paraId="0BB6C253"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May 17, 2010</w:t>
            </w:r>
          </w:p>
        </w:tc>
      </w:tr>
      <w:tr w:rsidR="00295A72" w:rsidRPr="006919FD" w14:paraId="01549B08" w14:textId="77777777" w:rsidTr="00A50D64">
        <w:tc>
          <w:tcPr>
            <w:tcW w:w="3085" w:type="dxa"/>
            <w:shd w:val="clear" w:color="auto" w:fill="auto"/>
          </w:tcPr>
          <w:p w14:paraId="0E2524A9" w14:textId="77777777" w:rsidR="00295A72" w:rsidRPr="006919FD" w:rsidRDefault="00295A72" w:rsidP="00084A93">
            <w:pPr>
              <w:rPr>
                <w:rFonts w:eastAsia="Times New Roman"/>
                <w:sz w:val="18"/>
                <w:lang w:eastAsia="en-US" w:bidi="en-US"/>
              </w:rPr>
            </w:pPr>
            <w:r w:rsidRPr="00295A72">
              <w:rPr>
                <w:rFonts w:eastAsia="Times New Roman"/>
                <w:sz w:val="18"/>
                <w:lang w:eastAsia="en-US" w:bidi="en-US"/>
              </w:rPr>
              <w:t>Antigua and Barbuda</w:t>
            </w:r>
          </w:p>
        </w:tc>
        <w:tc>
          <w:tcPr>
            <w:tcW w:w="4536" w:type="dxa"/>
            <w:shd w:val="clear" w:color="auto" w:fill="auto"/>
          </w:tcPr>
          <w:p w14:paraId="41FC2642" w14:textId="77777777" w:rsidR="00295A72" w:rsidRPr="006919FD" w:rsidRDefault="00295A72" w:rsidP="00084A93">
            <w:pPr>
              <w:rPr>
                <w:rFonts w:eastAsia="Times New Roman"/>
                <w:sz w:val="18"/>
                <w:lang w:eastAsia="en-US" w:bidi="en-US"/>
              </w:rPr>
            </w:pPr>
            <w:r w:rsidRPr="00295A72">
              <w:rPr>
                <w:rFonts w:eastAsia="Times New Roman"/>
                <w:sz w:val="18"/>
                <w:lang w:eastAsia="en-US" w:bidi="en-US"/>
              </w:rPr>
              <w:t>June 25, 2019</w:t>
            </w:r>
          </w:p>
        </w:tc>
      </w:tr>
      <w:tr w:rsidR="006919FD" w:rsidRPr="006919FD" w14:paraId="10D5E359" w14:textId="77777777" w:rsidTr="00A50D64">
        <w:tc>
          <w:tcPr>
            <w:tcW w:w="3085" w:type="dxa"/>
            <w:shd w:val="clear" w:color="auto" w:fill="auto"/>
          </w:tcPr>
          <w:p w14:paraId="25CC2859"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Armenia .........................................</w:t>
            </w:r>
            <w:proofErr w:type="gramEnd"/>
          </w:p>
        </w:tc>
        <w:tc>
          <w:tcPr>
            <w:tcW w:w="4536" w:type="dxa"/>
            <w:shd w:val="clear" w:color="auto" w:fill="auto"/>
          </w:tcPr>
          <w:p w14:paraId="243498C7"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September 17, 2013</w:t>
            </w:r>
          </w:p>
        </w:tc>
      </w:tr>
      <w:tr w:rsidR="006919FD" w:rsidRPr="006919FD" w14:paraId="01F9F640" w14:textId="77777777" w:rsidTr="00A50D64">
        <w:tc>
          <w:tcPr>
            <w:tcW w:w="3085" w:type="dxa"/>
            <w:shd w:val="clear" w:color="auto" w:fill="auto"/>
          </w:tcPr>
          <w:p w14:paraId="787F8F61"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Australia ........................................</w:t>
            </w:r>
            <w:proofErr w:type="gramEnd"/>
          </w:p>
        </w:tc>
        <w:tc>
          <w:tcPr>
            <w:tcW w:w="4536" w:type="dxa"/>
            <w:shd w:val="clear" w:color="auto" w:fill="auto"/>
          </w:tcPr>
          <w:p w14:paraId="50AC6DB7"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March 16, 2009</w:t>
            </w:r>
          </w:p>
        </w:tc>
      </w:tr>
      <w:tr w:rsidR="006919FD" w:rsidRPr="006919FD" w14:paraId="70549D40" w14:textId="77777777" w:rsidTr="00A50D64">
        <w:tc>
          <w:tcPr>
            <w:tcW w:w="3085" w:type="dxa"/>
            <w:shd w:val="clear" w:color="auto" w:fill="auto"/>
          </w:tcPr>
          <w:p w14:paraId="6D68B6E2"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Bahrain ..........................................</w:t>
            </w:r>
            <w:proofErr w:type="gramEnd"/>
          </w:p>
        </w:tc>
        <w:tc>
          <w:tcPr>
            <w:tcW w:w="4536" w:type="dxa"/>
            <w:shd w:val="clear" w:color="auto" w:fill="auto"/>
          </w:tcPr>
          <w:p w14:paraId="653D00CD"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December 15, 2005</w:t>
            </w:r>
          </w:p>
        </w:tc>
      </w:tr>
      <w:tr w:rsidR="006919FD" w:rsidRPr="006919FD" w14:paraId="539854D7" w14:textId="77777777" w:rsidTr="00A50D64">
        <w:tc>
          <w:tcPr>
            <w:tcW w:w="3085" w:type="dxa"/>
            <w:shd w:val="clear" w:color="auto" w:fill="auto"/>
          </w:tcPr>
          <w:p w14:paraId="792185D9"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Belarus...........................................</w:t>
            </w:r>
          </w:p>
        </w:tc>
        <w:tc>
          <w:tcPr>
            <w:tcW w:w="4536" w:type="dxa"/>
            <w:shd w:val="clear" w:color="auto" w:fill="auto"/>
          </w:tcPr>
          <w:p w14:paraId="1618E1BA"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October 21, 2016</w:t>
            </w:r>
          </w:p>
        </w:tc>
      </w:tr>
      <w:tr w:rsidR="006919FD" w:rsidRPr="006919FD" w14:paraId="53A838D0" w14:textId="77777777" w:rsidTr="00A50D64">
        <w:tc>
          <w:tcPr>
            <w:tcW w:w="3085" w:type="dxa"/>
            <w:shd w:val="clear" w:color="auto" w:fill="auto"/>
          </w:tcPr>
          <w:p w14:paraId="15FBA5C2"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 xml:space="preserve">Bosnia and </w:t>
            </w:r>
            <w:proofErr w:type="gramStart"/>
            <w:r w:rsidRPr="006919FD">
              <w:rPr>
                <w:rFonts w:eastAsia="Times New Roman"/>
                <w:sz w:val="18"/>
                <w:lang w:eastAsia="en-US" w:bidi="en-US"/>
              </w:rPr>
              <w:t>Herzegovina ................</w:t>
            </w:r>
            <w:proofErr w:type="gramEnd"/>
          </w:p>
        </w:tc>
        <w:tc>
          <w:tcPr>
            <w:tcW w:w="4536" w:type="dxa"/>
            <w:shd w:val="clear" w:color="auto" w:fill="auto"/>
          </w:tcPr>
          <w:p w14:paraId="7212BB4C"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May 9, 2012</w:t>
            </w:r>
          </w:p>
        </w:tc>
      </w:tr>
      <w:tr w:rsidR="006919FD" w:rsidRPr="006919FD" w14:paraId="0228A375" w14:textId="77777777" w:rsidTr="00A50D64">
        <w:tc>
          <w:tcPr>
            <w:tcW w:w="3085" w:type="dxa"/>
            <w:shd w:val="clear" w:color="auto" w:fill="auto"/>
          </w:tcPr>
          <w:p w14:paraId="7798541B"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Croatia ...........................................</w:t>
            </w:r>
            <w:proofErr w:type="gramEnd"/>
          </w:p>
        </w:tc>
        <w:tc>
          <w:tcPr>
            <w:tcW w:w="4536" w:type="dxa"/>
            <w:shd w:val="clear" w:color="auto" w:fill="auto"/>
          </w:tcPr>
          <w:p w14:paraId="29DF9A21"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April 28, 2005</w:t>
            </w:r>
          </w:p>
        </w:tc>
      </w:tr>
      <w:tr w:rsidR="00295A72" w:rsidRPr="006919FD" w14:paraId="32C1EB30" w14:textId="77777777" w:rsidTr="00A50D64">
        <w:tc>
          <w:tcPr>
            <w:tcW w:w="3085" w:type="dxa"/>
            <w:shd w:val="clear" w:color="auto" w:fill="auto"/>
          </w:tcPr>
          <w:p w14:paraId="6C136D35" w14:textId="77777777" w:rsidR="00295A72" w:rsidRPr="006919FD" w:rsidRDefault="00295A72" w:rsidP="00084A93">
            <w:pPr>
              <w:rPr>
                <w:rFonts w:eastAsia="Times New Roman"/>
                <w:sz w:val="18"/>
                <w:lang w:eastAsia="en-US" w:bidi="en-US"/>
              </w:rPr>
            </w:pPr>
            <w:r>
              <w:rPr>
                <w:rFonts w:eastAsia="Times New Roman"/>
                <w:sz w:val="18"/>
                <w:lang w:eastAsia="en-US" w:bidi="en-US"/>
              </w:rPr>
              <w:t xml:space="preserve">Democratic People’s republic of Korea </w:t>
            </w:r>
          </w:p>
        </w:tc>
        <w:tc>
          <w:tcPr>
            <w:tcW w:w="4536" w:type="dxa"/>
            <w:shd w:val="clear" w:color="auto" w:fill="auto"/>
          </w:tcPr>
          <w:p w14:paraId="405182D1" w14:textId="77777777" w:rsidR="00295A72" w:rsidRDefault="00295A72" w:rsidP="00084A93">
            <w:pPr>
              <w:rPr>
                <w:rFonts w:eastAsia="Times New Roman"/>
                <w:sz w:val="18"/>
                <w:lang w:eastAsia="en-US" w:bidi="en-US"/>
              </w:rPr>
            </w:pPr>
          </w:p>
          <w:p w14:paraId="12146060" w14:textId="77777777" w:rsidR="00295A72" w:rsidRPr="006919FD" w:rsidRDefault="00295A72" w:rsidP="00084A93">
            <w:pPr>
              <w:rPr>
                <w:rFonts w:eastAsia="Times New Roman"/>
                <w:sz w:val="18"/>
                <w:lang w:eastAsia="en-US" w:bidi="en-US"/>
              </w:rPr>
            </w:pPr>
            <w:r>
              <w:rPr>
                <w:rFonts w:eastAsia="Times New Roman"/>
                <w:sz w:val="18"/>
                <w:lang w:eastAsia="en-US" w:bidi="en-US"/>
              </w:rPr>
              <w:t>August 22, 2018</w:t>
            </w:r>
          </w:p>
        </w:tc>
      </w:tr>
      <w:tr w:rsidR="006919FD" w:rsidRPr="006919FD" w14:paraId="3530AD26" w14:textId="77777777" w:rsidTr="00A50D64">
        <w:tc>
          <w:tcPr>
            <w:tcW w:w="3085" w:type="dxa"/>
            <w:shd w:val="clear" w:color="auto" w:fill="auto"/>
          </w:tcPr>
          <w:p w14:paraId="54685FA3"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Denmark ........................................</w:t>
            </w:r>
            <w:proofErr w:type="gramEnd"/>
          </w:p>
        </w:tc>
        <w:tc>
          <w:tcPr>
            <w:tcW w:w="4536" w:type="dxa"/>
            <w:shd w:val="clear" w:color="auto" w:fill="auto"/>
          </w:tcPr>
          <w:p w14:paraId="4329C9D4"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April 28, 2005</w:t>
            </w:r>
          </w:p>
        </w:tc>
      </w:tr>
      <w:tr w:rsidR="006919FD" w:rsidRPr="006919FD" w14:paraId="4A9B6005" w14:textId="77777777" w:rsidTr="00A50D64">
        <w:tc>
          <w:tcPr>
            <w:tcW w:w="3085" w:type="dxa"/>
            <w:shd w:val="clear" w:color="auto" w:fill="auto"/>
          </w:tcPr>
          <w:p w14:paraId="276F4A32"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Estonia ...........................................</w:t>
            </w:r>
            <w:proofErr w:type="gramEnd"/>
          </w:p>
        </w:tc>
        <w:tc>
          <w:tcPr>
            <w:tcW w:w="4536" w:type="dxa"/>
            <w:shd w:val="clear" w:color="auto" w:fill="auto"/>
          </w:tcPr>
          <w:p w14:paraId="737E2D43"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April 28, 2005</w:t>
            </w:r>
          </w:p>
        </w:tc>
      </w:tr>
      <w:tr w:rsidR="006919FD" w:rsidRPr="006919FD" w14:paraId="25890BC9" w14:textId="77777777" w:rsidTr="00A50D64">
        <w:tc>
          <w:tcPr>
            <w:tcW w:w="3085" w:type="dxa"/>
            <w:shd w:val="clear" w:color="auto" w:fill="auto"/>
          </w:tcPr>
          <w:p w14:paraId="45BF833F"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Finland...........................................</w:t>
            </w:r>
          </w:p>
        </w:tc>
        <w:tc>
          <w:tcPr>
            <w:tcW w:w="4536" w:type="dxa"/>
            <w:shd w:val="clear" w:color="auto" w:fill="auto"/>
          </w:tcPr>
          <w:p w14:paraId="5F1AE326"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March 6, 2006</w:t>
            </w:r>
          </w:p>
        </w:tc>
      </w:tr>
      <w:tr w:rsidR="006919FD" w:rsidRPr="006919FD" w14:paraId="18486990" w14:textId="77777777" w:rsidTr="00A50D64">
        <w:tc>
          <w:tcPr>
            <w:tcW w:w="3085" w:type="dxa"/>
            <w:shd w:val="clear" w:color="auto" w:fill="auto"/>
          </w:tcPr>
          <w:p w14:paraId="1595F5D7"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France ............................................</w:t>
            </w:r>
            <w:proofErr w:type="gramEnd"/>
          </w:p>
        </w:tc>
        <w:tc>
          <w:tcPr>
            <w:tcW w:w="4536" w:type="dxa"/>
            <w:shd w:val="clear" w:color="auto" w:fill="auto"/>
          </w:tcPr>
          <w:p w14:paraId="3504E816"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January 5, 2010</w:t>
            </w:r>
          </w:p>
        </w:tc>
      </w:tr>
      <w:tr w:rsidR="006919FD" w:rsidRPr="006919FD" w14:paraId="2BF6ED34" w14:textId="77777777" w:rsidTr="00A50D64">
        <w:tc>
          <w:tcPr>
            <w:tcW w:w="3085" w:type="dxa"/>
            <w:shd w:val="clear" w:color="auto" w:fill="auto"/>
          </w:tcPr>
          <w:p w14:paraId="2D067D6C"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Hungary .........................................</w:t>
            </w:r>
            <w:proofErr w:type="gramEnd"/>
          </w:p>
        </w:tc>
        <w:tc>
          <w:tcPr>
            <w:tcW w:w="4536" w:type="dxa"/>
            <w:shd w:val="clear" w:color="auto" w:fill="auto"/>
          </w:tcPr>
          <w:p w14:paraId="6D067658"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March 12, 2008</w:t>
            </w:r>
          </w:p>
        </w:tc>
      </w:tr>
      <w:tr w:rsidR="006919FD" w:rsidRPr="006919FD" w14:paraId="36737322" w14:textId="77777777" w:rsidTr="00A50D64">
        <w:tc>
          <w:tcPr>
            <w:tcW w:w="3085" w:type="dxa"/>
            <w:shd w:val="clear" w:color="auto" w:fill="auto"/>
          </w:tcPr>
          <w:p w14:paraId="3AF6B8A3"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Ireland............................................</w:t>
            </w:r>
          </w:p>
        </w:tc>
        <w:tc>
          <w:tcPr>
            <w:tcW w:w="4536" w:type="dxa"/>
            <w:shd w:val="clear" w:color="auto" w:fill="auto"/>
          </w:tcPr>
          <w:p w14:paraId="26160967"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May 27, 2012</w:t>
            </w:r>
          </w:p>
        </w:tc>
      </w:tr>
      <w:tr w:rsidR="006919FD" w:rsidRPr="006919FD" w14:paraId="5C0F297D" w14:textId="77777777" w:rsidTr="00A50D64">
        <w:tc>
          <w:tcPr>
            <w:tcW w:w="3085" w:type="dxa"/>
            <w:shd w:val="clear" w:color="auto" w:fill="auto"/>
          </w:tcPr>
          <w:p w14:paraId="0614BA78"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Japan..............................................</w:t>
            </w:r>
          </w:p>
        </w:tc>
        <w:tc>
          <w:tcPr>
            <w:tcW w:w="4536" w:type="dxa"/>
            <w:shd w:val="clear" w:color="auto" w:fill="auto"/>
          </w:tcPr>
          <w:p w14:paraId="64423C46"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June 11, 2016</w:t>
            </w:r>
          </w:p>
        </w:tc>
      </w:tr>
      <w:tr w:rsidR="006919FD" w:rsidRPr="006919FD" w14:paraId="55A3D4C7" w14:textId="77777777" w:rsidTr="00A50D64">
        <w:tc>
          <w:tcPr>
            <w:tcW w:w="3085" w:type="dxa"/>
            <w:shd w:val="clear" w:color="auto" w:fill="auto"/>
          </w:tcPr>
          <w:p w14:paraId="4CB77501"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Kazakhstan ....................................</w:t>
            </w:r>
            <w:proofErr w:type="gramEnd"/>
          </w:p>
        </w:tc>
        <w:tc>
          <w:tcPr>
            <w:tcW w:w="4536" w:type="dxa"/>
            <w:shd w:val="clear" w:color="auto" w:fill="auto"/>
          </w:tcPr>
          <w:p w14:paraId="351083FA"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October 19, 2011</w:t>
            </w:r>
          </w:p>
        </w:tc>
      </w:tr>
      <w:tr w:rsidR="006919FD" w:rsidRPr="006919FD" w14:paraId="2C88D6CE" w14:textId="77777777" w:rsidTr="00A50D64">
        <w:tc>
          <w:tcPr>
            <w:tcW w:w="3085" w:type="dxa"/>
            <w:shd w:val="clear" w:color="auto" w:fill="auto"/>
          </w:tcPr>
          <w:p w14:paraId="0926B0A9"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Kyrgyzstan......................................</w:t>
            </w:r>
          </w:p>
        </w:tc>
        <w:tc>
          <w:tcPr>
            <w:tcW w:w="4536" w:type="dxa"/>
            <w:shd w:val="clear" w:color="auto" w:fill="auto"/>
          </w:tcPr>
          <w:p w14:paraId="2C53F91F"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April 28, 2005</w:t>
            </w:r>
          </w:p>
        </w:tc>
      </w:tr>
      <w:tr w:rsidR="006919FD" w:rsidRPr="006919FD" w14:paraId="136DD0D4" w14:textId="77777777" w:rsidTr="00A50D64">
        <w:tc>
          <w:tcPr>
            <w:tcW w:w="3085" w:type="dxa"/>
            <w:shd w:val="clear" w:color="auto" w:fill="auto"/>
          </w:tcPr>
          <w:p w14:paraId="18A56DB0"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Latvia.............................................</w:t>
            </w:r>
          </w:p>
        </w:tc>
        <w:tc>
          <w:tcPr>
            <w:tcW w:w="4536" w:type="dxa"/>
            <w:shd w:val="clear" w:color="auto" w:fill="auto"/>
          </w:tcPr>
          <w:p w14:paraId="1D6DAC0B"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June 12, 2010</w:t>
            </w:r>
          </w:p>
        </w:tc>
      </w:tr>
      <w:tr w:rsidR="006919FD" w:rsidRPr="006919FD" w14:paraId="58588277" w14:textId="77777777" w:rsidTr="00A50D64">
        <w:tc>
          <w:tcPr>
            <w:tcW w:w="3085" w:type="dxa"/>
            <w:shd w:val="clear" w:color="auto" w:fill="auto"/>
          </w:tcPr>
          <w:p w14:paraId="76F11CA5"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Liberia ...........................................</w:t>
            </w:r>
            <w:proofErr w:type="gramEnd"/>
          </w:p>
        </w:tc>
        <w:tc>
          <w:tcPr>
            <w:tcW w:w="4536" w:type="dxa"/>
            <w:shd w:val="clear" w:color="auto" w:fill="auto"/>
          </w:tcPr>
          <w:p w14:paraId="1AE4D8A9"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January 4, 2017</w:t>
            </w:r>
          </w:p>
        </w:tc>
      </w:tr>
      <w:tr w:rsidR="006919FD" w:rsidRPr="006919FD" w14:paraId="5721F7B0" w14:textId="77777777" w:rsidTr="00A50D64">
        <w:tc>
          <w:tcPr>
            <w:tcW w:w="3085" w:type="dxa"/>
            <w:shd w:val="clear" w:color="auto" w:fill="auto"/>
          </w:tcPr>
          <w:p w14:paraId="5691FC7A"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Liechtenstein..................................</w:t>
            </w:r>
          </w:p>
        </w:tc>
        <w:tc>
          <w:tcPr>
            <w:tcW w:w="4536" w:type="dxa"/>
            <w:shd w:val="clear" w:color="auto" w:fill="auto"/>
          </w:tcPr>
          <w:p w14:paraId="398FA7B7"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December 18, 2009</w:t>
            </w:r>
          </w:p>
        </w:tc>
      </w:tr>
      <w:tr w:rsidR="006919FD" w:rsidRPr="006919FD" w14:paraId="654BA36F" w14:textId="77777777" w:rsidTr="00A50D64">
        <w:tc>
          <w:tcPr>
            <w:tcW w:w="3085" w:type="dxa"/>
            <w:shd w:val="clear" w:color="auto" w:fill="auto"/>
          </w:tcPr>
          <w:p w14:paraId="4D27FD78"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Lithuania.......................................</w:t>
            </w:r>
          </w:p>
        </w:tc>
        <w:tc>
          <w:tcPr>
            <w:tcW w:w="4536" w:type="dxa"/>
            <w:shd w:val="clear" w:color="auto" w:fill="auto"/>
          </w:tcPr>
          <w:p w14:paraId="1233B8F7"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February 3, 2012</w:t>
            </w:r>
          </w:p>
        </w:tc>
      </w:tr>
      <w:tr w:rsidR="006919FD" w:rsidRPr="006919FD" w14:paraId="57B40662" w14:textId="77777777" w:rsidTr="00A50D64">
        <w:tc>
          <w:tcPr>
            <w:tcW w:w="3085" w:type="dxa"/>
            <w:shd w:val="clear" w:color="auto" w:fill="auto"/>
          </w:tcPr>
          <w:p w14:paraId="21C9D303"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Montenegro...................................</w:t>
            </w:r>
          </w:p>
        </w:tc>
        <w:tc>
          <w:tcPr>
            <w:tcW w:w="4536" w:type="dxa"/>
            <w:shd w:val="clear" w:color="auto" w:fill="auto"/>
          </w:tcPr>
          <w:p w14:paraId="56B0CCF7"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March 9, 2012</w:t>
            </w:r>
          </w:p>
        </w:tc>
      </w:tr>
      <w:tr w:rsidR="006919FD" w:rsidRPr="006919FD" w14:paraId="66FABE1F" w14:textId="77777777" w:rsidTr="00A50D64">
        <w:tc>
          <w:tcPr>
            <w:tcW w:w="3085" w:type="dxa"/>
            <w:shd w:val="clear" w:color="auto" w:fill="auto"/>
          </w:tcPr>
          <w:p w14:paraId="3065B199"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Netherlands .................................</w:t>
            </w:r>
            <w:proofErr w:type="gramEnd"/>
          </w:p>
        </w:tc>
        <w:tc>
          <w:tcPr>
            <w:tcW w:w="4536" w:type="dxa"/>
            <w:shd w:val="clear" w:color="auto" w:fill="auto"/>
          </w:tcPr>
          <w:p w14:paraId="485B05CF"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December 27, 2010</w:t>
            </w:r>
          </w:p>
        </w:tc>
      </w:tr>
      <w:tr w:rsidR="006919FD" w:rsidRPr="006919FD" w14:paraId="2EE361EB" w14:textId="77777777" w:rsidTr="00A50D64">
        <w:tc>
          <w:tcPr>
            <w:tcW w:w="3085" w:type="dxa"/>
            <w:shd w:val="clear" w:color="auto" w:fill="auto"/>
          </w:tcPr>
          <w:p w14:paraId="3C5CA8FE"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Nigeria .........................................</w:t>
            </w:r>
            <w:proofErr w:type="gramEnd"/>
          </w:p>
        </w:tc>
        <w:tc>
          <w:tcPr>
            <w:tcW w:w="4536" w:type="dxa"/>
            <w:shd w:val="clear" w:color="auto" w:fill="auto"/>
          </w:tcPr>
          <w:p w14:paraId="49CBEA2B"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April 28, 2005</w:t>
            </w:r>
          </w:p>
        </w:tc>
      </w:tr>
      <w:tr w:rsidR="00295A72" w:rsidRPr="006919FD" w14:paraId="39C57643" w14:textId="77777777" w:rsidTr="00A50D64">
        <w:tc>
          <w:tcPr>
            <w:tcW w:w="3085" w:type="dxa"/>
            <w:shd w:val="clear" w:color="auto" w:fill="auto"/>
          </w:tcPr>
          <w:p w14:paraId="6430363B" w14:textId="77777777" w:rsidR="00295A72" w:rsidRPr="006919FD" w:rsidRDefault="00295A72" w:rsidP="00084A93">
            <w:pPr>
              <w:rPr>
                <w:rFonts w:eastAsia="Times New Roman"/>
                <w:sz w:val="18"/>
                <w:lang w:eastAsia="en-US" w:bidi="en-US"/>
              </w:rPr>
            </w:pPr>
            <w:r w:rsidRPr="00295A72">
              <w:rPr>
                <w:rFonts w:eastAsia="Times New Roman"/>
                <w:sz w:val="18"/>
                <w:lang w:eastAsia="en-US" w:bidi="en-US"/>
              </w:rPr>
              <w:t>North Macedonia</w:t>
            </w:r>
          </w:p>
        </w:tc>
        <w:tc>
          <w:tcPr>
            <w:tcW w:w="4536" w:type="dxa"/>
            <w:shd w:val="clear" w:color="auto" w:fill="auto"/>
          </w:tcPr>
          <w:p w14:paraId="289D68AD" w14:textId="77777777" w:rsidR="00295A72" w:rsidRPr="006919FD" w:rsidRDefault="00295A72" w:rsidP="00084A93">
            <w:pPr>
              <w:rPr>
                <w:rFonts w:eastAsia="Times New Roman"/>
                <w:sz w:val="18"/>
                <w:lang w:eastAsia="en-US" w:bidi="en-US"/>
              </w:rPr>
            </w:pPr>
            <w:r w:rsidRPr="00295A72">
              <w:rPr>
                <w:rFonts w:eastAsia="Times New Roman"/>
                <w:sz w:val="18"/>
                <w:lang w:eastAsia="en-US" w:bidi="en-US"/>
              </w:rPr>
              <w:t>April 22, 2010</w:t>
            </w:r>
          </w:p>
        </w:tc>
      </w:tr>
      <w:tr w:rsidR="006919FD" w:rsidRPr="006919FD" w14:paraId="766462EF" w14:textId="77777777" w:rsidTr="00A50D64">
        <w:tc>
          <w:tcPr>
            <w:tcW w:w="3085" w:type="dxa"/>
            <w:shd w:val="clear" w:color="auto" w:fill="auto"/>
          </w:tcPr>
          <w:p w14:paraId="6756B1C4"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Oman ...........................................</w:t>
            </w:r>
            <w:proofErr w:type="gramEnd"/>
          </w:p>
        </w:tc>
        <w:tc>
          <w:tcPr>
            <w:tcW w:w="4536" w:type="dxa"/>
            <w:shd w:val="clear" w:color="auto" w:fill="auto"/>
          </w:tcPr>
          <w:p w14:paraId="03EEACB6"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October 16, 2007</w:t>
            </w:r>
          </w:p>
        </w:tc>
      </w:tr>
      <w:tr w:rsidR="006919FD" w:rsidRPr="006919FD" w14:paraId="791324F3" w14:textId="77777777" w:rsidTr="00A50D64">
        <w:tc>
          <w:tcPr>
            <w:tcW w:w="3085" w:type="dxa"/>
            <w:shd w:val="clear" w:color="auto" w:fill="auto"/>
          </w:tcPr>
          <w:p w14:paraId="04345A19"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 xml:space="preserve">Republic of </w:t>
            </w:r>
            <w:proofErr w:type="gramStart"/>
            <w:r w:rsidRPr="006919FD">
              <w:rPr>
                <w:rFonts w:eastAsia="Times New Roman"/>
                <w:sz w:val="18"/>
                <w:lang w:eastAsia="en-US" w:bidi="en-US"/>
              </w:rPr>
              <w:t>Moldova ....................</w:t>
            </w:r>
            <w:proofErr w:type="gramEnd"/>
          </w:p>
        </w:tc>
        <w:tc>
          <w:tcPr>
            <w:tcW w:w="4536" w:type="dxa"/>
            <w:shd w:val="clear" w:color="auto" w:fill="auto"/>
          </w:tcPr>
          <w:p w14:paraId="67711A84"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April 28, 2005</w:t>
            </w:r>
          </w:p>
        </w:tc>
      </w:tr>
      <w:tr w:rsidR="006919FD" w:rsidRPr="006919FD" w14:paraId="629AD4F1" w14:textId="77777777" w:rsidTr="00A50D64">
        <w:tc>
          <w:tcPr>
            <w:tcW w:w="3085" w:type="dxa"/>
            <w:shd w:val="clear" w:color="auto" w:fill="auto"/>
          </w:tcPr>
          <w:p w14:paraId="6E7D66CD"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Romania.......................................</w:t>
            </w:r>
          </w:p>
        </w:tc>
        <w:tc>
          <w:tcPr>
            <w:tcW w:w="4536" w:type="dxa"/>
            <w:shd w:val="clear" w:color="auto" w:fill="auto"/>
          </w:tcPr>
          <w:p w14:paraId="5BDDAF4C"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April 28, 2005</w:t>
            </w:r>
          </w:p>
        </w:tc>
      </w:tr>
      <w:tr w:rsidR="006919FD" w:rsidRPr="006919FD" w14:paraId="2EB8F203" w14:textId="77777777" w:rsidTr="00A50D64">
        <w:tc>
          <w:tcPr>
            <w:tcW w:w="3085" w:type="dxa"/>
            <w:shd w:val="clear" w:color="auto" w:fill="auto"/>
          </w:tcPr>
          <w:p w14:paraId="68E815B0" w14:textId="24E6A752" w:rsidR="006919FD" w:rsidRPr="006919FD" w:rsidRDefault="006919FD" w:rsidP="00084A93">
            <w:pPr>
              <w:rPr>
                <w:rFonts w:eastAsia="Times New Roman"/>
                <w:sz w:val="18"/>
                <w:lang w:eastAsia="en-US" w:bidi="en-US"/>
              </w:rPr>
            </w:pPr>
            <w:r w:rsidRPr="006919FD">
              <w:rPr>
                <w:rFonts w:eastAsia="Times New Roman"/>
                <w:sz w:val="18"/>
                <w:lang w:eastAsia="en-US" w:bidi="en-US"/>
              </w:rPr>
              <w:t>Russian Federation</w:t>
            </w:r>
            <w:hyperlink w:anchor="_bookmark1" w:history="1">
              <w:r w:rsidRPr="006919FD">
                <w:rPr>
                  <w:rFonts w:eastAsia="Times New Roman"/>
                  <w:position w:val="6"/>
                  <w:sz w:val="18"/>
                  <w:vertAlign w:val="superscript"/>
                  <w:lang w:eastAsia="en-US" w:bidi="en-US"/>
                </w:rPr>
                <w:footnoteReference w:id="6"/>
              </w:r>
              <w:r w:rsidRPr="006919FD">
                <w:rPr>
                  <w:rFonts w:eastAsia="Times New Roman"/>
                  <w:position w:val="6"/>
                  <w:sz w:val="18"/>
                  <w:lang w:eastAsia="en-US" w:bidi="en-US"/>
                </w:rPr>
                <w:t xml:space="preserve"> </w:t>
              </w:r>
            </w:hyperlink>
            <w:r w:rsidRPr="006919FD">
              <w:rPr>
                <w:rFonts w:eastAsia="Times New Roman"/>
                <w:sz w:val="18"/>
                <w:lang w:eastAsia="en-US" w:bidi="en-US"/>
              </w:rPr>
              <w:t>....................</w:t>
            </w:r>
          </w:p>
        </w:tc>
        <w:tc>
          <w:tcPr>
            <w:tcW w:w="4536" w:type="dxa"/>
            <w:shd w:val="clear" w:color="auto" w:fill="auto"/>
          </w:tcPr>
          <w:p w14:paraId="2A94EF9C"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August 12, 2009</w:t>
            </w:r>
          </w:p>
        </w:tc>
      </w:tr>
      <w:tr w:rsidR="006919FD" w:rsidRPr="006919FD" w14:paraId="5EEADCBE" w14:textId="77777777" w:rsidTr="00A50D64">
        <w:tc>
          <w:tcPr>
            <w:tcW w:w="3085" w:type="dxa"/>
            <w:shd w:val="clear" w:color="auto" w:fill="auto"/>
          </w:tcPr>
          <w:p w14:paraId="08293BBA"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 xml:space="preserve">Saudi </w:t>
            </w:r>
            <w:proofErr w:type="gramStart"/>
            <w:r w:rsidRPr="006919FD">
              <w:rPr>
                <w:rFonts w:eastAsia="Times New Roman"/>
                <w:sz w:val="18"/>
                <w:lang w:eastAsia="en-US" w:bidi="en-US"/>
              </w:rPr>
              <w:t>Arabia ................................</w:t>
            </w:r>
            <w:proofErr w:type="gramEnd"/>
          </w:p>
        </w:tc>
        <w:tc>
          <w:tcPr>
            <w:tcW w:w="4536" w:type="dxa"/>
            <w:shd w:val="clear" w:color="auto" w:fill="auto"/>
          </w:tcPr>
          <w:p w14:paraId="30E511DB"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August 3, 2013</w:t>
            </w:r>
          </w:p>
        </w:tc>
      </w:tr>
      <w:tr w:rsidR="006919FD" w:rsidRPr="006919FD" w14:paraId="0D2F516E" w14:textId="77777777" w:rsidTr="00A50D64">
        <w:tc>
          <w:tcPr>
            <w:tcW w:w="3085" w:type="dxa"/>
            <w:shd w:val="clear" w:color="auto" w:fill="auto"/>
          </w:tcPr>
          <w:p w14:paraId="73234B39"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Serbia ..........................................</w:t>
            </w:r>
            <w:proofErr w:type="gramEnd"/>
          </w:p>
        </w:tc>
        <w:tc>
          <w:tcPr>
            <w:tcW w:w="4536" w:type="dxa"/>
            <w:shd w:val="clear" w:color="auto" w:fill="auto"/>
          </w:tcPr>
          <w:p w14:paraId="2C09C09F"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August 20, 2010</w:t>
            </w:r>
          </w:p>
        </w:tc>
      </w:tr>
      <w:tr w:rsidR="006919FD" w:rsidRPr="006919FD" w14:paraId="5B92E371" w14:textId="77777777" w:rsidTr="00A50D64">
        <w:tc>
          <w:tcPr>
            <w:tcW w:w="3085" w:type="dxa"/>
            <w:shd w:val="clear" w:color="auto" w:fill="auto"/>
          </w:tcPr>
          <w:p w14:paraId="6B53AF3E"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Slovakia .......................................</w:t>
            </w:r>
            <w:proofErr w:type="gramEnd"/>
          </w:p>
        </w:tc>
        <w:tc>
          <w:tcPr>
            <w:tcW w:w="4536" w:type="dxa"/>
            <w:shd w:val="clear" w:color="auto" w:fill="auto"/>
          </w:tcPr>
          <w:p w14:paraId="0476C5E7"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April 28, 2005</w:t>
            </w:r>
          </w:p>
        </w:tc>
      </w:tr>
      <w:tr w:rsidR="006919FD" w:rsidRPr="006919FD" w14:paraId="6455F269" w14:textId="77777777" w:rsidTr="00A50D64">
        <w:tc>
          <w:tcPr>
            <w:tcW w:w="3085" w:type="dxa"/>
            <w:shd w:val="clear" w:color="auto" w:fill="auto"/>
          </w:tcPr>
          <w:p w14:paraId="2D2C4C8E"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Slovenia .......................................</w:t>
            </w:r>
            <w:proofErr w:type="gramEnd"/>
          </w:p>
        </w:tc>
        <w:tc>
          <w:tcPr>
            <w:tcW w:w="4536" w:type="dxa"/>
            <w:shd w:val="clear" w:color="auto" w:fill="auto"/>
          </w:tcPr>
          <w:p w14:paraId="1781A9A6"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April 28, 2005</w:t>
            </w:r>
          </w:p>
        </w:tc>
      </w:tr>
      <w:tr w:rsidR="006919FD" w:rsidRPr="006919FD" w14:paraId="4AB8B645" w14:textId="77777777" w:rsidTr="00A50D64">
        <w:tc>
          <w:tcPr>
            <w:tcW w:w="3085" w:type="dxa"/>
            <w:shd w:val="clear" w:color="auto" w:fill="auto"/>
          </w:tcPr>
          <w:p w14:paraId="50418D52"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Spain ............................................</w:t>
            </w:r>
            <w:proofErr w:type="gramEnd"/>
          </w:p>
        </w:tc>
        <w:tc>
          <w:tcPr>
            <w:tcW w:w="4536" w:type="dxa"/>
            <w:shd w:val="clear" w:color="auto" w:fill="auto"/>
          </w:tcPr>
          <w:p w14:paraId="7DD76132"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November 6, 2013</w:t>
            </w:r>
          </w:p>
        </w:tc>
      </w:tr>
      <w:tr w:rsidR="006919FD" w:rsidRPr="006919FD" w14:paraId="02A5708B" w14:textId="77777777" w:rsidTr="00A50D64">
        <w:tc>
          <w:tcPr>
            <w:tcW w:w="3085" w:type="dxa"/>
            <w:shd w:val="clear" w:color="auto" w:fill="auto"/>
          </w:tcPr>
          <w:p w14:paraId="2B355FB1"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Sweden.........................................</w:t>
            </w:r>
          </w:p>
        </w:tc>
        <w:tc>
          <w:tcPr>
            <w:tcW w:w="4536" w:type="dxa"/>
            <w:shd w:val="clear" w:color="auto" w:fill="auto"/>
          </w:tcPr>
          <w:p w14:paraId="39A4CEFC"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December 27, 2007</w:t>
            </w:r>
          </w:p>
        </w:tc>
      </w:tr>
      <w:tr w:rsidR="006919FD" w:rsidRPr="006919FD" w14:paraId="66D303D4" w14:textId="77777777" w:rsidTr="00A50D64">
        <w:tc>
          <w:tcPr>
            <w:tcW w:w="3085" w:type="dxa"/>
            <w:shd w:val="clear" w:color="auto" w:fill="auto"/>
          </w:tcPr>
          <w:p w14:paraId="1FDB338E"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Switzerland ..................................</w:t>
            </w:r>
            <w:proofErr w:type="gramEnd"/>
          </w:p>
        </w:tc>
        <w:tc>
          <w:tcPr>
            <w:tcW w:w="4536" w:type="dxa"/>
            <w:shd w:val="clear" w:color="auto" w:fill="auto"/>
          </w:tcPr>
          <w:p w14:paraId="375584C3"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July 1, 2008</w:t>
            </w:r>
          </w:p>
        </w:tc>
      </w:tr>
      <w:tr w:rsidR="006919FD" w:rsidRPr="006919FD" w14:paraId="619A654B" w14:textId="77777777" w:rsidTr="00A50D64">
        <w:tc>
          <w:tcPr>
            <w:tcW w:w="3085" w:type="dxa"/>
            <w:shd w:val="clear" w:color="auto" w:fill="auto"/>
          </w:tcPr>
          <w:p w14:paraId="4846D7CC"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Ukraine ........................................</w:t>
            </w:r>
            <w:proofErr w:type="gramEnd"/>
          </w:p>
        </w:tc>
        <w:tc>
          <w:tcPr>
            <w:tcW w:w="4536" w:type="dxa"/>
            <w:shd w:val="clear" w:color="auto" w:fill="auto"/>
          </w:tcPr>
          <w:p w14:paraId="60D189A5"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April 28, 2005</w:t>
            </w:r>
          </w:p>
        </w:tc>
      </w:tr>
      <w:tr w:rsidR="006919FD" w:rsidRPr="006919FD" w14:paraId="072D895F" w14:textId="77777777" w:rsidTr="00A50D64">
        <w:tc>
          <w:tcPr>
            <w:tcW w:w="3085" w:type="dxa"/>
            <w:shd w:val="clear" w:color="auto" w:fill="auto"/>
          </w:tcPr>
          <w:p w14:paraId="7B2CCCBA"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United Kingdom</w:t>
            </w:r>
            <w:r w:rsidRPr="006919FD">
              <w:rPr>
                <w:rFonts w:eastAsia="Times New Roman"/>
                <w:sz w:val="18"/>
                <w:vertAlign w:val="superscript"/>
                <w:lang w:eastAsia="en-US" w:bidi="en-US"/>
              </w:rPr>
              <w:footnoteReference w:id="7"/>
            </w:r>
            <w:r w:rsidRPr="006919FD">
              <w:rPr>
                <w:rFonts w:eastAsia="Times New Roman"/>
                <w:sz w:val="18"/>
                <w:lang w:eastAsia="en-US" w:bidi="en-US"/>
              </w:rPr>
              <w:t>...........................</w:t>
            </w:r>
          </w:p>
        </w:tc>
        <w:tc>
          <w:tcPr>
            <w:tcW w:w="4536" w:type="dxa"/>
            <w:shd w:val="clear" w:color="auto" w:fill="auto"/>
          </w:tcPr>
          <w:p w14:paraId="00B6FDA6"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March 22, 2006</w:t>
            </w:r>
          </w:p>
        </w:tc>
      </w:tr>
      <w:tr w:rsidR="006919FD" w:rsidRPr="006919FD" w14:paraId="6832C9D4" w14:textId="77777777" w:rsidTr="00A50D64">
        <w:tc>
          <w:tcPr>
            <w:tcW w:w="3085" w:type="dxa"/>
            <w:shd w:val="clear" w:color="auto" w:fill="auto"/>
          </w:tcPr>
          <w:p w14:paraId="78FBC099"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United States of America</w:t>
            </w:r>
            <w:r w:rsidRPr="006919FD">
              <w:rPr>
                <w:rFonts w:eastAsia="Times New Roman"/>
                <w:sz w:val="18"/>
                <w:vertAlign w:val="superscript"/>
                <w:lang w:eastAsia="en-US" w:bidi="en-US"/>
              </w:rPr>
              <w:t>2</w:t>
            </w:r>
            <w:r w:rsidRPr="006919FD">
              <w:rPr>
                <w:rFonts w:eastAsia="Times New Roman"/>
                <w:sz w:val="18"/>
                <w:lang w:eastAsia="en-US" w:bidi="en-US"/>
              </w:rPr>
              <w:t>...........</w:t>
            </w:r>
          </w:p>
        </w:tc>
        <w:tc>
          <w:tcPr>
            <w:tcW w:w="4536" w:type="dxa"/>
            <w:shd w:val="clear" w:color="auto" w:fill="auto"/>
          </w:tcPr>
          <w:p w14:paraId="6D18B709"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December 18, 2013</w:t>
            </w:r>
          </w:p>
        </w:tc>
      </w:tr>
      <w:tr w:rsidR="006919FD" w:rsidRPr="006919FD" w14:paraId="7AD6D70F" w14:textId="77777777" w:rsidTr="00A50D64">
        <w:tc>
          <w:tcPr>
            <w:tcW w:w="3085" w:type="dxa"/>
            <w:shd w:val="clear" w:color="auto" w:fill="auto"/>
          </w:tcPr>
          <w:p w14:paraId="7F75CA11" w14:textId="77777777" w:rsidR="006919FD" w:rsidRPr="006919FD" w:rsidRDefault="006919FD" w:rsidP="00084A93">
            <w:pPr>
              <w:rPr>
                <w:rFonts w:eastAsia="Times New Roman"/>
                <w:sz w:val="18"/>
                <w:lang w:eastAsia="en-US" w:bidi="en-US"/>
              </w:rPr>
            </w:pPr>
            <w:proofErr w:type="gramStart"/>
            <w:r w:rsidRPr="006919FD">
              <w:rPr>
                <w:rFonts w:eastAsia="Times New Roman"/>
                <w:sz w:val="18"/>
                <w:lang w:eastAsia="en-US" w:bidi="en-US"/>
              </w:rPr>
              <w:t>Uzbekistan ...................................</w:t>
            </w:r>
            <w:proofErr w:type="gramEnd"/>
          </w:p>
        </w:tc>
        <w:tc>
          <w:tcPr>
            <w:tcW w:w="4536" w:type="dxa"/>
            <w:shd w:val="clear" w:color="auto" w:fill="auto"/>
          </w:tcPr>
          <w:p w14:paraId="64D5D846" w14:textId="77777777" w:rsidR="006919FD" w:rsidRPr="006919FD" w:rsidRDefault="006919FD" w:rsidP="00084A93">
            <w:pPr>
              <w:rPr>
                <w:rFonts w:eastAsia="Times New Roman"/>
                <w:sz w:val="18"/>
                <w:lang w:eastAsia="en-US" w:bidi="en-US"/>
              </w:rPr>
            </w:pPr>
            <w:r w:rsidRPr="006919FD">
              <w:rPr>
                <w:rFonts w:eastAsia="Times New Roman"/>
                <w:sz w:val="18"/>
                <w:lang w:eastAsia="en-US" w:bidi="en-US"/>
              </w:rPr>
              <w:t>July 19, 2006</w:t>
            </w:r>
          </w:p>
        </w:tc>
      </w:tr>
      <w:tr w:rsidR="006919FD" w:rsidRPr="006919FD" w14:paraId="773284C6" w14:textId="77777777" w:rsidTr="00A50D64">
        <w:tc>
          <w:tcPr>
            <w:tcW w:w="3085" w:type="dxa"/>
            <w:shd w:val="clear" w:color="auto" w:fill="auto"/>
          </w:tcPr>
          <w:p w14:paraId="1F054E4A" w14:textId="77777777" w:rsidR="006919FD" w:rsidRPr="006919FD" w:rsidRDefault="006919FD" w:rsidP="00084A93">
            <w:pPr>
              <w:rPr>
                <w:rFonts w:eastAsia="Times New Roman"/>
                <w:sz w:val="18"/>
                <w:lang w:eastAsia="en-US" w:bidi="en-US"/>
              </w:rPr>
            </w:pPr>
          </w:p>
        </w:tc>
        <w:tc>
          <w:tcPr>
            <w:tcW w:w="4536" w:type="dxa"/>
            <w:shd w:val="clear" w:color="auto" w:fill="auto"/>
          </w:tcPr>
          <w:p w14:paraId="29993FD5" w14:textId="77777777" w:rsidR="006919FD" w:rsidRPr="006919FD" w:rsidRDefault="006919FD" w:rsidP="00084A93">
            <w:pPr>
              <w:rPr>
                <w:rFonts w:eastAsia="Times New Roman"/>
                <w:sz w:val="18"/>
                <w:lang w:eastAsia="en-US" w:bidi="en-US"/>
              </w:rPr>
            </w:pPr>
          </w:p>
        </w:tc>
      </w:tr>
      <w:tr w:rsidR="006919FD" w:rsidRPr="006919FD" w14:paraId="6BC0F4A7" w14:textId="77777777" w:rsidTr="00A50D64">
        <w:tc>
          <w:tcPr>
            <w:tcW w:w="3085" w:type="dxa"/>
            <w:shd w:val="clear" w:color="auto" w:fill="auto"/>
          </w:tcPr>
          <w:p w14:paraId="681C9B2F" w14:textId="77777777" w:rsidR="006919FD" w:rsidRPr="006919FD" w:rsidRDefault="006919FD" w:rsidP="006919FD">
            <w:pPr>
              <w:tabs>
                <w:tab w:val="left" w:leader="dot" w:pos="2665"/>
              </w:tabs>
              <w:autoSpaceDE w:val="0"/>
              <w:autoSpaceDN w:val="0"/>
              <w:adjustRightInd w:val="0"/>
              <w:ind w:right="229"/>
              <w:rPr>
                <w:sz w:val="18"/>
                <w:szCs w:val="18"/>
              </w:rPr>
            </w:pPr>
          </w:p>
        </w:tc>
        <w:tc>
          <w:tcPr>
            <w:tcW w:w="4536" w:type="dxa"/>
            <w:shd w:val="clear" w:color="auto" w:fill="auto"/>
          </w:tcPr>
          <w:p w14:paraId="2C7A52A3" w14:textId="77777777" w:rsidR="006919FD" w:rsidRPr="006919FD" w:rsidRDefault="006919FD" w:rsidP="006919FD">
            <w:pPr>
              <w:autoSpaceDE w:val="0"/>
              <w:autoSpaceDN w:val="0"/>
              <w:adjustRightInd w:val="0"/>
              <w:rPr>
                <w:color w:val="000000"/>
                <w:sz w:val="18"/>
                <w:szCs w:val="18"/>
              </w:rPr>
            </w:pPr>
          </w:p>
        </w:tc>
      </w:tr>
    </w:tbl>
    <w:p w14:paraId="6476A8C5" w14:textId="477EC0D3" w:rsidR="006919FD" w:rsidRDefault="006919FD" w:rsidP="00084A93">
      <w:pPr>
        <w:pStyle w:val="ONUME"/>
        <w:numPr>
          <w:ilvl w:val="0"/>
          <w:numId w:val="0"/>
        </w:numPr>
        <w:rPr>
          <w:shd w:val="clear" w:color="auto" w:fill="FFFFFF"/>
        </w:rPr>
      </w:pPr>
      <w:r w:rsidRPr="006919FD">
        <w:rPr>
          <w:shd w:val="clear" w:color="auto" w:fill="FFFFFF"/>
        </w:rPr>
        <w:t xml:space="preserve">(Total:  </w:t>
      </w:r>
      <w:r w:rsidR="00295A72">
        <w:rPr>
          <w:shd w:val="clear" w:color="auto" w:fill="FFFFFF"/>
        </w:rPr>
        <w:t>41</w:t>
      </w:r>
      <w:r w:rsidRPr="006919FD">
        <w:rPr>
          <w:shd w:val="clear" w:color="auto" w:fill="FFFFFF"/>
        </w:rPr>
        <w:t xml:space="preserve"> States)</w:t>
      </w:r>
    </w:p>
    <w:p w14:paraId="5DB76E2B" w14:textId="77777777" w:rsidR="006919FD" w:rsidRPr="006919FD" w:rsidRDefault="006919FD" w:rsidP="00084A93">
      <w:pPr>
        <w:pStyle w:val="Endofdocument-Annex"/>
      </w:pPr>
      <w:r w:rsidRPr="006919FD">
        <w:t>[End of Annex II and of document]</w:t>
      </w:r>
    </w:p>
    <w:sectPr w:rsidR="006919FD" w:rsidRPr="006919FD" w:rsidSect="00021BB8">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5AC55" w14:textId="77777777" w:rsidR="00B006A3" w:rsidRDefault="00B006A3">
      <w:r>
        <w:separator/>
      </w:r>
    </w:p>
  </w:endnote>
  <w:endnote w:type="continuationSeparator" w:id="0">
    <w:p w14:paraId="65A3AA0F" w14:textId="77777777" w:rsidR="00B006A3" w:rsidRDefault="00B006A3" w:rsidP="003B38C1">
      <w:r>
        <w:separator/>
      </w:r>
    </w:p>
    <w:p w14:paraId="52BFFCA1" w14:textId="77777777" w:rsidR="00B006A3" w:rsidRPr="003B38C1" w:rsidRDefault="00B006A3" w:rsidP="003B38C1">
      <w:pPr>
        <w:spacing w:after="60"/>
        <w:rPr>
          <w:sz w:val="17"/>
        </w:rPr>
      </w:pPr>
      <w:r>
        <w:rPr>
          <w:sz w:val="17"/>
        </w:rPr>
        <w:t>[Endnote continued from previous page]</w:t>
      </w:r>
    </w:p>
  </w:endnote>
  <w:endnote w:type="continuationNotice" w:id="1">
    <w:p w14:paraId="31F96D52" w14:textId="77777777" w:rsidR="00B006A3" w:rsidRPr="003B38C1" w:rsidRDefault="00B006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824C5" w14:textId="77777777" w:rsidR="00B006A3" w:rsidRDefault="00B006A3">
      <w:r>
        <w:separator/>
      </w:r>
    </w:p>
  </w:footnote>
  <w:footnote w:type="continuationSeparator" w:id="0">
    <w:p w14:paraId="1B64061B" w14:textId="77777777" w:rsidR="00B006A3" w:rsidRDefault="00B006A3" w:rsidP="008B60B2">
      <w:r>
        <w:separator/>
      </w:r>
    </w:p>
    <w:p w14:paraId="674AFF91" w14:textId="77777777" w:rsidR="00B006A3" w:rsidRPr="00ED77FB" w:rsidRDefault="00B006A3" w:rsidP="008B60B2">
      <w:pPr>
        <w:spacing w:after="60"/>
        <w:rPr>
          <w:sz w:val="17"/>
          <w:szCs w:val="17"/>
        </w:rPr>
      </w:pPr>
      <w:r w:rsidRPr="00ED77FB">
        <w:rPr>
          <w:sz w:val="17"/>
          <w:szCs w:val="17"/>
        </w:rPr>
        <w:t>[Footnote continued from previous page]</w:t>
      </w:r>
    </w:p>
  </w:footnote>
  <w:footnote w:type="continuationNotice" w:id="1">
    <w:p w14:paraId="526BAD83" w14:textId="77777777" w:rsidR="00B006A3" w:rsidRPr="00ED77FB" w:rsidRDefault="00B006A3" w:rsidP="008B60B2">
      <w:pPr>
        <w:spacing w:before="60"/>
        <w:jc w:val="right"/>
        <w:rPr>
          <w:sz w:val="17"/>
          <w:szCs w:val="17"/>
        </w:rPr>
      </w:pPr>
      <w:r w:rsidRPr="00ED77FB">
        <w:rPr>
          <w:sz w:val="17"/>
          <w:szCs w:val="17"/>
        </w:rPr>
        <w:t>[Footnote continued on next page]</w:t>
      </w:r>
    </w:p>
  </w:footnote>
  <w:footnote w:id="2">
    <w:p w14:paraId="34A7C42C" w14:textId="77777777" w:rsidR="00417461" w:rsidRDefault="00417461" w:rsidP="00E239A3">
      <w:pPr>
        <w:pStyle w:val="FootnoteText"/>
        <w:ind w:left="567" w:hanging="567"/>
      </w:pPr>
      <w:r>
        <w:rPr>
          <w:rStyle w:val="FootnoteReference"/>
        </w:rPr>
        <w:footnoteRef/>
      </w:r>
      <w:r>
        <w:t xml:space="preserve"> </w:t>
      </w:r>
      <w:r>
        <w:tab/>
        <w:t xml:space="preserve">Item </w:t>
      </w:r>
      <w:proofErr w:type="gramStart"/>
      <w:r>
        <w:t>4</w:t>
      </w:r>
      <w:proofErr w:type="gramEnd"/>
      <w:r>
        <w:t xml:space="preserve"> of the </w:t>
      </w:r>
      <w:r w:rsidRPr="00417461">
        <w:t>Agreed Statements regarding the Patent Law Treaty and the Regulations under the Patent Law Treaty</w:t>
      </w:r>
      <w:r>
        <w:t>.</w:t>
      </w:r>
    </w:p>
  </w:footnote>
  <w:footnote w:id="3">
    <w:p w14:paraId="231D939E" w14:textId="77777777" w:rsidR="00841345" w:rsidRPr="007E054B" w:rsidRDefault="00841345" w:rsidP="007E58FB">
      <w:pPr>
        <w:pStyle w:val="FootnoteText"/>
        <w:ind w:left="540" w:hanging="540"/>
      </w:pPr>
      <w:r>
        <w:rPr>
          <w:rStyle w:val="FootnoteReference"/>
        </w:rPr>
        <w:footnoteRef/>
      </w:r>
      <w:r>
        <w:t xml:space="preserve">  </w:t>
      </w:r>
      <w:r w:rsidR="007E58FB">
        <w:tab/>
      </w:r>
      <w:r>
        <w:t>The technical assistance and cooperation was provided both to PLT members and to countries that are not yet members, independently of whether or not they were in the process of acceding to, or ratifying, the PLT.</w:t>
      </w:r>
    </w:p>
  </w:footnote>
  <w:footnote w:id="4">
    <w:p w14:paraId="40B4E0C0" w14:textId="77777777" w:rsidR="007E58FB" w:rsidRDefault="007E58FB" w:rsidP="007E58FB">
      <w:pPr>
        <w:pStyle w:val="FootnoteText"/>
        <w:ind w:left="540" w:hanging="540"/>
      </w:pPr>
      <w:r>
        <w:rPr>
          <w:rStyle w:val="FootnoteReference"/>
        </w:rPr>
        <w:footnoteRef/>
      </w:r>
      <w:r>
        <w:t xml:space="preserve"> </w:t>
      </w:r>
      <w:r>
        <w:tab/>
        <w:t>See, in particular, Recommendations 10 and 24 of the WIPO Development Agenda.</w:t>
      </w:r>
    </w:p>
  </w:footnote>
  <w:footnote w:id="5">
    <w:p w14:paraId="761F031C" w14:textId="638B1FBE" w:rsidR="006919FD" w:rsidRPr="005B4AC5" w:rsidRDefault="006919FD" w:rsidP="006919FD">
      <w:pPr>
        <w:rPr>
          <w:sz w:val="18"/>
          <w:szCs w:val="18"/>
        </w:rPr>
      </w:pPr>
      <w:r w:rsidRPr="005B4AC5">
        <w:rPr>
          <w:rStyle w:val="FootnoteReference"/>
          <w:sz w:val="18"/>
          <w:szCs w:val="18"/>
        </w:rPr>
        <w:footnoteRef/>
      </w:r>
      <w:r w:rsidR="005B4AC5">
        <w:rPr>
          <w:sz w:val="18"/>
          <w:szCs w:val="18"/>
        </w:rPr>
        <w:tab/>
      </w:r>
      <w:r w:rsidRPr="005B4AC5">
        <w:rPr>
          <w:sz w:val="18"/>
          <w:szCs w:val="18"/>
        </w:rPr>
        <w:t>Entered into force on April 28, 2005.</w:t>
      </w:r>
    </w:p>
  </w:footnote>
  <w:footnote w:id="6">
    <w:p w14:paraId="1EC72F74" w14:textId="665BA9BD" w:rsidR="006919FD" w:rsidRPr="005B4AC5" w:rsidRDefault="006919FD" w:rsidP="006919FD">
      <w:pPr>
        <w:pStyle w:val="FootnoteText"/>
        <w:rPr>
          <w:szCs w:val="18"/>
        </w:rPr>
      </w:pPr>
      <w:r w:rsidRPr="005B4AC5">
        <w:rPr>
          <w:rStyle w:val="FootnoteReference"/>
          <w:szCs w:val="18"/>
        </w:rPr>
        <w:footnoteRef/>
      </w:r>
      <w:r w:rsidR="005B4AC5">
        <w:rPr>
          <w:szCs w:val="18"/>
        </w:rPr>
        <w:tab/>
      </w:r>
      <w:r w:rsidRPr="005B4AC5">
        <w:rPr>
          <w:szCs w:val="18"/>
        </w:rPr>
        <w:t>With the reservation under Article 23(1).</w:t>
      </w:r>
    </w:p>
  </w:footnote>
  <w:footnote w:id="7">
    <w:p w14:paraId="5A74265E" w14:textId="6D9975CB" w:rsidR="006919FD" w:rsidRPr="005B4AC5" w:rsidRDefault="006919FD" w:rsidP="006919FD">
      <w:pPr>
        <w:pStyle w:val="FootnoteText"/>
        <w:rPr>
          <w:szCs w:val="18"/>
        </w:rPr>
      </w:pPr>
      <w:r w:rsidRPr="005B4AC5">
        <w:rPr>
          <w:rStyle w:val="FootnoteReference"/>
          <w:szCs w:val="18"/>
        </w:rPr>
        <w:footnoteRef/>
      </w:r>
      <w:r w:rsidR="00084A93">
        <w:rPr>
          <w:szCs w:val="18"/>
        </w:rPr>
        <w:tab/>
      </w:r>
      <w:r w:rsidRPr="005B4AC5">
        <w:rPr>
          <w:szCs w:val="18"/>
        </w:rPr>
        <w:t>Ratification in respect of the United Kingdom of Great Britain and Northern Ireland and the Isle of Man.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7B50" w14:textId="77777777" w:rsidR="003D2030" w:rsidRPr="00307ECA" w:rsidRDefault="00B006A3" w:rsidP="00477D6B">
    <w:pPr>
      <w:jc w:val="right"/>
    </w:pPr>
    <w:bookmarkStart w:id="6" w:name="Code2"/>
    <w:bookmarkEnd w:id="6"/>
    <w:r w:rsidRPr="00307ECA">
      <w:t>WO/GA/51/16</w:t>
    </w:r>
  </w:p>
  <w:p w14:paraId="0E129DE2" w14:textId="492860FA" w:rsidR="00EC4E49" w:rsidRPr="00307ECA" w:rsidRDefault="00EC4E49" w:rsidP="00477D6B">
    <w:pPr>
      <w:jc w:val="right"/>
    </w:pPr>
    <w:proofErr w:type="gramStart"/>
    <w:r w:rsidRPr="00307ECA">
      <w:t>page</w:t>
    </w:r>
    <w:proofErr w:type="gramEnd"/>
    <w:r w:rsidRPr="00307ECA">
      <w:t xml:space="preserve"> </w:t>
    </w:r>
    <w:r w:rsidR="00F84EC9" w:rsidRPr="00307ECA">
      <w:t>2</w:t>
    </w:r>
  </w:p>
  <w:p w14:paraId="7B3F9734" w14:textId="77777777" w:rsidR="00EC4E49" w:rsidRPr="00307ECA" w:rsidRDefault="00EC4E49" w:rsidP="00477D6B">
    <w:pPr>
      <w:jc w:val="right"/>
    </w:pPr>
  </w:p>
  <w:p w14:paraId="51989742" w14:textId="77777777" w:rsidR="008A134B" w:rsidRPr="00307ECA"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7356B" w14:textId="77777777" w:rsidR="008032B6" w:rsidRPr="00307ECA" w:rsidRDefault="008032B6" w:rsidP="00477D6B">
    <w:pPr>
      <w:jc w:val="right"/>
    </w:pPr>
    <w:r w:rsidRPr="00307ECA">
      <w:t>WO/GA/51/16</w:t>
    </w:r>
  </w:p>
  <w:p w14:paraId="20E4FE45" w14:textId="77777777" w:rsidR="008032B6" w:rsidRPr="00307ECA" w:rsidRDefault="008032B6" w:rsidP="008032B6">
    <w:pPr>
      <w:jc w:val="right"/>
    </w:pPr>
    <w:r>
      <w:t xml:space="preserve">Annex I, </w:t>
    </w:r>
    <w:r w:rsidRPr="00307ECA">
      <w:t>page 2</w:t>
    </w:r>
  </w:p>
  <w:p w14:paraId="7E2F0BD4" w14:textId="77777777" w:rsidR="008032B6" w:rsidRPr="00307ECA" w:rsidRDefault="008032B6" w:rsidP="00477D6B">
    <w:pPr>
      <w:jc w:val="right"/>
    </w:pPr>
  </w:p>
  <w:p w14:paraId="6DE5B887" w14:textId="77777777" w:rsidR="008032B6" w:rsidRPr="00307ECA" w:rsidRDefault="008032B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C36C0" w14:textId="77777777" w:rsidR="00F84EC9" w:rsidRDefault="00F84EC9" w:rsidP="0045753D">
    <w:pPr>
      <w:jc w:val="right"/>
    </w:pPr>
    <w:r>
      <w:t>WO/GA/51/16</w:t>
    </w:r>
  </w:p>
  <w:p w14:paraId="24BD6A79" w14:textId="5E07DD89" w:rsidR="00F84EC9" w:rsidRDefault="00F84EC9" w:rsidP="0045753D">
    <w:pPr>
      <w:jc w:val="right"/>
    </w:pPr>
    <w:r>
      <w:t>A</w:t>
    </w:r>
    <w:r w:rsidR="00E239A3">
      <w:t>NNEX</w:t>
    </w:r>
    <w:r>
      <w:t xml:space="preserve"> I </w:t>
    </w:r>
  </w:p>
  <w:p w14:paraId="11AA6E37" w14:textId="77777777" w:rsidR="00F84EC9" w:rsidRDefault="00F84EC9" w:rsidP="0045753D">
    <w:pPr>
      <w:jc w:val="right"/>
    </w:pPr>
  </w:p>
  <w:p w14:paraId="5252E7AE" w14:textId="77777777" w:rsidR="00F84EC9" w:rsidRDefault="00F84EC9">
    <w:pPr>
      <w:pStyle w:val="Header"/>
    </w:pPr>
  </w:p>
  <w:p w14:paraId="518EE4C9" w14:textId="77777777" w:rsidR="00F84EC9" w:rsidRDefault="00F84E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197F" w14:textId="77777777" w:rsidR="00021BB8" w:rsidRDefault="00CB6E4E" w:rsidP="00021BB8">
    <w:pPr>
      <w:jc w:val="right"/>
    </w:pPr>
    <w:r>
      <w:t>WO/GA/</w:t>
    </w:r>
    <w:r w:rsidR="00D378CB">
      <w:t>51</w:t>
    </w:r>
    <w:r>
      <w:t>/1</w:t>
    </w:r>
    <w:r w:rsidR="00D378CB">
      <w:t>6</w:t>
    </w:r>
  </w:p>
  <w:p w14:paraId="6625DE66" w14:textId="1167C4A4" w:rsidR="00021BB8" w:rsidRDefault="00CB6E4E" w:rsidP="00021BB8">
    <w:pPr>
      <w:jc w:val="right"/>
    </w:pPr>
    <w:r>
      <w:t>ANNEX I</w:t>
    </w:r>
    <w:r w:rsidR="00D378CB">
      <w:t>I</w:t>
    </w:r>
  </w:p>
  <w:p w14:paraId="55D1D0EA" w14:textId="77777777" w:rsidR="00021BB8" w:rsidRDefault="0023388E" w:rsidP="00021BB8">
    <w:pPr>
      <w:jc w:val="right"/>
    </w:pPr>
  </w:p>
  <w:p w14:paraId="6D487407" w14:textId="77777777" w:rsidR="00021BB8" w:rsidRDefault="0023388E" w:rsidP="00021BB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1"/>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3"/>
    <w:rsid w:val="00043CAA"/>
    <w:rsid w:val="00075432"/>
    <w:rsid w:val="000765C4"/>
    <w:rsid w:val="00084A93"/>
    <w:rsid w:val="000968ED"/>
    <w:rsid w:val="000C117A"/>
    <w:rsid w:val="000E6FDE"/>
    <w:rsid w:val="000F5E56"/>
    <w:rsid w:val="0010331B"/>
    <w:rsid w:val="0012506D"/>
    <w:rsid w:val="001362EE"/>
    <w:rsid w:val="00156693"/>
    <w:rsid w:val="001647D5"/>
    <w:rsid w:val="001832A6"/>
    <w:rsid w:val="001C02E2"/>
    <w:rsid w:val="001E4E00"/>
    <w:rsid w:val="0021217E"/>
    <w:rsid w:val="00231BB0"/>
    <w:rsid w:val="0023388E"/>
    <w:rsid w:val="002634C4"/>
    <w:rsid w:val="002928D3"/>
    <w:rsid w:val="00295A72"/>
    <w:rsid w:val="002A0A9E"/>
    <w:rsid w:val="002C476E"/>
    <w:rsid w:val="002F1FE6"/>
    <w:rsid w:val="002F4E68"/>
    <w:rsid w:val="00307ECA"/>
    <w:rsid w:val="00312F7F"/>
    <w:rsid w:val="003178BA"/>
    <w:rsid w:val="00350AE2"/>
    <w:rsid w:val="00361450"/>
    <w:rsid w:val="003673CF"/>
    <w:rsid w:val="003845C1"/>
    <w:rsid w:val="003A6F89"/>
    <w:rsid w:val="003B38C1"/>
    <w:rsid w:val="003B53AA"/>
    <w:rsid w:val="003D2030"/>
    <w:rsid w:val="003D57B0"/>
    <w:rsid w:val="00402B78"/>
    <w:rsid w:val="00417461"/>
    <w:rsid w:val="00423E3E"/>
    <w:rsid w:val="00427AF4"/>
    <w:rsid w:val="00454428"/>
    <w:rsid w:val="0045753D"/>
    <w:rsid w:val="004647DA"/>
    <w:rsid w:val="00474062"/>
    <w:rsid w:val="00477D6B"/>
    <w:rsid w:val="005019FF"/>
    <w:rsid w:val="0053057A"/>
    <w:rsid w:val="00560A29"/>
    <w:rsid w:val="005B4AC5"/>
    <w:rsid w:val="005C6649"/>
    <w:rsid w:val="0060249B"/>
    <w:rsid w:val="00605827"/>
    <w:rsid w:val="006201AF"/>
    <w:rsid w:val="00646050"/>
    <w:rsid w:val="006515F3"/>
    <w:rsid w:val="00660B46"/>
    <w:rsid w:val="006713CA"/>
    <w:rsid w:val="00676C5C"/>
    <w:rsid w:val="00685A68"/>
    <w:rsid w:val="006919FD"/>
    <w:rsid w:val="006C578A"/>
    <w:rsid w:val="006E4F5F"/>
    <w:rsid w:val="00740042"/>
    <w:rsid w:val="00746A33"/>
    <w:rsid w:val="007B6139"/>
    <w:rsid w:val="007D1613"/>
    <w:rsid w:val="007E4C0E"/>
    <w:rsid w:val="007E58FB"/>
    <w:rsid w:val="008032B6"/>
    <w:rsid w:val="00841345"/>
    <w:rsid w:val="00860537"/>
    <w:rsid w:val="00877718"/>
    <w:rsid w:val="008A134B"/>
    <w:rsid w:val="008A4D7C"/>
    <w:rsid w:val="008B2CC1"/>
    <w:rsid w:val="008B60B2"/>
    <w:rsid w:val="0090731E"/>
    <w:rsid w:val="00916EE2"/>
    <w:rsid w:val="00966A22"/>
    <w:rsid w:val="0096722F"/>
    <w:rsid w:val="00980843"/>
    <w:rsid w:val="009B6777"/>
    <w:rsid w:val="009C127D"/>
    <w:rsid w:val="009E2791"/>
    <w:rsid w:val="009E3F6F"/>
    <w:rsid w:val="009F499F"/>
    <w:rsid w:val="009F7DB0"/>
    <w:rsid w:val="00A37342"/>
    <w:rsid w:val="00A42DAF"/>
    <w:rsid w:val="00A45BD8"/>
    <w:rsid w:val="00A61943"/>
    <w:rsid w:val="00A869B7"/>
    <w:rsid w:val="00AA2DD4"/>
    <w:rsid w:val="00AC205C"/>
    <w:rsid w:val="00AF0A6B"/>
    <w:rsid w:val="00B006A3"/>
    <w:rsid w:val="00B05A69"/>
    <w:rsid w:val="00B46993"/>
    <w:rsid w:val="00B5766B"/>
    <w:rsid w:val="00B61109"/>
    <w:rsid w:val="00B9734B"/>
    <w:rsid w:val="00BA30E2"/>
    <w:rsid w:val="00C11BFE"/>
    <w:rsid w:val="00C165E5"/>
    <w:rsid w:val="00C5068F"/>
    <w:rsid w:val="00C86D74"/>
    <w:rsid w:val="00CB6E4E"/>
    <w:rsid w:val="00CD04F1"/>
    <w:rsid w:val="00CD7F59"/>
    <w:rsid w:val="00D27FB7"/>
    <w:rsid w:val="00D378CB"/>
    <w:rsid w:val="00D44A0B"/>
    <w:rsid w:val="00D45252"/>
    <w:rsid w:val="00D66E37"/>
    <w:rsid w:val="00D71B4D"/>
    <w:rsid w:val="00D93D55"/>
    <w:rsid w:val="00DC0E7C"/>
    <w:rsid w:val="00DE0FB4"/>
    <w:rsid w:val="00DF023A"/>
    <w:rsid w:val="00DF383E"/>
    <w:rsid w:val="00E15015"/>
    <w:rsid w:val="00E239A3"/>
    <w:rsid w:val="00E335FE"/>
    <w:rsid w:val="00E448B4"/>
    <w:rsid w:val="00E5566B"/>
    <w:rsid w:val="00E62DA0"/>
    <w:rsid w:val="00E6655B"/>
    <w:rsid w:val="00E85557"/>
    <w:rsid w:val="00EA7D6E"/>
    <w:rsid w:val="00EB2210"/>
    <w:rsid w:val="00EC4E49"/>
    <w:rsid w:val="00ED77FB"/>
    <w:rsid w:val="00EE45FA"/>
    <w:rsid w:val="00F25F9A"/>
    <w:rsid w:val="00F31BFD"/>
    <w:rsid w:val="00F66152"/>
    <w:rsid w:val="00F84EC9"/>
    <w:rsid w:val="00F967F0"/>
    <w:rsid w:val="00FA41DE"/>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084A93"/>
    <w:pPr>
      <w:keepNext/>
      <w:spacing w:before="240" w:after="220"/>
      <w:jc w:val="center"/>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F8EB4-0F72-4280-8AF8-C4136160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1</TotalTime>
  <Pages>5</Pages>
  <Words>1501</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Fifty-Eighth Series of Meetings</dc:subject>
  <dc:creator>MIYAMOTO Tomoko</dc:creator>
  <cp:keywords>FOR OFFICIAL USE ONLY</cp:keywords>
  <cp:lastModifiedBy>HÄFLIGER Patience</cp:lastModifiedBy>
  <cp:revision>3</cp:revision>
  <cp:lastPrinted>2019-06-17T13:59:00Z</cp:lastPrinted>
  <dcterms:created xsi:type="dcterms:W3CDTF">2019-06-24T13:54:00Z</dcterms:created>
  <dcterms:modified xsi:type="dcterms:W3CDTF">2019-06-24T13:59:00Z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