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B7F85" w14:textId="77777777" w:rsidR="008B2CC1" w:rsidRPr="00F043DE" w:rsidRDefault="00B92F1F" w:rsidP="00805BD5">
      <w:pPr>
        <w:spacing w:before="360" w:after="240"/>
        <w:jc w:val="right"/>
        <w:rPr>
          <w:b/>
          <w:sz w:val="32"/>
          <w:szCs w:val="40"/>
        </w:rPr>
      </w:pPr>
      <w:r>
        <w:rPr>
          <w:noProof/>
          <w:sz w:val="28"/>
          <w:szCs w:val="28"/>
          <w:lang w:eastAsia="en-US"/>
        </w:rPr>
        <w:drawing>
          <wp:inline distT="0" distB="0" distL="0" distR="0" wp14:anchorId="35E1C2A6" wp14:editId="30F52DB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C27E7DC" w14:textId="5A118D2B" w:rsidR="008B2CC1" w:rsidRPr="005E27B1" w:rsidRDefault="006961B9" w:rsidP="00805BD5">
      <w:pPr>
        <w:pBdr>
          <w:top w:val="single" w:sz="4" w:space="9" w:color="auto"/>
        </w:pBdr>
        <w:jc w:val="right"/>
        <w:rPr>
          <w:rFonts w:ascii="Arial Black" w:hAnsi="Arial Black"/>
          <w:caps/>
          <w:sz w:val="15"/>
          <w:szCs w:val="15"/>
        </w:rPr>
      </w:pPr>
      <w:r w:rsidRPr="005E27B1">
        <w:rPr>
          <w:rFonts w:ascii="Arial Black" w:hAnsi="Arial Black"/>
          <w:caps/>
          <w:sz w:val="15"/>
          <w:szCs w:val="15"/>
        </w:rPr>
        <w:t>WO/GA/5</w:t>
      </w:r>
      <w:r w:rsidR="005A291B">
        <w:rPr>
          <w:rFonts w:ascii="Arial Black" w:hAnsi="Arial Black"/>
          <w:caps/>
          <w:sz w:val="15"/>
          <w:szCs w:val="15"/>
        </w:rPr>
        <w:t>2</w:t>
      </w:r>
      <w:r w:rsidRPr="005E27B1">
        <w:rPr>
          <w:rFonts w:ascii="Arial Black" w:hAnsi="Arial Black"/>
          <w:caps/>
          <w:sz w:val="15"/>
          <w:szCs w:val="15"/>
        </w:rPr>
        <w:t>/</w:t>
      </w:r>
      <w:bookmarkStart w:id="0" w:name="Code"/>
      <w:r w:rsidR="00C24447">
        <w:rPr>
          <w:rFonts w:ascii="Arial Black" w:hAnsi="Arial Black"/>
          <w:caps/>
          <w:sz w:val="15"/>
          <w:szCs w:val="15"/>
        </w:rPr>
        <w:t>1</w:t>
      </w:r>
      <w:r w:rsidR="00A73246">
        <w:rPr>
          <w:rFonts w:ascii="Arial Black" w:hAnsi="Arial Black"/>
          <w:caps/>
          <w:sz w:val="15"/>
          <w:szCs w:val="15"/>
        </w:rPr>
        <w:t xml:space="preserve"> rev.</w:t>
      </w:r>
    </w:p>
    <w:bookmarkEnd w:id="0"/>
    <w:p w14:paraId="11F6B4E6"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C24447">
        <w:rPr>
          <w:rFonts w:ascii="Arial Black" w:hAnsi="Arial Black"/>
          <w:caps/>
          <w:sz w:val="15"/>
          <w:szCs w:val="15"/>
        </w:rPr>
        <w:t>ENGLISH</w:t>
      </w:r>
    </w:p>
    <w:bookmarkEnd w:id="1"/>
    <w:p w14:paraId="40868417" w14:textId="6D8A7B2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9F38A7">
        <w:rPr>
          <w:rFonts w:ascii="Arial Black" w:hAnsi="Arial Black"/>
          <w:caps/>
          <w:sz w:val="15"/>
          <w:szCs w:val="15"/>
        </w:rPr>
        <w:t xml:space="preserve"> april</w:t>
      </w:r>
      <w:r w:rsidR="001C25A2">
        <w:rPr>
          <w:rFonts w:ascii="Arial Black" w:hAnsi="Arial Black"/>
          <w:caps/>
          <w:sz w:val="15"/>
          <w:szCs w:val="15"/>
        </w:rPr>
        <w:t xml:space="preserve"> 21</w:t>
      </w:r>
      <w:bookmarkStart w:id="3" w:name="_GoBack"/>
      <w:bookmarkEnd w:id="3"/>
      <w:r w:rsidR="00C24447">
        <w:rPr>
          <w:rFonts w:ascii="Arial Black" w:hAnsi="Arial Black"/>
          <w:caps/>
          <w:sz w:val="15"/>
          <w:szCs w:val="15"/>
        </w:rPr>
        <w:t>, 2020</w:t>
      </w:r>
    </w:p>
    <w:bookmarkEnd w:id="2"/>
    <w:p w14:paraId="03864A77" w14:textId="77777777" w:rsidR="008B2CC1" w:rsidRPr="00720EFD" w:rsidRDefault="00217391" w:rsidP="00217391">
      <w:pPr>
        <w:pStyle w:val="Heading1"/>
        <w:spacing w:before="0" w:after="600"/>
        <w:rPr>
          <w:sz w:val="28"/>
          <w:szCs w:val="28"/>
        </w:rPr>
      </w:pPr>
      <w:r w:rsidRPr="006961B9">
        <w:rPr>
          <w:caps w:val="0"/>
          <w:sz w:val="28"/>
          <w:szCs w:val="28"/>
        </w:rPr>
        <w:t>WIPO General Assembly</w:t>
      </w:r>
    </w:p>
    <w:p w14:paraId="51E35E1E" w14:textId="77777777" w:rsidR="008B2CC1" w:rsidRPr="003845C1" w:rsidRDefault="006961B9" w:rsidP="00217391">
      <w:pPr>
        <w:spacing w:after="720"/>
        <w:outlineLvl w:val="1"/>
        <w:rPr>
          <w:b/>
          <w:sz w:val="24"/>
          <w:szCs w:val="24"/>
        </w:rPr>
      </w:pPr>
      <w:r w:rsidRPr="006961B9">
        <w:rPr>
          <w:b/>
          <w:sz w:val="24"/>
          <w:szCs w:val="24"/>
        </w:rPr>
        <w:t>Fifty-Second (28</w:t>
      </w:r>
      <w:r w:rsidRPr="009B35A7">
        <w:rPr>
          <w:b/>
          <w:sz w:val="24"/>
          <w:szCs w:val="24"/>
          <w:vertAlign w:val="superscript"/>
        </w:rPr>
        <w:t>th</w:t>
      </w:r>
      <w:r w:rsidRPr="006961B9">
        <w:rPr>
          <w:b/>
          <w:sz w:val="24"/>
          <w:szCs w:val="24"/>
        </w:rPr>
        <w:t xml:space="preserve"> Extraordinary) Session</w:t>
      </w:r>
      <w:r>
        <w:rPr>
          <w:b/>
          <w:sz w:val="24"/>
          <w:szCs w:val="24"/>
        </w:rPr>
        <w:br/>
      </w:r>
      <w:r w:rsidRPr="006961B9">
        <w:rPr>
          <w:b/>
          <w:sz w:val="24"/>
          <w:szCs w:val="24"/>
        </w:rPr>
        <w:t>Geneva, May 7 and 8, 2020</w:t>
      </w:r>
    </w:p>
    <w:p w14:paraId="1A9E8928" w14:textId="77777777" w:rsidR="008B2CC1" w:rsidRPr="003845C1" w:rsidRDefault="00C24447" w:rsidP="00DD7B7F">
      <w:pPr>
        <w:spacing w:after="360"/>
        <w:outlineLvl w:val="0"/>
        <w:rPr>
          <w:caps/>
          <w:sz w:val="24"/>
        </w:rPr>
      </w:pPr>
      <w:bookmarkStart w:id="4" w:name="TitleOfDoc"/>
      <w:r>
        <w:rPr>
          <w:caps/>
          <w:sz w:val="24"/>
        </w:rPr>
        <w:t>CONDITIONS OF APPOINTMENT OF THE DIRECTOR GENERAL</w:t>
      </w:r>
    </w:p>
    <w:p w14:paraId="4F00785B" w14:textId="77777777" w:rsidR="002928D3" w:rsidRPr="00F9165B" w:rsidRDefault="00C24447" w:rsidP="00217391">
      <w:pPr>
        <w:spacing w:after="960"/>
        <w:rPr>
          <w:i/>
        </w:rPr>
      </w:pPr>
      <w:bookmarkStart w:id="5" w:name="Prepared"/>
      <w:bookmarkEnd w:id="4"/>
      <w:r>
        <w:rPr>
          <w:i/>
        </w:rPr>
        <w:t>Document prepared by the Secretariat</w:t>
      </w:r>
    </w:p>
    <w:bookmarkEnd w:id="5"/>
    <w:p w14:paraId="60161712" w14:textId="77777777" w:rsidR="00C24447" w:rsidRDefault="00C24447" w:rsidP="00C24447">
      <w:pPr>
        <w:spacing w:after="240"/>
      </w:pPr>
      <w:r>
        <w:fldChar w:fldCharType="begin"/>
      </w:r>
      <w:r>
        <w:instrText xml:space="preserve"> AUTONUM  </w:instrText>
      </w:r>
      <w:r>
        <w:fldChar w:fldCharType="end"/>
      </w:r>
      <w:r>
        <w:tab/>
        <w:t xml:space="preserve">Article 9(3) of the Convention Establishing the World Intellectual Property Organization (the WIPO Convention) provides that the </w:t>
      </w:r>
      <w:r w:rsidR="00322586">
        <w:t xml:space="preserve">WIPO </w:t>
      </w:r>
      <w:r>
        <w:t>General Assembly shall fix the conditions of the appointment of the Director General.</w:t>
      </w:r>
    </w:p>
    <w:p w14:paraId="4A7FE97A" w14:textId="77777777" w:rsidR="00C24447" w:rsidRDefault="00C24447" w:rsidP="00C24447">
      <w:pPr>
        <w:spacing w:after="240"/>
      </w:pPr>
      <w:r>
        <w:fldChar w:fldCharType="begin"/>
      </w:r>
      <w:r>
        <w:instrText xml:space="preserve"> AUTONUM  </w:instrText>
      </w:r>
      <w:r>
        <w:fldChar w:fldCharType="end"/>
      </w:r>
      <w:r>
        <w:tab/>
        <w:t xml:space="preserve">At the time of the appointment of the Director General in 2014, the </w:t>
      </w:r>
      <w:r w:rsidR="00322586">
        <w:t xml:space="preserve">WIPO </w:t>
      </w:r>
      <w:r>
        <w:t>General Assembly established a Working Group on the Conditions of the Appointment of the Director General</w:t>
      </w:r>
      <w:r>
        <w:noBreakHyphen/>
        <w:t xml:space="preserve">Elect (the Working Group) to recommend the conditions to be fixed by the </w:t>
      </w:r>
      <w:r w:rsidR="00322586">
        <w:t xml:space="preserve">WIPO </w:t>
      </w:r>
      <w:r>
        <w:t xml:space="preserve">General Assembly for the re-appointment of the Director General-Elect, Mr. Francis Gurry.  The Working Group was presided over by the Chair of the </w:t>
      </w:r>
      <w:r w:rsidR="00322586">
        <w:t xml:space="preserve">WIPO </w:t>
      </w:r>
      <w:r>
        <w:t xml:space="preserve">General Assembly, and comprised, as its Vice-Chair, the Chair of the </w:t>
      </w:r>
      <w:r w:rsidR="00322586">
        <w:t xml:space="preserve">WIPO </w:t>
      </w:r>
      <w:r>
        <w:t>Coordination Committee, and, as members, the Vice</w:t>
      </w:r>
      <w:r w:rsidR="0077221F">
        <w:noBreakHyphen/>
      </w:r>
      <w:r>
        <w:t xml:space="preserve">Chairs of the </w:t>
      </w:r>
      <w:r w:rsidR="00322586">
        <w:t xml:space="preserve">WIPO </w:t>
      </w:r>
      <w:r>
        <w:t xml:space="preserve">General Assembly and the </w:t>
      </w:r>
      <w:r w:rsidR="00322586">
        <w:t xml:space="preserve">WIPO </w:t>
      </w:r>
      <w:r>
        <w:t>Coordination Committee, as well as the Group Coordinators (see document WO/GA/45/3, paragraph 2).</w:t>
      </w:r>
    </w:p>
    <w:p w14:paraId="282CC24A" w14:textId="77777777" w:rsidR="00C24447" w:rsidRDefault="00C24447" w:rsidP="00C24447">
      <w:r>
        <w:fldChar w:fldCharType="begin"/>
      </w:r>
      <w:r>
        <w:instrText xml:space="preserve"> AUTONUM  </w:instrText>
      </w:r>
      <w:r>
        <w:fldChar w:fldCharType="end"/>
      </w:r>
      <w:r>
        <w:tab/>
        <w:t xml:space="preserve">The </w:t>
      </w:r>
      <w:r w:rsidR="00322586">
        <w:t xml:space="preserve">WIPO </w:t>
      </w:r>
      <w:r>
        <w:t xml:space="preserve">General Assembly fixed the conditions of the appointment of Mr. Francis Gurry for the period from October 1, 2014 to September 30, 2020, as recommended in the Report of the Working Group (see, for the Report, document WO/GA/45/3 and for the adoption of the Report, document A/53/3, paragraph 72).  A copy of the text of the contract of the Director General approved by the </w:t>
      </w:r>
      <w:r w:rsidR="00322586">
        <w:t xml:space="preserve">WIPO </w:t>
      </w:r>
      <w:r>
        <w:t xml:space="preserve">General Assembly is set out in the Annex to this document. </w:t>
      </w:r>
    </w:p>
    <w:p w14:paraId="582669F9" w14:textId="77777777" w:rsidR="00C24447" w:rsidRDefault="00C24447" w:rsidP="00C24447">
      <w:r>
        <w:br w:type="page"/>
      </w:r>
    </w:p>
    <w:p w14:paraId="54BC4E2C" w14:textId="2FCCFF4C" w:rsidR="00C24447" w:rsidRDefault="00C24447" w:rsidP="00C24447">
      <w:pPr>
        <w:spacing w:after="240"/>
      </w:pPr>
      <w:r>
        <w:lastRenderedPageBreak/>
        <w:fldChar w:fldCharType="begin"/>
      </w:r>
      <w:r>
        <w:instrText xml:space="preserve"> AUTONUM  </w:instrText>
      </w:r>
      <w:r>
        <w:fldChar w:fldCharType="end"/>
      </w:r>
      <w:r>
        <w:tab/>
        <w:t xml:space="preserve">It is proposed that </w:t>
      </w:r>
      <w:r w:rsidR="0089243D">
        <w:t>a similar</w:t>
      </w:r>
      <w:r>
        <w:t xml:space="preserve"> procedure</w:t>
      </w:r>
      <w:r w:rsidR="0089243D">
        <w:t xml:space="preserve"> </w:t>
      </w:r>
      <w:r>
        <w:t>be followed</w:t>
      </w:r>
      <w:r w:rsidR="0089243D">
        <w:t>, to the extent possible under the current exceptional circumstances,</w:t>
      </w:r>
      <w:r>
        <w:t xml:space="preserve"> to fix the conditions of the appointment of Mr. Daren Tang as Director General and that, accordingly, a Working Group be established for this purpose to prepare recommendations for the </w:t>
      </w:r>
      <w:r w:rsidR="00322586">
        <w:t xml:space="preserve">WIPO </w:t>
      </w:r>
      <w:r>
        <w:t xml:space="preserve">General Assembly. </w:t>
      </w:r>
      <w:r w:rsidR="00D06190">
        <w:t xml:space="preserve"> </w:t>
      </w:r>
      <w:r w:rsidR="00795182">
        <w:t xml:space="preserve">Due to the </w:t>
      </w:r>
      <w:r w:rsidR="0089243D">
        <w:t xml:space="preserve">restrictions in place as a result of </w:t>
      </w:r>
      <w:r w:rsidR="00795182">
        <w:t xml:space="preserve">the Covid-19 pandemic, </w:t>
      </w:r>
      <w:r w:rsidR="00D06190">
        <w:t xml:space="preserve">it is </w:t>
      </w:r>
      <w:r w:rsidR="0089243D">
        <w:t xml:space="preserve">however </w:t>
      </w:r>
      <w:r w:rsidR="00D06190">
        <w:t xml:space="preserve">proposed that </w:t>
      </w:r>
      <w:r w:rsidR="00B7511F">
        <w:t xml:space="preserve">the </w:t>
      </w:r>
      <w:r w:rsidR="00795182">
        <w:t>Working Group</w:t>
      </w:r>
      <w:r w:rsidR="00F20E3E">
        <w:t xml:space="preserve">, </w:t>
      </w:r>
      <w:r w:rsidR="00D633A8">
        <w:t xml:space="preserve">comprised </w:t>
      </w:r>
      <w:r w:rsidR="00F20E3E">
        <w:t xml:space="preserve">as described in paragraph 2 above </w:t>
      </w:r>
      <w:r w:rsidR="00D633A8">
        <w:t>and presided over by the Chair of the WIPO General Assembly</w:t>
      </w:r>
      <w:r w:rsidR="00F20E3E">
        <w:t xml:space="preserve">, </w:t>
      </w:r>
      <w:r w:rsidR="00D06190">
        <w:t>be</w:t>
      </w:r>
      <w:r w:rsidR="00D633A8">
        <w:t xml:space="preserve"> informally convened</w:t>
      </w:r>
      <w:r w:rsidR="00DC0D2F">
        <w:t xml:space="preserve"> by the Chair</w:t>
      </w:r>
      <w:r w:rsidR="00D633A8">
        <w:t xml:space="preserve"> </w:t>
      </w:r>
      <w:r w:rsidR="0089243D">
        <w:t>and engage in</w:t>
      </w:r>
      <w:r w:rsidR="00D633A8">
        <w:t xml:space="preserve"> informal</w:t>
      </w:r>
      <w:r w:rsidR="00F20E3E">
        <w:t xml:space="preserve"> </w:t>
      </w:r>
      <w:r w:rsidR="00D633A8">
        <w:t xml:space="preserve">consultations to provide recommendations regarding the </w:t>
      </w:r>
      <w:r w:rsidR="002346C4">
        <w:t>c</w:t>
      </w:r>
      <w:r w:rsidR="00D633A8">
        <w:t xml:space="preserve">onditions of </w:t>
      </w:r>
      <w:r w:rsidR="002346C4">
        <w:t>a</w:t>
      </w:r>
      <w:r w:rsidR="00D633A8">
        <w:t>ppointment for the Director General</w:t>
      </w:r>
      <w:r w:rsidR="002346C4">
        <w:t>.</w:t>
      </w:r>
      <w:r w:rsidR="0089243D">
        <w:t xml:space="preserve"> </w:t>
      </w:r>
      <w:r w:rsidR="00DC0D2F">
        <w:t xml:space="preserve"> The results of the informal consultations will be </w:t>
      </w:r>
      <w:r w:rsidR="0089243D">
        <w:t>reflected</w:t>
      </w:r>
      <w:r w:rsidR="00DC0D2F">
        <w:t xml:space="preserve"> in a Chair’s Summary, </w:t>
      </w:r>
      <w:r w:rsidR="002346C4">
        <w:t>to be annexed to the circular</w:t>
      </w:r>
      <w:r w:rsidR="0089243D">
        <w:t xml:space="preserve"> containing the proposed decisions for adoption as part of the written procedure agreed by Member States for the conduct of the Sixtieth Series of meetings of the Assemblies of the Member States of WIPO on May 7 and 8, 2020</w:t>
      </w:r>
      <w:r w:rsidR="00DC0D2F">
        <w:t>.</w:t>
      </w:r>
    </w:p>
    <w:p w14:paraId="13CDB730" w14:textId="3ED87FB4" w:rsidR="00C24447" w:rsidRPr="005340B8" w:rsidRDefault="00455BE7" w:rsidP="00C24447">
      <w:pPr>
        <w:pStyle w:val="Endofdocument-Annex"/>
        <w:tabs>
          <w:tab w:val="left" w:pos="6096"/>
        </w:tabs>
        <w:spacing w:after="960"/>
        <w:ind w:left="5530"/>
      </w:pPr>
      <w:r>
        <w:rPr>
          <w:i/>
          <w:iCs/>
        </w:rPr>
        <w:t>5.</w:t>
      </w:r>
      <w:r w:rsidR="00C24447" w:rsidRPr="005340B8">
        <w:rPr>
          <w:i/>
          <w:iCs/>
        </w:rPr>
        <w:tab/>
        <w:t xml:space="preserve">The </w:t>
      </w:r>
      <w:r w:rsidR="00322586">
        <w:rPr>
          <w:i/>
          <w:iCs/>
        </w:rPr>
        <w:t xml:space="preserve">WIPO </w:t>
      </w:r>
      <w:r w:rsidR="00D556CF">
        <w:rPr>
          <w:i/>
          <w:iCs/>
        </w:rPr>
        <w:t>General Assembly</w:t>
      </w:r>
      <w:r w:rsidR="00C24447" w:rsidRPr="005340B8">
        <w:rPr>
          <w:i/>
          <w:iCs/>
        </w:rPr>
        <w:t xml:space="preserve"> is invited to fix the Conditions of the Appointment of the Director General after consideration of the recommendations of the Working Group.</w:t>
      </w:r>
    </w:p>
    <w:p w14:paraId="55F9750B" w14:textId="77777777" w:rsidR="00C24447" w:rsidRDefault="00C24447" w:rsidP="00C24447">
      <w:pPr>
        <w:pStyle w:val="Endofdocument-Annex"/>
        <w:sectPr w:rsidR="00C24447" w:rsidSect="00286C23">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5340B8">
        <w:t>[Annex follows]</w:t>
      </w:r>
    </w:p>
    <w:p w14:paraId="5E0C0135" w14:textId="2798E994" w:rsidR="00C24447" w:rsidRDefault="00C24447" w:rsidP="00C24447">
      <w:pPr>
        <w:pStyle w:val="Heading2"/>
        <w:jc w:val="right"/>
      </w:pPr>
      <w:r>
        <w:lastRenderedPageBreak/>
        <w:t>WO/GA/52/1</w:t>
      </w:r>
      <w:r w:rsidR="000D1240">
        <w:t xml:space="preserve"> </w:t>
      </w:r>
      <w:r w:rsidR="000D1240">
        <w:rPr>
          <w:caps w:val="0"/>
        </w:rPr>
        <w:t>Rev</w:t>
      </w:r>
      <w:r w:rsidR="000D1240">
        <w:t>.</w:t>
      </w:r>
    </w:p>
    <w:p w14:paraId="0D9742C5" w14:textId="77777777" w:rsidR="00C24447" w:rsidRPr="00C24447" w:rsidRDefault="00C24447" w:rsidP="00C24447">
      <w:pPr>
        <w:spacing w:after="240"/>
        <w:jc w:val="right"/>
      </w:pPr>
      <w:r>
        <w:t>ANNEX</w:t>
      </w:r>
    </w:p>
    <w:p w14:paraId="7EE94459" w14:textId="77777777" w:rsidR="00C24447" w:rsidRPr="00191546" w:rsidRDefault="00C24447" w:rsidP="00C24447">
      <w:pPr>
        <w:pStyle w:val="Heading2"/>
        <w:jc w:val="center"/>
      </w:pPr>
      <w:r w:rsidRPr="00191546">
        <w:t>CONTRACT OF THE DIRECTOR GENERAL</w:t>
      </w:r>
    </w:p>
    <w:p w14:paraId="55F000CB" w14:textId="77777777" w:rsidR="00C24447" w:rsidRPr="00191546" w:rsidRDefault="00C24447" w:rsidP="00C24447">
      <w:pPr>
        <w:spacing w:before="720" w:after="240" w:line="360" w:lineRule="auto"/>
        <w:jc w:val="center"/>
        <w:rPr>
          <w:szCs w:val="22"/>
        </w:rPr>
      </w:pPr>
      <w:r w:rsidRPr="00191546">
        <w:rPr>
          <w:szCs w:val="22"/>
        </w:rPr>
        <w:t>THIS CONTRACT is entered into</w:t>
      </w:r>
      <w:r>
        <w:rPr>
          <w:szCs w:val="22"/>
        </w:rPr>
        <w:t xml:space="preserve"> this </w:t>
      </w:r>
      <w:r w:rsidR="006A0A00">
        <w:rPr>
          <w:szCs w:val="22"/>
        </w:rPr>
        <w:t>--</w:t>
      </w:r>
      <w:r>
        <w:rPr>
          <w:szCs w:val="22"/>
        </w:rPr>
        <w:t xml:space="preserve"> day of May 2014</w:t>
      </w:r>
    </w:p>
    <w:p w14:paraId="735B4C53" w14:textId="77777777" w:rsidR="00C24447" w:rsidRPr="00191546" w:rsidRDefault="00C24447" w:rsidP="00C24447">
      <w:pPr>
        <w:spacing w:after="240" w:line="360" w:lineRule="auto"/>
        <w:jc w:val="center"/>
      </w:pPr>
      <w:r w:rsidRPr="00191546">
        <w:rPr>
          <w:szCs w:val="22"/>
        </w:rPr>
        <w:t>between</w:t>
      </w:r>
    </w:p>
    <w:p w14:paraId="108C1187" w14:textId="77777777" w:rsidR="00C24447" w:rsidRPr="00191546" w:rsidRDefault="00C24447" w:rsidP="00C24447">
      <w:pPr>
        <w:spacing w:line="360" w:lineRule="auto"/>
        <w:jc w:val="center"/>
        <w:rPr>
          <w:szCs w:val="22"/>
        </w:rPr>
      </w:pPr>
      <w:r w:rsidRPr="00191546">
        <w:rPr>
          <w:szCs w:val="22"/>
        </w:rPr>
        <w:t>the WORLD INTELLECTUAL PROPERTY ORGANIZATION (hereinafter</w:t>
      </w:r>
    </w:p>
    <w:p w14:paraId="688927CE" w14:textId="77777777" w:rsidR="00C24447" w:rsidRPr="00191546" w:rsidRDefault="00C24447" w:rsidP="00C24447">
      <w:pPr>
        <w:spacing w:after="240" w:line="360" w:lineRule="auto"/>
        <w:jc w:val="center"/>
      </w:pPr>
      <w:r w:rsidRPr="00191546">
        <w:rPr>
          <w:szCs w:val="22"/>
        </w:rPr>
        <w:t xml:space="preserve">called “the Organization” or “WIPO”) </w:t>
      </w:r>
    </w:p>
    <w:p w14:paraId="70C8F9C7" w14:textId="77777777" w:rsidR="00C24447" w:rsidRPr="00191546" w:rsidRDefault="00C24447" w:rsidP="00C24447">
      <w:pPr>
        <w:spacing w:after="240" w:line="360" w:lineRule="auto"/>
        <w:jc w:val="center"/>
        <w:rPr>
          <w:szCs w:val="22"/>
        </w:rPr>
      </w:pPr>
      <w:r w:rsidRPr="00191546">
        <w:rPr>
          <w:szCs w:val="22"/>
        </w:rPr>
        <w:t>and</w:t>
      </w:r>
    </w:p>
    <w:p w14:paraId="69232F5E" w14:textId="77777777" w:rsidR="00C24447" w:rsidRPr="00191546" w:rsidRDefault="00C24447" w:rsidP="00C24447">
      <w:pPr>
        <w:spacing w:after="480" w:line="360" w:lineRule="auto"/>
        <w:jc w:val="center"/>
        <w:rPr>
          <w:szCs w:val="22"/>
        </w:rPr>
      </w:pPr>
      <w:r w:rsidRPr="00191546">
        <w:rPr>
          <w:szCs w:val="22"/>
        </w:rPr>
        <w:t>Mr. FRANCIS GURRY</w:t>
      </w:r>
    </w:p>
    <w:p w14:paraId="05DD0E88" w14:textId="77777777" w:rsidR="00C24447" w:rsidRPr="00191546" w:rsidRDefault="00C24447" w:rsidP="00C24447">
      <w:pPr>
        <w:spacing w:after="240" w:line="360" w:lineRule="auto"/>
        <w:rPr>
          <w:szCs w:val="22"/>
        </w:rPr>
      </w:pPr>
      <w:r w:rsidRPr="00191546">
        <w:rPr>
          <w:szCs w:val="22"/>
        </w:rPr>
        <w:t>WHEREAS:</w:t>
      </w:r>
    </w:p>
    <w:p w14:paraId="0C8321AB" w14:textId="77777777" w:rsidR="00C24447" w:rsidRPr="00191546" w:rsidRDefault="00C24447" w:rsidP="00C24447">
      <w:pPr>
        <w:spacing w:after="240" w:line="360" w:lineRule="auto"/>
        <w:rPr>
          <w:szCs w:val="22"/>
        </w:rPr>
      </w:pPr>
      <w:r w:rsidRPr="00191546">
        <w:rPr>
          <w:szCs w:val="22"/>
        </w:rPr>
        <w:t>A.</w:t>
      </w:r>
      <w:r w:rsidRPr="00191546">
        <w:rPr>
          <w:szCs w:val="22"/>
        </w:rPr>
        <w:tab/>
        <w:t>Article 6(2)(i) of the Convention Establishing the World Intellectual Property Organization (hereinafter called “the WIPO Convention”) provides that the WIPO General Assembly shall appoint the Director General of WIPO upon nomination by the WIPO Coordination Committee.</w:t>
      </w:r>
    </w:p>
    <w:p w14:paraId="1DAF61AF" w14:textId="77777777" w:rsidR="00C24447" w:rsidRPr="00191546" w:rsidRDefault="00C24447" w:rsidP="00C24447">
      <w:pPr>
        <w:spacing w:after="240" w:line="360" w:lineRule="auto"/>
        <w:rPr>
          <w:szCs w:val="22"/>
        </w:rPr>
      </w:pPr>
      <w:r w:rsidRPr="00191546">
        <w:rPr>
          <w:szCs w:val="22"/>
        </w:rPr>
        <w:t>B.</w:t>
      </w:r>
      <w:r w:rsidRPr="00191546">
        <w:rPr>
          <w:szCs w:val="22"/>
        </w:rPr>
        <w:tab/>
        <w:t xml:space="preserve">Article 9(3) of the WIPO Convention provides, </w:t>
      </w:r>
      <w:r w:rsidRPr="00191546">
        <w:rPr>
          <w:i/>
          <w:szCs w:val="22"/>
        </w:rPr>
        <w:t>inter alia</w:t>
      </w:r>
      <w:r w:rsidRPr="00191546">
        <w:rPr>
          <w:szCs w:val="22"/>
        </w:rPr>
        <w:t>, that the Director General of WIPO shall be appointed for a fixed term, which shall be not less than six years, and that the period of the initial appointment, as well as all other conditions of the appointment, shall be fixed by the WIPO General Assembly.</w:t>
      </w:r>
    </w:p>
    <w:p w14:paraId="6C4331C4" w14:textId="77777777" w:rsidR="00C24447" w:rsidRDefault="00C24447" w:rsidP="00C24447">
      <w:pPr>
        <w:spacing w:after="240" w:line="360" w:lineRule="auto"/>
        <w:rPr>
          <w:szCs w:val="22"/>
        </w:rPr>
      </w:pPr>
      <w:r w:rsidRPr="00191546">
        <w:rPr>
          <w:szCs w:val="22"/>
        </w:rPr>
        <w:t>C.</w:t>
      </w:r>
      <w:r w:rsidRPr="00191546">
        <w:rPr>
          <w:szCs w:val="22"/>
        </w:rPr>
        <w:tab/>
        <w:t>The term of the appointment may end according to the relevant provisions as set out in the WIPO Convention and the Staff Regulations and Rules of the International Bureau of WIPO.</w:t>
      </w:r>
      <w:r w:rsidRPr="00191546" w:rsidDel="00140B40">
        <w:rPr>
          <w:szCs w:val="22"/>
        </w:rPr>
        <w:t xml:space="preserve"> </w:t>
      </w:r>
    </w:p>
    <w:p w14:paraId="68D91912" w14:textId="77777777" w:rsidR="00C24447" w:rsidRPr="00191546" w:rsidRDefault="00C24447" w:rsidP="00C24447">
      <w:pPr>
        <w:spacing w:after="240" w:line="360" w:lineRule="auto"/>
      </w:pPr>
      <w:r w:rsidRPr="00191546">
        <w:rPr>
          <w:szCs w:val="22"/>
        </w:rPr>
        <w:t>D.</w:t>
      </w:r>
      <w:r w:rsidRPr="00191546">
        <w:rPr>
          <w:szCs w:val="22"/>
        </w:rPr>
        <w:tab/>
        <w:t xml:space="preserve">Upon the nomination of the WIPO Coordination Committee, the WIPO General Assembly </w:t>
      </w:r>
      <w:r>
        <w:rPr>
          <w:szCs w:val="22"/>
        </w:rPr>
        <w:t>re-</w:t>
      </w:r>
      <w:r w:rsidRPr="00191546">
        <w:rPr>
          <w:szCs w:val="22"/>
        </w:rPr>
        <w:t xml:space="preserve">appointed Mr. Gurry as Director General of WIPO on </w:t>
      </w:r>
      <w:r>
        <w:rPr>
          <w:szCs w:val="22"/>
        </w:rPr>
        <w:t>May 8, 2014</w:t>
      </w:r>
      <w:r w:rsidRPr="00191546">
        <w:rPr>
          <w:szCs w:val="22"/>
        </w:rPr>
        <w:t>.</w:t>
      </w:r>
    </w:p>
    <w:p w14:paraId="6BA3C4E4" w14:textId="77777777" w:rsidR="00C24447" w:rsidRDefault="00C24447" w:rsidP="00C24447">
      <w:pPr>
        <w:rPr>
          <w:szCs w:val="22"/>
        </w:rPr>
      </w:pPr>
      <w:r>
        <w:rPr>
          <w:szCs w:val="22"/>
        </w:rPr>
        <w:br w:type="page"/>
      </w:r>
    </w:p>
    <w:p w14:paraId="04C55A9D" w14:textId="77777777" w:rsidR="00C24447" w:rsidRPr="00191546" w:rsidRDefault="00C24447" w:rsidP="00C24447">
      <w:pPr>
        <w:pStyle w:val="Footer"/>
        <w:spacing w:after="240" w:line="360" w:lineRule="auto"/>
        <w:rPr>
          <w:szCs w:val="22"/>
        </w:rPr>
      </w:pPr>
      <w:r w:rsidRPr="00191546">
        <w:rPr>
          <w:szCs w:val="22"/>
        </w:rPr>
        <w:lastRenderedPageBreak/>
        <w:t>IT IS HEREBY AGREED AS FOLLOWS:</w:t>
      </w:r>
    </w:p>
    <w:p w14:paraId="2231EF36" w14:textId="77777777" w:rsidR="00C24447" w:rsidRPr="00191546" w:rsidRDefault="00C24447" w:rsidP="00C24447">
      <w:pPr>
        <w:pStyle w:val="Heading3"/>
        <w:spacing w:after="240"/>
      </w:pPr>
      <w:r w:rsidRPr="005D35D4">
        <w:t xml:space="preserve">Term </w:t>
      </w:r>
      <w:r w:rsidRPr="001D1354">
        <w:t>of</w:t>
      </w:r>
      <w:r w:rsidRPr="005D35D4">
        <w:t xml:space="preserve"> Appointment</w:t>
      </w:r>
    </w:p>
    <w:p w14:paraId="70B2AA9A" w14:textId="77777777" w:rsidR="00C24447" w:rsidRPr="00191546" w:rsidRDefault="00C24447" w:rsidP="00C24447">
      <w:pPr>
        <w:spacing w:after="240" w:line="360" w:lineRule="auto"/>
      </w:pPr>
      <w:r w:rsidRPr="00191546">
        <w:rPr>
          <w:szCs w:val="22"/>
        </w:rPr>
        <w:t>1.</w:t>
      </w:r>
      <w:r w:rsidRPr="00191546">
        <w:rPr>
          <w:szCs w:val="22"/>
        </w:rPr>
        <w:tab/>
        <w:t xml:space="preserve">The </w:t>
      </w:r>
      <w:r>
        <w:rPr>
          <w:szCs w:val="22"/>
        </w:rPr>
        <w:t>re-</w:t>
      </w:r>
      <w:r w:rsidRPr="00191546">
        <w:rPr>
          <w:szCs w:val="22"/>
        </w:rPr>
        <w:t xml:space="preserve">appointment of Mr. Gurry as Director General of WIPO shall be for a fixed term of six years, commencing on October 1, </w:t>
      </w:r>
      <w:r>
        <w:rPr>
          <w:szCs w:val="22"/>
        </w:rPr>
        <w:t>2014</w:t>
      </w:r>
      <w:r w:rsidRPr="00191546">
        <w:rPr>
          <w:szCs w:val="22"/>
        </w:rPr>
        <w:t>.</w:t>
      </w:r>
    </w:p>
    <w:p w14:paraId="1147DACC" w14:textId="77777777" w:rsidR="00C24447" w:rsidRPr="00496F77" w:rsidRDefault="00C24447" w:rsidP="00C24447">
      <w:pPr>
        <w:pStyle w:val="Heading3"/>
        <w:spacing w:after="240"/>
      </w:pPr>
      <w:r w:rsidRPr="00496F77">
        <w:t>Salary and Allowances</w:t>
      </w:r>
    </w:p>
    <w:p w14:paraId="0CA17989" w14:textId="77777777" w:rsidR="00C24447" w:rsidRPr="00191546" w:rsidRDefault="00C24447" w:rsidP="00C24447">
      <w:pPr>
        <w:spacing w:after="240" w:line="360" w:lineRule="auto"/>
        <w:rPr>
          <w:szCs w:val="22"/>
        </w:rPr>
      </w:pPr>
      <w:r w:rsidRPr="00191546">
        <w:rPr>
          <w:szCs w:val="22"/>
        </w:rPr>
        <w:t>2.</w:t>
      </w:r>
      <w:r w:rsidRPr="00191546">
        <w:rPr>
          <w:szCs w:val="22"/>
        </w:rPr>
        <w:tab/>
        <w:t>Throughout the term of his appointment, the Organization shall pay to Mr. Gurry</w:t>
      </w:r>
    </w:p>
    <w:p w14:paraId="29C043CE" w14:textId="77777777" w:rsidR="00C24447" w:rsidRPr="00191546" w:rsidRDefault="00C24447" w:rsidP="00C24447">
      <w:pPr>
        <w:spacing w:after="240" w:line="360" w:lineRule="auto"/>
        <w:rPr>
          <w:szCs w:val="22"/>
        </w:rPr>
      </w:pPr>
      <w:r w:rsidRPr="00191546">
        <w:rPr>
          <w:szCs w:val="22"/>
        </w:rPr>
        <w:tab/>
        <w:t>(1)</w:t>
      </w:r>
      <w:r w:rsidRPr="00191546">
        <w:rPr>
          <w:szCs w:val="22"/>
        </w:rPr>
        <w:tab/>
        <w:t xml:space="preserve">an annual net salary equivalent to the highest salary payable to the Head of a Specialized Agency of the United Nations which has its headquarters in Geneva;  </w:t>
      </w:r>
    </w:p>
    <w:p w14:paraId="4FF5F0CE" w14:textId="77777777" w:rsidR="00C24447" w:rsidRPr="00191546" w:rsidRDefault="00C24447" w:rsidP="00C24447">
      <w:pPr>
        <w:spacing w:after="240" w:line="360" w:lineRule="auto"/>
        <w:rPr>
          <w:szCs w:val="22"/>
        </w:rPr>
      </w:pPr>
      <w:r w:rsidRPr="00191546">
        <w:rPr>
          <w:szCs w:val="22"/>
        </w:rPr>
        <w:tab/>
        <w:t>(2)</w:t>
      </w:r>
      <w:r w:rsidRPr="00191546">
        <w:rPr>
          <w:szCs w:val="22"/>
        </w:rPr>
        <w:tab/>
        <w:t>an annual representation allowance of 62,100 Swiss francs, which will be updated annually according to the Consumer Price Index (CPI) for Geneva</w:t>
      </w:r>
      <w:r w:rsidRPr="00191546">
        <w:rPr>
          <w:rStyle w:val="FootnoteReference"/>
          <w:szCs w:val="22"/>
        </w:rPr>
        <w:footnoteReference w:customMarkFollows="1" w:id="2"/>
        <w:sym w:font="Symbol" w:char="F02A"/>
      </w:r>
      <w:r w:rsidRPr="00191546">
        <w:rPr>
          <w:szCs w:val="22"/>
        </w:rPr>
        <w:t xml:space="preserve">; </w:t>
      </w:r>
      <w:r>
        <w:rPr>
          <w:szCs w:val="22"/>
        </w:rPr>
        <w:t xml:space="preserve"> </w:t>
      </w:r>
      <w:r w:rsidRPr="00191546">
        <w:rPr>
          <w:szCs w:val="22"/>
        </w:rPr>
        <w:t>and</w:t>
      </w:r>
    </w:p>
    <w:p w14:paraId="2923E6CE" w14:textId="77777777" w:rsidR="00C24447" w:rsidRPr="00191546" w:rsidRDefault="00C24447" w:rsidP="00C24447">
      <w:pPr>
        <w:spacing w:after="240" w:line="360" w:lineRule="auto"/>
        <w:rPr>
          <w:szCs w:val="22"/>
        </w:rPr>
      </w:pPr>
      <w:r w:rsidRPr="00191546">
        <w:rPr>
          <w:szCs w:val="22"/>
        </w:rPr>
        <w:tab/>
        <w:t>(3)</w:t>
      </w:r>
      <w:r w:rsidRPr="00191546">
        <w:rPr>
          <w:szCs w:val="22"/>
        </w:rPr>
        <w:tab/>
        <w:t>an annual housing allowance of 76,200 Swiss francs, which will likewise be updated annually according to the CPI for Geneva.</w:t>
      </w:r>
    </w:p>
    <w:p w14:paraId="615A29C0" w14:textId="77777777" w:rsidR="00C24447" w:rsidRPr="00191546" w:rsidRDefault="00C24447" w:rsidP="00C24447">
      <w:pPr>
        <w:spacing w:after="240" w:line="360" w:lineRule="auto"/>
        <w:rPr>
          <w:szCs w:val="22"/>
        </w:rPr>
      </w:pPr>
      <w:r w:rsidRPr="00191546">
        <w:rPr>
          <w:szCs w:val="22"/>
        </w:rPr>
        <w:t>3.</w:t>
      </w:r>
      <w:r w:rsidRPr="00191546">
        <w:rPr>
          <w:szCs w:val="22"/>
        </w:rPr>
        <w:tab/>
        <w:t>The Organization shall make available to Mr. Gurry a car and chauffeur for official duties and pay the expenses relating thereto.</w:t>
      </w:r>
    </w:p>
    <w:p w14:paraId="5B009E70" w14:textId="77777777" w:rsidR="00C24447" w:rsidRPr="00191546" w:rsidRDefault="00C24447" w:rsidP="00C24447">
      <w:pPr>
        <w:spacing w:line="360" w:lineRule="auto"/>
        <w:rPr>
          <w:szCs w:val="22"/>
        </w:rPr>
      </w:pPr>
      <w:r w:rsidRPr="00191546">
        <w:rPr>
          <w:szCs w:val="22"/>
        </w:rPr>
        <w:t>4.</w:t>
      </w:r>
      <w:r w:rsidRPr="00191546">
        <w:rPr>
          <w:szCs w:val="22"/>
        </w:rPr>
        <w:tab/>
        <w:t>Mr. Gurry shall be entitled to appropriate security protection, where necessary.</w:t>
      </w:r>
    </w:p>
    <w:p w14:paraId="41CB19E9" w14:textId="77777777" w:rsidR="00C24447" w:rsidRPr="00862F3F" w:rsidRDefault="00C24447" w:rsidP="00C24447">
      <w:pPr>
        <w:pStyle w:val="Heading3"/>
        <w:spacing w:after="240"/>
      </w:pPr>
      <w:r w:rsidRPr="00862F3F">
        <w:t>Pension</w:t>
      </w:r>
    </w:p>
    <w:p w14:paraId="27ADD6B7" w14:textId="77777777" w:rsidR="00C24447" w:rsidRPr="00191546" w:rsidRDefault="00C24447" w:rsidP="00C24447">
      <w:pPr>
        <w:spacing w:after="240" w:line="360" w:lineRule="auto"/>
        <w:rPr>
          <w:szCs w:val="22"/>
        </w:rPr>
      </w:pPr>
      <w:r w:rsidRPr="00191546">
        <w:rPr>
          <w:szCs w:val="22"/>
        </w:rPr>
        <w:t>5.</w:t>
      </w:r>
      <w:r w:rsidRPr="00191546">
        <w:rPr>
          <w:szCs w:val="22"/>
        </w:rPr>
        <w:tab/>
        <w:t>Mr. Gurry shall be entitled to continue to participate in the United Nations Joint Staff Pension Fund, in accordance with the Regulations and Rules of that Fund and with the pensionable remuneration determined in accordance with the methodology of the General Assembly of the United Nations.</w:t>
      </w:r>
    </w:p>
    <w:p w14:paraId="5312E081" w14:textId="77777777" w:rsidR="00C24447" w:rsidRDefault="00C24447" w:rsidP="00C24447">
      <w:pPr>
        <w:rPr>
          <w:bCs/>
          <w:szCs w:val="26"/>
          <w:u w:val="single"/>
        </w:rPr>
      </w:pPr>
      <w:r>
        <w:br w:type="page"/>
      </w:r>
    </w:p>
    <w:p w14:paraId="163B8D48" w14:textId="77777777" w:rsidR="00C24447" w:rsidRPr="00191546" w:rsidRDefault="00C24447" w:rsidP="00C24447">
      <w:pPr>
        <w:pStyle w:val="Heading3"/>
        <w:spacing w:after="240"/>
      </w:pPr>
      <w:r w:rsidRPr="00191546">
        <w:lastRenderedPageBreak/>
        <w:t>Application of the WIPO Staff Regulations and Staff Rules</w:t>
      </w:r>
    </w:p>
    <w:p w14:paraId="05A7C386" w14:textId="77777777" w:rsidR="00C24447" w:rsidRPr="00191546" w:rsidRDefault="00C24447" w:rsidP="00C24447">
      <w:pPr>
        <w:spacing w:after="240" w:line="360" w:lineRule="auto"/>
        <w:rPr>
          <w:szCs w:val="22"/>
        </w:rPr>
      </w:pPr>
      <w:r w:rsidRPr="00191546">
        <w:rPr>
          <w:szCs w:val="22"/>
        </w:rPr>
        <w:t>6.</w:t>
      </w:r>
      <w:r w:rsidRPr="00191546">
        <w:rPr>
          <w:szCs w:val="22"/>
        </w:rPr>
        <w:tab/>
        <w:t>Except as may be otherwise modified herein, Mr. Gurry shall have the rights and assume the obligations which are provided for in the Staff Regulations and Staff Rules of the International Bureau of WIPO.</w:t>
      </w:r>
    </w:p>
    <w:p w14:paraId="1004A048" w14:textId="77777777" w:rsidR="00C24447" w:rsidRPr="00191546" w:rsidRDefault="00C24447" w:rsidP="00C24447">
      <w:pPr>
        <w:spacing w:line="360" w:lineRule="auto"/>
        <w:rPr>
          <w:szCs w:val="22"/>
        </w:rPr>
      </w:pPr>
      <w:r w:rsidRPr="00191546">
        <w:rPr>
          <w:szCs w:val="22"/>
        </w:rPr>
        <w:t xml:space="preserve">IN WITNESS WHEREOF, THE PARTIES HAVE THIS </w:t>
      </w:r>
      <w:r>
        <w:rPr>
          <w:szCs w:val="22"/>
        </w:rPr>
        <w:t>--</w:t>
      </w:r>
      <w:r w:rsidRPr="00191546">
        <w:rPr>
          <w:szCs w:val="22"/>
        </w:rPr>
        <w:t xml:space="preserve"> DAY OF </w:t>
      </w:r>
      <w:r>
        <w:rPr>
          <w:szCs w:val="22"/>
        </w:rPr>
        <w:t>MAY 2014</w:t>
      </w:r>
    </w:p>
    <w:p w14:paraId="1C85B144" w14:textId="77777777" w:rsidR="00C24447" w:rsidRPr="00191546" w:rsidRDefault="00C24447" w:rsidP="00C24447">
      <w:pPr>
        <w:pStyle w:val="Footer"/>
        <w:spacing w:after="960" w:line="360" w:lineRule="auto"/>
      </w:pPr>
      <w:r w:rsidRPr="00191546">
        <w:rPr>
          <w:szCs w:val="22"/>
        </w:rPr>
        <w:t>SIGNED THESE PRESENTS</w:t>
      </w:r>
    </w:p>
    <w:tbl>
      <w:tblPr>
        <w:tblW w:w="0" w:type="auto"/>
        <w:tblLook w:val="01E0" w:firstRow="1" w:lastRow="1" w:firstColumn="1" w:lastColumn="1" w:noHBand="0" w:noVBand="0"/>
      </w:tblPr>
      <w:tblGrid>
        <w:gridCol w:w="4643"/>
        <w:gridCol w:w="4644"/>
      </w:tblGrid>
      <w:tr w:rsidR="00C24447" w:rsidRPr="00353CA6" w14:paraId="43966C79" w14:textId="77777777" w:rsidTr="0043781A">
        <w:tc>
          <w:tcPr>
            <w:tcW w:w="4643" w:type="dxa"/>
            <w:shd w:val="clear" w:color="auto" w:fill="auto"/>
          </w:tcPr>
          <w:p w14:paraId="4FEE3FA4" w14:textId="77777777" w:rsidR="00C24447" w:rsidRPr="00353CA6" w:rsidRDefault="00C24447" w:rsidP="0043781A">
            <w:pPr>
              <w:spacing w:line="360" w:lineRule="auto"/>
              <w:jc w:val="center"/>
              <w:rPr>
                <w:color w:val="000000"/>
                <w:szCs w:val="22"/>
              </w:rPr>
            </w:pPr>
            <w:r w:rsidRPr="00353CA6">
              <w:rPr>
                <w:color w:val="000000"/>
                <w:szCs w:val="22"/>
              </w:rPr>
              <w:t>________________________</w:t>
            </w:r>
          </w:p>
          <w:p w14:paraId="020C4A6D" w14:textId="77777777" w:rsidR="00C24447" w:rsidRPr="00353CA6" w:rsidRDefault="00C24447" w:rsidP="0043781A">
            <w:pPr>
              <w:spacing w:line="360" w:lineRule="auto"/>
              <w:jc w:val="center"/>
              <w:rPr>
                <w:szCs w:val="22"/>
              </w:rPr>
            </w:pPr>
            <w:r w:rsidRPr="00353CA6">
              <w:rPr>
                <w:szCs w:val="22"/>
              </w:rPr>
              <w:t>Päivi Kairamo</w:t>
            </w:r>
          </w:p>
        </w:tc>
        <w:tc>
          <w:tcPr>
            <w:tcW w:w="4644" w:type="dxa"/>
            <w:shd w:val="clear" w:color="auto" w:fill="auto"/>
          </w:tcPr>
          <w:p w14:paraId="2C8FF4E4" w14:textId="77777777" w:rsidR="00C24447" w:rsidRPr="00353CA6" w:rsidRDefault="00C24447" w:rsidP="0043781A">
            <w:pPr>
              <w:spacing w:line="360" w:lineRule="auto"/>
              <w:jc w:val="center"/>
              <w:rPr>
                <w:szCs w:val="22"/>
              </w:rPr>
            </w:pPr>
            <w:r w:rsidRPr="00353CA6">
              <w:rPr>
                <w:szCs w:val="22"/>
              </w:rPr>
              <w:t>_______________________</w:t>
            </w:r>
          </w:p>
          <w:p w14:paraId="29B298A3" w14:textId="77777777" w:rsidR="00C24447" w:rsidRPr="00353CA6" w:rsidRDefault="00C24447" w:rsidP="0043781A">
            <w:pPr>
              <w:spacing w:line="360" w:lineRule="auto"/>
              <w:jc w:val="center"/>
              <w:rPr>
                <w:szCs w:val="22"/>
              </w:rPr>
            </w:pPr>
            <w:r w:rsidRPr="00353CA6">
              <w:rPr>
                <w:szCs w:val="22"/>
              </w:rPr>
              <w:t>Francis Gurry</w:t>
            </w:r>
          </w:p>
        </w:tc>
      </w:tr>
      <w:tr w:rsidR="00C24447" w:rsidRPr="00353CA6" w14:paraId="69FCF4A9" w14:textId="77777777" w:rsidTr="0043781A">
        <w:tc>
          <w:tcPr>
            <w:tcW w:w="4643" w:type="dxa"/>
            <w:shd w:val="clear" w:color="auto" w:fill="auto"/>
          </w:tcPr>
          <w:p w14:paraId="7CCC2DD4" w14:textId="77777777" w:rsidR="00C24447" w:rsidRPr="00353CA6" w:rsidRDefault="00C24447" w:rsidP="0043781A">
            <w:pPr>
              <w:spacing w:line="360" w:lineRule="auto"/>
              <w:jc w:val="center"/>
              <w:rPr>
                <w:color w:val="000000"/>
                <w:szCs w:val="22"/>
              </w:rPr>
            </w:pPr>
            <w:r w:rsidRPr="00353CA6">
              <w:rPr>
                <w:szCs w:val="22"/>
              </w:rPr>
              <w:t>Chair</w:t>
            </w:r>
          </w:p>
        </w:tc>
        <w:tc>
          <w:tcPr>
            <w:tcW w:w="4644" w:type="dxa"/>
            <w:shd w:val="clear" w:color="auto" w:fill="auto"/>
          </w:tcPr>
          <w:p w14:paraId="40070FFB" w14:textId="77777777" w:rsidR="00C24447" w:rsidRPr="00353CA6" w:rsidRDefault="00C24447" w:rsidP="0043781A">
            <w:pPr>
              <w:spacing w:line="360" w:lineRule="auto"/>
              <w:jc w:val="center"/>
              <w:rPr>
                <w:szCs w:val="22"/>
              </w:rPr>
            </w:pPr>
          </w:p>
        </w:tc>
      </w:tr>
      <w:tr w:rsidR="00C24447" w:rsidRPr="00353CA6" w14:paraId="7E38FA82" w14:textId="77777777" w:rsidTr="0043781A">
        <w:tc>
          <w:tcPr>
            <w:tcW w:w="4643" w:type="dxa"/>
            <w:shd w:val="clear" w:color="auto" w:fill="auto"/>
          </w:tcPr>
          <w:p w14:paraId="2842E77D" w14:textId="77777777" w:rsidR="00C24447" w:rsidRPr="00353CA6" w:rsidRDefault="00C24447" w:rsidP="0043781A">
            <w:pPr>
              <w:spacing w:line="360" w:lineRule="auto"/>
              <w:jc w:val="center"/>
              <w:rPr>
                <w:szCs w:val="22"/>
              </w:rPr>
            </w:pPr>
            <w:r w:rsidRPr="00353CA6">
              <w:rPr>
                <w:szCs w:val="22"/>
              </w:rPr>
              <w:t>WIPO General Assembly</w:t>
            </w:r>
          </w:p>
        </w:tc>
        <w:tc>
          <w:tcPr>
            <w:tcW w:w="4644" w:type="dxa"/>
            <w:shd w:val="clear" w:color="auto" w:fill="auto"/>
          </w:tcPr>
          <w:p w14:paraId="29B77610" w14:textId="77777777" w:rsidR="00C24447" w:rsidRPr="00353CA6" w:rsidRDefault="00C24447" w:rsidP="0043781A">
            <w:pPr>
              <w:spacing w:line="360" w:lineRule="auto"/>
              <w:jc w:val="center"/>
              <w:rPr>
                <w:szCs w:val="22"/>
              </w:rPr>
            </w:pPr>
          </w:p>
        </w:tc>
      </w:tr>
      <w:tr w:rsidR="00C24447" w:rsidRPr="00353CA6" w14:paraId="264E38B6" w14:textId="77777777" w:rsidTr="0043781A">
        <w:tc>
          <w:tcPr>
            <w:tcW w:w="4643" w:type="dxa"/>
            <w:shd w:val="clear" w:color="auto" w:fill="auto"/>
          </w:tcPr>
          <w:p w14:paraId="6AEF3DFE" w14:textId="77777777" w:rsidR="00C24447" w:rsidRPr="00353CA6" w:rsidRDefault="00C24447" w:rsidP="0043781A">
            <w:pPr>
              <w:spacing w:line="360" w:lineRule="auto"/>
              <w:jc w:val="center"/>
              <w:rPr>
                <w:szCs w:val="22"/>
              </w:rPr>
            </w:pPr>
          </w:p>
        </w:tc>
        <w:tc>
          <w:tcPr>
            <w:tcW w:w="4644" w:type="dxa"/>
            <w:shd w:val="clear" w:color="auto" w:fill="auto"/>
          </w:tcPr>
          <w:p w14:paraId="772A2159" w14:textId="77777777" w:rsidR="00C24447" w:rsidRPr="00353CA6" w:rsidRDefault="00C24447" w:rsidP="0043781A">
            <w:pPr>
              <w:spacing w:line="360" w:lineRule="auto"/>
              <w:jc w:val="center"/>
              <w:rPr>
                <w:szCs w:val="22"/>
              </w:rPr>
            </w:pPr>
          </w:p>
        </w:tc>
      </w:tr>
    </w:tbl>
    <w:p w14:paraId="21E26ED1" w14:textId="77777777" w:rsidR="00C24447" w:rsidRPr="005340B8" w:rsidRDefault="00C24447" w:rsidP="00C24447">
      <w:pPr>
        <w:pStyle w:val="Endofdocument-Annex"/>
        <w:spacing w:after="960"/>
        <w:ind w:left="0"/>
      </w:pPr>
    </w:p>
    <w:p w14:paraId="06C21375" w14:textId="77777777" w:rsidR="00C24447" w:rsidRPr="005340B8" w:rsidRDefault="00C24447" w:rsidP="00C24447">
      <w:pPr>
        <w:pStyle w:val="Endofdocument-Annex"/>
      </w:pPr>
      <w:r>
        <w:t>[End of Annex and document]</w:t>
      </w:r>
    </w:p>
    <w:p w14:paraId="5E712693" w14:textId="77777777" w:rsidR="001D4107" w:rsidRDefault="001D4107" w:rsidP="008936EE">
      <w:pPr>
        <w:spacing w:after="220"/>
      </w:pPr>
    </w:p>
    <w:sectPr w:rsidR="001D4107" w:rsidSect="00C24447">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00038" w14:textId="77777777" w:rsidR="003618E6" w:rsidRDefault="003618E6">
      <w:r>
        <w:separator/>
      </w:r>
    </w:p>
  </w:endnote>
  <w:endnote w:type="continuationSeparator" w:id="0">
    <w:p w14:paraId="106233F8" w14:textId="77777777" w:rsidR="003618E6" w:rsidRDefault="003618E6" w:rsidP="003B38C1">
      <w:r>
        <w:separator/>
      </w:r>
    </w:p>
    <w:p w14:paraId="22706672" w14:textId="77777777" w:rsidR="003618E6" w:rsidRPr="003B38C1" w:rsidRDefault="003618E6" w:rsidP="003B38C1">
      <w:pPr>
        <w:spacing w:after="60"/>
        <w:rPr>
          <w:sz w:val="17"/>
        </w:rPr>
      </w:pPr>
      <w:r>
        <w:rPr>
          <w:sz w:val="17"/>
        </w:rPr>
        <w:t>[Endnote continued from previous page]</w:t>
      </w:r>
    </w:p>
  </w:endnote>
  <w:endnote w:type="continuationNotice" w:id="1">
    <w:p w14:paraId="0221A4C7" w14:textId="77777777" w:rsidR="003618E6" w:rsidRPr="003B38C1" w:rsidRDefault="003618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FF4E6" w14:textId="77777777" w:rsidR="00C24447" w:rsidRDefault="00C24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DF75D" w14:textId="77777777" w:rsidR="003618E6" w:rsidRDefault="003618E6">
      <w:r>
        <w:separator/>
      </w:r>
    </w:p>
  </w:footnote>
  <w:footnote w:type="continuationSeparator" w:id="0">
    <w:p w14:paraId="2A4B9CD4" w14:textId="77777777" w:rsidR="003618E6" w:rsidRDefault="003618E6" w:rsidP="008B60B2">
      <w:r>
        <w:separator/>
      </w:r>
    </w:p>
    <w:p w14:paraId="31CC3B92" w14:textId="77777777" w:rsidR="003618E6" w:rsidRPr="00ED77FB" w:rsidRDefault="003618E6" w:rsidP="008B60B2">
      <w:pPr>
        <w:spacing w:after="60"/>
        <w:rPr>
          <w:sz w:val="17"/>
          <w:szCs w:val="17"/>
        </w:rPr>
      </w:pPr>
      <w:r w:rsidRPr="00ED77FB">
        <w:rPr>
          <w:sz w:val="17"/>
          <w:szCs w:val="17"/>
        </w:rPr>
        <w:t>[Footnote continued from previous page]</w:t>
      </w:r>
    </w:p>
  </w:footnote>
  <w:footnote w:type="continuationNotice" w:id="1">
    <w:p w14:paraId="02C7A022" w14:textId="77777777" w:rsidR="003618E6" w:rsidRPr="00ED77FB" w:rsidRDefault="003618E6" w:rsidP="008B60B2">
      <w:pPr>
        <w:spacing w:before="60"/>
        <w:jc w:val="right"/>
        <w:rPr>
          <w:sz w:val="17"/>
          <w:szCs w:val="17"/>
        </w:rPr>
      </w:pPr>
      <w:r w:rsidRPr="00ED77FB">
        <w:rPr>
          <w:sz w:val="17"/>
          <w:szCs w:val="17"/>
        </w:rPr>
        <w:t>[Footnote continued on next page]</w:t>
      </w:r>
    </w:p>
  </w:footnote>
  <w:footnote w:id="2">
    <w:p w14:paraId="0401BE79" w14:textId="77777777" w:rsidR="00C24447" w:rsidRDefault="00C24447" w:rsidP="00C24447">
      <w:pPr>
        <w:pStyle w:val="FootnoteText"/>
      </w:pPr>
      <w:r w:rsidRPr="005A5A52">
        <w:rPr>
          <w:rStyle w:val="FootnoteReference"/>
        </w:rPr>
        <w:sym w:font="Symbol" w:char="F02A"/>
      </w:r>
      <w:r>
        <w:t xml:space="preserve"> The CPI for Geneva is issued by the Office Cantonal de la Statistique.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BAEDA" w14:textId="77777777" w:rsidR="00C24447" w:rsidRDefault="00C24447" w:rsidP="00286C23">
    <w:pPr>
      <w:jc w:val="right"/>
    </w:pPr>
    <w:r>
      <w:t>WO/GA/52/</w:t>
    </w:r>
    <w:r w:rsidRPr="005D35D4">
      <w:t>1</w:t>
    </w:r>
  </w:p>
  <w:p w14:paraId="725FB88F" w14:textId="77777777" w:rsidR="00C24447" w:rsidRDefault="00C24447" w:rsidP="00286C23">
    <w:pPr>
      <w:jc w:val="right"/>
    </w:pPr>
    <w:r>
      <w:t xml:space="preserve">page </w:t>
    </w:r>
    <w:r>
      <w:fldChar w:fldCharType="begin"/>
    </w:r>
    <w:r>
      <w:instrText xml:space="preserve"> PAGE  \* MERGEFORMAT </w:instrText>
    </w:r>
    <w:r>
      <w:fldChar w:fldCharType="separate"/>
    </w:r>
    <w:r>
      <w:rPr>
        <w:noProof/>
      </w:rPr>
      <w:t>2</w:t>
    </w:r>
    <w:r>
      <w:fldChar w:fldCharType="end"/>
    </w:r>
  </w:p>
  <w:p w14:paraId="5D383E35" w14:textId="77777777" w:rsidR="00C24447" w:rsidRDefault="00C24447" w:rsidP="00286C2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273F6" w14:textId="238A318C" w:rsidR="00C24447" w:rsidRDefault="00C24447" w:rsidP="00477D6B">
    <w:pPr>
      <w:jc w:val="right"/>
    </w:pPr>
    <w:r>
      <w:t>WO/GA/52/</w:t>
    </w:r>
    <w:r w:rsidRPr="00C24447">
      <w:t>1</w:t>
    </w:r>
    <w:r w:rsidR="00A73246">
      <w:t xml:space="preserve"> Rev.</w:t>
    </w:r>
  </w:p>
  <w:p w14:paraId="55E746C2" w14:textId="7D6FCED7" w:rsidR="00C24447" w:rsidRDefault="00C24447" w:rsidP="00477D6B">
    <w:pPr>
      <w:jc w:val="right"/>
    </w:pPr>
    <w:r>
      <w:t xml:space="preserve">page </w:t>
    </w:r>
    <w:r>
      <w:fldChar w:fldCharType="begin"/>
    </w:r>
    <w:r>
      <w:instrText xml:space="preserve"> PAGE  \* MERGEFORMAT </w:instrText>
    </w:r>
    <w:r>
      <w:fldChar w:fldCharType="separate"/>
    </w:r>
    <w:r w:rsidR="001C25A2">
      <w:rPr>
        <w:noProof/>
      </w:rPr>
      <w:t>2</w:t>
    </w:r>
    <w:r>
      <w:fldChar w:fldCharType="end"/>
    </w:r>
  </w:p>
  <w:p w14:paraId="249268A1" w14:textId="77777777" w:rsidR="00C24447" w:rsidRDefault="00C2444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34496" w14:textId="4DF155DB" w:rsidR="00D07C78" w:rsidRPr="00C24447" w:rsidRDefault="008E68A4" w:rsidP="00477D6B">
    <w:pPr>
      <w:jc w:val="right"/>
      <w:rPr>
        <w:lang w:val="fr-FR"/>
      </w:rPr>
    </w:pPr>
    <w:bookmarkStart w:id="6" w:name="Code2"/>
    <w:r>
      <w:rPr>
        <w:lang w:val="fr-FR"/>
      </w:rPr>
      <w:t>WO/GA/52/1</w:t>
    </w:r>
    <w:r w:rsidR="000D1240">
      <w:rPr>
        <w:lang w:val="fr-FR"/>
      </w:rPr>
      <w:t xml:space="preserve"> Rev.</w:t>
    </w:r>
  </w:p>
  <w:bookmarkEnd w:id="6"/>
  <w:p w14:paraId="164B1DEA" w14:textId="242E70D3" w:rsidR="00D07C78" w:rsidRPr="00C24447" w:rsidRDefault="00C24447" w:rsidP="00477D6B">
    <w:pPr>
      <w:jc w:val="right"/>
      <w:rPr>
        <w:lang w:val="fr-FR"/>
      </w:rPr>
    </w:pPr>
    <w:r w:rsidRPr="00C24447">
      <w:rPr>
        <w:lang w:val="fr-FR"/>
      </w:rPr>
      <w:t xml:space="preserve">Annex, </w:t>
    </w:r>
    <w:r w:rsidR="00D07C78" w:rsidRPr="00C24447">
      <w:rPr>
        <w:lang w:val="fr-FR"/>
      </w:rPr>
      <w:t xml:space="preserve">page </w:t>
    </w:r>
    <w:r w:rsidR="00D07C78">
      <w:fldChar w:fldCharType="begin"/>
    </w:r>
    <w:r w:rsidR="00D07C78" w:rsidRPr="00C24447">
      <w:rPr>
        <w:lang w:val="fr-FR"/>
      </w:rPr>
      <w:instrText xml:space="preserve"> PAGE  \* MERGEFORMAT </w:instrText>
    </w:r>
    <w:r w:rsidR="00D07C78">
      <w:fldChar w:fldCharType="separate"/>
    </w:r>
    <w:r w:rsidR="001C25A2">
      <w:rPr>
        <w:noProof/>
        <w:lang w:val="fr-FR"/>
      </w:rPr>
      <w:t>3</w:t>
    </w:r>
    <w:r w:rsidR="00D07C78">
      <w:fldChar w:fldCharType="end"/>
    </w:r>
  </w:p>
  <w:p w14:paraId="5AC7514E" w14:textId="77777777" w:rsidR="00D07C78" w:rsidRPr="00C24447" w:rsidRDefault="00D07C78" w:rsidP="00477D6B">
    <w:pPr>
      <w:jc w:val="right"/>
      <w:rPr>
        <w:lang w:val="fr-FR"/>
      </w:rPr>
    </w:pPr>
  </w:p>
  <w:p w14:paraId="2B86F920" w14:textId="77777777" w:rsidR="00D07C78" w:rsidRPr="00C24447" w:rsidRDefault="00D07C78" w:rsidP="00477D6B">
    <w:pPr>
      <w:jc w:val="right"/>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2995D" w14:textId="77777777" w:rsidR="00C24447" w:rsidRDefault="00C24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447"/>
    <w:rsid w:val="00004205"/>
    <w:rsid w:val="00040517"/>
    <w:rsid w:val="00043CAA"/>
    <w:rsid w:val="00056816"/>
    <w:rsid w:val="00063449"/>
    <w:rsid w:val="00075432"/>
    <w:rsid w:val="000968ED"/>
    <w:rsid w:val="000A3D97"/>
    <w:rsid w:val="000A7859"/>
    <w:rsid w:val="000A7A2D"/>
    <w:rsid w:val="000D1240"/>
    <w:rsid w:val="000F5E56"/>
    <w:rsid w:val="001362EE"/>
    <w:rsid w:val="00147BE6"/>
    <w:rsid w:val="001647D5"/>
    <w:rsid w:val="001832A6"/>
    <w:rsid w:val="001A40E2"/>
    <w:rsid w:val="001C25A2"/>
    <w:rsid w:val="001D4107"/>
    <w:rsid w:val="00203D24"/>
    <w:rsid w:val="0021217E"/>
    <w:rsid w:val="00217391"/>
    <w:rsid w:val="002346C4"/>
    <w:rsid w:val="002415DC"/>
    <w:rsid w:val="00243430"/>
    <w:rsid w:val="002634C4"/>
    <w:rsid w:val="002639B6"/>
    <w:rsid w:val="002928D3"/>
    <w:rsid w:val="00296EE2"/>
    <w:rsid w:val="002F1FE6"/>
    <w:rsid w:val="002F4E68"/>
    <w:rsid w:val="0031246E"/>
    <w:rsid w:val="00312F7F"/>
    <w:rsid w:val="00322586"/>
    <w:rsid w:val="00341546"/>
    <w:rsid w:val="00361450"/>
    <w:rsid w:val="003618E6"/>
    <w:rsid w:val="003673CF"/>
    <w:rsid w:val="003845C1"/>
    <w:rsid w:val="003A6F89"/>
    <w:rsid w:val="003B38C1"/>
    <w:rsid w:val="003C34E9"/>
    <w:rsid w:val="003E3936"/>
    <w:rsid w:val="00423E3E"/>
    <w:rsid w:val="00427AF4"/>
    <w:rsid w:val="00451E38"/>
    <w:rsid w:val="00455BE7"/>
    <w:rsid w:val="004647DA"/>
    <w:rsid w:val="004719BA"/>
    <w:rsid w:val="00474062"/>
    <w:rsid w:val="00477D6B"/>
    <w:rsid w:val="005019FF"/>
    <w:rsid w:val="0053057A"/>
    <w:rsid w:val="00531A5E"/>
    <w:rsid w:val="005361A2"/>
    <w:rsid w:val="00556076"/>
    <w:rsid w:val="00560A29"/>
    <w:rsid w:val="00592BC9"/>
    <w:rsid w:val="005A291B"/>
    <w:rsid w:val="005C3366"/>
    <w:rsid w:val="005C6649"/>
    <w:rsid w:val="005D13DE"/>
    <w:rsid w:val="005E27B1"/>
    <w:rsid w:val="006043C6"/>
    <w:rsid w:val="00605827"/>
    <w:rsid w:val="00612671"/>
    <w:rsid w:val="00646050"/>
    <w:rsid w:val="00652042"/>
    <w:rsid w:val="006713CA"/>
    <w:rsid w:val="00676C5C"/>
    <w:rsid w:val="006961B9"/>
    <w:rsid w:val="006A0A00"/>
    <w:rsid w:val="006D6501"/>
    <w:rsid w:val="00720EFD"/>
    <w:rsid w:val="00747A21"/>
    <w:rsid w:val="0077221F"/>
    <w:rsid w:val="00793A7C"/>
    <w:rsid w:val="00795182"/>
    <w:rsid w:val="007A398A"/>
    <w:rsid w:val="007D1613"/>
    <w:rsid w:val="007E03F2"/>
    <w:rsid w:val="007E4C0E"/>
    <w:rsid w:val="00805BD5"/>
    <w:rsid w:val="00876C27"/>
    <w:rsid w:val="0089243D"/>
    <w:rsid w:val="008936EE"/>
    <w:rsid w:val="008A134B"/>
    <w:rsid w:val="008B2CC1"/>
    <w:rsid w:val="008B60B2"/>
    <w:rsid w:val="008E68A4"/>
    <w:rsid w:val="0090731E"/>
    <w:rsid w:val="00916EE2"/>
    <w:rsid w:val="00962748"/>
    <w:rsid w:val="00966A22"/>
    <w:rsid w:val="0096722F"/>
    <w:rsid w:val="00980843"/>
    <w:rsid w:val="009B35A7"/>
    <w:rsid w:val="009D033B"/>
    <w:rsid w:val="009E2791"/>
    <w:rsid w:val="009E3F6F"/>
    <w:rsid w:val="009E684A"/>
    <w:rsid w:val="009F38A7"/>
    <w:rsid w:val="009F499F"/>
    <w:rsid w:val="00A00605"/>
    <w:rsid w:val="00A265B5"/>
    <w:rsid w:val="00A37342"/>
    <w:rsid w:val="00A42DAF"/>
    <w:rsid w:val="00A45BD8"/>
    <w:rsid w:val="00A73246"/>
    <w:rsid w:val="00A869B7"/>
    <w:rsid w:val="00AC205C"/>
    <w:rsid w:val="00AD2EFB"/>
    <w:rsid w:val="00AF0A6B"/>
    <w:rsid w:val="00B05A69"/>
    <w:rsid w:val="00B40081"/>
    <w:rsid w:val="00B7511F"/>
    <w:rsid w:val="00B75281"/>
    <w:rsid w:val="00B83FE2"/>
    <w:rsid w:val="00B92F1F"/>
    <w:rsid w:val="00B9734B"/>
    <w:rsid w:val="00BA30E2"/>
    <w:rsid w:val="00C11BFE"/>
    <w:rsid w:val="00C24447"/>
    <w:rsid w:val="00C274D7"/>
    <w:rsid w:val="00C5068F"/>
    <w:rsid w:val="00C86D74"/>
    <w:rsid w:val="00CA7DAC"/>
    <w:rsid w:val="00CB3542"/>
    <w:rsid w:val="00CC517E"/>
    <w:rsid w:val="00CD04F1"/>
    <w:rsid w:val="00CD24D4"/>
    <w:rsid w:val="00CF681A"/>
    <w:rsid w:val="00D06190"/>
    <w:rsid w:val="00D07C78"/>
    <w:rsid w:val="00D45252"/>
    <w:rsid w:val="00D556CF"/>
    <w:rsid w:val="00D633A8"/>
    <w:rsid w:val="00D71B4D"/>
    <w:rsid w:val="00D93D55"/>
    <w:rsid w:val="00DC0D2F"/>
    <w:rsid w:val="00DD7B7F"/>
    <w:rsid w:val="00DF3697"/>
    <w:rsid w:val="00E15015"/>
    <w:rsid w:val="00E256BA"/>
    <w:rsid w:val="00E335FE"/>
    <w:rsid w:val="00EA7D6E"/>
    <w:rsid w:val="00EB2F76"/>
    <w:rsid w:val="00EC4E49"/>
    <w:rsid w:val="00ED77FB"/>
    <w:rsid w:val="00EE45FA"/>
    <w:rsid w:val="00F01EA1"/>
    <w:rsid w:val="00F043DE"/>
    <w:rsid w:val="00F20E3E"/>
    <w:rsid w:val="00F66152"/>
    <w:rsid w:val="00F7263C"/>
    <w:rsid w:val="00F9165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79D1A61"/>
  <w15:docId w15:val="{398AADD7-B10E-4F82-8348-39D5BEB2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styleId="FootnoteReference">
    <w:name w:val="footnote reference"/>
    <w:semiHidden/>
    <w:rsid w:val="00C24447"/>
    <w:rPr>
      <w:vertAlign w:val="superscript"/>
    </w:rPr>
  </w:style>
  <w:style w:type="character" w:styleId="CommentReference">
    <w:name w:val="annotation reference"/>
    <w:basedOn w:val="DefaultParagraphFont"/>
    <w:semiHidden/>
    <w:unhideWhenUsed/>
    <w:rsid w:val="00B7511F"/>
    <w:rPr>
      <w:sz w:val="16"/>
      <w:szCs w:val="16"/>
    </w:rPr>
  </w:style>
  <w:style w:type="paragraph" w:styleId="CommentSubject">
    <w:name w:val="annotation subject"/>
    <w:basedOn w:val="CommentText"/>
    <w:next w:val="CommentText"/>
    <w:link w:val="CommentSubjectChar"/>
    <w:semiHidden/>
    <w:unhideWhenUsed/>
    <w:rsid w:val="00B7511F"/>
    <w:rPr>
      <w:b/>
      <w:bCs/>
      <w:sz w:val="20"/>
    </w:rPr>
  </w:style>
  <w:style w:type="character" w:customStyle="1" w:styleId="CommentTextChar">
    <w:name w:val="Comment Text Char"/>
    <w:basedOn w:val="DefaultParagraphFont"/>
    <w:link w:val="CommentText"/>
    <w:semiHidden/>
    <w:rsid w:val="00B7511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7511F"/>
    <w:rPr>
      <w:rFonts w:ascii="Arial" w:eastAsia="SimSun" w:hAnsi="Arial" w:cs="Arial"/>
      <w:b/>
      <w:bCs/>
      <w:sz w:val="18"/>
      <w:lang w:val="en-US" w:eastAsia="zh-CN"/>
    </w:rPr>
  </w:style>
  <w:style w:type="paragraph" w:styleId="Revision">
    <w:name w:val="Revision"/>
    <w:hidden/>
    <w:uiPriority w:val="99"/>
    <w:semiHidden/>
    <w:rsid w:val="00B7511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B3880-76CE-48D1-A7C6-91DD59EB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920</Words>
  <Characters>4810</Characters>
  <Application>Microsoft Office Word</Application>
  <DocSecurity>0</DocSecurity>
  <Lines>107</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WO/GA/52/</vt:lpstr>
      <vt:lpstr>WO/GA/52/</vt:lpstr>
    </vt:vector>
  </TitlesOfParts>
  <Manager>OLC</Manager>
  <Company>WIPO</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WO/GA/52/</dc:title>
  <dc:creator>HAPPY-DUMAS Juliet</dc:creator>
  <cp:keywords>PUBLIC</cp:keywords>
  <cp:lastModifiedBy>HÄFLIGER Patience</cp:lastModifiedBy>
  <cp:revision>5</cp:revision>
  <cp:lastPrinted>2011-02-15T11:56:00Z</cp:lastPrinted>
  <dcterms:created xsi:type="dcterms:W3CDTF">2020-04-17T15:31:00Z</dcterms:created>
  <dcterms:modified xsi:type="dcterms:W3CDTF">2020-04-21T09:54:00Z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bc18e0f7-eb88-4565-bb99-8ee6db32e3f6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