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4D0364">
        <w:rPr>
          <w:rFonts w:ascii="Arial Black" w:hAnsi="Arial Black"/>
          <w:caps/>
          <w:sz w:val="15"/>
          <w:szCs w:val="15"/>
        </w:rPr>
        <w:t>3</w:t>
      </w:r>
      <w:r w:rsidRPr="005E27B1">
        <w:rPr>
          <w:rFonts w:ascii="Arial Black" w:hAnsi="Arial Black"/>
          <w:caps/>
          <w:sz w:val="15"/>
          <w:szCs w:val="15"/>
        </w:rPr>
        <w:t>/</w:t>
      </w:r>
      <w:bookmarkStart w:id="1" w:name="Code"/>
      <w:r w:rsidR="00654346">
        <w:rPr>
          <w:rFonts w:ascii="Arial Black" w:hAnsi="Arial Black"/>
          <w:caps/>
          <w:sz w:val="15"/>
          <w:szCs w:val="15"/>
        </w:rPr>
        <w:t>8</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76231">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076231">
        <w:rPr>
          <w:rFonts w:ascii="Arial Black" w:hAnsi="Arial Black"/>
          <w:caps/>
          <w:sz w:val="15"/>
          <w:szCs w:val="15"/>
        </w:rPr>
        <w:t>July 21, 2020</w:t>
      </w:r>
    </w:p>
    <w:bookmarkEnd w:id="3"/>
    <w:p w:rsidR="008B2CC1" w:rsidRPr="00720EFD" w:rsidRDefault="00217391" w:rsidP="0006214D">
      <w:pPr>
        <w:pStyle w:val="Heading1"/>
        <w:spacing w:after="240"/>
        <w:rPr>
          <w:sz w:val="28"/>
          <w:szCs w:val="28"/>
        </w:rPr>
      </w:pPr>
      <w:r w:rsidRPr="006961B9">
        <w:rPr>
          <w:caps w:val="0"/>
          <w:sz w:val="28"/>
          <w:szCs w:val="28"/>
        </w:rPr>
        <w:t>WIPO General Assembly</w:t>
      </w:r>
    </w:p>
    <w:p w:rsidR="008B2CC1" w:rsidRPr="003845C1" w:rsidRDefault="004D0364" w:rsidP="004D0364">
      <w:pPr>
        <w:spacing w:after="720"/>
        <w:outlineLvl w:val="1"/>
        <w:rPr>
          <w:b/>
          <w:sz w:val="24"/>
          <w:szCs w:val="24"/>
        </w:rPr>
      </w:pPr>
      <w:r w:rsidRPr="004D0364">
        <w:rPr>
          <w:b/>
          <w:sz w:val="24"/>
          <w:szCs w:val="24"/>
        </w:rPr>
        <w:t>Fifty-Third (29</w:t>
      </w:r>
      <w:r w:rsidRPr="004D0364">
        <w:rPr>
          <w:b/>
          <w:sz w:val="24"/>
          <w:szCs w:val="24"/>
          <w:vertAlign w:val="superscript"/>
        </w:rPr>
        <w:t>th</w:t>
      </w:r>
      <w:r w:rsidRPr="004D0364">
        <w:rPr>
          <w:b/>
          <w:sz w:val="24"/>
          <w:szCs w:val="24"/>
        </w:rPr>
        <w:t xml:space="preserve"> Extraordinary) Session</w:t>
      </w:r>
      <w:r>
        <w:rPr>
          <w:b/>
          <w:sz w:val="24"/>
          <w:szCs w:val="24"/>
        </w:rPr>
        <w:br/>
      </w:r>
      <w:r w:rsidRPr="004D0364">
        <w:rPr>
          <w:b/>
          <w:sz w:val="24"/>
          <w:szCs w:val="24"/>
        </w:rPr>
        <w:t>Geneva, September 21 to 29, 2020</w:t>
      </w:r>
    </w:p>
    <w:p w:rsidR="00076231" w:rsidRPr="009C127D" w:rsidRDefault="00076231" w:rsidP="00076231">
      <w:pPr>
        <w:spacing w:after="360"/>
        <w:rPr>
          <w:caps/>
          <w:sz w:val="24"/>
        </w:rPr>
      </w:pPr>
      <w:r>
        <w:rPr>
          <w:caps/>
          <w:sz w:val="24"/>
        </w:rPr>
        <w:t>WIPO Arbitration and Mediation Center, including Domain Names</w:t>
      </w:r>
    </w:p>
    <w:p w:rsidR="00076231" w:rsidRDefault="00076231" w:rsidP="00076231">
      <w:pPr>
        <w:spacing w:after="960"/>
        <w:rPr>
          <w:i/>
        </w:rPr>
      </w:pPr>
      <w:bookmarkStart w:id="4" w:name="Prepared"/>
      <w:bookmarkEnd w:id="4"/>
      <w:r>
        <w:rPr>
          <w:i/>
        </w:rPr>
        <w:t>Document prepared by the Secretariat</w:t>
      </w:r>
    </w:p>
    <w:p w:rsidR="00076231" w:rsidRPr="005E2771" w:rsidRDefault="00076231" w:rsidP="00076231">
      <w:pPr>
        <w:pStyle w:val="ListParagraph"/>
        <w:numPr>
          <w:ilvl w:val="0"/>
          <w:numId w:val="7"/>
        </w:numPr>
        <w:spacing w:after="240"/>
        <w:ind w:left="0" w:firstLine="0"/>
        <w:contextualSpacing w:val="0"/>
        <w:rPr>
          <w:snapToGrid w:val="0"/>
          <w:szCs w:val="22"/>
        </w:rPr>
      </w:pPr>
      <w:r w:rsidRPr="005E2771">
        <w:rPr>
          <w:rStyle w:val="ONUMEChar"/>
          <w:szCs w:val="22"/>
        </w:rPr>
        <w:t xml:space="preserve">This document provides an update on the WIPO Arbitration and Mediation Center’s (“Center”) activities as an international resource </w:t>
      </w:r>
      <w:r w:rsidRPr="005E2771">
        <w:rPr>
          <w:snapToGrid w:val="0"/>
          <w:szCs w:val="22"/>
        </w:rPr>
        <w:t>for time- and cost-efficient alternatives to court litigation of intellectual property (IP) disputes, acting as an administrator of cases as well as a provider of legal and organizational expertise in alternative dispute resolution (ADR).</w:t>
      </w:r>
    </w:p>
    <w:p w:rsidR="00076231" w:rsidRDefault="00076231" w:rsidP="00076231">
      <w:pPr>
        <w:pStyle w:val="ListParagraph"/>
        <w:numPr>
          <w:ilvl w:val="0"/>
          <w:numId w:val="7"/>
        </w:numPr>
        <w:spacing w:after="240"/>
        <w:ind w:left="0" w:firstLine="0"/>
        <w:contextualSpacing w:val="0"/>
        <w:rPr>
          <w:rStyle w:val="ONUMEChar"/>
        </w:rPr>
      </w:pPr>
      <w:r w:rsidRPr="005E2771">
        <w:rPr>
          <w:rStyle w:val="ONUMEChar"/>
          <w:szCs w:val="22"/>
        </w:rPr>
        <w:t xml:space="preserve">This document </w:t>
      </w:r>
      <w:r w:rsidRPr="00C51805">
        <w:rPr>
          <w:rStyle w:val="ONUMEChar"/>
          <w:szCs w:val="22"/>
        </w:rPr>
        <w:t>also provides an update on the domain name</w:t>
      </w:r>
      <w:r w:rsidRPr="00C51805">
        <w:rPr>
          <w:rStyle w:val="ONUMEChar"/>
          <w:szCs w:val="22"/>
        </w:rPr>
        <w:noBreakHyphen/>
        <w:t>related activities of WIPO, as pr</w:t>
      </w:r>
      <w:r>
        <w:rPr>
          <w:rStyle w:val="ONUMEChar"/>
          <w:szCs w:val="22"/>
        </w:rPr>
        <w:t xml:space="preserve">eviously reported </w:t>
      </w:r>
      <w:r w:rsidRPr="0064385B">
        <w:rPr>
          <w:rStyle w:val="ONUMEChar"/>
          <w:szCs w:val="22"/>
        </w:rPr>
        <w:t xml:space="preserve">in </w:t>
      </w:r>
      <w:r w:rsidRPr="007E2076">
        <w:rPr>
          <w:rFonts w:eastAsia="SimSun" w:cs="Arial"/>
          <w:szCs w:val="22"/>
          <w:lang w:eastAsia="zh-CN"/>
        </w:rPr>
        <w:t>WO/GA/51/15</w:t>
      </w:r>
      <w:r w:rsidRPr="0064385B">
        <w:rPr>
          <w:rStyle w:val="ONUMEChar"/>
          <w:szCs w:val="22"/>
        </w:rPr>
        <w:t>.</w:t>
      </w:r>
      <w:r w:rsidRPr="0064385B">
        <w:rPr>
          <w:rStyle w:val="ONUMEChar"/>
          <w:szCs w:val="22"/>
          <w:vertAlign w:val="superscript"/>
        </w:rPr>
        <w:footnoteReference w:id="2"/>
      </w:r>
      <w:r>
        <w:rPr>
          <w:rStyle w:val="ONUMEChar"/>
          <w:szCs w:val="22"/>
        </w:rPr>
        <w:t xml:space="preserve"> </w:t>
      </w:r>
      <w:proofErr w:type="gramStart"/>
      <w:r w:rsidRPr="001F45ED">
        <w:rPr>
          <w:rStyle w:val="ONUMEChar"/>
          <w:szCs w:val="22"/>
        </w:rPr>
        <w:t>It</w:t>
      </w:r>
      <w:r w:rsidRPr="00C51805">
        <w:rPr>
          <w:rStyle w:val="ONUMEChar"/>
          <w:szCs w:val="22"/>
        </w:rPr>
        <w:t xml:space="preserve"> covers the Center’s administration of domain name disputes</w:t>
      </w:r>
      <w:r w:rsidRPr="00C51805">
        <w:rPr>
          <w:rStyle w:val="ONUMEChar"/>
        </w:rPr>
        <w:t xml:space="preserve"> under different policies and various related aspects of the Internet Domain Name System (DNS), as well as selected policy developments, including rights protection mechanisms (RPMs) for the introduction of new generic top</w:t>
      </w:r>
      <w:r w:rsidRPr="00C51805">
        <w:rPr>
          <w:rStyle w:val="ONUMEChar"/>
        </w:rPr>
        <w:noBreakHyphen/>
        <w:t>level domains (</w:t>
      </w:r>
      <w:proofErr w:type="spellStart"/>
      <w:r w:rsidRPr="00C51805">
        <w:rPr>
          <w:rStyle w:val="ONUMEChar"/>
        </w:rPr>
        <w:t>gTLDs</w:t>
      </w:r>
      <w:proofErr w:type="spellEnd"/>
      <w:r w:rsidRPr="00C51805">
        <w:rPr>
          <w:rStyle w:val="ONUMEChar"/>
        </w:rPr>
        <w:t xml:space="preserve">), the </w:t>
      </w:r>
      <w:r>
        <w:rPr>
          <w:rStyle w:val="ONUMEChar"/>
        </w:rPr>
        <w:t xml:space="preserve">review </w:t>
      </w:r>
      <w:r w:rsidRPr="00C51805">
        <w:rPr>
          <w:rStyle w:val="ONUMEChar"/>
        </w:rPr>
        <w:t xml:space="preserve">by </w:t>
      </w:r>
      <w:r w:rsidRPr="00C51805">
        <w:rPr>
          <w:szCs w:val="24"/>
        </w:rPr>
        <w:t xml:space="preserve">the Internet Corporation for Assigned Names and Numbers (ICANN) </w:t>
      </w:r>
      <w:r w:rsidRPr="00C51805">
        <w:rPr>
          <w:rStyle w:val="ONUMEChar"/>
        </w:rPr>
        <w:t xml:space="preserve">of the </w:t>
      </w:r>
      <w:r w:rsidRPr="00C51805">
        <w:rPr>
          <w:szCs w:val="24"/>
        </w:rPr>
        <w:t>Uniform Domain Name Dispute Resolution Policy (UDRP)</w:t>
      </w:r>
      <w:r>
        <w:rPr>
          <w:szCs w:val="24"/>
        </w:rPr>
        <w:t xml:space="preserve"> and other RPMs</w:t>
      </w:r>
      <w:r w:rsidRPr="00C51805">
        <w:rPr>
          <w:szCs w:val="24"/>
        </w:rPr>
        <w:t xml:space="preserve">, </w:t>
      </w:r>
      <w:r w:rsidRPr="00C51805">
        <w:rPr>
          <w:rStyle w:val="ONUMEChar"/>
        </w:rPr>
        <w:t>and the status of the recommendations made by the Member States of WIPO in the context of the Second WIPO Internet Domain Name Process.</w:t>
      </w:r>
      <w:proofErr w:type="gramEnd"/>
    </w:p>
    <w:p w:rsidR="00076231" w:rsidRDefault="00076231" w:rsidP="00076231">
      <w:pPr>
        <w:rPr>
          <w:b/>
          <w:bCs/>
          <w:iCs/>
          <w:caps/>
          <w:szCs w:val="28"/>
        </w:rPr>
      </w:pPr>
      <w:r>
        <w:br w:type="page"/>
      </w:r>
    </w:p>
    <w:p w:rsidR="00076231" w:rsidRPr="00517229" w:rsidRDefault="00076231" w:rsidP="008002BB">
      <w:pPr>
        <w:pStyle w:val="Heading2"/>
        <w:keepNext w:val="0"/>
        <w:widowControl w:val="0"/>
        <w:spacing w:after="220"/>
      </w:pPr>
      <w:r w:rsidRPr="00517229">
        <w:lastRenderedPageBreak/>
        <w:t>I.</w:t>
      </w:r>
      <w:r w:rsidRPr="00517229">
        <w:tab/>
        <w:t>ARBITRATION AND MEDIATION OF IP DISPUTES</w:t>
      </w:r>
    </w:p>
    <w:p w:rsidR="00076231" w:rsidRPr="002C3D47" w:rsidRDefault="00076231" w:rsidP="008002BB">
      <w:pPr>
        <w:pStyle w:val="ListParagraph"/>
        <w:widowControl w:val="0"/>
        <w:spacing w:after="240"/>
        <w:ind w:left="0" w:firstLine="562"/>
        <w:contextualSpacing w:val="0"/>
      </w:pPr>
      <w:r w:rsidRPr="002C3D47">
        <w:t>A.</w:t>
      </w:r>
      <w:r w:rsidRPr="002C3D47">
        <w:tab/>
        <w:t>ARBITRATION AND MEDIATION CASE ADMINISTRATION</w:t>
      </w:r>
    </w:p>
    <w:p w:rsidR="00076231" w:rsidRPr="00622723" w:rsidRDefault="00076231" w:rsidP="008002BB">
      <w:pPr>
        <w:pStyle w:val="ListParagraph"/>
        <w:widowControl w:val="0"/>
        <w:numPr>
          <w:ilvl w:val="0"/>
          <w:numId w:val="7"/>
        </w:numPr>
        <w:spacing w:after="240"/>
        <w:ind w:left="0" w:firstLine="0"/>
        <w:contextualSpacing w:val="0"/>
        <w:rPr>
          <w:szCs w:val="22"/>
        </w:rPr>
      </w:pPr>
      <w:r w:rsidRPr="00C51805">
        <w:t xml:space="preserve">The mediation and arbitration procedures offered by the Center aim to </w:t>
      </w:r>
      <w:r>
        <w:t>meet parties’</w:t>
      </w:r>
      <w:r w:rsidRPr="00C51805">
        <w:t xml:space="preserve"> need</w:t>
      </w:r>
      <w:r>
        <w:t>s</w:t>
      </w:r>
      <w:r w:rsidRPr="00C51805">
        <w:t xml:space="preserve"> </w:t>
      </w:r>
      <w:r>
        <w:t>for</w:t>
      </w:r>
      <w:r w:rsidRPr="00C51805">
        <w:t xml:space="preserve"> time- and cost</w:t>
      </w:r>
      <w:r w:rsidRPr="00C51805">
        <w:noBreakHyphen/>
        <w:t>effectiveness in the resolution of disputes in relation to IP rights.</w:t>
      </w:r>
      <w:r>
        <w:t xml:space="preserve"> </w:t>
      </w:r>
      <w:r w:rsidRPr="00C51805">
        <w:t>The</w:t>
      </w:r>
      <w:r w:rsidR="008002BB">
        <w:t> </w:t>
      </w:r>
      <w:r w:rsidRPr="00C51805">
        <w:t>Center is engaged in the management and resolution of cases conducted under those</w:t>
      </w:r>
      <w:r w:rsidRPr="00981F37">
        <w:t xml:space="preserve"> </w:t>
      </w:r>
      <w:r>
        <w:t>procedures, which includes</w:t>
      </w:r>
      <w:r w:rsidRPr="00981F37">
        <w:t xml:space="preserve"> training</w:t>
      </w:r>
      <w:r>
        <w:t>,</w:t>
      </w:r>
      <w:r>
        <w:rPr>
          <w:rStyle w:val="FootnoteReference"/>
          <w:rFonts w:eastAsia="SimSun"/>
        </w:rPr>
        <w:footnoteReference w:id="3"/>
      </w:r>
      <w:r>
        <w:t xml:space="preserve"> </w:t>
      </w:r>
      <w:r w:rsidRPr="00981F37">
        <w:t>appointing</w:t>
      </w:r>
      <w:r>
        <w:t>,</w:t>
      </w:r>
      <w:r w:rsidRPr="00981F37">
        <w:t xml:space="preserve"> </w:t>
      </w:r>
      <w:r>
        <w:t xml:space="preserve">and supporting </w:t>
      </w:r>
      <w:r w:rsidRPr="00981F37">
        <w:t xml:space="preserve">qualified arbitrators and mediators, </w:t>
      </w:r>
      <w:r>
        <w:t>and maintaining up</w:t>
      </w:r>
      <w:r>
        <w:noBreakHyphen/>
        <w:t>to</w:t>
      </w:r>
      <w:r>
        <w:noBreakHyphen/>
      </w:r>
      <w:r w:rsidRPr="00981F37">
        <w:t>date case administration infrastructure</w:t>
      </w:r>
      <w:r>
        <w:t>.</w:t>
      </w:r>
      <w:r w:rsidRPr="00415A4C">
        <w:t xml:space="preserve"> </w:t>
      </w:r>
    </w:p>
    <w:p w:rsidR="00076231" w:rsidRPr="009E1485" w:rsidRDefault="00AB1A54" w:rsidP="008002BB">
      <w:pPr>
        <w:pStyle w:val="ListParagraph"/>
        <w:widowControl w:val="0"/>
        <w:numPr>
          <w:ilvl w:val="0"/>
          <w:numId w:val="7"/>
        </w:numPr>
        <w:spacing w:after="240"/>
        <w:ind w:left="0" w:firstLine="0"/>
        <w:contextualSpacing w:val="0"/>
      </w:pPr>
      <w:r>
        <w:rPr>
          <w:shd w:val="clear" w:color="auto" w:fill="FFFFFF" w:themeFill="background1"/>
        </w:rPr>
        <w:t xml:space="preserve">Cases under the </w:t>
      </w:r>
      <w:r w:rsidR="00076231" w:rsidRPr="00553295">
        <w:rPr>
          <w:shd w:val="clear" w:color="auto" w:fill="FFFFFF" w:themeFill="background1"/>
        </w:rPr>
        <w:t xml:space="preserve">WIPO </w:t>
      </w:r>
      <w:r>
        <w:rPr>
          <w:shd w:val="clear" w:color="auto" w:fill="FFFFFF" w:themeFill="background1"/>
        </w:rPr>
        <w:t>Mediation, Arbitration, and Expedited Arbitration Rules</w:t>
      </w:r>
      <w:r w:rsidR="00076231" w:rsidRPr="00553295">
        <w:rPr>
          <w:shd w:val="clear" w:color="auto" w:fill="FFFFFF" w:themeFill="background1"/>
        </w:rPr>
        <w:t xml:space="preserve"> </w:t>
      </w:r>
      <w:r>
        <w:rPr>
          <w:shd w:val="clear" w:color="auto" w:fill="FFFFFF" w:themeFill="background1"/>
        </w:rPr>
        <w:t>(WIPO</w:t>
      </w:r>
      <w:r w:rsidR="008002BB">
        <w:rPr>
          <w:shd w:val="clear" w:color="auto" w:fill="FFFFFF" w:themeFill="background1"/>
        </w:rPr>
        <w:t> </w:t>
      </w:r>
      <w:r>
        <w:rPr>
          <w:shd w:val="clear" w:color="auto" w:fill="FFFFFF" w:themeFill="background1"/>
        </w:rPr>
        <w:t xml:space="preserve">Rules) </w:t>
      </w:r>
      <w:r w:rsidR="00076231" w:rsidRPr="00553295">
        <w:rPr>
          <w:shd w:val="clear" w:color="auto" w:fill="FFFFFF" w:themeFill="background1"/>
        </w:rPr>
        <w:t xml:space="preserve">since the last Assemblies involved Research and Development (R&amp;D) agreements, patent, trademark, and copyright licensing, copyright collective management, distribution agreements, software development and licensing, and </w:t>
      </w:r>
      <w:r w:rsidR="006030EE">
        <w:rPr>
          <w:shd w:val="clear" w:color="auto" w:fill="FFFFFF" w:themeFill="background1"/>
        </w:rPr>
        <w:t>television formats</w:t>
      </w:r>
      <w:r w:rsidR="00076231" w:rsidRPr="00553295">
        <w:rPr>
          <w:shd w:val="clear" w:color="auto" w:fill="FFFFFF" w:themeFill="background1"/>
        </w:rPr>
        <w:t xml:space="preserve">. </w:t>
      </w:r>
      <w:r w:rsidR="008002BB">
        <w:rPr>
          <w:shd w:val="clear" w:color="auto" w:fill="FFFFFF" w:themeFill="background1"/>
        </w:rPr>
        <w:t xml:space="preserve"> </w:t>
      </w:r>
      <w:r w:rsidR="00076231" w:rsidRPr="00553295">
        <w:rPr>
          <w:shd w:val="clear" w:color="auto" w:fill="FFFFFF" w:themeFill="background1"/>
        </w:rPr>
        <w:t>The</w:t>
      </w:r>
      <w:r w:rsidR="008002BB">
        <w:rPr>
          <w:shd w:val="clear" w:color="auto" w:fill="FFFFFF" w:themeFill="background1"/>
        </w:rPr>
        <w:t> </w:t>
      </w:r>
      <w:r w:rsidR="00076231" w:rsidRPr="00553295">
        <w:rPr>
          <w:shd w:val="clear" w:color="auto" w:fill="FFFFFF" w:themeFill="background1"/>
        </w:rPr>
        <w:t>issues involved included patent, trademark, and copyright infringement, patent exhaustion, co</w:t>
      </w:r>
      <w:r w:rsidR="008002BB">
        <w:rPr>
          <w:shd w:val="clear" w:color="auto" w:fill="FFFFFF" w:themeFill="background1"/>
        </w:rPr>
        <w:noBreakHyphen/>
      </w:r>
      <w:r w:rsidR="00076231" w:rsidRPr="00553295">
        <w:rPr>
          <w:shd w:val="clear" w:color="auto" w:fill="FFFFFF" w:themeFill="background1"/>
        </w:rPr>
        <w:t>ownership of a patent</w:t>
      </w:r>
      <w:r w:rsidR="00076231">
        <w:rPr>
          <w:shd w:val="clear" w:color="auto" w:fill="FFFFFF" w:themeFill="background1"/>
        </w:rPr>
        <w:t>,</w:t>
      </w:r>
      <w:r w:rsidR="00076231" w:rsidRPr="00553295">
        <w:rPr>
          <w:shd w:val="clear" w:color="auto" w:fill="FFFFFF" w:themeFill="background1"/>
        </w:rPr>
        <w:t xml:space="preserve"> breach of contract, royalty payments,</w:t>
      </w:r>
      <w:r w:rsidR="00076231">
        <w:rPr>
          <w:shd w:val="clear" w:color="auto" w:fill="FFFFFF" w:themeFill="background1"/>
        </w:rPr>
        <w:t xml:space="preserve"> </w:t>
      </w:r>
      <w:r w:rsidR="00076231" w:rsidRPr="00553295">
        <w:rPr>
          <w:shd w:val="clear" w:color="auto" w:fill="FFFFFF" w:themeFill="background1"/>
        </w:rPr>
        <w:t xml:space="preserve">determination of copyright licensing terms, re-inclusion in </w:t>
      </w:r>
      <w:r w:rsidR="00F10B3A">
        <w:rPr>
          <w:shd w:val="clear" w:color="auto" w:fill="FFFFFF" w:themeFill="background1"/>
        </w:rPr>
        <w:t xml:space="preserve">a </w:t>
      </w:r>
      <w:r w:rsidR="00076231" w:rsidRPr="00553295">
        <w:rPr>
          <w:shd w:val="clear" w:color="auto" w:fill="FFFFFF" w:themeFill="background1"/>
        </w:rPr>
        <w:t>R&amp;D consortium, removal of content from online platform</w:t>
      </w:r>
      <w:r w:rsidR="00076231">
        <w:rPr>
          <w:shd w:val="clear" w:color="auto" w:fill="FFFFFF" w:themeFill="background1"/>
        </w:rPr>
        <w:t>s, specific</w:t>
      </w:r>
      <w:r w:rsidR="00076231" w:rsidRPr="00553295">
        <w:rPr>
          <w:shd w:val="clear" w:color="auto" w:fill="FFFFFF" w:themeFill="background1"/>
        </w:rPr>
        <w:t xml:space="preserve"> performance, including withdrawal of a legal action</w:t>
      </w:r>
      <w:r w:rsidR="00076231">
        <w:rPr>
          <w:shd w:val="clear" w:color="auto" w:fill="FFFFFF" w:themeFill="background1"/>
        </w:rPr>
        <w:t>, and</w:t>
      </w:r>
      <w:r w:rsidR="00076231" w:rsidRPr="009E1485">
        <w:rPr>
          <w:shd w:val="clear" w:color="auto" w:fill="FFFFFF" w:themeFill="background1"/>
        </w:rPr>
        <w:t xml:space="preserve"> </w:t>
      </w:r>
      <w:r w:rsidR="00076231" w:rsidRPr="00553295">
        <w:rPr>
          <w:shd w:val="clear" w:color="auto" w:fill="FFFFFF" w:themeFill="background1"/>
        </w:rPr>
        <w:t xml:space="preserve">trademark oppositions </w:t>
      </w:r>
      <w:r w:rsidR="00731C49">
        <w:rPr>
          <w:shd w:val="clear" w:color="auto" w:fill="FFFFFF" w:themeFill="background1"/>
        </w:rPr>
        <w:t xml:space="preserve">pending </w:t>
      </w:r>
      <w:r w:rsidR="00076231" w:rsidRPr="00553295">
        <w:rPr>
          <w:shd w:val="clear" w:color="auto" w:fill="FFFFFF" w:themeFill="background1"/>
        </w:rPr>
        <w:t>before an Intellectual Property Office.</w:t>
      </w:r>
    </w:p>
    <w:p w:rsidR="00076231" w:rsidRDefault="00076231" w:rsidP="008002BB">
      <w:pPr>
        <w:pStyle w:val="ListParagraph"/>
        <w:widowControl w:val="0"/>
        <w:numPr>
          <w:ilvl w:val="0"/>
          <w:numId w:val="7"/>
        </w:numPr>
        <w:spacing w:after="240"/>
        <w:ind w:left="0" w:firstLine="0"/>
        <w:contextualSpacing w:val="0"/>
      </w:pPr>
      <w:r w:rsidRPr="00553295">
        <w:rPr>
          <w:shd w:val="clear" w:color="auto" w:fill="FFFFFF" w:themeFill="background1"/>
        </w:rPr>
        <w:t>During the</w:t>
      </w:r>
      <w:r>
        <w:t xml:space="preserve"> period, a range of large-sized companies</w:t>
      </w:r>
      <w:r w:rsidR="00AB1A54">
        <w:t xml:space="preserve"> (including </w:t>
      </w:r>
      <w:r w:rsidR="00731C49">
        <w:t>biotech/p</w:t>
      </w:r>
      <w:r w:rsidR="00AB1A54">
        <w:t>harma and online platforms)</w:t>
      </w:r>
      <w:r>
        <w:t xml:space="preserve">, </w:t>
      </w:r>
      <w:r w:rsidR="00731C49">
        <w:t xml:space="preserve">small- and </w:t>
      </w:r>
      <w:r>
        <w:t xml:space="preserve">medium-sized businesses, </w:t>
      </w:r>
      <w:r w:rsidR="00AB1A54">
        <w:t xml:space="preserve">universities and research organizations, </w:t>
      </w:r>
      <w:r>
        <w:t>and individuals, from 46 countries used the Center’s procedures, including Good Offices.</w:t>
      </w:r>
      <w:r>
        <w:rPr>
          <w:rStyle w:val="FootnoteReference"/>
        </w:rPr>
        <w:footnoteReference w:id="4"/>
      </w:r>
      <w:r>
        <w:t xml:space="preserve"> Cases are normally filed with the Center </w:t>
      </w:r>
      <w:proofErr w:type="gramStart"/>
      <w:r>
        <w:t>on the basis of</w:t>
      </w:r>
      <w:proofErr w:type="gramEnd"/>
      <w:r>
        <w:t xml:space="preserve"> a prior contract clause or</w:t>
      </w:r>
      <w:r w:rsidR="00731C49">
        <w:t>, less frequently,</w:t>
      </w:r>
      <w:r>
        <w:t xml:space="preserve"> post-dispute submission agreement (including court referrals), and also by unilateral request under Article 4 of the WIPO Mediation Rules. Over 30 percent of cases involved more than two parties. Thirty percent of cases involved parties that also use WIPO’s </w:t>
      </w:r>
      <w:r w:rsidR="00C3127A">
        <w:t>Patent Cooperation</w:t>
      </w:r>
      <w:r w:rsidR="00AE3784">
        <w:t xml:space="preserve"> Treaty (</w:t>
      </w:r>
      <w:r>
        <w:t>PCT</w:t>
      </w:r>
      <w:r w:rsidR="00AE3784">
        <w:t>)</w:t>
      </w:r>
      <w:r>
        <w:t>, Madrid, or Hague services</w:t>
      </w:r>
      <w:r w:rsidRPr="003D608C">
        <w:t>.</w:t>
      </w:r>
    </w:p>
    <w:p w:rsidR="00076231" w:rsidRDefault="00076231" w:rsidP="008002BB">
      <w:pPr>
        <w:pStyle w:val="ListParagraph"/>
        <w:widowControl w:val="0"/>
        <w:numPr>
          <w:ilvl w:val="0"/>
          <w:numId w:val="7"/>
        </w:numPr>
        <w:spacing w:after="240"/>
        <w:ind w:left="0" w:firstLine="0"/>
        <w:contextualSpacing w:val="0"/>
        <w:rPr>
          <w:szCs w:val="22"/>
        </w:rPr>
      </w:pPr>
      <w:r>
        <w:t xml:space="preserve">The Center continued to undertake initiatives to facilitate access for potential users to WIPO ADR. As part of the efforts to lower barriers for parties, the Center </w:t>
      </w:r>
      <w:r w:rsidR="00731C49">
        <w:t xml:space="preserve">promoted </w:t>
      </w:r>
      <w:r>
        <w:t>its online case administration resources, i</w:t>
      </w:r>
      <w:r w:rsidR="00731C49">
        <w:t xml:space="preserve">ncluding </w:t>
      </w:r>
      <w:r>
        <w:t>videoconferencing</w:t>
      </w:r>
      <w:r w:rsidR="00731C49">
        <w:t>. By now some</w:t>
      </w:r>
      <w:r>
        <w:t xml:space="preserve"> 30 percent of </w:t>
      </w:r>
      <w:proofErr w:type="gramStart"/>
      <w:r>
        <w:t>WIPO</w:t>
      </w:r>
      <w:proofErr w:type="gramEnd"/>
      <w:r>
        <w:t xml:space="preserve"> </w:t>
      </w:r>
      <w:r w:rsidRPr="006571AD">
        <w:t>parties have used the</w:t>
      </w:r>
      <w:r w:rsidR="00343798">
        <w:t xml:space="preserve"> – recently enhanced – WIPO</w:t>
      </w:r>
      <w:r>
        <w:t xml:space="preserve"> </w:t>
      </w:r>
      <w:proofErr w:type="spellStart"/>
      <w:r>
        <w:t>eADR</w:t>
      </w:r>
      <w:proofErr w:type="spellEnd"/>
      <w:r>
        <w:t xml:space="preserve"> electronic case </w:t>
      </w:r>
      <w:r w:rsidRPr="00731C49">
        <w:t>facility</w:t>
      </w:r>
      <w:r w:rsidRPr="00AF7BDF">
        <w:rPr>
          <w:vertAlign w:val="superscript"/>
        </w:rPr>
        <w:footnoteReference w:id="5"/>
      </w:r>
      <w:r>
        <w:t xml:space="preserve"> to add efficiency to their arbitration proceedings.</w:t>
      </w:r>
      <w:r>
        <w:rPr>
          <w:rStyle w:val="FootnoteReference"/>
        </w:rPr>
        <w:footnoteReference w:id="6"/>
      </w:r>
      <w:r>
        <w:t xml:space="preserve"> The Center also makes available an online clause generator that allows parties to build core clauses and submission a</w:t>
      </w:r>
      <w:r w:rsidR="00D506CC">
        <w:t>greements</w:t>
      </w:r>
      <w:r>
        <w:t>.</w:t>
      </w:r>
      <w:r>
        <w:rPr>
          <w:rStyle w:val="FootnoteReference"/>
        </w:rPr>
        <w:footnoteReference w:id="7"/>
      </w:r>
      <w:r>
        <w:t xml:space="preserve"> These resources as well as the Center initiatives </w:t>
      </w:r>
      <w:r w:rsidRPr="006F469A">
        <w:rPr>
          <w:shd w:val="clear" w:color="auto" w:fill="FFFFFF" w:themeFill="background1"/>
        </w:rPr>
        <w:t xml:space="preserve">covered </w:t>
      </w:r>
      <w:r w:rsidRPr="003D2D08">
        <w:t xml:space="preserve">in paragraphs </w:t>
      </w:r>
      <w:r w:rsidR="006F469A" w:rsidRPr="003D2D08">
        <w:t>14</w:t>
      </w:r>
      <w:r w:rsidR="00AE3784">
        <w:t xml:space="preserve"> to </w:t>
      </w:r>
      <w:r w:rsidR="006F469A" w:rsidRPr="003D2D08">
        <w:t>18</w:t>
      </w:r>
      <w:r w:rsidR="006F469A" w:rsidRPr="006F469A">
        <w:rPr>
          <w:shd w:val="clear" w:color="auto" w:fill="FFFFFF" w:themeFill="background1"/>
        </w:rPr>
        <w:t xml:space="preserve"> </w:t>
      </w:r>
      <w:r w:rsidR="003D023B">
        <w:rPr>
          <w:shd w:val="clear" w:color="auto" w:fill="FFFFFF" w:themeFill="background1"/>
        </w:rPr>
        <w:t>have been meeting wi</w:t>
      </w:r>
      <w:r w:rsidRPr="006F469A">
        <w:rPr>
          <w:szCs w:val="22"/>
          <w:shd w:val="clear" w:color="auto" w:fill="FFFFFF" w:themeFill="background1"/>
        </w:rPr>
        <w:t>th</w:t>
      </w:r>
      <w:r w:rsidRPr="00057119">
        <w:rPr>
          <w:szCs w:val="22"/>
          <w:shd w:val="clear" w:color="auto" w:fill="FFFFFF" w:themeFill="background1"/>
        </w:rPr>
        <w:t xml:space="preserve"> increased demand in</w:t>
      </w:r>
      <w:r w:rsidR="003D023B">
        <w:rPr>
          <w:szCs w:val="22"/>
          <w:shd w:val="clear" w:color="auto" w:fill="FFFFFF" w:themeFill="background1"/>
        </w:rPr>
        <w:t xml:space="preserve"> the</w:t>
      </w:r>
      <w:r w:rsidR="00731C49">
        <w:rPr>
          <w:szCs w:val="22"/>
          <w:shd w:val="clear" w:color="auto" w:fill="FFFFFF" w:themeFill="background1"/>
        </w:rPr>
        <w:t xml:space="preserve"> </w:t>
      </w:r>
      <w:r w:rsidRPr="00057119">
        <w:rPr>
          <w:szCs w:val="22"/>
          <w:shd w:val="clear" w:color="auto" w:fill="FFFFFF" w:themeFill="background1"/>
        </w:rPr>
        <w:t>COVID-19</w:t>
      </w:r>
      <w:r w:rsidR="00731C49">
        <w:rPr>
          <w:szCs w:val="22"/>
          <w:shd w:val="clear" w:color="auto" w:fill="FFFFFF" w:themeFill="background1"/>
        </w:rPr>
        <w:t xml:space="preserve"> conditions</w:t>
      </w:r>
      <w:r w:rsidRPr="00057119">
        <w:rPr>
          <w:szCs w:val="22"/>
          <w:shd w:val="clear" w:color="auto" w:fill="FFFFFF" w:themeFill="background1"/>
        </w:rPr>
        <w:t>.</w:t>
      </w:r>
      <w:r w:rsidRPr="00057119">
        <w:rPr>
          <w:rStyle w:val="FootnoteReference"/>
          <w:szCs w:val="22"/>
          <w:shd w:val="clear" w:color="auto" w:fill="FFFFFF" w:themeFill="background1"/>
        </w:rPr>
        <w:footnoteReference w:id="8"/>
      </w:r>
      <w:r w:rsidRPr="00057119">
        <w:rPr>
          <w:szCs w:val="22"/>
          <w:shd w:val="clear" w:color="auto" w:fill="FFFFFF" w:themeFill="background1"/>
        </w:rPr>
        <w:t xml:space="preserve"> </w:t>
      </w:r>
    </w:p>
    <w:p w:rsidR="00226258" w:rsidRPr="00226258" w:rsidRDefault="00076231" w:rsidP="00226258">
      <w:pPr>
        <w:pStyle w:val="ListParagraph"/>
        <w:widowControl w:val="0"/>
        <w:numPr>
          <w:ilvl w:val="0"/>
          <w:numId w:val="7"/>
        </w:numPr>
        <w:spacing w:after="240"/>
        <w:ind w:left="0" w:firstLine="0"/>
        <w:contextualSpacing w:val="0"/>
      </w:pPr>
      <w:r>
        <w:t>Since the 2019 Assemblies, the Center u</w:t>
      </w:r>
      <w:r w:rsidRPr="00EE354E">
        <w:t xml:space="preserve">pdated </w:t>
      </w:r>
      <w:r>
        <w:t xml:space="preserve">the </w:t>
      </w:r>
      <w:r w:rsidRPr="00EE354E">
        <w:t>WIPO Rules</w:t>
      </w:r>
      <w:r>
        <w:t xml:space="preserve"> to reflect developments in international ADR norms. </w:t>
      </w:r>
      <w:r w:rsidRPr="00EE354E">
        <w:t>Effective</w:t>
      </w:r>
      <w:r>
        <w:t xml:space="preserve"> from</w:t>
      </w:r>
      <w:r w:rsidRPr="00EE354E">
        <w:t xml:space="preserve"> January 1, 2020, </w:t>
      </w:r>
      <w:r>
        <w:t xml:space="preserve">new provisions in </w:t>
      </w:r>
      <w:r w:rsidRPr="00EE354E">
        <w:t>the </w:t>
      </w:r>
      <w:hyperlink r:id="rId9" w:tgtFrame="_blank" w:history="1">
        <w:r w:rsidRPr="00EE354E">
          <w:t>WIPO Mediation Rules</w:t>
        </w:r>
      </w:hyperlink>
      <w:r w:rsidRPr="00EE354E">
        <w:t xml:space="preserve"> facilitate </w:t>
      </w:r>
      <w:r w:rsidR="00141DE0">
        <w:t xml:space="preserve">the enforcement of </w:t>
      </w:r>
      <w:r w:rsidRPr="00EE354E">
        <w:t>settlement agreements as may be required</w:t>
      </w:r>
      <w:r w:rsidR="00141DE0">
        <w:t xml:space="preserve"> </w:t>
      </w:r>
      <w:r w:rsidRPr="00EE354E">
        <w:t xml:space="preserve">under </w:t>
      </w:r>
      <w:r w:rsidRPr="00EE354E">
        <w:lastRenderedPageBreak/>
        <w:t>the recently concluded</w:t>
      </w:r>
      <w:r>
        <w:t xml:space="preserve"> </w:t>
      </w:r>
      <w:r w:rsidRPr="00EE354E">
        <w:t xml:space="preserve">Singapore </w:t>
      </w:r>
      <w:r>
        <w:t>Convention on Mediation.</w:t>
      </w:r>
      <w:r w:rsidR="00D506CC" w:rsidRPr="00226258">
        <w:rPr>
          <w:vertAlign w:val="superscript"/>
        </w:rPr>
        <w:footnoteReference w:id="9"/>
      </w:r>
      <w:r>
        <w:t xml:space="preserve"> </w:t>
      </w:r>
      <w:r w:rsidR="00BD343F">
        <w:t>Furthermore, t</w:t>
      </w:r>
      <w:r w:rsidRPr="00EE354E">
        <w:t xml:space="preserve">o clarify the availability of </w:t>
      </w:r>
      <w:r>
        <w:t xml:space="preserve">mediation as a party </w:t>
      </w:r>
      <w:r w:rsidRPr="00EE354E">
        <w:t>option</w:t>
      </w:r>
      <w:r>
        <w:t xml:space="preserve"> in the course of an arbitration procedure,</w:t>
      </w:r>
      <w:r w:rsidRPr="00EE354E">
        <w:t xml:space="preserve"> the revised </w:t>
      </w:r>
      <w:hyperlink r:id="rId10" w:tgtFrame="_blank" w:history="1">
        <w:r w:rsidRPr="00EE354E">
          <w:t xml:space="preserve">WIPO Arbitration </w:t>
        </w:r>
        <w:r>
          <w:t xml:space="preserve">and Expedited Arbitration </w:t>
        </w:r>
        <w:r w:rsidRPr="00EE354E">
          <w:t>Rules</w:t>
        </w:r>
      </w:hyperlink>
      <w:r w:rsidRPr="00EE354E">
        <w:t> </w:t>
      </w:r>
      <w:r>
        <w:t>now</w:t>
      </w:r>
      <w:r w:rsidRPr="00EE354E">
        <w:t xml:space="preserve"> make express reference to mediation, adding to the existing settlement incentives in WIPO cases. As it is, some 40</w:t>
      </w:r>
      <w:r w:rsidR="00007ED9">
        <w:t> per cent</w:t>
      </w:r>
      <w:r w:rsidRPr="00EE354E">
        <w:t xml:space="preserve"> of WIPO arbitrations and expedited arbitrations result in the settlement of the dispute prior to the tribunal’s issuance of an award.</w:t>
      </w:r>
    </w:p>
    <w:p w:rsidR="00076231" w:rsidRPr="00AD2FA9" w:rsidRDefault="00076231" w:rsidP="008002BB">
      <w:pPr>
        <w:pStyle w:val="ListParagraph"/>
        <w:widowControl w:val="0"/>
        <w:numPr>
          <w:ilvl w:val="0"/>
          <w:numId w:val="7"/>
        </w:numPr>
        <w:spacing w:after="240"/>
        <w:ind w:left="0" w:firstLine="0"/>
        <w:contextualSpacing w:val="0"/>
      </w:pPr>
      <w:r>
        <w:rPr>
          <w:szCs w:val="22"/>
        </w:rPr>
        <w:t>The Center also provides tailored ADR services for specific sectors; t</w:t>
      </w:r>
      <w:r w:rsidRPr="00AD2FA9">
        <w:rPr>
          <w:szCs w:val="22"/>
        </w:rPr>
        <w:t xml:space="preserve">he Center’s website provides a full overview of the range of </w:t>
      </w:r>
      <w:r>
        <w:rPr>
          <w:szCs w:val="22"/>
        </w:rPr>
        <w:t xml:space="preserve">these </w:t>
      </w:r>
      <w:r w:rsidRPr="00AD2FA9">
        <w:rPr>
          <w:szCs w:val="22"/>
        </w:rPr>
        <w:t>services.</w:t>
      </w:r>
      <w:r>
        <w:rPr>
          <w:rStyle w:val="FootnoteReference"/>
          <w:szCs w:val="22"/>
        </w:rPr>
        <w:footnoteReference w:id="10"/>
      </w:r>
      <w:r w:rsidRPr="00AD2FA9">
        <w:rPr>
          <w:szCs w:val="22"/>
        </w:rPr>
        <w:t xml:space="preserve"> One example is the Center’s services for </w:t>
      </w:r>
      <w:r w:rsidRPr="00590FF9">
        <w:t>disputes concerning fair, reasonable and non-discriminatory (FRAND) terms for standard-essential patents (SEPs</w:t>
      </w:r>
      <w:r>
        <w:t>).</w:t>
      </w:r>
      <w:r>
        <w:rPr>
          <w:rStyle w:val="FootnoteReference"/>
        </w:rPr>
        <w:footnoteReference w:id="11"/>
      </w:r>
      <w:r>
        <w:t xml:space="preserve"> </w:t>
      </w:r>
    </w:p>
    <w:p w:rsidR="00076231" w:rsidRPr="002C3D47" w:rsidRDefault="00076231" w:rsidP="008002BB">
      <w:pPr>
        <w:pStyle w:val="ListParagraph"/>
        <w:widowControl w:val="0"/>
        <w:spacing w:after="240"/>
        <w:ind w:left="0" w:firstLine="567"/>
        <w:contextualSpacing w:val="0"/>
      </w:pPr>
      <w:r w:rsidRPr="002C3D47">
        <w:t>B.</w:t>
      </w:r>
      <w:r w:rsidRPr="002C3D47">
        <w:tab/>
        <w:t>COLLABORATION WITH INTELLECTUAL PROPERTY OFFICES</w:t>
      </w:r>
    </w:p>
    <w:p w:rsidR="00076231" w:rsidRPr="00076231" w:rsidRDefault="004E42F9" w:rsidP="008002BB">
      <w:pPr>
        <w:pStyle w:val="ListParagraph"/>
        <w:widowControl w:val="0"/>
        <w:numPr>
          <w:ilvl w:val="0"/>
          <w:numId w:val="7"/>
        </w:numPr>
        <w:spacing w:after="240"/>
        <w:ind w:left="0" w:firstLine="0"/>
        <w:contextualSpacing w:val="0"/>
        <w:rPr>
          <w:szCs w:val="22"/>
        </w:rPr>
      </w:pPr>
      <w:r w:rsidRPr="00226258">
        <w:t xml:space="preserve">Another core area of Center activity is </w:t>
      </w:r>
      <w:r w:rsidR="00226258" w:rsidRPr="00226258">
        <w:t>collaboration with</w:t>
      </w:r>
      <w:r w:rsidR="00076231" w:rsidRPr="00226258">
        <w:t xml:space="preserve"> a</w:t>
      </w:r>
      <w:r w:rsidR="00076231" w:rsidRPr="00076231">
        <w:t xml:space="preserve"> growing number of IP and Copyright Offices (IPOs) and Courts in their establishment of optional ADR frameworks, the organization of training programs and promotional activities</w:t>
      </w:r>
      <w:r w:rsidR="00674BF7">
        <w:t xml:space="preserve">, and case </w:t>
      </w:r>
      <w:r w:rsidR="00076231" w:rsidRPr="00076231">
        <w:t>administration</w:t>
      </w:r>
      <w:r w:rsidR="00674BF7">
        <w:t xml:space="preserve"> as appropriate</w:t>
      </w:r>
      <w:r w:rsidR="00076231" w:rsidRPr="00076231">
        <w:t xml:space="preserve">. Since the 2019 Assemblies, the Center has </w:t>
      </w:r>
      <w:r w:rsidR="00076231" w:rsidRPr="00076231">
        <w:rPr>
          <w:shd w:val="clear" w:color="auto" w:fill="FFFFFF" w:themeFill="background1"/>
        </w:rPr>
        <w:t xml:space="preserve">entered into collaborations with IP authorities in </w:t>
      </w:r>
      <w:r w:rsidR="00076231" w:rsidRPr="00076231">
        <w:t>eight Member</w:t>
      </w:r>
      <w:r w:rsidR="00076231" w:rsidRPr="00076231">
        <w:rPr>
          <w:shd w:val="clear" w:color="auto" w:fill="FFFFFF" w:themeFill="background1"/>
        </w:rPr>
        <w:t xml:space="preserve"> States.</w:t>
      </w:r>
      <w:r w:rsidR="00076231" w:rsidRPr="00076231">
        <w:rPr>
          <w:rStyle w:val="FootnoteReference"/>
          <w:szCs w:val="22"/>
          <w:shd w:val="clear" w:color="auto" w:fill="FFFFFF" w:themeFill="background1"/>
        </w:rPr>
        <w:footnoteReference w:id="12"/>
      </w:r>
      <w:r w:rsidR="00076231" w:rsidRPr="00076231">
        <w:t xml:space="preserve"> </w:t>
      </w:r>
    </w:p>
    <w:p w:rsidR="00076231" w:rsidRPr="00845AA4" w:rsidRDefault="00BF4DCB" w:rsidP="00076231">
      <w:pPr>
        <w:pStyle w:val="ListParagraph"/>
        <w:numPr>
          <w:ilvl w:val="0"/>
          <w:numId w:val="7"/>
        </w:numPr>
        <w:spacing w:after="240"/>
        <w:ind w:left="0" w:firstLine="0"/>
        <w:contextualSpacing w:val="0"/>
        <w:rPr>
          <w:szCs w:val="22"/>
        </w:rPr>
      </w:pPr>
      <w:r>
        <w:rPr>
          <w:szCs w:val="22"/>
        </w:rPr>
        <w:t>T</w:t>
      </w:r>
      <w:r w:rsidR="00076231" w:rsidRPr="007060CD">
        <w:rPr>
          <w:szCs w:val="22"/>
        </w:rPr>
        <w:t>he Center collaborate</w:t>
      </w:r>
      <w:r w:rsidR="00076231">
        <w:rPr>
          <w:szCs w:val="22"/>
        </w:rPr>
        <w:t>s</w:t>
      </w:r>
      <w:r w:rsidR="00076231" w:rsidRPr="007060CD">
        <w:rPr>
          <w:szCs w:val="22"/>
        </w:rPr>
        <w:t xml:space="preserve"> with </w:t>
      </w:r>
      <w:r w:rsidR="00076231">
        <w:rPr>
          <w:szCs w:val="22"/>
        </w:rPr>
        <w:t>IPOs</w:t>
      </w:r>
      <w:r w:rsidR="00076231" w:rsidRPr="00EC3F62">
        <w:rPr>
          <w:rStyle w:val="FootnoteReference"/>
          <w:szCs w:val="22"/>
        </w:rPr>
        <w:footnoteReference w:id="13"/>
      </w:r>
      <w:r w:rsidR="00076231" w:rsidRPr="007060CD">
        <w:rPr>
          <w:szCs w:val="22"/>
        </w:rPr>
        <w:t xml:space="preserve"> to raise</w:t>
      </w:r>
      <w:r w:rsidR="00076231">
        <w:rPr>
          <w:szCs w:val="22"/>
        </w:rPr>
        <w:t xml:space="preserve"> </w:t>
      </w:r>
      <w:r w:rsidR="00076231" w:rsidRPr="00EF02A8">
        <w:rPr>
          <w:szCs w:val="22"/>
        </w:rPr>
        <w:t xml:space="preserve">awareness of the advantages of ADR options to prevent and resolve IP and technology disputes outside the courts or other adjudicative </w:t>
      </w:r>
      <w:r w:rsidR="00076231" w:rsidRPr="00EF02A8">
        <w:rPr>
          <w:szCs w:val="22"/>
        </w:rPr>
        <w:lastRenderedPageBreak/>
        <w:t>bodies.</w:t>
      </w:r>
      <w:r w:rsidR="00076231">
        <w:rPr>
          <w:szCs w:val="22"/>
        </w:rPr>
        <w:t xml:space="preserve"> </w:t>
      </w:r>
      <w:proofErr w:type="gramStart"/>
      <w:r w:rsidR="00076231">
        <w:rPr>
          <w:szCs w:val="22"/>
        </w:rPr>
        <w:t>In the period, s</w:t>
      </w:r>
      <w:r w:rsidR="00076231" w:rsidRPr="00EF02A8">
        <w:rPr>
          <w:szCs w:val="22"/>
        </w:rPr>
        <w:t xml:space="preserve">uch </w:t>
      </w:r>
      <w:r w:rsidR="00076231">
        <w:rPr>
          <w:szCs w:val="22"/>
        </w:rPr>
        <w:t>contact consisted of</w:t>
      </w:r>
      <w:r w:rsidR="00076231" w:rsidRPr="00EF02A8">
        <w:rPr>
          <w:szCs w:val="22"/>
        </w:rPr>
        <w:t xml:space="preserve"> the development of country-tailored information materials for interested parties concerning ADR options, including</w:t>
      </w:r>
      <w:r w:rsidR="00076231">
        <w:rPr>
          <w:szCs w:val="22"/>
        </w:rPr>
        <w:t xml:space="preserve"> on </w:t>
      </w:r>
      <w:r w:rsidR="00076231" w:rsidRPr="00EF02A8">
        <w:rPr>
          <w:szCs w:val="22"/>
        </w:rPr>
        <w:t xml:space="preserve">online case </w:t>
      </w:r>
      <w:r w:rsidR="00076231">
        <w:rPr>
          <w:szCs w:val="22"/>
        </w:rPr>
        <w:t>administration</w:t>
      </w:r>
      <w:r w:rsidR="00076231" w:rsidRPr="00EF02A8">
        <w:rPr>
          <w:szCs w:val="22"/>
        </w:rPr>
        <w:t>;</w:t>
      </w:r>
      <w:r w:rsidR="00076231">
        <w:rPr>
          <w:szCs w:val="22"/>
        </w:rPr>
        <w:t xml:space="preserve"> </w:t>
      </w:r>
      <w:r w:rsidR="00076231" w:rsidRPr="00EF02A8">
        <w:rPr>
          <w:szCs w:val="22"/>
        </w:rPr>
        <w:t>training and joint events for stakeholders to inform them of the benefits of mediation and arbitration for resolving IP and related disputes;</w:t>
      </w:r>
      <w:r w:rsidR="00076231" w:rsidRPr="00EC3F62">
        <w:rPr>
          <w:rStyle w:val="FootnoteReference"/>
          <w:szCs w:val="22"/>
        </w:rPr>
        <w:footnoteReference w:id="14"/>
      </w:r>
      <w:r w:rsidR="00076231">
        <w:rPr>
          <w:szCs w:val="22"/>
        </w:rPr>
        <w:t xml:space="preserve"> </w:t>
      </w:r>
      <w:r w:rsidR="00076231" w:rsidRPr="00EF02A8">
        <w:rPr>
          <w:szCs w:val="22"/>
        </w:rPr>
        <w:t>and referring party inquirie</w:t>
      </w:r>
      <w:r w:rsidR="00076231">
        <w:rPr>
          <w:szCs w:val="22"/>
        </w:rPr>
        <w:t>s received by an IPO to the</w:t>
      </w:r>
      <w:r w:rsidR="00076231" w:rsidRPr="00EF02A8">
        <w:rPr>
          <w:szCs w:val="22"/>
        </w:rPr>
        <w:t xml:space="preserve"> Center for further assistance (notably in </w:t>
      </w:r>
      <w:r w:rsidR="00076231" w:rsidRPr="00845AA4">
        <w:rPr>
          <w:szCs w:val="22"/>
        </w:rPr>
        <w:t>infringement cases).</w:t>
      </w:r>
      <w:proofErr w:type="gramEnd"/>
    </w:p>
    <w:p w:rsidR="00076231" w:rsidRPr="00F85F49" w:rsidRDefault="00BF4DCB" w:rsidP="00076231">
      <w:pPr>
        <w:pStyle w:val="ListParagraph"/>
        <w:widowControl w:val="0"/>
        <w:numPr>
          <w:ilvl w:val="0"/>
          <w:numId w:val="7"/>
        </w:numPr>
        <w:shd w:val="clear" w:color="auto" w:fill="FFFFFF" w:themeFill="background1"/>
        <w:spacing w:after="240"/>
        <w:ind w:left="0" w:firstLine="0"/>
        <w:contextualSpacing w:val="0"/>
        <w:rPr>
          <w:szCs w:val="22"/>
        </w:rPr>
      </w:pPr>
      <w:proofErr w:type="gramStart"/>
      <w:r>
        <w:rPr>
          <w:szCs w:val="22"/>
        </w:rPr>
        <w:t>S</w:t>
      </w:r>
      <w:r w:rsidR="00076231" w:rsidRPr="00845AA4">
        <w:rPr>
          <w:szCs w:val="22"/>
        </w:rPr>
        <w:t>ome IPOs have developed ADR options or encourage parties to use such options, in the context of proceedings pending before them, notably trademark or patent opposition proceedings.</w:t>
      </w:r>
      <w:proofErr w:type="gramEnd"/>
      <w:r w:rsidR="00076231" w:rsidRPr="00845AA4">
        <w:rPr>
          <w:szCs w:val="22"/>
        </w:rPr>
        <w:t xml:space="preserve"> The Center worked with IPOs in the development of mediation and expert determination options for such ADR proceedings. The Center also collaborated with IPOs in the administration of cases submitted by parties under such schemes.</w:t>
      </w:r>
      <w:r w:rsidR="00076231" w:rsidRPr="00845AA4">
        <w:rPr>
          <w:rStyle w:val="FootnoteReference"/>
          <w:szCs w:val="22"/>
        </w:rPr>
        <w:footnoteReference w:id="15"/>
      </w:r>
      <w:r w:rsidR="00076231" w:rsidRPr="00845AA4">
        <w:rPr>
          <w:szCs w:val="22"/>
        </w:rPr>
        <w:t xml:space="preserve"> In the area of </w:t>
      </w:r>
      <w:r w:rsidR="00076231" w:rsidRPr="00F85F49">
        <w:rPr>
          <w:szCs w:val="22"/>
        </w:rPr>
        <w:t xml:space="preserve">copyright, some IPOs administer ADR proceedings in domestic disputes and designate the Center as administrator of cases where one or both parties </w:t>
      </w:r>
      <w:proofErr w:type="gramStart"/>
      <w:r w:rsidR="00076231" w:rsidRPr="00F85F49">
        <w:rPr>
          <w:szCs w:val="22"/>
        </w:rPr>
        <w:t>are domiciled</w:t>
      </w:r>
      <w:proofErr w:type="gramEnd"/>
      <w:r w:rsidR="00076231" w:rsidRPr="00F85F49">
        <w:rPr>
          <w:szCs w:val="22"/>
        </w:rPr>
        <w:t xml:space="preserve"> outside the country.</w:t>
      </w:r>
      <w:r w:rsidR="00076231" w:rsidRPr="00F85F49">
        <w:rPr>
          <w:rStyle w:val="FootnoteReference"/>
          <w:szCs w:val="22"/>
        </w:rPr>
        <w:footnoteReference w:id="16"/>
      </w:r>
      <w:r w:rsidR="00076231" w:rsidRPr="00F85F49">
        <w:rPr>
          <w:szCs w:val="22"/>
        </w:rPr>
        <w:t xml:space="preserve">  </w:t>
      </w:r>
    </w:p>
    <w:p w:rsidR="00076231" w:rsidRPr="005C3088" w:rsidRDefault="00BF4DCB" w:rsidP="00076231">
      <w:pPr>
        <w:pStyle w:val="ListParagraph"/>
        <w:widowControl w:val="0"/>
        <w:numPr>
          <w:ilvl w:val="0"/>
          <w:numId w:val="7"/>
        </w:numPr>
        <w:spacing w:after="240"/>
        <w:ind w:left="0" w:firstLine="0"/>
        <w:contextualSpacing w:val="0"/>
        <w:rPr>
          <w:szCs w:val="22"/>
        </w:rPr>
      </w:pPr>
      <w:r>
        <w:rPr>
          <w:szCs w:val="22"/>
        </w:rPr>
        <w:t>Additionally, t</w:t>
      </w:r>
      <w:r w:rsidR="00076231" w:rsidRPr="00845AA4">
        <w:rPr>
          <w:szCs w:val="22"/>
        </w:rPr>
        <w:t>he Center</w:t>
      </w:r>
      <w:r>
        <w:rPr>
          <w:szCs w:val="22"/>
        </w:rPr>
        <w:t xml:space="preserve"> </w:t>
      </w:r>
      <w:r w:rsidR="00076231" w:rsidRPr="00845AA4">
        <w:rPr>
          <w:szCs w:val="22"/>
        </w:rPr>
        <w:t>collaborated</w:t>
      </w:r>
      <w:r w:rsidR="00076231">
        <w:rPr>
          <w:szCs w:val="22"/>
        </w:rPr>
        <w:t xml:space="preserve"> </w:t>
      </w:r>
      <w:r w:rsidR="00076231" w:rsidRPr="005C3088">
        <w:rPr>
          <w:szCs w:val="22"/>
        </w:rPr>
        <w:t>in the development of R&amp;D model agreements</w:t>
      </w:r>
      <w:r w:rsidR="00076231">
        <w:rPr>
          <w:szCs w:val="22"/>
        </w:rPr>
        <w:t>,</w:t>
      </w:r>
      <w:r w:rsidR="00076231" w:rsidRPr="005C3088">
        <w:rPr>
          <w:szCs w:val="22"/>
        </w:rPr>
        <w:t xml:space="preserve"> </w:t>
      </w:r>
      <w:r w:rsidR="00076231">
        <w:rPr>
          <w:szCs w:val="22"/>
        </w:rPr>
        <w:t>the dispute resolution provisions of which include WIPO mediation followed by WIPO expedited a</w:t>
      </w:r>
      <w:r w:rsidR="00076231" w:rsidRPr="005C3088">
        <w:rPr>
          <w:szCs w:val="22"/>
        </w:rPr>
        <w:t>rbitration options.</w:t>
      </w:r>
      <w:r w:rsidR="00076231" w:rsidRPr="00EF02A8">
        <w:rPr>
          <w:rStyle w:val="FootnoteReference"/>
        </w:rPr>
        <w:footnoteReference w:id="17"/>
      </w:r>
    </w:p>
    <w:p w:rsidR="00076231" w:rsidRDefault="00076231" w:rsidP="00076231">
      <w:pPr>
        <w:pStyle w:val="ListParagraph"/>
        <w:numPr>
          <w:ilvl w:val="0"/>
          <w:numId w:val="7"/>
        </w:numPr>
        <w:spacing w:after="240"/>
        <w:ind w:left="0" w:firstLine="0"/>
        <w:contextualSpacing w:val="0"/>
        <w:rPr>
          <w:szCs w:val="22"/>
        </w:rPr>
      </w:pPr>
      <w:r>
        <w:rPr>
          <w:szCs w:val="22"/>
        </w:rPr>
        <w:t>Reflecting this growing</w:t>
      </w:r>
      <w:r w:rsidRPr="00640B9A">
        <w:rPr>
          <w:szCs w:val="22"/>
        </w:rPr>
        <w:t xml:space="preserve"> experience, the </w:t>
      </w:r>
      <w:r>
        <w:rPr>
          <w:szCs w:val="22"/>
        </w:rPr>
        <w:t xml:space="preserve">updated </w:t>
      </w:r>
      <w:r w:rsidRPr="00640B9A">
        <w:rPr>
          <w:szCs w:val="22"/>
        </w:rPr>
        <w:t>WIPO Guide on Alternative Dispute Resolution for IPOs and Courts</w:t>
      </w:r>
      <w:r>
        <w:rPr>
          <w:szCs w:val="22"/>
        </w:rPr>
        <w:t xml:space="preserve"> </w:t>
      </w:r>
      <w:r w:rsidRPr="00640B9A">
        <w:rPr>
          <w:szCs w:val="22"/>
        </w:rPr>
        <w:t>provides a broad overview of ADR for IP disputes and presents o</w:t>
      </w:r>
      <w:r w:rsidR="003D2D08">
        <w:rPr>
          <w:szCs w:val="22"/>
        </w:rPr>
        <w:t>ptions for interested IPOs and C</w:t>
      </w:r>
      <w:r w:rsidRPr="00640B9A">
        <w:rPr>
          <w:szCs w:val="22"/>
        </w:rPr>
        <w:t>ourts to integrate ADR into their existing processes.</w:t>
      </w:r>
      <w:r w:rsidRPr="00640B9A">
        <w:rPr>
          <w:rStyle w:val="FootnoteReference"/>
          <w:rFonts w:eastAsia="SimSun" w:cs="Arial"/>
          <w:iCs/>
          <w:lang w:eastAsia="ja-JP"/>
        </w:rPr>
        <w:footnoteReference w:id="18"/>
      </w:r>
      <w:r>
        <w:rPr>
          <w:szCs w:val="22"/>
        </w:rPr>
        <w:t xml:space="preserve"> </w:t>
      </w:r>
      <w:r w:rsidRPr="00640B9A">
        <w:rPr>
          <w:szCs w:val="22"/>
        </w:rPr>
        <w:t>The Guide also outlines th</w:t>
      </w:r>
      <w:r>
        <w:rPr>
          <w:szCs w:val="22"/>
        </w:rPr>
        <w:t>e Center’s collaborations</w:t>
      </w:r>
      <w:r w:rsidRPr="00640B9A">
        <w:rPr>
          <w:szCs w:val="22"/>
        </w:rPr>
        <w:t xml:space="preserve"> and </w:t>
      </w:r>
      <w:r>
        <w:rPr>
          <w:szCs w:val="22"/>
        </w:rPr>
        <w:t xml:space="preserve">provides </w:t>
      </w:r>
      <w:r w:rsidRPr="00640B9A">
        <w:rPr>
          <w:szCs w:val="22"/>
        </w:rPr>
        <w:t>examples of related model documents.</w:t>
      </w:r>
    </w:p>
    <w:p w:rsidR="00076231" w:rsidRPr="00510AD3" w:rsidRDefault="00076231" w:rsidP="008B4FFD">
      <w:pPr>
        <w:pStyle w:val="ListParagraph"/>
        <w:widowControl w:val="0"/>
        <w:spacing w:after="240"/>
        <w:ind w:left="567"/>
        <w:contextualSpacing w:val="0"/>
      </w:pPr>
      <w:r w:rsidRPr="00510AD3">
        <w:t>C.</w:t>
      </w:r>
      <w:r w:rsidRPr="00510AD3">
        <w:tab/>
      </w:r>
      <w:r>
        <w:t>ADR INFORMATION</w:t>
      </w:r>
      <w:r w:rsidRPr="00510AD3">
        <w:t xml:space="preserve"> RESOURCES</w:t>
      </w:r>
    </w:p>
    <w:p w:rsidR="00076231" w:rsidRDefault="00076231" w:rsidP="00527205">
      <w:pPr>
        <w:pStyle w:val="ListParagraph"/>
        <w:widowControl w:val="0"/>
        <w:numPr>
          <w:ilvl w:val="0"/>
          <w:numId w:val="7"/>
        </w:numPr>
        <w:ind w:left="0" w:firstLine="0"/>
        <w:contextualSpacing w:val="0"/>
        <w:rPr>
          <w:szCs w:val="22"/>
        </w:rPr>
      </w:pPr>
      <w:r>
        <w:rPr>
          <w:szCs w:val="22"/>
        </w:rPr>
        <w:t>During the period, to meet with the increased demand for online ADR resources and training, the Center has continued with existing outreach channels, such as its quarterly ADR Highlights newsletter,</w:t>
      </w:r>
      <w:r w:rsidRPr="001D2FEF">
        <w:rPr>
          <w:vertAlign w:val="superscript"/>
        </w:rPr>
        <w:footnoteReference w:id="19"/>
      </w:r>
      <w:r>
        <w:rPr>
          <w:szCs w:val="22"/>
        </w:rPr>
        <w:t xml:space="preserve"> while expanding or opening new social and other media for users or potential users of WIPO ADR services.  </w:t>
      </w:r>
    </w:p>
    <w:p w:rsidR="00076231" w:rsidRPr="00510AD3" w:rsidRDefault="00076231" w:rsidP="008B4FFD">
      <w:pPr>
        <w:pStyle w:val="ListParagraph"/>
        <w:widowControl w:val="0"/>
        <w:spacing w:before="240" w:after="240"/>
        <w:ind w:left="567" w:firstLine="567"/>
        <w:contextualSpacing w:val="0"/>
      </w:pPr>
      <w:r>
        <w:lastRenderedPageBreak/>
        <w:t>(a)</w:t>
      </w:r>
      <w:r w:rsidRPr="00510AD3">
        <w:tab/>
      </w:r>
      <w:r w:rsidRPr="008B4FFD">
        <w:rPr>
          <w:u w:val="single"/>
        </w:rPr>
        <w:t>Webinars</w:t>
      </w:r>
    </w:p>
    <w:p w:rsidR="00076231" w:rsidRPr="001D2FEF" w:rsidRDefault="00076231" w:rsidP="008B4FFD">
      <w:pPr>
        <w:pStyle w:val="ListParagraph"/>
        <w:widowControl w:val="0"/>
        <w:numPr>
          <w:ilvl w:val="0"/>
          <w:numId w:val="7"/>
        </w:numPr>
        <w:spacing w:after="240"/>
        <w:ind w:left="0" w:firstLine="0"/>
        <w:contextualSpacing w:val="0"/>
        <w:rPr>
          <w:szCs w:val="22"/>
        </w:rPr>
      </w:pPr>
      <w:r w:rsidRPr="001D2FEF">
        <w:rPr>
          <w:szCs w:val="22"/>
        </w:rPr>
        <w:t>The Center is increasingly working with webinars, which it makes available to stakeholders with content tailored to their area of interest in a range of languages.</w:t>
      </w:r>
      <w:r w:rsidRPr="00AC34C2">
        <w:rPr>
          <w:szCs w:val="22"/>
          <w:vertAlign w:val="superscript"/>
        </w:rPr>
        <w:footnoteReference w:id="20"/>
      </w:r>
      <w:r w:rsidRPr="001D2FEF">
        <w:rPr>
          <w:szCs w:val="22"/>
        </w:rPr>
        <w:t xml:space="preserve"> Since the 2019 Assemblies, the Center has organized or co-organized some 30 webinars, with over 10,500 registrants from 170 countries.</w:t>
      </w:r>
    </w:p>
    <w:p w:rsidR="00076231" w:rsidRPr="00510AD3" w:rsidRDefault="00076231" w:rsidP="008B4FFD">
      <w:pPr>
        <w:pStyle w:val="ListParagraph"/>
        <w:widowControl w:val="0"/>
        <w:spacing w:before="240" w:after="240"/>
        <w:ind w:left="567" w:firstLine="567"/>
        <w:contextualSpacing w:val="0"/>
      </w:pPr>
      <w:r>
        <w:t>(b)</w:t>
      </w:r>
      <w:r w:rsidRPr="00510AD3">
        <w:tab/>
      </w:r>
      <w:r w:rsidRPr="008B4FFD">
        <w:rPr>
          <w:u w:val="single"/>
        </w:rPr>
        <w:t>Digital Copyright Dispute Survey</w:t>
      </w:r>
    </w:p>
    <w:p w:rsidR="00076231" w:rsidRDefault="00076231" w:rsidP="008B4FFD">
      <w:pPr>
        <w:pStyle w:val="ListParagraph"/>
        <w:widowControl w:val="0"/>
        <w:numPr>
          <w:ilvl w:val="0"/>
          <w:numId w:val="7"/>
        </w:numPr>
        <w:spacing w:after="240"/>
        <w:ind w:left="0" w:firstLine="0"/>
        <w:contextualSpacing w:val="0"/>
        <w:rPr>
          <w:szCs w:val="22"/>
        </w:rPr>
      </w:pPr>
      <w:r w:rsidRPr="001D2FEF">
        <w:rPr>
          <w:szCs w:val="22"/>
        </w:rPr>
        <w:t>Noting the increase in digital copyright dispu</w:t>
      </w:r>
      <w:r w:rsidR="008A3140">
        <w:rPr>
          <w:szCs w:val="22"/>
        </w:rPr>
        <w:t xml:space="preserve">tes in its cases, </w:t>
      </w:r>
      <w:r w:rsidRPr="001D2FEF">
        <w:rPr>
          <w:szCs w:val="22"/>
        </w:rPr>
        <w:t xml:space="preserve">the Center conducted the WIPO-MCST </w:t>
      </w:r>
      <w:hyperlink r:id="rId11" w:tgtFrame="_blank" w:history="1">
        <w:r w:rsidRPr="001D2FEF">
          <w:rPr>
            <w:szCs w:val="22"/>
          </w:rPr>
          <w:t xml:space="preserve">Survey on the Use of ADR Mechanisms for </w:t>
        </w:r>
        <w:proofErr w:type="gramStart"/>
        <w:r w:rsidRPr="001D2FEF">
          <w:rPr>
            <w:szCs w:val="22"/>
          </w:rPr>
          <w:t>Business to Business</w:t>
        </w:r>
        <w:proofErr w:type="gramEnd"/>
        <w:r w:rsidRPr="001D2FEF">
          <w:rPr>
            <w:szCs w:val="22"/>
          </w:rPr>
          <w:t xml:space="preserve"> (B2B) Digital Copyright- and Content-related Disputes</w:t>
        </w:r>
      </w:hyperlink>
      <w:r w:rsidRPr="001D2FEF">
        <w:rPr>
          <w:szCs w:val="22"/>
        </w:rPr>
        <w:t xml:space="preserve">, which </w:t>
      </w:r>
      <w:r w:rsidR="008A3140">
        <w:rPr>
          <w:szCs w:val="22"/>
        </w:rPr>
        <w:t>attracted o</w:t>
      </w:r>
      <w:r w:rsidRPr="001D2FEF">
        <w:rPr>
          <w:szCs w:val="22"/>
        </w:rPr>
        <w:t>ver 1,000 participants</w:t>
      </w:r>
      <w:r w:rsidR="008A3140">
        <w:rPr>
          <w:szCs w:val="22"/>
        </w:rPr>
        <w:t xml:space="preserve"> in several languages</w:t>
      </w:r>
      <w:r w:rsidRPr="001D2FEF">
        <w:rPr>
          <w:szCs w:val="22"/>
        </w:rPr>
        <w:t xml:space="preserve">. A report on the Survey results </w:t>
      </w:r>
      <w:proofErr w:type="gramStart"/>
      <w:r w:rsidRPr="001D2FEF">
        <w:rPr>
          <w:szCs w:val="22"/>
        </w:rPr>
        <w:t>will be made</w:t>
      </w:r>
      <w:proofErr w:type="gramEnd"/>
      <w:r w:rsidRPr="001D2FEF">
        <w:rPr>
          <w:szCs w:val="22"/>
        </w:rPr>
        <w:t xml:space="preserve"> available </w:t>
      </w:r>
      <w:r w:rsidR="002845A1">
        <w:rPr>
          <w:szCs w:val="22"/>
        </w:rPr>
        <w:t xml:space="preserve">to </w:t>
      </w:r>
      <w:r w:rsidRPr="001D2FEF">
        <w:rPr>
          <w:szCs w:val="22"/>
        </w:rPr>
        <w:t xml:space="preserve">provide insight into such disputes across industries internationally, including current use of procedures such as mediation and arbitration, as compared to court litigation, to resolve such disputes. The survey report should also inform the potential development of </w:t>
      </w:r>
      <w:r w:rsidR="008A3140">
        <w:rPr>
          <w:szCs w:val="22"/>
        </w:rPr>
        <w:t xml:space="preserve">adapted </w:t>
      </w:r>
      <w:r w:rsidRPr="001D2FEF">
        <w:rPr>
          <w:szCs w:val="22"/>
        </w:rPr>
        <w:t>ADR procedures for these types of disputes.</w:t>
      </w:r>
    </w:p>
    <w:p w:rsidR="00076231" w:rsidRDefault="00076231" w:rsidP="008B4FFD">
      <w:pPr>
        <w:pStyle w:val="ListParagraph"/>
        <w:widowControl w:val="0"/>
        <w:spacing w:before="240" w:after="240"/>
        <w:ind w:left="567" w:firstLine="567"/>
        <w:contextualSpacing w:val="0"/>
        <w:rPr>
          <w:szCs w:val="22"/>
        </w:rPr>
      </w:pPr>
      <w:r>
        <w:rPr>
          <w:szCs w:val="22"/>
        </w:rPr>
        <w:t>(c)</w:t>
      </w:r>
      <w:r>
        <w:rPr>
          <w:szCs w:val="22"/>
        </w:rPr>
        <w:tab/>
      </w:r>
      <w:r w:rsidRPr="008B4FFD">
        <w:rPr>
          <w:u w:val="single"/>
        </w:rPr>
        <w:t>Center</w:t>
      </w:r>
      <w:r w:rsidRPr="008B4FFD">
        <w:rPr>
          <w:szCs w:val="22"/>
          <w:u w:val="single"/>
        </w:rPr>
        <w:t xml:space="preserve"> LinkedIn Page</w:t>
      </w:r>
    </w:p>
    <w:p w:rsidR="00076231" w:rsidRPr="001D2FEF" w:rsidRDefault="00076231" w:rsidP="008B4FFD">
      <w:pPr>
        <w:pStyle w:val="ListParagraph"/>
        <w:widowControl w:val="0"/>
        <w:numPr>
          <w:ilvl w:val="0"/>
          <w:numId w:val="7"/>
        </w:numPr>
        <w:spacing w:after="240"/>
        <w:ind w:left="0" w:firstLine="0"/>
        <w:contextualSpacing w:val="0"/>
        <w:rPr>
          <w:szCs w:val="22"/>
        </w:rPr>
      </w:pPr>
      <w:r>
        <w:rPr>
          <w:szCs w:val="22"/>
        </w:rPr>
        <w:t>The Center launched a LinkedIn page, which acts as</w:t>
      </w:r>
      <w:r w:rsidRPr="001D2FEF">
        <w:rPr>
          <w:szCs w:val="22"/>
        </w:rPr>
        <w:t> </w:t>
      </w:r>
      <w:r w:rsidR="0088119A">
        <w:rPr>
          <w:szCs w:val="22"/>
        </w:rPr>
        <w:t xml:space="preserve">a </w:t>
      </w:r>
      <w:r w:rsidRPr="001D2FEF">
        <w:rPr>
          <w:szCs w:val="22"/>
        </w:rPr>
        <w:t xml:space="preserve">platform for the IP, technology, and ADR community to keep </w:t>
      </w:r>
      <w:r w:rsidR="002845A1">
        <w:rPr>
          <w:szCs w:val="22"/>
        </w:rPr>
        <w:t xml:space="preserve">current </w:t>
      </w:r>
      <w:r w:rsidRPr="001D2FEF">
        <w:rPr>
          <w:szCs w:val="22"/>
        </w:rPr>
        <w:t xml:space="preserve">with WIPO ADR developments, events, </w:t>
      </w:r>
      <w:r>
        <w:rPr>
          <w:szCs w:val="22"/>
        </w:rPr>
        <w:t xml:space="preserve">and </w:t>
      </w:r>
      <w:r w:rsidRPr="001D2FEF">
        <w:rPr>
          <w:szCs w:val="22"/>
        </w:rPr>
        <w:t>publications. </w:t>
      </w:r>
      <w:r>
        <w:rPr>
          <w:szCs w:val="22"/>
        </w:rPr>
        <w:t>With over 4,400 followers, the Center’s LinkedIn presence is already an active IP ADR resource.</w:t>
      </w:r>
      <w:r>
        <w:rPr>
          <w:rStyle w:val="FootnoteReference"/>
          <w:szCs w:val="22"/>
        </w:rPr>
        <w:footnoteReference w:id="21"/>
      </w:r>
    </w:p>
    <w:p w:rsidR="00076231" w:rsidRDefault="00076231" w:rsidP="008B4FFD">
      <w:pPr>
        <w:pStyle w:val="ListParagraph"/>
        <w:widowControl w:val="0"/>
        <w:spacing w:before="240" w:after="240"/>
        <w:ind w:left="567" w:firstLine="567"/>
        <w:contextualSpacing w:val="0"/>
      </w:pPr>
      <w:r>
        <w:t>(d)</w:t>
      </w:r>
      <w:r>
        <w:tab/>
      </w:r>
      <w:r w:rsidRPr="008B4FFD">
        <w:rPr>
          <w:u w:val="single"/>
        </w:rPr>
        <w:t>WIPO Mediation Pledge</w:t>
      </w:r>
    </w:p>
    <w:p w:rsidR="00076231" w:rsidRDefault="00076231" w:rsidP="008B4FFD">
      <w:pPr>
        <w:pStyle w:val="ListParagraph"/>
        <w:widowControl w:val="0"/>
        <w:numPr>
          <w:ilvl w:val="0"/>
          <w:numId w:val="7"/>
        </w:numPr>
        <w:spacing w:after="240"/>
        <w:ind w:left="0" w:firstLine="0"/>
        <w:contextualSpacing w:val="0"/>
        <w:rPr>
          <w:szCs w:val="22"/>
        </w:rPr>
      </w:pPr>
      <w:r>
        <w:rPr>
          <w:szCs w:val="22"/>
        </w:rPr>
        <w:t>T</w:t>
      </w:r>
      <w:r w:rsidRPr="00AC34C2">
        <w:rPr>
          <w:szCs w:val="22"/>
        </w:rPr>
        <w:t>he Center continued to promote the WIPO Mediation Pledge for IP and Technology Disputes. Signatories and collaborating entities agree to promote mediation as an alternative to court litigation in order to reduce the impact of disputes in innovation and creative processes. Participants now number over 500, including some 20 Member State IP</w:t>
      </w:r>
      <w:r w:rsidR="00D92866">
        <w:rPr>
          <w:szCs w:val="22"/>
        </w:rPr>
        <w:t>O</w:t>
      </w:r>
      <w:r w:rsidRPr="00AC34C2">
        <w:rPr>
          <w:szCs w:val="22"/>
        </w:rPr>
        <w:t>s and 10 IP and ADR industry associations.</w:t>
      </w:r>
      <w:r w:rsidRPr="00AC34C2">
        <w:rPr>
          <w:szCs w:val="22"/>
          <w:vertAlign w:val="superscript"/>
        </w:rPr>
        <w:footnoteReference w:id="22"/>
      </w:r>
    </w:p>
    <w:p w:rsidR="00076231" w:rsidRPr="00B44019" w:rsidRDefault="00076231" w:rsidP="008B4FFD">
      <w:pPr>
        <w:pStyle w:val="Heading2"/>
        <w:keepNext w:val="0"/>
        <w:widowControl w:val="0"/>
        <w:spacing w:after="220"/>
      </w:pPr>
      <w:r w:rsidRPr="00B44019">
        <w:t>II.</w:t>
      </w:r>
      <w:r w:rsidRPr="00B44019">
        <w:tab/>
        <w:t>DOMAIN NAME CASE ADMINISTRATION</w:t>
      </w:r>
    </w:p>
    <w:p w:rsidR="00076231" w:rsidRPr="007E2076" w:rsidRDefault="00076231" w:rsidP="008B4FFD">
      <w:pPr>
        <w:pStyle w:val="Heading3"/>
        <w:keepNext w:val="0"/>
        <w:widowControl w:val="0"/>
        <w:spacing w:after="220"/>
        <w:ind w:firstLine="567"/>
        <w:rPr>
          <w:u w:val="none"/>
        </w:rPr>
      </w:pPr>
      <w:r w:rsidRPr="007E2076">
        <w:rPr>
          <w:u w:val="none"/>
        </w:rPr>
        <w:t>A.</w:t>
      </w:r>
      <w:r w:rsidRPr="007E2076">
        <w:rPr>
          <w:u w:val="none"/>
        </w:rPr>
        <w:tab/>
        <w:t>UDRP</w:t>
      </w:r>
    </w:p>
    <w:p w:rsidR="00E83C6C" w:rsidRDefault="00E83C6C" w:rsidP="00E83C6C">
      <w:pPr>
        <w:pStyle w:val="ListParagraph"/>
        <w:numPr>
          <w:ilvl w:val="0"/>
          <w:numId w:val="7"/>
        </w:numPr>
        <w:spacing w:before="240" w:after="240"/>
        <w:ind w:left="0" w:firstLine="0"/>
        <w:contextualSpacing w:val="0"/>
        <w:rPr>
          <w:szCs w:val="24"/>
        </w:rPr>
      </w:pPr>
      <w:r w:rsidRPr="005E2771">
        <w:rPr>
          <w:szCs w:val="24"/>
        </w:rPr>
        <w:t>The DNS raises a number of challenges for the protection of IP, which, due to the global nature of the Internet, call for an international approach.</w:t>
      </w:r>
      <w:r>
        <w:rPr>
          <w:szCs w:val="24"/>
        </w:rPr>
        <w:t xml:space="preserve"> </w:t>
      </w:r>
      <w:r w:rsidRPr="005E2771">
        <w:rPr>
          <w:szCs w:val="24"/>
        </w:rPr>
        <w:t>WIPO has addressed these challenges since 1998 by developing specific solutions, most notably in the First</w:t>
      </w:r>
      <w:r w:rsidRPr="006475B9">
        <w:rPr>
          <w:rStyle w:val="FootnoteReference"/>
          <w:rFonts w:eastAsia="SimSun"/>
          <w:szCs w:val="24"/>
        </w:rPr>
        <w:footnoteReference w:id="23"/>
      </w:r>
      <w:r w:rsidRPr="005E2771">
        <w:rPr>
          <w:szCs w:val="24"/>
        </w:rPr>
        <w:t xml:space="preserve"> and Second</w:t>
      </w:r>
      <w:r w:rsidRPr="006475B9">
        <w:rPr>
          <w:rStyle w:val="FootnoteReference"/>
          <w:rFonts w:eastAsia="SimSun"/>
          <w:szCs w:val="24"/>
        </w:rPr>
        <w:footnoteReference w:id="24"/>
      </w:r>
      <w:r w:rsidRPr="005E2771">
        <w:rPr>
          <w:szCs w:val="24"/>
        </w:rPr>
        <w:t xml:space="preserve"> WIPO Internet Domain Name Processes.</w:t>
      </w:r>
      <w:r>
        <w:rPr>
          <w:szCs w:val="24"/>
        </w:rPr>
        <w:t xml:space="preserve"> </w:t>
      </w:r>
      <w:r w:rsidRPr="005E2771">
        <w:rPr>
          <w:szCs w:val="24"/>
        </w:rPr>
        <w:t>Through the Center, WIPO provides trademark owners with efficient international mechanisms to deal with the bad</w:t>
      </w:r>
      <w:r w:rsidRPr="005E2771">
        <w:rPr>
          <w:szCs w:val="24"/>
        </w:rPr>
        <w:noBreakHyphen/>
        <w:t>faith registration and use of domain names corresponding to their trademark rights.</w:t>
      </w:r>
      <w:r>
        <w:rPr>
          <w:szCs w:val="24"/>
        </w:rPr>
        <w:t xml:space="preserve"> </w:t>
      </w:r>
      <w:r w:rsidRPr="005E2771">
        <w:rPr>
          <w:szCs w:val="24"/>
        </w:rPr>
        <w:t xml:space="preserve">The principal mechanism administered by the </w:t>
      </w:r>
      <w:r w:rsidRPr="005E2771">
        <w:rPr>
          <w:szCs w:val="24"/>
        </w:rPr>
        <w:lastRenderedPageBreak/>
        <w:t xml:space="preserve">Center, the UDRP, was adopted by ICANN </w:t>
      </w:r>
      <w:proofErr w:type="gramStart"/>
      <w:r w:rsidRPr="005E2771">
        <w:rPr>
          <w:szCs w:val="24"/>
        </w:rPr>
        <w:t>on the basis of</w:t>
      </w:r>
      <w:proofErr w:type="gramEnd"/>
      <w:r w:rsidRPr="005E2771">
        <w:rPr>
          <w:szCs w:val="24"/>
        </w:rPr>
        <w:t xml:space="preserve"> recommendations made by WIPO in the First WIPO Process.</w:t>
      </w:r>
    </w:p>
    <w:p w:rsidR="00E83C6C" w:rsidRDefault="00E83C6C" w:rsidP="00E83C6C">
      <w:pPr>
        <w:pStyle w:val="ListParagraph"/>
        <w:numPr>
          <w:ilvl w:val="0"/>
          <w:numId w:val="7"/>
        </w:numPr>
        <w:spacing w:after="240"/>
        <w:ind w:left="0" w:firstLine="0"/>
        <w:contextualSpacing w:val="0"/>
        <w:rPr>
          <w:szCs w:val="24"/>
        </w:rPr>
      </w:pPr>
      <w:r w:rsidRPr="004D6A80">
        <w:rPr>
          <w:szCs w:val="24"/>
        </w:rPr>
        <w:t xml:space="preserve">Limited </w:t>
      </w:r>
      <w:r>
        <w:rPr>
          <w:szCs w:val="24"/>
        </w:rPr>
        <w:t xml:space="preserve">in scope </w:t>
      </w:r>
      <w:r w:rsidRPr="004D6A80">
        <w:rPr>
          <w:szCs w:val="24"/>
        </w:rPr>
        <w:t>to clear cases of bad faith, the UD</w:t>
      </w:r>
      <w:r>
        <w:rPr>
          <w:szCs w:val="24"/>
        </w:rPr>
        <w:t xml:space="preserve">RP has proven in </w:t>
      </w:r>
      <w:r w:rsidRPr="00CC1D5F">
        <w:rPr>
          <w:szCs w:val="24"/>
        </w:rPr>
        <w:t>high demand by trademark owners.</w:t>
      </w:r>
      <w:r w:rsidRPr="00CC1D5F">
        <w:rPr>
          <w:rStyle w:val="FootnoteReference"/>
          <w:rFonts w:eastAsia="SimSun"/>
          <w:szCs w:val="24"/>
        </w:rPr>
        <w:footnoteReference w:id="25"/>
      </w:r>
      <w:r w:rsidRPr="00CC1D5F">
        <w:rPr>
          <w:szCs w:val="24"/>
        </w:rPr>
        <w:t xml:space="preserve"> Since December 1999, the Center has administered over 48,000 UDRP-based cases.</w:t>
      </w:r>
      <w:r w:rsidRPr="00CC1D5F">
        <w:rPr>
          <w:vertAlign w:val="superscript"/>
        </w:rPr>
        <w:footnoteReference w:id="26"/>
      </w:r>
      <w:r w:rsidRPr="00CC1D5F">
        <w:rPr>
          <w:szCs w:val="24"/>
        </w:rPr>
        <w:t xml:space="preserve"> </w:t>
      </w:r>
      <w:r w:rsidR="002C5753" w:rsidRPr="002C5753">
        <w:rPr>
          <w:szCs w:val="24"/>
        </w:rPr>
        <w:t>Right</w:t>
      </w:r>
      <w:r w:rsidRPr="002C5753">
        <w:rPr>
          <w:szCs w:val="24"/>
        </w:rPr>
        <w:t xml:space="preserve"> holders</w:t>
      </w:r>
      <w:r>
        <w:rPr>
          <w:szCs w:val="24"/>
        </w:rPr>
        <w:t xml:space="preserve"> </w:t>
      </w:r>
      <w:r w:rsidRPr="00CC1D5F">
        <w:rPr>
          <w:szCs w:val="24"/>
        </w:rPr>
        <w:t>in 2019 filed a record 3,693 UDRP-based complaints with the Center, as businesses reacted to the proliferation of websites used for counterfeit sales, fraud, phishing, and other forms of online trademark abuse. In June 2019, the total number of domain names in WIPO UDRP-based cases passed 88,000</w:t>
      </w:r>
      <w:r>
        <w:rPr>
          <w:szCs w:val="24"/>
        </w:rPr>
        <w:t>.</w:t>
      </w:r>
    </w:p>
    <w:p w:rsidR="00E83C6C" w:rsidRPr="00252167" w:rsidRDefault="00E83C6C" w:rsidP="00E83C6C">
      <w:pPr>
        <w:pStyle w:val="ListParagraph"/>
        <w:numPr>
          <w:ilvl w:val="0"/>
          <w:numId w:val="7"/>
        </w:numPr>
        <w:spacing w:after="240"/>
        <w:ind w:left="0" w:firstLine="0"/>
        <w:contextualSpacing w:val="0"/>
      </w:pPr>
      <w:r w:rsidRPr="00B46632">
        <w:rPr>
          <w:rFonts w:cs="Arial"/>
          <w:szCs w:val="22"/>
        </w:rPr>
        <w:t>WIPO commemorated the 20</w:t>
      </w:r>
      <w:r w:rsidRPr="00B46632">
        <w:rPr>
          <w:rFonts w:cs="Arial"/>
          <w:szCs w:val="22"/>
          <w:vertAlign w:val="superscript"/>
        </w:rPr>
        <w:t>th</w:t>
      </w:r>
      <w:r w:rsidRPr="00B46632">
        <w:rPr>
          <w:rFonts w:cs="Arial"/>
          <w:szCs w:val="22"/>
        </w:rPr>
        <w:t xml:space="preserve"> anniversary of the UDRP with a Conference </w:t>
      </w:r>
      <w:r>
        <w:rPr>
          <w:rFonts w:cs="Arial"/>
          <w:szCs w:val="22"/>
        </w:rPr>
        <w:t>in Geneva in October</w:t>
      </w:r>
      <w:r w:rsidRPr="00B46632">
        <w:rPr>
          <w:rFonts w:cs="Arial"/>
          <w:szCs w:val="22"/>
        </w:rPr>
        <w:t>.</w:t>
      </w:r>
      <w:r>
        <w:rPr>
          <w:rStyle w:val="FootnoteReference"/>
          <w:rFonts w:cs="Arial"/>
          <w:szCs w:val="22"/>
        </w:rPr>
        <w:footnoteReference w:id="27"/>
      </w:r>
      <w:r w:rsidRPr="00B46632">
        <w:rPr>
          <w:rFonts w:cs="Arial"/>
          <w:szCs w:val="22"/>
        </w:rPr>
        <w:t xml:space="preserve"> </w:t>
      </w:r>
      <w:r>
        <w:rPr>
          <w:rFonts w:cs="Arial"/>
          <w:szCs w:val="22"/>
        </w:rPr>
        <w:t>The event was attended by over</w:t>
      </w:r>
      <w:r w:rsidRPr="00B46632">
        <w:rPr>
          <w:rFonts w:cs="Arial"/>
          <w:szCs w:val="22"/>
        </w:rPr>
        <w:t xml:space="preserve"> 140 WI</w:t>
      </w:r>
      <w:r>
        <w:rPr>
          <w:rFonts w:cs="Arial"/>
          <w:szCs w:val="22"/>
        </w:rPr>
        <w:t>PO</w:t>
      </w:r>
      <w:r w:rsidRPr="00B46632">
        <w:rPr>
          <w:rFonts w:cs="Arial"/>
          <w:szCs w:val="22"/>
        </w:rPr>
        <w:t xml:space="preserve"> Panelists </w:t>
      </w:r>
      <w:r>
        <w:rPr>
          <w:rFonts w:cs="Arial"/>
          <w:szCs w:val="22"/>
        </w:rPr>
        <w:t xml:space="preserve">as well as </w:t>
      </w:r>
      <w:r w:rsidRPr="00B46632">
        <w:rPr>
          <w:rFonts w:cs="Arial"/>
          <w:szCs w:val="22"/>
        </w:rPr>
        <w:t xml:space="preserve">some </w:t>
      </w:r>
      <w:proofErr w:type="gramStart"/>
      <w:r w:rsidRPr="00B46632">
        <w:rPr>
          <w:rFonts w:cs="Arial"/>
          <w:szCs w:val="22"/>
        </w:rPr>
        <w:t>100 brand</w:t>
      </w:r>
      <w:proofErr w:type="gramEnd"/>
      <w:r w:rsidRPr="00B46632">
        <w:rPr>
          <w:rFonts w:cs="Arial"/>
          <w:szCs w:val="22"/>
        </w:rPr>
        <w:t xml:space="preserve"> owners, trademark practitioners, counsel, and other Internet stakeholders, </w:t>
      </w:r>
      <w:r>
        <w:rPr>
          <w:rFonts w:cs="Arial"/>
          <w:szCs w:val="22"/>
        </w:rPr>
        <w:t xml:space="preserve">who </w:t>
      </w:r>
      <w:r w:rsidRPr="00B46632">
        <w:rPr>
          <w:rFonts w:cs="Arial"/>
          <w:szCs w:val="22"/>
        </w:rPr>
        <w:t xml:space="preserve">took </w:t>
      </w:r>
      <w:r>
        <w:t xml:space="preserve">stock and looked ahead in terms of UDRP jurisprudence, ADR system design, and relevant Internet developments. </w:t>
      </w:r>
      <w:r w:rsidRPr="00773B78">
        <w:rPr>
          <w:rFonts w:cs="Arial"/>
          <w:szCs w:val="22"/>
        </w:rPr>
        <w:t xml:space="preserve">Opening the Conference, </w:t>
      </w:r>
      <w:r>
        <w:rPr>
          <w:rFonts w:cs="Arial"/>
          <w:szCs w:val="22"/>
        </w:rPr>
        <w:t xml:space="preserve">the </w:t>
      </w:r>
      <w:r w:rsidRPr="00773B78">
        <w:rPr>
          <w:rFonts w:cs="Arial"/>
          <w:szCs w:val="22"/>
        </w:rPr>
        <w:t>Director General paid tribute to</w:t>
      </w:r>
      <w:r>
        <w:rPr>
          <w:rFonts w:cs="Arial"/>
          <w:szCs w:val="22"/>
        </w:rPr>
        <w:t xml:space="preserve"> Pa</w:t>
      </w:r>
      <w:r w:rsidRPr="00773B78">
        <w:rPr>
          <w:rFonts w:cs="Arial"/>
          <w:szCs w:val="22"/>
        </w:rPr>
        <w:t>nelists for their service to the cause of combating online trademark abuse</w:t>
      </w:r>
      <w:r>
        <w:rPr>
          <w:rFonts w:cs="Arial"/>
          <w:szCs w:val="22"/>
        </w:rPr>
        <w:t>. The Director General further r</w:t>
      </w:r>
      <w:r w:rsidRPr="00252167">
        <w:t xml:space="preserve">ecalled the extraordinary success of the UDRP as a durable international solution that has addressed a </w:t>
      </w:r>
      <w:r>
        <w:t xml:space="preserve">global </w:t>
      </w:r>
      <w:r w:rsidRPr="00252167">
        <w:t>problem effectively and has helped build trust in the Internet for commercial transactions.</w:t>
      </w:r>
    </w:p>
    <w:p w:rsidR="00E83C6C" w:rsidRPr="008A4686" w:rsidRDefault="00E83C6C" w:rsidP="00E83C6C">
      <w:pPr>
        <w:pStyle w:val="ListParagraph"/>
        <w:numPr>
          <w:ilvl w:val="0"/>
          <w:numId w:val="7"/>
        </w:numPr>
        <w:spacing w:after="240"/>
        <w:ind w:left="0" w:firstLine="0"/>
        <w:contextualSpacing w:val="0"/>
        <w:rPr>
          <w:szCs w:val="24"/>
        </w:rPr>
      </w:pPr>
      <w:r w:rsidRPr="004D6A80">
        <w:rPr>
          <w:szCs w:val="24"/>
        </w:rPr>
        <w:t xml:space="preserve">A diverse mixture of enterprises, institutions, and individuals used the Center’s </w:t>
      </w:r>
      <w:proofErr w:type="gramStart"/>
      <w:r>
        <w:rPr>
          <w:szCs w:val="24"/>
        </w:rPr>
        <w:t xml:space="preserve">domain name </w:t>
      </w:r>
      <w:r w:rsidRPr="004D6A80">
        <w:rPr>
          <w:szCs w:val="24"/>
        </w:rPr>
        <w:t>dispu</w:t>
      </w:r>
      <w:r>
        <w:rPr>
          <w:szCs w:val="24"/>
        </w:rPr>
        <w:t>te resolution procedures</w:t>
      </w:r>
      <w:proofErr w:type="gramEnd"/>
      <w:r>
        <w:rPr>
          <w:szCs w:val="24"/>
        </w:rPr>
        <w:t xml:space="preserve"> in 2019</w:t>
      </w:r>
      <w:r w:rsidRPr="004D6A80">
        <w:rPr>
          <w:szCs w:val="24"/>
        </w:rPr>
        <w:t>.</w:t>
      </w:r>
      <w:r>
        <w:rPr>
          <w:szCs w:val="24"/>
        </w:rPr>
        <w:t xml:space="preserve"> </w:t>
      </w:r>
      <w:r w:rsidRPr="004D6A80">
        <w:rPr>
          <w:szCs w:val="24"/>
        </w:rPr>
        <w:t xml:space="preserve">The top sectors for complainant business activity were </w:t>
      </w:r>
      <w:r w:rsidRPr="008A4686">
        <w:rPr>
          <w:szCs w:val="24"/>
        </w:rPr>
        <w:t xml:space="preserve">Biotechnology and Pharmaceuticals, Internet and Information Technology, Banking and Finance, Fashion, and Retail. </w:t>
      </w:r>
    </w:p>
    <w:p w:rsidR="00E83C6C" w:rsidRPr="005E2771" w:rsidRDefault="00E83C6C" w:rsidP="00E83C6C">
      <w:pPr>
        <w:pStyle w:val="ListParagraph"/>
        <w:numPr>
          <w:ilvl w:val="0"/>
          <w:numId w:val="7"/>
        </w:numPr>
        <w:spacing w:after="240"/>
        <w:ind w:left="0" w:firstLine="0"/>
        <w:contextualSpacing w:val="0"/>
        <w:rPr>
          <w:szCs w:val="24"/>
        </w:rPr>
      </w:pPr>
      <w:r w:rsidRPr="008A4686">
        <w:rPr>
          <w:szCs w:val="24"/>
        </w:rPr>
        <w:t xml:space="preserve"> Reflecting the global scope of this dispute mechanism, named parties to WIPO cases in 2019 covered 122 countries, for a new </w:t>
      </w:r>
      <w:proofErr w:type="gramStart"/>
      <w:r w:rsidRPr="008A4686">
        <w:rPr>
          <w:szCs w:val="24"/>
        </w:rPr>
        <w:t>total of 180</w:t>
      </w:r>
      <w:proofErr w:type="gramEnd"/>
      <w:r w:rsidRPr="008A4686">
        <w:rPr>
          <w:szCs w:val="24"/>
        </w:rPr>
        <w:t xml:space="preserve"> since</w:t>
      </w:r>
      <w:r>
        <w:rPr>
          <w:szCs w:val="24"/>
        </w:rPr>
        <w:t xml:space="preserve"> the UDRP’s inception</w:t>
      </w:r>
      <w:r w:rsidRPr="00D07EB9">
        <w:rPr>
          <w:szCs w:val="24"/>
        </w:rPr>
        <w:t>.</w:t>
      </w:r>
      <w:r>
        <w:rPr>
          <w:szCs w:val="24"/>
        </w:rPr>
        <w:t xml:space="preserve"> </w:t>
      </w:r>
      <w:r w:rsidRPr="00D07EB9">
        <w:rPr>
          <w:szCs w:val="24"/>
        </w:rPr>
        <w:t xml:space="preserve">In function of the language of the registration agreement of the domain name at issue, WIPO UDRP proceedings </w:t>
      </w:r>
      <w:proofErr w:type="gramStart"/>
      <w:r w:rsidRPr="00D07EB9">
        <w:rPr>
          <w:szCs w:val="24"/>
        </w:rPr>
        <w:t>have so far been conducted</w:t>
      </w:r>
      <w:proofErr w:type="gramEnd"/>
      <w:r w:rsidRPr="00D07EB9">
        <w:rPr>
          <w:szCs w:val="24"/>
        </w:rPr>
        <w:t xml:space="preserve"> in 21 languages.</w:t>
      </w:r>
      <w:r w:rsidRPr="00D07EB9">
        <w:rPr>
          <w:rStyle w:val="FootnoteReference"/>
          <w:rFonts w:eastAsia="SimSun"/>
          <w:szCs w:val="24"/>
        </w:rPr>
        <w:footnoteReference w:id="28"/>
      </w:r>
    </w:p>
    <w:p w:rsidR="00E83C6C" w:rsidRPr="00CC643B" w:rsidRDefault="00E83C6C" w:rsidP="00E83C6C">
      <w:pPr>
        <w:pStyle w:val="ListParagraph"/>
        <w:numPr>
          <w:ilvl w:val="0"/>
          <w:numId w:val="7"/>
        </w:numPr>
        <w:spacing w:after="240"/>
        <w:ind w:left="0" w:firstLine="0"/>
        <w:contextualSpacing w:val="0"/>
        <w:rPr>
          <w:szCs w:val="24"/>
        </w:rPr>
      </w:pPr>
      <w:r w:rsidRPr="005E2771">
        <w:rPr>
          <w:szCs w:val="24"/>
        </w:rPr>
        <w:t xml:space="preserve">All WIPO UDRP panel decisions </w:t>
      </w:r>
      <w:proofErr w:type="gramStart"/>
      <w:r w:rsidRPr="005E2771">
        <w:rPr>
          <w:szCs w:val="24"/>
        </w:rPr>
        <w:t>are p</w:t>
      </w:r>
      <w:r>
        <w:rPr>
          <w:szCs w:val="24"/>
        </w:rPr>
        <w:t>osted</w:t>
      </w:r>
      <w:proofErr w:type="gramEnd"/>
      <w:r>
        <w:rPr>
          <w:szCs w:val="24"/>
        </w:rPr>
        <w:t xml:space="preserve"> on the Center’s website. The Center’s </w:t>
      </w:r>
      <w:r w:rsidR="00055EAF">
        <w:rPr>
          <w:szCs w:val="24"/>
        </w:rPr>
        <w:t xml:space="preserve">online </w:t>
      </w:r>
      <w:r w:rsidRPr="005E2771">
        <w:rPr>
          <w:szCs w:val="24"/>
        </w:rPr>
        <w:t xml:space="preserve">WIPO </w:t>
      </w:r>
      <w:r w:rsidRPr="006475B9">
        <w:t>Overview of WIPO Panel Views on Selected</w:t>
      </w:r>
      <w:r>
        <w:t xml:space="preserve"> UDRP Questions (WIPO Overview 3</w:t>
      </w:r>
      <w:r w:rsidRPr="006475B9">
        <w:t>.0)</w:t>
      </w:r>
      <w:r w:rsidRPr="005E2771">
        <w:rPr>
          <w:szCs w:val="24"/>
        </w:rPr>
        <w:t xml:space="preserve"> </w:t>
      </w:r>
      <w:r>
        <w:rPr>
          <w:szCs w:val="24"/>
        </w:rPr>
        <w:t>remains a</w:t>
      </w:r>
      <w:r w:rsidR="006B3EAC">
        <w:rPr>
          <w:szCs w:val="24"/>
        </w:rPr>
        <w:t xml:space="preserve"> vital</w:t>
      </w:r>
      <w:r>
        <w:rPr>
          <w:szCs w:val="24"/>
        </w:rPr>
        <w:t xml:space="preserve"> globally-consulted</w:t>
      </w:r>
      <w:r w:rsidRPr="005E2771">
        <w:rPr>
          <w:szCs w:val="24"/>
        </w:rPr>
        <w:t xml:space="preserve"> overview of broad decision trends on important case issues</w:t>
      </w:r>
      <w:r>
        <w:rPr>
          <w:szCs w:val="24"/>
        </w:rPr>
        <w:t xml:space="preserve"> covering 100 topics, including reference to almost 1,000 representative decisions from over 265 WIPO Panelists.</w:t>
      </w:r>
      <w:r>
        <w:rPr>
          <w:rStyle w:val="FootnoteReference"/>
          <w:szCs w:val="24"/>
        </w:rPr>
        <w:footnoteReference w:id="29"/>
      </w:r>
      <w:r>
        <w:rPr>
          <w:szCs w:val="24"/>
        </w:rPr>
        <w:t xml:space="preserve"> To facilitate access to </w:t>
      </w:r>
      <w:r w:rsidRPr="00CC643B">
        <w:rPr>
          <w:szCs w:val="24"/>
        </w:rPr>
        <w:t>decisions according to subject matter, the Center also offers a</w:t>
      </w:r>
      <w:r>
        <w:rPr>
          <w:szCs w:val="24"/>
        </w:rPr>
        <w:t xml:space="preserve">n online </w:t>
      </w:r>
      <w:r w:rsidRPr="00CC643B">
        <w:rPr>
          <w:szCs w:val="24"/>
        </w:rPr>
        <w:t xml:space="preserve">searchable </w:t>
      </w:r>
      <w:r w:rsidRPr="006475B9">
        <w:t>Legal Index of WIPO UDRP Decisions</w:t>
      </w:r>
      <w:r w:rsidRPr="00CC643B">
        <w:rPr>
          <w:szCs w:val="24"/>
        </w:rPr>
        <w:t>.</w:t>
      </w:r>
      <w:r w:rsidRPr="006475B9">
        <w:rPr>
          <w:vertAlign w:val="superscript"/>
        </w:rPr>
        <w:footnoteReference w:id="30"/>
      </w:r>
      <w:r>
        <w:rPr>
          <w:szCs w:val="24"/>
        </w:rPr>
        <w:t xml:space="preserve"> </w:t>
      </w:r>
      <w:r w:rsidRPr="00CC643B">
        <w:rPr>
          <w:szCs w:val="24"/>
        </w:rPr>
        <w:t>Th</w:t>
      </w:r>
      <w:r>
        <w:rPr>
          <w:szCs w:val="24"/>
        </w:rPr>
        <w:t xml:space="preserve">ese WIPO resources are </w:t>
      </w:r>
      <w:r w:rsidRPr="00CC643B">
        <w:rPr>
          <w:szCs w:val="24"/>
        </w:rPr>
        <w:t>accessible free of charge.</w:t>
      </w:r>
    </w:p>
    <w:p w:rsidR="00E83C6C" w:rsidRPr="005E2771" w:rsidRDefault="00E83C6C" w:rsidP="00E83C6C">
      <w:pPr>
        <w:pStyle w:val="ListParagraph"/>
        <w:numPr>
          <w:ilvl w:val="0"/>
          <w:numId w:val="7"/>
        </w:numPr>
        <w:spacing w:after="240"/>
        <w:ind w:left="0" w:firstLine="0"/>
        <w:contextualSpacing w:val="0"/>
        <w:rPr>
          <w:szCs w:val="24"/>
        </w:rPr>
      </w:pPr>
      <w:r w:rsidRPr="005E2771">
        <w:rPr>
          <w:szCs w:val="24"/>
        </w:rPr>
        <w:lastRenderedPageBreak/>
        <w:t>Mindful of WIPO’s foundational role in the UDRP, the Center monitors developments in the DNS with a view to adjusting its resources and practices.</w:t>
      </w:r>
      <w:r w:rsidRPr="006475B9">
        <w:rPr>
          <w:rStyle w:val="FootnoteReference"/>
          <w:rFonts w:eastAsia="SimSun"/>
          <w:szCs w:val="24"/>
        </w:rPr>
        <w:footnoteReference w:id="31"/>
      </w:r>
      <w:r>
        <w:rPr>
          <w:szCs w:val="24"/>
        </w:rPr>
        <w:t xml:space="preserve"> </w:t>
      </w:r>
      <w:r w:rsidRPr="006475B9">
        <w:t>The Center regularly organizes Domain Name Dispute Resolution Workshops to update interested parties</w:t>
      </w:r>
      <w:r>
        <w:t>,</w:t>
      </w:r>
      <w:r w:rsidRPr="006475B9">
        <w:rPr>
          <w:rStyle w:val="FootnoteReference"/>
          <w:rFonts w:eastAsia="SimSun"/>
        </w:rPr>
        <w:footnoteReference w:id="32"/>
      </w:r>
      <w:r w:rsidRPr="006475B9">
        <w:t xml:space="preserve"> as well as meetings of its Domain Name Panelists.</w:t>
      </w:r>
    </w:p>
    <w:p w:rsidR="00E83C6C" w:rsidRPr="00E83C6C" w:rsidRDefault="00E83C6C" w:rsidP="00100F51">
      <w:pPr>
        <w:pStyle w:val="Heading3"/>
        <w:spacing w:after="240"/>
        <w:ind w:firstLine="562"/>
        <w:rPr>
          <w:u w:val="none"/>
        </w:rPr>
      </w:pPr>
      <w:r w:rsidRPr="00E83C6C">
        <w:rPr>
          <w:u w:val="none"/>
        </w:rPr>
        <w:t>B.</w:t>
      </w:r>
      <w:r w:rsidRPr="00E83C6C">
        <w:rPr>
          <w:u w:val="none"/>
        </w:rPr>
        <w:tab/>
        <w:t>COUNTRY CODE TOP</w:t>
      </w:r>
      <w:r w:rsidRPr="00E83C6C">
        <w:rPr>
          <w:u w:val="none"/>
        </w:rPr>
        <w:noBreakHyphen/>
        <w:t>LEVEL DOMAINS (CCTLD)</w:t>
      </w:r>
    </w:p>
    <w:p w:rsidR="00E83C6C" w:rsidRPr="00044C68" w:rsidRDefault="00E83C6C" w:rsidP="00E83C6C">
      <w:pPr>
        <w:pStyle w:val="ListParagraph"/>
        <w:numPr>
          <w:ilvl w:val="0"/>
          <w:numId w:val="7"/>
        </w:numPr>
        <w:spacing w:after="240"/>
        <w:ind w:left="0" w:firstLine="0"/>
        <w:contextualSpacing w:val="0"/>
      </w:pPr>
      <w:r w:rsidRPr="00044C68">
        <w:t xml:space="preserve">While the mandatory application of the UDRP is limited to domain names registered in </w:t>
      </w:r>
      <w:proofErr w:type="spellStart"/>
      <w:r w:rsidRPr="00044C68">
        <w:t>gTLDs</w:t>
      </w:r>
      <w:proofErr w:type="spellEnd"/>
      <w:r w:rsidRPr="00044C68">
        <w:t xml:space="preserve"> (such as .com) and more recently introduced new </w:t>
      </w:r>
      <w:proofErr w:type="spellStart"/>
      <w:r w:rsidRPr="00044C68">
        <w:t>gTLDs</w:t>
      </w:r>
      <w:proofErr w:type="spellEnd"/>
      <w:r w:rsidRPr="00044C68">
        <w:t xml:space="preserve">, the Center also assists </w:t>
      </w:r>
      <w:proofErr w:type="spellStart"/>
      <w:r w:rsidRPr="00044C68">
        <w:t>ccTLD</w:t>
      </w:r>
      <w:proofErr w:type="spellEnd"/>
      <w:r w:rsidRPr="00044C68">
        <w:t> registries in their establishment of registration conditions and dispute resolution procedures that conform with best practices in registry management and IP protection.</w:t>
      </w:r>
      <w:r w:rsidRPr="00734FBD">
        <w:rPr>
          <w:vertAlign w:val="superscript"/>
        </w:rPr>
        <w:footnoteReference w:id="33"/>
      </w:r>
      <w:r w:rsidRPr="00CB6D16">
        <w:rPr>
          <w:vertAlign w:val="superscript"/>
        </w:rPr>
        <w:t xml:space="preserve"> </w:t>
      </w:r>
      <w:r w:rsidRPr="00044C68">
        <w:t xml:space="preserve">Some </w:t>
      </w:r>
      <w:proofErr w:type="spellStart"/>
      <w:r w:rsidRPr="00044C68">
        <w:t>ccTLD</w:t>
      </w:r>
      <w:proofErr w:type="spellEnd"/>
      <w:r w:rsidRPr="00044C68">
        <w:t xml:space="preserve"> registries adopt the UDRP directly, while others have adopted UDRP-based </w:t>
      </w:r>
      <w:proofErr w:type="gramStart"/>
      <w:r w:rsidRPr="00044C68">
        <w:t>proce</w:t>
      </w:r>
      <w:r w:rsidR="00100F51">
        <w:t>dures which</w:t>
      </w:r>
      <w:proofErr w:type="gramEnd"/>
      <w:r w:rsidR="00100F51">
        <w:t xml:space="preserve"> take account of </w:t>
      </w:r>
      <w:r w:rsidRPr="00044C68">
        <w:t xml:space="preserve">particular circumstances and needs of individual </w:t>
      </w:r>
      <w:proofErr w:type="spellStart"/>
      <w:r w:rsidRPr="00044C68">
        <w:t>ccTLDs</w:t>
      </w:r>
      <w:proofErr w:type="spellEnd"/>
      <w:r w:rsidRPr="00044C68">
        <w:t xml:space="preserve">. The Center provides </w:t>
      </w:r>
      <w:proofErr w:type="gramStart"/>
      <w:r w:rsidRPr="00044C68">
        <w:t>domain name disput</w:t>
      </w:r>
      <w:r>
        <w:t>e resolution services</w:t>
      </w:r>
      <w:proofErr w:type="gramEnd"/>
      <w:r>
        <w:t xml:space="preserve"> to over 75</w:t>
      </w:r>
      <w:r w:rsidRPr="00044C68">
        <w:t xml:space="preserve"> </w:t>
      </w:r>
      <w:proofErr w:type="spellStart"/>
      <w:r w:rsidRPr="00044C68">
        <w:t>ccTLD</w:t>
      </w:r>
      <w:proofErr w:type="spellEnd"/>
      <w:r w:rsidRPr="00044C68">
        <w:t xml:space="preserve"> registries, including the</w:t>
      </w:r>
      <w:r>
        <w:t xml:space="preserve"> </w:t>
      </w:r>
      <w:r w:rsidRPr="00AF637A">
        <w:t>.CN and .</w:t>
      </w:r>
      <w:proofErr w:type="spellStart"/>
      <w:r w:rsidRPr="00AF637A">
        <w:rPr>
          <w:rFonts w:ascii="MS Gothic" w:eastAsia="MS Gothic" w:hAnsi="MS Gothic" w:cs="MS Gothic" w:hint="eastAsia"/>
        </w:rPr>
        <w:t>中国</w:t>
      </w:r>
      <w:proofErr w:type="spellEnd"/>
      <w:r w:rsidRPr="00AF637A">
        <w:t xml:space="preserve"> (China) domain added in the latter part of 2019.</w:t>
      </w:r>
      <w:r w:rsidRPr="00AF637A">
        <w:rPr>
          <w:vertAlign w:val="superscript"/>
        </w:rPr>
        <w:footnoteReference w:id="34"/>
      </w:r>
    </w:p>
    <w:p w:rsidR="00E83C6C" w:rsidRDefault="00E83C6C" w:rsidP="00E83C6C">
      <w:pPr>
        <w:pStyle w:val="ListParagraph"/>
        <w:numPr>
          <w:ilvl w:val="0"/>
          <w:numId w:val="7"/>
        </w:numPr>
        <w:spacing w:after="240"/>
        <w:ind w:left="0" w:firstLine="0"/>
        <w:contextualSpacing w:val="0"/>
      </w:pPr>
      <w:r>
        <w:t xml:space="preserve">For all </w:t>
      </w:r>
      <w:proofErr w:type="spellStart"/>
      <w:r>
        <w:t>ccTLDs</w:t>
      </w:r>
      <w:proofErr w:type="spellEnd"/>
      <w:r>
        <w:t xml:space="preserve"> concerned, </w:t>
      </w:r>
      <w:r w:rsidRPr="00AC1C3E">
        <w:t>the Center</w:t>
      </w:r>
      <w:r>
        <w:t xml:space="preserve"> offers significantly </w:t>
      </w:r>
      <w:r w:rsidRPr="00AC1C3E">
        <w:t>expanded</w:t>
      </w:r>
      <w:r>
        <w:t xml:space="preserve"> online party resources</w:t>
      </w:r>
      <w:r w:rsidRPr="00AC1C3E">
        <w:t xml:space="preserve">, </w:t>
      </w:r>
      <w:r>
        <w:t xml:space="preserve">including </w:t>
      </w:r>
      <w:r w:rsidRPr="00AC1C3E">
        <w:t>eligibility criteria for registration, supported characters,</w:t>
      </w:r>
      <w:r>
        <w:t xml:space="preserve"> and</w:t>
      </w:r>
      <w:r w:rsidRPr="00AC1C3E">
        <w:t xml:space="preserve"> </w:t>
      </w:r>
      <w:r>
        <w:t>multilingual model pleadings and filing information,</w:t>
      </w:r>
      <w:r>
        <w:rPr>
          <w:rStyle w:val="FootnoteReference"/>
        </w:rPr>
        <w:footnoteReference w:id="35"/>
      </w:r>
      <w:r>
        <w:t xml:space="preserve"> </w:t>
      </w:r>
      <w:r w:rsidRPr="00AC1C3E">
        <w:t xml:space="preserve">as well as </w:t>
      </w:r>
      <w:r>
        <w:t xml:space="preserve">summaries of relevant </w:t>
      </w:r>
      <w:r w:rsidRPr="00AC1C3E">
        <w:t xml:space="preserve">differences between </w:t>
      </w:r>
      <w:r>
        <w:t xml:space="preserve">the respective </w:t>
      </w:r>
      <w:r w:rsidRPr="00AC1C3E">
        <w:t xml:space="preserve">UDRP-based </w:t>
      </w:r>
      <w:proofErr w:type="spellStart"/>
      <w:r>
        <w:t>ccTLD</w:t>
      </w:r>
      <w:proofErr w:type="spellEnd"/>
      <w:r>
        <w:t xml:space="preserve"> </w:t>
      </w:r>
      <w:r w:rsidRPr="00AC1C3E">
        <w:t>policies</w:t>
      </w:r>
      <w:r>
        <w:t xml:space="preserve"> and </w:t>
      </w:r>
      <w:r w:rsidRPr="00AC1C3E">
        <w:t>the UDRP</w:t>
      </w:r>
      <w:r>
        <w:t>.</w:t>
      </w:r>
      <w:r>
        <w:rPr>
          <w:rStyle w:val="FootnoteReference"/>
        </w:rPr>
        <w:footnoteReference w:id="36"/>
      </w:r>
      <w:r>
        <w:t xml:space="preserve"> </w:t>
      </w:r>
      <w:r w:rsidRPr="00AF637A">
        <w:rPr>
          <w:shd w:val="clear" w:color="auto" w:fill="FFFFFF" w:themeFill="background1"/>
        </w:rPr>
        <w:t xml:space="preserve">This information </w:t>
      </w:r>
      <w:proofErr w:type="gramStart"/>
      <w:r w:rsidRPr="00AF637A">
        <w:rPr>
          <w:shd w:val="clear" w:color="auto" w:fill="FFFFFF" w:themeFill="background1"/>
        </w:rPr>
        <w:t>is summarized</w:t>
      </w:r>
      <w:proofErr w:type="gramEnd"/>
      <w:r w:rsidRPr="00AF637A">
        <w:rPr>
          <w:shd w:val="clear" w:color="auto" w:fill="FFFFFF" w:themeFill="background1"/>
        </w:rPr>
        <w:t xml:space="preserve"> in the Guide to WIPO’s services for country code top-level domain registries.</w:t>
      </w:r>
      <w:r w:rsidRPr="00AF637A">
        <w:rPr>
          <w:rStyle w:val="FootnoteReference"/>
          <w:shd w:val="clear" w:color="auto" w:fill="FFFFFF" w:themeFill="background1"/>
        </w:rPr>
        <w:footnoteReference w:id="37"/>
      </w:r>
    </w:p>
    <w:p w:rsidR="00E83C6C" w:rsidRPr="00653668" w:rsidRDefault="00E83C6C" w:rsidP="00E83C6C">
      <w:pPr>
        <w:pStyle w:val="Heading2"/>
      </w:pPr>
      <w:r>
        <w:t>III</w:t>
      </w:r>
      <w:r w:rsidRPr="00653668">
        <w:t>.</w:t>
      </w:r>
      <w:r w:rsidRPr="00653668">
        <w:tab/>
        <w:t>POLICY DEVELOPMENTS IN THE DNS</w:t>
      </w:r>
      <w:r>
        <w:t xml:space="preserve"> </w:t>
      </w:r>
    </w:p>
    <w:p w:rsidR="00E83C6C" w:rsidRPr="006475B9" w:rsidRDefault="00E83C6C" w:rsidP="00E83C6C">
      <w:pPr>
        <w:pStyle w:val="ListParagraph"/>
        <w:widowControl w:val="0"/>
        <w:numPr>
          <w:ilvl w:val="0"/>
          <w:numId w:val="7"/>
        </w:numPr>
        <w:spacing w:before="240" w:after="240"/>
        <w:ind w:left="0" w:firstLine="0"/>
        <w:contextualSpacing w:val="0"/>
      </w:pPr>
      <w:r w:rsidRPr="006475B9">
        <w:t>A number of policy developments in relation to ICANN present both opportunities and</w:t>
      </w:r>
      <w:r>
        <w:t> </w:t>
      </w:r>
      <w:r w:rsidRPr="006475B9">
        <w:t>challenges for owners and users of IP rights.</w:t>
      </w:r>
      <w:r>
        <w:t xml:space="preserve"> </w:t>
      </w:r>
      <w:r w:rsidRPr="006475B9">
        <w:t xml:space="preserve">One is ICANN’s introduction of </w:t>
      </w:r>
      <w:r>
        <w:t xml:space="preserve">a significant number of </w:t>
      </w:r>
      <w:r w:rsidRPr="006475B9">
        <w:t>new</w:t>
      </w:r>
      <w:r>
        <w:t> </w:t>
      </w:r>
      <w:proofErr w:type="spellStart"/>
      <w:r w:rsidRPr="006475B9">
        <w:t>gTLDs</w:t>
      </w:r>
      <w:proofErr w:type="spellEnd"/>
      <w:r w:rsidRPr="006475B9">
        <w:t>.</w:t>
      </w:r>
      <w:r>
        <w:t xml:space="preserve"> </w:t>
      </w:r>
      <w:r w:rsidRPr="006475B9">
        <w:t xml:space="preserve">Such new </w:t>
      </w:r>
      <w:proofErr w:type="spellStart"/>
      <w:r w:rsidRPr="006475B9">
        <w:t>gTLDs</w:t>
      </w:r>
      <w:proofErr w:type="spellEnd"/>
      <w:r w:rsidRPr="006475B9">
        <w:t xml:space="preserve"> may be of an “open” nature (similar to .com), or may take</w:t>
      </w:r>
      <w:r>
        <w:t> </w:t>
      </w:r>
      <w:r w:rsidRPr="006475B9">
        <w:t>on more</w:t>
      </w:r>
      <w:r>
        <w:t> </w:t>
      </w:r>
      <w:r w:rsidRPr="006475B9">
        <w:t xml:space="preserve">specific or restrictive characteristics, </w:t>
      </w:r>
      <w:r w:rsidRPr="00734FBD">
        <w:t xml:space="preserve">for example taking the form of .[brand], .[city], .[community], .[culture], .[industry], or .[language]. A noteworthy element of this growth of the DNS concerns the introduction of Internationalized Domain Names (IDNs) at the top level – expanding the DNS’ linguistic availability. </w:t>
      </w:r>
      <w:proofErr w:type="gramStart"/>
      <w:r w:rsidRPr="00734FBD">
        <w:t>Also</w:t>
      </w:r>
      <w:proofErr w:type="gramEnd"/>
      <w:r w:rsidRPr="00734FBD">
        <w:t>, ICANN’s expansion of the DNS raises rights protection questions in connection with the Second WIPO Process.</w:t>
      </w:r>
    </w:p>
    <w:p w:rsidR="00E83C6C" w:rsidRPr="00E83C6C" w:rsidRDefault="00E83C6C" w:rsidP="00E83C6C">
      <w:pPr>
        <w:pStyle w:val="Heading3"/>
        <w:ind w:firstLine="567"/>
        <w:rPr>
          <w:u w:val="none"/>
        </w:rPr>
      </w:pPr>
      <w:r w:rsidRPr="00E83C6C">
        <w:rPr>
          <w:u w:val="none"/>
        </w:rPr>
        <w:t>A.</w:t>
      </w:r>
      <w:r w:rsidRPr="00E83C6C">
        <w:rPr>
          <w:u w:val="none"/>
        </w:rPr>
        <w:tab/>
        <w:t>NEW GTLDS</w:t>
      </w:r>
    </w:p>
    <w:p w:rsidR="00E83C6C" w:rsidRPr="005E2771" w:rsidRDefault="00E83C6C" w:rsidP="001E0BB7">
      <w:pPr>
        <w:pStyle w:val="ListParagraph"/>
        <w:numPr>
          <w:ilvl w:val="0"/>
          <w:numId w:val="7"/>
        </w:numPr>
        <w:spacing w:before="240" w:after="240"/>
        <w:ind w:left="0" w:firstLine="0"/>
        <w:contextualSpacing w:val="0"/>
        <w:rPr>
          <w:szCs w:val="22"/>
        </w:rPr>
      </w:pPr>
      <w:r w:rsidRPr="005E2771">
        <w:rPr>
          <w:szCs w:val="22"/>
        </w:rPr>
        <w:t xml:space="preserve">ICANN implementation of its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Program</w:t>
      </w:r>
      <w:r>
        <w:rPr>
          <w:szCs w:val="22"/>
        </w:rPr>
        <w:t>,</w:t>
      </w:r>
      <w:r w:rsidRPr="005E2771">
        <w:rPr>
          <w:szCs w:val="22"/>
        </w:rPr>
        <w:t xml:space="preserve"> formally approved in June 2011</w:t>
      </w:r>
      <w:r>
        <w:rPr>
          <w:szCs w:val="22"/>
        </w:rPr>
        <w:t>,</w:t>
      </w:r>
      <w:r w:rsidRPr="006475B9">
        <w:rPr>
          <w:rStyle w:val="FootnoteReference"/>
          <w:rFonts w:eastAsia="SimSun"/>
          <w:szCs w:val="22"/>
        </w:rPr>
        <w:footnoteReference w:id="38"/>
      </w:r>
      <w:r>
        <w:rPr>
          <w:szCs w:val="22"/>
        </w:rPr>
        <w:t xml:space="preserve"> is detailed </w:t>
      </w:r>
      <w:r w:rsidRPr="005E2771">
        <w:rPr>
          <w:szCs w:val="22"/>
        </w:rPr>
        <w:t xml:space="preserve">in </w:t>
      </w:r>
      <w:r>
        <w:rPr>
          <w:szCs w:val="22"/>
        </w:rPr>
        <w:t>it</w:t>
      </w:r>
      <w:r w:rsidRPr="005E2771">
        <w:rPr>
          <w:szCs w:val="22"/>
        </w:rPr>
        <w:t>s much-revised “Applicant Guidebook”.</w:t>
      </w:r>
      <w:r w:rsidRPr="006475B9">
        <w:rPr>
          <w:vertAlign w:val="superscript"/>
        </w:rPr>
        <w:footnoteReference w:id="39"/>
      </w:r>
      <w:r>
        <w:rPr>
          <w:szCs w:val="22"/>
        </w:rPr>
        <w:t xml:space="preserve"> </w:t>
      </w:r>
      <w:r w:rsidRPr="005E2771">
        <w:rPr>
          <w:szCs w:val="22"/>
        </w:rPr>
        <w:t xml:space="preserve">Delegation of the first new </w:t>
      </w:r>
      <w:proofErr w:type="spellStart"/>
      <w:r w:rsidRPr="005E2771">
        <w:rPr>
          <w:szCs w:val="22"/>
        </w:rPr>
        <w:t>gTLDs</w:t>
      </w:r>
      <w:proofErr w:type="spellEnd"/>
      <w:r w:rsidRPr="005E2771">
        <w:rPr>
          <w:szCs w:val="22"/>
        </w:rPr>
        <w:t xml:space="preserve"> into the Internet’s Root Zone took place in October 2013, </w:t>
      </w:r>
      <w:r w:rsidRPr="00AF637A">
        <w:rPr>
          <w:szCs w:val="22"/>
          <w:shd w:val="clear" w:color="auto" w:fill="FFFFFF" w:themeFill="background1"/>
        </w:rPr>
        <w:t xml:space="preserve">with nearly all of the unique over 1,200 </w:t>
      </w:r>
      <w:proofErr w:type="spellStart"/>
      <w:r w:rsidRPr="00AF637A">
        <w:rPr>
          <w:szCs w:val="22"/>
          <w:shd w:val="clear" w:color="auto" w:fill="FFFFFF" w:themeFill="background1"/>
        </w:rPr>
        <w:t>gTLDs</w:t>
      </w:r>
      <w:proofErr w:type="spellEnd"/>
      <w:r w:rsidRPr="00AF637A">
        <w:rPr>
          <w:szCs w:val="22"/>
          <w:shd w:val="clear" w:color="auto" w:fill="FFFFFF" w:themeFill="background1"/>
        </w:rPr>
        <w:t xml:space="preserve"> </w:t>
      </w:r>
      <w:r w:rsidRPr="00AF637A">
        <w:rPr>
          <w:szCs w:val="22"/>
          <w:shd w:val="clear" w:color="auto" w:fill="FFFFFF" w:themeFill="background1"/>
        </w:rPr>
        <w:lastRenderedPageBreak/>
        <w:t>delegated by June 2019.</w:t>
      </w:r>
      <w:r w:rsidRPr="00AF637A">
        <w:rPr>
          <w:rStyle w:val="FootnoteReference"/>
          <w:rFonts w:eastAsia="SimSun"/>
          <w:szCs w:val="22"/>
          <w:shd w:val="clear" w:color="auto" w:fill="FFFFFF" w:themeFill="background1"/>
        </w:rPr>
        <w:footnoteReference w:id="40"/>
      </w:r>
      <w:r w:rsidRPr="00AF637A">
        <w:rPr>
          <w:szCs w:val="22"/>
          <w:shd w:val="clear" w:color="auto" w:fill="FFFFFF" w:themeFill="background1"/>
        </w:rPr>
        <w:t xml:space="preserve"> ICANN is planning on another round of new </w:t>
      </w:r>
      <w:proofErr w:type="spellStart"/>
      <w:r w:rsidRPr="00AF637A">
        <w:rPr>
          <w:szCs w:val="22"/>
          <w:shd w:val="clear" w:color="auto" w:fill="FFFFFF" w:themeFill="background1"/>
        </w:rPr>
        <w:t>gTLDs</w:t>
      </w:r>
      <w:proofErr w:type="spellEnd"/>
      <w:r w:rsidRPr="00AF637A">
        <w:rPr>
          <w:szCs w:val="22"/>
          <w:shd w:val="clear" w:color="auto" w:fill="FFFFFF" w:themeFill="background1"/>
        </w:rPr>
        <w:t xml:space="preserve"> likely in the next few years.</w:t>
      </w:r>
    </w:p>
    <w:p w:rsidR="00E83C6C" w:rsidRPr="005E2771" w:rsidRDefault="00E83C6C" w:rsidP="00E83C6C">
      <w:pPr>
        <w:pStyle w:val="ListParagraph"/>
        <w:keepNext/>
        <w:keepLines/>
        <w:numPr>
          <w:ilvl w:val="0"/>
          <w:numId w:val="7"/>
        </w:numPr>
        <w:spacing w:after="240"/>
        <w:ind w:left="0" w:firstLine="0"/>
        <w:contextualSpacing w:val="0"/>
        <w:rPr>
          <w:szCs w:val="22"/>
        </w:rPr>
      </w:pPr>
      <w:r w:rsidRPr="005E2771">
        <w:rPr>
          <w:szCs w:val="22"/>
        </w:rPr>
        <w:t xml:space="preserve">The Center remains committed to working with stakeholders to attempt to safeguard the observance of general principles of IP protection in new </w:t>
      </w:r>
      <w:proofErr w:type="spellStart"/>
      <w:r w:rsidRPr="005E2771">
        <w:rPr>
          <w:szCs w:val="22"/>
        </w:rPr>
        <w:t>gTLDs</w:t>
      </w:r>
      <w:proofErr w:type="spellEnd"/>
      <w:r w:rsidRPr="005E2771">
        <w:rPr>
          <w:szCs w:val="22"/>
        </w:rPr>
        <w:t>.</w:t>
      </w:r>
      <w:r>
        <w:rPr>
          <w:szCs w:val="22"/>
        </w:rPr>
        <w:t xml:space="preserve"> </w:t>
      </w:r>
      <w:r w:rsidRPr="005E2771">
        <w:rPr>
          <w:szCs w:val="22"/>
        </w:rPr>
        <w:t xml:space="preserve">A number of the RPMs emerged from a series of ICANN committees and processes for new </w:t>
      </w:r>
      <w:proofErr w:type="spellStart"/>
      <w:r w:rsidRPr="005E2771">
        <w:rPr>
          <w:szCs w:val="22"/>
        </w:rPr>
        <w:t>gTLDs</w:t>
      </w:r>
      <w:proofErr w:type="spellEnd"/>
      <w:r w:rsidRPr="005E2771">
        <w:rPr>
          <w:szCs w:val="22"/>
        </w:rPr>
        <w:t>.</w:t>
      </w:r>
      <w:r w:rsidRPr="006475B9">
        <w:rPr>
          <w:rStyle w:val="FootnoteReference"/>
          <w:rFonts w:eastAsia="SimSun"/>
          <w:szCs w:val="22"/>
        </w:rPr>
        <w:footnoteReference w:id="41"/>
      </w:r>
      <w:r>
        <w:rPr>
          <w:szCs w:val="22"/>
        </w:rPr>
        <w:t xml:space="preserve"> </w:t>
      </w:r>
      <w:r w:rsidRPr="005E2771">
        <w:rPr>
          <w:szCs w:val="22"/>
        </w:rPr>
        <w:t>Set out below is a broad description of these ICANN RPMs, for the top level and the second level respectively.</w:t>
      </w:r>
    </w:p>
    <w:p w:rsidR="00E83C6C" w:rsidRPr="005212E9" w:rsidRDefault="00E83C6C" w:rsidP="00E83C6C">
      <w:pPr>
        <w:pStyle w:val="Heading3"/>
        <w:ind w:firstLine="567"/>
      </w:pPr>
      <w:r w:rsidRPr="00E83C6C">
        <w:rPr>
          <w:u w:val="none"/>
        </w:rPr>
        <w:t>(a)</w:t>
      </w:r>
      <w:r w:rsidRPr="00E83C6C">
        <w:rPr>
          <w:u w:val="none"/>
        </w:rPr>
        <w:tab/>
      </w:r>
      <w:r w:rsidRPr="005B2214">
        <w:t>Top Level RPMs</w:t>
      </w:r>
    </w:p>
    <w:p w:rsidR="00E83C6C" w:rsidRPr="006475B9" w:rsidRDefault="00E83C6C" w:rsidP="00E83C6C">
      <w:pPr>
        <w:pStyle w:val="Heading4"/>
        <w:ind w:left="567" w:firstLine="567"/>
      </w:pPr>
      <w:r w:rsidRPr="00E83C6C">
        <w:rPr>
          <w:i w:val="0"/>
        </w:rPr>
        <w:t>(</w:t>
      </w:r>
      <w:proofErr w:type="spellStart"/>
      <w:r w:rsidRPr="00E83C6C">
        <w:rPr>
          <w:i w:val="0"/>
        </w:rPr>
        <w:t>i</w:t>
      </w:r>
      <w:proofErr w:type="spellEnd"/>
      <w:r w:rsidRPr="00E83C6C">
        <w:rPr>
          <w:i w:val="0"/>
        </w:rPr>
        <w:t>)</w:t>
      </w:r>
      <w:r w:rsidRPr="00E9770D">
        <w:tab/>
      </w:r>
      <w:r w:rsidRPr="00E83C6C">
        <w:rPr>
          <w:i w:val="0"/>
          <w:u w:val="single"/>
        </w:rPr>
        <w:t>Pre- (TLD) Delegation Dispute Resolution Procedure</w:t>
      </w:r>
    </w:p>
    <w:p w:rsidR="00E83C6C" w:rsidRPr="005E2771" w:rsidRDefault="00E83C6C" w:rsidP="00E83C6C">
      <w:pPr>
        <w:pStyle w:val="ListParagraph"/>
        <w:numPr>
          <w:ilvl w:val="0"/>
          <w:numId w:val="7"/>
        </w:numPr>
        <w:spacing w:before="240"/>
        <w:ind w:left="0" w:firstLine="0"/>
        <w:contextualSpacing w:val="0"/>
        <w:rPr>
          <w:szCs w:val="22"/>
        </w:rPr>
      </w:pPr>
      <w:r w:rsidRPr="005E2771">
        <w:rPr>
          <w:szCs w:val="22"/>
        </w:rPr>
        <w:t xml:space="preserve">This mechanism allowed trademark owners to lodge Legal Rights Objections (LRO) to new </w:t>
      </w:r>
      <w:proofErr w:type="spellStart"/>
      <w:r w:rsidRPr="005E2771">
        <w:rPr>
          <w:szCs w:val="22"/>
        </w:rPr>
        <w:t>gTLD</w:t>
      </w:r>
      <w:proofErr w:type="spellEnd"/>
      <w:r w:rsidRPr="005E2771">
        <w:rPr>
          <w:szCs w:val="22"/>
        </w:rPr>
        <w:t xml:space="preserve"> applications at the top level where certain substantive criteria </w:t>
      </w:r>
      <w:proofErr w:type="gramStart"/>
      <w:r w:rsidRPr="005E2771">
        <w:rPr>
          <w:szCs w:val="22"/>
        </w:rPr>
        <w:t>were met</w:t>
      </w:r>
      <w:proofErr w:type="gramEnd"/>
      <w:r w:rsidRPr="005E2771">
        <w:rPr>
          <w:szCs w:val="22"/>
        </w:rPr>
        <w:t>.</w:t>
      </w:r>
      <w:r w:rsidRPr="006475B9">
        <w:rPr>
          <w:rStyle w:val="FootnoteReference"/>
          <w:rFonts w:eastAsia="SimSun"/>
          <w:szCs w:val="22"/>
        </w:rPr>
        <w:footnoteReference w:id="42"/>
      </w:r>
      <w:r>
        <w:rPr>
          <w:szCs w:val="22"/>
        </w:rPr>
        <w:t xml:space="preserve"> </w:t>
      </w:r>
      <w:r w:rsidRPr="005E2771">
        <w:rPr>
          <w:szCs w:val="22"/>
        </w:rPr>
        <w:t xml:space="preserve">The Center assisted ICANN in the establishment of these criteria </w:t>
      </w:r>
      <w:proofErr w:type="gramStart"/>
      <w:r w:rsidRPr="005E2771">
        <w:rPr>
          <w:szCs w:val="22"/>
        </w:rPr>
        <w:t>on the basis of</w:t>
      </w:r>
      <w:proofErr w:type="gramEnd"/>
      <w:r w:rsidRPr="005E2771">
        <w:rPr>
          <w:szCs w:val="22"/>
        </w:rPr>
        <w:t xml:space="preserve"> the “WIPO Joint Recommendation Concerning Provisions on the Protection of Marks, and Other Industrial Property Rights in Signs, on the Internet”.</w:t>
      </w:r>
      <w:r w:rsidRPr="006475B9">
        <w:rPr>
          <w:vertAlign w:val="superscript"/>
        </w:rPr>
        <w:footnoteReference w:id="43"/>
      </w:r>
    </w:p>
    <w:p w:rsidR="00E83C6C" w:rsidRPr="005E2771" w:rsidRDefault="00E83C6C" w:rsidP="00E83C6C">
      <w:pPr>
        <w:pStyle w:val="ListParagraph"/>
        <w:numPr>
          <w:ilvl w:val="0"/>
          <w:numId w:val="7"/>
        </w:numPr>
        <w:spacing w:before="240" w:after="240"/>
        <w:ind w:left="0" w:firstLine="0"/>
        <w:contextualSpacing w:val="0"/>
        <w:rPr>
          <w:szCs w:val="22"/>
        </w:rPr>
      </w:pPr>
      <w:r w:rsidRPr="005E2771">
        <w:rPr>
          <w:szCs w:val="22"/>
        </w:rPr>
        <w:t>Appointed by ICANN as the exclusive provider of LRO dispute resolution services,</w:t>
      </w:r>
      <w:r w:rsidRPr="006475B9">
        <w:rPr>
          <w:rStyle w:val="FootnoteReference"/>
          <w:rFonts w:eastAsia="SimSun"/>
          <w:szCs w:val="22"/>
        </w:rPr>
        <w:footnoteReference w:id="44"/>
      </w:r>
      <w:r w:rsidRPr="005E2771">
        <w:rPr>
          <w:bCs/>
          <w:szCs w:val="22"/>
        </w:rPr>
        <w:t xml:space="preserve"> </w:t>
      </w:r>
      <w:r w:rsidRPr="005E2771">
        <w:rPr>
          <w:szCs w:val="22"/>
        </w:rPr>
        <w:t>the Center received 69 compliant LRO filings, which it completed processing by September</w:t>
      </w:r>
      <w:r w:rsidR="007B6DE9">
        <w:rPr>
          <w:szCs w:val="22"/>
        </w:rPr>
        <w:t> </w:t>
      </w:r>
      <w:r w:rsidRPr="005E2771">
        <w:rPr>
          <w:szCs w:val="22"/>
        </w:rPr>
        <w:t>2013.</w:t>
      </w:r>
      <w:r w:rsidRPr="006475B9">
        <w:rPr>
          <w:rStyle w:val="FootnoteReference"/>
          <w:rFonts w:eastAsia="SimSun"/>
          <w:szCs w:val="22"/>
        </w:rPr>
        <w:footnoteReference w:id="45"/>
      </w:r>
      <w:r>
        <w:rPr>
          <w:szCs w:val="22"/>
        </w:rPr>
        <w:t xml:space="preserve"> </w:t>
      </w:r>
      <w:r w:rsidRPr="005E2771">
        <w:rPr>
          <w:szCs w:val="22"/>
        </w:rPr>
        <w:t>All WIPO LRO expert panel determinations are available on the Center’s website,</w:t>
      </w:r>
      <w:r w:rsidRPr="006475B9">
        <w:rPr>
          <w:rStyle w:val="FootnoteReference"/>
          <w:rFonts w:eastAsia="SimSun"/>
          <w:szCs w:val="22"/>
        </w:rPr>
        <w:footnoteReference w:id="46"/>
      </w:r>
      <w:r w:rsidRPr="005E2771">
        <w:rPr>
          <w:szCs w:val="22"/>
        </w:rPr>
        <w:t xml:space="preserve"> as is a Center report on the LRO process.</w:t>
      </w:r>
      <w:r w:rsidRPr="006475B9">
        <w:rPr>
          <w:rStyle w:val="FootnoteReference"/>
          <w:rFonts w:eastAsia="SimSun"/>
          <w:szCs w:val="22"/>
        </w:rPr>
        <w:footnoteReference w:id="47"/>
      </w:r>
      <w:r>
        <w:rPr>
          <w:szCs w:val="22"/>
        </w:rPr>
        <w:t xml:space="preserve"> </w:t>
      </w:r>
    </w:p>
    <w:p w:rsidR="00E83C6C" w:rsidRPr="00E83C6C" w:rsidRDefault="00E83C6C" w:rsidP="00E83C6C">
      <w:pPr>
        <w:pStyle w:val="Heading4"/>
        <w:ind w:left="567" w:firstLine="567"/>
        <w:rPr>
          <w:i w:val="0"/>
          <w:u w:val="single"/>
        </w:rPr>
      </w:pPr>
      <w:r w:rsidRPr="00E83C6C">
        <w:rPr>
          <w:i w:val="0"/>
        </w:rPr>
        <w:t>(ii)</w:t>
      </w:r>
      <w:r w:rsidRPr="00E83C6C">
        <w:rPr>
          <w:i w:val="0"/>
        </w:rPr>
        <w:tab/>
      </w:r>
      <w:r w:rsidRPr="00E83C6C">
        <w:rPr>
          <w:i w:val="0"/>
          <w:u w:val="single"/>
        </w:rPr>
        <w:t xml:space="preserve">Post- (TLD) Delegation Dispute Resolution Procedure (PDDRP) </w:t>
      </w:r>
    </w:p>
    <w:p w:rsidR="00E83C6C" w:rsidRPr="005E2771" w:rsidRDefault="00E83C6C" w:rsidP="00E83C6C">
      <w:pPr>
        <w:pStyle w:val="ListParagraph"/>
        <w:numPr>
          <w:ilvl w:val="0"/>
          <w:numId w:val="7"/>
        </w:numPr>
        <w:spacing w:before="240" w:after="240"/>
        <w:ind w:left="0" w:firstLine="0"/>
        <w:contextualSpacing w:val="0"/>
        <w:rPr>
          <w:szCs w:val="22"/>
        </w:rPr>
      </w:pPr>
      <w:r w:rsidRPr="005E2771">
        <w:rPr>
          <w:szCs w:val="22"/>
        </w:rPr>
        <w:t xml:space="preserve">In early 2009, the Center communicated to ICANN a concrete substantive proposal for a permanent administrative option that would allow for the filing of a complaint with respect to an approved new </w:t>
      </w:r>
      <w:proofErr w:type="spellStart"/>
      <w:r w:rsidRPr="005E2771">
        <w:rPr>
          <w:szCs w:val="22"/>
        </w:rPr>
        <w:t>gTLD</w:t>
      </w:r>
      <w:proofErr w:type="spellEnd"/>
      <w:r w:rsidRPr="005E2771">
        <w:rPr>
          <w:szCs w:val="22"/>
        </w:rPr>
        <w:t xml:space="preserve"> registry operator whose manner of operation or use of its registry is alleged to cause or materially contribute to trademark abuse.</w:t>
      </w:r>
      <w:r w:rsidRPr="006475B9">
        <w:rPr>
          <w:vertAlign w:val="superscript"/>
        </w:rPr>
        <w:footnoteReference w:id="48"/>
      </w:r>
      <w:r>
        <w:rPr>
          <w:szCs w:val="22"/>
        </w:rPr>
        <w:t xml:space="preserve"> </w:t>
      </w:r>
      <w:r w:rsidRPr="005E2771">
        <w:rPr>
          <w:szCs w:val="22"/>
        </w:rPr>
        <w:t xml:space="preserve">The proposal’s intent was to offer standardized assistance to ICANN’s own compliance oversight responsibilities, by providing an </w:t>
      </w:r>
      <w:r w:rsidRPr="005E2771">
        <w:rPr>
          <w:szCs w:val="22"/>
        </w:rPr>
        <w:lastRenderedPageBreak/>
        <w:t xml:space="preserve">administrative alternative to court litigation, encouraging responsible conduct by relevant actors and including appropriate </w:t>
      </w:r>
      <w:r>
        <w:rPr>
          <w:szCs w:val="22"/>
        </w:rPr>
        <w:t xml:space="preserve">registry </w:t>
      </w:r>
      <w:r w:rsidRPr="005E2771">
        <w:rPr>
          <w:szCs w:val="22"/>
        </w:rPr>
        <w:t>safe</w:t>
      </w:r>
      <w:r w:rsidRPr="005E2771">
        <w:rPr>
          <w:szCs w:val="22"/>
        </w:rPr>
        <w:noBreakHyphen/>
        <w:t>harbors.</w:t>
      </w:r>
      <w:r w:rsidRPr="006475B9">
        <w:rPr>
          <w:rStyle w:val="FootnoteReference"/>
          <w:rFonts w:eastAsia="SimSun"/>
          <w:szCs w:val="22"/>
        </w:rPr>
        <w:footnoteReference w:id="49"/>
      </w:r>
      <w:r>
        <w:rPr>
          <w:szCs w:val="22"/>
        </w:rPr>
        <w:t xml:space="preserve"> </w:t>
      </w:r>
    </w:p>
    <w:p w:rsidR="00E83C6C" w:rsidRPr="005E2771" w:rsidRDefault="00E83C6C" w:rsidP="00E83C6C">
      <w:pPr>
        <w:pStyle w:val="ListParagraph"/>
        <w:numPr>
          <w:ilvl w:val="0"/>
          <w:numId w:val="7"/>
        </w:numPr>
        <w:spacing w:after="240"/>
        <w:ind w:left="0" w:firstLine="0"/>
        <w:contextualSpacing w:val="0"/>
        <w:rPr>
          <w:szCs w:val="22"/>
        </w:rPr>
      </w:pPr>
      <w:r w:rsidRPr="005E2771">
        <w:rPr>
          <w:szCs w:val="22"/>
        </w:rPr>
        <w:t>F</w:t>
      </w:r>
      <w:r>
        <w:rPr>
          <w:szCs w:val="22"/>
        </w:rPr>
        <w:t>ollowing various ICANN</w:t>
      </w:r>
      <w:r w:rsidRPr="005E2771">
        <w:rPr>
          <w:szCs w:val="22"/>
        </w:rPr>
        <w:t xml:space="preserve"> processes</w:t>
      </w:r>
      <w:r>
        <w:rPr>
          <w:szCs w:val="22"/>
        </w:rPr>
        <w:t>,</w:t>
      </w:r>
      <w:r w:rsidRPr="005E2771">
        <w:rPr>
          <w:szCs w:val="22"/>
        </w:rPr>
        <w:t xml:space="preserve"> </w:t>
      </w:r>
      <w:r>
        <w:rPr>
          <w:szCs w:val="22"/>
        </w:rPr>
        <w:t xml:space="preserve">including </w:t>
      </w:r>
      <w:r w:rsidRPr="005E2771">
        <w:rPr>
          <w:szCs w:val="22"/>
        </w:rPr>
        <w:t>consultations with registry operators, the effectiveness of this PDDRP in the form adopted by ICANN remains uncertain, in particular given the addition of overlapping procedural layers, and issues concerning the intended substantive scope of this mechanism</w:t>
      </w:r>
      <w:r>
        <w:rPr>
          <w:szCs w:val="22"/>
        </w:rPr>
        <w:t>, such as its exclusion of ‘willful blindness’ as a legal basis</w:t>
      </w:r>
      <w:r w:rsidRPr="005E2771">
        <w:rPr>
          <w:szCs w:val="22"/>
        </w:rPr>
        <w:t>.</w:t>
      </w:r>
      <w:r>
        <w:rPr>
          <w:szCs w:val="22"/>
        </w:rPr>
        <w:t xml:space="preserve"> Notably in late 2016</w:t>
      </w:r>
      <w:r w:rsidR="007B6DE9">
        <w:rPr>
          <w:szCs w:val="22"/>
        </w:rPr>
        <w:t>,</w:t>
      </w:r>
      <w:r>
        <w:rPr>
          <w:szCs w:val="22"/>
        </w:rPr>
        <w:t xml:space="preserve"> a group of brand owners opted to file a Public Interest Commitment Dispute Resolution Procedure (PICDRP) instead of using the available PDDRP.</w:t>
      </w:r>
      <w:r>
        <w:rPr>
          <w:rStyle w:val="FootnoteReference"/>
          <w:szCs w:val="22"/>
        </w:rPr>
        <w:footnoteReference w:id="50"/>
      </w:r>
      <w:r>
        <w:rPr>
          <w:szCs w:val="22"/>
        </w:rPr>
        <w:t xml:space="preserve"> </w:t>
      </w:r>
      <w:r w:rsidRPr="005E2771">
        <w:rPr>
          <w:szCs w:val="22"/>
        </w:rPr>
        <w:t>In light of broader policy interests, the Center in 2013 agreed with ICANN to become a provider for the trademark PDDRP.</w:t>
      </w:r>
    </w:p>
    <w:p w:rsidR="00E83C6C" w:rsidRPr="005B2214" w:rsidRDefault="00E83C6C" w:rsidP="00E83C6C">
      <w:pPr>
        <w:pStyle w:val="Heading3"/>
        <w:ind w:firstLine="567"/>
      </w:pPr>
      <w:r w:rsidRPr="00E83C6C">
        <w:rPr>
          <w:u w:val="none"/>
        </w:rPr>
        <w:t>(b)</w:t>
      </w:r>
      <w:r w:rsidRPr="00E83C6C">
        <w:rPr>
          <w:u w:val="none"/>
        </w:rPr>
        <w:tab/>
      </w:r>
      <w:r w:rsidRPr="005B2214">
        <w:t>Second Level RPMs</w:t>
      </w:r>
    </w:p>
    <w:p w:rsidR="00E83C6C" w:rsidRPr="00E83C6C" w:rsidRDefault="00E83C6C" w:rsidP="00E83C6C">
      <w:pPr>
        <w:pStyle w:val="Heading4"/>
        <w:ind w:left="567" w:firstLine="567"/>
        <w:rPr>
          <w:i w:val="0"/>
        </w:rPr>
      </w:pPr>
      <w:r w:rsidRPr="00E83C6C">
        <w:rPr>
          <w:i w:val="0"/>
        </w:rPr>
        <w:t>(</w:t>
      </w:r>
      <w:proofErr w:type="spellStart"/>
      <w:r w:rsidRPr="00E83C6C">
        <w:rPr>
          <w:i w:val="0"/>
        </w:rPr>
        <w:t>i</w:t>
      </w:r>
      <w:proofErr w:type="spellEnd"/>
      <w:r w:rsidRPr="00E83C6C">
        <w:rPr>
          <w:i w:val="0"/>
        </w:rPr>
        <w:t>)</w:t>
      </w:r>
      <w:r w:rsidRPr="00E83C6C">
        <w:rPr>
          <w:i w:val="0"/>
        </w:rPr>
        <w:tab/>
      </w:r>
      <w:r w:rsidRPr="00E83C6C">
        <w:rPr>
          <w:i w:val="0"/>
          <w:u w:val="single"/>
        </w:rPr>
        <w:t>Trademark Clearinghouse (TMCH)</w:t>
      </w:r>
    </w:p>
    <w:p w:rsidR="00E83C6C" w:rsidRDefault="00E83C6C" w:rsidP="00E83C6C">
      <w:pPr>
        <w:pStyle w:val="ListParagraph"/>
        <w:numPr>
          <w:ilvl w:val="0"/>
          <w:numId w:val="7"/>
        </w:numPr>
        <w:spacing w:before="240" w:after="240"/>
        <w:ind w:left="0" w:firstLine="0"/>
        <w:contextualSpacing w:val="0"/>
      </w:pPr>
      <w:proofErr w:type="gramStart"/>
      <w:r w:rsidRPr="006475B9">
        <w:t xml:space="preserve">ICANN’s New </w:t>
      </w:r>
      <w:proofErr w:type="spellStart"/>
      <w:r w:rsidRPr="006475B9">
        <w:t>gTLD</w:t>
      </w:r>
      <w:proofErr w:type="spellEnd"/>
      <w:r w:rsidRPr="006475B9">
        <w:t xml:space="preserve"> Program includes a </w:t>
      </w:r>
      <w:r>
        <w:t>TMCH</w:t>
      </w:r>
      <w:r w:rsidRPr="006475B9">
        <w:t xml:space="preserve"> as a centralized repository of authenticated trademark data which could be invoked as the basis for filing under new </w:t>
      </w:r>
      <w:proofErr w:type="spellStart"/>
      <w:r w:rsidRPr="006475B9">
        <w:t>gTLD</w:t>
      </w:r>
      <w:proofErr w:type="spellEnd"/>
      <w:r w:rsidRPr="006475B9">
        <w:t xml:space="preserve"> RPMs.</w:t>
      </w:r>
      <w:r w:rsidRPr="006475B9">
        <w:rPr>
          <w:rStyle w:val="FootnoteReference"/>
          <w:rFonts w:eastAsia="SimSun"/>
        </w:rPr>
        <w:footnoteReference w:id="51"/>
      </w:r>
      <w:r>
        <w:t xml:space="preserve"> </w:t>
      </w:r>
      <w:r w:rsidRPr="006475B9">
        <w:t xml:space="preserve">The Center has commented that </w:t>
      </w:r>
      <w:r>
        <w:t>the TMCH</w:t>
      </w:r>
      <w:r w:rsidRPr="006475B9">
        <w:t xml:space="preserve"> should not unfairly burden rights holders in the treatment of trademark registrations legitimately obtained through examination and registration systems as applied in many global jurisdictions, and that, if and where relevant, practical measures may be envisaged to identify any allegedly inappropriate invocation of rights in specific contexts.</w:t>
      </w:r>
      <w:proofErr w:type="gramEnd"/>
      <w:r>
        <w:t xml:space="preserve"> </w:t>
      </w:r>
      <w:r w:rsidRPr="00E04C72">
        <w:rPr>
          <w:shd w:val="clear" w:color="auto" w:fill="FFFFFF" w:themeFill="background1"/>
        </w:rPr>
        <w:t>According to available information, it appears that through June 2019, the TMCH had received some 45,000 entries.</w:t>
      </w:r>
      <w:r w:rsidRPr="00E04C72">
        <w:rPr>
          <w:rStyle w:val="FootnoteReference"/>
          <w:rFonts w:eastAsia="SimSun"/>
          <w:szCs w:val="22"/>
          <w:shd w:val="clear" w:color="auto" w:fill="FFFFFF" w:themeFill="background1"/>
        </w:rPr>
        <w:footnoteReference w:id="52"/>
      </w:r>
    </w:p>
    <w:p w:rsidR="00E83C6C" w:rsidRPr="00E83C6C" w:rsidRDefault="00E83C6C" w:rsidP="00E83C6C">
      <w:pPr>
        <w:pStyle w:val="Heading4"/>
        <w:ind w:left="567" w:firstLine="567"/>
        <w:rPr>
          <w:i w:val="0"/>
          <w:color w:val="000000"/>
        </w:rPr>
      </w:pPr>
      <w:r w:rsidRPr="00E83C6C">
        <w:rPr>
          <w:i w:val="0"/>
        </w:rPr>
        <w:t>(ii)</w:t>
      </w:r>
      <w:r w:rsidRPr="00E83C6C">
        <w:rPr>
          <w:i w:val="0"/>
        </w:rPr>
        <w:tab/>
      </w:r>
      <w:r w:rsidRPr="00E83C6C">
        <w:rPr>
          <w:i w:val="0"/>
          <w:u w:val="single"/>
        </w:rPr>
        <w:t>Uniform Rapid Suspension (URS) System</w:t>
      </w:r>
    </w:p>
    <w:p w:rsidR="00E83C6C" w:rsidRDefault="00E83C6C" w:rsidP="00E83C6C">
      <w:pPr>
        <w:pStyle w:val="ListParagraph"/>
        <w:numPr>
          <w:ilvl w:val="0"/>
          <w:numId w:val="7"/>
        </w:numPr>
        <w:spacing w:before="240"/>
        <w:ind w:left="0" w:firstLine="0"/>
        <w:contextualSpacing w:val="0"/>
      </w:pPr>
      <w:r w:rsidRPr="006475B9">
        <w:t>While importantly</w:t>
      </w:r>
      <w:r>
        <w:t>,</w:t>
      </w:r>
      <w:r w:rsidRPr="006475B9">
        <w:t xml:space="preserve"> the UDRP remains available as a curative tool for new </w:t>
      </w:r>
      <w:proofErr w:type="spellStart"/>
      <w:r w:rsidRPr="006475B9">
        <w:t>gTLD</w:t>
      </w:r>
      <w:proofErr w:type="spellEnd"/>
      <w:r w:rsidRPr="006475B9">
        <w:t xml:space="preserve"> disputes involving the considered transfer of a disputed domain name to the trademark owner, ICANN has introduced what is intended to be a lighter second</w:t>
      </w:r>
      <w:r w:rsidRPr="006475B9">
        <w:noBreakHyphen/>
        <w:t>level RPM for appropriate cases.</w:t>
      </w:r>
      <w:r>
        <w:rPr>
          <w:rStyle w:val="FootnoteReference"/>
          <w:rFonts w:eastAsia="SimSun"/>
        </w:rPr>
        <w:footnoteReference w:id="53"/>
      </w:r>
      <w:r w:rsidRPr="006475B9">
        <w:t xml:space="preserve"> </w:t>
      </w:r>
    </w:p>
    <w:p w:rsidR="00E83C6C" w:rsidRPr="00604029" w:rsidRDefault="00E83C6C" w:rsidP="00E83C6C">
      <w:pPr>
        <w:pStyle w:val="ListParagraph"/>
        <w:numPr>
          <w:ilvl w:val="0"/>
          <w:numId w:val="7"/>
        </w:numPr>
        <w:spacing w:before="240" w:after="240"/>
        <w:ind w:left="0" w:firstLine="0"/>
        <w:contextualSpacing w:val="0"/>
      </w:pPr>
      <w:r>
        <w:lastRenderedPageBreak/>
        <w:t xml:space="preserve">Having </w:t>
      </w:r>
      <w:r w:rsidRPr="006475B9">
        <w:t>evolved from a sequence of ICANN processes and committees</w:t>
      </w:r>
      <w:r>
        <w:t>, the URS</w:t>
      </w:r>
      <w:r w:rsidRPr="006475B9">
        <w:t xml:space="preserve"> </w:t>
      </w:r>
      <w:r>
        <w:t xml:space="preserve">continues to raise a number of questions, </w:t>
      </w:r>
      <w:r w:rsidRPr="006475B9">
        <w:t xml:space="preserve">including its relationship </w:t>
      </w:r>
      <w:r>
        <w:t>to</w:t>
      </w:r>
      <w:r w:rsidRPr="006475B9">
        <w:t xml:space="preserve"> the UDRP.</w:t>
      </w:r>
      <w:r w:rsidRPr="006475B9">
        <w:rPr>
          <w:rStyle w:val="FootnoteReference"/>
          <w:rFonts w:eastAsia="SimSun"/>
          <w:szCs w:val="22"/>
        </w:rPr>
        <w:footnoteReference w:id="54"/>
      </w:r>
      <w:r>
        <w:t xml:space="preserve"> </w:t>
      </w:r>
      <w:r w:rsidRPr="006475B9">
        <w:t xml:space="preserve">ICANN invited tenders from prospective URS providers, to which after careful consideration of the </w:t>
      </w:r>
      <w:r w:rsidRPr="00604029">
        <w:t>ICANN URS model and related resources, the Center has not been in a position to apply.</w:t>
      </w:r>
      <w:r w:rsidRPr="00604029">
        <w:rPr>
          <w:rStyle w:val="FootnoteReference"/>
          <w:rFonts w:eastAsia="SimSun"/>
        </w:rPr>
        <w:footnoteReference w:id="55"/>
      </w:r>
      <w:r>
        <w:t xml:space="preserve"> </w:t>
      </w:r>
      <w:r w:rsidRPr="00604029">
        <w:t xml:space="preserve">The Center continues </w:t>
      </w:r>
      <w:proofErr w:type="gramStart"/>
      <w:r w:rsidRPr="00604029">
        <w:t>to closely monitor</w:t>
      </w:r>
      <w:proofErr w:type="gramEnd"/>
      <w:r w:rsidRPr="00604029">
        <w:t xml:space="preserve"> developments.</w:t>
      </w:r>
      <w:r>
        <w:t xml:space="preserve"> </w:t>
      </w:r>
    </w:p>
    <w:p w:rsidR="00E83C6C" w:rsidRPr="00E83C6C" w:rsidRDefault="00E83C6C" w:rsidP="00E83C6C">
      <w:pPr>
        <w:pStyle w:val="Heading3"/>
        <w:ind w:left="1134" w:hanging="567"/>
        <w:rPr>
          <w:u w:val="none"/>
        </w:rPr>
      </w:pPr>
      <w:r w:rsidRPr="00E83C6C">
        <w:rPr>
          <w:u w:val="none"/>
        </w:rPr>
        <w:t>B.</w:t>
      </w:r>
      <w:r w:rsidRPr="00E83C6C">
        <w:rPr>
          <w:u w:val="none"/>
        </w:rPr>
        <w:tab/>
        <w:t>ICANN’S PLANNED REVISION OF THE WIPO-INITIATED UDRP AND OTHER RPMs</w:t>
      </w:r>
    </w:p>
    <w:p w:rsidR="00E83C6C" w:rsidRPr="005A47CC" w:rsidRDefault="00E83C6C" w:rsidP="00E83C6C">
      <w:pPr>
        <w:pStyle w:val="ListParagraph"/>
        <w:widowControl w:val="0"/>
        <w:numPr>
          <w:ilvl w:val="0"/>
          <w:numId w:val="7"/>
        </w:numPr>
        <w:spacing w:before="240" w:after="240"/>
        <w:ind w:left="0" w:firstLine="0"/>
        <w:contextualSpacing w:val="0"/>
        <w:rPr>
          <w:szCs w:val="22"/>
        </w:rPr>
      </w:pPr>
      <w:r w:rsidRPr="005A47CC">
        <w:rPr>
          <w:szCs w:val="22"/>
        </w:rPr>
        <w:t>Accommodating the dynamic development of the DNS, the UDRP has been offering a</w:t>
      </w:r>
      <w:r>
        <w:rPr>
          <w:szCs w:val="22"/>
        </w:rPr>
        <w:t xml:space="preserve"> highly effective </w:t>
      </w:r>
      <w:r w:rsidRPr="005A47CC">
        <w:rPr>
          <w:szCs w:val="22"/>
        </w:rPr>
        <w:t>alternative to court litigation for trademark owners, domain name registrants, and registration authorities.</w:t>
      </w:r>
      <w:r>
        <w:rPr>
          <w:szCs w:val="22"/>
        </w:rPr>
        <w:t xml:space="preserve"> Despite </w:t>
      </w:r>
      <w:r w:rsidRPr="005A47CC">
        <w:rPr>
          <w:szCs w:val="22"/>
        </w:rPr>
        <w:t xml:space="preserve">discussions in 2011 </w:t>
      </w:r>
      <w:r>
        <w:rPr>
          <w:szCs w:val="22"/>
        </w:rPr>
        <w:t xml:space="preserve">in </w:t>
      </w:r>
      <w:r w:rsidRPr="005A47CC">
        <w:rPr>
          <w:szCs w:val="22"/>
        </w:rPr>
        <w:t>which the clear majority of participants were of the opinion that more harm than good could result from any review of the UDRP by ICANN as a registration-driven body,</w:t>
      </w:r>
      <w:r w:rsidRPr="00B0164D">
        <w:rPr>
          <w:vertAlign w:val="superscript"/>
        </w:rPr>
        <w:footnoteReference w:id="56"/>
      </w:r>
      <w:r w:rsidRPr="005A47CC">
        <w:rPr>
          <w:szCs w:val="22"/>
        </w:rPr>
        <w:t xml:space="preserve"> a decision </w:t>
      </w:r>
      <w:proofErr w:type="gramStart"/>
      <w:r w:rsidRPr="005A47CC">
        <w:rPr>
          <w:szCs w:val="22"/>
        </w:rPr>
        <w:t>was taken</w:t>
      </w:r>
      <w:proofErr w:type="gramEnd"/>
      <w:r w:rsidRPr="005A47CC">
        <w:rPr>
          <w:szCs w:val="22"/>
        </w:rPr>
        <w:t xml:space="preserve"> by ICANN’s Generic Names Supporting Organization (GNSO) to review the UDRP following the launch of new </w:t>
      </w:r>
      <w:proofErr w:type="spellStart"/>
      <w:r w:rsidRPr="005A47CC">
        <w:rPr>
          <w:szCs w:val="22"/>
        </w:rPr>
        <w:t>gTLDs</w:t>
      </w:r>
      <w:proofErr w:type="spellEnd"/>
      <w:r w:rsidRPr="005A47CC">
        <w:rPr>
          <w:szCs w:val="22"/>
        </w:rPr>
        <w:t>.</w:t>
      </w:r>
      <w:r>
        <w:rPr>
          <w:szCs w:val="22"/>
        </w:rPr>
        <w:t xml:space="preserve"> </w:t>
      </w:r>
      <w:r w:rsidRPr="005A47CC">
        <w:rPr>
          <w:szCs w:val="22"/>
        </w:rPr>
        <w:t xml:space="preserve">ICANN’s Preliminary Issue Report on this topic </w:t>
      </w:r>
      <w:proofErr w:type="gramStart"/>
      <w:r w:rsidRPr="005A47CC">
        <w:rPr>
          <w:szCs w:val="22"/>
        </w:rPr>
        <w:t xml:space="preserve">was </w:t>
      </w:r>
      <w:r>
        <w:rPr>
          <w:szCs w:val="22"/>
        </w:rPr>
        <w:t>published</w:t>
      </w:r>
      <w:proofErr w:type="gramEnd"/>
      <w:r>
        <w:rPr>
          <w:szCs w:val="22"/>
        </w:rPr>
        <w:t xml:space="preserve"> </w:t>
      </w:r>
      <w:r w:rsidRPr="005A47CC">
        <w:rPr>
          <w:szCs w:val="22"/>
        </w:rPr>
        <w:t>in October 2015 describing a range of complex substantive and process-related questions.</w:t>
      </w:r>
      <w:r w:rsidRPr="00B0164D">
        <w:rPr>
          <w:szCs w:val="22"/>
          <w:vertAlign w:val="superscript"/>
        </w:rPr>
        <w:footnoteReference w:id="57"/>
      </w:r>
      <w:r>
        <w:rPr>
          <w:szCs w:val="22"/>
        </w:rPr>
        <w:t xml:space="preserve"> </w:t>
      </w:r>
      <w:r w:rsidRPr="005A47CC">
        <w:rPr>
          <w:szCs w:val="22"/>
        </w:rPr>
        <w:t>In this regard, the Center provided observations highlighting both the UDRP’s long-proven success and the risks associated with any attempted ICANN revision of the UDRP.</w:t>
      </w:r>
      <w:r>
        <w:rPr>
          <w:szCs w:val="22"/>
        </w:rPr>
        <w:t xml:space="preserve"> </w:t>
      </w:r>
      <w:proofErr w:type="gramStart"/>
      <w:r w:rsidRPr="005A47CC">
        <w:rPr>
          <w:szCs w:val="22"/>
        </w:rPr>
        <w:t xml:space="preserve">Following a public comment period, ICANN </w:t>
      </w:r>
      <w:r>
        <w:rPr>
          <w:szCs w:val="22"/>
        </w:rPr>
        <w:t xml:space="preserve">published </w:t>
      </w:r>
      <w:r w:rsidRPr="005A47CC">
        <w:rPr>
          <w:szCs w:val="22"/>
        </w:rPr>
        <w:t>its Final Issue Report in January 2016 recommending that the GNSO launch a Policy Development Process (PDP) to review all RPMs in two phases;</w:t>
      </w:r>
      <w:r>
        <w:rPr>
          <w:szCs w:val="22"/>
        </w:rPr>
        <w:t xml:space="preserve"> </w:t>
      </w:r>
      <w:r w:rsidRPr="005A47CC">
        <w:rPr>
          <w:szCs w:val="22"/>
        </w:rPr>
        <w:t>the initial phase</w:t>
      </w:r>
      <w:r>
        <w:rPr>
          <w:szCs w:val="22"/>
        </w:rPr>
        <w:t xml:space="preserve">, expected to wrap up in the course of 2020, is </w:t>
      </w:r>
      <w:r w:rsidRPr="005A47CC">
        <w:rPr>
          <w:szCs w:val="22"/>
        </w:rPr>
        <w:t xml:space="preserve">focusing on RPMs developed for the New </w:t>
      </w:r>
      <w:proofErr w:type="spellStart"/>
      <w:r w:rsidRPr="005A47CC">
        <w:rPr>
          <w:szCs w:val="22"/>
        </w:rPr>
        <w:t>gTLD</w:t>
      </w:r>
      <w:proofErr w:type="spellEnd"/>
      <w:r w:rsidRPr="005A47CC">
        <w:rPr>
          <w:szCs w:val="22"/>
        </w:rPr>
        <w:t xml:space="preserve"> Program</w:t>
      </w:r>
      <w:r>
        <w:rPr>
          <w:szCs w:val="22"/>
        </w:rPr>
        <w:t xml:space="preserve">, </w:t>
      </w:r>
      <w:r w:rsidRPr="005A47CC">
        <w:rPr>
          <w:szCs w:val="22"/>
        </w:rPr>
        <w:t xml:space="preserve">notably the TMCH (including “Sunrise” and “Claims” RPMs) and URS, whereas the second phase will </w:t>
      </w:r>
      <w:r>
        <w:rPr>
          <w:szCs w:val="22"/>
        </w:rPr>
        <w:t xml:space="preserve">then </w:t>
      </w:r>
      <w:r w:rsidRPr="005A47CC">
        <w:rPr>
          <w:szCs w:val="22"/>
        </w:rPr>
        <w:t>focus on the UDRP.</w:t>
      </w:r>
      <w:r w:rsidRPr="00B0164D">
        <w:rPr>
          <w:szCs w:val="22"/>
          <w:vertAlign w:val="superscript"/>
        </w:rPr>
        <w:footnoteReference w:id="58"/>
      </w:r>
      <w:proofErr w:type="gramEnd"/>
      <w:r>
        <w:rPr>
          <w:szCs w:val="22"/>
        </w:rPr>
        <w:t xml:space="preserve"> </w:t>
      </w:r>
      <w:r w:rsidRPr="005A47CC">
        <w:rPr>
          <w:szCs w:val="22"/>
        </w:rPr>
        <w:t>This is a matter of serious concern, and the Center continues to closely follow ICANN stakeholders’ intentions with regard to the UDRP and trademark RPMs generally.</w:t>
      </w:r>
      <w:r>
        <w:rPr>
          <w:szCs w:val="22"/>
        </w:rPr>
        <w:t xml:space="preserve"> </w:t>
      </w:r>
      <w:r w:rsidRPr="005A47CC">
        <w:rPr>
          <w:szCs w:val="22"/>
        </w:rPr>
        <w:t xml:space="preserve">In this effort, the Center </w:t>
      </w:r>
      <w:r>
        <w:rPr>
          <w:szCs w:val="22"/>
        </w:rPr>
        <w:t>where relevant is</w:t>
      </w:r>
      <w:r w:rsidRPr="005A47CC">
        <w:rPr>
          <w:szCs w:val="22"/>
        </w:rPr>
        <w:t xml:space="preserve"> in contact with trademark stakeholders such as </w:t>
      </w:r>
      <w:r>
        <w:rPr>
          <w:szCs w:val="22"/>
        </w:rPr>
        <w:t xml:space="preserve">ECTA, </w:t>
      </w:r>
      <w:r w:rsidRPr="005A47CC">
        <w:rPr>
          <w:szCs w:val="22"/>
        </w:rPr>
        <w:t>INTA</w:t>
      </w:r>
      <w:r>
        <w:rPr>
          <w:szCs w:val="22"/>
        </w:rPr>
        <w:t>,</w:t>
      </w:r>
      <w:r w:rsidRPr="005A47CC">
        <w:rPr>
          <w:szCs w:val="22"/>
        </w:rPr>
        <w:t xml:space="preserve"> </w:t>
      </w:r>
      <w:r>
        <w:rPr>
          <w:szCs w:val="22"/>
        </w:rPr>
        <w:t xml:space="preserve">and </w:t>
      </w:r>
      <w:r w:rsidRPr="005A47CC">
        <w:rPr>
          <w:szCs w:val="22"/>
        </w:rPr>
        <w:t>MARQUES.</w:t>
      </w:r>
    </w:p>
    <w:p w:rsidR="00E83C6C" w:rsidRPr="00E83C6C" w:rsidRDefault="00E83C6C" w:rsidP="00E83C6C">
      <w:pPr>
        <w:pStyle w:val="Heading3"/>
        <w:ind w:firstLine="567"/>
        <w:rPr>
          <w:u w:val="none"/>
        </w:rPr>
      </w:pPr>
      <w:r w:rsidRPr="00E83C6C">
        <w:rPr>
          <w:u w:val="none"/>
        </w:rPr>
        <w:t>C.</w:t>
      </w:r>
      <w:r w:rsidRPr="00E83C6C">
        <w:rPr>
          <w:u w:val="none"/>
        </w:rPr>
        <w:tab/>
        <w:t>GDPR AND THE WHOIS DATABASE</w:t>
      </w:r>
    </w:p>
    <w:p w:rsidR="00E83C6C" w:rsidRPr="00210516" w:rsidRDefault="00E83C6C" w:rsidP="00E83C6C">
      <w:pPr>
        <w:pStyle w:val="ListParagraph"/>
        <w:widowControl w:val="0"/>
        <w:numPr>
          <w:ilvl w:val="0"/>
          <w:numId w:val="7"/>
        </w:numPr>
        <w:spacing w:before="240"/>
        <w:ind w:left="0" w:firstLine="0"/>
        <w:contextualSpacing w:val="0"/>
        <w:rPr>
          <w:szCs w:val="22"/>
        </w:rPr>
      </w:pPr>
      <w:r w:rsidRPr="00210516">
        <w:rPr>
          <w:szCs w:val="22"/>
        </w:rPr>
        <w:t xml:space="preserve">The European Union’s General Data Protection Regulation (GDPR) </w:t>
      </w:r>
      <w:r>
        <w:rPr>
          <w:szCs w:val="22"/>
        </w:rPr>
        <w:t xml:space="preserve">came into force on May 25, 2018. As stated by </w:t>
      </w:r>
      <w:r w:rsidRPr="00210516">
        <w:rPr>
          <w:szCs w:val="22"/>
        </w:rPr>
        <w:t xml:space="preserve">the European Commission, the overarching aim of the GDPR is to </w:t>
      </w:r>
      <w:r>
        <w:rPr>
          <w:szCs w:val="22"/>
        </w:rPr>
        <w:t>address</w:t>
      </w:r>
      <w:r w:rsidRPr="00210516">
        <w:rPr>
          <w:szCs w:val="22"/>
        </w:rPr>
        <w:t xml:space="preserve"> privacy </w:t>
      </w:r>
      <w:r>
        <w:rPr>
          <w:szCs w:val="22"/>
        </w:rPr>
        <w:t xml:space="preserve">and data concerns, whereby these aims </w:t>
      </w:r>
      <w:proofErr w:type="gramStart"/>
      <w:r w:rsidRPr="00210516">
        <w:rPr>
          <w:szCs w:val="22"/>
        </w:rPr>
        <w:t>must be measured</w:t>
      </w:r>
      <w:proofErr w:type="gramEnd"/>
      <w:r w:rsidRPr="00210516">
        <w:rPr>
          <w:szCs w:val="22"/>
        </w:rPr>
        <w:t xml:space="preserve"> against legitimate </w:t>
      </w:r>
      <w:r>
        <w:rPr>
          <w:szCs w:val="22"/>
        </w:rPr>
        <w:t>third</w:t>
      </w:r>
      <w:r>
        <w:rPr>
          <w:szCs w:val="22"/>
        </w:rPr>
        <w:noBreakHyphen/>
        <w:t xml:space="preserve">party interests </w:t>
      </w:r>
      <w:r w:rsidRPr="00210516">
        <w:rPr>
          <w:szCs w:val="22"/>
        </w:rPr>
        <w:t xml:space="preserve">such as </w:t>
      </w:r>
      <w:r>
        <w:rPr>
          <w:szCs w:val="22"/>
        </w:rPr>
        <w:t xml:space="preserve">contracts and </w:t>
      </w:r>
      <w:r w:rsidRPr="00210516">
        <w:rPr>
          <w:szCs w:val="22"/>
        </w:rPr>
        <w:t>legal dispute</w:t>
      </w:r>
      <w:r>
        <w:rPr>
          <w:szCs w:val="22"/>
        </w:rPr>
        <w:t>s</w:t>
      </w:r>
      <w:r w:rsidRPr="00210516">
        <w:rPr>
          <w:szCs w:val="22"/>
        </w:rPr>
        <w:t>.</w:t>
      </w:r>
      <w:r>
        <w:rPr>
          <w:szCs w:val="22"/>
        </w:rPr>
        <w:t xml:space="preserve"> </w:t>
      </w:r>
    </w:p>
    <w:p w:rsidR="00E83C6C" w:rsidRPr="003F1164" w:rsidRDefault="00E83C6C" w:rsidP="00E83C6C">
      <w:pPr>
        <w:pStyle w:val="ListParagraph"/>
        <w:widowControl w:val="0"/>
        <w:numPr>
          <w:ilvl w:val="0"/>
          <w:numId w:val="7"/>
        </w:numPr>
        <w:spacing w:before="240" w:after="240"/>
        <w:ind w:left="0" w:firstLine="0"/>
        <w:contextualSpacing w:val="0"/>
        <w:rPr>
          <w:szCs w:val="22"/>
        </w:rPr>
      </w:pPr>
      <w:r w:rsidRPr="003F1164">
        <w:rPr>
          <w:szCs w:val="22"/>
        </w:rPr>
        <w:t xml:space="preserve">After May 25, 2018, </w:t>
      </w:r>
      <w:proofErr w:type="gramStart"/>
      <w:r w:rsidRPr="003F1164">
        <w:rPr>
          <w:szCs w:val="22"/>
        </w:rPr>
        <w:t>publicly-available</w:t>
      </w:r>
      <w:proofErr w:type="gramEnd"/>
      <w:r w:rsidRPr="003F1164">
        <w:rPr>
          <w:szCs w:val="22"/>
        </w:rPr>
        <w:t xml:space="preserve"> </w:t>
      </w:r>
      <w:proofErr w:type="spellStart"/>
      <w:r w:rsidRPr="003F1164">
        <w:rPr>
          <w:szCs w:val="22"/>
        </w:rPr>
        <w:t>WhoIs</w:t>
      </w:r>
      <w:proofErr w:type="spellEnd"/>
      <w:r w:rsidRPr="003F1164">
        <w:rPr>
          <w:szCs w:val="22"/>
        </w:rPr>
        <w:t xml:space="preserve"> data significantly no longer includes full contact details for the domain name registrant.</w:t>
      </w:r>
      <w:r>
        <w:rPr>
          <w:szCs w:val="22"/>
        </w:rPr>
        <w:t xml:space="preserve"> </w:t>
      </w:r>
      <w:r w:rsidRPr="003F1164">
        <w:rPr>
          <w:szCs w:val="22"/>
        </w:rPr>
        <w:t xml:space="preserve">Instead, </w:t>
      </w:r>
      <w:proofErr w:type="gramStart"/>
      <w:r w:rsidRPr="003F1164">
        <w:rPr>
          <w:szCs w:val="22"/>
        </w:rPr>
        <w:t>publicly-available</w:t>
      </w:r>
      <w:proofErr w:type="gramEnd"/>
      <w:r w:rsidRPr="003F1164">
        <w:rPr>
          <w:szCs w:val="22"/>
        </w:rPr>
        <w:t xml:space="preserve"> </w:t>
      </w:r>
      <w:proofErr w:type="spellStart"/>
      <w:r w:rsidRPr="003F1164">
        <w:rPr>
          <w:szCs w:val="22"/>
        </w:rPr>
        <w:t>WhoIs</w:t>
      </w:r>
      <w:proofErr w:type="spellEnd"/>
      <w:r w:rsidRPr="003F1164">
        <w:rPr>
          <w:szCs w:val="22"/>
        </w:rPr>
        <w:t xml:space="preserve"> data is generally limited to the “registrant organization” and country.</w:t>
      </w:r>
      <w:r>
        <w:rPr>
          <w:szCs w:val="22"/>
        </w:rPr>
        <w:t xml:space="preserve"> </w:t>
      </w:r>
      <w:r w:rsidRPr="003F1164">
        <w:rPr>
          <w:szCs w:val="22"/>
        </w:rPr>
        <w:t xml:space="preserve">Notably, the registrant’s name and email address </w:t>
      </w:r>
      <w:proofErr w:type="gramStart"/>
      <w:r w:rsidRPr="003F1164">
        <w:rPr>
          <w:szCs w:val="22"/>
        </w:rPr>
        <w:t>will in most instances not be</w:t>
      </w:r>
      <w:proofErr w:type="gramEnd"/>
      <w:r w:rsidRPr="003F1164">
        <w:rPr>
          <w:szCs w:val="22"/>
        </w:rPr>
        <w:t xml:space="preserve"> visible.</w:t>
      </w:r>
      <w:r>
        <w:rPr>
          <w:szCs w:val="22"/>
        </w:rPr>
        <w:t xml:space="preserve"> </w:t>
      </w:r>
      <w:r w:rsidRPr="003F1164">
        <w:rPr>
          <w:szCs w:val="22"/>
        </w:rPr>
        <w:t>However, in order to facilitate contact with the domain name registrant, the concerned registrar is required to provide an “anonymized” email address or web-based contact form.</w:t>
      </w:r>
      <w:r>
        <w:rPr>
          <w:szCs w:val="22"/>
        </w:rPr>
        <w:t xml:space="preserve"> </w:t>
      </w:r>
      <w:r w:rsidRPr="003F1164">
        <w:rPr>
          <w:szCs w:val="22"/>
        </w:rPr>
        <w:t xml:space="preserve">Despite these public limitations, where a UDRP complaint has been submitted to a UDRP provider, ICANN-compliant registrars will normally provide </w:t>
      </w:r>
      <w:proofErr w:type="spellStart"/>
      <w:r w:rsidRPr="003F1164">
        <w:rPr>
          <w:szCs w:val="22"/>
        </w:rPr>
        <w:t>WhoIs</w:t>
      </w:r>
      <w:proofErr w:type="spellEnd"/>
      <w:r w:rsidRPr="003F1164">
        <w:rPr>
          <w:szCs w:val="22"/>
        </w:rPr>
        <w:t xml:space="preserve"> information on request from such provider (and at the same time “lock” the domain name’s registration and registrar details), further to due process requirements codified in the UDRP Rules.</w:t>
      </w:r>
      <w:r>
        <w:rPr>
          <w:szCs w:val="22"/>
        </w:rPr>
        <w:t xml:space="preserve"> </w:t>
      </w:r>
      <w:r w:rsidRPr="003F1164">
        <w:rPr>
          <w:szCs w:val="22"/>
        </w:rPr>
        <w:t xml:space="preserve">The ICANN “Temporary [contract] Specification” for </w:t>
      </w:r>
      <w:proofErr w:type="spellStart"/>
      <w:r w:rsidRPr="003F1164">
        <w:rPr>
          <w:szCs w:val="22"/>
        </w:rPr>
        <w:t>gTLD</w:t>
      </w:r>
      <w:proofErr w:type="spellEnd"/>
      <w:r w:rsidRPr="003F1164">
        <w:rPr>
          <w:szCs w:val="22"/>
        </w:rPr>
        <w:t xml:space="preserve"> Registration Data </w:t>
      </w:r>
      <w:r w:rsidRPr="003F1164">
        <w:rPr>
          <w:szCs w:val="22"/>
        </w:rPr>
        <w:lastRenderedPageBreak/>
        <w:t>expressly acknowledge</w:t>
      </w:r>
      <w:r>
        <w:rPr>
          <w:szCs w:val="22"/>
        </w:rPr>
        <w:t>d</w:t>
      </w:r>
      <w:r w:rsidRPr="003F1164">
        <w:rPr>
          <w:szCs w:val="22"/>
        </w:rPr>
        <w:t xml:space="preserve"> that registrars must provide full “Registration Data” to UDRP providers.</w:t>
      </w:r>
      <w:r w:rsidRPr="003F1164">
        <w:rPr>
          <w:rStyle w:val="FootnoteReference"/>
          <w:szCs w:val="22"/>
        </w:rPr>
        <w:footnoteReference w:id="59"/>
      </w:r>
      <w:r>
        <w:rPr>
          <w:szCs w:val="22"/>
        </w:rPr>
        <w:t xml:space="preserve"> This appeared</w:t>
      </w:r>
      <w:r w:rsidRPr="003F1164">
        <w:rPr>
          <w:szCs w:val="22"/>
        </w:rPr>
        <w:t xml:space="preserve"> to be on the recognition that UDRP providers meet the GDPR’s Article</w:t>
      </w:r>
      <w:r>
        <w:rPr>
          <w:szCs w:val="22"/>
        </w:rPr>
        <w:t> </w:t>
      </w:r>
      <w:r w:rsidRPr="003F1164">
        <w:rPr>
          <w:szCs w:val="22"/>
        </w:rPr>
        <w:t xml:space="preserve">6(1)(f) “legitimate purposes” and Article 6(1)(b) “performance of a contract” criteria, such that registrars can and should provide </w:t>
      </w:r>
      <w:proofErr w:type="spellStart"/>
      <w:r w:rsidRPr="003F1164">
        <w:rPr>
          <w:szCs w:val="22"/>
        </w:rPr>
        <w:t>WhoIs</w:t>
      </w:r>
      <w:proofErr w:type="spellEnd"/>
      <w:r w:rsidRPr="003F1164">
        <w:rPr>
          <w:szCs w:val="22"/>
        </w:rPr>
        <w:t xml:space="preserve"> data to UDRP providers.</w:t>
      </w:r>
      <w:r>
        <w:rPr>
          <w:szCs w:val="22"/>
        </w:rPr>
        <w:t xml:space="preserve"> </w:t>
      </w:r>
    </w:p>
    <w:p w:rsidR="00E83C6C" w:rsidRPr="003078CD" w:rsidRDefault="00E83C6C" w:rsidP="00E83C6C">
      <w:pPr>
        <w:pStyle w:val="ListParagraph"/>
        <w:widowControl w:val="0"/>
        <w:numPr>
          <w:ilvl w:val="0"/>
          <w:numId w:val="7"/>
        </w:numPr>
        <w:spacing w:after="240"/>
        <w:ind w:left="0" w:firstLine="0"/>
        <w:contextualSpacing w:val="0"/>
        <w:rPr>
          <w:szCs w:val="22"/>
        </w:rPr>
      </w:pPr>
      <w:r w:rsidRPr="00756A57">
        <w:rPr>
          <w:szCs w:val="22"/>
        </w:rPr>
        <w:t xml:space="preserve">The Center continues </w:t>
      </w:r>
      <w:proofErr w:type="gramStart"/>
      <w:r w:rsidRPr="00756A57">
        <w:rPr>
          <w:szCs w:val="22"/>
        </w:rPr>
        <w:t>to closely monitor</w:t>
      </w:r>
      <w:proofErr w:type="gramEnd"/>
      <w:r w:rsidRPr="00756A57">
        <w:rPr>
          <w:szCs w:val="22"/>
        </w:rPr>
        <w:t xml:space="preserve"> the impact of the GDPR on UDRP proceedings.</w:t>
      </w:r>
      <w:r>
        <w:rPr>
          <w:szCs w:val="22"/>
        </w:rPr>
        <w:t xml:space="preserve"> </w:t>
      </w:r>
      <w:r w:rsidRPr="00756A57">
        <w:rPr>
          <w:szCs w:val="22"/>
        </w:rPr>
        <w:t xml:space="preserve">Separate from the Center’s UDRP function, with </w:t>
      </w:r>
      <w:r>
        <w:rPr>
          <w:szCs w:val="22"/>
        </w:rPr>
        <w:t xml:space="preserve">a view to addressing </w:t>
      </w:r>
      <w:r w:rsidRPr="00756A57">
        <w:rPr>
          <w:szCs w:val="22"/>
        </w:rPr>
        <w:t>broader IP enforcement concerns</w:t>
      </w:r>
      <w:r>
        <w:rPr>
          <w:szCs w:val="22"/>
        </w:rPr>
        <w:t xml:space="preserve"> occasioned by GDPR implementation</w:t>
      </w:r>
      <w:r w:rsidRPr="00756A57">
        <w:rPr>
          <w:szCs w:val="22"/>
        </w:rPr>
        <w:t>,</w:t>
      </w:r>
      <w:r>
        <w:rPr>
          <w:szCs w:val="22"/>
        </w:rPr>
        <w:t xml:space="preserve"> there are significant ongoing stakeholder discussions on a possible </w:t>
      </w:r>
      <w:proofErr w:type="spellStart"/>
      <w:r>
        <w:rPr>
          <w:szCs w:val="22"/>
        </w:rPr>
        <w:t>WhoIs</w:t>
      </w:r>
      <w:proofErr w:type="spellEnd"/>
      <w:r>
        <w:rPr>
          <w:szCs w:val="22"/>
        </w:rPr>
        <w:t xml:space="preserve"> “accreditation and </w:t>
      </w:r>
      <w:r w:rsidRPr="00756A57">
        <w:rPr>
          <w:szCs w:val="22"/>
        </w:rPr>
        <w:t>access</w:t>
      </w:r>
      <w:r>
        <w:rPr>
          <w:szCs w:val="22"/>
        </w:rPr>
        <w:t>”</w:t>
      </w:r>
      <w:r w:rsidRPr="00756A57">
        <w:rPr>
          <w:szCs w:val="22"/>
        </w:rPr>
        <w:t xml:space="preserve"> model</w:t>
      </w:r>
      <w:r>
        <w:rPr>
          <w:szCs w:val="22"/>
        </w:rPr>
        <w:t>,</w:t>
      </w:r>
      <w:r w:rsidRPr="00756A57">
        <w:rPr>
          <w:szCs w:val="22"/>
        </w:rPr>
        <w:t xml:space="preserve"> including as to a potential WIPO role to </w:t>
      </w:r>
      <w:r>
        <w:rPr>
          <w:szCs w:val="22"/>
        </w:rPr>
        <w:t>certify</w:t>
      </w:r>
      <w:r w:rsidRPr="00756A57">
        <w:rPr>
          <w:szCs w:val="22"/>
        </w:rPr>
        <w:t xml:space="preserve"> IP owners</w:t>
      </w:r>
      <w:r>
        <w:rPr>
          <w:szCs w:val="22"/>
        </w:rPr>
        <w:t>’</w:t>
      </w:r>
      <w:r w:rsidRPr="00756A57">
        <w:rPr>
          <w:szCs w:val="22"/>
        </w:rPr>
        <w:t xml:space="preserve"> </w:t>
      </w:r>
      <w:r>
        <w:rPr>
          <w:szCs w:val="22"/>
        </w:rPr>
        <w:t xml:space="preserve">rights </w:t>
      </w:r>
      <w:r w:rsidRPr="00756A57">
        <w:rPr>
          <w:szCs w:val="22"/>
        </w:rPr>
        <w:t>for such access.</w:t>
      </w:r>
      <w:r>
        <w:rPr>
          <w:rStyle w:val="FootnoteReference"/>
          <w:szCs w:val="22"/>
        </w:rPr>
        <w:footnoteReference w:id="60"/>
      </w:r>
      <w:r w:rsidRPr="00756A57">
        <w:rPr>
          <w:szCs w:val="22"/>
        </w:rPr>
        <w:t xml:space="preserve"> </w:t>
      </w:r>
      <w:r>
        <w:rPr>
          <w:szCs w:val="22"/>
        </w:rPr>
        <w:t>ICANN debate continues as to the specifics of what</w:t>
      </w:r>
      <w:r w:rsidR="00100F51">
        <w:rPr>
          <w:szCs w:val="22"/>
        </w:rPr>
        <w:t xml:space="preserve"> </w:t>
      </w:r>
      <w:proofErr w:type="gramStart"/>
      <w:r w:rsidR="00100F51">
        <w:rPr>
          <w:szCs w:val="22"/>
        </w:rPr>
        <w:t xml:space="preserve">has </w:t>
      </w:r>
      <w:r w:rsidR="00D92866">
        <w:rPr>
          <w:szCs w:val="22"/>
        </w:rPr>
        <w:t xml:space="preserve">also </w:t>
      </w:r>
      <w:r w:rsidR="00100F51">
        <w:rPr>
          <w:szCs w:val="22"/>
        </w:rPr>
        <w:t>been called</w:t>
      </w:r>
      <w:proofErr w:type="gramEnd"/>
      <w:r w:rsidR="00100F51">
        <w:rPr>
          <w:szCs w:val="22"/>
        </w:rPr>
        <w:t xml:space="preserve"> </w:t>
      </w:r>
      <w:r>
        <w:rPr>
          <w:szCs w:val="22"/>
        </w:rPr>
        <w:t xml:space="preserve">a </w:t>
      </w:r>
      <w:r w:rsidR="00100F51">
        <w:rPr>
          <w:szCs w:val="22"/>
        </w:rPr>
        <w:t xml:space="preserve">System for </w:t>
      </w:r>
      <w:r w:rsidRPr="00E905D3">
        <w:rPr>
          <w:szCs w:val="22"/>
        </w:rPr>
        <w:t>Standa</w:t>
      </w:r>
      <w:r>
        <w:rPr>
          <w:szCs w:val="22"/>
        </w:rPr>
        <w:t>rdized Access/Disclosure to non</w:t>
      </w:r>
      <w:r>
        <w:rPr>
          <w:szCs w:val="22"/>
        </w:rPr>
        <w:noBreakHyphen/>
      </w:r>
      <w:r w:rsidRPr="00E905D3">
        <w:rPr>
          <w:szCs w:val="22"/>
        </w:rPr>
        <w:t>publi</w:t>
      </w:r>
      <w:r>
        <w:rPr>
          <w:szCs w:val="22"/>
        </w:rPr>
        <w:t xml:space="preserve">c </w:t>
      </w:r>
      <w:proofErr w:type="spellStart"/>
      <w:r>
        <w:rPr>
          <w:szCs w:val="22"/>
        </w:rPr>
        <w:t>gTLD</w:t>
      </w:r>
      <w:proofErr w:type="spellEnd"/>
      <w:r>
        <w:rPr>
          <w:szCs w:val="22"/>
        </w:rPr>
        <w:t xml:space="preserve"> registration data (“SSAD”</w:t>
      </w:r>
      <w:r w:rsidRPr="00E905D3">
        <w:rPr>
          <w:szCs w:val="22"/>
        </w:rPr>
        <w:t xml:space="preserve">) </w:t>
      </w:r>
      <w:r>
        <w:rPr>
          <w:szCs w:val="22"/>
        </w:rPr>
        <w:t>system.</w:t>
      </w:r>
      <w:r>
        <w:rPr>
          <w:rStyle w:val="FootnoteReference"/>
          <w:szCs w:val="22"/>
        </w:rPr>
        <w:footnoteReference w:id="61"/>
      </w:r>
      <w:r>
        <w:rPr>
          <w:szCs w:val="22"/>
        </w:rPr>
        <w:t xml:space="preserve"> </w:t>
      </w:r>
    </w:p>
    <w:p w:rsidR="00E83C6C" w:rsidRPr="00E83C6C" w:rsidRDefault="00E83C6C" w:rsidP="00E83C6C">
      <w:pPr>
        <w:pStyle w:val="Heading3"/>
        <w:ind w:firstLine="567"/>
        <w:rPr>
          <w:u w:val="none"/>
        </w:rPr>
      </w:pPr>
      <w:r w:rsidRPr="00E83C6C">
        <w:rPr>
          <w:u w:val="none"/>
        </w:rPr>
        <w:t>D.</w:t>
      </w:r>
      <w:r w:rsidRPr="00E83C6C">
        <w:rPr>
          <w:u w:val="none"/>
        </w:rPr>
        <w:tab/>
        <w:t>IDNS</w:t>
      </w:r>
    </w:p>
    <w:p w:rsidR="00E83C6C" w:rsidRPr="005E2771" w:rsidRDefault="00E83C6C" w:rsidP="00E83C6C">
      <w:pPr>
        <w:pStyle w:val="ListParagraph"/>
        <w:widowControl w:val="0"/>
        <w:numPr>
          <w:ilvl w:val="0"/>
          <w:numId w:val="7"/>
        </w:numPr>
        <w:spacing w:before="240" w:after="240"/>
        <w:ind w:left="0" w:firstLine="0"/>
        <w:contextualSpacing w:val="0"/>
        <w:rPr>
          <w:szCs w:val="22"/>
        </w:rPr>
      </w:pPr>
      <w:r w:rsidRPr="00626E71">
        <w:rPr>
          <w:szCs w:val="22"/>
        </w:rPr>
        <w:t xml:space="preserve">As </w:t>
      </w:r>
      <w:r w:rsidRPr="006F469A">
        <w:rPr>
          <w:szCs w:val="22"/>
          <w:shd w:val="clear" w:color="auto" w:fill="FFFFFF" w:themeFill="background1"/>
        </w:rPr>
        <w:t xml:space="preserve">observed in </w:t>
      </w:r>
      <w:r w:rsidRPr="00100F51">
        <w:rPr>
          <w:szCs w:val="22"/>
        </w:rPr>
        <w:t xml:space="preserve">paragraph </w:t>
      </w:r>
      <w:r w:rsidR="006F469A" w:rsidRPr="00100F51">
        <w:rPr>
          <w:szCs w:val="22"/>
        </w:rPr>
        <w:t>28</w:t>
      </w:r>
      <w:r w:rsidRPr="00C46D04">
        <w:rPr>
          <w:szCs w:val="22"/>
        </w:rPr>
        <w:t>,</w:t>
      </w:r>
      <w:r w:rsidRPr="00626E71">
        <w:rPr>
          <w:szCs w:val="22"/>
        </w:rPr>
        <w:t xml:space="preserve"> another</w:t>
      </w:r>
      <w:r w:rsidRPr="005E2771">
        <w:rPr>
          <w:szCs w:val="22"/>
        </w:rPr>
        <w:t xml:space="preserve"> </w:t>
      </w:r>
      <w:r>
        <w:rPr>
          <w:szCs w:val="22"/>
        </w:rPr>
        <w:t>noteworthy</w:t>
      </w:r>
      <w:r w:rsidRPr="005E2771">
        <w:rPr>
          <w:szCs w:val="22"/>
        </w:rPr>
        <w:t xml:space="preserve"> policy development in the DNS is the introduction of IDNs (non-Latin script) at the top level.</w:t>
      </w:r>
      <w:r w:rsidRPr="006475B9">
        <w:rPr>
          <w:rStyle w:val="FootnoteReference"/>
          <w:rFonts w:eastAsia="SimSun"/>
          <w:szCs w:val="22"/>
        </w:rPr>
        <w:footnoteReference w:id="62"/>
      </w:r>
      <w:r>
        <w:rPr>
          <w:szCs w:val="22"/>
        </w:rPr>
        <w:t xml:space="preserve"> </w:t>
      </w:r>
      <w:r w:rsidRPr="005E2771">
        <w:rPr>
          <w:szCs w:val="22"/>
        </w:rPr>
        <w:t xml:space="preserve">Many of these were among the first new </w:t>
      </w:r>
      <w:proofErr w:type="spellStart"/>
      <w:r w:rsidRPr="005E2771">
        <w:rPr>
          <w:szCs w:val="22"/>
        </w:rPr>
        <w:t>gTLDs</w:t>
      </w:r>
      <w:proofErr w:type="spellEnd"/>
      <w:r w:rsidRPr="005E2771">
        <w:rPr>
          <w:szCs w:val="22"/>
        </w:rPr>
        <w:t xml:space="preserve"> announced by ICANN for delegation in the DNS root zone. </w:t>
      </w:r>
    </w:p>
    <w:p w:rsidR="00E83C6C" w:rsidRPr="00E83C6C" w:rsidRDefault="00E83C6C" w:rsidP="00E83C6C">
      <w:pPr>
        <w:pStyle w:val="Heading3"/>
        <w:ind w:firstLine="567"/>
        <w:rPr>
          <w:u w:val="none"/>
        </w:rPr>
      </w:pPr>
      <w:r w:rsidRPr="00E83C6C">
        <w:rPr>
          <w:u w:val="none"/>
        </w:rPr>
        <w:t>E.</w:t>
      </w:r>
      <w:r w:rsidRPr="00E83C6C">
        <w:rPr>
          <w:u w:val="none"/>
        </w:rPr>
        <w:tab/>
        <w:t>OTHER IDENTIFIERS</w:t>
      </w:r>
    </w:p>
    <w:p w:rsidR="00E83C6C" w:rsidRPr="005E2771" w:rsidRDefault="00E83C6C" w:rsidP="00E83C6C">
      <w:pPr>
        <w:pStyle w:val="ListParagraph"/>
        <w:numPr>
          <w:ilvl w:val="0"/>
          <w:numId w:val="7"/>
        </w:numPr>
        <w:spacing w:before="240" w:after="240"/>
        <w:ind w:left="0" w:firstLine="0"/>
        <w:contextualSpacing w:val="0"/>
        <w:rPr>
          <w:szCs w:val="22"/>
        </w:rPr>
      </w:pPr>
      <w:r w:rsidRPr="005E2771">
        <w:rPr>
          <w:szCs w:val="22"/>
        </w:rPr>
        <w:t>In addition to and in connection with the above, there are further developments taking place at ICANN in relation to the protection of non</w:t>
      </w:r>
      <w:r w:rsidRPr="005E2771">
        <w:rPr>
          <w:szCs w:val="22"/>
        </w:rPr>
        <w:noBreakHyphen/>
        <w:t>trademark identifiers.</w:t>
      </w:r>
    </w:p>
    <w:p w:rsidR="00E83C6C" w:rsidRPr="00F75B65" w:rsidRDefault="00E83C6C" w:rsidP="00E83C6C">
      <w:pPr>
        <w:pStyle w:val="Heading3"/>
        <w:ind w:left="567" w:firstLine="567"/>
      </w:pPr>
      <w:r w:rsidRPr="00E83C6C">
        <w:rPr>
          <w:u w:val="none"/>
        </w:rPr>
        <w:t>(a)</w:t>
      </w:r>
      <w:r w:rsidRPr="00E83C6C">
        <w:rPr>
          <w:u w:val="none"/>
        </w:rPr>
        <w:tab/>
      </w:r>
      <w:r w:rsidRPr="00240010">
        <w:t xml:space="preserve">International Governmental Organizations </w:t>
      </w:r>
      <w:r w:rsidRPr="00240010">
        <w:rPr>
          <w:szCs w:val="22"/>
        </w:rPr>
        <w:t>(IGOs)</w:t>
      </w:r>
    </w:p>
    <w:p w:rsidR="00E83C6C" w:rsidRPr="005E2771" w:rsidRDefault="00E83C6C" w:rsidP="00E83C6C">
      <w:pPr>
        <w:pStyle w:val="ListParagraph"/>
        <w:numPr>
          <w:ilvl w:val="0"/>
          <w:numId w:val="7"/>
        </w:numPr>
        <w:spacing w:before="240" w:after="240"/>
        <w:ind w:left="0" w:firstLine="0"/>
        <w:contextualSpacing w:val="0"/>
        <w:rPr>
          <w:szCs w:val="22"/>
        </w:rPr>
      </w:pPr>
      <w:r w:rsidRPr="005E2771">
        <w:rPr>
          <w:szCs w:val="22"/>
        </w:rPr>
        <w:t xml:space="preserve">It </w:t>
      </w:r>
      <w:proofErr w:type="gramStart"/>
      <w:r w:rsidRPr="005E2771">
        <w:rPr>
          <w:szCs w:val="22"/>
        </w:rPr>
        <w:t>is recalled</w:t>
      </w:r>
      <w:proofErr w:type="gramEnd"/>
      <w:r w:rsidRPr="005E2771">
        <w:rPr>
          <w:szCs w:val="22"/>
        </w:rPr>
        <w:t xml:space="preserve"> that the First WIPO</w:t>
      </w:r>
      <w:r>
        <w:rPr>
          <w:szCs w:val="22"/>
        </w:rPr>
        <w:t xml:space="preserve"> </w:t>
      </w:r>
      <w:r w:rsidRPr="005E2771">
        <w:rPr>
          <w:szCs w:val="22"/>
        </w:rPr>
        <w:t>Process addressed the relationship between domain names and trademarks.</w:t>
      </w:r>
      <w:r>
        <w:rPr>
          <w:szCs w:val="22"/>
        </w:rPr>
        <w:t xml:space="preserve"> </w:t>
      </w:r>
      <w:r w:rsidRPr="005E2771">
        <w:rPr>
          <w:szCs w:val="22"/>
        </w:rPr>
        <w:t xml:space="preserve">The Second WIPO Process concerned the relationship between domain names and other types of identifiers that </w:t>
      </w:r>
      <w:proofErr w:type="gramStart"/>
      <w:r w:rsidRPr="005E2771">
        <w:rPr>
          <w:szCs w:val="22"/>
        </w:rPr>
        <w:t>had not been addressed</w:t>
      </w:r>
      <w:proofErr w:type="gramEnd"/>
      <w:r w:rsidRPr="005E2771">
        <w:rPr>
          <w:szCs w:val="22"/>
        </w:rPr>
        <w:t>, including country names and IGO names and acronyms.</w:t>
      </w:r>
    </w:p>
    <w:p w:rsidR="00E83C6C" w:rsidRPr="005E2771" w:rsidRDefault="00E83C6C" w:rsidP="00E83C6C">
      <w:pPr>
        <w:pStyle w:val="ListParagraph"/>
        <w:keepNext/>
        <w:keepLines/>
        <w:numPr>
          <w:ilvl w:val="0"/>
          <w:numId w:val="7"/>
        </w:numPr>
        <w:ind w:left="0" w:firstLine="0"/>
        <w:contextualSpacing w:val="0"/>
        <w:rPr>
          <w:szCs w:val="22"/>
        </w:rPr>
      </w:pPr>
      <w:r w:rsidRPr="005E2771">
        <w:rPr>
          <w:szCs w:val="22"/>
        </w:rPr>
        <w:t>The 2002 WIPO General Assembly recommended amending the UDRP in order to provide protection for country names and the names and acronyms of IGOs.</w:t>
      </w:r>
      <w:r w:rsidRPr="006475B9">
        <w:rPr>
          <w:vertAlign w:val="superscript"/>
        </w:rPr>
        <w:footnoteReference w:id="63"/>
      </w:r>
      <w:r>
        <w:rPr>
          <w:szCs w:val="22"/>
        </w:rPr>
        <w:t xml:space="preserve"> </w:t>
      </w:r>
      <w:r w:rsidRPr="005E2771">
        <w:rPr>
          <w:szCs w:val="22"/>
        </w:rPr>
        <w:t>The WIPO Secretariat transmitted these recommendations to ICANN in February 2003.</w:t>
      </w:r>
      <w:r w:rsidRPr="006475B9">
        <w:rPr>
          <w:vertAlign w:val="superscript"/>
        </w:rPr>
        <w:footnoteReference w:id="64"/>
      </w:r>
    </w:p>
    <w:p w:rsidR="00E83C6C" w:rsidRPr="005E2771" w:rsidRDefault="00E83C6C" w:rsidP="00E83C6C">
      <w:pPr>
        <w:pStyle w:val="ListParagraph"/>
        <w:numPr>
          <w:ilvl w:val="0"/>
          <w:numId w:val="7"/>
        </w:numPr>
        <w:spacing w:before="240" w:after="240"/>
        <w:ind w:left="0" w:firstLine="0"/>
        <w:contextualSpacing w:val="0"/>
        <w:rPr>
          <w:szCs w:val="22"/>
        </w:rPr>
      </w:pPr>
      <w:r w:rsidRPr="005E2771">
        <w:rPr>
          <w:szCs w:val="22"/>
        </w:rPr>
        <w:t>Following ICANN deliberations,</w:t>
      </w:r>
      <w:r w:rsidRPr="006475B9">
        <w:rPr>
          <w:rStyle w:val="FootnoteReference"/>
          <w:rFonts w:eastAsia="SimSun"/>
          <w:szCs w:val="22"/>
        </w:rPr>
        <w:footnoteReference w:id="65"/>
      </w:r>
      <w:r w:rsidRPr="005E2771">
        <w:rPr>
          <w:szCs w:val="22"/>
        </w:rPr>
        <w:t xml:space="preserve"> ICANN’s </w:t>
      </w:r>
      <w:proofErr w:type="gramStart"/>
      <w:r w:rsidRPr="005E2771">
        <w:rPr>
          <w:szCs w:val="22"/>
        </w:rPr>
        <w:t>New</w:t>
      </w:r>
      <w:proofErr w:type="gramEnd"/>
      <w:r w:rsidRPr="005E2771">
        <w:rPr>
          <w:szCs w:val="22"/>
        </w:rPr>
        <w:t xml:space="preserve"> </w:t>
      </w:r>
      <w:proofErr w:type="spellStart"/>
      <w:r w:rsidRPr="005E2771">
        <w:rPr>
          <w:szCs w:val="22"/>
        </w:rPr>
        <w:t>gTLD</w:t>
      </w:r>
      <w:proofErr w:type="spellEnd"/>
      <w:r w:rsidRPr="005E2771">
        <w:rPr>
          <w:szCs w:val="22"/>
        </w:rPr>
        <w:t xml:space="preserve"> Applicant Guidebook limited its consideration of the protection of </w:t>
      </w:r>
      <w:r>
        <w:rPr>
          <w:szCs w:val="22"/>
        </w:rPr>
        <w:t xml:space="preserve">IGO </w:t>
      </w:r>
      <w:r w:rsidRPr="005E2771">
        <w:rPr>
          <w:szCs w:val="22"/>
        </w:rPr>
        <w:t>names and acronyms to providing recourse through the pre</w:t>
      </w:r>
      <w:r w:rsidRPr="005E2771">
        <w:rPr>
          <w:szCs w:val="22"/>
        </w:rPr>
        <w:noBreakHyphen/>
        <w:t>delegation objection procedure concerning the top level (</w:t>
      </w:r>
      <w:r w:rsidRPr="005E2771">
        <w:rPr>
          <w:i/>
          <w:szCs w:val="22"/>
        </w:rPr>
        <w:t>i.e.</w:t>
      </w:r>
      <w:r w:rsidRPr="005E2771">
        <w:rPr>
          <w:szCs w:val="22"/>
        </w:rPr>
        <w:t>, an applied</w:t>
      </w:r>
      <w:r w:rsidRPr="005E2771">
        <w:rPr>
          <w:szCs w:val="22"/>
        </w:rPr>
        <w:noBreakHyphen/>
        <w:t xml:space="preserve">for TLD), discussed </w:t>
      </w:r>
      <w:r w:rsidRPr="003D023B">
        <w:rPr>
          <w:szCs w:val="22"/>
        </w:rPr>
        <w:t>i</w:t>
      </w:r>
      <w:r w:rsidR="002316AC" w:rsidRPr="003D023B">
        <w:rPr>
          <w:szCs w:val="22"/>
        </w:rPr>
        <w:t>n paragraphs 31 and 32</w:t>
      </w:r>
      <w:r w:rsidRPr="003D023B">
        <w:rPr>
          <w:szCs w:val="22"/>
        </w:rPr>
        <w:t>.</w:t>
      </w:r>
      <w:r w:rsidRPr="00C46D04">
        <w:rPr>
          <w:szCs w:val="22"/>
        </w:rPr>
        <w:t xml:space="preserve"> However, following sustained IGO efforts, </w:t>
      </w:r>
      <w:r w:rsidRPr="00C46D04">
        <w:rPr>
          <w:szCs w:val="24"/>
        </w:rPr>
        <w:t xml:space="preserve">ICANN’s Governmental Advisory Committee (GAC) </w:t>
      </w:r>
      <w:r w:rsidRPr="00C46D04">
        <w:rPr>
          <w:szCs w:val="22"/>
        </w:rPr>
        <w:t xml:space="preserve">advised the ICANN Board that IGO identifiers </w:t>
      </w:r>
      <w:proofErr w:type="gramStart"/>
      <w:r w:rsidRPr="00C46D04">
        <w:rPr>
          <w:szCs w:val="22"/>
        </w:rPr>
        <w:t>should be granted</w:t>
      </w:r>
      <w:proofErr w:type="gramEnd"/>
      <w:r w:rsidRPr="005E2771">
        <w:rPr>
          <w:szCs w:val="22"/>
        </w:rPr>
        <w:t xml:space="preserve"> protection against inappropriate third-party registration prior to the delegation of any new </w:t>
      </w:r>
      <w:proofErr w:type="spellStart"/>
      <w:r w:rsidRPr="005E2771">
        <w:rPr>
          <w:szCs w:val="22"/>
        </w:rPr>
        <w:lastRenderedPageBreak/>
        <w:t>gTLDs</w:t>
      </w:r>
      <w:proofErr w:type="spellEnd"/>
      <w:r w:rsidRPr="005E2771">
        <w:rPr>
          <w:szCs w:val="22"/>
        </w:rPr>
        <w:t>.</w:t>
      </w:r>
      <w:r w:rsidRPr="006475B9">
        <w:rPr>
          <w:rStyle w:val="FootnoteReference"/>
          <w:rFonts w:eastAsia="SimSun"/>
          <w:szCs w:val="22"/>
        </w:rPr>
        <w:footnoteReference w:id="66"/>
      </w:r>
      <w:r>
        <w:rPr>
          <w:szCs w:val="22"/>
        </w:rPr>
        <w:t xml:space="preserve"> </w:t>
      </w:r>
      <w:r w:rsidRPr="005E2771">
        <w:rPr>
          <w:szCs w:val="22"/>
        </w:rPr>
        <w:t>The GAC further advised the ICANN Board that, building on existing criteria for “.</w:t>
      </w:r>
      <w:proofErr w:type="spellStart"/>
      <w:r w:rsidRPr="005E2771">
        <w:rPr>
          <w:szCs w:val="22"/>
        </w:rPr>
        <w:t>int</w:t>
      </w:r>
      <w:proofErr w:type="spellEnd"/>
      <w:r w:rsidRPr="005E2771">
        <w:rPr>
          <w:szCs w:val="22"/>
        </w:rPr>
        <w:t xml:space="preserve">” second-level registrations, it would collaborate with IGOs to develop a list of IGO names and acronyms </w:t>
      </w:r>
      <w:r>
        <w:rPr>
          <w:szCs w:val="22"/>
        </w:rPr>
        <w:t>to</w:t>
      </w:r>
      <w:r w:rsidRPr="005E2771">
        <w:rPr>
          <w:szCs w:val="22"/>
        </w:rPr>
        <w:t xml:space="preserve"> be prote</w:t>
      </w:r>
      <w:r>
        <w:rPr>
          <w:szCs w:val="22"/>
        </w:rPr>
        <w:t xml:space="preserve">cted against registration for at least </w:t>
      </w:r>
      <w:r w:rsidRPr="005E2771">
        <w:rPr>
          <w:szCs w:val="22"/>
        </w:rPr>
        <w:t xml:space="preserve">the current round of new </w:t>
      </w:r>
      <w:proofErr w:type="spellStart"/>
      <w:r w:rsidRPr="005E2771">
        <w:rPr>
          <w:szCs w:val="22"/>
        </w:rPr>
        <w:t>gTLDs</w:t>
      </w:r>
      <w:proofErr w:type="spellEnd"/>
      <w:r w:rsidRPr="005E2771">
        <w:rPr>
          <w:szCs w:val="22"/>
        </w:rPr>
        <w:t>.</w:t>
      </w:r>
      <w:r>
        <w:rPr>
          <w:szCs w:val="22"/>
        </w:rPr>
        <w:t xml:space="preserve"> </w:t>
      </w:r>
      <w:r w:rsidRPr="005E2771">
        <w:rPr>
          <w:szCs w:val="22"/>
        </w:rPr>
        <w:t xml:space="preserve">The GAC also advised the </w:t>
      </w:r>
      <w:r>
        <w:rPr>
          <w:szCs w:val="22"/>
        </w:rPr>
        <w:t xml:space="preserve">ICANN </w:t>
      </w:r>
      <w:r w:rsidRPr="005E2771">
        <w:rPr>
          <w:szCs w:val="22"/>
        </w:rPr>
        <w:t>Board that</w:t>
      </w:r>
      <w:r>
        <w:rPr>
          <w:szCs w:val="22"/>
        </w:rPr>
        <w:t xml:space="preserve"> </w:t>
      </w:r>
      <w:r w:rsidRPr="005E2771">
        <w:rPr>
          <w:szCs w:val="22"/>
        </w:rPr>
        <w:t>pending</w:t>
      </w:r>
      <w:r>
        <w:rPr>
          <w:szCs w:val="22"/>
        </w:rPr>
        <w:t xml:space="preserve"> implementation</w:t>
      </w:r>
      <w:r w:rsidRPr="005E2771">
        <w:rPr>
          <w:szCs w:val="22"/>
        </w:rPr>
        <w:t xml:space="preserve"> work</w:t>
      </w:r>
      <w:r>
        <w:rPr>
          <w:szCs w:val="22"/>
        </w:rPr>
        <w:t xml:space="preserve">, </w:t>
      </w:r>
      <w:r w:rsidRPr="005E2771">
        <w:rPr>
          <w:szCs w:val="22"/>
        </w:rPr>
        <w:t xml:space="preserve">interim protection for IGO names and acronyms </w:t>
      </w:r>
      <w:proofErr w:type="gramStart"/>
      <w:r w:rsidRPr="005E2771">
        <w:rPr>
          <w:szCs w:val="22"/>
        </w:rPr>
        <w:t>should be provided</w:t>
      </w:r>
      <w:proofErr w:type="gramEnd"/>
      <w:r w:rsidRPr="005E2771">
        <w:rPr>
          <w:szCs w:val="22"/>
        </w:rPr>
        <w:t xml:space="preserve"> through a moratorium on third-party registration</w:t>
      </w:r>
      <w:r>
        <w:rPr>
          <w:szCs w:val="22"/>
        </w:rPr>
        <w:t>; while progress has been made on implementation, this moratorium remains in place.</w:t>
      </w:r>
      <w:r w:rsidRPr="005E2771">
        <w:rPr>
          <w:szCs w:val="22"/>
        </w:rPr>
        <w:t xml:space="preserve"> </w:t>
      </w:r>
    </w:p>
    <w:p w:rsidR="00E83C6C" w:rsidRDefault="00E83C6C" w:rsidP="00E83C6C">
      <w:pPr>
        <w:pStyle w:val="ListParagraph"/>
        <w:widowControl w:val="0"/>
        <w:numPr>
          <w:ilvl w:val="0"/>
          <w:numId w:val="7"/>
        </w:numPr>
        <w:ind w:left="0" w:firstLine="0"/>
        <w:contextualSpacing w:val="0"/>
        <w:rPr>
          <w:szCs w:val="22"/>
        </w:rPr>
      </w:pPr>
      <w:r w:rsidRPr="001D5C95">
        <w:rPr>
          <w:szCs w:val="22"/>
        </w:rPr>
        <w:t>The ICANN Board responded to the GAC indicating that it had adopted a resolution for interim protection at the second level based on the existing .</w:t>
      </w:r>
      <w:proofErr w:type="spellStart"/>
      <w:r w:rsidRPr="001D5C95">
        <w:rPr>
          <w:szCs w:val="22"/>
        </w:rPr>
        <w:t>int</w:t>
      </w:r>
      <w:proofErr w:type="spellEnd"/>
      <w:r w:rsidRPr="001D5C95">
        <w:rPr>
          <w:szCs w:val="22"/>
        </w:rPr>
        <w:t xml:space="preserve"> criteria, </w:t>
      </w:r>
      <w:r w:rsidRPr="001D5C95">
        <w:rPr>
          <w:i/>
          <w:szCs w:val="22"/>
        </w:rPr>
        <w:t>via</w:t>
      </w:r>
      <w:r w:rsidRPr="001D5C95">
        <w:rPr>
          <w:szCs w:val="22"/>
        </w:rPr>
        <w:t xml:space="preserve"> an ICANN reserve list of IGO identifiers, to </w:t>
      </w:r>
      <w:proofErr w:type="gramStart"/>
      <w:r w:rsidRPr="001D5C95">
        <w:rPr>
          <w:szCs w:val="22"/>
        </w:rPr>
        <w:t>be withheld</w:t>
      </w:r>
      <w:proofErr w:type="gramEnd"/>
      <w:r w:rsidRPr="001D5C95">
        <w:rPr>
          <w:szCs w:val="22"/>
        </w:rPr>
        <w:t xml:space="preserve"> from third-party registration through the new </w:t>
      </w:r>
      <w:proofErr w:type="spellStart"/>
      <w:r w:rsidRPr="001D5C95">
        <w:rPr>
          <w:szCs w:val="22"/>
        </w:rPr>
        <w:t>gTLD</w:t>
      </w:r>
      <w:proofErr w:type="spellEnd"/>
      <w:r w:rsidRPr="001D5C95">
        <w:rPr>
          <w:szCs w:val="22"/>
        </w:rPr>
        <w:t xml:space="preserve"> Registry Agreement.</w:t>
      </w:r>
      <w:r>
        <w:rPr>
          <w:szCs w:val="22"/>
        </w:rPr>
        <w:t xml:space="preserve"> </w:t>
      </w:r>
      <w:r w:rsidRPr="001D5C95">
        <w:rPr>
          <w:szCs w:val="22"/>
        </w:rPr>
        <w:t>ICANN invited qualifying IGOs to identify themselves to ICANN, while also seeking provision by the GAC (with IGOs) of a consolidated IGO package comprising the criteria and list of IGO names and acronyms for which the GAC advised protection.</w:t>
      </w:r>
      <w:r w:rsidRPr="006475B9">
        <w:rPr>
          <w:rStyle w:val="FootnoteReference"/>
          <w:rFonts w:eastAsia="SimSun"/>
          <w:szCs w:val="22"/>
        </w:rPr>
        <w:footnoteReference w:id="67"/>
      </w:r>
      <w:r>
        <w:rPr>
          <w:szCs w:val="22"/>
        </w:rPr>
        <w:t xml:space="preserve"> </w:t>
      </w:r>
      <w:r w:rsidRPr="001D5C95">
        <w:rPr>
          <w:szCs w:val="22"/>
        </w:rPr>
        <w:t>In response, an IGO coalition developed .</w:t>
      </w:r>
      <w:proofErr w:type="spellStart"/>
      <w:r w:rsidRPr="001D5C95">
        <w:rPr>
          <w:szCs w:val="22"/>
        </w:rPr>
        <w:t>int</w:t>
      </w:r>
      <w:proofErr w:type="spellEnd"/>
      <w:r w:rsidRPr="001D5C95">
        <w:rPr>
          <w:szCs w:val="22"/>
        </w:rPr>
        <w:noBreakHyphen/>
        <w:t>based criteria for IGO protection and an accompanying list of IGOs, which the IGO coalition forwarded to the ICANN Board in February 2013.</w:t>
      </w:r>
      <w:r>
        <w:rPr>
          <w:szCs w:val="22"/>
        </w:rPr>
        <w:t xml:space="preserve"> </w:t>
      </w:r>
      <w:r w:rsidRPr="001D5C95">
        <w:rPr>
          <w:szCs w:val="22"/>
        </w:rPr>
        <w:t xml:space="preserve">This </w:t>
      </w:r>
      <w:proofErr w:type="gramStart"/>
      <w:r w:rsidRPr="001D5C95">
        <w:rPr>
          <w:szCs w:val="22"/>
        </w:rPr>
        <w:t>was followed</w:t>
      </w:r>
      <w:proofErr w:type="gramEnd"/>
      <w:r w:rsidRPr="001D5C95">
        <w:rPr>
          <w:szCs w:val="22"/>
        </w:rPr>
        <w:t xml:space="preserve"> by a GAC communication to the ICANN Board concerning IGO protection eligibility criteria,</w:t>
      </w:r>
      <w:r>
        <w:rPr>
          <w:rStyle w:val="FootnoteReference"/>
          <w:rFonts w:eastAsia="SimSun"/>
          <w:szCs w:val="22"/>
        </w:rPr>
        <w:footnoteReference w:id="68"/>
      </w:r>
      <w:r w:rsidRPr="001D5C95">
        <w:rPr>
          <w:szCs w:val="22"/>
        </w:rPr>
        <w:t xml:space="preserve"> together with a list of protectable IGO names and acronyms.</w:t>
      </w:r>
      <w:r w:rsidRPr="006475B9">
        <w:rPr>
          <w:rStyle w:val="FootnoteReference"/>
          <w:rFonts w:eastAsia="SimSun"/>
          <w:szCs w:val="22"/>
        </w:rPr>
        <w:footnoteReference w:id="69"/>
      </w:r>
    </w:p>
    <w:p w:rsidR="00E83C6C" w:rsidRPr="005E2771" w:rsidRDefault="00E83C6C" w:rsidP="00E83C6C">
      <w:pPr>
        <w:pStyle w:val="ListParagraph"/>
        <w:widowControl w:val="0"/>
        <w:numPr>
          <w:ilvl w:val="0"/>
          <w:numId w:val="7"/>
        </w:numPr>
        <w:spacing w:before="240" w:after="240"/>
        <w:ind w:left="0" w:firstLine="0"/>
        <w:contextualSpacing w:val="0"/>
        <w:rPr>
          <w:szCs w:val="22"/>
        </w:rPr>
      </w:pPr>
      <w:r w:rsidRPr="006B7B92">
        <w:rPr>
          <w:szCs w:val="22"/>
        </w:rPr>
        <w:t xml:space="preserve">On April 1, 2013, the Board </w:t>
      </w:r>
      <w:r>
        <w:rPr>
          <w:szCs w:val="22"/>
        </w:rPr>
        <w:t>expressed concerns</w:t>
      </w:r>
      <w:r w:rsidRPr="006B7B92">
        <w:rPr>
          <w:szCs w:val="22"/>
        </w:rPr>
        <w:t xml:space="preserve"> to the GAC </w:t>
      </w:r>
      <w:r>
        <w:rPr>
          <w:szCs w:val="22"/>
        </w:rPr>
        <w:t>on</w:t>
      </w:r>
      <w:r w:rsidRPr="006B7B92">
        <w:rPr>
          <w:szCs w:val="22"/>
        </w:rPr>
        <w:t xml:space="preserve"> how </w:t>
      </w:r>
      <w:r>
        <w:rPr>
          <w:szCs w:val="22"/>
        </w:rPr>
        <w:t xml:space="preserve">to reconcile </w:t>
      </w:r>
      <w:r w:rsidRPr="006B7B92">
        <w:rPr>
          <w:szCs w:val="22"/>
        </w:rPr>
        <w:t xml:space="preserve">protection of IGO acronyms with certain potentially legitimate third-party attempts to register </w:t>
      </w:r>
      <w:r>
        <w:rPr>
          <w:szCs w:val="22"/>
        </w:rPr>
        <w:t xml:space="preserve">corresponding </w:t>
      </w:r>
      <w:r w:rsidRPr="006B7B92">
        <w:rPr>
          <w:szCs w:val="22"/>
        </w:rPr>
        <w:t xml:space="preserve">domain names and </w:t>
      </w:r>
      <w:r>
        <w:rPr>
          <w:szCs w:val="22"/>
        </w:rPr>
        <w:t>asked how</w:t>
      </w:r>
      <w:r w:rsidRPr="006B7B92">
        <w:rPr>
          <w:szCs w:val="22"/>
        </w:rPr>
        <w:t xml:space="preserve"> cases of potentially legitimate co-existent use of such acronym could be managed in practice.</w:t>
      </w:r>
      <w:r w:rsidRPr="006475B9">
        <w:rPr>
          <w:rStyle w:val="FootnoteReference"/>
          <w:rFonts w:eastAsia="SimSun"/>
          <w:szCs w:val="22"/>
        </w:rPr>
        <w:footnoteReference w:id="70"/>
      </w:r>
      <w:r>
        <w:rPr>
          <w:szCs w:val="22"/>
        </w:rPr>
        <w:t xml:space="preserve"> </w:t>
      </w:r>
      <w:r w:rsidRPr="005E2771">
        <w:rPr>
          <w:szCs w:val="22"/>
        </w:rPr>
        <w:t>In July 2013, following further discussions with ICANN and sustained efforts from IGOs, the GAC issued advice to the ICANN Board that highlighted the need for special preventative protection for IGO names and acronyms in the DNS.</w:t>
      </w:r>
      <w:r w:rsidRPr="006475B9">
        <w:rPr>
          <w:rStyle w:val="FootnoteReference"/>
          <w:rFonts w:eastAsia="SimSun"/>
          <w:szCs w:val="22"/>
        </w:rPr>
        <w:footnoteReference w:id="71"/>
      </w:r>
      <w:r>
        <w:rPr>
          <w:szCs w:val="22"/>
        </w:rPr>
        <w:t xml:space="preserve"> </w:t>
      </w:r>
      <w:r w:rsidRPr="005E2771">
        <w:rPr>
          <w:szCs w:val="22"/>
        </w:rPr>
        <w:t xml:space="preserve">Following this advice, the ICANN Board issued a resolution extending interim protection for IGOs until the first meeting of the ICANN Board’s New </w:t>
      </w:r>
      <w:proofErr w:type="spellStart"/>
      <w:r w:rsidRPr="005E2771">
        <w:rPr>
          <w:szCs w:val="22"/>
        </w:rPr>
        <w:t>gTLD</w:t>
      </w:r>
      <w:proofErr w:type="spellEnd"/>
      <w:r w:rsidRPr="005E2771">
        <w:rPr>
          <w:szCs w:val="22"/>
        </w:rPr>
        <w:t xml:space="preserve"> Program Committee (NGPC) after the November 2013 ICANN meeting.</w:t>
      </w:r>
      <w:r w:rsidRPr="006475B9">
        <w:rPr>
          <w:rStyle w:val="FootnoteReference"/>
          <w:rFonts w:eastAsia="SimSun"/>
          <w:szCs w:val="22"/>
        </w:rPr>
        <w:footnoteReference w:id="72"/>
      </w:r>
      <w:r w:rsidRPr="005E2771">
        <w:rPr>
          <w:szCs w:val="22"/>
        </w:rPr>
        <w:t xml:space="preserve"> </w:t>
      </w:r>
    </w:p>
    <w:p w:rsidR="00E83C6C" w:rsidRDefault="00E83C6C" w:rsidP="00E83C6C">
      <w:pPr>
        <w:pStyle w:val="ListParagraph"/>
        <w:numPr>
          <w:ilvl w:val="0"/>
          <w:numId w:val="7"/>
        </w:numPr>
        <w:ind w:left="0" w:firstLine="0"/>
        <w:contextualSpacing w:val="0"/>
        <w:rPr>
          <w:szCs w:val="22"/>
        </w:rPr>
      </w:pPr>
      <w:r w:rsidRPr="004C453F">
        <w:rPr>
          <w:szCs w:val="22"/>
        </w:rPr>
        <w:t>In October </w:t>
      </w:r>
      <w:proofErr w:type="gramStart"/>
      <w:r w:rsidRPr="004C453F">
        <w:rPr>
          <w:szCs w:val="22"/>
        </w:rPr>
        <w:t>2013</w:t>
      </w:r>
      <w:proofErr w:type="gramEnd"/>
      <w:r w:rsidRPr="004C453F">
        <w:rPr>
          <w:szCs w:val="22"/>
        </w:rPr>
        <w:t xml:space="preserve"> the NGPC made a proposal for protection of IGO acronyms at the second level that fell short of providing IGO acronyms with the permanent preventative protection envisaged in previous GAC Communiqués.</w:t>
      </w:r>
      <w:r>
        <w:rPr>
          <w:rStyle w:val="FootnoteReference"/>
          <w:rFonts w:eastAsia="SimSun"/>
          <w:szCs w:val="22"/>
        </w:rPr>
        <w:footnoteReference w:id="73"/>
      </w:r>
      <w:r>
        <w:rPr>
          <w:szCs w:val="22"/>
        </w:rPr>
        <w:t xml:space="preserve"> </w:t>
      </w:r>
    </w:p>
    <w:p w:rsidR="00E83C6C" w:rsidRDefault="00E83C6C" w:rsidP="00E83C6C">
      <w:pPr>
        <w:pStyle w:val="ListParagraph"/>
        <w:numPr>
          <w:ilvl w:val="0"/>
          <w:numId w:val="7"/>
        </w:numPr>
        <w:spacing w:before="240" w:after="240"/>
        <w:ind w:left="0" w:firstLine="0"/>
        <w:contextualSpacing w:val="0"/>
        <w:rPr>
          <w:szCs w:val="22"/>
        </w:rPr>
      </w:pPr>
      <w:r w:rsidRPr="008325CF">
        <w:rPr>
          <w:szCs w:val="22"/>
        </w:rPr>
        <w:t>In parallel to the policy efforts undertaken by the NGPC, the GAC, and IGOs,</w:t>
      </w:r>
      <w:r>
        <w:rPr>
          <w:rStyle w:val="FootnoteReference"/>
          <w:rFonts w:eastAsia="SimSun"/>
          <w:szCs w:val="22"/>
        </w:rPr>
        <w:footnoteReference w:id="74"/>
      </w:r>
      <w:r w:rsidRPr="008325CF">
        <w:rPr>
          <w:szCs w:val="22"/>
        </w:rPr>
        <w:t xml:space="preserve"> the GNSO had launched a PDP concerning IGO protection, in which process the Center with other IGO representatives participated.</w:t>
      </w:r>
      <w:r>
        <w:rPr>
          <w:szCs w:val="22"/>
        </w:rPr>
        <w:t xml:space="preserve"> </w:t>
      </w:r>
      <w:r w:rsidRPr="008325CF">
        <w:rPr>
          <w:szCs w:val="22"/>
        </w:rPr>
        <w:t>Over IGO objections, this GNSO process largely rejected preventative protection for IGO acronyms at the second level.</w:t>
      </w:r>
      <w:r>
        <w:rPr>
          <w:szCs w:val="22"/>
        </w:rPr>
        <w:t xml:space="preserve"> </w:t>
      </w:r>
      <w:r w:rsidRPr="008325CF">
        <w:rPr>
          <w:szCs w:val="22"/>
        </w:rPr>
        <w:t>Instead, it recommended curative protection mechanisms for IGO acronyms, coupled with the removal of the temporary protections for IGO acronyms in place.</w:t>
      </w:r>
      <w:r>
        <w:rPr>
          <w:szCs w:val="22"/>
        </w:rPr>
        <w:t xml:space="preserve"> </w:t>
      </w:r>
      <w:proofErr w:type="gramStart"/>
      <w:r w:rsidRPr="008325CF">
        <w:rPr>
          <w:szCs w:val="22"/>
        </w:rPr>
        <w:t xml:space="preserve">These recommendations were adopted unanimously by </w:t>
      </w:r>
      <w:r w:rsidRPr="008325CF">
        <w:rPr>
          <w:szCs w:val="22"/>
        </w:rPr>
        <w:lastRenderedPageBreak/>
        <w:t>the GNSO Council</w:t>
      </w:r>
      <w:proofErr w:type="gramEnd"/>
      <w:r w:rsidRPr="008325CF">
        <w:rPr>
          <w:szCs w:val="22"/>
        </w:rPr>
        <w:t xml:space="preserve"> in November 2013.</w:t>
      </w:r>
      <w:r>
        <w:rPr>
          <w:szCs w:val="22"/>
        </w:rPr>
        <w:t xml:space="preserve"> </w:t>
      </w:r>
      <w:r w:rsidRPr="008325CF">
        <w:rPr>
          <w:szCs w:val="22"/>
        </w:rPr>
        <w:t>In April 2014, the ICANN Board resolved to adopt the GNSO Council recommendations not in conflict with GAC advice, namely reserving from registration the full names of IGOs at the top and second levels in two languages.</w:t>
      </w:r>
      <w:r>
        <w:rPr>
          <w:szCs w:val="22"/>
        </w:rPr>
        <w:t xml:space="preserve"> </w:t>
      </w:r>
    </w:p>
    <w:p w:rsidR="00E83C6C" w:rsidRPr="005E2771" w:rsidRDefault="00E83C6C" w:rsidP="00E83C6C">
      <w:pPr>
        <w:pStyle w:val="ListParagraph"/>
        <w:numPr>
          <w:ilvl w:val="0"/>
          <w:numId w:val="7"/>
        </w:numPr>
        <w:spacing w:before="240" w:after="240"/>
        <w:ind w:left="0" w:firstLine="0"/>
        <w:contextualSpacing w:val="0"/>
        <w:rPr>
          <w:szCs w:val="22"/>
        </w:rPr>
      </w:pPr>
      <w:r>
        <w:rPr>
          <w:szCs w:val="22"/>
        </w:rPr>
        <w:t>Despite</w:t>
      </w:r>
      <w:r w:rsidRPr="005E2771">
        <w:rPr>
          <w:szCs w:val="22"/>
        </w:rPr>
        <w:t xml:space="preserve"> GAC advice and IGO positions, in June 2014, the G</w:t>
      </w:r>
      <w:r>
        <w:rPr>
          <w:szCs w:val="22"/>
        </w:rPr>
        <w:t xml:space="preserve">NSO Council voted to initiate a </w:t>
      </w:r>
      <w:r w:rsidRPr="005E2771">
        <w:rPr>
          <w:szCs w:val="22"/>
        </w:rPr>
        <w:t>second PDP on the desirability and modalities of giving IGOs access to curative RPMs (such as the UDRP or URS)</w:t>
      </w:r>
      <w:r>
        <w:rPr>
          <w:szCs w:val="22"/>
        </w:rPr>
        <w:t xml:space="preserve"> to address </w:t>
      </w:r>
      <w:r w:rsidRPr="00A1680C">
        <w:rPr>
          <w:szCs w:val="22"/>
        </w:rPr>
        <w:t>abusive registration of IGO acronyms, or of IGO full names not covered by the aforementioned exclusion</w:t>
      </w:r>
      <w:r w:rsidRPr="005E2771">
        <w:rPr>
          <w:szCs w:val="22"/>
        </w:rPr>
        <w:t>.</w:t>
      </w:r>
      <w:r>
        <w:rPr>
          <w:szCs w:val="22"/>
        </w:rPr>
        <w:t xml:space="preserve"> T</w:t>
      </w:r>
      <w:r w:rsidRPr="00BB6011">
        <w:rPr>
          <w:szCs w:val="22"/>
        </w:rPr>
        <w:t xml:space="preserve">he </w:t>
      </w:r>
      <w:r>
        <w:rPr>
          <w:szCs w:val="22"/>
        </w:rPr>
        <w:t xml:space="preserve">resulting </w:t>
      </w:r>
      <w:r w:rsidRPr="00BB6011">
        <w:rPr>
          <w:szCs w:val="22"/>
        </w:rPr>
        <w:t xml:space="preserve">final Working Group recommendation has caused concerns for IGOs and the GAC, as well as </w:t>
      </w:r>
      <w:r>
        <w:rPr>
          <w:szCs w:val="22"/>
        </w:rPr>
        <w:t xml:space="preserve">obtaining </w:t>
      </w:r>
      <w:r w:rsidRPr="00BB6011">
        <w:rPr>
          <w:szCs w:val="22"/>
        </w:rPr>
        <w:t>GNSO Council</w:t>
      </w:r>
      <w:r>
        <w:rPr>
          <w:szCs w:val="22"/>
        </w:rPr>
        <w:t xml:space="preserve"> approval that was not unanimous (unlike its usual vote on Wo</w:t>
      </w:r>
      <w:r w:rsidRPr="00BB6011">
        <w:rPr>
          <w:szCs w:val="22"/>
        </w:rPr>
        <w:t>rking Group report</w:t>
      </w:r>
      <w:r>
        <w:rPr>
          <w:szCs w:val="22"/>
        </w:rPr>
        <w:t>s</w:t>
      </w:r>
      <w:r w:rsidRPr="00BB6011">
        <w:rPr>
          <w:szCs w:val="22"/>
        </w:rPr>
        <w:t>)</w:t>
      </w:r>
      <w:r>
        <w:rPr>
          <w:szCs w:val="22"/>
        </w:rPr>
        <w:t xml:space="preserve">, requiring further policy work on at least one recommendation; the GNSO Council has discussed but has yet to formally </w:t>
      </w:r>
      <w:proofErr w:type="spellStart"/>
      <w:r>
        <w:rPr>
          <w:szCs w:val="22"/>
        </w:rPr>
        <w:t>recharter</w:t>
      </w:r>
      <w:proofErr w:type="spellEnd"/>
      <w:r>
        <w:rPr>
          <w:szCs w:val="22"/>
        </w:rPr>
        <w:t xml:space="preserve"> such further policy work</w:t>
      </w:r>
      <w:r w:rsidRPr="00BB6011">
        <w:rPr>
          <w:szCs w:val="22"/>
        </w:rPr>
        <w:t>.</w:t>
      </w:r>
      <w:r>
        <w:rPr>
          <w:rStyle w:val="FootnoteReference"/>
          <w:szCs w:val="22"/>
        </w:rPr>
        <w:footnoteReference w:id="75"/>
      </w:r>
      <w:r w:rsidRPr="00BB6011">
        <w:rPr>
          <w:szCs w:val="22"/>
        </w:rPr>
        <w:t xml:space="preserve"> Meanwhile it has again been affirmed by the GAC that any IGO-specific RPM modeled on the existing UDRP should respect IGOs’ status under international law, but should not amend the existing UDRP.</w:t>
      </w:r>
      <w:r w:rsidRPr="00BB6011" w:rsidDel="00BB6011">
        <w:rPr>
          <w:szCs w:val="22"/>
        </w:rPr>
        <w:t xml:space="preserve"> </w:t>
      </w:r>
      <w:r>
        <w:rPr>
          <w:szCs w:val="22"/>
        </w:rPr>
        <w:t>The ICANN Board has also acknowledged the GAC’s previous advice on the need to protect IGO acronyms in the DNS.</w:t>
      </w:r>
      <w:r w:rsidRPr="00776209">
        <w:rPr>
          <w:szCs w:val="22"/>
          <w:vertAlign w:val="superscript"/>
        </w:rPr>
        <w:footnoteReference w:id="76"/>
      </w:r>
      <w:r w:rsidRPr="00776209">
        <w:rPr>
          <w:szCs w:val="22"/>
          <w:vertAlign w:val="superscript"/>
        </w:rPr>
        <w:t xml:space="preserve"> </w:t>
      </w:r>
      <w:r w:rsidRPr="00D90428">
        <w:rPr>
          <w:szCs w:val="22"/>
        </w:rPr>
        <w:t>Together</w:t>
      </w:r>
      <w:r w:rsidRPr="002F395E">
        <w:rPr>
          <w:szCs w:val="22"/>
        </w:rPr>
        <w:t xml:space="preserve"> with other involved IGOs, the Center continue</w:t>
      </w:r>
      <w:r>
        <w:rPr>
          <w:szCs w:val="22"/>
        </w:rPr>
        <w:t>s</w:t>
      </w:r>
      <w:r w:rsidRPr="002F395E">
        <w:rPr>
          <w:szCs w:val="22"/>
        </w:rPr>
        <w:t xml:space="preserve"> </w:t>
      </w:r>
      <w:proofErr w:type="gramStart"/>
      <w:r w:rsidRPr="002F395E">
        <w:rPr>
          <w:szCs w:val="22"/>
        </w:rPr>
        <w:t>to closely monitor</w:t>
      </w:r>
      <w:proofErr w:type="gramEnd"/>
      <w:r w:rsidRPr="002F395E">
        <w:rPr>
          <w:szCs w:val="22"/>
        </w:rPr>
        <w:t xml:space="preserve"> </w:t>
      </w:r>
      <w:r>
        <w:rPr>
          <w:szCs w:val="22"/>
        </w:rPr>
        <w:t>developments in this longstanding ICANN file. Ultimately, the ICANN Board may be called upon to reconcile differences between GAC Advice and GNSO recommendations as to IGO-related RPMs</w:t>
      </w:r>
      <w:r w:rsidRPr="002F395E">
        <w:rPr>
          <w:szCs w:val="22"/>
        </w:rPr>
        <w:t>.</w:t>
      </w:r>
      <w:r w:rsidRPr="00776209">
        <w:rPr>
          <w:szCs w:val="22"/>
          <w:vertAlign w:val="superscript"/>
        </w:rPr>
        <w:footnoteReference w:id="77"/>
      </w:r>
    </w:p>
    <w:p w:rsidR="00E83C6C" w:rsidRPr="00E83C6C" w:rsidRDefault="00E83C6C" w:rsidP="00E83C6C">
      <w:pPr>
        <w:pStyle w:val="Heading3"/>
        <w:ind w:left="567" w:firstLine="567"/>
        <w:rPr>
          <w:u w:val="none"/>
        </w:rPr>
      </w:pPr>
      <w:r w:rsidRPr="00E83C6C">
        <w:rPr>
          <w:u w:val="none"/>
        </w:rPr>
        <w:t>(b)</w:t>
      </w:r>
      <w:r w:rsidRPr="00E83C6C">
        <w:rPr>
          <w:u w:val="none"/>
        </w:rPr>
        <w:tab/>
      </w:r>
      <w:r w:rsidRPr="00E83C6C">
        <w:t>Geographical Terms</w:t>
      </w:r>
    </w:p>
    <w:p w:rsidR="00E83C6C" w:rsidRPr="005E2771" w:rsidRDefault="00E83C6C" w:rsidP="00E83C6C">
      <w:pPr>
        <w:pStyle w:val="ListParagraph"/>
        <w:numPr>
          <w:ilvl w:val="0"/>
          <w:numId w:val="7"/>
        </w:numPr>
        <w:spacing w:before="240" w:after="240"/>
        <w:ind w:left="0" w:right="-143" w:firstLine="0"/>
        <w:contextualSpacing w:val="0"/>
        <w:rPr>
          <w:iCs/>
          <w:szCs w:val="22"/>
        </w:rPr>
      </w:pPr>
      <w:r w:rsidRPr="005E2771">
        <w:rPr>
          <w:szCs w:val="22"/>
        </w:rPr>
        <w:t xml:space="preserve">Concerning geographical terms, the GAC in particular has expressed concerns about their use and protection in the new </w:t>
      </w:r>
      <w:proofErr w:type="spellStart"/>
      <w:r w:rsidRPr="005E2771">
        <w:rPr>
          <w:szCs w:val="22"/>
        </w:rPr>
        <w:t>gTLDs</w:t>
      </w:r>
      <w:proofErr w:type="spellEnd"/>
      <w:r w:rsidRPr="005E2771">
        <w:rPr>
          <w:szCs w:val="22"/>
        </w:rPr>
        <w:t>.</w:t>
      </w:r>
      <w:r w:rsidRPr="002F395E">
        <w:rPr>
          <w:vertAlign w:val="superscript"/>
        </w:rPr>
        <w:footnoteReference w:id="78"/>
      </w:r>
      <w:r>
        <w:rPr>
          <w:szCs w:val="22"/>
        </w:rPr>
        <w:t xml:space="preserve"> </w:t>
      </w:r>
      <w:r w:rsidRPr="005E2771">
        <w:rPr>
          <w:szCs w:val="22"/>
        </w:rPr>
        <w:t>Concerning the top level,</w:t>
      </w:r>
      <w:r w:rsidRPr="002F395E">
        <w:rPr>
          <w:rStyle w:val="FootnoteReference"/>
          <w:rFonts w:eastAsia="SimSun"/>
          <w:szCs w:val="22"/>
        </w:rPr>
        <w:footnoteReference w:id="79"/>
      </w:r>
      <w:r w:rsidRPr="005E2771">
        <w:rPr>
          <w:szCs w:val="22"/>
        </w:rPr>
        <w:t xml:space="preserve"> ICANN’s Applicant Guidebook provides that “applications for strings that are country or territory names will not be approved, as they are not available under the New </w:t>
      </w:r>
      <w:proofErr w:type="spellStart"/>
      <w:r w:rsidRPr="005E2771">
        <w:rPr>
          <w:szCs w:val="22"/>
        </w:rPr>
        <w:t>gTLD</w:t>
      </w:r>
      <w:proofErr w:type="spellEnd"/>
      <w:r w:rsidRPr="005E2771">
        <w:rPr>
          <w:szCs w:val="22"/>
        </w:rPr>
        <w:t xml:space="preserve"> Program in this application round.”</w:t>
      </w:r>
      <w:r w:rsidRPr="002F395E">
        <w:rPr>
          <w:rStyle w:val="FootnoteReference"/>
          <w:rFonts w:eastAsia="SimSun"/>
          <w:szCs w:val="22"/>
        </w:rPr>
        <w:footnoteReference w:id="80"/>
      </w:r>
      <w:r>
        <w:rPr>
          <w:szCs w:val="22"/>
        </w:rPr>
        <w:t xml:space="preserve"> </w:t>
      </w:r>
      <w:r w:rsidRPr="005E2771">
        <w:rPr>
          <w:szCs w:val="22"/>
        </w:rPr>
        <w:t>Applied</w:t>
      </w:r>
      <w:r w:rsidRPr="005E2771">
        <w:rPr>
          <w:szCs w:val="22"/>
        </w:rPr>
        <w:noBreakHyphen/>
        <w:t xml:space="preserve">for strings which </w:t>
      </w:r>
      <w:proofErr w:type="gramStart"/>
      <w:r w:rsidRPr="005E2771">
        <w:rPr>
          <w:szCs w:val="22"/>
        </w:rPr>
        <w:t>are considered</w:t>
      </w:r>
      <w:proofErr w:type="gramEnd"/>
      <w:r w:rsidRPr="005E2771">
        <w:rPr>
          <w:szCs w:val="22"/>
        </w:rPr>
        <w:t xml:space="preserve"> by ICANN to be certain other geographical names, </w:t>
      </w:r>
      <w:r w:rsidRPr="005E2771">
        <w:rPr>
          <w:i/>
          <w:szCs w:val="22"/>
        </w:rPr>
        <w:t>e.g.</w:t>
      </w:r>
      <w:r w:rsidRPr="005E2771">
        <w:rPr>
          <w:szCs w:val="22"/>
        </w:rPr>
        <w:t>,</w:t>
      </w:r>
      <w:r>
        <w:rPr>
          <w:szCs w:val="22"/>
        </w:rPr>
        <w:t> </w:t>
      </w:r>
      <w:r w:rsidRPr="005E2771">
        <w:rPr>
          <w:szCs w:val="22"/>
        </w:rPr>
        <w:t xml:space="preserve">capital city names, </w:t>
      </w:r>
      <w:r>
        <w:rPr>
          <w:szCs w:val="22"/>
        </w:rPr>
        <w:t>should</w:t>
      </w:r>
      <w:r w:rsidRPr="005E2771">
        <w:rPr>
          <w:szCs w:val="22"/>
        </w:rPr>
        <w:t xml:space="preserve"> be accompanied by documentation of support or non</w:t>
      </w:r>
      <w:r w:rsidRPr="005E2771">
        <w:rPr>
          <w:szCs w:val="22"/>
        </w:rPr>
        <w:noBreakHyphen/>
        <w:t>objection from the relevant governments or public authorities.</w:t>
      </w:r>
      <w:r w:rsidRPr="002F395E">
        <w:rPr>
          <w:rStyle w:val="FootnoteReference"/>
          <w:rFonts w:eastAsia="SimSun"/>
          <w:szCs w:val="22"/>
        </w:rPr>
        <w:footnoteReference w:id="81"/>
      </w:r>
      <w:r w:rsidRPr="005E2771">
        <w:rPr>
          <w:szCs w:val="22"/>
        </w:rPr>
        <w:t xml:space="preserve"> </w:t>
      </w:r>
    </w:p>
    <w:p w:rsidR="00E83C6C" w:rsidRPr="00E43AF5" w:rsidRDefault="00E83C6C" w:rsidP="00E83C6C">
      <w:pPr>
        <w:pStyle w:val="ListParagraph"/>
        <w:numPr>
          <w:ilvl w:val="0"/>
          <w:numId w:val="7"/>
        </w:numPr>
        <w:ind w:left="0" w:firstLine="0"/>
        <w:contextualSpacing w:val="0"/>
        <w:rPr>
          <w:szCs w:val="22"/>
        </w:rPr>
      </w:pPr>
      <w:r w:rsidRPr="005E2771">
        <w:rPr>
          <w:iCs/>
          <w:szCs w:val="22"/>
        </w:rPr>
        <w:t xml:space="preserve">GAC members have expressed further reservations regarding a number of new </w:t>
      </w:r>
      <w:proofErr w:type="spellStart"/>
      <w:r w:rsidRPr="005E2771">
        <w:rPr>
          <w:iCs/>
          <w:szCs w:val="22"/>
        </w:rPr>
        <w:t>gTLD</w:t>
      </w:r>
      <w:proofErr w:type="spellEnd"/>
      <w:r w:rsidRPr="005E2771">
        <w:rPr>
          <w:iCs/>
          <w:szCs w:val="22"/>
        </w:rPr>
        <w:t xml:space="preserve"> applications on grounds of correspondence to geographical or other “sensitive” terms, advising </w:t>
      </w:r>
      <w:r w:rsidRPr="005E2771">
        <w:rPr>
          <w:iCs/>
          <w:szCs w:val="22"/>
        </w:rPr>
        <w:lastRenderedPageBreak/>
        <w:t xml:space="preserve">the ICANN Board not to proceed beyond initial evaluation, and seeking Board clarification on scope for applicants to modify their new </w:t>
      </w:r>
      <w:proofErr w:type="spellStart"/>
      <w:r w:rsidRPr="005E2771">
        <w:rPr>
          <w:iCs/>
          <w:szCs w:val="22"/>
        </w:rPr>
        <w:t>gTLD</w:t>
      </w:r>
      <w:proofErr w:type="spellEnd"/>
      <w:r w:rsidRPr="005E2771">
        <w:rPr>
          <w:iCs/>
          <w:szCs w:val="22"/>
        </w:rPr>
        <w:t xml:space="preserve"> applications to address specific GAC concerns.</w:t>
      </w:r>
      <w:r w:rsidRPr="002F395E">
        <w:rPr>
          <w:rStyle w:val="FootnoteReference"/>
          <w:rFonts w:eastAsia="SimSun"/>
          <w:iCs/>
          <w:szCs w:val="22"/>
        </w:rPr>
        <w:footnoteReference w:id="82"/>
      </w:r>
    </w:p>
    <w:p w:rsidR="00E83C6C" w:rsidRPr="0080285E" w:rsidRDefault="00E83C6C" w:rsidP="00E83C6C">
      <w:pPr>
        <w:pStyle w:val="ListParagraph"/>
        <w:numPr>
          <w:ilvl w:val="0"/>
          <w:numId w:val="7"/>
        </w:numPr>
        <w:spacing w:before="240" w:after="240"/>
        <w:ind w:left="0" w:firstLine="0"/>
        <w:contextualSpacing w:val="0"/>
        <w:rPr>
          <w:szCs w:val="22"/>
        </w:rPr>
      </w:pPr>
      <w:proofErr w:type="gramStart"/>
      <w:r>
        <w:rPr>
          <w:szCs w:val="22"/>
        </w:rPr>
        <w:t xml:space="preserve">In December 2016, ICANN authorized the release of all previously-reserved 2-character domain names at the second level in new </w:t>
      </w:r>
      <w:proofErr w:type="spellStart"/>
      <w:r>
        <w:rPr>
          <w:szCs w:val="22"/>
        </w:rPr>
        <w:t>gTLDs</w:t>
      </w:r>
      <w:proofErr w:type="spellEnd"/>
      <w:r>
        <w:rPr>
          <w:szCs w:val="22"/>
        </w:rPr>
        <w:t xml:space="preserve"> provided that registry operators first allow respective governments a thirty-day period to acquire such domain names; require registrants to represent that they would not falsely imply government affiliation in connection with the use of such 2-character domain name; and provide a means for post-registration complaints.</w:t>
      </w:r>
      <w:r>
        <w:rPr>
          <w:rStyle w:val="FootnoteReference"/>
          <w:rFonts w:eastAsia="SimSun"/>
          <w:szCs w:val="22"/>
        </w:rPr>
        <w:footnoteReference w:id="83"/>
      </w:r>
      <w:proofErr w:type="gramEnd"/>
      <w:r>
        <w:rPr>
          <w:szCs w:val="22"/>
        </w:rPr>
        <w:t xml:space="preserve"> In this context, the Center submitted comments to ICANN noting that the Second WIPO Process considered the possibility of exploring measures for the UDRP to apply to third-level registrations in order to mitigate the potential for trademark abuse.</w:t>
      </w:r>
      <w:r>
        <w:rPr>
          <w:rStyle w:val="FootnoteReference"/>
          <w:rFonts w:eastAsia="SimSun"/>
          <w:szCs w:val="22"/>
        </w:rPr>
        <w:footnoteReference w:id="84"/>
      </w:r>
      <w:r>
        <w:rPr>
          <w:szCs w:val="22"/>
        </w:rPr>
        <w:t xml:space="preserve"> In recent discussions, GAC members have requested that ICANN provide coordinated information on related requests and delegations.</w:t>
      </w:r>
      <w:r>
        <w:rPr>
          <w:rStyle w:val="FootnoteReference"/>
          <w:szCs w:val="22"/>
        </w:rPr>
        <w:footnoteReference w:id="85"/>
      </w:r>
      <w:r>
        <w:rPr>
          <w:szCs w:val="22"/>
        </w:rPr>
        <w:t xml:space="preserve"> </w:t>
      </w:r>
    </w:p>
    <w:p w:rsidR="00E83C6C" w:rsidRPr="00E83C6C" w:rsidRDefault="00E83C6C" w:rsidP="00BC0DC0">
      <w:pPr>
        <w:pStyle w:val="ListParagraph"/>
        <w:numPr>
          <w:ilvl w:val="0"/>
          <w:numId w:val="7"/>
        </w:numPr>
        <w:spacing w:before="240" w:after="240"/>
        <w:ind w:left="0" w:firstLine="0"/>
        <w:contextualSpacing w:val="0"/>
        <w:rPr>
          <w:szCs w:val="24"/>
        </w:rPr>
      </w:pPr>
      <w:r>
        <w:rPr>
          <w:szCs w:val="22"/>
        </w:rPr>
        <w:t>On these and other DNS-related issues</w:t>
      </w:r>
      <w:r w:rsidRPr="005E2771">
        <w:rPr>
          <w:szCs w:val="22"/>
        </w:rPr>
        <w:t>, the Center has endeavored to apprise relevant</w:t>
      </w:r>
      <w:r>
        <w:rPr>
          <w:szCs w:val="22"/>
        </w:rPr>
        <w:t xml:space="preserve"> sectors within the Secretariat</w:t>
      </w:r>
      <w:r w:rsidRPr="005E2771">
        <w:rPr>
          <w:szCs w:val="22"/>
        </w:rPr>
        <w:t>, including in support of the work of the Standing Committee on the Law of Trademarks, Industrial Designs and Geographical Indications (SCT).</w:t>
      </w:r>
      <w:r w:rsidRPr="006475B9">
        <w:rPr>
          <w:rStyle w:val="FootnoteReference"/>
          <w:rFonts w:eastAsia="SimSun"/>
          <w:szCs w:val="22"/>
        </w:rPr>
        <w:footnoteReference w:id="86"/>
      </w:r>
      <w:r>
        <w:rPr>
          <w:szCs w:val="22"/>
        </w:rPr>
        <w:t xml:space="preserve"> The Secretariat</w:t>
      </w:r>
      <w:r w:rsidRPr="00BE1A59">
        <w:rPr>
          <w:color w:val="000000"/>
          <w:szCs w:val="22"/>
        </w:rPr>
        <w:t xml:space="preserve"> will continue to monitor these developments and provide input where </w:t>
      </w:r>
      <w:r>
        <w:rPr>
          <w:color w:val="000000"/>
          <w:szCs w:val="22"/>
        </w:rPr>
        <w:t>appropriate</w:t>
      </w:r>
      <w:r w:rsidRPr="00BE1A59">
        <w:rPr>
          <w:color w:val="000000"/>
          <w:szCs w:val="22"/>
        </w:rPr>
        <w:t>.</w:t>
      </w:r>
    </w:p>
    <w:p w:rsidR="00076231" w:rsidRPr="00C3169E" w:rsidRDefault="00E83C6C" w:rsidP="00076231">
      <w:pPr>
        <w:pStyle w:val="DecisionInvitingPara"/>
        <w:rPr>
          <w:sz w:val="22"/>
          <w:szCs w:val="22"/>
        </w:rPr>
      </w:pPr>
      <w:r>
        <w:rPr>
          <w:sz w:val="22"/>
        </w:rPr>
        <w:t>56</w:t>
      </w:r>
      <w:r w:rsidR="00076231" w:rsidRPr="00EB0D4C">
        <w:rPr>
          <w:sz w:val="22"/>
        </w:rPr>
        <w:t>.</w:t>
      </w:r>
      <w:r w:rsidR="00076231">
        <w:tab/>
      </w:r>
      <w:r w:rsidR="00076231" w:rsidRPr="00524465">
        <w:rPr>
          <w:sz w:val="22"/>
        </w:rPr>
        <w:t xml:space="preserve">The WIPO General Assembly </w:t>
      </w:r>
      <w:proofErr w:type="gramStart"/>
      <w:r w:rsidR="00076231" w:rsidRPr="00524465">
        <w:rPr>
          <w:sz w:val="22"/>
        </w:rPr>
        <w:t>is invited</w:t>
      </w:r>
      <w:proofErr w:type="gramEnd"/>
      <w:r w:rsidR="00076231" w:rsidRPr="00524465">
        <w:rPr>
          <w:sz w:val="22"/>
        </w:rPr>
        <w:t xml:space="preserve"> to take note of the document “WIPO Arbitration and Mediation Center, Including Domain Names” </w:t>
      </w:r>
      <w:r w:rsidR="00076231" w:rsidRPr="00DE06AE">
        <w:rPr>
          <w:sz w:val="22"/>
        </w:rPr>
        <w:t>(document WO/GA/53/</w:t>
      </w:r>
      <w:r w:rsidR="007D4948">
        <w:rPr>
          <w:sz w:val="22"/>
        </w:rPr>
        <w:t>8</w:t>
      </w:r>
      <w:r w:rsidR="00076231" w:rsidRPr="00DE06AE">
        <w:rPr>
          <w:sz w:val="22"/>
        </w:rPr>
        <w:t>).</w:t>
      </w:r>
    </w:p>
    <w:p w:rsidR="00076231" w:rsidRDefault="00076231" w:rsidP="00076231">
      <w:pPr>
        <w:spacing w:before="960"/>
        <w:ind w:left="5533"/>
      </w:pPr>
      <w:r w:rsidRPr="00E105A8">
        <w:rPr>
          <w:szCs w:val="22"/>
        </w:rPr>
        <w:t>[End of document]</w:t>
      </w:r>
    </w:p>
    <w:p w:rsidR="001D4107" w:rsidRDefault="001D4107" w:rsidP="00664D02">
      <w:pPr>
        <w:spacing w:after="220"/>
      </w:pPr>
    </w:p>
    <w:sectPr w:rsidR="001D4107" w:rsidSect="0007623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ED" w:rsidRDefault="00B62DED">
      <w:r>
        <w:separator/>
      </w:r>
    </w:p>
  </w:endnote>
  <w:endnote w:type="continuationSeparator" w:id="0">
    <w:p w:rsidR="00B62DED" w:rsidRDefault="00B62DED" w:rsidP="003B38C1">
      <w:r>
        <w:separator/>
      </w:r>
    </w:p>
    <w:p w:rsidR="00B62DED" w:rsidRPr="003B38C1" w:rsidRDefault="00B62DED" w:rsidP="003B38C1">
      <w:pPr>
        <w:spacing w:after="60"/>
        <w:rPr>
          <w:sz w:val="17"/>
        </w:rPr>
      </w:pPr>
      <w:r>
        <w:rPr>
          <w:sz w:val="17"/>
        </w:rPr>
        <w:t>[Endnote continued from previous page]</w:t>
      </w:r>
    </w:p>
  </w:endnote>
  <w:endnote w:type="continuationNotice" w:id="1">
    <w:p w:rsidR="00B62DED" w:rsidRPr="003B38C1" w:rsidRDefault="00B62D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ED" w:rsidRDefault="00B62DED">
      <w:r>
        <w:separator/>
      </w:r>
    </w:p>
  </w:footnote>
  <w:footnote w:type="continuationSeparator" w:id="0">
    <w:p w:rsidR="00B62DED" w:rsidRDefault="00B62DED" w:rsidP="008B60B2">
      <w:r>
        <w:separator/>
      </w:r>
    </w:p>
    <w:p w:rsidR="00B62DED" w:rsidRPr="00ED77FB" w:rsidRDefault="00B62DED" w:rsidP="008B60B2">
      <w:pPr>
        <w:spacing w:after="60"/>
        <w:rPr>
          <w:sz w:val="17"/>
          <w:szCs w:val="17"/>
        </w:rPr>
      </w:pPr>
      <w:r w:rsidRPr="00ED77FB">
        <w:rPr>
          <w:sz w:val="17"/>
          <w:szCs w:val="17"/>
        </w:rPr>
        <w:t>[Footnote continued from previous page]</w:t>
      </w:r>
    </w:p>
  </w:footnote>
  <w:footnote w:type="continuationNotice" w:id="1">
    <w:p w:rsidR="00B62DED" w:rsidRPr="00ED77FB" w:rsidRDefault="00B62DED" w:rsidP="008B60B2">
      <w:pPr>
        <w:spacing w:before="60"/>
        <w:jc w:val="right"/>
        <w:rPr>
          <w:sz w:val="17"/>
          <w:szCs w:val="17"/>
        </w:rPr>
      </w:pPr>
      <w:r w:rsidRPr="00ED77FB">
        <w:rPr>
          <w:sz w:val="17"/>
          <w:szCs w:val="17"/>
        </w:rPr>
        <w:t>[Footnote continued on next page]</w:t>
      </w:r>
    </w:p>
  </w:footnote>
  <w:footnote w:id="2">
    <w:p w:rsidR="00076231" w:rsidRPr="005C74BE" w:rsidRDefault="00076231" w:rsidP="001474DB">
      <w:pPr>
        <w:pStyle w:val="FootnoteText"/>
        <w:tabs>
          <w:tab w:val="left" w:pos="567"/>
        </w:tabs>
        <w:rPr>
          <w:szCs w:val="18"/>
          <w:u w:val="single"/>
        </w:rPr>
      </w:pPr>
      <w:r w:rsidRPr="00C51805">
        <w:rPr>
          <w:rStyle w:val="FootnoteReference"/>
          <w:szCs w:val="18"/>
        </w:rPr>
        <w:footnoteRef/>
      </w:r>
      <w:r w:rsidRPr="00C51805">
        <w:rPr>
          <w:szCs w:val="18"/>
        </w:rPr>
        <w:tab/>
      </w:r>
      <w:r>
        <w:rPr>
          <w:szCs w:val="18"/>
        </w:rPr>
        <w:t xml:space="preserve">See </w:t>
      </w:r>
      <w:r w:rsidRPr="007E2076">
        <w:t>https://www.wipo.int/edocs/mdocs/govbody/en/wo_ga_51/wo_ga_51_15.pdf</w:t>
      </w:r>
      <w:r w:rsidRPr="007E2076">
        <w:rPr>
          <w:szCs w:val="18"/>
        </w:rPr>
        <w:t>.</w:t>
      </w:r>
    </w:p>
  </w:footnote>
  <w:footnote w:id="3">
    <w:p w:rsidR="00076231" w:rsidRPr="009D416F" w:rsidRDefault="00076231" w:rsidP="001474DB">
      <w:pPr>
        <w:pStyle w:val="FootnoteText"/>
        <w:rPr>
          <w:szCs w:val="18"/>
        </w:rPr>
      </w:pPr>
      <w:r>
        <w:rPr>
          <w:rStyle w:val="FootnoteReference"/>
        </w:rPr>
        <w:footnoteRef/>
      </w:r>
      <w:r>
        <w:t xml:space="preserve"> </w:t>
      </w:r>
      <w:r>
        <w:tab/>
      </w:r>
      <w:r w:rsidRPr="009D416F">
        <w:rPr>
          <w:szCs w:val="18"/>
        </w:rPr>
        <w:t xml:space="preserve">All workshops and other events organized by the Center </w:t>
      </w:r>
      <w:proofErr w:type="gramStart"/>
      <w:r w:rsidRPr="009D416F">
        <w:rPr>
          <w:szCs w:val="18"/>
        </w:rPr>
        <w:t>are listed</w:t>
      </w:r>
      <w:proofErr w:type="gramEnd"/>
      <w:r w:rsidRPr="009D416F">
        <w:rPr>
          <w:szCs w:val="18"/>
        </w:rPr>
        <w:t xml:space="preserve"> </w:t>
      </w:r>
      <w:r w:rsidRPr="003A09DF">
        <w:rPr>
          <w:szCs w:val="18"/>
        </w:rPr>
        <w:t>at http://www.wipo.int/amc/en/events</w:t>
      </w:r>
      <w:r w:rsidRPr="009D416F">
        <w:rPr>
          <w:szCs w:val="18"/>
        </w:rPr>
        <w:t>.</w:t>
      </w:r>
    </w:p>
  </w:footnote>
  <w:footnote w:id="4">
    <w:p w:rsidR="00076231" w:rsidRPr="00076231" w:rsidRDefault="00076231" w:rsidP="001474DB">
      <w:pPr>
        <w:pStyle w:val="FootnoteText"/>
      </w:pPr>
      <w:r>
        <w:rPr>
          <w:rStyle w:val="FootnoteReference"/>
        </w:rPr>
        <w:footnoteRef/>
      </w:r>
      <w:r>
        <w:t xml:space="preserve"> </w:t>
      </w:r>
      <w:r>
        <w:tab/>
      </w:r>
      <w:r>
        <w:rPr>
          <w:rFonts w:ascii="Helvetica" w:hAnsi="Helvetica" w:cs="Helvetica"/>
          <w:color w:val="000000"/>
          <w:szCs w:val="18"/>
          <w:shd w:val="clear" w:color="auto" w:fill="FFFFFF"/>
        </w:rPr>
        <w:t xml:space="preserve">The Center provides procedural assistance (Good Offices) to parties involved in an IP or technology dispute, in order to facilitate direct settlement between them or the submission of their dispute to WIPO mediation or </w:t>
      </w:r>
      <w:r w:rsidRPr="00076231">
        <w:rPr>
          <w:rFonts w:ascii="Helvetica" w:hAnsi="Helvetica" w:cs="Helvetica"/>
          <w:color w:val="000000"/>
          <w:szCs w:val="18"/>
          <w:shd w:val="clear" w:color="auto" w:fill="FFFFFF"/>
        </w:rPr>
        <w:t xml:space="preserve">arbitration, as alternatives to court litigation.  </w:t>
      </w:r>
    </w:p>
  </w:footnote>
  <w:footnote w:id="5">
    <w:p w:rsidR="00076231" w:rsidRPr="00076231" w:rsidRDefault="00076231" w:rsidP="001474DB">
      <w:pPr>
        <w:pStyle w:val="FootnoteText"/>
        <w:rPr>
          <w:szCs w:val="18"/>
        </w:rPr>
      </w:pPr>
      <w:r w:rsidRPr="00076231">
        <w:rPr>
          <w:rStyle w:val="FootnoteReference"/>
          <w:szCs w:val="18"/>
        </w:rPr>
        <w:footnoteRef/>
      </w:r>
      <w:r w:rsidRPr="00076231">
        <w:rPr>
          <w:szCs w:val="18"/>
        </w:rPr>
        <w:t xml:space="preserve"> </w:t>
      </w:r>
      <w:r w:rsidRPr="00076231">
        <w:rPr>
          <w:szCs w:val="18"/>
        </w:rPr>
        <w:tab/>
      </w:r>
      <w:r w:rsidRPr="007E2076">
        <w:rPr>
          <w:szCs w:val="18"/>
        </w:rPr>
        <w:t>Formerly called WIPO ECAF, WIPO</w:t>
      </w:r>
      <w:r w:rsidRPr="00076231">
        <w:rPr>
          <w:szCs w:val="18"/>
        </w:rPr>
        <w:t xml:space="preserve"> </w:t>
      </w:r>
      <w:proofErr w:type="spellStart"/>
      <w:r w:rsidRPr="00076231">
        <w:rPr>
          <w:szCs w:val="18"/>
        </w:rPr>
        <w:t>eADR</w:t>
      </w:r>
      <w:proofErr w:type="spellEnd"/>
      <w:r w:rsidRPr="00076231">
        <w:t xml:space="preserve"> offers online case communication and storage of documents facilitating </w:t>
      </w:r>
      <w:r w:rsidRPr="00076231">
        <w:rPr>
          <w:szCs w:val="18"/>
        </w:rPr>
        <w:t xml:space="preserve">time- and cost-efficient mediation and arbitration proceedings. See </w:t>
      </w:r>
      <w:r w:rsidRPr="00076231">
        <w:t>https://www.wipo.int/amc/en/eadr/</w:t>
      </w:r>
      <w:r w:rsidRPr="00076231">
        <w:rPr>
          <w:szCs w:val="18"/>
        </w:rPr>
        <w:t>.</w:t>
      </w:r>
    </w:p>
  </w:footnote>
  <w:footnote w:id="6">
    <w:p w:rsidR="00076231" w:rsidRPr="00076231" w:rsidRDefault="00076231" w:rsidP="001474DB">
      <w:pPr>
        <w:pStyle w:val="FootnoteText"/>
      </w:pPr>
      <w:r w:rsidRPr="00076231">
        <w:rPr>
          <w:rStyle w:val="FootnoteReference"/>
        </w:rPr>
        <w:footnoteRef/>
      </w:r>
      <w:r w:rsidRPr="00076231">
        <w:t xml:space="preserve"> </w:t>
      </w:r>
      <w:r w:rsidRPr="00076231">
        <w:tab/>
        <w:t xml:space="preserve">In the period, the America’s Cup Arbitration Panel (ACAP) continued to conduct its </w:t>
      </w:r>
      <w:r w:rsidR="00C41070">
        <w:t xml:space="preserve">arbitrations and mediations </w:t>
      </w:r>
      <w:r w:rsidRPr="00076231">
        <w:t>arising from the ongoing 36</w:t>
      </w:r>
      <w:r w:rsidRPr="001E0BB7">
        <w:rPr>
          <w:vertAlign w:val="superscript"/>
        </w:rPr>
        <w:t>th</w:t>
      </w:r>
      <w:r w:rsidRPr="00076231">
        <w:t xml:space="preserve"> edition of the America’s Cup sailing race series using a customized version of </w:t>
      </w:r>
      <w:proofErr w:type="spellStart"/>
      <w:r w:rsidRPr="00076231">
        <w:t>e</w:t>
      </w:r>
      <w:r w:rsidR="00C41070">
        <w:t>ADR</w:t>
      </w:r>
      <w:proofErr w:type="spellEnd"/>
      <w:r w:rsidR="00C41070">
        <w:t xml:space="preserve"> provided to ACAP by the</w:t>
      </w:r>
      <w:r w:rsidRPr="00076231">
        <w:t xml:space="preserve"> Center.</w:t>
      </w:r>
    </w:p>
  </w:footnote>
  <w:footnote w:id="7">
    <w:p w:rsidR="00076231" w:rsidRPr="00076231" w:rsidRDefault="00076231" w:rsidP="001474DB">
      <w:pPr>
        <w:pStyle w:val="FootnoteText"/>
      </w:pPr>
      <w:r w:rsidRPr="00076231">
        <w:rPr>
          <w:rStyle w:val="FootnoteReference"/>
        </w:rPr>
        <w:footnoteRef/>
      </w:r>
      <w:r w:rsidRPr="00076231">
        <w:t xml:space="preserve"> </w:t>
      </w:r>
      <w:r w:rsidRPr="00076231">
        <w:tab/>
        <w:t>The WIPO Clause Generator is available at http://www.wipo.int/amc-apps/clause-generator/.</w:t>
      </w:r>
    </w:p>
  </w:footnote>
  <w:footnote w:id="8">
    <w:p w:rsidR="00076231" w:rsidRDefault="00076231" w:rsidP="001474DB">
      <w:r w:rsidRPr="00076231">
        <w:rPr>
          <w:rStyle w:val="FootnoteReference"/>
        </w:rPr>
        <w:footnoteRef/>
      </w:r>
      <w:r w:rsidRPr="00076231">
        <w:t xml:space="preserve"> </w:t>
      </w:r>
      <w:r w:rsidRPr="00076231">
        <w:tab/>
      </w:r>
      <w:r w:rsidRPr="00076231">
        <w:rPr>
          <w:rFonts w:ascii="Helvetica" w:eastAsia="Times New Roman" w:hAnsi="Helvetica" w:cs="Helvetica"/>
          <w:color w:val="000000"/>
          <w:sz w:val="18"/>
          <w:szCs w:val="18"/>
          <w:shd w:val="clear" w:color="auto" w:fill="FFFFFF"/>
          <w:lang w:eastAsia="en-US"/>
        </w:rPr>
        <w:t xml:space="preserve">WIPO mediation, arbitration, and domain name dispute resolution services remained </w:t>
      </w:r>
      <w:r w:rsidRPr="007E2076">
        <w:rPr>
          <w:rFonts w:ascii="Helvetica" w:eastAsia="Times New Roman" w:hAnsi="Helvetica" w:cs="Helvetica"/>
          <w:color w:val="000000"/>
          <w:sz w:val="18"/>
          <w:szCs w:val="18"/>
          <w:lang w:eastAsia="en-US"/>
        </w:rPr>
        <w:t>up and running</w:t>
      </w:r>
      <w:r w:rsidRPr="00076231">
        <w:rPr>
          <w:rFonts w:ascii="Helvetica" w:eastAsia="Times New Roman" w:hAnsi="Helvetica" w:cs="Helvetica"/>
          <w:color w:val="000000"/>
          <w:sz w:val="18"/>
          <w:szCs w:val="18"/>
          <w:shd w:val="clear" w:color="auto" w:fill="FFFF00"/>
          <w:lang w:eastAsia="en-US"/>
        </w:rPr>
        <w:t xml:space="preserve"> </w:t>
      </w:r>
      <w:r w:rsidRPr="00076231">
        <w:rPr>
          <w:rFonts w:ascii="Helvetica" w:eastAsia="Times New Roman" w:hAnsi="Helvetica" w:cs="Helvetica"/>
          <w:color w:val="000000"/>
          <w:sz w:val="18"/>
          <w:szCs w:val="18"/>
          <w:shd w:val="clear" w:color="auto" w:fill="FFFFFF"/>
          <w:lang w:eastAsia="en-US"/>
        </w:rPr>
        <w:t>notwithstanding the consequences brought by COVID-19. For parties and representatives, the Center</w:t>
      </w:r>
      <w:r w:rsidRPr="00DD5AEE">
        <w:rPr>
          <w:rFonts w:ascii="Helvetica" w:eastAsia="Times New Roman" w:hAnsi="Helvetica" w:cs="Helvetica"/>
          <w:color w:val="000000"/>
          <w:sz w:val="18"/>
          <w:szCs w:val="18"/>
          <w:shd w:val="clear" w:color="auto" w:fill="FFFFFF"/>
          <w:lang w:eastAsia="en-US"/>
        </w:rPr>
        <w:t xml:space="preserve"> </w:t>
      </w:r>
      <w:r>
        <w:rPr>
          <w:rFonts w:ascii="Helvetica" w:eastAsia="Times New Roman" w:hAnsi="Helvetica" w:cs="Helvetica"/>
          <w:color w:val="000000"/>
          <w:sz w:val="18"/>
          <w:szCs w:val="18"/>
          <w:shd w:val="clear" w:color="auto" w:fill="FFFFFF"/>
          <w:lang w:eastAsia="en-US"/>
        </w:rPr>
        <w:t xml:space="preserve">posted </w:t>
      </w:r>
      <w:r w:rsidRPr="00DD5AEE">
        <w:rPr>
          <w:rFonts w:ascii="Helvetica" w:eastAsia="Times New Roman" w:hAnsi="Helvetica" w:cs="Helvetica"/>
          <w:color w:val="000000"/>
          <w:sz w:val="18"/>
          <w:szCs w:val="18"/>
          <w:shd w:val="clear" w:color="auto" w:fill="FFFFFF"/>
          <w:lang w:eastAsia="en-US"/>
        </w:rPr>
        <w:t xml:space="preserve">logistical information to facilitate efficient </w:t>
      </w:r>
      <w:r w:rsidR="00BD343F">
        <w:rPr>
          <w:rFonts w:ascii="Helvetica" w:eastAsia="Times New Roman" w:hAnsi="Helvetica" w:cs="Helvetica"/>
          <w:color w:val="000000"/>
          <w:sz w:val="18"/>
          <w:szCs w:val="18"/>
          <w:shd w:val="clear" w:color="auto" w:fill="FFFFFF"/>
          <w:lang w:eastAsia="en-US"/>
        </w:rPr>
        <w:t xml:space="preserve">proceedings </w:t>
      </w:r>
      <w:r w:rsidRPr="00DD5AEE">
        <w:rPr>
          <w:rFonts w:ascii="Helvetica" w:eastAsia="Times New Roman" w:hAnsi="Helvetica" w:cs="Helvetica"/>
          <w:color w:val="000000"/>
          <w:sz w:val="18"/>
          <w:szCs w:val="18"/>
          <w:shd w:val="clear" w:color="auto" w:fill="FFFFFF"/>
          <w:lang w:eastAsia="en-US"/>
        </w:rPr>
        <w:t>under the circumstances.</w:t>
      </w:r>
      <w:r w:rsidR="00C41070">
        <w:rPr>
          <w:rFonts w:ascii="Helvetica" w:eastAsia="Times New Roman" w:hAnsi="Helvetica" w:cs="Helvetica"/>
          <w:color w:val="000000"/>
          <w:sz w:val="18"/>
          <w:szCs w:val="18"/>
          <w:shd w:val="clear" w:color="auto" w:fill="FFFFFF"/>
          <w:lang w:eastAsia="en-US"/>
        </w:rPr>
        <w:t xml:space="preserve"> S</w:t>
      </w:r>
      <w:r>
        <w:rPr>
          <w:rFonts w:ascii="Helvetica" w:eastAsia="Times New Roman" w:hAnsi="Helvetica" w:cs="Helvetica"/>
          <w:color w:val="000000"/>
          <w:sz w:val="18"/>
          <w:szCs w:val="18"/>
          <w:shd w:val="clear" w:color="auto" w:fill="FFFFFF"/>
          <w:lang w:eastAsia="en-US"/>
        </w:rPr>
        <w:t xml:space="preserve">ee </w:t>
      </w:r>
      <w:r w:rsidRPr="00A445F5">
        <w:rPr>
          <w:sz w:val="18"/>
        </w:rPr>
        <w:t>https://www.wipo.int/amc/en/center/wipoupdate.html</w:t>
      </w:r>
      <w:r w:rsidR="009F0F96">
        <w:rPr>
          <w:sz w:val="18"/>
        </w:rPr>
        <w:t>,</w:t>
      </w:r>
      <w:r w:rsidRPr="00A445F5">
        <w:rPr>
          <w:sz w:val="18"/>
        </w:rPr>
        <w:t xml:space="preserve"> and https://www.wipo.int/amc/en/center/wipocenterupd</w:t>
      </w:r>
      <w:r>
        <w:rPr>
          <w:sz w:val="18"/>
        </w:rPr>
        <w:t>ate.html</w:t>
      </w:r>
      <w:r w:rsidRPr="00A445F5">
        <w:rPr>
          <w:sz w:val="18"/>
        </w:rPr>
        <w:t>.</w:t>
      </w:r>
    </w:p>
  </w:footnote>
  <w:footnote w:id="9">
    <w:p w:rsidR="00D506CC" w:rsidRDefault="00D506CC" w:rsidP="001474DB">
      <w:pPr>
        <w:pStyle w:val="FootnoteText"/>
      </w:pPr>
      <w:r>
        <w:rPr>
          <w:rStyle w:val="FootnoteReference"/>
        </w:rPr>
        <w:footnoteRef/>
      </w:r>
      <w:r>
        <w:t xml:space="preserve"> </w:t>
      </w:r>
      <w:r>
        <w:tab/>
        <w:t xml:space="preserve">Formally, the </w:t>
      </w:r>
      <w:r w:rsidRPr="00D506CC">
        <w:rPr>
          <w:rFonts w:ascii="Helvetica" w:hAnsi="Helvetica" w:cs="Helvetica"/>
          <w:color w:val="000000"/>
          <w:szCs w:val="18"/>
          <w:shd w:val="clear" w:color="auto" w:fill="FFFFFF"/>
        </w:rPr>
        <w:t>United Nations Convention on International Settlement Agreements Resulting from Mediation</w:t>
      </w:r>
      <w:r>
        <w:rPr>
          <w:rFonts w:ascii="Helvetica" w:hAnsi="Helvetica" w:cs="Helvetica"/>
          <w:color w:val="000000"/>
          <w:szCs w:val="18"/>
          <w:shd w:val="clear" w:color="auto" w:fill="FFFFFF"/>
        </w:rPr>
        <w:t>.</w:t>
      </w:r>
    </w:p>
  </w:footnote>
  <w:footnote w:id="10">
    <w:p w:rsidR="00076231" w:rsidRDefault="00076231" w:rsidP="001474DB">
      <w:pPr>
        <w:pStyle w:val="FootnoteText"/>
      </w:pPr>
      <w:r>
        <w:rPr>
          <w:rStyle w:val="FootnoteReference"/>
        </w:rPr>
        <w:footnoteRef/>
      </w:r>
      <w:r>
        <w:t xml:space="preserve"> </w:t>
      </w:r>
      <w:r>
        <w:tab/>
        <w:t xml:space="preserve">See </w:t>
      </w:r>
      <w:r w:rsidRPr="00057119">
        <w:t>https://www.wipo.int/amc/en/center/specific-sectors/</w:t>
      </w:r>
      <w:r>
        <w:t>.</w:t>
      </w:r>
    </w:p>
  </w:footnote>
  <w:footnote w:id="11">
    <w:p w:rsidR="00076231" w:rsidRDefault="00076231" w:rsidP="001474DB">
      <w:pPr>
        <w:pStyle w:val="FootnoteText"/>
      </w:pPr>
      <w:r>
        <w:rPr>
          <w:rStyle w:val="FootnoteReference"/>
        </w:rPr>
        <w:footnoteRef/>
      </w:r>
      <w:r>
        <w:t xml:space="preserve"> </w:t>
      </w:r>
      <w:r>
        <w:tab/>
        <w:t xml:space="preserve">See </w:t>
      </w:r>
      <w:r w:rsidRPr="00443C1F">
        <w:t>https://www.wipo.int/amc/en/center/specific-sectors/ict/frand/</w:t>
      </w:r>
      <w:r>
        <w:t xml:space="preserve">. </w:t>
      </w:r>
      <w:r w:rsidRPr="00AD2FA9">
        <w:rPr>
          <w:shd w:val="clear" w:color="auto" w:fill="FFFFFF" w:themeFill="background1"/>
        </w:rPr>
        <w:t xml:space="preserve">The Center in collaboration with telecom stakeholders and patent arbitration experts developed the Guidance on WIPO FRAND ADR. Published in late 2017, the Guidance on WIPO FRAND ADR </w:t>
      </w:r>
      <w:proofErr w:type="gramStart"/>
      <w:r w:rsidRPr="00AD2FA9">
        <w:rPr>
          <w:shd w:val="clear" w:color="auto" w:fill="FFFFFF" w:themeFill="background1"/>
        </w:rPr>
        <w:t>is intended</w:t>
      </w:r>
      <w:proofErr w:type="gramEnd"/>
      <w:r w:rsidRPr="00AD2FA9">
        <w:rPr>
          <w:shd w:val="clear" w:color="auto" w:fill="FFFFFF" w:themeFill="background1"/>
        </w:rPr>
        <w:t xml:space="preserve"> to assist parties and neutrals to better understand and make use of available dispute resolution options when negotiating or drafting FRAND licensing agreements. The document covers key elements that parties may wish to consider to shape the ADR process, notably to address large SEP portfolios in the telecom, Internet of Things, and Connected Mobility sectors, and to manage the time and cost of proceedings. Tailored model submission agreements assisting parties to refer a FRAND-related dispute to WIPO mediation or arbitration are also included.</w:t>
      </w:r>
      <w:r w:rsidR="00141DE0">
        <w:rPr>
          <w:shd w:val="clear" w:color="auto" w:fill="FFFFFF" w:themeFill="background1"/>
        </w:rPr>
        <w:t xml:space="preserve"> </w:t>
      </w:r>
      <w:r w:rsidR="00141DE0" w:rsidRPr="00F50BF2">
        <w:t>In a recent development, the Center collaborates with the Munich Regional Court, Germany, to raise awareness of WIPO FRAND ADR opt</w:t>
      </w:r>
      <w:r w:rsidR="00141DE0">
        <w:t xml:space="preserve">ions among interested parties; </w:t>
      </w:r>
      <w:r w:rsidR="00141DE0" w:rsidRPr="00F50BF2">
        <w:t>see https://www.wipo.int/amc/en/clauses/national_court.html.</w:t>
      </w:r>
    </w:p>
  </w:footnote>
  <w:footnote w:id="12">
    <w:p w:rsidR="00076231" w:rsidRPr="000D08E2" w:rsidRDefault="00076231" w:rsidP="001474DB">
      <w:pPr>
        <w:pStyle w:val="FootnoteText"/>
      </w:pPr>
      <w:r>
        <w:rPr>
          <w:rStyle w:val="FootnoteReference"/>
        </w:rPr>
        <w:footnoteRef/>
      </w:r>
      <w:r>
        <w:t xml:space="preserve"> </w:t>
      </w:r>
      <w:r>
        <w:tab/>
      </w:r>
      <w:proofErr w:type="gramStart"/>
      <w:r w:rsidRPr="007E2076">
        <w:t>These include the National Center of Intellectual Property of Belarus (NCIP), Superintendence of Industry and Commerce of Colombia (SIC), the Eurasian Patent Organization (EAPO) (EAPO Member States), the Italian Patent and Trademark Office (UIBM), the Ministry of Justice of the Republic of Kazakhstan</w:t>
      </w:r>
      <w:r w:rsidR="00C3127A">
        <w:t xml:space="preserve"> (</w:t>
      </w:r>
      <w:r w:rsidR="00C3127A" w:rsidRPr="00A3503F">
        <w:t>Kazakhstan</w:t>
      </w:r>
      <w:r w:rsidR="00C3127A">
        <w:t>)</w:t>
      </w:r>
      <w:r w:rsidRPr="007E2076">
        <w:t>, the National Institute of copyright of Mexico (INDAUTOR), the Moroccan Office of Industrial and commercial Property (OMPIC), and the Supreme Court of Justice of Paraguay (CSJ).</w:t>
      </w:r>
      <w:proofErr w:type="gramEnd"/>
      <w:r w:rsidRPr="007E2076">
        <w:t xml:space="preserve"> A full list of the Center’s collaborations with IPOs is available at http://www.wipo.int/amc/en/center/specific-sectors/ipoffices/.</w:t>
      </w:r>
      <w:r>
        <w:t xml:space="preserve"> </w:t>
      </w:r>
    </w:p>
  </w:footnote>
  <w:footnote w:id="13">
    <w:p w:rsidR="00076231" w:rsidRPr="003028C3" w:rsidRDefault="00076231" w:rsidP="001474DB">
      <w:pPr>
        <w:pStyle w:val="FootnoteText"/>
      </w:pPr>
      <w:r>
        <w:rPr>
          <w:rStyle w:val="FootnoteReference"/>
        </w:rPr>
        <w:footnoteRef/>
      </w:r>
      <w:r>
        <w:t xml:space="preserve"> </w:t>
      </w:r>
      <w:r>
        <w:tab/>
      </w:r>
      <w:proofErr w:type="gramStart"/>
      <w:r>
        <w:t xml:space="preserve">These include the National Institute of Industrial Property (INPI) in Argentina, IP Australia, </w:t>
      </w:r>
      <w:r w:rsidRPr="00A3503F">
        <w:t>NCIP, the Brazilian National Institute of Industrial Property (INPI-BR), the National Institute of Industrial Property of Chile (INAPI),  the National Intellectual Property Administration of the People's Republic of China (CNIPA), the National Copyright Directorate of Colombia (DNDA), SIC, the National Register of Costa Rica, the Cuban Industrial Property Office (OCPI), the Dominican Republic National Copyright Office (ONDA), the National Service of Intellectual Rights of Ecuador (SENADI), the El Salvador National Center of Registries (CNR), EAPO/EAPO Member States, the Hungarian Intellectual Property Office (HIPO), the Indonesia Directorate General of Intellectual Property (DGIP), the Israel Patent Office (ILPO), UIBM, Kazakhstan, the Kenya Copyright Board (KECOBO), the Ministry of Culture, Sports and Tourism of the Republic of Korea (MCST), the Korea Intellectual Property Office (KIPO), the State Service of Intellectual Property and Innovation under the Government of the Kyrgyz Republic (</w:t>
      </w:r>
      <w:proofErr w:type="spellStart"/>
      <w:r w:rsidRPr="00A3503F">
        <w:t>Kyrgyzpatent</w:t>
      </w:r>
      <w:proofErr w:type="spellEnd"/>
      <w:r w:rsidRPr="00A3503F">
        <w:t>), the Ministry of Culture of the Republic of Lithuania, the Mexican Institute of Industrial Property (IMPI Mexico), INDAUTOR, OMPIC, the Paraguay National Directorate of Intellectual Property (DINAPI), CSJ, the Intellectual Property Office of the Philippines (IPOPHL), the Patent Office of the Republic of Poland (PPO), the Romanian Copyright Office (ORDA), the Federal Service for Intellectual Property of the Russian Federation (ROSPATENT), the Intellectual Property Office of the Republic of Serbia, the Intellectual Property Office of Singapore (IPOS), the</w:t>
      </w:r>
      <w:r w:rsidRPr="002C57CF">
        <w:rPr>
          <w:shd w:val="clear" w:color="auto" w:fill="FFFFFF" w:themeFill="background1"/>
        </w:rPr>
        <w:t xml:space="preserve"> Spanish Patent and Trademark Office (OEPM), the Swiss Federal Institute of Intellectual Property (IPI), the Copyright Society of Tanzania (COSOTA), the Central Intellectual Property and International Trade Court of Thailand (CIPITC), the Intellectual Property Organization of Trinidad and Tobago </w:t>
      </w:r>
      <w:r w:rsidRPr="005957CA">
        <w:rPr>
          <w:shd w:val="clear" w:color="auto" w:fill="FFFFFF" w:themeFill="background1"/>
        </w:rPr>
        <w:t>(TTIPO)</w:t>
      </w:r>
      <w:r w:rsidRPr="002C57CF">
        <w:rPr>
          <w:shd w:val="clear" w:color="auto" w:fill="FFFFFF" w:themeFill="background1"/>
        </w:rPr>
        <w:t>, the Ministry of Economic Development and Trade of Ukraine (MEDT), the United Kingdom Intellectual Property Office (UKIPO), and the United States Patent and Trademark Office (USPTO).</w:t>
      </w:r>
      <w:proofErr w:type="gramEnd"/>
      <w:r>
        <w:t xml:space="preserve">  </w:t>
      </w:r>
    </w:p>
  </w:footnote>
  <w:footnote w:id="14">
    <w:p w:rsidR="00076231" w:rsidRPr="00BA2E16" w:rsidRDefault="00076231" w:rsidP="001474DB">
      <w:pPr>
        <w:pStyle w:val="FootnoteText"/>
      </w:pPr>
      <w:r w:rsidRPr="00B95794">
        <w:rPr>
          <w:rStyle w:val="FootnoteReference"/>
        </w:rPr>
        <w:footnoteRef/>
      </w:r>
      <w:r>
        <w:tab/>
        <w:t xml:space="preserve">For examples of </w:t>
      </w:r>
      <w:r w:rsidRPr="00B95794">
        <w:t>events organized by t</w:t>
      </w:r>
      <w:r>
        <w:t xml:space="preserve">he Center in collaboration </w:t>
      </w:r>
      <w:r w:rsidRPr="00B95794">
        <w:t xml:space="preserve">with </w:t>
      </w:r>
      <w:proofErr w:type="gramStart"/>
      <w:r w:rsidRPr="00B95794">
        <w:t>IPOs</w:t>
      </w:r>
      <w:proofErr w:type="gramEnd"/>
      <w:r w:rsidRPr="00B95794">
        <w:t xml:space="preserve"> </w:t>
      </w:r>
      <w:r>
        <w:t xml:space="preserve">see </w:t>
      </w:r>
      <w:r w:rsidRPr="00973BBB">
        <w:t>http://www.wipo.int/amc/en/center/specific-sectors/ipoffices/</w:t>
      </w:r>
      <w:r>
        <w:t xml:space="preserve">. </w:t>
      </w:r>
      <w:r w:rsidRPr="00B95794">
        <w:t>ADR also is included in the</w:t>
      </w:r>
      <w:r>
        <w:t xml:space="preserve"> programs of </w:t>
      </w:r>
      <w:r w:rsidRPr="00B95794">
        <w:t xml:space="preserve">WIPO Roving Seminars </w:t>
      </w:r>
      <w:r w:rsidR="00BF4DCB">
        <w:t>and Webinars</w:t>
      </w:r>
      <w:r>
        <w:t xml:space="preserve"> and online consultation meetings </w:t>
      </w:r>
      <w:r w:rsidRPr="00B95794">
        <w:t>organ</w:t>
      </w:r>
      <w:r>
        <w:t>ized in collaboration with IPOs. S</w:t>
      </w:r>
      <w:r w:rsidRPr="00B95794">
        <w:t xml:space="preserve">ee </w:t>
      </w:r>
      <w:r w:rsidRPr="00973BBB">
        <w:t>http://www.wipo.int/dcea/en/roving_seminars/</w:t>
      </w:r>
      <w:r>
        <w:t>.</w:t>
      </w:r>
    </w:p>
  </w:footnote>
  <w:footnote w:id="15">
    <w:p w:rsidR="00076231" w:rsidRPr="003A4E13" w:rsidRDefault="00076231" w:rsidP="001474DB">
      <w:pPr>
        <w:pStyle w:val="FootnoteText"/>
      </w:pPr>
      <w:r>
        <w:rPr>
          <w:rStyle w:val="FootnoteReference"/>
        </w:rPr>
        <w:footnoteRef/>
      </w:r>
      <w:r>
        <w:t xml:space="preserve"> </w:t>
      </w:r>
      <w:r w:rsidRPr="003A4E13">
        <w:t xml:space="preserve"> </w:t>
      </w:r>
      <w:r>
        <w:tab/>
      </w:r>
      <w:r w:rsidRPr="003A4E13">
        <w:t>For example</w:t>
      </w:r>
      <w:r>
        <w:t>,</w:t>
      </w:r>
      <w:r w:rsidRPr="003A4E13">
        <w:t xml:space="preserve"> </w:t>
      </w:r>
      <w:r>
        <w:t>u</w:t>
      </w:r>
      <w:r w:rsidRPr="00C950C2">
        <w:t xml:space="preserve">nder its collaboration with </w:t>
      </w:r>
      <w:r w:rsidRPr="00FA0A9D">
        <w:t>IPOS</w:t>
      </w:r>
      <w:r w:rsidRPr="00C950C2">
        <w:t xml:space="preserve">, the Center has participated in the development of a mediation option for trademark and </w:t>
      </w:r>
      <w:r>
        <w:t>other</w:t>
      </w:r>
      <w:r w:rsidRPr="00C950C2">
        <w:t xml:space="preserve"> proceedings, </w:t>
      </w:r>
      <w:r w:rsidRPr="007E2076">
        <w:t xml:space="preserve">and an expert determination option for patent proceedings pending before IPOS, and </w:t>
      </w:r>
      <w:r w:rsidR="00BF4DCB">
        <w:t xml:space="preserve">it </w:t>
      </w:r>
      <w:r w:rsidRPr="007E2076">
        <w:t>administers such proceedings. This mediation option is also the subject of a promotional scheme developed by IPOS with the Center. The Center also collaborates with IPOPHL concerning the administration of mediation proceedings involving IP rights in the Philippines. The Trademark Trial and Appeal Board (TTAB) and the Patent Trial and Appeal Board (PTAB) of USPTO encourage</w:t>
      </w:r>
      <w:r w:rsidRPr="00C950C2">
        <w:t xml:space="preserve"> parties to consider ADR as a means of settling issues raised in </w:t>
      </w:r>
      <w:r>
        <w:t>those</w:t>
      </w:r>
      <w:r w:rsidRPr="00C950C2">
        <w:t xml:space="preserve"> proceedings</w:t>
      </w:r>
      <w:r w:rsidR="00BF4DCB">
        <w:t xml:space="preserve">; the </w:t>
      </w:r>
      <w:r w:rsidRPr="00C950C2">
        <w:t xml:space="preserve">Center is one of the listed </w:t>
      </w:r>
      <w:proofErr w:type="gramStart"/>
      <w:r w:rsidRPr="00C950C2">
        <w:t>dispute resolution service providers</w:t>
      </w:r>
      <w:proofErr w:type="gramEnd"/>
      <w:r w:rsidR="00BF4DCB">
        <w:t xml:space="preserve">. </w:t>
      </w:r>
      <w:r w:rsidR="00BF4DCB" w:rsidRPr="008D4A3C">
        <w:t xml:space="preserve">Under its PPO </w:t>
      </w:r>
      <w:r w:rsidRPr="008D4A3C">
        <w:t>collaboration, the Center participated in the development of a WIPO mediation option that has become</w:t>
      </w:r>
      <w:r>
        <w:t xml:space="preserve"> available for pending trademark opposition proceedings, and is to administer such proceedings.  </w:t>
      </w:r>
    </w:p>
  </w:footnote>
  <w:footnote w:id="16">
    <w:p w:rsidR="00076231" w:rsidRPr="003D56EA" w:rsidRDefault="00076231" w:rsidP="001474DB">
      <w:pPr>
        <w:pStyle w:val="FootnoteText"/>
      </w:pPr>
      <w:r>
        <w:rPr>
          <w:rStyle w:val="FootnoteReference"/>
        </w:rPr>
        <w:footnoteRef/>
      </w:r>
      <w:r>
        <w:t xml:space="preserve"> </w:t>
      </w:r>
      <w:r>
        <w:tab/>
        <w:t>This notably concerns the collaborations between</w:t>
      </w:r>
      <w:r w:rsidRPr="002B0DD7">
        <w:t xml:space="preserve"> the Center and the National Copyright Directorate of Colombia (DNDA)</w:t>
      </w:r>
      <w:r>
        <w:t>,</w:t>
      </w:r>
      <w:r w:rsidRPr="002B0DD7">
        <w:t xml:space="preserve"> the Korea Copyright Commission (KCC)</w:t>
      </w:r>
      <w:r>
        <w:t>,</w:t>
      </w:r>
      <w:r w:rsidRPr="002B0DD7">
        <w:t xml:space="preserve"> and the </w:t>
      </w:r>
      <w:hyperlink r:id="rId1" w:history="1">
        <w:r w:rsidRPr="002B0DD7">
          <w:t>Korea Creative Content Agency (KOCCA)</w:t>
        </w:r>
      </w:hyperlink>
      <w:r w:rsidRPr="002B0DD7">
        <w:t>.</w:t>
      </w:r>
      <w:r>
        <w:t xml:space="preserve"> See</w:t>
      </w:r>
      <w:r w:rsidRPr="002A57FB">
        <w:t xml:space="preserve"> http://www.wipo.int/amc/en/center/specific-sectors/ipo</w:t>
      </w:r>
      <w:r>
        <w:t>ffice</w:t>
      </w:r>
      <w:r w:rsidRPr="002A57FB">
        <w:t>s/.</w:t>
      </w:r>
    </w:p>
  </w:footnote>
  <w:footnote w:id="17">
    <w:p w:rsidR="00076231" w:rsidRPr="00B95794" w:rsidRDefault="00076231" w:rsidP="001474DB">
      <w:pPr>
        <w:pStyle w:val="FootnoteText"/>
      </w:pPr>
      <w:r w:rsidRPr="00F85F49">
        <w:rPr>
          <w:rStyle w:val="FootnoteReference"/>
        </w:rPr>
        <w:footnoteRef/>
      </w:r>
      <w:r w:rsidRPr="00F85F49">
        <w:tab/>
      </w:r>
      <w:r w:rsidRPr="00F85F49">
        <w:rPr>
          <w:szCs w:val="18"/>
          <w:shd w:val="clear" w:color="auto" w:fill="FFFFFF" w:themeFill="background1"/>
        </w:rPr>
        <w:t>For example, the Center</w:t>
      </w:r>
      <w:r>
        <w:rPr>
          <w:szCs w:val="18"/>
          <w:shd w:val="clear" w:color="auto" w:fill="FFFFFF" w:themeFill="background1"/>
        </w:rPr>
        <w:t xml:space="preserve"> produced such models with OEPM. </w:t>
      </w:r>
      <w:r w:rsidRPr="00F85F49">
        <w:rPr>
          <w:shd w:val="clear" w:color="auto" w:fill="FFFFFF" w:themeFill="background1"/>
        </w:rPr>
        <w:t>Other model R&amp;D agreements that recommend WIPO Mediation followed by [Expedited] Arbitration include the EU DESCA 20</w:t>
      </w:r>
      <w:r>
        <w:rPr>
          <w:shd w:val="clear" w:color="auto" w:fill="FFFFFF" w:themeFill="background1"/>
        </w:rPr>
        <w:t xml:space="preserve">20 Model Consortium Agreement; </w:t>
      </w:r>
      <w:r w:rsidRPr="00F85F49">
        <w:rPr>
          <w:shd w:val="clear" w:color="auto" w:fill="FFFFFF" w:themeFill="background1"/>
        </w:rPr>
        <w:t xml:space="preserve">the </w:t>
      </w:r>
      <w:r w:rsidRPr="00F85F49">
        <w:rPr>
          <w:shd w:val="clear" w:color="auto" w:fill="FFFFFF" w:themeFill="background1"/>
          <w:lang w:val="en"/>
        </w:rPr>
        <w:t>Intellectual Property Agreement Guide (IPAG</w:t>
      </w:r>
      <w:r>
        <w:rPr>
          <w:shd w:val="clear" w:color="auto" w:fill="FFFFFF" w:themeFill="background1"/>
          <w:lang w:val="en"/>
        </w:rPr>
        <w:t xml:space="preserve">) Model Agreements in Austria; </w:t>
      </w:r>
      <w:r w:rsidRPr="00F85F49">
        <w:rPr>
          <w:shd w:val="clear" w:color="auto" w:fill="FFFFFF" w:themeFill="background1"/>
          <w:lang w:val="en"/>
        </w:rPr>
        <w:t>and the Sample Agreements for Research and Development Cooperat</w:t>
      </w:r>
      <w:r>
        <w:rPr>
          <w:shd w:val="clear" w:color="auto" w:fill="FFFFFF" w:themeFill="background1"/>
          <w:lang w:val="en"/>
        </w:rPr>
        <w:t>ion in Germany.</w:t>
      </w:r>
      <w:r w:rsidRPr="00F85F49">
        <w:rPr>
          <w:shd w:val="clear" w:color="auto" w:fill="FFFFFF" w:themeFill="background1"/>
          <w:lang w:val="en"/>
        </w:rPr>
        <w:t xml:space="preserve"> For further </w:t>
      </w:r>
      <w:proofErr w:type="gramStart"/>
      <w:r w:rsidRPr="00F85F49">
        <w:rPr>
          <w:shd w:val="clear" w:color="auto" w:fill="FFFFFF" w:themeFill="background1"/>
          <w:lang w:val="en"/>
        </w:rPr>
        <w:t>information</w:t>
      </w:r>
      <w:proofErr w:type="gramEnd"/>
      <w:r w:rsidRPr="00F85F49">
        <w:rPr>
          <w:shd w:val="clear" w:color="auto" w:fill="FFFFFF" w:themeFill="background1"/>
          <w:lang w:val="en"/>
        </w:rPr>
        <w:t xml:space="preserve"> see http://www.wipo.int/amc/en/center/specific-sectors/rd/.</w:t>
      </w:r>
    </w:p>
  </w:footnote>
  <w:footnote w:id="18">
    <w:p w:rsidR="00076231" w:rsidRPr="00786B1C" w:rsidRDefault="00076231" w:rsidP="001474DB">
      <w:pPr>
        <w:pStyle w:val="FootnoteText"/>
      </w:pPr>
      <w:r>
        <w:rPr>
          <w:rStyle w:val="FootnoteReference"/>
        </w:rPr>
        <w:footnoteRef/>
      </w:r>
      <w:r>
        <w:t xml:space="preserve"> </w:t>
      </w:r>
      <w:r>
        <w:tab/>
        <w:t xml:space="preserve">The second edition of the Guide is available at </w:t>
      </w:r>
      <w:r w:rsidRPr="00270085">
        <w:t>http://www.wipo.int/export/sites/www/amc/en/docs/adrguidejuly2015.pdf</w:t>
      </w:r>
      <w:r>
        <w:t xml:space="preserve">. </w:t>
      </w:r>
    </w:p>
  </w:footnote>
  <w:footnote w:id="19">
    <w:p w:rsidR="00076231" w:rsidRDefault="00076231" w:rsidP="001474DB">
      <w:pPr>
        <w:pStyle w:val="FootnoteText"/>
      </w:pPr>
      <w:r>
        <w:rPr>
          <w:rStyle w:val="FootnoteReference"/>
        </w:rPr>
        <w:footnoteRef/>
      </w:r>
      <w:r>
        <w:t xml:space="preserve"> </w:t>
      </w:r>
      <w:r>
        <w:tab/>
        <w:t xml:space="preserve">Subscribers to WIPO ADR Highlights increased to over 7,500 during the period; all </w:t>
      </w:r>
      <w:r w:rsidR="002845A1">
        <w:t xml:space="preserve">editions </w:t>
      </w:r>
      <w:r>
        <w:t xml:space="preserve">are available at </w:t>
      </w:r>
      <w:r w:rsidRPr="007E2076">
        <w:t>https://www.wipo.int/newsletters-archive/en/adr_highlights.html</w:t>
      </w:r>
      <w:r>
        <w:t xml:space="preserve">. </w:t>
      </w:r>
    </w:p>
  </w:footnote>
  <w:footnote w:id="20">
    <w:p w:rsidR="00076231" w:rsidRDefault="00076231" w:rsidP="001474DB">
      <w:pPr>
        <w:pStyle w:val="FootnoteText"/>
      </w:pPr>
      <w:r>
        <w:rPr>
          <w:rStyle w:val="FootnoteReference"/>
        </w:rPr>
        <w:footnoteRef/>
      </w:r>
      <w:r>
        <w:t xml:space="preserve"> </w:t>
      </w:r>
      <w:r>
        <w:tab/>
        <w:t xml:space="preserve">To date, Center webinars </w:t>
      </w:r>
      <w:proofErr w:type="gramStart"/>
      <w:r>
        <w:t xml:space="preserve">have been </w:t>
      </w:r>
      <w:r w:rsidR="00C0347F">
        <w:t>delivered</w:t>
      </w:r>
      <w:proofErr w:type="gramEnd"/>
      <w:r>
        <w:t xml:space="preserve"> in Chinese, English, French, Japanese, Russian and Spanish</w:t>
      </w:r>
      <w:r w:rsidR="00C0347F">
        <w:t xml:space="preserve">. </w:t>
      </w:r>
      <w:r>
        <w:t xml:space="preserve">Information on upcoming webinars (and past recordings) is available at </w:t>
      </w:r>
      <w:r w:rsidRPr="0020220C">
        <w:t>https://www.wipo.int/amc/en/events/webinar.html</w:t>
      </w:r>
      <w:r>
        <w:t xml:space="preserve">. </w:t>
      </w:r>
    </w:p>
  </w:footnote>
  <w:footnote w:id="21">
    <w:p w:rsidR="00076231" w:rsidRDefault="00076231" w:rsidP="001474DB">
      <w:pPr>
        <w:pStyle w:val="FootnoteText"/>
      </w:pPr>
      <w:r>
        <w:rPr>
          <w:rStyle w:val="FootnoteReference"/>
        </w:rPr>
        <w:footnoteRef/>
      </w:r>
      <w:r>
        <w:t xml:space="preserve"> </w:t>
      </w:r>
      <w:r>
        <w:tab/>
      </w:r>
      <w:r w:rsidR="00C0347F">
        <w:t xml:space="preserve">See </w:t>
      </w:r>
      <w:r w:rsidRPr="0020220C">
        <w:t>https://www.linkedin.com/showcase/wipo-arbitration-and-mediation-center/?originalSubdomain=ch</w:t>
      </w:r>
      <w:r>
        <w:t>.</w:t>
      </w:r>
    </w:p>
  </w:footnote>
  <w:footnote w:id="22">
    <w:p w:rsidR="00076231" w:rsidRDefault="00076231" w:rsidP="001474DB">
      <w:pPr>
        <w:pStyle w:val="FootnoteText"/>
      </w:pPr>
      <w:r>
        <w:rPr>
          <w:rStyle w:val="FootnoteReference"/>
        </w:rPr>
        <w:footnoteRef/>
      </w:r>
      <w:r>
        <w:t xml:space="preserve"> </w:t>
      </w:r>
      <w:r>
        <w:tab/>
        <w:t xml:space="preserve">See </w:t>
      </w:r>
      <w:r w:rsidRPr="00A6499E">
        <w:t>https://www.wipo.int/amc/en/mediation/pledge.html</w:t>
      </w:r>
      <w:r>
        <w:t>.</w:t>
      </w:r>
    </w:p>
  </w:footnote>
  <w:footnote w:id="23">
    <w:p w:rsidR="00E83C6C" w:rsidRPr="006475B9" w:rsidRDefault="00E83C6C" w:rsidP="00E83C6C">
      <w:pPr>
        <w:pStyle w:val="FootnoteText"/>
        <w:rPr>
          <w:szCs w:val="18"/>
        </w:rPr>
      </w:pPr>
      <w:r w:rsidRPr="003A09DF">
        <w:rPr>
          <w:rStyle w:val="FootnoteReference"/>
          <w:szCs w:val="18"/>
        </w:rPr>
        <w:footnoteRef/>
      </w:r>
      <w:r w:rsidRPr="003A09DF">
        <w:rPr>
          <w:szCs w:val="18"/>
        </w:rPr>
        <w:t xml:space="preserve"> </w:t>
      </w:r>
      <w:r w:rsidRPr="003A09DF">
        <w:rPr>
          <w:szCs w:val="18"/>
        </w:rPr>
        <w:tab/>
        <w:t>The Management of Internet Names and Addresses:  Intellectual Property</w:t>
      </w:r>
      <w:r w:rsidRPr="006475B9">
        <w:rPr>
          <w:szCs w:val="18"/>
        </w:rPr>
        <w:t xml:space="preserve"> Issues – Final Report of the First WIPO </w:t>
      </w:r>
      <w:r w:rsidRPr="003A09DF">
        <w:rPr>
          <w:szCs w:val="18"/>
        </w:rPr>
        <w:t xml:space="preserve">Internet Domain Name Process, WIPO publication No. </w:t>
      </w:r>
      <w:proofErr w:type="gramStart"/>
      <w:r w:rsidRPr="003A09DF">
        <w:rPr>
          <w:szCs w:val="18"/>
        </w:rPr>
        <w:t>439, also</w:t>
      </w:r>
      <w:proofErr w:type="gramEnd"/>
      <w:r w:rsidRPr="003A09DF">
        <w:rPr>
          <w:szCs w:val="18"/>
        </w:rPr>
        <w:t xml:space="preserve"> available at http://www.wipo.int/amc/en/processes/process1/report.</w:t>
      </w:r>
    </w:p>
  </w:footnote>
  <w:footnote w:id="24">
    <w:p w:rsidR="00E83C6C" w:rsidRPr="006475B9" w:rsidRDefault="00E83C6C" w:rsidP="00E83C6C">
      <w:pPr>
        <w:pStyle w:val="FootnoteText"/>
        <w:rPr>
          <w:szCs w:val="18"/>
        </w:rPr>
      </w:pPr>
      <w:r w:rsidRPr="006475B9">
        <w:rPr>
          <w:rStyle w:val="FootnoteReference"/>
          <w:szCs w:val="18"/>
        </w:rPr>
        <w:footnoteRef/>
      </w:r>
      <w:r w:rsidRPr="006475B9">
        <w:rPr>
          <w:szCs w:val="18"/>
        </w:rPr>
        <w:t xml:space="preserve"> </w:t>
      </w:r>
      <w:r w:rsidRPr="006475B9">
        <w:rPr>
          <w:szCs w:val="18"/>
        </w:rPr>
        <w:tab/>
        <w:t xml:space="preserve">The Recognition of Rights and the Use of Names in the Internet Domain Name System – Report of the Second WIPO Internet Domain Name Process, WIPO Publication No. 843, also available at </w:t>
      </w:r>
      <w:r w:rsidRPr="003A09DF">
        <w:rPr>
          <w:szCs w:val="18"/>
        </w:rPr>
        <w:t>http://www.wipo.int/amc/en/processes/process2/report.</w:t>
      </w:r>
    </w:p>
  </w:footnote>
  <w:footnote w:id="25">
    <w:p w:rsidR="00E83C6C" w:rsidRPr="006475B9" w:rsidRDefault="00E83C6C" w:rsidP="00E83C6C">
      <w:pPr>
        <w:pStyle w:val="FootnoteText"/>
        <w:rPr>
          <w:szCs w:val="18"/>
        </w:rPr>
      </w:pPr>
      <w:r w:rsidRPr="006475B9">
        <w:rPr>
          <w:rStyle w:val="FootnoteReference"/>
          <w:szCs w:val="18"/>
        </w:rPr>
        <w:footnoteRef/>
      </w:r>
      <w:r w:rsidRPr="006475B9">
        <w:rPr>
          <w:szCs w:val="18"/>
        </w:rPr>
        <w:tab/>
      </w:r>
      <w:r>
        <w:rPr>
          <w:szCs w:val="24"/>
        </w:rPr>
        <w:t xml:space="preserve">The UDRP </w:t>
      </w:r>
      <w:r w:rsidRPr="006475B9">
        <w:rPr>
          <w:szCs w:val="24"/>
        </w:rPr>
        <w:t>does not prevent either party from submitting a dispute t</w:t>
      </w:r>
      <w:r>
        <w:rPr>
          <w:szCs w:val="24"/>
        </w:rPr>
        <w:t xml:space="preserve">o a competent court of justice; however, </w:t>
      </w:r>
      <w:r w:rsidRPr="006475B9">
        <w:rPr>
          <w:szCs w:val="24"/>
        </w:rPr>
        <w:t xml:space="preserve">very few cases that </w:t>
      </w:r>
      <w:proofErr w:type="gramStart"/>
      <w:r w:rsidRPr="006475B9">
        <w:rPr>
          <w:szCs w:val="24"/>
        </w:rPr>
        <w:t>have been decided</w:t>
      </w:r>
      <w:proofErr w:type="gramEnd"/>
      <w:r w:rsidRPr="006475B9">
        <w:rPr>
          <w:szCs w:val="24"/>
        </w:rPr>
        <w:t xml:space="preserve"> under the UDRP have been brought before a </w:t>
      </w:r>
      <w:r>
        <w:rPr>
          <w:szCs w:val="24"/>
        </w:rPr>
        <w:t>court</w:t>
      </w:r>
      <w:r w:rsidRPr="006475B9">
        <w:rPr>
          <w:szCs w:val="24"/>
        </w:rPr>
        <w:t>.</w:t>
      </w:r>
      <w:r>
        <w:rPr>
          <w:szCs w:val="24"/>
        </w:rPr>
        <w:t xml:space="preserve"> </w:t>
      </w:r>
      <w:r w:rsidRPr="006475B9">
        <w:rPr>
          <w:szCs w:val="18"/>
        </w:rPr>
        <w:t xml:space="preserve">See Selected UDRP-related Court </w:t>
      </w:r>
      <w:r w:rsidRPr="003A09DF">
        <w:rPr>
          <w:szCs w:val="18"/>
        </w:rPr>
        <w:t>Cases at http://www.wipo.int/amc/en/domains/challenged.</w:t>
      </w:r>
    </w:p>
  </w:footnote>
  <w:footnote w:id="26">
    <w:p w:rsidR="00E83C6C" w:rsidRPr="003A09DF" w:rsidRDefault="00E83C6C" w:rsidP="00E83C6C">
      <w:pPr>
        <w:pStyle w:val="FootnoteText"/>
        <w:rPr>
          <w:color w:val="000000"/>
          <w:szCs w:val="18"/>
        </w:rPr>
      </w:pPr>
      <w:r w:rsidRPr="006475B9">
        <w:rPr>
          <w:rStyle w:val="FootnoteReference"/>
          <w:szCs w:val="18"/>
        </w:rPr>
        <w:footnoteRef/>
      </w:r>
      <w:r w:rsidRPr="006475B9">
        <w:rPr>
          <w:szCs w:val="18"/>
        </w:rPr>
        <w:t xml:space="preserve"> </w:t>
      </w:r>
      <w:r w:rsidRPr="006475B9">
        <w:rPr>
          <w:szCs w:val="18"/>
        </w:rPr>
        <w:tab/>
      </w:r>
      <w:r w:rsidRPr="006475B9">
        <w:rPr>
          <w:szCs w:val="24"/>
        </w:rPr>
        <w:t>The Center makes available online real-time statistics to assist WIPO UDRP case parties and neutrals, trademark attorneys, domain name registrants</w:t>
      </w:r>
      <w:r>
        <w:rPr>
          <w:szCs w:val="24"/>
        </w:rPr>
        <w:t xml:space="preserve">, </w:t>
      </w:r>
      <w:proofErr w:type="gramStart"/>
      <w:r>
        <w:rPr>
          <w:szCs w:val="24"/>
        </w:rPr>
        <w:t>domain name policy makers</w:t>
      </w:r>
      <w:proofErr w:type="gramEnd"/>
      <w:r>
        <w:rPr>
          <w:szCs w:val="24"/>
        </w:rPr>
        <w:t>,</w:t>
      </w:r>
      <w:r w:rsidRPr="006475B9">
        <w:rPr>
          <w:szCs w:val="24"/>
        </w:rPr>
        <w:t xml:space="preserve"> media, and academics.</w:t>
      </w:r>
      <w:r>
        <w:rPr>
          <w:szCs w:val="24"/>
        </w:rPr>
        <w:t xml:space="preserve"> </w:t>
      </w:r>
      <w:r>
        <w:rPr>
          <w:szCs w:val="18"/>
        </w:rPr>
        <w:t xml:space="preserve">Available information </w:t>
      </w:r>
      <w:r w:rsidRPr="006475B9">
        <w:rPr>
          <w:szCs w:val="18"/>
        </w:rPr>
        <w:t>cover</w:t>
      </w:r>
      <w:r>
        <w:rPr>
          <w:szCs w:val="18"/>
        </w:rPr>
        <w:t>s</w:t>
      </w:r>
      <w:r w:rsidRPr="006475B9">
        <w:rPr>
          <w:szCs w:val="18"/>
        </w:rPr>
        <w:t xml:space="preserve"> many categories</w:t>
      </w:r>
      <w:r w:rsidRPr="003A09DF">
        <w:rPr>
          <w:szCs w:val="18"/>
        </w:rPr>
        <w:t xml:space="preserve">, such as “areas of complainant activity”, “domain name script”, and “25 most </w:t>
      </w:r>
      <w:r>
        <w:rPr>
          <w:szCs w:val="18"/>
        </w:rPr>
        <w:t xml:space="preserve">cited decisions in complaint”. </w:t>
      </w:r>
      <w:r w:rsidRPr="003A09DF">
        <w:rPr>
          <w:szCs w:val="18"/>
        </w:rPr>
        <w:t xml:space="preserve">See http://www.wipo.int/amc/en/domains/statistics. </w:t>
      </w:r>
    </w:p>
  </w:footnote>
  <w:footnote w:id="27">
    <w:p w:rsidR="00E83C6C" w:rsidRDefault="00E83C6C" w:rsidP="00E83C6C">
      <w:pPr>
        <w:pStyle w:val="FootnoteText"/>
      </w:pPr>
      <w:r w:rsidRPr="00864EB4">
        <w:rPr>
          <w:rStyle w:val="FootnoteReference"/>
          <w:szCs w:val="18"/>
        </w:rPr>
        <w:footnoteRef/>
      </w:r>
      <w:r w:rsidRPr="00864EB4">
        <w:rPr>
          <w:rStyle w:val="FootnoteReference"/>
          <w:szCs w:val="18"/>
        </w:rPr>
        <w:t xml:space="preserve"> </w:t>
      </w:r>
      <w:r w:rsidRPr="00864EB4">
        <w:rPr>
          <w:szCs w:val="24"/>
        </w:rPr>
        <w:t xml:space="preserve"> See WIPO Conference – As the UDRP Turns 20: Looking Back, Looking Ahead</w:t>
      </w:r>
      <w:r>
        <w:rPr>
          <w:szCs w:val="24"/>
        </w:rPr>
        <w:t xml:space="preserve"> at </w:t>
      </w:r>
      <w:r w:rsidRPr="00864EB4">
        <w:t>https://www.wipo.int/portal/en/news/2019/article_0050.html</w:t>
      </w:r>
      <w:r>
        <w:t>.</w:t>
      </w:r>
    </w:p>
  </w:footnote>
  <w:footnote w:id="28">
    <w:p w:rsidR="00E83C6C" w:rsidRPr="006475B9" w:rsidRDefault="00E83C6C" w:rsidP="00E83C6C">
      <w:pPr>
        <w:pStyle w:val="FootnoteText"/>
        <w:rPr>
          <w:szCs w:val="18"/>
        </w:rPr>
      </w:pPr>
      <w:r w:rsidRPr="003A09DF">
        <w:rPr>
          <w:rStyle w:val="FootnoteReference"/>
          <w:szCs w:val="18"/>
        </w:rPr>
        <w:footnoteRef/>
      </w:r>
      <w:r w:rsidRPr="003A09DF">
        <w:rPr>
          <w:szCs w:val="18"/>
        </w:rPr>
        <w:t xml:space="preserve"> </w:t>
      </w:r>
      <w:r w:rsidRPr="003A09DF">
        <w:rPr>
          <w:szCs w:val="18"/>
        </w:rPr>
        <w:tab/>
        <w:t>In alphabetical order, Chinese, Czech, Danish, Dutch, English, French,</w:t>
      </w:r>
      <w:r w:rsidRPr="006475B9">
        <w:rPr>
          <w:szCs w:val="18"/>
        </w:rPr>
        <w:t xml:space="preserve"> German, Hebrew, Italian, Japanese, Korean, Norwegian, Polish, Portuguese, Romanian, Russian, Slovak, Spanish, Swedish, Turkish</w:t>
      </w:r>
      <w:r>
        <w:rPr>
          <w:szCs w:val="18"/>
        </w:rPr>
        <w:t>, and Vietnamese</w:t>
      </w:r>
      <w:r w:rsidRPr="006475B9">
        <w:rPr>
          <w:szCs w:val="18"/>
        </w:rPr>
        <w:t>.</w:t>
      </w:r>
    </w:p>
  </w:footnote>
  <w:footnote w:id="29">
    <w:p w:rsidR="00E83C6C" w:rsidRDefault="00E83C6C" w:rsidP="00E83C6C">
      <w:pPr>
        <w:pStyle w:val="FootnoteText"/>
      </w:pPr>
      <w:r>
        <w:rPr>
          <w:rStyle w:val="FootnoteReference"/>
        </w:rPr>
        <w:footnoteRef/>
      </w:r>
      <w:r>
        <w:t xml:space="preserve"> </w:t>
      </w:r>
      <w:r>
        <w:tab/>
        <w:t xml:space="preserve">See </w:t>
      </w:r>
      <w:r w:rsidRPr="00DD06D0">
        <w:t>http://www.wipo.int/amc/en/domains/search/overview3.0/</w:t>
      </w:r>
      <w:r>
        <w:t xml:space="preserve">. </w:t>
      </w:r>
      <w:r>
        <w:rPr>
          <w:szCs w:val="24"/>
        </w:rPr>
        <w:t xml:space="preserve">The increased scope of WIPO </w:t>
      </w:r>
      <w:r w:rsidRPr="00CC643B">
        <w:rPr>
          <w:szCs w:val="24"/>
        </w:rPr>
        <w:t xml:space="preserve">Overview 3.0 </w:t>
      </w:r>
      <w:r>
        <w:rPr>
          <w:szCs w:val="24"/>
        </w:rPr>
        <w:t>since publication in 2011 of version</w:t>
      </w:r>
      <w:r w:rsidRPr="00CC643B">
        <w:rPr>
          <w:szCs w:val="24"/>
        </w:rPr>
        <w:t xml:space="preserve"> 2.0</w:t>
      </w:r>
      <w:r>
        <w:rPr>
          <w:szCs w:val="24"/>
        </w:rPr>
        <w:t xml:space="preserve"> reflects </w:t>
      </w:r>
      <w:r w:rsidRPr="00CC643B">
        <w:rPr>
          <w:szCs w:val="24"/>
        </w:rPr>
        <w:t>a range of DNS and UDRP case evolutions</w:t>
      </w:r>
      <w:r>
        <w:rPr>
          <w:szCs w:val="24"/>
        </w:rPr>
        <w:t xml:space="preserve"> in the near doubling of cases managed by the </w:t>
      </w:r>
      <w:r w:rsidRPr="00CC643B">
        <w:rPr>
          <w:szCs w:val="24"/>
        </w:rPr>
        <w:t xml:space="preserve">Center since </w:t>
      </w:r>
      <w:r>
        <w:rPr>
          <w:szCs w:val="24"/>
        </w:rPr>
        <w:t>then. The WIPO Overview is i</w:t>
      </w:r>
      <w:r w:rsidRPr="00CC643B">
        <w:rPr>
          <w:szCs w:val="24"/>
        </w:rPr>
        <w:t>nstrument</w:t>
      </w:r>
      <w:r>
        <w:rPr>
          <w:szCs w:val="24"/>
        </w:rPr>
        <w:t xml:space="preserve">al in developing and maintaining </w:t>
      </w:r>
      <w:r w:rsidRPr="00CC643B">
        <w:rPr>
          <w:szCs w:val="24"/>
        </w:rPr>
        <w:t xml:space="preserve">consistency of WIPO UDRP jurisprudence.  </w:t>
      </w:r>
    </w:p>
  </w:footnote>
  <w:footnote w:id="30">
    <w:p w:rsidR="00E83C6C" w:rsidRPr="003A09DF" w:rsidRDefault="00E83C6C" w:rsidP="00E83C6C">
      <w:pPr>
        <w:pStyle w:val="FootnoteText"/>
        <w:rPr>
          <w:szCs w:val="18"/>
        </w:rPr>
      </w:pPr>
      <w:r w:rsidRPr="003A09DF">
        <w:rPr>
          <w:rStyle w:val="FootnoteReference"/>
          <w:szCs w:val="18"/>
        </w:rPr>
        <w:footnoteRef/>
      </w:r>
      <w:r>
        <w:rPr>
          <w:szCs w:val="18"/>
        </w:rPr>
        <w:tab/>
        <w:t xml:space="preserve">See </w:t>
      </w:r>
      <w:r w:rsidRPr="00A61C34">
        <w:t>http://www.wipo.int/amc/en/domains/search/legalindex/</w:t>
      </w:r>
      <w:r>
        <w:t>.</w:t>
      </w:r>
    </w:p>
  </w:footnote>
  <w:footnote w:id="31">
    <w:p w:rsidR="00E83C6C" w:rsidRPr="00827322" w:rsidRDefault="00E83C6C" w:rsidP="00E83C6C">
      <w:pPr>
        <w:rPr>
          <w:i/>
        </w:rPr>
      </w:pPr>
      <w:r w:rsidRPr="002F0147">
        <w:rPr>
          <w:rStyle w:val="FootnoteReference"/>
          <w:sz w:val="18"/>
          <w:szCs w:val="18"/>
        </w:rPr>
        <w:footnoteRef/>
      </w:r>
      <w:r w:rsidRPr="002F0147">
        <w:rPr>
          <w:sz w:val="18"/>
          <w:szCs w:val="18"/>
        </w:rPr>
        <w:t xml:space="preserve"> </w:t>
      </w:r>
      <w:r w:rsidRPr="003A09DF">
        <w:tab/>
      </w:r>
      <w:r w:rsidRPr="00827322">
        <w:rPr>
          <w:sz w:val="18"/>
          <w:szCs w:val="18"/>
        </w:rPr>
        <w:t xml:space="preserve">In 2018, </w:t>
      </w:r>
      <w:r>
        <w:rPr>
          <w:sz w:val="18"/>
          <w:szCs w:val="18"/>
        </w:rPr>
        <w:t>t</w:t>
      </w:r>
      <w:r w:rsidRPr="00827322">
        <w:rPr>
          <w:sz w:val="18"/>
          <w:szCs w:val="18"/>
        </w:rPr>
        <w:t xml:space="preserve">he Center published informal WIPO guidance for parties on the practical impact of the European </w:t>
      </w:r>
      <w:r w:rsidRPr="00827322">
        <w:rPr>
          <w:sz w:val="18"/>
        </w:rPr>
        <w:t>Union’s General Data Protection Regulati</w:t>
      </w:r>
      <w:r>
        <w:rPr>
          <w:sz w:val="18"/>
        </w:rPr>
        <w:t xml:space="preserve">on (GDPR) on UDRP </w:t>
      </w:r>
      <w:r w:rsidRPr="00C46D04">
        <w:rPr>
          <w:sz w:val="18"/>
        </w:rPr>
        <w:t xml:space="preserve">proceedings. </w:t>
      </w:r>
      <w:r w:rsidRPr="00100F51">
        <w:rPr>
          <w:sz w:val="18"/>
        </w:rPr>
        <w:t xml:space="preserve">See </w:t>
      </w:r>
      <w:r w:rsidR="002316AC" w:rsidRPr="00100F51">
        <w:rPr>
          <w:sz w:val="18"/>
        </w:rPr>
        <w:t xml:space="preserve">paragraphs 39 </w:t>
      </w:r>
      <w:r w:rsidRPr="00100F51">
        <w:rPr>
          <w:sz w:val="18"/>
        </w:rPr>
        <w:t xml:space="preserve">to </w:t>
      </w:r>
      <w:r w:rsidR="002316AC" w:rsidRPr="00100F51">
        <w:rPr>
          <w:sz w:val="18"/>
        </w:rPr>
        <w:t>41</w:t>
      </w:r>
      <w:r w:rsidRPr="00C46D04">
        <w:rPr>
          <w:sz w:val="18"/>
        </w:rPr>
        <w:t>,</w:t>
      </w:r>
      <w:r w:rsidRPr="00C46D04">
        <w:rPr>
          <w:sz w:val="18"/>
          <w:shd w:val="clear" w:color="auto" w:fill="FFFFFF" w:themeFill="background1"/>
        </w:rPr>
        <w:t xml:space="preserve"> </w:t>
      </w:r>
      <w:r w:rsidRPr="00C46D04">
        <w:rPr>
          <w:i/>
          <w:sz w:val="18"/>
          <w:shd w:val="clear" w:color="auto" w:fill="FFFFFF" w:themeFill="background1"/>
        </w:rPr>
        <w:t>infra</w:t>
      </w:r>
      <w:r w:rsidRPr="00C46D04">
        <w:rPr>
          <w:sz w:val="18"/>
        </w:rPr>
        <w:t>. See also, WO/GA/47/14, paragraph 30, and WO/GA/41/17 Rev.2, paragraphs 14 to 16.</w:t>
      </w:r>
      <w:r w:rsidRPr="00827322">
        <w:rPr>
          <w:sz w:val="18"/>
        </w:rPr>
        <w:t xml:space="preserve">  </w:t>
      </w:r>
    </w:p>
  </w:footnote>
  <w:footnote w:id="32">
    <w:p w:rsidR="00E83C6C" w:rsidRPr="003A09DF" w:rsidRDefault="00E83C6C" w:rsidP="00E83C6C">
      <w:pPr>
        <w:pStyle w:val="FootnoteText"/>
      </w:pPr>
      <w:r w:rsidRPr="003A09DF">
        <w:rPr>
          <w:rStyle w:val="FootnoteReference"/>
        </w:rPr>
        <w:footnoteRef/>
      </w:r>
      <w:r w:rsidRPr="003A09DF">
        <w:t xml:space="preserve"> </w:t>
      </w:r>
      <w:r w:rsidRPr="003A09DF">
        <w:tab/>
        <w:t xml:space="preserve">See footnote 2, </w:t>
      </w:r>
      <w:r w:rsidRPr="003A09DF">
        <w:rPr>
          <w:i/>
        </w:rPr>
        <w:t>supra</w:t>
      </w:r>
      <w:r w:rsidRPr="003A09DF">
        <w:t>.</w:t>
      </w:r>
    </w:p>
  </w:footnote>
  <w:footnote w:id="33">
    <w:p w:rsidR="00E83C6C" w:rsidRDefault="00E83C6C" w:rsidP="00E83C6C">
      <w:pPr>
        <w:pStyle w:val="FootnoteText"/>
      </w:pPr>
      <w:r>
        <w:rPr>
          <w:rStyle w:val="FootnoteReference"/>
        </w:rPr>
        <w:footnoteRef/>
      </w:r>
      <w:r>
        <w:t xml:space="preserve"> </w:t>
      </w:r>
      <w:r>
        <w:tab/>
        <w:t xml:space="preserve">See </w:t>
      </w:r>
      <w:r w:rsidRPr="00E528DB">
        <w:t>http://www.wipo.int/amc/en/new/eu.html</w:t>
      </w:r>
      <w:r>
        <w:t>.</w:t>
      </w:r>
    </w:p>
  </w:footnote>
  <w:footnote w:id="34">
    <w:p w:rsidR="00E83C6C" w:rsidRPr="003A09DF" w:rsidRDefault="00E83C6C" w:rsidP="00E83C6C">
      <w:pPr>
        <w:pStyle w:val="FootnoteText"/>
        <w:rPr>
          <w:szCs w:val="18"/>
        </w:rPr>
      </w:pPr>
      <w:r w:rsidRPr="003A09DF">
        <w:rPr>
          <w:rStyle w:val="FootnoteReference"/>
          <w:szCs w:val="18"/>
        </w:rPr>
        <w:footnoteRef/>
      </w:r>
      <w:r w:rsidRPr="003A09DF">
        <w:rPr>
          <w:szCs w:val="18"/>
        </w:rPr>
        <w:tab/>
        <w:t xml:space="preserve">The full list of </w:t>
      </w:r>
      <w:proofErr w:type="spellStart"/>
      <w:proofErr w:type="gramStart"/>
      <w:r w:rsidRPr="003A09DF">
        <w:rPr>
          <w:szCs w:val="18"/>
        </w:rPr>
        <w:t>ccTLDs</w:t>
      </w:r>
      <w:proofErr w:type="spellEnd"/>
      <w:r w:rsidRPr="003A09DF">
        <w:rPr>
          <w:szCs w:val="18"/>
        </w:rPr>
        <w:t xml:space="preserve"> which have retained the Center as domain name dispute resolution provider</w:t>
      </w:r>
      <w:proofErr w:type="gramEnd"/>
      <w:r w:rsidRPr="003A09DF">
        <w:rPr>
          <w:szCs w:val="18"/>
        </w:rPr>
        <w:t xml:space="preserve"> is available at </w:t>
      </w:r>
      <w:r w:rsidRPr="008A196F">
        <w:rPr>
          <w:szCs w:val="18"/>
        </w:rPr>
        <w:t>http://www.wipo.int/amc/en/domains/cctld</w:t>
      </w:r>
      <w:r w:rsidRPr="003A09DF">
        <w:rPr>
          <w:szCs w:val="18"/>
        </w:rPr>
        <w:t>.</w:t>
      </w:r>
      <w:r>
        <w:rPr>
          <w:szCs w:val="18"/>
        </w:rPr>
        <w:t xml:space="preserve"> </w:t>
      </w:r>
    </w:p>
  </w:footnote>
  <w:footnote w:id="35">
    <w:p w:rsidR="00E83C6C" w:rsidRPr="000C129A" w:rsidRDefault="00E83C6C" w:rsidP="00E83C6C">
      <w:pPr>
        <w:pStyle w:val="FootnoteText"/>
      </w:pPr>
      <w:r>
        <w:rPr>
          <w:rStyle w:val="FootnoteReference"/>
        </w:rPr>
        <w:footnoteRef/>
      </w:r>
      <w:r>
        <w:t xml:space="preserve"> </w:t>
      </w:r>
      <w:r>
        <w:tab/>
      </w:r>
      <w:r w:rsidRPr="000C129A">
        <w:t xml:space="preserve">For example, the Center’s page dedicated to .CH </w:t>
      </w:r>
      <w:r>
        <w:t>(</w:t>
      </w:r>
      <w:r w:rsidRPr="000C129A">
        <w:t>Switzerland</w:t>
      </w:r>
      <w:r>
        <w:t>)</w:t>
      </w:r>
      <w:r w:rsidRPr="000C129A">
        <w:t xml:space="preserve"> is now also available in German and Italian, in addition </w:t>
      </w:r>
      <w:r>
        <w:t>to English, French, and Spanish.</w:t>
      </w:r>
    </w:p>
  </w:footnote>
  <w:footnote w:id="36">
    <w:p w:rsidR="00E83C6C" w:rsidRDefault="00E83C6C" w:rsidP="00E83C6C">
      <w:pPr>
        <w:pStyle w:val="FootnoteText"/>
      </w:pPr>
      <w:r>
        <w:rPr>
          <w:rStyle w:val="FootnoteReference"/>
        </w:rPr>
        <w:footnoteRef/>
      </w:r>
      <w:r>
        <w:t xml:space="preserve"> </w:t>
      </w:r>
      <w:r>
        <w:tab/>
        <w:t xml:space="preserve">See </w:t>
      </w:r>
      <w:r w:rsidRPr="008A196F">
        <w:t>http://www.wipo.int/amc/en/domains/cctld/</w:t>
      </w:r>
      <w:r>
        <w:t xml:space="preserve">. </w:t>
      </w:r>
    </w:p>
  </w:footnote>
  <w:footnote w:id="37">
    <w:p w:rsidR="00E83C6C" w:rsidRDefault="00E83C6C" w:rsidP="00E83C6C">
      <w:pPr>
        <w:pStyle w:val="FootnoteText"/>
      </w:pPr>
      <w:r>
        <w:rPr>
          <w:rStyle w:val="FootnoteReference"/>
        </w:rPr>
        <w:footnoteRef/>
      </w:r>
      <w:r>
        <w:t xml:space="preserve"> </w:t>
      </w:r>
      <w:r>
        <w:tab/>
        <w:t xml:space="preserve">See </w:t>
      </w:r>
      <w:r w:rsidRPr="003D7F8A">
        <w:t>https://www.wipo.int/edocs/pubdocs/en/wipo_pub_1069.pdf</w:t>
      </w:r>
      <w:r>
        <w:t>.</w:t>
      </w:r>
    </w:p>
  </w:footnote>
  <w:footnote w:id="38">
    <w:p w:rsidR="00E83C6C" w:rsidRPr="003A09DF" w:rsidRDefault="00E83C6C" w:rsidP="00E83C6C">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See </w:t>
      </w:r>
      <w:r w:rsidRPr="00043B50">
        <w:rPr>
          <w:szCs w:val="18"/>
        </w:rPr>
        <w:t>http://www.icann.org/en/minutes/resolutions-20jun11-en.htm</w:t>
      </w:r>
      <w:r>
        <w:rPr>
          <w:szCs w:val="18"/>
        </w:rPr>
        <w:t xml:space="preserve">. </w:t>
      </w:r>
      <w:r w:rsidRPr="003A09DF">
        <w:rPr>
          <w:szCs w:val="18"/>
        </w:rPr>
        <w:t>For further background including references, see document WO/GA/39/10, in particular paragraph 14.</w:t>
      </w:r>
    </w:p>
  </w:footnote>
  <w:footnote w:id="39">
    <w:p w:rsidR="00E83C6C" w:rsidRPr="003A09DF" w:rsidRDefault="00E83C6C" w:rsidP="00E83C6C">
      <w:pPr>
        <w:pStyle w:val="FootnoteText"/>
        <w:rPr>
          <w:szCs w:val="18"/>
        </w:rPr>
      </w:pPr>
      <w:r w:rsidRPr="003A09DF">
        <w:rPr>
          <w:rStyle w:val="FootnoteReference"/>
          <w:szCs w:val="18"/>
        </w:rPr>
        <w:footnoteRef/>
      </w:r>
      <w:r w:rsidRPr="003A09DF">
        <w:rPr>
          <w:szCs w:val="18"/>
        </w:rPr>
        <w:t xml:space="preserve"> </w:t>
      </w:r>
      <w:r w:rsidRPr="003A09DF">
        <w:rPr>
          <w:szCs w:val="18"/>
        </w:rPr>
        <w:tab/>
        <w:t xml:space="preserve">ICANN’s Applicant Guidebook is available at http://newgtlds.icann.org/en/applicants/agb. </w:t>
      </w:r>
    </w:p>
  </w:footnote>
  <w:footnote w:id="40">
    <w:p w:rsidR="00E83C6C" w:rsidRPr="006475B9" w:rsidRDefault="00E83C6C" w:rsidP="00E83C6C">
      <w:pPr>
        <w:pStyle w:val="FootnoteText"/>
      </w:pPr>
      <w:r w:rsidRPr="003A09DF">
        <w:rPr>
          <w:rStyle w:val="FootnoteReference"/>
        </w:rPr>
        <w:footnoteRef/>
      </w:r>
      <w:r w:rsidRPr="003A09DF">
        <w:t xml:space="preserve"> </w:t>
      </w:r>
      <w:r w:rsidRPr="003A09DF">
        <w:tab/>
        <w:t xml:space="preserve">Delegated new </w:t>
      </w:r>
      <w:proofErr w:type="spellStart"/>
      <w:r w:rsidRPr="003A09DF">
        <w:t>gTLDs</w:t>
      </w:r>
      <w:proofErr w:type="spellEnd"/>
      <w:r w:rsidRPr="003A09DF">
        <w:t xml:space="preserve"> </w:t>
      </w:r>
      <w:proofErr w:type="gramStart"/>
      <w:r w:rsidRPr="003A09DF">
        <w:t>are listed</w:t>
      </w:r>
      <w:proofErr w:type="gramEnd"/>
      <w:r w:rsidRPr="003A09DF">
        <w:t xml:space="preserve"> at http://newgtlds.icann.org/en/program-status/delegated-strings.</w:t>
      </w:r>
      <w:r w:rsidRPr="006475B9">
        <w:t xml:space="preserve">  </w:t>
      </w:r>
    </w:p>
  </w:footnote>
  <w:footnote w:id="41">
    <w:p w:rsidR="00E83C6C" w:rsidRPr="003A09DF" w:rsidRDefault="00E83C6C" w:rsidP="00E83C6C">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For further background including references, see WO/GA/39/10, in p</w:t>
      </w:r>
      <w:r>
        <w:rPr>
          <w:szCs w:val="18"/>
        </w:rPr>
        <w:t xml:space="preserve">articular paragraphs 23 to 30. </w:t>
      </w:r>
      <w:r w:rsidRPr="003A09DF">
        <w:rPr>
          <w:szCs w:val="18"/>
        </w:rPr>
        <w:t>It </w:t>
      </w:r>
      <w:proofErr w:type="gramStart"/>
      <w:r w:rsidRPr="003A09DF">
        <w:rPr>
          <w:szCs w:val="18"/>
        </w:rPr>
        <w:t>is noted</w:t>
      </w:r>
      <w:proofErr w:type="gramEnd"/>
      <w:r w:rsidRPr="003A09DF">
        <w:rPr>
          <w:szCs w:val="18"/>
        </w:rPr>
        <w:t xml:space="preserve"> here that ICANN rejected a proposal for a “Globally Protected Marks List”.</w:t>
      </w:r>
    </w:p>
  </w:footnote>
  <w:footnote w:id="42">
    <w:p w:rsidR="00E83C6C" w:rsidRPr="003A09DF" w:rsidRDefault="00E83C6C" w:rsidP="00E83C6C">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r>
      <w:r w:rsidRPr="003A09DF">
        <w:rPr>
          <w:szCs w:val="22"/>
        </w:rPr>
        <w:t>Other objection gr</w:t>
      </w:r>
      <w:r>
        <w:rPr>
          <w:szCs w:val="22"/>
        </w:rPr>
        <w:t xml:space="preserve">ounds recognized by ICANN </w:t>
      </w:r>
      <w:proofErr w:type="gramStart"/>
      <w:r>
        <w:rPr>
          <w:szCs w:val="22"/>
        </w:rPr>
        <w:t>were:</w:t>
      </w:r>
      <w:proofErr w:type="gramEnd"/>
      <w:r w:rsidRPr="003A09DF">
        <w:rPr>
          <w:szCs w:val="22"/>
        </w:rPr>
        <w:t xml:space="preserve"> “String Confusion Objections”, “Community Objections”, and “Limite</w:t>
      </w:r>
      <w:r>
        <w:rPr>
          <w:szCs w:val="22"/>
        </w:rPr>
        <w:t xml:space="preserve">d Public Interest Objections”. </w:t>
      </w:r>
      <w:r w:rsidRPr="003A09DF">
        <w:rPr>
          <w:szCs w:val="18"/>
        </w:rPr>
        <w:t>The Applicant Guidebook further includes a number of other p</w:t>
      </w:r>
      <w:r>
        <w:rPr>
          <w:szCs w:val="18"/>
        </w:rPr>
        <w:t xml:space="preserve">rocedures which governments could </w:t>
      </w:r>
      <w:r w:rsidRPr="003A09DF">
        <w:rPr>
          <w:szCs w:val="18"/>
        </w:rPr>
        <w:t>avail themselves of following ICANN announcemen</w:t>
      </w:r>
      <w:r>
        <w:rPr>
          <w:szCs w:val="18"/>
        </w:rPr>
        <w:t xml:space="preserve">t of new </w:t>
      </w:r>
      <w:proofErr w:type="spellStart"/>
      <w:r>
        <w:rPr>
          <w:szCs w:val="18"/>
        </w:rPr>
        <w:t>gTLD</w:t>
      </w:r>
      <w:proofErr w:type="spellEnd"/>
      <w:r>
        <w:rPr>
          <w:szCs w:val="18"/>
        </w:rPr>
        <w:t xml:space="preserve"> applications.</w:t>
      </w:r>
      <w:r w:rsidRPr="003A09DF">
        <w:rPr>
          <w:szCs w:val="18"/>
        </w:rPr>
        <w:t xml:space="preserve"> Notably, section 1.1.2.4 provides for “GAC Early Warning,” and section 1.1.2.7 provides for “Receipt of GAC Advice on New </w:t>
      </w:r>
      <w:proofErr w:type="spellStart"/>
      <w:r w:rsidRPr="003A09DF">
        <w:rPr>
          <w:szCs w:val="18"/>
        </w:rPr>
        <w:t>gTLDs</w:t>
      </w:r>
      <w:proofErr w:type="spellEnd"/>
      <w:r w:rsidRPr="003A09DF">
        <w:rPr>
          <w:szCs w:val="18"/>
        </w:rPr>
        <w:t>” for the ICANN Board’s consideration.</w:t>
      </w:r>
    </w:p>
  </w:footnote>
  <w:footnote w:id="43">
    <w:p w:rsidR="00E83C6C" w:rsidRPr="003A09DF" w:rsidRDefault="00E83C6C" w:rsidP="00E83C6C">
      <w:pPr>
        <w:pStyle w:val="FootnoteText"/>
        <w:rPr>
          <w:szCs w:val="18"/>
        </w:rPr>
      </w:pPr>
      <w:r w:rsidRPr="003A09DF">
        <w:rPr>
          <w:rStyle w:val="FootnoteReference"/>
          <w:szCs w:val="18"/>
        </w:rPr>
        <w:footnoteRef/>
      </w:r>
      <w:r w:rsidRPr="003A09DF">
        <w:rPr>
          <w:rStyle w:val="FootnoteReference"/>
        </w:rPr>
        <w:t xml:space="preserve"> </w:t>
      </w:r>
      <w:r w:rsidRPr="003A09DF">
        <w:rPr>
          <w:szCs w:val="18"/>
        </w:rPr>
        <w:tab/>
        <w:t>Adopted by the WIPO Gener</w:t>
      </w:r>
      <w:r>
        <w:rPr>
          <w:szCs w:val="18"/>
        </w:rPr>
        <w:t xml:space="preserve">al Assembly in September 2001; </w:t>
      </w:r>
      <w:r w:rsidRPr="003A09DF">
        <w:rPr>
          <w:szCs w:val="18"/>
        </w:rPr>
        <w:t>see</w:t>
      </w:r>
      <w:r>
        <w:rPr>
          <w:szCs w:val="18"/>
        </w:rPr>
        <w:t xml:space="preserve"> </w:t>
      </w:r>
      <w:r w:rsidRPr="00A61C34">
        <w:rPr>
          <w:szCs w:val="18"/>
        </w:rPr>
        <w:t>http://www.wipo.int/edocs/pubdocs/en/marks/845/pub845.pdf</w:t>
      </w:r>
      <w:r>
        <w:rPr>
          <w:szCs w:val="18"/>
        </w:rPr>
        <w:t>.</w:t>
      </w:r>
    </w:p>
  </w:footnote>
  <w:footnote w:id="44">
    <w:p w:rsidR="00E83C6C" w:rsidRPr="003A09DF" w:rsidRDefault="00E83C6C" w:rsidP="00E83C6C">
      <w:pPr>
        <w:pStyle w:val="FootnoteText"/>
        <w:rPr>
          <w:szCs w:val="18"/>
        </w:rPr>
      </w:pPr>
      <w:r w:rsidRPr="003A09DF">
        <w:rPr>
          <w:rStyle w:val="FootnoteReference"/>
        </w:rPr>
        <w:footnoteRef/>
      </w:r>
      <w:r w:rsidRPr="003A09DF">
        <w:t xml:space="preserve"> </w:t>
      </w:r>
      <w:r w:rsidRPr="003A09DF">
        <w:tab/>
      </w:r>
      <w:r w:rsidRPr="003A09DF">
        <w:rPr>
          <w:szCs w:val="18"/>
        </w:rPr>
        <w:t xml:space="preserve">See section 3.2 of the ICANN Applicant Guidebook at </w:t>
      </w:r>
      <w:r w:rsidRPr="000E0847">
        <w:rPr>
          <w:szCs w:val="18"/>
        </w:rPr>
        <w:t>http://newgtlds.icann.org/en/applicants/agb/objection</w:t>
      </w:r>
      <w:r w:rsidRPr="000E0847">
        <w:rPr>
          <w:szCs w:val="18"/>
        </w:rPr>
        <w:noBreakHyphen/>
        <w:t>procedures-04jun12-en.pdf</w:t>
      </w:r>
      <w:r w:rsidRPr="003A09DF">
        <w:rPr>
          <w:szCs w:val="18"/>
        </w:rPr>
        <w:t>.</w:t>
      </w:r>
    </w:p>
  </w:footnote>
  <w:footnote w:id="45">
    <w:p w:rsidR="00E83C6C" w:rsidRPr="003A09DF" w:rsidRDefault="00E83C6C" w:rsidP="00E83C6C">
      <w:pPr>
        <w:pStyle w:val="FootnoteText"/>
        <w:rPr>
          <w:szCs w:val="18"/>
        </w:rPr>
      </w:pPr>
      <w:r w:rsidRPr="003A09DF">
        <w:rPr>
          <w:rStyle w:val="FootnoteReference"/>
        </w:rPr>
        <w:footnoteRef/>
      </w:r>
      <w:r w:rsidRPr="003A09DF">
        <w:t xml:space="preserve"> </w:t>
      </w:r>
      <w:r w:rsidRPr="003A09DF">
        <w:tab/>
      </w:r>
      <w:r w:rsidRPr="003A09DF">
        <w:rPr>
          <w:szCs w:val="18"/>
        </w:rPr>
        <w:t xml:space="preserve">See WIPO Rules for New </w:t>
      </w:r>
      <w:proofErr w:type="spellStart"/>
      <w:r w:rsidRPr="003A09DF">
        <w:rPr>
          <w:szCs w:val="18"/>
        </w:rPr>
        <w:t>gTLD</w:t>
      </w:r>
      <w:proofErr w:type="spellEnd"/>
      <w:r w:rsidRPr="003A09DF">
        <w:rPr>
          <w:szCs w:val="18"/>
        </w:rPr>
        <w:t xml:space="preserve"> Dispute Resolution, and Schedule of Fees and Costs, respectively at http://www.wipo.int/amc/en/docs/wipolrorules.pdf and </w:t>
      </w:r>
      <w:hyperlink r:id="rId2" w:history="1">
        <w:r w:rsidRPr="003A09DF">
          <w:rPr>
            <w:szCs w:val="18"/>
          </w:rPr>
          <w:t>http://www.wipo.int/amc/en/domains/lro/fees/</w:t>
        </w:r>
      </w:hyperlink>
      <w:r>
        <w:rPr>
          <w:szCs w:val="18"/>
        </w:rPr>
        <w:t xml:space="preserve">; </w:t>
      </w:r>
      <w:r w:rsidRPr="003A09DF">
        <w:rPr>
          <w:szCs w:val="18"/>
        </w:rPr>
        <w:t>see WIPO</w:t>
      </w:r>
      <w:r w:rsidRPr="003A09DF">
        <w:rPr>
          <w:szCs w:val="18"/>
        </w:rPr>
        <w:noBreakHyphen/>
        <w:t xml:space="preserve">registered LRO cases at </w:t>
      </w:r>
      <w:hyperlink r:id="rId3" w:history="1">
        <w:r w:rsidRPr="003A09DF">
          <w:rPr>
            <w:szCs w:val="18"/>
          </w:rPr>
          <w:t>http://www.wipo.int/amc/en/domains/lro/cases/</w:t>
        </w:r>
      </w:hyperlink>
      <w:r w:rsidRPr="003A09DF">
        <w:rPr>
          <w:szCs w:val="18"/>
        </w:rPr>
        <w:t xml:space="preserve">. </w:t>
      </w:r>
    </w:p>
  </w:footnote>
  <w:footnote w:id="46">
    <w:p w:rsidR="00E83C6C" w:rsidRPr="003A09DF" w:rsidRDefault="00E83C6C" w:rsidP="00E83C6C">
      <w:pPr>
        <w:pStyle w:val="FootnoteText"/>
      </w:pPr>
      <w:r w:rsidRPr="003A09DF">
        <w:rPr>
          <w:rStyle w:val="FootnoteReference"/>
        </w:rPr>
        <w:footnoteRef/>
      </w:r>
      <w:r w:rsidRPr="003A09DF">
        <w:t xml:space="preserve"> </w:t>
      </w:r>
      <w:r w:rsidRPr="003A09DF">
        <w:tab/>
        <w:t xml:space="preserve">See http://www.wipo.int/amc/en/domains/lro/cases/. </w:t>
      </w:r>
    </w:p>
  </w:footnote>
  <w:footnote w:id="47">
    <w:p w:rsidR="00E83C6C" w:rsidRPr="003A09DF" w:rsidRDefault="00E83C6C" w:rsidP="00E83C6C">
      <w:pPr>
        <w:pStyle w:val="FootnoteText"/>
      </w:pPr>
      <w:r w:rsidRPr="003A09DF">
        <w:rPr>
          <w:rStyle w:val="FootnoteReference"/>
        </w:rPr>
        <w:footnoteRef/>
      </w:r>
      <w:r w:rsidRPr="003A09DF">
        <w:t xml:space="preserve"> </w:t>
      </w:r>
      <w:r w:rsidRPr="003A09DF">
        <w:tab/>
      </w:r>
      <w:r w:rsidRPr="003A09DF">
        <w:rPr>
          <w:szCs w:val="22"/>
        </w:rPr>
        <w:t xml:space="preserve">The WIPO LRO report notes that an overwhelming majority of LROs </w:t>
      </w:r>
      <w:proofErr w:type="gramStart"/>
      <w:r w:rsidRPr="003A09DF">
        <w:rPr>
          <w:szCs w:val="22"/>
        </w:rPr>
        <w:t>were filed</w:t>
      </w:r>
      <w:proofErr w:type="gramEnd"/>
      <w:r w:rsidRPr="003A09DF">
        <w:rPr>
          <w:szCs w:val="22"/>
        </w:rPr>
        <w:t xml:space="preserve"> against applications for </w:t>
      </w:r>
      <w:proofErr w:type="spellStart"/>
      <w:r w:rsidRPr="003A09DF">
        <w:rPr>
          <w:szCs w:val="22"/>
        </w:rPr>
        <w:t>gTLD</w:t>
      </w:r>
      <w:proofErr w:type="spellEnd"/>
      <w:r w:rsidRPr="003A09DF">
        <w:rPr>
          <w:szCs w:val="22"/>
        </w:rPr>
        <w:t xml:space="preserve"> strings with desc</w:t>
      </w:r>
      <w:r>
        <w:rPr>
          <w:szCs w:val="22"/>
        </w:rPr>
        <w:t xml:space="preserve">riptive or dictionary meaning. </w:t>
      </w:r>
      <w:r w:rsidRPr="003A09DF">
        <w:rPr>
          <w:szCs w:val="22"/>
        </w:rPr>
        <w:t xml:space="preserve">Many expert panels concluded that where a trademark owner has adopted a common dictionary term as a trademark, a </w:t>
      </w:r>
      <w:proofErr w:type="spellStart"/>
      <w:r w:rsidRPr="003A09DF">
        <w:rPr>
          <w:szCs w:val="22"/>
        </w:rPr>
        <w:t>gTLD</w:t>
      </w:r>
      <w:proofErr w:type="spellEnd"/>
      <w:r w:rsidRPr="003A09DF">
        <w:rPr>
          <w:szCs w:val="22"/>
        </w:rPr>
        <w:t xml:space="preserve"> application intended solely to take advantage of such common dictionary meaning would not as such violate th</w:t>
      </w:r>
      <w:r>
        <w:rPr>
          <w:szCs w:val="22"/>
        </w:rPr>
        <w:t xml:space="preserve">e decision standards for LROs. </w:t>
      </w:r>
      <w:r w:rsidRPr="003A09DF">
        <w:rPr>
          <w:szCs w:val="22"/>
        </w:rPr>
        <w:t xml:space="preserve">In certain </w:t>
      </w:r>
      <w:proofErr w:type="gramStart"/>
      <w:r w:rsidRPr="003A09DF">
        <w:rPr>
          <w:szCs w:val="22"/>
        </w:rPr>
        <w:t>cases</w:t>
      </w:r>
      <w:proofErr w:type="gramEnd"/>
      <w:r w:rsidRPr="003A09DF">
        <w:rPr>
          <w:szCs w:val="22"/>
        </w:rPr>
        <w:t xml:space="preserve"> panels addressed trademark registrations that were primarily obtained for the purpose of supporting an application for a new </w:t>
      </w:r>
      <w:proofErr w:type="spellStart"/>
      <w:r w:rsidRPr="003A09DF">
        <w:rPr>
          <w:szCs w:val="22"/>
        </w:rPr>
        <w:t>gTLD</w:t>
      </w:r>
      <w:proofErr w:type="spellEnd"/>
      <w:r w:rsidRPr="003A09DF">
        <w:rPr>
          <w:szCs w:val="22"/>
        </w:rPr>
        <w:t xml:space="preserve"> and/or LRO, with little</w:t>
      </w:r>
      <w:r>
        <w:rPr>
          <w:szCs w:val="22"/>
        </w:rPr>
        <w:t xml:space="preserve"> or no demonstrable prior use. </w:t>
      </w:r>
      <w:r w:rsidRPr="003A09DF">
        <w:t xml:space="preserve">See http://www.wipo.int/amc/en/docs/lroreport.pdf. </w:t>
      </w:r>
    </w:p>
  </w:footnote>
  <w:footnote w:id="48">
    <w:p w:rsidR="00E83C6C" w:rsidRPr="003A09DF" w:rsidRDefault="00E83C6C" w:rsidP="00E83C6C">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http://www.wipo.int/amc/en/docs/icann130309.pdf.</w:t>
      </w:r>
    </w:p>
  </w:footnote>
  <w:footnote w:id="49">
    <w:p w:rsidR="00E83C6C" w:rsidRPr="006475B9" w:rsidRDefault="00E83C6C" w:rsidP="00E83C6C">
      <w:pPr>
        <w:pStyle w:val="FootnoteText"/>
        <w:rPr>
          <w:szCs w:val="18"/>
        </w:rPr>
      </w:pPr>
      <w:r w:rsidRPr="003A09DF">
        <w:rPr>
          <w:rStyle w:val="FootnoteReference"/>
        </w:rPr>
        <w:footnoteRef/>
      </w:r>
      <w:r w:rsidRPr="003A09DF">
        <w:rPr>
          <w:rStyle w:val="FootnoteReference"/>
        </w:rPr>
        <w:t xml:space="preserve"> </w:t>
      </w:r>
      <w:r w:rsidRPr="003A09DF">
        <w:rPr>
          <w:szCs w:val="18"/>
        </w:rPr>
        <w:tab/>
      </w:r>
      <w:proofErr w:type="gramStart"/>
      <w:r w:rsidRPr="003A09DF">
        <w:rPr>
          <w:szCs w:val="18"/>
        </w:rPr>
        <w:t xml:space="preserve">Given the perceived convergence of registry, registrar, and registrant roles within the DNS, the Center has further recommended, </w:t>
      </w:r>
      <w:r w:rsidRPr="003A09DF">
        <w:rPr>
          <w:i/>
          <w:szCs w:val="18"/>
        </w:rPr>
        <w:t>inter alia</w:t>
      </w:r>
      <w:r w:rsidRPr="003A09DF">
        <w:rPr>
          <w:szCs w:val="18"/>
        </w:rPr>
        <w:t xml:space="preserve"> taking account of its UDRP-based experiences and</w:t>
      </w:r>
      <w:r>
        <w:rPr>
          <w:szCs w:val="18"/>
        </w:rPr>
        <w:t xml:space="preserve"> of</w:t>
      </w:r>
      <w:r w:rsidRPr="003A09DF">
        <w:rPr>
          <w:szCs w:val="18"/>
        </w:rPr>
        <w:t xml:space="preserve"> ICANN’s decision to allow for cross</w:t>
      </w:r>
      <w:r w:rsidRPr="003A09DF">
        <w:rPr>
          <w:szCs w:val="18"/>
        </w:rPr>
        <w:noBreakHyphen/>
        <w:t>ownership between registries and registrars (see http://www.icann.org/en/minutes/resolutions</w:t>
      </w:r>
      <w:r w:rsidRPr="003A09DF">
        <w:rPr>
          <w:szCs w:val="18"/>
        </w:rPr>
        <w:noBreakHyphen/>
        <w:t>05nov10</w:t>
      </w:r>
      <w:r w:rsidRPr="003A09DF">
        <w:rPr>
          <w:szCs w:val="18"/>
        </w:rPr>
        <w:noBreakHyphen/>
        <w:t xml:space="preserve">en.htm), that ICANN consider extending the PDDRP for registries also to registrar conduct (see, </w:t>
      </w:r>
      <w:r w:rsidRPr="003A09DF">
        <w:rPr>
          <w:i/>
          <w:szCs w:val="18"/>
        </w:rPr>
        <w:t>inter alia</w:t>
      </w:r>
      <w:r w:rsidRPr="003A09DF">
        <w:rPr>
          <w:szCs w:val="18"/>
        </w:rPr>
        <w:t>, http://www.wipo.int/amc/en/docs</w:t>
      </w:r>
      <w:r>
        <w:rPr>
          <w:szCs w:val="18"/>
        </w:rPr>
        <w:t>/icann260310rap.pdf).</w:t>
      </w:r>
      <w:proofErr w:type="gramEnd"/>
    </w:p>
  </w:footnote>
  <w:footnote w:id="50">
    <w:p w:rsidR="00E83C6C" w:rsidRDefault="00E83C6C" w:rsidP="00E83C6C">
      <w:pPr>
        <w:pStyle w:val="FootnoteText"/>
      </w:pPr>
      <w:r>
        <w:rPr>
          <w:rStyle w:val="FootnoteReference"/>
        </w:rPr>
        <w:footnoteRef/>
      </w:r>
      <w:r>
        <w:t xml:space="preserve"> </w:t>
      </w:r>
      <w:r>
        <w:tab/>
      </w:r>
      <w:r w:rsidRPr="00BB5B91">
        <w:t>https://www.icann.org/en/system/files/files/feedback-picdrp-panel-report-14mar17-en.pdf</w:t>
      </w:r>
      <w:r>
        <w:t>.</w:t>
      </w:r>
    </w:p>
  </w:footnote>
  <w:footnote w:id="51">
    <w:p w:rsidR="00E83C6C" w:rsidRPr="006475B9" w:rsidRDefault="00E83C6C" w:rsidP="00E83C6C">
      <w:pPr>
        <w:pStyle w:val="FootnoteText"/>
      </w:pPr>
      <w:r w:rsidRPr="006475B9">
        <w:rPr>
          <w:rStyle w:val="FootnoteReference"/>
        </w:rPr>
        <w:footnoteRef/>
      </w:r>
      <w:r w:rsidRPr="006475B9">
        <w:t xml:space="preserve"> </w:t>
      </w:r>
      <w:r w:rsidRPr="006475B9">
        <w:tab/>
        <w:t xml:space="preserve">The </w:t>
      </w:r>
      <w:r>
        <w:t>TMCH</w:t>
      </w:r>
      <w:r w:rsidRPr="006475B9">
        <w:t xml:space="preserve"> allows for inclusion of registered word marks, word marks protected by statute or treaty or validated by court, and “[o]</w:t>
      </w:r>
      <w:proofErr w:type="spellStart"/>
      <w:r w:rsidRPr="006475B9">
        <w:t>ther</w:t>
      </w:r>
      <w:proofErr w:type="spellEnd"/>
      <w:r w:rsidRPr="006475B9">
        <w:t xml:space="preserve"> marks that constitute intellectual property”</w:t>
      </w:r>
      <w:r>
        <w:t xml:space="preserve"> (the latter being undefined). </w:t>
      </w:r>
      <w:r w:rsidRPr="006475B9">
        <w:t xml:space="preserve">With respect to RPMs utilizing </w:t>
      </w:r>
      <w:r>
        <w:t>TMCH</w:t>
      </w:r>
      <w:r w:rsidRPr="006475B9">
        <w:t xml:space="preserve"> data, the availability of “Sunrise” services (</w:t>
      </w:r>
      <w:r w:rsidRPr="00EA32DB">
        <w:rPr>
          <w:i/>
        </w:rPr>
        <w:t>i.e.</w:t>
      </w:r>
      <w:r w:rsidRPr="006475B9">
        <w:t xml:space="preserve">, an opportunity for a trademark owner, for a fee, </w:t>
      </w:r>
      <w:proofErr w:type="gramStart"/>
      <w:r w:rsidRPr="006475B9">
        <w:t>to preemptively register</w:t>
      </w:r>
      <w:proofErr w:type="gramEnd"/>
      <w:r w:rsidRPr="006475B9">
        <w:t xml:space="preserve"> an exact match of its mark as a domain name) is limited to those trademarks for which cu</w:t>
      </w:r>
      <w:r>
        <w:t xml:space="preserve">rrent use can be demonstrated. </w:t>
      </w:r>
      <w:r w:rsidRPr="006475B9">
        <w:t>Whether or not substantiated by demonstration of current use, trademark owners would also be eligible to participate in a time</w:t>
      </w:r>
      <w:r>
        <w:t>-</w:t>
      </w:r>
      <w:r w:rsidRPr="006475B9">
        <w:t>limited “Claims” service (</w:t>
      </w:r>
      <w:r w:rsidRPr="00EA32DB">
        <w:rPr>
          <w:i/>
        </w:rPr>
        <w:t>i.e.</w:t>
      </w:r>
      <w:r w:rsidRPr="006475B9">
        <w:t>, notice to a potential domain name registrant of the existence of a potentially conflicting trademark right, and notice to the relevant trademark owner(s) in the event that the registrant nevertheless proceeds w</w:t>
      </w:r>
      <w:r>
        <w:t xml:space="preserve">ith domain name registration). </w:t>
      </w:r>
      <w:r w:rsidRPr="006475B9">
        <w:t xml:space="preserve">As mandated by ICANN, the availability of the Claims service is for a period of 90 days after a new </w:t>
      </w:r>
      <w:proofErr w:type="spellStart"/>
      <w:r w:rsidRPr="006475B9">
        <w:t>gTLD</w:t>
      </w:r>
      <w:proofErr w:type="spellEnd"/>
      <w:r w:rsidRPr="006475B9">
        <w:t xml:space="preserve"> </w:t>
      </w:r>
      <w:proofErr w:type="gramStart"/>
      <w:r w:rsidRPr="006475B9">
        <w:t>is opened</w:t>
      </w:r>
      <w:proofErr w:type="gramEnd"/>
      <w:r w:rsidRPr="006475B9">
        <w:t xml:space="preserve"> for general public registration, but users of the </w:t>
      </w:r>
      <w:r>
        <w:t>TMCH</w:t>
      </w:r>
      <w:r w:rsidRPr="006475B9">
        <w:t xml:space="preserve"> can opt-in to recei</w:t>
      </w:r>
      <w:r>
        <w:t xml:space="preserve">ve notifications indefinitely. </w:t>
      </w:r>
      <w:r w:rsidRPr="006475B9">
        <w:t xml:space="preserve">The demonstration of use required for Sunrise services similarly applies to the invocation of trademarks as a basis for a complaint filed under the “Uniform Rapid Suspension” RPM described </w:t>
      </w:r>
      <w:r>
        <w:t>herein</w:t>
      </w:r>
      <w:r w:rsidRPr="006475B9">
        <w:t>.</w:t>
      </w:r>
    </w:p>
  </w:footnote>
  <w:footnote w:id="52">
    <w:p w:rsidR="00E83C6C" w:rsidRPr="003A09DF" w:rsidRDefault="00E83C6C" w:rsidP="00E83C6C">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 xml:space="preserve">See </w:t>
      </w:r>
      <w:r w:rsidRPr="00FE1383">
        <w:rPr>
          <w:szCs w:val="18"/>
        </w:rPr>
        <w:t>http://trademark-clearinghouse.com/content/tmch-stats</w:t>
      </w:r>
      <w:r>
        <w:rPr>
          <w:szCs w:val="18"/>
        </w:rPr>
        <w:t>.</w:t>
      </w:r>
    </w:p>
  </w:footnote>
  <w:footnote w:id="53">
    <w:p w:rsidR="00E83C6C" w:rsidRPr="003A09DF" w:rsidRDefault="00E83C6C" w:rsidP="00E83C6C">
      <w:pPr>
        <w:pStyle w:val="FootnoteText"/>
      </w:pPr>
      <w:r w:rsidRPr="003A09DF">
        <w:rPr>
          <w:rStyle w:val="FootnoteReference"/>
        </w:rPr>
        <w:footnoteRef/>
      </w:r>
      <w:r w:rsidRPr="003A09DF">
        <w:t xml:space="preserve"> </w:t>
      </w:r>
      <w:r w:rsidRPr="003A09DF">
        <w:tab/>
        <w:t>The Center for its part communicated to ICANN in April 2009 a discussion draft of an “Expedited (Dom</w:t>
      </w:r>
      <w:r>
        <w:t xml:space="preserve">ain Name) Suspension Mechanism” </w:t>
      </w:r>
      <w:r w:rsidRPr="003A09DF">
        <w:t>(</w:t>
      </w:r>
      <w:r>
        <w:rPr>
          <w:szCs w:val="18"/>
        </w:rPr>
        <w:t>s</w:t>
      </w:r>
      <w:r w:rsidRPr="003A09DF">
        <w:rPr>
          <w:szCs w:val="18"/>
        </w:rPr>
        <w:t xml:space="preserve">ee </w:t>
      </w:r>
      <w:r w:rsidRPr="000E0847">
        <w:rPr>
          <w:szCs w:val="18"/>
        </w:rPr>
        <w:t>http://www.wipo.int/amc/en/docs/icann030409.pdf</w:t>
      </w:r>
      <w:r w:rsidRPr="003A09DF">
        <w:t>) and has made subsequent proposals for a streamlined mechanism based on</w:t>
      </w:r>
      <w:r>
        <w:t xml:space="preserve"> this model at ICANN Meetings (s</w:t>
      </w:r>
      <w:r w:rsidRPr="003A09DF">
        <w:t xml:space="preserve">ee </w:t>
      </w:r>
      <w:hyperlink r:id="rId4" w:history="1">
        <w:r w:rsidRPr="003A09DF">
          <w:rPr>
            <w:szCs w:val="18"/>
          </w:rPr>
          <w:t>http://prague44.icann.org/node/31773</w:t>
        </w:r>
      </w:hyperlink>
      <w:r w:rsidRPr="003A09DF">
        <w:rPr>
          <w:szCs w:val="18"/>
        </w:rPr>
        <w:t xml:space="preserve"> and </w:t>
      </w:r>
      <w:hyperlink r:id="rId5" w:history="1">
        <w:r w:rsidRPr="003A09DF">
          <w:rPr>
            <w:szCs w:val="18"/>
          </w:rPr>
          <w:t>http://toronto45.icann.org/node/34325</w:t>
        </w:r>
      </w:hyperlink>
      <w:r>
        <w:t xml:space="preserve">). </w:t>
      </w:r>
      <w:r w:rsidRPr="003A09DF">
        <w:t xml:space="preserve">Such proposals took account of the need to strike a balance between the protection of trademark rights recognized by law, the practical interests of good-faith registration authorities to minimize operational burdens, and the legitimate expectations of </w:t>
      </w:r>
      <w:r w:rsidRPr="003A09DF">
        <w:rPr>
          <w:i/>
          <w:iCs/>
        </w:rPr>
        <w:t>bona fide</w:t>
      </w:r>
      <w:r w:rsidRPr="003A09DF">
        <w:t xml:space="preserve"> domain name registrants.  </w:t>
      </w:r>
    </w:p>
  </w:footnote>
  <w:footnote w:id="54">
    <w:p w:rsidR="00E83C6C" w:rsidRPr="003A09DF" w:rsidRDefault="00E83C6C" w:rsidP="00E83C6C">
      <w:pPr>
        <w:pStyle w:val="FootnoteText"/>
        <w:rPr>
          <w:szCs w:val="18"/>
        </w:rPr>
      </w:pPr>
      <w:r w:rsidRPr="003A09DF">
        <w:rPr>
          <w:rStyle w:val="FootnoteReference"/>
        </w:rPr>
        <w:footnoteRef/>
      </w:r>
      <w:r w:rsidRPr="003A09DF">
        <w:rPr>
          <w:szCs w:val="18"/>
        </w:rPr>
        <w:t xml:space="preserve"> </w:t>
      </w:r>
      <w:r w:rsidRPr="003A09DF">
        <w:rPr>
          <w:szCs w:val="18"/>
        </w:rPr>
        <w:tab/>
        <w:t xml:space="preserve">An extensive inventory of these issues </w:t>
      </w:r>
      <w:proofErr w:type="gramStart"/>
      <w:r w:rsidRPr="003A09DF">
        <w:rPr>
          <w:szCs w:val="18"/>
        </w:rPr>
        <w:t>is provided</w:t>
      </w:r>
      <w:proofErr w:type="gramEnd"/>
      <w:r w:rsidRPr="003A09DF">
        <w:rPr>
          <w:szCs w:val="18"/>
        </w:rPr>
        <w:t xml:space="preserve"> </w:t>
      </w:r>
      <w:r w:rsidRPr="003A09DF">
        <w:rPr>
          <w:i/>
          <w:szCs w:val="18"/>
        </w:rPr>
        <w:t>inter alia</w:t>
      </w:r>
      <w:r w:rsidRPr="003A09DF">
        <w:rPr>
          <w:szCs w:val="18"/>
        </w:rPr>
        <w:t xml:space="preserve"> in the Center’s letter to ICANN of December 2, 2010, available at http://www.wipo.int/amc/en/docs/icann021210.pdf.  </w:t>
      </w:r>
    </w:p>
  </w:footnote>
  <w:footnote w:id="55">
    <w:p w:rsidR="00E83C6C" w:rsidRPr="006475B9" w:rsidRDefault="00E83C6C" w:rsidP="00E83C6C">
      <w:pPr>
        <w:pStyle w:val="FootnoteText"/>
        <w:rPr>
          <w:szCs w:val="18"/>
        </w:rPr>
      </w:pPr>
      <w:r w:rsidRPr="003A09DF">
        <w:rPr>
          <w:rStyle w:val="FootnoteReference"/>
        </w:rPr>
        <w:footnoteRef/>
      </w:r>
      <w:r w:rsidRPr="003A09DF">
        <w:rPr>
          <w:rStyle w:val="FootnoteReference"/>
        </w:rPr>
        <w:t xml:space="preserve"> </w:t>
      </w:r>
      <w:r w:rsidRPr="003A09DF">
        <w:rPr>
          <w:szCs w:val="18"/>
        </w:rPr>
        <w:tab/>
        <w:t>The question of accreditation of providers gives rise to concern</w:t>
      </w:r>
      <w:r>
        <w:rPr>
          <w:szCs w:val="18"/>
        </w:rPr>
        <w:t xml:space="preserve">s as to the stability of RPMs; </w:t>
      </w:r>
      <w:r w:rsidRPr="003A09DF">
        <w:rPr>
          <w:szCs w:val="18"/>
        </w:rPr>
        <w:t>WIPO raised concerns about this as early as 2007 in the context of the UDRP (see http://www.wipo.int/amc/en/docs/icann040707.pdf).</w:t>
      </w:r>
      <w:r w:rsidRPr="006475B9">
        <w:rPr>
          <w:szCs w:val="18"/>
        </w:rPr>
        <w:t xml:space="preserve">  </w:t>
      </w:r>
    </w:p>
  </w:footnote>
  <w:footnote w:id="56">
    <w:p w:rsidR="00E83C6C" w:rsidRPr="003A09DF" w:rsidRDefault="00E83C6C" w:rsidP="00E83C6C">
      <w:pPr>
        <w:pStyle w:val="FootnoteText"/>
        <w:rPr>
          <w:szCs w:val="18"/>
        </w:rPr>
      </w:pPr>
      <w:r w:rsidRPr="006475B9">
        <w:rPr>
          <w:rStyle w:val="FootnoteReference"/>
        </w:rPr>
        <w:footnoteRef/>
      </w:r>
      <w:r w:rsidRPr="006475B9">
        <w:rPr>
          <w:rStyle w:val="FootnoteReference"/>
        </w:rPr>
        <w:t xml:space="preserve"> </w:t>
      </w:r>
      <w:r w:rsidRPr="006475B9">
        <w:rPr>
          <w:szCs w:val="18"/>
        </w:rPr>
        <w:tab/>
      </w:r>
      <w:r w:rsidRPr="003A09DF">
        <w:rPr>
          <w:szCs w:val="18"/>
        </w:rPr>
        <w:t>See https://community.icann.org/display/gnsoudrpdt/Webinar+on+the+Current+State+of+the+UDRP</w:t>
      </w:r>
      <w:proofErr w:type="gramStart"/>
      <w:r w:rsidRPr="003A09DF">
        <w:rPr>
          <w:szCs w:val="18"/>
        </w:rPr>
        <w:t xml:space="preserve">;  </w:t>
      </w:r>
      <w:proofErr w:type="spellStart"/>
      <w:r w:rsidRPr="003A09DF">
        <w:rPr>
          <w:szCs w:val="18"/>
        </w:rPr>
        <w:t>see</w:t>
      </w:r>
      <w:proofErr w:type="spellEnd"/>
      <w:proofErr w:type="gramEnd"/>
      <w:r w:rsidRPr="003A09DF">
        <w:rPr>
          <w:szCs w:val="18"/>
        </w:rPr>
        <w:t> also more generally document WO/GA/39/10, paragraph 31.</w:t>
      </w:r>
    </w:p>
  </w:footnote>
  <w:footnote w:id="57">
    <w:p w:rsidR="00E83C6C" w:rsidRDefault="00E83C6C" w:rsidP="00E83C6C">
      <w:pPr>
        <w:pStyle w:val="FootnoteText"/>
        <w:tabs>
          <w:tab w:val="left" w:pos="567"/>
        </w:tabs>
      </w:pPr>
      <w:r>
        <w:rPr>
          <w:rStyle w:val="FootnoteReference"/>
        </w:rPr>
        <w:footnoteRef/>
      </w:r>
      <w:r>
        <w:t xml:space="preserve"> </w:t>
      </w:r>
      <w:r>
        <w:tab/>
        <w:t xml:space="preserve">See </w:t>
      </w:r>
      <w:r w:rsidRPr="001B4B95">
        <w:t>http://gnso.icann.org/en/issues/new-gtlds/rpm-prelim-issue-09oct15-en.pdf</w:t>
      </w:r>
      <w:r>
        <w:t>.</w:t>
      </w:r>
    </w:p>
  </w:footnote>
  <w:footnote w:id="58">
    <w:p w:rsidR="00E83C6C" w:rsidRDefault="00E83C6C" w:rsidP="00E83C6C">
      <w:pPr>
        <w:pStyle w:val="FootnoteText"/>
        <w:tabs>
          <w:tab w:val="left" w:pos="567"/>
        </w:tabs>
      </w:pPr>
      <w:r>
        <w:rPr>
          <w:rStyle w:val="FootnoteReference"/>
        </w:rPr>
        <w:footnoteRef/>
      </w:r>
      <w:r>
        <w:t xml:space="preserve"> </w:t>
      </w:r>
      <w:r>
        <w:tab/>
        <w:t xml:space="preserve">See </w:t>
      </w:r>
      <w:r w:rsidRPr="00D9285F">
        <w:t>https://gnso.icann.org/en/issues/new-gtlds/rpm-final-issue-11jan16-en.pdf</w:t>
      </w:r>
      <w:r>
        <w:t>.</w:t>
      </w:r>
    </w:p>
  </w:footnote>
  <w:footnote w:id="59">
    <w:p w:rsidR="00E83C6C" w:rsidRDefault="00E83C6C" w:rsidP="00E83C6C">
      <w:pPr>
        <w:pStyle w:val="FootnoteText"/>
      </w:pPr>
      <w:r>
        <w:rPr>
          <w:rStyle w:val="FootnoteReference"/>
        </w:rPr>
        <w:footnoteRef/>
      </w:r>
      <w:r>
        <w:t xml:space="preserve"> </w:t>
      </w:r>
      <w:r>
        <w:tab/>
        <w:t xml:space="preserve">See </w:t>
      </w:r>
      <w:r w:rsidRPr="00B54F9C">
        <w:t>https://www.icann.org/resources/pages/gtld-registration-data-specs-en</w:t>
      </w:r>
      <w:r>
        <w:t xml:space="preserve">, at </w:t>
      </w:r>
      <w:r w:rsidRPr="00904DF0">
        <w:t>Annex F</w:t>
      </w:r>
      <w:r>
        <w:t xml:space="preserve">. </w:t>
      </w:r>
    </w:p>
  </w:footnote>
  <w:footnote w:id="60">
    <w:p w:rsidR="00E83C6C" w:rsidRDefault="00E83C6C" w:rsidP="00E83C6C">
      <w:pPr>
        <w:pStyle w:val="FootnoteText"/>
      </w:pPr>
      <w:r>
        <w:rPr>
          <w:rStyle w:val="FootnoteReference"/>
        </w:rPr>
        <w:footnoteRef/>
      </w:r>
      <w:r>
        <w:t xml:space="preserve"> </w:t>
      </w:r>
      <w:r>
        <w:tab/>
        <w:t xml:space="preserve">See </w:t>
      </w:r>
      <w:r w:rsidRPr="00B0432D">
        <w:t>https://www.icann.org/en/system/files/files/framework-elements-unified-access-model-for-discussion-18jun18-en.pdf</w:t>
      </w:r>
      <w:r>
        <w:t xml:space="preserve">. </w:t>
      </w:r>
    </w:p>
  </w:footnote>
  <w:footnote w:id="61">
    <w:p w:rsidR="00E83C6C" w:rsidRDefault="00E83C6C" w:rsidP="00E83C6C">
      <w:pPr>
        <w:pStyle w:val="FootnoteText"/>
      </w:pPr>
      <w:r>
        <w:rPr>
          <w:rStyle w:val="FootnoteReference"/>
        </w:rPr>
        <w:footnoteRef/>
      </w:r>
      <w:r>
        <w:t xml:space="preserve"> </w:t>
      </w:r>
      <w:r>
        <w:tab/>
        <w:t xml:space="preserve">See the </w:t>
      </w:r>
      <w:r w:rsidRPr="00544563">
        <w:t xml:space="preserve">Initial Report of the Expedited Policy Development Process (EPDP) on the Temporary Specification for </w:t>
      </w:r>
      <w:proofErr w:type="spellStart"/>
      <w:r w:rsidRPr="00544563">
        <w:t>gTLD</w:t>
      </w:r>
      <w:proofErr w:type="spellEnd"/>
      <w:r w:rsidRPr="00544563">
        <w:t xml:space="preserve"> Registration Data Team – PHASE 2</w:t>
      </w:r>
      <w:r>
        <w:t>, including public comments at:</w:t>
      </w:r>
      <w:r w:rsidRPr="00544563">
        <w:t xml:space="preserve"> </w:t>
      </w:r>
      <w:r w:rsidRPr="003A71F4">
        <w:t>https://www.icann.org/public-comments/epdp-phase-2-initial-2020-02-07-en</w:t>
      </w:r>
      <w:r>
        <w:t>.</w:t>
      </w:r>
      <w:r w:rsidRPr="00122A9A">
        <w:rPr>
          <w:shd w:val="clear" w:color="auto" w:fill="FFFFFF" w:themeFill="background1"/>
        </w:rPr>
        <w:t xml:space="preserve"> See further the agenda of ICANN’s June 2020 meeting at https://68.schedule.icann.org/</w:t>
      </w:r>
      <w:r w:rsidR="002C5753">
        <w:rPr>
          <w:shd w:val="clear" w:color="auto" w:fill="FFFFFF" w:themeFill="background1"/>
        </w:rPr>
        <w:t>.</w:t>
      </w:r>
    </w:p>
  </w:footnote>
  <w:footnote w:id="62">
    <w:p w:rsidR="00E83C6C" w:rsidRPr="003A09DF" w:rsidRDefault="00E83C6C" w:rsidP="00E83C6C">
      <w:pPr>
        <w:pStyle w:val="FootnoteText"/>
      </w:pPr>
      <w:r w:rsidRPr="003A09DF">
        <w:rPr>
          <w:rStyle w:val="FootnoteReference"/>
        </w:rPr>
        <w:footnoteRef/>
      </w:r>
      <w:r w:rsidRPr="003A09DF">
        <w:t xml:space="preserve"> </w:t>
      </w:r>
      <w:r w:rsidRPr="003A09DF">
        <w:tab/>
      </w:r>
      <w:r w:rsidRPr="003A09DF">
        <w:rPr>
          <w:szCs w:val="22"/>
        </w:rPr>
        <w:t xml:space="preserve">See also ICANN’s Final Implementation Plan for IDN </w:t>
      </w:r>
      <w:proofErr w:type="spellStart"/>
      <w:r w:rsidRPr="003A09DF">
        <w:rPr>
          <w:szCs w:val="22"/>
        </w:rPr>
        <w:t>ccTLD</w:t>
      </w:r>
      <w:proofErr w:type="spellEnd"/>
      <w:r w:rsidRPr="003A09DF">
        <w:rPr>
          <w:szCs w:val="22"/>
        </w:rPr>
        <w:t xml:space="preserve"> Fast Track Process published in November 2009 (s</w:t>
      </w:r>
      <w:r w:rsidRPr="003A09DF">
        <w:rPr>
          <w:szCs w:val="18"/>
        </w:rPr>
        <w:t xml:space="preserve">ee </w:t>
      </w:r>
      <w:r w:rsidRPr="00A0252F">
        <w:rPr>
          <w:szCs w:val="18"/>
        </w:rPr>
        <w:t>https://www.icann.org/en/system/files/files/idn-cctld-implementation-plan-16nov09-en.pdf</w:t>
      </w:r>
      <w:r w:rsidRPr="003A09DF">
        <w:rPr>
          <w:szCs w:val="18"/>
        </w:rPr>
        <w:t>)</w:t>
      </w:r>
      <w:r>
        <w:rPr>
          <w:szCs w:val="22"/>
        </w:rPr>
        <w:t xml:space="preserve">. </w:t>
      </w:r>
      <w:r w:rsidRPr="003A09DF">
        <w:rPr>
          <w:szCs w:val="22"/>
        </w:rPr>
        <w:t xml:space="preserve">Since then, this has allowed for the introduction of IDN </w:t>
      </w:r>
      <w:proofErr w:type="spellStart"/>
      <w:r w:rsidRPr="003A09DF">
        <w:rPr>
          <w:szCs w:val="22"/>
        </w:rPr>
        <w:t>ccTLDs</w:t>
      </w:r>
      <w:proofErr w:type="spellEnd"/>
      <w:r w:rsidRPr="003A09DF">
        <w:rPr>
          <w:szCs w:val="22"/>
        </w:rPr>
        <w:t>, associated with the two-letter codes in the ISO 3166-1 standard (s</w:t>
      </w:r>
      <w:r w:rsidRPr="003A09DF">
        <w:rPr>
          <w:szCs w:val="18"/>
        </w:rPr>
        <w:t xml:space="preserve">ee http://www.iso.org/iso/english_country_names_and_code_elements).  </w:t>
      </w:r>
    </w:p>
  </w:footnote>
  <w:footnote w:id="63">
    <w:p w:rsidR="00E83C6C" w:rsidRPr="003A09DF" w:rsidRDefault="00E83C6C" w:rsidP="00E83C6C">
      <w:pPr>
        <w:pStyle w:val="FootnoteText"/>
        <w:rPr>
          <w:szCs w:val="18"/>
        </w:rPr>
      </w:pPr>
      <w:r w:rsidRPr="003A09DF">
        <w:rPr>
          <w:rStyle w:val="FootnoteReference"/>
        </w:rPr>
        <w:footnoteRef/>
      </w:r>
      <w:r w:rsidRPr="003A09DF">
        <w:rPr>
          <w:rStyle w:val="FootnoteReference"/>
        </w:rPr>
        <w:t xml:space="preserve"> </w:t>
      </w:r>
      <w:r w:rsidRPr="003A09DF">
        <w:rPr>
          <w:szCs w:val="18"/>
        </w:rPr>
        <w:tab/>
        <w:t>See http://www.wipo.int/edocs/mdocs/govb</w:t>
      </w:r>
      <w:r>
        <w:rPr>
          <w:szCs w:val="18"/>
        </w:rPr>
        <w:t>ody/en/wo_ga_28/wo_ga_28_3.pdf;</w:t>
      </w:r>
      <w:r w:rsidRPr="003A09DF">
        <w:rPr>
          <w:szCs w:val="18"/>
        </w:rPr>
        <w:t xml:space="preserve"> </w:t>
      </w:r>
      <w:proofErr w:type="spellStart"/>
      <w:r w:rsidRPr="003A09DF">
        <w:rPr>
          <w:szCs w:val="18"/>
        </w:rPr>
        <w:t>see</w:t>
      </w:r>
      <w:proofErr w:type="spellEnd"/>
      <w:r w:rsidRPr="003A09DF">
        <w:rPr>
          <w:szCs w:val="18"/>
        </w:rPr>
        <w:t xml:space="preserve"> also document</w:t>
      </w:r>
      <w:r>
        <w:rPr>
          <w:szCs w:val="18"/>
        </w:rPr>
        <w:t xml:space="preserve">s SCT/9/8, paragraphs 6 to 11; </w:t>
      </w:r>
      <w:r w:rsidRPr="003A09DF">
        <w:rPr>
          <w:szCs w:val="18"/>
        </w:rPr>
        <w:t>and, SCT/9/9, paragraph 149.</w:t>
      </w:r>
    </w:p>
  </w:footnote>
  <w:footnote w:id="64">
    <w:p w:rsidR="00E83C6C" w:rsidRPr="003A09DF" w:rsidRDefault="00E83C6C" w:rsidP="00E83C6C">
      <w:pPr>
        <w:pStyle w:val="FootnoteText"/>
        <w:rPr>
          <w:szCs w:val="18"/>
        </w:rPr>
      </w:pPr>
      <w:r w:rsidRPr="003A09DF">
        <w:rPr>
          <w:rStyle w:val="FootnoteReference"/>
        </w:rPr>
        <w:footnoteRef/>
      </w:r>
      <w:r w:rsidRPr="003A09DF">
        <w:rPr>
          <w:szCs w:val="18"/>
        </w:rPr>
        <w:t xml:space="preserve"> </w:t>
      </w:r>
      <w:r w:rsidRPr="003A09DF">
        <w:rPr>
          <w:szCs w:val="18"/>
        </w:rPr>
        <w:tab/>
        <w:t>See http://www.wipo.int/amc/en/docs/wipo.doc.</w:t>
      </w:r>
    </w:p>
  </w:footnote>
  <w:footnote w:id="65">
    <w:p w:rsidR="00E83C6C" w:rsidRPr="003A09DF" w:rsidRDefault="00E83C6C" w:rsidP="00E83C6C">
      <w:pPr>
        <w:pStyle w:val="FootnoteText"/>
      </w:pPr>
      <w:r w:rsidRPr="003A09DF">
        <w:rPr>
          <w:rStyle w:val="FootnoteReference"/>
        </w:rPr>
        <w:footnoteRef/>
      </w:r>
      <w:r w:rsidRPr="003A09DF">
        <w:t xml:space="preserve"> </w:t>
      </w:r>
      <w:r w:rsidRPr="003A09DF">
        <w:tab/>
        <w:t>For background, see WO/GA/41/17 Rev.2, in particular paragraphs 40 and 41.</w:t>
      </w:r>
    </w:p>
  </w:footnote>
  <w:footnote w:id="66">
    <w:p w:rsidR="00E83C6C" w:rsidRPr="006475B9" w:rsidRDefault="00E83C6C" w:rsidP="00E83C6C">
      <w:pPr>
        <w:pStyle w:val="FootnoteText"/>
        <w:rPr>
          <w:szCs w:val="18"/>
        </w:rPr>
      </w:pPr>
      <w:r w:rsidRPr="003A09DF">
        <w:rPr>
          <w:rStyle w:val="FootnoteReference"/>
        </w:rPr>
        <w:footnoteRef/>
      </w:r>
      <w:r w:rsidRPr="003A09DF">
        <w:rPr>
          <w:rStyle w:val="FootnoteReference"/>
        </w:rPr>
        <w:t xml:space="preserve"> </w:t>
      </w:r>
      <w:r w:rsidRPr="003A09DF">
        <w:rPr>
          <w:szCs w:val="18"/>
        </w:rPr>
        <w:tab/>
        <w:t xml:space="preserve">See </w:t>
      </w:r>
      <w:hyperlink r:id="rId6" w:history="1">
        <w:r w:rsidRPr="003A09DF">
          <w:rPr>
            <w:szCs w:val="18"/>
          </w:rPr>
          <w:t>https://gacweb.icann.org/download/attachments/27132070/FINAL_Toronto_Communique_20121017.pdf?version=1&amp;modificationDate=1354149148000&amp;api=v2</w:t>
        </w:r>
      </w:hyperlink>
      <w:r w:rsidRPr="003A09DF">
        <w:rPr>
          <w:szCs w:val="18"/>
        </w:rPr>
        <w:t xml:space="preserve">. </w:t>
      </w:r>
    </w:p>
  </w:footnote>
  <w:footnote w:id="67">
    <w:p w:rsidR="00E83C6C" w:rsidRPr="003A09DF" w:rsidRDefault="00E83C6C" w:rsidP="00E83C6C">
      <w:pPr>
        <w:pStyle w:val="FootnoteText"/>
        <w:rPr>
          <w:szCs w:val="18"/>
        </w:rPr>
      </w:pPr>
      <w:r w:rsidRPr="006475B9">
        <w:rPr>
          <w:rStyle w:val="FootnoteReference"/>
        </w:rPr>
        <w:footnoteRef/>
      </w:r>
      <w:r w:rsidRPr="006475B9">
        <w:rPr>
          <w:szCs w:val="18"/>
        </w:rPr>
        <w:t xml:space="preserve"> </w:t>
      </w:r>
      <w:r w:rsidRPr="003A09DF">
        <w:rPr>
          <w:szCs w:val="18"/>
        </w:rPr>
        <w:tab/>
        <w:t xml:space="preserve">See </w:t>
      </w:r>
      <w:r w:rsidRPr="00A0252F">
        <w:rPr>
          <w:szCs w:val="18"/>
        </w:rPr>
        <w:t>https://www.icann.org/en/system/files/correspondence/crocker-to-dryden-16jan13-en.pdf</w:t>
      </w:r>
      <w:r w:rsidRPr="003A09DF">
        <w:rPr>
          <w:szCs w:val="18"/>
        </w:rPr>
        <w:t xml:space="preserve">. </w:t>
      </w:r>
    </w:p>
  </w:footnote>
  <w:footnote w:id="68">
    <w:p w:rsidR="00E83C6C" w:rsidRPr="003A09DF" w:rsidRDefault="00E83C6C" w:rsidP="00E83C6C">
      <w:pPr>
        <w:pStyle w:val="FootnoteText"/>
      </w:pPr>
      <w:r w:rsidRPr="003A09DF">
        <w:rPr>
          <w:rStyle w:val="FootnoteReference"/>
        </w:rPr>
        <w:footnoteRef/>
      </w:r>
      <w:r w:rsidRPr="003A09DF">
        <w:t xml:space="preserve"> </w:t>
      </w:r>
      <w:r w:rsidRPr="003A09DF">
        <w:tab/>
      </w:r>
      <w:r w:rsidRPr="003A09DF">
        <w:rPr>
          <w:szCs w:val="22"/>
        </w:rPr>
        <w:t xml:space="preserve">Such criteria comprise treaty-based IGOs with international legal personality, </w:t>
      </w:r>
      <w:proofErr w:type="gramStart"/>
      <w:r w:rsidRPr="003A09DF">
        <w:rPr>
          <w:szCs w:val="22"/>
        </w:rPr>
        <w:t>or which</w:t>
      </w:r>
      <w:proofErr w:type="gramEnd"/>
      <w:r w:rsidRPr="003A09DF">
        <w:rPr>
          <w:szCs w:val="22"/>
        </w:rPr>
        <w:t xml:space="preserve"> are UN Observers, or which are funds or programs of the UN.</w:t>
      </w:r>
    </w:p>
  </w:footnote>
  <w:footnote w:id="69">
    <w:p w:rsidR="00E83C6C" w:rsidRPr="003A09DF" w:rsidRDefault="00E83C6C" w:rsidP="00E83C6C">
      <w:pPr>
        <w:pStyle w:val="FootnoteText"/>
        <w:rPr>
          <w:szCs w:val="18"/>
        </w:rPr>
      </w:pPr>
      <w:r w:rsidRPr="003A09DF">
        <w:rPr>
          <w:rStyle w:val="FootnoteReference"/>
        </w:rPr>
        <w:footnoteRef/>
      </w:r>
      <w:r w:rsidRPr="003A09DF">
        <w:rPr>
          <w:szCs w:val="18"/>
        </w:rPr>
        <w:t xml:space="preserve"> </w:t>
      </w:r>
      <w:r w:rsidRPr="003A09DF">
        <w:rPr>
          <w:szCs w:val="18"/>
        </w:rPr>
        <w:tab/>
        <w:t xml:space="preserve">See </w:t>
      </w:r>
      <w:hyperlink r:id="rId7" w:history="1">
        <w:r w:rsidRPr="003A09DF">
          <w:rPr>
            <w:szCs w:val="18"/>
          </w:rPr>
          <w:t>http://www.icann.org/en/news/correspondence/dryden-to-crocker-chalaby-22mar13-en</w:t>
        </w:r>
      </w:hyperlink>
      <w:r w:rsidRPr="003A09DF">
        <w:rPr>
          <w:szCs w:val="18"/>
        </w:rPr>
        <w:t xml:space="preserve">. </w:t>
      </w:r>
    </w:p>
  </w:footnote>
  <w:footnote w:id="70">
    <w:p w:rsidR="00E83C6C" w:rsidRPr="003A09DF" w:rsidRDefault="00E83C6C" w:rsidP="00E83C6C">
      <w:pPr>
        <w:pStyle w:val="FootnoteText"/>
        <w:rPr>
          <w:szCs w:val="18"/>
        </w:rPr>
      </w:pPr>
      <w:r w:rsidRPr="003A09DF">
        <w:rPr>
          <w:rStyle w:val="FootnoteReference"/>
        </w:rPr>
        <w:footnoteRef/>
      </w:r>
      <w:r w:rsidRPr="003A09DF">
        <w:rPr>
          <w:rStyle w:val="FootnoteReference"/>
        </w:rPr>
        <w:t xml:space="preserve"> </w:t>
      </w:r>
      <w:r w:rsidRPr="003A09DF">
        <w:rPr>
          <w:szCs w:val="18"/>
        </w:rPr>
        <w:tab/>
        <w:t>T</w:t>
      </w:r>
      <w:r w:rsidRPr="003A09DF">
        <w:rPr>
          <w:szCs w:val="22"/>
        </w:rPr>
        <w:t>he Board also sought further specifics on means for periodic review of the list, along with clarification of any additional languages in which protection of IGO</w:t>
      </w:r>
      <w:r>
        <w:rPr>
          <w:szCs w:val="22"/>
        </w:rPr>
        <w:t xml:space="preserve"> names and acronyms </w:t>
      </w:r>
      <w:proofErr w:type="gramStart"/>
      <w:r>
        <w:rPr>
          <w:szCs w:val="22"/>
        </w:rPr>
        <w:t>is sought</w:t>
      </w:r>
      <w:proofErr w:type="gramEnd"/>
      <w:r>
        <w:rPr>
          <w:szCs w:val="22"/>
        </w:rPr>
        <w:t xml:space="preserve">. </w:t>
      </w:r>
      <w:r w:rsidRPr="003A09DF">
        <w:rPr>
          <w:szCs w:val="18"/>
        </w:rPr>
        <w:t xml:space="preserve">See </w:t>
      </w:r>
      <w:hyperlink r:id="rId8" w:history="1">
        <w:r w:rsidRPr="003A09DF">
          <w:rPr>
            <w:szCs w:val="18"/>
          </w:rPr>
          <w:t>http://www.icann.org/en/news/correspondence/crocker-to-dryden-01apr13-en</w:t>
        </w:r>
      </w:hyperlink>
      <w:r w:rsidRPr="003A09DF">
        <w:rPr>
          <w:szCs w:val="18"/>
        </w:rPr>
        <w:t xml:space="preserve">. </w:t>
      </w:r>
    </w:p>
  </w:footnote>
  <w:footnote w:id="71">
    <w:p w:rsidR="00E83C6C" w:rsidRPr="003A09DF" w:rsidRDefault="00E83C6C" w:rsidP="00E83C6C">
      <w:pPr>
        <w:pStyle w:val="FootnoteText"/>
      </w:pPr>
      <w:r w:rsidRPr="003A09DF">
        <w:rPr>
          <w:rStyle w:val="FootnoteReference"/>
        </w:rPr>
        <w:footnoteRef/>
      </w:r>
      <w:r w:rsidRPr="003A09DF">
        <w:t xml:space="preserve"> </w:t>
      </w:r>
      <w:r w:rsidRPr="003A09DF">
        <w:tab/>
      </w:r>
      <w:proofErr w:type="gramStart"/>
      <w:r w:rsidRPr="003A09DF">
        <w:rPr>
          <w:szCs w:val="22"/>
        </w:rPr>
        <w:t xml:space="preserve">The GAC further advised that it expressly assumed that the ICANN Board was prepared to fully implement the GAC advice and focus on practical and effective implementation of preventative protection at the second level in new </w:t>
      </w:r>
      <w:proofErr w:type="spellStart"/>
      <w:r w:rsidRPr="003A09DF">
        <w:rPr>
          <w:szCs w:val="22"/>
        </w:rPr>
        <w:t>gTLDs</w:t>
      </w:r>
      <w:proofErr w:type="spellEnd"/>
      <w:r w:rsidRPr="003A09DF">
        <w:rPr>
          <w:szCs w:val="22"/>
        </w:rPr>
        <w:t>, and that the interim protections for IGO names and acronyms should remain in place until the dialogue between the GAC, ICANN an</w:t>
      </w:r>
      <w:r>
        <w:rPr>
          <w:szCs w:val="22"/>
        </w:rPr>
        <w:t>d IGOs was completed.</w:t>
      </w:r>
      <w:proofErr w:type="gramEnd"/>
      <w:r>
        <w:rPr>
          <w:szCs w:val="22"/>
        </w:rPr>
        <w:t xml:space="preserve"> </w:t>
      </w:r>
      <w:r w:rsidRPr="003A09DF">
        <w:t xml:space="preserve">See http://durban47.icann.org/meetings/durban2013/presentation-gac-communique-18jul13-en.pdf. </w:t>
      </w:r>
    </w:p>
  </w:footnote>
  <w:footnote w:id="72">
    <w:p w:rsidR="00E83C6C" w:rsidRPr="003A09DF" w:rsidRDefault="00E83C6C" w:rsidP="00E83C6C">
      <w:pPr>
        <w:pStyle w:val="FootnoteText"/>
      </w:pPr>
      <w:r w:rsidRPr="003A09DF">
        <w:rPr>
          <w:rStyle w:val="FootnoteReference"/>
        </w:rPr>
        <w:footnoteRef/>
      </w:r>
      <w:r w:rsidRPr="003A09DF">
        <w:t xml:space="preserve"> </w:t>
      </w:r>
      <w:r w:rsidRPr="003A09DF">
        <w:tab/>
        <w:t xml:space="preserve">See </w:t>
      </w:r>
      <w:r w:rsidRPr="00495D92">
        <w:rPr>
          <w:szCs w:val="18"/>
        </w:rPr>
        <w:t>https://www.icann.org/resources/board-material/resolutions-new-gtld-2013-07-17-en#1.a</w:t>
      </w:r>
      <w:r>
        <w:rPr>
          <w:szCs w:val="18"/>
        </w:rPr>
        <w:t>.</w:t>
      </w:r>
    </w:p>
  </w:footnote>
  <w:footnote w:id="73">
    <w:p w:rsidR="00E83C6C" w:rsidRDefault="00E83C6C" w:rsidP="00E83C6C">
      <w:pPr>
        <w:pStyle w:val="FootnoteText"/>
      </w:pPr>
      <w:r w:rsidRPr="003A09DF">
        <w:rPr>
          <w:rStyle w:val="FootnoteReference"/>
        </w:rPr>
        <w:footnoteRef/>
      </w:r>
      <w:r w:rsidRPr="003A09DF">
        <w:t xml:space="preserve"> </w:t>
      </w:r>
      <w:r w:rsidRPr="003A09DF">
        <w:tab/>
        <w:t xml:space="preserve">The GAC and </w:t>
      </w:r>
      <w:r w:rsidRPr="003A09DF">
        <w:rPr>
          <w:szCs w:val="22"/>
        </w:rPr>
        <w:t xml:space="preserve">the NGPC had </w:t>
      </w:r>
      <w:r w:rsidRPr="003A09DF">
        <w:t>cancelled their participation in a September 30 meeting proposed by IGOs</w:t>
      </w:r>
      <w:r w:rsidRPr="003A09DF">
        <w:rPr>
          <w:szCs w:val="22"/>
        </w:rPr>
        <w:t>.</w:t>
      </w:r>
      <w:r w:rsidRPr="006475B9">
        <w:rPr>
          <w:szCs w:val="22"/>
        </w:rPr>
        <w:t xml:space="preserve">  </w:t>
      </w:r>
    </w:p>
  </w:footnote>
  <w:footnote w:id="74">
    <w:p w:rsidR="00E83C6C" w:rsidRDefault="00E83C6C" w:rsidP="00E83C6C">
      <w:pPr>
        <w:pStyle w:val="FootnoteText"/>
      </w:pPr>
      <w:r>
        <w:rPr>
          <w:rStyle w:val="FootnoteReference"/>
        </w:rPr>
        <w:footnoteRef/>
      </w:r>
      <w:r>
        <w:t xml:space="preserve"> </w:t>
      </w:r>
      <w:r>
        <w:tab/>
        <w:t xml:space="preserve">For a more complete </w:t>
      </w:r>
      <w:proofErr w:type="gramStart"/>
      <w:r>
        <w:t>summary</w:t>
      </w:r>
      <w:proofErr w:type="gramEnd"/>
      <w:r>
        <w:t xml:space="preserve"> see document WO/GA/48/12 Rev., paragraphs 42 to 45.</w:t>
      </w:r>
    </w:p>
  </w:footnote>
  <w:footnote w:id="75">
    <w:p w:rsidR="00E83C6C" w:rsidRDefault="00E83C6C" w:rsidP="00E83C6C">
      <w:pPr>
        <w:pStyle w:val="FootnoteText"/>
      </w:pPr>
      <w:r>
        <w:rPr>
          <w:rStyle w:val="FootnoteReference"/>
        </w:rPr>
        <w:footnoteRef/>
      </w:r>
      <w:r>
        <w:t xml:space="preserve"> </w:t>
      </w:r>
      <w:r>
        <w:tab/>
        <w:t xml:space="preserve">See </w:t>
      </w:r>
      <w:r w:rsidRPr="001059AA">
        <w:t>https://gnso.icann.org/en/council/resolutions#201905</w:t>
      </w:r>
    </w:p>
  </w:footnote>
  <w:footnote w:id="76">
    <w:p w:rsidR="00E83C6C" w:rsidRDefault="00E83C6C" w:rsidP="00E83C6C">
      <w:pPr>
        <w:pStyle w:val="FootnoteText"/>
      </w:pPr>
      <w:r>
        <w:rPr>
          <w:rStyle w:val="FootnoteReference"/>
        </w:rPr>
        <w:footnoteRef/>
      </w:r>
      <w:r>
        <w:t xml:space="preserve"> </w:t>
      </w:r>
      <w:r>
        <w:tab/>
        <w:t xml:space="preserve">See </w:t>
      </w:r>
      <w:r w:rsidRPr="009942D8">
        <w:t>https://www.icann.org/en/system/files/files/resolutions-abudhabi60-gac-advice-scorecard-04feb18-en.pdf</w:t>
      </w:r>
      <w:r>
        <w:t>.</w:t>
      </w:r>
    </w:p>
  </w:footnote>
  <w:footnote w:id="77">
    <w:p w:rsidR="00E83C6C" w:rsidRDefault="00E83C6C" w:rsidP="00E83C6C">
      <w:pPr>
        <w:pStyle w:val="FootnoteText"/>
      </w:pPr>
      <w:r>
        <w:rPr>
          <w:rStyle w:val="FootnoteReference"/>
        </w:rPr>
        <w:footnoteRef/>
      </w:r>
      <w:r>
        <w:t xml:space="preserve"> </w:t>
      </w:r>
      <w:r>
        <w:tab/>
      </w:r>
      <w:r>
        <w:rPr>
          <w:rFonts w:eastAsia="Times New Roman"/>
          <w:szCs w:val="18"/>
          <w:lang w:eastAsia="fr-CH"/>
        </w:rPr>
        <w:t xml:space="preserve">See www.icann.org/resources/pages/igo-ingo-protection-policy-2018-01-16-en, www.icann.org/resources/board-material/resolutions-2018-02-04-en#2.d, and www.icann.org/en/system/files/files/resolutions-abudhabi60-gac-advice-scorecard-04feb18-en.pdf. The Assistant Secretary General of the United Nations in charge of the Office of Legal Affairs on behalf of several IGOs (including WIPO) sent a letter in July 2018 to the ICANN Board stating concerns after the final report of the PDP process (see www.icann.org/en/system/files/correspondence/mathias-to-board-27jul18-en.pdf). In response, members of the PDP Working Group defended the outcome of the report in a letter sent in August 2018 to the ICANN Board (see www.icann.org/en/system/files/correspondence/igo-ingo-wg-to-icann-board-16aug18-en.pdf). </w:t>
      </w:r>
      <w:r w:rsidRPr="00907796">
        <w:rPr>
          <w:rFonts w:eastAsia="Times New Roman"/>
          <w:szCs w:val="18"/>
          <w:shd w:val="clear" w:color="auto" w:fill="FFFFFF" w:themeFill="background1"/>
          <w:lang w:eastAsia="fr-CH"/>
        </w:rPr>
        <w:t>See further discussion at ICANN’s November 2020 meeting, at https://icann66.pathable.com/meetings/1116847.</w:t>
      </w:r>
    </w:p>
  </w:footnote>
  <w:footnote w:id="78">
    <w:p w:rsidR="00E83C6C" w:rsidRPr="008500BB" w:rsidRDefault="00E83C6C" w:rsidP="00E83C6C">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r>
      <w:r w:rsidRPr="003A09DF">
        <w:rPr>
          <w:szCs w:val="22"/>
        </w:rPr>
        <w:t>In 2007</w:t>
      </w:r>
      <w:r>
        <w:rPr>
          <w:szCs w:val="22"/>
        </w:rPr>
        <w:t xml:space="preserve">, </w:t>
      </w:r>
      <w:r w:rsidRPr="003A09DF">
        <w:rPr>
          <w:szCs w:val="22"/>
        </w:rPr>
        <w:t xml:space="preserve">the GAC issued the “GAC Principles regarding New </w:t>
      </w:r>
      <w:proofErr w:type="spellStart"/>
      <w:r w:rsidRPr="003A09DF">
        <w:rPr>
          <w:szCs w:val="22"/>
        </w:rPr>
        <w:t>gTLDs</w:t>
      </w:r>
      <w:proofErr w:type="spellEnd"/>
      <w:r w:rsidRPr="003A09DF">
        <w:rPr>
          <w:szCs w:val="22"/>
        </w:rPr>
        <w:t xml:space="preserve">”, which states </w:t>
      </w:r>
      <w:r w:rsidRPr="003A09DF">
        <w:rPr>
          <w:i/>
          <w:iCs/>
          <w:szCs w:val="22"/>
        </w:rPr>
        <w:t>inter alia</w:t>
      </w:r>
      <w:r w:rsidRPr="003A09DF">
        <w:rPr>
          <w:szCs w:val="22"/>
        </w:rPr>
        <w:t xml:space="preserve"> that ICANN should avoid delegation of new </w:t>
      </w:r>
      <w:proofErr w:type="spellStart"/>
      <w:r w:rsidRPr="003A09DF">
        <w:rPr>
          <w:szCs w:val="22"/>
        </w:rPr>
        <w:t>gTLDs</w:t>
      </w:r>
      <w:proofErr w:type="spellEnd"/>
      <w:r w:rsidRPr="003A09DF">
        <w:rPr>
          <w:szCs w:val="22"/>
        </w:rPr>
        <w:t xml:space="preserve"> concerning country, territory or place names, and regional language or people descriptions, unless in agreement with the relevant gove</w:t>
      </w:r>
      <w:r>
        <w:rPr>
          <w:szCs w:val="22"/>
        </w:rPr>
        <w:t xml:space="preserve">rnments or public authorities. </w:t>
      </w:r>
      <w:r w:rsidRPr="003A09DF">
        <w:rPr>
          <w:szCs w:val="22"/>
        </w:rPr>
        <w:t xml:space="preserve">Those GAC Principles </w:t>
      </w:r>
      <w:r>
        <w:rPr>
          <w:szCs w:val="22"/>
        </w:rPr>
        <w:t xml:space="preserve">further state </w:t>
      </w:r>
      <w:r w:rsidRPr="003A09DF">
        <w:rPr>
          <w:szCs w:val="22"/>
        </w:rPr>
        <w:t xml:space="preserve">that </w:t>
      </w:r>
      <w:r w:rsidRPr="003A09DF">
        <w:rPr>
          <w:iCs/>
          <w:szCs w:val="22"/>
          <w:lang w:eastAsia="ko-KR"/>
        </w:rPr>
        <w:t xml:space="preserve">new </w:t>
      </w:r>
      <w:r w:rsidRPr="003A09DF">
        <w:rPr>
          <w:iCs/>
          <w:szCs w:val="22"/>
        </w:rPr>
        <w:t>registries should adopt procedures for blocking/challenge of names with national or geographical significance at the second lev</w:t>
      </w:r>
      <w:r>
        <w:rPr>
          <w:iCs/>
          <w:szCs w:val="22"/>
        </w:rPr>
        <w:t xml:space="preserve">el upon demand of governments. </w:t>
      </w:r>
      <w:r w:rsidRPr="003A09DF">
        <w:rPr>
          <w:szCs w:val="18"/>
        </w:rPr>
        <w:t xml:space="preserve">See </w:t>
      </w:r>
      <w:r w:rsidRPr="001C6E29">
        <w:rPr>
          <w:szCs w:val="18"/>
        </w:rPr>
        <w:t>https://archive.icann.org/en/topics/new-gtlds/gac-principles-regarding-new-gtlds-28mar07-en.pdf</w:t>
      </w:r>
      <w:r w:rsidRPr="003A09DF">
        <w:rPr>
          <w:szCs w:val="18"/>
        </w:rPr>
        <w:t>.</w:t>
      </w:r>
    </w:p>
  </w:footnote>
  <w:footnote w:id="79">
    <w:p w:rsidR="00E83C6C" w:rsidRPr="003A09DF" w:rsidRDefault="00E83C6C" w:rsidP="00E83C6C">
      <w:pPr>
        <w:pStyle w:val="FootnoteText"/>
        <w:tabs>
          <w:tab w:val="left" w:pos="567"/>
        </w:tabs>
        <w:rPr>
          <w:szCs w:val="18"/>
        </w:rPr>
      </w:pPr>
      <w:r w:rsidRPr="003A09DF">
        <w:rPr>
          <w:rStyle w:val="FootnoteReference"/>
        </w:rPr>
        <w:footnoteRef/>
      </w:r>
      <w:r w:rsidRPr="003A09DF">
        <w:t xml:space="preserve"> </w:t>
      </w:r>
      <w:r w:rsidRPr="003A09DF">
        <w:tab/>
      </w:r>
      <w:r w:rsidRPr="003A09DF">
        <w:rPr>
          <w:szCs w:val="22"/>
        </w:rPr>
        <w:t xml:space="preserve">Concerning second-level registrations, ICANN’s base registry agreement includes a “Schedule of Reserved Names at the Second Level in </w:t>
      </w:r>
      <w:proofErr w:type="spellStart"/>
      <w:r w:rsidRPr="003A09DF">
        <w:rPr>
          <w:szCs w:val="22"/>
        </w:rPr>
        <w:t>gTLD</w:t>
      </w:r>
      <w:proofErr w:type="spellEnd"/>
      <w:r w:rsidRPr="003A09DF">
        <w:rPr>
          <w:szCs w:val="22"/>
        </w:rPr>
        <w:t xml:space="preserve"> Registries” which makes </w:t>
      </w:r>
      <w:proofErr w:type="gramStart"/>
      <w:r w:rsidRPr="003A09DF">
        <w:rPr>
          <w:szCs w:val="22"/>
        </w:rPr>
        <w:t>provision for certain</w:t>
      </w:r>
      <w:proofErr w:type="gramEnd"/>
      <w:r w:rsidRPr="003A09DF">
        <w:rPr>
          <w:szCs w:val="22"/>
        </w:rPr>
        <w:t xml:space="preserve"> country and territory names</w:t>
      </w:r>
      <w:r w:rsidRPr="003A09DF">
        <w:rPr>
          <w:szCs w:val="18"/>
        </w:rPr>
        <w:t>.  See</w:t>
      </w:r>
      <w:r>
        <w:rPr>
          <w:szCs w:val="18"/>
        </w:rPr>
        <w:t> </w:t>
      </w:r>
      <w:r w:rsidRPr="003A09DF">
        <w:rPr>
          <w:szCs w:val="18"/>
        </w:rPr>
        <w:t>http://newgtlds.icann.org/en/applicants/agb/base-agreement-specs-04jun12-en.pdf at Specification 5.</w:t>
      </w:r>
    </w:p>
  </w:footnote>
  <w:footnote w:id="80">
    <w:p w:rsidR="00E83C6C" w:rsidRPr="003A09DF" w:rsidRDefault="00E83C6C" w:rsidP="00E83C6C">
      <w:pPr>
        <w:pStyle w:val="FootnoteText"/>
        <w:tabs>
          <w:tab w:val="left" w:pos="567"/>
        </w:tabs>
        <w:rPr>
          <w:szCs w:val="18"/>
        </w:rPr>
      </w:pPr>
      <w:r w:rsidRPr="003A09DF">
        <w:rPr>
          <w:rStyle w:val="FootnoteReference"/>
        </w:rPr>
        <w:footnoteRef/>
      </w:r>
      <w:r w:rsidRPr="003A09DF">
        <w:rPr>
          <w:rStyle w:val="FootnoteReference"/>
        </w:rPr>
        <w:t xml:space="preserve"> </w:t>
      </w:r>
      <w:r w:rsidRPr="003A09DF">
        <w:rPr>
          <w:szCs w:val="18"/>
        </w:rPr>
        <w:tab/>
        <w:t>See http://newgtlds.icann.org/en/applicants/agb/evaluation-procedures-04jun12-en.pdf, from section 2.2.1.4.1 “Treatment of Country or Territory Names”.</w:t>
      </w:r>
    </w:p>
  </w:footnote>
  <w:footnote w:id="81">
    <w:p w:rsidR="00E83C6C" w:rsidRPr="003A09DF" w:rsidRDefault="00E83C6C" w:rsidP="00E83C6C">
      <w:pPr>
        <w:pStyle w:val="FootnoteText"/>
        <w:shd w:val="clear" w:color="auto" w:fill="FFFFFF" w:themeFill="background1"/>
        <w:tabs>
          <w:tab w:val="left" w:pos="567"/>
        </w:tabs>
        <w:rPr>
          <w:szCs w:val="18"/>
        </w:rPr>
      </w:pPr>
      <w:r w:rsidRPr="003A09DF">
        <w:rPr>
          <w:rStyle w:val="FootnoteReference"/>
        </w:rPr>
        <w:footnoteRef/>
      </w:r>
      <w:r w:rsidRPr="003A09DF">
        <w:rPr>
          <w:szCs w:val="18"/>
        </w:rPr>
        <w:t xml:space="preserve"> </w:t>
      </w:r>
      <w:r w:rsidRPr="003A09DF">
        <w:rPr>
          <w:szCs w:val="18"/>
        </w:rPr>
        <w:tab/>
        <w:t xml:space="preserve">See http://newgtlds.icann.org/en/applicants/agb/evaluation-procedures-04jun12-en.pdf, from section 2.2.1.4.2 </w:t>
      </w:r>
      <w:r w:rsidRPr="00712C3D">
        <w:rPr>
          <w:szCs w:val="18"/>
          <w:shd w:val="clear" w:color="auto" w:fill="FFFFFF" w:themeFill="background1"/>
        </w:rPr>
        <w:t>“Geographic Names Requiring Government Support”.</w:t>
      </w:r>
      <w:r w:rsidRPr="003A09DF">
        <w:rPr>
          <w:szCs w:val="18"/>
        </w:rPr>
        <w:t xml:space="preserve"> </w:t>
      </w:r>
    </w:p>
  </w:footnote>
  <w:footnote w:id="82">
    <w:p w:rsidR="00E83C6C" w:rsidRPr="003A09DF" w:rsidRDefault="00E83C6C" w:rsidP="00E83C6C">
      <w:pPr>
        <w:pStyle w:val="FootnoteText"/>
        <w:shd w:val="clear" w:color="auto" w:fill="FFFFFF" w:themeFill="background1"/>
        <w:tabs>
          <w:tab w:val="left" w:pos="567"/>
        </w:tabs>
        <w:rPr>
          <w:color w:val="000000" w:themeColor="text1"/>
          <w:szCs w:val="22"/>
        </w:rPr>
      </w:pPr>
      <w:r w:rsidRPr="003A09DF">
        <w:rPr>
          <w:rStyle w:val="FootnoteReference"/>
        </w:rPr>
        <w:footnoteRef/>
      </w:r>
      <w:r w:rsidRPr="003A09DF">
        <w:t xml:space="preserve"> </w:t>
      </w:r>
      <w:r w:rsidRPr="003A09DF">
        <w:tab/>
        <w:t>See https://www.icann.org/en/system/files/correspondence/gac-to-board-27mar14-en.pdf, at “4. Specific Strings”.</w:t>
      </w:r>
      <w:r>
        <w:t xml:space="preserve"> </w:t>
      </w:r>
      <w:r w:rsidRPr="003A09DF">
        <w:rPr>
          <w:szCs w:val="22"/>
        </w:rPr>
        <w:t xml:space="preserve">While the Board has accepted the GAC’s advice against proceeding with certain applications, it has sought further information from the GAC, as well as public comments, on a range of additional safeguards sought by the GAC concerning </w:t>
      </w:r>
      <w:r w:rsidRPr="003A09DF">
        <w:rPr>
          <w:iCs/>
          <w:szCs w:val="22"/>
        </w:rPr>
        <w:t xml:space="preserve">several broad categories of new </w:t>
      </w:r>
      <w:proofErr w:type="spellStart"/>
      <w:r w:rsidRPr="003A09DF">
        <w:rPr>
          <w:iCs/>
          <w:szCs w:val="22"/>
        </w:rPr>
        <w:t>gTLD</w:t>
      </w:r>
      <w:proofErr w:type="spellEnd"/>
      <w:r w:rsidRPr="003A09DF">
        <w:rPr>
          <w:iCs/>
          <w:szCs w:val="22"/>
        </w:rPr>
        <w:t xml:space="preserve"> applications such as for those new </w:t>
      </w:r>
      <w:proofErr w:type="spellStart"/>
      <w:r w:rsidRPr="003A09DF">
        <w:rPr>
          <w:iCs/>
          <w:szCs w:val="22"/>
        </w:rPr>
        <w:t>gTLDs</w:t>
      </w:r>
      <w:proofErr w:type="spellEnd"/>
      <w:r w:rsidRPr="003A09DF">
        <w:rPr>
          <w:iCs/>
          <w:szCs w:val="22"/>
        </w:rPr>
        <w:t xml:space="preserve"> which correspond to regulated i</w:t>
      </w:r>
      <w:r>
        <w:rPr>
          <w:iCs/>
          <w:szCs w:val="22"/>
        </w:rPr>
        <w:t xml:space="preserve">ndustries or dictionary terms. </w:t>
      </w:r>
      <w:r w:rsidRPr="003A09DF">
        <w:rPr>
          <w:szCs w:val="22"/>
        </w:rPr>
        <w:t xml:space="preserve">See </w:t>
      </w:r>
      <w:r w:rsidRPr="00073B50">
        <w:rPr>
          <w:szCs w:val="22"/>
        </w:rPr>
        <w:t>https://www.icann.org/en/system/files/correspondence/gac-to-board-11apr13-en.pdf</w:t>
      </w:r>
      <w:r>
        <w:rPr>
          <w:szCs w:val="22"/>
        </w:rPr>
        <w:t xml:space="preserve">. </w:t>
      </w:r>
      <w:r w:rsidRPr="003A09DF">
        <w:rPr>
          <w:iCs/>
          <w:szCs w:val="22"/>
        </w:rPr>
        <w:t xml:space="preserve">A GAC Sub-group on Geographic Names (a Sub-group of the GAC Working Group on Future New </w:t>
      </w:r>
      <w:proofErr w:type="spellStart"/>
      <w:r w:rsidRPr="003A09DF">
        <w:rPr>
          <w:iCs/>
          <w:szCs w:val="22"/>
        </w:rPr>
        <w:t>gTLDs</w:t>
      </w:r>
      <w:proofErr w:type="spellEnd"/>
      <w:r w:rsidRPr="003A09DF">
        <w:rPr>
          <w:iCs/>
          <w:szCs w:val="22"/>
        </w:rPr>
        <w:t xml:space="preserve">) has developed a draft document for future </w:t>
      </w:r>
      <w:proofErr w:type="gramStart"/>
      <w:r w:rsidRPr="003A09DF">
        <w:rPr>
          <w:iCs/>
          <w:szCs w:val="22"/>
        </w:rPr>
        <w:t>New</w:t>
      </w:r>
      <w:proofErr w:type="gramEnd"/>
      <w:r w:rsidRPr="003A09DF">
        <w:rPr>
          <w:iCs/>
          <w:szCs w:val="22"/>
        </w:rPr>
        <w:t xml:space="preserve"> </w:t>
      </w:r>
      <w:proofErr w:type="spellStart"/>
      <w:r w:rsidRPr="003A09DF">
        <w:rPr>
          <w:iCs/>
          <w:szCs w:val="22"/>
        </w:rPr>
        <w:t>gTLD</w:t>
      </w:r>
      <w:proofErr w:type="spellEnd"/>
      <w:r w:rsidRPr="003A09DF">
        <w:rPr>
          <w:iCs/>
          <w:szCs w:val="22"/>
        </w:rPr>
        <w:t xml:space="preserve"> rounds outlining several public policy aspects related to geographic names</w:t>
      </w:r>
      <w:r>
        <w:rPr>
          <w:iCs/>
          <w:szCs w:val="22"/>
        </w:rPr>
        <w:t>,</w:t>
      </w:r>
      <w:r w:rsidRPr="003A09DF">
        <w:rPr>
          <w:iCs/>
          <w:szCs w:val="22"/>
        </w:rPr>
        <w:t xml:space="preserve"> which is subject</w:t>
      </w:r>
      <w:r>
        <w:rPr>
          <w:iCs/>
          <w:szCs w:val="22"/>
        </w:rPr>
        <w:t xml:space="preserve"> to further ICANN discussions. </w:t>
      </w:r>
      <w:r w:rsidRPr="003A09DF">
        <w:t xml:space="preserve">See </w:t>
      </w:r>
      <w:r w:rsidRPr="00907796">
        <w:t>https://gacweb.icann.org/download/attachments/27132037/Geo%20names%20in%20new%20gTLDs%20Updated%20%20V3%20%2029%20august%202014%5B4%5D.pdf?version=1&amp;modificationDate=1411549935000&amp;api=v2</w:t>
      </w:r>
      <w:r w:rsidRPr="003A09DF">
        <w:rPr>
          <w:color w:val="000000" w:themeColor="text1"/>
        </w:rPr>
        <w:t>.</w:t>
      </w:r>
      <w:r>
        <w:rPr>
          <w:color w:val="000000" w:themeColor="text1"/>
        </w:rPr>
        <w:t xml:space="preserve"> See also </w:t>
      </w:r>
      <w:r w:rsidRPr="00907796">
        <w:t>https://www.icann.org/resources/board-material/resolutions-2019-05-15-en#1.c</w:t>
      </w:r>
    </w:p>
  </w:footnote>
  <w:footnote w:id="83">
    <w:p w:rsidR="00E83C6C" w:rsidRDefault="00E83C6C" w:rsidP="00E83C6C">
      <w:pPr>
        <w:pStyle w:val="FootnoteText"/>
        <w:tabs>
          <w:tab w:val="left" w:pos="567"/>
        </w:tabs>
      </w:pPr>
      <w:r>
        <w:rPr>
          <w:rStyle w:val="FootnoteReference"/>
        </w:rPr>
        <w:footnoteRef/>
      </w:r>
      <w:r>
        <w:t xml:space="preserve"> </w:t>
      </w:r>
      <w:r>
        <w:tab/>
        <w:t xml:space="preserve">Together these comprise ICANN’s so-called “confusion mitigation” plans. See </w:t>
      </w:r>
      <w:r w:rsidRPr="003D359B">
        <w:t>https://www.icann.org/en/system/files/files/two-character-ltr-ltr-authorization-release-13dec16-en.pdf</w:t>
      </w:r>
      <w:r>
        <w:t>.</w:t>
      </w:r>
    </w:p>
  </w:footnote>
  <w:footnote w:id="84">
    <w:p w:rsidR="00E83C6C" w:rsidRDefault="00E83C6C" w:rsidP="00E83C6C">
      <w:pPr>
        <w:pStyle w:val="FootnoteText"/>
        <w:tabs>
          <w:tab w:val="left" w:pos="567"/>
        </w:tabs>
      </w:pPr>
      <w:r>
        <w:rPr>
          <w:rStyle w:val="FootnoteReference"/>
        </w:rPr>
        <w:footnoteRef/>
      </w:r>
      <w:r>
        <w:t xml:space="preserve"> </w:t>
      </w:r>
      <w:r>
        <w:tab/>
        <w:t xml:space="preserve">See </w:t>
      </w:r>
      <w:r w:rsidRPr="003775E0">
        <w:t>https://forum.icann.org/lists/comments-proposed-measures-two-char-08jul16/pdfECmcS9knuk.pdf</w:t>
      </w:r>
      <w:r>
        <w:t xml:space="preserve">. </w:t>
      </w:r>
    </w:p>
  </w:footnote>
  <w:footnote w:id="85">
    <w:p w:rsidR="00E83C6C" w:rsidRDefault="00E83C6C" w:rsidP="00E83C6C">
      <w:pPr>
        <w:pStyle w:val="FootnoteText"/>
      </w:pPr>
      <w:r w:rsidRPr="003F1164">
        <w:rPr>
          <w:rStyle w:val="FootnoteReference"/>
        </w:rPr>
        <w:footnoteRef/>
      </w:r>
      <w:r w:rsidRPr="003F1164">
        <w:t xml:space="preserve"> </w:t>
      </w:r>
      <w:r>
        <w:tab/>
        <w:t xml:space="preserve">See </w:t>
      </w:r>
      <w:r w:rsidRPr="003F1164">
        <w:t>https://static.ptbl.co/static/attachments/169910/1521228229.pdf?1521228229</w:t>
      </w:r>
      <w:r>
        <w:t xml:space="preserve">. </w:t>
      </w:r>
    </w:p>
  </w:footnote>
  <w:footnote w:id="86">
    <w:p w:rsidR="00E83C6C" w:rsidRPr="00B54F9C" w:rsidRDefault="00E83C6C" w:rsidP="00E83C6C">
      <w:pPr>
        <w:pStyle w:val="FootnoteText"/>
        <w:rPr>
          <w:b/>
          <w:szCs w:val="18"/>
        </w:rPr>
      </w:pPr>
      <w:r w:rsidRPr="003A09DF">
        <w:rPr>
          <w:rStyle w:val="FootnoteReference"/>
        </w:rPr>
        <w:footnoteRef/>
      </w:r>
      <w:r w:rsidRPr="003A09DF">
        <w:rPr>
          <w:rStyle w:val="FootnoteReference"/>
        </w:rPr>
        <w:t xml:space="preserve"> </w:t>
      </w:r>
      <w:r w:rsidRPr="003A09DF">
        <w:rPr>
          <w:szCs w:val="18"/>
        </w:rPr>
        <w:tab/>
        <w:t xml:space="preserve">See </w:t>
      </w:r>
      <w:r w:rsidRPr="003A09DF">
        <w:rPr>
          <w:i/>
          <w:szCs w:val="18"/>
        </w:rPr>
        <w:t>e.g.</w:t>
      </w:r>
      <w:r w:rsidRPr="003A09DF">
        <w:rPr>
          <w:szCs w:val="18"/>
        </w:rPr>
        <w:t>, documents SCT/</w:t>
      </w:r>
      <w:r>
        <w:rPr>
          <w:szCs w:val="18"/>
        </w:rPr>
        <w:t>37/4</w:t>
      </w:r>
      <w:r w:rsidRPr="003A09DF">
        <w:rPr>
          <w:szCs w:val="18"/>
        </w:rPr>
        <w:t>, SCT</w:t>
      </w:r>
      <w:r>
        <w:rPr>
          <w:szCs w:val="18"/>
        </w:rPr>
        <w:t>37/5</w:t>
      </w:r>
      <w:r w:rsidRPr="003A09DF">
        <w:rPr>
          <w:szCs w:val="18"/>
        </w:rPr>
        <w:t>, SCT</w:t>
      </w:r>
      <w:r>
        <w:rPr>
          <w:szCs w:val="18"/>
        </w:rPr>
        <w:t>38/3,</w:t>
      </w:r>
      <w:r w:rsidRPr="003A09DF">
        <w:rPr>
          <w:szCs w:val="18"/>
        </w:rPr>
        <w:t xml:space="preserve"> </w:t>
      </w:r>
      <w:r>
        <w:rPr>
          <w:szCs w:val="18"/>
        </w:rPr>
        <w:t>SCT39/5, SCT40/4</w:t>
      </w:r>
      <w:r w:rsidR="002C5753">
        <w:rPr>
          <w:szCs w:val="18"/>
        </w:rPr>
        <w:t xml:space="preserve">, </w:t>
      </w:r>
      <w:r>
        <w:rPr>
          <w:szCs w:val="18"/>
        </w:rPr>
        <w:t>SCT41/5</w:t>
      </w:r>
      <w:r w:rsidR="002C5753">
        <w:rPr>
          <w:szCs w:val="18"/>
        </w:rPr>
        <w:t>, and SCT 42/3</w:t>
      </w:r>
      <w:r w:rsidRPr="003A09DF">
        <w:rPr>
          <w:szCs w:val="18"/>
        </w:rPr>
        <w:t>.</w:t>
      </w:r>
      <w:r>
        <w:rPr>
          <w:szCs w:val="18"/>
        </w:rPr>
        <w:t xml:space="preserve"> See also meeting </w:t>
      </w:r>
      <w:r w:rsidRPr="00E601AE">
        <w:rPr>
          <w:szCs w:val="18"/>
        </w:rPr>
        <w:t>SCT/IS/GEO/GE/17</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076231" w:rsidP="00477D6B">
    <w:pPr>
      <w:jc w:val="right"/>
    </w:pPr>
    <w:bookmarkStart w:id="5" w:name="Code2"/>
    <w:r>
      <w:t>WO/GA/53/</w:t>
    </w:r>
    <w:r w:rsidR="00654346">
      <w:t>8</w:t>
    </w:r>
  </w:p>
  <w:bookmarkEnd w:id="5"/>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7D4948">
      <w:rPr>
        <w:noProof/>
      </w:rPr>
      <w:t>14</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31"/>
    <w:rsid w:val="00004205"/>
    <w:rsid w:val="00007ED9"/>
    <w:rsid w:val="00043CAA"/>
    <w:rsid w:val="00055EAF"/>
    <w:rsid w:val="00056816"/>
    <w:rsid w:val="0006214D"/>
    <w:rsid w:val="00075432"/>
    <w:rsid w:val="00076231"/>
    <w:rsid w:val="000968ED"/>
    <w:rsid w:val="000A3D97"/>
    <w:rsid w:val="000A7A2D"/>
    <w:rsid w:val="000D1355"/>
    <w:rsid w:val="000D7426"/>
    <w:rsid w:val="000E04E6"/>
    <w:rsid w:val="000E4F44"/>
    <w:rsid w:val="000F5E56"/>
    <w:rsid w:val="00100F51"/>
    <w:rsid w:val="00106DFB"/>
    <w:rsid w:val="001362EE"/>
    <w:rsid w:val="00141DE0"/>
    <w:rsid w:val="001474DB"/>
    <w:rsid w:val="001647D5"/>
    <w:rsid w:val="00164A84"/>
    <w:rsid w:val="001832A6"/>
    <w:rsid w:val="001D4107"/>
    <w:rsid w:val="001E00CD"/>
    <w:rsid w:val="001E0BB7"/>
    <w:rsid w:val="001F67FE"/>
    <w:rsid w:val="001F705E"/>
    <w:rsid w:val="00203D24"/>
    <w:rsid w:val="0021217E"/>
    <w:rsid w:val="00217391"/>
    <w:rsid w:val="002222C8"/>
    <w:rsid w:val="00226258"/>
    <w:rsid w:val="002316AC"/>
    <w:rsid w:val="002415DC"/>
    <w:rsid w:val="00243430"/>
    <w:rsid w:val="002549E0"/>
    <w:rsid w:val="002634C4"/>
    <w:rsid w:val="002845A1"/>
    <w:rsid w:val="002928D3"/>
    <w:rsid w:val="002C5753"/>
    <w:rsid w:val="002F1FE6"/>
    <w:rsid w:val="002F4E68"/>
    <w:rsid w:val="00312F7F"/>
    <w:rsid w:val="00343798"/>
    <w:rsid w:val="00361450"/>
    <w:rsid w:val="003673CF"/>
    <w:rsid w:val="003845C1"/>
    <w:rsid w:val="003A6663"/>
    <w:rsid w:val="003A6F89"/>
    <w:rsid w:val="003B38C1"/>
    <w:rsid w:val="003C34E9"/>
    <w:rsid w:val="003D023B"/>
    <w:rsid w:val="003D2D08"/>
    <w:rsid w:val="00423E3E"/>
    <w:rsid w:val="00427AF4"/>
    <w:rsid w:val="00441DF1"/>
    <w:rsid w:val="004647DA"/>
    <w:rsid w:val="00474062"/>
    <w:rsid w:val="00477D6B"/>
    <w:rsid w:val="004D0364"/>
    <w:rsid w:val="004E42F9"/>
    <w:rsid w:val="005019FF"/>
    <w:rsid w:val="00527205"/>
    <w:rsid w:val="0053057A"/>
    <w:rsid w:val="00531A5E"/>
    <w:rsid w:val="005361A2"/>
    <w:rsid w:val="00540131"/>
    <w:rsid w:val="00556076"/>
    <w:rsid w:val="00560A29"/>
    <w:rsid w:val="005A291B"/>
    <w:rsid w:val="005C37D8"/>
    <w:rsid w:val="005C4357"/>
    <w:rsid w:val="005C6649"/>
    <w:rsid w:val="005C6676"/>
    <w:rsid w:val="005D13DE"/>
    <w:rsid w:val="005E27B1"/>
    <w:rsid w:val="006030EE"/>
    <w:rsid w:val="00605827"/>
    <w:rsid w:val="00634AC3"/>
    <w:rsid w:val="00646050"/>
    <w:rsid w:val="00654346"/>
    <w:rsid w:val="00664D02"/>
    <w:rsid w:val="006713CA"/>
    <w:rsid w:val="00674BF7"/>
    <w:rsid w:val="00676C5C"/>
    <w:rsid w:val="006961B9"/>
    <w:rsid w:val="006B3EAC"/>
    <w:rsid w:val="006F469A"/>
    <w:rsid w:val="00720EFD"/>
    <w:rsid w:val="00731C49"/>
    <w:rsid w:val="007431D5"/>
    <w:rsid w:val="00790495"/>
    <w:rsid w:val="00793A7C"/>
    <w:rsid w:val="007A398A"/>
    <w:rsid w:val="007B6DE9"/>
    <w:rsid w:val="007D1613"/>
    <w:rsid w:val="007D4948"/>
    <w:rsid w:val="007E2076"/>
    <w:rsid w:val="007E4C0E"/>
    <w:rsid w:val="008002BB"/>
    <w:rsid w:val="00805BD5"/>
    <w:rsid w:val="008323BA"/>
    <w:rsid w:val="00832E50"/>
    <w:rsid w:val="0088119A"/>
    <w:rsid w:val="008A134B"/>
    <w:rsid w:val="008A3140"/>
    <w:rsid w:val="008B1253"/>
    <w:rsid w:val="008B2CC1"/>
    <w:rsid w:val="008B4FFD"/>
    <w:rsid w:val="008B60B2"/>
    <w:rsid w:val="008D4A3C"/>
    <w:rsid w:val="0090731E"/>
    <w:rsid w:val="00916EE2"/>
    <w:rsid w:val="00966A22"/>
    <w:rsid w:val="0096722F"/>
    <w:rsid w:val="00980843"/>
    <w:rsid w:val="009A6C11"/>
    <w:rsid w:val="009E2791"/>
    <w:rsid w:val="009E3F6F"/>
    <w:rsid w:val="009F0F96"/>
    <w:rsid w:val="009F499F"/>
    <w:rsid w:val="00A1213B"/>
    <w:rsid w:val="00A3503F"/>
    <w:rsid w:val="00A369AD"/>
    <w:rsid w:val="00A37342"/>
    <w:rsid w:val="00A42DAF"/>
    <w:rsid w:val="00A45BD8"/>
    <w:rsid w:val="00A869B7"/>
    <w:rsid w:val="00AB1A54"/>
    <w:rsid w:val="00AC205C"/>
    <w:rsid w:val="00AE1B0B"/>
    <w:rsid w:val="00AE3784"/>
    <w:rsid w:val="00AF0A6B"/>
    <w:rsid w:val="00B05A69"/>
    <w:rsid w:val="00B341F8"/>
    <w:rsid w:val="00B62D55"/>
    <w:rsid w:val="00B62DED"/>
    <w:rsid w:val="00B75281"/>
    <w:rsid w:val="00B92F1F"/>
    <w:rsid w:val="00B9734B"/>
    <w:rsid w:val="00BA30E2"/>
    <w:rsid w:val="00BC0DC0"/>
    <w:rsid w:val="00BD343F"/>
    <w:rsid w:val="00BE1236"/>
    <w:rsid w:val="00BF4DCB"/>
    <w:rsid w:val="00C0347F"/>
    <w:rsid w:val="00C11BFE"/>
    <w:rsid w:val="00C274D7"/>
    <w:rsid w:val="00C3127A"/>
    <w:rsid w:val="00C41070"/>
    <w:rsid w:val="00C5068F"/>
    <w:rsid w:val="00C51CEF"/>
    <w:rsid w:val="00C86D74"/>
    <w:rsid w:val="00CB3542"/>
    <w:rsid w:val="00CD04F1"/>
    <w:rsid w:val="00CF681A"/>
    <w:rsid w:val="00D07C78"/>
    <w:rsid w:val="00D45252"/>
    <w:rsid w:val="00D506CC"/>
    <w:rsid w:val="00D71B4D"/>
    <w:rsid w:val="00D92866"/>
    <w:rsid w:val="00D93D55"/>
    <w:rsid w:val="00DA38BE"/>
    <w:rsid w:val="00DD3936"/>
    <w:rsid w:val="00DD7B7F"/>
    <w:rsid w:val="00DE06AE"/>
    <w:rsid w:val="00DF5B7D"/>
    <w:rsid w:val="00E14721"/>
    <w:rsid w:val="00E15015"/>
    <w:rsid w:val="00E335FE"/>
    <w:rsid w:val="00E42022"/>
    <w:rsid w:val="00E62AC9"/>
    <w:rsid w:val="00E83C6C"/>
    <w:rsid w:val="00E95055"/>
    <w:rsid w:val="00EA7D6E"/>
    <w:rsid w:val="00EB2F76"/>
    <w:rsid w:val="00EC4E49"/>
    <w:rsid w:val="00EC69A1"/>
    <w:rsid w:val="00ED77FB"/>
    <w:rsid w:val="00EE45FA"/>
    <w:rsid w:val="00EF52FC"/>
    <w:rsid w:val="00F043DE"/>
    <w:rsid w:val="00F10B3A"/>
    <w:rsid w:val="00F66152"/>
    <w:rsid w:val="00F84B14"/>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92EE386"/>
  <w15:docId w15:val="{1ADF3BC4-4019-465F-AB37-AC9B84C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076231"/>
    <w:rPr>
      <w:rFonts w:ascii="Arial" w:eastAsia="SimSun" w:hAnsi="Arial" w:cs="Arial"/>
      <w:sz w:val="18"/>
      <w:lang w:val="en-US" w:eastAsia="zh-CN"/>
    </w:rPr>
  </w:style>
  <w:style w:type="paragraph" w:customStyle="1" w:styleId="DecisionInvitingPara">
    <w:name w:val="Decision Inviting Para."/>
    <w:basedOn w:val="Normal"/>
    <w:rsid w:val="00076231"/>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076231"/>
    <w:rPr>
      <w:vertAlign w:val="superscript"/>
    </w:rPr>
  </w:style>
  <w:style w:type="character" w:customStyle="1" w:styleId="ONUMEChar">
    <w:name w:val="ONUM E Char"/>
    <w:link w:val="ONUME"/>
    <w:rsid w:val="00076231"/>
    <w:rPr>
      <w:rFonts w:ascii="Arial" w:eastAsia="SimSun" w:hAnsi="Arial" w:cs="Arial"/>
      <w:sz w:val="22"/>
      <w:lang w:val="en-US" w:eastAsia="zh-CN"/>
    </w:rPr>
  </w:style>
  <w:style w:type="paragraph" w:styleId="ListParagraph">
    <w:name w:val="List Paragraph"/>
    <w:basedOn w:val="Normal"/>
    <w:uiPriority w:val="34"/>
    <w:qFormat/>
    <w:rsid w:val="00076231"/>
    <w:pPr>
      <w:ind w:left="720"/>
      <w:contextualSpacing/>
    </w:pPr>
    <w:rPr>
      <w:rFonts w:eastAsia="Times New Roman" w:cs="Times New Roman"/>
      <w:lang w:eastAsia="en-US"/>
    </w:rPr>
  </w:style>
  <w:style w:type="character" w:styleId="Hyperlink">
    <w:name w:val="Hyperlink"/>
    <w:basedOn w:val="DefaultParagraphFont"/>
    <w:uiPriority w:val="99"/>
    <w:unhideWhenUsed/>
    <w:rsid w:val="00076231"/>
    <w:rPr>
      <w:color w:val="0000FF"/>
      <w:u w:val="single"/>
    </w:rPr>
  </w:style>
  <w:style w:type="character" w:customStyle="1" w:styleId="CommentTextChar">
    <w:name w:val="Comment Text Char"/>
    <w:basedOn w:val="DefaultParagraphFont"/>
    <w:link w:val="CommentText"/>
    <w:semiHidden/>
    <w:rsid w:val="003A6663"/>
    <w:rPr>
      <w:rFonts w:ascii="Arial" w:eastAsia="SimSun" w:hAnsi="Arial" w:cs="Arial"/>
      <w:sz w:val="18"/>
      <w:lang w:val="en-US" w:eastAsia="zh-CN"/>
    </w:rPr>
  </w:style>
  <w:style w:type="character" w:styleId="CommentReference">
    <w:name w:val="annotation reference"/>
    <w:basedOn w:val="DefaultParagraphFont"/>
    <w:semiHidden/>
    <w:unhideWhenUsed/>
    <w:rsid w:val="003A66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5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center/copyright/copyright_survey.html" TargetMode="External"/><Relationship Id="rId5" Type="http://schemas.openxmlformats.org/officeDocument/2006/relationships/webSettings" Target="webSettings.xml"/><Relationship Id="rId10" Type="http://schemas.openxmlformats.org/officeDocument/2006/relationships/hyperlink" Target="https://www.wipo.int/amc/en/arbitration/rules/" TargetMode="External"/><Relationship Id="rId4" Type="http://schemas.openxmlformats.org/officeDocument/2006/relationships/settings" Target="settings.xml"/><Relationship Id="rId9" Type="http://schemas.openxmlformats.org/officeDocument/2006/relationships/hyperlink" Target="https://www.wipo.int/amc/en/mediation/rul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crocker-to-dryden-01apr13-en" TargetMode="External"/><Relationship Id="rId3" Type="http://schemas.openxmlformats.org/officeDocument/2006/relationships/hyperlink" Target="http://www.wipo.int/amc/en/domains/lro/cases/" TargetMode="External"/><Relationship Id="rId7" Type="http://schemas.openxmlformats.org/officeDocument/2006/relationships/hyperlink" Target="http://www.icann.org/en/news/correspondence/dryden-to-crocker-chalaby-22mar13-en" TargetMode="External"/><Relationship Id="rId2" Type="http://schemas.openxmlformats.org/officeDocument/2006/relationships/hyperlink" Target="http://www.wipo.int/amc/en/domains/lro/fees/" TargetMode="External"/><Relationship Id="rId1" Type="http://schemas.openxmlformats.org/officeDocument/2006/relationships/hyperlink" Target="http://eng.kocca.kr/en/main.do" TargetMode="External"/><Relationship Id="rId6" Type="http://schemas.openxmlformats.org/officeDocument/2006/relationships/hyperlink" Target="https://gacweb.icann.org/download/attachments/27132070/FINAL_Toronto_Communique_20121017.pdf?version=1&amp;modificationDate=1354149148000&amp;api=v2" TargetMode="External"/><Relationship Id="rId5" Type="http://schemas.openxmlformats.org/officeDocument/2006/relationships/hyperlink" Target="http://toronto45.icann.org/node/34325" TargetMode="External"/><Relationship Id="rId4" Type="http://schemas.openxmlformats.org/officeDocument/2006/relationships/hyperlink" Target="http://prague44.icann.org/node/317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68CD-8586-4F62-B9F8-DCBA9166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6</TotalTime>
  <Pages>14</Pages>
  <Words>4721</Words>
  <Characters>26626</Characters>
  <Application>Microsoft Office Word</Application>
  <DocSecurity>0</DocSecurity>
  <Lines>399</Lines>
  <Paragraphs>89</Paragraphs>
  <ScaleCrop>false</ScaleCrop>
  <HeadingPairs>
    <vt:vector size="2" baseType="variant">
      <vt:variant>
        <vt:lpstr>Title</vt:lpstr>
      </vt:variant>
      <vt:variant>
        <vt:i4>1</vt:i4>
      </vt:variant>
    </vt:vector>
  </HeadingPairs>
  <TitlesOfParts>
    <vt:vector size="1" baseType="lpstr">
      <vt:lpstr>WO/GA/53/</vt:lpstr>
    </vt:vector>
  </TitlesOfParts>
  <Company>WIPO</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dc:title>
  <dc:creator>RATTRAY Adam</dc:creator>
  <cp:keywords>PUBLIC</cp:keywords>
  <cp:lastModifiedBy>HÄFLIGER Patience</cp:lastModifiedBy>
  <cp:revision>12</cp:revision>
  <cp:lastPrinted>2020-06-22T15:49:00Z</cp:lastPrinted>
  <dcterms:created xsi:type="dcterms:W3CDTF">2020-06-26T07:23:00Z</dcterms:created>
  <dcterms:modified xsi:type="dcterms:W3CDTF">2020-07-17T10:00:00Z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2032557a-37cf-4df1-a380-1f536b5681da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