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3516A5" w14:textId="77777777" w:rsidR="00E5566B" w:rsidRPr="00123893" w:rsidRDefault="00E5566B" w:rsidP="005B5F1A">
      <w:pPr>
        <w:widowControl w:val="0"/>
        <w:tabs>
          <w:tab w:val="left" w:pos="567"/>
        </w:tabs>
        <w:jc w:val="right"/>
        <w:rPr>
          <w:b/>
          <w:sz w:val="2"/>
          <w:szCs w:val="40"/>
        </w:rPr>
      </w:pPr>
      <w:bookmarkStart w:id="0" w:name="_GoBack"/>
      <w:bookmarkEnd w:id="0"/>
      <w:r>
        <w:rPr>
          <w:b/>
          <w:sz w:val="40"/>
          <w:szCs w:val="40"/>
        </w:rPr>
        <w:t>E</w:t>
      </w:r>
    </w:p>
    <w:p w14:paraId="7CB28CFB" w14:textId="77777777" w:rsidR="006E4F5F" w:rsidRDefault="006E4F5F" w:rsidP="005B5F1A">
      <w:pPr>
        <w:tabs>
          <w:tab w:val="left" w:pos="567"/>
        </w:tabs>
        <w:spacing w:line="360" w:lineRule="auto"/>
        <w:ind w:left="4592"/>
        <w:rPr>
          <w:rFonts w:ascii="Arial Black" w:hAnsi="Arial Black"/>
          <w:caps/>
          <w:sz w:val="15"/>
        </w:rPr>
      </w:pPr>
      <w:r>
        <w:rPr>
          <w:noProof/>
          <w:lang w:eastAsia="en-US"/>
        </w:rPr>
        <w:drawing>
          <wp:inline distT="0" distB="0" distL="0" distR="0" wp14:anchorId="62B76F71" wp14:editId="323B269B">
            <wp:extent cx="1857600" cy="1324800"/>
            <wp:effectExtent l="0" t="0" r="0" b="889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14:paraId="68D77F9A" w14:textId="41BD909C" w:rsidR="006E4F5F" w:rsidRPr="006E4F5F" w:rsidRDefault="00B61109" w:rsidP="005B5F1A">
      <w:pPr>
        <w:pBdr>
          <w:top w:val="single" w:sz="4" w:space="10" w:color="auto"/>
        </w:pBdr>
        <w:tabs>
          <w:tab w:val="left" w:pos="567"/>
        </w:tabs>
        <w:spacing w:before="120"/>
        <w:jc w:val="right"/>
        <w:rPr>
          <w:rFonts w:ascii="Arial Black" w:hAnsi="Arial Black"/>
          <w:b/>
          <w:caps/>
          <w:sz w:val="15"/>
        </w:rPr>
      </w:pPr>
      <w:r w:rsidRPr="00B61109">
        <w:rPr>
          <w:rFonts w:ascii="Arial Black" w:hAnsi="Arial Black"/>
          <w:b/>
          <w:caps/>
          <w:sz w:val="15"/>
        </w:rPr>
        <w:t>WO/GA/5</w:t>
      </w:r>
      <w:r w:rsidR="006360D4">
        <w:rPr>
          <w:rFonts w:ascii="Arial Black" w:hAnsi="Arial Black"/>
          <w:b/>
          <w:caps/>
          <w:sz w:val="15"/>
        </w:rPr>
        <w:t>4</w:t>
      </w:r>
      <w:r w:rsidR="006E4F5F" w:rsidRPr="006E4F5F">
        <w:rPr>
          <w:rFonts w:ascii="Arial Black" w:hAnsi="Arial Black"/>
          <w:b/>
          <w:caps/>
          <w:sz w:val="15"/>
        </w:rPr>
        <w:t>/</w:t>
      </w:r>
      <w:bookmarkStart w:id="1" w:name="Code"/>
      <w:bookmarkEnd w:id="1"/>
      <w:r w:rsidR="00026112">
        <w:rPr>
          <w:rFonts w:ascii="Arial Black" w:hAnsi="Arial Black"/>
          <w:b/>
          <w:caps/>
          <w:sz w:val="15"/>
        </w:rPr>
        <w:t>5</w:t>
      </w:r>
    </w:p>
    <w:p w14:paraId="2E47320E" w14:textId="77777777" w:rsidR="006E4F5F" w:rsidRPr="006E4F5F" w:rsidRDefault="006E4F5F" w:rsidP="005B5F1A">
      <w:pPr>
        <w:tabs>
          <w:tab w:val="left" w:pos="567"/>
        </w:tabs>
        <w:jc w:val="right"/>
        <w:rPr>
          <w:rFonts w:ascii="Arial Black" w:hAnsi="Arial Black"/>
          <w:b/>
          <w:caps/>
          <w:sz w:val="15"/>
        </w:rPr>
      </w:pPr>
      <w:r w:rsidRPr="006E4F5F">
        <w:rPr>
          <w:rFonts w:ascii="Arial Black" w:hAnsi="Arial Black"/>
          <w:b/>
          <w:caps/>
          <w:sz w:val="15"/>
        </w:rPr>
        <w:t>ORIGINAL:</w:t>
      </w:r>
      <w:r w:rsidR="00F967F0">
        <w:rPr>
          <w:rFonts w:ascii="Arial Black" w:hAnsi="Arial Black"/>
          <w:b/>
          <w:caps/>
          <w:sz w:val="15"/>
        </w:rPr>
        <w:t xml:space="preserve"> </w:t>
      </w:r>
      <w:r w:rsidRPr="006E4F5F">
        <w:rPr>
          <w:rFonts w:ascii="Arial Black" w:hAnsi="Arial Black"/>
          <w:b/>
          <w:caps/>
          <w:sz w:val="15"/>
        </w:rPr>
        <w:t xml:space="preserve"> </w:t>
      </w:r>
      <w:bookmarkStart w:id="2" w:name="Original"/>
      <w:bookmarkEnd w:id="2"/>
      <w:r w:rsidR="00B006A3">
        <w:rPr>
          <w:rFonts w:ascii="Arial Black" w:hAnsi="Arial Black"/>
          <w:b/>
          <w:caps/>
          <w:sz w:val="15"/>
        </w:rPr>
        <w:t>English</w:t>
      </w:r>
    </w:p>
    <w:p w14:paraId="7C580744" w14:textId="0A3B44C6" w:rsidR="006E4F5F" w:rsidRPr="006E4F5F" w:rsidRDefault="006E4F5F" w:rsidP="005B5F1A">
      <w:pPr>
        <w:tabs>
          <w:tab w:val="left" w:pos="567"/>
        </w:tabs>
        <w:spacing w:line="1680" w:lineRule="auto"/>
        <w:jc w:val="right"/>
        <w:rPr>
          <w:rFonts w:ascii="Arial Black" w:hAnsi="Arial Black"/>
          <w:b/>
          <w:caps/>
          <w:sz w:val="15"/>
        </w:rPr>
      </w:pPr>
      <w:r w:rsidRPr="006E4F5F">
        <w:rPr>
          <w:rFonts w:ascii="Arial Black" w:hAnsi="Arial Black"/>
          <w:b/>
          <w:caps/>
          <w:sz w:val="15"/>
        </w:rPr>
        <w:t>DATE:</w:t>
      </w:r>
      <w:r w:rsidR="00F967F0">
        <w:rPr>
          <w:rFonts w:ascii="Arial Black" w:hAnsi="Arial Black"/>
          <w:b/>
          <w:caps/>
          <w:sz w:val="15"/>
        </w:rPr>
        <w:t xml:space="preserve"> </w:t>
      </w:r>
      <w:r w:rsidRPr="006E4F5F">
        <w:rPr>
          <w:rFonts w:ascii="Arial Black" w:hAnsi="Arial Black"/>
          <w:b/>
          <w:caps/>
          <w:sz w:val="15"/>
        </w:rPr>
        <w:t xml:space="preserve"> </w:t>
      </w:r>
      <w:bookmarkStart w:id="3" w:name="Date"/>
      <w:bookmarkEnd w:id="3"/>
      <w:r w:rsidR="004050EB">
        <w:rPr>
          <w:rFonts w:ascii="Arial Black" w:hAnsi="Arial Black"/>
          <w:b/>
          <w:caps/>
          <w:sz w:val="15"/>
        </w:rPr>
        <w:t>July 2, 2021</w:t>
      </w:r>
    </w:p>
    <w:p w14:paraId="581BC725" w14:textId="77777777" w:rsidR="008B2CC1" w:rsidRPr="007F7E66" w:rsidRDefault="00B61109" w:rsidP="00550E84">
      <w:pPr>
        <w:spacing w:after="600"/>
        <w:rPr>
          <w:b/>
          <w:sz w:val="28"/>
          <w:szCs w:val="28"/>
        </w:rPr>
      </w:pPr>
      <w:r w:rsidRPr="007F7E66">
        <w:rPr>
          <w:b/>
          <w:sz w:val="28"/>
          <w:szCs w:val="28"/>
        </w:rPr>
        <w:t>WIPO General Assembly</w:t>
      </w:r>
    </w:p>
    <w:p w14:paraId="3CB3B1A1" w14:textId="2C817FD0" w:rsidR="008B2CC1" w:rsidRPr="009C127D" w:rsidRDefault="00B61109" w:rsidP="005B5F1A">
      <w:pPr>
        <w:tabs>
          <w:tab w:val="left" w:pos="567"/>
        </w:tabs>
        <w:spacing w:after="720"/>
        <w:rPr>
          <w:b/>
          <w:sz w:val="24"/>
        </w:rPr>
      </w:pPr>
      <w:r w:rsidRPr="000C67A8">
        <w:rPr>
          <w:b/>
          <w:sz w:val="24"/>
        </w:rPr>
        <w:t>Fifty-</w:t>
      </w:r>
      <w:r w:rsidR="000C67A8" w:rsidRPr="000C67A8">
        <w:rPr>
          <w:b/>
          <w:sz w:val="24"/>
        </w:rPr>
        <w:t>F</w:t>
      </w:r>
      <w:r w:rsidR="000C67A8">
        <w:rPr>
          <w:b/>
          <w:sz w:val="24"/>
        </w:rPr>
        <w:t xml:space="preserve">ourth </w:t>
      </w:r>
      <w:r w:rsidRPr="000C67A8">
        <w:rPr>
          <w:b/>
          <w:sz w:val="24"/>
        </w:rPr>
        <w:t>(2</w:t>
      </w:r>
      <w:r w:rsidR="000C67A8" w:rsidRPr="000C67A8">
        <w:rPr>
          <w:b/>
          <w:sz w:val="24"/>
        </w:rPr>
        <w:t>5</w:t>
      </w:r>
      <w:r w:rsidRPr="000C67A8">
        <w:rPr>
          <w:b/>
          <w:sz w:val="24"/>
          <w:vertAlign w:val="superscript"/>
        </w:rPr>
        <w:t>th</w:t>
      </w:r>
      <w:r w:rsidRPr="000C67A8">
        <w:rPr>
          <w:b/>
          <w:sz w:val="24"/>
        </w:rPr>
        <w:t xml:space="preserve"> Ordinary) Session</w:t>
      </w:r>
      <w:r w:rsidR="003D57B0" w:rsidRPr="000C67A8">
        <w:rPr>
          <w:b/>
          <w:sz w:val="24"/>
        </w:rPr>
        <w:br/>
      </w:r>
      <w:r w:rsidRPr="000C67A8">
        <w:rPr>
          <w:b/>
          <w:sz w:val="24"/>
        </w:rPr>
        <w:t xml:space="preserve">Geneva, </w:t>
      </w:r>
      <w:r w:rsidR="000C67A8">
        <w:rPr>
          <w:b/>
          <w:sz w:val="24"/>
        </w:rPr>
        <w:t>October</w:t>
      </w:r>
      <w:r w:rsidR="000C67A8" w:rsidRPr="000C67A8">
        <w:rPr>
          <w:b/>
          <w:sz w:val="24"/>
        </w:rPr>
        <w:t xml:space="preserve"> </w:t>
      </w:r>
      <w:r w:rsidR="000C67A8">
        <w:rPr>
          <w:b/>
          <w:sz w:val="24"/>
        </w:rPr>
        <w:t>4</w:t>
      </w:r>
      <w:r w:rsidRPr="000C67A8">
        <w:rPr>
          <w:b/>
          <w:sz w:val="24"/>
        </w:rPr>
        <w:t xml:space="preserve"> to </w:t>
      </w:r>
      <w:r w:rsidR="000C67A8">
        <w:rPr>
          <w:b/>
          <w:sz w:val="24"/>
        </w:rPr>
        <w:t xml:space="preserve">8, </w:t>
      </w:r>
      <w:r w:rsidR="000C67A8" w:rsidRPr="000C67A8">
        <w:rPr>
          <w:b/>
          <w:sz w:val="24"/>
        </w:rPr>
        <w:t>2021</w:t>
      </w:r>
    </w:p>
    <w:p w14:paraId="54B24980" w14:textId="44818421" w:rsidR="008B2CC1" w:rsidRPr="009C127D" w:rsidRDefault="00026112" w:rsidP="005B5F1A">
      <w:pPr>
        <w:tabs>
          <w:tab w:val="left" w:pos="567"/>
        </w:tabs>
        <w:spacing w:after="360"/>
        <w:rPr>
          <w:caps/>
          <w:sz w:val="24"/>
        </w:rPr>
      </w:pPr>
      <w:bookmarkStart w:id="4" w:name="TitleOfDoc"/>
      <w:bookmarkEnd w:id="4"/>
      <w:r w:rsidRPr="00026112">
        <w:rPr>
          <w:caps/>
          <w:sz w:val="24"/>
        </w:rPr>
        <w:t>REPORT ON THE STANDING COMMITTEE ON THE LAW OF PATENTS (SCP)</w:t>
      </w:r>
    </w:p>
    <w:p w14:paraId="56BA8F70" w14:textId="7F1113DE" w:rsidR="008B2CC1" w:rsidRPr="009C127D" w:rsidRDefault="00B006A3" w:rsidP="005B5F1A">
      <w:pPr>
        <w:tabs>
          <w:tab w:val="left" w:pos="567"/>
        </w:tabs>
        <w:spacing w:after="960"/>
        <w:rPr>
          <w:i/>
        </w:rPr>
      </w:pPr>
      <w:bookmarkStart w:id="5" w:name="Prepared"/>
      <w:bookmarkEnd w:id="5"/>
      <w:proofErr w:type="gramStart"/>
      <w:r>
        <w:rPr>
          <w:i/>
        </w:rPr>
        <w:t>prepared</w:t>
      </w:r>
      <w:proofErr w:type="gramEnd"/>
      <w:r>
        <w:rPr>
          <w:i/>
        </w:rPr>
        <w:t xml:space="preserve"> by the Secretariat</w:t>
      </w:r>
    </w:p>
    <w:p w14:paraId="4E1D90A8" w14:textId="40FE0FC6" w:rsidR="00A61943" w:rsidRDefault="00026112" w:rsidP="000E4838">
      <w:pPr>
        <w:pStyle w:val="ONUME"/>
      </w:pPr>
      <w:r w:rsidRPr="00026112">
        <w:t>During the period under consideration, the Standing Committee on the Law of</w:t>
      </w:r>
      <w:r w:rsidR="00B536E8">
        <w:t> </w:t>
      </w:r>
      <w:r w:rsidRPr="00026112">
        <w:t>Patents</w:t>
      </w:r>
      <w:r w:rsidR="00B536E8">
        <w:t> </w:t>
      </w:r>
      <w:r w:rsidRPr="00026112">
        <w:t>(SCP) held its thirty-</w:t>
      </w:r>
      <w:r w:rsidR="0062268A">
        <w:t>second</w:t>
      </w:r>
      <w:r w:rsidRPr="00026112">
        <w:t xml:space="preserve"> session from December </w:t>
      </w:r>
      <w:r w:rsidR="0062268A">
        <w:t>7</w:t>
      </w:r>
      <w:r w:rsidRPr="00026112">
        <w:t xml:space="preserve"> to </w:t>
      </w:r>
      <w:r w:rsidR="0062268A">
        <w:t>10</w:t>
      </w:r>
      <w:r w:rsidRPr="00026112">
        <w:t>, 20</w:t>
      </w:r>
      <w:r w:rsidR="0062268A">
        <w:t>20</w:t>
      </w:r>
      <w:r w:rsidRPr="00026112">
        <w:t xml:space="preserve">, </w:t>
      </w:r>
      <w:r w:rsidR="003036DD">
        <w:t xml:space="preserve">in a hybrid format.  </w:t>
      </w:r>
      <w:proofErr w:type="gramStart"/>
      <w:r w:rsidR="003036DD">
        <w:t xml:space="preserve">The session was </w:t>
      </w:r>
      <w:r w:rsidRPr="00026112">
        <w:t>chaired by M</w:t>
      </w:r>
      <w:r w:rsidR="0062268A">
        <w:t>r</w:t>
      </w:r>
      <w:r w:rsidRPr="00026112">
        <w:t>.</w:t>
      </w:r>
      <w:r w:rsidR="0062268A">
        <w:t> Leopoldo Soriano</w:t>
      </w:r>
      <w:r w:rsidRPr="00026112">
        <w:t xml:space="preserve"> (</w:t>
      </w:r>
      <w:r w:rsidR="0062268A">
        <w:t>Spain</w:t>
      </w:r>
      <w:r w:rsidRPr="00026112">
        <w:t>)</w:t>
      </w:r>
      <w:proofErr w:type="gramEnd"/>
      <w:r w:rsidRPr="00026112">
        <w:t>.</w:t>
      </w:r>
    </w:p>
    <w:p w14:paraId="354BBBFA" w14:textId="335145DE" w:rsidR="006C578A" w:rsidRPr="00892B58" w:rsidRDefault="0062268A" w:rsidP="00485D74">
      <w:pPr>
        <w:pStyle w:val="ONUME"/>
      </w:pPr>
      <w:r>
        <w:t>T</w:t>
      </w:r>
      <w:r w:rsidRPr="0062268A">
        <w:t>he SCP continued to address the following five topics</w:t>
      </w:r>
      <w:r>
        <w:t xml:space="preserve"> d</w:t>
      </w:r>
      <w:r w:rsidRPr="0062268A">
        <w:t>uring its thirty-</w:t>
      </w:r>
      <w:r>
        <w:t>second</w:t>
      </w:r>
      <w:r w:rsidRPr="0062268A">
        <w:t xml:space="preserve"> session:  (</w:t>
      </w:r>
      <w:proofErr w:type="spellStart"/>
      <w:r w:rsidRPr="0062268A">
        <w:t>i</w:t>
      </w:r>
      <w:proofErr w:type="spellEnd"/>
      <w:r w:rsidRPr="0062268A">
        <w:t>)</w:t>
      </w:r>
      <w:r>
        <w:t> </w:t>
      </w:r>
      <w:r w:rsidRPr="0062268A">
        <w:t>exceptions and limitations to patent rights;  (ii) quality of patents, including opposition systems;  (iii) patents and health;  (iv) the confidentiality of communications between clients and their patent advisors;  and (v) transfer of technology.</w:t>
      </w:r>
    </w:p>
    <w:p w14:paraId="3B2E03EE" w14:textId="5838C0AD" w:rsidR="006C578A" w:rsidRDefault="0062268A" w:rsidP="0062268A">
      <w:pPr>
        <w:pStyle w:val="ONUME"/>
      </w:pPr>
      <w:r w:rsidRPr="0062268A">
        <w:t xml:space="preserve">The discussions </w:t>
      </w:r>
      <w:proofErr w:type="gramStart"/>
      <w:r w:rsidRPr="0062268A">
        <w:t>were based</w:t>
      </w:r>
      <w:proofErr w:type="gramEnd"/>
      <w:r w:rsidRPr="0062268A">
        <w:t xml:space="preserve"> on a number of proposals submitted by various delegations and documents prepared by the Secretariat.  Delegations discussed those proposals and documents from various viewpoints</w:t>
      </w:r>
      <w:r>
        <w:t xml:space="preserve">.  The exchange of </w:t>
      </w:r>
      <w:r w:rsidRPr="0062268A">
        <w:t>their views and experiences contributed to advancing their understanding of each topic.  In addition, sharing sessions held during this session provided a good opportunity for Member States to share their views and experiences, challenges and solutions on each of those issues.</w:t>
      </w:r>
    </w:p>
    <w:p w14:paraId="1A7D5BCA" w14:textId="331540E3" w:rsidR="00B536E8" w:rsidRDefault="0062268A" w:rsidP="007D6187">
      <w:pPr>
        <w:pStyle w:val="ONUME"/>
      </w:pPr>
      <w:r w:rsidRPr="0062268A">
        <w:t>Specifically, during th</w:t>
      </w:r>
      <w:r>
        <w:t>e thirty-second session</w:t>
      </w:r>
      <w:r w:rsidRPr="0062268A">
        <w:t xml:space="preserve">, the Committee held discussions on the draft reference document on </w:t>
      </w:r>
      <w:r>
        <w:t>the exception regarding prior use</w:t>
      </w:r>
      <w:r w:rsidR="00C00CF4">
        <w:t xml:space="preserve"> and </w:t>
      </w:r>
      <w:r w:rsidRPr="0062268A">
        <w:t xml:space="preserve">a study on approaches to the quality of patent grant process.  The Committee also discussed a review of existing research on patents and access to medical products and health technologies as well as patent law provisions that had contributed to effective transfer of technology, including sufficiency of </w:t>
      </w:r>
      <w:r w:rsidR="00B536E8">
        <w:br w:type="page"/>
      </w:r>
    </w:p>
    <w:p w14:paraId="52432E74" w14:textId="5444CB31" w:rsidR="0062268A" w:rsidRPr="0062268A" w:rsidRDefault="0062268A" w:rsidP="00B536E8">
      <w:pPr>
        <w:pStyle w:val="ONUME"/>
        <w:numPr>
          <w:ilvl w:val="0"/>
          <w:numId w:val="0"/>
        </w:numPr>
      </w:pPr>
      <w:proofErr w:type="gramStart"/>
      <w:r w:rsidRPr="0062268A">
        <w:lastRenderedPageBreak/>
        <w:t>disclosure</w:t>
      </w:r>
      <w:proofErr w:type="gramEnd"/>
      <w:r w:rsidRPr="0062268A">
        <w:t xml:space="preserve">.  Furthermore, the Committee continued discussion on the proposals by the Member States, including the </w:t>
      </w:r>
      <w:r w:rsidR="00C00CF4">
        <w:t xml:space="preserve">revised </w:t>
      </w:r>
      <w:r w:rsidRPr="0062268A">
        <w:t>proposal by the Delegation</w:t>
      </w:r>
      <w:r w:rsidR="00C00CF4">
        <w:t>s</w:t>
      </w:r>
      <w:r w:rsidRPr="0062268A">
        <w:t xml:space="preserve"> of Brazil</w:t>
      </w:r>
      <w:r w:rsidR="00C00CF4">
        <w:t xml:space="preserve"> and Spain</w:t>
      </w:r>
      <w:r w:rsidRPr="0062268A">
        <w:t xml:space="preserve"> regarding a further study and sharing sessions on the requirement of sufficiency of disclosure.</w:t>
      </w:r>
    </w:p>
    <w:p w14:paraId="3DF2B617" w14:textId="75EC9AB0" w:rsidR="00C87E78" w:rsidRDefault="00C00CF4" w:rsidP="00C00CF4">
      <w:pPr>
        <w:pStyle w:val="ONUME"/>
      </w:pPr>
      <w:proofErr w:type="gramStart"/>
      <w:r w:rsidRPr="00C00CF4">
        <w:t>In addition, the following t</w:t>
      </w:r>
      <w:r>
        <w:t xml:space="preserve">hree </w:t>
      </w:r>
      <w:r w:rsidRPr="00C00CF4">
        <w:t>sharing sessions were held during the thirty-</w:t>
      </w:r>
      <w:r>
        <w:t>second</w:t>
      </w:r>
      <w:r w:rsidRPr="00C00CF4">
        <w:t xml:space="preserve"> session:  (</w:t>
      </w:r>
      <w:proofErr w:type="spellStart"/>
      <w:r w:rsidRPr="00C00CF4">
        <w:t>i</w:t>
      </w:r>
      <w:proofErr w:type="spellEnd"/>
      <w:r w:rsidRPr="00C00CF4">
        <w:t xml:space="preserve">) sharing session with respect to the </w:t>
      </w:r>
      <w:r>
        <w:t>patentability issues relating to artificial intelligence</w:t>
      </w:r>
      <w:r w:rsidR="00483043">
        <w:t xml:space="preserve"> (AI)</w:t>
      </w:r>
      <w:r w:rsidRPr="00C00CF4">
        <w:t xml:space="preserve">;  (ii) a sharing session on </w:t>
      </w:r>
      <w:r>
        <w:t>challenges and opportunities in relation to types of patent licensing provisions in the healthcare technologies;  and (iii) a sharing session on patent law provisions and practices that had contributed to effective transfer of technology</w:t>
      </w:r>
      <w:r w:rsidRPr="00C00CF4">
        <w:t>.</w:t>
      </w:r>
      <w:proofErr w:type="gramEnd"/>
      <w:r w:rsidRPr="00C00CF4">
        <w:t xml:space="preserve">  </w:t>
      </w:r>
      <w:r w:rsidR="00C87E78">
        <w:t>In addition, under the agenda item, patents and health, the representative of Health Canada presented its Health Canada Patent Register database.</w:t>
      </w:r>
    </w:p>
    <w:p w14:paraId="26B609BF" w14:textId="1ECA0CE4" w:rsidR="00C87E78" w:rsidRDefault="00C87E78" w:rsidP="00C87E78">
      <w:pPr>
        <w:pStyle w:val="ONUME"/>
      </w:pPr>
      <w:proofErr w:type="gramStart"/>
      <w:r w:rsidRPr="00C87E78">
        <w:t>Member States also took note of the Secretariat’s reports on</w:t>
      </w:r>
      <w:r>
        <w:t xml:space="preserve"> the two sharing sessions held</w:t>
      </w:r>
      <w:r w:rsidRPr="00C87E78">
        <w:t xml:space="preserve"> during the thirty-first session of the SCP</w:t>
      </w:r>
      <w:r>
        <w:t xml:space="preserve">, namely:  </w:t>
      </w:r>
      <w:r w:rsidRPr="00C87E78">
        <w:t>(</w:t>
      </w:r>
      <w:proofErr w:type="spellStart"/>
      <w:r w:rsidRPr="00C87E78">
        <w:t>i</w:t>
      </w:r>
      <w:proofErr w:type="spellEnd"/>
      <w:r w:rsidRPr="00C87E78">
        <w:t xml:space="preserve">) </w:t>
      </w:r>
      <w:r>
        <w:t xml:space="preserve">the sharing session with respect to the use of </w:t>
      </w:r>
      <w:r w:rsidR="00483043">
        <w:t>AI</w:t>
      </w:r>
      <w:r>
        <w:t xml:space="preserve"> for examination of patent applications</w:t>
      </w:r>
      <w:r w:rsidRPr="00C87E78">
        <w:t xml:space="preserve">;  and (ii) the sharing session </w:t>
      </w:r>
      <w:r>
        <w:t>on recent developments and experiences with respect to confidentiality of communications between clients and their patent advisors</w:t>
      </w:r>
      <w:r w:rsidRPr="00C87E78">
        <w:t>.</w:t>
      </w:r>
      <w:proofErr w:type="gramEnd"/>
    </w:p>
    <w:p w14:paraId="5A004FBA" w14:textId="5E18C7CC" w:rsidR="004244B3" w:rsidRDefault="004244B3" w:rsidP="004244B3">
      <w:pPr>
        <w:pStyle w:val="ONUME"/>
      </w:pPr>
      <w:r w:rsidRPr="004244B3">
        <w:t>As regards the future activities of the Committee, the SCP will further advance its work based on the agreement on its future work reached at its thirty-second session.  The Committee agreed that the non-exhaustive list of issues would remain open for further elaboration and discussion at the thirty-third session of the SCP.  In addition, without prejudice to the mandate of the SCP, the Committee agreed that its work for the following session be confined to fact</w:t>
      </w:r>
      <w:r w:rsidR="00483043">
        <w:noBreakHyphen/>
      </w:r>
      <w:r w:rsidRPr="004244B3">
        <w:t>finding and should not lead to harmonization at that stage.  The future work program of the five topics under the SCP’s agenda, agreed by the Committee, is as follows:</w:t>
      </w:r>
    </w:p>
    <w:p w14:paraId="0FD0844D" w14:textId="63E2823F" w:rsidR="008A3750" w:rsidRPr="008A3750" w:rsidRDefault="008A3750" w:rsidP="008A3750">
      <w:pPr>
        <w:tabs>
          <w:tab w:val="left" w:pos="1170"/>
        </w:tabs>
        <w:spacing w:after="220"/>
        <w:ind w:left="567"/>
      </w:pPr>
      <w:r>
        <w:t>(a)</w:t>
      </w:r>
      <w:r>
        <w:tab/>
      </w:r>
      <w:r w:rsidRPr="008A3750">
        <w:t xml:space="preserve">With respect to the topic “exceptions and limitations to patent rights”, a draft reference document on </w:t>
      </w:r>
      <w:r w:rsidR="003036DD">
        <w:t xml:space="preserve">the </w:t>
      </w:r>
      <w:r w:rsidRPr="008A3750">
        <w:t>exception</w:t>
      </w:r>
      <w:r>
        <w:t xml:space="preserve"> regarding prior use will be kept open for discussion at the thirty-third session</w:t>
      </w:r>
      <w:r w:rsidRPr="008A3750">
        <w:t>.</w:t>
      </w:r>
    </w:p>
    <w:p w14:paraId="4D70375E" w14:textId="485D39B4" w:rsidR="008A3750" w:rsidRPr="008A3750" w:rsidRDefault="008A3750" w:rsidP="008A3750">
      <w:pPr>
        <w:tabs>
          <w:tab w:val="left" w:pos="1170"/>
        </w:tabs>
        <w:spacing w:after="220"/>
        <w:ind w:left="567"/>
      </w:pPr>
      <w:r w:rsidRPr="008A3750">
        <w:t>(b)</w:t>
      </w:r>
      <w:r w:rsidRPr="008A3750">
        <w:tab/>
        <w:t>Regarding the topic “quality of patents, including opposition systems”, during the thirty-</w:t>
      </w:r>
      <w:r>
        <w:t>third</w:t>
      </w:r>
      <w:r w:rsidRPr="008A3750">
        <w:t xml:space="preserve"> session, the Committee will continue discussion on </w:t>
      </w:r>
      <w:r>
        <w:t>the</w:t>
      </w:r>
      <w:r w:rsidRPr="008A3750">
        <w:t xml:space="preserve"> study on approaches to the quality of patent grant process</w:t>
      </w:r>
      <w:r>
        <w:t xml:space="preserve"> a</w:t>
      </w:r>
      <w:r w:rsidR="00E21DD7">
        <w:t xml:space="preserve">s well as on </w:t>
      </w:r>
      <w:r w:rsidRPr="008A3750">
        <w:t xml:space="preserve">the </w:t>
      </w:r>
      <w:r>
        <w:t xml:space="preserve">revised </w:t>
      </w:r>
      <w:r w:rsidRPr="008A3750">
        <w:t>proposal by the Delegation</w:t>
      </w:r>
      <w:r>
        <w:t>s</w:t>
      </w:r>
      <w:r w:rsidRPr="008A3750">
        <w:t xml:space="preserve"> of Brazil </w:t>
      </w:r>
      <w:r>
        <w:t xml:space="preserve">and Spain </w:t>
      </w:r>
      <w:r w:rsidRPr="008A3750">
        <w:t xml:space="preserve">regarding a further study and sharing sessions on sufficiency of disclosure.  </w:t>
      </w:r>
      <w:r>
        <w:t xml:space="preserve">In addition, </w:t>
      </w:r>
      <w:r w:rsidRPr="008A3750">
        <w:t>the Secretariat w</w:t>
      </w:r>
      <w:r w:rsidR="00E21DD7">
        <w:t>ill</w:t>
      </w:r>
      <w:r w:rsidRPr="008A3750">
        <w:t xml:space="preserve"> organize a session </w:t>
      </w:r>
      <w:r w:rsidR="003D3DEF">
        <w:t xml:space="preserve">for sharing experiences and information on the use of </w:t>
      </w:r>
      <w:r w:rsidR="00483043">
        <w:t xml:space="preserve">AI </w:t>
      </w:r>
      <w:r w:rsidR="003D3DEF">
        <w:t>for examination of patent applications.</w:t>
      </w:r>
    </w:p>
    <w:p w14:paraId="6508F03B" w14:textId="69E82BCD" w:rsidR="008A3750" w:rsidRPr="008A3750" w:rsidRDefault="008A3750" w:rsidP="008A3750">
      <w:pPr>
        <w:tabs>
          <w:tab w:val="left" w:pos="1170"/>
        </w:tabs>
        <w:spacing w:after="220"/>
        <w:ind w:left="567"/>
      </w:pPr>
      <w:r w:rsidRPr="008A3750">
        <w:t>(c)</w:t>
      </w:r>
      <w:r w:rsidRPr="008A3750">
        <w:tab/>
        <w:t xml:space="preserve">As regards the topic “patents and health”, </w:t>
      </w:r>
      <w:r w:rsidR="003D3DEF">
        <w:t xml:space="preserve">at its thirty-third session, </w:t>
      </w:r>
      <w:r w:rsidRPr="008A3750">
        <w:t xml:space="preserve">the </w:t>
      </w:r>
      <w:r w:rsidR="003D3DEF">
        <w:t>Committee w</w:t>
      </w:r>
      <w:r w:rsidR="00E21DD7">
        <w:t>ill</w:t>
      </w:r>
      <w:r w:rsidR="003D3DEF">
        <w:t xml:space="preserve"> continue to receive update on the initiatives on publicly accessible databases of patent status information concerning medicines and vaccines, in accordance with document SCP/28/10 Rev.  </w:t>
      </w:r>
      <w:proofErr w:type="gramStart"/>
      <w:r w:rsidR="003D3DEF">
        <w:t xml:space="preserve">The Committee will also continue its discussion on </w:t>
      </w:r>
      <w:r w:rsidRPr="008A3750">
        <w:t xml:space="preserve">document SCP/31/5 (Review of Existing Research on Patents and Access to Medical Products and Health Technologies) </w:t>
      </w:r>
      <w:r w:rsidR="003D3DEF">
        <w:t>in order to share considerations and findings on the state of knowledge arising from that document, and w</w:t>
      </w:r>
      <w:r w:rsidR="003036DD">
        <w:t>ill</w:t>
      </w:r>
      <w:r w:rsidR="003D3DEF">
        <w:t xml:space="preserve"> consider proposals by delegations to extend the period under review </w:t>
      </w:r>
      <w:r w:rsidR="003036DD">
        <w:t>in relation to</w:t>
      </w:r>
      <w:r w:rsidR="003D3DEF">
        <w:t xml:space="preserve"> document SCP/31/5.</w:t>
      </w:r>
      <w:proofErr w:type="gramEnd"/>
    </w:p>
    <w:p w14:paraId="22F4F488" w14:textId="6408E16B" w:rsidR="008A3750" w:rsidRPr="008A3750" w:rsidRDefault="008A3750" w:rsidP="008A3750">
      <w:pPr>
        <w:tabs>
          <w:tab w:val="left" w:pos="1170"/>
        </w:tabs>
        <w:spacing w:after="220"/>
        <w:ind w:left="567"/>
      </w:pPr>
      <w:r w:rsidRPr="008A3750">
        <w:t>(d)</w:t>
      </w:r>
      <w:r w:rsidRPr="008A3750">
        <w:tab/>
        <w:t>Concerning the topic “confidentiality of communications between clients and their patent advisors”, the Committee w</w:t>
      </w:r>
      <w:r w:rsidR="00E21DD7">
        <w:t>ill</w:t>
      </w:r>
      <w:r w:rsidRPr="008A3750">
        <w:t xml:space="preserve"> continue discussion on recent developments and experiences with respect to confidentiality of communication between clients and their patent advisors, and on any suggestions/proposals by Member States.  </w:t>
      </w:r>
    </w:p>
    <w:p w14:paraId="2A55CADE" w14:textId="48DC32E0" w:rsidR="008A3750" w:rsidRDefault="008A3750" w:rsidP="008A3750">
      <w:pPr>
        <w:tabs>
          <w:tab w:val="left" w:pos="1170"/>
        </w:tabs>
        <w:spacing w:after="220"/>
        <w:ind w:left="567"/>
      </w:pPr>
      <w:r w:rsidRPr="008A3750">
        <w:t>(e)</w:t>
      </w:r>
      <w:r w:rsidRPr="008A3750">
        <w:tab/>
        <w:t xml:space="preserve">As regards the topic “transfer of technology”, the Committee </w:t>
      </w:r>
      <w:r w:rsidR="00E21DD7">
        <w:t xml:space="preserve">will continue discussion on </w:t>
      </w:r>
      <w:r w:rsidRPr="008A3750">
        <w:t>patent law provisions and practices that contributed to effective transfer of technology.</w:t>
      </w:r>
    </w:p>
    <w:p w14:paraId="4C2A79A1" w14:textId="77777777" w:rsidR="00B536E8" w:rsidRDefault="00B536E8">
      <w:r>
        <w:br w:type="page"/>
      </w:r>
    </w:p>
    <w:p w14:paraId="7A0490AB" w14:textId="1D39C43F" w:rsidR="00420CF7" w:rsidRDefault="00420CF7" w:rsidP="00420CF7">
      <w:pPr>
        <w:pStyle w:val="ONUME"/>
      </w:pPr>
      <w:r w:rsidRPr="00420CF7">
        <w:lastRenderedPageBreak/>
        <w:t xml:space="preserve">It </w:t>
      </w:r>
      <w:proofErr w:type="gramStart"/>
      <w:r w:rsidRPr="00420CF7">
        <w:t>was also agreed</w:t>
      </w:r>
      <w:proofErr w:type="gramEnd"/>
      <w:r w:rsidRPr="00420CF7">
        <w:t xml:space="preserve"> by the Committee that the information concerning certain aspects of national/regional patent laws would be updated, based on input received from Member States</w:t>
      </w:r>
      <w:r>
        <w:t>.</w:t>
      </w:r>
    </w:p>
    <w:p w14:paraId="59128863" w14:textId="3B7B950B" w:rsidR="0045753D" w:rsidRPr="00AE2109" w:rsidRDefault="0045753D" w:rsidP="005B5F1A">
      <w:pPr>
        <w:pStyle w:val="ONUME"/>
        <w:tabs>
          <w:tab w:val="left" w:pos="6096"/>
        </w:tabs>
        <w:ind w:left="5529"/>
        <w:rPr>
          <w:i/>
        </w:rPr>
      </w:pPr>
      <w:r w:rsidRPr="00AE2109">
        <w:rPr>
          <w:i/>
        </w:rPr>
        <w:t xml:space="preserve">The WIPO General Assembly </w:t>
      </w:r>
      <w:proofErr w:type="gramStart"/>
      <w:r w:rsidRPr="00AE2109">
        <w:rPr>
          <w:i/>
        </w:rPr>
        <w:t>is invited</w:t>
      </w:r>
      <w:proofErr w:type="gramEnd"/>
      <w:r w:rsidRPr="00AE2109">
        <w:rPr>
          <w:i/>
        </w:rPr>
        <w:t xml:space="preserve"> to take note of the</w:t>
      </w:r>
      <w:r w:rsidR="00343E2C">
        <w:rPr>
          <w:i/>
        </w:rPr>
        <w:t xml:space="preserve"> </w:t>
      </w:r>
      <w:r w:rsidR="003354B1" w:rsidRPr="003354B1">
        <w:rPr>
          <w:i/>
          <w:szCs w:val="22"/>
        </w:rPr>
        <w:t xml:space="preserve">“Report </w:t>
      </w:r>
      <w:r w:rsidR="003354B1">
        <w:rPr>
          <w:i/>
          <w:szCs w:val="22"/>
        </w:rPr>
        <w:t>o</w:t>
      </w:r>
      <w:r w:rsidR="003354B1" w:rsidRPr="003354B1">
        <w:rPr>
          <w:i/>
          <w:szCs w:val="22"/>
        </w:rPr>
        <w:t xml:space="preserve">n </w:t>
      </w:r>
      <w:r w:rsidR="003354B1">
        <w:rPr>
          <w:i/>
          <w:szCs w:val="22"/>
        </w:rPr>
        <w:t>t</w:t>
      </w:r>
      <w:r w:rsidR="003354B1" w:rsidRPr="003354B1">
        <w:rPr>
          <w:i/>
          <w:szCs w:val="22"/>
        </w:rPr>
        <w:t xml:space="preserve">he Standing Committee </w:t>
      </w:r>
      <w:r w:rsidR="003354B1">
        <w:rPr>
          <w:i/>
          <w:szCs w:val="22"/>
        </w:rPr>
        <w:t>o</w:t>
      </w:r>
      <w:r w:rsidR="003354B1" w:rsidRPr="003354B1">
        <w:rPr>
          <w:i/>
          <w:szCs w:val="22"/>
        </w:rPr>
        <w:t xml:space="preserve">n </w:t>
      </w:r>
      <w:r w:rsidR="003354B1">
        <w:rPr>
          <w:i/>
          <w:szCs w:val="22"/>
        </w:rPr>
        <w:t>t</w:t>
      </w:r>
      <w:r w:rsidR="003354B1" w:rsidRPr="003354B1">
        <w:rPr>
          <w:i/>
          <w:szCs w:val="22"/>
        </w:rPr>
        <w:t xml:space="preserve">he Law </w:t>
      </w:r>
      <w:r w:rsidR="003354B1">
        <w:rPr>
          <w:i/>
          <w:szCs w:val="22"/>
        </w:rPr>
        <w:t>o</w:t>
      </w:r>
      <w:r w:rsidR="003354B1" w:rsidRPr="003354B1">
        <w:rPr>
          <w:i/>
          <w:szCs w:val="22"/>
        </w:rPr>
        <w:t>f Patents (S</w:t>
      </w:r>
      <w:r w:rsidR="003354B1">
        <w:rPr>
          <w:i/>
          <w:szCs w:val="22"/>
        </w:rPr>
        <w:t>CP</w:t>
      </w:r>
      <w:r w:rsidR="003354B1" w:rsidRPr="003354B1">
        <w:rPr>
          <w:i/>
          <w:szCs w:val="22"/>
        </w:rPr>
        <w:t>)”</w:t>
      </w:r>
      <w:r w:rsidR="003354B1" w:rsidRPr="00AE2109">
        <w:rPr>
          <w:i/>
        </w:rPr>
        <w:t xml:space="preserve"> </w:t>
      </w:r>
      <w:r w:rsidRPr="00AE2109">
        <w:rPr>
          <w:i/>
        </w:rPr>
        <w:t>(document</w:t>
      </w:r>
      <w:r w:rsidR="005B5F1A" w:rsidRPr="00AE2109">
        <w:rPr>
          <w:i/>
        </w:rPr>
        <w:t> </w:t>
      </w:r>
      <w:r w:rsidRPr="00AE2109">
        <w:rPr>
          <w:i/>
        </w:rPr>
        <w:t>WO/GA/</w:t>
      </w:r>
      <w:r w:rsidR="00B5766B" w:rsidRPr="00AE2109">
        <w:rPr>
          <w:i/>
        </w:rPr>
        <w:t>5</w:t>
      </w:r>
      <w:r w:rsidR="00DB73E4" w:rsidRPr="00AE2109">
        <w:rPr>
          <w:i/>
        </w:rPr>
        <w:t>4</w:t>
      </w:r>
      <w:r w:rsidRPr="00AE2109">
        <w:rPr>
          <w:i/>
        </w:rPr>
        <w:t>/</w:t>
      </w:r>
      <w:r w:rsidR="003354B1">
        <w:rPr>
          <w:i/>
        </w:rPr>
        <w:t>5</w:t>
      </w:r>
      <w:r w:rsidRPr="00AE2109">
        <w:rPr>
          <w:i/>
        </w:rPr>
        <w:t>).</w:t>
      </w:r>
    </w:p>
    <w:p w14:paraId="53595352" w14:textId="3E7E967A" w:rsidR="00FB6146" w:rsidRPr="0094424C" w:rsidRDefault="0045753D" w:rsidP="00F32F01">
      <w:pPr>
        <w:pStyle w:val="Endofdocument-Annex"/>
        <w:tabs>
          <w:tab w:val="left" w:pos="567"/>
        </w:tabs>
        <w:ind w:left="5533"/>
        <w:rPr>
          <w:szCs w:val="22"/>
        </w:rPr>
      </w:pPr>
      <w:r>
        <w:t>[</w:t>
      </w:r>
      <w:r w:rsidR="003354B1" w:rsidRPr="003354B1">
        <w:t>End of document</w:t>
      </w:r>
      <w:r>
        <w:t>]</w:t>
      </w:r>
    </w:p>
    <w:sectPr w:rsidR="00FB6146" w:rsidRPr="0094424C" w:rsidSect="00021BB8">
      <w:headerReference w:type="default" r:id="rId9"/>
      <w:headerReference w:type="first" r:id="rId10"/>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269F19" w14:textId="77777777" w:rsidR="007A28F5" w:rsidRDefault="007A28F5">
      <w:r>
        <w:separator/>
      </w:r>
    </w:p>
  </w:endnote>
  <w:endnote w:type="continuationSeparator" w:id="0">
    <w:p w14:paraId="22A27138" w14:textId="77777777" w:rsidR="007A28F5" w:rsidRDefault="007A28F5" w:rsidP="003B38C1">
      <w:r>
        <w:separator/>
      </w:r>
    </w:p>
    <w:p w14:paraId="4CDE2605" w14:textId="77777777" w:rsidR="007A28F5" w:rsidRPr="003B38C1" w:rsidRDefault="007A28F5" w:rsidP="003B38C1">
      <w:pPr>
        <w:spacing w:after="60"/>
        <w:rPr>
          <w:sz w:val="17"/>
        </w:rPr>
      </w:pPr>
      <w:r>
        <w:rPr>
          <w:sz w:val="17"/>
        </w:rPr>
        <w:t>[Endnote continued from previous page]</w:t>
      </w:r>
    </w:p>
  </w:endnote>
  <w:endnote w:type="continuationNotice" w:id="1">
    <w:p w14:paraId="28831E02" w14:textId="77777777" w:rsidR="007A28F5" w:rsidRPr="003B38C1" w:rsidRDefault="007A28F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9EC559" w14:textId="77777777" w:rsidR="007A28F5" w:rsidRDefault="007A28F5">
      <w:r>
        <w:separator/>
      </w:r>
    </w:p>
  </w:footnote>
  <w:footnote w:type="continuationSeparator" w:id="0">
    <w:p w14:paraId="55937B7B" w14:textId="77777777" w:rsidR="007A28F5" w:rsidRDefault="007A28F5" w:rsidP="008B60B2">
      <w:r>
        <w:separator/>
      </w:r>
    </w:p>
    <w:p w14:paraId="15F50589" w14:textId="77777777" w:rsidR="007A28F5" w:rsidRPr="00ED77FB" w:rsidRDefault="007A28F5" w:rsidP="008B60B2">
      <w:pPr>
        <w:spacing w:after="60"/>
        <w:rPr>
          <w:sz w:val="17"/>
          <w:szCs w:val="17"/>
        </w:rPr>
      </w:pPr>
      <w:r w:rsidRPr="00ED77FB">
        <w:rPr>
          <w:sz w:val="17"/>
          <w:szCs w:val="17"/>
        </w:rPr>
        <w:t>[Footnote continued from previous page]</w:t>
      </w:r>
    </w:p>
  </w:footnote>
  <w:footnote w:type="continuationNotice" w:id="1">
    <w:p w14:paraId="46522CA4" w14:textId="77777777" w:rsidR="007A28F5" w:rsidRPr="00ED77FB" w:rsidRDefault="007A28F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B441E" w14:textId="6CDE9AD8" w:rsidR="00F065B0" w:rsidRPr="0055430C" w:rsidRDefault="00F065B0" w:rsidP="00477D6B">
    <w:pPr>
      <w:jc w:val="right"/>
      <w:rPr>
        <w:lang w:val="it-CH"/>
      </w:rPr>
    </w:pPr>
    <w:r w:rsidRPr="0055430C">
      <w:rPr>
        <w:lang w:val="it-CH"/>
      </w:rPr>
      <w:t>WO/GA/5</w:t>
    </w:r>
    <w:r>
      <w:rPr>
        <w:lang w:val="it-CH"/>
      </w:rPr>
      <w:t>4</w:t>
    </w:r>
    <w:r w:rsidRPr="0055430C">
      <w:rPr>
        <w:lang w:val="it-CH"/>
      </w:rPr>
      <w:t>/</w:t>
    </w:r>
    <w:r w:rsidR="00F32F01">
      <w:rPr>
        <w:lang w:val="it-CH"/>
      </w:rPr>
      <w:t>5</w:t>
    </w:r>
  </w:p>
  <w:p w14:paraId="2350F0CB" w14:textId="241484B3" w:rsidR="00F065B0" w:rsidRDefault="00F065B0" w:rsidP="008032B6">
    <w:pPr>
      <w:jc w:val="right"/>
      <w:rPr>
        <w:lang w:val="it-CH"/>
      </w:rPr>
    </w:pPr>
    <w:r w:rsidRPr="0055430C">
      <w:rPr>
        <w:lang w:val="it-CH"/>
      </w:rPr>
      <w:t xml:space="preserve">page </w:t>
    </w:r>
    <w:r w:rsidR="00F32F01" w:rsidRPr="00F32F01">
      <w:rPr>
        <w:lang w:val="it-CH"/>
      </w:rPr>
      <w:fldChar w:fldCharType="begin"/>
    </w:r>
    <w:r w:rsidR="00F32F01" w:rsidRPr="00F32F01">
      <w:rPr>
        <w:lang w:val="it-CH"/>
      </w:rPr>
      <w:instrText xml:space="preserve"> PAGE   \* MERGEFORMAT </w:instrText>
    </w:r>
    <w:r w:rsidR="00F32F01" w:rsidRPr="00F32F01">
      <w:rPr>
        <w:lang w:val="it-CH"/>
      </w:rPr>
      <w:fldChar w:fldCharType="separate"/>
    </w:r>
    <w:r w:rsidR="00E174A6">
      <w:rPr>
        <w:noProof/>
        <w:lang w:val="it-CH"/>
      </w:rPr>
      <w:t>3</w:t>
    </w:r>
    <w:r w:rsidR="00F32F01" w:rsidRPr="00F32F01">
      <w:rPr>
        <w:noProof/>
        <w:lang w:val="it-CH"/>
      </w:rPr>
      <w:fldChar w:fldCharType="end"/>
    </w:r>
  </w:p>
  <w:p w14:paraId="53173699" w14:textId="3C9677B4" w:rsidR="00F32F01" w:rsidRDefault="00F32F01" w:rsidP="008032B6">
    <w:pPr>
      <w:jc w:val="right"/>
      <w:rPr>
        <w:lang w:val="it-CH"/>
      </w:rPr>
    </w:pPr>
  </w:p>
  <w:p w14:paraId="737B1259" w14:textId="77777777" w:rsidR="00F32F01" w:rsidRPr="0055430C" w:rsidRDefault="00F32F01" w:rsidP="008032B6">
    <w:pPr>
      <w:jc w:val="right"/>
      <w:rPr>
        <w:lang w:val="it-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87407" w14:textId="77777777" w:rsidR="00021BB8" w:rsidRDefault="00E174A6" w:rsidP="00021BB8">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35729F2E"/>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0727AB2"/>
    <w:multiLevelType w:val="hybridMultilevel"/>
    <w:tmpl w:val="6C36E6AA"/>
    <w:lvl w:ilvl="0" w:tplc="37841288">
      <w:start w:val="1"/>
      <w:numFmt w:val="decimal"/>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2326773"/>
    <w:multiLevelType w:val="hybridMultilevel"/>
    <w:tmpl w:val="02C20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03A27C0"/>
    <w:multiLevelType w:val="hybridMultilevel"/>
    <w:tmpl w:val="B4E67B1A"/>
    <w:lvl w:ilvl="0" w:tplc="0409000F">
      <w:start w:val="1"/>
      <w:numFmt w:val="decimal"/>
      <w:lvlText w:val="%1."/>
      <w:lvlJc w:val="left"/>
      <w:pPr>
        <w:ind w:left="1263" w:hanging="360"/>
      </w:pPr>
    </w:lvl>
    <w:lvl w:ilvl="1" w:tplc="04090019" w:tentative="1">
      <w:start w:val="1"/>
      <w:numFmt w:val="lowerLetter"/>
      <w:lvlText w:val="%2."/>
      <w:lvlJc w:val="left"/>
      <w:pPr>
        <w:ind w:left="1983" w:hanging="360"/>
      </w:pPr>
    </w:lvl>
    <w:lvl w:ilvl="2" w:tplc="0409001B" w:tentative="1">
      <w:start w:val="1"/>
      <w:numFmt w:val="lowerRoman"/>
      <w:lvlText w:val="%3."/>
      <w:lvlJc w:val="right"/>
      <w:pPr>
        <w:ind w:left="2703" w:hanging="180"/>
      </w:pPr>
    </w:lvl>
    <w:lvl w:ilvl="3" w:tplc="0409000F" w:tentative="1">
      <w:start w:val="1"/>
      <w:numFmt w:val="decimal"/>
      <w:lvlText w:val="%4."/>
      <w:lvlJc w:val="left"/>
      <w:pPr>
        <w:ind w:left="3423" w:hanging="360"/>
      </w:pPr>
    </w:lvl>
    <w:lvl w:ilvl="4" w:tplc="04090019" w:tentative="1">
      <w:start w:val="1"/>
      <w:numFmt w:val="lowerLetter"/>
      <w:lvlText w:val="%5."/>
      <w:lvlJc w:val="left"/>
      <w:pPr>
        <w:ind w:left="4143" w:hanging="360"/>
      </w:pPr>
    </w:lvl>
    <w:lvl w:ilvl="5" w:tplc="0409001B" w:tentative="1">
      <w:start w:val="1"/>
      <w:numFmt w:val="lowerRoman"/>
      <w:lvlText w:val="%6."/>
      <w:lvlJc w:val="right"/>
      <w:pPr>
        <w:ind w:left="4863" w:hanging="180"/>
      </w:pPr>
    </w:lvl>
    <w:lvl w:ilvl="6" w:tplc="0409000F" w:tentative="1">
      <w:start w:val="1"/>
      <w:numFmt w:val="decimal"/>
      <w:lvlText w:val="%7."/>
      <w:lvlJc w:val="left"/>
      <w:pPr>
        <w:ind w:left="5583" w:hanging="360"/>
      </w:pPr>
    </w:lvl>
    <w:lvl w:ilvl="7" w:tplc="04090019" w:tentative="1">
      <w:start w:val="1"/>
      <w:numFmt w:val="lowerLetter"/>
      <w:lvlText w:val="%8."/>
      <w:lvlJc w:val="left"/>
      <w:pPr>
        <w:ind w:left="6303" w:hanging="360"/>
      </w:pPr>
    </w:lvl>
    <w:lvl w:ilvl="8" w:tplc="0409001B" w:tentative="1">
      <w:start w:val="1"/>
      <w:numFmt w:val="lowerRoman"/>
      <w:lvlText w:val="%9."/>
      <w:lvlJc w:val="right"/>
      <w:pPr>
        <w:ind w:left="7023" w:hanging="180"/>
      </w:pPr>
    </w:lvl>
  </w:abstractNum>
  <w:abstractNum w:abstractNumId="7" w15:restartNumberingAfterBreak="0">
    <w:nsid w:val="43DC10C3"/>
    <w:multiLevelType w:val="hybridMultilevel"/>
    <w:tmpl w:val="590CAB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D1C7571"/>
    <w:multiLevelType w:val="hybridMultilevel"/>
    <w:tmpl w:val="E1EE24A8"/>
    <w:lvl w:ilvl="0" w:tplc="0409000F">
      <w:start w:val="1"/>
      <w:numFmt w:val="decimal"/>
      <w:lvlText w:val="%1."/>
      <w:lvlJc w:val="left"/>
      <w:pPr>
        <w:ind w:left="1263" w:hanging="360"/>
      </w:pPr>
    </w:lvl>
    <w:lvl w:ilvl="1" w:tplc="04090019" w:tentative="1">
      <w:start w:val="1"/>
      <w:numFmt w:val="lowerLetter"/>
      <w:lvlText w:val="%2."/>
      <w:lvlJc w:val="left"/>
      <w:pPr>
        <w:ind w:left="1983" w:hanging="360"/>
      </w:pPr>
    </w:lvl>
    <w:lvl w:ilvl="2" w:tplc="0409001B" w:tentative="1">
      <w:start w:val="1"/>
      <w:numFmt w:val="lowerRoman"/>
      <w:lvlText w:val="%3."/>
      <w:lvlJc w:val="right"/>
      <w:pPr>
        <w:ind w:left="2703" w:hanging="180"/>
      </w:pPr>
    </w:lvl>
    <w:lvl w:ilvl="3" w:tplc="0409000F" w:tentative="1">
      <w:start w:val="1"/>
      <w:numFmt w:val="decimal"/>
      <w:lvlText w:val="%4."/>
      <w:lvlJc w:val="left"/>
      <w:pPr>
        <w:ind w:left="3423" w:hanging="360"/>
      </w:pPr>
    </w:lvl>
    <w:lvl w:ilvl="4" w:tplc="04090019" w:tentative="1">
      <w:start w:val="1"/>
      <w:numFmt w:val="lowerLetter"/>
      <w:lvlText w:val="%5."/>
      <w:lvlJc w:val="left"/>
      <w:pPr>
        <w:ind w:left="4143" w:hanging="360"/>
      </w:pPr>
    </w:lvl>
    <w:lvl w:ilvl="5" w:tplc="0409001B" w:tentative="1">
      <w:start w:val="1"/>
      <w:numFmt w:val="lowerRoman"/>
      <w:lvlText w:val="%6."/>
      <w:lvlJc w:val="right"/>
      <w:pPr>
        <w:ind w:left="4863" w:hanging="180"/>
      </w:pPr>
    </w:lvl>
    <w:lvl w:ilvl="6" w:tplc="0409000F" w:tentative="1">
      <w:start w:val="1"/>
      <w:numFmt w:val="decimal"/>
      <w:lvlText w:val="%7."/>
      <w:lvlJc w:val="left"/>
      <w:pPr>
        <w:ind w:left="5583" w:hanging="360"/>
      </w:pPr>
    </w:lvl>
    <w:lvl w:ilvl="7" w:tplc="04090019" w:tentative="1">
      <w:start w:val="1"/>
      <w:numFmt w:val="lowerLetter"/>
      <w:lvlText w:val="%8."/>
      <w:lvlJc w:val="left"/>
      <w:pPr>
        <w:ind w:left="6303" w:hanging="360"/>
      </w:pPr>
    </w:lvl>
    <w:lvl w:ilvl="8" w:tplc="0409001B" w:tentative="1">
      <w:start w:val="1"/>
      <w:numFmt w:val="lowerRoman"/>
      <w:lvlText w:val="%9."/>
      <w:lvlJc w:val="right"/>
      <w:pPr>
        <w:ind w:left="7023" w:hanging="180"/>
      </w:pPr>
    </w:lvl>
  </w:abstractNum>
  <w:abstractNum w:abstractNumId="11" w15:restartNumberingAfterBreak="0">
    <w:nsid w:val="551372E0"/>
    <w:multiLevelType w:val="hybridMultilevel"/>
    <w:tmpl w:val="8A988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DB36A9"/>
    <w:multiLevelType w:val="hybridMultilevel"/>
    <w:tmpl w:val="6B9CAB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D11C28"/>
    <w:multiLevelType w:val="multilevel"/>
    <w:tmpl w:val="84E6DB64"/>
    <w:lvl w:ilvl="0">
      <w:start w:val="1"/>
      <w:numFmt w:val="decimal"/>
      <w:lvlRestart w:val="0"/>
      <w:lvlText w:val="%1."/>
      <w:lvlJc w:val="left"/>
      <w:pPr>
        <w:tabs>
          <w:tab w:val="num" w:pos="6380"/>
        </w:tabs>
        <w:ind w:left="5813"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4" w15:restartNumberingAfterBreak="0">
    <w:nsid w:val="75F346A0"/>
    <w:multiLevelType w:val="hybridMultilevel"/>
    <w:tmpl w:val="3E5A79A2"/>
    <w:lvl w:ilvl="0" w:tplc="0409000F">
      <w:start w:val="1"/>
      <w:numFmt w:val="decimal"/>
      <w:lvlText w:val="%1."/>
      <w:lvlJc w:val="left"/>
      <w:pPr>
        <w:ind w:left="5322" w:hanging="360"/>
      </w:pPr>
    </w:lvl>
    <w:lvl w:ilvl="1" w:tplc="04090019" w:tentative="1">
      <w:start w:val="1"/>
      <w:numFmt w:val="lowerLetter"/>
      <w:lvlText w:val="%2."/>
      <w:lvlJc w:val="left"/>
      <w:pPr>
        <w:ind w:left="6042" w:hanging="360"/>
      </w:pPr>
    </w:lvl>
    <w:lvl w:ilvl="2" w:tplc="0409001B" w:tentative="1">
      <w:start w:val="1"/>
      <w:numFmt w:val="lowerRoman"/>
      <w:lvlText w:val="%3."/>
      <w:lvlJc w:val="right"/>
      <w:pPr>
        <w:ind w:left="6762" w:hanging="180"/>
      </w:pPr>
    </w:lvl>
    <w:lvl w:ilvl="3" w:tplc="0409000F" w:tentative="1">
      <w:start w:val="1"/>
      <w:numFmt w:val="decimal"/>
      <w:lvlText w:val="%4."/>
      <w:lvlJc w:val="left"/>
      <w:pPr>
        <w:ind w:left="7482" w:hanging="360"/>
      </w:pPr>
    </w:lvl>
    <w:lvl w:ilvl="4" w:tplc="04090019" w:tentative="1">
      <w:start w:val="1"/>
      <w:numFmt w:val="lowerLetter"/>
      <w:lvlText w:val="%5."/>
      <w:lvlJc w:val="left"/>
      <w:pPr>
        <w:ind w:left="8202" w:hanging="360"/>
      </w:pPr>
    </w:lvl>
    <w:lvl w:ilvl="5" w:tplc="0409001B" w:tentative="1">
      <w:start w:val="1"/>
      <w:numFmt w:val="lowerRoman"/>
      <w:lvlText w:val="%6."/>
      <w:lvlJc w:val="right"/>
      <w:pPr>
        <w:ind w:left="8922" w:hanging="180"/>
      </w:pPr>
    </w:lvl>
    <w:lvl w:ilvl="6" w:tplc="0409000F" w:tentative="1">
      <w:start w:val="1"/>
      <w:numFmt w:val="decimal"/>
      <w:lvlText w:val="%7."/>
      <w:lvlJc w:val="left"/>
      <w:pPr>
        <w:ind w:left="9642" w:hanging="360"/>
      </w:pPr>
    </w:lvl>
    <w:lvl w:ilvl="7" w:tplc="04090019" w:tentative="1">
      <w:start w:val="1"/>
      <w:numFmt w:val="lowerLetter"/>
      <w:lvlText w:val="%8."/>
      <w:lvlJc w:val="left"/>
      <w:pPr>
        <w:ind w:left="10362" w:hanging="360"/>
      </w:pPr>
    </w:lvl>
    <w:lvl w:ilvl="8" w:tplc="0409001B" w:tentative="1">
      <w:start w:val="1"/>
      <w:numFmt w:val="lowerRoman"/>
      <w:lvlText w:val="%9."/>
      <w:lvlJc w:val="right"/>
      <w:pPr>
        <w:ind w:left="11082" w:hanging="180"/>
      </w:pPr>
    </w:lvl>
  </w:abstractNum>
  <w:num w:numId="1">
    <w:abstractNumId w:val="2"/>
  </w:num>
  <w:num w:numId="2">
    <w:abstractNumId w:val="8"/>
  </w:num>
  <w:num w:numId="3">
    <w:abstractNumId w:val="0"/>
  </w:num>
  <w:num w:numId="4">
    <w:abstractNumId w:val="9"/>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0"/>
  </w:num>
  <w:num w:numId="10">
    <w:abstractNumId w:val="11"/>
  </w:num>
  <w:num w:numId="11">
    <w:abstractNumId w:val="12"/>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7"/>
  </w:num>
  <w:num w:numId="15">
    <w:abstractNumId w:val="5"/>
  </w:num>
  <w:num w:numId="16">
    <w:abstractNumId w:val="14"/>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9"/>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536"/>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6A3"/>
    <w:rsid w:val="00023F01"/>
    <w:rsid w:val="00026112"/>
    <w:rsid w:val="00043CAA"/>
    <w:rsid w:val="00062491"/>
    <w:rsid w:val="00075432"/>
    <w:rsid w:val="000765C4"/>
    <w:rsid w:val="00084A93"/>
    <w:rsid w:val="000968ED"/>
    <w:rsid w:val="000A3EC9"/>
    <w:rsid w:val="000C117A"/>
    <w:rsid w:val="000C67A8"/>
    <w:rsid w:val="000E6FDE"/>
    <w:rsid w:val="000F5E56"/>
    <w:rsid w:val="0010331B"/>
    <w:rsid w:val="001075A0"/>
    <w:rsid w:val="001135D2"/>
    <w:rsid w:val="0012506D"/>
    <w:rsid w:val="001362EE"/>
    <w:rsid w:val="00156693"/>
    <w:rsid w:val="001647D5"/>
    <w:rsid w:val="001832A6"/>
    <w:rsid w:val="001C02E2"/>
    <w:rsid w:val="001E4E00"/>
    <w:rsid w:val="0021217E"/>
    <w:rsid w:val="00231BB0"/>
    <w:rsid w:val="0023388E"/>
    <w:rsid w:val="002634C4"/>
    <w:rsid w:val="002928D3"/>
    <w:rsid w:val="00295A72"/>
    <w:rsid w:val="00296A7D"/>
    <w:rsid w:val="002A0A9E"/>
    <w:rsid w:val="002C476E"/>
    <w:rsid w:val="002F1FE6"/>
    <w:rsid w:val="002F3C73"/>
    <w:rsid w:val="002F4E68"/>
    <w:rsid w:val="003036DD"/>
    <w:rsid w:val="00307ECA"/>
    <w:rsid w:val="00312F7F"/>
    <w:rsid w:val="003178BA"/>
    <w:rsid w:val="003354B1"/>
    <w:rsid w:val="00343E2C"/>
    <w:rsid w:val="00350AE2"/>
    <w:rsid w:val="00361450"/>
    <w:rsid w:val="003673CF"/>
    <w:rsid w:val="003845C1"/>
    <w:rsid w:val="003A6F89"/>
    <w:rsid w:val="003B38C1"/>
    <w:rsid w:val="003B53AA"/>
    <w:rsid w:val="003C6C2B"/>
    <w:rsid w:val="003D2030"/>
    <w:rsid w:val="003D3DEF"/>
    <w:rsid w:val="003D57B0"/>
    <w:rsid w:val="003F5B0F"/>
    <w:rsid w:val="00402B78"/>
    <w:rsid w:val="004050EB"/>
    <w:rsid w:val="00417461"/>
    <w:rsid w:val="00420CF7"/>
    <w:rsid w:val="00423E3E"/>
    <w:rsid w:val="004244B3"/>
    <w:rsid w:val="00427AF4"/>
    <w:rsid w:val="00454428"/>
    <w:rsid w:val="0045753D"/>
    <w:rsid w:val="004647DA"/>
    <w:rsid w:val="00474062"/>
    <w:rsid w:val="00477D6B"/>
    <w:rsid w:val="00483043"/>
    <w:rsid w:val="004969C0"/>
    <w:rsid w:val="004D4F05"/>
    <w:rsid w:val="004F2BCC"/>
    <w:rsid w:val="005019FF"/>
    <w:rsid w:val="005225D0"/>
    <w:rsid w:val="0053057A"/>
    <w:rsid w:val="005358D1"/>
    <w:rsid w:val="00543D2C"/>
    <w:rsid w:val="00550E84"/>
    <w:rsid w:val="0055430C"/>
    <w:rsid w:val="00560A29"/>
    <w:rsid w:val="00562DB2"/>
    <w:rsid w:val="00570C9A"/>
    <w:rsid w:val="00571649"/>
    <w:rsid w:val="00582A4A"/>
    <w:rsid w:val="00597597"/>
    <w:rsid w:val="005B4AC5"/>
    <w:rsid w:val="005B5F1A"/>
    <w:rsid w:val="005C3F7C"/>
    <w:rsid w:val="005C4F4C"/>
    <w:rsid w:val="005C6649"/>
    <w:rsid w:val="005E4080"/>
    <w:rsid w:val="0060249B"/>
    <w:rsid w:val="00605827"/>
    <w:rsid w:val="006201AF"/>
    <w:rsid w:val="0062268A"/>
    <w:rsid w:val="006360D4"/>
    <w:rsid w:val="00642B29"/>
    <w:rsid w:val="00646050"/>
    <w:rsid w:val="006515F3"/>
    <w:rsid w:val="00660B46"/>
    <w:rsid w:val="006713CA"/>
    <w:rsid w:val="00676C5C"/>
    <w:rsid w:val="00685A68"/>
    <w:rsid w:val="006919FD"/>
    <w:rsid w:val="006C578A"/>
    <w:rsid w:val="006D1324"/>
    <w:rsid w:val="006E4F5F"/>
    <w:rsid w:val="007331C9"/>
    <w:rsid w:val="00734E06"/>
    <w:rsid w:val="00740042"/>
    <w:rsid w:val="00746A33"/>
    <w:rsid w:val="007816D2"/>
    <w:rsid w:val="00783420"/>
    <w:rsid w:val="00797986"/>
    <w:rsid w:val="007A28F5"/>
    <w:rsid w:val="007B6139"/>
    <w:rsid w:val="007D1613"/>
    <w:rsid w:val="007E4C0E"/>
    <w:rsid w:val="007E4D5D"/>
    <w:rsid w:val="007E58FB"/>
    <w:rsid w:val="007F4D1C"/>
    <w:rsid w:val="007F7E66"/>
    <w:rsid w:val="008032B6"/>
    <w:rsid w:val="00841345"/>
    <w:rsid w:val="00860537"/>
    <w:rsid w:val="00877718"/>
    <w:rsid w:val="00892B58"/>
    <w:rsid w:val="008A134B"/>
    <w:rsid w:val="008A3750"/>
    <w:rsid w:val="008A4D7C"/>
    <w:rsid w:val="008B2CC1"/>
    <w:rsid w:val="008B60B2"/>
    <w:rsid w:val="0090731E"/>
    <w:rsid w:val="00916EE2"/>
    <w:rsid w:val="0094424C"/>
    <w:rsid w:val="00946089"/>
    <w:rsid w:val="00950176"/>
    <w:rsid w:val="00962F68"/>
    <w:rsid w:val="00966A22"/>
    <w:rsid w:val="0096722F"/>
    <w:rsid w:val="00980843"/>
    <w:rsid w:val="00993B67"/>
    <w:rsid w:val="009B6777"/>
    <w:rsid w:val="009C127D"/>
    <w:rsid w:val="009E2791"/>
    <w:rsid w:val="009E3F6F"/>
    <w:rsid w:val="009F499F"/>
    <w:rsid w:val="009F7DB0"/>
    <w:rsid w:val="00A11BE2"/>
    <w:rsid w:val="00A14D67"/>
    <w:rsid w:val="00A37342"/>
    <w:rsid w:val="00A42DAF"/>
    <w:rsid w:val="00A45BD8"/>
    <w:rsid w:val="00A558F9"/>
    <w:rsid w:val="00A57D24"/>
    <w:rsid w:val="00A61943"/>
    <w:rsid w:val="00A703CD"/>
    <w:rsid w:val="00A869B7"/>
    <w:rsid w:val="00AA2DD4"/>
    <w:rsid w:val="00AC205C"/>
    <w:rsid w:val="00AE2109"/>
    <w:rsid w:val="00AF0A6B"/>
    <w:rsid w:val="00B006A3"/>
    <w:rsid w:val="00B05A69"/>
    <w:rsid w:val="00B34286"/>
    <w:rsid w:val="00B46993"/>
    <w:rsid w:val="00B536E8"/>
    <w:rsid w:val="00B56A1B"/>
    <w:rsid w:val="00B5766B"/>
    <w:rsid w:val="00B61109"/>
    <w:rsid w:val="00B87D2C"/>
    <w:rsid w:val="00B9734B"/>
    <w:rsid w:val="00BA30E2"/>
    <w:rsid w:val="00C00CF4"/>
    <w:rsid w:val="00C11BFE"/>
    <w:rsid w:val="00C1323F"/>
    <w:rsid w:val="00C165E5"/>
    <w:rsid w:val="00C27152"/>
    <w:rsid w:val="00C27D18"/>
    <w:rsid w:val="00C5068F"/>
    <w:rsid w:val="00C86AA4"/>
    <w:rsid w:val="00C86D74"/>
    <w:rsid w:val="00C87E78"/>
    <w:rsid w:val="00CA6491"/>
    <w:rsid w:val="00CB6E4E"/>
    <w:rsid w:val="00CD04F1"/>
    <w:rsid w:val="00CD3E0F"/>
    <w:rsid w:val="00CD4717"/>
    <w:rsid w:val="00CD7F59"/>
    <w:rsid w:val="00D011A3"/>
    <w:rsid w:val="00D27FB7"/>
    <w:rsid w:val="00D34F2B"/>
    <w:rsid w:val="00D35B35"/>
    <w:rsid w:val="00D378CB"/>
    <w:rsid w:val="00D44A0B"/>
    <w:rsid w:val="00D45252"/>
    <w:rsid w:val="00D66E37"/>
    <w:rsid w:val="00D71B4D"/>
    <w:rsid w:val="00D93D55"/>
    <w:rsid w:val="00DB73E4"/>
    <w:rsid w:val="00DC0441"/>
    <w:rsid w:val="00DC0E7C"/>
    <w:rsid w:val="00DC3C21"/>
    <w:rsid w:val="00DE0FB4"/>
    <w:rsid w:val="00DF023A"/>
    <w:rsid w:val="00DF383E"/>
    <w:rsid w:val="00E15015"/>
    <w:rsid w:val="00E174A6"/>
    <w:rsid w:val="00E21DD7"/>
    <w:rsid w:val="00E239A3"/>
    <w:rsid w:val="00E335FE"/>
    <w:rsid w:val="00E448B4"/>
    <w:rsid w:val="00E5566B"/>
    <w:rsid w:val="00E62DA0"/>
    <w:rsid w:val="00E6655B"/>
    <w:rsid w:val="00E85557"/>
    <w:rsid w:val="00EA7D6E"/>
    <w:rsid w:val="00EB2210"/>
    <w:rsid w:val="00EC4E49"/>
    <w:rsid w:val="00ED77FB"/>
    <w:rsid w:val="00EE45FA"/>
    <w:rsid w:val="00F065B0"/>
    <w:rsid w:val="00F25F9A"/>
    <w:rsid w:val="00F31BFD"/>
    <w:rsid w:val="00F32F01"/>
    <w:rsid w:val="00F364D3"/>
    <w:rsid w:val="00F5070F"/>
    <w:rsid w:val="00F554CD"/>
    <w:rsid w:val="00F66152"/>
    <w:rsid w:val="00F8023E"/>
    <w:rsid w:val="00F84EC9"/>
    <w:rsid w:val="00F967F0"/>
    <w:rsid w:val="00FA41DE"/>
    <w:rsid w:val="00FB1120"/>
    <w:rsid w:val="00FB6146"/>
    <w:rsid w:val="00FC1D08"/>
    <w:rsid w:val="00FD53CC"/>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C2537D5"/>
  <w15:docId w15:val="{2184B312-A964-4E3D-AC23-9B20ECD59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550E84"/>
    <w:pPr>
      <w:keepNext/>
      <w:spacing w:after="600"/>
      <w:outlineLvl w:val="0"/>
    </w:pPr>
    <w:rPr>
      <w:bCs/>
      <w:kern w:val="32"/>
      <w:szCs w:val="22"/>
    </w:rPr>
  </w:style>
  <w:style w:type="paragraph" w:styleId="Heading2">
    <w:name w:val="heading 2"/>
    <w:basedOn w:val="Normal"/>
    <w:next w:val="Normal"/>
    <w:autoRedefine/>
    <w:qFormat/>
    <w:rsid w:val="000A3EC9"/>
    <w:pPr>
      <w:keepNext/>
      <w:tabs>
        <w:tab w:val="left" w:pos="567"/>
      </w:tabs>
      <w:spacing w:before="240" w:after="220"/>
      <w:outlineLvl w:val="1"/>
    </w:pPr>
    <w:rPr>
      <w:bCs/>
      <w:iCs/>
      <w:caps/>
      <w:szCs w:val="28"/>
      <w:shd w:val="clear" w:color="auto" w:fill="FFFFFF"/>
    </w:rPr>
  </w:style>
  <w:style w:type="paragraph" w:styleId="Heading3">
    <w:name w:val="heading 3"/>
    <w:basedOn w:val="Normal"/>
    <w:next w:val="Normal"/>
    <w:autoRedefine/>
    <w:qFormat/>
    <w:rsid w:val="007F7E66"/>
    <w:pPr>
      <w:keepNext/>
      <w:spacing w:before="240" w:after="220"/>
      <w:outlineLvl w:val="2"/>
    </w:pPr>
    <w:rPr>
      <w:b/>
      <w:bCs/>
      <w:caps/>
      <w:sz w:val="28"/>
      <w:szCs w:val="28"/>
    </w:rPr>
  </w:style>
  <w:style w:type="paragraph" w:styleId="Heading4">
    <w:name w:val="heading 4"/>
    <w:basedOn w:val="Normal"/>
    <w:next w:val="Normal"/>
    <w:autoRedefine/>
    <w:qFormat/>
    <w:rsid w:val="009F7DB0"/>
    <w:pPr>
      <w:keepNext/>
      <w:spacing w:before="240" w:after="220"/>
      <w:outlineLvl w:val="3"/>
    </w:pPr>
    <w:rPr>
      <w:bCs/>
      <w:szCs w:val="28"/>
      <w:u w:val="single"/>
    </w:rPr>
  </w:style>
  <w:style w:type="paragraph" w:styleId="Heading5">
    <w:name w:val="heading 5"/>
    <w:basedOn w:val="Normal"/>
    <w:next w:val="Normal"/>
    <w:link w:val="Heading5Char"/>
    <w:autoRedefine/>
    <w:qFormat/>
    <w:rsid w:val="0094424C"/>
    <w:pPr>
      <w:keepNext/>
      <w:keepLines/>
      <w:tabs>
        <w:tab w:val="left" w:pos="567"/>
      </w:tabs>
      <w:spacing w:before="240" w:after="220"/>
      <w:jc w:val="both"/>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4424C"/>
    <w:rPr>
      <w:rFonts w:ascii="Arial" w:eastAsiaTheme="majorEastAsia" w:hAnsi="Arial" w:cstheme="majorBidi"/>
      <w:i/>
      <w:sz w:val="22"/>
      <w:lang w:val="en-US" w:eastAsia="zh-CN"/>
    </w:rPr>
  </w:style>
  <w:style w:type="character" w:styleId="FootnoteReference">
    <w:name w:val="footnote reference"/>
    <w:basedOn w:val="DefaultParagraphFont"/>
    <w:unhideWhenUsed/>
    <w:rsid w:val="00417461"/>
    <w:rPr>
      <w:vertAlign w:val="superscript"/>
    </w:rPr>
  </w:style>
  <w:style w:type="paragraph" w:customStyle="1" w:styleId="Endofdocument">
    <w:name w:val="End of document"/>
    <w:basedOn w:val="Normal"/>
    <w:rsid w:val="0045753D"/>
    <w:pPr>
      <w:ind w:left="4536"/>
      <w:jc w:val="center"/>
    </w:pPr>
    <w:rPr>
      <w:rFonts w:ascii="Times New Roman" w:eastAsia="Times New Roman" w:hAnsi="Times New Roman" w:cs="Times New Roman"/>
      <w:sz w:val="24"/>
      <w:lang w:eastAsia="en-US"/>
    </w:rPr>
  </w:style>
  <w:style w:type="character" w:customStyle="1" w:styleId="HeaderChar">
    <w:name w:val="Header Char"/>
    <w:basedOn w:val="DefaultParagraphFont"/>
    <w:link w:val="Header"/>
    <w:uiPriority w:val="99"/>
    <w:rsid w:val="0045753D"/>
    <w:rPr>
      <w:rFonts w:ascii="Arial" w:eastAsia="SimSun" w:hAnsi="Arial" w:cs="Arial"/>
      <w:sz w:val="22"/>
      <w:lang w:val="en-US" w:eastAsia="zh-CN"/>
    </w:rPr>
  </w:style>
  <w:style w:type="character" w:customStyle="1" w:styleId="FootnoteTextChar">
    <w:name w:val="Footnote Text Char"/>
    <w:basedOn w:val="DefaultParagraphFont"/>
    <w:link w:val="FootnoteText"/>
    <w:semiHidden/>
    <w:rsid w:val="00841345"/>
    <w:rPr>
      <w:rFonts w:ascii="Arial" w:eastAsia="SimSun" w:hAnsi="Arial" w:cs="Arial"/>
      <w:sz w:val="18"/>
      <w:lang w:val="en-US" w:eastAsia="zh-CN"/>
    </w:rPr>
  </w:style>
  <w:style w:type="character" w:styleId="Hyperlink">
    <w:name w:val="Hyperlink"/>
    <w:basedOn w:val="DefaultParagraphFont"/>
    <w:unhideWhenUsed/>
    <w:rsid w:val="00740042"/>
    <w:rPr>
      <w:color w:val="0000FF" w:themeColor="hyperlink"/>
      <w:u w:val="single"/>
    </w:rPr>
  </w:style>
  <w:style w:type="character" w:styleId="CommentReference">
    <w:name w:val="annotation reference"/>
    <w:basedOn w:val="DefaultParagraphFont"/>
    <w:semiHidden/>
    <w:unhideWhenUsed/>
    <w:rsid w:val="00D378CB"/>
    <w:rPr>
      <w:sz w:val="16"/>
      <w:szCs w:val="16"/>
    </w:rPr>
  </w:style>
  <w:style w:type="paragraph" w:styleId="CommentSubject">
    <w:name w:val="annotation subject"/>
    <w:basedOn w:val="CommentText"/>
    <w:next w:val="CommentText"/>
    <w:link w:val="CommentSubjectChar"/>
    <w:semiHidden/>
    <w:unhideWhenUsed/>
    <w:rsid w:val="00D378CB"/>
    <w:rPr>
      <w:b/>
      <w:bCs/>
      <w:sz w:val="20"/>
    </w:rPr>
  </w:style>
  <w:style w:type="character" w:customStyle="1" w:styleId="CommentTextChar">
    <w:name w:val="Comment Text Char"/>
    <w:basedOn w:val="DefaultParagraphFont"/>
    <w:link w:val="CommentText"/>
    <w:semiHidden/>
    <w:rsid w:val="00D378CB"/>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D378CB"/>
    <w:rPr>
      <w:rFonts w:ascii="Arial" w:eastAsia="SimSun" w:hAnsi="Arial" w:cs="Arial"/>
      <w:b/>
      <w:bCs/>
      <w:sz w:val="18"/>
      <w:lang w:val="en-US" w:eastAsia="zh-CN"/>
    </w:rPr>
  </w:style>
  <w:style w:type="paragraph" w:styleId="ListParagraph">
    <w:name w:val="List Paragraph"/>
    <w:basedOn w:val="Normal"/>
    <w:uiPriority w:val="34"/>
    <w:qFormat/>
    <w:rsid w:val="00F84EC9"/>
    <w:pPr>
      <w:ind w:left="720"/>
      <w:contextualSpacing/>
    </w:pPr>
  </w:style>
  <w:style w:type="paragraph" w:styleId="Revision">
    <w:name w:val="Revision"/>
    <w:hidden/>
    <w:uiPriority w:val="99"/>
    <w:semiHidden/>
    <w:rsid w:val="0055430C"/>
    <w:rPr>
      <w:rFonts w:ascii="Arial" w:eastAsia="SimSun" w:hAnsi="Arial" w:cs="Arial"/>
      <w:sz w:val="22"/>
      <w:lang w:val="en-US" w:eastAsia="zh-CN"/>
    </w:rPr>
  </w:style>
  <w:style w:type="character" w:styleId="EndnoteReference">
    <w:name w:val="endnote reference"/>
    <w:basedOn w:val="DefaultParagraphFont"/>
    <w:semiHidden/>
    <w:unhideWhenUsed/>
    <w:rsid w:val="00F065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78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E3FEC-2B84-47EA-B10A-B690B1714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889</Words>
  <Characters>5007</Characters>
  <Application>Microsoft Office Word</Application>
  <DocSecurity>0</DocSecurity>
  <Lines>82</Lines>
  <Paragraphs>24</Paragraphs>
  <ScaleCrop>false</ScaleCrop>
  <HeadingPairs>
    <vt:vector size="2" baseType="variant">
      <vt:variant>
        <vt:lpstr>Title</vt:lpstr>
      </vt:variant>
      <vt:variant>
        <vt:i4>1</vt:i4>
      </vt:variant>
    </vt:vector>
  </HeadingPairs>
  <TitlesOfParts>
    <vt:vector size="1" baseType="lpstr">
      <vt:lpstr>WO/GA/54/5</vt:lpstr>
    </vt:vector>
  </TitlesOfParts>
  <Company>WIPO</Company>
  <LinksUpToDate>false</LinksUpToDate>
  <CharactersWithSpaces>5899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WO/GA/54/5</dc:title>
  <dc:subject>Sixty-Second Series of Meetings</dc:subject>
  <dc:creator>WIPO</dc:creator>
  <cp:keywords>PUBLIC</cp:keywords>
  <cp:lastModifiedBy>MARIN-CUDRAZ DAVI Nicoletta</cp:lastModifiedBy>
  <cp:revision>5</cp:revision>
  <cp:lastPrinted>2021-05-27T10:31:00Z</cp:lastPrinted>
  <dcterms:created xsi:type="dcterms:W3CDTF">2021-06-14T08:23:00Z</dcterms:created>
  <dcterms:modified xsi:type="dcterms:W3CDTF">2021-06-30T07:25:00Z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f236bb18-3b0b-47f1-8241-88ea6b252f90</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