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0B686" w14:textId="77777777" w:rsidR="008B2CC1" w:rsidRPr="008B2CC1" w:rsidRDefault="00873EE5" w:rsidP="006E79F5">
      <w:pPr>
        <w:spacing w:after="120"/>
        <w:jc w:val="right"/>
      </w:pPr>
      <w:bookmarkStart w:id="0" w:name="_GoBack"/>
      <w:bookmarkEnd w:id="0"/>
      <w:r>
        <w:rPr>
          <w:noProof/>
          <w:sz w:val="28"/>
          <w:szCs w:val="28"/>
          <w:lang w:eastAsia="en-US"/>
        </w:rPr>
        <w:drawing>
          <wp:inline distT="0" distB="0" distL="0" distR="0" wp14:anchorId="1CC04B92" wp14:editId="181FD1B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7BD43BB" wp14:editId="52DC262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E6AE7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73724DF" w14:textId="4145E34B" w:rsidR="008B2CC1" w:rsidRPr="001024FE" w:rsidRDefault="00A9118D" w:rsidP="00986E43">
      <w:pPr>
        <w:jc w:val="right"/>
        <w:rPr>
          <w:rFonts w:ascii="Arial Black" w:hAnsi="Arial Black"/>
          <w:caps/>
          <w:sz w:val="15"/>
          <w:szCs w:val="15"/>
        </w:rPr>
      </w:pPr>
      <w:r>
        <w:rPr>
          <w:rFonts w:ascii="Arial Black" w:hAnsi="Arial Black"/>
          <w:caps/>
          <w:sz w:val="15"/>
          <w:szCs w:val="15"/>
        </w:rPr>
        <w:t>WO/GA/5</w:t>
      </w:r>
      <w:r w:rsidR="009D0DD1">
        <w:rPr>
          <w:rFonts w:ascii="Arial Black" w:hAnsi="Arial Black"/>
          <w:caps/>
          <w:sz w:val="15"/>
          <w:szCs w:val="15"/>
        </w:rPr>
        <w:t>6</w:t>
      </w:r>
      <w:r>
        <w:rPr>
          <w:rFonts w:ascii="Arial Black" w:hAnsi="Arial Black"/>
          <w:caps/>
          <w:sz w:val="15"/>
          <w:szCs w:val="15"/>
        </w:rPr>
        <w:t>/</w:t>
      </w:r>
      <w:bookmarkStart w:id="1" w:name="Code"/>
      <w:bookmarkEnd w:id="1"/>
      <w:r w:rsidR="00D20CD8">
        <w:rPr>
          <w:rFonts w:ascii="Arial Black" w:hAnsi="Arial Black"/>
          <w:caps/>
          <w:sz w:val="15"/>
          <w:szCs w:val="15"/>
        </w:rPr>
        <w:t>13</w:t>
      </w:r>
    </w:p>
    <w:p w14:paraId="598E51F5" w14:textId="77777777" w:rsidR="00CE65D4" w:rsidRPr="00CE65D4" w:rsidRDefault="00CE65D4" w:rsidP="00986E43">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823777">
        <w:rPr>
          <w:rFonts w:ascii="Arial Black" w:hAnsi="Arial Black"/>
          <w:caps/>
          <w:sz w:val="15"/>
          <w:szCs w:val="15"/>
        </w:rPr>
        <w:t>English</w:t>
      </w:r>
    </w:p>
    <w:bookmarkEnd w:id="2"/>
    <w:p w14:paraId="43EB00C4" w14:textId="77777777" w:rsidR="008B2CC1" w:rsidRPr="00CE65D4" w:rsidRDefault="00CE65D4" w:rsidP="00986E43">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823777">
        <w:rPr>
          <w:rFonts w:ascii="Arial Black" w:hAnsi="Arial Black"/>
          <w:caps/>
          <w:sz w:val="15"/>
          <w:szCs w:val="15"/>
        </w:rPr>
        <w:t>May 5, 2023</w:t>
      </w:r>
    </w:p>
    <w:bookmarkEnd w:id="3"/>
    <w:p w14:paraId="29893419" w14:textId="77777777" w:rsidR="008B2CC1" w:rsidRPr="003845C1" w:rsidRDefault="00A9118D" w:rsidP="006E79F5">
      <w:pPr>
        <w:spacing w:after="600"/>
        <w:rPr>
          <w:b/>
          <w:sz w:val="28"/>
          <w:szCs w:val="28"/>
        </w:rPr>
      </w:pPr>
      <w:r w:rsidRPr="00A9118D">
        <w:rPr>
          <w:b/>
          <w:sz w:val="28"/>
          <w:szCs w:val="28"/>
        </w:rPr>
        <w:t>WIPO General Assembly</w:t>
      </w:r>
    </w:p>
    <w:p w14:paraId="0FA07535" w14:textId="77777777" w:rsidR="008B2CC1" w:rsidRPr="003845C1" w:rsidRDefault="00A9118D" w:rsidP="006E79F5">
      <w:pPr>
        <w:rPr>
          <w:b/>
          <w:sz w:val="24"/>
          <w:szCs w:val="24"/>
        </w:rPr>
      </w:pPr>
      <w:r w:rsidRPr="00A9118D">
        <w:rPr>
          <w:b/>
          <w:sz w:val="24"/>
          <w:szCs w:val="24"/>
        </w:rPr>
        <w:t>Fifty-</w:t>
      </w:r>
      <w:r w:rsidR="009D0DD1">
        <w:rPr>
          <w:b/>
          <w:sz w:val="24"/>
          <w:szCs w:val="24"/>
        </w:rPr>
        <w:t>Sixth</w:t>
      </w:r>
      <w:r w:rsidRPr="00A9118D">
        <w:rPr>
          <w:b/>
          <w:sz w:val="24"/>
          <w:szCs w:val="24"/>
        </w:rPr>
        <w:t xml:space="preserve"> (</w:t>
      </w:r>
      <w:r w:rsidR="009D0DD1">
        <w:rPr>
          <w:b/>
          <w:sz w:val="24"/>
          <w:szCs w:val="24"/>
        </w:rPr>
        <w:t>26</w:t>
      </w:r>
      <w:r w:rsidRPr="009E02BF">
        <w:rPr>
          <w:b/>
          <w:sz w:val="24"/>
          <w:szCs w:val="24"/>
          <w:vertAlign w:val="superscript"/>
        </w:rPr>
        <w:t>th</w:t>
      </w:r>
      <w:r w:rsidRPr="00A9118D">
        <w:rPr>
          <w:b/>
          <w:sz w:val="24"/>
          <w:szCs w:val="24"/>
        </w:rPr>
        <w:t xml:space="preserve"> </w:t>
      </w:r>
      <w:r w:rsidR="009E02BF">
        <w:rPr>
          <w:b/>
          <w:sz w:val="24"/>
          <w:szCs w:val="24"/>
        </w:rPr>
        <w:t>O</w:t>
      </w:r>
      <w:r w:rsidRPr="00A9118D">
        <w:rPr>
          <w:b/>
          <w:sz w:val="24"/>
          <w:szCs w:val="24"/>
        </w:rPr>
        <w:t>rdinary) Session</w:t>
      </w:r>
    </w:p>
    <w:p w14:paraId="19BD28BB" w14:textId="77777777" w:rsidR="008B2CC1" w:rsidRPr="009F3BF9" w:rsidRDefault="00A9118D" w:rsidP="006E79F5">
      <w:pPr>
        <w:spacing w:after="720"/>
      </w:pPr>
      <w:r w:rsidRPr="00A9118D">
        <w:rPr>
          <w:b/>
          <w:sz w:val="24"/>
          <w:szCs w:val="24"/>
        </w:rPr>
        <w:t xml:space="preserve">Geneva, July </w:t>
      </w:r>
      <w:r w:rsidR="009D0DD1">
        <w:rPr>
          <w:b/>
          <w:sz w:val="24"/>
          <w:szCs w:val="24"/>
        </w:rPr>
        <w:t>6</w:t>
      </w:r>
      <w:r w:rsidRPr="00A9118D">
        <w:rPr>
          <w:b/>
          <w:sz w:val="24"/>
          <w:szCs w:val="24"/>
        </w:rPr>
        <w:t xml:space="preserve"> to </w:t>
      </w:r>
      <w:r w:rsidR="009D0DD1">
        <w:rPr>
          <w:b/>
          <w:sz w:val="24"/>
          <w:szCs w:val="24"/>
        </w:rPr>
        <w:t>14, 2023</w:t>
      </w:r>
    </w:p>
    <w:p w14:paraId="08D04370" w14:textId="77777777" w:rsidR="008B2CC1" w:rsidRPr="009F3BF9" w:rsidRDefault="00823777" w:rsidP="006E79F5">
      <w:pPr>
        <w:spacing w:after="360"/>
        <w:rPr>
          <w:caps/>
          <w:sz w:val="24"/>
        </w:rPr>
      </w:pPr>
      <w:bookmarkStart w:id="4" w:name="TitleOfDoc"/>
      <w:r>
        <w:rPr>
          <w:caps/>
          <w:sz w:val="24"/>
        </w:rPr>
        <w:t>WIPO ARBITRATION AND MEDIATION CENTER, INCLUDING DOMAIN NAMES</w:t>
      </w:r>
    </w:p>
    <w:p w14:paraId="38B7C753" w14:textId="77777777" w:rsidR="008B2CC1" w:rsidRDefault="00823777" w:rsidP="006E79F5">
      <w:pPr>
        <w:spacing w:after="960"/>
        <w:rPr>
          <w:i/>
        </w:rPr>
      </w:pPr>
      <w:bookmarkStart w:id="5" w:name="Prepared"/>
      <w:bookmarkEnd w:id="4"/>
      <w:r>
        <w:rPr>
          <w:i/>
        </w:rPr>
        <w:t>Document prepared by the Secretariat</w:t>
      </w:r>
    </w:p>
    <w:p w14:paraId="7D66985C" w14:textId="73B247FF" w:rsidR="008D6F26" w:rsidRPr="005B4F4B" w:rsidRDefault="008D6F26" w:rsidP="006E79F5">
      <w:pPr>
        <w:pStyle w:val="ListParagraph"/>
        <w:numPr>
          <w:ilvl w:val="0"/>
          <w:numId w:val="7"/>
        </w:numPr>
        <w:spacing w:after="240"/>
        <w:ind w:left="0" w:firstLine="0"/>
        <w:contextualSpacing w:val="0"/>
        <w:rPr>
          <w:rFonts w:eastAsia="SimSun" w:cs="Arial"/>
        </w:rPr>
      </w:pPr>
      <w:r w:rsidRPr="005B4F4B">
        <w:rPr>
          <w:rFonts w:cs="Arial"/>
          <w:snapToGrid w:val="0"/>
          <w:szCs w:val="22"/>
        </w:rPr>
        <w:t>The WIPO Arbitration and Mediation Center (</w:t>
      </w:r>
      <w:r w:rsidR="00312B51">
        <w:rPr>
          <w:rFonts w:cs="Arial"/>
          <w:snapToGrid w:val="0"/>
          <w:szCs w:val="22"/>
        </w:rPr>
        <w:t>“</w:t>
      </w:r>
      <w:r w:rsidRPr="005B4F4B">
        <w:rPr>
          <w:rFonts w:cs="Arial"/>
          <w:snapToGrid w:val="0"/>
          <w:szCs w:val="22"/>
        </w:rPr>
        <w:t>Center</w:t>
      </w:r>
      <w:r w:rsidR="00312B51">
        <w:rPr>
          <w:rFonts w:cs="Arial"/>
          <w:snapToGrid w:val="0"/>
          <w:szCs w:val="22"/>
        </w:rPr>
        <w:t>”</w:t>
      </w:r>
      <w:r w:rsidRPr="005B4F4B">
        <w:rPr>
          <w:rFonts w:cs="Arial"/>
          <w:snapToGrid w:val="0"/>
          <w:szCs w:val="22"/>
        </w:rPr>
        <w:t xml:space="preserve">) forms part of the IP and Innovation Ecosystems Sector (IES). In coordination with other WIPO Sectors, IES is responsible for helping Member States develop their intellectual property (IP) and innovation ecosystems to </w:t>
      </w:r>
      <w:proofErr w:type="gramStart"/>
      <w:r w:rsidRPr="005B4F4B">
        <w:rPr>
          <w:rFonts w:cs="Arial"/>
          <w:snapToGrid w:val="0"/>
          <w:szCs w:val="22"/>
        </w:rPr>
        <w:t>drive</w:t>
      </w:r>
      <w:proofErr w:type="gramEnd"/>
      <w:r w:rsidRPr="005B4F4B">
        <w:rPr>
          <w:rFonts w:cs="Arial"/>
          <w:snapToGrid w:val="0"/>
          <w:szCs w:val="22"/>
        </w:rPr>
        <w:t xml:space="preserve"> enterprise and economic growth. </w:t>
      </w:r>
    </w:p>
    <w:p w14:paraId="63F00020" w14:textId="08FEFE46" w:rsidR="008D6F26" w:rsidRPr="005B4F4B" w:rsidRDefault="008D6F26" w:rsidP="006E79F5">
      <w:pPr>
        <w:pStyle w:val="ListParagraph"/>
        <w:numPr>
          <w:ilvl w:val="0"/>
          <w:numId w:val="7"/>
        </w:numPr>
        <w:spacing w:after="240"/>
        <w:ind w:left="0" w:firstLine="0"/>
        <w:contextualSpacing w:val="0"/>
        <w:rPr>
          <w:rFonts w:cs="Arial"/>
          <w:snapToGrid w:val="0"/>
          <w:szCs w:val="22"/>
        </w:rPr>
      </w:pPr>
      <w:r w:rsidRPr="005B4F4B">
        <w:rPr>
          <w:rFonts w:cs="Arial"/>
          <w:snapToGrid w:val="0"/>
          <w:szCs w:val="22"/>
        </w:rPr>
        <w:t>Within this framework, the present document provides an update on the Center</w:t>
      </w:r>
      <w:r w:rsidR="00312B51">
        <w:rPr>
          <w:rFonts w:cs="Arial"/>
          <w:snapToGrid w:val="0"/>
          <w:szCs w:val="22"/>
        </w:rPr>
        <w:t>’</w:t>
      </w:r>
      <w:r w:rsidRPr="005B4F4B">
        <w:rPr>
          <w:rFonts w:cs="Arial"/>
          <w:snapToGrid w:val="0"/>
          <w:szCs w:val="22"/>
        </w:rPr>
        <w:t xml:space="preserve">s </w:t>
      </w:r>
      <w:r w:rsidRPr="005B4F4B">
        <w:rPr>
          <w:rFonts w:cs="Arial"/>
          <w:snapToGrid w:val="0"/>
        </w:rPr>
        <w:t xml:space="preserve">activities as an international resource </w:t>
      </w:r>
      <w:r w:rsidRPr="005B4F4B">
        <w:rPr>
          <w:rFonts w:cs="Arial"/>
          <w:snapToGrid w:val="0"/>
          <w:szCs w:val="22"/>
        </w:rPr>
        <w:t>for time- and cost-efficient alternatives to court litigation of IP</w:t>
      </w:r>
      <w:r w:rsidR="003B40F4">
        <w:rPr>
          <w:rFonts w:cs="Arial"/>
          <w:snapToGrid w:val="0"/>
          <w:szCs w:val="22"/>
        </w:rPr>
        <w:t xml:space="preserve"> and technology</w:t>
      </w:r>
      <w:r w:rsidRPr="005B4F4B">
        <w:rPr>
          <w:rFonts w:cs="Arial"/>
          <w:snapToGrid w:val="0"/>
          <w:szCs w:val="22"/>
        </w:rPr>
        <w:t xml:space="preserve"> disputes, acting as an administrator of cases as well as a provider of legal and organizational expertise in alternative dispute resolution (ADR).</w:t>
      </w:r>
    </w:p>
    <w:p w14:paraId="0941AB76" w14:textId="44924B9D" w:rsidR="008D6F26" w:rsidRPr="005B4F4B" w:rsidRDefault="008D6F26" w:rsidP="006E79F5">
      <w:pPr>
        <w:pStyle w:val="ListParagraph"/>
        <w:numPr>
          <w:ilvl w:val="0"/>
          <w:numId w:val="7"/>
        </w:numPr>
        <w:spacing w:after="240"/>
        <w:ind w:left="0" w:firstLine="0"/>
        <w:contextualSpacing w:val="0"/>
        <w:rPr>
          <w:rFonts w:cs="Arial"/>
          <w:b/>
          <w:bCs/>
          <w:iCs/>
          <w:caps/>
          <w:szCs w:val="28"/>
        </w:rPr>
      </w:pPr>
      <w:r w:rsidRPr="005B4F4B">
        <w:rPr>
          <w:rStyle w:val="ONUMEChar"/>
          <w:szCs w:val="22"/>
        </w:rPr>
        <w:t>This document also provides an update on the domain name</w:t>
      </w:r>
      <w:r w:rsidRPr="005B4F4B">
        <w:rPr>
          <w:rStyle w:val="ONUMEChar"/>
          <w:szCs w:val="22"/>
        </w:rPr>
        <w:noBreakHyphen/>
        <w:t xml:space="preserve">related activities of WIPO, as previously reported </w:t>
      </w:r>
      <w:r w:rsidRPr="005B4F4B">
        <w:rPr>
          <w:rStyle w:val="ONUMEChar"/>
          <w:szCs w:val="22"/>
          <w:shd w:val="clear" w:color="auto" w:fill="FFFFFF" w:themeFill="background1"/>
        </w:rPr>
        <w:t xml:space="preserve">in </w:t>
      </w:r>
      <w:r w:rsidRPr="00986E43">
        <w:rPr>
          <w:rFonts w:eastAsia="SimSun" w:cs="Arial"/>
          <w:szCs w:val="22"/>
          <w:lang w:eastAsia="zh-CN"/>
        </w:rPr>
        <w:t>WO/GA/55/10</w:t>
      </w:r>
      <w:r w:rsidRPr="00986E43">
        <w:rPr>
          <w:rStyle w:val="ONUMEChar"/>
          <w:szCs w:val="22"/>
        </w:rPr>
        <w:t>.</w:t>
      </w:r>
      <w:r w:rsidRPr="00986E43">
        <w:rPr>
          <w:rStyle w:val="ONUMEChar"/>
          <w:szCs w:val="22"/>
          <w:vertAlign w:val="superscript"/>
        </w:rPr>
        <w:footnoteReference w:id="2"/>
      </w:r>
      <w:r w:rsidRPr="00E00C30">
        <w:rPr>
          <w:rStyle w:val="ONUMEChar"/>
          <w:szCs w:val="22"/>
        </w:rPr>
        <w:t xml:space="preserve"> </w:t>
      </w:r>
      <w:proofErr w:type="gramStart"/>
      <w:r w:rsidRPr="00E00C30">
        <w:rPr>
          <w:rStyle w:val="ONUMEChar"/>
          <w:szCs w:val="22"/>
        </w:rPr>
        <w:t>It</w:t>
      </w:r>
      <w:r w:rsidRPr="005B4F4B">
        <w:rPr>
          <w:rStyle w:val="ONUMEChar"/>
          <w:szCs w:val="22"/>
        </w:rPr>
        <w:t xml:space="preserve"> covers the Center</w:t>
      </w:r>
      <w:r w:rsidR="00312B51">
        <w:rPr>
          <w:rStyle w:val="ONUMEChar"/>
          <w:szCs w:val="22"/>
        </w:rPr>
        <w:t>’</w:t>
      </w:r>
      <w:r w:rsidRPr="005B4F4B">
        <w:rPr>
          <w:rStyle w:val="ONUMEChar"/>
          <w:szCs w:val="22"/>
        </w:rPr>
        <w:t>s administration of domain name disputes</w:t>
      </w:r>
      <w:r w:rsidRPr="005B4F4B">
        <w:rPr>
          <w:rStyle w:val="ONUMEChar"/>
        </w:rPr>
        <w:t xml:space="preserve"> under different policies and various related aspects of the Internet Domain Name System (DNS), as well as selected policy developments, including rights protection mechanisms (RPMs) for the introduction of new generic</w:t>
      </w:r>
      <w:r w:rsidR="008869FF">
        <w:rPr>
          <w:rStyle w:val="ONUMEChar"/>
        </w:rPr>
        <w:t xml:space="preserve"> top</w:t>
      </w:r>
      <w:r w:rsidR="008869FF">
        <w:rPr>
          <w:rStyle w:val="ONUMEChar"/>
        </w:rPr>
        <w:noBreakHyphen/>
        <w:t>level domains (</w:t>
      </w:r>
      <w:proofErr w:type="spellStart"/>
      <w:r w:rsidR="008869FF">
        <w:rPr>
          <w:rStyle w:val="ONUMEChar"/>
        </w:rPr>
        <w:t>gTLDs</w:t>
      </w:r>
      <w:proofErr w:type="spellEnd"/>
      <w:r w:rsidR="008869FF">
        <w:rPr>
          <w:rStyle w:val="ONUMEChar"/>
        </w:rPr>
        <w:t xml:space="preserve">), the impending </w:t>
      </w:r>
      <w:r w:rsidRPr="005B4F4B">
        <w:rPr>
          <w:rStyle w:val="ONUMEChar"/>
        </w:rPr>
        <w:t xml:space="preserve">review by </w:t>
      </w:r>
      <w:r w:rsidRPr="005B4F4B">
        <w:rPr>
          <w:rFonts w:cs="Arial"/>
          <w:szCs w:val="24"/>
        </w:rPr>
        <w:t xml:space="preserve">the Internet Corporation for Assigned Names and Numbers (ICANN) </w:t>
      </w:r>
      <w:r w:rsidRPr="005B4F4B">
        <w:rPr>
          <w:rStyle w:val="ONUMEChar"/>
        </w:rPr>
        <w:t xml:space="preserve">of the </w:t>
      </w:r>
      <w:r w:rsidRPr="005B4F4B">
        <w:rPr>
          <w:rFonts w:cs="Arial"/>
          <w:szCs w:val="24"/>
        </w:rPr>
        <w:t xml:space="preserve">Uniform Domain Name Dispute Resolution Policy (UDRP) and other RPMs, </w:t>
      </w:r>
      <w:r w:rsidRPr="005B4F4B">
        <w:rPr>
          <w:rStyle w:val="ONUMEChar"/>
        </w:rPr>
        <w:t>and the status of the recommendations made by the Member States of WIPO in the context of the Second WIPO Internet Domain Name Process.</w:t>
      </w:r>
      <w:r w:rsidRPr="005B4F4B">
        <w:rPr>
          <w:rFonts w:cs="Arial"/>
        </w:rPr>
        <w:br w:type="page"/>
      </w:r>
      <w:proofErr w:type="gramEnd"/>
    </w:p>
    <w:p w14:paraId="375B8D8F" w14:textId="77777777" w:rsidR="008D6F26" w:rsidRPr="00517229" w:rsidRDefault="008D6F26" w:rsidP="006E79F5">
      <w:pPr>
        <w:pStyle w:val="Heading2"/>
        <w:keepNext w:val="0"/>
        <w:widowControl w:val="0"/>
        <w:spacing w:after="220"/>
      </w:pPr>
      <w:r w:rsidRPr="00517229">
        <w:lastRenderedPageBreak/>
        <w:t>I.</w:t>
      </w:r>
      <w:r w:rsidRPr="00517229">
        <w:tab/>
      </w:r>
      <w:r w:rsidR="003B40F4" w:rsidRPr="00517229">
        <w:t>MEDIATION</w:t>
      </w:r>
      <w:r w:rsidR="003B40F4">
        <w:t xml:space="preserve"> and</w:t>
      </w:r>
      <w:r w:rsidR="003B40F4" w:rsidRPr="00517229">
        <w:t xml:space="preserve"> </w:t>
      </w:r>
      <w:r w:rsidR="003B40F4">
        <w:t xml:space="preserve">ARBITRATION </w:t>
      </w:r>
      <w:r w:rsidRPr="00517229">
        <w:t>OF IP DISPUTES</w:t>
      </w:r>
    </w:p>
    <w:p w14:paraId="4E52698F" w14:textId="77777777" w:rsidR="008D6F26" w:rsidRPr="002C3D47" w:rsidRDefault="008D6F26" w:rsidP="006E79F5">
      <w:pPr>
        <w:pStyle w:val="ListParagraph"/>
        <w:widowControl w:val="0"/>
        <w:spacing w:after="240"/>
        <w:ind w:left="0" w:firstLine="562"/>
        <w:contextualSpacing w:val="0"/>
      </w:pPr>
      <w:r>
        <w:t>A.</w:t>
      </w:r>
      <w:r>
        <w:tab/>
      </w:r>
      <w:r w:rsidRPr="002C3D47">
        <w:t>CASE ADMINISTRATION</w:t>
      </w:r>
    </w:p>
    <w:p w14:paraId="4AA87F25" w14:textId="3A661453" w:rsidR="008D6F26" w:rsidRPr="003B40F4" w:rsidRDefault="008D6F26" w:rsidP="006E79F5">
      <w:pPr>
        <w:pStyle w:val="ListParagraph"/>
        <w:widowControl w:val="0"/>
        <w:numPr>
          <w:ilvl w:val="0"/>
          <w:numId w:val="7"/>
        </w:numPr>
        <w:shd w:val="clear" w:color="auto" w:fill="FFFFFF" w:themeFill="background1"/>
        <w:spacing w:after="240"/>
        <w:ind w:left="0" w:firstLine="0"/>
        <w:contextualSpacing w:val="0"/>
        <w:rPr>
          <w:szCs w:val="22"/>
        </w:rPr>
      </w:pPr>
      <w:r w:rsidRPr="00C51805">
        <w:t xml:space="preserve">The mediation and arbitration procedures offered by the Center aim to </w:t>
      </w:r>
      <w:r>
        <w:t>meet parties</w:t>
      </w:r>
      <w:r w:rsidR="00312B51">
        <w:t>’</w:t>
      </w:r>
      <w:r w:rsidRPr="00C51805">
        <w:t xml:space="preserve"> need</w:t>
      </w:r>
      <w:r>
        <w:t>s</w:t>
      </w:r>
      <w:r w:rsidRPr="00C51805">
        <w:t xml:space="preserve"> </w:t>
      </w:r>
      <w:r>
        <w:t>for</w:t>
      </w:r>
      <w:r w:rsidRPr="00C51805">
        <w:t xml:space="preserve"> time- and cost</w:t>
      </w:r>
      <w:r w:rsidRPr="00C51805">
        <w:noBreakHyphen/>
        <w:t xml:space="preserve">effectiveness in the resolution of </w:t>
      </w:r>
      <w:r>
        <w:t xml:space="preserve">IP and technology </w:t>
      </w:r>
      <w:r w:rsidRPr="00C51805">
        <w:t>disputes.</w:t>
      </w:r>
      <w:r>
        <w:t xml:space="preserve"> </w:t>
      </w:r>
      <w:r w:rsidRPr="00C51805">
        <w:t>The</w:t>
      </w:r>
      <w:r>
        <w:t> </w:t>
      </w:r>
      <w:r w:rsidRPr="00C51805">
        <w:t>Center is engaged in the management of cases under those</w:t>
      </w:r>
      <w:r w:rsidRPr="00981F37">
        <w:t xml:space="preserve"> </w:t>
      </w:r>
      <w:r>
        <w:t>procedures, which includes procedural guidance</w:t>
      </w:r>
      <w:r>
        <w:rPr>
          <w:rStyle w:val="FootnoteReference"/>
        </w:rPr>
        <w:footnoteReference w:id="3"/>
      </w:r>
      <w:r>
        <w:t>,</w:t>
      </w:r>
      <w:r w:rsidRPr="00981F37">
        <w:t xml:space="preserve"> training</w:t>
      </w:r>
      <w:r>
        <w:t>,</w:t>
      </w:r>
      <w:r>
        <w:rPr>
          <w:rStyle w:val="FootnoteReference"/>
          <w:rFonts w:eastAsia="SimSun"/>
        </w:rPr>
        <w:footnoteReference w:id="4"/>
      </w:r>
      <w:r>
        <w:t xml:space="preserve"> </w:t>
      </w:r>
      <w:r w:rsidRPr="00981F37">
        <w:t xml:space="preserve">appointing </w:t>
      </w:r>
      <w:r>
        <w:t xml:space="preserve">and supporting </w:t>
      </w:r>
      <w:r w:rsidRPr="00981F37">
        <w:t xml:space="preserve">qualified </w:t>
      </w:r>
      <w:r>
        <w:t xml:space="preserve">mediators and </w:t>
      </w:r>
      <w:r w:rsidRPr="00981F37">
        <w:t xml:space="preserve">arbitrators, </w:t>
      </w:r>
      <w:r>
        <w:t>and maintaining up</w:t>
      </w:r>
      <w:r>
        <w:noBreakHyphen/>
        <w:t>to</w:t>
      </w:r>
      <w:r>
        <w:noBreakHyphen/>
      </w:r>
      <w:r w:rsidRPr="00981F37">
        <w:t>date case infrastructure</w:t>
      </w:r>
      <w:r>
        <w:t>.</w:t>
      </w:r>
      <w:r w:rsidRPr="00415A4C">
        <w:t xml:space="preserve"> </w:t>
      </w:r>
      <w:r>
        <w:t xml:space="preserve">Cases are filed with the Center </w:t>
      </w:r>
      <w:proofErr w:type="gramStart"/>
      <w:r>
        <w:t>on the basis of</w:t>
      </w:r>
      <w:proofErr w:type="gramEnd"/>
      <w:r>
        <w:t xml:space="preserve"> a prior contract clause or, increasingly, a post-dispute submission agreement (including court referrals), and also by unilateral request under Article 4 </w:t>
      </w:r>
      <w:r w:rsidRPr="00B2364E">
        <w:t>of the WIPO Mediation Rules.</w:t>
      </w:r>
      <w:r w:rsidRPr="00B2364E">
        <w:rPr>
          <w:rStyle w:val="FootnoteReference"/>
        </w:rPr>
        <w:footnoteReference w:id="5"/>
      </w:r>
    </w:p>
    <w:p w14:paraId="3D22935F" w14:textId="7A594219" w:rsidR="003B40F4" w:rsidRPr="009C670E" w:rsidRDefault="003B40F4" w:rsidP="006E79F5">
      <w:pPr>
        <w:pStyle w:val="ListParagraph"/>
        <w:widowControl w:val="0"/>
        <w:numPr>
          <w:ilvl w:val="0"/>
          <w:numId w:val="7"/>
        </w:numPr>
        <w:shd w:val="clear" w:color="auto" w:fill="FFFFFF" w:themeFill="background1"/>
        <w:spacing w:after="240"/>
        <w:ind w:left="0" w:firstLine="0"/>
        <w:contextualSpacing w:val="0"/>
      </w:pPr>
      <w:r w:rsidRPr="009C670E">
        <w:rPr>
          <w:shd w:val="clear" w:color="auto" w:fill="FFFFFF" w:themeFill="background1"/>
        </w:rPr>
        <w:t>During the</w:t>
      </w:r>
      <w:r w:rsidRPr="009C670E">
        <w:t xml:space="preserve"> period, large companies, small- and medium-sized enterprises (SME</w:t>
      </w:r>
      <w:r>
        <w:t>s</w:t>
      </w:r>
      <w:r w:rsidRPr="009C670E">
        <w:t>),</w:t>
      </w:r>
      <w:r w:rsidRPr="009C670E">
        <w:rPr>
          <w:rStyle w:val="FootnoteReference"/>
        </w:rPr>
        <w:footnoteReference w:id="6"/>
      </w:r>
      <w:r w:rsidRPr="009C670E">
        <w:t xml:space="preserve"> universities and research organizations, collective management organizations </w:t>
      </w:r>
      <w:r>
        <w:t xml:space="preserve">(CMOs), </w:t>
      </w:r>
      <w:r w:rsidRPr="009C670E">
        <w:t xml:space="preserve">and </w:t>
      </w:r>
      <w:r>
        <w:t>innovators and creators,</w:t>
      </w:r>
      <w:r w:rsidRPr="009C670E">
        <w:t xml:space="preserve"> from </w:t>
      </w:r>
      <w:r w:rsidRPr="00367575">
        <w:t>51</w:t>
      </w:r>
      <w:r>
        <w:t xml:space="preserve"> </w:t>
      </w:r>
      <w:r w:rsidRPr="009C670E">
        <w:t>countries used the Center</w:t>
      </w:r>
      <w:r w:rsidR="00312B51">
        <w:t>’</w:t>
      </w:r>
      <w:r w:rsidRPr="009C670E">
        <w:t xml:space="preserve">s </w:t>
      </w:r>
      <w:r>
        <w:t>mediation, arbitration and Good Offices services.</w:t>
      </w:r>
      <w:r w:rsidRPr="009C670E">
        <w:t xml:space="preserve"> T</w:t>
      </w:r>
      <w:r w:rsidRPr="009C670E">
        <w:rPr>
          <w:shd w:val="clear" w:color="auto" w:fill="FFFFFF" w:themeFill="background1"/>
        </w:rPr>
        <w:t xml:space="preserve">he Center noted a </w:t>
      </w:r>
      <w:r>
        <w:rPr>
          <w:shd w:val="clear" w:color="auto" w:fill="FFFFFF" w:themeFill="background1"/>
        </w:rPr>
        <w:t xml:space="preserve">105 </w:t>
      </w:r>
      <w:r w:rsidRPr="009C670E">
        <w:rPr>
          <w:shd w:val="clear" w:color="auto" w:fill="FFFFFF" w:themeFill="background1"/>
        </w:rPr>
        <w:t xml:space="preserve">per cent increase in its </w:t>
      </w:r>
      <w:r>
        <w:rPr>
          <w:shd w:val="clear" w:color="auto" w:fill="FFFFFF" w:themeFill="background1"/>
        </w:rPr>
        <w:t xml:space="preserve">caseload in 2022, corresponding to a total of 548 requests, and </w:t>
      </w:r>
      <w:r w:rsidRPr="009C670E">
        <w:rPr>
          <w:shd w:val="clear" w:color="auto" w:fill="FFFFFF" w:themeFill="background1"/>
        </w:rPr>
        <w:t>further growth in the first quarter of 202</w:t>
      </w:r>
      <w:r>
        <w:rPr>
          <w:shd w:val="clear" w:color="auto" w:fill="FFFFFF" w:themeFill="background1"/>
        </w:rPr>
        <w:t>3</w:t>
      </w:r>
      <w:r w:rsidRPr="009C670E">
        <w:rPr>
          <w:shd w:val="clear" w:color="auto" w:fill="FFFFFF" w:themeFill="background1"/>
        </w:rPr>
        <w:t xml:space="preserve">. New cases under the WIPO Mediation, Arbitration, and Expedited Arbitration Rules (WIPO Rules) involved Research and Development (R&amp;D) agreements including consortium agreements, patent, trademark and copyright licensing, </w:t>
      </w:r>
      <w:r>
        <w:rPr>
          <w:shd w:val="clear" w:color="auto" w:fill="FFFFFF" w:themeFill="background1"/>
        </w:rPr>
        <w:t xml:space="preserve">geographical indications, </w:t>
      </w:r>
      <w:r w:rsidRPr="009C670E">
        <w:rPr>
          <w:shd w:val="clear" w:color="auto" w:fill="FFFFFF" w:themeFill="background1"/>
        </w:rPr>
        <w:t>copyright collective management, software development and licensing</w:t>
      </w:r>
      <w:r>
        <w:rPr>
          <w:shd w:val="clear" w:color="auto" w:fill="FFFFFF" w:themeFill="background1"/>
        </w:rPr>
        <w:t>, sponsorship and advertisement agreements, as well as infringement and unfair competition cases, including cases pending before national courts</w:t>
      </w:r>
      <w:r w:rsidRPr="009C670E">
        <w:rPr>
          <w:shd w:val="clear" w:color="auto" w:fill="FFFFFF" w:themeFill="background1"/>
        </w:rPr>
        <w:t>.</w:t>
      </w:r>
      <w:r w:rsidRPr="009C670E">
        <w:rPr>
          <w:rStyle w:val="FootnoteReference"/>
          <w:shd w:val="clear" w:color="auto" w:fill="FFFFFF" w:themeFill="background1"/>
        </w:rPr>
        <w:footnoteReference w:id="7"/>
      </w:r>
      <w:r w:rsidRPr="009C670E">
        <w:rPr>
          <w:shd w:val="clear" w:color="auto" w:fill="FFFFFF" w:themeFill="background1"/>
        </w:rPr>
        <w:t xml:space="preserve"> </w:t>
      </w:r>
      <w:r>
        <w:rPr>
          <w:shd w:val="clear" w:color="auto" w:fill="FFFFFF" w:themeFill="background1"/>
        </w:rPr>
        <w:t xml:space="preserve">The main business sectors were creative industries, </w:t>
      </w:r>
      <w:r w:rsidR="006761CE">
        <w:rPr>
          <w:shd w:val="clear" w:color="auto" w:fill="FFFFFF" w:themeFill="background1"/>
        </w:rPr>
        <w:t>information and telecommunications technology (ICT)</w:t>
      </w:r>
      <w:r>
        <w:rPr>
          <w:shd w:val="clear" w:color="auto" w:fill="FFFFFF" w:themeFill="background1"/>
        </w:rPr>
        <w:t xml:space="preserve">, life sciences, and mechanical processes/equipment. </w:t>
      </w:r>
    </w:p>
    <w:p w14:paraId="727C70AF" w14:textId="4D60B083" w:rsidR="0078746E" w:rsidRPr="0078746E" w:rsidRDefault="003B40F4" w:rsidP="006E79F5">
      <w:pPr>
        <w:pStyle w:val="ListParagraph"/>
        <w:widowControl w:val="0"/>
        <w:numPr>
          <w:ilvl w:val="0"/>
          <w:numId w:val="7"/>
        </w:numPr>
        <w:spacing w:after="240"/>
        <w:ind w:left="0" w:firstLine="0"/>
        <w:contextualSpacing w:val="0"/>
        <w:rPr>
          <w:szCs w:val="22"/>
          <w:shd w:val="clear" w:color="auto" w:fill="FFFFFF" w:themeFill="background1"/>
        </w:rPr>
      </w:pPr>
      <w:r>
        <w:t>Mindful of the parties</w:t>
      </w:r>
      <w:r w:rsidR="00312B51">
        <w:t>’</w:t>
      </w:r>
      <w:r>
        <w:t xml:space="preserve"> needs for time- and cost-efficiency, t</w:t>
      </w:r>
      <w:r w:rsidR="008D6F26" w:rsidRPr="00B2364E">
        <w:t xml:space="preserve">he Center </w:t>
      </w:r>
      <w:r w:rsidR="006761CE">
        <w:t>undertook</w:t>
      </w:r>
      <w:r w:rsidR="008D6F26" w:rsidRPr="00B2364E">
        <w:t xml:space="preserve"> initiatives</w:t>
      </w:r>
      <w:r w:rsidR="008D6F26">
        <w:t xml:space="preserve"> </w:t>
      </w:r>
      <w:proofErr w:type="gramStart"/>
      <w:r w:rsidR="008D6F26">
        <w:t xml:space="preserve">to </w:t>
      </w:r>
      <w:r>
        <w:t>further streamline</w:t>
      </w:r>
      <w:proofErr w:type="gramEnd"/>
      <w:r w:rsidR="008D6F26">
        <w:t xml:space="preserve"> the c</w:t>
      </w:r>
      <w:r w:rsidR="0043324A">
        <w:t xml:space="preserve">onduct of WIPO ADR proceedings. </w:t>
      </w:r>
      <w:r w:rsidR="00886F09">
        <w:t>To add efficiency to their arbitration proceedings, many parties used t</w:t>
      </w:r>
      <w:r w:rsidR="008D6F26">
        <w:t>he Center</w:t>
      </w:r>
      <w:r w:rsidR="00312B51">
        <w:t>’</w:t>
      </w:r>
      <w:r w:rsidR="00886F09">
        <w:t>s enhanced W</w:t>
      </w:r>
      <w:r w:rsidR="008D6F26">
        <w:t xml:space="preserve">IPO </w:t>
      </w:r>
      <w:proofErr w:type="spellStart"/>
      <w:r w:rsidR="008D6F26">
        <w:t>eADR</w:t>
      </w:r>
      <w:proofErr w:type="spellEnd"/>
      <w:r w:rsidR="008D6F26">
        <w:t xml:space="preserve"> electronic case </w:t>
      </w:r>
      <w:r w:rsidR="008D6F26" w:rsidRPr="00731C49">
        <w:t>facility</w:t>
      </w:r>
      <w:r w:rsidR="00886F09">
        <w:t>.</w:t>
      </w:r>
      <w:r w:rsidR="008D6F26" w:rsidRPr="00AF7BDF">
        <w:rPr>
          <w:vertAlign w:val="superscript"/>
        </w:rPr>
        <w:footnoteReference w:id="8"/>
      </w:r>
      <w:r w:rsidR="00886F09">
        <w:t xml:space="preserve"> </w:t>
      </w:r>
      <w:r w:rsidR="008D6F26">
        <w:t xml:space="preserve">In addition, most </w:t>
      </w:r>
      <w:r w:rsidR="0043324A">
        <w:t xml:space="preserve">arbitration hearings and </w:t>
      </w:r>
      <w:r w:rsidR="008D6F26">
        <w:t>mediation meetings</w:t>
      </w:r>
      <w:r w:rsidR="0043324A">
        <w:t xml:space="preserve"> </w:t>
      </w:r>
      <w:r>
        <w:t xml:space="preserve">continued to </w:t>
      </w:r>
      <w:proofErr w:type="gramStart"/>
      <w:r>
        <w:t xml:space="preserve">be </w:t>
      </w:r>
      <w:r w:rsidR="008D6F26">
        <w:t>conducted</w:t>
      </w:r>
      <w:proofErr w:type="gramEnd"/>
      <w:r w:rsidR="008D6F26">
        <w:t xml:space="preserve"> remotely </w:t>
      </w:r>
      <w:r>
        <w:t xml:space="preserve">or in hybrid format </w:t>
      </w:r>
      <w:r w:rsidR="008D6F26">
        <w:t>using WIPO-hosted facilities.</w:t>
      </w:r>
      <w:r w:rsidR="008D6F26">
        <w:rPr>
          <w:rStyle w:val="FootnoteReference"/>
        </w:rPr>
        <w:footnoteReference w:id="9"/>
      </w:r>
    </w:p>
    <w:p w14:paraId="2AFBED3A" w14:textId="465293AA" w:rsidR="0078746E" w:rsidRDefault="0078746E" w:rsidP="006E79F5">
      <w:pPr>
        <w:pStyle w:val="ListParagraph"/>
        <w:widowControl w:val="0"/>
        <w:numPr>
          <w:ilvl w:val="0"/>
          <w:numId w:val="7"/>
        </w:numPr>
        <w:spacing w:after="240"/>
        <w:ind w:left="0" w:firstLine="0"/>
        <w:contextualSpacing w:val="0"/>
      </w:pPr>
      <w:r w:rsidRPr="00CA0EF6">
        <w:t>The Center also provides tailored ADR services for specific sectors.</w:t>
      </w:r>
      <w:r w:rsidRPr="00CA0EF6">
        <w:rPr>
          <w:rStyle w:val="FootnoteReference"/>
        </w:rPr>
        <w:footnoteReference w:id="10"/>
      </w:r>
      <w:r w:rsidRPr="00CA0EF6">
        <w:rPr>
          <w:rStyle w:val="FootnoteReference"/>
        </w:rPr>
        <w:t xml:space="preserve"> </w:t>
      </w:r>
      <w:r w:rsidRPr="00CA0EF6">
        <w:t>One example is the Center</w:t>
      </w:r>
      <w:r w:rsidR="00312B51">
        <w:t>’</w:t>
      </w:r>
      <w:r w:rsidRPr="00CA0EF6">
        <w:t xml:space="preserve">s services for </w:t>
      </w:r>
      <w:r w:rsidRPr="00590FF9">
        <w:t>disputes concerning FRAND</w:t>
      </w:r>
      <w:r>
        <w:t xml:space="preserve"> </w:t>
      </w:r>
      <w:r w:rsidRPr="00590FF9">
        <w:t xml:space="preserve">terms for standard-essential patents </w:t>
      </w:r>
      <w:r w:rsidRPr="00590FF9">
        <w:lastRenderedPageBreak/>
        <w:t>(SEPs</w:t>
      </w:r>
      <w:r>
        <w:t>).</w:t>
      </w:r>
      <w:r w:rsidRPr="00CA0EF6">
        <w:rPr>
          <w:rStyle w:val="FootnoteReference"/>
        </w:rPr>
        <w:footnoteReference w:id="11"/>
      </w:r>
      <w:r>
        <w:t xml:space="preserve"> To date, the Center has administered some 70 SEP-related mediations involving SMEs, patent pools and large companies, with parties from over 20 jurisdictions. Reflecting this growing case experience, including cases pending before multiple courts, the Center published in </w:t>
      </w:r>
      <w:proofErr w:type="gramStart"/>
      <w:r>
        <w:t>2022 updated</w:t>
      </w:r>
      <w:proofErr w:type="gramEnd"/>
      <w:r>
        <w:t xml:space="preserve"> guidance to further facilitate referral to WIPO mediation and arbitration.</w:t>
      </w:r>
      <w:r w:rsidRPr="00CA0EF6">
        <w:rPr>
          <w:rStyle w:val="FootnoteReference"/>
        </w:rPr>
        <w:footnoteReference w:id="12"/>
      </w:r>
      <w:r w:rsidRPr="00CA0EF6">
        <w:rPr>
          <w:rStyle w:val="FootnoteReference"/>
        </w:rPr>
        <w:t xml:space="preserve"> </w:t>
      </w:r>
      <w:r>
        <w:t xml:space="preserve"> During the period, WIPO and the United States Patent and Trademark Office (USPTO) agreed to partner on stakeholder outreach to further raise awareness of WIPO ADR services relating to SEPs.</w:t>
      </w:r>
    </w:p>
    <w:p w14:paraId="1DC88318" w14:textId="16C2EC02" w:rsidR="0078746E" w:rsidRDefault="0078746E" w:rsidP="006E79F5">
      <w:pPr>
        <w:pStyle w:val="ListParagraph"/>
        <w:widowControl w:val="0"/>
        <w:numPr>
          <w:ilvl w:val="0"/>
          <w:numId w:val="7"/>
        </w:numPr>
        <w:spacing w:after="240"/>
        <w:ind w:left="0" w:firstLine="0"/>
        <w:contextualSpacing w:val="0"/>
      </w:pPr>
      <w:r w:rsidRPr="007D0E4A">
        <w:t xml:space="preserve">The Center </w:t>
      </w:r>
      <w:r>
        <w:t xml:space="preserve">regularly administers </w:t>
      </w:r>
      <w:r w:rsidRPr="007D0E4A">
        <w:t xml:space="preserve">life sciences </w:t>
      </w:r>
      <w:r>
        <w:t>mediation and arbitration cases, with</w:t>
      </w:r>
      <w:r w:rsidRPr="007D0E4A">
        <w:t xml:space="preserve"> parties across the sector including pharmaceutical, biotech, diagnostics and medical devices companies</w:t>
      </w:r>
      <w:r>
        <w:t>, as well as</w:t>
      </w:r>
      <w:r w:rsidRPr="00904396">
        <w:t xml:space="preserve"> </w:t>
      </w:r>
      <w:r>
        <w:t>R&amp;D institutions. The caseload</w:t>
      </w:r>
      <w:r w:rsidRPr="007D0E4A">
        <w:t xml:space="preserve"> includes high-value pharma patent and licensing cases, recently also relating to COVID-19 vaccines.</w:t>
      </w:r>
      <w:r w:rsidRPr="00CA0EF6">
        <w:rPr>
          <w:rStyle w:val="FootnoteReference"/>
        </w:rPr>
        <w:footnoteReference w:id="13"/>
      </w:r>
      <w:r w:rsidR="00EB532A">
        <w:t xml:space="preserve"> </w:t>
      </w:r>
      <w:r>
        <w:t>In 2022, a</w:t>
      </w:r>
      <w:r w:rsidRPr="00282EA5">
        <w:t xml:space="preserve">s part of </w:t>
      </w:r>
      <w:r>
        <w:t>the WIPO</w:t>
      </w:r>
      <w:r w:rsidRPr="00282EA5">
        <w:t xml:space="preserve"> COVID-19 </w:t>
      </w:r>
      <w:r>
        <w:t>Response Package</w:t>
      </w:r>
      <w:r w:rsidRPr="00282EA5">
        <w:t xml:space="preserve">, the Center </w:t>
      </w:r>
      <w:r>
        <w:t xml:space="preserve">developed and launched, </w:t>
      </w:r>
      <w:r w:rsidRPr="00686FFA">
        <w:t>in consultation with leading international life sc</w:t>
      </w:r>
      <w:r>
        <w:t xml:space="preserve">iences and ADR experts, the </w:t>
      </w:r>
      <w:r w:rsidRPr="00686FFA">
        <w:t>publication WIPO ADR for Life Sciences Disputes Management and Resolution</w:t>
      </w:r>
      <w:r>
        <w:t>.</w:t>
      </w:r>
      <w:r w:rsidRPr="00CA0EF6">
        <w:rPr>
          <w:rStyle w:val="FootnoteReference"/>
        </w:rPr>
        <w:footnoteReference w:id="14"/>
      </w:r>
      <w:r w:rsidRPr="00CA0EF6">
        <w:rPr>
          <w:rStyle w:val="FootnoteReference"/>
        </w:rPr>
        <w:t xml:space="preserve"> </w:t>
      </w:r>
      <w:r>
        <w:t>It</w:t>
      </w:r>
      <w:r w:rsidRPr="00686FFA">
        <w:t xml:space="preserve"> </w:t>
      </w:r>
      <w:r w:rsidRPr="00F561C6">
        <w:t>presents new WIPO ADR options</w:t>
      </w:r>
      <w:r>
        <w:t xml:space="preserve"> and model clauses tailored to life sciences disputes</w:t>
      </w:r>
      <w:r w:rsidRPr="00F561C6">
        <w:t xml:space="preserve">, </w:t>
      </w:r>
      <w:r>
        <w:t>notably</w:t>
      </w:r>
      <w:r w:rsidRPr="00F561C6">
        <w:t xml:space="preserve"> WIPO Mediation to </w:t>
      </w:r>
      <w:r>
        <w:t xml:space="preserve">facilitate contract negotiation (deal mediation), which </w:t>
      </w:r>
      <w:r w:rsidRPr="00C529D2">
        <w:t xml:space="preserve">may be </w:t>
      </w:r>
      <w:r>
        <w:t>particularly</w:t>
      </w:r>
      <w:r w:rsidRPr="00C529D2">
        <w:t xml:space="preserve"> useful in </w:t>
      </w:r>
      <w:r>
        <w:t>the</w:t>
      </w:r>
      <w:r w:rsidRPr="00C529D2">
        <w:t xml:space="preserve"> context </w:t>
      </w:r>
      <w:r>
        <w:t>of</w:t>
      </w:r>
      <w:r w:rsidRPr="00C529D2">
        <w:t xml:space="preserve"> medical innovation and collaborations across regions and types of entities</w:t>
      </w:r>
      <w:r>
        <w:t>.</w:t>
      </w:r>
      <w:r w:rsidRPr="00CA0EF6">
        <w:rPr>
          <w:rStyle w:val="FootnoteReference"/>
        </w:rPr>
        <w:footnoteReference w:id="15"/>
      </w:r>
      <w:r w:rsidRPr="00C529D2">
        <w:t xml:space="preserve">  </w:t>
      </w:r>
    </w:p>
    <w:p w14:paraId="3059EBF6" w14:textId="6DD31BB0" w:rsidR="00CA0EF6" w:rsidRPr="00CA0EF6" w:rsidRDefault="00CA0EF6" w:rsidP="006E79F5">
      <w:pPr>
        <w:pStyle w:val="ListParagraph"/>
        <w:widowControl w:val="0"/>
        <w:numPr>
          <w:ilvl w:val="0"/>
          <w:numId w:val="7"/>
        </w:numPr>
        <w:spacing w:after="240"/>
        <w:ind w:left="0" w:firstLine="0"/>
        <w:contextualSpacing w:val="0"/>
      </w:pPr>
      <w:r w:rsidRPr="00CA0EF6">
        <w:t>The Center has observed a significant increase in copyright dispute</w:t>
      </w:r>
      <w:r w:rsidR="00AE598D">
        <w:t xml:space="preserve"> filing</w:t>
      </w:r>
      <w:r w:rsidR="00925E82">
        <w:t>s</w:t>
      </w:r>
      <w:r w:rsidR="00AE598D">
        <w:t xml:space="preserve"> </w:t>
      </w:r>
      <w:r w:rsidR="00D972EF">
        <w:t xml:space="preserve">over the past year. </w:t>
      </w:r>
      <w:r w:rsidRPr="00CA0EF6">
        <w:t xml:space="preserve">This trend </w:t>
      </w:r>
      <w:proofErr w:type="gramStart"/>
      <w:r w:rsidRPr="00CA0EF6">
        <w:t>is notably connected</w:t>
      </w:r>
      <w:proofErr w:type="gramEnd"/>
      <w:r w:rsidRPr="00CA0EF6">
        <w:t xml:space="preserve"> to the </w:t>
      </w:r>
      <w:r w:rsidR="005A3C3C">
        <w:t>Center</w:t>
      </w:r>
      <w:r w:rsidR="00312B51">
        <w:t>’</w:t>
      </w:r>
      <w:r w:rsidR="005A3C3C">
        <w:t xml:space="preserve">s </w:t>
      </w:r>
      <w:r w:rsidRPr="00CA0EF6">
        <w:t xml:space="preserve">co-administration of cases filed with the National Directorate of Copyright of Colombia (DNDA) and the National Institute of Copyright of Mexico (INDAUTOR). During the period, the Center has co-administered over 280 cases under these two schemes. The referral of copyright disputes in the digital environment to WIPO ADR is also rapidly increasing. This has included disputes relating to audiovisual content, music, publishing, software, mobile apps, and video games. The WIPO-MCST Survey Report on the Use of ADR Mechanisms for </w:t>
      </w:r>
      <w:proofErr w:type="gramStart"/>
      <w:r w:rsidRPr="00CA0EF6">
        <w:t>Business to Business</w:t>
      </w:r>
      <w:proofErr w:type="gramEnd"/>
      <w:r w:rsidRPr="00CA0EF6">
        <w:t xml:space="preserve"> (B2B) Digital Copyright- and Content-related Disputes</w:t>
      </w:r>
      <w:r w:rsidR="004E26F7">
        <w:rPr>
          <w:rStyle w:val="FootnoteReference"/>
        </w:rPr>
        <w:footnoteReference w:id="16"/>
      </w:r>
      <w:r w:rsidRPr="00CA0EF6">
        <w:t xml:space="preserve"> has been instrumental in informing the Center</w:t>
      </w:r>
      <w:r w:rsidR="00312B51">
        <w:t>’</w:t>
      </w:r>
      <w:r w:rsidRPr="00CA0EF6">
        <w:t>s efforts to develop best practices for digital copyright- and content-related disputes, while considering relevant legislation and existing contractual practices. The Center</w:t>
      </w:r>
      <w:r w:rsidR="00312B51">
        <w:t>’</w:t>
      </w:r>
      <w:r w:rsidRPr="00CA0EF6">
        <w:t>s approach aims to promote efficient and effective resolution of disputes in the digital environment, which is critical to maintaining the integrity of online content-sharing services and protecting the rights of content creators and users alike.</w:t>
      </w:r>
      <w:r w:rsidRPr="005F3F39">
        <w:rPr>
          <w:vertAlign w:val="superscript"/>
        </w:rPr>
        <w:footnoteReference w:id="17"/>
      </w:r>
    </w:p>
    <w:p w14:paraId="04BE17B5" w14:textId="77777777" w:rsidR="008D6F26" w:rsidRPr="002C3D47" w:rsidRDefault="008D6F26" w:rsidP="006E79F5">
      <w:pPr>
        <w:pStyle w:val="ListParagraph"/>
        <w:widowControl w:val="0"/>
        <w:spacing w:after="240"/>
        <w:ind w:left="0" w:firstLine="567"/>
        <w:contextualSpacing w:val="0"/>
      </w:pPr>
      <w:r w:rsidRPr="002C3D47">
        <w:lastRenderedPageBreak/>
        <w:t>B.</w:t>
      </w:r>
      <w:r w:rsidRPr="002C3D47">
        <w:tab/>
        <w:t>COLLABORATION WITH INTELLECTUAL PROPERTY OFFICES</w:t>
      </w:r>
      <w:r w:rsidR="0078746E">
        <w:t xml:space="preserve"> AND COURTS</w:t>
      </w:r>
    </w:p>
    <w:p w14:paraId="0BA03E58" w14:textId="504B1DCA" w:rsidR="008D6F26" w:rsidRPr="00CA0EF6" w:rsidRDefault="008D6F26" w:rsidP="006E79F5">
      <w:pPr>
        <w:pStyle w:val="ListParagraph"/>
        <w:widowControl w:val="0"/>
        <w:numPr>
          <w:ilvl w:val="0"/>
          <w:numId w:val="7"/>
        </w:numPr>
        <w:spacing w:after="240"/>
        <w:ind w:left="0" w:firstLine="0"/>
        <w:contextualSpacing w:val="0"/>
      </w:pPr>
      <w:r w:rsidRPr="00226258">
        <w:t xml:space="preserve">Another core area of </w:t>
      </w:r>
      <w:r w:rsidR="005A3C3C">
        <w:t xml:space="preserve">the </w:t>
      </w:r>
      <w:r w:rsidRPr="00226258">
        <w:t>Center</w:t>
      </w:r>
      <w:r w:rsidR="00312B51">
        <w:t>’</w:t>
      </w:r>
      <w:r w:rsidR="005A3C3C">
        <w:t>s</w:t>
      </w:r>
      <w:r w:rsidRPr="00226258">
        <w:t xml:space="preserve"> activity is </w:t>
      </w:r>
      <w:r w:rsidR="005A3C3C">
        <w:t xml:space="preserve">the </w:t>
      </w:r>
      <w:r w:rsidRPr="00226258">
        <w:t xml:space="preserve">collaboration with </w:t>
      </w:r>
      <w:r w:rsidRPr="00076231">
        <w:t>IP an</w:t>
      </w:r>
      <w:r>
        <w:t>d Copyright Offices (IPOs) and c</w:t>
      </w:r>
      <w:r w:rsidRPr="00076231">
        <w:t>ourts</w:t>
      </w:r>
      <w:r w:rsidR="0078746E">
        <w:t xml:space="preserve"> globally</w:t>
      </w:r>
      <w:r>
        <w:t>.</w:t>
      </w:r>
      <w:r w:rsidRPr="004E26F7">
        <w:rPr>
          <w:vertAlign w:val="superscript"/>
        </w:rPr>
        <w:footnoteReference w:id="18"/>
      </w:r>
      <w:r w:rsidR="0078746E" w:rsidRPr="004E26F7">
        <w:rPr>
          <w:vertAlign w:val="superscript"/>
        </w:rPr>
        <w:t xml:space="preserve"> </w:t>
      </w:r>
      <w:r w:rsidR="0078746E">
        <w:t>Since the 2022</w:t>
      </w:r>
      <w:r w:rsidRPr="00076231">
        <w:t xml:space="preserve"> Assemblies, the Center has </w:t>
      </w:r>
      <w:r w:rsidRPr="00CA0EF6">
        <w:t xml:space="preserve">entered into </w:t>
      </w:r>
      <w:r w:rsidR="005F3F39">
        <w:t>14</w:t>
      </w:r>
      <w:r w:rsidRPr="00CA0EF6">
        <w:t xml:space="preserve"> new </w:t>
      </w:r>
      <w:r w:rsidR="00F8152B">
        <w:t>initiatives</w:t>
      </w:r>
      <w:r w:rsidRPr="00CA0EF6">
        <w:t xml:space="preserve"> with IP </w:t>
      </w:r>
      <w:r w:rsidR="0078746E" w:rsidRPr="00CA0EF6">
        <w:t xml:space="preserve">and judicial </w:t>
      </w:r>
      <w:r w:rsidRPr="00CA0EF6">
        <w:t xml:space="preserve">authorities in </w:t>
      </w:r>
      <w:r w:rsidRPr="00076231">
        <w:t>Member</w:t>
      </w:r>
      <w:r w:rsidRPr="00CA0EF6">
        <w:t xml:space="preserve"> States to promote and help introduce time and cost</w:t>
      </w:r>
      <w:r w:rsidR="00DC1775">
        <w:noBreakHyphen/>
      </w:r>
      <w:r w:rsidRPr="00CA0EF6">
        <w:t>efficient ADR options for IP and technology disputes outside the courts or other adjudicative bodies.</w:t>
      </w:r>
      <w:r w:rsidR="00F8152B" w:rsidRPr="00CA0EF6">
        <w:rPr>
          <w:rStyle w:val="FootnoteReference"/>
        </w:rPr>
        <w:footnoteReference w:id="19"/>
      </w:r>
      <w:r w:rsidR="00F8152B" w:rsidRPr="00CA0EF6">
        <w:rPr>
          <w:rStyle w:val="FootnoteReference"/>
        </w:rPr>
        <w:t xml:space="preserve"> </w:t>
      </w:r>
      <w:r w:rsidR="00993362">
        <w:t xml:space="preserve"> </w:t>
      </w:r>
      <w:r w:rsidRPr="00CA0EF6">
        <w:t>In the period,</w:t>
      </w:r>
      <w:r w:rsidR="00F8152B">
        <w:t xml:space="preserve"> this </w:t>
      </w:r>
      <w:r w:rsidRPr="00CA0EF6">
        <w:t>included the development of country</w:t>
      </w:r>
      <w:r w:rsidRPr="00CA0EF6">
        <w:noBreakHyphen/>
        <w:t>tailored information materials for interested parties concerning ADR options,</w:t>
      </w:r>
      <w:r w:rsidR="00F8152B">
        <w:t xml:space="preserve"> such as</w:t>
      </w:r>
      <w:r w:rsidRPr="00CA0EF6">
        <w:t xml:space="preserve"> on online case administration, </w:t>
      </w:r>
      <w:r w:rsidR="0078746E" w:rsidRPr="00CA0EF6">
        <w:t xml:space="preserve">assistance in the drafting of ADR clauses in connection with model R&amp;D Agreements, </w:t>
      </w:r>
      <w:r w:rsidRPr="00CA0EF6">
        <w:t>and training and joint events for</w:t>
      </w:r>
      <w:r w:rsidR="005F3F39">
        <w:t xml:space="preserve"> s</w:t>
      </w:r>
      <w:r w:rsidRPr="00CA0EF6">
        <w:t>takeholders.</w:t>
      </w:r>
      <w:r w:rsidRPr="00CA0EF6">
        <w:rPr>
          <w:rStyle w:val="FootnoteReference"/>
        </w:rPr>
        <w:footnoteReference w:id="20"/>
      </w:r>
      <w:r w:rsidRPr="00CA0EF6">
        <w:rPr>
          <w:rStyle w:val="FootnoteReference"/>
        </w:rPr>
        <w:t xml:space="preserve"> </w:t>
      </w:r>
    </w:p>
    <w:p w14:paraId="1D84634E" w14:textId="7052DB06" w:rsidR="008D6F26" w:rsidRPr="00CA0EF6" w:rsidRDefault="008D6F26" w:rsidP="006E79F5">
      <w:pPr>
        <w:pStyle w:val="ListParagraph"/>
        <w:widowControl w:val="0"/>
        <w:numPr>
          <w:ilvl w:val="0"/>
          <w:numId w:val="7"/>
        </w:numPr>
        <w:spacing w:after="240"/>
        <w:ind w:left="0" w:firstLine="0"/>
        <w:contextualSpacing w:val="0"/>
      </w:pPr>
      <w:proofErr w:type="gramStart"/>
      <w:r w:rsidRPr="00CA0EF6">
        <w:t>Some IPOs have developed ADR options, or encourage parties to use such options, in the context of proceedings pending before them, notably trademark opposition proceedings.</w:t>
      </w:r>
      <w:proofErr w:type="gramEnd"/>
      <w:r w:rsidRPr="00CA0EF6">
        <w:t xml:space="preserve"> The Center worked with IPOs in the development of mediation options for such proceedings, and collaborated with IPOs in the administration of cases submitted by parties under such schemes.</w:t>
      </w:r>
      <w:r w:rsidRPr="00CA0EF6">
        <w:rPr>
          <w:rStyle w:val="FootnoteReference"/>
        </w:rPr>
        <w:footnoteReference w:id="21"/>
      </w:r>
      <w:r w:rsidRPr="00CA0EF6">
        <w:t xml:space="preserve"> In the area of </w:t>
      </w:r>
      <w:r w:rsidRPr="00131BFA">
        <w:rPr>
          <w:shd w:val="clear" w:color="auto" w:fill="FFFFFF" w:themeFill="background1"/>
        </w:rPr>
        <w:t xml:space="preserve">copyright, </w:t>
      </w:r>
      <w:r w:rsidR="00131BFA" w:rsidRPr="00131BFA">
        <w:rPr>
          <w:shd w:val="clear" w:color="auto" w:fill="FFFFFF" w:themeFill="background1"/>
        </w:rPr>
        <w:t xml:space="preserve">some IPOs </w:t>
      </w:r>
      <w:r w:rsidR="00FA51CE">
        <w:rPr>
          <w:shd w:val="clear" w:color="auto" w:fill="FFFFFF" w:themeFill="background1"/>
        </w:rPr>
        <w:t xml:space="preserve">now resort to </w:t>
      </w:r>
      <w:r w:rsidRPr="00131BFA">
        <w:rPr>
          <w:shd w:val="clear" w:color="auto" w:fill="FFFFFF" w:themeFill="background1"/>
        </w:rPr>
        <w:t>the</w:t>
      </w:r>
      <w:r w:rsidRPr="00CA0EF6">
        <w:t xml:space="preserve"> Center as administrator or co</w:t>
      </w:r>
      <w:r w:rsidR="00DC1775">
        <w:noBreakHyphen/>
      </w:r>
      <w:r w:rsidRPr="00CA0EF6">
        <w:t xml:space="preserve">administrator of </w:t>
      </w:r>
      <w:r w:rsidR="00131BFA">
        <w:t xml:space="preserve">pending </w:t>
      </w:r>
      <w:r w:rsidRPr="00CA0EF6">
        <w:t>cases</w:t>
      </w:r>
      <w:r w:rsidR="005A3C3C">
        <w:t>,</w:t>
      </w:r>
      <w:r w:rsidRPr="00CA0EF6">
        <w:t xml:space="preserve"> often involving CMOs or other copyright owners, and users.</w:t>
      </w:r>
      <w:r w:rsidRPr="00CA0EF6">
        <w:rPr>
          <w:rStyle w:val="FootnoteReference"/>
        </w:rPr>
        <w:footnoteReference w:id="22"/>
      </w:r>
      <w:r w:rsidRPr="00CA0EF6">
        <w:rPr>
          <w:rStyle w:val="FootnoteReference"/>
        </w:rPr>
        <w:t xml:space="preserve"> </w:t>
      </w:r>
    </w:p>
    <w:p w14:paraId="7AE256B0" w14:textId="77777777" w:rsidR="007F350F" w:rsidRPr="00CA0EF6" w:rsidRDefault="007F350F" w:rsidP="006E79F5">
      <w:pPr>
        <w:pStyle w:val="ListParagraph"/>
        <w:widowControl w:val="0"/>
        <w:numPr>
          <w:ilvl w:val="0"/>
          <w:numId w:val="7"/>
        </w:numPr>
        <w:spacing w:after="240"/>
        <w:ind w:left="0" w:firstLine="0"/>
        <w:contextualSpacing w:val="0"/>
      </w:pPr>
      <w:r w:rsidRPr="00CA0EF6">
        <w:lastRenderedPageBreak/>
        <w:t>Additionally, the Center collaborated with IPOs in the development of R&amp;D model agreements that include options for WIPO mediation and WIPO arbitration.</w:t>
      </w:r>
      <w:r w:rsidRPr="00CA0EF6">
        <w:rPr>
          <w:rStyle w:val="FootnoteReference"/>
        </w:rPr>
        <w:footnoteReference w:id="23"/>
      </w:r>
      <w:r w:rsidRPr="00CA0EF6">
        <w:rPr>
          <w:rStyle w:val="FootnoteReference"/>
        </w:rPr>
        <w:t xml:space="preserve"> </w:t>
      </w:r>
    </w:p>
    <w:p w14:paraId="58249659" w14:textId="70E5D203" w:rsidR="00F44DF8" w:rsidRPr="00CA0EF6" w:rsidRDefault="00F44DF8" w:rsidP="006E79F5">
      <w:pPr>
        <w:pStyle w:val="ListParagraph"/>
        <w:widowControl w:val="0"/>
        <w:numPr>
          <w:ilvl w:val="0"/>
          <w:numId w:val="7"/>
        </w:numPr>
        <w:spacing w:after="240"/>
        <w:ind w:left="0" w:firstLine="0"/>
        <w:contextualSpacing w:val="0"/>
      </w:pPr>
      <w:r w:rsidRPr="00CA0EF6">
        <w:t>The Center also collaborates with a growing number of courts to facilitate the referral to WIPO mediation of cases where parties are willing to explore settlement, including training for members of the judiciaries and mediators.</w:t>
      </w:r>
      <w:r w:rsidRPr="00CA0EF6">
        <w:rPr>
          <w:rStyle w:val="FootnoteReference"/>
        </w:rPr>
        <w:footnoteReference w:id="24"/>
      </w:r>
      <w:r w:rsidRPr="00CA0EF6">
        <w:rPr>
          <w:rStyle w:val="FootnoteReference"/>
        </w:rPr>
        <w:t xml:space="preserve"> </w:t>
      </w:r>
      <w:r w:rsidR="003A7986">
        <w:t xml:space="preserve"> </w:t>
      </w:r>
      <w:r w:rsidRPr="00CA0EF6">
        <w:t>For example, under the framework collaboration between the Supreme People</w:t>
      </w:r>
      <w:r w:rsidR="00312B51">
        <w:t>’</w:t>
      </w:r>
      <w:r w:rsidRPr="00CA0EF6">
        <w:t>s Court of China (SPC) and WIPO, the SPC and the Center, in coordination with the WIPO Office in China, collaborate in the area of mediation to help resolve international IP and technology disputes in China.</w:t>
      </w:r>
      <w:r w:rsidRPr="00CA0EF6">
        <w:rPr>
          <w:rStyle w:val="FootnoteReference"/>
        </w:rPr>
        <w:footnoteReference w:id="25"/>
      </w:r>
      <w:r w:rsidRPr="00CA0EF6">
        <w:rPr>
          <w:rStyle w:val="FootnoteReference"/>
        </w:rPr>
        <w:t xml:space="preserve"> </w:t>
      </w:r>
      <w:r w:rsidR="003A7986">
        <w:t xml:space="preserve"> </w:t>
      </w:r>
      <w:r w:rsidRPr="00CA0EF6">
        <w:t xml:space="preserve">So far, more than 60 international cases pending before courts in Shanghai and Fujian </w:t>
      </w:r>
      <w:proofErr w:type="gramStart"/>
      <w:r w:rsidRPr="00CA0EF6">
        <w:t>have been referred</w:t>
      </w:r>
      <w:proofErr w:type="gramEnd"/>
      <w:r w:rsidRPr="00CA0EF6">
        <w:t xml:space="preserve"> to the WIPO Arbitration and Mediation Shanghai Service, including trademark, patent, copyright, ICT and other commercial cases, with parties from 13 jurisdictions.</w:t>
      </w:r>
      <w:r w:rsidRPr="00CA0EF6">
        <w:rPr>
          <w:rStyle w:val="FootnoteReference"/>
        </w:rPr>
        <w:footnoteReference w:id="26"/>
      </w:r>
      <w:r w:rsidRPr="00CA0EF6">
        <w:rPr>
          <w:rStyle w:val="FootnoteReference"/>
        </w:rPr>
        <w:t xml:space="preserve">  </w:t>
      </w:r>
      <w:r w:rsidRPr="00CA0EF6">
        <w:t xml:space="preserve">Since 2023, the Center also collaborates with the </w:t>
      </w:r>
      <w:r w:rsidRPr="00EC38B7">
        <w:rPr>
          <w:i/>
        </w:rPr>
        <w:t xml:space="preserve">Tribunal </w:t>
      </w:r>
      <w:proofErr w:type="spellStart"/>
      <w:r w:rsidRPr="00EC38B7">
        <w:rPr>
          <w:i/>
        </w:rPr>
        <w:t>judiciaire</w:t>
      </w:r>
      <w:proofErr w:type="spellEnd"/>
      <w:r w:rsidRPr="00EC38B7">
        <w:rPr>
          <w:i/>
        </w:rPr>
        <w:t xml:space="preserve"> de Paris</w:t>
      </w:r>
      <w:r w:rsidRPr="00CA0EF6">
        <w:t xml:space="preserve"> to facilitate referral to WIPO Mediation of suitable cases pending before the court, and </w:t>
      </w:r>
      <w:r w:rsidR="00382CA9">
        <w:t xml:space="preserve">the Center </w:t>
      </w:r>
      <w:r w:rsidRPr="00CA0EF6">
        <w:t>has administered the</w:t>
      </w:r>
      <w:r w:rsidR="00382CA9">
        <w:t xml:space="preserve"> first cases referred under this</w:t>
      </w:r>
      <w:r w:rsidRPr="00CA0EF6">
        <w:t xml:space="preserve"> scheme.</w:t>
      </w:r>
    </w:p>
    <w:p w14:paraId="0EA8AA47" w14:textId="0110ACDB" w:rsidR="00F44DF8" w:rsidRPr="00CA0EF6" w:rsidRDefault="00F44DF8" w:rsidP="006E79F5">
      <w:pPr>
        <w:pStyle w:val="ListParagraph"/>
        <w:widowControl w:val="0"/>
        <w:numPr>
          <w:ilvl w:val="0"/>
          <w:numId w:val="7"/>
        </w:numPr>
        <w:spacing w:after="240"/>
        <w:ind w:left="0" w:firstLine="0"/>
        <w:contextualSpacing w:val="0"/>
      </w:pPr>
      <w:r w:rsidRPr="00CA0EF6">
        <w:t xml:space="preserve">Reflecting the growing scope and nature of these collaborative efforts, the Center published in 2022 an updated version of the WIPO Guide on Alternative Dispute </w:t>
      </w:r>
      <w:r w:rsidR="00382CA9">
        <w:t>Resolution for IPOs and Courts.</w:t>
      </w:r>
      <w:r w:rsidRPr="00CA0EF6">
        <w:rPr>
          <w:rStyle w:val="FootnoteReference"/>
          <w:rFonts w:eastAsia="SimSun"/>
        </w:rPr>
        <w:footnoteReference w:id="27"/>
      </w:r>
      <w:r w:rsidRPr="00CA0EF6">
        <w:t xml:space="preserve"> The new edition</w:t>
      </w:r>
      <w:r w:rsidR="00D1328F">
        <w:t xml:space="preserve"> covers</w:t>
      </w:r>
      <w:r w:rsidRPr="00CA0EF6">
        <w:t xml:space="preserve"> tailored public ADR programs developed in collaboration with the Center, involving innovative element</w:t>
      </w:r>
      <w:r w:rsidR="00C84CE8">
        <w:t>s such as administration and co</w:t>
      </w:r>
      <w:r w:rsidR="00C84CE8">
        <w:noBreakHyphen/>
      </w:r>
      <w:r w:rsidRPr="00CA0EF6">
        <w:t>administration schemes, online case management tools, training and outreach, as well as R&amp;D model agreements including ADR clauses. The Guide also presents options for interested IPOs and courts to integrate ADR, especially mediation, into their processes.</w:t>
      </w:r>
    </w:p>
    <w:p w14:paraId="77992661" w14:textId="77777777" w:rsidR="008D6F26" w:rsidRPr="00510AD3" w:rsidRDefault="008D6F26" w:rsidP="006E79F5">
      <w:pPr>
        <w:pStyle w:val="ListParagraph"/>
        <w:widowControl w:val="0"/>
        <w:spacing w:after="240"/>
        <w:ind w:left="567"/>
        <w:contextualSpacing w:val="0"/>
      </w:pPr>
      <w:r w:rsidRPr="00510AD3">
        <w:t>C.</w:t>
      </w:r>
      <w:r w:rsidRPr="00510AD3">
        <w:tab/>
      </w:r>
      <w:r>
        <w:t>ADR INFORMATION</w:t>
      </w:r>
      <w:r w:rsidRPr="00510AD3">
        <w:t xml:space="preserve"> RESOURCES</w:t>
      </w:r>
    </w:p>
    <w:p w14:paraId="4962471B" w14:textId="4B25B4E3" w:rsidR="00CA0EF6" w:rsidRPr="008E1F5F" w:rsidRDefault="00CA0EF6" w:rsidP="00173565">
      <w:pPr>
        <w:pStyle w:val="ListParagraph"/>
        <w:widowControl w:val="0"/>
        <w:numPr>
          <w:ilvl w:val="0"/>
          <w:numId w:val="7"/>
        </w:numPr>
        <w:spacing w:after="240"/>
        <w:ind w:left="0" w:firstLine="0"/>
        <w:contextualSpacing w:val="0"/>
        <w:rPr>
          <w:szCs w:val="22"/>
        </w:rPr>
      </w:pPr>
      <w:r w:rsidRPr="008E1F5F">
        <w:rPr>
          <w:szCs w:val="22"/>
        </w:rPr>
        <w:t xml:space="preserve">During the </w:t>
      </w:r>
      <w:r w:rsidR="00EC38B7" w:rsidRPr="008E1F5F">
        <w:rPr>
          <w:szCs w:val="22"/>
        </w:rPr>
        <w:t xml:space="preserve">reporting </w:t>
      </w:r>
      <w:r w:rsidRPr="008E1F5F">
        <w:rPr>
          <w:szCs w:val="22"/>
        </w:rPr>
        <w:t>period, to meet with increased demand for online ADR resources and training, the Center continued with existing outreach channels, such as its ADR Highlights newsletter and the Center</w:t>
      </w:r>
      <w:r w:rsidR="00312B51" w:rsidRPr="008E1F5F">
        <w:rPr>
          <w:szCs w:val="22"/>
        </w:rPr>
        <w:t>’</w:t>
      </w:r>
      <w:r w:rsidRPr="008E1F5F">
        <w:rPr>
          <w:szCs w:val="22"/>
        </w:rPr>
        <w:t>s LinkedIn page,</w:t>
      </w:r>
      <w:r w:rsidRPr="00CA0EF6">
        <w:rPr>
          <w:vertAlign w:val="superscript"/>
        </w:rPr>
        <w:footnoteReference w:id="28"/>
      </w:r>
      <w:r w:rsidRPr="008E1F5F">
        <w:rPr>
          <w:szCs w:val="22"/>
        </w:rPr>
        <w:t xml:space="preserve"> while expanding or opening social and other </w:t>
      </w:r>
      <w:r w:rsidR="00382CA9" w:rsidRPr="008E1F5F">
        <w:rPr>
          <w:szCs w:val="22"/>
        </w:rPr>
        <w:t xml:space="preserve">online avenues </w:t>
      </w:r>
      <w:r w:rsidRPr="008E1F5F">
        <w:rPr>
          <w:szCs w:val="22"/>
        </w:rPr>
        <w:t>for users or potential users of WIPO ADR services.</w:t>
      </w:r>
      <w:r w:rsidR="009B05CB">
        <w:rPr>
          <w:rStyle w:val="FootnoteReference"/>
          <w:szCs w:val="22"/>
        </w:rPr>
        <w:footnoteReference w:id="29"/>
      </w:r>
      <w:r w:rsidRPr="008E1F5F">
        <w:rPr>
          <w:szCs w:val="22"/>
        </w:rPr>
        <w:t xml:space="preserve"> For example, the </w:t>
      </w:r>
      <w:proofErr w:type="gramStart"/>
      <w:r w:rsidRPr="008E1F5F">
        <w:rPr>
          <w:szCs w:val="22"/>
        </w:rPr>
        <w:t>Center</w:t>
      </w:r>
      <w:r w:rsidR="00312B51" w:rsidRPr="008E1F5F">
        <w:rPr>
          <w:szCs w:val="22"/>
        </w:rPr>
        <w:t>’</w:t>
      </w:r>
      <w:r w:rsidRPr="008E1F5F">
        <w:rPr>
          <w:szCs w:val="22"/>
        </w:rPr>
        <w:t>s</w:t>
      </w:r>
      <w:proofErr w:type="gramEnd"/>
      <w:r w:rsidRPr="008E1F5F">
        <w:rPr>
          <w:szCs w:val="22"/>
        </w:rPr>
        <w:t xml:space="preserve"> WIPO ADR Young</w:t>
      </w:r>
      <w:r w:rsidR="006E2D4B" w:rsidRPr="008E1F5F">
        <w:rPr>
          <w:szCs w:val="22"/>
        </w:rPr>
        <w:t>, launched in 2021,</w:t>
      </w:r>
      <w:r w:rsidRPr="008E1F5F">
        <w:rPr>
          <w:szCs w:val="22"/>
        </w:rPr>
        <w:t xml:space="preserve"> is a networking and training forum for young professionals in the IP</w:t>
      </w:r>
      <w:r w:rsidR="008E1F5F">
        <w:rPr>
          <w:szCs w:val="22"/>
        </w:rPr>
        <w:t xml:space="preserve"> </w:t>
      </w:r>
      <w:r w:rsidRPr="008E1F5F">
        <w:rPr>
          <w:szCs w:val="22"/>
        </w:rPr>
        <w:t>and dispute resolution communities</w:t>
      </w:r>
      <w:r w:rsidR="00D1328F" w:rsidRPr="008E1F5F">
        <w:rPr>
          <w:szCs w:val="22"/>
        </w:rPr>
        <w:t xml:space="preserve">, which </w:t>
      </w:r>
      <w:r w:rsidR="00382CA9" w:rsidRPr="008E1F5F">
        <w:rPr>
          <w:szCs w:val="22"/>
        </w:rPr>
        <w:t>has so far attracted some</w:t>
      </w:r>
      <w:r w:rsidRPr="008E1F5F">
        <w:rPr>
          <w:szCs w:val="22"/>
        </w:rPr>
        <w:t xml:space="preserve"> 980 members from over 95 countries.</w:t>
      </w:r>
      <w:r w:rsidRPr="00CA0EF6">
        <w:rPr>
          <w:szCs w:val="22"/>
          <w:vertAlign w:val="superscript"/>
        </w:rPr>
        <w:footnoteReference w:id="30"/>
      </w:r>
      <w:r w:rsidRPr="008E1F5F">
        <w:rPr>
          <w:szCs w:val="22"/>
        </w:rPr>
        <w:t xml:space="preserve"> The Center also organized activities and participated in events around World IP Day. </w:t>
      </w:r>
    </w:p>
    <w:p w14:paraId="3078B939" w14:textId="77777777" w:rsidR="006E7704" w:rsidRDefault="006E7704">
      <w:pPr>
        <w:rPr>
          <w:rFonts w:eastAsia="Times New Roman" w:cs="Times New Roman"/>
          <w:szCs w:val="22"/>
          <w:lang w:eastAsia="en-US"/>
        </w:rPr>
      </w:pPr>
      <w:r>
        <w:rPr>
          <w:szCs w:val="22"/>
        </w:rPr>
        <w:br w:type="page"/>
      </w:r>
    </w:p>
    <w:p w14:paraId="5A4EB7FD" w14:textId="74B3CAD1" w:rsidR="00CA0EF6" w:rsidRPr="00CA0EF6" w:rsidRDefault="00D1328F" w:rsidP="006E79F5">
      <w:pPr>
        <w:pStyle w:val="ListParagraph"/>
        <w:widowControl w:val="0"/>
        <w:numPr>
          <w:ilvl w:val="0"/>
          <w:numId w:val="7"/>
        </w:numPr>
        <w:spacing w:after="240"/>
        <w:ind w:left="0" w:firstLine="0"/>
        <w:contextualSpacing w:val="0"/>
        <w:rPr>
          <w:szCs w:val="22"/>
        </w:rPr>
      </w:pPr>
      <w:r>
        <w:rPr>
          <w:szCs w:val="22"/>
        </w:rPr>
        <w:lastRenderedPageBreak/>
        <w:t>Now with over 15,500 followers, t</w:t>
      </w:r>
      <w:r w:rsidR="00CA0EF6" w:rsidRPr="00CA0EF6">
        <w:rPr>
          <w:szCs w:val="22"/>
        </w:rPr>
        <w:t>he Center</w:t>
      </w:r>
      <w:r w:rsidR="00312B51">
        <w:rPr>
          <w:szCs w:val="22"/>
        </w:rPr>
        <w:t>’</w:t>
      </w:r>
      <w:r w:rsidR="00CA0EF6" w:rsidRPr="00CA0EF6">
        <w:rPr>
          <w:szCs w:val="22"/>
        </w:rPr>
        <w:t>s LinkedIn page acts as a platform for the IP, technology, and ADR community to keep current with WIPO ADR developments, events, and publications.</w:t>
      </w:r>
      <w:r w:rsidR="00CA0EF6" w:rsidRPr="00CA0EF6">
        <w:rPr>
          <w:szCs w:val="22"/>
          <w:vertAlign w:val="superscript"/>
        </w:rPr>
        <w:footnoteReference w:id="31"/>
      </w:r>
      <w:r>
        <w:rPr>
          <w:szCs w:val="22"/>
        </w:rPr>
        <w:t xml:space="preserve"> T</w:t>
      </w:r>
      <w:r w:rsidR="00CA0EF6" w:rsidRPr="00CA0EF6">
        <w:rPr>
          <w:szCs w:val="22"/>
        </w:rPr>
        <w:t xml:space="preserve">he Center </w:t>
      </w:r>
      <w:r>
        <w:rPr>
          <w:szCs w:val="22"/>
        </w:rPr>
        <w:t>also continued its</w:t>
      </w:r>
      <w:r w:rsidR="00CA0EF6" w:rsidRPr="00CA0EF6">
        <w:rPr>
          <w:szCs w:val="22"/>
        </w:rPr>
        <w:t xml:space="preserve"> </w:t>
      </w:r>
      <w:r w:rsidR="00CA0EF6" w:rsidRPr="00CA0EF6">
        <w:rPr>
          <w:bCs/>
          <w:szCs w:val="22"/>
        </w:rPr>
        <w:t>WIPOD – Arbitration and Mediation Matters podcast program, featuring interviews with IP and ADR practitioners.</w:t>
      </w:r>
      <w:r w:rsidR="00CA0EF6" w:rsidRPr="00CA0EF6">
        <w:rPr>
          <w:bCs/>
          <w:szCs w:val="22"/>
          <w:vertAlign w:val="superscript"/>
        </w:rPr>
        <w:footnoteReference w:id="32"/>
      </w:r>
      <w:r w:rsidR="00CA0EF6" w:rsidRPr="00CA0EF6" w:rsidDel="00BA642A">
        <w:rPr>
          <w:szCs w:val="22"/>
        </w:rPr>
        <w:t xml:space="preserve"> </w:t>
      </w:r>
    </w:p>
    <w:p w14:paraId="18F5554E" w14:textId="77777777" w:rsidR="00CA0EF6" w:rsidRPr="00CA0EF6" w:rsidRDefault="00D1328F" w:rsidP="006E79F5">
      <w:pPr>
        <w:pStyle w:val="ListParagraph"/>
        <w:widowControl w:val="0"/>
        <w:numPr>
          <w:ilvl w:val="0"/>
          <w:numId w:val="7"/>
        </w:numPr>
        <w:spacing w:after="240"/>
        <w:ind w:left="0" w:firstLine="0"/>
        <w:contextualSpacing w:val="0"/>
        <w:rPr>
          <w:szCs w:val="22"/>
        </w:rPr>
      </w:pPr>
      <w:r>
        <w:rPr>
          <w:szCs w:val="22"/>
        </w:rPr>
        <w:t>The Center continued</w:t>
      </w:r>
      <w:r w:rsidR="00CA0EF6" w:rsidRPr="00CA0EF6">
        <w:rPr>
          <w:szCs w:val="22"/>
        </w:rPr>
        <w:t xml:space="preserve"> to organize and participate in events, including webinars and online </w:t>
      </w:r>
      <w:r>
        <w:rPr>
          <w:szCs w:val="22"/>
        </w:rPr>
        <w:t xml:space="preserve">WIPO </w:t>
      </w:r>
      <w:r w:rsidR="00CA0EF6" w:rsidRPr="00CA0EF6">
        <w:rPr>
          <w:szCs w:val="22"/>
        </w:rPr>
        <w:t xml:space="preserve">Mediation and Arbitration for IP Disputes Workshops, which </w:t>
      </w:r>
      <w:proofErr w:type="gramStart"/>
      <w:r w:rsidR="00CA0EF6" w:rsidRPr="00CA0EF6">
        <w:rPr>
          <w:szCs w:val="22"/>
        </w:rPr>
        <w:t>are made</w:t>
      </w:r>
      <w:proofErr w:type="gramEnd"/>
      <w:r w:rsidR="00CA0EF6" w:rsidRPr="00CA0EF6">
        <w:rPr>
          <w:szCs w:val="22"/>
        </w:rPr>
        <w:t xml:space="preserve"> available to stakeholders with content </w:t>
      </w:r>
      <w:r w:rsidR="00CA0EF6" w:rsidRPr="00D1328F">
        <w:rPr>
          <w:szCs w:val="22"/>
          <w:shd w:val="clear" w:color="auto" w:fill="FFFFFF" w:themeFill="background1"/>
        </w:rPr>
        <w:t>tailored to their area of interest in a range of languages.</w:t>
      </w:r>
      <w:r w:rsidR="00CA0EF6" w:rsidRPr="00D1328F">
        <w:rPr>
          <w:bCs/>
          <w:shd w:val="clear" w:color="auto" w:fill="FFFFFF" w:themeFill="background1"/>
          <w:vertAlign w:val="superscript"/>
        </w:rPr>
        <w:footnoteReference w:id="33"/>
      </w:r>
      <w:r w:rsidR="00E669F3">
        <w:rPr>
          <w:bCs/>
          <w:szCs w:val="22"/>
          <w:shd w:val="clear" w:color="auto" w:fill="FFFFFF" w:themeFill="background1"/>
          <w:vertAlign w:val="superscript"/>
        </w:rPr>
        <w:t xml:space="preserve"> </w:t>
      </w:r>
      <w:r w:rsidR="00E669F3">
        <w:rPr>
          <w:szCs w:val="22"/>
          <w:shd w:val="clear" w:color="auto" w:fill="FFFFFF" w:themeFill="background1"/>
        </w:rPr>
        <w:t>Focused t</w:t>
      </w:r>
      <w:r w:rsidR="007E66BC">
        <w:rPr>
          <w:szCs w:val="22"/>
          <w:shd w:val="clear" w:color="auto" w:fill="FFFFFF" w:themeFill="background1"/>
        </w:rPr>
        <w:t>opics included</w:t>
      </w:r>
      <w:r w:rsidR="00CA0EF6" w:rsidRPr="00D1328F">
        <w:rPr>
          <w:szCs w:val="22"/>
          <w:shd w:val="clear" w:color="auto" w:fill="FFFFFF" w:themeFill="background1"/>
        </w:rPr>
        <w:t xml:space="preserve"> digital copyright </w:t>
      </w:r>
      <w:r w:rsidR="00CA0EF6" w:rsidRPr="004473B4">
        <w:rPr>
          <w:szCs w:val="22"/>
        </w:rPr>
        <w:t xml:space="preserve">(including </w:t>
      </w:r>
      <w:r w:rsidR="004473B4" w:rsidRPr="004473B4">
        <w:rPr>
          <w:szCs w:val="22"/>
        </w:rPr>
        <w:t xml:space="preserve">eSports and video games, as well as </w:t>
      </w:r>
      <w:r w:rsidR="00CA0EF6" w:rsidRPr="004473B4">
        <w:rPr>
          <w:szCs w:val="22"/>
        </w:rPr>
        <w:t xml:space="preserve">NFTs and the </w:t>
      </w:r>
      <w:proofErr w:type="spellStart"/>
      <w:r w:rsidR="00CA0EF6" w:rsidRPr="004473B4">
        <w:rPr>
          <w:szCs w:val="22"/>
        </w:rPr>
        <w:t>Metaverse</w:t>
      </w:r>
      <w:proofErr w:type="spellEnd"/>
      <w:r w:rsidR="009B05CB" w:rsidRPr="004473B4">
        <w:rPr>
          <w:rStyle w:val="FootnoteReference"/>
          <w:szCs w:val="22"/>
        </w:rPr>
        <w:footnoteReference w:id="34"/>
      </w:r>
      <w:r w:rsidR="00CA0EF6" w:rsidRPr="004473B4">
        <w:rPr>
          <w:szCs w:val="22"/>
        </w:rPr>
        <w:t>), FRAND</w:t>
      </w:r>
      <w:r w:rsidR="00CA0EF6" w:rsidRPr="00D1328F">
        <w:rPr>
          <w:szCs w:val="22"/>
          <w:shd w:val="clear" w:color="auto" w:fill="FFFFFF" w:themeFill="background1"/>
        </w:rPr>
        <w:t xml:space="preserve"> d</w:t>
      </w:r>
      <w:r w:rsidR="007E66BC">
        <w:rPr>
          <w:szCs w:val="22"/>
          <w:shd w:val="clear" w:color="auto" w:fill="FFFFFF" w:themeFill="background1"/>
        </w:rPr>
        <w:t xml:space="preserve">isputes, life sciences, and R&amp;D; events also </w:t>
      </w:r>
      <w:r w:rsidR="00CA0EF6" w:rsidRPr="00D1328F">
        <w:rPr>
          <w:szCs w:val="22"/>
          <w:shd w:val="clear" w:color="auto" w:fill="FFFFFF" w:themeFill="background1"/>
        </w:rPr>
        <w:t>targeted specific audiences, such as SMEs, youth and women. Since</w:t>
      </w:r>
      <w:r w:rsidR="00CA0EF6" w:rsidRPr="00CA0EF6">
        <w:rPr>
          <w:szCs w:val="22"/>
        </w:rPr>
        <w:t xml:space="preserve"> the 2022 Assemblies, the Center has organized or participated in over 70 events, with more than 10,200 registrants from 159 countries.</w:t>
      </w:r>
    </w:p>
    <w:p w14:paraId="16D6567F" w14:textId="77777777" w:rsidR="00CA0EF6" w:rsidRPr="00CA0EF6" w:rsidRDefault="00CA0EF6" w:rsidP="006E79F5">
      <w:pPr>
        <w:pStyle w:val="ListParagraph"/>
        <w:widowControl w:val="0"/>
        <w:numPr>
          <w:ilvl w:val="0"/>
          <w:numId w:val="7"/>
        </w:numPr>
        <w:spacing w:after="240"/>
        <w:ind w:left="0" w:firstLine="0"/>
        <w:contextualSpacing w:val="0"/>
        <w:rPr>
          <w:szCs w:val="22"/>
        </w:rPr>
      </w:pPr>
      <w:r w:rsidRPr="00CA0EF6">
        <w:rPr>
          <w:szCs w:val="22"/>
        </w:rPr>
        <w:t>Under the WIPO Mediation Pledge for IP and Technology Disputes, signatories and collaborating entities agree to promote mediation as an alternative to court litigation in order to reduce the impact of disputes in innovation and creative processes. Participants now number over 880, including 37 Member State IPOs and ADR industry associations.</w:t>
      </w:r>
      <w:r w:rsidRPr="00CA0EF6">
        <w:rPr>
          <w:szCs w:val="22"/>
          <w:vertAlign w:val="superscript"/>
        </w:rPr>
        <w:footnoteReference w:id="35"/>
      </w:r>
    </w:p>
    <w:p w14:paraId="37C112B7" w14:textId="77777777" w:rsidR="008D6F26" w:rsidRPr="005B4F4B" w:rsidRDefault="008D6F26" w:rsidP="006E79F5">
      <w:pPr>
        <w:pStyle w:val="Heading2"/>
        <w:keepNext w:val="0"/>
        <w:widowControl w:val="0"/>
        <w:spacing w:after="220"/>
      </w:pPr>
      <w:r w:rsidRPr="005B4F4B">
        <w:t>II.</w:t>
      </w:r>
      <w:r w:rsidRPr="005B4F4B">
        <w:tab/>
        <w:t>DOMAIN NAME CASE ADMINISTRATION</w:t>
      </w:r>
    </w:p>
    <w:p w14:paraId="04F7C263" w14:textId="77777777" w:rsidR="008D6F26" w:rsidRPr="005B4F4B" w:rsidRDefault="008D6F26" w:rsidP="006E79F5">
      <w:pPr>
        <w:pStyle w:val="Heading3"/>
        <w:keepNext w:val="0"/>
        <w:widowControl w:val="0"/>
        <w:spacing w:after="220"/>
        <w:ind w:firstLine="567"/>
        <w:rPr>
          <w:u w:val="none"/>
        </w:rPr>
      </w:pPr>
      <w:r w:rsidRPr="005B4F4B">
        <w:rPr>
          <w:u w:val="none"/>
        </w:rPr>
        <w:t>A.</w:t>
      </w:r>
      <w:r w:rsidRPr="005B4F4B">
        <w:rPr>
          <w:u w:val="none"/>
        </w:rPr>
        <w:tab/>
        <w:t>UDRP</w:t>
      </w:r>
    </w:p>
    <w:p w14:paraId="2FE90384" w14:textId="77777777" w:rsidR="008D6F26" w:rsidRPr="00DC6AB0" w:rsidRDefault="008D6F26" w:rsidP="006E79F5">
      <w:pPr>
        <w:pStyle w:val="ListParagraph"/>
        <w:widowControl w:val="0"/>
        <w:numPr>
          <w:ilvl w:val="0"/>
          <w:numId w:val="7"/>
        </w:numPr>
        <w:spacing w:after="240"/>
        <w:ind w:left="0" w:firstLine="0"/>
        <w:contextualSpacing w:val="0"/>
        <w:rPr>
          <w:szCs w:val="22"/>
        </w:rPr>
      </w:pPr>
      <w:r w:rsidRPr="00DC6AB0">
        <w:rPr>
          <w:szCs w:val="22"/>
        </w:rPr>
        <w:t>The DNS raises challenges for the protection of IP, which, due to the global nature of the Internet, call for an international approach. WIPO has addressed these challenges since 1998 by developing solutions, notably in the First</w:t>
      </w:r>
      <w:r w:rsidRPr="00DC6AB0">
        <w:rPr>
          <w:szCs w:val="22"/>
          <w:vertAlign w:val="superscript"/>
        </w:rPr>
        <w:footnoteReference w:id="36"/>
      </w:r>
      <w:r w:rsidRPr="00DC6AB0">
        <w:rPr>
          <w:szCs w:val="22"/>
          <w:vertAlign w:val="superscript"/>
        </w:rPr>
        <w:t xml:space="preserve"> </w:t>
      </w:r>
      <w:r w:rsidRPr="00DC6AB0">
        <w:rPr>
          <w:szCs w:val="22"/>
        </w:rPr>
        <w:t>and Second</w:t>
      </w:r>
      <w:r w:rsidRPr="00DC6AB0">
        <w:rPr>
          <w:szCs w:val="22"/>
          <w:vertAlign w:val="superscript"/>
        </w:rPr>
        <w:footnoteReference w:id="37"/>
      </w:r>
      <w:r w:rsidRPr="00DC6AB0">
        <w:rPr>
          <w:szCs w:val="22"/>
          <w:vertAlign w:val="superscript"/>
        </w:rPr>
        <w:t xml:space="preserve"> </w:t>
      </w:r>
      <w:r w:rsidRPr="00DC6AB0">
        <w:rPr>
          <w:szCs w:val="22"/>
        </w:rPr>
        <w:t>WIPO Internet Domain Name Processes. Through the Center, WIPO provides trademark owners with efficient international mechanisms to deal with the bad</w:t>
      </w:r>
      <w:r w:rsidRPr="00DC6AB0">
        <w:rPr>
          <w:szCs w:val="22"/>
        </w:rPr>
        <w:noBreakHyphen/>
        <w:t xml:space="preserve">faith registration and use of domain names corresponding to their trademark rights. The main mechanism administered by the Center, the UDRP, was adopted by ICANN </w:t>
      </w:r>
      <w:proofErr w:type="gramStart"/>
      <w:r w:rsidRPr="00DC6AB0">
        <w:rPr>
          <w:szCs w:val="22"/>
        </w:rPr>
        <w:t>on the basis of</w:t>
      </w:r>
      <w:proofErr w:type="gramEnd"/>
      <w:r w:rsidRPr="00DC6AB0">
        <w:rPr>
          <w:szCs w:val="22"/>
        </w:rPr>
        <w:t xml:space="preserve"> recommendations made by WIPO in the First WIPO Process.</w:t>
      </w:r>
    </w:p>
    <w:p w14:paraId="1938B799" w14:textId="216AABCF" w:rsidR="008D6F26" w:rsidRPr="00DC6AB0" w:rsidRDefault="008D6F26" w:rsidP="006E79F5">
      <w:pPr>
        <w:pStyle w:val="ListParagraph"/>
        <w:widowControl w:val="0"/>
        <w:numPr>
          <w:ilvl w:val="0"/>
          <w:numId w:val="7"/>
        </w:numPr>
        <w:spacing w:after="240"/>
        <w:ind w:left="0" w:firstLine="0"/>
        <w:contextualSpacing w:val="0"/>
        <w:rPr>
          <w:szCs w:val="22"/>
        </w:rPr>
      </w:pPr>
      <w:r w:rsidRPr="00DC6AB0">
        <w:rPr>
          <w:szCs w:val="22"/>
        </w:rPr>
        <w:t>With a greater number of people s</w:t>
      </w:r>
      <w:r w:rsidR="0024100F" w:rsidRPr="00DC6AB0">
        <w:rPr>
          <w:szCs w:val="22"/>
        </w:rPr>
        <w:t xml:space="preserve">pending more time online during and following </w:t>
      </w:r>
      <w:r w:rsidRPr="00DC6AB0">
        <w:rPr>
          <w:szCs w:val="22"/>
        </w:rPr>
        <w:t xml:space="preserve">the </w:t>
      </w:r>
      <w:r w:rsidR="0024100F" w:rsidRPr="00DC6AB0">
        <w:rPr>
          <w:szCs w:val="22"/>
        </w:rPr>
        <w:t>COVID</w:t>
      </w:r>
      <w:r w:rsidR="003D0B07">
        <w:rPr>
          <w:szCs w:val="22"/>
        </w:rPr>
        <w:t>-19</w:t>
      </w:r>
      <w:r w:rsidR="0024100F" w:rsidRPr="00DC6AB0">
        <w:rPr>
          <w:szCs w:val="22"/>
        </w:rPr>
        <w:t xml:space="preserve"> </w:t>
      </w:r>
      <w:r w:rsidRPr="00DC6AB0">
        <w:rPr>
          <w:szCs w:val="22"/>
        </w:rPr>
        <w:t>pandemic, infringers have been finding an increasingly target-rich environment. Trademark owners stepped up their brand enforcement on the Internet as they further shift to providing their goods and services through online m</w:t>
      </w:r>
      <w:r w:rsidR="0024100F" w:rsidRPr="00DC6AB0">
        <w:rPr>
          <w:szCs w:val="22"/>
        </w:rPr>
        <w:t xml:space="preserve">eans. Limited in scope to </w:t>
      </w:r>
      <w:r w:rsidRPr="00DC6AB0">
        <w:rPr>
          <w:szCs w:val="22"/>
        </w:rPr>
        <w:t xml:space="preserve">cases of bad faith, the </w:t>
      </w:r>
      <w:r w:rsidR="00DB424C" w:rsidRPr="00DC6AB0">
        <w:rPr>
          <w:szCs w:val="22"/>
        </w:rPr>
        <w:t>UDRP has proved</w:t>
      </w:r>
      <w:r w:rsidRPr="00DC6AB0">
        <w:rPr>
          <w:szCs w:val="22"/>
        </w:rPr>
        <w:t xml:space="preserve"> in high</w:t>
      </w:r>
      <w:r w:rsidR="00DB424C" w:rsidRPr="00DC6AB0">
        <w:rPr>
          <w:szCs w:val="22"/>
        </w:rPr>
        <w:t>er</w:t>
      </w:r>
      <w:r w:rsidRPr="00DC6AB0">
        <w:rPr>
          <w:szCs w:val="22"/>
        </w:rPr>
        <w:t xml:space="preserve"> demand</w:t>
      </w:r>
      <w:r w:rsidR="00DB424C" w:rsidRPr="00DC6AB0">
        <w:rPr>
          <w:szCs w:val="22"/>
        </w:rPr>
        <w:t xml:space="preserve"> than ever before</w:t>
      </w:r>
      <w:r w:rsidRPr="00DC6AB0">
        <w:rPr>
          <w:szCs w:val="22"/>
        </w:rPr>
        <w:t>.</w:t>
      </w:r>
      <w:r w:rsidRPr="00DC6AB0">
        <w:rPr>
          <w:szCs w:val="22"/>
          <w:vertAlign w:val="superscript"/>
        </w:rPr>
        <w:footnoteReference w:id="38"/>
      </w:r>
      <w:r w:rsidRPr="00DC6AB0">
        <w:rPr>
          <w:szCs w:val="22"/>
        </w:rPr>
        <w:t xml:space="preserve"> Since </w:t>
      </w:r>
      <w:r w:rsidRPr="00DC6AB0">
        <w:rPr>
          <w:szCs w:val="22"/>
        </w:rPr>
        <w:lastRenderedPageBreak/>
        <w:t>December</w:t>
      </w:r>
      <w:r w:rsidR="005C2767">
        <w:t> </w:t>
      </w:r>
      <w:r w:rsidRPr="00DC6AB0">
        <w:rPr>
          <w:szCs w:val="22"/>
        </w:rPr>
        <w:t xml:space="preserve">1999, the Center </w:t>
      </w:r>
      <w:r w:rsidR="0024100F" w:rsidRPr="00DC6AB0">
        <w:rPr>
          <w:szCs w:val="22"/>
        </w:rPr>
        <w:t>has administered over 63</w:t>
      </w:r>
      <w:r w:rsidRPr="00DC6AB0">
        <w:rPr>
          <w:szCs w:val="22"/>
        </w:rPr>
        <w:t>,000 UDRP-based cases.</w:t>
      </w:r>
      <w:r w:rsidRPr="00DC6AB0">
        <w:rPr>
          <w:szCs w:val="22"/>
          <w:vertAlign w:val="superscript"/>
        </w:rPr>
        <w:footnoteReference w:id="39"/>
      </w:r>
      <w:r w:rsidRPr="00DC6AB0">
        <w:rPr>
          <w:szCs w:val="22"/>
        </w:rPr>
        <w:t xml:space="preserve"> Right holders </w:t>
      </w:r>
      <w:r w:rsidR="0024100F" w:rsidRPr="00DC6AB0">
        <w:rPr>
          <w:szCs w:val="22"/>
        </w:rPr>
        <w:t>in 2022</w:t>
      </w:r>
      <w:r w:rsidRPr="00DC6AB0">
        <w:rPr>
          <w:szCs w:val="22"/>
        </w:rPr>
        <w:t xml:space="preserve"> filed a r</w:t>
      </w:r>
      <w:r w:rsidR="0024100F" w:rsidRPr="00DC6AB0">
        <w:rPr>
          <w:szCs w:val="22"/>
        </w:rPr>
        <w:t>ecord 5,764</w:t>
      </w:r>
      <w:r w:rsidRPr="00DC6AB0">
        <w:rPr>
          <w:szCs w:val="22"/>
        </w:rPr>
        <w:t xml:space="preserve"> UDRP-based complaints with the Center, as businesses reacted to the proliferation of websites used for counterfeit sales, fraud, phishing, and other forms of online trad</w:t>
      </w:r>
      <w:r w:rsidR="0024100F" w:rsidRPr="00DC6AB0">
        <w:rPr>
          <w:szCs w:val="22"/>
        </w:rPr>
        <w:t>emark abuse. T</w:t>
      </w:r>
      <w:r w:rsidRPr="00DC6AB0">
        <w:rPr>
          <w:szCs w:val="22"/>
        </w:rPr>
        <w:t>he total number of domain names in WIPO UDR</w:t>
      </w:r>
      <w:r w:rsidR="0024100F" w:rsidRPr="00DC6AB0">
        <w:rPr>
          <w:szCs w:val="22"/>
        </w:rPr>
        <w:t>P-based cases passed 113</w:t>
      </w:r>
      <w:r w:rsidRPr="00DC6AB0">
        <w:rPr>
          <w:szCs w:val="22"/>
        </w:rPr>
        <w:t xml:space="preserve">,000. The scope of the risks for consumers </w:t>
      </w:r>
      <w:proofErr w:type="gramStart"/>
      <w:r w:rsidRPr="00DC6AB0">
        <w:rPr>
          <w:szCs w:val="22"/>
        </w:rPr>
        <w:t>can also be seen</w:t>
      </w:r>
      <w:proofErr w:type="gramEnd"/>
      <w:r w:rsidRPr="00DC6AB0">
        <w:rPr>
          <w:szCs w:val="22"/>
        </w:rPr>
        <w:t xml:space="preserve"> in the top sectors for complainant business activity, including Banking and Finance, Internet and Information Technology,</w:t>
      </w:r>
      <w:r w:rsidR="0024100F" w:rsidRPr="00DC6AB0">
        <w:rPr>
          <w:szCs w:val="22"/>
        </w:rPr>
        <w:t xml:space="preserve"> Retail,</w:t>
      </w:r>
      <w:r w:rsidRPr="00DC6AB0">
        <w:rPr>
          <w:szCs w:val="22"/>
        </w:rPr>
        <w:t xml:space="preserve"> </w:t>
      </w:r>
      <w:r w:rsidR="0024100F" w:rsidRPr="00DC6AB0">
        <w:rPr>
          <w:szCs w:val="22"/>
        </w:rPr>
        <w:t xml:space="preserve">Biotechnology and Pharmaceuticals, Fashion, Heavy Industry and Machinery, </w:t>
      </w:r>
      <w:r w:rsidRPr="00DC6AB0">
        <w:rPr>
          <w:szCs w:val="22"/>
        </w:rPr>
        <w:t>Food, Beverages and Restaurants</w:t>
      </w:r>
      <w:r w:rsidR="0024100F" w:rsidRPr="00DC6AB0">
        <w:rPr>
          <w:szCs w:val="22"/>
        </w:rPr>
        <w:t>, and Entertainment</w:t>
      </w:r>
      <w:r w:rsidRPr="00DC6AB0">
        <w:rPr>
          <w:szCs w:val="22"/>
        </w:rPr>
        <w:t xml:space="preserve">. </w:t>
      </w:r>
    </w:p>
    <w:p w14:paraId="2FE8177D" w14:textId="716A91F7" w:rsidR="008D6F26" w:rsidRPr="00DC6AB0" w:rsidRDefault="008D6F26" w:rsidP="006E79F5">
      <w:pPr>
        <w:pStyle w:val="ListParagraph"/>
        <w:widowControl w:val="0"/>
        <w:numPr>
          <w:ilvl w:val="0"/>
          <w:numId w:val="7"/>
        </w:numPr>
        <w:spacing w:after="240"/>
        <w:ind w:left="0" w:firstLine="0"/>
        <w:contextualSpacing w:val="0"/>
        <w:rPr>
          <w:szCs w:val="22"/>
        </w:rPr>
      </w:pPr>
      <w:r w:rsidRPr="008F3BF2">
        <w:rPr>
          <w:rFonts w:cs="Arial"/>
          <w:szCs w:val="24"/>
        </w:rPr>
        <w:t xml:space="preserve"> </w:t>
      </w:r>
      <w:r w:rsidRPr="00DC6AB0">
        <w:rPr>
          <w:szCs w:val="22"/>
        </w:rPr>
        <w:t>Cybersquatting – the abusive inclusion of a trademark in a domain name – is a global problem. Nam</w:t>
      </w:r>
      <w:r w:rsidR="007E6477" w:rsidRPr="00DC6AB0">
        <w:rPr>
          <w:szCs w:val="22"/>
        </w:rPr>
        <w:t>ed parties to WIPO cases in 2022</w:t>
      </w:r>
      <w:r w:rsidRPr="00DC6AB0">
        <w:rPr>
          <w:szCs w:val="22"/>
        </w:rPr>
        <w:t xml:space="preserve"> covered 1</w:t>
      </w:r>
      <w:r w:rsidR="00346E3C">
        <w:rPr>
          <w:szCs w:val="22"/>
        </w:rPr>
        <w:t xml:space="preserve">32 countries, for </w:t>
      </w:r>
      <w:proofErr w:type="gramStart"/>
      <w:r w:rsidR="00346E3C">
        <w:rPr>
          <w:szCs w:val="22"/>
        </w:rPr>
        <w:t>a total of 185</w:t>
      </w:r>
      <w:proofErr w:type="gramEnd"/>
      <w:r w:rsidRPr="00DC6AB0">
        <w:rPr>
          <w:szCs w:val="22"/>
        </w:rPr>
        <w:t xml:space="preserve"> since the UDRP</w:t>
      </w:r>
      <w:r w:rsidR="00312B51">
        <w:rPr>
          <w:szCs w:val="22"/>
        </w:rPr>
        <w:t>’</w:t>
      </w:r>
      <w:r w:rsidRPr="00DC6AB0">
        <w:rPr>
          <w:szCs w:val="22"/>
        </w:rPr>
        <w:t>s inception. In function of the language of the registration agreement of the domain name at issue, WIPO so far has conducted UDRP proceedings in 23 languages.</w:t>
      </w:r>
      <w:r w:rsidRPr="00DC6AB0">
        <w:rPr>
          <w:szCs w:val="22"/>
          <w:vertAlign w:val="superscript"/>
        </w:rPr>
        <w:footnoteReference w:id="40"/>
      </w:r>
    </w:p>
    <w:p w14:paraId="75D9E502" w14:textId="44566438" w:rsidR="008D6F26" w:rsidRPr="00DC6AB0" w:rsidRDefault="008D6F26" w:rsidP="006E79F5">
      <w:pPr>
        <w:pStyle w:val="ListParagraph"/>
        <w:widowControl w:val="0"/>
        <w:numPr>
          <w:ilvl w:val="0"/>
          <w:numId w:val="7"/>
        </w:numPr>
        <w:spacing w:after="240"/>
        <w:ind w:left="0" w:firstLine="0"/>
        <w:contextualSpacing w:val="0"/>
        <w:rPr>
          <w:szCs w:val="22"/>
        </w:rPr>
      </w:pPr>
      <w:r w:rsidRPr="00DC6AB0">
        <w:rPr>
          <w:szCs w:val="22"/>
        </w:rPr>
        <w:t xml:space="preserve">All WIPO UDRP panel decisions </w:t>
      </w:r>
      <w:proofErr w:type="gramStart"/>
      <w:r w:rsidRPr="00DC6AB0">
        <w:rPr>
          <w:szCs w:val="22"/>
        </w:rPr>
        <w:t>are posted</w:t>
      </w:r>
      <w:proofErr w:type="gramEnd"/>
      <w:r w:rsidRPr="00DC6AB0">
        <w:rPr>
          <w:szCs w:val="22"/>
        </w:rPr>
        <w:t xml:space="preserve"> on the Center</w:t>
      </w:r>
      <w:r w:rsidR="00312B51">
        <w:rPr>
          <w:szCs w:val="22"/>
        </w:rPr>
        <w:t>’</w:t>
      </w:r>
      <w:r w:rsidRPr="00DC6AB0">
        <w:rPr>
          <w:szCs w:val="22"/>
        </w:rPr>
        <w:t>s website. The Center</w:t>
      </w:r>
      <w:r w:rsidR="00312B51">
        <w:rPr>
          <w:szCs w:val="22"/>
        </w:rPr>
        <w:t>’</w:t>
      </w:r>
      <w:r w:rsidRPr="00DC6AB0">
        <w:rPr>
          <w:szCs w:val="22"/>
        </w:rPr>
        <w:t>s free, online WIPO Overview of WIPO Panel Views on Selected UDRP Questions remains a vital and globally-consulted jurisprudential overview of decision trends on important case issues covering 100 topics, including reference to almost 1,000 representative decisions from over 265 WIPO Panelists.</w:t>
      </w:r>
      <w:r w:rsidRPr="00DC6AB0">
        <w:rPr>
          <w:szCs w:val="22"/>
          <w:vertAlign w:val="superscript"/>
        </w:rPr>
        <w:footnoteReference w:id="41"/>
      </w:r>
      <w:r w:rsidRPr="00DC6AB0">
        <w:rPr>
          <w:szCs w:val="22"/>
          <w:vertAlign w:val="superscript"/>
        </w:rPr>
        <w:t xml:space="preserve"> </w:t>
      </w:r>
      <w:r w:rsidRPr="00DC6AB0">
        <w:rPr>
          <w:szCs w:val="22"/>
        </w:rPr>
        <w:t>To facilitate access to decisions according to subject matter, the Center also offers an online searchable Legal Index of WIPO UDRP Decisions.</w:t>
      </w:r>
      <w:r w:rsidRPr="00DC6AB0">
        <w:rPr>
          <w:szCs w:val="22"/>
          <w:vertAlign w:val="superscript"/>
        </w:rPr>
        <w:footnoteReference w:id="42"/>
      </w:r>
      <w:r w:rsidRPr="00DC6AB0">
        <w:rPr>
          <w:szCs w:val="22"/>
          <w:vertAlign w:val="superscript"/>
        </w:rPr>
        <w:t xml:space="preserve"> </w:t>
      </w:r>
    </w:p>
    <w:p w14:paraId="43336C52" w14:textId="2DD5EE00" w:rsidR="008D6F26" w:rsidRPr="00DC6AB0" w:rsidRDefault="008D6F26" w:rsidP="006E79F5">
      <w:pPr>
        <w:pStyle w:val="ListParagraph"/>
        <w:widowControl w:val="0"/>
        <w:numPr>
          <w:ilvl w:val="0"/>
          <w:numId w:val="7"/>
        </w:numPr>
        <w:spacing w:after="240"/>
        <w:ind w:left="0" w:firstLine="0"/>
        <w:contextualSpacing w:val="0"/>
        <w:rPr>
          <w:szCs w:val="22"/>
        </w:rPr>
      </w:pPr>
      <w:r w:rsidRPr="00DC6AB0">
        <w:rPr>
          <w:szCs w:val="22"/>
        </w:rPr>
        <w:t>Mindful of WIPO</w:t>
      </w:r>
      <w:r w:rsidR="00312B51">
        <w:rPr>
          <w:szCs w:val="22"/>
        </w:rPr>
        <w:t>’</w:t>
      </w:r>
      <w:r w:rsidRPr="00DC6AB0">
        <w:rPr>
          <w:szCs w:val="22"/>
        </w:rPr>
        <w:t>s foundational role in the UDRP, the Center actively monitors developments in the DNS with a view to adjusting its resources and practices.</w:t>
      </w:r>
      <w:r w:rsidRPr="00DC6AB0">
        <w:rPr>
          <w:szCs w:val="22"/>
          <w:vertAlign w:val="superscript"/>
        </w:rPr>
        <w:footnoteReference w:id="43"/>
      </w:r>
      <w:r w:rsidRPr="00DC6AB0">
        <w:rPr>
          <w:szCs w:val="22"/>
        </w:rPr>
        <w:t xml:space="preserve"> The Center organizes Domain Name Dispute Resolution Workshops to update interested parties,</w:t>
      </w:r>
      <w:r w:rsidRPr="00DC6AB0">
        <w:rPr>
          <w:szCs w:val="22"/>
          <w:vertAlign w:val="superscript"/>
        </w:rPr>
        <w:footnoteReference w:id="44"/>
      </w:r>
      <w:r w:rsidRPr="00DC6AB0">
        <w:rPr>
          <w:szCs w:val="22"/>
          <w:vertAlign w:val="superscript"/>
        </w:rPr>
        <w:t xml:space="preserve"> </w:t>
      </w:r>
      <w:r w:rsidRPr="00DC6AB0">
        <w:rPr>
          <w:szCs w:val="22"/>
        </w:rPr>
        <w:t>as well as important meetings of its Domain Name Panelists.</w:t>
      </w:r>
    </w:p>
    <w:p w14:paraId="26CF6387" w14:textId="77777777" w:rsidR="008D6F26" w:rsidRPr="005B4F4B" w:rsidRDefault="008D6F26" w:rsidP="006E79F5">
      <w:pPr>
        <w:pStyle w:val="Heading3"/>
        <w:spacing w:after="240"/>
        <w:ind w:firstLine="562"/>
        <w:rPr>
          <w:u w:val="none"/>
        </w:rPr>
      </w:pPr>
      <w:r w:rsidRPr="005B4F4B">
        <w:rPr>
          <w:u w:val="none"/>
        </w:rPr>
        <w:t>B.</w:t>
      </w:r>
      <w:r w:rsidRPr="005B4F4B">
        <w:rPr>
          <w:u w:val="none"/>
        </w:rPr>
        <w:tab/>
        <w:t>COUNTRY CODE TOP</w:t>
      </w:r>
      <w:r w:rsidRPr="005B4F4B">
        <w:rPr>
          <w:u w:val="none"/>
        </w:rPr>
        <w:noBreakHyphen/>
        <w:t>LEVEL DOMAINS (CCTLDS)</w:t>
      </w:r>
    </w:p>
    <w:p w14:paraId="7D29EE6F" w14:textId="0DA4638B" w:rsidR="008D6F26" w:rsidRPr="00466D12" w:rsidRDefault="008D6F26" w:rsidP="009D6D80">
      <w:pPr>
        <w:pStyle w:val="ListParagraph"/>
        <w:widowControl w:val="0"/>
        <w:numPr>
          <w:ilvl w:val="0"/>
          <w:numId w:val="7"/>
        </w:numPr>
        <w:spacing w:after="240"/>
        <w:ind w:left="0" w:firstLine="0"/>
        <w:contextualSpacing w:val="0"/>
        <w:rPr>
          <w:szCs w:val="22"/>
        </w:rPr>
      </w:pPr>
      <w:r w:rsidRPr="00466D12">
        <w:rPr>
          <w:szCs w:val="22"/>
        </w:rPr>
        <w:t xml:space="preserve">While the mandatory application of the UDRP is limited to domain names registered in </w:t>
      </w:r>
      <w:proofErr w:type="spellStart"/>
      <w:r w:rsidRPr="00466D12">
        <w:rPr>
          <w:szCs w:val="22"/>
        </w:rPr>
        <w:t>gTLDs</w:t>
      </w:r>
      <w:proofErr w:type="spellEnd"/>
      <w:r w:rsidRPr="00466D12">
        <w:rPr>
          <w:szCs w:val="22"/>
        </w:rPr>
        <w:t xml:space="preserve"> (such as .com), the Center also assists </w:t>
      </w:r>
      <w:proofErr w:type="spellStart"/>
      <w:r w:rsidRPr="00466D12">
        <w:rPr>
          <w:szCs w:val="22"/>
        </w:rPr>
        <w:t>ccTLD</w:t>
      </w:r>
      <w:proofErr w:type="spellEnd"/>
      <w:r w:rsidRPr="00466D12">
        <w:rPr>
          <w:szCs w:val="22"/>
        </w:rPr>
        <w:t xml:space="preserve"> registries in their establishment of registration conditions and dispute resolution procedures that conform </w:t>
      </w:r>
      <w:proofErr w:type="gramStart"/>
      <w:r w:rsidRPr="00466D12">
        <w:rPr>
          <w:szCs w:val="22"/>
        </w:rPr>
        <w:t>with</w:t>
      </w:r>
      <w:proofErr w:type="gramEnd"/>
      <w:r w:rsidRPr="00466D12">
        <w:rPr>
          <w:szCs w:val="22"/>
        </w:rPr>
        <w:t xml:space="preserve"> best practices in registry management and IP protection.</w:t>
      </w:r>
      <w:r w:rsidRPr="00DC6AB0">
        <w:rPr>
          <w:szCs w:val="22"/>
          <w:vertAlign w:val="superscript"/>
        </w:rPr>
        <w:footnoteReference w:id="45"/>
      </w:r>
      <w:r w:rsidRPr="00466D12">
        <w:rPr>
          <w:szCs w:val="22"/>
        </w:rPr>
        <w:t xml:space="preserve"> Some </w:t>
      </w:r>
      <w:proofErr w:type="spellStart"/>
      <w:r w:rsidRPr="00466D12">
        <w:rPr>
          <w:szCs w:val="22"/>
        </w:rPr>
        <w:t>ccTLD</w:t>
      </w:r>
      <w:proofErr w:type="spellEnd"/>
      <w:r w:rsidRPr="00466D12">
        <w:rPr>
          <w:szCs w:val="22"/>
        </w:rPr>
        <w:t xml:space="preserve"> registries adopt the UDRP directly, while others have adopted UDRP-based procedures that take account of particular circumstances</w:t>
      </w:r>
      <w:r w:rsidR="00466D12">
        <w:rPr>
          <w:szCs w:val="22"/>
        </w:rPr>
        <w:t xml:space="preserve"> </w:t>
      </w:r>
      <w:r w:rsidRPr="00466D12">
        <w:rPr>
          <w:szCs w:val="22"/>
        </w:rPr>
        <w:t xml:space="preserve">and needs of individual </w:t>
      </w:r>
      <w:proofErr w:type="spellStart"/>
      <w:r w:rsidRPr="00466D12">
        <w:rPr>
          <w:szCs w:val="22"/>
        </w:rPr>
        <w:t>ccTLDs</w:t>
      </w:r>
      <w:proofErr w:type="spellEnd"/>
      <w:r w:rsidRPr="00466D12">
        <w:rPr>
          <w:szCs w:val="22"/>
        </w:rPr>
        <w:t xml:space="preserve">. The Center provides dispute resolution services to over 80 </w:t>
      </w:r>
      <w:proofErr w:type="spellStart"/>
      <w:r w:rsidRPr="00466D12">
        <w:rPr>
          <w:szCs w:val="22"/>
        </w:rPr>
        <w:t>ccTLD</w:t>
      </w:r>
      <w:proofErr w:type="spellEnd"/>
      <w:r w:rsidRPr="00466D12">
        <w:rPr>
          <w:szCs w:val="22"/>
        </w:rPr>
        <w:t xml:space="preserve"> registries,</w:t>
      </w:r>
      <w:r w:rsidR="007E6477" w:rsidRPr="00466D12">
        <w:rPr>
          <w:szCs w:val="22"/>
        </w:rPr>
        <w:t xml:space="preserve"> most recently having added </w:t>
      </w:r>
      <w:r w:rsidR="00F94369" w:rsidRPr="00466D12">
        <w:rPr>
          <w:szCs w:val="22"/>
        </w:rPr>
        <w:t xml:space="preserve">the </w:t>
      </w:r>
      <w:r w:rsidRPr="00466D12">
        <w:rPr>
          <w:szCs w:val="22"/>
        </w:rPr>
        <w:t xml:space="preserve">.BH and </w:t>
      </w:r>
      <w:r w:rsidRPr="00466D12">
        <w:rPr>
          <w:rFonts w:cs="Arial"/>
          <w:szCs w:val="22"/>
          <w:rtl/>
        </w:rPr>
        <w:t>البحرين</w:t>
      </w:r>
      <w:r w:rsidRPr="00466D12">
        <w:rPr>
          <w:szCs w:val="22"/>
        </w:rPr>
        <w:t>. (Bahrain) and .SN (Senegal) domains</w:t>
      </w:r>
      <w:r w:rsidR="007E6477" w:rsidRPr="00466D12">
        <w:rPr>
          <w:szCs w:val="22"/>
        </w:rPr>
        <w:t>.</w:t>
      </w:r>
      <w:r w:rsidRPr="00DC6AB0">
        <w:rPr>
          <w:szCs w:val="22"/>
          <w:vertAlign w:val="superscript"/>
        </w:rPr>
        <w:footnoteReference w:id="46"/>
      </w:r>
      <w:r w:rsidRPr="00466D12">
        <w:rPr>
          <w:szCs w:val="22"/>
        </w:rPr>
        <w:t xml:space="preserve">  </w:t>
      </w:r>
    </w:p>
    <w:p w14:paraId="4CAD0199" w14:textId="3E4737E1" w:rsidR="008D6F26" w:rsidRPr="005B4F4B" w:rsidRDefault="008D6F26" w:rsidP="006E79F5">
      <w:pPr>
        <w:pStyle w:val="ListParagraph"/>
        <w:numPr>
          <w:ilvl w:val="0"/>
          <w:numId w:val="7"/>
        </w:numPr>
        <w:spacing w:after="240"/>
        <w:ind w:left="0" w:firstLine="0"/>
        <w:contextualSpacing w:val="0"/>
        <w:rPr>
          <w:rFonts w:cs="Arial"/>
        </w:rPr>
      </w:pPr>
      <w:r w:rsidRPr="005B4F4B">
        <w:rPr>
          <w:rFonts w:cs="Arial"/>
        </w:rPr>
        <w:lastRenderedPageBreak/>
        <w:t xml:space="preserve">For all </w:t>
      </w:r>
      <w:proofErr w:type="spellStart"/>
      <w:r w:rsidRPr="005B4F4B">
        <w:rPr>
          <w:rFonts w:cs="Arial"/>
        </w:rPr>
        <w:t>ccTLDs</w:t>
      </w:r>
      <w:proofErr w:type="spellEnd"/>
      <w:r w:rsidRPr="005B4F4B">
        <w:rPr>
          <w:rFonts w:cs="Arial"/>
        </w:rPr>
        <w:t xml:space="preserve"> concerned, the Center offers significantly expanded online party resources, including eligibility criteria for registration, supported characters, and multilingual model pleadings and filing information,</w:t>
      </w:r>
      <w:r w:rsidRPr="005B4F4B">
        <w:rPr>
          <w:rStyle w:val="FootnoteReference"/>
          <w:rFonts w:cs="Arial"/>
        </w:rPr>
        <w:footnoteReference w:id="47"/>
      </w:r>
      <w:r w:rsidRPr="005B4F4B">
        <w:rPr>
          <w:rFonts w:cs="Arial"/>
        </w:rPr>
        <w:t xml:space="preserve"> as well as summaries of relevant differences between the respective UDRP-based </w:t>
      </w:r>
      <w:proofErr w:type="spellStart"/>
      <w:r w:rsidRPr="005B4F4B">
        <w:rPr>
          <w:rFonts w:cs="Arial"/>
        </w:rPr>
        <w:t>ccTLD</w:t>
      </w:r>
      <w:proofErr w:type="spellEnd"/>
      <w:r w:rsidRPr="005B4F4B">
        <w:rPr>
          <w:rFonts w:cs="Arial"/>
        </w:rPr>
        <w:t xml:space="preserve"> policies and the UDRP.</w:t>
      </w:r>
      <w:r w:rsidRPr="005B4F4B">
        <w:rPr>
          <w:rStyle w:val="FootnoteReference"/>
          <w:rFonts w:cs="Arial"/>
        </w:rPr>
        <w:footnoteReference w:id="48"/>
      </w:r>
      <w:r w:rsidRPr="005B4F4B">
        <w:rPr>
          <w:rFonts w:cs="Arial"/>
        </w:rPr>
        <w:t xml:space="preserve"> </w:t>
      </w:r>
      <w:r w:rsidRPr="005B4F4B">
        <w:rPr>
          <w:rFonts w:cs="Arial"/>
          <w:shd w:val="clear" w:color="auto" w:fill="FFFFFF" w:themeFill="background1"/>
        </w:rPr>
        <w:t xml:space="preserve">This information </w:t>
      </w:r>
      <w:proofErr w:type="gramStart"/>
      <w:r w:rsidRPr="005B4F4B">
        <w:rPr>
          <w:rFonts w:cs="Arial"/>
          <w:shd w:val="clear" w:color="auto" w:fill="FFFFFF" w:themeFill="background1"/>
        </w:rPr>
        <w:t>is summarized</w:t>
      </w:r>
      <w:proofErr w:type="gramEnd"/>
      <w:r w:rsidRPr="005B4F4B">
        <w:rPr>
          <w:rFonts w:cs="Arial"/>
          <w:shd w:val="clear" w:color="auto" w:fill="FFFFFF" w:themeFill="background1"/>
        </w:rPr>
        <w:t xml:space="preserve"> in the Guide to WIPO</w:t>
      </w:r>
      <w:r w:rsidR="00312B51">
        <w:rPr>
          <w:rFonts w:cs="Arial"/>
          <w:shd w:val="clear" w:color="auto" w:fill="FFFFFF" w:themeFill="background1"/>
        </w:rPr>
        <w:t>’</w:t>
      </w:r>
      <w:r w:rsidRPr="005B4F4B">
        <w:rPr>
          <w:rFonts w:cs="Arial"/>
          <w:shd w:val="clear" w:color="auto" w:fill="FFFFFF" w:themeFill="background1"/>
        </w:rPr>
        <w:t>s services for country code top-level domain registries.</w:t>
      </w:r>
      <w:r w:rsidRPr="005B4F4B">
        <w:rPr>
          <w:rStyle w:val="FootnoteReference"/>
          <w:rFonts w:cs="Arial"/>
          <w:shd w:val="clear" w:color="auto" w:fill="FFFFFF" w:themeFill="background1"/>
        </w:rPr>
        <w:footnoteReference w:id="49"/>
      </w:r>
    </w:p>
    <w:p w14:paraId="24232C5E" w14:textId="77777777" w:rsidR="008D6F26" w:rsidRPr="005B4F4B" w:rsidRDefault="008D6F26" w:rsidP="006E79F5">
      <w:pPr>
        <w:pStyle w:val="Heading2"/>
      </w:pPr>
      <w:r w:rsidRPr="005B4F4B">
        <w:t>III.</w:t>
      </w:r>
      <w:r w:rsidRPr="005B4F4B">
        <w:tab/>
        <w:t xml:space="preserve">POLICY DEVELOPMENTS IN THE DNS </w:t>
      </w:r>
    </w:p>
    <w:p w14:paraId="7469C732" w14:textId="5DDF56BB" w:rsidR="008D6F26" w:rsidRPr="005B4F4B" w:rsidRDefault="008D6F26" w:rsidP="006E79F5">
      <w:pPr>
        <w:pStyle w:val="ListParagraph"/>
        <w:widowControl w:val="0"/>
        <w:numPr>
          <w:ilvl w:val="0"/>
          <w:numId w:val="7"/>
        </w:numPr>
        <w:spacing w:before="240" w:after="240"/>
        <w:ind w:left="0" w:firstLine="0"/>
        <w:contextualSpacing w:val="0"/>
        <w:rPr>
          <w:rFonts w:cs="Arial"/>
        </w:rPr>
      </w:pPr>
      <w:r w:rsidRPr="005B4F4B">
        <w:rPr>
          <w:rFonts w:cs="Arial"/>
        </w:rPr>
        <w:t>A number of policy developments in relation to ICANN present both opportunities and challenges for owners and users of IP rights. One is ICANN</w:t>
      </w:r>
      <w:r w:rsidR="00312B51">
        <w:rPr>
          <w:rFonts w:cs="Arial"/>
        </w:rPr>
        <w:t>’</w:t>
      </w:r>
      <w:r w:rsidRPr="005B4F4B">
        <w:rPr>
          <w:rFonts w:cs="Arial"/>
        </w:rPr>
        <w:t>s introduction of a significant number of new </w:t>
      </w:r>
      <w:proofErr w:type="spellStart"/>
      <w:r w:rsidRPr="005B4F4B">
        <w:rPr>
          <w:rFonts w:cs="Arial"/>
        </w:rPr>
        <w:t>gTLDs</w:t>
      </w:r>
      <w:proofErr w:type="spellEnd"/>
      <w:r w:rsidRPr="005B4F4B">
        <w:rPr>
          <w:rFonts w:cs="Arial"/>
        </w:rPr>
        <w:t xml:space="preserve">. Such new </w:t>
      </w:r>
      <w:proofErr w:type="spellStart"/>
      <w:r w:rsidRPr="005B4F4B">
        <w:rPr>
          <w:rFonts w:cs="Arial"/>
        </w:rPr>
        <w:t>gTLDs</w:t>
      </w:r>
      <w:proofErr w:type="spellEnd"/>
      <w:r w:rsidRPr="005B4F4B">
        <w:rPr>
          <w:rFonts w:cs="Arial"/>
        </w:rPr>
        <w:t xml:space="preserve"> may be of an </w:t>
      </w:r>
      <w:r w:rsidR="00312B51">
        <w:rPr>
          <w:rFonts w:cs="Arial"/>
        </w:rPr>
        <w:t>“</w:t>
      </w:r>
      <w:r w:rsidRPr="005B4F4B">
        <w:rPr>
          <w:rFonts w:cs="Arial"/>
        </w:rPr>
        <w:t>open</w:t>
      </w:r>
      <w:r w:rsidR="00312B51">
        <w:rPr>
          <w:rFonts w:cs="Arial"/>
        </w:rPr>
        <w:t>”</w:t>
      </w:r>
      <w:r w:rsidRPr="005B4F4B">
        <w:rPr>
          <w:rFonts w:cs="Arial"/>
        </w:rPr>
        <w:t xml:space="preserve"> nature (similar to .com), or may take on more specific or restrictive characteristics, for example taking the form of .[brand], .[city], .[community], .[culture], .[industry], or .[language]. A noteworthy element of this growth of the DNS concerns Internationalized Domain Names (IDNs) at the top level – expanding the DNS</w:t>
      </w:r>
      <w:r w:rsidR="00312B51">
        <w:rPr>
          <w:rFonts w:cs="Arial"/>
        </w:rPr>
        <w:t>’</w:t>
      </w:r>
      <w:r w:rsidRPr="005B4F4B">
        <w:rPr>
          <w:rFonts w:cs="Arial"/>
        </w:rPr>
        <w:t xml:space="preserve"> linguistic availability. </w:t>
      </w:r>
      <w:proofErr w:type="gramStart"/>
      <w:r w:rsidRPr="005B4F4B">
        <w:rPr>
          <w:rFonts w:cs="Arial"/>
        </w:rPr>
        <w:t>Also</w:t>
      </w:r>
      <w:proofErr w:type="gramEnd"/>
      <w:r w:rsidRPr="005B4F4B">
        <w:rPr>
          <w:rFonts w:cs="Arial"/>
        </w:rPr>
        <w:t>, ICANN</w:t>
      </w:r>
      <w:r w:rsidR="00312B51">
        <w:rPr>
          <w:rFonts w:cs="Arial"/>
        </w:rPr>
        <w:t>’</w:t>
      </w:r>
      <w:r w:rsidRPr="005B4F4B">
        <w:rPr>
          <w:rFonts w:cs="Arial"/>
        </w:rPr>
        <w:t>s expansion of the DNS raises rights protection questions in connection with the Second WIPO Process.</w:t>
      </w:r>
    </w:p>
    <w:p w14:paraId="190BBA15" w14:textId="77777777" w:rsidR="008D6F26" w:rsidRPr="005B4F4B" w:rsidRDefault="008D6F26" w:rsidP="006E79F5">
      <w:pPr>
        <w:pStyle w:val="Heading3"/>
        <w:ind w:firstLine="567"/>
        <w:rPr>
          <w:u w:val="none"/>
        </w:rPr>
      </w:pPr>
      <w:r w:rsidRPr="005B4F4B">
        <w:rPr>
          <w:u w:val="none"/>
        </w:rPr>
        <w:t>A.</w:t>
      </w:r>
      <w:r w:rsidRPr="005B4F4B">
        <w:rPr>
          <w:u w:val="none"/>
        </w:rPr>
        <w:tab/>
        <w:t>NEW GTLDS</w:t>
      </w:r>
    </w:p>
    <w:p w14:paraId="71EE8746" w14:textId="3642DA1D" w:rsidR="008D6F26" w:rsidRPr="005B4F4B" w:rsidRDefault="008D6F26" w:rsidP="006E79F5">
      <w:pPr>
        <w:pStyle w:val="ListParagraph"/>
        <w:numPr>
          <w:ilvl w:val="0"/>
          <w:numId w:val="7"/>
        </w:numPr>
        <w:spacing w:before="240" w:after="240"/>
        <w:ind w:left="0" w:firstLine="0"/>
        <w:contextualSpacing w:val="0"/>
        <w:rPr>
          <w:rFonts w:cs="Arial"/>
          <w:szCs w:val="22"/>
        </w:rPr>
      </w:pPr>
      <w:r w:rsidRPr="005B4F4B">
        <w:rPr>
          <w:rFonts w:cs="Arial"/>
          <w:szCs w:val="22"/>
        </w:rPr>
        <w:t>ICANN</w:t>
      </w:r>
      <w:r w:rsidR="00312B51">
        <w:rPr>
          <w:rFonts w:cs="Arial"/>
          <w:szCs w:val="22"/>
        </w:rPr>
        <w:t>’</w:t>
      </w:r>
      <w:r w:rsidR="00051A7D">
        <w:rPr>
          <w:rFonts w:cs="Arial"/>
          <w:szCs w:val="22"/>
        </w:rPr>
        <w:t>s</w:t>
      </w:r>
      <w:r w:rsidRPr="005B4F4B">
        <w:rPr>
          <w:rFonts w:cs="Arial"/>
          <w:szCs w:val="22"/>
        </w:rPr>
        <w:t xml:space="preserve"> implementation of its </w:t>
      </w:r>
      <w:proofErr w:type="gramStart"/>
      <w:r w:rsidRPr="005B4F4B">
        <w:rPr>
          <w:rFonts w:cs="Arial"/>
          <w:szCs w:val="22"/>
        </w:rPr>
        <w:t>New</w:t>
      </w:r>
      <w:proofErr w:type="gramEnd"/>
      <w:r w:rsidRPr="005B4F4B">
        <w:rPr>
          <w:rFonts w:cs="Arial"/>
          <w:szCs w:val="22"/>
        </w:rPr>
        <w:t xml:space="preserve"> </w:t>
      </w:r>
      <w:proofErr w:type="spellStart"/>
      <w:r w:rsidRPr="005B4F4B">
        <w:rPr>
          <w:rFonts w:cs="Arial"/>
          <w:szCs w:val="22"/>
        </w:rPr>
        <w:t>gTLD</w:t>
      </w:r>
      <w:proofErr w:type="spellEnd"/>
      <w:r w:rsidRPr="005B4F4B">
        <w:rPr>
          <w:rFonts w:cs="Arial"/>
          <w:szCs w:val="22"/>
        </w:rPr>
        <w:t xml:space="preserve"> Program, </w:t>
      </w:r>
      <w:r w:rsidR="00B42FCC">
        <w:rPr>
          <w:rFonts w:cs="Arial"/>
          <w:szCs w:val="22"/>
        </w:rPr>
        <w:t xml:space="preserve">first </w:t>
      </w:r>
      <w:r w:rsidRPr="005B4F4B">
        <w:rPr>
          <w:rFonts w:cs="Arial"/>
          <w:szCs w:val="22"/>
        </w:rPr>
        <w:t>approved in June 2011,</w:t>
      </w:r>
      <w:r w:rsidRPr="005B4F4B">
        <w:rPr>
          <w:rStyle w:val="FootnoteReference"/>
          <w:rFonts w:eastAsia="SimSun" w:cs="Arial"/>
          <w:szCs w:val="22"/>
        </w:rPr>
        <w:footnoteReference w:id="50"/>
      </w:r>
      <w:r w:rsidRPr="005B4F4B">
        <w:rPr>
          <w:rFonts w:cs="Arial"/>
          <w:szCs w:val="22"/>
        </w:rPr>
        <w:t xml:space="preserve"> is detailed</w:t>
      </w:r>
      <w:r>
        <w:rPr>
          <w:rFonts w:cs="Arial"/>
          <w:szCs w:val="22"/>
        </w:rPr>
        <w:t xml:space="preserve"> in its much-revised Applicant Guidebook</w:t>
      </w:r>
      <w:r w:rsidRPr="005B4F4B">
        <w:rPr>
          <w:rFonts w:cs="Arial"/>
          <w:szCs w:val="22"/>
        </w:rPr>
        <w:t>.</w:t>
      </w:r>
      <w:r w:rsidRPr="005B4F4B">
        <w:rPr>
          <w:rFonts w:cs="Arial"/>
          <w:vertAlign w:val="superscript"/>
        </w:rPr>
        <w:footnoteReference w:id="51"/>
      </w:r>
      <w:r w:rsidRPr="005B4F4B">
        <w:rPr>
          <w:rFonts w:cs="Arial"/>
          <w:szCs w:val="22"/>
        </w:rPr>
        <w:t xml:space="preserve"> Delegation of the first new </w:t>
      </w:r>
      <w:proofErr w:type="spellStart"/>
      <w:r w:rsidRPr="005B4F4B">
        <w:rPr>
          <w:rFonts w:cs="Arial"/>
          <w:szCs w:val="22"/>
        </w:rPr>
        <w:t>gTLDs</w:t>
      </w:r>
      <w:proofErr w:type="spellEnd"/>
      <w:r w:rsidRPr="005B4F4B">
        <w:rPr>
          <w:rFonts w:cs="Arial"/>
          <w:szCs w:val="22"/>
        </w:rPr>
        <w:t xml:space="preserve"> into the Internet</w:t>
      </w:r>
      <w:r w:rsidR="00312B51">
        <w:rPr>
          <w:rFonts w:cs="Arial"/>
          <w:szCs w:val="22"/>
        </w:rPr>
        <w:t>’</w:t>
      </w:r>
      <w:r w:rsidRPr="005B4F4B">
        <w:rPr>
          <w:rFonts w:cs="Arial"/>
          <w:szCs w:val="22"/>
        </w:rPr>
        <w:t xml:space="preserve">s Root Zone took place in October 2013, </w:t>
      </w:r>
      <w:r w:rsidRPr="005B4F4B">
        <w:rPr>
          <w:rFonts w:cs="Arial"/>
          <w:szCs w:val="22"/>
          <w:shd w:val="clear" w:color="auto" w:fill="FFFFFF" w:themeFill="background1"/>
        </w:rPr>
        <w:t xml:space="preserve">with nearly all of the unique over 1,200 </w:t>
      </w:r>
      <w:proofErr w:type="spellStart"/>
      <w:r w:rsidRPr="005B4F4B">
        <w:rPr>
          <w:rFonts w:cs="Arial"/>
          <w:szCs w:val="22"/>
          <w:shd w:val="clear" w:color="auto" w:fill="FFFFFF" w:themeFill="background1"/>
        </w:rPr>
        <w:t>gTLDs</w:t>
      </w:r>
      <w:proofErr w:type="spellEnd"/>
      <w:r w:rsidRPr="005B4F4B">
        <w:rPr>
          <w:rFonts w:cs="Arial"/>
          <w:szCs w:val="22"/>
          <w:shd w:val="clear" w:color="auto" w:fill="FFFFFF" w:themeFill="background1"/>
        </w:rPr>
        <w:t xml:space="preserve"> delegated by June 2019.</w:t>
      </w:r>
      <w:r w:rsidRPr="005B4F4B">
        <w:rPr>
          <w:rStyle w:val="FootnoteReference"/>
          <w:rFonts w:eastAsia="SimSun" w:cs="Arial"/>
          <w:szCs w:val="22"/>
          <w:shd w:val="clear" w:color="auto" w:fill="FFFFFF" w:themeFill="background1"/>
        </w:rPr>
        <w:footnoteReference w:id="52"/>
      </w:r>
      <w:r w:rsidRPr="005B4F4B">
        <w:rPr>
          <w:rFonts w:cs="Arial"/>
          <w:szCs w:val="22"/>
          <w:shd w:val="clear" w:color="auto" w:fill="FFFFFF" w:themeFill="background1"/>
        </w:rPr>
        <w:t xml:space="preserve"> Its further policy work on this topic </w:t>
      </w:r>
      <w:proofErr w:type="gramStart"/>
      <w:r w:rsidRPr="005B4F4B">
        <w:rPr>
          <w:rFonts w:cs="Arial"/>
          <w:szCs w:val="22"/>
          <w:shd w:val="clear" w:color="auto" w:fill="FFFFFF" w:themeFill="background1"/>
        </w:rPr>
        <w:t>being substantially concluded</w:t>
      </w:r>
      <w:proofErr w:type="gramEnd"/>
      <w:r w:rsidRPr="005B4F4B">
        <w:rPr>
          <w:rFonts w:cs="Arial"/>
          <w:szCs w:val="22"/>
          <w:shd w:val="clear" w:color="auto" w:fill="FFFFFF" w:themeFill="background1"/>
        </w:rPr>
        <w:t>, ICANN i</w:t>
      </w:r>
      <w:r>
        <w:rPr>
          <w:rFonts w:cs="Arial"/>
          <w:szCs w:val="22"/>
          <w:shd w:val="clear" w:color="auto" w:fill="FFFFFF" w:themeFill="background1"/>
        </w:rPr>
        <w:t xml:space="preserve">s </w:t>
      </w:r>
      <w:r w:rsidR="00B42FCC">
        <w:rPr>
          <w:rFonts w:cs="Arial"/>
          <w:szCs w:val="22"/>
          <w:shd w:val="clear" w:color="auto" w:fill="FFFFFF" w:themeFill="background1"/>
        </w:rPr>
        <w:t xml:space="preserve">commencing the process for </w:t>
      </w:r>
      <w:r>
        <w:rPr>
          <w:rFonts w:cs="Arial"/>
          <w:szCs w:val="22"/>
          <w:shd w:val="clear" w:color="auto" w:fill="FFFFFF" w:themeFill="background1"/>
        </w:rPr>
        <w:t xml:space="preserve">another round of new </w:t>
      </w:r>
      <w:proofErr w:type="spellStart"/>
      <w:r>
        <w:rPr>
          <w:rFonts w:cs="Arial"/>
          <w:szCs w:val="22"/>
          <w:shd w:val="clear" w:color="auto" w:fill="FFFFFF" w:themeFill="background1"/>
        </w:rPr>
        <w:t>gTLDs</w:t>
      </w:r>
      <w:proofErr w:type="spellEnd"/>
      <w:r w:rsidRPr="005B4F4B">
        <w:rPr>
          <w:rFonts w:cs="Arial"/>
          <w:szCs w:val="22"/>
          <w:shd w:val="clear" w:color="auto" w:fill="FFFFFF" w:themeFill="background1"/>
        </w:rPr>
        <w:t>.</w:t>
      </w:r>
      <w:r w:rsidRPr="005B4F4B">
        <w:rPr>
          <w:rStyle w:val="FootnoteReference"/>
          <w:rFonts w:cs="Arial"/>
          <w:szCs w:val="22"/>
          <w:shd w:val="clear" w:color="auto" w:fill="FFFFFF" w:themeFill="background1"/>
        </w:rPr>
        <w:footnoteReference w:id="53"/>
      </w:r>
    </w:p>
    <w:p w14:paraId="66C88BDA" w14:textId="0F8E0DFA" w:rsidR="008D6F26" w:rsidRPr="005B4F4B" w:rsidRDefault="008D6F26" w:rsidP="006E79F5">
      <w:pPr>
        <w:pStyle w:val="ListParagraph"/>
        <w:keepNext/>
        <w:keepLines/>
        <w:numPr>
          <w:ilvl w:val="0"/>
          <w:numId w:val="7"/>
        </w:numPr>
        <w:spacing w:after="240"/>
        <w:ind w:left="0" w:firstLine="0"/>
        <w:contextualSpacing w:val="0"/>
        <w:rPr>
          <w:rFonts w:cs="Arial"/>
          <w:szCs w:val="22"/>
        </w:rPr>
      </w:pPr>
      <w:r w:rsidRPr="005B4F4B">
        <w:rPr>
          <w:rFonts w:cs="Arial"/>
          <w:szCs w:val="22"/>
        </w:rPr>
        <w:t xml:space="preserve">The Center remains committed to working with stakeholders </w:t>
      </w:r>
      <w:r w:rsidR="00B14250">
        <w:rPr>
          <w:rFonts w:cs="Arial"/>
          <w:szCs w:val="22"/>
        </w:rPr>
        <w:t>with a view</w:t>
      </w:r>
      <w:r w:rsidRPr="005B4F4B">
        <w:rPr>
          <w:rFonts w:cs="Arial"/>
          <w:szCs w:val="22"/>
        </w:rPr>
        <w:t xml:space="preserve"> to safeguard</w:t>
      </w:r>
      <w:r w:rsidR="00B14250">
        <w:rPr>
          <w:rFonts w:cs="Arial"/>
          <w:szCs w:val="22"/>
        </w:rPr>
        <w:t>ing</w:t>
      </w:r>
      <w:r w:rsidRPr="005B4F4B">
        <w:rPr>
          <w:rFonts w:cs="Arial"/>
          <w:szCs w:val="22"/>
        </w:rPr>
        <w:t xml:space="preserve"> the observance of general principles of IP protection in new </w:t>
      </w:r>
      <w:proofErr w:type="spellStart"/>
      <w:r w:rsidRPr="005B4F4B">
        <w:rPr>
          <w:rFonts w:cs="Arial"/>
          <w:szCs w:val="22"/>
        </w:rPr>
        <w:t>gTLDs</w:t>
      </w:r>
      <w:proofErr w:type="spellEnd"/>
      <w:r w:rsidRPr="005B4F4B">
        <w:rPr>
          <w:rFonts w:cs="Arial"/>
          <w:szCs w:val="22"/>
        </w:rPr>
        <w:t xml:space="preserve">. A number of the RPMs emerged from a series of ICANN committees and processes for new </w:t>
      </w:r>
      <w:proofErr w:type="spellStart"/>
      <w:r w:rsidRPr="005B4F4B">
        <w:rPr>
          <w:rFonts w:cs="Arial"/>
          <w:szCs w:val="22"/>
        </w:rPr>
        <w:t>gTLDs</w:t>
      </w:r>
      <w:proofErr w:type="spellEnd"/>
      <w:r w:rsidRPr="005B4F4B">
        <w:rPr>
          <w:rFonts w:cs="Arial"/>
          <w:szCs w:val="22"/>
        </w:rPr>
        <w:t>.</w:t>
      </w:r>
      <w:r w:rsidRPr="005B4F4B">
        <w:rPr>
          <w:rStyle w:val="FootnoteReference"/>
          <w:rFonts w:eastAsia="SimSun" w:cs="Arial"/>
          <w:szCs w:val="22"/>
        </w:rPr>
        <w:footnoteReference w:id="54"/>
      </w:r>
      <w:r w:rsidRPr="005B4F4B">
        <w:rPr>
          <w:rFonts w:cs="Arial"/>
          <w:szCs w:val="22"/>
        </w:rPr>
        <w:t xml:space="preserve"> Set out below is a broad description of these ICANN RPMs, for the top level and the second level respectively.</w:t>
      </w:r>
    </w:p>
    <w:p w14:paraId="3BA06095" w14:textId="77777777" w:rsidR="006E7704" w:rsidRDefault="006E7704">
      <w:pPr>
        <w:rPr>
          <w:bCs/>
          <w:szCs w:val="26"/>
        </w:rPr>
      </w:pPr>
      <w:r>
        <w:br w:type="page"/>
      </w:r>
    </w:p>
    <w:p w14:paraId="36AA1B1D" w14:textId="7A70274B" w:rsidR="008D6F26" w:rsidRPr="005B4F4B" w:rsidRDefault="008D6F26" w:rsidP="006E7704">
      <w:pPr>
        <w:pStyle w:val="Heading3"/>
        <w:keepNext w:val="0"/>
        <w:ind w:firstLine="562"/>
      </w:pPr>
      <w:r w:rsidRPr="005B4F4B">
        <w:rPr>
          <w:u w:val="none"/>
        </w:rPr>
        <w:lastRenderedPageBreak/>
        <w:t>(a)</w:t>
      </w:r>
      <w:r w:rsidRPr="005B4F4B">
        <w:rPr>
          <w:u w:val="none"/>
        </w:rPr>
        <w:tab/>
      </w:r>
      <w:r w:rsidRPr="005B4F4B">
        <w:t>Top Level RPMs</w:t>
      </w:r>
    </w:p>
    <w:p w14:paraId="36DEF71C" w14:textId="77777777" w:rsidR="008D6F26" w:rsidRPr="005B4F4B" w:rsidRDefault="008D6F26" w:rsidP="006E7704">
      <w:pPr>
        <w:pStyle w:val="Heading4"/>
        <w:keepNext w:val="0"/>
        <w:ind w:left="567" w:firstLine="562"/>
      </w:pPr>
      <w:r w:rsidRPr="005B4F4B">
        <w:rPr>
          <w:i w:val="0"/>
        </w:rPr>
        <w:t>(</w:t>
      </w:r>
      <w:proofErr w:type="spellStart"/>
      <w:r w:rsidRPr="005B4F4B">
        <w:rPr>
          <w:i w:val="0"/>
        </w:rPr>
        <w:t>i</w:t>
      </w:r>
      <w:proofErr w:type="spellEnd"/>
      <w:r w:rsidRPr="005B4F4B">
        <w:rPr>
          <w:i w:val="0"/>
        </w:rPr>
        <w:t>)</w:t>
      </w:r>
      <w:r w:rsidRPr="005B4F4B">
        <w:tab/>
      </w:r>
      <w:r w:rsidRPr="005B4F4B">
        <w:rPr>
          <w:i w:val="0"/>
          <w:u w:val="single"/>
        </w:rPr>
        <w:t>Pre- (TLD) Delegation Dispute Resolution Procedure</w:t>
      </w:r>
    </w:p>
    <w:p w14:paraId="22BAC344" w14:textId="37585A5D" w:rsidR="008D6F26" w:rsidRPr="005B4F4B" w:rsidRDefault="008D6F26" w:rsidP="006E79F5">
      <w:pPr>
        <w:pStyle w:val="ListParagraph"/>
        <w:numPr>
          <w:ilvl w:val="0"/>
          <w:numId w:val="7"/>
        </w:numPr>
        <w:spacing w:before="240" w:after="240"/>
        <w:ind w:left="0" w:firstLine="0"/>
        <w:contextualSpacing w:val="0"/>
        <w:rPr>
          <w:rFonts w:cs="Arial"/>
          <w:szCs w:val="22"/>
        </w:rPr>
      </w:pPr>
      <w:r w:rsidRPr="005B4F4B">
        <w:rPr>
          <w:rFonts w:cs="Arial"/>
          <w:szCs w:val="22"/>
        </w:rPr>
        <w:t xml:space="preserve">This mechanism allowed trademark owners to lodge Legal Rights Objections (LRO) to new </w:t>
      </w:r>
      <w:proofErr w:type="spellStart"/>
      <w:r w:rsidRPr="005B4F4B">
        <w:rPr>
          <w:rFonts w:cs="Arial"/>
          <w:szCs w:val="22"/>
        </w:rPr>
        <w:t>gTLD</w:t>
      </w:r>
      <w:proofErr w:type="spellEnd"/>
      <w:r w:rsidRPr="005B4F4B">
        <w:rPr>
          <w:rFonts w:cs="Arial"/>
          <w:szCs w:val="22"/>
        </w:rPr>
        <w:t xml:space="preserve"> applications at the top level where certain substantive criteria </w:t>
      </w:r>
      <w:proofErr w:type="gramStart"/>
      <w:r w:rsidRPr="005B4F4B">
        <w:rPr>
          <w:rFonts w:cs="Arial"/>
          <w:szCs w:val="22"/>
        </w:rPr>
        <w:t>were met</w:t>
      </w:r>
      <w:proofErr w:type="gramEnd"/>
      <w:r w:rsidRPr="005B4F4B">
        <w:rPr>
          <w:rFonts w:cs="Arial"/>
          <w:szCs w:val="22"/>
        </w:rPr>
        <w:t>.</w:t>
      </w:r>
      <w:r w:rsidRPr="005B4F4B">
        <w:rPr>
          <w:rStyle w:val="FootnoteReference"/>
          <w:rFonts w:eastAsia="SimSun" w:cs="Arial"/>
          <w:szCs w:val="22"/>
        </w:rPr>
        <w:footnoteReference w:id="55"/>
      </w:r>
      <w:r w:rsidRPr="005B4F4B">
        <w:rPr>
          <w:rFonts w:cs="Arial"/>
          <w:szCs w:val="22"/>
        </w:rPr>
        <w:t xml:space="preserve"> The Center assisted ICANN in the establishment of these criteria </w:t>
      </w:r>
      <w:proofErr w:type="gramStart"/>
      <w:r w:rsidRPr="005B4F4B">
        <w:rPr>
          <w:rFonts w:cs="Arial"/>
          <w:szCs w:val="22"/>
        </w:rPr>
        <w:t>on the basis of</w:t>
      </w:r>
      <w:proofErr w:type="gramEnd"/>
      <w:r w:rsidRPr="005B4F4B">
        <w:rPr>
          <w:rFonts w:cs="Arial"/>
          <w:szCs w:val="22"/>
        </w:rPr>
        <w:t xml:space="preserve"> the </w:t>
      </w:r>
      <w:r w:rsidR="00312B51">
        <w:rPr>
          <w:rFonts w:cs="Arial"/>
          <w:szCs w:val="22"/>
        </w:rPr>
        <w:t>“</w:t>
      </w:r>
      <w:r w:rsidRPr="005B4F4B">
        <w:rPr>
          <w:rFonts w:cs="Arial"/>
          <w:szCs w:val="22"/>
        </w:rPr>
        <w:t>WIPO Joint Recommendation Concerning Provisions on the Protection of Marks, and Other Industrial</w:t>
      </w:r>
      <w:r w:rsidR="00D448E7">
        <w:rPr>
          <w:rFonts w:cs="Arial"/>
          <w:szCs w:val="22"/>
        </w:rPr>
        <w:t xml:space="preserve"> </w:t>
      </w:r>
      <w:r w:rsidRPr="005B4F4B">
        <w:rPr>
          <w:rFonts w:cs="Arial"/>
          <w:szCs w:val="22"/>
        </w:rPr>
        <w:t>Property Rights in Signs, on the Internet</w:t>
      </w:r>
      <w:r w:rsidR="00312B51">
        <w:rPr>
          <w:rFonts w:cs="Arial"/>
          <w:szCs w:val="22"/>
        </w:rPr>
        <w:t>”</w:t>
      </w:r>
      <w:r w:rsidRPr="005B4F4B">
        <w:rPr>
          <w:rFonts w:cs="Arial"/>
          <w:szCs w:val="22"/>
        </w:rPr>
        <w:t>.</w:t>
      </w:r>
      <w:r w:rsidRPr="005B4F4B">
        <w:rPr>
          <w:rFonts w:cs="Arial"/>
          <w:vertAlign w:val="superscript"/>
        </w:rPr>
        <w:footnoteReference w:id="56"/>
      </w:r>
      <w:r w:rsidRPr="005B4F4B">
        <w:rPr>
          <w:rFonts w:cs="Arial"/>
          <w:szCs w:val="22"/>
        </w:rPr>
        <w:t xml:space="preserve"> Appointed by ICANN as the exclusive provider of LRO dispute resolution services,</w:t>
      </w:r>
      <w:r w:rsidRPr="005B4F4B">
        <w:rPr>
          <w:rStyle w:val="FootnoteReference"/>
          <w:rFonts w:eastAsia="SimSun" w:cs="Arial"/>
          <w:szCs w:val="22"/>
        </w:rPr>
        <w:footnoteReference w:id="57"/>
      </w:r>
      <w:r w:rsidRPr="005B4F4B">
        <w:rPr>
          <w:rFonts w:cs="Arial"/>
          <w:bCs/>
          <w:szCs w:val="22"/>
        </w:rPr>
        <w:t xml:space="preserve"> </w:t>
      </w:r>
      <w:r w:rsidRPr="005B4F4B">
        <w:rPr>
          <w:rFonts w:cs="Arial"/>
          <w:szCs w:val="22"/>
        </w:rPr>
        <w:t>th</w:t>
      </w:r>
      <w:r w:rsidR="00B42FCC">
        <w:rPr>
          <w:rFonts w:cs="Arial"/>
          <w:szCs w:val="22"/>
        </w:rPr>
        <w:t xml:space="preserve">e Center processed 69 </w:t>
      </w:r>
      <w:r w:rsidRPr="005B4F4B">
        <w:rPr>
          <w:rFonts w:cs="Arial"/>
          <w:szCs w:val="22"/>
        </w:rPr>
        <w:t>LRO filings in 2013.</w:t>
      </w:r>
      <w:r w:rsidRPr="005B4F4B">
        <w:rPr>
          <w:rStyle w:val="FootnoteReference"/>
          <w:rFonts w:eastAsia="SimSun" w:cs="Arial"/>
          <w:szCs w:val="22"/>
        </w:rPr>
        <w:footnoteReference w:id="58"/>
      </w:r>
      <w:r w:rsidRPr="005B4F4B">
        <w:rPr>
          <w:rFonts w:cs="Arial"/>
          <w:szCs w:val="22"/>
        </w:rPr>
        <w:t xml:space="preserve"> </w:t>
      </w:r>
    </w:p>
    <w:p w14:paraId="71E1D63A" w14:textId="77777777" w:rsidR="008D6F26" w:rsidRPr="005B4F4B" w:rsidRDefault="008D6F26" w:rsidP="006E79F5">
      <w:pPr>
        <w:pStyle w:val="Heading4"/>
        <w:ind w:left="567" w:firstLine="567"/>
        <w:rPr>
          <w:i w:val="0"/>
          <w:u w:val="single"/>
        </w:rPr>
      </w:pPr>
      <w:r w:rsidRPr="005B4F4B">
        <w:rPr>
          <w:i w:val="0"/>
        </w:rPr>
        <w:t>(ii)</w:t>
      </w:r>
      <w:r w:rsidRPr="005B4F4B">
        <w:rPr>
          <w:i w:val="0"/>
        </w:rPr>
        <w:tab/>
      </w:r>
      <w:r w:rsidRPr="005B4F4B">
        <w:rPr>
          <w:i w:val="0"/>
          <w:u w:val="single"/>
        </w:rPr>
        <w:t xml:space="preserve">Post- (TLD) Delegation Dispute Resolution Procedure (PDDRP) </w:t>
      </w:r>
    </w:p>
    <w:p w14:paraId="7FE456B1" w14:textId="11B31BCC" w:rsidR="008D6F26" w:rsidRPr="005B4F4B" w:rsidRDefault="008D6F26" w:rsidP="006E79F5">
      <w:pPr>
        <w:pStyle w:val="ListParagraph"/>
        <w:numPr>
          <w:ilvl w:val="0"/>
          <w:numId w:val="7"/>
        </w:numPr>
        <w:spacing w:before="240" w:after="240"/>
        <w:ind w:left="0" w:firstLine="0"/>
        <w:contextualSpacing w:val="0"/>
        <w:rPr>
          <w:rFonts w:cs="Arial"/>
          <w:szCs w:val="22"/>
        </w:rPr>
      </w:pPr>
      <w:r w:rsidRPr="005B4F4B">
        <w:rPr>
          <w:rFonts w:cs="Arial"/>
          <w:szCs w:val="22"/>
        </w:rPr>
        <w:t xml:space="preserve">In early 2009, the Center communicated to ICANN a concrete substantive proposal for a permanent administrative option that would allow for the filing of a complaint with respect to an approved new </w:t>
      </w:r>
      <w:proofErr w:type="spellStart"/>
      <w:r w:rsidRPr="005B4F4B">
        <w:rPr>
          <w:rFonts w:cs="Arial"/>
          <w:szCs w:val="22"/>
        </w:rPr>
        <w:t>gTLD</w:t>
      </w:r>
      <w:proofErr w:type="spellEnd"/>
      <w:r w:rsidRPr="005B4F4B">
        <w:rPr>
          <w:rFonts w:cs="Arial"/>
          <w:szCs w:val="22"/>
        </w:rPr>
        <w:t xml:space="preserve"> registry operator whose manner of operation or use of its registry is alleged to cause or materially contribute to trademark abuse.</w:t>
      </w:r>
      <w:r w:rsidRPr="005B4F4B">
        <w:rPr>
          <w:rFonts w:cs="Arial"/>
          <w:vertAlign w:val="superscript"/>
        </w:rPr>
        <w:footnoteReference w:id="59"/>
      </w:r>
      <w:r w:rsidRPr="005B4F4B">
        <w:rPr>
          <w:rFonts w:cs="Arial"/>
          <w:szCs w:val="22"/>
        </w:rPr>
        <w:t xml:space="preserve"> The proposal</w:t>
      </w:r>
      <w:r w:rsidR="00312B51">
        <w:rPr>
          <w:rFonts w:cs="Arial"/>
          <w:szCs w:val="22"/>
        </w:rPr>
        <w:t>’</w:t>
      </w:r>
      <w:r w:rsidRPr="005B4F4B">
        <w:rPr>
          <w:rFonts w:cs="Arial"/>
          <w:szCs w:val="22"/>
        </w:rPr>
        <w:t>s intent was to offer standardized assistance to ICANN</w:t>
      </w:r>
      <w:r w:rsidR="00312B51">
        <w:rPr>
          <w:rFonts w:cs="Arial"/>
          <w:szCs w:val="22"/>
        </w:rPr>
        <w:t>’</w:t>
      </w:r>
      <w:r w:rsidRPr="005B4F4B">
        <w:rPr>
          <w:rFonts w:cs="Arial"/>
          <w:szCs w:val="22"/>
        </w:rPr>
        <w:t>s own compliance oversight responsibilities, by providing an administrative alternative to court litigation, encouraging responsible conduct by relevant actors and including appropriate registry safe</w:t>
      </w:r>
      <w:r w:rsidRPr="005B4F4B">
        <w:rPr>
          <w:rFonts w:cs="Arial"/>
          <w:szCs w:val="22"/>
        </w:rPr>
        <w:noBreakHyphen/>
        <w:t>harbors.</w:t>
      </w:r>
      <w:r w:rsidRPr="005B4F4B">
        <w:rPr>
          <w:rStyle w:val="FootnoteReference"/>
          <w:rFonts w:eastAsia="SimSun" w:cs="Arial"/>
          <w:szCs w:val="22"/>
        </w:rPr>
        <w:footnoteReference w:id="60"/>
      </w:r>
      <w:r w:rsidRPr="005B4F4B">
        <w:rPr>
          <w:rFonts w:cs="Arial"/>
          <w:szCs w:val="22"/>
        </w:rPr>
        <w:t xml:space="preserve"> </w:t>
      </w:r>
    </w:p>
    <w:p w14:paraId="75DECC98" w14:textId="7AAFEEFD" w:rsidR="008D6F26" w:rsidRPr="005B4F4B" w:rsidRDefault="008D6F26" w:rsidP="006E79F5">
      <w:pPr>
        <w:pStyle w:val="ListParagraph"/>
        <w:numPr>
          <w:ilvl w:val="0"/>
          <w:numId w:val="7"/>
        </w:numPr>
        <w:spacing w:after="240"/>
        <w:ind w:left="0" w:firstLine="0"/>
        <w:contextualSpacing w:val="0"/>
        <w:rPr>
          <w:rFonts w:cs="Arial"/>
          <w:szCs w:val="22"/>
        </w:rPr>
      </w:pPr>
      <w:r w:rsidRPr="005B4F4B">
        <w:rPr>
          <w:rFonts w:cs="Arial"/>
          <w:szCs w:val="22"/>
        </w:rPr>
        <w:t xml:space="preserve">Following various ICANN processes, including consultations with registry operators, the effectiveness of this PDDRP in the form adopted by ICANN remains uncertain, in particular given the addition of overlapping procedural layers, and issues concerning the intended substantive scope of this mechanism, such as its exclusion of the legal concept of </w:t>
      </w:r>
      <w:r w:rsidR="00312B51">
        <w:rPr>
          <w:rFonts w:cs="Arial"/>
          <w:szCs w:val="22"/>
        </w:rPr>
        <w:t>“</w:t>
      </w:r>
      <w:r w:rsidRPr="005B4F4B">
        <w:rPr>
          <w:rFonts w:cs="Arial"/>
          <w:szCs w:val="22"/>
        </w:rPr>
        <w:t>willful blindness</w:t>
      </w:r>
      <w:r w:rsidR="00312B51">
        <w:rPr>
          <w:rFonts w:cs="Arial"/>
          <w:szCs w:val="22"/>
        </w:rPr>
        <w:t>”</w:t>
      </w:r>
      <w:r w:rsidRPr="005B4F4B">
        <w:rPr>
          <w:rFonts w:cs="Arial"/>
          <w:szCs w:val="22"/>
        </w:rPr>
        <w:t xml:space="preserve"> from the applicable criteria.</w:t>
      </w:r>
      <w:r w:rsidRPr="005B4F4B">
        <w:rPr>
          <w:rStyle w:val="FootnoteReference"/>
          <w:rFonts w:cs="Arial"/>
          <w:szCs w:val="22"/>
        </w:rPr>
        <w:footnoteReference w:id="61"/>
      </w:r>
      <w:r w:rsidRPr="005B4F4B">
        <w:rPr>
          <w:rFonts w:cs="Arial"/>
          <w:szCs w:val="22"/>
        </w:rPr>
        <w:t xml:space="preserve"> </w:t>
      </w:r>
    </w:p>
    <w:p w14:paraId="7F5BCCA4" w14:textId="77777777" w:rsidR="008D6F26" w:rsidRPr="005B4F4B" w:rsidRDefault="008D6F26" w:rsidP="006E79F5">
      <w:pPr>
        <w:pStyle w:val="Heading3"/>
        <w:ind w:firstLine="567"/>
      </w:pPr>
      <w:r w:rsidRPr="005B4F4B">
        <w:rPr>
          <w:u w:val="none"/>
        </w:rPr>
        <w:lastRenderedPageBreak/>
        <w:t>(b)</w:t>
      </w:r>
      <w:r w:rsidRPr="005B4F4B">
        <w:rPr>
          <w:u w:val="none"/>
        </w:rPr>
        <w:tab/>
      </w:r>
      <w:r w:rsidRPr="005B4F4B">
        <w:t>Second Level RPMs</w:t>
      </w:r>
    </w:p>
    <w:p w14:paraId="7FC69F4B" w14:textId="77777777" w:rsidR="008D6F26" w:rsidRPr="005B4F4B" w:rsidRDefault="008D6F26" w:rsidP="006E79F5">
      <w:pPr>
        <w:pStyle w:val="Heading4"/>
        <w:ind w:left="567" w:firstLine="567"/>
        <w:rPr>
          <w:i w:val="0"/>
        </w:rPr>
      </w:pPr>
      <w:r w:rsidRPr="005B4F4B">
        <w:rPr>
          <w:i w:val="0"/>
        </w:rPr>
        <w:t>(</w:t>
      </w:r>
      <w:proofErr w:type="spellStart"/>
      <w:r w:rsidRPr="005B4F4B">
        <w:rPr>
          <w:i w:val="0"/>
        </w:rPr>
        <w:t>i</w:t>
      </w:r>
      <w:proofErr w:type="spellEnd"/>
      <w:r w:rsidRPr="005B4F4B">
        <w:rPr>
          <w:i w:val="0"/>
        </w:rPr>
        <w:t>)</w:t>
      </w:r>
      <w:r w:rsidRPr="005B4F4B">
        <w:rPr>
          <w:i w:val="0"/>
        </w:rPr>
        <w:tab/>
      </w:r>
      <w:r w:rsidRPr="005B4F4B">
        <w:rPr>
          <w:i w:val="0"/>
          <w:u w:val="single"/>
        </w:rPr>
        <w:t>Trademark Clearinghouse (TMCH)</w:t>
      </w:r>
    </w:p>
    <w:p w14:paraId="01D9F9DC" w14:textId="75D946DF" w:rsidR="008D6F26" w:rsidRPr="005B4F4B" w:rsidRDefault="008D6F26" w:rsidP="006E79F5">
      <w:pPr>
        <w:pStyle w:val="ListParagraph"/>
        <w:numPr>
          <w:ilvl w:val="0"/>
          <w:numId w:val="7"/>
        </w:numPr>
        <w:spacing w:before="240" w:after="240"/>
        <w:ind w:left="0" w:firstLine="0"/>
        <w:contextualSpacing w:val="0"/>
        <w:rPr>
          <w:rFonts w:cs="Arial"/>
        </w:rPr>
      </w:pPr>
      <w:proofErr w:type="gramStart"/>
      <w:r w:rsidRPr="005B4F4B">
        <w:rPr>
          <w:rFonts w:cs="Arial"/>
        </w:rPr>
        <w:t>ICANN</w:t>
      </w:r>
      <w:r w:rsidR="00312B51">
        <w:rPr>
          <w:rFonts w:cs="Arial"/>
        </w:rPr>
        <w:t>’</w:t>
      </w:r>
      <w:r w:rsidRPr="005B4F4B">
        <w:rPr>
          <w:rFonts w:cs="Arial"/>
        </w:rPr>
        <w:t xml:space="preserve">s New </w:t>
      </w:r>
      <w:proofErr w:type="spellStart"/>
      <w:r w:rsidRPr="005B4F4B">
        <w:rPr>
          <w:rFonts w:cs="Arial"/>
        </w:rPr>
        <w:t>gTLD</w:t>
      </w:r>
      <w:proofErr w:type="spellEnd"/>
      <w:r w:rsidRPr="005B4F4B">
        <w:rPr>
          <w:rFonts w:cs="Arial"/>
        </w:rPr>
        <w:t xml:space="preserve"> Program includes a TMCH as a centralized repository of authenticated trademark data which could be invoked as the basis for filing under new </w:t>
      </w:r>
      <w:proofErr w:type="spellStart"/>
      <w:r w:rsidRPr="005B4F4B">
        <w:rPr>
          <w:rFonts w:cs="Arial"/>
        </w:rPr>
        <w:t>gTLD</w:t>
      </w:r>
      <w:proofErr w:type="spellEnd"/>
      <w:r w:rsidRPr="005B4F4B">
        <w:rPr>
          <w:rFonts w:cs="Arial"/>
        </w:rPr>
        <w:t xml:space="preserve"> RPMs.</w:t>
      </w:r>
      <w:r w:rsidRPr="005B4F4B">
        <w:rPr>
          <w:rStyle w:val="FootnoteReference"/>
          <w:rFonts w:eastAsia="SimSun" w:cs="Arial"/>
        </w:rPr>
        <w:footnoteReference w:id="62"/>
      </w:r>
      <w:r w:rsidRPr="005B4F4B">
        <w:rPr>
          <w:rFonts w:cs="Arial"/>
        </w:rPr>
        <w:t xml:space="preserve"> The Center commented that the TMCH should not unfairly burden rights holders in the treatment of trademark registrations legitimately obtained through examination and registration systems as applied in many jurisdictions, and that, if and where relevant, practical measures may be envisaged to identify any allegedly inappropriate invocation of rights in specific contexts.</w:t>
      </w:r>
      <w:proofErr w:type="gramEnd"/>
      <w:r w:rsidRPr="005B4F4B">
        <w:rPr>
          <w:rFonts w:cs="Arial"/>
        </w:rPr>
        <w:t xml:space="preserve"> </w:t>
      </w:r>
      <w:r w:rsidRPr="00B42FCC">
        <w:rPr>
          <w:rFonts w:cs="Arial"/>
          <w:shd w:val="clear" w:color="auto" w:fill="FFFFFF" w:themeFill="background1"/>
        </w:rPr>
        <w:t>The TMCH has received some 47,000 entries.</w:t>
      </w:r>
      <w:r w:rsidRPr="00B42FCC">
        <w:rPr>
          <w:rStyle w:val="FootnoteReference"/>
          <w:rFonts w:eastAsia="SimSun" w:cs="Arial"/>
          <w:szCs w:val="22"/>
          <w:shd w:val="clear" w:color="auto" w:fill="FFFFFF" w:themeFill="background1"/>
        </w:rPr>
        <w:footnoteReference w:id="63"/>
      </w:r>
    </w:p>
    <w:p w14:paraId="225318E8" w14:textId="77777777" w:rsidR="008D6F26" w:rsidRPr="005B4F4B" w:rsidRDefault="008D6F26" w:rsidP="006E79F5">
      <w:pPr>
        <w:pStyle w:val="Heading4"/>
        <w:ind w:left="567" w:firstLine="567"/>
        <w:rPr>
          <w:i w:val="0"/>
          <w:color w:val="000000"/>
        </w:rPr>
      </w:pPr>
      <w:r w:rsidRPr="005B4F4B">
        <w:rPr>
          <w:i w:val="0"/>
        </w:rPr>
        <w:t>(ii)</w:t>
      </w:r>
      <w:r w:rsidRPr="005B4F4B">
        <w:rPr>
          <w:i w:val="0"/>
        </w:rPr>
        <w:tab/>
      </w:r>
      <w:r w:rsidRPr="005B4F4B">
        <w:rPr>
          <w:i w:val="0"/>
          <w:u w:val="single"/>
        </w:rPr>
        <w:t>Uniform Rapid Suspension (URS) System</w:t>
      </w:r>
    </w:p>
    <w:p w14:paraId="68EF47A9" w14:textId="5DA37786" w:rsidR="008D6F26" w:rsidRPr="005B4F4B" w:rsidRDefault="008D6F26" w:rsidP="006E79F5">
      <w:pPr>
        <w:pStyle w:val="ListParagraph"/>
        <w:numPr>
          <w:ilvl w:val="0"/>
          <w:numId w:val="7"/>
        </w:numPr>
        <w:spacing w:before="240" w:after="240"/>
        <w:ind w:left="0" w:firstLine="0"/>
        <w:contextualSpacing w:val="0"/>
        <w:rPr>
          <w:rFonts w:cs="Arial"/>
        </w:rPr>
      </w:pPr>
      <w:r w:rsidRPr="005B4F4B">
        <w:rPr>
          <w:rFonts w:cs="Arial"/>
        </w:rPr>
        <w:t>While the UDRP remains available as a curative tool for new-</w:t>
      </w:r>
      <w:proofErr w:type="spellStart"/>
      <w:r w:rsidRPr="005B4F4B">
        <w:rPr>
          <w:rFonts w:cs="Arial"/>
        </w:rPr>
        <w:t>gTLD</w:t>
      </w:r>
      <w:proofErr w:type="spellEnd"/>
      <w:r w:rsidRPr="005B4F4B">
        <w:rPr>
          <w:rFonts w:cs="Arial"/>
        </w:rPr>
        <w:t xml:space="preserve"> disputes involving the considered transfer of a disputed domain name to the trademark owner, ICANN has introduced what is intended to be a </w:t>
      </w:r>
      <w:r w:rsidR="00312B51">
        <w:rPr>
          <w:rFonts w:cs="Arial"/>
        </w:rPr>
        <w:t>“</w:t>
      </w:r>
      <w:r w:rsidRPr="005B4F4B">
        <w:rPr>
          <w:rFonts w:cs="Arial"/>
        </w:rPr>
        <w:t>lighter</w:t>
      </w:r>
      <w:r w:rsidR="00312B51">
        <w:rPr>
          <w:rFonts w:cs="Arial"/>
        </w:rPr>
        <w:t>”</w:t>
      </w:r>
      <w:r w:rsidRPr="005B4F4B">
        <w:rPr>
          <w:rFonts w:cs="Arial"/>
        </w:rPr>
        <w:t xml:space="preserve"> second</w:t>
      </w:r>
      <w:r w:rsidRPr="005B4F4B">
        <w:rPr>
          <w:rFonts w:cs="Arial"/>
        </w:rPr>
        <w:noBreakHyphen/>
        <w:t>level RPM for appropriate cases.</w:t>
      </w:r>
      <w:r w:rsidRPr="005B4F4B">
        <w:rPr>
          <w:rStyle w:val="FootnoteReference"/>
          <w:rFonts w:eastAsia="SimSun" w:cs="Arial"/>
        </w:rPr>
        <w:footnoteReference w:id="64"/>
      </w:r>
      <w:r w:rsidRPr="005B4F4B">
        <w:rPr>
          <w:rFonts w:cs="Arial"/>
        </w:rPr>
        <w:t xml:space="preserve"> Evolved from a sequence of ICANN processes and committees, the URS continues to raise questions, including its relationship to the UDRP.</w:t>
      </w:r>
      <w:r w:rsidRPr="005B4F4B">
        <w:rPr>
          <w:rStyle w:val="FootnoteReference"/>
          <w:rFonts w:eastAsia="SimSun" w:cs="Arial"/>
          <w:szCs w:val="22"/>
        </w:rPr>
        <w:footnoteReference w:id="65"/>
      </w:r>
      <w:r w:rsidRPr="005B4F4B">
        <w:rPr>
          <w:rFonts w:cs="Arial"/>
        </w:rPr>
        <w:t xml:space="preserve"> ICANN invited tenders from prospective URS providers, to which after careful consideration of the ICANN URS model and related resources, the Center has not been in a position to apply.</w:t>
      </w:r>
      <w:r w:rsidRPr="005B4F4B">
        <w:rPr>
          <w:rStyle w:val="FootnoteReference"/>
          <w:rFonts w:eastAsia="SimSun" w:cs="Arial"/>
        </w:rPr>
        <w:footnoteReference w:id="66"/>
      </w:r>
      <w:r w:rsidRPr="005B4F4B">
        <w:rPr>
          <w:rFonts w:cs="Arial"/>
        </w:rPr>
        <w:t xml:space="preserve"> The Center continues to monitor developments. </w:t>
      </w:r>
    </w:p>
    <w:p w14:paraId="3E9D04E6" w14:textId="0BEDCA5C" w:rsidR="008D6F26" w:rsidRPr="005B4F4B" w:rsidRDefault="000D2953" w:rsidP="006E79F5">
      <w:pPr>
        <w:pStyle w:val="Heading3"/>
        <w:rPr>
          <w:u w:val="none"/>
        </w:rPr>
      </w:pPr>
      <w:r>
        <w:rPr>
          <w:u w:val="none"/>
        </w:rPr>
        <w:t>B.</w:t>
      </w:r>
      <w:r>
        <w:rPr>
          <w:u w:val="none"/>
        </w:rPr>
        <w:tab/>
        <w:t>ICANN</w:t>
      </w:r>
      <w:r w:rsidR="00312B51">
        <w:rPr>
          <w:u w:val="none"/>
        </w:rPr>
        <w:t>’</w:t>
      </w:r>
      <w:r>
        <w:rPr>
          <w:u w:val="none"/>
        </w:rPr>
        <w:t xml:space="preserve">S </w:t>
      </w:r>
      <w:r w:rsidR="008D6F26" w:rsidRPr="005B4F4B">
        <w:rPr>
          <w:u w:val="none"/>
        </w:rPr>
        <w:t>REVI</w:t>
      </w:r>
      <w:r>
        <w:rPr>
          <w:u w:val="none"/>
        </w:rPr>
        <w:t xml:space="preserve">EW </w:t>
      </w:r>
      <w:r w:rsidR="008D6F26" w:rsidRPr="005B4F4B">
        <w:rPr>
          <w:u w:val="none"/>
        </w:rPr>
        <w:t>OF THE WIPO-INITIATED UDRP AND OTHER RPMS</w:t>
      </w:r>
    </w:p>
    <w:p w14:paraId="28D1B19D" w14:textId="0DDBF6A6" w:rsidR="005D7AF7" w:rsidRPr="00893002" w:rsidRDefault="005D7AF7" w:rsidP="006E79F5">
      <w:pPr>
        <w:pStyle w:val="ListParagraph"/>
        <w:widowControl w:val="0"/>
        <w:numPr>
          <w:ilvl w:val="0"/>
          <w:numId w:val="7"/>
        </w:numPr>
        <w:spacing w:before="240" w:after="240"/>
        <w:ind w:left="0" w:firstLine="0"/>
        <w:contextualSpacing w:val="0"/>
        <w:rPr>
          <w:rFonts w:cs="Arial"/>
          <w:szCs w:val="22"/>
        </w:rPr>
      </w:pPr>
      <w:r w:rsidRPr="00893002">
        <w:rPr>
          <w:rFonts w:cs="Arial"/>
          <w:szCs w:val="22"/>
        </w:rPr>
        <w:t>Accommodating the dynamic development of the DNS, the UDRP has been offering a highly effective alternative to court litigation for trademark owners, domain name registrants, and registration authorities. ICANN</w:t>
      </w:r>
      <w:r w:rsidR="00312B51">
        <w:rPr>
          <w:rFonts w:cs="Arial"/>
          <w:szCs w:val="22"/>
        </w:rPr>
        <w:t>’</w:t>
      </w:r>
      <w:r w:rsidRPr="00893002">
        <w:rPr>
          <w:rFonts w:cs="Arial"/>
          <w:szCs w:val="22"/>
        </w:rPr>
        <w:t xml:space="preserve">s Generic Names Supporting Organization (GNSO) decided to review the UDRP following the launch of new </w:t>
      </w:r>
      <w:proofErr w:type="spellStart"/>
      <w:r w:rsidRPr="00893002">
        <w:rPr>
          <w:rFonts w:cs="Arial"/>
          <w:szCs w:val="22"/>
        </w:rPr>
        <w:t>gTLDs</w:t>
      </w:r>
      <w:proofErr w:type="spellEnd"/>
      <w:r w:rsidRPr="00893002">
        <w:rPr>
          <w:rFonts w:cs="Arial"/>
          <w:szCs w:val="22"/>
        </w:rPr>
        <w:t>.</w:t>
      </w:r>
      <w:r w:rsidRPr="005B4F4B">
        <w:rPr>
          <w:rFonts w:cs="Arial"/>
          <w:vertAlign w:val="superscript"/>
        </w:rPr>
        <w:footnoteReference w:id="67"/>
      </w:r>
      <w:r w:rsidR="00205A7F">
        <w:rPr>
          <w:rFonts w:cs="Arial"/>
          <w:szCs w:val="22"/>
        </w:rPr>
        <w:t xml:space="preserve"> </w:t>
      </w:r>
      <w:r w:rsidRPr="00893002">
        <w:rPr>
          <w:rFonts w:cs="Arial"/>
          <w:szCs w:val="22"/>
        </w:rPr>
        <w:t>ICANN</w:t>
      </w:r>
      <w:r w:rsidR="00312B51">
        <w:rPr>
          <w:rFonts w:cs="Arial"/>
          <w:szCs w:val="22"/>
        </w:rPr>
        <w:t>’</w:t>
      </w:r>
      <w:r w:rsidRPr="00893002">
        <w:rPr>
          <w:rFonts w:cs="Arial"/>
          <w:szCs w:val="22"/>
        </w:rPr>
        <w:t>s 2015 Preliminary Issue Report describes a range of complex substantive and process questions.</w:t>
      </w:r>
      <w:r w:rsidRPr="005B4F4B">
        <w:rPr>
          <w:rFonts w:cs="Arial"/>
          <w:szCs w:val="22"/>
          <w:vertAlign w:val="superscript"/>
        </w:rPr>
        <w:footnoteReference w:id="68"/>
      </w:r>
      <w:r w:rsidRPr="00893002">
        <w:rPr>
          <w:rFonts w:cs="Arial"/>
          <w:szCs w:val="22"/>
        </w:rPr>
        <w:t xml:space="preserve"> The Center provided </w:t>
      </w:r>
      <w:r w:rsidRPr="00893002">
        <w:rPr>
          <w:rFonts w:cs="Arial"/>
          <w:szCs w:val="22"/>
        </w:rPr>
        <w:lastRenderedPageBreak/>
        <w:t>observations highlighting the UDRP</w:t>
      </w:r>
      <w:r w:rsidR="00312B51">
        <w:rPr>
          <w:rFonts w:cs="Arial"/>
          <w:szCs w:val="22"/>
        </w:rPr>
        <w:t>’</w:t>
      </w:r>
      <w:r w:rsidRPr="00893002">
        <w:rPr>
          <w:rFonts w:cs="Arial"/>
          <w:szCs w:val="22"/>
        </w:rPr>
        <w:t xml:space="preserve">s long-proven success and the risks associated with any attempted ICANN revision of the UDRP. </w:t>
      </w:r>
      <w:proofErr w:type="gramStart"/>
      <w:r w:rsidRPr="00893002">
        <w:rPr>
          <w:rFonts w:cs="Arial"/>
          <w:szCs w:val="22"/>
        </w:rPr>
        <w:t>Following a public comment period, ICANN published its Final Issue Report in January 2016 recommending that the GNSO launch a Policy Development Process (PDP) to review all RPMs in two phases; the now</w:t>
      </w:r>
      <w:r w:rsidRPr="00893002">
        <w:rPr>
          <w:rFonts w:cs="Arial"/>
          <w:szCs w:val="22"/>
        </w:rPr>
        <w:noBreakHyphen/>
        <w:t>concluded initial phase issued a Final Report</w:t>
      </w:r>
      <w:r w:rsidRPr="005B4F4B">
        <w:rPr>
          <w:rStyle w:val="FootnoteReference"/>
          <w:rFonts w:cs="Arial"/>
          <w:szCs w:val="22"/>
        </w:rPr>
        <w:footnoteReference w:id="69"/>
      </w:r>
      <w:r w:rsidRPr="00893002">
        <w:rPr>
          <w:rFonts w:cs="Arial"/>
          <w:szCs w:val="22"/>
        </w:rPr>
        <w:t xml:space="preserve"> focused on RPMs developed for the New </w:t>
      </w:r>
      <w:proofErr w:type="spellStart"/>
      <w:r w:rsidRPr="00893002">
        <w:rPr>
          <w:rFonts w:cs="Arial"/>
          <w:szCs w:val="22"/>
        </w:rPr>
        <w:t>gTLD</w:t>
      </w:r>
      <w:proofErr w:type="spellEnd"/>
      <w:r w:rsidRPr="00893002">
        <w:rPr>
          <w:rFonts w:cs="Arial"/>
          <w:szCs w:val="22"/>
        </w:rPr>
        <w:t xml:space="preserve"> Program, notably the TMCH (including </w:t>
      </w:r>
      <w:r w:rsidR="00312B51">
        <w:rPr>
          <w:rFonts w:cs="Arial"/>
          <w:szCs w:val="22"/>
        </w:rPr>
        <w:t>“</w:t>
      </w:r>
      <w:r w:rsidRPr="00893002">
        <w:rPr>
          <w:rFonts w:cs="Arial"/>
          <w:szCs w:val="22"/>
        </w:rPr>
        <w:t>Sunrise</w:t>
      </w:r>
      <w:r w:rsidR="00312B51">
        <w:rPr>
          <w:rFonts w:cs="Arial"/>
          <w:szCs w:val="22"/>
        </w:rPr>
        <w:t>”</w:t>
      </w:r>
      <w:r w:rsidRPr="00893002">
        <w:rPr>
          <w:rFonts w:cs="Arial"/>
          <w:szCs w:val="22"/>
        </w:rPr>
        <w:t xml:space="preserve"> and </w:t>
      </w:r>
      <w:r w:rsidR="00312B51">
        <w:rPr>
          <w:rFonts w:cs="Arial"/>
          <w:szCs w:val="22"/>
        </w:rPr>
        <w:t>“</w:t>
      </w:r>
      <w:r w:rsidRPr="00893002">
        <w:rPr>
          <w:rFonts w:cs="Arial"/>
          <w:szCs w:val="22"/>
        </w:rPr>
        <w:t>Claims</w:t>
      </w:r>
      <w:r w:rsidR="00312B51">
        <w:rPr>
          <w:rFonts w:cs="Arial"/>
          <w:szCs w:val="22"/>
        </w:rPr>
        <w:t>”</w:t>
      </w:r>
      <w:r w:rsidRPr="00893002">
        <w:rPr>
          <w:rFonts w:cs="Arial"/>
          <w:szCs w:val="22"/>
        </w:rPr>
        <w:t xml:space="preserve"> RPMs</w:t>
      </w:r>
      <w:r w:rsidRPr="005D7AF7">
        <w:rPr>
          <w:rFonts w:cs="Arial"/>
          <w:szCs w:val="22"/>
          <w:shd w:val="clear" w:color="auto" w:fill="FFFFFF" w:themeFill="background1"/>
        </w:rPr>
        <w:t>) and URS and proposing minor changes to such RPMs,</w:t>
      </w:r>
      <w:r w:rsidRPr="005D7AF7">
        <w:rPr>
          <w:rStyle w:val="FootnoteReference"/>
          <w:rFonts w:cs="Arial"/>
          <w:szCs w:val="22"/>
          <w:shd w:val="clear" w:color="auto" w:fill="FFFFFF" w:themeFill="background1"/>
        </w:rPr>
        <w:footnoteReference w:id="70"/>
      </w:r>
      <w:r w:rsidRPr="00893002">
        <w:rPr>
          <w:rFonts w:cs="Arial"/>
          <w:szCs w:val="22"/>
        </w:rPr>
        <w:t xml:space="preserve"> and is now in its implementation phase,</w:t>
      </w:r>
      <w:r>
        <w:rPr>
          <w:rStyle w:val="FootnoteReference"/>
          <w:rFonts w:cs="Arial"/>
          <w:szCs w:val="22"/>
        </w:rPr>
        <w:footnoteReference w:id="71"/>
      </w:r>
      <w:r w:rsidRPr="00893002">
        <w:rPr>
          <w:rFonts w:cs="Arial"/>
          <w:szCs w:val="22"/>
        </w:rPr>
        <w:t xml:space="preserve"> whereas the </w:t>
      </w:r>
      <w:r w:rsidRPr="000D2953">
        <w:rPr>
          <w:rFonts w:cs="Arial"/>
          <w:szCs w:val="22"/>
        </w:rPr>
        <w:t xml:space="preserve">second phase </w:t>
      </w:r>
      <w:r w:rsidR="000D2953">
        <w:rPr>
          <w:rFonts w:cs="Arial"/>
          <w:szCs w:val="22"/>
        </w:rPr>
        <w:t xml:space="preserve">is to </w:t>
      </w:r>
      <w:r w:rsidRPr="00893002">
        <w:rPr>
          <w:rFonts w:cs="Arial"/>
          <w:szCs w:val="22"/>
        </w:rPr>
        <w:t>focus on the UDRP.</w:t>
      </w:r>
      <w:r w:rsidRPr="005B4F4B">
        <w:rPr>
          <w:rFonts w:cs="Arial"/>
          <w:szCs w:val="22"/>
          <w:vertAlign w:val="superscript"/>
        </w:rPr>
        <w:footnoteReference w:id="72"/>
      </w:r>
      <w:proofErr w:type="gramEnd"/>
      <w:r w:rsidRPr="00893002">
        <w:rPr>
          <w:rFonts w:cs="Arial"/>
          <w:szCs w:val="22"/>
        </w:rPr>
        <w:t xml:space="preserve"> This latter UDRP phase is in particular a matter of serious concern, and the Center continues </w:t>
      </w:r>
      <w:proofErr w:type="gramStart"/>
      <w:r w:rsidRPr="00893002">
        <w:rPr>
          <w:rFonts w:cs="Arial"/>
          <w:szCs w:val="22"/>
        </w:rPr>
        <w:t>to closely follow</w:t>
      </w:r>
      <w:proofErr w:type="gramEnd"/>
      <w:r w:rsidRPr="00893002">
        <w:rPr>
          <w:rFonts w:cs="Arial"/>
          <w:szCs w:val="22"/>
        </w:rPr>
        <w:t xml:space="preserve"> ICANN stakeholders</w:t>
      </w:r>
      <w:r w:rsidR="00312B51">
        <w:rPr>
          <w:rFonts w:cs="Arial"/>
          <w:szCs w:val="22"/>
        </w:rPr>
        <w:t>’</w:t>
      </w:r>
      <w:r w:rsidRPr="00893002">
        <w:rPr>
          <w:rFonts w:cs="Arial"/>
          <w:szCs w:val="22"/>
        </w:rPr>
        <w:t xml:space="preserve"> intentions with regard to the UDRP and trademark RPMs generally. In this effort, the Center</w:t>
      </w:r>
      <w:r w:rsidR="00F909AD">
        <w:rPr>
          <w:rFonts w:cs="Arial"/>
          <w:szCs w:val="22"/>
        </w:rPr>
        <w:t>,</w:t>
      </w:r>
      <w:r w:rsidRPr="00893002">
        <w:rPr>
          <w:rFonts w:cs="Arial"/>
          <w:szCs w:val="22"/>
        </w:rPr>
        <w:t xml:space="preserve"> where relevant</w:t>
      </w:r>
      <w:r w:rsidR="00F909AD">
        <w:rPr>
          <w:rFonts w:cs="Arial"/>
          <w:szCs w:val="22"/>
        </w:rPr>
        <w:t>,</w:t>
      </w:r>
      <w:r w:rsidRPr="00893002">
        <w:rPr>
          <w:rFonts w:cs="Arial"/>
          <w:szCs w:val="22"/>
        </w:rPr>
        <w:t xml:space="preserve"> is in contact with stakeholders such as ECTA, INTA, and MARQUES. </w:t>
      </w:r>
      <w:proofErr w:type="gramStart"/>
      <w:r>
        <w:rPr>
          <w:rFonts w:cs="Arial"/>
          <w:szCs w:val="22"/>
        </w:rPr>
        <w:t xml:space="preserve">It is moreover </w:t>
      </w:r>
      <w:r w:rsidRPr="00893002">
        <w:rPr>
          <w:rFonts w:cs="Arial"/>
          <w:szCs w:val="22"/>
        </w:rPr>
        <w:t>noted that in the June 2022 Communique from ICANN 74, the ICANN Governmental Advisory Committee</w:t>
      </w:r>
      <w:r w:rsidR="00EE0F9C">
        <w:rPr>
          <w:rFonts w:cs="Arial"/>
          <w:szCs w:val="22"/>
        </w:rPr>
        <w:t xml:space="preserve"> (GAC)</w:t>
      </w:r>
      <w:r w:rsidRPr="00893002">
        <w:rPr>
          <w:rFonts w:cs="Arial"/>
          <w:szCs w:val="22"/>
        </w:rPr>
        <w:t xml:space="preserve"> recalled that </w:t>
      </w:r>
      <w:r w:rsidR="00312B51">
        <w:rPr>
          <w:rFonts w:cs="Arial"/>
          <w:szCs w:val="22"/>
        </w:rPr>
        <w:t>“</w:t>
      </w:r>
      <w:r w:rsidRPr="00893002">
        <w:rPr>
          <w:szCs w:val="22"/>
        </w:rPr>
        <w:t xml:space="preserve">The GAC received an update on the status of a planned review of the UDRP, and in particular notes reference to section 13.1 of the ICANN Bylaws which calls on and indeed encourages, the Board and constituent bodies to seek advice from relevant public bodies with existing expertise that resides outside of ICANN (notably the World Intellectual Property Organization—WIPO, as author and steward of the UDRP) to inform </w:t>
      </w:r>
      <w:r w:rsidR="00FE0436">
        <w:rPr>
          <w:szCs w:val="22"/>
        </w:rPr>
        <w:t>discussions</w:t>
      </w:r>
      <w:r w:rsidRPr="00893002">
        <w:rPr>
          <w:szCs w:val="22"/>
        </w:rPr>
        <w:t>, and looks forward to further exploring this</w:t>
      </w:r>
      <w:r>
        <w:rPr>
          <w:szCs w:val="22"/>
        </w:rPr>
        <w:t xml:space="preserve"> </w:t>
      </w:r>
      <w:r w:rsidRPr="00893002">
        <w:rPr>
          <w:rFonts w:cs="Arial"/>
          <w:szCs w:val="22"/>
        </w:rPr>
        <w:t xml:space="preserve">provision </w:t>
      </w:r>
      <w:r w:rsidR="00FE0436">
        <w:rPr>
          <w:rFonts w:cs="Arial"/>
          <w:szCs w:val="22"/>
        </w:rPr>
        <w:t xml:space="preserve">in connection with the UDRP </w:t>
      </w:r>
      <w:r w:rsidRPr="00893002">
        <w:rPr>
          <w:rFonts w:cs="Arial"/>
          <w:szCs w:val="22"/>
        </w:rPr>
        <w:t xml:space="preserve">review </w:t>
      </w:r>
      <w:r w:rsidR="00FE0436">
        <w:rPr>
          <w:rFonts w:cs="Arial"/>
          <w:szCs w:val="22"/>
        </w:rPr>
        <w:t>process</w:t>
      </w:r>
      <w:r w:rsidRPr="00893002">
        <w:rPr>
          <w:rFonts w:cs="Arial"/>
          <w:szCs w:val="22"/>
        </w:rPr>
        <w:t>.</w:t>
      </w:r>
      <w:r w:rsidR="00312B51">
        <w:rPr>
          <w:rFonts w:cs="Arial"/>
          <w:szCs w:val="22"/>
        </w:rPr>
        <w:t>”</w:t>
      </w:r>
      <w:r>
        <w:rPr>
          <w:rStyle w:val="FootnoteReference"/>
          <w:rFonts w:cs="Arial"/>
          <w:szCs w:val="22"/>
        </w:rPr>
        <w:footnoteReference w:id="73"/>
      </w:r>
      <w:proofErr w:type="gramEnd"/>
    </w:p>
    <w:p w14:paraId="0F97A782" w14:textId="77777777" w:rsidR="008D6F26" w:rsidRPr="005B4F4B" w:rsidRDefault="008D6F26" w:rsidP="006E79F5">
      <w:pPr>
        <w:pStyle w:val="Heading3"/>
        <w:ind w:firstLine="567"/>
        <w:rPr>
          <w:u w:val="none"/>
        </w:rPr>
      </w:pPr>
      <w:r w:rsidRPr="005B4F4B">
        <w:rPr>
          <w:u w:val="none"/>
        </w:rPr>
        <w:t>C.</w:t>
      </w:r>
      <w:r w:rsidRPr="005B4F4B">
        <w:rPr>
          <w:u w:val="none"/>
        </w:rPr>
        <w:tab/>
        <w:t>GDPR AND THE WHOIS DATABASE</w:t>
      </w:r>
    </w:p>
    <w:p w14:paraId="4801E70A" w14:textId="2118B863" w:rsidR="008D6F26" w:rsidRPr="005B4F4B" w:rsidRDefault="008D6F26" w:rsidP="006E79F5">
      <w:pPr>
        <w:pStyle w:val="ListParagraph"/>
        <w:widowControl w:val="0"/>
        <w:numPr>
          <w:ilvl w:val="0"/>
          <w:numId w:val="7"/>
        </w:numPr>
        <w:spacing w:before="240"/>
        <w:ind w:left="0" w:firstLine="0"/>
        <w:contextualSpacing w:val="0"/>
        <w:rPr>
          <w:rFonts w:cs="Arial"/>
          <w:szCs w:val="22"/>
        </w:rPr>
      </w:pPr>
      <w:r w:rsidRPr="005B4F4B">
        <w:rPr>
          <w:rFonts w:cs="Arial"/>
          <w:szCs w:val="22"/>
        </w:rPr>
        <w:t>The European Union</w:t>
      </w:r>
      <w:r w:rsidR="00312B51">
        <w:rPr>
          <w:rFonts w:cs="Arial"/>
          <w:szCs w:val="22"/>
        </w:rPr>
        <w:t>’</w:t>
      </w:r>
      <w:r w:rsidRPr="005B4F4B">
        <w:rPr>
          <w:rFonts w:cs="Arial"/>
          <w:szCs w:val="22"/>
        </w:rPr>
        <w:t xml:space="preserve">s General Data Protection Regulation (GDPR) came into force on May 25, 2018. As stated by the European Commission, the overarching aim of the GDPR is to address privacy and data concerns, whereby these aims </w:t>
      </w:r>
      <w:proofErr w:type="gramStart"/>
      <w:r w:rsidRPr="005B4F4B">
        <w:rPr>
          <w:rFonts w:cs="Arial"/>
          <w:szCs w:val="22"/>
        </w:rPr>
        <w:t>must be measured</w:t>
      </w:r>
      <w:proofErr w:type="gramEnd"/>
      <w:r w:rsidRPr="005B4F4B">
        <w:rPr>
          <w:rFonts w:cs="Arial"/>
          <w:szCs w:val="22"/>
        </w:rPr>
        <w:t xml:space="preserve"> against legitimate third</w:t>
      </w:r>
      <w:r w:rsidRPr="005B4F4B">
        <w:rPr>
          <w:rFonts w:cs="Arial"/>
          <w:szCs w:val="22"/>
        </w:rPr>
        <w:noBreakHyphen/>
        <w:t xml:space="preserve">party interests such as contracts and legal disputes. </w:t>
      </w:r>
    </w:p>
    <w:p w14:paraId="0C09490C" w14:textId="1BBCDF0B" w:rsidR="008D6F26" w:rsidRPr="005B4F4B" w:rsidRDefault="008D6F26" w:rsidP="006E79F5">
      <w:pPr>
        <w:pStyle w:val="ListParagraph"/>
        <w:widowControl w:val="0"/>
        <w:numPr>
          <w:ilvl w:val="0"/>
          <w:numId w:val="7"/>
        </w:numPr>
        <w:spacing w:before="240" w:after="240"/>
        <w:ind w:left="0" w:firstLine="0"/>
        <w:contextualSpacing w:val="0"/>
        <w:rPr>
          <w:rFonts w:cs="Arial"/>
          <w:szCs w:val="22"/>
        </w:rPr>
      </w:pPr>
      <w:r w:rsidRPr="005B4F4B">
        <w:rPr>
          <w:rFonts w:cs="Arial"/>
          <w:szCs w:val="22"/>
        </w:rPr>
        <w:t xml:space="preserve">After May 25, 2018, </w:t>
      </w:r>
      <w:proofErr w:type="gramStart"/>
      <w:r w:rsidRPr="005B4F4B">
        <w:rPr>
          <w:rFonts w:cs="Arial"/>
          <w:szCs w:val="22"/>
        </w:rPr>
        <w:t>publicly-available</w:t>
      </w:r>
      <w:proofErr w:type="gramEnd"/>
      <w:r w:rsidRPr="005B4F4B">
        <w:rPr>
          <w:rFonts w:cs="Arial"/>
          <w:szCs w:val="22"/>
        </w:rPr>
        <w:t xml:space="preserve"> </w:t>
      </w:r>
      <w:proofErr w:type="spellStart"/>
      <w:r w:rsidRPr="005B4F4B">
        <w:rPr>
          <w:rFonts w:cs="Arial"/>
          <w:szCs w:val="22"/>
        </w:rPr>
        <w:t>WhoIs</w:t>
      </w:r>
      <w:proofErr w:type="spellEnd"/>
      <w:r w:rsidRPr="005B4F4B">
        <w:rPr>
          <w:rFonts w:cs="Arial"/>
          <w:szCs w:val="22"/>
        </w:rPr>
        <w:t xml:space="preserve"> data no longer includes full contact details for the domain name registrant. Such data is generally limited to the </w:t>
      </w:r>
      <w:r w:rsidR="00312B51">
        <w:rPr>
          <w:rFonts w:cs="Arial"/>
          <w:szCs w:val="22"/>
        </w:rPr>
        <w:t>“</w:t>
      </w:r>
      <w:r w:rsidRPr="005B4F4B">
        <w:rPr>
          <w:rFonts w:cs="Arial"/>
          <w:szCs w:val="22"/>
        </w:rPr>
        <w:t>registrant organization</w:t>
      </w:r>
      <w:r w:rsidR="00312B51">
        <w:rPr>
          <w:rFonts w:cs="Arial"/>
          <w:szCs w:val="22"/>
        </w:rPr>
        <w:t>”</w:t>
      </w:r>
      <w:r w:rsidRPr="005B4F4B">
        <w:rPr>
          <w:rFonts w:cs="Arial"/>
          <w:szCs w:val="22"/>
        </w:rPr>
        <w:t xml:space="preserve"> and country.</w:t>
      </w:r>
      <w:r w:rsidRPr="005B4F4B">
        <w:rPr>
          <w:rStyle w:val="FootnoteReference"/>
          <w:rFonts w:cs="Arial"/>
          <w:szCs w:val="22"/>
        </w:rPr>
        <w:footnoteReference w:id="74"/>
      </w:r>
      <w:r w:rsidRPr="005B4F4B">
        <w:rPr>
          <w:rFonts w:cs="Arial"/>
          <w:szCs w:val="22"/>
        </w:rPr>
        <w:t xml:space="preserve"> Despite these public limitations, where a UDRP provider has received a UDRP complaint, ICANN-compliant registrars will normally provide </w:t>
      </w:r>
      <w:proofErr w:type="spellStart"/>
      <w:r w:rsidRPr="005B4F4B">
        <w:rPr>
          <w:rFonts w:cs="Arial"/>
          <w:szCs w:val="22"/>
        </w:rPr>
        <w:t>WhoIs</w:t>
      </w:r>
      <w:proofErr w:type="spellEnd"/>
      <w:r w:rsidRPr="005B4F4B">
        <w:rPr>
          <w:rFonts w:cs="Arial"/>
          <w:szCs w:val="22"/>
        </w:rPr>
        <w:t xml:space="preserve"> information on </w:t>
      </w:r>
      <w:r w:rsidR="006E2D4B">
        <w:rPr>
          <w:rFonts w:cs="Arial"/>
          <w:szCs w:val="22"/>
        </w:rPr>
        <w:t xml:space="preserve">the </w:t>
      </w:r>
      <w:r w:rsidRPr="005B4F4B">
        <w:rPr>
          <w:rFonts w:cs="Arial"/>
          <w:szCs w:val="22"/>
        </w:rPr>
        <w:t xml:space="preserve">request from such provider (and at the same time </w:t>
      </w:r>
      <w:r w:rsidR="00312B51">
        <w:rPr>
          <w:rFonts w:cs="Arial"/>
          <w:szCs w:val="22"/>
        </w:rPr>
        <w:t>“</w:t>
      </w:r>
      <w:r w:rsidRPr="005B4F4B">
        <w:rPr>
          <w:rFonts w:cs="Arial"/>
          <w:szCs w:val="22"/>
        </w:rPr>
        <w:t>lock</w:t>
      </w:r>
      <w:r w:rsidR="00312B51">
        <w:rPr>
          <w:rFonts w:cs="Arial"/>
          <w:szCs w:val="22"/>
        </w:rPr>
        <w:t>”</w:t>
      </w:r>
      <w:r w:rsidRPr="005B4F4B">
        <w:rPr>
          <w:rFonts w:cs="Arial"/>
          <w:szCs w:val="22"/>
        </w:rPr>
        <w:t xml:space="preserve"> the domain name</w:t>
      </w:r>
      <w:r w:rsidR="00312B51">
        <w:rPr>
          <w:rFonts w:cs="Arial"/>
          <w:szCs w:val="22"/>
        </w:rPr>
        <w:t>’</w:t>
      </w:r>
      <w:r w:rsidRPr="005B4F4B">
        <w:rPr>
          <w:rFonts w:cs="Arial"/>
          <w:szCs w:val="22"/>
        </w:rPr>
        <w:t>s registration and registrar details), further to due process requirements codified in the UDRP Rules.</w:t>
      </w:r>
      <w:r w:rsidRPr="005B4F4B">
        <w:rPr>
          <w:rStyle w:val="FootnoteReference"/>
          <w:rFonts w:cs="Arial"/>
          <w:szCs w:val="22"/>
        </w:rPr>
        <w:footnoteReference w:id="75"/>
      </w:r>
      <w:r w:rsidRPr="005B4F4B">
        <w:rPr>
          <w:rFonts w:cs="Arial"/>
          <w:szCs w:val="22"/>
        </w:rPr>
        <w:t xml:space="preserve"> </w:t>
      </w:r>
    </w:p>
    <w:p w14:paraId="5B43FFBD" w14:textId="06BD8FE9" w:rsidR="008D6F26" w:rsidRPr="005B4F4B" w:rsidRDefault="008D6F26" w:rsidP="006E79F5">
      <w:pPr>
        <w:pStyle w:val="ListParagraph"/>
        <w:widowControl w:val="0"/>
        <w:numPr>
          <w:ilvl w:val="0"/>
          <w:numId w:val="7"/>
        </w:numPr>
        <w:spacing w:after="240"/>
        <w:ind w:left="0" w:firstLine="0"/>
        <w:contextualSpacing w:val="0"/>
        <w:rPr>
          <w:rFonts w:cs="Arial"/>
          <w:szCs w:val="22"/>
        </w:rPr>
      </w:pPr>
      <w:r w:rsidRPr="005B4F4B">
        <w:rPr>
          <w:rFonts w:cs="Arial"/>
          <w:szCs w:val="22"/>
        </w:rPr>
        <w:t xml:space="preserve">The Center continues </w:t>
      </w:r>
      <w:proofErr w:type="gramStart"/>
      <w:r w:rsidRPr="005B4F4B">
        <w:rPr>
          <w:rFonts w:cs="Arial"/>
          <w:szCs w:val="22"/>
        </w:rPr>
        <w:t>to closely monitor</w:t>
      </w:r>
      <w:proofErr w:type="gramEnd"/>
      <w:r w:rsidRPr="005B4F4B">
        <w:rPr>
          <w:rFonts w:cs="Arial"/>
          <w:szCs w:val="22"/>
        </w:rPr>
        <w:t xml:space="preserve"> the impact of data protection regulations on UDRP proceedings. Separate from the Center</w:t>
      </w:r>
      <w:r w:rsidR="00312B51">
        <w:rPr>
          <w:rFonts w:cs="Arial"/>
          <w:szCs w:val="22"/>
        </w:rPr>
        <w:t>’</w:t>
      </w:r>
      <w:r w:rsidRPr="005B4F4B">
        <w:rPr>
          <w:rFonts w:cs="Arial"/>
          <w:szCs w:val="22"/>
        </w:rPr>
        <w:t xml:space="preserve">s UDRP function, with a view to addressing broader IP enforcement concerns occasioned by privacy regulation, there are significant ongoing stakeholder discussions on a possible </w:t>
      </w:r>
      <w:proofErr w:type="spellStart"/>
      <w:r w:rsidRPr="005B4F4B">
        <w:rPr>
          <w:rFonts w:cs="Arial"/>
          <w:szCs w:val="22"/>
        </w:rPr>
        <w:t>WhoIs</w:t>
      </w:r>
      <w:proofErr w:type="spellEnd"/>
      <w:r w:rsidRPr="005B4F4B">
        <w:rPr>
          <w:rFonts w:cs="Arial"/>
          <w:szCs w:val="22"/>
        </w:rPr>
        <w:t xml:space="preserve"> </w:t>
      </w:r>
      <w:r w:rsidR="00312B51">
        <w:rPr>
          <w:rFonts w:cs="Arial"/>
          <w:szCs w:val="22"/>
        </w:rPr>
        <w:t>“</w:t>
      </w:r>
      <w:r w:rsidRPr="005B4F4B">
        <w:rPr>
          <w:rFonts w:cs="Arial"/>
          <w:szCs w:val="22"/>
        </w:rPr>
        <w:t>accreditation and access</w:t>
      </w:r>
      <w:r w:rsidR="00312B51">
        <w:rPr>
          <w:rFonts w:cs="Arial"/>
          <w:szCs w:val="22"/>
        </w:rPr>
        <w:t>”</w:t>
      </w:r>
      <w:r w:rsidRPr="005B4F4B">
        <w:rPr>
          <w:rFonts w:cs="Arial"/>
          <w:szCs w:val="22"/>
        </w:rPr>
        <w:t xml:space="preserve"> model, including as to a potential WIPO role to certify IP owners</w:t>
      </w:r>
      <w:r w:rsidR="00312B51">
        <w:rPr>
          <w:rFonts w:cs="Arial"/>
          <w:szCs w:val="22"/>
        </w:rPr>
        <w:t>’</w:t>
      </w:r>
      <w:r w:rsidRPr="005B4F4B">
        <w:rPr>
          <w:rFonts w:cs="Arial"/>
          <w:szCs w:val="22"/>
        </w:rPr>
        <w:t xml:space="preserve"> rights for such access.</w:t>
      </w:r>
      <w:r w:rsidRPr="005B4F4B">
        <w:rPr>
          <w:rStyle w:val="FootnoteReference"/>
          <w:rFonts w:cs="Arial"/>
          <w:szCs w:val="22"/>
        </w:rPr>
        <w:footnoteReference w:id="76"/>
      </w:r>
      <w:r w:rsidRPr="005B4F4B">
        <w:rPr>
          <w:rFonts w:cs="Arial"/>
          <w:szCs w:val="22"/>
        </w:rPr>
        <w:t xml:space="preserve"> ICANN </w:t>
      </w:r>
      <w:r w:rsidRPr="005B4F4B">
        <w:rPr>
          <w:rFonts w:cs="Arial"/>
          <w:szCs w:val="22"/>
        </w:rPr>
        <w:lastRenderedPageBreak/>
        <w:t>debate continues as to the specifics of what has also been called a System for Standardized Access/Disclosure to non</w:t>
      </w:r>
      <w:r w:rsidRPr="005B4F4B">
        <w:rPr>
          <w:rFonts w:cs="Arial"/>
          <w:szCs w:val="22"/>
        </w:rPr>
        <w:noBreakHyphen/>
        <w:t xml:space="preserve">public </w:t>
      </w:r>
      <w:proofErr w:type="spellStart"/>
      <w:r w:rsidRPr="005B4F4B">
        <w:rPr>
          <w:rFonts w:cs="Arial"/>
          <w:szCs w:val="22"/>
        </w:rPr>
        <w:t>gTLD</w:t>
      </w:r>
      <w:proofErr w:type="spellEnd"/>
      <w:r w:rsidRPr="005B4F4B">
        <w:rPr>
          <w:rFonts w:cs="Arial"/>
          <w:szCs w:val="22"/>
        </w:rPr>
        <w:t xml:space="preserve"> registration data (</w:t>
      </w:r>
      <w:r w:rsidR="00312B51">
        <w:rPr>
          <w:rFonts w:cs="Arial"/>
          <w:szCs w:val="22"/>
        </w:rPr>
        <w:t>“</w:t>
      </w:r>
      <w:r w:rsidRPr="005B4F4B">
        <w:rPr>
          <w:rFonts w:cs="Arial"/>
          <w:szCs w:val="22"/>
        </w:rPr>
        <w:t>SSAD</w:t>
      </w:r>
      <w:r w:rsidR="00312B51">
        <w:rPr>
          <w:rFonts w:cs="Arial"/>
          <w:szCs w:val="22"/>
        </w:rPr>
        <w:t>”</w:t>
      </w:r>
      <w:r w:rsidRPr="005B4F4B">
        <w:rPr>
          <w:rFonts w:cs="Arial"/>
          <w:szCs w:val="22"/>
        </w:rPr>
        <w:t>), including at a policy level through ICANN</w:t>
      </w:r>
      <w:r w:rsidR="00312B51">
        <w:rPr>
          <w:rFonts w:cs="Arial"/>
          <w:szCs w:val="22"/>
        </w:rPr>
        <w:t>’</w:t>
      </w:r>
      <w:r w:rsidRPr="005B4F4B">
        <w:rPr>
          <w:rFonts w:cs="Arial"/>
          <w:szCs w:val="22"/>
        </w:rPr>
        <w:t>s Expedited Policy Development Process (or EPDP).</w:t>
      </w:r>
      <w:r w:rsidRPr="005B4F4B">
        <w:rPr>
          <w:rStyle w:val="FootnoteReference"/>
          <w:rFonts w:cs="Arial"/>
          <w:szCs w:val="22"/>
        </w:rPr>
        <w:footnoteReference w:id="77"/>
      </w:r>
      <w:r w:rsidRPr="005B4F4B">
        <w:rPr>
          <w:rFonts w:cs="Arial"/>
          <w:szCs w:val="22"/>
        </w:rPr>
        <w:t xml:space="preserve"> </w:t>
      </w:r>
      <w:r w:rsidR="00372284">
        <w:rPr>
          <w:rFonts w:cs="Arial"/>
          <w:szCs w:val="22"/>
        </w:rPr>
        <w:t>Most recently, ICANN has</w:t>
      </w:r>
      <w:r w:rsidR="005D7AF7">
        <w:rPr>
          <w:rFonts w:cs="Arial"/>
          <w:szCs w:val="22"/>
        </w:rPr>
        <w:t xml:space="preserve"> approved the </w:t>
      </w:r>
      <w:r w:rsidR="005D7AF7">
        <w:t xml:space="preserve">development and launch of a WHOIS Disclosure System pilot program to </w:t>
      </w:r>
      <w:proofErr w:type="gramStart"/>
      <w:r w:rsidR="005D7AF7">
        <w:t>be run</w:t>
      </w:r>
      <w:proofErr w:type="gramEnd"/>
      <w:r w:rsidR="005D7AF7">
        <w:t xml:space="preserve"> for up to two years to inform any further policy action in this regard.</w:t>
      </w:r>
      <w:r w:rsidR="005D7AF7">
        <w:rPr>
          <w:rStyle w:val="FootnoteReference"/>
        </w:rPr>
        <w:footnoteReference w:id="78"/>
      </w:r>
      <w:r w:rsidR="00704F9A">
        <w:t xml:space="preserve"> </w:t>
      </w:r>
      <w:r w:rsidR="005D7AF7">
        <w:t>Notably, the ICANN Board</w:t>
      </w:r>
      <w:r w:rsidR="00312B51">
        <w:t>’</w:t>
      </w:r>
      <w:r w:rsidR="00DC1B85">
        <w:t xml:space="preserve">s decision </w:t>
      </w:r>
      <w:r w:rsidR="005D7AF7">
        <w:t>to leave registrar (and registry) participation in such pilot pr</w:t>
      </w:r>
      <w:r w:rsidR="00DC1B85">
        <w:t xml:space="preserve">ogram as voluntary </w:t>
      </w:r>
      <w:r w:rsidR="005D7AF7">
        <w:t>has raised significant concerns; discussions on this continue.</w:t>
      </w:r>
    </w:p>
    <w:p w14:paraId="5AB6E035" w14:textId="77777777" w:rsidR="008D6F26" w:rsidRPr="005B4F4B" w:rsidRDefault="008D6F26" w:rsidP="006E79F5">
      <w:pPr>
        <w:pStyle w:val="Heading3"/>
        <w:ind w:firstLine="567"/>
        <w:rPr>
          <w:u w:val="none"/>
        </w:rPr>
      </w:pPr>
      <w:r w:rsidRPr="005B4F4B">
        <w:rPr>
          <w:u w:val="none"/>
        </w:rPr>
        <w:t>D.</w:t>
      </w:r>
      <w:r w:rsidRPr="005B4F4B">
        <w:rPr>
          <w:u w:val="none"/>
        </w:rPr>
        <w:tab/>
        <w:t>IDNS</w:t>
      </w:r>
    </w:p>
    <w:p w14:paraId="34C43655" w14:textId="77777777" w:rsidR="008D6F26" w:rsidRPr="005B4F4B" w:rsidRDefault="008D6F26" w:rsidP="006E79F5">
      <w:pPr>
        <w:pStyle w:val="ListParagraph"/>
        <w:widowControl w:val="0"/>
        <w:numPr>
          <w:ilvl w:val="0"/>
          <w:numId w:val="7"/>
        </w:numPr>
        <w:spacing w:before="240" w:after="240"/>
        <w:ind w:left="0" w:firstLine="0"/>
        <w:contextualSpacing w:val="0"/>
        <w:rPr>
          <w:rFonts w:cs="Arial"/>
          <w:szCs w:val="22"/>
        </w:rPr>
      </w:pPr>
      <w:r w:rsidRPr="005B4F4B">
        <w:rPr>
          <w:rFonts w:cs="Arial"/>
          <w:szCs w:val="22"/>
        </w:rPr>
        <w:t xml:space="preserve">As </w:t>
      </w:r>
      <w:r w:rsidRPr="005B4F4B">
        <w:rPr>
          <w:rFonts w:cs="Arial"/>
          <w:szCs w:val="22"/>
          <w:shd w:val="clear" w:color="auto" w:fill="FFFFFF" w:themeFill="background1"/>
        </w:rPr>
        <w:t xml:space="preserve">observed </w:t>
      </w:r>
      <w:r w:rsidRPr="00DC1B85">
        <w:rPr>
          <w:rFonts w:cs="Arial"/>
          <w:szCs w:val="22"/>
          <w:shd w:val="clear" w:color="auto" w:fill="FFFFFF" w:themeFill="background1"/>
        </w:rPr>
        <w:t>in paragraph 26, another</w:t>
      </w:r>
      <w:r w:rsidRPr="005B4F4B">
        <w:rPr>
          <w:rFonts w:cs="Arial"/>
          <w:szCs w:val="22"/>
        </w:rPr>
        <w:t xml:space="preserve"> noteworthy policy development in the DNS is the introduction of IDNs (non-Latin script) at the top level.</w:t>
      </w:r>
      <w:r w:rsidRPr="005B4F4B">
        <w:rPr>
          <w:rStyle w:val="FootnoteReference"/>
          <w:rFonts w:eastAsia="SimSun" w:cs="Arial"/>
          <w:szCs w:val="22"/>
        </w:rPr>
        <w:footnoteReference w:id="79"/>
      </w:r>
      <w:r w:rsidRPr="005B4F4B">
        <w:rPr>
          <w:rFonts w:cs="Arial"/>
          <w:szCs w:val="22"/>
        </w:rPr>
        <w:t xml:space="preserve"> Many of these were among the first new </w:t>
      </w:r>
      <w:proofErr w:type="spellStart"/>
      <w:r w:rsidRPr="005B4F4B">
        <w:rPr>
          <w:rFonts w:cs="Arial"/>
          <w:szCs w:val="22"/>
        </w:rPr>
        <w:t>gTLDs</w:t>
      </w:r>
      <w:proofErr w:type="spellEnd"/>
      <w:r w:rsidRPr="005B4F4B">
        <w:rPr>
          <w:rFonts w:cs="Arial"/>
          <w:szCs w:val="22"/>
        </w:rPr>
        <w:t xml:space="preserve"> announced by ICANN for delegation in the DNS root zone. </w:t>
      </w:r>
    </w:p>
    <w:p w14:paraId="666535FD" w14:textId="77777777" w:rsidR="008D6F26" w:rsidRPr="005B4F4B" w:rsidRDefault="008D6F26" w:rsidP="006E79F5">
      <w:pPr>
        <w:pStyle w:val="Heading3"/>
        <w:ind w:firstLine="567"/>
        <w:rPr>
          <w:u w:val="none"/>
        </w:rPr>
      </w:pPr>
      <w:r w:rsidRPr="005B4F4B">
        <w:rPr>
          <w:u w:val="none"/>
        </w:rPr>
        <w:t>E.</w:t>
      </w:r>
      <w:r w:rsidRPr="005B4F4B">
        <w:rPr>
          <w:u w:val="none"/>
        </w:rPr>
        <w:tab/>
        <w:t>OTHER IDENTIFIERS</w:t>
      </w:r>
    </w:p>
    <w:p w14:paraId="53D52651" w14:textId="77777777" w:rsidR="008D6F26" w:rsidRPr="005B4F4B" w:rsidRDefault="008D6F26" w:rsidP="006E79F5">
      <w:pPr>
        <w:pStyle w:val="ListParagraph"/>
        <w:numPr>
          <w:ilvl w:val="0"/>
          <w:numId w:val="7"/>
        </w:numPr>
        <w:spacing w:before="240" w:after="240"/>
        <w:ind w:left="0" w:firstLine="0"/>
        <w:contextualSpacing w:val="0"/>
        <w:rPr>
          <w:rFonts w:cs="Arial"/>
          <w:szCs w:val="22"/>
        </w:rPr>
      </w:pPr>
      <w:r w:rsidRPr="005B4F4B">
        <w:rPr>
          <w:rFonts w:cs="Arial"/>
          <w:szCs w:val="22"/>
        </w:rPr>
        <w:t>In addition to and in connection with the above, there are further developments taking place at ICANN in relation to the protection of non</w:t>
      </w:r>
      <w:r w:rsidRPr="005B4F4B">
        <w:rPr>
          <w:rFonts w:cs="Arial"/>
          <w:szCs w:val="22"/>
        </w:rPr>
        <w:noBreakHyphen/>
        <w:t>trademark identifiers.</w:t>
      </w:r>
    </w:p>
    <w:p w14:paraId="332BD17C" w14:textId="77777777" w:rsidR="008D6F26" w:rsidRPr="005B4F4B" w:rsidRDefault="008D6F26" w:rsidP="006E79F5">
      <w:pPr>
        <w:pStyle w:val="Heading3"/>
        <w:keepNext w:val="0"/>
        <w:widowControl w:val="0"/>
        <w:ind w:left="567" w:firstLine="567"/>
      </w:pPr>
      <w:r w:rsidRPr="005B4F4B">
        <w:rPr>
          <w:u w:val="none"/>
        </w:rPr>
        <w:t>(a)</w:t>
      </w:r>
      <w:r w:rsidRPr="005B4F4B">
        <w:rPr>
          <w:u w:val="none"/>
        </w:rPr>
        <w:tab/>
      </w:r>
      <w:r w:rsidRPr="005B4F4B">
        <w:t xml:space="preserve">International Governmental Organizations </w:t>
      </w:r>
      <w:r w:rsidRPr="005B4F4B">
        <w:rPr>
          <w:szCs w:val="22"/>
        </w:rPr>
        <w:t>(IGOs)</w:t>
      </w:r>
    </w:p>
    <w:p w14:paraId="331056A4" w14:textId="77777777" w:rsidR="008D6F26" w:rsidRPr="005B4F4B" w:rsidRDefault="008D6F26" w:rsidP="006E79F5">
      <w:pPr>
        <w:pStyle w:val="ListParagraph"/>
        <w:widowControl w:val="0"/>
        <w:numPr>
          <w:ilvl w:val="0"/>
          <w:numId w:val="7"/>
        </w:numPr>
        <w:spacing w:before="240" w:after="240"/>
        <w:ind w:left="0" w:firstLine="0"/>
        <w:contextualSpacing w:val="0"/>
        <w:rPr>
          <w:rFonts w:cs="Arial"/>
          <w:szCs w:val="22"/>
        </w:rPr>
      </w:pPr>
      <w:r w:rsidRPr="005B4F4B">
        <w:rPr>
          <w:rFonts w:cs="Arial"/>
          <w:szCs w:val="22"/>
        </w:rPr>
        <w:t xml:space="preserve">It </w:t>
      </w:r>
      <w:proofErr w:type="gramStart"/>
      <w:r w:rsidRPr="005B4F4B">
        <w:rPr>
          <w:rFonts w:cs="Arial"/>
          <w:szCs w:val="22"/>
        </w:rPr>
        <w:t>is recalled</w:t>
      </w:r>
      <w:proofErr w:type="gramEnd"/>
      <w:r w:rsidRPr="005B4F4B">
        <w:rPr>
          <w:rFonts w:cs="Arial"/>
          <w:szCs w:val="22"/>
        </w:rPr>
        <w:t xml:space="preserve"> that the First WIPO Process addressed the relationship between domain names and trademarks. The Second WIPO Process concerned the relationship between domain names and other types of identifiers, including country names and IGO names and acronyms. The 2002 WIPO General Assembly recommended amending the UDRP in order to provide protection for country names and the names and acronyms of IGOs.</w:t>
      </w:r>
      <w:r w:rsidRPr="005B4F4B">
        <w:rPr>
          <w:rFonts w:cs="Arial"/>
          <w:vertAlign w:val="superscript"/>
        </w:rPr>
        <w:footnoteReference w:id="80"/>
      </w:r>
      <w:r w:rsidRPr="005B4F4B">
        <w:rPr>
          <w:rFonts w:cs="Arial"/>
          <w:szCs w:val="22"/>
        </w:rPr>
        <w:t xml:space="preserve"> </w:t>
      </w:r>
    </w:p>
    <w:p w14:paraId="14D8AE31" w14:textId="6304BAAC" w:rsidR="008D6F26" w:rsidRPr="005B4F4B" w:rsidRDefault="008D6F26" w:rsidP="006E79F5">
      <w:pPr>
        <w:pStyle w:val="ListParagraph"/>
        <w:widowControl w:val="0"/>
        <w:numPr>
          <w:ilvl w:val="0"/>
          <w:numId w:val="7"/>
        </w:numPr>
        <w:spacing w:before="240" w:after="240"/>
        <w:ind w:left="0" w:firstLine="0"/>
        <w:contextualSpacing w:val="0"/>
        <w:rPr>
          <w:rFonts w:cs="Arial"/>
          <w:szCs w:val="22"/>
        </w:rPr>
      </w:pPr>
      <w:r w:rsidRPr="005B4F4B">
        <w:rPr>
          <w:rFonts w:cs="Arial"/>
          <w:szCs w:val="22"/>
        </w:rPr>
        <w:t>These recommendations were part of protracted and complex deliberations within ICANN</w:t>
      </w:r>
      <w:r w:rsidR="00312B51">
        <w:rPr>
          <w:rFonts w:cs="Arial"/>
          <w:szCs w:val="22"/>
        </w:rPr>
        <w:t>’</w:t>
      </w:r>
      <w:r w:rsidRPr="005B4F4B">
        <w:rPr>
          <w:rFonts w:cs="Arial"/>
          <w:szCs w:val="22"/>
        </w:rPr>
        <w:t xml:space="preserve">s multi-layered policy development framework, as relevant especially to the application conditions for new </w:t>
      </w:r>
      <w:proofErr w:type="spellStart"/>
      <w:r w:rsidRPr="005B4F4B">
        <w:rPr>
          <w:rFonts w:cs="Arial"/>
          <w:szCs w:val="22"/>
        </w:rPr>
        <w:t>gTLDs</w:t>
      </w:r>
      <w:proofErr w:type="spellEnd"/>
      <w:r w:rsidRPr="005B4F4B">
        <w:rPr>
          <w:rFonts w:cs="Arial"/>
          <w:szCs w:val="22"/>
        </w:rPr>
        <w:t xml:space="preserve">. Previous </w:t>
      </w:r>
      <w:r w:rsidRPr="005B4F4B">
        <w:rPr>
          <w:rFonts w:cs="Arial"/>
          <w:szCs w:val="22"/>
          <w:shd w:val="clear" w:color="auto" w:fill="FFFFFF" w:themeFill="background1"/>
        </w:rPr>
        <w:t>WIPO General Assembly documents</w:t>
      </w:r>
      <w:r w:rsidRPr="005B4F4B">
        <w:rPr>
          <w:rFonts w:cs="Arial"/>
          <w:szCs w:val="22"/>
        </w:rPr>
        <w:t xml:space="preserve"> track in more detail the process and substance of these continuing deliberations, which in the ICANN ecosystem notably involve the</w:t>
      </w:r>
      <w:r w:rsidR="00EE0F9C">
        <w:rPr>
          <w:rFonts w:cs="Arial"/>
          <w:szCs w:val="24"/>
        </w:rPr>
        <w:t xml:space="preserve"> </w:t>
      </w:r>
      <w:r w:rsidRPr="005B4F4B">
        <w:rPr>
          <w:rFonts w:cs="Arial"/>
          <w:szCs w:val="24"/>
        </w:rPr>
        <w:t xml:space="preserve">GAC, the Board, the </w:t>
      </w:r>
      <w:r w:rsidRPr="005B4F4B">
        <w:rPr>
          <w:rFonts w:cs="Arial"/>
          <w:szCs w:val="22"/>
        </w:rPr>
        <w:t>Board</w:t>
      </w:r>
      <w:r w:rsidR="00312B51">
        <w:rPr>
          <w:rFonts w:cs="Arial"/>
          <w:szCs w:val="22"/>
        </w:rPr>
        <w:t>’</w:t>
      </w:r>
      <w:r w:rsidRPr="005B4F4B">
        <w:rPr>
          <w:rFonts w:cs="Arial"/>
          <w:szCs w:val="22"/>
        </w:rPr>
        <w:t xml:space="preserve">s </w:t>
      </w:r>
      <w:proofErr w:type="gramStart"/>
      <w:r w:rsidRPr="005B4F4B">
        <w:rPr>
          <w:rFonts w:cs="Arial"/>
          <w:szCs w:val="22"/>
        </w:rPr>
        <w:t>New</w:t>
      </w:r>
      <w:proofErr w:type="gramEnd"/>
      <w:r w:rsidRPr="005B4F4B">
        <w:rPr>
          <w:rFonts w:cs="Arial"/>
          <w:szCs w:val="22"/>
        </w:rPr>
        <w:t xml:space="preserve"> </w:t>
      </w:r>
      <w:proofErr w:type="spellStart"/>
      <w:r w:rsidRPr="005B4F4B">
        <w:rPr>
          <w:rFonts w:cs="Arial"/>
          <w:szCs w:val="22"/>
        </w:rPr>
        <w:t>gTLD</w:t>
      </w:r>
      <w:proofErr w:type="spellEnd"/>
      <w:r w:rsidRPr="005B4F4B">
        <w:rPr>
          <w:rFonts w:cs="Arial"/>
          <w:szCs w:val="22"/>
        </w:rPr>
        <w:t xml:space="preserve"> Program Committee (NGPC), and the GNSO Council.</w:t>
      </w:r>
      <w:r w:rsidRPr="005B4F4B">
        <w:rPr>
          <w:rStyle w:val="FootnoteReference"/>
          <w:rFonts w:cs="Arial"/>
          <w:szCs w:val="22"/>
        </w:rPr>
        <w:footnoteReference w:id="81"/>
      </w:r>
    </w:p>
    <w:p w14:paraId="579F54C2" w14:textId="724BF155" w:rsidR="008D6F26" w:rsidRPr="00AB6384" w:rsidRDefault="008D6F26" w:rsidP="006E79F5">
      <w:pPr>
        <w:pStyle w:val="ListParagraph"/>
        <w:widowControl w:val="0"/>
        <w:numPr>
          <w:ilvl w:val="0"/>
          <w:numId w:val="7"/>
        </w:numPr>
        <w:spacing w:before="240" w:after="240"/>
        <w:ind w:left="0" w:firstLine="0"/>
        <w:contextualSpacing w:val="0"/>
        <w:rPr>
          <w:rFonts w:cs="Arial"/>
          <w:szCs w:val="22"/>
        </w:rPr>
      </w:pPr>
      <w:r w:rsidRPr="005B4F4B">
        <w:rPr>
          <w:rFonts w:cs="Arial"/>
          <w:szCs w:val="22"/>
        </w:rPr>
        <w:t xml:space="preserve">In terms of the present status of the issue of protection in the DNS of the names and acronyms of IGOs, on GAC advice the ICANN Board has provisionally reserved from third-party registration in new GTLDs the full names of IGOs at the top and second levels in two </w:t>
      </w:r>
      <w:r w:rsidRPr="005B4F4B">
        <w:rPr>
          <w:rFonts w:cs="Arial"/>
          <w:szCs w:val="22"/>
        </w:rPr>
        <w:lastRenderedPageBreak/>
        <w:t xml:space="preserve">languages. Meanwhile, despite GAC advice and IGO positions favoring preventative protection, in June 2014, the GNSO Council voted to initiate a second PDP on the desirability and modalities of giving IGOs access to curative RPMs (such as the UDRP or URS) to address abusive registration of IGO acronyms, or of IGO full names not covered by the aforementioned reservation. The resulting final Working Group recommendation has caused concerns for IGOs </w:t>
      </w:r>
      <w:r w:rsidRPr="00DD0D26">
        <w:rPr>
          <w:rFonts w:cs="Arial"/>
          <w:szCs w:val="22"/>
        </w:rPr>
        <w:t>and the GAC, requiring further policy work on a core recommendation</w:t>
      </w:r>
      <w:r w:rsidR="00882222">
        <w:rPr>
          <w:rFonts w:cs="Arial"/>
          <w:szCs w:val="22"/>
        </w:rPr>
        <w:t xml:space="preserve"> that </w:t>
      </w:r>
      <w:r w:rsidRPr="00DD0D26">
        <w:rPr>
          <w:rFonts w:cs="Arial"/>
          <w:szCs w:val="22"/>
        </w:rPr>
        <w:t>has since been the</w:t>
      </w:r>
      <w:r w:rsidRPr="005B4F4B">
        <w:rPr>
          <w:rFonts w:cs="Arial"/>
          <w:szCs w:val="22"/>
        </w:rPr>
        <w:t xml:space="preserve"> subject of GNSO Council re</w:t>
      </w:r>
      <w:r w:rsidR="006E2D4B">
        <w:rPr>
          <w:rFonts w:cs="Arial"/>
          <w:szCs w:val="22"/>
        </w:rPr>
        <w:t>-</w:t>
      </w:r>
      <w:r w:rsidRPr="005B4F4B">
        <w:rPr>
          <w:rFonts w:cs="Arial"/>
          <w:szCs w:val="22"/>
        </w:rPr>
        <w:t>chartering and referral to Phase 1 of the PDP mentioned in paragraph 34.</w:t>
      </w:r>
      <w:r w:rsidRPr="005B4F4B">
        <w:rPr>
          <w:rStyle w:val="FootnoteReference"/>
          <w:rFonts w:cs="Arial"/>
          <w:szCs w:val="22"/>
        </w:rPr>
        <w:footnoteReference w:id="82"/>
      </w:r>
      <w:r w:rsidRPr="005B4F4B">
        <w:rPr>
          <w:rFonts w:cs="Arial"/>
          <w:szCs w:val="22"/>
        </w:rPr>
        <w:t xml:space="preserve"> </w:t>
      </w:r>
      <w:proofErr w:type="gramStart"/>
      <w:r w:rsidRPr="00AB6384">
        <w:rPr>
          <w:rFonts w:cs="Arial"/>
          <w:szCs w:val="22"/>
        </w:rPr>
        <w:t xml:space="preserve">The GAC </w:t>
      </w:r>
      <w:r w:rsidR="00DD0D26" w:rsidRPr="00AB6384">
        <w:rPr>
          <w:rFonts w:cs="Arial"/>
          <w:szCs w:val="22"/>
        </w:rPr>
        <w:t xml:space="preserve">on its part </w:t>
      </w:r>
      <w:r w:rsidRPr="00AB6384">
        <w:rPr>
          <w:rFonts w:cs="Arial"/>
          <w:szCs w:val="22"/>
        </w:rPr>
        <w:t xml:space="preserve">has re-affirmed </w:t>
      </w:r>
      <w:r w:rsidR="00DD0D26" w:rsidRPr="00AB6384">
        <w:rPr>
          <w:rFonts w:cs="Arial"/>
          <w:szCs w:val="22"/>
        </w:rPr>
        <w:t xml:space="preserve">that any IGO-specific RPM </w:t>
      </w:r>
      <w:r w:rsidRPr="00AB6384">
        <w:rPr>
          <w:rFonts w:cs="Arial"/>
          <w:szCs w:val="22"/>
        </w:rPr>
        <w:t>should</w:t>
      </w:r>
      <w:r w:rsidRPr="005B4F4B">
        <w:rPr>
          <w:rFonts w:cs="Arial"/>
          <w:szCs w:val="22"/>
        </w:rPr>
        <w:t xml:space="preserve"> respect IGOs</w:t>
      </w:r>
      <w:r w:rsidR="00312B51">
        <w:rPr>
          <w:rFonts w:cs="Arial"/>
          <w:szCs w:val="22"/>
        </w:rPr>
        <w:t>’</w:t>
      </w:r>
      <w:r w:rsidRPr="005B4F4B">
        <w:rPr>
          <w:rFonts w:cs="Arial"/>
          <w:szCs w:val="22"/>
        </w:rPr>
        <w:t xml:space="preserve"> </w:t>
      </w:r>
      <w:r w:rsidR="00DD0D26">
        <w:rPr>
          <w:rFonts w:cs="Arial"/>
          <w:szCs w:val="22"/>
        </w:rPr>
        <w:t xml:space="preserve">status under international law; </w:t>
      </w:r>
      <w:r w:rsidRPr="005B4F4B">
        <w:rPr>
          <w:rFonts w:cs="Arial"/>
          <w:szCs w:val="22"/>
        </w:rPr>
        <w:t>while the ICANN Board noted the GAC</w:t>
      </w:r>
      <w:r w:rsidR="00312B51">
        <w:rPr>
          <w:rFonts w:cs="Arial"/>
          <w:szCs w:val="22"/>
        </w:rPr>
        <w:t>’</w:t>
      </w:r>
      <w:r w:rsidRPr="005B4F4B">
        <w:rPr>
          <w:rFonts w:cs="Arial"/>
          <w:szCs w:val="22"/>
        </w:rPr>
        <w:t>s advice on the need to protect IGO acronyms, it has subsequently signaled</w:t>
      </w:r>
      <w:r w:rsidR="00793925">
        <w:rPr>
          <w:rFonts w:cs="Arial"/>
          <w:szCs w:val="22"/>
        </w:rPr>
        <w:t xml:space="preserve"> an intention to lift the above</w:t>
      </w:r>
      <w:r w:rsidR="00793925">
        <w:rPr>
          <w:rFonts w:cs="Arial"/>
          <w:szCs w:val="22"/>
        </w:rPr>
        <w:noBreakHyphen/>
      </w:r>
      <w:r w:rsidRPr="005B4F4B">
        <w:rPr>
          <w:rFonts w:cs="Arial"/>
          <w:szCs w:val="22"/>
        </w:rPr>
        <w:t xml:space="preserve">mentioned reservation of IGO acronyms in new </w:t>
      </w:r>
      <w:proofErr w:type="spellStart"/>
      <w:r w:rsidRPr="005B4F4B">
        <w:rPr>
          <w:rFonts w:cs="Arial"/>
          <w:szCs w:val="22"/>
        </w:rPr>
        <w:t>gTLDs</w:t>
      </w:r>
      <w:proofErr w:type="spellEnd"/>
      <w:r w:rsidRPr="005B4F4B">
        <w:rPr>
          <w:rFonts w:cs="Arial"/>
          <w:szCs w:val="22"/>
        </w:rPr>
        <w:t xml:space="preserve"> on the basis of a system to notify IGOs of a third-party registration corresponding to their identifier;</w:t>
      </w:r>
      <w:r w:rsidRPr="005B4F4B">
        <w:rPr>
          <w:rStyle w:val="FootnoteReference"/>
          <w:rFonts w:cs="Arial"/>
          <w:szCs w:val="22"/>
        </w:rPr>
        <w:footnoteReference w:id="83"/>
      </w:r>
      <w:r w:rsidRPr="005B4F4B">
        <w:rPr>
          <w:rFonts w:cs="Arial"/>
          <w:szCs w:val="22"/>
        </w:rPr>
        <w:t xml:space="preserve"> the GAC thereupon affirmed its Advice to the ICANN Board </w:t>
      </w:r>
      <w:r w:rsidR="00312B51">
        <w:rPr>
          <w:rFonts w:cs="Arial"/>
          <w:szCs w:val="22"/>
        </w:rPr>
        <w:t>“</w:t>
      </w:r>
      <w:r w:rsidRPr="005B4F4B">
        <w:rPr>
          <w:rFonts w:cs="Arial"/>
          <w:szCs w:val="22"/>
        </w:rPr>
        <w:t xml:space="preserve">to maintain the current moratorium on the </w:t>
      </w:r>
      <w:r w:rsidRPr="003D0275">
        <w:rPr>
          <w:rFonts w:cs="Arial"/>
          <w:szCs w:val="22"/>
        </w:rPr>
        <w:t>registration of IGO acronyms pending the conclusion of the IGO curative work track currently underway</w:t>
      </w:r>
      <w:r w:rsidR="00312B51">
        <w:rPr>
          <w:rFonts w:cs="Arial"/>
          <w:szCs w:val="22"/>
        </w:rPr>
        <w:t>”</w:t>
      </w:r>
      <w:r w:rsidRPr="003D0275">
        <w:rPr>
          <w:rFonts w:cs="Arial"/>
          <w:szCs w:val="22"/>
        </w:rPr>
        <w:t>.</w:t>
      </w:r>
      <w:r w:rsidRPr="003D0275">
        <w:rPr>
          <w:rFonts w:cs="Arial"/>
          <w:szCs w:val="22"/>
          <w:vertAlign w:val="superscript"/>
        </w:rPr>
        <w:footnoteReference w:id="84"/>
      </w:r>
      <w:proofErr w:type="gramEnd"/>
      <w:r w:rsidRPr="003D0275">
        <w:rPr>
          <w:rFonts w:cs="Arial"/>
          <w:szCs w:val="22"/>
          <w:vertAlign w:val="superscript"/>
        </w:rPr>
        <w:t xml:space="preserve">  </w:t>
      </w:r>
      <w:r w:rsidRPr="003D0275">
        <w:rPr>
          <w:szCs w:val="22"/>
        </w:rPr>
        <w:t xml:space="preserve">Since then, during the course of 2021 an expedited work </w:t>
      </w:r>
      <w:r w:rsidRPr="00AB6384">
        <w:rPr>
          <w:rFonts w:cs="Arial"/>
          <w:szCs w:val="22"/>
        </w:rPr>
        <w:t xml:space="preserve">track </w:t>
      </w:r>
      <w:proofErr w:type="gramStart"/>
      <w:r w:rsidRPr="00AB6384">
        <w:rPr>
          <w:rFonts w:cs="Arial"/>
          <w:szCs w:val="22"/>
        </w:rPr>
        <w:t>was convened</w:t>
      </w:r>
      <w:proofErr w:type="gramEnd"/>
      <w:r w:rsidRPr="00AB6384">
        <w:rPr>
          <w:rFonts w:cs="Arial"/>
          <w:szCs w:val="22"/>
        </w:rPr>
        <w:t xml:space="preserve"> to address the issue of IGO access to curative rights protection mechanisms such as the UDRP and URS. This work concluded in March 2022 with </w:t>
      </w:r>
      <w:r w:rsidR="005D7AF7" w:rsidRPr="00AB6384">
        <w:rPr>
          <w:rFonts w:cs="Arial"/>
          <w:szCs w:val="22"/>
        </w:rPr>
        <w:t xml:space="preserve">targeted </w:t>
      </w:r>
      <w:r w:rsidRPr="00AB6384">
        <w:rPr>
          <w:rFonts w:cs="Arial"/>
          <w:szCs w:val="22"/>
        </w:rPr>
        <w:t xml:space="preserve">proposals to ICANN to adapt the UDRP </w:t>
      </w:r>
      <w:r w:rsidR="005D7AF7" w:rsidRPr="00AB6384">
        <w:rPr>
          <w:rFonts w:cs="Arial"/>
          <w:szCs w:val="22"/>
        </w:rPr>
        <w:t xml:space="preserve">Rules </w:t>
      </w:r>
      <w:r w:rsidRPr="00AB6384">
        <w:rPr>
          <w:rFonts w:cs="Arial"/>
          <w:szCs w:val="22"/>
        </w:rPr>
        <w:t>to account for IGOs</w:t>
      </w:r>
      <w:r w:rsidR="00312B51">
        <w:rPr>
          <w:rFonts w:cs="Arial"/>
          <w:szCs w:val="22"/>
        </w:rPr>
        <w:t>’</w:t>
      </w:r>
      <w:r w:rsidRPr="00AB6384">
        <w:rPr>
          <w:rFonts w:cs="Arial"/>
          <w:szCs w:val="22"/>
        </w:rPr>
        <w:t xml:space="preserve"> status under international law, in terms of the Paris Convention and recognized privileges and immunities.</w:t>
      </w:r>
      <w:r w:rsidRPr="00AB6384">
        <w:rPr>
          <w:rFonts w:cs="Arial"/>
          <w:vertAlign w:val="superscript"/>
        </w:rPr>
        <w:footnoteReference w:id="85"/>
      </w:r>
    </w:p>
    <w:p w14:paraId="168370D8" w14:textId="77777777" w:rsidR="008D6F26" w:rsidRPr="005B4F4B" w:rsidRDefault="008D6F26" w:rsidP="006E79F5">
      <w:pPr>
        <w:pStyle w:val="ListParagraph"/>
        <w:numPr>
          <w:ilvl w:val="0"/>
          <w:numId w:val="7"/>
        </w:numPr>
        <w:spacing w:before="240" w:after="240"/>
        <w:ind w:left="0" w:firstLine="0"/>
        <w:contextualSpacing w:val="0"/>
        <w:rPr>
          <w:rFonts w:cs="Arial"/>
          <w:szCs w:val="22"/>
        </w:rPr>
      </w:pPr>
      <w:r w:rsidRPr="005B4F4B">
        <w:rPr>
          <w:rFonts w:cs="Arial"/>
          <w:szCs w:val="22"/>
        </w:rPr>
        <w:t xml:space="preserve">Together with other IGOs, the Center continues </w:t>
      </w:r>
      <w:proofErr w:type="gramStart"/>
      <w:r w:rsidRPr="005B4F4B">
        <w:rPr>
          <w:rFonts w:cs="Arial"/>
          <w:szCs w:val="22"/>
        </w:rPr>
        <w:t>to closely monitor</w:t>
      </w:r>
      <w:proofErr w:type="gramEnd"/>
      <w:r w:rsidRPr="005B4F4B">
        <w:rPr>
          <w:rFonts w:cs="Arial"/>
          <w:szCs w:val="22"/>
        </w:rPr>
        <w:t xml:space="preserve"> </w:t>
      </w:r>
      <w:r>
        <w:rPr>
          <w:rFonts w:cs="Arial"/>
          <w:szCs w:val="22"/>
        </w:rPr>
        <w:t xml:space="preserve">ICANN implementation </w:t>
      </w:r>
      <w:r w:rsidRPr="005B4F4B">
        <w:rPr>
          <w:rFonts w:cs="Arial"/>
          <w:szCs w:val="22"/>
        </w:rPr>
        <w:t>developments in this longstanding ICANN file.</w:t>
      </w:r>
      <w:r w:rsidRPr="005B4F4B">
        <w:rPr>
          <w:rFonts w:cs="Arial"/>
          <w:szCs w:val="22"/>
          <w:vertAlign w:val="superscript"/>
        </w:rPr>
        <w:footnoteReference w:id="86"/>
      </w:r>
    </w:p>
    <w:p w14:paraId="4B8CC431" w14:textId="77777777" w:rsidR="008D6F26" w:rsidRPr="005B4F4B" w:rsidRDefault="008D6F26" w:rsidP="006E79F5">
      <w:pPr>
        <w:pStyle w:val="Heading3"/>
        <w:ind w:left="567" w:firstLine="567"/>
        <w:rPr>
          <w:u w:val="none"/>
        </w:rPr>
      </w:pPr>
      <w:r w:rsidRPr="005B4F4B">
        <w:rPr>
          <w:u w:val="none"/>
        </w:rPr>
        <w:t>(b)</w:t>
      </w:r>
      <w:r w:rsidRPr="005B4F4B">
        <w:rPr>
          <w:u w:val="none"/>
        </w:rPr>
        <w:tab/>
      </w:r>
      <w:r w:rsidRPr="005B4F4B">
        <w:t>Geographical Terms</w:t>
      </w:r>
    </w:p>
    <w:p w14:paraId="724F6EB4" w14:textId="7BF607A4" w:rsidR="008D6F26" w:rsidRPr="005B4F4B" w:rsidRDefault="008D6F26" w:rsidP="004A745C">
      <w:pPr>
        <w:pStyle w:val="ListParagraph"/>
        <w:numPr>
          <w:ilvl w:val="0"/>
          <w:numId w:val="7"/>
        </w:numPr>
        <w:spacing w:before="240" w:after="220"/>
        <w:ind w:left="0" w:right="-144" w:firstLine="0"/>
        <w:contextualSpacing w:val="0"/>
        <w:rPr>
          <w:rFonts w:cs="Arial"/>
          <w:szCs w:val="22"/>
        </w:rPr>
      </w:pPr>
      <w:r w:rsidRPr="005B4F4B">
        <w:rPr>
          <w:rFonts w:cs="Arial"/>
          <w:szCs w:val="22"/>
        </w:rPr>
        <w:t xml:space="preserve">Concerning geographical terms, the GAC in particular has expressed concerns about their use and protection in the new </w:t>
      </w:r>
      <w:proofErr w:type="spellStart"/>
      <w:r w:rsidRPr="005B4F4B">
        <w:rPr>
          <w:rFonts w:cs="Arial"/>
          <w:szCs w:val="22"/>
        </w:rPr>
        <w:t>gTLDs</w:t>
      </w:r>
      <w:proofErr w:type="spellEnd"/>
      <w:r w:rsidRPr="005B4F4B">
        <w:rPr>
          <w:rFonts w:cs="Arial"/>
          <w:szCs w:val="22"/>
        </w:rPr>
        <w:t>.</w:t>
      </w:r>
      <w:r w:rsidRPr="005B4F4B">
        <w:rPr>
          <w:rFonts w:cs="Arial"/>
          <w:vertAlign w:val="superscript"/>
        </w:rPr>
        <w:footnoteReference w:id="87"/>
      </w:r>
      <w:r w:rsidRPr="005B4F4B">
        <w:rPr>
          <w:rFonts w:cs="Arial"/>
          <w:szCs w:val="22"/>
        </w:rPr>
        <w:t xml:space="preserve"> In 2007, the GAC issued the </w:t>
      </w:r>
      <w:r w:rsidR="00312B51">
        <w:rPr>
          <w:rFonts w:cs="Arial"/>
          <w:szCs w:val="22"/>
        </w:rPr>
        <w:t>“</w:t>
      </w:r>
      <w:r w:rsidRPr="005B4F4B">
        <w:rPr>
          <w:rFonts w:cs="Arial"/>
          <w:szCs w:val="22"/>
        </w:rPr>
        <w:t xml:space="preserve">GAC Principles regarding New </w:t>
      </w:r>
      <w:proofErr w:type="spellStart"/>
      <w:r w:rsidRPr="005B4F4B">
        <w:rPr>
          <w:rFonts w:cs="Arial"/>
          <w:szCs w:val="22"/>
        </w:rPr>
        <w:t>gTLDs</w:t>
      </w:r>
      <w:proofErr w:type="spellEnd"/>
      <w:r w:rsidR="00312B51">
        <w:rPr>
          <w:rFonts w:cs="Arial"/>
          <w:szCs w:val="22"/>
        </w:rPr>
        <w:t>”</w:t>
      </w:r>
      <w:r w:rsidRPr="005B4F4B">
        <w:rPr>
          <w:rFonts w:cs="Arial"/>
          <w:szCs w:val="22"/>
        </w:rPr>
        <w:t xml:space="preserve">, which states </w:t>
      </w:r>
      <w:r w:rsidRPr="005B4F4B">
        <w:rPr>
          <w:rFonts w:cs="Arial"/>
          <w:i/>
          <w:iCs/>
          <w:szCs w:val="22"/>
        </w:rPr>
        <w:t>inter alia</w:t>
      </w:r>
      <w:r w:rsidRPr="005B4F4B">
        <w:rPr>
          <w:rFonts w:cs="Arial"/>
          <w:szCs w:val="22"/>
        </w:rPr>
        <w:t xml:space="preserve"> that ICANN should avoid delegation of new </w:t>
      </w:r>
      <w:proofErr w:type="spellStart"/>
      <w:r w:rsidRPr="005B4F4B">
        <w:rPr>
          <w:rFonts w:cs="Arial"/>
          <w:szCs w:val="22"/>
        </w:rPr>
        <w:t>gTLDs</w:t>
      </w:r>
      <w:proofErr w:type="spellEnd"/>
      <w:r w:rsidRPr="005B4F4B">
        <w:rPr>
          <w:rFonts w:cs="Arial"/>
          <w:szCs w:val="22"/>
        </w:rPr>
        <w:t xml:space="preserve"> concerning country, territory or place names, and regional language or people descriptions, unless in agreement with the relevant governments or public authorities. Those GAC Principles further state that </w:t>
      </w:r>
      <w:r w:rsidRPr="005B4F4B">
        <w:rPr>
          <w:rFonts w:cs="Arial"/>
          <w:iCs/>
          <w:szCs w:val="22"/>
          <w:lang w:eastAsia="ko-KR"/>
        </w:rPr>
        <w:t xml:space="preserve">new </w:t>
      </w:r>
      <w:r w:rsidRPr="005B4F4B">
        <w:rPr>
          <w:rFonts w:cs="Arial"/>
          <w:iCs/>
          <w:szCs w:val="22"/>
        </w:rPr>
        <w:t>registries should adopt procedures for blocking/challenge of names with national or geographical significance at the second level upon demand of governments.</w:t>
      </w:r>
      <w:r w:rsidRPr="005B4F4B">
        <w:rPr>
          <w:rFonts w:cs="Arial"/>
          <w:szCs w:val="22"/>
        </w:rPr>
        <w:t xml:space="preserve"> Concerning the top level,</w:t>
      </w:r>
      <w:r w:rsidRPr="005B4F4B">
        <w:rPr>
          <w:rStyle w:val="FootnoteReference"/>
          <w:rFonts w:eastAsia="SimSun" w:cs="Arial"/>
          <w:szCs w:val="22"/>
        </w:rPr>
        <w:footnoteReference w:id="88"/>
      </w:r>
      <w:r w:rsidRPr="005B4F4B">
        <w:rPr>
          <w:rFonts w:cs="Arial"/>
          <w:szCs w:val="22"/>
        </w:rPr>
        <w:t xml:space="preserve"> ICANN</w:t>
      </w:r>
      <w:r w:rsidR="00312B51">
        <w:rPr>
          <w:rFonts w:cs="Arial"/>
          <w:szCs w:val="22"/>
        </w:rPr>
        <w:t>’</w:t>
      </w:r>
      <w:r w:rsidRPr="005B4F4B">
        <w:rPr>
          <w:rFonts w:cs="Arial"/>
          <w:szCs w:val="22"/>
        </w:rPr>
        <w:t xml:space="preserve">s Applicant Guidebook provides that </w:t>
      </w:r>
      <w:r w:rsidR="00312B51">
        <w:rPr>
          <w:rFonts w:cs="Arial"/>
          <w:szCs w:val="22"/>
        </w:rPr>
        <w:t>“</w:t>
      </w:r>
      <w:r w:rsidRPr="005B4F4B">
        <w:rPr>
          <w:rFonts w:cs="Arial"/>
          <w:szCs w:val="22"/>
        </w:rPr>
        <w:t xml:space="preserve">applications for strings that are country or territory names will not be approved, as they are not available under the New </w:t>
      </w:r>
      <w:proofErr w:type="spellStart"/>
      <w:r w:rsidRPr="005B4F4B">
        <w:rPr>
          <w:rFonts w:cs="Arial"/>
          <w:szCs w:val="22"/>
        </w:rPr>
        <w:t>gTLD</w:t>
      </w:r>
      <w:proofErr w:type="spellEnd"/>
      <w:r w:rsidRPr="005B4F4B">
        <w:rPr>
          <w:rFonts w:cs="Arial"/>
          <w:szCs w:val="22"/>
        </w:rPr>
        <w:t xml:space="preserve"> Program in this application round.</w:t>
      </w:r>
      <w:r w:rsidR="00312B51">
        <w:rPr>
          <w:rFonts w:cs="Arial"/>
          <w:szCs w:val="22"/>
        </w:rPr>
        <w:t>”</w:t>
      </w:r>
      <w:r w:rsidRPr="005B4F4B">
        <w:rPr>
          <w:rStyle w:val="FootnoteReference"/>
          <w:rFonts w:eastAsia="SimSun" w:cs="Arial"/>
          <w:szCs w:val="22"/>
        </w:rPr>
        <w:footnoteReference w:id="89"/>
      </w:r>
      <w:r w:rsidRPr="005B4F4B">
        <w:rPr>
          <w:rFonts w:cs="Arial"/>
          <w:szCs w:val="22"/>
        </w:rPr>
        <w:t xml:space="preserve"> Applied</w:t>
      </w:r>
      <w:r w:rsidRPr="005B4F4B">
        <w:rPr>
          <w:rFonts w:cs="Arial"/>
          <w:szCs w:val="22"/>
        </w:rPr>
        <w:noBreakHyphen/>
        <w:t xml:space="preserve">for strings which </w:t>
      </w:r>
      <w:proofErr w:type="gramStart"/>
      <w:r w:rsidRPr="005B4F4B">
        <w:rPr>
          <w:rFonts w:cs="Arial"/>
          <w:szCs w:val="22"/>
        </w:rPr>
        <w:t>are considered</w:t>
      </w:r>
      <w:proofErr w:type="gramEnd"/>
      <w:r w:rsidRPr="005B4F4B">
        <w:rPr>
          <w:rFonts w:cs="Arial"/>
          <w:szCs w:val="22"/>
        </w:rPr>
        <w:t xml:space="preserve"> by ICANN to be certain other geographical names, </w:t>
      </w:r>
      <w:r w:rsidRPr="005B4F4B">
        <w:rPr>
          <w:rFonts w:cs="Arial"/>
          <w:i/>
          <w:szCs w:val="22"/>
        </w:rPr>
        <w:t>e.g.</w:t>
      </w:r>
      <w:r w:rsidRPr="005B4F4B">
        <w:rPr>
          <w:rFonts w:cs="Arial"/>
          <w:szCs w:val="22"/>
        </w:rPr>
        <w:t xml:space="preserve">, capital city names, should be accompanied by </w:t>
      </w:r>
      <w:r w:rsidRPr="005B4F4B">
        <w:rPr>
          <w:rFonts w:cs="Arial"/>
          <w:szCs w:val="22"/>
        </w:rPr>
        <w:lastRenderedPageBreak/>
        <w:t>documentation of support or non</w:t>
      </w:r>
      <w:r w:rsidRPr="005B4F4B">
        <w:rPr>
          <w:rFonts w:cs="Arial"/>
          <w:szCs w:val="22"/>
        </w:rPr>
        <w:noBreakHyphen/>
        <w:t>objection from the relevant governments or public authorities.</w:t>
      </w:r>
      <w:r w:rsidRPr="005B4F4B">
        <w:rPr>
          <w:rStyle w:val="FootnoteReference"/>
          <w:rFonts w:eastAsia="SimSun" w:cs="Arial"/>
          <w:szCs w:val="22"/>
        </w:rPr>
        <w:footnoteReference w:id="90"/>
      </w:r>
      <w:r w:rsidRPr="005B4F4B">
        <w:rPr>
          <w:rFonts w:cs="Arial"/>
          <w:szCs w:val="22"/>
        </w:rPr>
        <w:t xml:space="preserve"> </w:t>
      </w:r>
      <w:r w:rsidRPr="005B4F4B">
        <w:rPr>
          <w:rFonts w:cs="Arial"/>
          <w:iCs/>
          <w:szCs w:val="22"/>
        </w:rPr>
        <w:t xml:space="preserve">GAC members have expressed further reservations regarding a number of </w:t>
      </w:r>
      <w:proofErr w:type="gramStart"/>
      <w:r w:rsidRPr="005B4F4B">
        <w:rPr>
          <w:rFonts w:cs="Arial"/>
          <w:iCs/>
          <w:szCs w:val="22"/>
        </w:rPr>
        <w:t>New</w:t>
      </w:r>
      <w:proofErr w:type="gramEnd"/>
      <w:r w:rsidRPr="005B4F4B">
        <w:rPr>
          <w:rFonts w:cs="Arial"/>
          <w:iCs/>
          <w:szCs w:val="22"/>
        </w:rPr>
        <w:t xml:space="preserve"> </w:t>
      </w:r>
      <w:proofErr w:type="spellStart"/>
      <w:r w:rsidRPr="005B4F4B">
        <w:rPr>
          <w:rFonts w:cs="Arial"/>
          <w:iCs/>
          <w:szCs w:val="22"/>
        </w:rPr>
        <w:t>gTLD</w:t>
      </w:r>
      <w:proofErr w:type="spellEnd"/>
      <w:r w:rsidRPr="005B4F4B">
        <w:rPr>
          <w:rFonts w:cs="Arial"/>
          <w:iCs/>
          <w:szCs w:val="22"/>
        </w:rPr>
        <w:t xml:space="preserve"> applications on grounds of correspondence to geographical or other </w:t>
      </w:r>
      <w:r w:rsidR="00312B51">
        <w:rPr>
          <w:rFonts w:cs="Arial"/>
          <w:iCs/>
          <w:szCs w:val="22"/>
        </w:rPr>
        <w:t>“</w:t>
      </w:r>
      <w:r w:rsidRPr="005B4F4B">
        <w:rPr>
          <w:rFonts w:cs="Arial"/>
          <w:iCs/>
          <w:szCs w:val="22"/>
        </w:rPr>
        <w:t>sensitive</w:t>
      </w:r>
      <w:r w:rsidR="00312B51">
        <w:rPr>
          <w:rFonts w:cs="Arial"/>
          <w:iCs/>
          <w:szCs w:val="22"/>
        </w:rPr>
        <w:t>”</w:t>
      </w:r>
      <w:r w:rsidRPr="005B4F4B">
        <w:rPr>
          <w:rFonts w:cs="Arial"/>
          <w:iCs/>
          <w:szCs w:val="22"/>
        </w:rPr>
        <w:t xml:space="preserve"> terms, advising the ICANN Board not to proceed beyond initial evaluation, and seeking Board clarification on scope for applicants to modify their new </w:t>
      </w:r>
      <w:proofErr w:type="spellStart"/>
      <w:r w:rsidRPr="005B4F4B">
        <w:rPr>
          <w:rFonts w:cs="Arial"/>
          <w:iCs/>
          <w:szCs w:val="22"/>
        </w:rPr>
        <w:t>gTLD</w:t>
      </w:r>
      <w:proofErr w:type="spellEnd"/>
      <w:r w:rsidRPr="005B4F4B">
        <w:rPr>
          <w:rFonts w:cs="Arial"/>
          <w:iCs/>
          <w:szCs w:val="22"/>
        </w:rPr>
        <w:t xml:space="preserve"> applications to address specific GAC concerns.</w:t>
      </w:r>
      <w:r w:rsidRPr="005B4F4B">
        <w:rPr>
          <w:rStyle w:val="FootnoteReference"/>
          <w:rFonts w:eastAsia="SimSun" w:cs="Arial"/>
          <w:iCs/>
          <w:szCs w:val="22"/>
        </w:rPr>
        <w:footnoteReference w:id="91"/>
      </w:r>
    </w:p>
    <w:p w14:paraId="6C56E699" w14:textId="77777777" w:rsidR="008D6F26" w:rsidRPr="005B4F4B" w:rsidRDefault="008D6F26" w:rsidP="004A745C">
      <w:pPr>
        <w:pStyle w:val="ListParagraph"/>
        <w:numPr>
          <w:ilvl w:val="0"/>
          <w:numId w:val="7"/>
        </w:numPr>
        <w:spacing w:before="240" w:after="220"/>
        <w:ind w:left="0" w:right="-144" w:firstLine="0"/>
        <w:contextualSpacing w:val="0"/>
        <w:rPr>
          <w:rFonts w:cs="Arial"/>
          <w:szCs w:val="22"/>
        </w:rPr>
      </w:pPr>
      <w:proofErr w:type="gramStart"/>
      <w:r w:rsidRPr="005B4F4B">
        <w:rPr>
          <w:rFonts w:cs="Arial"/>
          <w:szCs w:val="22"/>
        </w:rPr>
        <w:t xml:space="preserve">In December 2016, ICANN authorized the release of all previously-reserved 2-character domain names at the second level in new </w:t>
      </w:r>
      <w:proofErr w:type="spellStart"/>
      <w:r w:rsidRPr="005B4F4B">
        <w:rPr>
          <w:rFonts w:cs="Arial"/>
          <w:szCs w:val="22"/>
        </w:rPr>
        <w:t>gTLDs</w:t>
      </w:r>
      <w:proofErr w:type="spellEnd"/>
      <w:r w:rsidRPr="005B4F4B">
        <w:rPr>
          <w:rFonts w:cs="Arial"/>
          <w:szCs w:val="22"/>
        </w:rPr>
        <w:t xml:space="preserve"> provided that registry operators first allow respective governments a thirty-day period to acquire such domain names; require registrants to represent that they would not falsely imply government affiliation in connection with the use of such 2-character domain name; and provide a means for post-registration complaints.</w:t>
      </w:r>
      <w:r w:rsidRPr="005B4F4B">
        <w:rPr>
          <w:rStyle w:val="FootnoteReference"/>
          <w:rFonts w:eastAsia="SimSun" w:cs="Arial"/>
          <w:szCs w:val="22"/>
        </w:rPr>
        <w:footnoteReference w:id="92"/>
      </w:r>
      <w:proofErr w:type="gramEnd"/>
      <w:r w:rsidRPr="005B4F4B">
        <w:rPr>
          <w:rFonts w:cs="Arial"/>
          <w:szCs w:val="22"/>
        </w:rPr>
        <w:t xml:space="preserve"> In this context, the Center submitted comments to ICANN noting that the Second WIPO Process considered the possibility of exploring measures for the UDRP to apply to third-level registrations in order to mitigate the potential for trademark abuse.</w:t>
      </w:r>
      <w:r w:rsidRPr="005B4F4B">
        <w:rPr>
          <w:rStyle w:val="FootnoteReference"/>
          <w:rFonts w:eastAsia="SimSun" w:cs="Arial"/>
          <w:szCs w:val="22"/>
        </w:rPr>
        <w:footnoteReference w:id="93"/>
      </w:r>
      <w:r w:rsidRPr="005B4F4B">
        <w:rPr>
          <w:rFonts w:cs="Arial"/>
          <w:szCs w:val="22"/>
        </w:rPr>
        <w:t xml:space="preserve"> ICANN did not re</w:t>
      </w:r>
      <w:r w:rsidR="00DC1B85">
        <w:rPr>
          <w:rFonts w:cs="Arial"/>
          <w:szCs w:val="22"/>
        </w:rPr>
        <w:t xml:space="preserve">act to this Center submission. </w:t>
      </w:r>
      <w:r w:rsidRPr="005B4F4B">
        <w:rPr>
          <w:rFonts w:cs="Arial"/>
          <w:szCs w:val="22"/>
        </w:rPr>
        <w:t xml:space="preserve">GAC members have asked ICANN to provide coordinated information </w:t>
      </w:r>
      <w:r w:rsidR="00EC472C">
        <w:rPr>
          <w:rFonts w:cs="Arial"/>
          <w:szCs w:val="22"/>
        </w:rPr>
        <w:t>on related requests and delegated domain names</w:t>
      </w:r>
      <w:r w:rsidRPr="005B4F4B">
        <w:rPr>
          <w:rFonts w:cs="Arial"/>
          <w:szCs w:val="22"/>
        </w:rPr>
        <w:t>.</w:t>
      </w:r>
      <w:r w:rsidRPr="005B4F4B">
        <w:rPr>
          <w:rStyle w:val="FootnoteReference"/>
          <w:rFonts w:cs="Arial"/>
          <w:szCs w:val="22"/>
        </w:rPr>
        <w:footnoteReference w:id="94"/>
      </w:r>
      <w:r w:rsidRPr="005B4F4B">
        <w:rPr>
          <w:rFonts w:cs="Arial"/>
          <w:szCs w:val="22"/>
        </w:rPr>
        <w:t xml:space="preserve"> </w:t>
      </w:r>
    </w:p>
    <w:p w14:paraId="5CD97B7C" w14:textId="77777777" w:rsidR="008D6F26" w:rsidRPr="005B4F4B" w:rsidRDefault="008D6F26" w:rsidP="004A745C">
      <w:pPr>
        <w:pStyle w:val="ListParagraph"/>
        <w:numPr>
          <w:ilvl w:val="0"/>
          <w:numId w:val="7"/>
        </w:numPr>
        <w:spacing w:before="240" w:after="220"/>
        <w:ind w:left="0" w:firstLine="0"/>
        <w:contextualSpacing w:val="0"/>
        <w:rPr>
          <w:rFonts w:cs="Arial"/>
          <w:szCs w:val="24"/>
        </w:rPr>
      </w:pPr>
      <w:r w:rsidRPr="005B4F4B">
        <w:rPr>
          <w:rFonts w:cs="Arial"/>
          <w:szCs w:val="22"/>
        </w:rPr>
        <w:t>On these and other DNS-related issues, the Center has endeavored to apprise relevant sectors within the Secretariat, including in support of the work of the Standing Committee on the Law of Trademarks, Industrial Designs and Geographical Indications (SCT).</w:t>
      </w:r>
      <w:r w:rsidRPr="005B4F4B">
        <w:rPr>
          <w:rStyle w:val="FootnoteReference"/>
          <w:rFonts w:eastAsia="SimSun" w:cs="Arial"/>
          <w:szCs w:val="22"/>
        </w:rPr>
        <w:footnoteReference w:id="95"/>
      </w:r>
      <w:r w:rsidRPr="005B4F4B">
        <w:rPr>
          <w:rFonts w:cs="Arial"/>
          <w:szCs w:val="22"/>
        </w:rPr>
        <w:t xml:space="preserve"> The Secretariat</w:t>
      </w:r>
      <w:r w:rsidRPr="005B4F4B">
        <w:rPr>
          <w:rFonts w:cs="Arial"/>
          <w:color w:val="000000"/>
          <w:szCs w:val="22"/>
        </w:rPr>
        <w:t xml:space="preserve"> will continue to monitor these developments and provide input where appropriate.</w:t>
      </w:r>
    </w:p>
    <w:p w14:paraId="1E632049" w14:textId="5A955D9E" w:rsidR="008D6F26" w:rsidRDefault="00CC55EC" w:rsidP="006E7704">
      <w:pPr>
        <w:pStyle w:val="DecisionInvitingPara"/>
        <w:ind w:left="5530"/>
        <w:rPr>
          <w:rFonts w:cs="Arial"/>
          <w:sz w:val="22"/>
        </w:rPr>
      </w:pPr>
      <w:r>
        <w:rPr>
          <w:rFonts w:cs="Arial"/>
          <w:sz w:val="22"/>
        </w:rPr>
        <w:t>47</w:t>
      </w:r>
      <w:r w:rsidR="008D6F26" w:rsidRPr="005B4F4B">
        <w:rPr>
          <w:rFonts w:cs="Arial"/>
          <w:sz w:val="22"/>
        </w:rPr>
        <w:t>.</w:t>
      </w:r>
      <w:r w:rsidR="008D6F26" w:rsidRPr="005B4F4B">
        <w:rPr>
          <w:rFonts w:cs="Arial"/>
        </w:rPr>
        <w:tab/>
      </w:r>
      <w:r w:rsidR="008D6F26" w:rsidRPr="005B4F4B">
        <w:rPr>
          <w:rFonts w:cs="Arial"/>
          <w:sz w:val="22"/>
        </w:rPr>
        <w:t xml:space="preserve">The WIPO General Assembly </w:t>
      </w:r>
      <w:proofErr w:type="gramStart"/>
      <w:r w:rsidR="008D6F26" w:rsidRPr="005B4F4B">
        <w:rPr>
          <w:rFonts w:cs="Arial"/>
          <w:sz w:val="22"/>
        </w:rPr>
        <w:t>is invited</w:t>
      </w:r>
      <w:proofErr w:type="gramEnd"/>
      <w:r w:rsidR="008D6F26" w:rsidRPr="005B4F4B">
        <w:rPr>
          <w:rFonts w:cs="Arial"/>
          <w:sz w:val="22"/>
        </w:rPr>
        <w:t xml:space="preserve"> to take note of the document </w:t>
      </w:r>
      <w:r w:rsidR="00312B51">
        <w:rPr>
          <w:rFonts w:cs="Arial"/>
          <w:sz w:val="22"/>
        </w:rPr>
        <w:t>“</w:t>
      </w:r>
      <w:r w:rsidR="008D6F26" w:rsidRPr="005B4F4B">
        <w:rPr>
          <w:rFonts w:cs="Arial"/>
          <w:sz w:val="22"/>
        </w:rPr>
        <w:t xml:space="preserve">WIPO Arbitration and Mediation Center, Including </w:t>
      </w:r>
      <w:r w:rsidR="008D6F26">
        <w:rPr>
          <w:rFonts w:cs="Arial"/>
          <w:sz w:val="22"/>
        </w:rPr>
        <w:t>Dom</w:t>
      </w:r>
      <w:r>
        <w:rPr>
          <w:rFonts w:cs="Arial"/>
          <w:sz w:val="22"/>
        </w:rPr>
        <w:t>ain Names</w:t>
      </w:r>
      <w:r w:rsidR="00312B51">
        <w:rPr>
          <w:rFonts w:cs="Arial"/>
          <w:sz w:val="22"/>
        </w:rPr>
        <w:t>”</w:t>
      </w:r>
      <w:r>
        <w:rPr>
          <w:rFonts w:cs="Arial"/>
          <w:sz w:val="22"/>
        </w:rPr>
        <w:t xml:space="preserve"> (document WO/GA/56/1</w:t>
      </w:r>
      <w:r w:rsidR="008E1F5F">
        <w:rPr>
          <w:rFonts w:cs="Arial"/>
          <w:sz w:val="22"/>
        </w:rPr>
        <w:t>3</w:t>
      </w:r>
      <w:r w:rsidR="008D6F26" w:rsidRPr="005B4F4B">
        <w:rPr>
          <w:rFonts w:cs="Arial"/>
          <w:sz w:val="22"/>
        </w:rPr>
        <w:t>).</w:t>
      </w:r>
    </w:p>
    <w:p w14:paraId="16B4E7EF" w14:textId="7530C606" w:rsidR="004A745C" w:rsidRDefault="004A745C" w:rsidP="004A745C">
      <w:pPr>
        <w:pStyle w:val="DecisionInvitingPara"/>
        <w:ind w:left="5530"/>
        <w:rPr>
          <w:rFonts w:cs="Arial"/>
          <w:sz w:val="22"/>
        </w:rPr>
      </w:pPr>
    </w:p>
    <w:p w14:paraId="6B29CCD0" w14:textId="241AB8DA" w:rsidR="006E7704" w:rsidRDefault="006E7704" w:rsidP="004A745C">
      <w:pPr>
        <w:pStyle w:val="DecisionInvitingPara"/>
        <w:ind w:left="5530"/>
        <w:rPr>
          <w:rFonts w:cs="Arial"/>
          <w:sz w:val="22"/>
        </w:rPr>
      </w:pPr>
    </w:p>
    <w:p w14:paraId="30324296" w14:textId="37A30322" w:rsidR="006E7704" w:rsidRDefault="006E7704" w:rsidP="004A745C">
      <w:pPr>
        <w:pStyle w:val="DecisionInvitingPara"/>
        <w:ind w:left="5530"/>
        <w:rPr>
          <w:rFonts w:cs="Arial"/>
          <w:sz w:val="22"/>
        </w:rPr>
      </w:pPr>
    </w:p>
    <w:p w14:paraId="03BC01DA" w14:textId="77777777" w:rsidR="006E7704" w:rsidRDefault="006E7704" w:rsidP="004A745C">
      <w:pPr>
        <w:pStyle w:val="DecisionInvitingPara"/>
        <w:ind w:left="5530"/>
        <w:rPr>
          <w:rFonts w:cs="Arial"/>
          <w:sz w:val="22"/>
        </w:rPr>
      </w:pPr>
    </w:p>
    <w:p w14:paraId="4923B12A" w14:textId="2B8ABE33" w:rsidR="008D6F26" w:rsidRPr="004D39C4" w:rsidRDefault="008D6F26" w:rsidP="006E7704">
      <w:pPr>
        <w:pStyle w:val="DecisionInvitingPara"/>
        <w:spacing w:before="120"/>
        <w:ind w:left="5530"/>
        <w:rPr>
          <w:i w:val="0"/>
        </w:rPr>
      </w:pPr>
      <w:r w:rsidRPr="005B4F4B">
        <w:rPr>
          <w:rFonts w:cs="Arial"/>
          <w:i w:val="0"/>
          <w:sz w:val="22"/>
        </w:rPr>
        <w:t>[End of document]</w:t>
      </w:r>
      <w:r w:rsidRPr="005B4F4B" w:rsidDel="004715E6">
        <w:rPr>
          <w:rFonts w:cs="Arial"/>
          <w:i w:val="0"/>
          <w:sz w:val="22"/>
        </w:rPr>
        <w:t xml:space="preserve"> </w:t>
      </w:r>
      <w:bookmarkEnd w:id="5"/>
    </w:p>
    <w:sectPr w:rsidR="008D6F26" w:rsidRPr="004D39C4" w:rsidSect="0082377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7D210" w14:textId="77777777" w:rsidR="000942FF" w:rsidRDefault="000942FF">
      <w:r>
        <w:separator/>
      </w:r>
    </w:p>
  </w:endnote>
  <w:endnote w:type="continuationSeparator" w:id="0">
    <w:p w14:paraId="414D4220" w14:textId="77777777" w:rsidR="000942FF" w:rsidRDefault="000942FF" w:rsidP="003B38C1">
      <w:r>
        <w:separator/>
      </w:r>
    </w:p>
    <w:p w14:paraId="4BEE9E0A" w14:textId="77777777" w:rsidR="000942FF" w:rsidRPr="003B38C1" w:rsidRDefault="000942FF" w:rsidP="003B38C1">
      <w:pPr>
        <w:spacing w:after="60"/>
        <w:rPr>
          <w:sz w:val="17"/>
        </w:rPr>
      </w:pPr>
      <w:r>
        <w:rPr>
          <w:sz w:val="17"/>
        </w:rPr>
        <w:t>[Endnote continued from previous page]</w:t>
      </w:r>
    </w:p>
  </w:endnote>
  <w:endnote w:type="continuationNotice" w:id="1">
    <w:p w14:paraId="3D79C063" w14:textId="77777777" w:rsidR="000942FF" w:rsidRPr="003B38C1" w:rsidRDefault="000942F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5D82F" w14:textId="77777777" w:rsidR="006E7704" w:rsidRDefault="006E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4023" w14:textId="59AFF781" w:rsidR="006E7704" w:rsidRDefault="006E7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33CEC" w14:textId="25B83F6C" w:rsidR="006E7704" w:rsidRDefault="006E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E86D" w14:textId="77777777" w:rsidR="000942FF" w:rsidRDefault="000942FF">
      <w:r>
        <w:separator/>
      </w:r>
    </w:p>
  </w:footnote>
  <w:footnote w:type="continuationSeparator" w:id="0">
    <w:p w14:paraId="6983FEB0" w14:textId="77777777" w:rsidR="000942FF" w:rsidRDefault="000942FF" w:rsidP="008B60B2">
      <w:r>
        <w:separator/>
      </w:r>
    </w:p>
    <w:p w14:paraId="07CE8746" w14:textId="77777777" w:rsidR="000942FF" w:rsidRPr="00ED77FB" w:rsidRDefault="000942FF" w:rsidP="008B60B2">
      <w:pPr>
        <w:spacing w:after="60"/>
        <w:rPr>
          <w:sz w:val="17"/>
          <w:szCs w:val="17"/>
        </w:rPr>
      </w:pPr>
      <w:r w:rsidRPr="00ED77FB">
        <w:rPr>
          <w:sz w:val="17"/>
          <w:szCs w:val="17"/>
        </w:rPr>
        <w:t>[Footnote continued from previous page]</w:t>
      </w:r>
    </w:p>
  </w:footnote>
  <w:footnote w:type="continuationNotice" w:id="1">
    <w:p w14:paraId="37472830" w14:textId="77777777" w:rsidR="000942FF" w:rsidRPr="00ED77FB" w:rsidRDefault="000942FF" w:rsidP="008B60B2">
      <w:pPr>
        <w:spacing w:before="60"/>
        <w:jc w:val="right"/>
        <w:rPr>
          <w:sz w:val="17"/>
          <w:szCs w:val="17"/>
        </w:rPr>
      </w:pPr>
      <w:r w:rsidRPr="00ED77FB">
        <w:rPr>
          <w:sz w:val="17"/>
          <w:szCs w:val="17"/>
        </w:rPr>
        <w:t>[Footnote continued on next page]</w:t>
      </w:r>
    </w:p>
  </w:footnote>
  <w:footnote w:id="2">
    <w:p w14:paraId="2489E6CA" w14:textId="275C8F5A" w:rsidR="008D6F26" w:rsidRPr="005B4F4B" w:rsidRDefault="008D6F26" w:rsidP="008D6F26">
      <w:pPr>
        <w:pStyle w:val="FootnoteText"/>
        <w:tabs>
          <w:tab w:val="left" w:pos="567"/>
        </w:tabs>
        <w:rPr>
          <w:szCs w:val="18"/>
          <w:u w:val="single"/>
        </w:rPr>
      </w:pPr>
      <w:r w:rsidRPr="005B4F4B">
        <w:rPr>
          <w:rStyle w:val="FootnoteReference"/>
          <w:szCs w:val="18"/>
        </w:rPr>
        <w:footnoteRef/>
      </w:r>
      <w:r w:rsidRPr="005B4F4B">
        <w:rPr>
          <w:szCs w:val="18"/>
        </w:rPr>
        <w:tab/>
      </w:r>
      <w:r w:rsidRPr="00986E43">
        <w:rPr>
          <w:szCs w:val="18"/>
        </w:rPr>
        <w:t xml:space="preserve">See </w:t>
      </w:r>
      <w:hyperlink r:id="rId1" w:history="1">
        <w:r w:rsidR="00D20CD8" w:rsidRPr="0041135B">
          <w:rPr>
            <w:rStyle w:val="Hyperlink"/>
            <w:color w:val="auto"/>
            <w:szCs w:val="18"/>
            <w:u w:val="none"/>
          </w:rPr>
          <w:t>https://www.wipo.int/about-wipo/en/assemblies/2022/a-63/doc_details.jsp?doc_id=572909</w:t>
        </w:r>
      </w:hyperlink>
      <w:r w:rsidRPr="00D20CD8">
        <w:rPr>
          <w:szCs w:val="18"/>
        </w:rPr>
        <w:t>.</w:t>
      </w:r>
      <w:r w:rsidR="00D20CD8" w:rsidRPr="00D20CD8">
        <w:rPr>
          <w:szCs w:val="18"/>
        </w:rPr>
        <w:t xml:space="preserve"> </w:t>
      </w:r>
    </w:p>
  </w:footnote>
  <w:footnote w:id="3">
    <w:p w14:paraId="5967AB6C" w14:textId="25048ADF" w:rsidR="008D6F26" w:rsidRPr="003A3A65" w:rsidRDefault="008D6F26" w:rsidP="008D6F26">
      <w:pPr>
        <w:pStyle w:val="FootnoteText"/>
      </w:pPr>
      <w:r w:rsidRPr="003A3A65">
        <w:rPr>
          <w:rStyle w:val="FootnoteReference"/>
        </w:rPr>
        <w:footnoteRef/>
      </w:r>
      <w:r w:rsidRPr="003A3A65">
        <w:t xml:space="preserve"> </w:t>
      </w:r>
      <w:r w:rsidRPr="003A3A65">
        <w:tab/>
      </w:r>
      <w:r w:rsidRPr="003A3A65">
        <w:rPr>
          <w:color w:val="000000"/>
          <w:szCs w:val="18"/>
          <w:shd w:val="clear" w:color="auto" w:fill="FFFFFF"/>
        </w:rPr>
        <w:t>The Center provides procedural assistance (Good Offices) to parties involved in an IP or technology dispute, in order to facilitate direct settlement between them or the submission of their dispute to WIPO mediation or arbitration, as alternatives to court litigation</w:t>
      </w:r>
      <w:r w:rsidRPr="003A3A65">
        <w:t xml:space="preserve">. See </w:t>
      </w:r>
      <w:hyperlink r:id="rId2" w:history="1">
        <w:r w:rsidR="006D7F0B" w:rsidRPr="006D7F0B">
          <w:rPr>
            <w:rStyle w:val="Hyperlink"/>
            <w:color w:val="000000" w:themeColor="text1"/>
            <w:u w:val="none"/>
          </w:rPr>
          <w:t>https://www.wipo.int/amc/en/goodoffi</w:t>
        </w:r>
        <w:r w:rsidR="006D7F0B" w:rsidRPr="006D7F0B">
          <w:rPr>
            <w:rStyle w:val="Hyperlink"/>
            <w:color w:val="000000" w:themeColor="text1"/>
            <w:u w:val="none"/>
          </w:rPr>
          <w:t>c</w:t>
        </w:r>
        <w:r w:rsidR="006D7F0B" w:rsidRPr="006D7F0B">
          <w:rPr>
            <w:rStyle w:val="Hyperlink"/>
            <w:color w:val="000000" w:themeColor="text1"/>
            <w:u w:val="none"/>
          </w:rPr>
          <w:t>es/index.html</w:t>
        </w:r>
      </w:hyperlink>
      <w:r w:rsidR="00D20CD8" w:rsidRPr="00D20CD8">
        <w:t>.</w:t>
      </w:r>
    </w:p>
  </w:footnote>
  <w:footnote w:id="4">
    <w:p w14:paraId="7928387B" w14:textId="77777777" w:rsidR="008D6F26" w:rsidRPr="003A3A65" w:rsidRDefault="008D6F26" w:rsidP="008D6F26">
      <w:pPr>
        <w:pStyle w:val="FootnoteText"/>
        <w:rPr>
          <w:szCs w:val="18"/>
        </w:rPr>
      </w:pPr>
      <w:r w:rsidRPr="003A3A65">
        <w:rPr>
          <w:rStyle w:val="FootnoteReference"/>
          <w:szCs w:val="18"/>
        </w:rPr>
        <w:footnoteRef/>
      </w:r>
      <w:r w:rsidRPr="003A3A65">
        <w:rPr>
          <w:szCs w:val="18"/>
        </w:rPr>
        <w:t xml:space="preserve"> </w:t>
      </w:r>
      <w:r w:rsidRPr="003A3A65">
        <w:rPr>
          <w:szCs w:val="18"/>
        </w:rPr>
        <w:tab/>
        <w:t xml:space="preserve">All workshops and other events organized by the Center </w:t>
      </w:r>
      <w:proofErr w:type="gramStart"/>
      <w:r w:rsidRPr="003A3A65">
        <w:rPr>
          <w:szCs w:val="18"/>
        </w:rPr>
        <w:t>are listed</w:t>
      </w:r>
      <w:proofErr w:type="gramEnd"/>
      <w:r w:rsidRPr="003A3A65">
        <w:rPr>
          <w:szCs w:val="18"/>
        </w:rPr>
        <w:t xml:space="preserve"> at https://www.wipo.int/amc/en/events.</w:t>
      </w:r>
    </w:p>
  </w:footnote>
  <w:footnote w:id="5">
    <w:p w14:paraId="170BB641" w14:textId="77777777" w:rsidR="008D6F26" w:rsidRPr="003A3A65" w:rsidRDefault="008D6F26" w:rsidP="008D6F26">
      <w:pPr>
        <w:pStyle w:val="FootnoteText"/>
        <w:rPr>
          <w:szCs w:val="18"/>
        </w:rPr>
      </w:pPr>
      <w:r w:rsidRPr="003A3A65">
        <w:rPr>
          <w:rStyle w:val="FootnoteReference"/>
          <w:szCs w:val="18"/>
        </w:rPr>
        <w:footnoteRef/>
      </w:r>
      <w:r w:rsidRPr="003A3A65">
        <w:rPr>
          <w:szCs w:val="18"/>
        </w:rPr>
        <w:t xml:space="preserve"> </w:t>
      </w:r>
      <w:r w:rsidRPr="003A3A65">
        <w:rPr>
          <w:szCs w:val="18"/>
        </w:rPr>
        <w:tab/>
        <w:t xml:space="preserve">The Center makes available recommended model clauses and submission agreements, as well as an online clause generator that allows parties to build core clauses and submission agreements. See </w:t>
      </w:r>
      <w:r w:rsidRPr="00546BE8">
        <w:rPr>
          <w:szCs w:val="18"/>
        </w:rPr>
        <w:t>https://www.wipo.int/amc/en/clauses/index.html</w:t>
      </w:r>
      <w:r w:rsidRPr="003A3A65">
        <w:rPr>
          <w:szCs w:val="18"/>
        </w:rPr>
        <w:t xml:space="preserve"> and https://amc.wipo.int/clause-generator/.</w:t>
      </w:r>
    </w:p>
  </w:footnote>
  <w:footnote w:id="6">
    <w:p w14:paraId="375BA0EC" w14:textId="77777777" w:rsidR="003B40F4" w:rsidRPr="003A3A65" w:rsidRDefault="003B40F4" w:rsidP="003B40F4">
      <w:pPr>
        <w:pStyle w:val="FootnoteText"/>
        <w:rPr>
          <w:szCs w:val="18"/>
        </w:rPr>
      </w:pPr>
      <w:r w:rsidRPr="003A3A65">
        <w:rPr>
          <w:rStyle w:val="FootnoteReference"/>
          <w:szCs w:val="18"/>
        </w:rPr>
        <w:footnoteRef/>
      </w:r>
      <w:r>
        <w:rPr>
          <w:szCs w:val="18"/>
        </w:rPr>
        <w:t xml:space="preserve"> </w:t>
      </w:r>
      <w:r>
        <w:rPr>
          <w:szCs w:val="18"/>
        </w:rPr>
        <w:tab/>
        <w:t xml:space="preserve">SMEs, including start-ups, creators and innovators, overall represent about half </w:t>
      </w:r>
      <w:r w:rsidRPr="003A3A65">
        <w:rPr>
          <w:szCs w:val="18"/>
        </w:rPr>
        <w:t xml:space="preserve">of the parties involved in WIPO mediations and arbitrations. </w:t>
      </w:r>
      <w:r>
        <w:rPr>
          <w:szCs w:val="18"/>
        </w:rPr>
        <w:t xml:space="preserve">The Center offers reduced administration and registration fees in cases involving SMEs. </w:t>
      </w:r>
      <w:r w:rsidRPr="003A3A65">
        <w:rPr>
          <w:szCs w:val="18"/>
        </w:rPr>
        <w:t>See https://www.wipo.int/amc/en/center/specific-sectors/smes/.</w:t>
      </w:r>
    </w:p>
  </w:footnote>
  <w:footnote w:id="7">
    <w:p w14:paraId="5139583F" w14:textId="77777777" w:rsidR="003B40F4" w:rsidRPr="003A3A65" w:rsidRDefault="003B40F4" w:rsidP="003B40F4">
      <w:pPr>
        <w:pStyle w:val="FootnoteText"/>
        <w:rPr>
          <w:szCs w:val="18"/>
        </w:rPr>
      </w:pPr>
      <w:r w:rsidRPr="003A3A65">
        <w:rPr>
          <w:rStyle w:val="FootnoteReference"/>
          <w:szCs w:val="18"/>
        </w:rPr>
        <w:footnoteRef/>
      </w:r>
      <w:r w:rsidRPr="003A3A65">
        <w:rPr>
          <w:szCs w:val="18"/>
        </w:rPr>
        <w:t xml:space="preserve"> </w:t>
      </w:r>
      <w:r w:rsidRPr="003A3A65">
        <w:rPr>
          <w:szCs w:val="18"/>
        </w:rPr>
        <w:tab/>
      </w:r>
      <w:proofErr w:type="gramStart"/>
      <w:r w:rsidR="00986E43">
        <w:rPr>
          <w:szCs w:val="18"/>
        </w:rPr>
        <w:t>Specific l</w:t>
      </w:r>
      <w:r w:rsidRPr="003A3A65">
        <w:rPr>
          <w:szCs w:val="18"/>
          <w:shd w:val="clear" w:color="auto" w:fill="FFFFFF" w:themeFill="background1"/>
        </w:rPr>
        <w:t xml:space="preserve">egal issues included patent, trademark, and copyright infringement, patent exhaustion, </w:t>
      </w:r>
      <w:r>
        <w:rPr>
          <w:szCs w:val="18"/>
          <w:shd w:val="clear" w:color="auto" w:fill="FFFFFF" w:themeFill="background1"/>
        </w:rPr>
        <w:t>patent co</w:t>
      </w:r>
      <w:r>
        <w:rPr>
          <w:szCs w:val="18"/>
          <w:shd w:val="clear" w:color="auto" w:fill="FFFFFF" w:themeFill="background1"/>
        </w:rPr>
        <w:noBreakHyphen/>
        <w:t>ownership</w:t>
      </w:r>
      <w:r w:rsidRPr="003A3A65">
        <w:rPr>
          <w:szCs w:val="18"/>
          <w:shd w:val="clear" w:color="auto" w:fill="FFFFFF" w:themeFill="background1"/>
        </w:rPr>
        <w:t>, pat</w:t>
      </w:r>
      <w:r>
        <w:rPr>
          <w:szCs w:val="18"/>
          <w:shd w:val="clear" w:color="auto" w:fill="FFFFFF" w:themeFill="background1"/>
        </w:rPr>
        <w:t xml:space="preserve">ent pools, </w:t>
      </w:r>
      <w:r w:rsidRPr="003A3A65">
        <w:rPr>
          <w:szCs w:val="18"/>
          <w:shd w:val="clear" w:color="auto" w:fill="FFFFFF" w:themeFill="background1"/>
        </w:rPr>
        <w:t>appropriate patent licensing terms</w:t>
      </w:r>
      <w:r>
        <w:rPr>
          <w:szCs w:val="18"/>
          <w:shd w:val="clear" w:color="auto" w:fill="FFFFFF" w:themeFill="background1"/>
        </w:rPr>
        <w:t xml:space="preserve">, including the determination of </w:t>
      </w:r>
      <w:r w:rsidRPr="00590FF9">
        <w:t>fair, reasonable and non-discriminatory (</w:t>
      </w:r>
      <w:r>
        <w:rPr>
          <w:szCs w:val="18"/>
          <w:shd w:val="clear" w:color="auto" w:fill="FFFFFF" w:themeFill="background1"/>
        </w:rPr>
        <w:t>FRAND) terms,</w:t>
      </w:r>
      <w:r w:rsidR="00302D68">
        <w:rPr>
          <w:szCs w:val="18"/>
          <w:shd w:val="clear" w:color="auto" w:fill="FFFFFF" w:themeFill="background1"/>
        </w:rPr>
        <w:t xml:space="preserve"> </w:t>
      </w:r>
      <w:r w:rsidRPr="003A3A65">
        <w:rPr>
          <w:szCs w:val="18"/>
          <w:shd w:val="clear" w:color="auto" w:fill="FFFFFF" w:themeFill="background1"/>
        </w:rPr>
        <w:t>breach of contract, roy</w:t>
      </w:r>
      <w:r>
        <w:rPr>
          <w:szCs w:val="18"/>
          <w:shd w:val="clear" w:color="auto" w:fill="FFFFFF" w:themeFill="background1"/>
        </w:rPr>
        <w:t xml:space="preserve">alty adjustments and payments, trademark co-existence agreements, </w:t>
      </w:r>
      <w:r w:rsidRPr="003A3A65">
        <w:rPr>
          <w:szCs w:val="18"/>
          <w:shd w:val="clear" w:color="auto" w:fill="FFFFFF" w:themeFill="background1"/>
        </w:rPr>
        <w:t xml:space="preserve">copyright licensing terms, removal of content from online platforms, specific performance including withdrawal of a legal action, </w:t>
      </w:r>
      <w:r>
        <w:rPr>
          <w:szCs w:val="18"/>
          <w:shd w:val="clear" w:color="auto" w:fill="FFFFFF" w:themeFill="background1"/>
        </w:rPr>
        <w:t xml:space="preserve">damage claims, </w:t>
      </w:r>
      <w:r w:rsidRPr="003A3A65">
        <w:rPr>
          <w:szCs w:val="18"/>
          <w:shd w:val="clear" w:color="auto" w:fill="FFFFFF" w:themeFill="background1"/>
        </w:rPr>
        <w:t>and trademark oppositions pending before IP</w:t>
      </w:r>
      <w:r>
        <w:rPr>
          <w:szCs w:val="18"/>
          <w:shd w:val="clear" w:color="auto" w:fill="FFFFFF" w:themeFill="background1"/>
        </w:rPr>
        <w:t xml:space="preserve"> </w:t>
      </w:r>
      <w:r w:rsidRPr="003A3A65">
        <w:rPr>
          <w:szCs w:val="18"/>
          <w:shd w:val="clear" w:color="auto" w:fill="FFFFFF" w:themeFill="background1"/>
        </w:rPr>
        <w:t>Office</w:t>
      </w:r>
      <w:r>
        <w:rPr>
          <w:szCs w:val="18"/>
          <w:shd w:val="clear" w:color="auto" w:fill="FFFFFF" w:themeFill="background1"/>
        </w:rPr>
        <w:t>s</w:t>
      </w:r>
      <w:r w:rsidRPr="003A3A65">
        <w:rPr>
          <w:szCs w:val="18"/>
          <w:shd w:val="clear" w:color="auto" w:fill="FFFFFF" w:themeFill="background1"/>
        </w:rPr>
        <w:t>.</w:t>
      </w:r>
      <w:proofErr w:type="gramEnd"/>
    </w:p>
  </w:footnote>
  <w:footnote w:id="8">
    <w:p w14:paraId="1FFB52EA" w14:textId="77777777" w:rsidR="008D6F26" w:rsidRPr="003A3A65" w:rsidRDefault="008D6F26" w:rsidP="008D6F26">
      <w:pPr>
        <w:pStyle w:val="FootnoteText"/>
        <w:rPr>
          <w:szCs w:val="18"/>
        </w:rPr>
      </w:pPr>
      <w:r w:rsidRPr="003A3A65">
        <w:rPr>
          <w:rStyle w:val="FootnoteReference"/>
          <w:szCs w:val="18"/>
        </w:rPr>
        <w:footnoteRef/>
      </w:r>
      <w:r w:rsidRPr="003A3A65">
        <w:rPr>
          <w:szCs w:val="18"/>
        </w:rPr>
        <w:t xml:space="preserve"> </w:t>
      </w:r>
      <w:r w:rsidRPr="003A3A65">
        <w:rPr>
          <w:szCs w:val="18"/>
        </w:rPr>
        <w:tab/>
        <w:t xml:space="preserve">WIPO </w:t>
      </w:r>
      <w:proofErr w:type="spellStart"/>
      <w:r w:rsidRPr="003A3A65">
        <w:rPr>
          <w:szCs w:val="18"/>
        </w:rPr>
        <w:t>eADR</w:t>
      </w:r>
      <w:proofErr w:type="spellEnd"/>
      <w:r w:rsidRPr="003A3A65">
        <w:rPr>
          <w:szCs w:val="18"/>
        </w:rPr>
        <w:t xml:space="preserve"> enables parties and neutrals to share and access all case-related submissions thr</w:t>
      </w:r>
      <w:r>
        <w:rPr>
          <w:szCs w:val="18"/>
        </w:rPr>
        <w:t>ou</w:t>
      </w:r>
      <w:r w:rsidR="00506CAD">
        <w:rPr>
          <w:szCs w:val="18"/>
        </w:rPr>
        <w:t xml:space="preserve">gh a single and secure portal. </w:t>
      </w:r>
      <w:r w:rsidRPr="003A3A65">
        <w:rPr>
          <w:szCs w:val="18"/>
        </w:rPr>
        <w:t xml:space="preserve">See </w:t>
      </w:r>
      <w:r w:rsidRPr="00560DF4">
        <w:rPr>
          <w:szCs w:val="18"/>
        </w:rPr>
        <w:t>https://www.wipo.int/amc/en/eadr/</w:t>
      </w:r>
      <w:r w:rsidRPr="003A3A65">
        <w:rPr>
          <w:szCs w:val="18"/>
        </w:rPr>
        <w:t>.</w:t>
      </w:r>
      <w:r>
        <w:rPr>
          <w:szCs w:val="18"/>
        </w:rPr>
        <w:t xml:space="preserve"> In the period</w:t>
      </w:r>
      <w:r w:rsidRPr="006761CE">
        <w:rPr>
          <w:szCs w:val="18"/>
        </w:rPr>
        <w:t>,</w:t>
      </w:r>
      <w:r w:rsidR="00506CAD" w:rsidRPr="006761CE">
        <w:rPr>
          <w:szCs w:val="18"/>
        </w:rPr>
        <w:t xml:space="preserve"> </w:t>
      </w:r>
      <w:proofErr w:type="gramStart"/>
      <w:r w:rsidR="00506CAD" w:rsidRPr="006761CE">
        <w:rPr>
          <w:szCs w:val="18"/>
        </w:rPr>
        <w:t xml:space="preserve">WIPO’s </w:t>
      </w:r>
      <w:proofErr w:type="spellStart"/>
      <w:r w:rsidR="00506CAD" w:rsidRPr="006761CE">
        <w:rPr>
          <w:szCs w:val="18"/>
        </w:rPr>
        <w:t>eADR</w:t>
      </w:r>
      <w:proofErr w:type="spellEnd"/>
      <w:r w:rsidR="00506CAD" w:rsidRPr="006761CE">
        <w:rPr>
          <w:szCs w:val="18"/>
        </w:rPr>
        <w:t xml:space="preserve"> facility is also used by </w:t>
      </w:r>
      <w:r w:rsidRPr="006761CE">
        <w:rPr>
          <w:szCs w:val="18"/>
        </w:rPr>
        <w:t>the America’s Cup Arbitration Panel</w:t>
      </w:r>
      <w:r w:rsidR="00506CAD" w:rsidRPr="006761CE">
        <w:rPr>
          <w:szCs w:val="18"/>
        </w:rPr>
        <w:t xml:space="preserve"> </w:t>
      </w:r>
      <w:r w:rsidRPr="006761CE">
        <w:rPr>
          <w:szCs w:val="18"/>
        </w:rPr>
        <w:t>in the course of the 3</w:t>
      </w:r>
      <w:r w:rsidR="00506CAD" w:rsidRPr="006761CE">
        <w:rPr>
          <w:szCs w:val="18"/>
        </w:rPr>
        <w:t>7</w:t>
      </w:r>
      <w:r w:rsidRPr="006761CE">
        <w:rPr>
          <w:szCs w:val="18"/>
          <w:vertAlign w:val="superscript"/>
        </w:rPr>
        <w:t>th</w:t>
      </w:r>
      <w:r w:rsidRPr="006761CE">
        <w:rPr>
          <w:szCs w:val="18"/>
        </w:rPr>
        <w:t xml:space="preserve"> edition of the America’s Cup sailing race series</w:t>
      </w:r>
      <w:proofErr w:type="gramEnd"/>
      <w:r w:rsidR="00506CAD" w:rsidRPr="006761CE">
        <w:rPr>
          <w:szCs w:val="18"/>
        </w:rPr>
        <w:t>.</w:t>
      </w:r>
      <w:r w:rsidR="00506CAD">
        <w:rPr>
          <w:szCs w:val="18"/>
        </w:rPr>
        <w:t xml:space="preserve"> </w:t>
      </w:r>
      <w:r>
        <w:rPr>
          <w:szCs w:val="18"/>
        </w:rPr>
        <w:t xml:space="preserve">See </w:t>
      </w:r>
      <w:r w:rsidRPr="003960A6">
        <w:rPr>
          <w:szCs w:val="18"/>
        </w:rPr>
        <w:t>https://www.wipo.int/amc/en/center/background.html</w:t>
      </w:r>
      <w:r>
        <w:rPr>
          <w:szCs w:val="18"/>
        </w:rPr>
        <w:t>.</w:t>
      </w:r>
    </w:p>
  </w:footnote>
  <w:footnote w:id="9">
    <w:p w14:paraId="07A88F50" w14:textId="77777777" w:rsidR="008D6F26" w:rsidRDefault="008D6F26" w:rsidP="008D6F26">
      <w:pPr>
        <w:pStyle w:val="FootnoteText"/>
      </w:pPr>
      <w:r>
        <w:rPr>
          <w:rStyle w:val="FootnoteReference"/>
        </w:rPr>
        <w:footnoteRef/>
      </w:r>
      <w:r>
        <w:t xml:space="preserve"> </w:t>
      </w:r>
      <w:r>
        <w:tab/>
        <w:t xml:space="preserve">To assist parties and neutrals in the preparation of such remote meetings and hearings, the Center </w:t>
      </w:r>
      <w:r w:rsidR="006761CE">
        <w:t xml:space="preserve">continued to update </w:t>
      </w:r>
      <w:r>
        <w:t xml:space="preserve">the WIPO Checklist for the Online Conduct of Mediation and Arbitration Proceedings. See </w:t>
      </w:r>
      <w:r>
        <w:rPr>
          <w:szCs w:val="18"/>
        </w:rPr>
        <w:t>h</w:t>
      </w:r>
      <w:r w:rsidRPr="003A3A65">
        <w:rPr>
          <w:szCs w:val="18"/>
        </w:rPr>
        <w:t>ttps://www.wipo.int/amc/en/eadr/checklist/index.html.</w:t>
      </w:r>
    </w:p>
  </w:footnote>
  <w:footnote w:id="10">
    <w:p w14:paraId="688E9B4B" w14:textId="77777777" w:rsidR="0078746E" w:rsidRPr="003A3A65" w:rsidRDefault="0078746E" w:rsidP="0078746E">
      <w:pPr>
        <w:pStyle w:val="FootnoteText"/>
        <w:rPr>
          <w:szCs w:val="18"/>
        </w:rPr>
      </w:pPr>
      <w:r w:rsidRPr="003A3A65">
        <w:rPr>
          <w:rStyle w:val="FootnoteReference"/>
          <w:szCs w:val="18"/>
        </w:rPr>
        <w:footnoteRef/>
      </w:r>
      <w:r w:rsidRPr="003A3A65">
        <w:rPr>
          <w:szCs w:val="18"/>
        </w:rPr>
        <w:t xml:space="preserve"> </w:t>
      </w:r>
      <w:r w:rsidRPr="003A3A65">
        <w:rPr>
          <w:szCs w:val="18"/>
        </w:rPr>
        <w:tab/>
        <w:t>The Center’s website provides a full overview of the range of these services. See https://www.wipo.int/amc/en/center/specific-sectors/.</w:t>
      </w:r>
    </w:p>
  </w:footnote>
  <w:footnote w:id="11">
    <w:p w14:paraId="41E88508" w14:textId="77777777" w:rsidR="0078746E" w:rsidRPr="00053A12" w:rsidRDefault="0078746E" w:rsidP="0078746E">
      <w:pPr>
        <w:pStyle w:val="FootnoteText"/>
        <w:rPr>
          <w:rFonts w:asciiTheme="minorBidi" w:hAnsiTheme="minorBidi" w:cstheme="minorBidi"/>
          <w:szCs w:val="18"/>
        </w:rPr>
      </w:pPr>
      <w:r w:rsidRPr="003A3A65">
        <w:rPr>
          <w:rStyle w:val="FootnoteReference"/>
          <w:szCs w:val="18"/>
        </w:rPr>
        <w:footnoteRef/>
      </w:r>
      <w:r w:rsidRPr="003A3A65">
        <w:rPr>
          <w:szCs w:val="18"/>
        </w:rPr>
        <w:t xml:space="preserve"> </w:t>
      </w:r>
      <w:r w:rsidRPr="003A3A65">
        <w:rPr>
          <w:szCs w:val="18"/>
        </w:rPr>
        <w:tab/>
        <w:t>See https://www.wipo.int/amc/en/center/specific-sectors/ict/frand/.</w:t>
      </w:r>
    </w:p>
  </w:footnote>
  <w:footnote w:id="12">
    <w:p w14:paraId="10445641" w14:textId="77777777" w:rsidR="0078746E" w:rsidRPr="003A3A65" w:rsidRDefault="0078746E" w:rsidP="0078746E">
      <w:pPr>
        <w:pStyle w:val="FootnoteText"/>
        <w:rPr>
          <w:szCs w:val="18"/>
        </w:rPr>
      </w:pPr>
      <w:r w:rsidRPr="003A3A65">
        <w:rPr>
          <w:rStyle w:val="FootnoteReference"/>
          <w:szCs w:val="18"/>
        </w:rPr>
        <w:footnoteRef/>
      </w:r>
      <w:r>
        <w:rPr>
          <w:szCs w:val="18"/>
        </w:rPr>
        <w:t xml:space="preserve"> </w:t>
      </w:r>
      <w:r>
        <w:rPr>
          <w:szCs w:val="18"/>
        </w:rPr>
        <w:tab/>
        <w:t xml:space="preserve">See </w:t>
      </w:r>
      <w:r w:rsidR="004E26F7">
        <w:rPr>
          <w:szCs w:val="18"/>
        </w:rPr>
        <w:t>h</w:t>
      </w:r>
      <w:r w:rsidRPr="00F43068">
        <w:rPr>
          <w:szCs w:val="18"/>
        </w:rPr>
        <w:t>ttps://www.wipo.int/export/sites/www/amc/en/docs/2022/wipo_adr_options_for_frand_disputes_management_resolution.pdf</w:t>
      </w:r>
      <w:r>
        <w:rPr>
          <w:szCs w:val="18"/>
        </w:rPr>
        <w:t>. T</w:t>
      </w:r>
      <w:r>
        <w:rPr>
          <w:szCs w:val="18"/>
          <w:shd w:val="clear" w:color="auto" w:fill="FFFFFF" w:themeFill="background1"/>
        </w:rPr>
        <w:t>he publication s</w:t>
      </w:r>
      <w:r w:rsidRPr="003A3A65">
        <w:rPr>
          <w:szCs w:val="18"/>
          <w:shd w:val="clear" w:color="auto" w:fill="FFFFFF" w:themeFill="background1"/>
        </w:rPr>
        <w:t xml:space="preserve">eeks to assist parties and neutrals to better understand and make use of available dispute resolution options when negotiating or drafting FRAND licensing agreements. </w:t>
      </w:r>
      <w:r>
        <w:rPr>
          <w:szCs w:val="18"/>
          <w:shd w:val="clear" w:color="auto" w:fill="FFFFFF" w:themeFill="background1"/>
        </w:rPr>
        <w:t xml:space="preserve">It </w:t>
      </w:r>
      <w:r w:rsidRPr="003A3A65">
        <w:rPr>
          <w:szCs w:val="18"/>
          <w:shd w:val="clear" w:color="auto" w:fill="FFFFFF" w:themeFill="background1"/>
        </w:rPr>
        <w:t>covers key elements that parties may wish to consider to shape the ADR process, notably to address large SEP portfolios in the te</w:t>
      </w:r>
      <w:r>
        <w:rPr>
          <w:szCs w:val="18"/>
          <w:shd w:val="clear" w:color="auto" w:fill="FFFFFF" w:themeFill="background1"/>
        </w:rPr>
        <w:t>lecom, Internet of Things, and connected m</w:t>
      </w:r>
      <w:r w:rsidRPr="003A3A65">
        <w:rPr>
          <w:szCs w:val="18"/>
          <w:shd w:val="clear" w:color="auto" w:fill="FFFFFF" w:themeFill="background1"/>
        </w:rPr>
        <w:t>obility sectors, and to manage time and cost of proceedings. Tailored model submission agreements are also included.</w:t>
      </w:r>
      <w:r w:rsidRPr="003A3A65">
        <w:rPr>
          <w:szCs w:val="18"/>
        </w:rPr>
        <w:t xml:space="preserve">  </w:t>
      </w:r>
    </w:p>
  </w:footnote>
  <w:footnote w:id="13">
    <w:p w14:paraId="28ADC6FE" w14:textId="77777777" w:rsidR="0078746E" w:rsidRPr="007713D2" w:rsidRDefault="0078746E" w:rsidP="0078746E">
      <w:pPr>
        <w:pStyle w:val="FootnoteText"/>
      </w:pPr>
      <w:r>
        <w:rPr>
          <w:rStyle w:val="FootnoteReference"/>
        </w:rPr>
        <w:footnoteRef/>
      </w:r>
      <w:r>
        <w:t xml:space="preserve"> </w:t>
      </w:r>
      <w:r>
        <w:tab/>
        <w:t xml:space="preserve">In the period, the Center published an anonymized summary of WIPO life sciences mediation and arbitration case </w:t>
      </w:r>
      <w:proofErr w:type="gramStart"/>
      <w:r>
        <w:t>examples,</w:t>
      </w:r>
      <w:proofErr w:type="gramEnd"/>
      <w:r>
        <w:t xml:space="preserve"> see </w:t>
      </w:r>
      <w:r w:rsidRPr="007713D2">
        <w:t>https://www.wipo.int/amc/en/center/specific-sectors/lifesciences/</w:t>
      </w:r>
      <w:r>
        <w:t>.</w:t>
      </w:r>
    </w:p>
  </w:footnote>
  <w:footnote w:id="14">
    <w:p w14:paraId="2DB7CDC6" w14:textId="77777777" w:rsidR="0078746E" w:rsidRPr="00686FFA" w:rsidRDefault="0078746E" w:rsidP="0078746E">
      <w:pPr>
        <w:pStyle w:val="FootnoteText"/>
      </w:pPr>
      <w:r>
        <w:rPr>
          <w:rStyle w:val="FootnoteReference"/>
        </w:rPr>
        <w:footnoteRef/>
      </w:r>
      <w:r>
        <w:t xml:space="preserve"> </w:t>
      </w:r>
      <w:r>
        <w:tab/>
        <w:t xml:space="preserve">See </w:t>
      </w:r>
      <w:r w:rsidRPr="00686FFA">
        <w:t>https://www.wipo.int/publications/en/details.jsp?id=4639</w:t>
      </w:r>
      <w:r>
        <w:t xml:space="preserve">. The publication </w:t>
      </w:r>
      <w:proofErr w:type="gramStart"/>
      <w:r w:rsidRPr="00686FFA">
        <w:t>was launched</w:t>
      </w:r>
      <w:proofErr w:type="gramEnd"/>
      <w:r w:rsidRPr="00686FFA">
        <w:t xml:space="preserve"> at the WIPO Seminar of ADR for Life Sciences Dispute Management and Resolution</w:t>
      </w:r>
      <w:r w:rsidRPr="00942460">
        <w:t xml:space="preserve"> </w:t>
      </w:r>
      <w:r>
        <w:t>on November 29, 2022,</w:t>
      </w:r>
      <w:r w:rsidRPr="00686FFA">
        <w:t xml:space="preserve"> with speakers representing industry, tech transfer offices, public health partnerships </w:t>
      </w:r>
      <w:r>
        <w:t>and</w:t>
      </w:r>
      <w:r w:rsidRPr="00686FFA">
        <w:t xml:space="preserve"> WIPO Neutrals</w:t>
      </w:r>
      <w:r>
        <w:t>,</w:t>
      </w:r>
      <w:r w:rsidRPr="00686FFA">
        <w:t xml:space="preserve"> from Africa, Asia, Europe and North America</w:t>
      </w:r>
      <w:r w:rsidR="004E26F7">
        <w:t>. S</w:t>
      </w:r>
      <w:r>
        <w:t xml:space="preserve">ee </w:t>
      </w:r>
      <w:r w:rsidRPr="003D03E6">
        <w:t>https://webcast.wipo.int/video/OTHER_WIPO_SEMINAR_1_2022-11-29_PM_117643</w:t>
      </w:r>
      <w:r w:rsidRPr="00686FFA">
        <w:t xml:space="preserve">.  </w:t>
      </w:r>
    </w:p>
  </w:footnote>
  <w:footnote w:id="15">
    <w:p w14:paraId="7F5DF40D" w14:textId="77777777" w:rsidR="0078746E" w:rsidRPr="007713D2" w:rsidRDefault="0078746E" w:rsidP="0078746E">
      <w:pPr>
        <w:pStyle w:val="FootnoteText"/>
      </w:pPr>
      <w:r>
        <w:rPr>
          <w:rStyle w:val="FootnoteReference"/>
        </w:rPr>
        <w:footnoteRef/>
      </w:r>
      <w:r>
        <w:t xml:space="preserve"> </w:t>
      </w:r>
      <w:r>
        <w:tab/>
        <w:t xml:space="preserve">The Center notes a growing use of WIPO mediation and arbitration clauses </w:t>
      </w:r>
      <w:r w:rsidR="004E26F7">
        <w:t xml:space="preserve">by life sciences stakeholders. </w:t>
      </w:r>
      <w:r>
        <w:t>For example, WIPO mediation and arbitration options are included in more than</w:t>
      </w:r>
      <w:r w:rsidRPr="00686FFA">
        <w:t xml:space="preserve"> 70 licensing and sub-licensing agreements </w:t>
      </w:r>
      <w:r>
        <w:t>c</w:t>
      </w:r>
      <w:r w:rsidRPr="00686FFA">
        <w:t xml:space="preserve">oncluded by </w:t>
      </w:r>
      <w:r>
        <w:t xml:space="preserve">the Medicines Patent Pool (MPP), </w:t>
      </w:r>
      <w:r w:rsidRPr="00686FFA">
        <w:t>including agreements for specific COVID-19 treatments</w:t>
      </w:r>
      <w:r w:rsidR="004E26F7">
        <w:t>. S</w:t>
      </w:r>
      <w:r>
        <w:t xml:space="preserve">ee </w:t>
      </w:r>
      <w:r w:rsidRPr="008C67D5">
        <w:t>https://medicinespatentpool.org/progress-achievements/licences</w:t>
      </w:r>
      <w:r w:rsidRPr="00686FFA">
        <w:t xml:space="preserve">.  </w:t>
      </w:r>
    </w:p>
  </w:footnote>
  <w:footnote w:id="16">
    <w:p w14:paraId="52688FBB" w14:textId="77777777" w:rsidR="004E26F7" w:rsidRDefault="004E26F7">
      <w:pPr>
        <w:pStyle w:val="FootnoteText"/>
      </w:pPr>
      <w:r>
        <w:rPr>
          <w:rStyle w:val="FootnoteReference"/>
        </w:rPr>
        <w:footnoteRef/>
      </w:r>
      <w:r>
        <w:t xml:space="preserve"> </w:t>
      </w:r>
      <w:r>
        <w:tab/>
        <w:t xml:space="preserve">See </w:t>
      </w:r>
      <w:r w:rsidRPr="004E26F7">
        <w:t>https://www.wipo.int/amc/en/center/copyright/digitalcopyright/index.html</w:t>
      </w:r>
      <w:r>
        <w:t xml:space="preserve">. </w:t>
      </w:r>
    </w:p>
  </w:footnote>
  <w:footnote w:id="17">
    <w:p w14:paraId="105EE043" w14:textId="77777777" w:rsidR="00CA0EF6" w:rsidRDefault="00CA0EF6" w:rsidP="00CA0EF6">
      <w:pPr>
        <w:pStyle w:val="FootnoteText"/>
      </w:pPr>
      <w:r w:rsidRPr="00CA0EF6">
        <w:rPr>
          <w:rStyle w:val="FootnoteReference"/>
          <w:shd w:val="clear" w:color="auto" w:fill="FFFFFF" w:themeFill="background1"/>
        </w:rPr>
        <w:footnoteRef/>
      </w:r>
      <w:r w:rsidRPr="00CA0EF6">
        <w:rPr>
          <w:shd w:val="clear" w:color="auto" w:fill="FFFFFF" w:themeFill="background1"/>
        </w:rPr>
        <w:t xml:space="preserve"> </w:t>
      </w:r>
      <w:r w:rsidRPr="00CA0EF6">
        <w:rPr>
          <w:shd w:val="clear" w:color="auto" w:fill="FFFFFF" w:themeFill="background1"/>
        </w:rPr>
        <w:tab/>
        <w:t>To address this trend, the Center has collaborated with relevant stakeholders to develop best practices for the resolution of user-uploaded content disputes by online content-sharing service providers (OCSSPs). This includes the adaptation of the WIPO Expert Determination Rules as a global procedure and the provision of WIPO model ADR submission agreements tailored to digital copyright- and content-related disputes. See https://www.wipo.int/amc/en/center/copyright/digitalcopyright.</w:t>
      </w:r>
    </w:p>
  </w:footnote>
  <w:footnote w:id="18">
    <w:p w14:paraId="22CE3053" w14:textId="03F346AF" w:rsidR="008D6F26" w:rsidRPr="003A3A65" w:rsidRDefault="008D6F26" w:rsidP="008D6F26">
      <w:pPr>
        <w:pStyle w:val="FootnoteText"/>
        <w:rPr>
          <w:szCs w:val="18"/>
        </w:rPr>
      </w:pPr>
      <w:r w:rsidRPr="003A3A65">
        <w:rPr>
          <w:rStyle w:val="FootnoteReference"/>
          <w:szCs w:val="18"/>
        </w:rPr>
        <w:footnoteRef/>
      </w:r>
      <w:r w:rsidRPr="003A3A65">
        <w:rPr>
          <w:szCs w:val="18"/>
        </w:rPr>
        <w:t xml:space="preserve"> </w:t>
      </w:r>
      <w:r w:rsidRPr="003A3A65">
        <w:rPr>
          <w:szCs w:val="18"/>
        </w:rPr>
        <w:tab/>
      </w:r>
      <w:proofErr w:type="gramStart"/>
      <w:r w:rsidR="000773CB">
        <w:rPr>
          <w:szCs w:val="18"/>
        </w:rPr>
        <w:t xml:space="preserve">To date, the Center collaborates with 75 </w:t>
      </w:r>
      <w:r w:rsidRPr="003A3A65">
        <w:rPr>
          <w:szCs w:val="18"/>
        </w:rPr>
        <w:t xml:space="preserve">IPOs and courts in </w:t>
      </w:r>
      <w:r w:rsidR="000773CB" w:rsidRPr="003A3A65">
        <w:rPr>
          <w:szCs w:val="18"/>
        </w:rPr>
        <w:t xml:space="preserve">Algeria, Argentina, Australia, Belarus, Botswana, Brazil, Bulgaria, </w:t>
      </w:r>
      <w:r w:rsidR="000773CB">
        <w:rPr>
          <w:szCs w:val="18"/>
        </w:rPr>
        <w:t xml:space="preserve">Canada, </w:t>
      </w:r>
      <w:r w:rsidR="000773CB" w:rsidRPr="003A3A65">
        <w:rPr>
          <w:szCs w:val="18"/>
        </w:rPr>
        <w:t>Chile, China, Colombia, Costa Rica, Cuba, the Czech Republic, the Dominican Republic, Ecuador,</w:t>
      </w:r>
      <w:r w:rsidR="000773CB">
        <w:rPr>
          <w:szCs w:val="18"/>
        </w:rPr>
        <w:t xml:space="preserve"> Egypt,</w:t>
      </w:r>
      <w:r w:rsidR="000773CB" w:rsidRPr="003A3A65">
        <w:rPr>
          <w:szCs w:val="18"/>
        </w:rPr>
        <w:t xml:space="preserve"> El Salvador, the Eurasian Patent Organization</w:t>
      </w:r>
      <w:r w:rsidR="00645A15">
        <w:rPr>
          <w:szCs w:val="18"/>
        </w:rPr>
        <w:t xml:space="preserve"> (EAPO)</w:t>
      </w:r>
      <w:r w:rsidR="000773CB" w:rsidRPr="003A3A65">
        <w:rPr>
          <w:szCs w:val="18"/>
        </w:rPr>
        <w:t xml:space="preserve">, </w:t>
      </w:r>
      <w:r w:rsidR="000773CB">
        <w:rPr>
          <w:szCs w:val="18"/>
        </w:rPr>
        <w:t xml:space="preserve">France, Georgia, Greece, Guatemala, </w:t>
      </w:r>
      <w:r w:rsidR="000773CB" w:rsidRPr="003A3A65">
        <w:rPr>
          <w:szCs w:val="18"/>
        </w:rPr>
        <w:t xml:space="preserve">Hungary, Indonesia, Israel, Italy, Kazakhstan, Kenya, the Republic of Korea, </w:t>
      </w:r>
      <w:r w:rsidR="000773CB">
        <w:rPr>
          <w:szCs w:val="18"/>
        </w:rPr>
        <w:t>Kyrgyzstan</w:t>
      </w:r>
      <w:r w:rsidR="000773CB" w:rsidRPr="003A3A65">
        <w:rPr>
          <w:szCs w:val="18"/>
        </w:rPr>
        <w:t xml:space="preserve">, Lithuania, Mexico, Morocco, </w:t>
      </w:r>
      <w:r w:rsidR="000773CB">
        <w:rPr>
          <w:szCs w:val="18"/>
        </w:rPr>
        <w:t xml:space="preserve">New Zealand, </w:t>
      </w:r>
      <w:r w:rsidR="000773CB" w:rsidRPr="003A3A65">
        <w:rPr>
          <w:szCs w:val="18"/>
        </w:rPr>
        <w:t xml:space="preserve">Nigeria, Paraguay, </w:t>
      </w:r>
      <w:r w:rsidR="00645A15">
        <w:rPr>
          <w:szCs w:val="18"/>
        </w:rPr>
        <w:t xml:space="preserve">the </w:t>
      </w:r>
      <w:r w:rsidR="00645A15">
        <w:t xml:space="preserve">Patent Office of the Cooperation Council for the Arab States of the Gulf (GCC Patent Office), </w:t>
      </w:r>
      <w:r w:rsidR="000773CB" w:rsidRPr="003A3A65">
        <w:rPr>
          <w:szCs w:val="18"/>
        </w:rPr>
        <w:t xml:space="preserve">the Philippines, Poland, </w:t>
      </w:r>
      <w:r w:rsidR="000773CB">
        <w:rPr>
          <w:szCs w:val="18"/>
        </w:rPr>
        <w:t xml:space="preserve">Qatar, </w:t>
      </w:r>
      <w:r w:rsidR="000773CB" w:rsidRPr="003A3A65">
        <w:rPr>
          <w:szCs w:val="18"/>
        </w:rPr>
        <w:t xml:space="preserve">Romania, </w:t>
      </w:r>
      <w:r w:rsidR="000773CB">
        <w:rPr>
          <w:szCs w:val="18"/>
        </w:rPr>
        <w:t xml:space="preserve">the </w:t>
      </w:r>
      <w:r w:rsidR="000773CB" w:rsidRPr="003A3A65">
        <w:rPr>
          <w:szCs w:val="18"/>
        </w:rPr>
        <w:t xml:space="preserve">Russian Federation, Serbia, Singapore, </w:t>
      </w:r>
      <w:r w:rsidR="000773CB">
        <w:rPr>
          <w:szCs w:val="18"/>
        </w:rPr>
        <w:t xml:space="preserve">Slovakia, </w:t>
      </w:r>
      <w:r w:rsidR="000773CB" w:rsidRPr="003A3A65">
        <w:rPr>
          <w:szCs w:val="18"/>
        </w:rPr>
        <w:t xml:space="preserve">Spain, Switzerland, </w:t>
      </w:r>
      <w:r w:rsidR="000773CB">
        <w:rPr>
          <w:szCs w:val="18"/>
        </w:rPr>
        <w:t xml:space="preserve">United Republic of </w:t>
      </w:r>
      <w:r w:rsidR="000773CB" w:rsidRPr="003A3A65">
        <w:rPr>
          <w:szCs w:val="18"/>
          <w:shd w:val="clear" w:color="auto" w:fill="FFFFFF" w:themeFill="background1"/>
        </w:rPr>
        <w:t>Tanzania, Thailand, Trinidad and Tobago, Ukraine, the United Kingdom, and the United States of America.</w:t>
      </w:r>
      <w:proofErr w:type="gramEnd"/>
      <w:r w:rsidR="00E2570E">
        <w:rPr>
          <w:szCs w:val="18"/>
          <w:shd w:val="clear" w:color="auto" w:fill="FFFFFF" w:themeFill="background1"/>
        </w:rPr>
        <w:t xml:space="preserve"> </w:t>
      </w:r>
      <w:r>
        <w:rPr>
          <w:szCs w:val="18"/>
          <w:shd w:val="clear" w:color="auto" w:fill="FFFFFF" w:themeFill="background1"/>
        </w:rPr>
        <w:t>See</w:t>
      </w:r>
      <w:r w:rsidR="00D8127E">
        <w:rPr>
          <w:szCs w:val="18"/>
          <w:shd w:val="clear" w:color="auto" w:fill="FFFFFF" w:themeFill="background1"/>
        </w:rPr>
        <w:t xml:space="preserve"> </w:t>
      </w:r>
      <w:r w:rsidR="00D8127E" w:rsidRPr="00B628C2">
        <w:rPr>
          <w:szCs w:val="18"/>
        </w:rPr>
        <w:t>http://www.wipo.int/amc/en/center/specific-sectors/ipoffices/</w:t>
      </w:r>
      <w:r w:rsidRPr="00310A85">
        <w:rPr>
          <w:szCs w:val="18"/>
          <w:shd w:val="clear" w:color="auto" w:fill="FFFFFF" w:themeFill="background1"/>
        </w:rPr>
        <w:t>.</w:t>
      </w:r>
      <w:r w:rsidR="00310A85">
        <w:rPr>
          <w:szCs w:val="18"/>
          <w:shd w:val="clear" w:color="auto" w:fill="FFFFFF" w:themeFill="background1"/>
        </w:rPr>
        <w:t xml:space="preserve"> </w:t>
      </w:r>
    </w:p>
  </w:footnote>
  <w:footnote w:id="19">
    <w:p w14:paraId="5B20ACA7" w14:textId="67796DD6" w:rsidR="00F8152B" w:rsidRPr="003A3A65" w:rsidRDefault="00F8152B" w:rsidP="00F8152B">
      <w:pPr>
        <w:pStyle w:val="FootnoteText"/>
        <w:rPr>
          <w:szCs w:val="18"/>
        </w:rPr>
      </w:pPr>
      <w:r w:rsidRPr="003A3A65">
        <w:rPr>
          <w:rStyle w:val="FootnoteReference"/>
          <w:szCs w:val="18"/>
        </w:rPr>
        <w:footnoteRef/>
      </w:r>
      <w:r>
        <w:rPr>
          <w:szCs w:val="18"/>
        </w:rPr>
        <w:t xml:space="preserve"> </w:t>
      </w:r>
      <w:r>
        <w:rPr>
          <w:szCs w:val="18"/>
        </w:rPr>
        <w:tab/>
      </w:r>
      <w:proofErr w:type="gramStart"/>
      <w:r w:rsidRPr="00072A2B">
        <w:rPr>
          <w:szCs w:val="18"/>
        </w:rPr>
        <w:t>The</w:t>
      </w:r>
      <w:r>
        <w:rPr>
          <w:szCs w:val="18"/>
        </w:rPr>
        <w:t xml:space="preserve"> </w:t>
      </w:r>
      <w:r w:rsidRPr="00072A2B">
        <w:rPr>
          <w:szCs w:val="18"/>
        </w:rPr>
        <w:t>National Directorate of Author’s Right Office of Argentina (DNDA), the Canadian Intellectual Property Office (CIPO), the National Institute of Industrial Property of Chile (INAPI</w:t>
      </w:r>
      <w:r w:rsidRPr="00080A09">
        <w:rPr>
          <w:szCs w:val="18"/>
        </w:rPr>
        <w:t xml:space="preserve">), </w:t>
      </w:r>
      <w:r w:rsidR="005F3F39">
        <w:t xml:space="preserve">the Hainan High People’s Court (China), </w:t>
      </w:r>
      <w:r w:rsidRPr="00080A09">
        <w:rPr>
          <w:szCs w:val="18"/>
        </w:rPr>
        <w:t>the Ministry of Justice of Egypt, the</w:t>
      </w:r>
      <w:r w:rsidRPr="00072A2B">
        <w:rPr>
          <w:szCs w:val="18"/>
        </w:rPr>
        <w:t xml:space="preserve"> </w:t>
      </w:r>
      <w:r w:rsidR="00310A85">
        <w:rPr>
          <w:szCs w:val="18"/>
        </w:rPr>
        <w:t xml:space="preserve">GCC </w:t>
      </w:r>
      <w:r w:rsidRPr="00072A2B">
        <w:rPr>
          <w:szCs w:val="18"/>
        </w:rPr>
        <w:t>Patent Office</w:t>
      </w:r>
      <w:r w:rsidR="00310A85">
        <w:rPr>
          <w:szCs w:val="18"/>
        </w:rPr>
        <w:t>,</w:t>
      </w:r>
      <w:r w:rsidRPr="00072A2B">
        <w:rPr>
          <w:szCs w:val="18"/>
        </w:rPr>
        <w:t xml:space="preserve"> the National Intellectual Property Center of Georgia (SAKPATENTI), the Hellenic Copyright Organization of Greece (HCO), the Registry of Intellectual Property of Guatemala (RPI), the Intellectual Property Office of New Zealand (IPONZ), the National Institute for the Defense of Competition and Protection of Intellectual Property of Peru (INDECOPI</w:t>
      </w:r>
      <w:r w:rsidRPr="00080A09">
        <w:rPr>
          <w:szCs w:val="18"/>
        </w:rPr>
        <w:t>), the Ministry of Commerce and Industry of Qatar, the Industrial Property Office of the Slovak Republic (IPO SK), and the</w:t>
      </w:r>
      <w:r w:rsidRPr="00072A2B">
        <w:rPr>
          <w:szCs w:val="18"/>
        </w:rPr>
        <w:t xml:space="preserve"> </w:t>
      </w:r>
      <w:r>
        <w:rPr>
          <w:szCs w:val="18"/>
        </w:rPr>
        <w:t>USPTO.</w:t>
      </w:r>
      <w:proofErr w:type="gramEnd"/>
    </w:p>
  </w:footnote>
  <w:footnote w:id="20">
    <w:p w14:paraId="0F8C6DF8" w14:textId="77777777" w:rsidR="008D6F26" w:rsidRPr="00053A12" w:rsidRDefault="008D6F26" w:rsidP="008D6F26">
      <w:pPr>
        <w:pStyle w:val="FootnoteText"/>
        <w:rPr>
          <w:rFonts w:asciiTheme="minorBidi" w:hAnsiTheme="minorBidi" w:cstheme="minorBidi"/>
          <w:szCs w:val="18"/>
        </w:rPr>
      </w:pPr>
      <w:r w:rsidRPr="003A3A65">
        <w:rPr>
          <w:rStyle w:val="FootnoteReference"/>
          <w:szCs w:val="18"/>
        </w:rPr>
        <w:footnoteRef/>
      </w:r>
      <w:r w:rsidRPr="003A3A65">
        <w:rPr>
          <w:szCs w:val="18"/>
        </w:rPr>
        <w:tab/>
        <w:t xml:space="preserve">For examples of events organized by the Center in collaboration with </w:t>
      </w:r>
      <w:proofErr w:type="gramStart"/>
      <w:r w:rsidRPr="003A3A65">
        <w:rPr>
          <w:szCs w:val="18"/>
        </w:rPr>
        <w:t>IPOs</w:t>
      </w:r>
      <w:proofErr w:type="gramEnd"/>
      <w:r w:rsidRPr="003A3A65">
        <w:rPr>
          <w:szCs w:val="18"/>
        </w:rPr>
        <w:t xml:space="preserve"> see http://www.wipo.int/amc/en/center/specific-sector</w:t>
      </w:r>
      <w:r w:rsidR="000773CB">
        <w:rPr>
          <w:szCs w:val="18"/>
        </w:rPr>
        <w:t>s/ipoffices/.</w:t>
      </w:r>
    </w:p>
  </w:footnote>
  <w:footnote w:id="21">
    <w:p w14:paraId="19637AC5" w14:textId="71940E4A" w:rsidR="008D6F26" w:rsidRPr="003A3A65" w:rsidRDefault="008D6F26" w:rsidP="008D6F26">
      <w:pPr>
        <w:pStyle w:val="FootnoteText"/>
        <w:rPr>
          <w:szCs w:val="18"/>
        </w:rPr>
      </w:pPr>
      <w:r w:rsidRPr="003A3A65">
        <w:rPr>
          <w:rStyle w:val="FootnoteReference"/>
          <w:szCs w:val="18"/>
        </w:rPr>
        <w:footnoteRef/>
      </w:r>
      <w:r w:rsidRPr="003A3A65">
        <w:rPr>
          <w:szCs w:val="18"/>
        </w:rPr>
        <w:t xml:space="preserve"> </w:t>
      </w:r>
      <w:r w:rsidRPr="003A3A65">
        <w:rPr>
          <w:szCs w:val="18"/>
        </w:rPr>
        <w:tab/>
        <w:t>For example, under its collaboration with the Intellectual Property Office of Singapore (IPOS), the Center has participated in the development of mediation options for</w:t>
      </w:r>
      <w:r>
        <w:rPr>
          <w:szCs w:val="18"/>
        </w:rPr>
        <w:t xml:space="preserve"> IPOS</w:t>
      </w:r>
      <w:r w:rsidRPr="003A3A65">
        <w:rPr>
          <w:szCs w:val="18"/>
        </w:rPr>
        <w:t xml:space="preserve"> trademark and other proceedings, and an expert determination option for </w:t>
      </w:r>
      <w:r>
        <w:rPr>
          <w:szCs w:val="18"/>
        </w:rPr>
        <w:t xml:space="preserve">IPOS </w:t>
      </w:r>
      <w:r w:rsidRPr="003A3A65">
        <w:rPr>
          <w:szCs w:val="18"/>
        </w:rPr>
        <w:t xml:space="preserve">patent proceedings, and it administers such proceedings, including online case administration tools. Summaries of </w:t>
      </w:r>
      <w:r w:rsidR="00E2570E">
        <w:rPr>
          <w:szCs w:val="18"/>
        </w:rPr>
        <w:t>c</w:t>
      </w:r>
      <w:r w:rsidRPr="003A3A65">
        <w:rPr>
          <w:szCs w:val="18"/>
        </w:rPr>
        <w:t xml:space="preserve">ase examples are available at </w:t>
      </w:r>
      <w:r w:rsidRPr="00982CB9">
        <w:rPr>
          <w:szCs w:val="22"/>
        </w:rPr>
        <w:t>https://www.ipos.gov.sg/docs/default-source/protecting-your-ideas/hearings-mediation/mediation-at-ipos-(emps).pdf</w:t>
      </w:r>
      <w:r>
        <w:rPr>
          <w:szCs w:val="22"/>
        </w:rPr>
        <w:t xml:space="preserve">. </w:t>
      </w:r>
      <w:r w:rsidRPr="003A3A65">
        <w:rPr>
          <w:szCs w:val="18"/>
        </w:rPr>
        <w:t xml:space="preserve">The Center also collaborates with the Intellectual Property Office of the Philippines (IPOPHL) concerning the administration of mediation proceedings involving IP rights in the Philippines, including recently under the IPOPHL Mediation </w:t>
      </w:r>
      <w:proofErr w:type="gramStart"/>
      <w:r w:rsidRPr="003A3A65">
        <w:rPr>
          <w:szCs w:val="18"/>
        </w:rPr>
        <w:t>Outside</w:t>
      </w:r>
      <w:proofErr w:type="gramEnd"/>
      <w:r w:rsidRPr="003A3A65">
        <w:rPr>
          <w:szCs w:val="18"/>
        </w:rPr>
        <w:t xml:space="preserve"> Litigation scheme</w:t>
      </w:r>
      <w:r w:rsidR="00993362">
        <w:rPr>
          <w:szCs w:val="18"/>
        </w:rPr>
        <w:t>, and administers cases referred to WIPO Mediation under these arrangements</w:t>
      </w:r>
      <w:r w:rsidRPr="003A3A65">
        <w:rPr>
          <w:szCs w:val="18"/>
        </w:rPr>
        <w:t xml:space="preserve">. The Trademark Trial and Appeal Board (TTAB) and the Patent Trial and Appeal Board (PTAB) of the USPTO encourage parties to consider ADR as a means of settling issues raised in those proceedings; the Center is one of the listed </w:t>
      </w:r>
      <w:proofErr w:type="gramStart"/>
      <w:r w:rsidRPr="003A3A65">
        <w:rPr>
          <w:szCs w:val="18"/>
        </w:rPr>
        <w:t>dispute resolution service providers</w:t>
      </w:r>
      <w:proofErr w:type="gramEnd"/>
      <w:r w:rsidRPr="003A3A65">
        <w:rPr>
          <w:szCs w:val="18"/>
        </w:rPr>
        <w:t>. Under its collaboration with the Polish Patent Office (PPO), the Center participated in the development of a WIPO mediation option that has become available for pending tr</w:t>
      </w:r>
      <w:r>
        <w:rPr>
          <w:szCs w:val="18"/>
        </w:rPr>
        <w:t xml:space="preserve">ademark opposition proceedings. </w:t>
      </w:r>
      <w:r w:rsidR="00882D0E">
        <w:rPr>
          <w:szCs w:val="18"/>
        </w:rPr>
        <w:t>Most recently, u</w:t>
      </w:r>
      <w:r w:rsidRPr="003A3A65">
        <w:rPr>
          <w:szCs w:val="18"/>
        </w:rPr>
        <w:t>nder the collaboration</w:t>
      </w:r>
      <w:r>
        <w:rPr>
          <w:szCs w:val="18"/>
        </w:rPr>
        <w:t xml:space="preserve"> between the Center and </w:t>
      </w:r>
      <w:r w:rsidRPr="003A3A65">
        <w:rPr>
          <w:szCs w:val="18"/>
        </w:rPr>
        <w:t xml:space="preserve">the Moroccan Office of Industrial and Commercial Property (OMPIC), the Center and OMPIC developed a mediation option for </w:t>
      </w:r>
      <w:r>
        <w:rPr>
          <w:szCs w:val="18"/>
        </w:rPr>
        <w:t xml:space="preserve">IP </w:t>
      </w:r>
      <w:r w:rsidRPr="003A3A65">
        <w:rPr>
          <w:szCs w:val="18"/>
        </w:rPr>
        <w:t>and technology cases, co-administered by the Center and OMPIC.</w:t>
      </w:r>
    </w:p>
  </w:footnote>
  <w:footnote w:id="22">
    <w:p w14:paraId="18698979" w14:textId="715DECC1" w:rsidR="008D6F26" w:rsidRPr="003A3A65" w:rsidRDefault="008D6F26" w:rsidP="008D6F26">
      <w:pPr>
        <w:pStyle w:val="FootnoteText"/>
      </w:pPr>
      <w:r w:rsidRPr="003A3A65">
        <w:rPr>
          <w:rStyle w:val="FootnoteReference"/>
        </w:rPr>
        <w:footnoteRef/>
      </w:r>
      <w:r w:rsidRPr="003A3A65">
        <w:t xml:space="preserve"> </w:t>
      </w:r>
      <w:r w:rsidRPr="003A3A65">
        <w:tab/>
      </w:r>
      <w:r w:rsidR="003A7986" w:rsidRPr="003A7986">
        <w:rPr>
          <w:shd w:val="clear" w:color="auto" w:fill="FFFFFF" w:themeFill="background1"/>
        </w:rPr>
        <w:t xml:space="preserve">For example, the Center </w:t>
      </w:r>
      <w:r w:rsidR="003A7986" w:rsidRPr="003906C6">
        <w:t>has</w:t>
      </w:r>
      <w:r w:rsidR="003906C6" w:rsidRPr="003906C6">
        <w:t xml:space="preserve"> </w:t>
      </w:r>
      <w:r w:rsidR="003A7986" w:rsidRPr="003906C6">
        <w:t>further developed online</w:t>
      </w:r>
      <w:r w:rsidR="003A7986" w:rsidRPr="003A7986">
        <w:rPr>
          <w:shd w:val="clear" w:color="auto" w:fill="FFFFFF" w:themeFill="background1"/>
        </w:rPr>
        <w:t xml:space="preserve"> case administration tools</w:t>
      </w:r>
      <w:r w:rsidR="003A7986">
        <w:rPr>
          <w:shd w:val="clear" w:color="auto" w:fill="FFFFFF" w:themeFill="background1"/>
        </w:rPr>
        <w:t xml:space="preserve"> such as</w:t>
      </w:r>
      <w:r w:rsidR="003A7986" w:rsidRPr="003A7986">
        <w:rPr>
          <w:shd w:val="clear" w:color="auto" w:fill="FFFFFF" w:themeFill="background1"/>
        </w:rPr>
        <w:t xml:space="preserve"> videoconferencing and tracking tools to co-administer conciliation proceedings before DNDA Colombia and INDAUTOR Mexico</w:t>
      </w:r>
      <w:r w:rsidR="00E2570E">
        <w:rPr>
          <w:shd w:val="clear" w:color="auto" w:fill="FFFFFF" w:themeFill="background1"/>
        </w:rPr>
        <w:t xml:space="preserve"> respectively</w:t>
      </w:r>
      <w:r w:rsidR="003A7986" w:rsidRPr="003A7986">
        <w:rPr>
          <w:shd w:val="clear" w:color="auto" w:fill="FFFFFF" w:themeFill="background1"/>
        </w:rPr>
        <w:t xml:space="preserve"> (see https://www.wipo.int/amc/en/center/specific-sectors/ipoffices/mexico/indautor). The Center is currently working with additional Member State IPOs, including the Registry of Intellectual Property of Guatemala (RPI), the National Directorate of Intellectual Property of Paraguay (DINAPI), and the Copyright Society of Tanzania (COSOTA) to provide similar services. </w:t>
      </w:r>
      <w:proofErr w:type="gramStart"/>
      <w:r w:rsidR="003A7986" w:rsidRPr="003A7986">
        <w:rPr>
          <w:shd w:val="clear" w:color="auto" w:fill="FFFFFF" w:themeFill="background1"/>
        </w:rPr>
        <w:t xml:space="preserve">The Center also collaborates in the promotion and provision of mediation services with the Companies and Intellectual Property Authority of Botswana (CIPA), </w:t>
      </w:r>
      <w:r w:rsidR="003A7986" w:rsidRPr="003A7986">
        <w:rPr>
          <w:szCs w:val="18"/>
          <w:shd w:val="clear" w:color="auto" w:fill="FFFFFF" w:themeFill="background1"/>
        </w:rPr>
        <w:t xml:space="preserve">the HCO, </w:t>
      </w:r>
      <w:r w:rsidR="003A7986" w:rsidRPr="003A7986">
        <w:rPr>
          <w:shd w:val="clear" w:color="auto" w:fill="FFFFFF" w:themeFill="background1"/>
        </w:rPr>
        <w:t>the Kenya Copyright Board (KECOBO), the Nigerian Copyright Commission (NCC), the Ministry of Culture, Sports and Tourism of the Republic of Korea (MCST), the Korea Copyright Commission (KCC), the Korea Creative Content Agency (KOCCA), the Romanian Copyright Office (ORDA), and the Ministry of Culture and Sports of Spain.</w:t>
      </w:r>
      <w:proofErr w:type="gramEnd"/>
      <w:r w:rsidR="003A7986">
        <w:rPr>
          <w:shd w:val="clear" w:color="auto" w:fill="FFFFFF" w:themeFill="background1"/>
        </w:rPr>
        <w:t xml:space="preserve"> </w:t>
      </w:r>
    </w:p>
  </w:footnote>
  <w:footnote w:id="23">
    <w:p w14:paraId="23CB9963" w14:textId="0AD0C989" w:rsidR="007F350F" w:rsidRPr="003A3A65" w:rsidRDefault="007F350F" w:rsidP="007F350F">
      <w:pPr>
        <w:pStyle w:val="FootnoteText"/>
        <w:rPr>
          <w:szCs w:val="18"/>
        </w:rPr>
      </w:pPr>
      <w:r w:rsidRPr="003A3A65">
        <w:rPr>
          <w:rStyle w:val="FootnoteReference"/>
          <w:szCs w:val="18"/>
        </w:rPr>
        <w:footnoteRef/>
      </w:r>
      <w:r w:rsidRPr="003A3A65">
        <w:rPr>
          <w:szCs w:val="18"/>
        </w:rPr>
        <w:tab/>
      </w:r>
      <w:r w:rsidRPr="003A3A65">
        <w:rPr>
          <w:szCs w:val="18"/>
          <w:shd w:val="clear" w:color="auto" w:fill="FFFFFF" w:themeFill="background1"/>
        </w:rPr>
        <w:t>For e</w:t>
      </w:r>
      <w:r w:rsidR="004473B4">
        <w:rPr>
          <w:szCs w:val="18"/>
          <w:shd w:val="clear" w:color="auto" w:fill="FFFFFF" w:themeFill="background1"/>
        </w:rPr>
        <w:t xml:space="preserve">xample, </w:t>
      </w:r>
      <w:r w:rsidRPr="003A3A65">
        <w:rPr>
          <w:szCs w:val="18"/>
          <w:shd w:val="clear" w:color="auto" w:fill="FFFFFF" w:themeFill="background1"/>
        </w:rPr>
        <w:t xml:space="preserve">the EU DESCA </w:t>
      </w:r>
      <w:r w:rsidR="004473B4">
        <w:rPr>
          <w:szCs w:val="18"/>
          <w:shd w:val="clear" w:color="auto" w:fill="FFFFFF" w:themeFill="background1"/>
        </w:rPr>
        <w:t>2020 Model Consortium Agreement,</w:t>
      </w:r>
      <w:r w:rsidRPr="003A3A65">
        <w:rPr>
          <w:szCs w:val="18"/>
          <w:shd w:val="clear" w:color="auto" w:fill="FFFFFF" w:themeFill="background1"/>
        </w:rPr>
        <w:t xml:space="preserve"> the </w:t>
      </w:r>
      <w:r w:rsidRPr="003A3A65">
        <w:rPr>
          <w:szCs w:val="18"/>
          <w:shd w:val="clear" w:color="auto" w:fill="FFFFFF" w:themeFill="background1"/>
          <w:lang w:val="en"/>
        </w:rPr>
        <w:t>Intellectual Property Agreement Guide (IP</w:t>
      </w:r>
      <w:r w:rsidR="004473B4">
        <w:rPr>
          <w:szCs w:val="18"/>
          <w:shd w:val="clear" w:color="auto" w:fill="FFFFFF" w:themeFill="background1"/>
          <w:lang w:val="en"/>
        </w:rPr>
        <w:t>AG) Model Agreements in Austria,</w:t>
      </w:r>
      <w:r w:rsidRPr="003A3A65">
        <w:rPr>
          <w:szCs w:val="18"/>
          <w:shd w:val="clear" w:color="auto" w:fill="FFFFFF" w:themeFill="background1"/>
          <w:lang w:val="en"/>
        </w:rPr>
        <w:t xml:space="preserve"> the Sample Agreements for Research and Development Cooperation in Germany</w:t>
      </w:r>
      <w:r w:rsidR="004473B4">
        <w:rPr>
          <w:szCs w:val="18"/>
          <w:shd w:val="clear" w:color="auto" w:fill="FFFFFF" w:themeFill="background1"/>
          <w:lang w:val="en"/>
        </w:rPr>
        <w:t xml:space="preserve">, and the model R&amp;D agreements </w:t>
      </w:r>
      <w:r w:rsidR="004473B4" w:rsidRPr="003A3A65">
        <w:rPr>
          <w:szCs w:val="18"/>
          <w:shd w:val="clear" w:color="auto" w:fill="FFFFFF" w:themeFill="background1"/>
        </w:rPr>
        <w:t xml:space="preserve">with the </w:t>
      </w:r>
      <w:r w:rsidR="004473B4" w:rsidRPr="003A3A65">
        <w:rPr>
          <w:bCs/>
          <w:szCs w:val="18"/>
          <w:shd w:val="clear" w:color="auto" w:fill="FFFFFF" w:themeFill="background1"/>
        </w:rPr>
        <w:t>Spanish Patent and Trademark Office</w:t>
      </w:r>
      <w:r w:rsidR="004473B4" w:rsidRPr="003A3A65">
        <w:rPr>
          <w:szCs w:val="18"/>
          <w:shd w:val="clear" w:color="auto" w:fill="FFFFFF" w:themeFill="background1"/>
        </w:rPr>
        <w:t xml:space="preserve"> (OEPM). </w:t>
      </w:r>
      <w:r w:rsidR="004473B4">
        <w:rPr>
          <w:szCs w:val="18"/>
          <w:shd w:val="clear" w:color="auto" w:fill="FFFFFF" w:themeFill="background1"/>
        </w:rPr>
        <w:t xml:space="preserve">Most recently, </w:t>
      </w:r>
      <w:r w:rsidR="004473B4" w:rsidRPr="004473B4">
        <w:rPr>
          <w:szCs w:val="18"/>
          <w:lang w:val="en"/>
        </w:rPr>
        <w:t>t</w:t>
      </w:r>
      <w:r w:rsidRPr="004473B4">
        <w:rPr>
          <w:szCs w:val="18"/>
          <w:lang w:val="en"/>
        </w:rPr>
        <w:t>he Baltic Technology Transfer Offices Network Cooperation Agreement, concluded in 2022 in collaboration with WIPO, recommends WIPO Mediation followed, in the absence of a settlement, by court litigation. Also adopted in 2022, the Australia's Higher Education Research Commercialization (HERC) IP Framework Model License and Research Agreements recommend mediation followed, in the absence of a settlement, by court proceedings or WIPO Arbitration.</w:t>
      </w:r>
      <w:r>
        <w:rPr>
          <w:szCs w:val="18"/>
          <w:shd w:val="clear" w:color="auto" w:fill="FFFFFF" w:themeFill="background1"/>
          <w:lang w:val="en"/>
        </w:rPr>
        <w:t xml:space="preserve"> </w:t>
      </w:r>
      <w:r w:rsidRPr="003A3A65">
        <w:rPr>
          <w:szCs w:val="18"/>
          <w:shd w:val="clear" w:color="auto" w:fill="FFFFFF" w:themeFill="background1"/>
          <w:lang w:val="en"/>
        </w:rPr>
        <w:t xml:space="preserve">For further </w:t>
      </w:r>
      <w:proofErr w:type="gramStart"/>
      <w:r w:rsidRPr="003A3A65">
        <w:rPr>
          <w:szCs w:val="18"/>
          <w:shd w:val="clear" w:color="auto" w:fill="FFFFFF" w:themeFill="background1"/>
          <w:lang w:val="en"/>
        </w:rPr>
        <w:t>information</w:t>
      </w:r>
      <w:proofErr w:type="gramEnd"/>
      <w:r w:rsidRPr="003A3A65">
        <w:rPr>
          <w:szCs w:val="18"/>
          <w:shd w:val="clear" w:color="auto" w:fill="FFFFFF" w:themeFill="background1"/>
          <w:lang w:val="en"/>
        </w:rPr>
        <w:t xml:space="preserve"> see https://www.wipo.int/amc/en/center/specific-sectors/rd/.</w:t>
      </w:r>
    </w:p>
  </w:footnote>
  <w:footnote w:id="24">
    <w:p w14:paraId="54C827CE" w14:textId="77777777" w:rsidR="00F44DF8" w:rsidRPr="00FE3E7C" w:rsidRDefault="00F44DF8" w:rsidP="00F44DF8">
      <w:pPr>
        <w:pStyle w:val="FootnoteText"/>
        <w:rPr>
          <w:szCs w:val="18"/>
        </w:rPr>
      </w:pPr>
      <w:r w:rsidRPr="003A3A65">
        <w:rPr>
          <w:rStyle w:val="FootnoteReference"/>
          <w:szCs w:val="18"/>
        </w:rPr>
        <w:footnoteRef/>
      </w:r>
      <w:r w:rsidRPr="003A3A65">
        <w:rPr>
          <w:szCs w:val="18"/>
        </w:rPr>
        <w:t xml:space="preserve"> </w:t>
      </w:r>
      <w:r w:rsidRPr="003A3A65">
        <w:rPr>
          <w:szCs w:val="18"/>
        </w:rPr>
        <w:tab/>
        <w:t xml:space="preserve">See https://www.wipo.int/amc/en/clauses/national_court.html. </w:t>
      </w:r>
      <w:r>
        <w:rPr>
          <w:szCs w:val="18"/>
        </w:rPr>
        <w:t xml:space="preserve"> </w:t>
      </w:r>
    </w:p>
  </w:footnote>
  <w:footnote w:id="25">
    <w:p w14:paraId="1DABF68F" w14:textId="77777777" w:rsidR="00F44DF8" w:rsidRPr="004D4F8A" w:rsidRDefault="00F44DF8" w:rsidP="00F44DF8">
      <w:pPr>
        <w:pStyle w:val="FootnoteText"/>
      </w:pPr>
      <w:r>
        <w:rPr>
          <w:rStyle w:val="FootnoteReference"/>
        </w:rPr>
        <w:footnoteRef/>
      </w:r>
      <w:r>
        <w:t xml:space="preserve"> </w:t>
      </w:r>
      <w:r>
        <w:tab/>
      </w:r>
      <w:r>
        <w:rPr>
          <w:szCs w:val="18"/>
        </w:rPr>
        <w:t xml:space="preserve">Additional collaboration </w:t>
      </w:r>
      <w:proofErr w:type="gramStart"/>
      <w:r>
        <w:rPr>
          <w:szCs w:val="18"/>
        </w:rPr>
        <w:t>was commenced</w:t>
      </w:r>
      <w:proofErr w:type="gramEnd"/>
      <w:r>
        <w:rPr>
          <w:szCs w:val="18"/>
        </w:rPr>
        <w:t xml:space="preserve"> following the signing of </w:t>
      </w:r>
      <w:r w:rsidRPr="00982CB9">
        <w:t>a M</w:t>
      </w:r>
      <w:r w:rsidR="003A7986">
        <w:t xml:space="preserve">emorandum of Understanding </w:t>
      </w:r>
      <w:r w:rsidR="00382CA9">
        <w:t>be</w:t>
      </w:r>
      <w:r w:rsidR="00382CA9" w:rsidRPr="00982CB9">
        <w:t>tween</w:t>
      </w:r>
      <w:r w:rsidR="00BB714F">
        <w:t xml:space="preserve"> </w:t>
      </w:r>
      <w:r w:rsidRPr="00982CB9">
        <w:t xml:space="preserve">WIPO and the Shanghai High People’s </w:t>
      </w:r>
      <w:r w:rsidRPr="004E1A31">
        <w:t>Court</w:t>
      </w:r>
      <w:r>
        <w:t xml:space="preserve"> in 2021, as well as under cooperation Agreements between the Center and the Fujian High People’s Court in December 2022, and the Hainan High People’s Court in March 2023.</w:t>
      </w:r>
    </w:p>
  </w:footnote>
  <w:footnote w:id="26">
    <w:p w14:paraId="691E94ED" w14:textId="77777777" w:rsidR="00F44DF8" w:rsidRPr="004D4F8A" w:rsidRDefault="00F44DF8" w:rsidP="00F44DF8">
      <w:pPr>
        <w:pStyle w:val="FootnoteText"/>
      </w:pPr>
      <w:r>
        <w:rPr>
          <w:rStyle w:val="FootnoteReference"/>
        </w:rPr>
        <w:footnoteRef/>
      </w:r>
      <w:r>
        <w:t xml:space="preserve"> </w:t>
      </w:r>
      <w:r>
        <w:tab/>
        <w:t>S</w:t>
      </w:r>
      <w:r w:rsidRPr="003A3A65">
        <w:rPr>
          <w:szCs w:val="18"/>
        </w:rPr>
        <w:t xml:space="preserve">ee </w:t>
      </w:r>
      <w:r>
        <w:rPr>
          <w:szCs w:val="18"/>
        </w:rPr>
        <w:t>case</w:t>
      </w:r>
      <w:r w:rsidR="009356D8">
        <w:rPr>
          <w:szCs w:val="18"/>
        </w:rPr>
        <w:t>load</w:t>
      </w:r>
      <w:r>
        <w:rPr>
          <w:szCs w:val="18"/>
        </w:rPr>
        <w:t xml:space="preserve"> summary at </w:t>
      </w:r>
      <w:r w:rsidRPr="00B5272D">
        <w:rPr>
          <w:szCs w:val="18"/>
        </w:rPr>
        <w:t>https://www.wipo.int/amc/en/center/specific-sectors/national-courts/china/spc.html</w:t>
      </w:r>
      <w:r w:rsidRPr="003A3A65">
        <w:rPr>
          <w:szCs w:val="18"/>
        </w:rPr>
        <w:t>.</w:t>
      </w:r>
    </w:p>
  </w:footnote>
  <w:footnote w:id="27">
    <w:p w14:paraId="55444527" w14:textId="77777777" w:rsidR="00F44DF8" w:rsidRPr="003A3A65" w:rsidRDefault="00F44DF8" w:rsidP="00F44DF8">
      <w:pPr>
        <w:pStyle w:val="FootnoteText"/>
        <w:rPr>
          <w:szCs w:val="18"/>
        </w:rPr>
      </w:pPr>
      <w:r w:rsidRPr="003A3A65">
        <w:rPr>
          <w:rStyle w:val="FootnoteReference"/>
          <w:szCs w:val="18"/>
        </w:rPr>
        <w:footnoteRef/>
      </w:r>
      <w:r w:rsidRPr="003A3A65">
        <w:rPr>
          <w:szCs w:val="18"/>
        </w:rPr>
        <w:t xml:space="preserve"> </w:t>
      </w:r>
      <w:r w:rsidRPr="003A3A65">
        <w:rPr>
          <w:szCs w:val="18"/>
        </w:rPr>
        <w:tab/>
        <w:t>The third edition of the Guide is available at https://www.wipo.int/edocs/pubdocs/en/wipo_pub_guide_adr.pdf.</w:t>
      </w:r>
    </w:p>
  </w:footnote>
  <w:footnote w:id="28">
    <w:p w14:paraId="371DC914" w14:textId="77777777" w:rsidR="00CA0EF6" w:rsidRPr="00D1328F" w:rsidRDefault="00CA0EF6" w:rsidP="00CA0EF6">
      <w:pPr>
        <w:pStyle w:val="FootnoteText"/>
        <w:rPr>
          <w:rFonts w:asciiTheme="minorBidi" w:hAnsiTheme="minorBidi" w:cstheme="minorBidi"/>
          <w:szCs w:val="18"/>
        </w:rPr>
      </w:pPr>
      <w:r w:rsidRPr="00D1328F">
        <w:rPr>
          <w:rStyle w:val="FootnoteReference"/>
          <w:szCs w:val="18"/>
        </w:rPr>
        <w:footnoteRef/>
      </w:r>
      <w:r w:rsidRPr="00D1328F">
        <w:rPr>
          <w:szCs w:val="18"/>
        </w:rPr>
        <w:t xml:space="preserve"> </w:t>
      </w:r>
      <w:r w:rsidRPr="00D1328F">
        <w:rPr>
          <w:szCs w:val="18"/>
        </w:rPr>
        <w:tab/>
        <w:t>Subscribers to WIPO ADR Highlights increased to over 8,500; all editions are available at https://www.wipo.int/newsletters-archive/en/adr_highlights.html.</w:t>
      </w:r>
      <w:r w:rsidRPr="00D1328F">
        <w:rPr>
          <w:rFonts w:asciiTheme="minorBidi" w:hAnsiTheme="minorBidi" w:cstheme="minorBidi"/>
          <w:szCs w:val="18"/>
        </w:rPr>
        <w:t xml:space="preserve"> </w:t>
      </w:r>
    </w:p>
  </w:footnote>
  <w:footnote w:id="29">
    <w:p w14:paraId="0CB7CAED" w14:textId="77777777" w:rsidR="009B05CB" w:rsidRDefault="009B05CB">
      <w:pPr>
        <w:pStyle w:val="FootnoteText"/>
      </w:pPr>
      <w:r>
        <w:rPr>
          <w:rStyle w:val="FootnoteReference"/>
        </w:rPr>
        <w:footnoteRef/>
      </w:r>
      <w:r>
        <w:t xml:space="preserve"> </w:t>
      </w:r>
      <w:r w:rsidRPr="006F1824">
        <w:tab/>
        <w:t xml:space="preserve">For example, in 2022 the Center promoted WIPO ADR services in China using </w:t>
      </w:r>
      <w:r w:rsidR="006F1824" w:rsidRPr="006F1824">
        <w:t>WeChat</w:t>
      </w:r>
      <w:r w:rsidRPr="006F1824">
        <w:t xml:space="preserve"> and </w:t>
      </w:r>
      <w:r w:rsidR="006F1824" w:rsidRPr="006F1824">
        <w:t xml:space="preserve">in Korean using </w:t>
      </w:r>
      <w:proofErr w:type="spellStart"/>
      <w:r w:rsidR="006F1824">
        <w:t>Kak</w:t>
      </w:r>
      <w:r w:rsidR="006F1824" w:rsidRPr="006F1824">
        <w:t>ao</w:t>
      </w:r>
      <w:r w:rsidR="006F1824">
        <w:t>Talk</w:t>
      </w:r>
      <w:proofErr w:type="spellEnd"/>
      <w:r w:rsidRPr="006F1824">
        <w:t>.</w:t>
      </w:r>
    </w:p>
  </w:footnote>
  <w:footnote w:id="30">
    <w:p w14:paraId="01F0A498" w14:textId="77777777" w:rsidR="00CA0EF6" w:rsidRPr="003A3A65" w:rsidRDefault="00CA0EF6" w:rsidP="00CA0EF6">
      <w:pPr>
        <w:pStyle w:val="FootnoteText"/>
        <w:rPr>
          <w:szCs w:val="18"/>
        </w:rPr>
      </w:pPr>
      <w:r w:rsidRPr="00D1328F">
        <w:rPr>
          <w:rStyle w:val="FootnoteReference"/>
          <w:szCs w:val="18"/>
        </w:rPr>
        <w:footnoteRef/>
      </w:r>
      <w:r w:rsidRPr="00D1328F">
        <w:rPr>
          <w:szCs w:val="18"/>
        </w:rPr>
        <w:t xml:space="preserve"> </w:t>
      </w:r>
      <w:r w:rsidRPr="00D1328F">
        <w:rPr>
          <w:szCs w:val="18"/>
        </w:rPr>
        <w:tab/>
        <w:t>See https://www.wipo.int/amc/en/center/wipoadryoung.</w:t>
      </w:r>
    </w:p>
  </w:footnote>
  <w:footnote w:id="31">
    <w:p w14:paraId="07E6FB11" w14:textId="77777777" w:rsidR="00CA0EF6" w:rsidRPr="003A3A65" w:rsidRDefault="00CA0EF6" w:rsidP="00CA0EF6">
      <w:pPr>
        <w:pStyle w:val="FootnoteText"/>
        <w:rPr>
          <w:szCs w:val="18"/>
        </w:rPr>
      </w:pPr>
      <w:r w:rsidRPr="003A3A65">
        <w:rPr>
          <w:rStyle w:val="FootnoteReference"/>
          <w:szCs w:val="18"/>
        </w:rPr>
        <w:footnoteRef/>
      </w:r>
      <w:r w:rsidRPr="003A3A65">
        <w:rPr>
          <w:szCs w:val="18"/>
        </w:rPr>
        <w:t xml:space="preserve"> </w:t>
      </w:r>
      <w:r w:rsidRPr="003A3A65">
        <w:rPr>
          <w:szCs w:val="18"/>
        </w:rPr>
        <w:tab/>
        <w:t>See https://www.linkedin.com/showcase/wipo-arbitration-and-mediation-center/?viewAsMember=true.</w:t>
      </w:r>
    </w:p>
  </w:footnote>
  <w:footnote w:id="32">
    <w:p w14:paraId="433A7639" w14:textId="77777777" w:rsidR="00CA0EF6" w:rsidRPr="003A3A65" w:rsidRDefault="00CA0EF6" w:rsidP="00CA0EF6">
      <w:pPr>
        <w:pStyle w:val="FootnoteText"/>
      </w:pPr>
      <w:r w:rsidRPr="003A3A65">
        <w:rPr>
          <w:rStyle w:val="FootnoteReference"/>
        </w:rPr>
        <w:footnoteRef/>
      </w:r>
      <w:r w:rsidRPr="003A3A65">
        <w:t xml:space="preserve"> </w:t>
      </w:r>
      <w:r w:rsidRPr="003A3A65">
        <w:tab/>
        <w:t>See https://www.wipo.int/podcasts/en/amc.</w:t>
      </w:r>
    </w:p>
  </w:footnote>
  <w:footnote w:id="33">
    <w:p w14:paraId="34D63846" w14:textId="2BAD22C4" w:rsidR="00CA0EF6" w:rsidRPr="009B05CB" w:rsidRDefault="00CA0EF6" w:rsidP="00CA0EF6">
      <w:pPr>
        <w:pStyle w:val="FootnoteText"/>
        <w:rPr>
          <w:szCs w:val="18"/>
        </w:rPr>
      </w:pPr>
      <w:r w:rsidRPr="003A3A65">
        <w:rPr>
          <w:rStyle w:val="FootnoteReference"/>
          <w:szCs w:val="18"/>
        </w:rPr>
        <w:footnoteRef/>
      </w:r>
      <w:r w:rsidRPr="003A3A65">
        <w:rPr>
          <w:szCs w:val="18"/>
        </w:rPr>
        <w:t xml:space="preserve"> </w:t>
      </w:r>
      <w:r w:rsidRPr="003A3A65">
        <w:rPr>
          <w:szCs w:val="18"/>
        </w:rPr>
        <w:tab/>
        <w:t xml:space="preserve">To date, Center webinars </w:t>
      </w:r>
      <w:proofErr w:type="gramStart"/>
      <w:r w:rsidRPr="003A3A65">
        <w:rPr>
          <w:szCs w:val="18"/>
        </w:rPr>
        <w:t>have been delivered</w:t>
      </w:r>
      <w:proofErr w:type="gramEnd"/>
      <w:r w:rsidRPr="003A3A65">
        <w:rPr>
          <w:szCs w:val="18"/>
        </w:rPr>
        <w:t xml:space="preserve"> in Chinese, Dutch, English, French, German, Italian, Japanese, Korean, Russian, Spanish, and Swedish. Information on upcoming webinars (and past recordings) is available at https://www.</w:t>
      </w:r>
      <w:r w:rsidRPr="009B05CB">
        <w:rPr>
          <w:szCs w:val="18"/>
        </w:rPr>
        <w:t xml:space="preserve">wipo.int/amc/en/events/webinar.html. </w:t>
      </w:r>
    </w:p>
  </w:footnote>
  <w:footnote w:id="34">
    <w:p w14:paraId="19399C3D" w14:textId="77777777" w:rsidR="009B05CB" w:rsidRPr="009B05CB" w:rsidRDefault="009B05CB">
      <w:pPr>
        <w:pStyle w:val="FootnoteText"/>
      </w:pPr>
      <w:r w:rsidRPr="009B05CB">
        <w:rPr>
          <w:rStyle w:val="FootnoteReference"/>
        </w:rPr>
        <w:footnoteRef/>
      </w:r>
      <w:r w:rsidRPr="009B05CB">
        <w:t xml:space="preserve"> </w:t>
      </w:r>
      <w:r w:rsidRPr="009B05CB">
        <w:tab/>
      </w:r>
      <w:r w:rsidRPr="009B05CB">
        <w:rPr>
          <w:shd w:val="clear" w:color="auto" w:fill="FFFFFF" w:themeFill="background1"/>
        </w:rPr>
        <w:t xml:space="preserve">See the </w:t>
      </w:r>
      <w:r w:rsidRPr="009B05CB">
        <w:rPr>
          <w:szCs w:val="22"/>
          <w:shd w:val="clear" w:color="auto" w:fill="FFFFFF" w:themeFill="background1"/>
        </w:rPr>
        <w:t xml:space="preserve">Seventh Session of the WIPO Conversation – Intellectual Property and the </w:t>
      </w:r>
      <w:proofErr w:type="spellStart"/>
      <w:r w:rsidRPr="009B05CB">
        <w:rPr>
          <w:szCs w:val="22"/>
          <w:shd w:val="clear" w:color="auto" w:fill="FFFFFF" w:themeFill="background1"/>
        </w:rPr>
        <w:t>Metaverse</w:t>
      </w:r>
      <w:proofErr w:type="spellEnd"/>
      <w:r w:rsidRPr="009B05CB">
        <w:rPr>
          <w:szCs w:val="22"/>
          <w:shd w:val="clear" w:color="auto" w:fill="FFFFFF" w:themeFill="background1"/>
        </w:rPr>
        <w:t>. https://www.wipo.int/meetings/en/details.jsp?meeting_id=74608</w:t>
      </w:r>
    </w:p>
  </w:footnote>
  <w:footnote w:id="35">
    <w:p w14:paraId="522B9C96" w14:textId="77777777" w:rsidR="00CA0EF6" w:rsidRPr="00053A12" w:rsidRDefault="00CA0EF6" w:rsidP="00CA0EF6">
      <w:pPr>
        <w:pStyle w:val="FootnoteText"/>
        <w:rPr>
          <w:rFonts w:asciiTheme="minorBidi" w:hAnsiTheme="minorBidi" w:cstheme="minorBidi"/>
          <w:szCs w:val="18"/>
        </w:rPr>
      </w:pPr>
      <w:r w:rsidRPr="009B05CB">
        <w:rPr>
          <w:rStyle w:val="FootnoteReference"/>
          <w:szCs w:val="18"/>
        </w:rPr>
        <w:footnoteRef/>
      </w:r>
      <w:r w:rsidRPr="009B05CB">
        <w:rPr>
          <w:szCs w:val="18"/>
        </w:rPr>
        <w:t xml:space="preserve"> </w:t>
      </w:r>
      <w:r w:rsidRPr="009B05CB">
        <w:rPr>
          <w:szCs w:val="18"/>
        </w:rPr>
        <w:tab/>
        <w:t>See https://www.wipo.int/amc/en/mediation/pledge.html.</w:t>
      </w:r>
    </w:p>
  </w:footnote>
  <w:footnote w:id="36">
    <w:p w14:paraId="6E230AD2"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The Management of Internet Names and Addresses:  Intellectual Property Issues – Final Report of the First WIPO Internet Domain Name Process, WIPO publication No. </w:t>
      </w:r>
      <w:proofErr w:type="gramStart"/>
      <w:r w:rsidRPr="005B4F4B">
        <w:rPr>
          <w:szCs w:val="18"/>
        </w:rPr>
        <w:t>439, also</w:t>
      </w:r>
      <w:proofErr w:type="gramEnd"/>
      <w:r w:rsidRPr="005B4F4B">
        <w:rPr>
          <w:szCs w:val="18"/>
        </w:rPr>
        <w:t xml:space="preserve"> available at http://www.wipo.int/amc/en/processes/process1/report.</w:t>
      </w:r>
    </w:p>
  </w:footnote>
  <w:footnote w:id="37">
    <w:p w14:paraId="5162FC72"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The Recognition of Rights and the Use of Names in the Internet Domain Name System – Report of the Second WIPO Internet Domain Name Process, WIPO Publication No. 843, also available at http://www.wipo.int/amc/en/processes/process2/report.</w:t>
      </w:r>
    </w:p>
  </w:footnote>
  <w:footnote w:id="38">
    <w:p w14:paraId="5D7B7974" w14:textId="715C36E4" w:rsidR="008D6F26" w:rsidRPr="005B4F4B" w:rsidRDefault="008D6F26" w:rsidP="008D6F26">
      <w:pPr>
        <w:pStyle w:val="FootnoteText"/>
        <w:rPr>
          <w:szCs w:val="18"/>
        </w:rPr>
      </w:pPr>
      <w:r w:rsidRPr="005B4F4B">
        <w:rPr>
          <w:rStyle w:val="FootnoteReference"/>
          <w:szCs w:val="18"/>
        </w:rPr>
        <w:footnoteRef/>
      </w:r>
      <w:r w:rsidRPr="005B4F4B">
        <w:rPr>
          <w:szCs w:val="18"/>
        </w:rPr>
        <w:tab/>
        <w:t xml:space="preserve">The UDRP does not prevent either party from submitting a dispute to a competent court of justice; however, very few cases that </w:t>
      </w:r>
      <w:proofErr w:type="gramStart"/>
      <w:r w:rsidRPr="005B4F4B">
        <w:rPr>
          <w:szCs w:val="18"/>
        </w:rPr>
        <w:t>have been decided</w:t>
      </w:r>
      <w:proofErr w:type="gramEnd"/>
      <w:r w:rsidRPr="005B4F4B">
        <w:rPr>
          <w:szCs w:val="18"/>
        </w:rPr>
        <w:t xml:space="preserve"> under the UDRP have been brought before a court. See Selected UDRP</w:t>
      </w:r>
      <w:r w:rsidR="004675D0">
        <w:rPr>
          <w:szCs w:val="18"/>
        </w:rPr>
        <w:noBreakHyphen/>
      </w:r>
      <w:r w:rsidRPr="005B4F4B">
        <w:rPr>
          <w:szCs w:val="18"/>
        </w:rPr>
        <w:t>related Court Cases at http://www.wipo.int/amc/en/domains/challenged.</w:t>
      </w:r>
    </w:p>
  </w:footnote>
  <w:footnote w:id="39">
    <w:p w14:paraId="64EF4163" w14:textId="77777777" w:rsidR="008D6F26" w:rsidRPr="005B4F4B" w:rsidRDefault="008D6F26" w:rsidP="008D6F26">
      <w:pPr>
        <w:pStyle w:val="FootnoteText"/>
        <w:rPr>
          <w:color w:val="000000"/>
          <w:szCs w:val="18"/>
        </w:rPr>
      </w:pPr>
      <w:r w:rsidRPr="005B4F4B">
        <w:rPr>
          <w:rStyle w:val="FootnoteReference"/>
          <w:szCs w:val="18"/>
        </w:rPr>
        <w:footnoteRef/>
      </w:r>
      <w:r w:rsidRPr="005B4F4B">
        <w:rPr>
          <w:szCs w:val="18"/>
        </w:rPr>
        <w:t xml:space="preserve"> </w:t>
      </w:r>
      <w:r w:rsidRPr="005B4F4B">
        <w:rPr>
          <w:szCs w:val="18"/>
        </w:rPr>
        <w:tab/>
        <w:t xml:space="preserve">The Center makes available a wide range of online real-time statistics to assist WIPO UDRP case parties and neutrals, trademark attorneys, domain name registrants, </w:t>
      </w:r>
      <w:proofErr w:type="gramStart"/>
      <w:r w:rsidRPr="005B4F4B">
        <w:rPr>
          <w:szCs w:val="18"/>
        </w:rPr>
        <w:t>domain name policy makers</w:t>
      </w:r>
      <w:proofErr w:type="gramEnd"/>
      <w:r w:rsidRPr="005B4F4B">
        <w:rPr>
          <w:szCs w:val="18"/>
        </w:rPr>
        <w:t xml:space="preserve">, media, and academics. See http://www.wipo.int/amc/en/domains/statistics. </w:t>
      </w:r>
    </w:p>
  </w:footnote>
  <w:footnote w:id="40">
    <w:p w14:paraId="49AC6288"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In alphabetical order, Chinese, Czech, Danish, Dutch, English, Estonian, French, German, Hebrew, Italian, Japanese, Korean, Norwegian, Polish, Portuguese, Romanian, Russian, Slovak, Spanish, Swedish, Turkish, Ukrainian, and Vietnamese.</w:t>
      </w:r>
    </w:p>
  </w:footnote>
  <w:footnote w:id="41">
    <w:p w14:paraId="754CE700"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http://www.wipo.int/amc/en/domains/search/overview3.0/. The increased scope of WIPO Overview 3.0 reflects a wide range of DNS and UDRP case evolutions. The WIPO Overview is instrumental in developing and maintaining consistency of WIPO UDRP jurisprudence.  </w:t>
      </w:r>
    </w:p>
  </w:footnote>
  <w:footnote w:id="42">
    <w:p w14:paraId="2246E4E9"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ab/>
        <w:t>See http://www.wipo.int/amc/en/domains/search/legalindex/.</w:t>
      </w:r>
    </w:p>
  </w:footnote>
  <w:footnote w:id="43">
    <w:p w14:paraId="14C88681" w14:textId="77777777" w:rsidR="008D6F26" w:rsidRPr="005B4F4B" w:rsidRDefault="008D6F26" w:rsidP="008D6F26">
      <w:pPr>
        <w:rPr>
          <w:i/>
          <w:sz w:val="18"/>
          <w:szCs w:val="18"/>
        </w:rPr>
      </w:pPr>
      <w:r w:rsidRPr="005B4F4B">
        <w:rPr>
          <w:rStyle w:val="FootnoteReference"/>
          <w:sz w:val="18"/>
          <w:szCs w:val="18"/>
        </w:rPr>
        <w:footnoteRef/>
      </w:r>
      <w:r w:rsidRPr="005B4F4B">
        <w:rPr>
          <w:sz w:val="18"/>
          <w:szCs w:val="18"/>
        </w:rPr>
        <w:t xml:space="preserve"> </w:t>
      </w:r>
      <w:r w:rsidRPr="005B4F4B">
        <w:rPr>
          <w:sz w:val="18"/>
          <w:szCs w:val="18"/>
        </w:rPr>
        <w:tab/>
        <w:t>In 2018, the Center published informal WIPO guidance for parties on the practical impact of the European Union’s General Data Protection Regulation (GDPR) on UDRP proceedings. See paragraphs 35 to 37,</w:t>
      </w:r>
      <w:r w:rsidRPr="005B4F4B">
        <w:rPr>
          <w:sz w:val="18"/>
          <w:szCs w:val="18"/>
          <w:shd w:val="clear" w:color="auto" w:fill="FFFFFF" w:themeFill="background1"/>
        </w:rPr>
        <w:t xml:space="preserve"> </w:t>
      </w:r>
      <w:r w:rsidRPr="005B4F4B">
        <w:rPr>
          <w:i/>
          <w:sz w:val="18"/>
          <w:szCs w:val="18"/>
          <w:shd w:val="clear" w:color="auto" w:fill="FFFFFF" w:themeFill="background1"/>
        </w:rPr>
        <w:t>infra</w:t>
      </w:r>
      <w:r w:rsidRPr="005B4F4B">
        <w:rPr>
          <w:sz w:val="18"/>
          <w:szCs w:val="18"/>
        </w:rPr>
        <w:t xml:space="preserve">. See also, WO/GA/47/14, paragraph 30, and WO/GA/41/17 Rev.2, paragraphs 14 to 16.  </w:t>
      </w:r>
    </w:p>
  </w:footnote>
  <w:footnote w:id="44">
    <w:p w14:paraId="6BDCBDC1"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r>
      <w:r w:rsidR="007E6477" w:rsidRPr="005B4F4B">
        <w:rPr>
          <w:szCs w:val="18"/>
        </w:rPr>
        <w:t xml:space="preserve">See </w:t>
      </w:r>
      <w:r w:rsidR="007E6477" w:rsidRPr="003560EA">
        <w:rPr>
          <w:szCs w:val="18"/>
        </w:rPr>
        <w:t>https://www.wipo.int/amc/en/events/workshops/2023/domainname.htm</w:t>
      </w:r>
      <w:r w:rsidR="007E6477">
        <w:rPr>
          <w:szCs w:val="18"/>
        </w:rPr>
        <w:t>l</w:t>
      </w:r>
      <w:r w:rsidRPr="005B4F4B">
        <w:rPr>
          <w:szCs w:val="18"/>
        </w:rPr>
        <w:t>.</w:t>
      </w:r>
    </w:p>
  </w:footnote>
  <w:footnote w:id="45">
    <w:p w14:paraId="0E688C7A"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r>
      <w:r w:rsidR="007E6477" w:rsidRPr="005B4F4B">
        <w:rPr>
          <w:szCs w:val="18"/>
        </w:rPr>
        <w:t xml:space="preserve">See </w:t>
      </w:r>
      <w:r w:rsidR="007E6477" w:rsidRPr="003560EA">
        <w:rPr>
          <w:szCs w:val="18"/>
        </w:rPr>
        <w:t>https://www.wipo.int/amc/en/domains/cctld/</w:t>
      </w:r>
      <w:r w:rsidRPr="005B4F4B">
        <w:rPr>
          <w:szCs w:val="18"/>
        </w:rPr>
        <w:t>.</w:t>
      </w:r>
    </w:p>
  </w:footnote>
  <w:footnote w:id="46">
    <w:p w14:paraId="5BE1E56E"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ab/>
        <w:t xml:space="preserve">Other </w:t>
      </w:r>
      <w:proofErr w:type="spellStart"/>
      <w:r w:rsidRPr="005B4F4B">
        <w:rPr>
          <w:szCs w:val="18"/>
        </w:rPr>
        <w:t>ccTLDs</w:t>
      </w:r>
      <w:proofErr w:type="spellEnd"/>
      <w:r w:rsidRPr="005B4F4B">
        <w:rPr>
          <w:szCs w:val="18"/>
        </w:rPr>
        <w:t xml:space="preserve"> that have joined in </w:t>
      </w:r>
      <w:r w:rsidR="00F94369">
        <w:rPr>
          <w:szCs w:val="18"/>
        </w:rPr>
        <w:t>recent years</w:t>
      </w:r>
      <w:r w:rsidRPr="008F3BF2">
        <w:rPr>
          <w:szCs w:val="18"/>
        </w:rPr>
        <w:t xml:space="preserve"> include</w:t>
      </w:r>
      <w:r w:rsidRPr="005B4F4B">
        <w:rPr>
          <w:szCs w:val="18"/>
        </w:rPr>
        <w:t xml:space="preserve"> .AI (Anguilla), .CN and .</w:t>
      </w:r>
      <w:r w:rsidRPr="005B4F4B">
        <w:rPr>
          <w:rFonts w:eastAsia="MS Gothic"/>
          <w:szCs w:val="18"/>
        </w:rPr>
        <w:t>中国</w:t>
      </w:r>
      <w:r w:rsidRPr="005B4F4B">
        <w:rPr>
          <w:szCs w:val="18"/>
        </w:rPr>
        <w:t xml:space="preserve"> (China), .EU (European Union</w:t>
      </w:r>
      <w:r>
        <w:rPr>
          <w:szCs w:val="18"/>
        </w:rPr>
        <w:t>)</w:t>
      </w:r>
      <w:r w:rsidRPr="005B4F4B">
        <w:rPr>
          <w:szCs w:val="18"/>
        </w:rPr>
        <w:t xml:space="preserve">, .GE (Georgia), .PY (Paraguay), </w:t>
      </w:r>
      <w:r>
        <w:rPr>
          <w:color w:val="3B3B3B"/>
          <w:shd w:val="clear" w:color="auto" w:fill="FAFAFA"/>
        </w:rPr>
        <w:t xml:space="preserve">.SA </w:t>
      </w:r>
      <w:r w:rsidRPr="00D150A2">
        <w:rPr>
          <w:szCs w:val="18"/>
        </w:rPr>
        <w:t xml:space="preserve">and </w:t>
      </w:r>
      <w:r w:rsidRPr="00D150A2">
        <w:rPr>
          <w:szCs w:val="18"/>
          <w:rtl/>
        </w:rPr>
        <w:t>السعودية</w:t>
      </w:r>
      <w:r w:rsidRPr="00D150A2">
        <w:rPr>
          <w:szCs w:val="18"/>
        </w:rPr>
        <w:t xml:space="preserve">. (Saudi Arabia), </w:t>
      </w:r>
      <w:r w:rsidRPr="005B4F4B">
        <w:rPr>
          <w:szCs w:val="18"/>
        </w:rPr>
        <w:t xml:space="preserve">.SE Sweden, and .UA (Ukraine); the .AC, .IO, and .SH registries adopted a slightly modified version of the UDRP. The full list of </w:t>
      </w:r>
      <w:proofErr w:type="spellStart"/>
      <w:r w:rsidRPr="005B4F4B">
        <w:rPr>
          <w:szCs w:val="18"/>
        </w:rPr>
        <w:t>ccTLDs</w:t>
      </w:r>
      <w:proofErr w:type="spellEnd"/>
      <w:r w:rsidRPr="005B4F4B">
        <w:rPr>
          <w:szCs w:val="18"/>
        </w:rPr>
        <w:t xml:space="preserve"> that have retained the Center as </w:t>
      </w:r>
      <w:proofErr w:type="gramStart"/>
      <w:r w:rsidRPr="005B4F4B">
        <w:rPr>
          <w:szCs w:val="18"/>
        </w:rPr>
        <w:t>domain name dispute resolution provider</w:t>
      </w:r>
      <w:proofErr w:type="gramEnd"/>
      <w:r w:rsidRPr="005B4F4B">
        <w:rPr>
          <w:szCs w:val="18"/>
        </w:rPr>
        <w:t xml:space="preserve"> is available at http://www.wipo.int/amc/en/domains/cctld. </w:t>
      </w:r>
    </w:p>
  </w:footnote>
  <w:footnote w:id="47">
    <w:p w14:paraId="042BA73F"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For example, the Center’s page dedicated to .CH (Switzerland) is now also available in German and Italian, in addition to English, French, and Spanish.</w:t>
      </w:r>
    </w:p>
  </w:footnote>
  <w:footnote w:id="48">
    <w:p w14:paraId="19BBE026"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http://www.wipo.int/amc/en/domains/cctld/. </w:t>
      </w:r>
    </w:p>
  </w:footnote>
  <w:footnote w:id="49">
    <w:p w14:paraId="5792D77D"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See https://www.wipo.int/edocs/pubdocs/en/wipo_pub_1069.pdf.</w:t>
      </w:r>
    </w:p>
  </w:footnote>
  <w:footnote w:id="50">
    <w:p w14:paraId="3761AD67"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See http://www.icann.org/en/minutes/resolutions-20jun11-en.htm. For further background including references, see document WO/GA/39/10, in particular paragraph 14.</w:t>
      </w:r>
    </w:p>
  </w:footnote>
  <w:footnote w:id="51">
    <w:p w14:paraId="39461DD6"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ICANN’s Applicant Guidebook is available at http://newgtlds.icann.org/en/applicants/agb. </w:t>
      </w:r>
    </w:p>
  </w:footnote>
  <w:footnote w:id="52">
    <w:p w14:paraId="51F37747"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Delegated new </w:t>
      </w:r>
      <w:proofErr w:type="spellStart"/>
      <w:r w:rsidRPr="005B4F4B">
        <w:rPr>
          <w:szCs w:val="18"/>
        </w:rPr>
        <w:t>gTLDs</w:t>
      </w:r>
      <w:proofErr w:type="spellEnd"/>
      <w:r w:rsidRPr="005B4F4B">
        <w:rPr>
          <w:szCs w:val="18"/>
        </w:rPr>
        <w:t xml:space="preserve"> </w:t>
      </w:r>
      <w:proofErr w:type="gramStart"/>
      <w:r w:rsidRPr="005B4F4B">
        <w:rPr>
          <w:szCs w:val="18"/>
        </w:rPr>
        <w:t>are listed</w:t>
      </w:r>
      <w:proofErr w:type="gramEnd"/>
      <w:r w:rsidRPr="005B4F4B">
        <w:rPr>
          <w:szCs w:val="18"/>
        </w:rPr>
        <w:t xml:space="preserve"> at http://newgtlds.icann.org/en/program-status/delegated-strings.  </w:t>
      </w:r>
    </w:p>
  </w:footnote>
  <w:footnote w:id="53">
    <w:p w14:paraId="0433C526"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See</w:t>
      </w:r>
      <w:r w:rsidR="00B42FCC">
        <w:rPr>
          <w:szCs w:val="18"/>
        </w:rPr>
        <w:t xml:space="preserve"> section 2.</w:t>
      </w:r>
      <w:proofErr w:type="spellStart"/>
      <w:r w:rsidR="00B42FCC">
        <w:rPr>
          <w:szCs w:val="18"/>
        </w:rPr>
        <w:t>a</w:t>
      </w:r>
      <w:proofErr w:type="spellEnd"/>
      <w:r w:rsidR="00B42FCC">
        <w:rPr>
          <w:szCs w:val="18"/>
        </w:rPr>
        <w:t xml:space="preserve"> </w:t>
      </w:r>
      <w:proofErr w:type="spellStart"/>
      <w:r w:rsidR="00B42FCC">
        <w:rPr>
          <w:szCs w:val="18"/>
        </w:rPr>
        <w:t>at</w:t>
      </w:r>
      <w:proofErr w:type="spellEnd"/>
      <w:r w:rsidR="00B42FCC">
        <w:rPr>
          <w:szCs w:val="18"/>
        </w:rPr>
        <w:t xml:space="preserve"> </w:t>
      </w:r>
      <w:r w:rsidR="00B42FCC" w:rsidRPr="00B42FCC">
        <w:rPr>
          <w:szCs w:val="18"/>
        </w:rPr>
        <w:t>https://www.icann.org/en/board-activities-and-meetings/materials/approved-resolutions-regular-meeting-of-the-icann-board-16-03-2023-en</w:t>
      </w:r>
      <w:r w:rsidR="00B42FCC">
        <w:rPr>
          <w:szCs w:val="18"/>
        </w:rPr>
        <w:t xml:space="preserve">, </w:t>
      </w:r>
      <w:proofErr w:type="gramStart"/>
      <w:r w:rsidR="00B42FCC">
        <w:rPr>
          <w:szCs w:val="18"/>
        </w:rPr>
        <w:t>and also</w:t>
      </w:r>
      <w:proofErr w:type="gramEnd"/>
      <w:r w:rsidR="00B42FCC">
        <w:rPr>
          <w:szCs w:val="18"/>
        </w:rPr>
        <w:t xml:space="preserve"> </w:t>
      </w:r>
      <w:r w:rsidR="00B42FCC" w:rsidRPr="00B42FCC">
        <w:rPr>
          <w:szCs w:val="18"/>
        </w:rPr>
        <w:t>https://www.icann.org/en/announcements/details/icann-board-moves-to-begin-preparations-for-the-next-round-of-new-gtlds-16-03-2023-en</w:t>
      </w:r>
      <w:r w:rsidRPr="005B4F4B">
        <w:rPr>
          <w:szCs w:val="18"/>
        </w:rPr>
        <w:t>.</w:t>
      </w:r>
    </w:p>
  </w:footnote>
  <w:footnote w:id="54">
    <w:p w14:paraId="511EFAED" w14:textId="77777777" w:rsidR="008D6F26" w:rsidRPr="005B4F4B" w:rsidRDefault="008D6F26" w:rsidP="008D6F26">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For further background including references, see WO/GA/39/10, in particular paragraphs 23 to 30. It </w:t>
      </w:r>
      <w:proofErr w:type="gramStart"/>
      <w:r w:rsidRPr="005B4F4B">
        <w:rPr>
          <w:szCs w:val="18"/>
        </w:rPr>
        <w:t>is noted</w:t>
      </w:r>
      <w:proofErr w:type="gramEnd"/>
      <w:r w:rsidRPr="005B4F4B">
        <w:rPr>
          <w:szCs w:val="18"/>
        </w:rPr>
        <w:t xml:space="preserve"> here that ICANN rejected a proposal for a “Globally Protected Marks List”.</w:t>
      </w:r>
    </w:p>
  </w:footnote>
  <w:footnote w:id="55">
    <w:p w14:paraId="2C8D31D0" w14:textId="77777777" w:rsidR="008D6F26" w:rsidRPr="005B4F4B" w:rsidRDefault="008D6F26" w:rsidP="008D6F26">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 xml:space="preserve">Other objection grounds recognized by ICANN </w:t>
      </w:r>
      <w:proofErr w:type="gramStart"/>
      <w:r w:rsidRPr="005B4F4B">
        <w:rPr>
          <w:szCs w:val="18"/>
        </w:rPr>
        <w:t>were:</w:t>
      </w:r>
      <w:proofErr w:type="gramEnd"/>
      <w:r w:rsidRPr="005B4F4B">
        <w:rPr>
          <w:szCs w:val="18"/>
        </w:rPr>
        <w:t xml:space="preserve"> “String Confusion Objections”, “Community Objections”, and “Limited Public Interest Objections”. The Applicant Guidebook further includes a number of other procedures which governments could avail themselves of following ICANN announcement of new </w:t>
      </w:r>
      <w:proofErr w:type="spellStart"/>
      <w:r w:rsidRPr="005B4F4B">
        <w:rPr>
          <w:szCs w:val="18"/>
        </w:rPr>
        <w:t>gTLD</w:t>
      </w:r>
      <w:proofErr w:type="spellEnd"/>
      <w:r w:rsidRPr="005B4F4B">
        <w:rPr>
          <w:szCs w:val="18"/>
        </w:rPr>
        <w:t xml:space="preserve"> applications. Notably, section 1.1.2.4 provides for “GAC Early Warning,” and section 1.1.2.7 provides for “Receipt of GAC Advice on New </w:t>
      </w:r>
      <w:proofErr w:type="spellStart"/>
      <w:r w:rsidRPr="005B4F4B">
        <w:rPr>
          <w:szCs w:val="18"/>
        </w:rPr>
        <w:t>gTLDs</w:t>
      </w:r>
      <w:proofErr w:type="spellEnd"/>
      <w:r w:rsidRPr="005B4F4B">
        <w:rPr>
          <w:szCs w:val="18"/>
        </w:rPr>
        <w:t>” for the ICANN Board’s consideration.</w:t>
      </w:r>
    </w:p>
  </w:footnote>
  <w:footnote w:id="56">
    <w:p w14:paraId="3FBCB8A0" w14:textId="77777777" w:rsidR="008D6F26" w:rsidRPr="005B4F4B" w:rsidRDefault="008D6F26" w:rsidP="008D6F26">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Adopted by the WIPO General Assembly in September 2001; see http://www.wipo.int/edocs/pubdocs/en/marks/845/pub845.pdf.</w:t>
      </w:r>
    </w:p>
  </w:footnote>
  <w:footnote w:id="57">
    <w:p w14:paraId="4603B794"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See section 3.2 of the ICANN Applicant Guidebook at http://newgtlds.icann.org/en/applicants/agb/objection</w:t>
      </w:r>
      <w:r w:rsidRPr="005B4F4B">
        <w:rPr>
          <w:szCs w:val="18"/>
        </w:rPr>
        <w:noBreakHyphen/>
        <w:t>procedures-04jun12-en.pdf.</w:t>
      </w:r>
    </w:p>
  </w:footnote>
  <w:footnote w:id="58">
    <w:p w14:paraId="17A6805C"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WIPO Rules for New </w:t>
      </w:r>
      <w:proofErr w:type="spellStart"/>
      <w:r w:rsidRPr="005B4F4B">
        <w:rPr>
          <w:szCs w:val="18"/>
        </w:rPr>
        <w:t>gTLD</w:t>
      </w:r>
      <w:proofErr w:type="spellEnd"/>
      <w:r w:rsidRPr="005B4F4B">
        <w:rPr>
          <w:szCs w:val="18"/>
        </w:rPr>
        <w:t xml:space="preserve"> Dispute Resolution, and Schedule of Fees and Costs, respectively at http://www.wipo.int/amc/en/docs/wipolrorules.pdf and http://www.wipo.int/amc/en/domains/lro/fees/; see WIPO</w:t>
      </w:r>
      <w:r w:rsidRPr="005B4F4B">
        <w:rPr>
          <w:szCs w:val="18"/>
        </w:rPr>
        <w:noBreakHyphen/>
        <w:t xml:space="preserve">registered LRO cases at http://www.wipo.int/amc/en/domains/lro/cases/. All WIPO LRO expert panel determinations are available on the Center’s website, as is a Center report on the LRO process. The WIPO LRO report notes that an overwhelming majority of LROs </w:t>
      </w:r>
      <w:proofErr w:type="gramStart"/>
      <w:r w:rsidRPr="005B4F4B">
        <w:rPr>
          <w:szCs w:val="18"/>
        </w:rPr>
        <w:t>were filed</w:t>
      </w:r>
      <w:proofErr w:type="gramEnd"/>
      <w:r w:rsidRPr="005B4F4B">
        <w:rPr>
          <w:szCs w:val="18"/>
        </w:rPr>
        <w:t xml:space="preserve"> against applications for </w:t>
      </w:r>
      <w:proofErr w:type="spellStart"/>
      <w:r w:rsidRPr="005B4F4B">
        <w:rPr>
          <w:szCs w:val="18"/>
        </w:rPr>
        <w:t>gTLD</w:t>
      </w:r>
      <w:proofErr w:type="spellEnd"/>
      <w:r w:rsidRPr="005B4F4B">
        <w:rPr>
          <w:szCs w:val="18"/>
        </w:rPr>
        <w:t xml:space="preserve"> strings with descriptive or dictionary meaning. Many expert panels concluded that where a trademark owner has adopted a common dictionary term as a trademark, a </w:t>
      </w:r>
      <w:proofErr w:type="spellStart"/>
      <w:r w:rsidRPr="005B4F4B">
        <w:rPr>
          <w:szCs w:val="18"/>
        </w:rPr>
        <w:t>gTLD</w:t>
      </w:r>
      <w:proofErr w:type="spellEnd"/>
      <w:r w:rsidRPr="005B4F4B">
        <w:rPr>
          <w:szCs w:val="18"/>
        </w:rPr>
        <w:t xml:space="preserve"> application intended solely to take advantage of such common dictionary meaning would not as such violate the decision standards for LROs. In certain </w:t>
      </w:r>
      <w:proofErr w:type="gramStart"/>
      <w:r w:rsidRPr="005B4F4B">
        <w:rPr>
          <w:szCs w:val="18"/>
        </w:rPr>
        <w:t>cases</w:t>
      </w:r>
      <w:proofErr w:type="gramEnd"/>
      <w:r w:rsidRPr="005B4F4B">
        <w:rPr>
          <w:szCs w:val="18"/>
        </w:rPr>
        <w:t xml:space="preserve"> panels addressed trademark registrations that were primarily obtained for the purpose of supporting an application for a new </w:t>
      </w:r>
      <w:proofErr w:type="spellStart"/>
      <w:r w:rsidRPr="005B4F4B">
        <w:rPr>
          <w:szCs w:val="18"/>
        </w:rPr>
        <w:t>gTLD</w:t>
      </w:r>
      <w:proofErr w:type="spellEnd"/>
      <w:r w:rsidRPr="005B4F4B">
        <w:rPr>
          <w:szCs w:val="18"/>
        </w:rPr>
        <w:t xml:space="preserve"> and/or LRO, with little or no demonstrable prior use. See http://www.wipo.int/amc/en/docs/lroreport.pdf.</w:t>
      </w:r>
    </w:p>
  </w:footnote>
  <w:footnote w:id="59">
    <w:p w14:paraId="699709DC"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See http://www.wipo.int/amc/en/docs/icann130309.pdf.</w:t>
      </w:r>
    </w:p>
  </w:footnote>
  <w:footnote w:id="60">
    <w:p w14:paraId="62621EDA" w14:textId="77777777" w:rsidR="008D6F26" w:rsidRPr="005B4F4B" w:rsidRDefault="008D6F26" w:rsidP="008D6F26">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r>
      <w:proofErr w:type="gramStart"/>
      <w:r w:rsidRPr="005B4F4B">
        <w:rPr>
          <w:szCs w:val="18"/>
        </w:rPr>
        <w:t xml:space="preserve">Given the perceived convergence of registry, registrar, and registrant roles within the DNS, the Center has further recommended, </w:t>
      </w:r>
      <w:r w:rsidRPr="005B4F4B">
        <w:rPr>
          <w:i/>
          <w:szCs w:val="18"/>
        </w:rPr>
        <w:t>inter alia</w:t>
      </w:r>
      <w:r w:rsidRPr="005B4F4B">
        <w:rPr>
          <w:szCs w:val="18"/>
        </w:rPr>
        <w:t xml:space="preserve"> taking account of its UDRP-based experiences and of ICANN’s decision to allow for cross</w:t>
      </w:r>
      <w:r w:rsidRPr="005B4F4B">
        <w:rPr>
          <w:szCs w:val="18"/>
        </w:rPr>
        <w:noBreakHyphen/>
        <w:t xml:space="preserve">ownership between registries and registrars (see </w:t>
      </w:r>
      <w:proofErr w:type="gramEnd"/>
      <w:r w:rsidRPr="005B4F4B">
        <w:rPr>
          <w:szCs w:val="18"/>
        </w:rPr>
        <w:t>http://www.icann.org/en/minutes/resolutions</w:t>
      </w:r>
      <w:r w:rsidRPr="005B4F4B">
        <w:rPr>
          <w:szCs w:val="18"/>
        </w:rPr>
        <w:noBreakHyphen/>
        <w:t>05nov10</w:t>
      </w:r>
      <w:r w:rsidRPr="005B4F4B">
        <w:rPr>
          <w:szCs w:val="18"/>
        </w:rPr>
        <w:noBreakHyphen/>
        <w:t>en.htm</w:t>
      </w:r>
      <w:proofErr w:type="gramStart"/>
      <w:r w:rsidRPr="005B4F4B">
        <w:rPr>
          <w:szCs w:val="18"/>
        </w:rPr>
        <w:t xml:space="preserve">), that ICANN consider extending the PDDRP for registries also to registrar conduct (see, </w:t>
      </w:r>
      <w:r w:rsidRPr="005B4F4B">
        <w:rPr>
          <w:i/>
          <w:szCs w:val="18"/>
        </w:rPr>
        <w:t>inter alia</w:t>
      </w:r>
      <w:r w:rsidRPr="005B4F4B">
        <w:rPr>
          <w:szCs w:val="18"/>
        </w:rPr>
        <w:t>, http://www.wipo.int/amc/en/docs/icann260310rap.pdf).</w:t>
      </w:r>
      <w:proofErr w:type="gramEnd"/>
    </w:p>
  </w:footnote>
  <w:footnote w:id="61">
    <w:p w14:paraId="69467A8B"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Notably in late 2016, a group of brand owners opted to file a Public Interest Commitment Dispute Resolution Procedure (PICDRP) instead of using the available PDDRP. In light of broader policy interests, the Center in 2013 agreed with ICANN to become a provider for the trademark PDDRP. https://www.icann.org/en/system/files/files/feedback-picdrp-panel-report-14mar17-en.pdf.</w:t>
      </w:r>
    </w:p>
  </w:footnote>
  <w:footnote w:id="62">
    <w:p w14:paraId="4FD80F2C"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The TMCH allows for inclusion of registered word marks, word marks protected by statute or treaty or validated by court, and “[o]</w:t>
      </w:r>
      <w:proofErr w:type="spellStart"/>
      <w:r w:rsidRPr="005B4F4B">
        <w:rPr>
          <w:szCs w:val="18"/>
        </w:rPr>
        <w:t>ther</w:t>
      </w:r>
      <w:proofErr w:type="spellEnd"/>
      <w:r w:rsidRPr="005B4F4B">
        <w:rPr>
          <w:szCs w:val="18"/>
        </w:rPr>
        <w:t xml:space="preserve"> marks that constitute intellectual property” (the latter being undefined). With respect to RPMs utilizing TMCH data, the availability of “Sunrise” services (</w:t>
      </w:r>
      <w:r w:rsidRPr="005B4F4B">
        <w:rPr>
          <w:i/>
          <w:szCs w:val="18"/>
        </w:rPr>
        <w:t>i.e.</w:t>
      </w:r>
      <w:r w:rsidRPr="005B4F4B">
        <w:rPr>
          <w:szCs w:val="18"/>
        </w:rPr>
        <w:t xml:space="preserve">, an opportunity for a trademark owner, for a fee, </w:t>
      </w:r>
      <w:proofErr w:type="gramStart"/>
      <w:r w:rsidRPr="005B4F4B">
        <w:rPr>
          <w:szCs w:val="18"/>
        </w:rPr>
        <w:t>to preemptively register</w:t>
      </w:r>
      <w:proofErr w:type="gramEnd"/>
      <w:r w:rsidRPr="005B4F4B">
        <w:rPr>
          <w:szCs w:val="18"/>
        </w:rPr>
        <w:t xml:space="preserve"> an exact match of its mark as a domain name) is limited to those trademarks for which current use can be demonstrated. Whether or not substantiated by demonstration of current use, trademark owners would also be eligible to participate in a time-limited “Claims” service (</w:t>
      </w:r>
      <w:r w:rsidRPr="005B4F4B">
        <w:rPr>
          <w:i/>
          <w:szCs w:val="18"/>
        </w:rPr>
        <w:t>i.e.</w:t>
      </w:r>
      <w:r w:rsidRPr="005B4F4B">
        <w:rPr>
          <w:szCs w:val="18"/>
        </w:rPr>
        <w:t xml:space="preserve">, notice to a potential domain name registrant of the existence of a potentially conflicting trademark right, and notice to the relevant trademark owner(s) in the event that the registrant nevertheless proceeds with domain name registration). As mandated by ICANN, the availability of the Claims service is for a period of 90 days after a new </w:t>
      </w:r>
      <w:proofErr w:type="spellStart"/>
      <w:r w:rsidRPr="005B4F4B">
        <w:rPr>
          <w:szCs w:val="18"/>
        </w:rPr>
        <w:t>gTLD</w:t>
      </w:r>
      <w:proofErr w:type="spellEnd"/>
      <w:r w:rsidRPr="005B4F4B">
        <w:rPr>
          <w:szCs w:val="18"/>
        </w:rPr>
        <w:t xml:space="preserve"> </w:t>
      </w:r>
      <w:proofErr w:type="gramStart"/>
      <w:r w:rsidRPr="005B4F4B">
        <w:rPr>
          <w:szCs w:val="18"/>
        </w:rPr>
        <w:t>is opened</w:t>
      </w:r>
      <w:proofErr w:type="gramEnd"/>
      <w:r w:rsidRPr="005B4F4B">
        <w:rPr>
          <w:szCs w:val="18"/>
        </w:rPr>
        <w:t xml:space="preserve"> for general public registration, but users of the TMCH can opt-in to receive notifications indefinitely. The demonstration of use required for Sunrise services similarly applies to the invocation of trademarks as a basis for a complaint filed under the “Uniform Rapid Suspension” RPM described herein.</w:t>
      </w:r>
    </w:p>
  </w:footnote>
  <w:footnote w:id="63">
    <w:p w14:paraId="2ECADB4F" w14:textId="77777777" w:rsidR="008D6F26" w:rsidRPr="005B4F4B" w:rsidRDefault="008D6F26" w:rsidP="008D6F26">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See http://trademark-clearinghouse.com/content/tmch-stats.</w:t>
      </w:r>
    </w:p>
  </w:footnote>
  <w:footnote w:id="64">
    <w:p w14:paraId="374C34C0"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The Center for its part communicated to ICANN in April 2009 a discussion draft of an “Expedited (Domain Name) Suspension Mechanism” (see http://www.wipo.int/amc/en/docs/icann030409.pdf) and has made subsequent proposals for a streamlined mechanism based on this model at ICANN Meetings (see http://prague44.icann.org/node/31773 and http://toronto45.icann.org/node/34325). Such proposals took account of the need to strike a balance between the protection of trademark rights recognized by law, the practical interests of good-faith registration authorities to minimize operational burdens, and the legitimate expectations of </w:t>
      </w:r>
      <w:r w:rsidRPr="005B4F4B">
        <w:rPr>
          <w:i/>
          <w:iCs/>
          <w:szCs w:val="18"/>
        </w:rPr>
        <w:t>bona fide</w:t>
      </w:r>
      <w:r w:rsidRPr="005B4F4B">
        <w:rPr>
          <w:szCs w:val="18"/>
        </w:rPr>
        <w:t xml:space="preserve"> domain name registrants.  </w:t>
      </w:r>
    </w:p>
  </w:footnote>
  <w:footnote w:id="65">
    <w:p w14:paraId="0190756F"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An extensive inventory of these issues </w:t>
      </w:r>
      <w:proofErr w:type="gramStart"/>
      <w:r w:rsidRPr="005B4F4B">
        <w:rPr>
          <w:szCs w:val="18"/>
        </w:rPr>
        <w:t>is provided</w:t>
      </w:r>
      <w:proofErr w:type="gramEnd"/>
      <w:r w:rsidRPr="005B4F4B">
        <w:rPr>
          <w:szCs w:val="18"/>
        </w:rPr>
        <w:t xml:space="preserve"> </w:t>
      </w:r>
      <w:r w:rsidRPr="005B4F4B">
        <w:rPr>
          <w:i/>
          <w:szCs w:val="18"/>
        </w:rPr>
        <w:t>inter alia</w:t>
      </w:r>
      <w:r w:rsidRPr="005B4F4B">
        <w:rPr>
          <w:szCs w:val="18"/>
        </w:rPr>
        <w:t xml:space="preserve"> in the Center’s letter to ICANN of December 2, 2010, available at http://www.wipo.int/amc/en/docs/icann021210.pdf.  </w:t>
      </w:r>
    </w:p>
  </w:footnote>
  <w:footnote w:id="66">
    <w:p w14:paraId="1DF5C1F9" w14:textId="77777777" w:rsidR="008D6F26" w:rsidRPr="005B4F4B" w:rsidRDefault="008D6F26" w:rsidP="008D6F26">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 xml:space="preserve">The question of accreditation of providers gives rise to concerns as to the stability of RPMs; WIPO raised this issue as early as 2007 in the context of the UDRP (see http://www.wipo.int/amc/en/docs/icann040707.pdf).  </w:t>
      </w:r>
    </w:p>
  </w:footnote>
  <w:footnote w:id="67">
    <w:p w14:paraId="781F2C18" w14:textId="77777777" w:rsidR="005D7AF7" w:rsidRPr="005B4F4B" w:rsidRDefault="005D7AF7" w:rsidP="005D7AF7">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 xml:space="preserve">Despite discussions in 2011 in which the clear majority of participants were of the opinion that more harm than good could result from any review of the UDRP by ICANN as a registration-driven body. See https://community.icann.org/display/gnsoudrpdt/Webinar+on+the+Current+State+of+the+UDRP; </w:t>
      </w:r>
      <w:proofErr w:type="spellStart"/>
      <w:r w:rsidRPr="005B4F4B">
        <w:rPr>
          <w:szCs w:val="18"/>
        </w:rPr>
        <w:t>see</w:t>
      </w:r>
      <w:proofErr w:type="spellEnd"/>
      <w:r w:rsidRPr="005B4F4B">
        <w:rPr>
          <w:szCs w:val="18"/>
        </w:rPr>
        <w:t> also more generally document WO/GA/39/10, paragraph 31.</w:t>
      </w:r>
    </w:p>
  </w:footnote>
  <w:footnote w:id="68">
    <w:p w14:paraId="5EEB9ABA" w14:textId="77777777" w:rsidR="005D7AF7" w:rsidRPr="005B4F4B" w:rsidRDefault="005D7AF7" w:rsidP="005D7AF7">
      <w:pPr>
        <w:pStyle w:val="FootnoteText"/>
        <w:tabs>
          <w:tab w:val="left" w:pos="567"/>
        </w:tabs>
        <w:rPr>
          <w:szCs w:val="18"/>
        </w:rPr>
      </w:pPr>
      <w:r w:rsidRPr="005B4F4B">
        <w:rPr>
          <w:rStyle w:val="FootnoteReference"/>
          <w:szCs w:val="18"/>
        </w:rPr>
        <w:footnoteRef/>
      </w:r>
      <w:r w:rsidRPr="005B4F4B">
        <w:rPr>
          <w:szCs w:val="18"/>
        </w:rPr>
        <w:t xml:space="preserve"> </w:t>
      </w:r>
      <w:r w:rsidRPr="005B4F4B">
        <w:rPr>
          <w:szCs w:val="18"/>
        </w:rPr>
        <w:tab/>
        <w:t>See http://gnso.icann.org/en/issues/new-gtlds/rpm-prelim-issue-09oct15-en.pdf.</w:t>
      </w:r>
    </w:p>
  </w:footnote>
  <w:footnote w:id="69">
    <w:p w14:paraId="0F9BB980" w14:textId="77777777" w:rsidR="005D7AF7" w:rsidRPr="005B4F4B" w:rsidRDefault="005D7AF7" w:rsidP="005D7AF7">
      <w:pPr>
        <w:pStyle w:val="FootnoteText"/>
        <w:rPr>
          <w:szCs w:val="18"/>
        </w:rPr>
      </w:pPr>
      <w:r w:rsidRPr="005B4F4B">
        <w:rPr>
          <w:rStyle w:val="FootnoteReference"/>
          <w:szCs w:val="18"/>
        </w:rPr>
        <w:footnoteRef/>
      </w:r>
      <w:r w:rsidRPr="005B4F4B">
        <w:rPr>
          <w:szCs w:val="18"/>
        </w:rPr>
        <w:t xml:space="preserve"> </w:t>
      </w:r>
      <w:r w:rsidRPr="005B4F4B">
        <w:rPr>
          <w:szCs w:val="18"/>
        </w:rPr>
        <w:tab/>
        <w:t>See https://gnso.icann.org/sites/default/files/file/field-file-attach/rpm-phase-1-proposed-24nov20-en.pdf.</w:t>
      </w:r>
    </w:p>
  </w:footnote>
  <w:footnote w:id="70">
    <w:p w14:paraId="64281480" w14:textId="77777777" w:rsidR="005D7AF7" w:rsidRPr="005B4F4B" w:rsidRDefault="005D7AF7" w:rsidP="005D7AF7">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in particular “Section I: Description and Explanation” including three categories of proposed changes to RPMs at https://www.icann.org/public-comments/gnso-rpm-pdp-phase-1-final-recommendations-2021-04-07-en. </w:t>
      </w:r>
    </w:p>
  </w:footnote>
  <w:footnote w:id="71">
    <w:p w14:paraId="70A76AC2" w14:textId="77777777" w:rsidR="005D7AF7" w:rsidRDefault="005D7AF7" w:rsidP="005D7AF7">
      <w:pPr>
        <w:pStyle w:val="FootnoteText"/>
      </w:pPr>
      <w:r>
        <w:rPr>
          <w:rStyle w:val="FootnoteReference"/>
        </w:rPr>
        <w:footnoteRef/>
      </w:r>
      <w:r>
        <w:t xml:space="preserve"> </w:t>
      </w:r>
      <w:r>
        <w:tab/>
        <w:t xml:space="preserve">See </w:t>
      </w:r>
      <w:r w:rsidRPr="00FA756A">
        <w:t>https://community.icann.org/display/RPMIRT</w:t>
      </w:r>
      <w:r>
        <w:t>.</w:t>
      </w:r>
    </w:p>
  </w:footnote>
  <w:footnote w:id="72">
    <w:p w14:paraId="61B782C5" w14:textId="77777777" w:rsidR="005D7AF7" w:rsidRPr="00D6433E" w:rsidRDefault="005D7AF7" w:rsidP="005D7AF7">
      <w:pPr>
        <w:rPr>
          <w:sz w:val="18"/>
          <w:szCs w:val="18"/>
        </w:rPr>
      </w:pPr>
      <w:r w:rsidRPr="00451D97">
        <w:rPr>
          <w:rStyle w:val="FootnoteReference"/>
          <w:sz w:val="18"/>
          <w:szCs w:val="18"/>
        </w:rPr>
        <w:footnoteRef/>
      </w:r>
      <w:r w:rsidRPr="005B4F4B">
        <w:rPr>
          <w:szCs w:val="18"/>
        </w:rPr>
        <w:t xml:space="preserve"> </w:t>
      </w:r>
      <w:r w:rsidRPr="005B4F4B">
        <w:rPr>
          <w:szCs w:val="18"/>
        </w:rPr>
        <w:tab/>
      </w:r>
      <w:r w:rsidRPr="00196155">
        <w:rPr>
          <w:sz w:val="18"/>
          <w:szCs w:val="18"/>
        </w:rPr>
        <w:t xml:space="preserve">See https://gnso.icann.org/en/issues/new-gtlds/rpm-final-issue-11jan16-en.pdf, </w:t>
      </w:r>
      <w:r w:rsidRPr="00D6433E">
        <w:rPr>
          <w:sz w:val="18"/>
          <w:szCs w:val="18"/>
        </w:rPr>
        <w:t>and more recently, an ICANN</w:t>
      </w:r>
      <w:r>
        <w:rPr>
          <w:sz w:val="18"/>
          <w:szCs w:val="18"/>
        </w:rPr>
        <w:t xml:space="preserve"> </w:t>
      </w:r>
      <w:r w:rsidRPr="00D6433E">
        <w:rPr>
          <w:sz w:val="18"/>
          <w:szCs w:val="18"/>
        </w:rPr>
        <w:t xml:space="preserve">Staff-produced “Policy Status Report” (https://www.icann.org/en/public-comment/proceeding/policy-status-report-uniform-domain-name-dispute-resolution-policy-udrp-03-03-2022) on which the </w:t>
      </w:r>
    </w:p>
    <w:p w14:paraId="5820A7CA" w14:textId="77777777" w:rsidR="005D7AF7" w:rsidRPr="005B4F4B" w:rsidRDefault="005D7AF7" w:rsidP="005D7AF7">
      <w:pPr>
        <w:rPr>
          <w:szCs w:val="18"/>
        </w:rPr>
      </w:pPr>
      <w:r w:rsidRPr="00D6433E">
        <w:rPr>
          <w:sz w:val="18"/>
          <w:szCs w:val="18"/>
        </w:rPr>
        <w:t xml:space="preserve">Center </w:t>
      </w:r>
      <w:r w:rsidRPr="00372284">
        <w:rPr>
          <w:sz w:val="18"/>
          <w:szCs w:val="18"/>
        </w:rPr>
        <w:t>has provided input</w:t>
      </w:r>
      <w:r w:rsidR="004450D9" w:rsidRPr="00372284">
        <w:rPr>
          <w:sz w:val="18"/>
          <w:szCs w:val="18"/>
        </w:rPr>
        <w:t>.</w:t>
      </w:r>
      <w:r w:rsidR="004450D9">
        <w:rPr>
          <w:sz w:val="18"/>
          <w:szCs w:val="18"/>
        </w:rPr>
        <w:t xml:space="preserve"> S</w:t>
      </w:r>
      <w:r>
        <w:rPr>
          <w:sz w:val="18"/>
          <w:szCs w:val="18"/>
        </w:rPr>
        <w:t xml:space="preserve">ee </w:t>
      </w:r>
      <w:r w:rsidRPr="000B3C0B">
        <w:rPr>
          <w:sz w:val="18"/>
          <w:szCs w:val="18"/>
        </w:rPr>
        <w:t>www.wipo.int/amc/en/docs/icannletter190422.pdf</w:t>
      </w:r>
      <w:r w:rsidRPr="00D6433E">
        <w:rPr>
          <w:sz w:val="18"/>
          <w:szCs w:val="18"/>
        </w:rPr>
        <w:t>.</w:t>
      </w:r>
    </w:p>
  </w:footnote>
  <w:footnote w:id="73">
    <w:p w14:paraId="77D1E39F" w14:textId="77777777" w:rsidR="005D7AF7" w:rsidRDefault="005D7AF7" w:rsidP="005D7AF7">
      <w:pPr>
        <w:pStyle w:val="FootnoteText"/>
      </w:pPr>
      <w:r>
        <w:rPr>
          <w:rStyle w:val="FootnoteReference"/>
        </w:rPr>
        <w:footnoteRef/>
      </w:r>
      <w:r>
        <w:t xml:space="preserve"> </w:t>
      </w:r>
      <w:r>
        <w:tab/>
        <w:t xml:space="preserve">See </w:t>
      </w:r>
      <w:r w:rsidRPr="00893002">
        <w:t>https://gac.icann.org/contentMigrated/icann74-gac-communique</w:t>
      </w:r>
      <w:r>
        <w:t>.</w:t>
      </w:r>
    </w:p>
  </w:footnote>
  <w:footnote w:id="74">
    <w:p w14:paraId="4A16328A"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Notably, the registrant’s name and email address </w:t>
      </w:r>
      <w:proofErr w:type="gramStart"/>
      <w:r w:rsidRPr="005B4F4B">
        <w:rPr>
          <w:szCs w:val="18"/>
        </w:rPr>
        <w:t>will in most instances not be</w:t>
      </w:r>
      <w:proofErr w:type="gramEnd"/>
      <w:r w:rsidRPr="005B4F4B">
        <w:rPr>
          <w:szCs w:val="18"/>
        </w:rPr>
        <w:t xml:space="preserve"> visible. However, in order to facilitate contact with the domain name registrant, the concerned registrar is required to provide an “anonymized” email address or web-based contact form.</w:t>
      </w:r>
    </w:p>
  </w:footnote>
  <w:footnote w:id="75">
    <w:p w14:paraId="509DA1A3"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The ICANN “Temporary [contract] Specification” for </w:t>
      </w:r>
      <w:proofErr w:type="spellStart"/>
      <w:r w:rsidRPr="005B4F4B">
        <w:rPr>
          <w:szCs w:val="18"/>
        </w:rPr>
        <w:t>gTLD</w:t>
      </w:r>
      <w:proofErr w:type="spellEnd"/>
      <w:r w:rsidRPr="005B4F4B">
        <w:rPr>
          <w:szCs w:val="18"/>
        </w:rPr>
        <w:t xml:space="preserve"> Registration Data expressly acknowledged that registrars must provide full “Registration Data” to UDRP providers.</w:t>
      </w:r>
      <w:r w:rsidRPr="005B4F4B">
        <w:rPr>
          <w:rStyle w:val="FootnoteReference"/>
          <w:szCs w:val="18"/>
        </w:rPr>
        <w:footnoteRef/>
      </w:r>
      <w:r w:rsidRPr="005B4F4B">
        <w:rPr>
          <w:szCs w:val="18"/>
        </w:rPr>
        <w:t xml:space="preserve"> This appeared to be on the recognition that UDRP providers meet the GDPR’s Article 6(1)(f) “legitimate purposes” and Article 6(1)(b) “performance of a contract” criteria, such that registrars can and should provide </w:t>
      </w:r>
      <w:proofErr w:type="spellStart"/>
      <w:r w:rsidRPr="005B4F4B">
        <w:rPr>
          <w:szCs w:val="18"/>
        </w:rPr>
        <w:t>WhoIs</w:t>
      </w:r>
      <w:proofErr w:type="spellEnd"/>
      <w:r w:rsidRPr="005B4F4B">
        <w:rPr>
          <w:szCs w:val="18"/>
        </w:rPr>
        <w:t xml:space="preserve"> data to UDRP providers.</w:t>
      </w:r>
    </w:p>
  </w:footnote>
  <w:footnote w:id="76">
    <w:p w14:paraId="4A4ECB52"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https://www.icann.org/en/system/files/files/framework-elements-unified-access-model-for-discussion-18jun18-en.pdf. </w:t>
      </w:r>
    </w:p>
  </w:footnote>
  <w:footnote w:id="77">
    <w:p w14:paraId="4BDAF236"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GNSO Council adoption of the Phase 1 Final Report of the Expedited Policy Development Process (EPDP) on the Temporary Specification for </w:t>
      </w:r>
      <w:proofErr w:type="spellStart"/>
      <w:r w:rsidRPr="005B4F4B">
        <w:rPr>
          <w:szCs w:val="18"/>
        </w:rPr>
        <w:t>gTLD</w:t>
      </w:r>
      <w:proofErr w:type="spellEnd"/>
      <w:r w:rsidRPr="005B4F4B">
        <w:rPr>
          <w:szCs w:val="18"/>
        </w:rPr>
        <w:t xml:space="preserve"> Registration Data Team at https://www.icann.org/en/announcements/details/gnso-council-adopts-epdp-final-report-on-the-temporary-specification-for-gtld-registration-data-4-3-2019-en and Phase 2 Final Report at https://www.icann.org/en/blogs/details/epdp-phase-2-team-publishes-final-report-10-8-2020-en</w:t>
      </w:r>
      <w:r w:rsidR="00372284">
        <w:rPr>
          <w:szCs w:val="18"/>
          <w:shd w:val="clear" w:color="auto" w:fill="FFFFFF" w:themeFill="background1"/>
        </w:rPr>
        <w:t xml:space="preserve">. </w:t>
      </w:r>
      <w:r w:rsidRPr="005B4F4B">
        <w:rPr>
          <w:szCs w:val="18"/>
          <w:shd w:val="clear" w:color="auto" w:fill="FFFFFF" w:themeFill="background1"/>
        </w:rPr>
        <w:t xml:space="preserve">Several specific questions that remained unanswered </w:t>
      </w:r>
      <w:proofErr w:type="gramStart"/>
      <w:r w:rsidRPr="005B4F4B">
        <w:rPr>
          <w:szCs w:val="18"/>
          <w:shd w:val="clear" w:color="auto" w:fill="FFFFFF" w:themeFill="background1"/>
        </w:rPr>
        <w:t>were moved</w:t>
      </w:r>
      <w:proofErr w:type="gramEnd"/>
      <w:r w:rsidRPr="005B4F4B">
        <w:rPr>
          <w:szCs w:val="18"/>
          <w:shd w:val="clear" w:color="auto" w:fill="FFFFFF" w:themeFill="background1"/>
        </w:rPr>
        <w:t xml:space="preserve"> to a “Phase 2a”, see e.g., https://www.icann.org/en/announcements/details/call-for-expressions-of-interest-chair-of-phase-2a-gnso-epdp-on-the-temporary-specification-for-gtld-registration-data-4-11-2020-en.</w:t>
      </w:r>
    </w:p>
  </w:footnote>
  <w:footnote w:id="78">
    <w:p w14:paraId="298AF143" w14:textId="77777777" w:rsidR="005D7AF7" w:rsidRDefault="005D7AF7" w:rsidP="005D7AF7">
      <w:pPr>
        <w:pStyle w:val="FootnoteText"/>
      </w:pPr>
      <w:r>
        <w:rPr>
          <w:rStyle w:val="FootnoteReference"/>
        </w:rPr>
        <w:footnoteRef/>
      </w:r>
      <w:r>
        <w:t xml:space="preserve"> </w:t>
      </w:r>
      <w:r>
        <w:tab/>
        <w:t xml:space="preserve">See </w:t>
      </w:r>
      <w:r w:rsidRPr="00893002">
        <w:t>https://www.icann.org/en/board-activities-and-meetings/materials/approved-resolutions-special-meeting-of-the-icann-board-27-02-2023-en</w:t>
      </w:r>
      <w:r>
        <w:t>.</w:t>
      </w:r>
    </w:p>
  </w:footnote>
  <w:footnote w:id="79">
    <w:p w14:paraId="5256638B"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also ICANN’s Final Implementation Plan for IDN </w:t>
      </w:r>
      <w:proofErr w:type="spellStart"/>
      <w:r w:rsidRPr="005B4F4B">
        <w:rPr>
          <w:szCs w:val="18"/>
        </w:rPr>
        <w:t>ccTLD</w:t>
      </w:r>
      <w:proofErr w:type="spellEnd"/>
      <w:r w:rsidRPr="005B4F4B">
        <w:rPr>
          <w:szCs w:val="18"/>
        </w:rPr>
        <w:t xml:space="preserve"> Fast Track Process published in November 2009 (see https://www.icann.org/en/system/files/files/idn-cctld-implementation-plan-16nov09-en.pdf). Since then, this has allowed for the introduction of IDN </w:t>
      </w:r>
      <w:proofErr w:type="spellStart"/>
      <w:r w:rsidRPr="005B4F4B">
        <w:rPr>
          <w:szCs w:val="18"/>
        </w:rPr>
        <w:t>ccTLDs</w:t>
      </w:r>
      <w:proofErr w:type="spellEnd"/>
      <w:r w:rsidRPr="005B4F4B">
        <w:rPr>
          <w:szCs w:val="18"/>
        </w:rPr>
        <w:t xml:space="preserve">, associated with the two-letter codes in the ISO 3166-1 standard (see http://www.iso.org/iso/english_country_names_and_code_elements).  </w:t>
      </w:r>
    </w:p>
  </w:footnote>
  <w:footnote w:id="80">
    <w:p w14:paraId="57359AEB" w14:textId="77777777" w:rsidR="008D6F26" w:rsidRPr="005B4F4B" w:rsidRDefault="008D6F26" w:rsidP="008D6F26">
      <w:pPr>
        <w:pStyle w:val="FootnoteText"/>
        <w:rPr>
          <w:szCs w:val="18"/>
        </w:rPr>
      </w:pPr>
      <w:r w:rsidRPr="005B4F4B">
        <w:rPr>
          <w:rStyle w:val="FootnoteReference"/>
          <w:szCs w:val="18"/>
        </w:rPr>
        <w:footnoteRef/>
      </w:r>
      <w:r w:rsidRPr="005B4F4B">
        <w:rPr>
          <w:rStyle w:val="FootnoteReference"/>
          <w:szCs w:val="18"/>
        </w:rPr>
        <w:t xml:space="preserve"> </w:t>
      </w:r>
      <w:r w:rsidRPr="005B4F4B">
        <w:rPr>
          <w:szCs w:val="18"/>
        </w:rPr>
        <w:tab/>
        <w:t xml:space="preserve">See http://www.wipo.int/edocs/mdocs/govbody/en/wo_ga_28/wo_ga_28_3.pdf; </w:t>
      </w:r>
      <w:proofErr w:type="spellStart"/>
      <w:r w:rsidRPr="005B4F4B">
        <w:rPr>
          <w:szCs w:val="18"/>
        </w:rPr>
        <w:t>see</w:t>
      </w:r>
      <w:proofErr w:type="spellEnd"/>
      <w:r w:rsidRPr="005B4F4B">
        <w:rPr>
          <w:szCs w:val="18"/>
        </w:rPr>
        <w:t xml:space="preserve"> also documents SCT/9/8, paragraphs 6 to 11; and, SCT/9/9, paragraph 149. The WIPO Secretariat transmitted these recommendations to ICANN. See http://www.wipo.int/amc/en/docs/wipo.doc.</w:t>
      </w:r>
    </w:p>
  </w:footnote>
  <w:footnote w:id="81">
    <w:p w14:paraId="3E8517E4"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See https://www.wipo.int/about-wipo/en/assemblies/2021/a_62/doc_details.jsp?doc_id=507114, paragraphs 44-51.</w:t>
      </w:r>
    </w:p>
  </w:footnote>
  <w:footnote w:id="82">
    <w:p w14:paraId="12F25C99"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See https://gnso.icann.org/en/council/resolutions#201905.</w:t>
      </w:r>
    </w:p>
  </w:footnote>
  <w:footnote w:id="83">
    <w:p w14:paraId="76D71A18"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See https://www.icann.org/en/system/files/correspondence/botterman-to-ismail-23feb21-en.pdf.</w:t>
      </w:r>
    </w:p>
  </w:footnote>
  <w:footnote w:id="84">
    <w:p w14:paraId="3510F39F"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See https://www.icann.org/en/system/files/files/resolutions-abudhabi60-gac-advice-scorecard-04feb18-en.pdf and https://gac.icann.org/contentMigrated/icann71-gac-communique.</w:t>
      </w:r>
    </w:p>
  </w:footnote>
  <w:footnote w:id="85">
    <w:p w14:paraId="665ED9A0" w14:textId="6A43AF89" w:rsidR="008D6F26" w:rsidRDefault="008D6F26" w:rsidP="008D6F26">
      <w:pPr>
        <w:pStyle w:val="FootnoteText"/>
      </w:pPr>
      <w:r>
        <w:rPr>
          <w:rStyle w:val="FootnoteReference"/>
        </w:rPr>
        <w:footnoteRef/>
      </w:r>
      <w:r>
        <w:t xml:space="preserve"> </w:t>
      </w:r>
      <w:r>
        <w:tab/>
        <w:t xml:space="preserve">See </w:t>
      </w:r>
      <w:r w:rsidRPr="009317BD">
        <w:t>gnso.icann.org/sites/default/files/file/field-file-attach/epdp-specific-crp-igo-final-report-02apr22-en.pdf</w:t>
      </w:r>
      <w:r w:rsidR="005D7AF7">
        <w:t xml:space="preserve">, and </w:t>
      </w:r>
      <w:r w:rsidR="005D7AF7" w:rsidRPr="00151BC1">
        <w:t>https://gnso.icann.org/sites/default/files/policy/2022/draft/draft-epdp-specific-curative-rights-protections-for-igos-report-11jul22-en.pdf</w:t>
      </w:r>
      <w:r w:rsidR="005D7AF7">
        <w:t>.</w:t>
      </w:r>
      <w:r>
        <w:t xml:space="preserve"> </w:t>
      </w:r>
    </w:p>
  </w:footnote>
  <w:footnote w:id="86">
    <w:p w14:paraId="5FCFB82C"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r>
      <w:r w:rsidRPr="005B4F4B">
        <w:rPr>
          <w:rFonts w:eastAsia="Times New Roman"/>
          <w:szCs w:val="18"/>
          <w:lang w:eastAsia="fr-CH"/>
        </w:rPr>
        <w:t xml:space="preserve">See </w:t>
      </w:r>
      <w:r w:rsidRPr="003D0275">
        <w:rPr>
          <w:rFonts w:eastAsia="Times New Roman"/>
          <w:szCs w:val="18"/>
          <w:lang w:eastAsia="fr-CH"/>
        </w:rPr>
        <w:t>generally</w:t>
      </w:r>
      <w:r>
        <w:rPr>
          <w:rFonts w:eastAsia="Times New Roman"/>
          <w:szCs w:val="18"/>
          <w:lang w:eastAsia="fr-CH"/>
        </w:rPr>
        <w:t xml:space="preserve"> </w:t>
      </w:r>
      <w:r w:rsidRPr="005B4F4B">
        <w:rPr>
          <w:rFonts w:eastAsia="Times New Roman"/>
          <w:szCs w:val="18"/>
          <w:lang w:eastAsia="fr-CH"/>
        </w:rPr>
        <w:t xml:space="preserve">www.icann.org/resources/pages/igo-ingo-protection-policy-2018-01-16-en, www.icann.org/resources/board-material/resolutions-2018-02-04-en#2.d, and www.icann.org/en/system/files/files/resolutions-abudhabi60-gac-advice-scorecard-04feb18-en.pdf. The Assistant Secretary General of the United Nations in charge of the Office of Legal Affairs on behalf of several IGOs (including WIPO) sent a letter in July 2018 to the ICANN Board stating concerns after the final report of the PDP process (see www.icann.org/en/system/files/correspondence/mathias-to-board-27jul18-en.pdf). </w:t>
      </w:r>
      <w:r w:rsidRPr="005B4F4B">
        <w:rPr>
          <w:rFonts w:eastAsia="Times New Roman"/>
          <w:szCs w:val="18"/>
          <w:shd w:val="clear" w:color="auto" w:fill="FFFFFF" w:themeFill="background1"/>
          <w:lang w:eastAsia="fr-CH"/>
        </w:rPr>
        <w:t>See further discussion at ICANN’s November 2020 meeting, at https://icann66.pathable.com/meetings/1116847.</w:t>
      </w:r>
    </w:p>
  </w:footnote>
  <w:footnote w:id="87">
    <w:p w14:paraId="3ED96326" w14:textId="77777777" w:rsidR="008D6F26" w:rsidRPr="005B4F4B" w:rsidRDefault="008D6F26" w:rsidP="008D6F26">
      <w:pPr>
        <w:pStyle w:val="FootnoteText"/>
        <w:tabs>
          <w:tab w:val="left" w:pos="567"/>
        </w:tabs>
        <w:rPr>
          <w:szCs w:val="18"/>
        </w:rPr>
      </w:pPr>
      <w:r w:rsidRPr="005B4F4B">
        <w:rPr>
          <w:rStyle w:val="FootnoteReference"/>
          <w:szCs w:val="18"/>
        </w:rPr>
        <w:footnoteRef/>
      </w:r>
      <w:r w:rsidRPr="005B4F4B">
        <w:rPr>
          <w:rStyle w:val="FootnoteReference"/>
          <w:szCs w:val="18"/>
        </w:rPr>
        <w:t xml:space="preserve"> </w:t>
      </w:r>
      <w:r w:rsidRPr="005B4F4B">
        <w:rPr>
          <w:szCs w:val="18"/>
        </w:rPr>
        <w:tab/>
        <w:t>See https://archive.icann.org/en/topics/new-gtlds/gac-principles-regarding-new-gtlds-28mar07-en.pdf.</w:t>
      </w:r>
    </w:p>
  </w:footnote>
  <w:footnote w:id="88">
    <w:p w14:paraId="34BD899D" w14:textId="77777777" w:rsidR="008D6F26" w:rsidRPr="005B4F4B" w:rsidRDefault="008D6F26" w:rsidP="008D6F26">
      <w:pPr>
        <w:pStyle w:val="FootnoteText"/>
        <w:tabs>
          <w:tab w:val="left" w:pos="567"/>
        </w:tabs>
        <w:rPr>
          <w:szCs w:val="18"/>
        </w:rPr>
      </w:pPr>
      <w:r w:rsidRPr="005B4F4B">
        <w:rPr>
          <w:rStyle w:val="FootnoteReference"/>
          <w:szCs w:val="18"/>
        </w:rPr>
        <w:footnoteRef/>
      </w:r>
      <w:r w:rsidRPr="005B4F4B">
        <w:rPr>
          <w:szCs w:val="18"/>
        </w:rPr>
        <w:t xml:space="preserve"> </w:t>
      </w:r>
      <w:r w:rsidRPr="005B4F4B">
        <w:rPr>
          <w:szCs w:val="18"/>
        </w:rPr>
        <w:tab/>
        <w:t xml:space="preserve">Concerning second-level registrations, ICANN’s base registry agreement includes a “Schedule of Reserved Names at the Second Level in </w:t>
      </w:r>
      <w:proofErr w:type="spellStart"/>
      <w:r w:rsidRPr="005B4F4B">
        <w:rPr>
          <w:szCs w:val="18"/>
        </w:rPr>
        <w:t>gTLD</w:t>
      </w:r>
      <w:proofErr w:type="spellEnd"/>
      <w:r w:rsidRPr="005B4F4B">
        <w:rPr>
          <w:szCs w:val="18"/>
        </w:rPr>
        <w:t xml:space="preserve"> Registries” which makes </w:t>
      </w:r>
      <w:proofErr w:type="gramStart"/>
      <w:r w:rsidRPr="005B4F4B">
        <w:rPr>
          <w:szCs w:val="18"/>
        </w:rPr>
        <w:t>provision for certain</w:t>
      </w:r>
      <w:proofErr w:type="gramEnd"/>
      <w:r w:rsidRPr="005B4F4B">
        <w:rPr>
          <w:szCs w:val="18"/>
        </w:rPr>
        <w:t xml:space="preserve"> country and territory names.  See http://newgtlds.icann.org/en/applicants/agb/base-agreement-specs-04jun12-en.pdf at Specification 5.</w:t>
      </w:r>
    </w:p>
  </w:footnote>
  <w:footnote w:id="89">
    <w:p w14:paraId="66551995" w14:textId="77777777" w:rsidR="008D6F26" w:rsidRPr="005B4F4B" w:rsidRDefault="008D6F26" w:rsidP="008D6F26">
      <w:pPr>
        <w:pStyle w:val="FootnoteText"/>
        <w:tabs>
          <w:tab w:val="left" w:pos="567"/>
        </w:tabs>
        <w:rPr>
          <w:szCs w:val="18"/>
        </w:rPr>
      </w:pPr>
      <w:r w:rsidRPr="005B4F4B">
        <w:rPr>
          <w:rStyle w:val="FootnoteReference"/>
          <w:szCs w:val="18"/>
        </w:rPr>
        <w:footnoteRef/>
      </w:r>
      <w:r w:rsidRPr="005B4F4B">
        <w:rPr>
          <w:rStyle w:val="FootnoteReference"/>
          <w:szCs w:val="18"/>
        </w:rPr>
        <w:t xml:space="preserve"> </w:t>
      </w:r>
      <w:r w:rsidRPr="005B4F4B">
        <w:rPr>
          <w:szCs w:val="18"/>
        </w:rPr>
        <w:tab/>
        <w:t>See http://newgtlds.icann.org/en/applicants/agb/evaluation-procedures-04jun12-en.pdf, from section 2.2.1.4.1 “Treatment of Country or Territory Names”.</w:t>
      </w:r>
    </w:p>
  </w:footnote>
  <w:footnote w:id="90">
    <w:p w14:paraId="69C36941" w14:textId="77777777" w:rsidR="008D6F26" w:rsidRPr="005B4F4B" w:rsidRDefault="008D6F26" w:rsidP="008D6F26">
      <w:pPr>
        <w:pStyle w:val="FootnoteText"/>
        <w:shd w:val="clear" w:color="auto" w:fill="FFFFFF" w:themeFill="background1"/>
        <w:tabs>
          <w:tab w:val="left" w:pos="567"/>
        </w:tabs>
        <w:rPr>
          <w:szCs w:val="18"/>
        </w:rPr>
      </w:pPr>
      <w:r w:rsidRPr="005B4F4B">
        <w:rPr>
          <w:rStyle w:val="FootnoteReference"/>
          <w:szCs w:val="18"/>
        </w:rPr>
        <w:footnoteRef/>
      </w:r>
      <w:r w:rsidRPr="005B4F4B">
        <w:rPr>
          <w:szCs w:val="18"/>
        </w:rPr>
        <w:t xml:space="preserve"> </w:t>
      </w:r>
      <w:r w:rsidRPr="005B4F4B">
        <w:rPr>
          <w:szCs w:val="18"/>
        </w:rPr>
        <w:tab/>
        <w:t xml:space="preserve">See http://newgtlds.icann.org/en/applicants/agb/evaluation-procedures-04jun12-en.pdf, from section 2.2.1.4.2 </w:t>
      </w:r>
      <w:r w:rsidRPr="005B4F4B">
        <w:rPr>
          <w:szCs w:val="18"/>
          <w:shd w:val="clear" w:color="auto" w:fill="FFFFFF" w:themeFill="background1"/>
        </w:rPr>
        <w:t>“Geographic Names Requiring Government Support”.</w:t>
      </w:r>
      <w:r w:rsidRPr="005B4F4B">
        <w:rPr>
          <w:szCs w:val="18"/>
        </w:rPr>
        <w:t xml:space="preserve"> </w:t>
      </w:r>
    </w:p>
  </w:footnote>
  <w:footnote w:id="91">
    <w:p w14:paraId="08A9D3AF" w14:textId="77777777" w:rsidR="008D6F26" w:rsidRPr="005B4F4B" w:rsidRDefault="008D6F26" w:rsidP="008D6F26">
      <w:pPr>
        <w:pStyle w:val="FootnoteText"/>
        <w:shd w:val="clear" w:color="auto" w:fill="FFFFFF" w:themeFill="background1"/>
        <w:tabs>
          <w:tab w:val="left" w:pos="567"/>
        </w:tabs>
        <w:rPr>
          <w:color w:val="000000" w:themeColor="text1"/>
          <w:szCs w:val="18"/>
        </w:rPr>
      </w:pPr>
      <w:r w:rsidRPr="005B4F4B">
        <w:rPr>
          <w:rStyle w:val="FootnoteReference"/>
          <w:szCs w:val="18"/>
        </w:rPr>
        <w:footnoteRef/>
      </w:r>
      <w:r w:rsidRPr="005B4F4B">
        <w:rPr>
          <w:szCs w:val="18"/>
        </w:rPr>
        <w:t xml:space="preserve"> </w:t>
      </w:r>
      <w:r w:rsidRPr="005B4F4B">
        <w:rPr>
          <w:szCs w:val="18"/>
        </w:rPr>
        <w:tab/>
        <w:t xml:space="preserve">See https://www.icann.org/en/system/files/correspondence/gac-to-board-27mar14-en.pdf, at “4. Specific Strings”. While the Board has accepted the GAC’s advice against proceeding with certain applications, it has sought further information from the GAC, as well as public comments, on a range of additional safeguards sought by the GAC concerning </w:t>
      </w:r>
      <w:r w:rsidRPr="005B4F4B">
        <w:rPr>
          <w:iCs/>
          <w:szCs w:val="18"/>
        </w:rPr>
        <w:t xml:space="preserve">several broad categories of new </w:t>
      </w:r>
      <w:proofErr w:type="spellStart"/>
      <w:r w:rsidRPr="005B4F4B">
        <w:rPr>
          <w:iCs/>
          <w:szCs w:val="18"/>
        </w:rPr>
        <w:t>gTLD</w:t>
      </w:r>
      <w:proofErr w:type="spellEnd"/>
      <w:r w:rsidRPr="005B4F4B">
        <w:rPr>
          <w:iCs/>
          <w:szCs w:val="18"/>
        </w:rPr>
        <w:t xml:space="preserve"> applications such as for those new </w:t>
      </w:r>
      <w:proofErr w:type="spellStart"/>
      <w:r w:rsidRPr="005B4F4B">
        <w:rPr>
          <w:iCs/>
          <w:szCs w:val="18"/>
        </w:rPr>
        <w:t>gTLDs</w:t>
      </w:r>
      <w:proofErr w:type="spellEnd"/>
      <w:r w:rsidRPr="005B4F4B">
        <w:rPr>
          <w:iCs/>
          <w:szCs w:val="18"/>
        </w:rPr>
        <w:t xml:space="preserve"> which correspond to regulated industries or dictionary terms. </w:t>
      </w:r>
      <w:r w:rsidRPr="005B4F4B">
        <w:rPr>
          <w:szCs w:val="18"/>
        </w:rPr>
        <w:t xml:space="preserve">See https://www.icann.org/en/system/files/correspondence/gac-to-board-11apr13-en.pdf. </w:t>
      </w:r>
      <w:r w:rsidRPr="005B4F4B">
        <w:rPr>
          <w:iCs/>
          <w:szCs w:val="18"/>
        </w:rPr>
        <w:t xml:space="preserve">A GAC Sub-group on Geographic Names (a Sub-group of the GAC Working Group on Future New </w:t>
      </w:r>
      <w:proofErr w:type="spellStart"/>
      <w:r w:rsidRPr="005B4F4B">
        <w:rPr>
          <w:iCs/>
          <w:szCs w:val="18"/>
        </w:rPr>
        <w:t>gTLDs</w:t>
      </w:r>
      <w:proofErr w:type="spellEnd"/>
      <w:r w:rsidRPr="005B4F4B">
        <w:rPr>
          <w:iCs/>
          <w:szCs w:val="18"/>
        </w:rPr>
        <w:t xml:space="preserve">) has developed a draft document for future new </w:t>
      </w:r>
      <w:proofErr w:type="spellStart"/>
      <w:r w:rsidRPr="005B4F4B">
        <w:rPr>
          <w:iCs/>
          <w:szCs w:val="18"/>
        </w:rPr>
        <w:t>gTLD</w:t>
      </w:r>
      <w:proofErr w:type="spellEnd"/>
      <w:r w:rsidRPr="005B4F4B">
        <w:rPr>
          <w:iCs/>
          <w:szCs w:val="18"/>
        </w:rPr>
        <w:t xml:space="preserve"> rounds outlining several public policy aspects related to geographic names, which is subject to further ICANN discussions. </w:t>
      </w:r>
      <w:r w:rsidRPr="005B4F4B">
        <w:rPr>
          <w:szCs w:val="18"/>
        </w:rPr>
        <w:t>See https://gacweb.icann.org/download/attachments/27132037/Geo%20names%20in%20new%20gTLDs%20Updated%20%20V3%20%2029%20august%202014%5B4%5D.pdf?version=1&amp;modificationDate=1411549935000&amp;api=v2</w:t>
      </w:r>
      <w:r w:rsidRPr="005B4F4B">
        <w:rPr>
          <w:color w:val="000000" w:themeColor="text1"/>
          <w:szCs w:val="18"/>
        </w:rPr>
        <w:t xml:space="preserve">. See also </w:t>
      </w:r>
      <w:r w:rsidRPr="005B4F4B">
        <w:rPr>
          <w:szCs w:val="18"/>
        </w:rPr>
        <w:t>https://www.icann.org/resources/board-material/resolutions-2019-05-15-en#1.c.</w:t>
      </w:r>
    </w:p>
  </w:footnote>
  <w:footnote w:id="92">
    <w:p w14:paraId="762A97B8" w14:textId="77777777" w:rsidR="008D6F26" w:rsidRPr="005B4F4B" w:rsidRDefault="008D6F26" w:rsidP="008D6F26">
      <w:pPr>
        <w:pStyle w:val="FootnoteText"/>
        <w:tabs>
          <w:tab w:val="left" w:pos="567"/>
        </w:tabs>
        <w:rPr>
          <w:szCs w:val="18"/>
        </w:rPr>
      </w:pPr>
      <w:r w:rsidRPr="005B4F4B">
        <w:rPr>
          <w:rStyle w:val="FootnoteReference"/>
          <w:szCs w:val="18"/>
        </w:rPr>
        <w:footnoteRef/>
      </w:r>
      <w:r w:rsidRPr="005B4F4B">
        <w:rPr>
          <w:szCs w:val="18"/>
        </w:rPr>
        <w:t xml:space="preserve"> </w:t>
      </w:r>
      <w:r w:rsidRPr="005B4F4B">
        <w:rPr>
          <w:szCs w:val="18"/>
        </w:rPr>
        <w:tab/>
        <w:t>Together these comprise ICANN’s so-called “confusion mitigation” plans. See e.g., https://www.icann.org/en/system/files/files/implementation-memo-two-character-ascii-labels-22jan19-en.pdf.</w:t>
      </w:r>
    </w:p>
  </w:footnote>
  <w:footnote w:id="93">
    <w:p w14:paraId="5B0B620E" w14:textId="77777777" w:rsidR="008D6F26" w:rsidRPr="005B4F4B" w:rsidRDefault="008D6F26" w:rsidP="008D6F26">
      <w:pPr>
        <w:pStyle w:val="FootnoteText"/>
        <w:tabs>
          <w:tab w:val="left" w:pos="567"/>
        </w:tabs>
        <w:rPr>
          <w:szCs w:val="18"/>
        </w:rPr>
      </w:pPr>
      <w:r w:rsidRPr="005B4F4B">
        <w:rPr>
          <w:rStyle w:val="FootnoteReference"/>
          <w:szCs w:val="18"/>
        </w:rPr>
        <w:footnoteRef/>
      </w:r>
      <w:r w:rsidRPr="005B4F4B">
        <w:rPr>
          <w:szCs w:val="18"/>
        </w:rPr>
        <w:t xml:space="preserve"> </w:t>
      </w:r>
      <w:r w:rsidRPr="005B4F4B">
        <w:rPr>
          <w:szCs w:val="18"/>
        </w:rPr>
        <w:tab/>
        <w:t xml:space="preserve">See https://forum.icann.org/lists/comments-proposed-measures-two-char-08jul16/pdfECmcS9knuk.pdf. </w:t>
      </w:r>
    </w:p>
  </w:footnote>
  <w:footnote w:id="94">
    <w:p w14:paraId="5EBDA8CC" w14:textId="77777777" w:rsidR="008D6F26" w:rsidRPr="005B4F4B" w:rsidRDefault="008D6F26" w:rsidP="008D6F26">
      <w:pPr>
        <w:pStyle w:val="FootnoteText"/>
        <w:rPr>
          <w:szCs w:val="18"/>
        </w:rPr>
      </w:pPr>
      <w:r w:rsidRPr="005B4F4B">
        <w:rPr>
          <w:rStyle w:val="FootnoteReference"/>
          <w:szCs w:val="18"/>
        </w:rPr>
        <w:footnoteRef/>
      </w:r>
      <w:r w:rsidRPr="005B4F4B">
        <w:rPr>
          <w:szCs w:val="18"/>
        </w:rPr>
        <w:t xml:space="preserve"> </w:t>
      </w:r>
      <w:r w:rsidRPr="005B4F4B">
        <w:rPr>
          <w:szCs w:val="18"/>
        </w:rPr>
        <w:tab/>
        <w:t xml:space="preserve">See https://static.ptbl.co/static/attachments/169910/1521228229.pdf?1521228229. </w:t>
      </w:r>
    </w:p>
  </w:footnote>
  <w:footnote w:id="95">
    <w:p w14:paraId="2D0181A9" w14:textId="77777777" w:rsidR="008D6F26" w:rsidRPr="005B4F4B" w:rsidRDefault="008D6F26" w:rsidP="008D6F26">
      <w:pPr>
        <w:pStyle w:val="FootnoteText"/>
        <w:rPr>
          <w:b/>
          <w:szCs w:val="18"/>
        </w:rPr>
      </w:pPr>
      <w:r w:rsidRPr="005B4F4B">
        <w:rPr>
          <w:rStyle w:val="FootnoteReference"/>
          <w:szCs w:val="18"/>
        </w:rPr>
        <w:footnoteRef/>
      </w:r>
      <w:r w:rsidRPr="005B4F4B">
        <w:rPr>
          <w:rStyle w:val="FootnoteReference"/>
          <w:szCs w:val="18"/>
        </w:rPr>
        <w:t xml:space="preserve"> </w:t>
      </w:r>
      <w:r w:rsidRPr="005B4F4B">
        <w:rPr>
          <w:szCs w:val="18"/>
        </w:rPr>
        <w:tab/>
        <w:t xml:space="preserve">See </w:t>
      </w:r>
      <w:r w:rsidRPr="005B4F4B">
        <w:rPr>
          <w:i/>
          <w:szCs w:val="18"/>
        </w:rPr>
        <w:t>e.g.</w:t>
      </w:r>
      <w:r w:rsidRPr="005B4F4B">
        <w:rPr>
          <w:szCs w:val="18"/>
        </w:rPr>
        <w:t>, documents SCT/37/4, SCT37/5, SCT38/3, SCT39/5, SCT40/4, SCT41/5, SCT 42/3, SCT 43/4, SCT 44/2</w:t>
      </w:r>
      <w:r>
        <w:rPr>
          <w:szCs w:val="18"/>
        </w:rPr>
        <w:t>, and SCT 45/3</w:t>
      </w:r>
      <w:r w:rsidRPr="005B4F4B">
        <w:rPr>
          <w:szCs w:val="18"/>
        </w:rPr>
        <w:t xml:space="preserve">. See also meeting SCT/IS/GEO/GE/17.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7993" w14:textId="77777777" w:rsidR="006E7704" w:rsidRDefault="006E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E09D8" w14:textId="44DE948F" w:rsidR="00EC4E49" w:rsidRDefault="00823777" w:rsidP="00477D6B">
    <w:pPr>
      <w:jc w:val="right"/>
    </w:pPr>
    <w:bookmarkStart w:id="6" w:name="Code2"/>
    <w:bookmarkEnd w:id="6"/>
    <w:r>
      <w:t>W</w:t>
    </w:r>
    <w:r w:rsidR="008D6F26">
      <w:t>O/GA/56/1</w:t>
    </w:r>
    <w:r w:rsidR="00D20CD8">
      <w:t>3</w:t>
    </w:r>
  </w:p>
  <w:p w14:paraId="43BC652E" w14:textId="60D99402"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D7F0B">
      <w:rPr>
        <w:noProof/>
      </w:rPr>
      <w:t>14</w:t>
    </w:r>
    <w:r>
      <w:fldChar w:fldCharType="end"/>
    </w:r>
  </w:p>
  <w:p w14:paraId="2D827B04" w14:textId="77777777" w:rsidR="00EC4E49" w:rsidRDefault="00EC4E49" w:rsidP="00477D6B">
    <w:pPr>
      <w:jc w:val="right"/>
    </w:pPr>
  </w:p>
  <w:p w14:paraId="01B6121D"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90F3" w14:textId="77777777" w:rsidR="006E7704" w:rsidRDefault="006E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2E444D82"/>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703099"/>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en-U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77"/>
    <w:rsid w:val="0001647B"/>
    <w:rsid w:val="00043CAA"/>
    <w:rsid w:val="00051A7D"/>
    <w:rsid w:val="00075432"/>
    <w:rsid w:val="000773CB"/>
    <w:rsid w:val="00077988"/>
    <w:rsid w:val="000942FF"/>
    <w:rsid w:val="000968ED"/>
    <w:rsid w:val="000A096E"/>
    <w:rsid w:val="000C482F"/>
    <w:rsid w:val="000D2953"/>
    <w:rsid w:val="000F5E56"/>
    <w:rsid w:val="001024FE"/>
    <w:rsid w:val="00131BFA"/>
    <w:rsid w:val="001362EE"/>
    <w:rsid w:val="00142868"/>
    <w:rsid w:val="00157902"/>
    <w:rsid w:val="001832A6"/>
    <w:rsid w:val="001C6808"/>
    <w:rsid w:val="001D7FB9"/>
    <w:rsid w:val="00205A7F"/>
    <w:rsid w:val="00211DC8"/>
    <w:rsid w:val="002121FA"/>
    <w:rsid w:val="0024100F"/>
    <w:rsid w:val="002634C4"/>
    <w:rsid w:val="002917B5"/>
    <w:rsid w:val="002928D3"/>
    <w:rsid w:val="002F1FE6"/>
    <w:rsid w:val="002F4E68"/>
    <w:rsid w:val="00302D68"/>
    <w:rsid w:val="0030499F"/>
    <w:rsid w:val="00310A85"/>
    <w:rsid w:val="00312B51"/>
    <w:rsid w:val="00312F7F"/>
    <w:rsid w:val="003228B7"/>
    <w:rsid w:val="0034445F"/>
    <w:rsid w:val="00346E3C"/>
    <w:rsid w:val="003508A3"/>
    <w:rsid w:val="003673CF"/>
    <w:rsid w:val="00372284"/>
    <w:rsid w:val="00382CA9"/>
    <w:rsid w:val="003845C1"/>
    <w:rsid w:val="00386B6B"/>
    <w:rsid w:val="003906C6"/>
    <w:rsid w:val="003A6F89"/>
    <w:rsid w:val="003A7986"/>
    <w:rsid w:val="003B38C1"/>
    <w:rsid w:val="003B40F4"/>
    <w:rsid w:val="003D0B07"/>
    <w:rsid w:val="0041135B"/>
    <w:rsid w:val="00416524"/>
    <w:rsid w:val="00423E3E"/>
    <w:rsid w:val="00427AF4"/>
    <w:rsid w:val="0043324A"/>
    <w:rsid w:val="004400E2"/>
    <w:rsid w:val="00442A60"/>
    <w:rsid w:val="00444EE1"/>
    <w:rsid w:val="004450D9"/>
    <w:rsid w:val="004473B4"/>
    <w:rsid w:val="00461632"/>
    <w:rsid w:val="004647DA"/>
    <w:rsid w:val="00466D12"/>
    <w:rsid w:val="004675D0"/>
    <w:rsid w:val="00474062"/>
    <w:rsid w:val="00475200"/>
    <w:rsid w:val="00477D6B"/>
    <w:rsid w:val="004A745C"/>
    <w:rsid w:val="004D39C4"/>
    <w:rsid w:val="004E26F7"/>
    <w:rsid w:val="004F1EF2"/>
    <w:rsid w:val="00506CAD"/>
    <w:rsid w:val="0053057A"/>
    <w:rsid w:val="00560A29"/>
    <w:rsid w:val="00594D27"/>
    <w:rsid w:val="005A3C3C"/>
    <w:rsid w:val="005C2767"/>
    <w:rsid w:val="005D7AF7"/>
    <w:rsid w:val="005F3F39"/>
    <w:rsid w:val="00601760"/>
    <w:rsid w:val="00605827"/>
    <w:rsid w:val="0062702A"/>
    <w:rsid w:val="00645A15"/>
    <w:rsid w:val="00646050"/>
    <w:rsid w:val="006713CA"/>
    <w:rsid w:val="006761CE"/>
    <w:rsid w:val="00676C5C"/>
    <w:rsid w:val="006810C4"/>
    <w:rsid w:val="00695558"/>
    <w:rsid w:val="006A392F"/>
    <w:rsid w:val="006D5E0F"/>
    <w:rsid w:val="006D7F0B"/>
    <w:rsid w:val="006E1B73"/>
    <w:rsid w:val="006E2D4B"/>
    <w:rsid w:val="006E7704"/>
    <w:rsid w:val="006E79F5"/>
    <w:rsid w:val="006F1824"/>
    <w:rsid w:val="00704F9A"/>
    <w:rsid w:val="007058FB"/>
    <w:rsid w:val="00714F79"/>
    <w:rsid w:val="0078746E"/>
    <w:rsid w:val="00793925"/>
    <w:rsid w:val="007B6A58"/>
    <w:rsid w:val="007D1613"/>
    <w:rsid w:val="007E6477"/>
    <w:rsid w:val="007E66BC"/>
    <w:rsid w:val="007F350F"/>
    <w:rsid w:val="008053AA"/>
    <w:rsid w:val="00823777"/>
    <w:rsid w:val="0085219B"/>
    <w:rsid w:val="00873EE5"/>
    <w:rsid w:val="00882222"/>
    <w:rsid w:val="00882D0E"/>
    <w:rsid w:val="008869FF"/>
    <w:rsid w:val="00886F09"/>
    <w:rsid w:val="008B2CC1"/>
    <w:rsid w:val="008B4B5E"/>
    <w:rsid w:val="008B60B2"/>
    <w:rsid w:val="008D6F26"/>
    <w:rsid w:val="008E1F5F"/>
    <w:rsid w:val="008F6CE1"/>
    <w:rsid w:val="008F7F39"/>
    <w:rsid w:val="00902143"/>
    <w:rsid w:val="0090731E"/>
    <w:rsid w:val="00916EE2"/>
    <w:rsid w:val="00925E82"/>
    <w:rsid w:val="00934F1F"/>
    <w:rsid w:val="009356D8"/>
    <w:rsid w:val="00966A22"/>
    <w:rsid w:val="0096722F"/>
    <w:rsid w:val="00975612"/>
    <w:rsid w:val="00980843"/>
    <w:rsid w:val="00986E43"/>
    <w:rsid w:val="00993362"/>
    <w:rsid w:val="009B05CB"/>
    <w:rsid w:val="009D0DD1"/>
    <w:rsid w:val="009E02BF"/>
    <w:rsid w:val="009E2791"/>
    <w:rsid w:val="009E3F6F"/>
    <w:rsid w:val="009F3BF9"/>
    <w:rsid w:val="009F499F"/>
    <w:rsid w:val="00A42DAF"/>
    <w:rsid w:val="00A45BD8"/>
    <w:rsid w:val="00A778BF"/>
    <w:rsid w:val="00A85B8E"/>
    <w:rsid w:val="00A9118D"/>
    <w:rsid w:val="00AA267C"/>
    <w:rsid w:val="00AB6384"/>
    <w:rsid w:val="00AC205C"/>
    <w:rsid w:val="00AE598D"/>
    <w:rsid w:val="00AF5C73"/>
    <w:rsid w:val="00B046EE"/>
    <w:rsid w:val="00B05A69"/>
    <w:rsid w:val="00B14250"/>
    <w:rsid w:val="00B40598"/>
    <w:rsid w:val="00B42FCC"/>
    <w:rsid w:val="00B50B99"/>
    <w:rsid w:val="00B62CD9"/>
    <w:rsid w:val="00B9734B"/>
    <w:rsid w:val="00BB714F"/>
    <w:rsid w:val="00C11BFE"/>
    <w:rsid w:val="00C57245"/>
    <w:rsid w:val="00C720D4"/>
    <w:rsid w:val="00C72BE8"/>
    <w:rsid w:val="00C84CE8"/>
    <w:rsid w:val="00C94629"/>
    <w:rsid w:val="00CA0EF6"/>
    <w:rsid w:val="00CB41A8"/>
    <w:rsid w:val="00CC4B9E"/>
    <w:rsid w:val="00CC55EC"/>
    <w:rsid w:val="00CD1797"/>
    <w:rsid w:val="00CE3426"/>
    <w:rsid w:val="00CE65D4"/>
    <w:rsid w:val="00D1328F"/>
    <w:rsid w:val="00D20CD8"/>
    <w:rsid w:val="00D448E7"/>
    <w:rsid w:val="00D45252"/>
    <w:rsid w:val="00D71B4D"/>
    <w:rsid w:val="00D73DBF"/>
    <w:rsid w:val="00D8127E"/>
    <w:rsid w:val="00D93D55"/>
    <w:rsid w:val="00D972EF"/>
    <w:rsid w:val="00DB424C"/>
    <w:rsid w:val="00DB5694"/>
    <w:rsid w:val="00DC1775"/>
    <w:rsid w:val="00DC1B85"/>
    <w:rsid w:val="00DC6AB0"/>
    <w:rsid w:val="00DD0D26"/>
    <w:rsid w:val="00E161A2"/>
    <w:rsid w:val="00E2570E"/>
    <w:rsid w:val="00E335FE"/>
    <w:rsid w:val="00E5021F"/>
    <w:rsid w:val="00E669F3"/>
    <w:rsid w:val="00E671A6"/>
    <w:rsid w:val="00E93796"/>
    <w:rsid w:val="00EB532A"/>
    <w:rsid w:val="00EC38B7"/>
    <w:rsid w:val="00EC472C"/>
    <w:rsid w:val="00EC4E49"/>
    <w:rsid w:val="00ED77FB"/>
    <w:rsid w:val="00EE0F9C"/>
    <w:rsid w:val="00F021A6"/>
    <w:rsid w:val="00F11D94"/>
    <w:rsid w:val="00F44DF8"/>
    <w:rsid w:val="00F45B69"/>
    <w:rsid w:val="00F66152"/>
    <w:rsid w:val="00F8152B"/>
    <w:rsid w:val="00F909AD"/>
    <w:rsid w:val="00F94369"/>
    <w:rsid w:val="00FA51CE"/>
    <w:rsid w:val="00FE0436"/>
    <w:rsid w:val="00FE5A4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C1E94D9"/>
  <w15:docId w15:val="{F9921585-3335-4CD9-AB53-2D4119A7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uiPriority w:val="99"/>
    <w:rsid w:val="008D6F26"/>
    <w:rPr>
      <w:rFonts w:ascii="Arial" w:eastAsia="SimSun" w:hAnsi="Arial" w:cs="Arial"/>
      <w:sz w:val="18"/>
      <w:lang w:val="en-US" w:eastAsia="zh-CN"/>
    </w:rPr>
  </w:style>
  <w:style w:type="paragraph" w:customStyle="1" w:styleId="DecisionInvitingPara">
    <w:name w:val="Decision Inviting Para."/>
    <w:basedOn w:val="Normal"/>
    <w:rsid w:val="008D6F2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8D6F26"/>
    <w:rPr>
      <w:vertAlign w:val="superscript"/>
    </w:rPr>
  </w:style>
  <w:style w:type="character" w:customStyle="1" w:styleId="ONUMEChar">
    <w:name w:val="ONUM E Char"/>
    <w:link w:val="ONUME"/>
    <w:rsid w:val="008D6F26"/>
    <w:rPr>
      <w:rFonts w:ascii="Arial" w:eastAsia="SimSun" w:hAnsi="Arial" w:cs="Arial"/>
      <w:sz w:val="22"/>
      <w:lang w:val="en-US" w:eastAsia="zh-CN"/>
    </w:rPr>
  </w:style>
  <w:style w:type="paragraph" w:styleId="ListParagraph">
    <w:name w:val="List Paragraph"/>
    <w:basedOn w:val="Normal"/>
    <w:uiPriority w:val="34"/>
    <w:qFormat/>
    <w:rsid w:val="008D6F26"/>
    <w:pPr>
      <w:ind w:left="720"/>
      <w:contextualSpacing/>
    </w:pPr>
    <w:rPr>
      <w:rFonts w:eastAsia="Times New Roman" w:cs="Times New Roman"/>
      <w:lang w:eastAsia="en-US"/>
    </w:rPr>
  </w:style>
  <w:style w:type="character" w:styleId="Hyperlink">
    <w:name w:val="Hyperlink"/>
    <w:basedOn w:val="DefaultParagraphFont"/>
    <w:unhideWhenUsed/>
    <w:rsid w:val="00506CAD"/>
    <w:rPr>
      <w:color w:val="0000FF" w:themeColor="hyperlink"/>
      <w:u w:val="single"/>
    </w:rPr>
  </w:style>
  <w:style w:type="paragraph" w:customStyle="1" w:styleId="paragraph">
    <w:name w:val="paragraph"/>
    <w:basedOn w:val="Normal"/>
    <w:rsid w:val="00CA0EF6"/>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A0EF6"/>
  </w:style>
  <w:style w:type="paragraph" w:styleId="BalloonText">
    <w:name w:val="Balloon Text"/>
    <w:basedOn w:val="Normal"/>
    <w:link w:val="BalloonTextChar"/>
    <w:semiHidden/>
    <w:unhideWhenUsed/>
    <w:rsid w:val="006761CE"/>
    <w:rPr>
      <w:rFonts w:ascii="Segoe UI" w:hAnsi="Segoe UI" w:cs="Segoe UI"/>
      <w:sz w:val="18"/>
      <w:szCs w:val="18"/>
    </w:rPr>
  </w:style>
  <w:style w:type="character" w:customStyle="1" w:styleId="BalloonTextChar">
    <w:name w:val="Balloon Text Char"/>
    <w:basedOn w:val="DefaultParagraphFont"/>
    <w:link w:val="BalloonText"/>
    <w:semiHidden/>
    <w:rsid w:val="006761CE"/>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D20CD8"/>
    <w:rPr>
      <w:color w:val="800080" w:themeColor="followedHyperlink"/>
      <w:u w:val="single"/>
    </w:rPr>
  </w:style>
  <w:style w:type="character" w:styleId="CommentReference">
    <w:name w:val="annotation reference"/>
    <w:basedOn w:val="DefaultParagraphFont"/>
    <w:semiHidden/>
    <w:unhideWhenUsed/>
    <w:rsid w:val="00416524"/>
    <w:rPr>
      <w:sz w:val="16"/>
      <w:szCs w:val="16"/>
    </w:rPr>
  </w:style>
  <w:style w:type="paragraph" w:styleId="CommentSubject">
    <w:name w:val="annotation subject"/>
    <w:basedOn w:val="CommentText"/>
    <w:next w:val="CommentText"/>
    <w:link w:val="CommentSubjectChar"/>
    <w:semiHidden/>
    <w:unhideWhenUsed/>
    <w:rsid w:val="00416524"/>
    <w:rPr>
      <w:b/>
      <w:bCs/>
      <w:sz w:val="20"/>
    </w:rPr>
  </w:style>
  <w:style w:type="character" w:customStyle="1" w:styleId="CommentTextChar">
    <w:name w:val="Comment Text Char"/>
    <w:basedOn w:val="DefaultParagraphFont"/>
    <w:link w:val="CommentText"/>
    <w:semiHidden/>
    <w:rsid w:val="0041652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16524"/>
    <w:rPr>
      <w:rFonts w:ascii="Arial" w:eastAsia="SimSun" w:hAnsi="Arial" w:cs="Arial"/>
      <w:b/>
      <w:bCs/>
      <w:sz w:val="18"/>
      <w:lang w:val="en-US" w:eastAsia="zh-CN"/>
    </w:rPr>
  </w:style>
  <w:style w:type="paragraph" w:styleId="Revision">
    <w:name w:val="Revision"/>
    <w:hidden/>
    <w:uiPriority w:val="99"/>
    <w:semiHidden/>
    <w:rsid w:val="0041652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amc/en/goodoffices/index.html" TargetMode="External"/><Relationship Id="rId1" Type="http://schemas.openxmlformats.org/officeDocument/2006/relationships/hyperlink" Target="https://www.wipo.int/about-wipo/en/assemblies/2022/a-63/doc_details.jsp?doc_id=5729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F22D9-960D-4E15-B9E9-2E49752F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9</TotalTime>
  <Pages>14</Pages>
  <Words>4612</Words>
  <Characters>26074</Characters>
  <Application>Microsoft Office Word</Application>
  <DocSecurity>0</DocSecurity>
  <Lines>383</Lines>
  <Paragraphs>89</Paragraphs>
  <ScaleCrop>false</ScaleCrop>
  <HeadingPairs>
    <vt:vector size="2" baseType="variant">
      <vt:variant>
        <vt:lpstr>Title</vt:lpstr>
      </vt:variant>
      <vt:variant>
        <vt:i4>1</vt:i4>
      </vt:variant>
    </vt:vector>
  </HeadingPairs>
  <TitlesOfParts>
    <vt:vector size="1" baseType="lpstr">
      <vt:lpstr>WO/GA/56/13</vt:lpstr>
    </vt:vector>
  </TitlesOfParts>
  <Company>WIPO</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WO/GA/56/13</dc:title>
  <dc:subject/>
  <dc:creator>RATTRAY Adam</dc:creator>
  <cp:keywords>PUBLIC</cp:keywords>
  <dc:description/>
  <cp:lastModifiedBy>HÄFLIGER Patience</cp:lastModifiedBy>
  <cp:revision>6</cp:revision>
  <cp:lastPrinted>2023-04-26T09:58:00Z</cp:lastPrinted>
  <dcterms:created xsi:type="dcterms:W3CDTF">2023-04-26T13:02:00Z</dcterms:created>
  <dcterms:modified xsi:type="dcterms:W3CDTF">2023-05-04T15:00:00Z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2023-05-04T14:57:35Z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1c65b248-dbec-4710-abc3-82254f1fe48a</vt:lpwstr>
  </property>
  <property fmtid="{D5CDD505-2E9C-101B-9397-08002B2CF9AE}" pid="14" name="MSIP_Label_20773ee6-353b-4fb9-a59d-0b94c8c67bea_ContentBits">
    <vt:lpwstr>0</vt:lpwstr>
  </property>
</Properties>
</file>