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133F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sidR="008133FF">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133F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1680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23DC9">
              <w:rPr>
                <w:rFonts w:ascii="Arial Black" w:hAnsi="Arial Black"/>
                <w:caps/>
                <w:sz w:val="15"/>
              </w:rPr>
              <w:t>JULY 31</w:t>
            </w:r>
            <w:r w:rsidR="008133FF">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Twenty-First Session</w:t>
      </w:r>
    </w:p>
    <w:p w:rsidR="00DB1F46" w:rsidRPr="003845C1" w:rsidRDefault="00DB1F46"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8133FF" w:rsidP="008B2CC1">
      <w:pPr>
        <w:rPr>
          <w:caps/>
          <w:sz w:val="24"/>
        </w:rPr>
      </w:pPr>
      <w:bookmarkStart w:id="4" w:name="TitleOfDoc"/>
      <w:bookmarkEnd w:id="4"/>
      <w:r>
        <w:rPr>
          <w:caps/>
          <w:sz w:val="24"/>
        </w:rPr>
        <w:t>STATUS OF THE UTILIZATION OF RESERVES</w:t>
      </w:r>
    </w:p>
    <w:p w:rsidR="008B2CC1" w:rsidRPr="008B2CC1" w:rsidRDefault="008B2CC1" w:rsidP="008B2CC1"/>
    <w:p w:rsidR="008B2CC1" w:rsidRPr="008B2CC1" w:rsidRDefault="008133FF"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8133FF" w:rsidRDefault="008133FF" w:rsidP="008133FF"/>
    <w:p w:rsidR="008133FF" w:rsidRDefault="008133FF" w:rsidP="008133FF">
      <w:pPr>
        <w:numPr>
          <w:ilvl w:val="0"/>
          <w:numId w:val="7"/>
        </w:numPr>
        <w:tabs>
          <w:tab w:val="clear" w:pos="709"/>
        </w:tabs>
        <w:spacing w:after="120" w:line="260" w:lineRule="atLeast"/>
        <w:ind w:left="0"/>
        <w:rPr>
          <w:szCs w:val="22"/>
        </w:rPr>
      </w:pPr>
      <w:r w:rsidRPr="00F56F29">
        <w:rPr>
          <w:szCs w:val="22"/>
        </w:rPr>
        <w:t>This document provides an overview of (i) the status o</w:t>
      </w:r>
      <w:r>
        <w:rPr>
          <w:szCs w:val="22"/>
        </w:rPr>
        <w:t>f Reserves and Working Capital F</w:t>
      </w:r>
      <w:r w:rsidRPr="00F56F29">
        <w:rPr>
          <w:szCs w:val="22"/>
        </w:rPr>
        <w:t>unds (RWC</w:t>
      </w:r>
      <w:r>
        <w:rPr>
          <w:szCs w:val="22"/>
        </w:rPr>
        <w:t xml:space="preserve">F) following closure of </w:t>
      </w:r>
      <w:r w:rsidR="00B60FDA">
        <w:rPr>
          <w:szCs w:val="22"/>
        </w:rPr>
        <w:t>2012</w:t>
      </w:r>
      <w:r w:rsidRPr="00F56F29">
        <w:rPr>
          <w:szCs w:val="22"/>
        </w:rPr>
        <w:t>; and (ii) the status of RWC</w:t>
      </w:r>
      <w:r w:rsidR="000C5693">
        <w:rPr>
          <w:szCs w:val="22"/>
        </w:rPr>
        <w:t>F appropriations for projects approved or proposed to be approved by Member States for financing from the Organization’s reserves</w:t>
      </w:r>
      <w:r w:rsidRPr="00F56F29">
        <w:rPr>
          <w:szCs w:val="22"/>
        </w:rPr>
        <w:t>.</w:t>
      </w:r>
    </w:p>
    <w:p w:rsidR="00CB2D7B" w:rsidRDefault="008133FF" w:rsidP="00995A52">
      <w:pPr>
        <w:numPr>
          <w:ilvl w:val="0"/>
          <w:numId w:val="7"/>
        </w:numPr>
        <w:tabs>
          <w:tab w:val="clear" w:pos="709"/>
        </w:tabs>
        <w:spacing w:after="120" w:line="260" w:lineRule="atLeast"/>
        <w:ind w:left="0"/>
        <w:rPr>
          <w:szCs w:val="22"/>
        </w:rPr>
      </w:pPr>
      <w:r w:rsidRPr="00995A52">
        <w:rPr>
          <w:szCs w:val="22"/>
        </w:rPr>
        <w:t>The financial statements of the Organization for the year ended December 31, 201</w:t>
      </w:r>
      <w:r w:rsidR="00473B1D" w:rsidRPr="00995A52">
        <w:rPr>
          <w:szCs w:val="22"/>
        </w:rPr>
        <w:t>2</w:t>
      </w:r>
      <w:r w:rsidRPr="00995A52">
        <w:rPr>
          <w:szCs w:val="22"/>
        </w:rPr>
        <w:t xml:space="preserve">, have been prepared in accordance with International Public Sector Accounting Standards (IPSAS).  </w:t>
      </w:r>
    </w:p>
    <w:p w:rsidR="008133FF" w:rsidRPr="00995A52" w:rsidRDefault="000C5693" w:rsidP="00995A52">
      <w:pPr>
        <w:numPr>
          <w:ilvl w:val="0"/>
          <w:numId w:val="7"/>
        </w:numPr>
        <w:tabs>
          <w:tab w:val="clear" w:pos="709"/>
        </w:tabs>
        <w:spacing w:after="120" w:line="260" w:lineRule="atLeast"/>
        <w:ind w:left="0"/>
        <w:rPr>
          <w:szCs w:val="22"/>
        </w:rPr>
      </w:pPr>
      <w:r w:rsidRPr="00995A52">
        <w:rPr>
          <w:szCs w:val="22"/>
        </w:rPr>
        <w:t>T</w:t>
      </w:r>
      <w:r w:rsidR="00BB0669" w:rsidRPr="00995A52">
        <w:rPr>
          <w:szCs w:val="22"/>
        </w:rPr>
        <w:t>he current document includes the following sections</w:t>
      </w:r>
      <w:r w:rsidR="008133FF" w:rsidRPr="00995A52">
        <w:rPr>
          <w:szCs w:val="22"/>
        </w:rPr>
        <w:t>:</w:t>
      </w:r>
    </w:p>
    <w:p w:rsidR="008133FF" w:rsidRPr="00F56F29" w:rsidRDefault="008133FF" w:rsidP="008133FF">
      <w:pPr>
        <w:numPr>
          <w:ilvl w:val="1"/>
          <w:numId w:val="9"/>
        </w:numPr>
        <w:spacing w:after="220"/>
        <w:rPr>
          <w:szCs w:val="22"/>
        </w:rPr>
      </w:pPr>
      <w:r w:rsidRPr="00F56F29">
        <w:rPr>
          <w:szCs w:val="22"/>
        </w:rPr>
        <w:t xml:space="preserve">the </w:t>
      </w:r>
      <w:r>
        <w:rPr>
          <w:szCs w:val="22"/>
        </w:rPr>
        <w:t xml:space="preserve">first section </w:t>
      </w:r>
      <w:r w:rsidRPr="00F56F29">
        <w:rPr>
          <w:szCs w:val="22"/>
        </w:rPr>
        <w:t>present</w:t>
      </w:r>
      <w:r>
        <w:rPr>
          <w:szCs w:val="22"/>
        </w:rPr>
        <w:t>s</w:t>
      </w:r>
      <w:r w:rsidRPr="00F56F29">
        <w:rPr>
          <w:szCs w:val="22"/>
        </w:rPr>
        <w:t xml:space="preserve"> the status of RW</w:t>
      </w:r>
      <w:r>
        <w:rPr>
          <w:szCs w:val="22"/>
        </w:rPr>
        <w:t>CF following the financial closure of</w:t>
      </w:r>
      <w:r w:rsidR="005F2F6E">
        <w:rPr>
          <w:szCs w:val="22"/>
        </w:rPr>
        <w:t> </w:t>
      </w:r>
      <w:r>
        <w:rPr>
          <w:szCs w:val="22"/>
        </w:rPr>
        <w:t>201</w:t>
      </w:r>
      <w:r w:rsidR="00BB0669">
        <w:rPr>
          <w:szCs w:val="22"/>
        </w:rPr>
        <w:t>2</w:t>
      </w:r>
      <w:r>
        <w:rPr>
          <w:szCs w:val="22"/>
        </w:rPr>
        <w:t>, noting the impact of IPSAS adjustments</w:t>
      </w:r>
      <w:r w:rsidRPr="00F56F29">
        <w:rPr>
          <w:szCs w:val="22"/>
        </w:rPr>
        <w:t>;</w:t>
      </w:r>
      <w:r>
        <w:rPr>
          <w:szCs w:val="22"/>
        </w:rPr>
        <w:t xml:space="preserve"> </w:t>
      </w:r>
    </w:p>
    <w:p w:rsidR="008133FF" w:rsidRDefault="008133FF" w:rsidP="008133FF">
      <w:pPr>
        <w:numPr>
          <w:ilvl w:val="1"/>
          <w:numId w:val="9"/>
        </w:numPr>
        <w:spacing w:after="220"/>
        <w:rPr>
          <w:szCs w:val="22"/>
        </w:rPr>
      </w:pPr>
      <w:r>
        <w:rPr>
          <w:szCs w:val="22"/>
        </w:rPr>
        <w:t>the second section pr</w:t>
      </w:r>
      <w:r w:rsidRPr="00F56F29">
        <w:rPr>
          <w:szCs w:val="22"/>
        </w:rPr>
        <w:t>esent</w:t>
      </w:r>
      <w:r>
        <w:rPr>
          <w:szCs w:val="22"/>
        </w:rPr>
        <w:t>s</w:t>
      </w:r>
      <w:r w:rsidRPr="00F56F29">
        <w:rPr>
          <w:szCs w:val="22"/>
        </w:rPr>
        <w:t xml:space="preserve"> the status of RWCF appropriations approved </w:t>
      </w:r>
      <w:r w:rsidR="000C5693">
        <w:rPr>
          <w:szCs w:val="22"/>
        </w:rPr>
        <w:t xml:space="preserve">and proposed to be approved </w:t>
      </w:r>
      <w:r w:rsidRPr="00F56F29">
        <w:rPr>
          <w:szCs w:val="22"/>
        </w:rPr>
        <w:t>by Member States</w:t>
      </w:r>
      <w:r w:rsidR="000C5693">
        <w:rPr>
          <w:rStyle w:val="FootnoteReference"/>
          <w:szCs w:val="22"/>
        </w:rPr>
        <w:footnoteReference w:id="2"/>
      </w:r>
      <w:r>
        <w:rPr>
          <w:szCs w:val="22"/>
        </w:rPr>
        <w:t>; and</w:t>
      </w:r>
    </w:p>
    <w:p w:rsidR="008133FF" w:rsidRDefault="008133FF" w:rsidP="008133FF">
      <w:pPr>
        <w:numPr>
          <w:ilvl w:val="1"/>
          <w:numId w:val="9"/>
        </w:numPr>
        <w:spacing w:after="220"/>
        <w:rPr>
          <w:szCs w:val="22"/>
        </w:rPr>
      </w:pPr>
      <w:proofErr w:type="gramStart"/>
      <w:r>
        <w:rPr>
          <w:szCs w:val="22"/>
        </w:rPr>
        <w:t>the</w:t>
      </w:r>
      <w:proofErr w:type="gramEnd"/>
      <w:r>
        <w:rPr>
          <w:szCs w:val="22"/>
        </w:rPr>
        <w:t xml:space="preserve"> third section provides a summary overview of RWCF levels after appropriations</w:t>
      </w:r>
      <w:r w:rsidR="000C5693">
        <w:rPr>
          <w:szCs w:val="22"/>
        </w:rPr>
        <w:t>, together with the proposed appropriation by union of the seven projects proposed for funding from the Organization’s reserves</w:t>
      </w:r>
      <w:r w:rsidR="000C5693">
        <w:rPr>
          <w:rStyle w:val="FootnoteReference"/>
          <w:szCs w:val="22"/>
        </w:rPr>
        <w:footnoteReference w:id="3"/>
      </w:r>
      <w:r>
        <w:rPr>
          <w:szCs w:val="22"/>
        </w:rPr>
        <w:t>.</w:t>
      </w:r>
    </w:p>
    <w:p w:rsidR="008133FF" w:rsidRDefault="008133FF" w:rsidP="008133FF">
      <w:pPr>
        <w:spacing w:after="220"/>
        <w:ind w:left="567"/>
        <w:rPr>
          <w:szCs w:val="22"/>
        </w:rPr>
      </w:pPr>
    </w:p>
    <w:p w:rsidR="008133FF" w:rsidRDefault="008133FF" w:rsidP="00995A52">
      <w:pPr>
        <w:keepNext/>
        <w:keepLines/>
        <w:spacing w:after="220"/>
        <w:rPr>
          <w:b/>
          <w:iCs/>
          <w:szCs w:val="22"/>
        </w:rPr>
      </w:pPr>
      <w:r w:rsidRPr="00F56F29">
        <w:rPr>
          <w:b/>
          <w:iCs/>
          <w:szCs w:val="22"/>
        </w:rPr>
        <w:lastRenderedPageBreak/>
        <w:t>STATUS OF RESERVES AND WORKING CAPITAL FUNDS</w:t>
      </w:r>
      <w:r>
        <w:rPr>
          <w:b/>
          <w:iCs/>
          <w:szCs w:val="22"/>
        </w:rPr>
        <w:t xml:space="preserve"> </w:t>
      </w:r>
      <w:r w:rsidRPr="00F56F29">
        <w:rPr>
          <w:b/>
          <w:iCs/>
          <w:szCs w:val="22"/>
        </w:rPr>
        <w:t>AS AT DEC</w:t>
      </w:r>
      <w:r>
        <w:rPr>
          <w:b/>
          <w:iCs/>
          <w:szCs w:val="22"/>
        </w:rPr>
        <w:t>EMBER 31, 201</w:t>
      </w:r>
      <w:r w:rsidR="00CC3704">
        <w:rPr>
          <w:b/>
          <w:iCs/>
          <w:szCs w:val="22"/>
        </w:rPr>
        <w:t>2</w:t>
      </w:r>
    </w:p>
    <w:p w:rsidR="008133FF" w:rsidRDefault="00CC3704" w:rsidP="00995A52">
      <w:pPr>
        <w:keepNext/>
        <w:keepLines/>
        <w:jc w:val="center"/>
        <w:rPr>
          <w:noProof/>
          <w:lang w:eastAsia="en-US"/>
        </w:rPr>
      </w:pPr>
      <w:r w:rsidRPr="003A1A59">
        <w:rPr>
          <w:noProof/>
          <w:lang w:eastAsia="en-US"/>
        </w:rPr>
        <w:t>Table 1. Preliminary Results and RWCF by Union as of end 2012</w:t>
      </w:r>
    </w:p>
    <w:p w:rsidR="00995A52" w:rsidRPr="00995A52" w:rsidRDefault="00CC3704" w:rsidP="00995A52">
      <w:pPr>
        <w:keepNext/>
        <w:keepLines/>
        <w:jc w:val="center"/>
        <w:rPr>
          <w:i/>
          <w:noProof/>
          <w:sz w:val="20"/>
          <w:lang w:eastAsia="en-US"/>
        </w:rPr>
      </w:pPr>
      <w:r w:rsidRPr="00995A52">
        <w:rPr>
          <w:i/>
          <w:noProof/>
          <w:sz w:val="20"/>
          <w:lang w:eastAsia="en-US"/>
        </w:rPr>
        <w:t>(in thousands of Swiss francs)</w:t>
      </w:r>
    </w:p>
    <w:p w:rsidR="00CC3704" w:rsidRPr="00CD469A" w:rsidRDefault="005B0AF5" w:rsidP="00F42AA2">
      <w:pPr>
        <w:spacing w:after="220"/>
        <w:jc w:val="center"/>
        <w:rPr>
          <w:b/>
          <w:iCs/>
          <w:szCs w:val="22"/>
        </w:rPr>
      </w:pPr>
      <w:r w:rsidRPr="005B0AF5">
        <w:rPr>
          <w:noProof/>
          <w:lang w:eastAsia="en-US"/>
        </w:rPr>
        <w:drawing>
          <wp:inline distT="0" distB="0" distL="0" distR="0" wp14:anchorId="3EB573F0" wp14:editId="522DA703">
            <wp:extent cx="5638800" cy="31755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2256" cy="3183111"/>
                    </a:xfrm>
                    <a:prstGeom prst="rect">
                      <a:avLst/>
                    </a:prstGeom>
                    <a:noFill/>
                    <a:ln>
                      <a:noFill/>
                    </a:ln>
                  </pic:spPr>
                </pic:pic>
              </a:graphicData>
            </a:graphic>
          </wp:inline>
        </w:drawing>
      </w:r>
    </w:p>
    <w:p w:rsidR="008133FF" w:rsidRDefault="008133FF" w:rsidP="00D1680C">
      <w:pPr>
        <w:numPr>
          <w:ilvl w:val="0"/>
          <w:numId w:val="7"/>
        </w:numPr>
        <w:tabs>
          <w:tab w:val="clear" w:pos="709"/>
        </w:tabs>
        <w:spacing w:after="120" w:line="260" w:lineRule="atLeast"/>
        <w:ind w:left="0"/>
        <w:rPr>
          <w:szCs w:val="22"/>
        </w:rPr>
      </w:pPr>
      <w:r>
        <w:rPr>
          <w:szCs w:val="22"/>
        </w:rPr>
        <w:t xml:space="preserve">The </w:t>
      </w:r>
      <w:r w:rsidR="00A56EC7">
        <w:rPr>
          <w:szCs w:val="22"/>
        </w:rPr>
        <w:t xml:space="preserve">operating result of the Organization for 2012 </w:t>
      </w:r>
      <w:r w:rsidR="00995A52">
        <w:rPr>
          <w:szCs w:val="22"/>
        </w:rPr>
        <w:t xml:space="preserve">on an IPSAS basis </w:t>
      </w:r>
      <w:r w:rsidR="00A56EC7">
        <w:rPr>
          <w:szCs w:val="22"/>
        </w:rPr>
        <w:t xml:space="preserve">was 25.6 million Swiss francs.  The </w:t>
      </w:r>
      <w:r w:rsidR="004D4945">
        <w:rPr>
          <w:szCs w:val="22"/>
        </w:rPr>
        <w:t xml:space="preserve">overall </w:t>
      </w:r>
      <w:r>
        <w:rPr>
          <w:szCs w:val="22"/>
        </w:rPr>
        <w:t xml:space="preserve">result </w:t>
      </w:r>
      <w:r w:rsidR="004D4945">
        <w:rPr>
          <w:szCs w:val="22"/>
        </w:rPr>
        <w:t>in 2012</w:t>
      </w:r>
      <w:r w:rsidR="00A56EC7">
        <w:rPr>
          <w:szCs w:val="22"/>
        </w:rPr>
        <w:t>, taking into account the Reserve expenditure and its corresponding IPSAS adjustments,</w:t>
      </w:r>
      <w:r w:rsidR="004D4945">
        <w:rPr>
          <w:szCs w:val="22"/>
        </w:rPr>
        <w:t xml:space="preserve"> </w:t>
      </w:r>
      <w:r>
        <w:rPr>
          <w:szCs w:val="22"/>
        </w:rPr>
        <w:t xml:space="preserve">was a surplus of </w:t>
      </w:r>
      <w:r w:rsidR="004D4945">
        <w:rPr>
          <w:szCs w:val="22"/>
        </w:rPr>
        <w:t>15.7</w:t>
      </w:r>
      <w:r>
        <w:rPr>
          <w:szCs w:val="22"/>
        </w:rPr>
        <w:t xml:space="preserve"> million Swiss francs.  </w:t>
      </w:r>
      <w:r w:rsidRPr="00F56F29">
        <w:rPr>
          <w:szCs w:val="22"/>
        </w:rPr>
        <w:t xml:space="preserve">Reserve expenditures totaled </w:t>
      </w:r>
      <w:r w:rsidR="00A56EC7">
        <w:rPr>
          <w:szCs w:val="22"/>
        </w:rPr>
        <w:t>14.8</w:t>
      </w:r>
      <w:r w:rsidRPr="00F56F29">
        <w:rPr>
          <w:szCs w:val="22"/>
        </w:rPr>
        <w:t xml:space="preserve"> million Swiss francs </w:t>
      </w:r>
      <w:r w:rsidR="00D357BB">
        <w:rPr>
          <w:szCs w:val="22"/>
        </w:rPr>
        <w:t xml:space="preserve">on a budgetary basis (9.9 million Swiss francs after IPSAS adjustments) </w:t>
      </w:r>
      <w:r w:rsidR="00A56EC7">
        <w:rPr>
          <w:szCs w:val="22"/>
        </w:rPr>
        <w:t>for projects</w:t>
      </w:r>
      <w:r w:rsidRPr="00F56F29">
        <w:rPr>
          <w:szCs w:val="22"/>
        </w:rPr>
        <w:t xml:space="preserve"> approved by Member States.  </w:t>
      </w:r>
    </w:p>
    <w:p w:rsidR="008133FF" w:rsidRPr="00F42AA2" w:rsidRDefault="008133FF" w:rsidP="00D1680C">
      <w:pPr>
        <w:numPr>
          <w:ilvl w:val="0"/>
          <w:numId w:val="7"/>
        </w:numPr>
        <w:tabs>
          <w:tab w:val="clear" w:pos="709"/>
        </w:tabs>
        <w:spacing w:after="120" w:line="260" w:lineRule="atLeast"/>
        <w:ind w:left="0"/>
        <w:rPr>
          <w:szCs w:val="22"/>
        </w:rPr>
      </w:pPr>
      <w:r w:rsidRPr="00F42AA2">
        <w:rPr>
          <w:szCs w:val="22"/>
        </w:rPr>
        <w:t xml:space="preserve">As a result, the RWCF of WIPO as of the end of </w:t>
      </w:r>
      <w:r w:rsidR="00A56EC7" w:rsidRPr="00F42AA2">
        <w:rPr>
          <w:szCs w:val="22"/>
        </w:rPr>
        <w:t>2012</w:t>
      </w:r>
      <w:r w:rsidRPr="00F42AA2">
        <w:rPr>
          <w:szCs w:val="22"/>
        </w:rPr>
        <w:t xml:space="preserve"> totaled 1</w:t>
      </w:r>
      <w:r w:rsidR="00A56EC7" w:rsidRPr="00F42AA2">
        <w:rPr>
          <w:szCs w:val="22"/>
        </w:rPr>
        <w:t>78.2</w:t>
      </w:r>
      <w:r w:rsidRPr="00F42AA2">
        <w:rPr>
          <w:szCs w:val="22"/>
        </w:rPr>
        <w:t xml:space="preserve"> million Swiss francs, </w:t>
      </w:r>
      <w:r w:rsidR="004A0324" w:rsidRPr="00F42AA2">
        <w:rPr>
          <w:szCs w:val="22"/>
        </w:rPr>
        <w:t>compared to the opening RWCF balance of 162.5 million Swiss francs</w:t>
      </w:r>
      <w:r w:rsidRPr="00F42AA2">
        <w:rPr>
          <w:szCs w:val="22"/>
        </w:rPr>
        <w:t xml:space="preserve">.  Table 2 below provides an overview of IPSAS adjustments </w:t>
      </w:r>
      <w:r w:rsidR="005F4250" w:rsidRPr="00F42AA2">
        <w:rPr>
          <w:szCs w:val="22"/>
        </w:rPr>
        <w:t xml:space="preserve">for 2012 in comparison with similar adjustments in the </w:t>
      </w:r>
      <w:r w:rsidR="00EA23CD" w:rsidRPr="00F42AA2">
        <w:rPr>
          <w:szCs w:val="22"/>
        </w:rPr>
        <w:t>previous</w:t>
      </w:r>
      <w:r w:rsidR="005F4250" w:rsidRPr="00F42AA2">
        <w:rPr>
          <w:szCs w:val="22"/>
        </w:rPr>
        <w:t xml:space="preserve"> two years</w:t>
      </w:r>
      <w:r w:rsidRPr="00F42AA2">
        <w:rPr>
          <w:szCs w:val="22"/>
        </w:rPr>
        <w:t>.</w:t>
      </w:r>
    </w:p>
    <w:p w:rsidR="008133FF" w:rsidRDefault="003A1A59" w:rsidP="00995A52">
      <w:pPr>
        <w:keepNext/>
        <w:keepLines/>
        <w:jc w:val="center"/>
        <w:rPr>
          <w:noProof/>
          <w:lang w:eastAsia="en-US"/>
        </w:rPr>
      </w:pPr>
      <w:r w:rsidRPr="003A1A59">
        <w:rPr>
          <w:noProof/>
          <w:lang w:eastAsia="en-US"/>
        </w:rPr>
        <w:t>Table 2.</w:t>
      </w:r>
      <w:r w:rsidR="00EC0FA1">
        <w:rPr>
          <w:noProof/>
          <w:lang w:eastAsia="en-US"/>
        </w:rPr>
        <w:t xml:space="preserve"> </w:t>
      </w:r>
      <w:r w:rsidRPr="003A1A59">
        <w:rPr>
          <w:noProof/>
          <w:lang w:eastAsia="en-US"/>
        </w:rPr>
        <w:t xml:space="preserve"> Summary of IPSAS Adjustments</w:t>
      </w:r>
    </w:p>
    <w:p w:rsidR="003A1A59" w:rsidRDefault="003A1A59" w:rsidP="00995A52">
      <w:pPr>
        <w:keepNext/>
        <w:keepLines/>
        <w:jc w:val="center"/>
        <w:rPr>
          <w:i/>
          <w:noProof/>
          <w:sz w:val="20"/>
          <w:lang w:eastAsia="en-US"/>
        </w:rPr>
      </w:pPr>
      <w:r w:rsidRPr="00995A52">
        <w:rPr>
          <w:i/>
          <w:noProof/>
          <w:sz w:val="20"/>
          <w:lang w:eastAsia="en-US"/>
        </w:rPr>
        <w:t>(in millions of Swiss francs)</w:t>
      </w:r>
    </w:p>
    <w:p w:rsidR="00995A52" w:rsidRPr="00995A52" w:rsidRDefault="00995A52" w:rsidP="00995A52">
      <w:pPr>
        <w:keepNext/>
        <w:keepLines/>
        <w:jc w:val="center"/>
        <w:rPr>
          <w:i/>
          <w:noProof/>
          <w:sz w:val="20"/>
          <w:lang w:eastAsia="en-US"/>
        </w:rPr>
      </w:pPr>
    </w:p>
    <w:p w:rsidR="008133FF" w:rsidRPr="00CD469A" w:rsidRDefault="005B0AF5" w:rsidP="008133FF">
      <w:pPr>
        <w:spacing w:after="220"/>
        <w:jc w:val="center"/>
        <w:rPr>
          <w:szCs w:val="22"/>
        </w:rPr>
      </w:pPr>
      <w:r w:rsidRPr="005B0AF5">
        <w:rPr>
          <w:noProof/>
          <w:lang w:eastAsia="en-US"/>
        </w:rPr>
        <w:drawing>
          <wp:inline distT="0" distB="0" distL="0" distR="0">
            <wp:extent cx="4114800" cy="281859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818594"/>
                    </a:xfrm>
                    <a:prstGeom prst="rect">
                      <a:avLst/>
                    </a:prstGeom>
                    <a:noFill/>
                    <a:ln>
                      <a:noFill/>
                    </a:ln>
                  </pic:spPr>
                </pic:pic>
              </a:graphicData>
            </a:graphic>
          </wp:inline>
        </w:drawing>
      </w:r>
    </w:p>
    <w:p w:rsidR="00995A52" w:rsidRDefault="00995A52" w:rsidP="00995A52">
      <w:pPr>
        <w:spacing w:after="220"/>
        <w:rPr>
          <w:b/>
          <w:iCs/>
          <w:szCs w:val="22"/>
        </w:rPr>
      </w:pPr>
    </w:p>
    <w:p w:rsidR="008133FF" w:rsidRPr="00F56F29" w:rsidRDefault="0062562C" w:rsidP="00995A52">
      <w:pPr>
        <w:spacing w:after="220"/>
        <w:rPr>
          <w:b/>
          <w:iCs/>
          <w:szCs w:val="22"/>
        </w:rPr>
      </w:pPr>
      <w:r>
        <w:rPr>
          <w:b/>
          <w:iCs/>
          <w:szCs w:val="22"/>
        </w:rPr>
        <w:t>RESERVE FUNDED PROJECTS</w:t>
      </w:r>
    </w:p>
    <w:p w:rsidR="008133FF" w:rsidRDefault="001C1D42" w:rsidP="00D1680C">
      <w:pPr>
        <w:numPr>
          <w:ilvl w:val="0"/>
          <w:numId w:val="7"/>
        </w:numPr>
        <w:tabs>
          <w:tab w:val="clear" w:pos="709"/>
        </w:tabs>
        <w:spacing w:after="120" w:line="260" w:lineRule="atLeast"/>
        <w:ind w:left="0"/>
        <w:rPr>
          <w:szCs w:val="22"/>
        </w:rPr>
      </w:pPr>
      <w:r>
        <w:rPr>
          <w:szCs w:val="22"/>
        </w:rPr>
        <w:t xml:space="preserve">Table 3 below provides an overview of </w:t>
      </w:r>
      <w:r w:rsidR="00F42AA2">
        <w:rPr>
          <w:szCs w:val="22"/>
        </w:rPr>
        <w:t xml:space="preserve">expenditure on </w:t>
      </w:r>
      <w:r>
        <w:rPr>
          <w:szCs w:val="22"/>
        </w:rPr>
        <w:t xml:space="preserve">major projects which are either underway or have been proposed for approval by the Member States.  </w:t>
      </w:r>
    </w:p>
    <w:p w:rsidR="008133FF" w:rsidRDefault="0015633B" w:rsidP="008133FF">
      <w:pPr>
        <w:keepNext/>
        <w:spacing w:line="260" w:lineRule="atLeast"/>
        <w:jc w:val="center"/>
        <w:rPr>
          <w:szCs w:val="22"/>
        </w:rPr>
      </w:pPr>
      <w:proofErr w:type="gramStart"/>
      <w:r w:rsidRPr="0015633B">
        <w:rPr>
          <w:szCs w:val="22"/>
        </w:rPr>
        <w:t>Table 3.</w:t>
      </w:r>
      <w:proofErr w:type="gramEnd"/>
      <w:r w:rsidRPr="0015633B">
        <w:rPr>
          <w:szCs w:val="22"/>
        </w:rPr>
        <w:t xml:space="preserve"> </w:t>
      </w:r>
      <w:r w:rsidR="00EC0FA1">
        <w:rPr>
          <w:szCs w:val="22"/>
        </w:rPr>
        <w:t xml:space="preserve"> </w:t>
      </w:r>
      <w:r w:rsidRPr="0015633B">
        <w:rPr>
          <w:szCs w:val="22"/>
        </w:rPr>
        <w:t>Overview of Major Projects</w:t>
      </w:r>
    </w:p>
    <w:p w:rsidR="0015633B" w:rsidRPr="00F42AA2" w:rsidRDefault="0015633B" w:rsidP="008133FF">
      <w:pPr>
        <w:keepNext/>
        <w:spacing w:line="260" w:lineRule="atLeast"/>
        <w:jc w:val="center"/>
        <w:rPr>
          <w:i/>
          <w:sz w:val="20"/>
        </w:rPr>
      </w:pPr>
      <w:r w:rsidRPr="00F42AA2">
        <w:rPr>
          <w:i/>
          <w:sz w:val="20"/>
        </w:rPr>
        <w:t>(in thousands of Swiss francs)</w:t>
      </w:r>
    </w:p>
    <w:p w:rsidR="0015633B" w:rsidRPr="00E45953" w:rsidRDefault="0015633B" w:rsidP="008133FF">
      <w:pPr>
        <w:keepNext/>
        <w:spacing w:line="260" w:lineRule="atLeast"/>
        <w:jc w:val="center"/>
        <w:rPr>
          <w:szCs w:val="22"/>
        </w:rPr>
      </w:pPr>
    </w:p>
    <w:p w:rsidR="008133FF" w:rsidRDefault="0074548E" w:rsidP="008133FF">
      <w:pPr>
        <w:keepNext/>
        <w:spacing w:after="240"/>
        <w:jc w:val="center"/>
        <w:rPr>
          <w:szCs w:val="22"/>
        </w:rPr>
      </w:pPr>
      <w:r w:rsidRPr="0074548E">
        <w:rPr>
          <w:noProof/>
          <w:lang w:eastAsia="en-US"/>
        </w:rPr>
        <w:drawing>
          <wp:inline distT="0" distB="0" distL="0" distR="0" wp14:anchorId="403617D7" wp14:editId="763D64C6">
            <wp:extent cx="5940425" cy="711099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7110991"/>
                    </a:xfrm>
                    <a:prstGeom prst="rect">
                      <a:avLst/>
                    </a:prstGeom>
                    <a:noFill/>
                    <a:ln>
                      <a:noFill/>
                    </a:ln>
                  </pic:spPr>
                </pic:pic>
              </a:graphicData>
            </a:graphic>
          </wp:inline>
        </w:drawing>
      </w:r>
    </w:p>
    <w:p w:rsidR="00D1680C" w:rsidRDefault="00D1680C">
      <w:pPr>
        <w:rPr>
          <w:szCs w:val="22"/>
        </w:rPr>
      </w:pPr>
      <w:r>
        <w:rPr>
          <w:szCs w:val="22"/>
        </w:rPr>
        <w:br w:type="page"/>
      </w:r>
    </w:p>
    <w:p w:rsidR="00B12E7B" w:rsidRDefault="00B12E7B">
      <w:pPr>
        <w:rPr>
          <w:szCs w:val="22"/>
        </w:rPr>
      </w:pPr>
    </w:p>
    <w:p w:rsidR="008133FF" w:rsidRPr="00375E30" w:rsidRDefault="008133FF" w:rsidP="00D1680C">
      <w:pPr>
        <w:keepNext/>
        <w:keepLines/>
        <w:spacing w:after="220"/>
        <w:rPr>
          <w:b/>
          <w:bCs/>
          <w:szCs w:val="22"/>
        </w:rPr>
      </w:pPr>
      <w:r>
        <w:rPr>
          <w:b/>
          <w:bCs/>
          <w:szCs w:val="22"/>
        </w:rPr>
        <w:t>RWCF BALANCES AFTER APPROPRIA</w:t>
      </w:r>
      <w:r w:rsidRPr="00375E30">
        <w:rPr>
          <w:b/>
          <w:bCs/>
          <w:szCs w:val="22"/>
        </w:rPr>
        <w:t>T</w:t>
      </w:r>
      <w:r>
        <w:rPr>
          <w:b/>
          <w:bCs/>
          <w:szCs w:val="22"/>
        </w:rPr>
        <w:t>I</w:t>
      </w:r>
      <w:r w:rsidRPr="00375E30">
        <w:rPr>
          <w:b/>
          <w:bCs/>
          <w:szCs w:val="22"/>
        </w:rPr>
        <w:t>ONS</w:t>
      </w:r>
    </w:p>
    <w:p w:rsidR="004315E9" w:rsidRPr="004315E9" w:rsidRDefault="008133FF" w:rsidP="00D1680C">
      <w:pPr>
        <w:keepNext/>
        <w:keepLines/>
        <w:numPr>
          <w:ilvl w:val="0"/>
          <w:numId w:val="7"/>
        </w:numPr>
        <w:tabs>
          <w:tab w:val="clear" w:pos="709"/>
        </w:tabs>
        <w:spacing w:after="120" w:line="260" w:lineRule="atLeast"/>
        <w:ind w:left="0"/>
      </w:pPr>
      <w:r w:rsidRPr="004315E9">
        <w:rPr>
          <w:szCs w:val="22"/>
        </w:rPr>
        <w:t xml:space="preserve">Table </w:t>
      </w:r>
      <w:r w:rsidR="004315E9" w:rsidRPr="004315E9">
        <w:rPr>
          <w:szCs w:val="22"/>
        </w:rPr>
        <w:t>4</w:t>
      </w:r>
      <w:r w:rsidRPr="004315E9">
        <w:rPr>
          <w:szCs w:val="22"/>
        </w:rPr>
        <w:t xml:space="preserve"> below provides an overview of RWCF balances by Union.  </w:t>
      </w:r>
      <w:r w:rsidR="004315E9">
        <w:rPr>
          <w:szCs w:val="22"/>
        </w:rPr>
        <w:t xml:space="preserve">Appropriations already approved but not yet spent amounted to 36.9 million Swiss francs at the end of 2012.  RWCF balance after such approved appropriations was 141.4 million Swiss francs.  This compares with the RWCF target level of 120.6 million Swiss francs 2012/13.  </w:t>
      </w:r>
      <w:r w:rsidR="00294E2E">
        <w:rPr>
          <w:szCs w:val="22"/>
        </w:rPr>
        <w:t xml:space="preserve">Taking into account the proposed new projects under the Capital Master Plan, the RWCF balance would continue to exceed the target level by 9.6 million Swiss francs. </w:t>
      </w:r>
    </w:p>
    <w:p w:rsidR="008133FF" w:rsidRDefault="008133FF" w:rsidP="008133FF">
      <w:pPr>
        <w:tabs>
          <w:tab w:val="num" w:pos="1100"/>
        </w:tabs>
        <w:ind w:left="550"/>
      </w:pPr>
    </w:p>
    <w:p w:rsidR="008133FF" w:rsidRDefault="008133FF" w:rsidP="008133FF">
      <w:pPr>
        <w:keepNext/>
        <w:keepLines/>
        <w:tabs>
          <w:tab w:val="num" w:pos="1100"/>
        </w:tabs>
        <w:ind w:left="550"/>
        <w:jc w:val="center"/>
        <w:rPr>
          <w:i/>
          <w:iCs/>
          <w:sz w:val="18"/>
          <w:szCs w:val="18"/>
        </w:rPr>
      </w:pPr>
      <w:r w:rsidRPr="00EC0FA1">
        <w:rPr>
          <w:bCs/>
          <w:szCs w:val="18"/>
        </w:rPr>
        <w:t xml:space="preserve">Table </w:t>
      </w:r>
      <w:r w:rsidR="0015633B" w:rsidRPr="00EC0FA1">
        <w:rPr>
          <w:bCs/>
          <w:szCs w:val="18"/>
        </w:rPr>
        <w:t>4</w:t>
      </w:r>
      <w:r w:rsidRPr="00EC0FA1">
        <w:rPr>
          <w:bCs/>
          <w:szCs w:val="18"/>
        </w:rPr>
        <w:t xml:space="preserve">:  Overview of RWCF by </w:t>
      </w:r>
      <w:proofErr w:type="gramStart"/>
      <w:r w:rsidRPr="00EC0FA1">
        <w:rPr>
          <w:bCs/>
          <w:szCs w:val="18"/>
        </w:rPr>
        <w:t>Union</w:t>
      </w:r>
      <w:proofErr w:type="gramEnd"/>
      <w:r w:rsidRPr="00E45953">
        <w:rPr>
          <w:sz w:val="18"/>
          <w:szCs w:val="18"/>
        </w:rPr>
        <w:br/>
      </w:r>
      <w:r w:rsidRPr="00E45953">
        <w:rPr>
          <w:i/>
          <w:iCs/>
          <w:sz w:val="18"/>
          <w:szCs w:val="18"/>
        </w:rPr>
        <w:t>(in thousands of Swiss francs)</w:t>
      </w:r>
    </w:p>
    <w:p w:rsidR="00EC0FA1" w:rsidRDefault="00EC0FA1" w:rsidP="008133FF">
      <w:pPr>
        <w:keepNext/>
        <w:keepLines/>
        <w:tabs>
          <w:tab w:val="num" w:pos="1100"/>
        </w:tabs>
        <w:ind w:left="550"/>
        <w:jc w:val="center"/>
        <w:rPr>
          <w:i/>
          <w:iCs/>
          <w:sz w:val="18"/>
          <w:szCs w:val="18"/>
        </w:rPr>
      </w:pPr>
    </w:p>
    <w:p w:rsidR="008133FF" w:rsidRPr="00E45953" w:rsidRDefault="0015633B" w:rsidP="00EC0FA1">
      <w:pPr>
        <w:keepNext/>
        <w:keepLines/>
        <w:spacing w:after="220"/>
        <w:ind w:left="-284"/>
        <w:jc w:val="center"/>
      </w:pPr>
      <w:r w:rsidRPr="0015633B">
        <w:rPr>
          <w:noProof/>
          <w:lang w:eastAsia="en-US"/>
        </w:rPr>
        <w:drawing>
          <wp:inline distT="0" distB="0" distL="0" distR="0" wp14:anchorId="477DEE33" wp14:editId="4527FABC">
            <wp:extent cx="6390836" cy="187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4884" cy="1877613"/>
                    </a:xfrm>
                    <a:prstGeom prst="rect">
                      <a:avLst/>
                    </a:prstGeom>
                    <a:noFill/>
                    <a:ln>
                      <a:noFill/>
                    </a:ln>
                  </pic:spPr>
                </pic:pic>
              </a:graphicData>
            </a:graphic>
          </wp:inline>
        </w:drawing>
      </w:r>
    </w:p>
    <w:p w:rsidR="00995A52" w:rsidRPr="00F56F29" w:rsidRDefault="00995A52" w:rsidP="00995A52">
      <w:pPr>
        <w:spacing w:after="120" w:line="260" w:lineRule="atLeast"/>
        <w:rPr>
          <w:szCs w:val="22"/>
        </w:rPr>
      </w:pPr>
    </w:p>
    <w:p w:rsidR="00995A52" w:rsidRPr="00070713" w:rsidRDefault="005F2F6E" w:rsidP="00995A52">
      <w:pPr>
        <w:pStyle w:val="DecisionInvitingPara"/>
        <w:spacing w:line="260" w:lineRule="atLeast"/>
        <w:ind w:left="5533"/>
        <w:rPr>
          <w:rFonts w:cs="Arial"/>
          <w:iCs/>
          <w:sz w:val="22"/>
          <w:szCs w:val="22"/>
        </w:rPr>
      </w:pPr>
      <w:r>
        <w:rPr>
          <w:rFonts w:cs="Arial"/>
          <w:sz w:val="22"/>
          <w:szCs w:val="22"/>
        </w:rPr>
        <w:t>8</w:t>
      </w:r>
      <w:r w:rsidR="00995A52">
        <w:rPr>
          <w:rFonts w:cs="Arial"/>
          <w:sz w:val="22"/>
          <w:szCs w:val="22"/>
        </w:rPr>
        <w:t>.</w:t>
      </w:r>
      <w:r w:rsidR="00995A52">
        <w:rPr>
          <w:rFonts w:cs="Arial"/>
          <w:sz w:val="22"/>
          <w:szCs w:val="22"/>
        </w:rPr>
        <w:tab/>
      </w:r>
      <w:r w:rsidR="00995A52" w:rsidRPr="00070713">
        <w:rPr>
          <w:rFonts w:cs="Arial"/>
          <w:sz w:val="22"/>
          <w:szCs w:val="22"/>
        </w:rPr>
        <w:t>The Program and Budget Committee is invited to recommend to the Assemblies of the Member States of WIPO to</w:t>
      </w:r>
      <w:r w:rsidR="00995A52">
        <w:rPr>
          <w:rFonts w:cs="Arial"/>
          <w:sz w:val="22"/>
          <w:szCs w:val="22"/>
        </w:rPr>
        <w:t xml:space="preserve"> </w:t>
      </w:r>
      <w:r w:rsidR="00995A52" w:rsidRPr="00070713">
        <w:rPr>
          <w:rFonts w:cs="Arial"/>
          <w:sz w:val="22"/>
          <w:szCs w:val="22"/>
        </w:rPr>
        <w:t xml:space="preserve">take note of the contents of the present </w:t>
      </w:r>
      <w:r w:rsidR="00995A52">
        <w:rPr>
          <w:rFonts w:cs="Arial"/>
          <w:sz w:val="22"/>
          <w:szCs w:val="22"/>
        </w:rPr>
        <w:t>document.</w:t>
      </w:r>
    </w:p>
    <w:p w:rsidR="008133FF" w:rsidRDefault="008133FF" w:rsidP="008133FF">
      <w:pPr>
        <w:pStyle w:val="Endofdocument"/>
        <w:spacing w:after="0" w:line="240" w:lineRule="auto"/>
        <w:rPr>
          <w:rFonts w:cs="Arial"/>
          <w:sz w:val="22"/>
          <w:szCs w:val="22"/>
        </w:rPr>
      </w:pPr>
    </w:p>
    <w:p w:rsidR="00995A52" w:rsidRPr="00F56F29" w:rsidRDefault="00995A52" w:rsidP="008133FF">
      <w:pPr>
        <w:pStyle w:val="Endofdocument"/>
        <w:spacing w:after="0" w:line="240" w:lineRule="auto"/>
        <w:rPr>
          <w:rFonts w:cs="Arial"/>
          <w:sz w:val="22"/>
          <w:szCs w:val="22"/>
        </w:rPr>
      </w:pPr>
    </w:p>
    <w:p w:rsidR="008133FF" w:rsidRPr="002E09CF" w:rsidRDefault="008133FF" w:rsidP="008133FF">
      <w:pPr>
        <w:pStyle w:val="Endofdocument"/>
        <w:spacing w:after="220" w:line="240" w:lineRule="auto"/>
        <w:rPr>
          <w:sz w:val="22"/>
          <w:szCs w:val="22"/>
        </w:rPr>
      </w:pPr>
      <w:r w:rsidRPr="002E09CF">
        <w:rPr>
          <w:sz w:val="22"/>
          <w:szCs w:val="22"/>
        </w:rPr>
        <w:t>[End of document]</w:t>
      </w:r>
    </w:p>
    <w:p w:rsidR="008133FF" w:rsidRDefault="008133FF" w:rsidP="008133FF"/>
    <w:p w:rsidR="008133FF" w:rsidRDefault="008133FF" w:rsidP="008133FF">
      <w:pPr>
        <w:pStyle w:val="ONUME"/>
        <w:numPr>
          <w:ilvl w:val="0"/>
          <w:numId w:val="0"/>
        </w:numPr>
      </w:pPr>
    </w:p>
    <w:p w:rsidR="002928D3" w:rsidRDefault="002928D3"/>
    <w:sectPr w:rsidR="002928D3" w:rsidSect="008133FF">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7B" w:rsidRDefault="00CB2D7B">
      <w:r>
        <w:separator/>
      </w:r>
    </w:p>
  </w:endnote>
  <w:endnote w:type="continuationSeparator" w:id="0">
    <w:p w:rsidR="00CB2D7B" w:rsidRDefault="00CB2D7B" w:rsidP="003B38C1">
      <w:r>
        <w:separator/>
      </w:r>
    </w:p>
    <w:p w:rsidR="00CB2D7B" w:rsidRPr="003B38C1" w:rsidRDefault="00CB2D7B" w:rsidP="003B38C1">
      <w:pPr>
        <w:spacing w:after="60"/>
        <w:rPr>
          <w:sz w:val="17"/>
        </w:rPr>
      </w:pPr>
      <w:r>
        <w:rPr>
          <w:sz w:val="17"/>
        </w:rPr>
        <w:t>[Endnote continued from previous page]</w:t>
      </w:r>
    </w:p>
  </w:endnote>
  <w:endnote w:type="continuationNotice" w:id="1">
    <w:p w:rsidR="00CB2D7B" w:rsidRPr="003B38C1" w:rsidRDefault="00CB2D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7B" w:rsidRDefault="00CB2D7B">
      <w:r>
        <w:separator/>
      </w:r>
    </w:p>
  </w:footnote>
  <w:footnote w:type="continuationSeparator" w:id="0">
    <w:p w:rsidR="00CB2D7B" w:rsidRDefault="00CB2D7B" w:rsidP="008B60B2">
      <w:r>
        <w:separator/>
      </w:r>
    </w:p>
    <w:p w:rsidR="00CB2D7B" w:rsidRPr="00ED77FB" w:rsidRDefault="00CB2D7B" w:rsidP="008B60B2">
      <w:pPr>
        <w:spacing w:after="60"/>
        <w:rPr>
          <w:sz w:val="17"/>
          <w:szCs w:val="17"/>
        </w:rPr>
      </w:pPr>
      <w:r w:rsidRPr="00ED77FB">
        <w:rPr>
          <w:sz w:val="17"/>
          <w:szCs w:val="17"/>
        </w:rPr>
        <w:t>[Footnote continued from previous page]</w:t>
      </w:r>
    </w:p>
  </w:footnote>
  <w:footnote w:type="continuationNotice" w:id="1">
    <w:p w:rsidR="00CB2D7B" w:rsidRPr="00ED77FB" w:rsidRDefault="00CB2D7B" w:rsidP="008B60B2">
      <w:pPr>
        <w:spacing w:before="60"/>
        <w:jc w:val="right"/>
        <w:rPr>
          <w:sz w:val="17"/>
          <w:szCs w:val="17"/>
        </w:rPr>
      </w:pPr>
      <w:r w:rsidRPr="00ED77FB">
        <w:rPr>
          <w:sz w:val="17"/>
          <w:szCs w:val="17"/>
        </w:rPr>
        <w:t>[Footnote continued on next page]</w:t>
      </w:r>
    </w:p>
  </w:footnote>
  <w:footnote w:id="2">
    <w:p w:rsidR="00CB2D7B" w:rsidRPr="000C5693" w:rsidRDefault="00CB2D7B">
      <w:pPr>
        <w:pStyle w:val="FootnoteText"/>
      </w:pPr>
      <w:r>
        <w:rPr>
          <w:rStyle w:val="FootnoteReference"/>
        </w:rPr>
        <w:footnoteRef/>
      </w:r>
      <w:r>
        <w:t xml:space="preserve"> </w:t>
      </w:r>
      <w:r w:rsidR="00CA4FD5">
        <w:t xml:space="preserve"> </w:t>
      </w:r>
      <w:r>
        <w:rPr>
          <w:lang w:val="en-GB"/>
        </w:rPr>
        <w:t>Please refer to WO/PBC/21/18 Capital Master Plan</w:t>
      </w:r>
    </w:p>
  </w:footnote>
  <w:footnote w:id="3">
    <w:p w:rsidR="00CB2D7B" w:rsidRPr="000C5693" w:rsidRDefault="00CB2D7B">
      <w:pPr>
        <w:pStyle w:val="FootnoteText"/>
        <w:rPr>
          <w:lang w:val="en-GB"/>
        </w:rPr>
      </w:pPr>
      <w:r>
        <w:rPr>
          <w:rStyle w:val="FootnoteReference"/>
        </w:rPr>
        <w:footnoteRef/>
      </w:r>
      <w:r>
        <w:t xml:space="preserve"> </w:t>
      </w:r>
      <w:r w:rsidR="00CA4FD5">
        <w:t xml:space="preserve"> </w:t>
      </w:r>
      <w:r>
        <w:t>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7B" w:rsidRDefault="00CB2D7B" w:rsidP="00477D6B">
    <w:pPr>
      <w:jc w:val="right"/>
    </w:pPr>
    <w:bookmarkStart w:id="6" w:name="Code2"/>
    <w:bookmarkEnd w:id="6"/>
    <w:r>
      <w:t>WO/PBC/21/7</w:t>
    </w:r>
  </w:p>
  <w:p w:rsidR="00CB2D7B" w:rsidRDefault="00CB2D7B" w:rsidP="00477D6B">
    <w:pPr>
      <w:jc w:val="right"/>
    </w:pPr>
    <w:r>
      <w:t xml:space="preserve">page </w:t>
    </w:r>
    <w:r>
      <w:fldChar w:fldCharType="begin"/>
    </w:r>
    <w:r>
      <w:instrText xml:space="preserve"> PAGE  \* MERGEFORMAT </w:instrText>
    </w:r>
    <w:r>
      <w:fldChar w:fldCharType="separate"/>
    </w:r>
    <w:r w:rsidR="007F1A5B">
      <w:rPr>
        <w:noProof/>
      </w:rPr>
      <w:t>2</w:t>
    </w:r>
    <w:r>
      <w:fldChar w:fldCharType="end"/>
    </w:r>
  </w:p>
  <w:p w:rsidR="00CB2D7B" w:rsidRDefault="00CB2D7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0272E"/>
    <w:multiLevelType w:val="hybridMultilevel"/>
    <w:tmpl w:val="A1887FCC"/>
    <w:lvl w:ilvl="0" w:tplc="04090001">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tabs>
          <w:tab w:val="num" w:pos="1440"/>
        </w:tabs>
        <w:ind w:left="1440" w:hanging="360"/>
      </w:pPr>
      <w:rPr>
        <w:rFont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31209D4"/>
    <w:multiLevelType w:val="multilevel"/>
    <w:tmpl w:val="E162E68C"/>
    <w:lvl w:ilvl="0">
      <w:start w:val="1"/>
      <w:numFmt w:val="decimal"/>
      <w:lvlRestart w:val="0"/>
      <w:lvlText w:val="%1."/>
      <w:lvlJc w:val="left"/>
      <w:pPr>
        <w:tabs>
          <w:tab w:val="num" w:pos="567"/>
        </w:tabs>
        <w:ind w:left="0" w:firstLine="0"/>
      </w:pPr>
      <w:rPr>
        <w:rFonts w:hint="default"/>
        <w:b w:val="0"/>
        <w:i w:val="0"/>
        <w:color w:val="auto"/>
        <w:sz w:val="22"/>
        <w:szCs w:val="22"/>
      </w:rPr>
    </w:lvl>
    <w:lvl w:ilvl="1">
      <w:start w:val="1"/>
      <w:numFmt w:val="lowerLetter"/>
      <w:lvlText w:val="(%2)"/>
      <w:lvlJc w:val="left"/>
      <w:pPr>
        <w:tabs>
          <w:tab w:val="num" w:pos="1227"/>
        </w:tabs>
        <w:ind w:left="660" w:firstLine="0"/>
      </w:pPr>
      <w:rPr>
        <w:rFonts w:hint="default"/>
      </w:rPr>
    </w:lvl>
    <w:lvl w:ilvl="2">
      <w:start w:val="1"/>
      <w:numFmt w:val="lowerRoman"/>
      <w:lvlText w:val="(%3)"/>
      <w:lvlJc w:val="left"/>
      <w:pPr>
        <w:tabs>
          <w:tab w:val="num" w:pos="1701"/>
        </w:tabs>
        <w:ind w:left="1134" w:firstLine="0"/>
      </w:pPr>
      <w:rPr>
        <w:rFonts w:hint="default"/>
        <w:b w:val="0"/>
        <w:i w:val="0"/>
        <w:color w:val="auto"/>
        <w:sz w:val="20"/>
        <w:szCs w:val="20"/>
      </w:rPr>
    </w:lvl>
    <w:lvl w:ilvl="3">
      <w:start w:val="1"/>
      <w:numFmt w:val="bullet"/>
      <w:lvlText w:val=""/>
      <w:lvlJc w:val="left"/>
      <w:pPr>
        <w:tabs>
          <w:tab w:val="num" w:pos="2268"/>
        </w:tabs>
        <w:ind w:left="1701" w:firstLine="0"/>
      </w:pPr>
      <w:rPr>
        <w:rFonts w:hint="default"/>
        <w:b w:val="0"/>
        <w:i w:val="0"/>
        <w:color w:val="auto"/>
        <w:sz w:val="20"/>
        <w:szCs w:val="20"/>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8320D6B"/>
    <w:multiLevelType w:val="hybridMultilevel"/>
    <w:tmpl w:val="EF8EAE26"/>
    <w:lvl w:ilvl="0" w:tplc="FFFFFFFF">
      <w:start w:val="1"/>
      <w:numFmt w:val="lowerRoman"/>
      <w:lvlRestart w:val="0"/>
      <w:lvlText w:val="(%1)"/>
      <w:lvlJc w:val="left"/>
      <w:pPr>
        <w:tabs>
          <w:tab w:val="num" w:pos="709"/>
        </w:tabs>
        <w:ind w:left="709" w:hanging="567"/>
      </w:pPr>
      <w:rPr>
        <w:rFonts w:hint="default"/>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0D10B5"/>
    <w:multiLevelType w:val="hybridMultilevel"/>
    <w:tmpl w:val="B3287172"/>
    <w:lvl w:ilvl="0" w:tplc="FFFFFFFF">
      <w:start w:val="1"/>
      <w:numFmt w:val="decimal"/>
      <w:lvlText w:val="%1."/>
      <w:lvlJc w:val="left"/>
      <w:pPr>
        <w:tabs>
          <w:tab w:val="num" w:pos="709"/>
        </w:tabs>
        <w:ind w:left="142" w:firstLine="0"/>
      </w:pPr>
      <w:rPr>
        <w:rFonts w:ascii="Arial" w:hAnsi="Arial" w:hint="default"/>
        <w:b w:val="0"/>
        <w:i w:val="0"/>
        <w:iCs w:val="0"/>
        <w:color w:val="auto"/>
        <w:sz w:val="22"/>
        <w:szCs w:val="22"/>
      </w:rPr>
    </w:lvl>
    <w:lvl w:ilvl="1" w:tplc="FFFFFFFF">
      <w:start w:val="1"/>
      <w:numFmt w:val="lowerRoman"/>
      <w:lvlRestart w:val="0"/>
      <w:lvlText w:val="(%2)."/>
      <w:lvlJc w:val="left"/>
      <w:pPr>
        <w:tabs>
          <w:tab w:val="num" w:pos="1647"/>
        </w:tabs>
        <w:ind w:left="1647" w:hanging="567"/>
      </w:pPr>
      <w:rPr>
        <w:rFonts w:hint="default"/>
        <w:b w:val="0"/>
        <w:i w:val="0"/>
        <w:color w:val="auto"/>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5B3438"/>
    <w:multiLevelType w:val="hybridMultilevel"/>
    <w:tmpl w:val="2D5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1104F"/>
    <w:multiLevelType w:val="hybridMultilevel"/>
    <w:tmpl w:val="BFB8718A"/>
    <w:lvl w:ilvl="0" w:tplc="04090001">
      <w:start w:val="1"/>
      <w:numFmt w:val="bullet"/>
      <w:lvlText w:val=""/>
      <w:lvlJc w:val="left"/>
      <w:pPr>
        <w:tabs>
          <w:tab w:val="num" w:pos="720"/>
        </w:tabs>
        <w:ind w:left="720" w:hanging="360"/>
      </w:pPr>
      <w:rPr>
        <w:rFonts w:ascii="Symbol" w:hAnsi="Symbol" w:hint="default"/>
        <w:sz w:val="22"/>
      </w:rPr>
    </w:lvl>
    <w:lvl w:ilvl="1" w:tplc="0409000F">
      <w:start w:val="1"/>
      <w:numFmt w:val="decimal"/>
      <w:lvlText w:val="%2."/>
      <w:lvlJc w:val="left"/>
      <w:pPr>
        <w:tabs>
          <w:tab w:val="num" w:pos="1440"/>
        </w:tabs>
        <w:ind w:left="1440" w:hanging="360"/>
      </w:pPr>
      <w:rPr>
        <w:rFonts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8"/>
  </w:num>
  <w:num w:numId="8">
    <w:abstractNumId w:val="6"/>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FF"/>
    <w:rsid w:val="00043CAA"/>
    <w:rsid w:val="00075432"/>
    <w:rsid w:val="000968ED"/>
    <w:rsid w:val="000C5693"/>
    <w:rsid w:val="000F5E56"/>
    <w:rsid w:val="001362EE"/>
    <w:rsid w:val="0015633B"/>
    <w:rsid w:val="001832A6"/>
    <w:rsid w:val="0018512E"/>
    <w:rsid w:val="0019421E"/>
    <w:rsid w:val="001C1D42"/>
    <w:rsid w:val="001E5BBC"/>
    <w:rsid w:val="00232DDE"/>
    <w:rsid w:val="002634C4"/>
    <w:rsid w:val="002928D3"/>
    <w:rsid w:val="00294E2E"/>
    <w:rsid w:val="002F1FE6"/>
    <w:rsid w:val="002F4E68"/>
    <w:rsid w:val="00312F7F"/>
    <w:rsid w:val="00361450"/>
    <w:rsid w:val="003673CF"/>
    <w:rsid w:val="003845C1"/>
    <w:rsid w:val="0038759B"/>
    <w:rsid w:val="003A1A59"/>
    <w:rsid w:val="003A1C74"/>
    <w:rsid w:val="003A6F89"/>
    <w:rsid w:val="003B38C1"/>
    <w:rsid w:val="003F26CD"/>
    <w:rsid w:val="00423E3E"/>
    <w:rsid w:val="00427AF4"/>
    <w:rsid w:val="004315E9"/>
    <w:rsid w:val="004647DA"/>
    <w:rsid w:val="00473B1D"/>
    <w:rsid w:val="00474062"/>
    <w:rsid w:val="00477D6B"/>
    <w:rsid w:val="004A0324"/>
    <w:rsid w:val="004C33E2"/>
    <w:rsid w:val="004D4945"/>
    <w:rsid w:val="004E5188"/>
    <w:rsid w:val="005019FF"/>
    <w:rsid w:val="0053057A"/>
    <w:rsid w:val="0053168E"/>
    <w:rsid w:val="00560A29"/>
    <w:rsid w:val="005B0AF5"/>
    <w:rsid w:val="005C6649"/>
    <w:rsid w:val="005F2F6E"/>
    <w:rsid w:val="005F4250"/>
    <w:rsid w:val="00605430"/>
    <w:rsid w:val="00605827"/>
    <w:rsid w:val="0062562C"/>
    <w:rsid w:val="00646050"/>
    <w:rsid w:val="006713CA"/>
    <w:rsid w:val="00675810"/>
    <w:rsid w:val="00676C5C"/>
    <w:rsid w:val="007210DF"/>
    <w:rsid w:val="0074548E"/>
    <w:rsid w:val="00757DF5"/>
    <w:rsid w:val="007D1613"/>
    <w:rsid w:val="007F1A5B"/>
    <w:rsid w:val="008133FF"/>
    <w:rsid w:val="00876A29"/>
    <w:rsid w:val="008A138C"/>
    <w:rsid w:val="008B2CC1"/>
    <w:rsid w:val="008B60B2"/>
    <w:rsid w:val="008E538F"/>
    <w:rsid w:val="0090731E"/>
    <w:rsid w:val="00916EE2"/>
    <w:rsid w:val="00966A22"/>
    <w:rsid w:val="0096722F"/>
    <w:rsid w:val="00980843"/>
    <w:rsid w:val="00995A52"/>
    <w:rsid w:val="009A628D"/>
    <w:rsid w:val="009E2791"/>
    <w:rsid w:val="009E3F6F"/>
    <w:rsid w:val="009F499F"/>
    <w:rsid w:val="00A42DAF"/>
    <w:rsid w:val="00A45BD8"/>
    <w:rsid w:val="00A50F60"/>
    <w:rsid w:val="00A56EC7"/>
    <w:rsid w:val="00A869B7"/>
    <w:rsid w:val="00AC205C"/>
    <w:rsid w:val="00AF0A6B"/>
    <w:rsid w:val="00B01DBB"/>
    <w:rsid w:val="00B05A69"/>
    <w:rsid w:val="00B12E7B"/>
    <w:rsid w:val="00B60FDA"/>
    <w:rsid w:val="00B80A73"/>
    <w:rsid w:val="00B9734B"/>
    <w:rsid w:val="00BB0669"/>
    <w:rsid w:val="00BC5D60"/>
    <w:rsid w:val="00C11BFE"/>
    <w:rsid w:val="00C17531"/>
    <w:rsid w:val="00C23DC9"/>
    <w:rsid w:val="00CA4FD5"/>
    <w:rsid w:val="00CB2D7B"/>
    <w:rsid w:val="00CB5AC9"/>
    <w:rsid w:val="00CC3704"/>
    <w:rsid w:val="00D1680C"/>
    <w:rsid w:val="00D357BB"/>
    <w:rsid w:val="00D45252"/>
    <w:rsid w:val="00D71B4D"/>
    <w:rsid w:val="00D90F33"/>
    <w:rsid w:val="00D93D55"/>
    <w:rsid w:val="00DB1F46"/>
    <w:rsid w:val="00E10920"/>
    <w:rsid w:val="00E335FE"/>
    <w:rsid w:val="00E37924"/>
    <w:rsid w:val="00EA23CD"/>
    <w:rsid w:val="00EC0FA1"/>
    <w:rsid w:val="00EC4E49"/>
    <w:rsid w:val="00ED77FB"/>
    <w:rsid w:val="00EE45FA"/>
    <w:rsid w:val="00EF2F5E"/>
    <w:rsid w:val="00F42AA2"/>
    <w:rsid w:val="00F4461B"/>
    <w:rsid w:val="00F66152"/>
    <w:rsid w:val="00FC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8133FF"/>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8133FF"/>
    <w:pPr>
      <w:spacing w:after="120" w:line="260" w:lineRule="exact"/>
      <w:ind w:left="5534"/>
    </w:pPr>
    <w:rPr>
      <w:rFonts w:eastAsia="Times New Roman" w:cs="Times New Roman"/>
      <w:i/>
      <w:sz w:val="20"/>
      <w:lang w:eastAsia="en-US"/>
    </w:rPr>
  </w:style>
  <w:style w:type="character" w:customStyle="1" w:styleId="FootnoteTextChar">
    <w:name w:val="Footnote Text Char"/>
    <w:basedOn w:val="DefaultParagraphFont"/>
    <w:link w:val="FootnoteText"/>
    <w:semiHidden/>
    <w:locked/>
    <w:rsid w:val="008133FF"/>
    <w:rPr>
      <w:rFonts w:ascii="Arial" w:eastAsia="SimSun" w:hAnsi="Arial" w:cs="Arial"/>
      <w:sz w:val="18"/>
      <w:lang w:eastAsia="zh-CN"/>
    </w:rPr>
  </w:style>
  <w:style w:type="character" w:customStyle="1" w:styleId="DecisionInvitingParaChar">
    <w:name w:val="Decision Inviting Para. Char"/>
    <w:basedOn w:val="DefaultParagraphFont"/>
    <w:link w:val="DecisionInvitingPara"/>
    <w:locked/>
    <w:rsid w:val="008133FF"/>
    <w:rPr>
      <w:rFonts w:ascii="Arial" w:hAnsi="Arial"/>
      <w:i/>
    </w:rPr>
  </w:style>
  <w:style w:type="paragraph" w:customStyle="1" w:styleId="Endofdocument">
    <w:name w:val="End of document"/>
    <w:basedOn w:val="Normal"/>
    <w:rsid w:val="008133FF"/>
    <w:pPr>
      <w:spacing w:after="120" w:line="260" w:lineRule="exact"/>
      <w:ind w:left="5534"/>
    </w:pPr>
    <w:rPr>
      <w:rFonts w:eastAsia="Times New Roman" w:cs="Times New Roman"/>
      <w:sz w:val="20"/>
      <w:lang w:eastAsia="en-US"/>
    </w:rPr>
  </w:style>
  <w:style w:type="paragraph" w:styleId="BalloonText">
    <w:name w:val="Balloon Text"/>
    <w:basedOn w:val="Normal"/>
    <w:link w:val="BalloonTextChar"/>
    <w:rsid w:val="00B60FDA"/>
    <w:rPr>
      <w:rFonts w:ascii="Tahoma" w:hAnsi="Tahoma" w:cs="Tahoma"/>
      <w:sz w:val="16"/>
      <w:szCs w:val="16"/>
    </w:rPr>
  </w:style>
  <w:style w:type="character" w:customStyle="1" w:styleId="BalloonTextChar">
    <w:name w:val="Balloon Text Char"/>
    <w:basedOn w:val="DefaultParagraphFont"/>
    <w:link w:val="BalloonText"/>
    <w:rsid w:val="00B60FDA"/>
    <w:rPr>
      <w:rFonts w:ascii="Tahoma" w:eastAsia="SimSun" w:hAnsi="Tahoma" w:cs="Tahoma"/>
      <w:sz w:val="16"/>
      <w:szCs w:val="16"/>
      <w:lang w:eastAsia="zh-CN"/>
    </w:rPr>
  </w:style>
  <w:style w:type="paragraph" w:styleId="ListParagraph">
    <w:name w:val="List Paragraph"/>
    <w:basedOn w:val="Normal"/>
    <w:uiPriority w:val="34"/>
    <w:qFormat/>
    <w:rsid w:val="00995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basedOn w:val="DefaultParagraphFont"/>
    <w:rsid w:val="008133FF"/>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8133FF"/>
    <w:pPr>
      <w:spacing w:after="120" w:line="260" w:lineRule="exact"/>
      <w:ind w:left="5534"/>
    </w:pPr>
    <w:rPr>
      <w:rFonts w:eastAsia="Times New Roman" w:cs="Times New Roman"/>
      <w:i/>
      <w:sz w:val="20"/>
      <w:lang w:eastAsia="en-US"/>
    </w:rPr>
  </w:style>
  <w:style w:type="character" w:customStyle="1" w:styleId="FootnoteTextChar">
    <w:name w:val="Footnote Text Char"/>
    <w:basedOn w:val="DefaultParagraphFont"/>
    <w:link w:val="FootnoteText"/>
    <w:semiHidden/>
    <w:locked/>
    <w:rsid w:val="008133FF"/>
    <w:rPr>
      <w:rFonts w:ascii="Arial" w:eastAsia="SimSun" w:hAnsi="Arial" w:cs="Arial"/>
      <w:sz w:val="18"/>
      <w:lang w:eastAsia="zh-CN"/>
    </w:rPr>
  </w:style>
  <w:style w:type="character" w:customStyle="1" w:styleId="DecisionInvitingParaChar">
    <w:name w:val="Decision Inviting Para. Char"/>
    <w:basedOn w:val="DefaultParagraphFont"/>
    <w:link w:val="DecisionInvitingPara"/>
    <w:locked/>
    <w:rsid w:val="008133FF"/>
    <w:rPr>
      <w:rFonts w:ascii="Arial" w:hAnsi="Arial"/>
      <w:i/>
    </w:rPr>
  </w:style>
  <w:style w:type="paragraph" w:customStyle="1" w:styleId="Endofdocument">
    <w:name w:val="End of document"/>
    <w:basedOn w:val="Normal"/>
    <w:rsid w:val="008133FF"/>
    <w:pPr>
      <w:spacing w:after="120" w:line="260" w:lineRule="exact"/>
      <w:ind w:left="5534"/>
    </w:pPr>
    <w:rPr>
      <w:rFonts w:eastAsia="Times New Roman" w:cs="Times New Roman"/>
      <w:sz w:val="20"/>
      <w:lang w:eastAsia="en-US"/>
    </w:rPr>
  </w:style>
  <w:style w:type="paragraph" w:styleId="BalloonText">
    <w:name w:val="Balloon Text"/>
    <w:basedOn w:val="Normal"/>
    <w:link w:val="BalloonTextChar"/>
    <w:rsid w:val="00B60FDA"/>
    <w:rPr>
      <w:rFonts w:ascii="Tahoma" w:hAnsi="Tahoma" w:cs="Tahoma"/>
      <w:sz w:val="16"/>
      <w:szCs w:val="16"/>
    </w:rPr>
  </w:style>
  <w:style w:type="character" w:customStyle="1" w:styleId="BalloonTextChar">
    <w:name w:val="Balloon Text Char"/>
    <w:basedOn w:val="DefaultParagraphFont"/>
    <w:link w:val="BalloonText"/>
    <w:rsid w:val="00B60FDA"/>
    <w:rPr>
      <w:rFonts w:ascii="Tahoma" w:eastAsia="SimSun" w:hAnsi="Tahoma" w:cs="Tahoma"/>
      <w:sz w:val="16"/>
      <w:szCs w:val="16"/>
      <w:lang w:eastAsia="zh-CN"/>
    </w:rPr>
  </w:style>
  <w:style w:type="paragraph" w:styleId="ListParagraph">
    <w:name w:val="List Paragraph"/>
    <w:basedOn w:val="Normal"/>
    <w:uiPriority w:val="34"/>
    <w:qFormat/>
    <w:rsid w:val="00995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E64D-07B7-4E93-A784-760F5870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DOYON Geneviève</cp:lastModifiedBy>
  <cp:revision>3</cp:revision>
  <cp:lastPrinted>2013-07-31T14:45:00Z</cp:lastPrinted>
  <dcterms:created xsi:type="dcterms:W3CDTF">2013-08-05T13:05:00Z</dcterms:created>
  <dcterms:modified xsi:type="dcterms:W3CDTF">2013-08-05T13:05:00Z</dcterms:modified>
</cp:coreProperties>
</file>