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39.xml" ContentType="application/vnd.openxmlformats-officedocument.wordprocessingml.header+xml"/>
  <Override PartName="/word/footer9.xml" ContentType="application/vnd.openxmlformats-officedocument.wordprocessingml.footer+xml"/>
  <Override PartName="/word/header40.xml" ContentType="application/vnd.openxmlformats-officedocument.wordprocessingml.header+xml"/>
  <Override PartName="/word/footer10.xml" ContentType="application/vnd.openxmlformats-officedocument.wordprocessingml.footer+xml"/>
  <Override PartName="/word/header41.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42.xml" ContentType="application/vnd.openxmlformats-officedocument.wordprocessingml.header+xml"/>
  <Override PartName="/word/header43.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header44.xml" ContentType="application/vnd.openxmlformats-officedocument.wordprocessingml.header+xml"/>
  <Override PartName="/word/footer19.xml" ContentType="application/vnd.openxmlformats-officedocument.wordprocessingml.footer+xml"/>
  <Override PartName="/word/header45.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E504E5" w:rsidRPr="008B2CC1" w:rsidTr="00160C67">
        <w:tc>
          <w:tcPr>
            <w:tcW w:w="4513" w:type="dxa"/>
            <w:tcBorders>
              <w:bottom w:val="single" w:sz="4" w:space="0" w:color="auto"/>
            </w:tcBorders>
            <w:tcMar>
              <w:bottom w:w="170" w:type="dxa"/>
            </w:tcMar>
          </w:tcPr>
          <w:p w:rsidR="00E504E5" w:rsidRPr="00872D10" w:rsidRDefault="00E504E5" w:rsidP="004A4009">
            <w:pPr>
              <w:rPr>
                <w:color w:val="0070C0"/>
              </w:rPr>
            </w:pPr>
          </w:p>
        </w:tc>
        <w:tc>
          <w:tcPr>
            <w:tcW w:w="4337" w:type="dxa"/>
            <w:tcBorders>
              <w:bottom w:val="single" w:sz="4" w:space="0" w:color="auto"/>
            </w:tcBorders>
            <w:tcMar>
              <w:left w:w="0" w:type="dxa"/>
              <w:right w:w="0" w:type="dxa"/>
            </w:tcMar>
          </w:tcPr>
          <w:p w:rsidR="00E504E5" w:rsidRPr="008B2CC1" w:rsidRDefault="00C40A11" w:rsidP="004A4009">
            <w:r>
              <w:rPr>
                <w:noProof/>
                <w:lang w:val="en-US" w:eastAsia="en-US"/>
              </w:rPr>
              <w:drawing>
                <wp:inline distT="0" distB="0" distL="0" distR="0" wp14:anchorId="7013C9C2" wp14:editId="42300074">
                  <wp:extent cx="1856105" cy="1323975"/>
                  <wp:effectExtent l="0" t="0" r="0" b="9525"/>
                  <wp:docPr id="5" name="Picture 1" descr="Description: WI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WIPO-S"/>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610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E504E5" w:rsidRPr="008B2CC1" w:rsidRDefault="00E504E5" w:rsidP="004A4009">
            <w:pPr>
              <w:jc w:val="right"/>
            </w:pPr>
            <w:r>
              <w:rPr>
                <w:b/>
                <w:sz w:val="40"/>
                <w:szCs w:val="40"/>
              </w:rPr>
              <w:t>S</w:t>
            </w:r>
          </w:p>
        </w:tc>
      </w:tr>
      <w:tr w:rsidR="00160C67" w:rsidRPr="001832A6" w:rsidTr="00160C67">
        <w:trPr>
          <w:trHeight w:hRule="exact" w:val="340"/>
        </w:trPr>
        <w:tc>
          <w:tcPr>
            <w:tcW w:w="9356" w:type="dxa"/>
            <w:gridSpan w:val="3"/>
            <w:tcBorders>
              <w:top w:val="single" w:sz="4" w:space="0" w:color="auto"/>
            </w:tcBorders>
            <w:tcMar>
              <w:top w:w="170" w:type="dxa"/>
              <w:left w:w="0" w:type="dxa"/>
              <w:right w:w="0" w:type="dxa"/>
            </w:tcMar>
            <w:vAlign w:val="bottom"/>
          </w:tcPr>
          <w:p w:rsidR="00160C67" w:rsidRPr="0090731E" w:rsidRDefault="00160C67" w:rsidP="00160C67">
            <w:pPr>
              <w:jc w:val="right"/>
              <w:rPr>
                <w:rFonts w:ascii="Arial Black" w:hAnsi="Arial Black"/>
                <w:caps/>
                <w:sz w:val="15"/>
              </w:rPr>
            </w:pPr>
            <w:r>
              <w:rPr>
                <w:rFonts w:ascii="Arial Black" w:hAnsi="Arial Black"/>
                <w:caps/>
                <w:sz w:val="15"/>
              </w:rPr>
              <w:t>A/51/</w:t>
            </w:r>
            <w:bookmarkStart w:id="0" w:name="Code"/>
            <w:bookmarkEnd w:id="0"/>
            <w:r>
              <w:rPr>
                <w:rFonts w:ascii="Arial Black" w:hAnsi="Arial Black"/>
                <w:caps/>
                <w:sz w:val="15"/>
              </w:rPr>
              <w:t>7 REV.</w:t>
            </w:r>
          </w:p>
        </w:tc>
      </w:tr>
      <w:tr w:rsidR="00160C67" w:rsidRPr="001832A6" w:rsidTr="00160C67">
        <w:trPr>
          <w:trHeight w:hRule="exact" w:val="170"/>
        </w:trPr>
        <w:tc>
          <w:tcPr>
            <w:tcW w:w="9356" w:type="dxa"/>
            <w:gridSpan w:val="3"/>
            <w:noWrap/>
            <w:tcMar>
              <w:left w:w="0" w:type="dxa"/>
              <w:right w:w="0" w:type="dxa"/>
            </w:tcMar>
            <w:vAlign w:val="bottom"/>
          </w:tcPr>
          <w:p w:rsidR="00160C67" w:rsidRPr="0090731E" w:rsidRDefault="00160C67" w:rsidP="00160C67">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bookmarkStart w:id="1" w:name="Original"/>
            <w:bookmarkEnd w:id="1"/>
            <w:r>
              <w:rPr>
                <w:rFonts w:ascii="Arial Black" w:hAnsi="Arial Black"/>
                <w:caps/>
                <w:sz w:val="15"/>
              </w:rPr>
              <w:t>INGLÉS</w:t>
            </w:r>
          </w:p>
        </w:tc>
      </w:tr>
      <w:tr w:rsidR="00160C67" w:rsidRPr="001832A6" w:rsidTr="00160C67">
        <w:trPr>
          <w:trHeight w:hRule="exact" w:val="198"/>
        </w:trPr>
        <w:tc>
          <w:tcPr>
            <w:tcW w:w="9356" w:type="dxa"/>
            <w:gridSpan w:val="3"/>
            <w:tcMar>
              <w:left w:w="0" w:type="dxa"/>
              <w:right w:w="0" w:type="dxa"/>
            </w:tcMar>
            <w:vAlign w:val="bottom"/>
          </w:tcPr>
          <w:p w:rsidR="00160C67" w:rsidRPr="0090731E" w:rsidRDefault="00160C67" w:rsidP="00160C67">
            <w:pPr>
              <w:jc w:val="right"/>
              <w:rPr>
                <w:rFonts w:ascii="Arial Black" w:hAnsi="Arial Black"/>
                <w:caps/>
                <w:sz w:val="15"/>
              </w:rPr>
            </w:pPr>
            <w:r>
              <w:rPr>
                <w:rFonts w:ascii="Arial Black" w:hAnsi="Arial Black"/>
                <w:caps/>
                <w:sz w:val="15"/>
              </w:rPr>
              <w:t>fecha</w:t>
            </w:r>
            <w:r w:rsidRPr="0090731E">
              <w:rPr>
                <w:rFonts w:ascii="Arial Black" w:hAnsi="Arial Black"/>
                <w:caps/>
                <w:sz w:val="15"/>
              </w:rPr>
              <w:t>:</w:t>
            </w:r>
            <w:r>
              <w:rPr>
                <w:rFonts w:ascii="Arial Black" w:hAnsi="Arial Black"/>
                <w:caps/>
                <w:sz w:val="15"/>
              </w:rPr>
              <w:t xml:space="preserve"> </w:t>
            </w:r>
            <w:r w:rsidRPr="0090731E">
              <w:rPr>
                <w:rFonts w:ascii="Arial Black" w:hAnsi="Arial Black"/>
                <w:caps/>
                <w:sz w:val="15"/>
              </w:rPr>
              <w:t xml:space="preserve"> </w:t>
            </w:r>
            <w:bookmarkStart w:id="2" w:name="Date"/>
            <w:bookmarkEnd w:id="2"/>
            <w:r>
              <w:rPr>
                <w:rFonts w:ascii="Arial Black" w:hAnsi="Arial Black"/>
                <w:caps/>
                <w:sz w:val="15"/>
              </w:rPr>
              <w:t>20 DE SEPTIEMBRE DE 2013</w:t>
            </w:r>
          </w:p>
        </w:tc>
      </w:tr>
    </w:tbl>
    <w:p w:rsidR="00160C67" w:rsidRPr="008B2CC1" w:rsidRDefault="00160C67" w:rsidP="00160C67"/>
    <w:p w:rsidR="00160C67" w:rsidRPr="008B2CC1" w:rsidRDefault="00160C67" w:rsidP="00160C67"/>
    <w:p w:rsidR="00160C67" w:rsidRPr="008B2CC1" w:rsidRDefault="00160C67" w:rsidP="00160C67"/>
    <w:p w:rsidR="00160C67" w:rsidRPr="008B2CC1" w:rsidRDefault="00160C67" w:rsidP="00160C67"/>
    <w:p w:rsidR="00160C67" w:rsidRPr="008B2CC1" w:rsidRDefault="00160C67" w:rsidP="00160C67"/>
    <w:p w:rsidR="00160C67" w:rsidRPr="008F0592" w:rsidRDefault="00160C67" w:rsidP="00160C67">
      <w:pPr>
        <w:rPr>
          <w:b/>
          <w:sz w:val="28"/>
          <w:szCs w:val="28"/>
          <w:lang w:val="es-ES_tradnl"/>
        </w:rPr>
      </w:pPr>
      <w:r w:rsidRPr="008F0592">
        <w:rPr>
          <w:b/>
          <w:sz w:val="28"/>
          <w:szCs w:val="28"/>
          <w:lang w:val="es-ES_tradnl"/>
        </w:rPr>
        <w:t>Asambleas de los Estados miembros de la OMPI</w:t>
      </w:r>
    </w:p>
    <w:p w:rsidR="00160C67" w:rsidRDefault="00160C67" w:rsidP="00160C67"/>
    <w:p w:rsidR="00160C67" w:rsidRDefault="00160C67" w:rsidP="00160C67"/>
    <w:p w:rsidR="00160C67" w:rsidRPr="008F0592" w:rsidRDefault="00160C67" w:rsidP="00160C67">
      <w:pPr>
        <w:rPr>
          <w:b/>
          <w:sz w:val="24"/>
          <w:szCs w:val="24"/>
          <w:lang w:val="es-ES_tradnl"/>
        </w:rPr>
      </w:pPr>
      <w:r w:rsidRPr="008F0592">
        <w:rPr>
          <w:b/>
          <w:sz w:val="24"/>
          <w:szCs w:val="24"/>
          <w:lang w:val="es-ES_tradnl"/>
        </w:rPr>
        <w:t>Quincuagésima primera serie de reuniones</w:t>
      </w:r>
    </w:p>
    <w:p w:rsidR="00160C67" w:rsidRPr="008F0592" w:rsidRDefault="00160C67" w:rsidP="00160C67">
      <w:pPr>
        <w:rPr>
          <w:b/>
          <w:sz w:val="24"/>
          <w:szCs w:val="24"/>
          <w:lang w:val="es-ES_tradnl"/>
        </w:rPr>
      </w:pPr>
      <w:r w:rsidRPr="008F0592">
        <w:rPr>
          <w:b/>
          <w:sz w:val="24"/>
          <w:szCs w:val="24"/>
          <w:lang w:val="es-ES_tradnl"/>
        </w:rPr>
        <w:t>Ginebra, 23 de septiembre a 2 de octubre de 2013</w:t>
      </w:r>
    </w:p>
    <w:p w:rsidR="00160C67" w:rsidRPr="008B2CC1" w:rsidRDefault="00160C67" w:rsidP="00160C67"/>
    <w:p w:rsidR="00160C67" w:rsidRPr="008B2CC1" w:rsidRDefault="00160C67" w:rsidP="00160C67"/>
    <w:p w:rsidR="00160C67" w:rsidRPr="008B2CC1" w:rsidRDefault="00160C67" w:rsidP="00160C67"/>
    <w:p w:rsidR="00160C67" w:rsidRPr="003845C1" w:rsidRDefault="00160C67" w:rsidP="00160C67">
      <w:pPr>
        <w:rPr>
          <w:caps/>
          <w:sz w:val="24"/>
        </w:rPr>
      </w:pPr>
      <w:bookmarkStart w:id="3" w:name="TitleOfDoc"/>
      <w:bookmarkEnd w:id="3"/>
      <w:r>
        <w:rPr>
          <w:caps/>
          <w:sz w:val="24"/>
        </w:rPr>
        <w:t>PROPUESTA DE PRESUPUESTO POR PROGRAMAS PARA EL BIENIO 2014/15</w:t>
      </w:r>
    </w:p>
    <w:p w:rsidR="00160C67" w:rsidRPr="008B2CC1" w:rsidRDefault="00160C67" w:rsidP="00160C67"/>
    <w:p w:rsidR="00160C67" w:rsidRPr="00CE4FB8" w:rsidRDefault="00160C67" w:rsidP="00160C67">
      <w:pPr>
        <w:rPr>
          <w:i/>
        </w:rPr>
      </w:pPr>
      <w:bookmarkStart w:id="4" w:name="Prepared"/>
      <w:bookmarkEnd w:id="4"/>
      <w:proofErr w:type="gramStart"/>
      <w:r>
        <w:rPr>
          <w:i/>
        </w:rPr>
        <w:t>presentada</w:t>
      </w:r>
      <w:proofErr w:type="gramEnd"/>
      <w:r>
        <w:rPr>
          <w:i/>
        </w:rPr>
        <w:t xml:space="preserve"> por el Director General</w:t>
      </w:r>
    </w:p>
    <w:p w:rsidR="00160C67" w:rsidRDefault="00160C67" w:rsidP="00160C67"/>
    <w:p w:rsidR="00160C67" w:rsidRDefault="00160C67" w:rsidP="00160C67"/>
    <w:p w:rsidR="00160C67" w:rsidRDefault="00160C67" w:rsidP="00160C67"/>
    <w:p w:rsidR="00160C67" w:rsidRDefault="00160C67" w:rsidP="00160C67"/>
    <w:p w:rsidR="00160C67" w:rsidRDefault="00160C67" w:rsidP="00160C67">
      <w:pPr>
        <w:pStyle w:val="ONUMFS"/>
      </w:pPr>
      <w:r>
        <w:t>La propuesta revisada de presupuesto por programas para el bienio 2014/15 que se adjunta al presente documento se somete a examen en la serie de reuniones en curso de los Estados miembros de la OMPI tras los debates y las decisiones de la vigésima primera sesión del Comité del Programa y Presupuesto (PBC), que tuvo lugar del 9 al 13 de septiembre de 2013.</w:t>
      </w:r>
    </w:p>
    <w:p w:rsidR="00160C67" w:rsidRDefault="00160C67" w:rsidP="00160C67">
      <w:pPr>
        <w:pStyle w:val="ONUMFS"/>
      </w:pPr>
      <w:r>
        <w:t>En dicha sesión, el PBC tomó la siguiente decisión (véase el documento A/51/14):</w:t>
      </w:r>
    </w:p>
    <w:p w:rsidR="00160C67" w:rsidRPr="002B6C9B" w:rsidRDefault="00160C67" w:rsidP="00160C67">
      <w:pPr>
        <w:pStyle w:val="ONUMFS"/>
        <w:numPr>
          <w:ilvl w:val="0"/>
          <w:numId w:val="0"/>
        </w:numPr>
        <w:ind w:left="567"/>
        <w:rPr>
          <w:lang w:val="es-ES_tradnl"/>
        </w:rPr>
      </w:pPr>
      <w:r>
        <w:rPr>
          <w:lang w:val="es-ES_tradnl"/>
        </w:rPr>
        <w:t>“1.</w:t>
      </w:r>
      <w:r>
        <w:rPr>
          <w:lang w:val="es-ES_tradnl"/>
        </w:rPr>
        <w:tab/>
      </w:r>
      <w:r w:rsidRPr="002B6C9B">
        <w:rPr>
          <w:lang w:val="es-ES_tradnl"/>
        </w:rPr>
        <w:t>El Comité del Programa y Presupuesto (PBC) recomendó a las Asambleas de los Estados miembros de la OMPI y d</w:t>
      </w:r>
      <w:bookmarkStart w:id="5" w:name="_GoBack"/>
      <w:bookmarkEnd w:id="5"/>
      <w:r w:rsidRPr="002B6C9B">
        <w:rPr>
          <w:lang w:val="es-ES_tradnl"/>
        </w:rPr>
        <w:t>e las Uniones que, en lo que a cada una concierna, aprueben la propuesta de presupuesto por programas para el bienio 2014/15 que consta en el documento WO/PBC/21/8, con sujeción a lo siguiente:</w:t>
      </w:r>
    </w:p>
    <w:p w:rsidR="00160C67" w:rsidRPr="002B6C9B" w:rsidRDefault="00160C67" w:rsidP="00160C67">
      <w:pPr>
        <w:pStyle w:val="ONUMFS"/>
        <w:numPr>
          <w:ilvl w:val="0"/>
          <w:numId w:val="0"/>
        </w:numPr>
        <w:ind w:left="1134"/>
        <w:rPr>
          <w:lang w:val="es-ES_tradnl"/>
        </w:rPr>
      </w:pPr>
      <w:r>
        <w:rPr>
          <w:lang w:val="es-ES_tradnl"/>
        </w:rPr>
        <w:t>i)</w:t>
      </w:r>
      <w:r>
        <w:rPr>
          <w:lang w:val="es-ES_tradnl"/>
        </w:rPr>
        <w:tab/>
      </w:r>
      <w:r w:rsidRPr="002B6C9B">
        <w:rPr>
          <w:lang w:val="es-ES_tradnl"/>
        </w:rPr>
        <w:t>El aumento de la asignación presupuestaria global para acomodar la aplicación de la política lingüística de la OMPI, por un importe de 793.000 francos suizos, en el programa 27;</w:t>
      </w:r>
    </w:p>
    <w:p w:rsidR="00160C67" w:rsidRPr="002B6C9B" w:rsidRDefault="00160C67" w:rsidP="00160C67">
      <w:pPr>
        <w:pStyle w:val="ONUMFS"/>
        <w:numPr>
          <w:ilvl w:val="0"/>
          <w:numId w:val="0"/>
        </w:numPr>
        <w:ind w:left="1134"/>
        <w:rPr>
          <w:lang w:val="es-ES_tradnl"/>
        </w:rPr>
      </w:pPr>
      <w:r>
        <w:rPr>
          <w:lang w:val="es-ES_tradnl"/>
        </w:rPr>
        <w:t>ii)</w:t>
      </w:r>
      <w:r>
        <w:rPr>
          <w:lang w:val="es-ES_tradnl"/>
        </w:rPr>
        <w:tab/>
      </w:r>
      <w:r w:rsidRPr="002B6C9B">
        <w:rPr>
          <w:lang w:val="es-ES_tradnl"/>
        </w:rPr>
        <w:t>Reintroducción del programa 30 que abarque las pymes y la innovación, sin cambios en el contenido ni en los recursos otorgados a las pymes y la innovación en el programa 10;</w:t>
      </w:r>
    </w:p>
    <w:p w:rsidR="00160C67" w:rsidRPr="002B6C9B" w:rsidRDefault="00160C67" w:rsidP="00160C67">
      <w:pPr>
        <w:pStyle w:val="ONUMFS"/>
        <w:numPr>
          <w:ilvl w:val="0"/>
          <w:numId w:val="0"/>
        </w:numPr>
        <w:ind w:left="1134"/>
        <w:rPr>
          <w:lang w:val="es-ES_tradnl"/>
        </w:rPr>
      </w:pPr>
      <w:r>
        <w:rPr>
          <w:lang w:val="es-ES_tradnl"/>
        </w:rPr>
        <w:t>iii)</w:t>
      </w:r>
      <w:r>
        <w:rPr>
          <w:lang w:val="es-ES_tradnl"/>
        </w:rPr>
        <w:tab/>
      </w:r>
      <w:r w:rsidRPr="002B6C9B">
        <w:rPr>
          <w:lang w:val="es-ES_tradnl"/>
        </w:rPr>
        <w:t>Acuerdo de los Estados miembros, durante las reuniones de las Asambleas cuando se delibere sobre la propuesta de presupuesto por programas, sobre el programa 20 relativo a las oficinas en el exterior;  y</w:t>
      </w:r>
    </w:p>
    <w:p w:rsidR="00160C67" w:rsidRPr="002B6C9B" w:rsidRDefault="00160C67" w:rsidP="00160C67">
      <w:pPr>
        <w:pStyle w:val="ONUMFS"/>
        <w:numPr>
          <w:ilvl w:val="0"/>
          <w:numId w:val="0"/>
        </w:numPr>
        <w:ind w:left="1134"/>
        <w:rPr>
          <w:lang w:val="es-ES_tradnl"/>
        </w:rPr>
      </w:pPr>
      <w:r>
        <w:rPr>
          <w:lang w:val="es-ES_tradnl"/>
        </w:rPr>
        <w:t>iv)</w:t>
      </w:r>
      <w:r>
        <w:rPr>
          <w:lang w:val="es-ES_tradnl"/>
        </w:rPr>
        <w:tab/>
      </w:r>
      <w:r w:rsidRPr="002B6C9B">
        <w:rPr>
          <w:lang w:val="es-ES_tradnl"/>
        </w:rPr>
        <w:t>Reflejar los cambios acordados respecto del párrafo 44 del panorama financiero, y de los programas 1, 2, 3, 8, 9, 11, 15, 17, 23, 27 y 30.</w:t>
      </w:r>
    </w:p>
    <w:p w:rsidR="00160C67" w:rsidRPr="002B6C9B" w:rsidRDefault="00160C67" w:rsidP="00160C67">
      <w:pPr>
        <w:pStyle w:val="ONUMFS"/>
        <w:numPr>
          <w:ilvl w:val="0"/>
          <w:numId w:val="0"/>
        </w:numPr>
        <w:ind w:left="567"/>
        <w:rPr>
          <w:lang w:val="es-ES_tradnl"/>
        </w:rPr>
      </w:pPr>
      <w:r>
        <w:rPr>
          <w:lang w:val="es-ES_tradnl"/>
        </w:rPr>
        <w:lastRenderedPageBreak/>
        <w:t>2.</w:t>
      </w:r>
      <w:r>
        <w:rPr>
          <w:lang w:val="es-ES_tradnl"/>
        </w:rPr>
        <w:tab/>
      </w:r>
      <w:r w:rsidRPr="002B6C9B">
        <w:rPr>
          <w:lang w:val="es-ES_tradnl"/>
        </w:rPr>
        <w:t>El PBC remitió a las Asambleas de los Estados miembros de la OMPI y de las Uniones, en lo que a cada una concierna, tomar una decisión sobre:</w:t>
      </w:r>
    </w:p>
    <w:p w:rsidR="00160C67" w:rsidRPr="002B6C9B" w:rsidRDefault="00160C67" w:rsidP="00160C67">
      <w:pPr>
        <w:pStyle w:val="ONUMFS"/>
        <w:numPr>
          <w:ilvl w:val="0"/>
          <w:numId w:val="0"/>
        </w:numPr>
        <w:ind w:left="1134"/>
        <w:rPr>
          <w:lang w:val="es-ES_tradnl"/>
        </w:rPr>
      </w:pPr>
      <w:r>
        <w:rPr>
          <w:lang w:val="es-ES_tradnl"/>
        </w:rPr>
        <w:t>i)</w:t>
      </w:r>
      <w:r>
        <w:rPr>
          <w:lang w:val="es-ES_tradnl"/>
        </w:rPr>
        <w:tab/>
      </w:r>
      <w:r w:rsidRPr="002B6C9B">
        <w:rPr>
          <w:lang w:val="es-ES_tradnl"/>
        </w:rPr>
        <w:t>el programa 18;</w:t>
      </w:r>
    </w:p>
    <w:p w:rsidR="00160C67" w:rsidRPr="002B6C9B" w:rsidRDefault="00160C67" w:rsidP="00160C67">
      <w:pPr>
        <w:pStyle w:val="ONUMFS"/>
        <w:numPr>
          <w:ilvl w:val="0"/>
          <w:numId w:val="0"/>
        </w:numPr>
        <w:ind w:left="1134"/>
        <w:rPr>
          <w:lang w:val="es-ES_tradnl"/>
        </w:rPr>
      </w:pPr>
      <w:r>
        <w:rPr>
          <w:lang w:val="es-ES_tradnl"/>
        </w:rPr>
        <w:t>ii)</w:t>
      </w:r>
      <w:r>
        <w:rPr>
          <w:lang w:val="es-ES_tradnl"/>
        </w:rPr>
        <w:tab/>
      </w:r>
      <w:r w:rsidRPr="002B6C9B">
        <w:rPr>
          <w:lang w:val="es-ES_tradnl"/>
        </w:rPr>
        <w:t>el objetivo del programa 2 relativo a la conferencia diplomática;  y</w:t>
      </w:r>
    </w:p>
    <w:p w:rsidR="00160C67" w:rsidRPr="002B6C9B" w:rsidRDefault="00160C67" w:rsidP="00160C67">
      <w:pPr>
        <w:pStyle w:val="ONUMFS"/>
        <w:numPr>
          <w:ilvl w:val="0"/>
          <w:numId w:val="0"/>
        </w:numPr>
        <w:ind w:left="1134"/>
        <w:rPr>
          <w:lang w:val="es-ES_tradnl"/>
        </w:rPr>
      </w:pPr>
      <w:r>
        <w:rPr>
          <w:lang w:val="es-ES_tradnl"/>
        </w:rPr>
        <w:t>iii)</w:t>
      </w:r>
      <w:r>
        <w:rPr>
          <w:lang w:val="es-ES_tradnl"/>
        </w:rPr>
        <w:tab/>
      </w:r>
      <w:proofErr w:type="gramStart"/>
      <w:r w:rsidRPr="002B6C9B">
        <w:rPr>
          <w:lang w:val="es-ES_tradnl"/>
        </w:rPr>
        <w:t>el</w:t>
      </w:r>
      <w:proofErr w:type="gramEnd"/>
      <w:r w:rsidRPr="002B6C9B">
        <w:rPr>
          <w:lang w:val="es-ES_tradnl"/>
        </w:rPr>
        <w:t xml:space="preserve"> objetivo del programa 4 relativo a la conferencia diplomática.</w:t>
      </w:r>
      <w:r>
        <w:rPr>
          <w:lang w:val="es-ES_tradnl"/>
        </w:rPr>
        <w:t>”</w:t>
      </w:r>
    </w:p>
    <w:p w:rsidR="00160C67" w:rsidRDefault="00160C67" w:rsidP="00160C67">
      <w:pPr>
        <w:pStyle w:val="ONUMFS"/>
        <w:rPr>
          <w:lang w:val="es-ES_tradnl"/>
        </w:rPr>
      </w:pPr>
      <w:r>
        <w:rPr>
          <w:lang w:val="es-ES_tradnl"/>
        </w:rPr>
        <w:t>En la propuesta de presupuesto por programas para el bienio 2014/15 adjunta se reflejan las modificaciones acordadas en relación con los puntos 1.i), ii) y iv) de la recomendación mencionada anteriormente.</w:t>
      </w:r>
    </w:p>
    <w:p w:rsidR="00160C67" w:rsidRPr="0089602E" w:rsidRDefault="00160C67" w:rsidP="00160C67">
      <w:pPr>
        <w:pStyle w:val="ONUMFS"/>
        <w:ind w:left="5534"/>
        <w:rPr>
          <w:i/>
        </w:rPr>
      </w:pPr>
      <w:r w:rsidRPr="0089602E">
        <w:rPr>
          <w:i/>
        </w:rPr>
        <w:t>Se invita a las Asambleas de los Estados miembros de la OMPI y de las Uniones que la OMPI administra, en lo que a cada una le concierne, a aprobar la propuesta de presupuesto por programas para el bienio 2014/15.</w:t>
      </w:r>
    </w:p>
    <w:p w:rsidR="00160C67" w:rsidRDefault="00160C67" w:rsidP="00160C67">
      <w:pPr>
        <w:pStyle w:val="ONUMFS"/>
        <w:numPr>
          <w:ilvl w:val="0"/>
          <w:numId w:val="0"/>
        </w:numPr>
      </w:pPr>
    </w:p>
    <w:p w:rsidR="00160C67" w:rsidRDefault="00160C67" w:rsidP="00160C67">
      <w:pPr>
        <w:pStyle w:val="Endofdocument-Annex"/>
        <w:rPr>
          <w:lang w:val="es-ES"/>
        </w:rPr>
      </w:pPr>
      <w:r w:rsidRPr="00353678">
        <w:rPr>
          <w:lang w:val="es-ES"/>
        </w:rPr>
        <w:t xml:space="preserve">[Sigue la propuesta de presupuesto por </w:t>
      </w:r>
      <w:r>
        <w:rPr>
          <w:lang w:val="es-ES"/>
        </w:rPr>
        <w:t>programas para el bienio 2014/15]</w:t>
      </w:r>
    </w:p>
    <w:p w:rsidR="00160C67" w:rsidRDefault="00160C67" w:rsidP="00160C67"/>
    <w:p w:rsidR="007B2C29" w:rsidRPr="007D5833" w:rsidRDefault="007B2C29" w:rsidP="007D5833">
      <w:pPr>
        <w:pStyle w:val="Endofdocument"/>
        <w:rPr>
          <w:rFonts w:ascii="Arial" w:hAnsi="Arial" w:cs="Arial"/>
          <w:sz w:val="22"/>
          <w:szCs w:val="22"/>
          <w:lang w:val="es-ES"/>
        </w:rPr>
      </w:pPr>
    </w:p>
    <w:p w:rsidR="007B2C29" w:rsidRPr="000B5834" w:rsidRDefault="007B2C29" w:rsidP="004A4009">
      <w:pPr>
        <w:rPr>
          <w:szCs w:val="22"/>
        </w:rPr>
      </w:pPr>
    </w:p>
    <w:p w:rsidR="007B2C29" w:rsidRDefault="007B2C29" w:rsidP="004A4009">
      <w:pPr>
        <w:jc w:val="center"/>
        <w:rPr>
          <w:szCs w:val="24"/>
        </w:rPr>
        <w:sectPr w:rsidR="007B2C29" w:rsidSect="00160C67">
          <w:headerReference w:type="even" r:id="rId10"/>
          <w:headerReference w:type="default" r:id="rId11"/>
          <w:footerReference w:type="default" r:id="rId12"/>
          <w:pgSz w:w="11907" w:h="16840" w:code="9"/>
          <w:pgMar w:top="567" w:right="1418" w:bottom="964" w:left="1418" w:header="510" w:footer="851" w:gutter="0"/>
          <w:pgNumType w:start="1"/>
          <w:cols w:space="720"/>
          <w:titlePg/>
        </w:sect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Default="007B2C29" w:rsidP="004A4009">
      <w:pPr>
        <w:jc w:val="center"/>
        <w:rPr>
          <w:szCs w:val="24"/>
        </w:rPr>
      </w:pPr>
    </w:p>
    <w:p w:rsidR="007B2C29" w:rsidRPr="002C067E" w:rsidRDefault="00856ED4" w:rsidP="004A4009">
      <w:pPr>
        <w:jc w:val="center"/>
        <w:rPr>
          <w:b/>
          <w:bCs/>
          <w:sz w:val="24"/>
          <w:szCs w:val="24"/>
          <w:lang w:val="es-ES_tradnl"/>
        </w:rPr>
      </w:pPr>
      <w:r w:rsidRPr="002C067E">
        <w:rPr>
          <w:b/>
          <w:bCs/>
          <w:sz w:val="24"/>
          <w:szCs w:val="24"/>
          <w:lang w:val="es-ES_tradnl"/>
        </w:rPr>
        <w:t>PRO</w:t>
      </w:r>
      <w:r w:rsidR="00A4707B">
        <w:rPr>
          <w:b/>
          <w:bCs/>
          <w:sz w:val="24"/>
          <w:szCs w:val="24"/>
          <w:lang w:val="es-ES_tradnl"/>
        </w:rPr>
        <w:t>PUESTA</w:t>
      </w:r>
      <w:r w:rsidRPr="002C067E">
        <w:rPr>
          <w:b/>
          <w:bCs/>
          <w:sz w:val="24"/>
          <w:szCs w:val="24"/>
          <w:lang w:val="es-ES_tradnl"/>
        </w:rPr>
        <w:t xml:space="preserve"> DE PRESUPUESTO POR </w:t>
      </w:r>
      <w:r w:rsidR="007B2C29" w:rsidRPr="002C067E">
        <w:rPr>
          <w:b/>
          <w:bCs/>
          <w:sz w:val="24"/>
          <w:szCs w:val="24"/>
          <w:lang w:val="es-ES_tradnl"/>
        </w:rPr>
        <w:t>PROGRAM</w:t>
      </w:r>
      <w:r w:rsidRPr="002C067E">
        <w:rPr>
          <w:b/>
          <w:bCs/>
          <w:sz w:val="24"/>
          <w:szCs w:val="24"/>
          <w:lang w:val="es-ES_tradnl"/>
        </w:rPr>
        <w:t>AS PARA EL BIENI</w:t>
      </w:r>
      <w:r w:rsidR="00DF7F45" w:rsidRPr="002C067E">
        <w:rPr>
          <w:b/>
          <w:bCs/>
          <w:sz w:val="24"/>
          <w:szCs w:val="24"/>
          <w:lang w:val="es-ES_tradnl"/>
        </w:rPr>
        <w:t>O 2</w:t>
      </w:r>
      <w:r w:rsidR="007B2C29" w:rsidRPr="002C067E">
        <w:rPr>
          <w:b/>
          <w:bCs/>
          <w:sz w:val="24"/>
          <w:szCs w:val="24"/>
          <w:lang w:val="es-ES_tradnl"/>
        </w:rPr>
        <w:t>014/15</w:t>
      </w:r>
    </w:p>
    <w:p w:rsidR="007B2C29" w:rsidRPr="002C067E" w:rsidRDefault="007B2C29" w:rsidP="004A4009">
      <w:pPr>
        <w:jc w:val="center"/>
        <w:rPr>
          <w:b/>
          <w:bCs/>
          <w:szCs w:val="24"/>
          <w:lang w:val="es-ES_tradnl"/>
        </w:rPr>
      </w:pPr>
    </w:p>
    <w:p w:rsidR="007B2C29" w:rsidRPr="002C067E" w:rsidRDefault="007B2C29" w:rsidP="004A4009">
      <w:pPr>
        <w:ind w:left="5387"/>
        <w:rPr>
          <w:i/>
          <w:iCs/>
          <w:sz w:val="20"/>
          <w:lang w:val="es-ES_tradnl"/>
        </w:rPr>
      </w:pPr>
    </w:p>
    <w:p w:rsidR="007B2C29" w:rsidRPr="002C067E" w:rsidRDefault="007B2C29" w:rsidP="004A4009">
      <w:pPr>
        <w:jc w:val="center"/>
        <w:rPr>
          <w:i/>
          <w:iCs/>
          <w:szCs w:val="22"/>
          <w:lang w:val="es-ES_tradnl"/>
        </w:rPr>
        <w:sectPr w:rsidR="007B2C29" w:rsidRPr="002C067E" w:rsidSect="007B2C29">
          <w:pgSz w:w="11907" w:h="16840" w:code="9"/>
          <w:pgMar w:top="567" w:right="1418" w:bottom="964" w:left="1418" w:header="510" w:footer="851" w:gutter="0"/>
          <w:pgNumType w:fmt="lowerRoman" w:start="1"/>
          <w:cols w:space="720"/>
          <w:titlePg/>
        </w:sectPr>
      </w:pPr>
    </w:p>
    <w:p w:rsidR="007B2C29" w:rsidRPr="002C067E" w:rsidRDefault="007B2C29" w:rsidP="004A4009">
      <w:pPr>
        <w:jc w:val="center"/>
        <w:rPr>
          <w:sz w:val="28"/>
          <w:szCs w:val="28"/>
        </w:rPr>
      </w:pPr>
      <w:r w:rsidRPr="002C067E">
        <w:rPr>
          <w:sz w:val="28"/>
          <w:szCs w:val="28"/>
          <w:lang w:val="es-ES_tradnl"/>
        </w:rPr>
        <w:lastRenderedPageBreak/>
        <w:br w:type="page"/>
      </w:r>
      <w:r w:rsidR="00856ED4" w:rsidRPr="002C067E">
        <w:rPr>
          <w:sz w:val="28"/>
          <w:szCs w:val="28"/>
        </w:rPr>
        <w:lastRenderedPageBreak/>
        <w:t>ÍNDICE</w:t>
      </w:r>
    </w:p>
    <w:p w:rsidR="00E13348" w:rsidRPr="001915E0" w:rsidRDefault="007B2C29" w:rsidP="007255CB">
      <w:pPr>
        <w:pStyle w:val="TOC1"/>
        <w:rPr>
          <w:rFonts w:asciiTheme="minorHAnsi" w:eastAsiaTheme="minorEastAsia" w:hAnsiTheme="minorHAnsi" w:cstheme="minorBidi"/>
          <w:szCs w:val="22"/>
          <w:lang w:val="en-US"/>
        </w:rPr>
      </w:pPr>
      <w:r w:rsidRPr="007255CB">
        <w:rPr>
          <w:rFonts w:cs="Arial"/>
        </w:rPr>
        <w:fldChar w:fldCharType="begin"/>
      </w:r>
      <w:r w:rsidRPr="007255CB">
        <w:rPr>
          <w:rFonts w:cs="Arial"/>
        </w:rPr>
        <w:instrText xml:space="preserve"> TOC \o "1-3" \h \z \u </w:instrText>
      </w:r>
      <w:r w:rsidRPr="007255CB">
        <w:rPr>
          <w:rFonts w:cs="Arial"/>
        </w:rPr>
        <w:fldChar w:fldCharType="separate"/>
      </w:r>
      <w:hyperlink w:anchor="_Toc366078695" w:history="1">
        <w:r w:rsidR="00E13348" w:rsidRPr="001915E0">
          <w:rPr>
            <w:rStyle w:val="Hyperlink"/>
            <w:b/>
            <w:color w:val="auto"/>
          </w:rPr>
          <w:t>PRÓLOGO DEL DIRECTOR GENERAL</w:t>
        </w:r>
        <w:r w:rsidR="00E13348" w:rsidRPr="001915E0">
          <w:rPr>
            <w:webHidden/>
          </w:rPr>
          <w:tab/>
        </w:r>
        <w:r w:rsidR="00E13348" w:rsidRPr="001915E0">
          <w:rPr>
            <w:webHidden/>
          </w:rPr>
          <w:fldChar w:fldCharType="begin"/>
        </w:r>
        <w:r w:rsidR="00E13348" w:rsidRPr="001915E0">
          <w:rPr>
            <w:webHidden/>
          </w:rPr>
          <w:instrText xml:space="preserve"> PAGEREF _Toc366078695 \h </w:instrText>
        </w:r>
        <w:r w:rsidR="00E13348" w:rsidRPr="001915E0">
          <w:rPr>
            <w:webHidden/>
          </w:rPr>
        </w:r>
        <w:r w:rsidR="00E13348" w:rsidRPr="001915E0">
          <w:rPr>
            <w:webHidden/>
          </w:rPr>
          <w:fldChar w:fldCharType="separate"/>
        </w:r>
        <w:r w:rsidR="0051745D">
          <w:rPr>
            <w:webHidden/>
          </w:rPr>
          <w:t>5</w:t>
        </w:r>
        <w:r w:rsidR="00E13348" w:rsidRPr="001915E0">
          <w:rPr>
            <w:webHidden/>
          </w:rPr>
          <w:fldChar w:fldCharType="end"/>
        </w:r>
      </w:hyperlink>
    </w:p>
    <w:p w:rsidR="00E13348" w:rsidRPr="001915E0" w:rsidRDefault="001F1886" w:rsidP="007255CB">
      <w:pPr>
        <w:pStyle w:val="TOC1"/>
        <w:rPr>
          <w:rFonts w:asciiTheme="minorHAnsi" w:eastAsiaTheme="minorEastAsia" w:hAnsiTheme="minorHAnsi" w:cstheme="minorBidi"/>
          <w:szCs w:val="22"/>
          <w:lang w:val="en-US"/>
        </w:rPr>
      </w:pPr>
      <w:hyperlink w:anchor="_Toc366078696" w:history="1">
        <w:r w:rsidR="00E13348" w:rsidRPr="001915E0">
          <w:rPr>
            <w:rStyle w:val="Hyperlink"/>
            <w:b/>
            <w:color w:val="auto"/>
          </w:rPr>
          <w:t>I.</w:t>
        </w:r>
        <w:r w:rsidR="00E13348" w:rsidRPr="001915E0">
          <w:rPr>
            <w:rFonts w:asciiTheme="minorHAnsi" w:eastAsiaTheme="minorEastAsia" w:hAnsiTheme="minorHAnsi" w:cstheme="minorBidi"/>
            <w:szCs w:val="22"/>
            <w:lang w:val="en-US"/>
          </w:rPr>
          <w:tab/>
        </w:r>
        <w:r w:rsidR="00E13348" w:rsidRPr="001915E0">
          <w:rPr>
            <w:rStyle w:val="Hyperlink"/>
            <w:b/>
            <w:color w:val="auto"/>
          </w:rPr>
          <w:t>VISIÓN DE CONJUNTO DE LOS RESULTADOS</w:t>
        </w:r>
        <w:r w:rsidR="00E13348" w:rsidRPr="001915E0">
          <w:rPr>
            <w:webHidden/>
          </w:rPr>
          <w:tab/>
        </w:r>
        <w:r w:rsidR="00E13348" w:rsidRPr="001915E0">
          <w:rPr>
            <w:webHidden/>
          </w:rPr>
          <w:fldChar w:fldCharType="begin"/>
        </w:r>
        <w:r w:rsidR="00E13348" w:rsidRPr="001915E0">
          <w:rPr>
            <w:webHidden/>
          </w:rPr>
          <w:instrText xml:space="preserve"> PAGEREF _Toc366078696 \h </w:instrText>
        </w:r>
        <w:r w:rsidR="00E13348" w:rsidRPr="001915E0">
          <w:rPr>
            <w:webHidden/>
          </w:rPr>
        </w:r>
        <w:r w:rsidR="00E13348" w:rsidRPr="001915E0">
          <w:rPr>
            <w:webHidden/>
          </w:rPr>
          <w:fldChar w:fldCharType="separate"/>
        </w:r>
        <w:r w:rsidR="0051745D">
          <w:rPr>
            <w:webHidden/>
          </w:rPr>
          <w:t>9</w:t>
        </w:r>
        <w:r w:rsidR="00E13348" w:rsidRPr="001915E0">
          <w:rPr>
            <w:webHidden/>
          </w:rPr>
          <w:fldChar w:fldCharType="end"/>
        </w:r>
      </w:hyperlink>
    </w:p>
    <w:p w:rsidR="00E13348" w:rsidRPr="001915E0" w:rsidRDefault="001F1886" w:rsidP="007255CB">
      <w:pPr>
        <w:pStyle w:val="TOC1"/>
        <w:rPr>
          <w:rFonts w:asciiTheme="minorHAnsi" w:eastAsiaTheme="minorEastAsia" w:hAnsiTheme="minorHAnsi" w:cstheme="minorBidi"/>
          <w:szCs w:val="22"/>
          <w:lang w:val="en-US"/>
        </w:rPr>
      </w:pPr>
      <w:hyperlink w:anchor="_Toc366078697" w:history="1">
        <w:r w:rsidR="00E13348" w:rsidRPr="001915E0">
          <w:rPr>
            <w:rStyle w:val="Hyperlink"/>
            <w:b/>
            <w:color w:val="auto"/>
          </w:rPr>
          <w:t>II.</w:t>
        </w:r>
        <w:r w:rsidR="00E13348" w:rsidRPr="001915E0">
          <w:rPr>
            <w:rFonts w:asciiTheme="minorHAnsi" w:eastAsiaTheme="minorEastAsia" w:hAnsiTheme="minorHAnsi" w:cstheme="minorBidi"/>
            <w:szCs w:val="22"/>
            <w:lang w:val="en-US"/>
          </w:rPr>
          <w:tab/>
        </w:r>
        <w:r w:rsidR="00E13348" w:rsidRPr="001915E0">
          <w:rPr>
            <w:rStyle w:val="Hyperlink"/>
            <w:b/>
            <w:color w:val="auto"/>
          </w:rPr>
          <w:t>PANORAMA FINANCIERO</w:t>
        </w:r>
        <w:r w:rsidR="00E13348" w:rsidRPr="001915E0">
          <w:rPr>
            <w:webHidden/>
          </w:rPr>
          <w:tab/>
        </w:r>
        <w:r w:rsidR="00E13348" w:rsidRPr="001915E0">
          <w:rPr>
            <w:webHidden/>
          </w:rPr>
          <w:fldChar w:fldCharType="begin"/>
        </w:r>
        <w:r w:rsidR="00E13348" w:rsidRPr="001915E0">
          <w:rPr>
            <w:webHidden/>
          </w:rPr>
          <w:instrText xml:space="preserve"> PAGEREF _Toc366078697 \h </w:instrText>
        </w:r>
        <w:r w:rsidR="00E13348" w:rsidRPr="001915E0">
          <w:rPr>
            <w:webHidden/>
          </w:rPr>
        </w:r>
        <w:r w:rsidR="00E13348" w:rsidRPr="001915E0">
          <w:rPr>
            <w:webHidden/>
          </w:rPr>
          <w:fldChar w:fldCharType="separate"/>
        </w:r>
        <w:r w:rsidR="0051745D">
          <w:rPr>
            <w:webHidden/>
          </w:rPr>
          <w:t>16</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698" w:history="1">
        <w:r w:rsidR="00E13348" w:rsidRPr="001915E0">
          <w:rPr>
            <w:rStyle w:val="Hyperlink"/>
            <w:b/>
            <w:color w:val="auto"/>
          </w:rPr>
          <w:t>INGRESOS</w:t>
        </w:r>
        <w:r w:rsidR="00E13348" w:rsidRPr="001915E0">
          <w:rPr>
            <w:webHidden/>
          </w:rPr>
          <w:tab/>
        </w:r>
        <w:r w:rsidR="00E13348" w:rsidRPr="001915E0">
          <w:rPr>
            <w:webHidden/>
          </w:rPr>
          <w:tab/>
        </w:r>
        <w:r w:rsidR="007255CB" w:rsidRPr="001915E0">
          <w:rPr>
            <w:webHidden/>
          </w:rPr>
          <w:tab/>
        </w:r>
        <w:r w:rsidR="00E13348" w:rsidRPr="001915E0">
          <w:rPr>
            <w:webHidden/>
          </w:rPr>
          <w:fldChar w:fldCharType="begin"/>
        </w:r>
        <w:r w:rsidR="00E13348" w:rsidRPr="001915E0">
          <w:rPr>
            <w:webHidden/>
          </w:rPr>
          <w:instrText xml:space="preserve"> PAGEREF _Toc366078698 \h </w:instrText>
        </w:r>
        <w:r w:rsidR="00E13348" w:rsidRPr="001915E0">
          <w:rPr>
            <w:webHidden/>
          </w:rPr>
        </w:r>
        <w:r w:rsidR="00E13348" w:rsidRPr="001915E0">
          <w:rPr>
            <w:webHidden/>
          </w:rPr>
          <w:fldChar w:fldCharType="separate"/>
        </w:r>
        <w:r w:rsidR="0051745D">
          <w:rPr>
            <w:webHidden/>
          </w:rPr>
          <w:t>17</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699" w:history="1">
        <w:r w:rsidR="00E13348" w:rsidRPr="001915E0">
          <w:rPr>
            <w:rStyle w:val="Hyperlink"/>
            <w:b/>
            <w:color w:val="auto"/>
          </w:rPr>
          <w:t>GASTOS</w:t>
        </w:r>
        <w:r w:rsidR="00E13348" w:rsidRPr="001915E0">
          <w:rPr>
            <w:webHidden/>
          </w:rPr>
          <w:tab/>
        </w:r>
        <w:r w:rsidR="00E13348" w:rsidRPr="001915E0">
          <w:rPr>
            <w:webHidden/>
          </w:rPr>
          <w:tab/>
        </w:r>
        <w:r w:rsidR="007255CB" w:rsidRPr="001915E0">
          <w:rPr>
            <w:webHidden/>
          </w:rPr>
          <w:tab/>
        </w:r>
        <w:r w:rsidR="00E13348" w:rsidRPr="001915E0">
          <w:rPr>
            <w:webHidden/>
          </w:rPr>
          <w:fldChar w:fldCharType="begin"/>
        </w:r>
        <w:r w:rsidR="00E13348" w:rsidRPr="001915E0">
          <w:rPr>
            <w:webHidden/>
          </w:rPr>
          <w:instrText xml:space="preserve"> PAGEREF _Toc366078699 \h </w:instrText>
        </w:r>
        <w:r w:rsidR="00E13348" w:rsidRPr="001915E0">
          <w:rPr>
            <w:webHidden/>
          </w:rPr>
        </w:r>
        <w:r w:rsidR="00E13348" w:rsidRPr="001915E0">
          <w:rPr>
            <w:webHidden/>
          </w:rPr>
          <w:fldChar w:fldCharType="separate"/>
        </w:r>
        <w:r w:rsidR="0051745D">
          <w:rPr>
            <w:webHidden/>
          </w:rPr>
          <w:t>21</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00" w:history="1">
        <w:r w:rsidR="00E13348" w:rsidRPr="001915E0">
          <w:rPr>
            <w:rStyle w:val="Hyperlink"/>
            <w:color w:val="auto"/>
            <w:lang w:val="es-ES_tradnl"/>
          </w:rPr>
          <w:t>GASTOS GLOBALES</w:t>
        </w:r>
        <w:r w:rsidR="00E13348" w:rsidRPr="001915E0">
          <w:rPr>
            <w:rStyle w:val="Hyperlink"/>
            <w:color w:val="auto"/>
            <w:lang w:val="es-ES_tradnl"/>
          </w:rPr>
          <w:tab/>
        </w:r>
        <w:r w:rsidR="00E13348" w:rsidRPr="001915E0">
          <w:rPr>
            <w:webHidden/>
          </w:rPr>
          <w:tab/>
        </w:r>
        <w:r w:rsidR="00E13348" w:rsidRPr="001915E0">
          <w:rPr>
            <w:webHidden/>
          </w:rPr>
          <w:fldChar w:fldCharType="begin"/>
        </w:r>
        <w:r w:rsidR="00E13348" w:rsidRPr="001915E0">
          <w:rPr>
            <w:webHidden/>
          </w:rPr>
          <w:instrText xml:space="preserve"> PAGEREF _Toc366078700 \h </w:instrText>
        </w:r>
        <w:r w:rsidR="00E13348" w:rsidRPr="001915E0">
          <w:rPr>
            <w:webHidden/>
          </w:rPr>
        </w:r>
        <w:r w:rsidR="00E13348" w:rsidRPr="001915E0">
          <w:rPr>
            <w:webHidden/>
          </w:rPr>
          <w:fldChar w:fldCharType="separate"/>
        </w:r>
        <w:r w:rsidR="0051745D">
          <w:rPr>
            <w:webHidden/>
          </w:rPr>
          <w:t>21</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01" w:history="1">
        <w:r w:rsidR="00E13348" w:rsidRPr="001915E0">
          <w:rPr>
            <w:rStyle w:val="Hyperlink"/>
            <w:color w:val="auto"/>
            <w:lang w:val="es-ES_tradnl"/>
          </w:rPr>
          <w:t>GASTOS DE PERSONAL</w:t>
        </w:r>
        <w:r w:rsidR="00E13348" w:rsidRPr="001915E0">
          <w:rPr>
            <w:webHidden/>
          </w:rPr>
          <w:tab/>
        </w:r>
        <w:r w:rsidR="00E13348" w:rsidRPr="001915E0">
          <w:rPr>
            <w:webHidden/>
          </w:rPr>
          <w:fldChar w:fldCharType="begin"/>
        </w:r>
        <w:r w:rsidR="00E13348" w:rsidRPr="001915E0">
          <w:rPr>
            <w:webHidden/>
          </w:rPr>
          <w:instrText xml:space="preserve"> PAGEREF _Toc366078701 \h </w:instrText>
        </w:r>
        <w:r w:rsidR="00E13348" w:rsidRPr="001915E0">
          <w:rPr>
            <w:webHidden/>
          </w:rPr>
        </w:r>
        <w:r w:rsidR="00E13348" w:rsidRPr="001915E0">
          <w:rPr>
            <w:webHidden/>
          </w:rPr>
          <w:fldChar w:fldCharType="separate"/>
        </w:r>
        <w:r w:rsidR="0051745D">
          <w:rPr>
            <w:webHidden/>
          </w:rPr>
          <w:t>25</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02" w:history="1">
        <w:r w:rsidR="00E13348" w:rsidRPr="001915E0">
          <w:rPr>
            <w:rStyle w:val="Hyperlink"/>
            <w:color w:val="auto"/>
            <w:lang w:val="es-ES_tradnl"/>
          </w:rPr>
          <w:t>GASTOS NO RELATIVOS AL PERSONAL</w:t>
        </w:r>
        <w:r w:rsidR="00E13348" w:rsidRPr="001915E0">
          <w:rPr>
            <w:webHidden/>
          </w:rPr>
          <w:tab/>
        </w:r>
        <w:r w:rsidR="00E13348" w:rsidRPr="001915E0">
          <w:rPr>
            <w:webHidden/>
          </w:rPr>
          <w:fldChar w:fldCharType="begin"/>
        </w:r>
        <w:r w:rsidR="00E13348" w:rsidRPr="001915E0">
          <w:rPr>
            <w:webHidden/>
          </w:rPr>
          <w:instrText xml:space="preserve"> PAGEREF _Toc366078702 \h </w:instrText>
        </w:r>
        <w:r w:rsidR="00E13348" w:rsidRPr="001915E0">
          <w:rPr>
            <w:webHidden/>
          </w:rPr>
        </w:r>
        <w:r w:rsidR="00E13348" w:rsidRPr="001915E0">
          <w:rPr>
            <w:webHidden/>
          </w:rPr>
          <w:fldChar w:fldCharType="separate"/>
        </w:r>
        <w:r w:rsidR="0051745D">
          <w:rPr>
            <w:webHidden/>
          </w:rPr>
          <w:t>26</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03" w:history="1">
        <w:r w:rsidR="00E13348" w:rsidRPr="001915E0">
          <w:rPr>
            <w:rStyle w:val="Hyperlink"/>
            <w:color w:val="auto"/>
            <w:lang w:val="es-ES_tradnl"/>
          </w:rPr>
          <w:t>ACTIVIDADES DE DESARROLLO Y RECURSOS DE LA AGENDA PARA EL DESARROLLO</w:t>
        </w:r>
        <w:r w:rsidR="00E13348" w:rsidRPr="001915E0">
          <w:rPr>
            <w:webHidden/>
          </w:rPr>
          <w:tab/>
        </w:r>
        <w:r w:rsidR="00A445F5" w:rsidRPr="001915E0">
          <w:rPr>
            <w:webHidden/>
          </w:rPr>
          <w:tab/>
        </w:r>
        <w:r w:rsidR="00A445F5" w:rsidRPr="001915E0">
          <w:rPr>
            <w:webHidden/>
          </w:rPr>
          <w:tab/>
        </w:r>
        <w:r w:rsidR="00E13348" w:rsidRPr="001915E0">
          <w:rPr>
            <w:webHidden/>
          </w:rPr>
          <w:fldChar w:fldCharType="begin"/>
        </w:r>
        <w:r w:rsidR="00E13348" w:rsidRPr="001915E0">
          <w:rPr>
            <w:webHidden/>
          </w:rPr>
          <w:instrText xml:space="preserve"> PAGEREF _Toc366078703 \h </w:instrText>
        </w:r>
        <w:r w:rsidR="00E13348" w:rsidRPr="001915E0">
          <w:rPr>
            <w:webHidden/>
          </w:rPr>
        </w:r>
        <w:r w:rsidR="00E13348" w:rsidRPr="001915E0">
          <w:rPr>
            <w:webHidden/>
          </w:rPr>
          <w:fldChar w:fldCharType="separate"/>
        </w:r>
        <w:r w:rsidR="0051745D">
          <w:rPr>
            <w:webHidden/>
          </w:rPr>
          <w:t>27</w:t>
        </w:r>
        <w:r w:rsidR="00E13348" w:rsidRPr="001915E0">
          <w:rPr>
            <w:webHidden/>
          </w:rPr>
          <w:fldChar w:fldCharType="end"/>
        </w:r>
      </w:hyperlink>
    </w:p>
    <w:p w:rsidR="00E13348" w:rsidRPr="001915E0" w:rsidRDefault="001F1886" w:rsidP="007255CB">
      <w:pPr>
        <w:pStyle w:val="TOC1"/>
        <w:rPr>
          <w:rFonts w:asciiTheme="minorHAnsi" w:eastAsiaTheme="minorEastAsia" w:hAnsiTheme="minorHAnsi" w:cstheme="minorBidi"/>
          <w:szCs w:val="22"/>
          <w:lang w:val="en-US"/>
        </w:rPr>
      </w:pPr>
      <w:hyperlink w:anchor="_Toc366078704" w:history="1">
        <w:r w:rsidR="00E13348" w:rsidRPr="001915E0">
          <w:rPr>
            <w:rStyle w:val="Hyperlink"/>
            <w:b/>
            <w:color w:val="auto"/>
          </w:rPr>
          <w:t>III.</w:t>
        </w:r>
        <w:r w:rsidR="00E13348" w:rsidRPr="001915E0">
          <w:rPr>
            <w:rFonts w:asciiTheme="minorHAnsi" w:eastAsiaTheme="minorEastAsia" w:hAnsiTheme="minorHAnsi" w:cstheme="minorBidi"/>
            <w:szCs w:val="22"/>
            <w:lang w:val="en-US"/>
          </w:rPr>
          <w:tab/>
        </w:r>
        <w:r w:rsidR="00E13348" w:rsidRPr="001915E0">
          <w:rPr>
            <w:rStyle w:val="Hyperlink"/>
            <w:b/>
            <w:color w:val="auto"/>
          </w:rPr>
          <w:t>DESCRIPCIÓN DE LOS PROGRAMAS, POR META ESTRATÉGICA</w:t>
        </w:r>
        <w:r w:rsidR="00E13348" w:rsidRPr="001915E0">
          <w:rPr>
            <w:webHidden/>
          </w:rPr>
          <w:tab/>
        </w:r>
        <w:r w:rsidR="00E13348" w:rsidRPr="001915E0">
          <w:rPr>
            <w:webHidden/>
          </w:rPr>
          <w:fldChar w:fldCharType="begin"/>
        </w:r>
        <w:r w:rsidR="00E13348" w:rsidRPr="001915E0">
          <w:rPr>
            <w:webHidden/>
          </w:rPr>
          <w:instrText xml:space="preserve"> PAGEREF _Toc366078704 \h </w:instrText>
        </w:r>
        <w:r w:rsidR="00E13348" w:rsidRPr="001915E0">
          <w:rPr>
            <w:webHidden/>
          </w:rPr>
        </w:r>
        <w:r w:rsidR="00E13348" w:rsidRPr="001915E0">
          <w:rPr>
            <w:webHidden/>
          </w:rPr>
          <w:fldChar w:fldCharType="separate"/>
        </w:r>
        <w:r w:rsidR="0051745D">
          <w:rPr>
            <w:webHidden/>
          </w:rPr>
          <w:t>29</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05" w:history="1">
        <w:r w:rsidR="00E13348" w:rsidRPr="001915E0">
          <w:rPr>
            <w:rStyle w:val="Hyperlink"/>
            <w:b/>
            <w:color w:val="auto"/>
          </w:rPr>
          <w:t>META ESTRATÉGICA I</w:t>
        </w:r>
        <w:r w:rsidR="00E13348" w:rsidRPr="001915E0">
          <w:rPr>
            <w:rStyle w:val="Hyperlink"/>
            <w:b/>
            <w:color w:val="auto"/>
          </w:rPr>
          <w:tab/>
        </w:r>
      </w:hyperlink>
      <w:hyperlink w:anchor="_Toc366078706" w:history="1">
        <w:r w:rsidR="00987F02" w:rsidRPr="001915E0">
          <w:rPr>
            <w:rStyle w:val="Hyperlink"/>
            <w:b/>
            <w:color w:val="auto"/>
          </w:rPr>
          <w:t>Evolución equilibrada del marco normativo internacional de P.I.</w:t>
        </w:r>
        <w:r w:rsidR="00987F02" w:rsidRPr="001915E0">
          <w:rPr>
            <w:webHidden/>
          </w:rPr>
          <w:tab/>
        </w:r>
        <w:r w:rsidR="00E13348" w:rsidRPr="001915E0">
          <w:rPr>
            <w:webHidden/>
          </w:rPr>
          <w:fldChar w:fldCharType="begin"/>
        </w:r>
        <w:r w:rsidR="00E13348" w:rsidRPr="001915E0">
          <w:rPr>
            <w:webHidden/>
          </w:rPr>
          <w:instrText xml:space="preserve"> PAGEREF _Toc366078706 \h </w:instrText>
        </w:r>
        <w:r w:rsidR="00E13348" w:rsidRPr="001915E0">
          <w:rPr>
            <w:webHidden/>
          </w:rPr>
        </w:r>
        <w:r w:rsidR="00E13348" w:rsidRPr="001915E0">
          <w:rPr>
            <w:webHidden/>
          </w:rPr>
          <w:fldChar w:fldCharType="separate"/>
        </w:r>
        <w:r w:rsidR="0051745D">
          <w:rPr>
            <w:webHidden/>
          </w:rPr>
          <w:t>31</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07" w:history="1">
        <w:r w:rsidR="00E13348" w:rsidRPr="001915E0">
          <w:rPr>
            <w:rStyle w:val="Hyperlink"/>
            <w:iCs/>
            <w:color w:val="auto"/>
          </w:rPr>
          <w:t>Programa 1</w:t>
        </w:r>
        <w:r w:rsidR="00E13348" w:rsidRPr="001915E0">
          <w:rPr>
            <w:rFonts w:asciiTheme="minorHAnsi" w:eastAsiaTheme="minorEastAsia" w:hAnsiTheme="minorHAnsi" w:cstheme="minorBidi"/>
            <w:sz w:val="22"/>
            <w:szCs w:val="22"/>
          </w:rPr>
          <w:tab/>
        </w:r>
        <w:r w:rsidR="00E13348" w:rsidRPr="001915E0">
          <w:rPr>
            <w:rStyle w:val="Hyperlink"/>
            <w:iCs/>
            <w:color w:val="auto"/>
          </w:rPr>
          <w:t xml:space="preserve">Derecho </w:t>
        </w:r>
        <w:r w:rsidR="00987F02" w:rsidRPr="001915E0">
          <w:rPr>
            <w:rStyle w:val="Hyperlink"/>
            <w:iCs/>
            <w:color w:val="auto"/>
          </w:rPr>
          <w:t>de pa</w:t>
        </w:r>
        <w:r w:rsidR="00E13348" w:rsidRPr="001915E0">
          <w:rPr>
            <w:rStyle w:val="Hyperlink"/>
            <w:iCs/>
            <w:color w:val="auto"/>
          </w:rPr>
          <w:t>tentes</w:t>
        </w:r>
        <w:r w:rsidR="00E13348" w:rsidRPr="001915E0">
          <w:rPr>
            <w:webHidden/>
          </w:rPr>
          <w:tab/>
        </w:r>
        <w:r w:rsidR="00E13348" w:rsidRPr="001915E0">
          <w:rPr>
            <w:webHidden/>
          </w:rPr>
          <w:fldChar w:fldCharType="begin"/>
        </w:r>
        <w:r w:rsidR="00E13348" w:rsidRPr="001915E0">
          <w:rPr>
            <w:webHidden/>
          </w:rPr>
          <w:instrText xml:space="preserve"> PAGEREF _Toc366078707 \h </w:instrText>
        </w:r>
        <w:r w:rsidR="00E13348" w:rsidRPr="001915E0">
          <w:rPr>
            <w:webHidden/>
          </w:rPr>
        </w:r>
        <w:r w:rsidR="00E13348" w:rsidRPr="001915E0">
          <w:rPr>
            <w:webHidden/>
          </w:rPr>
          <w:fldChar w:fldCharType="separate"/>
        </w:r>
        <w:r w:rsidR="0051745D">
          <w:rPr>
            <w:webHidden/>
          </w:rPr>
          <w:t>33</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08" w:history="1">
        <w:r w:rsidR="00E13348" w:rsidRPr="001915E0">
          <w:rPr>
            <w:rStyle w:val="Hyperlink"/>
            <w:iCs/>
            <w:color w:val="auto"/>
          </w:rPr>
          <w:t>Programa 2</w:t>
        </w:r>
        <w:r w:rsidR="00E13348" w:rsidRPr="001915E0">
          <w:rPr>
            <w:rFonts w:asciiTheme="minorHAnsi" w:eastAsiaTheme="minorEastAsia" w:hAnsiTheme="minorHAnsi" w:cstheme="minorBidi"/>
            <w:sz w:val="22"/>
            <w:szCs w:val="22"/>
          </w:rPr>
          <w:tab/>
        </w:r>
        <w:r w:rsidR="00E13348" w:rsidRPr="001915E0">
          <w:rPr>
            <w:rStyle w:val="Hyperlink"/>
            <w:iCs/>
            <w:color w:val="auto"/>
          </w:rPr>
          <w:t xml:space="preserve">Marcas, </w:t>
        </w:r>
        <w:r w:rsidR="00987F02" w:rsidRPr="001915E0">
          <w:rPr>
            <w:rStyle w:val="Hyperlink"/>
            <w:iCs/>
            <w:color w:val="auto"/>
          </w:rPr>
          <w:t>diseños industriales e indicaciones geo</w:t>
        </w:r>
        <w:r w:rsidR="00E13348" w:rsidRPr="001915E0">
          <w:rPr>
            <w:rStyle w:val="Hyperlink"/>
            <w:iCs/>
            <w:color w:val="auto"/>
          </w:rPr>
          <w:t>gráficas</w:t>
        </w:r>
        <w:r w:rsidR="00E13348" w:rsidRPr="001915E0">
          <w:rPr>
            <w:webHidden/>
          </w:rPr>
          <w:tab/>
        </w:r>
        <w:r w:rsidR="00E13348" w:rsidRPr="001915E0">
          <w:rPr>
            <w:webHidden/>
          </w:rPr>
          <w:fldChar w:fldCharType="begin"/>
        </w:r>
        <w:r w:rsidR="00E13348" w:rsidRPr="001915E0">
          <w:rPr>
            <w:webHidden/>
          </w:rPr>
          <w:instrText xml:space="preserve"> PAGEREF _Toc366078708 \h </w:instrText>
        </w:r>
        <w:r w:rsidR="00E13348" w:rsidRPr="001915E0">
          <w:rPr>
            <w:webHidden/>
          </w:rPr>
        </w:r>
        <w:r w:rsidR="00E13348" w:rsidRPr="001915E0">
          <w:rPr>
            <w:webHidden/>
          </w:rPr>
          <w:fldChar w:fldCharType="separate"/>
        </w:r>
        <w:r w:rsidR="0051745D">
          <w:rPr>
            <w:webHidden/>
          </w:rPr>
          <w:t>38</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09" w:history="1">
        <w:r w:rsidR="00E13348" w:rsidRPr="001915E0">
          <w:rPr>
            <w:rStyle w:val="Hyperlink"/>
            <w:iCs/>
            <w:color w:val="auto"/>
          </w:rPr>
          <w:t>Programa 3</w:t>
        </w:r>
        <w:r w:rsidR="00E13348" w:rsidRPr="001915E0">
          <w:rPr>
            <w:rFonts w:asciiTheme="minorHAnsi" w:eastAsiaTheme="minorEastAsia" w:hAnsiTheme="minorHAnsi" w:cstheme="minorBidi"/>
            <w:sz w:val="22"/>
            <w:szCs w:val="22"/>
          </w:rPr>
          <w:tab/>
        </w:r>
        <w:r w:rsidR="00E13348" w:rsidRPr="001915E0">
          <w:rPr>
            <w:rStyle w:val="Hyperlink"/>
            <w:iCs/>
            <w:color w:val="auto"/>
          </w:rPr>
          <w:t xml:space="preserve">Derecho </w:t>
        </w:r>
        <w:r w:rsidR="00987F02" w:rsidRPr="001915E0">
          <w:rPr>
            <w:rStyle w:val="Hyperlink"/>
            <w:iCs/>
            <w:color w:val="auto"/>
          </w:rPr>
          <w:t>de autor y derechos co</w:t>
        </w:r>
        <w:r w:rsidR="00E13348" w:rsidRPr="001915E0">
          <w:rPr>
            <w:rStyle w:val="Hyperlink"/>
            <w:iCs/>
            <w:color w:val="auto"/>
          </w:rPr>
          <w:t>nexos</w:t>
        </w:r>
        <w:r w:rsidR="00E13348" w:rsidRPr="001915E0">
          <w:rPr>
            <w:webHidden/>
          </w:rPr>
          <w:tab/>
        </w:r>
        <w:r w:rsidR="00E13348" w:rsidRPr="001915E0">
          <w:rPr>
            <w:webHidden/>
          </w:rPr>
          <w:fldChar w:fldCharType="begin"/>
        </w:r>
        <w:r w:rsidR="00E13348" w:rsidRPr="001915E0">
          <w:rPr>
            <w:webHidden/>
          </w:rPr>
          <w:instrText xml:space="preserve"> PAGEREF _Toc366078709 \h </w:instrText>
        </w:r>
        <w:r w:rsidR="00E13348" w:rsidRPr="001915E0">
          <w:rPr>
            <w:webHidden/>
          </w:rPr>
        </w:r>
        <w:r w:rsidR="00E13348" w:rsidRPr="001915E0">
          <w:rPr>
            <w:webHidden/>
          </w:rPr>
          <w:fldChar w:fldCharType="separate"/>
        </w:r>
        <w:r w:rsidR="0051745D">
          <w:rPr>
            <w:webHidden/>
          </w:rPr>
          <w:t>43</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10" w:history="1">
        <w:r w:rsidR="00E13348" w:rsidRPr="001915E0">
          <w:rPr>
            <w:rStyle w:val="Hyperlink"/>
            <w:iCs/>
            <w:color w:val="auto"/>
          </w:rPr>
          <w:t>Programa 4</w:t>
        </w:r>
        <w:r w:rsidR="00E13348" w:rsidRPr="001915E0">
          <w:rPr>
            <w:rStyle w:val="Hyperlink"/>
            <w:iCs/>
            <w:color w:val="auto"/>
          </w:rPr>
          <w:tab/>
        </w:r>
        <w:r w:rsidR="00E13348" w:rsidRPr="001915E0">
          <w:rPr>
            <w:rFonts w:asciiTheme="minorHAnsi" w:eastAsiaTheme="minorEastAsia" w:hAnsiTheme="minorHAnsi" w:cstheme="minorBidi"/>
            <w:sz w:val="22"/>
            <w:szCs w:val="22"/>
          </w:rPr>
          <w:t>Conocimie</w:t>
        </w:r>
        <w:r w:rsidR="00E13348" w:rsidRPr="001915E0">
          <w:rPr>
            <w:rStyle w:val="Hyperlink"/>
            <w:iCs/>
            <w:color w:val="auto"/>
          </w:rPr>
          <w:t xml:space="preserve">ntos </w:t>
        </w:r>
        <w:r w:rsidR="00987F02" w:rsidRPr="001915E0">
          <w:rPr>
            <w:rStyle w:val="Hyperlink"/>
            <w:iCs/>
            <w:color w:val="auto"/>
          </w:rPr>
          <w:t>tradicionales, expresiones culturales tradicionales y recursos genéticos</w:t>
        </w:r>
        <w:r w:rsidR="00E13348" w:rsidRPr="001915E0">
          <w:rPr>
            <w:webHidden/>
          </w:rPr>
          <w:tab/>
        </w:r>
        <w:r w:rsidR="00E13348" w:rsidRPr="001915E0">
          <w:rPr>
            <w:webHidden/>
          </w:rPr>
          <w:fldChar w:fldCharType="begin"/>
        </w:r>
        <w:r w:rsidR="00E13348" w:rsidRPr="001915E0">
          <w:rPr>
            <w:webHidden/>
          </w:rPr>
          <w:instrText xml:space="preserve"> PAGEREF _Toc366078710 \h </w:instrText>
        </w:r>
        <w:r w:rsidR="00E13348" w:rsidRPr="001915E0">
          <w:rPr>
            <w:webHidden/>
          </w:rPr>
        </w:r>
        <w:r w:rsidR="00E13348" w:rsidRPr="001915E0">
          <w:rPr>
            <w:webHidden/>
          </w:rPr>
          <w:fldChar w:fldCharType="separate"/>
        </w:r>
        <w:r w:rsidR="0051745D">
          <w:rPr>
            <w:webHidden/>
          </w:rPr>
          <w:t>50</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11" w:history="1">
        <w:r w:rsidR="00E13348" w:rsidRPr="001915E0">
          <w:rPr>
            <w:rStyle w:val="Hyperlink"/>
            <w:b/>
            <w:color w:val="auto"/>
          </w:rPr>
          <w:t>META ESTRATÉGICA II</w:t>
        </w:r>
        <w:r w:rsidR="00E13348" w:rsidRPr="001915E0">
          <w:rPr>
            <w:webHidden/>
          </w:rPr>
          <w:tab/>
        </w:r>
        <w:r w:rsidR="00987F02" w:rsidRPr="001915E0">
          <w:rPr>
            <w:b/>
            <w:webHidden/>
          </w:rPr>
          <w:t>P</w:t>
        </w:r>
        <w:r w:rsidR="00987F02" w:rsidRPr="001915E0">
          <w:rPr>
            <w:b/>
          </w:rPr>
          <w:t>restación de servicios mundiales de P.I. de calidad</w:t>
        </w:r>
        <w:r w:rsidR="00987F02" w:rsidRPr="001915E0">
          <w:rPr>
            <w:webHidden/>
          </w:rPr>
          <w:tab/>
        </w:r>
        <w:r w:rsidR="00E13348" w:rsidRPr="001915E0">
          <w:rPr>
            <w:webHidden/>
          </w:rPr>
          <w:fldChar w:fldCharType="begin"/>
        </w:r>
        <w:r w:rsidR="00E13348" w:rsidRPr="001915E0">
          <w:rPr>
            <w:webHidden/>
          </w:rPr>
          <w:instrText xml:space="preserve"> PAGEREF _Toc366078711 \h </w:instrText>
        </w:r>
        <w:r w:rsidR="00E13348" w:rsidRPr="001915E0">
          <w:rPr>
            <w:webHidden/>
          </w:rPr>
        </w:r>
        <w:r w:rsidR="00E13348" w:rsidRPr="001915E0">
          <w:rPr>
            <w:webHidden/>
          </w:rPr>
          <w:fldChar w:fldCharType="separate"/>
        </w:r>
        <w:r w:rsidR="0051745D">
          <w:rPr>
            <w:webHidden/>
          </w:rPr>
          <w:t>55</w:t>
        </w:r>
        <w:r w:rsidR="00E13348" w:rsidRPr="001915E0">
          <w:rPr>
            <w:webHidden/>
          </w:rPr>
          <w:fldChar w:fldCharType="end"/>
        </w:r>
      </w:hyperlink>
    </w:p>
    <w:p w:rsidR="00E13348" w:rsidRPr="001915E0" w:rsidRDefault="001F1886" w:rsidP="00A445F5">
      <w:pPr>
        <w:pStyle w:val="TOC3"/>
        <w:rPr>
          <w:rStyle w:val="Hyperlink"/>
          <w:iCs/>
          <w:color w:val="auto"/>
        </w:rPr>
      </w:pPr>
      <w:hyperlink w:anchor="_Toc366078713" w:history="1">
        <w:r w:rsidR="00E13348" w:rsidRPr="001915E0">
          <w:rPr>
            <w:rStyle w:val="Hyperlink"/>
            <w:iCs/>
            <w:color w:val="auto"/>
          </w:rPr>
          <w:t>Programa 5</w:t>
        </w:r>
        <w:r w:rsidR="00E13348" w:rsidRPr="001915E0">
          <w:rPr>
            <w:rStyle w:val="Hyperlink"/>
            <w:iCs/>
            <w:color w:val="auto"/>
          </w:rPr>
          <w:tab/>
          <w:t xml:space="preserve">Sistema </w:t>
        </w:r>
        <w:r w:rsidR="00987F02" w:rsidRPr="001915E0">
          <w:rPr>
            <w:rStyle w:val="Hyperlink"/>
            <w:iCs/>
            <w:color w:val="auto"/>
          </w:rPr>
          <w:t>del PCT</w:t>
        </w:r>
        <w:r w:rsidR="00E13348" w:rsidRPr="001915E0">
          <w:rPr>
            <w:rStyle w:val="Hyperlink"/>
            <w:iCs/>
            <w:webHidden/>
            <w:color w:val="auto"/>
          </w:rPr>
          <w:tab/>
        </w:r>
        <w:r w:rsidR="00E13348" w:rsidRPr="001915E0">
          <w:rPr>
            <w:rStyle w:val="Hyperlink"/>
            <w:iCs/>
            <w:webHidden/>
            <w:color w:val="auto"/>
          </w:rPr>
          <w:fldChar w:fldCharType="begin"/>
        </w:r>
        <w:r w:rsidR="00E13348" w:rsidRPr="001915E0">
          <w:rPr>
            <w:rStyle w:val="Hyperlink"/>
            <w:iCs/>
            <w:webHidden/>
            <w:color w:val="auto"/>
          </w:rPr>
          <w:instrText xml:space="preserve"> PAGEREF _Toc366078713 \h </w:instrText>
        </w:r>
        <w:r w:rsidR="00E13348" w:rsidRPr="001915E0">
          <w:rPr>
            <w:rStyle w:val="Hyperlink"/>
            <w:iCs/>
            <w:webHidden/>
            <w:color w:val="auto"/>
          </w:rPr>
        </w:r>
        <w:r w:rsidR="00E13348" w:rsidRPr="001915E0">
          <w:rPr>
            <w:rStyle w:val="Hyperlink"/>
            <w:iCs/>
            <w:webHidden/>
            <w:color w:val="auto"/>
          </w:rPr>
          <w:fldChar w:fldCharType="separate"/>
        </w:r>
        <w:r w:rsidR="0051745D">
          <w:rPr>
            <w:rStyle w:val="Hyperlink"/>
            <w:iCs/>
            <w:webHidden/>
            <w:color w:val="auto"/>
          </w:rPr>
          <w:t>59</w:t>
        </w:r>
        <w:r w:rsidR="00E13348" w:rsidRPr="001915E0">
          <w:rPr>
            <w:rStyle w:val="Hyperlink"/>
            <w:iCs/>
            <w:webHidden/>
            <w:color w:val="auto"/>
          </w:rPr>
          <w:fldChar w:fldCharType="end"/>
        </w:r>
      </w:hyperlink>
    </w:p>
    <w:p w:rsidR="00E13348" w:rsidRPr="001915E0" w:rsidRDefault="001F1886" w:rsidP="00A445F5">
      <w:pPr>
        <w:pStyle w:val="TOC3"/>
        <w:rPr>
          <w:rStyle w:val="Hyperlink"/>
          <w:iCs/>
          <w:color w:val="auto"/>
        </w:rPr>
      </w:pPr>
      <w:hyperlink w:anchor="_Toc366078714" w:history="1">
        <w:r w:rsidR="00E13348" w:rsidRPr="001915E0">
          <w:rPr>
            <w:rStyle w:val="Hyperlink"/>
            <w:iCs/>
            <w:color w:val="auto"/>
          </w:rPr>
          <w:t>Programa 6</w:t>
        </w:r>
        <w:r w:rsidR="00E13348" w:rsidRPr="001915E0">
          <w:rPr>
            <w:rStyle w:val="Hyperlink"/>
            <w:iCs/>
            <w:color w:val="auto"/>
          </w:rPr>
          <w:tab/>
          <w:t xml:space="preserve">Sistemas </w:t>
        </w:r>
        <w:r w:rsidR="00987F02" w:rsidRPr="001915E0">
          <w:rPr>
            <w:rStyle w:val="Hyperlink"/>
            <w:iCs/>
            <w:color w:val="auto"/>
          </w:rPr>
          <w:t xml:space="preserve">de </w:t>
        </w:r>
        <w:r w:rsidR="00E13348" w:rsidRPr="001915E0">
          <w:rPr>
            <w:rStyle w:val="Hyperlink"/>
            <w:iCs/>
            <w:color w:val="auto"/>
          </w:rPr>
          <w:t xml:space="preserve">Madrid </w:t>
        </w:r>
        <w:r w:rsidR="00987F02" w:rsidRPr="001915E0">
          <w:rPr>
            <w:rStyle w:val="Hyperlink"/>
            <w:iCs/>
            <w:color w:val="auto"/>
          </w:rPr>
          <w:t>y de</w:t>
        </w:r>
        <w:r w:rsidR="00E13348" w:rsidRPr="001915E0">
          <w:rPr>
            <w:rStyle w:val="Hyperlink"/>
            <w:iCs/>
            <w:color w:val="auto"/>
          </w:rPr>
          <w:t xml:space="preserve"> Lisboa</w:t>
        </w:r>
        <w:r w:rsidR="00E13348" w:rsidRPr="001915E0">
          <w:rPr>
            <w:rStyle w:val="Hyperlink"/>
            <w:iCs/>
            <w:webHidden/>
            <w:color w:val="auto"/>
          </w:rPr>
          <w:tab/>
        </w:r>
        <w:r w:rsidR="00E13348" w:rsidRPr="001915E0">
          <w:rPr>
            <w:rStyle w:val="Hyperlink"/>
            <w:iCs/>
            <w:webHidden/>
            <w:color w:val="auto"/>
          </w:rPr>
          <w:fldChar w:fldCharType="begin"/>
        </w:r>
        <w:r w:rsidR="00E13348" w:rsidRPr="001915E0">
          <w:rPr>
            <w:rStyle w:val="Hyperlink"/>
            <w:iCs/>
            <w:webHidden/>
            <w:color w:val="auto"/>
          </w:rPr>
          <w:instrText xml:space="preserve"> PAGEREF _Toc366078714 \h </w:instrText>
        </w:r>
        <w:r w:rsidR="00E13348" w:rsidRPr="001915E0">
          <w:rPr>
            <w:rStyle w:val="Hyperlink"/>
            <w:iCs/>
            <w:webHidden/>
            <w:color w:val="auto"/>
          </w:rPr>
        </w:r>
        <w:r w:rsidR="00E13348" w:rsidRPr="001915E0">
          <w:rPr>
            <w:rStyle w:val="Hyperlink"/>
            <w:iCs/>
            <w:webHidden/>
            <w:color w:val="auto"/>
          </w:rPr>
          <w:fldChar w:fldCharType="separate"/>
        </w:r>
        <w:r w:rsidR="0051745D">
          <w:rPr>
            <w:rStyle w:val="Hyperlink"/>
            <w:iCs/>
            <w:webHidden/>
            <w:color w:val="auto"/>
          </w:rPr>
          <w:t>63</w:t>
        </w:r>
        <w:r w:rsidR="00E13348" w:rsidRPr="001915E0">
          <w:rPr>
            <w:rStyle w:val="Hyperlink"/>
            <w:iCs/>
            <w:webHidden/>
            <w:color w:val="auto"/>
          </w:rPr>
          <w:fldChar w:fldCharType="end"/>
        </w:r>
      </w:hyperlink>
    </w:p>
    <w:p w:rsidR="00E13348" w:rsidRPr="001915E0" w:rsidRDefault="001F1886" w:rsidP="00A445F5">
      <w:pPr>
        <w:pStyle w:val="TOC3"/>
        <w:rPr>
          <w:rStyle w:val="Hyperlink"/>
          <w:iCs/>
          <w:color w:val="auto"/>
        </w:rPr>
      </w:pPr>
      <w:hyperlink w:anchor="_Toc366078715" w:history="1">
        <w:r w:rsidR="00E13348" w:rsidRPr="001915E0">
          <w:rPr>
            <w:rStyle w:val="Hyperlink"/>
            <w:iCs/>
            <w:color w:val="auto"/>
          </w:rPr>
          <w:t>Programa 31</w:t>
        </w:r>
        <w:r w:rsidR="00E13348" w:rsidRPr="001915E0">
          <w:rPr>
            <w:rStyle w:val="Hyperlink"/>
            <w:iCs/>
            <w:color w:val="auto"/>
          </w:rPr>
          <w:tab/>
          <w:t xml:space="preserve">Sistema </w:t>
        </w:r>
        <w:r w:rsidR="00987F02" w:rsidRPr="001915E0">
          <w:rPr>
            <w:rStyle w:val="Hyperlink"/>
            <w:iCs/>
            <w:color w:val="auto"/>
          </w:rPr>
          <w:t xml:space="preserve">de </w:t>
        </w:r>
        <w:r w:rsidR="00E13348" w:rsidRPr="001915E0">
          <w:rPr>
            <w:rStyle w:val="Hyperlink"/>
            <w:iCs/>
            <w:color w:val="auto"/>
          </w:rPr>
          <w:t>La Haya</w:t>
        </w:r>
        <w:r w:rsidR="00E13348" w:rsidRPr="001915E0">
          <w:rPr>
            <w:rStyle w:val="Hyperlink"/>
            <w:iCs/>
            <w:webHidden/>
            <w:color w:val="auto"/>
          </w:rPr>
          <w:tab/>
        </w:r>
        <w:r w:rsidR="00E13348" w:rsidRPr="001915E0">
          <w:rPr>
            <w:rStyle w:val="Hyperlink"/>
            <w:iCs/>
            <w:webHidden/>
            <w:color w:val="auto"/>
          </w:rPr>
          <w:fldChar w:fldCharType="begin"/>
        </w:r>
        <w:r w:rsidR="00E13348" w:rsidRPr="001915E0">
          <w:rPr>
            <w:rStyle w:val="Hyperlink"/>
            <w:iCs/>
            <w:webHidden/>
            <w:color w:val="auto"/>
          </w:rPr>
          <w:instrText xml:space="preserve"> PAGEREF _Toc366078715 \h </w:instrText>
        </w:r>
        <w:r w:rsidR="00E13348" w:rsidRPr="001915E0">
          <w:rPr>
            <w:rStyle w:val="Hyperlink"/>
            <w:iCs/>
            <w:webHidden/>
            <w:color w:val="auto"/>
          </w:rPr>
        </w:r>
        <w:r w:rsidR="00E13348" w:rsidRPr="001915E0">
          <w:rPr>
            <w:rStyle w:val="Hyperlink"/>
            <w:iCs/>
            <w:webHidden/>
            <w:color w:val="auto"/>
          </w:rPr>
          <w:fldChar w:fldCharType="separate"/>
        </w:r>
        <w:r w:rsidR="0051745D">
          <w:rPr>
            <w:rStyle w:val="Hyperlink"/>
            <w:iCs/>
            <w:webHidden/>
            <w:color w:val="auto"/>
          </w:rPr>
          <w:t>69</w:t>
        </w:r>
        <w:r w:rsidR="00E13348" w:rsidRPr="001915E0">
          <w:rPr>
            <w:rStyle w:val="Hyperlink"/>
            <w:iCs/>
            <w:webHidden/>
            <w:color w:val="auto"/>
          </w:rPr>
          <w:fldChar w:fldCharType="end"/>
        </w:r>
      </w:hyperlink>
    </w:p>
    <w:p w:rsidR="00E13348" w:rsidRPr="001915E0" w:rsidRDefault="001F1886" w:rsidP="00A445F5">
      <w:pPr>
        <w:pStyle w:val="TOC3"/>
        <w:rPr>
          <w:rStyle w:val="Hyperlink"/>
          <w:iCs/>
          <w:color w:val="auto"/>
        </w:rPr>
      </w:pPr>
      <w:hyperlink w:anchor="_Toc366078716" w:history="1">
        <w:r w:rsidR="00E13348" w:rsidRPr="001915E0">
          <w:rPr>
            <w:rStyle w:val="Hyperlink"/>
            <w:iCs/>
            <w:color w:val="auto"/>
          </w:rPr>
          <w:t>Programa 7</w:t>
        </w:r>
        <w:r w:rsidR="00E13348" w:rsidRPr="001915E0">
          <w:rPr>
            <w:rStyle w:val="Hyperlink"/>
            <w:iCs/>
            <w:color w:val="auto"/>
          </w:rPr>
          <w:tab/>
          <w:t xml:space="preserve">Centro </w:t>
        </w:r>
        <w:r w:rsidR="00987F02" w:rsidRPr="001915E0">
          <w:rPr>
            <w:rStyle w:val="Hyperlink"/>
            <w:iCs/>
            <w:color w:val="auto"/>
          </w:rPr>
          <w:t xml:space="preserve">de </w:t>
        </w:r>
        <w:r w:rsidR="00E13348" w:rsidRPr="001915E0">
          <w:rPr>
            <w:rStyle w:val="Hyperlink"/>
            <w:iCs/>
            <w:color w:val="auto"/>
          </w:rPr>
          <w:t xml:space="preserve">Arbitraje </w:t>
        </w:r>
        <w:r w:rsidR="00987F02" w:rsidRPr="001915E0">
          <w:rPr>
            <w:rStyle w:val="Hyperlink"/>
            <w:iCs/>
            <w:color w:val="auto"/>
          </w:rPr>
          <w:t xml:space="preserve">y </w:t>
        </w:r>
        <w:r w:rsidR="00E13348" w:rsidRPr="001915E0">
          <w:rPr>
            <w:rStyle w:val="Hyperlink"/>
            <w:iCs/>
            <w:color w:val="auto"/>
          </w:rPr>
          <w:t xml:space="preserve">Mediación </w:t>
        </w:r>
        <w:r w:rsidR="00987F02" w:rsidRPr="001915E0">
          <w:rPr>
            <w:rStyle w:val="Hyperlink"/>
            <w:iCs/>
            <w:color w:val="auto"/>
          </w:rPr>
          <w:t>de la OMPI</w:t>
        </w:r>
        <w:r w:rsidR="00E13348" w:rsidRPr="001915E0">
          <w:rPr>
            <w:rStyle w:val="Hyperlink"/>
            <w:iCs/>
            <w:webHidden/>
            <w:color w:val="auto"/>
          </w:rPr>
          <w:tab/>
        </w:r>
        <w:r w:rsidR="00E13348" w:rsidRPr="001915E0">
          <w:rPr>
            <w:rStyle w:val="Hyperlink"/>
            <w:iCs/>
            <w:webHidden/>
            <w:color w:val="auto"/>
          </w:rPr>
          <w:fldChar w:fldCharType="begin"/>
        </w:r>
        <w:r w:rsidR="00E13348" w:rsidRPr="001915E0">
          <w:rPr>
            <w:rStyle w:val="Hyperlink"/>
            <w:iCs/>
            <w:webHidden/>
            <w:color w:val="auto"/>
          </w:rPr>
          <w:instrText xml:space="preserve"> PAGEREF _Toc366078716 \h </w:instrText>
        </w:r>
        <w:r w:rsidR="00E13348" w:rsidRPr="001915E0">
          <w:rPr>
            <w:rStyle w:val="Hyperlink"/>
            <w:iCs/>
            <w:webHidden/>
            <w:color w:val="auto"/>
          </w:rPr>
        </w:r>
        <w:r w:rsidR="00E13348" w:rsidRPr="001915E0">
          <w:rPr>
            <w:rStyle w:val="Hyperlink"/>
            <w:iCs/>
            <w:webHidden/>
            <w:color w:val="auto"/>
          </w:rPr>
          <w:fldChar w:fldCharType="separate"/>
        </w:r>
        <w:r w:rsidR="0051745D">
          <w:rPr>
            <w:rStyle w:val="Hyperlink"/>
            <w:iCs/>
            <w:webHidden/>
            <w:color w:val="auto"/>
          </w:rPr>
          <w:t>73</w:t>
        </w:r>
        <w:r w:rsidR="00E13348" w:rsidRPr="001915E0">
          <w:rPr>
            <w:rStyle w:val="Hyperlink"/>
            <w:iCs/>
            <w:webHidden/>
            <w:color w:val="auto"/>
          </w:rPr>
          <w:fldChar w:fldCharType="end"/>
        </w:r>
      </w:hyperlink>
    </w:p>
    <w:p w:rsidR="00E13348" w:rsidRPr="001915E0" w:rsidRDefault="001F1886" w:rsidP="00A445F5">
      <w:pPr>
        <w:pStyle w:val="TOC2"/>
      </w:pPr>
      <w:hyperlink w:anchor="_Toc366078717" w:history="1">
        <w:r w:rsidR="00E13348" w:rsidRPr="001915E0">
          <w:rPr>
            <w:rStyle w:val="Hyperlink"/>
            <w:b/>
            <w:color w:val="auto"/>
          </w:rPr>
          <w:t>META ESTRATÉGICA III</w:t>
        </w:r>
        <w:r w:rsidR="00E13348" w:rsidRPr="001915E0">
          <w:rPr>
            <w:webHidden/>
          </w:rPr>
          <w:tab/>
        </w:r>
      </w:hyperlink>
      <w:hyperlink w:anchor="_Toc366078718" w:history="1">
        <w:r w:rsidR="00E13348" w:rsidRPr="001915E0">
          <w:rPr>
            <w:rStyle w:val="Hyperlink"/>
            <w:b/>
            <w:color w:val="auto"/>
          </w:rPr>
          <w:t>F</w:t>
        </w:r>
        <w:r w:rsidR="00987F02" w:rsidRPr="001915E0">
          <w:rPr>
            <w:rStyle w:val="Hyperlink"/>
            <w:b/>
            <w:color w:val="auto"/>
          </w:rPr>
          <w:t>acilitar el uso de la P.I. en aras del desarrollo</w:t>
        </w:r>
        <w:r w:rsidR="00E13348" w:rsidRPr="001915E0">
          <w:rPr>
            <w:webHidden/>
          </w:rPr>
          <w:tab/>
        </w:r>
        <w:r w:rsidR="00E13348" w:rsidRPr="001915E0">
          <w:rPr>
            <w:webHidden/>
          </w:rPr>
          <w:fldChar w:fldCharType="begin"/>
        </w:r>
        <w:r w:rsidR="00E13348" w:rsidRPr="001915E0">
          <w:rPr>
            <w:webHidden/>
          </w:rPr>
          <w:instrText xml:space="preserve"> PAGEREF _Toc366078718 \h </w:instrText>
        </w:r>
        <w:r w:rsidR="00E13348" w:rsidRPr="001915E0">
          <w:rPr>
            <w:webHidden/>
          </w:rPr>
        </w:r>
        <w:r w:rsidR="00E13348" w:rsidRPr="001915E0">
          <w:rPr>
            <w:webHidden/>
          </w:rPr>
          <w:fldChar w:fldCharType="separate"/>
        </w:r>
        <w:r w:rsidR="0051745D">
          <w:rPr>
            <w:webHidden/>
          </w:rPr>
          <w:t>79</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19" w:history="1">
        <w:r w:rsidR="00987F02" w:rsidRPr="001915E0">
          <w:rPr>
            <w:rStyle w:val="Hyperlink"/>
            <w:iCs/>
            <w:color w:val="auto"/>
          </w:rPr>
          <w:t>Programa 8</w:t>
        </w:r>
        <w:r w:rsidR="00987F02" w:rsidRPr="001915E0">
          <w:rPr>
            <w:rFonts w:asciiTheme="minorHAnsi" w:eastAsiaTheme="minorEastAsia" w:hAnsiTheme="minorHAnsi" w:cstheme="minorBidi"/>
            <w:sz w:val="22"/>
            <w:szCs w:val="22"/>
          </w:rPr>
          <w:tab/>
        </w:r>
        <w:r w:rsidR="00987F02" w:rsidRPr="001915E0">
          <w:rPr>
            <w:rStyle w:val="Hyperlink"/>
            <w:iCs/>
            <w:color w:val="auto"/>
          </w:rPr>
          <w:t>Coordinación de la Agenda para el Desarrollo</w:t>
        </w:r>
        <w:r w:rsidR="00987F02" w:rsidRPr="001915E0">
          <w:rPr>
            <w:webHidden/>
          </w:rPr>
          <w:tab/>
        </w:r>
        <w:r w:rsidR="00E13348" w:rsidRPr="001915E0">
          <w:rPr>
            <w:webHidden/>
          </w:rPr>
          <w:fldChar w:fldCharType="begin"/>
        </w:r>
        <w:r w:rsidR="00E13348" w:rsidRPr="001915E0">
          <w:rPr>
            <w:webHidden/>
          </w:rPr>
          <w:instrText xml:space="preserve"> PAGEREF _Toc366078719 \h </w:instrText>
        </w:r>
        <w:r w:rsidR="00E13348" w:rsidRPr="001915E0">
          <w:rPr>
            <w:webHidden/>
          </w:rPr>
        </w:r>
        <w:r w:rsidR="00E13348" w:rsidRPr="001915E0">
          <w:rPr>
            <w:webHidden/>
          </w:rPr>
          <w:fldChar w:fldCharType="separate"/>
        </w:r>
        <w:r w:rsidR="0051745D">
          <w:rPr>
            <w:webHidden/>
          </w:rPr>
          <w:t>83</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20" w:history="1">
        <w:r w:rsidR="00987F02" w:rsidRPr="001915E0">
          <w:rPr>
            <w:rStyle w:val="Hyperlink"/>
            <w:iCs/>
            <w:color w:val="auto"/>
          </w:rPr>
          <w:t>Programa 9</w:t>
        </w:r>
        <w:r w:rsidR="00987F02" w:rsidRPr="001915E0">
          <w:rPr>
            <w:rFonts w:asciiTheme="minorHAnsi" w:eastAsiaTheme="minorEastAsia" w:hAnsiTheme="minorHAnsi" w:cstheme="minorBidi"/>
            <w:sz w:val="22"/>
            <w:szCs w:val="22"/>
          </w:rPr>
          <w:tab/>
        </w:r>
        <w:r w:rsidR="00987F02" w:rsidRPr="001915E0">
          <w:rPr>
            <w:rStyle w:val="Hyperlink"/>
            <w:iCs/>
            <w:color w:val="auto"/>
          </w:rPr>
          <w:t>Países Africanos, Árabes, de América Latina y el Caribe, de Asia y el Pacífico y países menos adelantados</w:t>
        </w:r>
        <w:r w:rsidR="00987F02" w:rsidRPr="001915E0">
          <w:rPr>
            <w:webHidden/>
          </w:rPr>
          <w:tab/>
        </w:r>
        <w:r w:rsidR="00E13348" w:rsidRPr="001915E0">
          <w:rPr>
            <w:webHidden/>
          </w:rPr>
          <w:fldChar w:fldCharType="begin"/>
        </w:r>
        <w:r w:rsidR="00E13348" w:rsidRPr="001915E0">
          <w:rPr>
            <w:webHidden/>
          </w:rPr>
          <w:instrText xml:space="preserve"> PAGEREF _Toc366078720 \h </w:instrText>
        </w:r>
        <w:r w:rsidR="00E13348" w:rsidRPr="001915E0">
          <w:rPr>
            <w:webHidden/>
          </w:rPr>
        </w:r>
        <w:r w:rsidR="00E13348" w:rsidRPr="001915E0">
          <w:rPr>
            <w:webHidden/>
          </w:rPr>
          <w:fldChar w:fldCharType="separate"/>
        </w:r>
        <w:r w:rsidR="0051745D">
          <w:rPr>
            <w:webHidden/>
          </w:rPr>
          <w:t>87</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21" w:history="1">
        <w:r w:rsidR="00987F02" w:rsidRPr="001915E0">
          <w:rPr>
            <w:rStyle w:val="Hyperlink"/>
            <w:color w:val="auto"/>
            <w:lang w:val="es-ES"/>
          </w:rPr>
          <w:t>Programa 10</w:t>
        </w:r>
        <w:r w:rsidR="00987F02" w:rsidRPr="001915E0">
          <w:rPr>
            <w:rFonts w:asciiTheme="minorHAnsi" w:eastAsiaTheme="minorEastAsia" w:hAnsiTheme="minorHAnsi" w:cstheme="minorBidi"/>
            <w:sz w:val="22"/>
            <w:szCs w:val="22"/>
          </w:rPr>
          <w:tab/>
        </w:r>
        <w:r w:rsidR="00987F02" w:rsidRPr="001915E0">
          <w:rPr>
            <w:rStyle w:val="Hyperlink"/>
            <w:color w:val="auto"/>
            <w:lang w:val="es-ES"/>
          </w:rPr>
          <w:t>Cooperación con determinados países de Europa y Asia</w:t>
        </w:r>
        <w:r w:rsidR="00987F02" w:rsidRPr="001915E0">
          <w:rPr>
            <w:webHidden/>
          </w:rPr>
          <w:tab/>
        </w:r>
        <w:r w:rsidR="00E13348" w:rsidRPr="001915E0">
          <w:rPr>
            <w:webHidden/>
          </w:rPr>
          <w:fldChar w:fldCharType="begin"/>
        </w:r>
        <w:r w:rsidR="00E13348" w:rsidRPr="001915E0">
          <w:rPr>
            <w:webHidden/>
          </w:rPr>
          <w:instrText xml:space="preserve"> PAGEREF _Toc366078721 \h </w:instrText>
        </w:r>
        <w:r w:rsidR="00E13348" w:rsidRPr="001915E0">
          <w:rPr>
            <w:webHidden/>
          </w:rPr>
        </w:r>
        <w:r w:rsidR="00E13348" w:rsidRPr="001915E0">
          <w:rPr>
            <w:webHidden/>
          </w:rPr>
          <w:fldChar w:fldCharType="separate"/>
        </w:r>
        <w:r w:rsidR="0051745D">
          <w:rPr>
            <w:webHidden/>
          </w:rPr>
          <w:t>95</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22" w:history="1">
        <w:r w:rsidR="00987F02" w:rsidRPr="001915E0">
          <w:rPr>
            <w:rStyle w:val="Hyperlink"/>
            <w:iCs/>
            <w:color w:val="auto"/>
          </w:rPr>
          <w:t>Programa 11</w:t>
        </w:r>
        <w:r w:rsidR="00987F02" w:rsidRPr="001915E0">
          <w:rPr>
            <w:rFonts w:asciiTheme="minorHAnsi" w:eastAsiaTheme="minorEastAsia" w:hAnsiTheme="minorHAnsi" w:cstheme="minorBidi"/>
            <w:sz w:val="22"/>
            <w:szCs w:val="22"/>
          </w:rPr>
          <w:tab/>
        </w:r>
        <w:r w:rsidR="00987F02" w:rsidRPr="001915E0">
          <w:rPr>
            <w:rStyle w:val="Hyperlink"/>
            <w:iCs/>
            <w:color w:val="auto"/>
          </w:rPr>
          <w:t>Academia de la OMPI</w:t>
        </w:r>
        <w:r w:rsidR="00987F02" w:rsidRPr="001915E0">
          <w:rPr>
            <w:webHidden/>
          </w:rPr>
          <w:tab/>
        </w:r>
        <w:r w:rsidR="00E13348" w:rsidRPr="001915E0">
          <w:rPr>
            <w:webHidden/>
          </w:rPr>
          <w:fldChar w:fldCharType="begin"/>
        </w:r>
        <w:r w:rsidR="00E13348" w:rsidRPr="001915E0">
          <w:rPr>
            <w:webHidden/>
          </w:rPr>
          <w:instrText xml:space="preserve"> PAGEREF _Toc366078722 \h </w:instrText>
        </w:r>
        <w:r w:rsidR="00E13348" w:rsidRPr="001915E0">
          <w:rPr>
            <w:webHidden/>
          </w:rPr>
        </w:r>
        <w:r w:rsidR="00E13348" w:rsidRPr="001915E0">
          <w:rPr>
            <w:webHidden/>
          </w:rPr>
          <w:fldChar w:fldCharType="separate"/>
        </w:r>
        <w:r w:rsidR="0051745D">
          <w:rPr>
            <w:webHidden/>
          </w:rPr>
          <w:t>101</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23" w:history="1">
        <w:r w:rsidR="00987F02" w:rsidRPr="001915E0">
          <w:rPr>
            <w:rStyle w:val="Hyperlink"/>
            <w:iCs/>
            <w:color w:val="auto"/>
          </w:rPr>
          <w:t>Programa 30</w:t>
        </w:r>
        <w:r w:rsidR="00987F02" w:rsidRPr="001915E0">
          <w:rPr>
            <w:rFonts w:asciiTheme="minorHAnsi" w:eastAsiaTheme="minorEastAsia" w:hAnsiTheme="minorHAnsi" w:cstheme="minorBidi"/>
            <w:sz w:val="22"/>
            <w:szCs w:val="22"/>
          </w:rPr>
          <w:tab/>
        </w:r>
        <w:r w:rsidR="00902CB0" w:rsidRPr="001915E0">
          <w:rPr>
            <w:rStyle w:val="Hyperlink"/>
            <w:iCs/>
            <w:color w:val="auto"/>
          </w:rPr>
          <w:t>Pequeñas y medianas empresas (p</w:t>
        </w:r>
        <w:r w:rsidR="00987F02" w:rsidRPr="001915E0">
          <w:rPr>
            <w:rStyle w:val="Hyperlink"/>
            <w:iCs/>
            <w:color w:val="auto"/>
          </w:rPr>
          <w:t>ymes)</w:t>
        </w:r>
        <w:r w:rsidR="00160C67" w:rsidRPr="001915E0">
          <w:rPr>
            <w:rStyle w:val="Hyperlink"/>
            <w:iCs/>
            <w:color w:val="auto"/>
          </w:rPr>
          <w:t xml:space="preserve"> e </w:t>
        </w:r>
        <w:r w:rsidR="00902CB0" w:rsidRPr="001915E0">
          <w:rPr>
            <w:rStyle w:val="Hyperlink"/>
            <w:iCs/>
            <w:color w:val="auto"/>
          </w:rPr>
          <w:t>i</w:t>
        </w:r>
        <w:r w:rsidR="00160C67" w:rsidRPr="001915E0">
          <w:rPr>
            <w:rStyle w:val="Hyperlink"/>
            <w:iCs/>
            <w:color w:val="auto"/>
          </w:rPr>
          <w:t>nnovación</w:t>
        </w:r>
        <w:r w:rsidR="00987F02" w:rsidRPr="001915E0">
          <w:rPr>
            <w:webHidden/>
          </w:rPr>
          <w:tab/>
        </w:r>
        <w:r w:rsidR="00E13348" w:rsidRPr="001915E0">
          <w:rPr>
            <w:webHidden/>
          </w:rPr>
          <w:fldChar w:fldCharType="begin"/>
        </w:r>
        <w:r w:rsidR="00E13348" w:rsidRPr="001915E0">
          <w:rPr>
            <w:webHidden/>
          </w:rPr>
          <w:instrText xml:space="preserve"> PAGEREF _Toc366078723 \h </w:instrText>
        </w:r>
        <w:r w:rsidR="00E13348" w:rsidRPr="001915E0">
          <w:rPr>
            <w:webHidden/>
          </w:rPr>
        </w:r>
        <w:r w:rsidR="00E13348" w:rsidRPr="001915E0">
          <w:rPr>
            <w:webHidden/>
          </w:rPr>
          <w:fldChar w:fldCharType="separate"/>
        </w:r>
        <w:r w:rsidR="0051745D">
          <w:rPr>
            <w:webHidden/>
          </w:rPr>
          <w:t>106</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24" w:history="1">
        <w:r w:rsidR="00E13348" w:rsidRPr="001915E0">
          <w:rPr>
            <w:rStyle w:val="Hyperlink"/>
            <w:b/>
            <w:color w:val="auto"/>
          </w:rPr>
          <w:t>META ESTRATÉGICA IV</w:t>
        </w:r>
        <w:r w:rsidR="00E13348" w:rsidRPr="001915E0">
          <w:rPr>
            <w:webHidden/>
          </w:rPr>
          <w:tab/>
        </w:r>
      </w:hyperlink>
      <w:hyperlink w:anchor="_Toc366078725" w:history="1">
        <w:r w:rsidR="00E13348" w:rsidRPr="001915E0">
          <w:rPr>
            <w:rStyle w:val="Hyperlink"/>
            <w:b/>
            <w:color w:val="auto"/>
          </w:rPr>
          <w:t>C</w:t>
        </w:r>
        <w:r w:rsidR="00987F02" w:rsidRPr="001915E0">
          <w:rPr>
            <w:rStyle w:val="Hyperlink"/>
            <w:b/>
            <w:color w:val="auto"/>
          </w:rPr>
          <w:t>oordinación y desarrollo de la infraestructura mundial de la</w:t>
        </w:r>
        <w:r w:rsidR="00A445F5" w:rsidRPr="001915E0">
          <w:rPr>
            <w:rStyle w:val="Hyperlink"/>
            <w:b/>
            <w:color w:val="auto"/>
          </w:rPr>
          <w:t xml:space="preserve"> </w:t>
        </w:r>
        <w:r w:rsidR="00987F02" w:rsidRPr="001915E0">
          <w:rPr>
            <w:rStyle w:val="Hyperlink"/>
            <w:b/>
            <w:color w:val="auto"/>
          </w:rPr>
          <w:t>P.I.</w:t>
        </w:r>
        <w:r w:rsidR="00E13348" w:rsidRPr="001915E0">
          <w:rPr>
            <w:webHidden/>
          </w:rPr>
          <w:tab/>
        </w:r>
        <w:r w:rsidR="00A445F5" w:rsidRPr="001915E0">
          <w:rPr>
            <w:webHidden/>
          </w:rPr>
          <w:tab/>
        </w:r>
        <w:r w:rsidR="00A445F5" w:rsidRPr="001915E0">
          <w:rPr>
            <w:webHidden/>
          </w:rPr>
          <w:tab/>
        </w:r>
        <w:r w:rsidR="00E13348" w:rsidRPr="001915E0">
          <w:rPr>
            <w:b/>
            <w:webHidden/>
          </w:rPr>
          <w:fldChar w:fldCharType="begin"/>
        </w:r>
        <w:r w:rsidR="00E13348" w:rsidRPr="001915E0">
          <w:rPr>
            <w:b/>
            <w:webHidden/>
          </w:rPr>
          <w:instrText xml:space="preserve"> PAGEREF _Toc366078725 \h </w:instrText>
        </w:r>
        <w:r w:rsidR="00E13348" w:rsidRPr="001915E0">
          <w:rPr>
            <w:b/>
            <w:webHidden/>
          </w:rPr>
        </w:r>
        <w:r w:rsidR="00E13348" w:rsidRPr="001915E0">
          <w:rPr>
            <w:b/>
            <w:webHidden/>
          </w:rPr>
          <w:fldChar w:fldCharType="separate"/>
        </w:r>
        <w:r w:rsidR="0051745D">
          <w:rPr>
            <w:b/>
            <w:webHidden/>
          </w:rPr>
          <w:t>111</w:t>
        </w:r>
        <w:r w:rsidR="00E13348" w:rsidRPr="001915E0">
          <w:rPr>
            <w:b/>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26" w:history="1">
        <w:r w:rsidR="00987F02" w:rsidRPr="001915E0">
          <w:rPr>
            <w:rStyle w:val="Hyperlink"/>
            <w:iCs/>
            <w:color w:val="auto"/>
          </w:rPr>
          <w:t>Programa 12</w:t>
        </w:r>
        <w:r w:rsidR="00987F02" w:rsidRPr="001915E0">
          <w:rPr>
            <w:rFonts w:asciiTheme="minorHAnsi" w:eastAsiaTheme="minorEastAsia" w:hAnsiTheme="minorHAnsi" w:cstheme="minorBidi"/>
            <w:sz w:val="22"/>
            <w:szCs w:val="22"/>
          </w:rPr>
          <w:tab/>
        </w:r>
        <w:r w:rsidR="00987F02" w:rsidRPr="001915E0">
          <w:rPr>
            <w:rStyle w:val="Hyperlink"/>
            <w:iCs/>
            <w:color w:val="auto"/>
          </w:rPr>
          <w:t>Clasificaciones internacionales y normas técnicas</w:t>
        </w:r>
        <w:r w:rsidR="00987F02" w:rsidRPr="001915E0">
          <w:rPr>
            <w:webHidden/>
          </w:rPr>
          <w:tab/>
        </w:r>
        <w:r w:rsidR="00E13348" w:rsidRPr="001915E0">
          <w:rPr>
            <w:webHidden/>
          </w:rPr>
          <w:fldChar w:fldCharType="begin"/>
        </w:r>
        <w:r w:rsidR="00E13348" w:rsidRPr="001915E0">
          <w:rPr>
            <w:webHidden/>
          </w:rPr>
          <w:instrText xml:space="preserve"> PAGEREF _Toc366078726 \h </w:instrText>
        </w:r>
        <w:r w:rsidR="00E13348" w:rsidRPr="001915E0">
          <w:rPr>
            <w:webHidden/>
          </w:rPr>
        </w:r>
        <w:r w:rsidR="00E13348" w:rsidRPr="001915E0">
          <w:rPr>
            <w:webHidden/>
          </w:rPr>
          <w:fldChar w:fldCharType="separate"/>
        </w:r>
        <w:r w:rsidR="0051745D">
          <w:rPr>
            <w:webHidden/>
          </w:rPr>
          <w:t>114</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27" w:history="1">
        <w:r w:rsidR="00987F02" w:rsidRPr="001915E0">
          <w:rPr>
            <w:rStyle w:val="Hyperlink"/>
            <w:iCs/>
            <w:color w:val="auto"/>
          </w:rPr>
          <w:t>Programa 13</w:t>
        </w:r>
        <w:r w:rsidR="00987F02" w:rsidRPr="001915E0">
          <w:rPr>
            <w:rFonts w:asciiTheme="minorHAnsi" w:eastAsiaTheme="minorEastAsia" w:hAnsiTheme="minorHAnsi" w:cstheme="minorBidi"/>
            <w:sz w:val="22"/>
            <w:szCs w:val="22"/>
          </w:rPr>
          <w:tab/>
        </w:r>
        <w:r w:rsidR="00987F02" w:rsidRPr="001915E0">
          <w:rPr>
            <w:rStyle w:val="Hyperlink"/>
            <w:iCs/>
            <w:color w:val="auto"/>
          </w:rPr>
          <w:t>Bases de datos mundiales</w:t>
        </w:r>
        <w:r w:rsidR="00987F02" w:rsidRPr="001915E0">
          <w:rPr>
            <w:webHidden/>
          </w:rPr>
          <w:tab/>
        </w:r>
        <w:r w:rsidR="00E13348" w:rsidRPr="001915E0">
          <w:rPr>
            <w:webHidden/>
          </w:rPr>
          <w:fldChar w:fldCharType="begin"/>
        </w:r>
        <w:r w:rsidR="00E13348" w:rsidRPr="001915E0">
          <w:rPr>
            <w:webHidden/>
          </w:rPr>
          <w:instrText xml:space="preserve"> PAGEREF _Toc366078727 \h </w:instrText>
        </w:r>
        <w:r w:rsidR="00E13348" w:rsidRPr="001915E0">
          <w:rPr>
            <w:webHidden/>
          </w:rPr>
        </w:r>
        <w:r w:rsidR="00E13348" w:rsidRPr="001915E0">
          <w:rPr>
            <w:webHidden/>
          </w:rPr>
          <w:fldChar w:fldCharType="separate"/>
        </w:r>
        <w:r w:rsidR="0051745D">
          <w:rPr>
            <w:webHidden/>
          </w:rPr>
          <w:t>118</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28" w:history="1">
        <w:r w:rsidR="00987F02" w:rsidRPr="001915E0">
          <w:rPr>
            <w:rStyle w:val="Hyperlink"/>
            <w:iCs/>
            <w:color w:val="auto"/>
          </w:rPr>
          <w:t>Programa 14</w:t>
        </w:r>
        <w:r w:rsidR="00987F02" w:rsidRPr="001915E0">
          <w:rPr>
            <w:rFonts w:asciiTheme="minorHAnsi" w:eastAsiaTheme="minorEastAsia" w:hAnsiTheme="minorHAnsi" w:cstheme="minorBidi"/>
            <w:sz w:val="22"/>
            <w:szCs w:val="22"/>
          </w:rPr>
          <w:tab/>
        </w:r>
        <w:r w:rsidR="00987F02" w:rsidRPr="001915E0">
          <w:rPr>
            <w:rStyle w:val="Hyperlink"/>
            <w:iCs/>
            <w:color w:val="auto"/>
          </w:rPr>
          <w:t>Servicios de acceso a la información y a los conocimientos</w:t>
        </w:r>
        <w:r w:rsidR="00987F02" w:rsidRPr="001915E0">
          <w:rPr>
            <w:webHidden/>
          </w:rPr>
          <w:tab/>
        </w:r>
        <w:r w:rsidR="00E13348" w:rsidRPr="001915E0">
          <w:rPr>
            <w:webHidden/>
          </w:rPr>
          <w:fldChar w:fldCharType="begin"/>
        </w:r>
        <w:r w:rsidR="00E13348" w:rsidRPr="001915E0">
          <w:rPr>
            <w:webHidden/>
          </w:rPr>
          <w:instrText xml:space="preserve"> PAGEREF _Toc366078728 \h </w:instrText>
        </w:r>
        <w:r w:rsidR="00E13348" w:rsidRPr="001915E0">
          <w:rPr>
            <w:webHidden/>
          </w:rPr>
        </w:r>
        <w:r w:rsidR="00E13348" w:rsidRPr="001915E0">
          <w:rPr>
            <w:webHidden/>
          </w:rPr>
          <w:fldChar w:fldCharType="separate"/>
        </w:r>
        <w:r w:rsidR="0051745D">
          <w:rPr>
            <w:webHidden/>
          </w:rPr>
          <w:t>122</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29" w:history="1">
        <w:r w:rsidR="00987F02" w:rsidRPr="001915E0">
          <w:rPr>
            <w:rStyle w:val="Hyperlink"/>
            <w:iCs/>
            <w:color w:val="auto"/>
          </w:rPr>
          <w:t>Programa 15</w:t>
        </w:r>
        <w:r w:rsidR="00987F02" w:rsidRPr="001915E0">
          <w:rPr>
            <w:rFonts w:asciiTheme="minorHAnsi" w:eastAsiaTheme="minorEastAsia" w:hAnsiTheme="minorHAnsi" w:cstheme="minorBidi"/>
            <w:sz w:val="22"/>
            <w:szCs w:val="22"/>
          </w:rPr>
          <w:tab/>
        </w:r>
        <w:r w:rsidR="005D6B22" w:rsidRPr="001915E0">
          <w:rPr>
            <w:rStyle w:val="Hyperlink"/>
            <w:iCs/>
            <w:color w:val="auto"/>
          </w:rPr>
          <w:t>Soluciones operativas para las O</w:t>
        </w:r>
        <w:r w:rsidR="00987F02" w:rsidRPr="001915E0">
          <w:rPr>
            <w:rStyle w:val="Hyperlink"/>
            <w:iCs/>
            <w:color w:val="auto"/>
          </w:rPr>
          <w:t>ficinas de P.I.</w:t>
        </w:r>
        <w:r w:rsidR="00987F02" w:rsidRPr="001915E0">
          <w:rPr>
            <w:webHidden/>
          </w:rPr>
          <w:tab/>
        </w:r>
        <w:r w:rsidR="00E13348" w:rsidRPr="001915E0">
          <w:rPr>
            <w:webHidden/>
          </w:rPr>
          <w:fldChar w:fldCharType="begin"/>
        </w:r>
        <w:r w:rsidR="00E13348" w:rsidRPr="001915E0">
          <w:rPr>
            <w:webHidden/>
          </w:rPr>
          <w:instrText xml:space="preserve"> PAGEREF _Toc366078729 \h </w:instrText>
        </w:r>
        <w:r w:rsidR="00E13348" w:rsidRPr="001915E0">
          <w:rPr>
            <w:webHidden/>
          </w:rPr>
        </w:r>
        <w:r w:rsidR="00E13348" w:rsidRPr="001915E0">
          <w:rPr>
            <w:webHidden/>
          </w:rPr>
          <w:fldChar w:fldCharType="separate"/>
        </w:r>
        <w:r w:rsidR="0051745D">
          <w:rPr>
            <w:webHidden/>
          </w:rPr>
          <w:t>127</w:t>
        </w:r>
        <w:r w:rsidR="00E13348" w:rsidRPr="001915E0">
          <w:rPr>
            <w:webHidden/>
          </w:rPr>
          <w:fldChar w:fldCharType="end"/>
        </w:r>
      </w:hyperlink>
    </w:p>
    <w:p w:rsidR="00E13348" w:rsidRPr="001915E0" w:rsidRDefault="001F1886" w:rsidP="00A445F5">
      <w:pPr>
        <w:pStyle w:val="TOC2"/>
        <w:ind w:left="2694" w:hanging="2456"/>
        <w:rPr>
          <w:rFonts w:asciiTheme="minorHAnsi" w:eastAsiaTheme="minorEastAsia" w:hAnsiTheme="minorHAnsi" w:cstheme="minorBidi"/>
          <w:sz w:val="22"/>
          <w:szCs w:val="22"/>
          <w:lang w:val="en-US" w:eastAsia="en-US"/>
        </w:rPr>
      </w:pPr>
      <w:hyperlink w:anchor="_Toc366078730" w:history="1">
        <w:r w:rsidR="00E13348" w:rsidRPr="001915E0">
          <w:rPr>
            <w:rStyle w:val="Hyperlink"/>
            <w:b/>
            <w:color w:val="auto"/>
          </w:rPr>
          <w:t>META ESTRATÉGICA V</w:t>
        </w:r>
        <w:r w:rsidR="00E13348" w:rsidRPr="001915E0">
          <w:rPr>
            <w:webHidden/>
          </w:rPr>
          <w:tab/>
        </w:r>
      </w:hyperlink>
      <w:hyperlink w:anchor="_Toc366078731" w:history="1">
        <w:r w:rsidR="00E13348" w:rsidRPr="001915E0">
          <w:rPr>
            <w:rStyle w:val="Hyperlink"/>
            <w:b/>
            <w:color w:val="auto"/>
          </w:rPr>
          <w:t>F</w:t>
        </w:r>
        <w:r w:rsidR="00987F02" w:rsidRPr="001915E0">
          <w:rPr>
            <w:rStyle w:val="Hyperlink"/>
            <w:b/>
            <w:color w:val="auto"/>
          </w:rPr>
          <w:t>uente de referencia en el mundo de información y análisis en materia de</w:t>
        </w:r>
        <w:r w:rsidR="00E13348" w:rsidRPr="001915E0">
          <w:rPr>
            <w:rStyle w:val="Hyperlink"/>
            <w:b/>
            <w:color w:val="auto"/>
          </w:rPr>
          <w:t xml:space="preserve"> P.I.</w:t>
        </w:r>
        <w:r w:rsidR="00E13348" w:rsidRPr="001915E0">
          <w:rPr>
            <w:webHidden/>
          </w:rPr>
          <w:tab/>
        </w:r>
        <w:r w:rsidR="00E13348" w:rsidRPr="001915E0">
          <w:rPr>
            <w:webHidden/>
          </w:rPr>
          <w:fldChar w:fldCharType="begin"/>
        </w:r>
        <w:r w:rsidR="00E13348" w:rsidRPr="001915E0">
          <w:rPr>
            <w:webHidden/>
          </w:rPr>
          <w:instrText xml:space="preserve"> PAGEREF _Toc366078731 \h </w:instrText>
        </w:r>
        <w:r w:rsidR="00E13348" w:rsidRPr="001915E0">
          <w:rPr>
            <w:webHidden/>
          </w:rPr>
        </w:r>
        <w:r w:rsidR="00E13348" w:rsidRPr="001915E0">
          <w:rPr>
            <w:webHidden/>
          </w:rPr>
          <w:fldChar w:fldCharType="separate"/>
        </w:r>
        <w:r w:rsidR="0051745D">
          <w:rPr>
            <w:webHidden/>
          </w:rPr>
          <w:t>133</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32" w:history="1">
        <w:r w:rsidR="00987F02" w:rsidRPr="001915E0">
          <w:rPr>
            <w:rStyle w:val="Hyperlink"/>
            <w:iCs/>
            <w:color w:val="auto"/>
          </w:rPr>
          <w:t>Programa 16</w:t>
        </w:r>
        <w:r w:rsidR="00987F02" w:rsidRPr="001915E0">
          <w:rPr>
            <w:rFonts w:asciiTheme="minorHAnsi" w:eastAsiaTheme="minorEastAsia" w:hAnsiTheme="minorHAnsi" w:cstheme="minorBidi"/>
            <w:sz w:val="22"/>
            <w:szCs w:val="22"/>
          </w:rPr>
          <w:tab/>
        </w:r>
        <w:r w:rsidR="00987F02" w:rsidRPr="001915E0">
          <w:rPr>
            <w:rStyle w:val="Hyperlink"/>
            <w:iCs/>
            <w:color w:val="auto"/>
          </w:rPr>
          <w:t>Economía y estadística</w:t>
        </w:r>
        <w:r w:rsidR="00987F02" w:rsidRPr="001915E0">
          <w:rPr>
            <w:webHidden/>
          </w:rPr>
          <w:tab/>
        </w:r>
        <w:r w:rsidR="00E13348" w:rsidRPr="001915E0">
          <w:rPr>
            <w:webHidden/>
          </w:rPr>
          <w:fldChar w:fldCharType="begin"/>
        </w:r>
        <w:r w:rsidR="00E13348" w:rsidRPr="001915E0">
          <w:rPr>
            <w:webHidden/>
          </w:rPr>
          <w:instrText xml:space="preserve"> PAGEREF _Toc366078732 \h </w:instrText>
        </w:r>
        <w:r w:rsidR="00E13348" w:rsidRPr="001915E0">
          <w:rPr>
            <w:webHidden/>
          </w:rPr>
        </w:r>
        <w:r w:rsidR="00E13348" w:rsidRPr="001915E0">
          <w:rPr>
            <w:webHidden/>
          </w:rPr>
          <w:fldChar w:fldCharType="separate"/>
        </w:r>
        <w:r w:rsidR="0051745D">
          <w:rPr>
            <w:webHidden/>
          </w:rPr>
          <w:t>134</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33" w:history="1">
        <w:r w:rsidR="00E13348" w:rsidRPr="001915E0">
          <w:rPr>
            <w:rStyle w:val="Hyperlink"/>
            <w:b/>
            <w:color w:val="auto"/>
          </w:rPr>
          <w:t>META ESTRATÉGICA VI</w:t>
        </w:r>
        <w:r w:rsidR="00E13348" w:rsidRPr="001915E0">
          <w:rPr>
            <w:webHidden/>
          </w:rPr>
          <w:tab/>
        </w:r>
      </w:hyperlink>
      <w:hyperlink w:anchor="_Toc366078734" w:history="1">
        <w:r w:rsidR="009C708A" w:rsidRPr="001915E0">
          <w:rPr>
            <w:rStyle w:val="Hyperlink"/>
            <w:b/>
            <w:color w:val="auto"/>
          </w:rPr>
          <w:t>Cooperación internacional para cultivar el respeto por la P.I.</w:t>
        </w:r>
        <w:r w:rsidR="00E13348" w:rsidRPr="001915E0">
          <w:rPr>
            <w:webHidden/>
          </w:rPr>
          <w:tab/>
        </w:r>
        <w:r w:rsidR="00E13348" w:rsidRPr="001915E0">
          <w:rPr>
            <w:webHidden/>
          </w:rPr>
          <w:fldChar w:fldCharType="begin"/>
        </w:r>
        <w:r w:rsidR="00E13348" w:rsidRPr="001915E0">
          <w:rPr>
            <w:webHidden/>
          </w:rPr>
          <w:instrText xml:space="preserve"> PAGEREF _Toc366078734 \h </w:instrText>
        </w:r>
        <w:r w:rsidR="00E13348" w:rsidRPr="001915E0">
          <w:rPr>
            <w:webHidden/>
          </w:rPr>
        </w:r>
        <w:r w:rsidR="00E13348" w:rsidRPr="001915E0">
          <w:rPr>
            <w:webHidden/>
          </w:rPr>
          <w:fldChar w:fldCharType="separate"/>
        </w:r>
        <w:r w:rsidR="0051745D">
          <w:rPr>
            <w:webHidden/>
          </w:rPr>
          <w:t>139</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35" w:history="1">
        <w:r w:rsidR="00987F02" w:rsidRPr="001915E0">
          <w:rPr>
            <w:rStyle w:val="Hyperlink"/>
            <w:iCs/>
            <w:color w:val="auto"/>
          </w:rPr>
          <w:t>Programa 17</w:t>
        </w:r>
        <w:r w:rsidR="00987F02" w:rsidRPr="001915E0">
          <w:rPr>
            <w:rFonts w:asciiTheme="minorHAnsi" w:eastAsiaTheme="minorEastAsia" w:hAnsiTheme="minorHAnsi" w:cstheme="minorBidi"/>
            <w:sz w:val="22"/>
            <w:szCs w:val="22"/>
          </w:rPr>
          <w:tab/>
        </w:r>
        <w:r w:rsidR="00990B95" w:rsidRPr="001915E0">
          <w:rPr>
            <w:rStyle w:val="Hyperlink"/>
            <w:iCs/>
            <w:color w:val="auto"/>
          </w:rPr>
          <w:t>Cultivar el respeto</w:t>
        </w:r>
        <w:r w:rsidR="00987F02" w:rsidRPr="001915E0">
          <w:rPr>
            <w:rStyle w:val="Hyperlink"/>
            <w:iCs/>
            <w:color w:val="auto"/>
          </w:rPr>
          <w:t xml:space="preserve"> por la P.I.</w:t>
        </w:r>
        <w:r w:rsidR="00987F02" w:rsidRPr="001915E0">
          <w:rPr>
            <w:webHidden/>
          </w:rPr>
          <w:tab/>
        </w:r>
        <w:r w:rsidR="00E13348" w:rsidRPr="001915E0">
          <w:rPr>
            <w:webHidden/>
          </w:rPr>
          <w:fldChar w:fldCharType="begin"/>
        </w:r>
        <w:r w:rsidR="00E13348" w:rsidRPr="001915E0">
          <w:rPr>
            <w:webHidden/>
          </w:rPr>
          <w:instrText xml:space="preserve"> PAGEREF _Toc366078735 \h </w:instrText>
        </w:r>
        <w:r w:rsidR="00E13348" w:rsidRPr="001915E0">
          <w:rPr>
            <w:webHidden/>
          </w:rPr>
        </w:r>
        <w:r w:rsidR="00E13348" w:rsidRPr="001915E0">
          <w:rPr>
            <w:webHidden/>
          </w:rPr>
          <w:fldChar w:fldCharType="separate"/>
        </w:r>
        <w:r w:rsidR="0051745D">
          <w:rPr>
            <w:webHidden/>
          </w:rPr>
          <w:t>140</w:t>
        </w:r>
        <w:r w:rsidR="00E13348" w:rsidRPr="001915E0">
          <w:rPr>
            <w:webHidden/>
          </w:rPr>
          <w:fldChar w:fldCharType="end"/>
        </w:r>
      </w:hyperlink>
    </w:p>
    <w:p w:rsidR="00E13348" w:rsidRPr="001915E0" w:rsidRDefault="001F1886" w:rsidP="00A445F5">
      <w:pPr>
        <w:pStyle w:val="TOC2"/>
        <w:ind w:left="2694" w:hanging="2456"/>
        <w:rPr>
          <w:rFonts w:asciiTheme="minorHAnsi" w:eastAsiaTheme="minorEastAsia" w:hAnsiTheme="minorHAnsi" w:cstheme="minorBidi"/>
          <w:sz w:val="22"/>
          <w:szCs w:val="22"/>
          <w:lang w:val="en-US" w:eastAsia="en-US"/>
        </w:rPr>
      </w:pPr>
      <w:hyperlink w:anchor="_Toc366078736" w:history="1">
        <w:r w:rsidR="00E13348" w:rsidRPr="001915E0">
          <w:rPr>
            <w:rStyle w:val="Hyperlink"/>
            <w:b/>
            <w:color w:val="auto"/>
          </w:rPr>
          <w:t>META ESTRATÉGICA VII</w:t>
        </w:r>
        <w:r w:rsidR="00E13348" w:rsidRPr="001915E0">
          <w:rPr>
            <w:webHidden/>
          </w:rPr>
          <w:tab/>
        </w:r>
      </w:hyperlink>
      <w:hyperlink w:anchor="_Toc366078737" w:history="1">
        <w:r w:rsidR="00E13348" w:rsidRPr="001915E0">
          <w:rPr>
            <w:rStyle w:val="Hyperlink"/>
            <w:b/>
            <w:color w:val="auto"/>
          </w:rPr>
          <w:t>V</w:t>
        </w:r>
        <w:r w:rsidR="00987F02" w:rsidRPr="001915E0">
          <w:rPr>
            <w:rStyle w:val="Hyperlink"/>
            <w:b/>
            <w:color w:val="auto"/>
          </w:rPr>
          <w:t>ínculos entre la P.I. y los problemas mundiales de política pública</w:t>
        </w:r>
        <w:r w:rsidR="00E13348" w:rsidRPr="001915E0">
          <w:rPr>
            <w:webHidden/>
          </w:rPr>
          <w:tab/>
        </w:r>
        <w:r w:rsidR="00E13348" w:rsidRPr="001915E0">
          <w:rPr>
            <w:webHidden/>
          </w:rPr>
          <w:fldChar w:fldCharType="begin"/>
        </w:r>
        <w:r w:rsidR="00E13348" w:rsidRPr="001915E0">
          <w:rPr>
            <w:webHidden/>
          </w:rPr>
          <w:instrText xml:space="preserve"> PAGEREF _Toc366078737 \h </w:instrText>
        </w:r>
        <w:r w:rsidR="00E13348" w:rsidRPr="001915E0">
          <w:rPr>
            <w:webHidden/>
          </w:rPr>
        </w:r>
        <w:r w:rsidR="00E13348" w:rsidRPr="001915E0">
          <w:rPr>
            <w:webHidden/>
          </w:rPr>
          <w:fldChar w:fldCharType="separate"/>
        </w:r>
        <w:r w:rsidR="0051745D">
          <w:rPr>
            <w:webHidden/>
          </w:rPr>
          <w:t>145</w:t>
        </w:r>
        <w:r w:rsidR="00E13348" w:rsidRPr="001915E0">
          <w:rPr>
            <w:webHidden/>
          </w:rPr>
          <w:fldChar w:fldCharType="end"/>
        </w:r>
      </w:hyperlink>
    </w:p>
    <w:p w:rsidR="00E13348" w:rsidRPr="001915E0" w:rsidRDefault="001F1886" w:rsidP="00A445F5">
      <w:pPr>
        <w:pStyle w:val="TOC3"/>
      </w:pPr>
      <w:hyperlink w:anchor="_Toc366078738" w:history="1">
        <w:r w:rsidR="00987F02" w:rsidRPr="001915E0">
          <w:rPr>
            <w:rStyle w:val="Hyperlink"/>
            <w:color w:val="auto"/>
            <w:lang w:val="es-ES_tradnl"/>
          </w:rPr>
          <w:t>Programa 18</w:t>
        </w:r>
        <w:r w:rsidR="00987F02" w:rsidRPr="001915E0">
          <w:rPr>
            <w:rFonts w:asciiTheme="minorHAnsi" w:eastAsiaTheme="minorEastAsia" w:hAnsiTheme="minorHAnsi" w:cstheme="minorBidi"/>
            <w:sz w:val="22"/>
            <w:szCs w:val="22"/>
          </w:rPr>
          <w:tab/>
        </w:r>
        <w:r w:rsidR="00987F02" w:rsidRPr="001915E0">
          <w:rPr>
            <w:rStyle w:val="Hyperlink"/>
            <w:color w:val="auto"/>
            <w:lang w:val="es-ES_tradnl"/>
          </w:rPr>
          <w:t>La P.I. y los desafíos mundiales</w:t>
        </w:r>
        <w:r w:rsidR="00987F02" w:rsidRPr="001915E0">
          <w:rPr>
            <w:webHidden/>
          </w:rPr>
          <w:tab/>
        </w:r>
        <w:r w:rsidR="00E13348" w:rsidRPr="001915E0">
          <w:rPr>
            <w:webHidden/>
          </w:rPr>
          <w:fldChar w:fldCharType="begin"/>
        </w:r>
        <w:r w:rsidR="00E13348" w:rsidRPr="001915E0">
          <w:rPr>
            <w:webHidden/>
          </w:rPr>
          <w:instrText xml:space="preserve"> PAGEREF _Toc366078738 \h </w:instrText>
        </w:r>
        <w:r w:rsidR="00E13348" w:rsidRPr="001915E0">
          <w:rPr>
            <w:webHidden/>
          </w:rPr>
        </w:r>
        <w:r w:rsidR="00E13348" w:rsidRPr="001915E0">
          <w:rPr>
            <w:webHidden/>
          </w:rPr>
          <w:fldChar w:fldCharType="separate"/>
        </w:r>
        <w:r w:rsidR="0051745D">
          <w:rPr>
            <w:webHidden/>
          </w:rPr>
          <w:t>147</w:t>
        </w:r>
        <w:r w:rsidR="00E13348" w:rsidRPr="001915E0">
          <w:rPr>
            <w:webHidden/>
          </w:rPr>
          <w:fldChar w:fldCharType="end"/>
        </w:r>
      </w:hyperlink>
    </w:p>
    <w:p w:rsidR="005D6B22" w:rsidRPr="001915E0" w:rsidRDefault="005D6B22" w:rsidP="005D6B22">
      <w:pPr>
        <w:rPr>
          <w:noProof/>
          <w:lang w:val="en-US" w:eastAsia="en-US"/>
        </w:rPr>
      </w:pPr>
    </w:p>
    <w:p w:rsidR="00E13348" w:rsidRPr="001915E0" w:rsidRDefault="001F1886" w:rsidP="00A445F5">
      <w:pPr>
        <w:pStyle w:val="TOC2"/>
        <w:ind w:left="2694" w:hanging="2456"/>
        <w:rPr>
          <w:rFonts w:asciiTheme="minorHAnsi" w:eastAsiaTheme="minorEastAsia" w:hAnsiTheme="minorHAnsi" w:cstheme="minorBidi"/>
          <w:sz w:val="22"/>
          <w:szCs w:val="22"/>
          <w:lang w:val="en-US" w:eastAsia="en-US"/>
        </w:rPr>
      </w:pPr>
      <w:hyperlink w:anchor="_Toc366078739" w:history="1">
        <w:r w:rsidR="00E13348" w:rsidRPr="001915E0">
          <w:rPr>
            <w:rStyle w:val="Hyperlink"/>
            <w:b/>
            <w:color w:val="auto"/>
          </w:rPr>
          <w:t>META ESTRATÉGICA VIII</w:t>
        </w:r>
        <w:r w:rsidR="00E13348" w:rsidRPr="001915E0">
          <w:rPr>
            <w:webHidden/>
          </w:rPr>
          <w:tab/>
        </w:r>
      </w:hyperlink>
      <w:r w:rsidR="005D6B22" w:rsidRPr="001915E0">
        <w:t xml:space="preserve">  </w:t>
      </w:r>
      <w:hyperlink w:anchor="_Toc366078740" w:history="1">
        <w:r w:rsidR="00E13348" w:rsidRPr="001915E0">
          <w:rPr>
            <w:rStyle w:val="Hyperlink"/>
            <w:b/>
            <w:color w:val="auto"/>
          </w:rPr>
          <w:t>C</w:t>
        </w:r>
        <w:r w:rsidR="00987F02" w:rsidRPr="001915E0">
          <w:rPr>
            <w:rStyle w:val="Hyperlink"/>
            <w:b/>
            <w:color w:val="auto"/>
          </w:rPr>
          <w:t>omunica</w:t>
        </w:r>
        <w:r w:rsidR="005D6B22" w:rsidRPr="001915E0">
          <w:rPr>
            <w:rStyle w:val="Hyperlink"/>
            <w:b/>
            <w:color w:val="auto"/>
          </w:rPr>
          <w:t>ción eficaz entre la OMPI, sus E</w:t>
        </w:r>
        <w:r w:rsidR="00987F02" w:rsidRPr="001915E0">
          <w:rPr>
            <w:rStyle w:val="Hyperlink"/>
            <w:b/>
            <w:color w:val="auto"/>
          </w:rPr>
          <w:t xml:space="preserve">stados miembros y </w:t>
        </w:r>
        <w:r w:rsidR="00A445F5" w:rsidRPr="001915E0">
          <w:rPr>
            <w:rStyle w:val="Hyperlink"/>
            <w:b/>
            <w:color w:val="auto"/>
          </w:rPr>
          <w:br/>
          <w:t xml:space="preserve">  </w:t>
        </w:r>
        <w:r w:rsidR="00987F02" w:rsidRPr="001915E0">
          <w:rPr>
            <w:rStyle w:val="Hyperlink"/>
            <w:b/>
            <w:color w:val="auto"/>
          </w:rPr>
          <w:t>todas las partes interesadas</w:t>
        </w:r>
        <w:r w:rsidR="00E13348" w:rsidRPr="001915E0">
          <w:rPr>
            <w:webHidden/>
          </w:rPr>
          <w:tab/>
        </w:r>
        <w:r w:rsidR="00E13348" w:rsidRPr="001915E0">
          <w:rPr>
            <w:webHidden/>
          </w:rPr>
          <w:fldChar w:fldCharType="begin"/>
        </w:r>
        <w:r w:rsidR="00E13348" w:rsidRPr="001915E0">
          <w:rPr>
            <w:webHidden/>
          </w:rPr>
          <w:instrText xml:space="preserve"> PAGEREF _Toc366078740 \h </w:instrText>
        </w:r>
        <w:r w:rsidR="00E13348" w:rsidRPr="001915E0">
          <w:rPr>
            <w:webHidden/>
          </w:rPr>
        </w:r>
        <w:r w:rsidR="00E13348" w:rsidRPr="001915E0">
          <w:rPr>
            <w:webHidden/>
          </w:rPr>
          <w:fldChar w:fldCharType="separate"/>
        </w:r>
        <w:r w:rsidR="0051745D">
          <w:rPr>
            <w:webHidden/>
          </w:rPr>
          <w:t>155</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41" w:history="1">
        <w:r w:rsidR="00987F02" w:rsidRPr="001915E0">
          <w:rPr>
            <w:rStyle w:val="Hyperlink"/>
            <w:color w:val="auto"/>
            <w:lang w:val="es-ES_tradnl"/>
          </w:rPr>
          <w:t>Programa 19</w:t>
        </w:r>
        <w:r w:rsidR="00987F02" w:rsidRPr="001915E0">
          <w:rPr>
            <w:rFonts w:asciiTheme="minorHAnsi" w:eastAsiaTheme="minorEastAsia" w:hAnsiTheme="minorHAnsi" w:cstheme="minorBidi"/>
            <w:sz w:val="22"/>
            <w:szCs w:val="22"/>
          </w:rPr>
          <w:tab/>
        </w:r>
        <w:r w:rsidR="00987F02" w:rsidRPr="001915E0">
          <w:rPr>
            <w:rStyle w:val="Hyperlink"/>
            <w:color w:val="auto"/>
            <w:lang w:val="es-ES_tradnl"/>
          </w:rPr>
          <w:t>Comunicaciones</w:t>
        </w:r>
        <w:r w:rsidR="00987F02" w:rsidRPr="001915E0">
          <w:rPr>
            <w:webHidden/>
          </w:rPr>
          <w:tab/>
        </w:r>
        <w:r w:rsidR="00E13348" w:rsidRPr="001915E0">
          <w:rPr>
            <w:webHidden/>
          </w:rPr>
          <w:fldChar w:fldCharType="begin"/>
        </w:r>
        <w:r w:rsidR="00E13348" w:rsidRPr="001915E0">
          <w:rPr>
            <w:webHidden/>
          </w:rPr>
          <w:instrText xml:space="preserve"> PAGEREF _Toc366078741 \h </w:instrText>
        </w:r>
        <w:r w:rsidR="00E13348" w:rsidRPr="001915E0">
          <w:rPr>
            <w:webHidden/>
          </w:rPr>
        </w:r>
        <w:r w:rsidR="00E13348" w:rsidRPr="001915E0">
          <w:rPr>
            <w:webHidden/>
          </w:rPr>
          <w:fldChar w:fldCharType="separate"/>
        </w:r>
        <w:r w:rsidR="0051745D">
          <w:rPr>
            <w:webHidden/>
          </w:rPr>
          <w:t>157</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42" w:history="1">
        <w:r w:rsidR="007255CB" w:rsidRPr="001915E0">
          <w:rPr>
            <w:rStyle w:val="Hyperlink"/>
            <w:color w:val="auto"/>
            <w:lang w:val="es-ES_tradnl"/>
          </w:rPr>
          <w:t>Programa 20</w:t>
        </w:r>
        <w:r w:rsidR="007255CB" w:rsidRPr="001915E0">
          <w:rPr>
            <w:rFonts w:asciiTheme="minorHAnsi" w:eastAsiaTheme="minorEastAsia" w:hAnsiTheme="minorHAnsi" w:cstheme="minorBidi"/>
            <w:sz w:val="22"/>
            <w:szCs w:val="22"/>
          </w:rPr>
          <w:tab/>
        </w:r>
        <w:r w:rsidR="007255CB" w:rsidRPr="001915E0">
          <w:rPr>
            <w:rStyle w:val="Hyperlink"/>
            <w:iCs/>
            <w:color w:val="auto"/>
          </w:rPr>
          <w:t>Relaciones</w:t>
        </w:r>
        <w:r w:rsidR="005D6B22" w:rsidRPr="001915E0">
          <w:rPr>
            <w:rStyle w:val="Hyperlink"/>
            <w:color w:val="auto"/>
            <w:lang w:val="es-ES_tradnl"/>
          </w:rPr>
          <w:t xml:space="preserve"> exteriores, alianzas y O</w:t>
        </w:r>
        <w:r w:rsidR="007255CB" w:rsidRPr="001915E0">
          <w:rPr>
            <w:rStyle w:val="Hyperlink"/>
            <w:color w:val="auto"/>
            <w:lang w:val="es-ES_tradnl"/>
          </w:rPr>
          <w:t>ficinas en el exterior</w:t>
        </w:r>
        <w:r w:rsidR="007255CB" w:rsidRPr="001915E0">
          <w:rPr>
            <w:webHidden/>
          </w:rPr>
          <w:tab/>
        </w:r>
        <w:r w:rsidR="00E13348" w:rsidRPr="001915E0">
          <w:rPr>
            <w:webHidden/>
          </w:rPr>
          <w:fldChar w:fldCharType="begin"/>
        </w:r>
        <w:r w:rsidR="00E13348" w:rsidRPr="001915E0">
          <w:rPr>
            <w:webHidden/>
          </w:rPr>
          <w:instrText xml:space="preserve"> PAGEREF _Toc366078742 \h </w:instrText>
        </w:r>
        <w:r w:rsidR="00E13348" w:rsidRPr="001915E0">
          <w:rPr>
            <w:webHidden/>
          </w:rPr>
        </w:r>
        <w:r w:rsidR="00E13348" w:rsidRPr="001915E0">
          <w:rPr>
            <w:webHidden/>
          </w:rPr>
          <w:fldChar w:fldCharType="separate"/>
        </w:r>
        <w:r w:rsidR="0051745D">
          <w:rPr>
            <w:webHidden/>
          </w:rPr>
          <w:t>163</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43" w:history="1">
        <w:r w:rsidR="00E13348" w:rsidRPr="001915E0">
          <w:rPr>
            <w:rStyle w:val="Hyperlink"/>
            <w:b/>
            <w:color w:val="auto"/>
          </w:rPr>
          <w:t>META ESTRATÉGICA IX</w:t>
        </w:r>
        <w:r w:rsidR="00E13348" w:rsidRPr="001915E0">
          <w:rPr>
            <w:webHidden/>
          </w:rPr>
          <w:tab/>
        </w:r>
      </w:hyperlink>
      <w:hyperlink w:anchor="_Toc366078744" w:history="1">
        <w:r w:rsidR="00E13348" w:rsidRPr="001915E0">
          <w:rPr>
            <w:rStyle w:val="Hyperlink"/>
            <w:b/>
            <w:color w:val="auto"/>
          </w:rPr>
          <w:t>A</w:t>
        </w:r>
        <w:r w:rsidR="007255CB" w:rsidRPr="001915E0">
          <w:rPr>
            <w:rStyle w:val="Hyperlink"/>
            <w:b/>
            <w:color w:val="auto"/>
          </w:rPr>
          <w:t>poyo administrativo y financiero eficiente</w:t>
        </w:r>
        <w:r w:rsidR="00E13348" w:rsidRPr="001915E0">
          <w:rPr>
            <w:webHidden/>
          </w:rPr>
          <w:tab/>
        </w:r>
        <w:r w:rsidR="00E13348" w:rsidRPr="001915E0">
          <w:rPr>
            <w:webHidden/>
          </w:rPr>
          <w:fldChar w:fldCharType="begin"/>
        </w:r>
        <w:r w:rsidR="00E13348" w:rsidRPr="001915E0">
          <w:rPr>
            <w:webHidden/>
          </w:rPr>
          <w:instrText xml:space="preserve"> PAGEREF _Toc366078744 \h </w:instrText>
        </w:r>
        <w:r w:rsidR="00E13348" w:rsidRPr="001915E0">
          <w:rPr>
            <w:webHidden/>
          </w:rPr>
        </w:r>
        <w:r w:rsidR="00E13348" w:rsidRPr="001915E0">
          <w:rPr>
            <w:webHidden/>
          </w:rPr>
          <w:fldChar w:fldCharType="separate"/>
        </w:r>
        <w:r w:rsidR="0051745D">
          <w:rPr>
            <w:webHidden/>
          </w:rPr>
          <w:t>173</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45" w:history="1">
        <w:r w:rsidR="007255CB" w:rsidRPr="001915E0">
          <w:rPr>
            <w:rStyle w:val="Hyperlink"/>
            <w:color w:val="auto"/>
            <w:lang w:val="es-ES_tradnl"/>
          </w:rPr>
          <w:t>Programa 21</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Gestión ejecutiva</w:t>
        </w:r>
        <w:r w:rsidR="007255CB" w:rsidRPr="001915E0">
          <w:rPr>
            <w:webHidden/>
          </w:rPr>
          <w:tab/>
        </w:r>
        <w:r w:rsidR="00E13348" w:rsidRPr="001915E0">
          <w:rPr>
            <w:webHidden/>
          </w:rPr>
          <w:fldChar w:fldCharType="begin"/>
        </w:r>
        <w:r w:rsidR="00E13348" w:rsidRPr="001915E0">
          <w:rPr>
            <w:webHidden/>
          </w:rPr>
          <w:instrText xml:space="preserve"> PAGEREF _Toc366078745 \h </w:instrText>
        </w:r>
        <w:r w:rsidR="00E13348" w:rsidRPr="001915E0">
          <w:rPr>
            <w:webHidden/>
          </w:rPr>
        </w:r>
        <w:r w:rsidR="00E13348" w:rsidRPr="001915E0">
          <w:rPr>
            <w:webHidden/>
          </w:rPr>
          <w:fldChar w:fldCharType="separate"/>
        </w:r>
        <w:r w:rsidR="0051745D">
          <w:rPr>
            <w:webHidden/>
          </w:rPr>
          <w:t>178</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46" w:history="1">
        <w:r w:rsidR="007255CB" w:rsidRPr="001915E0">
          <w:rPr>
            <w:rStyle w:val="Hyperlink"/>
            <w:color w:val="auto"/>
            <w:lang w:val="es-ES_tradnl"/>
          </w:rPr>
          <w:t>Programa 22</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Gestión de programas y recursos</w:t>
        </w:r>
        <w:r w:rsidR="007255CB" w:rsidRPr="001915E0">
          <w:rPr>
            <w:webHidden/>
          </w:rPr>
          <w:tab/>
        </w:r>
        <w:r w:rsidR="00E13348" w:rsidRPr="001915E0">
          <w:rPr>
            <w:webHidden/>
          </w:rPr>
          <w:fldChar w:fldCharType="begin"/>
        </w:r>
        <w:r w:rsidR="00E13348" w:rsidRPr="001915E0">
          <w:rPr>
            <w:webHidden/>
          </w:rPr>
          <w:instrText xml:space="preserve"> PAGEREF _Toc366078746 \h </w:instrText>
        </w:r>
        <w:r w:rsidR="00E13348" w:rsidRPr="001915E0">
          <w:rPr>
            <w:webHidden/>
          </w:rPr>
        </w:r>
        <w:r w:rsidR="00E13348" w:rsidRPr="001915E0">
          <w:rPr>
            <w:webHidden/>
          </w:rPr>
          <w:fldChar w:fldCharType="separate"/>
        </w:r>
        <w:r w:rsidR="0051745D">
          <w:rPr>
            <w:webHidden/>
          </w:rPr>
          <w:t>184</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47" w:history="1">
        <w:r w:rsidR="007255CB" w:rsidRPr="001915E0">
          <w:rPr>
            <w:rStyle w:val="Hyperlink"/>
            <w:color w:val="auto"/>
            <w:lang w:val="es-ES_tradnl"/>
          </w:rPr>
          <w:t>Programa 23</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Gestión y desarrollo de los recursos humanos</w:t>
        </w:r>
        <w:r w:rsidR="007255CB" w:rsidRPr="001915E0">
          <w:rPr>
            <w:webHidden/>
          </w:rPr>
          <w:tab/>
        </w:r>
        <w:r w:rsidR="00E13348" w:rsidRPr="001915E0">
          <w:rPr>
            <w:webHidden/>
          </w:rPr>
          <w:fldChar w:fldCharType="begin"/>
        </w:r>
        <w:r w:rsidR="00E13348" w:rsidRPr="001915E0">
          <w:rPr>
            <w:webHidden/>
          </w:rPr>
          <w:instrText xml:space="preserve"> PAGEREF _Toc366078747 \h </w:instrText>
        </w:r>
        <w:r w:rsidR="00E13348" w:rsidRPr="001915E0">
          <w:rPr>
            <w:webHidden/>
          </w:rPr>
        </w:r>
        <w:r w:rsidR="00E13348" w:rsidRPr="001915E0">
          <w:rPr>
            <w:webHidden/>
          </w:rPr>
          <w:fldChar w:fldCharType="separate"/>
        </w:r>
        <w:r w:rsidR="0051745D">
          <w:rPr>
            <w:webHidden/>
          </w:rPr>
          <w:t>189</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48" w:history="1">
        <w:r w:rsidR="007255CB" w:rsidRPr="001915E0">
          <w:rPr>
            <w:rStyle w:val="Hyperlink"/>
            <w:color w:val="auto"/>
            <w:lang w:val="es-ES_tradnl"/>
          </w:rPr>
          <w:t>Programa 24</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Servicios de apoyo generales</w:t>
        </w:r>
        <w:r w:rsidR="007255CB" w:rsidRPr="001915E0">
          <w:rPr>
            <w:webHidden/>
          </w:rPr>
          <w:tab/>
        </w:r>
        <w:r w:rsidR="00E13348" w:rsidRPr="001915E0">
          <w:rPr>
            <w:webHidden/>
          </w:rPr>
          <w:fldChar w:fldCharType="begin"/>
        </w:r>
        <w:r w:rsidR="00E13348" w:rsidRPr="001915E0">
          <w:rPr>
            <w:webHidden/>
          </w:rPr>
          <w:instrText xml:space="preserve"> PAGEREF _Toc366078748 \h </w:instrText>
        </w:r>
        <w:r w:rsidR="00E13348" w:rsidRPr="001915E0">
          <w:rPr>
            <w:webHidden/>
          </w:rPr>
        </w:r>
        <w:r w:rsidR="00E13348" w:rsidRPr="001915E0">
          <w:rPr>
            <w:webHidden/>
          </w:rPr>
          <w:fldChar w:fldCharType="separate"/>
        </w:r>
        <w:r w:rsidR="0051745D">
          <w:rPr>
            <w:webHidden/>
          </w:rPr>
          <w:t>194</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49" w:history="1">
        <w:r w:rsidR="007255CB" w:rsidRPr="001915E0">
          <w:rPr>
            <w:rStyle w:val="Hyperlink"/>
            <w:color w:val="auto"/>
            <w:lang w:val="es-ES_tradnl"/>
          </w:rPr>
          <w:t xml:space="preserve">Programa 25 </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Tecnologías de la información y de las comunicaciones</w:t>
        </w:r>
        <w:r w:rsidR="007255CB" w:rsidRPr="001915E0">
          <w:rPr>
            <w:webHidden/>
          </w:rPr>
          <w:tab/>
        </w:r>
        <w:r w:rsidR="00E13348" w:rsidRPr="001915E0">
          <w:rPr>
            <w:webHidden/>
          </w:rPr>
          <w:fldChar w:fldCharType="begin"/>
        </w:r>
        <w:r w:rsidR="00E13348" w:rsidRPr="001915E0">
          <w:rPr>
            <w:webHidden/>
          </w:rPr>
          <w:instrText xml:space="preserve"> PAGEREF _Toc366078749 \h </w:instrText>
        </w:r>
        <w:r w:rsidR="00E13348" w:rsidRPr="001915E0">
          <w:rPr>
            <w:webHidden/>
          </w:rPr>
        </w:r>
        <w:r w:rsidR="00E13348" w:rsidRPr="001915E0">
          <w:rPr>
            <w:webHidden/>
          </w:rPr>
          <w:fldChar w:fldCharType="separate"/>
        </w:r>
        <w:r w:rsidR="0051745D">
          <w:rPr>
            <w:webHidden/>
          </w:rPr>
          <w:t>199</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50" w:history="1">
        <w:r w:rsidR="007255CB" w:rsidRPr="001915E0">
          <w:rPr>
            <w:rStyle w:val="Hyperlink"/>
            <w:color w:val="auto"/>
            <w:lang w:val="es-ES_tradnl"/>
          </w:rPr>
          <w:t>Programa 26</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Supervisión interna</w:t>
        </w:r>
        <w:r w:rsidR="007255CB" w:rsidRPr="001915E0">
          <w:rPr>
            <w:webHidden/>
          </w:rPr>
          <w:tab/>
        </w:r>
        <w:r w:rsidR="00E13348" w:rsidRPr="001915E0">
          <w:rPr>
            <w:webHidden/>
          </w:rPr>
          <w:fldChar w:fldCharType="begin"/>
        </w:r>
        <w:r w:rsidR="00E13348" w:rsidRPr="001915E0">
          <w:rPr>
            <w:webHidden/>
          </w:rPr>
          <w:instrText xml:space="preserve"> PAGEREF _Toc366078750 \h </w:instrText>
        </w:r>
        <w:r w:rsidR="00E13348" w:rsidRPr="001915E0">
          <w:rPr>
            <w:webHidden/>
          </w:rPr>
        </w:r>
        <w:r w:rsidR="00E13348" w:rsidRPr="001915E0">
          <w:rPr>
            <w:webHidden/>
          </w:rPr>
          <w:fldChar w:fldCharType="separate"/>
        </w:r>
        <w:r w:rsidR="0051745D">
          <w:rPr>
            <w:webHidden/>
          </w:rPr>
          <w:t>204</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51" w:history="1">
        <w:r w:rsidR="007255CB" w:rsidRPr="001915E0">
          <w:rPr>
            <w:rStyle w:val="Hyperlink"/>
            <w:color w:val="auto"/>
            <w:lang w:val="es-ES_tradnl"/>
          </w:rPr>
          <w:t>Programa 27</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Servicios de conferencias y lingüísticos</w:t>
        </w:r>
        <w:r w:rsidR="007255CB" w:rsidRPr="001915E0">
          <w:rPr>
            <w:webHidden/>
          </w:rPr>
          <w:tab/>
        </w:r>
        <w:r w:rsidR="00E13348" w:rsidRPr="001915E0">
          <w:rPr>
            <w:webHidden/>
          </w:rPr>
          <w:fldChar w:fldCharType="begin"/>
        </w:r>
        <w:r w:rsidR="00E13348" w:rsidRPr="001915E0">
          <w:rPr>
            <w:webHidden/>
          </w:rPr>
          <w:instrText xml:space="preserve"> PAGEREF _Toc366078751 \h </w:instrText>
        </w:r>
        <w:r w:rsidR="00E13348" w:rsidRPr="001915E0">
          <w:rPr>
            <w:webHidden/>
          </w:rPr>
        </w:r>
        <w:r w:rsidR="00E13348" w:rsidRPr="001915E0">
          <w:rPr>
            <w:webHidden/>
          </w:rPr>
          <w:fldChar w:fldCharType="separate"/>
        </w:r>
        <w:r w:rsidR="0051745D">
          <w:rPr>
            <w:webHidden/>
          </w:rPr>
          <w:t>208</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52" w:history="1">
        <w:r w:rsidR="007255CB" w:rsidRPr="001915E0">
          <w:rPr>
            <w:rStyle w:val="Hyperlink"/>
            <w:color w:val="auto"/>
            <w:lang w:val="es-ES_tradnl"/>
          </w:rPr>
          <w:t>Programa 28</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Seguridad</w:t>
        </w:r>
        <w:r w:rsidR="007255CB" w:rsidRPr="001915E0">
          <w:rPr>
            <w:webHidden/>
          </w:rPr>
          <w:tab/>
        </w:r>
        <w:r w:rsidR="00E13348" w:rsidRPr="001915E0">
          <w:rPr>
            <w:webHidden/>
          </w:rPr>
          <w:fldChar w:fldCharType="begin"/>
        </w:r>
        <w:r w:rsidR="00E13348" w:rsidRPr="001915E0">
          <w:rPr>
            <w:webHidden/>
          </w:rPr>
          <w:instrText xml:space="preserve"> PAGEREF _Toc366078752 \h </w:instrText>
        </w:r>
        <w:r w:rsidR="00E13348" w:rsidRPr="001915E0">
          <w:rPr>
            <w:webHidden/>
          </w:rPr>
        </w:r>
        <w:r w:rsidR="00E13348" w:rsidRPr="001915E0">
          <w:rPr>
            <w:webHidden/>
          </w:rPr>
          <w:fldChar w:fldCharType="separate"/>
        </w:r>
        <w:r w:rsidR="0051745D">
          <w:rPr>
            <w:webHidden/>
          </w:rPr>
          <w:t>212</w:t>
        </w:r>
        <w:r w:rsidR="00E13348" w:rsidRPr="001915E0">
          <w:rPr>
            <w:webHidden/>
          </w:rPr>
          <w:fldChar w:fldCharType="end"/>
        </w:r>
      </w:hyperlink>
    </w:p>
    <w:p w:rsidR="00E13348" w:rsidRPr="001915E0" w:rsidRDefault="001F1886" w:rsidP="00A445F5">
      <w:pPr>
        <w:pStyle w:val="TOC3"/>
        <w:rPr>
          <w:rFonts w:asciiTheme="minorHAnsi" w:eastAsiaTheme="minorEastAsia" w:hAnsiTheme="minorHAnsi" w:cstheme="minorBidi"/>
          <w:sz w:val="22"/>
          <w:szCs w:val="22"/>
        </w:rPr>
      </w:pPr>
      <w:hyperlink w:anchor="_Toc366078753" w:history="1">
        <w:r w:rsidR="007255CB" w:rsidRPr="001915E0">
          <w:rPr>
            <w:rStyle w:val="Hyperlink"/>
            <w:color w:val="auto"/>
            <w:lang w:val="es-ES_tradnl"/>
          </w:rPr>
          <w:t>Programa 29</w:t>
        </w:r>
        <w:r w:rsidR="007255CB" w:rsidRPr="001915E0">
          <w:rPr>
            <w:rFonts w:asciiTheme="minorHAnsi" w:eastAsiaTheme="minorEastAsia" w:hAnsiTheme="minorHAnsi" w:cstheme="minorBidi"/>
            <w:sz w:val="22"/>
            <w:szCs w:val="22"/>
          </w:rPr>
          <w:tab/>
        </w:r>
        <w:r w:rsidR="007255CB" w:rsidRPr="001915E0">
          <w:rPr>
            <w:rStyle w:val="Hyperlink"/>
            <w:color w:val="auto"/>
            <w:lang w:val="es-ES_tradnl"/>
          </w:rPr>
          <w:t>Nueva sala de conferencias</w:t>
        </w:r>
        <w:r w:rsidR="007255CB" w:rsidRPr="001915E0">
          <w:rPr>
            <w:webHidden/>
          </w:rPr>
          <w:tab/>
        </w:r>
        <w:r w:rsidR="00E13348" w:rsidRPr="001915E0">
          <w:rPr>
            <w:webHidden/>
          </w:rPr>
          <w:fldChar w:fldCharType="begin"/>
        </w:r>
        <w:r w:rsidR="00E13348" w:rsidRPr="001915E0">
          <w:rPr>
            <w:webHidden/>
          </w:rPr>
          <w:instrText xml:space="preserve"> PAGEREF _Toc366078753 \h </w:instrText>
        </w:r>
        <w:r w:rsidR="00E13348" w:rsidRPr="001915E0">
          <w:rPr>
            <w:webHidden/>
          </w:rPr>
        </w:r>
        <w:r w:rsidR="00E13348" w:rsidRPr="001915E0">
          <w:rPr>
            <w:webHidden/>
          </w:rPr>
          <w:fldChar w:fldCharType="separate"/>
        </w:r>
        <w:r w:rsidR="0051745D">
          <w:rPr>
            <w:webHidden/>
          </w:rPr>
          <w:t>215</w:t>
        </w:r>
        <w:r w:rsidR="00E13348" w:rsidRPr="001915E0">
          <w:rPr>
            <w:webHidden/>
          </w:rPr>
          <w:fldChar w:fldCharType="end"/>
        </w:r>
      </w:hyperlink>
    </w:p>
    <w:p w:rsidR="00E13348" w:rsidRPr="001915E0" w:rsidRDefault="001F1886" w:rsidP="007255CB">
      <w:pPr>
        <w:pStyle w:val="TOC1"/>
        <w:rPr>
          <w:rFonts w:asciiTheme="minorHAnsi" w:eastAsiaTheme="minorEastAsia" w:hAnsiTheme="minorHAnsi" w:cstheme="minorBidi"/>
          <w:szCs w:val="22"/>
          <w:lang w:val="en-US"/>
        </w:rPr>
      </w:pPr>
      <w:hyperlink w:anchor="_Toc366078754" w:history="1">
        <w:r w:rsidR="00E13348" w:rsidRPr="001915E0">
          <w:rPr>
            <w:rStyle w:val="Hyperlink"/>
            <w:b/>
            <w:color w:val="auto"/>
          </w:rPr>
          <w:t>IV.</w:t>
        </w:r>
        <w:r w:rsidR="00E13348" w:rsidRPr="001915E0">
          <w:rPr>
            <w:rFonts w:asciiTheme="minorHAnsi" w:eastAsiaTheme="minorEastAsia" w:hAnsiTheme="minorHAnsi" w:cstheme="minorBidi"/>
            <w:b/>
            <w:szCs w:val="22"/>
            <w:lang w:val="en-US"/>
          </w:rPr>
          <w:tab/>
        </w:r>
        <w:r w:rsidR="00E13348" w:rsidRPr="001915E0">
          <w:rPr>
            <w:rStyle w:val="Hyperlink"/>
            <w:b/>
            <w:color w:val="auto"/>
          </w:rPr>
          <w:t>ANEXOS</w:t>
        </w:r>
        <w:r w:rsidR="00E13348" w:rsidRPr="001915E0">
          <w:rPr>
            <w:webHidden/>
          </w:rPr>
          <w:tab/>
        </w:r>
        <w:r w:rsidR="00E13348" w:rsidRPr="001915E0">
          <w:rPr>
            <w:b/>
            <w:webHidden/>
          </w:rPr>
          <w:fldChar w:fldCharType="begin"/>
        </w:r>
        <w:r w:rsidR="00E13348" w:rsidRPr="001915E0">
          <w:rPr>
            <w:b/>
            <w:webHidden/>
          </w:rPr>
          <w:instrText xml:space="preserve"> PAGEREF _Toc366078754 \h </w:instrText>
        </w:r>
        <w:r w:rsidR="00E13348" w:rsidRPr="001915E0">
          <w:rPr>
            <w:b/>
            <w:webHidden/>
          </w:rPr>
        </w:r>
        <w:r w:rsidR="00E13348" w:rsidRPr="001915E0">
          <w:rPr>
            <w:b/>
            <w:webHidden/>
          </w:rPr>
          <w:fldChar w:fldCharType="separate"/>
        </w:r>
        <w:r w:rsidR="0051745D">
          <w:rPr>
            <w:b/>
            <w:webHidden/>
          </w:rPr>
          <w:t>219</w:t>
        </w:r>
        <w:r w:rsidR="00E13348" w:rsidRPr="001915E0">
          <w:rPr>
            <w:b/>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55" w:history="1">
        <w:r w:rsidR="00E13348" w:rsidRPr="001915E0">
          <w:rPr>
            <w:rStyle w:val="Hyperlink"/>
            <w:color w:val="auto"/>
          </w:rPr>
          <w:t>ANEXO I.</w:t>
        </w:r>
        <w:r w:rsidR="00E13348" w:rsidRPr="001915E0">
          <w:rPr>
            <w:rFonts w:asciiTheme="minorHAnsi" w:eastAsiaTheme="minorEastAsia" w:hAnsiTheme="minorHAnsi" w:cstheme="minorBidi"/>
            <w:sz w:val="22"/>
            <w:szCs w:val="22"/>
            <w:lang w:val="en-US" w:eastAsia="en-US"/>
          </w:rPr>
          <w:tab/>
        </w:r>
        <w:r w:rsidR="00E13348" w:rsidRPr="001915E0">
          <w:rPr>
            <w:rStyle w:val="Hyperlink"/>
            <w:color w:val="auto"/>
          </w:rPr>
          <w:t>PRESUPUESTO 2012/2013 DESPUÉS DE LAS TRANSFERENCIAS,</w:t>
        </w:r>
        <w:r w:rsidR="00A445F5" w:rsidRPr="001915E0">
          <w:rPr>
            <w:rStyle w:val="Hyperlink"/>
            <w:color w:val="auto"/>
          </w:rPr>
          <w:t xml:space="preserve"> </w:t>
        </w:r>
        <w:r w:rsidR="00E13348" w:rsidRPr="001915E0">
          <w:rPr>
            <w:rStyle w:val="Hyperlink"/>
            <w:color w:val="auto"/>
          </w:rPr>
          <w:t>POR PROGRAMA</w:t>
        </w:r>
        <w:r w:rsidR="00E13348" w:rsidRPr="001915E0">
          <w:rPr>
            <w:webHidden/>
          </w:rPr>
          <w:tab/>
        </w:r>
        <w:r w:rsidR="00E13348" w:rsidRPr="001915E0">
          <w:rPr>
            <w:webHidden/>
          </w:rPr>
          <w:fldChar w:fldCharType="begin"/>
        </w:r>
        <w:r w:rsidR="00E13348" w:rsidRPr="001915E0">
          <w:rPr>
            <w:webHidden/>
          </w:rPr>
          <w:instrText xml:space="preserve"> PAGEREF _Toc366078755 \h </w:instrText>
        </w:r>
        <w:r w:rsidR="00E13348" w:rsidRPr="001915E0">
          <w:rPr>
            <w:webHidden/>
          </w:rPr>
        </w:r>
        <w:r w:rsidR="00E13348" w:rsidRPr="001915E0">
          <w:rPr>
            <w:webHidden/>
          </w:rPr>
          <w:fldChar w:fldCharType="separate"/>
        </w:r>
        <w:r w:rsidR="0051745D">
          <w:rPr>
            <w:webHidden/>
          </w:rPr>
          <w:t>220</w:t>
        </w:r>
        <w:r w:rsidR="00E13348" w:rsidRPr="001915E0">
          <w:rPr>
            <w:webHidden/>
          </w:rPr>
          <w:fldChar w:fldCharType="end"/>
        </w:r>
      </w:hyperlink>
    </w:p>
    <w:p w:rsidR="00E13348" w:rsidRPr="001915E0" w:rsidRDefault="001F1886" w:rsidP="00A445F5">
      <w:pPr>
        <w:pStyle w:val="TOC2"/>
        <w:rPr>
          <w:rStyle w:val="Hyperlink"/>
          <w:color w:val="auto"/>
        </w:rPr>
      </w:pPr>
      <w:hyperlink w:anchor="_Toc366078756" w:history="1">
        <w:r w:rsidR="00E13348" w:rsidRPr="001915E0">
          <w:rPr>
            <w:rStyle w:val="Hyperlink"/>
            <w:color w:val="auto"/>
          </w:rPr>
          <w:t>ANEXO II.</w:t>
        </w:r>
        <w:r w:rsidR="00E13348" w:rsidRPr="001915E0">
          <w:rPr>
            <w:rStyle w:val="Hyperlink"/>
            <w:color w:val="auto"/>
          </w:rPr>
          <w:tab/>
          <w:t>RECURSOS PROPUESTOS PARA 2014/2015, POR PROGRAMA</w:t>
        </w:r>
        <w:r w:rsidR="00E13348" w:rsidRPr="001915E0">
          <w:rPr>
            <w:rStyle w:val="Hyperlink"/>
            <w:webHidden/>
            <w:color w:val="auto"/>
          </w:rPr>
          <w:tab/>
        </w:r>
        <w:r w:rsidR="00E13348" w:rsidRPr="001915E0">
          <w:rPr>
            <w:rStyle w:val="Hyperlink"/>
            <w:webHidden/>
            <w:color w:val="auto"/>
          </w:rPr>
          <w:fldChar w:fldCharType="begin"/>
        </w:r>
        <w:r w:rsidR="00E13348" w:rsidRPr="001915E0">
          <w:rPr>
            <w:rStyle w:val="Hyperlink"/>
            <w:webHidden/>
            <w:color w:val="auto"/>
          </w:rPr>
          <w:instrText xml:space="preserve"> PAGEREF _Toc366078756 \h </w:instrText>
        </w:r>
        <w:r w:rsidR="00E13348" w:rsidRPr="001915E0">
          <w:rPr>
            <w:rStyle w:val="Hyperlink"/>
            <w:webHidden/>
            <w:color w:val="auto"/>
          </w:rPr>
        </w:r>
        <w:r w:rsidR="00E13348" w:rsidRPr="001915E0">
          <w:rPr>
            <w:rStyle w:val="Hyperlink"/>
            <w:webHidden/>
            <w:color w:val="auto"/>
          </w:rPr>
          <w:fldChar w:fldCharType="separate"/>
        </w:r>
        <w:r w:rsidR="0051745D">
          <w:rPr>
            <w:rStyle w:val="Hyperlink"/>
            <w:webHidden/>
            <w:color w:val="auto"/>
          </w:rPr>
          <w:t>221</w:t>
        </w:r>
        <w:r w:rsidR="00E13348" w:rsidRPr="001915E0">
          <w:rPr>
            <w:rStyle w:val="Hyperlink"/>
            <w:webHidden/>
            <w:color w:val="auto"/>
          </w:rPr>
          <w:fldChar w:fldCharType="end"/>
        </w:r>
      </w:hyperlink>
    </w:p>
    <w:p w:rsidR="00E13348" w:rsidRPr="001915E0" w:rsidRDefault="001F1886" w:rsidP="00A445F5">
      <w:pPr>
        <w:pStyle w:val="TOC2"/>
        <w:rPr>
          <w:rStyle w:val="Hyperlink"/>
          <w:color w:val="auto"/>
        </w:rPr>
      </w:pPr>
      <w:hyperlink w:anchor="_Toc366078757" w:history="1">
        <w:r w:rsidR="00E13348" w:rsidRPr="001915E0">
          <w:rPr>
            <w:rStyle w:val="Hyperlink"/>
            <w:color w:val="auto"/>
          </w:rPr>
          <w:t>ANEXO III.</w:t>
        </w:r>
        <w:r w:rsidR="00E13348" w:rsidRPr="001915E0">
          <w:rPr>
            <w:rStyle w:val="Hyperlink"/>
            <w:color w:val="auto"/>
          </w:rPr>
          <w:tab/>
          <w:t>ASIGNACIÓN DE LOS INGRESOS PREVISTOS Y DE LOS GASTOS PRESUPUESTADOS, POR UNIÓN</w:t>
        </w:r>
        <w:r w:rsidR="00E13348" w:rsidRPr="001915E0">
          <w:rPr>
            <w:rStyle w:val="Hyperlink"/>
            <w:webHidden/>
            <w:color w:val="auto"/>
          </w:rPr>
          <w:tab/>
        </w:r>
        <w:r w:rsidR="00E13348" w:rsidRPr="001915E0">
          <w:rPr>
            <w:rStyle w:val="Hyperlink"/>
            <w:webHidden/>
            <w:color w:val="auto"/>
          </w:rPr>
          <w:fldChar w:fldCharType="begin"/>
        </w:r>
        <w:r w:rsidR="00E13348" w:rsidRPr="001915E0">
          <w:rPr>
            <w:rStyle w:val="Hyperlink"/>
            <w:webHidden/>
            <w:color w:val="auto"/>
          </w:rPr>
          <w:instrText xml:space="preserve"> PAGEREF _Toc366078757 \h </w:instrText>
        </w:r>
        <w:r w:rsidR="00E13348" w:rsidRPr="001915E0">
          <w:rPr>
            <w:rStyle w:val="Hyperlink"/>
            <w:webHidden/>
            <w:color w:val="auto"/>
          </w:rPr>
        </w:r>
        <w:r w:rsidR="00E13348" w:rsidRPr="001915E0">
          <w:rPr>
            <w:rStyle w:val="Hyperlink"/>
            <w:webHidden/>
            <w:color w:val="auto"/>
          </w:rPr>
          <w:fldChar w:fldCharType="separate"/>
        </w:r>
        <w:r w:rsidR="0051745D">
          <w:rPr>
            <w:rStyle w:val="Hyperlink"/>
            <w:webHidden/>
            <w:color w:val="auto"/>
          </w:rPr>
          <w:t>223</w:t>
        </w:r>
        <w:r w:rsidR="00E13348" w:rsidRPr="001915E0">
          <w:rPr>
            <w:rStyle w:val="Hyperlink"/>
            <w:webHidden/>
            <w:color w:val="auto"/>
          </w:rPr>
          <w:fldChar w:fldCharType="end"/>
        </w:r>
      </w:hyperlink>
    </w:p>
    <w:p w:rsidR="00E13348" w:rsidRPr="001915E0" w:rsidRDefault="001F1886" w:rsidP="00A445F5">
      <w:pPr>
        <w:pStyle w:val="TOC2"/>
        <w:rPr>
          <w:rStyle w:val="Hyperlink"/>
          <w:color w:val="auto"/>
        </w:rPr>
      </w:pPr>
      <w:hyperlink w:anchor="_Toc366078758" w:history="1">
        <w:r w:rsidR="00E13348" w:rsidRPr="001915E0">
          <w:rPr>
            <w:rStyle w:val="Hyperlink"/>
            <w:color w:val="auto"/>
          </w:rPr>
          <w:t>ANEXO IV.</w:t>
        </w:r>
        <w:r w:rsidR="00E13348" w:rsidRPr="001915E0">
          <w:rPr>
            <w:rStyle w:val="Hyperlink"/>
            <w:color w:val="auto"/>
          </w:rPr>
          <w:tab/>
          <w:t>EVOLUCIÓN DE LA DEMANDA DE LOS SERVICIOS DE LOS SISTEMAS DEL PCT, DE MADRID Y DE LA HAYA A MEDIANO PLAZO</w:t>
        </w:r>
        <w:r w:rsidR="00E13348" w:rsidRPr="001915E0">
          <w:rPr>
            <w:rStyle w:val="Hyperlink"/>
            <w:webHidden/>
            <w:color w:val="auto"/>
          </w:rPr>
          <w:tab/>
        </w:r>
        <w:r w:rsidR="00E13348" w:rsidRPr="001915E0">
          <w:rPr>
            <w:rStyle w:val="Hyperlink"/>
            <w:webHidden/>
            <w:color w:val="auto"/>
          </w:rPr>
          <w:fldChar w:fldCharType="begin"/>
        </w:r>
        <w:r w:rsidR="00E13348" w:rsidRPr="001915E0">
          <w:rPr>
            <w:rStyle w:val="Hyperlink"/>
            <w:webHidden/>
            <w:color w:val="auto"/>
          </w:rPr>
          <w:instrText xml:space="preserve"> PAGEREF _Toc366078758 \h </w:instrText>
        </w:r>
        <w:r w:rsidR="00E13348" w:rsidRPr="001915E0">
          <w:rPr>
            <w:rStyle w:val="Hyperlink"/>
            <w:webHidden/>
            <w:color w:val="auto"/>
          </w:rPr>
        </w:r>
        <w:r w:rsidR="00E13348" w:rsidRPr="001915E0">
          <w:rPr>
            <w:rStyle w:val="Hyperlink"/>
            <w:webHidden/>
            <w:color w:val="auto"/>
          </w:rPr>
          <w:fldChar w:fldCharType="separate"/>
        </w:r>
        <w:r w:rsidR="0051745D">
          <w:rPr>
            <w:rStyle w:val="Hyperlink"/>
            <w:webHidden/>
            <w:color w:val="auto"/>
          </w:rPr>
          <w:t>228</w:t>
        </w:r>
        <w:r w:rsidR="00E13348" w:rsidRPr="001915E0">
          <w:rPr>
            <w:rStyle w:val="Hyperlink"/>
            <w:webHidden/>
            <w:color w:val="auto"/>
          </w:rPr>
          <w:fldChar w:fldCharType="end"/>
        </w:r>
      </w:hyperlink>
    </w:p>
    <w:p w:rsidR="00E13348" w:rsidRPr="001915E0" w:rsidRDefault="001F1886" w:rsidP="00A445F5">
      <w:pPr>
        <w:pStyle w:val="TOC2"/>
        <w:rPr>
          <w:rStyle w:val="Hyperlink"/>
          <w:color w:val="auto"/>
        </w:rPr>
      </w:pPr>
      <w:hyperlink w:anchor="_Toc366078759" w:history="1">
        <w:r w:rsidR="00E13348" w:rsidRPr="001915E0">
          <w:rPr>
            <w:rStyle w:val="Hyperlink"/>
            <w:color w:val="auto"/>
          </w:rPr>
          <w:t>ANEXO V.</w:t>
        </w:r>
        <w:r w:rsidR="00E13348" w:rsidRPr="001915E0">
          <w:rPr>
            <w:rStyle w:val="Hyperlink"/>
            <w:color w:val="auto"/>
          </w:rPr>
          <w:tab/>
          <w:t>INDICADORES DE LAS OPERACIONES DEL PCT</w:t>
        </w:r>
        <w:r w:rsidR="00E13348" w:rsidRPr="001915E0">
          <w:rPr>
            <w:rStyle w:val="Hyperlink"/>
            <w:webHidden/>
            <w:color w:val="auto"/>
          </w:rPr>
          <w:tab/>
        </w:r>
        <w:r w:rsidR="00E13348" w:rsidRPr="001915E0">
          <w:rPr>
            <w:rStyle w:val="Hyperlink"/>
            <w:webHidden/>
            <w:color w:val="auto"/>
          </w:rPr>
          <w:fldChar w:fldCharType="begin"/>
        </w:r>
        <w:r w:rsidR="00E13348" w:rsidRPr="001915E0">
          <w:rPr>
            <w:rStyle w:val="Hyperlink"/>
            <w:webHidden/>
            <w:color w:val="auto"/>
          </w:rPr>
          <w:instrText xml:space="preserve"> PAGEREF _Toc366078759 \h </w:instrText>
        </w:r>
        <w:r w:rsidR="00E13348" w:rsidRPr="001915E0">
          <w:rPr>
            <w:rStyle w:val="Hyperlink"/>
            <w:webHidden/>
            <w:color w:val="auto"/>
          </w:rPr>
        </w:r>
        <w:r w:rsidR="00E13348" w:rsidRPr="001915E0">
          <w:rPr>
            <w:rStyle w:val="Hyperlink"/>
            <w:webHidden/>
            <w:color w:val="auto"/>
          </w:rPr>
          <w:fldChar w:fldCharType="separate"/>
        </w:r>
        <w:r w:rsidR="0051745D">
          <w:rPr>
            <w:rStyle w:val="Hyperlink"/>
            <w:webHidden/>
            <w:color w:val="auto"/>
          </w:rPr>
          <w:t>247</w:t>
        </w:r>
        <w:r w:rsidR="00E13348" w:rsidRPr="001915E0">
          <w:rPr>
            <w:rStyle w:val="Hyperlink"/>
            <w:webHidden/>
            <w:color w:val="auto"/>
          </w:rPr>
          <w:fldChar w:fldCharType="end"/>
        </w:r>
      </w:hyperlink>
    </w:p>
    <w:p w:rsidR="00E13348" w:rsidRPr="001915E0" w:rsidRDefault="001F1886" w:rsidP="00A445F5">
      <w:pPr>
        <w:pStyle w:val="TOC2"/>
        <w:rPr>
          <w:rStyle w:val="Hyperlink"/>
          <w:color w:val="auto"/>
        </w:rPr>
      </w:pPr>
      <w:hyperlink w:anchor="_Toc366078760" w:history="1">
        <w:r w:rsidR="00E13348" w:rsidRPr="001915E0">
          <w:rPr>
            <w:rStyle w:val="Hyperlink"/>
            <w:color w:val="auto"/>
          </w:rPr>
          <w:t>ANEXO VI.</w:t>
        </w:r>
        <w:r w:rsidR="00E13348" w:rsidRPr="001915E0">
          <w:rPr>
            <w:rStyle w:val="Hyperlink"/>
            <w:color w:val="auto"/>
          </w:rPr>
          <w:tab/>
          <w:t>INDICADORES DE LAS OPERACIONES DE LOS SISTEMAS DE MADRID Y DE LISBOA</w:t>
        </w:r>
        <w:r w:rsidR="00E13348" w:rsidRPr="001915E0">
          <w:rPr>
            <w:rStyle w:val="Hyperlink"/>
            <w:webHidden/>
            <w:color w:val="auto"/>
          </w:rPr>
          <w:tab/>
        </w:r>
        <w:r w:rsidR="00A445F5" w:rsidRPr="001915E0">
          <w:rPr>
            <w:rStyle w:val="Hyperlink"/>
            <w:webHidden/>
            <w:color w:val="auto"/>
          </w:rPr>
          <w:tab/>
        </w:r>
        <w:r w:rsidR="00E13348" w:rsidRPr="001915E0">
          <w:rPr>
            <w:rStyle w:val="Hyperlink"/>
            <w:webHidden/>
            <w:color w:val="auto"/>
          </w:rPr>
          <w:fldChar w:fldCharType="begin"/>
        </w:r>
        <w:r w:rsidR="00E13348" w:rsidRPr="001915E0">
          <w:rPr>
            <w:rStyle w:val="Hyperlink"/>
            <w:webHidden/>
            <w:color w:val="auto"/>
          </w:rPr>
          <w:instrText xml:space="preserve"> PAGEREF _Toc366078760 \h </w:instrText>
        </w:r>
        <w:r w:rsidR="00E13348" w:rsidRPr="001915E0">
          <w:rPr>
            <w:rStyle w:val="Hyperlink"/>
            <w:webHidden/>
            <w:color w:val="auto"/>
          </w:rPr>
        </w:r>
        <w:r w:rsidR="00E13348" w:rsidRPr="001915E0">
          <w:rPr>
            <w:rStyle w:val="Hyperlink"/>
            <w:webHidden/>
            <w:color w:val="auto"/>
          </w:rPr>
          <w:fldChar w:fldCharType="separate"/>
        </w:r>
        <w:r w:rsidR="0051745D">
          <w:rPr>
            <w:rStyle w:val="Hyperlink"/>
            <w:webHidden/>
            <w:color w:val="auto"/>
          </w:rPr>
          <w:t>257</w:t>
        </w:r>
        <w:r w:rsidR="00E13348" w:rsidRPr="001915E0">
          <w:rPr>
            <w:rStyle w:val="Hyperlink"/>
            <w:webHidden/>
            <w:color w:val="auto"/>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61" w:history="1">
        <w:r w:rsidR="00E13348" w:rsidRPr="001915E0">
          <w:rPr>
            <w:rStyle w:val="Hyperlink"/>
            <w:color w:val="auto"/>
          </w:rPr>
          <w:t>ANEXO VII.</w:t>
        </w:r>
        <w:r w:rsidR="00E13348" w:rsidRPr="001915E0">
          <w:rPr>
            <w:rFonts w:asciiTheme="minorHAnsi" w:eastAsiaTheme="minorEastAsia" w:hAnsiTheme="minorHAnsi" w:cstheme="minorBidi"/>
            <w:sz w:val="22"/>
            <w:szCs w:val="22"/>
            <w:lang w:val="en-US" w:eastAsia="en-US"/>
          </w:rPr>
          <w:tab/>
        </w:r>
        <w:r w:rsidR="00E13348" w:rsidRPr="001915E0">
          <w:rPr>
            <w:rStyle w:val="Hyperlink"/>
            <w:color w:val="auto"/>
          </w:rPr>
          <w:t>INDICADORES DE LAS OPERACIONES DEL SISTEMA DE LA HAYA</w:t>
        </w:r>
        <w:r w:rsidR="00E13348" w:rsidRPr="001915E0">
          <w:rPr>
            <w:webHidden/>
          </w:rPr>
          <w:tab/>
        </w:r>
        <w:r w:rsidR="00E13348" w:rsidRPr="001915E0">
          <w:rPr>
            <w:webHidden/>
          </w:rPr>
          <w:fldChar w:fldCharType="begin"/>
        </w:r>
        <w:r w:rsidR="00E13348" w:rsidRPr="001915E0">
          <w:rPr>
            <w:webHidden/>
          </w:rPr>
          <w:instrText xml:space="preserve"> PAGEREF _Toc366078761 \h </w:instrText>
        </w:r>
        <w:r w:rsidR="00E13348" w:rsidRPr="001915E0">
          <w:rPr>
            <w:webHidden/>
          </w:rPr>
        </w:r>
        <w:r w:rsidR="00E13348" w:rsidRPr="001915E0">
          <w:rPr>
            <w:webHidden/>
          </w:rPr>
          <w:fldChar w:fldCharType="separate"/>
        </w:r>
        <w:r w:rsidR="0051745D">
          <w:rPr>
            <w:webHidden/>
          </w:rPr>
          <w:t>265</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62" w:history="1">
        <w:r w:rsidR="00E13348" w:rsidRPr="001915E0">
          <w:rPr>
            <w:rStyle w:val="Hyperlink"/>
            <w:color w:val="auto"/>
          </w:rPr>
          <w:t>ANEXO VIII.</w:t>
        </w:r>
        <w:r w:rsidR="00E13348" w:rsidRPr="001915E0">
          <w:rPr>
            <w:rFonts w:asciiTheme="minorHAnsi" w:eastAsiaTheme="minorEastAsia" w:hAnsiTheme="minorHAnsi" w:cstheme="minorBidi"/>
            <w:sz w:val="22"/>
            <w:szCs w:val="22"/>
            <w:lang w:val="en-US" w:eastAsia="en-US"/>
          </w:rPr>
          <w:tab/>
        </w:r>
        <w:r w:rsidR="00E13348" w:rsidRPr="001915E0">
          <w:rPr>
            <w:rStyle w:val="Hyperlink"/>
            <w:color w:val="auto"/>
          </w:rPr>
          <w:t>RECURSOS DE FONDOS FIDUCIARIOS DISPONIBLES POTENCIALMENTE PARA SU UTILIZACIÓN</w:t>
        </w:r>
        <w:r w:rsidR="00E13348" w:rsidRPr="001915E0">
          <w:rPr>
            <w:webHidden/>
          </w:rPr>
          <w:tab/>
        </w:r>
        <w:r w:rsidR="00E13348" w:rsidRPr="001915E0">
          <w:rPr>
            <w:webHidden/>
          </w:rPr>
          <w:fldChar w:fldCharType="begin"/>
        </w:r>
        <w:r w:rsidR="00E13348" w:rsidRPr="001915E0">
          <w:rPr>
            <w:webHidden/>
          </w:rPr>
          <w:instrText xml:space="preserve"> PAGEREF _Toc366078762 \h </w:instrText>
        </w:r>
        <w:r w:rsidR="00E13348" w:rsidRPr="001915E0">
          <w:rPr>
            <w:webHidden/>
          </w:rPr>
        </w:r>
        <w:r w:rsidR="00E13348" w:rsidRPr="001915E0">
          <w:rPr>
            <w:webHidden/>
          </w:rPr>
          <w:fldChar w:fldCharType="separate"/>
        </w:r>
        <w:r w:rsidR="0051745D">
          <w:rPr>
            <w:webHidden/>
          </w:rPr>
          <w:t>272</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63" w:history="1">
        <w:r w:rsidR="00E13348" w:rsidRPr="001915E0">
          <w:rPr>
            <w:rStyle w:val="Hyperlink"/>
            <w:color w:val="auto"/>
          </w:rPr>
          <w:t>ANEXO IX.</w:t>
        </w:r>
        <w:r w:rsidR="00E13348" w:rsidRPr="001915E0">
          <w:rPr>
            <w:rFonts w:asciiTheme="minorHAnsi" w:eastAsiaTheme="minorEastAsia" w:hAnsiTheme="minorHAnsi" w:cstheme="minorBidi"/>
            <w:sz w:val="22"/>
            <w:szCs w:val="22"/>
            <w:lang w:val="en-US" w:eastAsia="en-US"/>
          </w:rPr>
          <w:tab/>
        </w:r>
        <w:r w:rsidR="00E13348" w:rsidRPr="001915E0">
          <w:rPr>
            <w:rStyle w:val="Hyperlink"/>
            <w:color w:val="auto"/>
          </w:rPr>
          <w:t>CUADROS DEL PRESUPUESTO ANUAL PARA LA PRESENTACIÓN DE INFORMES CONFORME A LAS IPSAS</w:t>
        </w:r>
        <w:r w:rsidR="00E13348" w:rsidRPr="001915E0">
          <w:rPr>
            <w:webHidden/>
          </w:rPr>
          <w:tab/>
        </w:r>
        <w:r w:rsidR="00E13348" w:rsidRPr="001915E0">
          <w:rPr>
            <w:webHidden/>
          </w:rPr>
          <w:fldChar w:fldCharType="begin"/>
        </w:r>
        <w:r w:rsidR="00E13348" w:rsidRPr="001915E0">
          <w:rPr>
            <w:webHidden/>
          </w:rPr>
          <w:instrText xml:space="preserve"> PAGEREF _Toc366078763 \h </w:instrText>
        </w:r>
        <w:r w:rsidR="00E13348" w:rsidRPr="001915E0">
          <w:rPr>
            <w:webHidden/>
          </w:rPr>
        </w:r>
        <w:r w:rsidR="00E13348" w:rsidRPr="001915E0">
          <w:rPr>
            <w:webHidden/>
          </w:rPr>
          <w:fldChar w:fldCharType="separate"/>
        </w:r>
        <w:r w:rsidR="0051745D">
          <w:rPr>
            <w:webHidden/>
          </w:rPr>
          <w:t>274</w:t>
        </w:r>
        <w:r w:rsidR="00E13348" w:rsidRPr="001915E0">
          <w:rPr>
            <w:webHidden/>
          </w:rPr>
          <w:fldChar w:fldCharType="end"/>
        </w:r>
      </w:hyperlink>
    </w:p>
    <w:p w:rsidR="00E13348" w:rsidRPr="001915E0" w:rsidRDefault="001F1886" w:rsidP="00A445F5">
      <w:pPr>
        <w:pStyle w:val="TOC2"/>
        <w:rPr>
          <w:rFonts w:asciiTheme="minorHAnsi" w:eastAsiaTheme="minorEastAsia" w:hAnsiTheme="minorHAnsi" w:cstheme="minorBidi"/>
          <w:sz w:val="22"/>
          <w:szCs w:val="22"/>
          <w:lang w:val="en-US" w:eastAsia="en-US"/>
        </w:rPr>
      </w:pPr>
      <w:hyperlink w:anchor="_Toc366078764" w:history="1">
        <w:r w:rsidR="00E13348" w:rsidRPr="001915E0">
          <w:rPr>
            <w:rStyle w:val="Hyperlink"/>
            <w:color w:val="auto"/>
          </w:rPr>
          <w:t>ANEXO X.</w:t>
        </w:r>
        <w:r w:rsidR="00E13348" w:rsidRPr="001915E0">
          <w:rPr>
            <w:rFonts w:asciiTheme="minorHAnsi" w:eastAsiaTheme="minorEastAsia" w:hAnsiTheme="minorHAnsi" w:cstheme="minorBidi"/>
            <w:sz w:val="22"/>
            <w:szCs w:val="22"/>
            <w:lang w:val="en-US" w:eastAsia="en-US"/>
          </w:rPr>
          <w:tab/>
        </w:r>
        <w:r w:rsidR="00E13348" w:rsidRPr="001915E0">
          <w:rPr>
            <w:rStyle w:val="Hyperlink"/>
            <w:color w:val="auto"/>
          </w:rPr>
          <w:t>PRESUPUESTO PARA 2014/15 POR RESULTADO PREVISTO Y PROGRAMA</w:t>
        </w:r>
        <w:r w:rsidR="00E13348" w:rsidRPr="001915E0">
          <w:rPr>
            <w:webHidden/>
          </w:rPr>
          <w:tab/>
        </w:r>
        <w:r w:rsidR="00A445F5" w:rsidRPr="001915E0">
          <w:rPr>
            <w:webHidden/>
          </w:rPr>
          <w:tab/>
        </w:r>
        <w:r w:rsidR="00A445F5" w:rsidRPr="001915E0">
          <w:rPr>
            <w:webHidden/>
          </w:rPr>
          <w:tab/>
        </w:r>
        <w:r w:rsidR="00E13348" w:rsidRPr="001915E0">
          <w:rPr>
            <w:webHidden/>
          </w:rPr>
          <w:fldChar w:fldCharType="begin"/>
        </w:r>
        <w:r w:rsidR="00E13348" w:rsidRPr="001915E0">
          <w:rPr>
            <w:webHidden/>
          </w:rPr>
          <w:instrText xml:space="preserve"> PAGEREF _Toc366078764 \h </w:instrText>
        </w:r>
        <w:r w:rsidR="00E13348" w:rsidRPr="001915E0">
          <w:rPr>
            <w:webHidden/>
          </w:rPr>
        </w:r>
        <w:r w:rsidR="00E13348" w:rsidRPr="001915E0">
          <w:rPr>
            <w:webHidden/>
          </w:rPr>
          <w:fldChar w:fldCharType="separate"/>
        </w:r>
        <w:r w:rsidR="0051745D">
          <w:rPr>
            <w:webHidden/>
          </w:rPr>
          <w:t>276</w:t>
        </w:r>
        <w:r w:rsidR="00E13348" w:rsidRPr="001915E0">
          <w:rPr>
            <w:webHidden/>
          </w:rPr>
          <w:fldChar w:fldCharType="end"/>
        </w:r>
      </w:hyperlink>
    </w:p>
    <w:p w:rsidR="00E13348" w:rsidRPr="007255CB" w:rsidRDefault="001F1886" w:rsidP="00A445F5">
      <w:pPr>
        <w:pStyle w:val="TOC2"/>
        <w:rPr>
          <w:rFonts w:asciiTheme="minorHAnsi" w:eastAsiaTheme="minorEastAsia" w:hAnsiTheme="minorHAnsi" w:cstheme="minorBidi"/>
          <w:sz w:val="22"/>
          <w:szCs w:val="22"/>
          <w:lang w:val="en-US" w:eastAsia="en-US"/>
        </w:rPr>
      </w:pPr>
      <w:hyperlink w:anchor="_Toc366078765" w:history="1">
        <w:r w:rsidR="00E13348" w:rsidRPr="007255CB">
          <w:rPr>
            <w:rStyle w:val="Hyperlink"/>
          </w:rPr>
          <w:t>ANEXO XI.</w:t>
        </w:r>
        <w:r w:rsidR="00E13348" w:rsidRPr="007255CB">
          <w:rPr>
            <w:rFonts w:asciiTheme="minorHAnsi" w:eastAsiaTheme="minorEastAsia" w:hAnsiTheme="minorHAnsi" w:cstheme="minorBidi"/>
            <w:sz w:val="22"/>
            <w:szCs w:val="22"/>
            <w:lang w:val="en-US" w:eastAsia="en-US"/>
          </w:rPr>
          <w:tab/>
        </w:r>
        <w:r w:rsidR="00E13348" w:rsidRPr="007255CB">
          <w:rPr>
            <w:rStyle w:val="Hyperlink"/>
          </w:rPr>
          <w:t>PRESUPUESTO PARA 2014/2015 POR RESULTADO PREVISTO (en miles de francos suizos)</w:t>
        </w:r>
        <w:r w:rsidR="00E13348" w:rsidRPr="007255CB">
          <w:rPr>
            <w:webHidden/>
          </w:rPr>
          <w:tab/>
        </w:r>
        <w:r w:rsidR="00E13348" w:rsidRPr="007255CB">
          <w:rPr>
            <w:webHidden/>
          </w:rPr>
          <w:fldChar w:fldCharType="begin"/>
        </w:r>
        <w:r w:rsidR="00E13348" w:rsidRPr="007255CB">
          <w:rPr>
            <w:webHidden/>
          </w:rPr>
          <w:instrText xml:space="preserve"> PAGEREF _Toc366078765 \h </w:instrText>
        </w:r>
        <w:r w:rsidR="00E13348" w:rsidRPr="007255CB">
          <w:rPr>
            <w:webHidden/>
          </w:rPr>
        </w:r>
        <w:r w:rsidR="00E13348" w:rsidRPr="007255CB">
          <w:rPr>
            <w:webHidden/>
          </w:rPr>
          <w:fldChar w:fldCharType="separate"/>
        </w:r>
        <w:r w:rsidR="0051745D">
          <w:rPr>
            <w:webHidden/>
          </w:rPr>
          <w:t>278</w:t>
        </w:r>
        <w:r w:rsidR="00E13348" w:rsidRPr="007255CB">
          <w:rPr>
            <w:webHidden/>
          </w:rPr>
          <w:fldChar w:fldCharType="end"/>
        </w:r>
      </w:hyperlink>
    </w:p>
    <w:p w:rsidR="00E13348" w:rsidRPr="007255CB" w:rsidRDefault="001F1886" w:rsidP="00A445F5">
      <w:pPr>
        <w:pStyle w:val="TOC2"/>
        <w:rPr>
          <w:rFonts w:asciiTheme="minorHAnsi" w:eastAsiaTheme="minorEastAsia" w:hAnsiTheme="minorHAnsi" w:cstheme="minorBidi"/>
          <w:sz w:val="22"/>
          <w:szCs w:val="22"/>
          <w:lang w:val="en-US" w:eastAsia="en-US"/>
        </w:rPr>
      </w:pPr>
      <w:hyperlink w:anchor="_Toc366078766" w:history="1">
        <w:r w:rsidR="00E13348" w:rsidRPr="007255CB">
          <w:rPr>
            <w:rStyle w:val="Hyperlink"/>
          </w:rPr>
          <w:t>ANEXO XII.</w:t>
        </w:r>
        <w:r w:rsidR="00E13348" w:rsidRPr="007255CB">
          <w:rPr>
            <w:rFonts w:asciiTheme="minorHAnsi" w:eastAsiaTheme="minorEastAsia" w:hAnsiTheme="minorHAnsi" w:cstheme="minorBidi"/>
            <w:sz w:val="22"/>
            <w:szCs w:val="22"/>
            <w:lang w:val="en-US" w:eastAsia="en-US"/>
          </w:rPr>
          <w:tab/>
        </w:r>
        <w:r w:rsidR="00E13348" w:rsidRPr="007255CB">
          <w:rPr>
            <w:rStyle w:val="Hyperlink"/>
          </w:rPr>
          <w:t>ORGANIGRAMA DE LA OMPI</w:t>
        </w:r>
        <w:r w:rsidR="00E13348" w:rsidRPr="007255CB">
          <w:rPr>
            <w:webHidden/>
          </w:rPr>
          <w:tab/>
        </w:r>
        <w:r w:rsidR="00E13348" w:rsidRPr="007255CB">
          <w:rPr>
            <w:webHidden/>
          </w:rPr>
          <w:fldChar w:fldCharType="begin"/>
        </w:r>
        <w:r w:rsidR="00E13348" w:rsidRPr="007255CB">
          <w:rPr>
            <w:webHidden/>
          </w:rPr>
          <w:instrText xml:space="preserve"> PAGEREF _Toc366078766 \h </w:instrText>
        </w:r>
        <w:r w:rsidR="00E13348" w:rsidRPr="007255CB">
          <w:rPr>
            <w:webHidden/>
          </w:rPr>
        </w:r>
        <w:r w:rsidR="00E13348" w:rsidRPr="007255CB">
          <w:rPr>
            <w:webHidden/>
          </w:rPr>
          <w:fldChar w:fldCharType="separate"/>
        </w:r>
        <w:r w:rsidR="0051745D">
          <w:rPr>
            <w:webHidden/>
          </w:rPr>
          <w:t>282</w:t>
        </w:r>
        <w:r w:rsidR="00E13348" w:rsidRPr="007255CB">
          <w:rPr>
            <w:webHidden/>
          </w:rPr>
          <w:fldChar w:fldCharType="end"/>
        </w:r>
      </w:hyperlink>
    </w:p>
    <w:p w:rsidR="00E13348" w:rsidRPr="007255CB" w:rsidRDefault="001F1886" w:rsidP="007255CB">
      <w:pPr>
        <w:pStyle w:val="TOC1"/>
        <w:rPr>
          <w:rFonts w:asciiTheme="minorHAnsi" w:eastAsiaTheme="minorEastAsia" w:hAnsiTheme="minorHAnsi" w:cstheme="minorBidi"/>
          <w:szCs w:val="22"/>
          <w:lang w:val="en-US"/>
        </w:rPr>
      </w:pPr>
      <w:hyperlink w:anchor="_Toc366078767" w:history="1">
        <w:r w:rsidR="00E13348" w:rsidRPr="007255CB">
          <w:rPr>
            <w:rStyle w:val="Hyperlink"/>
            <w:b/>
          </w:rPr>
          <w:t>V.</w:t>
        </w:r>
        <w:r w:rsidR="00E13348" w:rsidRPr="007255CB">
          <w:rPr>
            <w:rFonts w:asciiTheme="minorHAnsi" w:eastAsiaTheme="minorEastAsia" w:hAnsiTheme="minorHAnsi" w:cstheme="minorBidi"/>
            <w:b/>
            <w:szCs w:val="22"/>
            <w:lang w:val="en-US"/>
          </w:rPr>
          <w:tab/>
        </w:r>
        <w:r w:rsidR="00E13348" w:rsidRPr="007255CB">
          <w:rPr>
            <w:rStyle w:val="Hyperlink"/>
            <w:b/>
          </w:rPr>
          <w:t>APÉNDICES</w:t>
        </w:r>
        <w:r w:rsidR="00E13348" w:rsidRPr="007255CB">
          <w:rPr>
            <w:webHidden/>
          </w:rPr>
          <w:tab/>
        </w:r>
        <w:r w:rsidR="00E13348" w:rsidRPr="007255CB">
          <w:rPr>
            <w:b/>
            <w:webHidden/>
          </w:rPr>
          <w:fldChar w:fldCharType="begin"/>
        </w:r>
        <w:r w:rsidR="00E13348" w:rsidRPr="007255CB">
          <w:rPr>
            <w:b/>
            <w:webHidden/>
          </w:rPr>
          <w:instrText xml:space="preserve"> PAGEREF _Toc366078767 \h </w:instrText>
        </w:r>
        <w:r w:rsidR="00E13348" w:rsidRPr="007255CB">
          <w:rPr>
            <w:b/>
            <w:webHidden/>
          </w:rPr>
        </w:r>
        <w:r w:rsidR="00E13348" w:rsidRPr="007255CB">
          <w:rPr>
            <w:b/>
            <w:webHidden/>
          </w:rPr>
          <w:fldChar w:fldCharType="separate"/>
        </w:r>
        <w:r w:rsidR="0051745D">
          <w:rPr>
            <w:b/>
            <w:webHidden/>
          </w:rPr>
          <w:t>283</w:t>
        </w:r>
        <w:r w:rsidR="00E13348" w:rsidRPr="007255CB">
          <w:rPr>
            <w:b/>
            <w:webHidden/>
          </w:rPr>
          <w:fldChar w:fldCharType="end"/>
        </w:r>
      </w:hyperlink>
    </w:p>
    <w:p w:rsidR="00E13348" w:rsidRPr="007255CB" w:rsidRDefault="001F1886" w:rsidP="00A445F5">
      <w:pPr>
        <w:pStyle w:val="TOC2"/>
        <w:rPr>
          <w:rFonts w:asciiTheme="minorHAnsi" w:eastAsiaTheme="minorEastAsia" w:hAnsiTheme="minorHAnsi" w:cstheme="minorBidi"/>
          <w:sz w:val="22"/>
          <w:szCs w:val="22"/>
          <w:lang w:val="en-US" w:eastAsia="en-US"/>
        </w:rPr>
      </w:pPr>
      <w:hyperlink w:anchor="_Toc366078768" w:history="1">
        <w:r w:rsidR="00E13348" w:rsidRPr="007255CB">
          <w:rPr>
            <w:rStyle w:val="Hyperlink"/>
          </w:rPr>
          <w:t>APÉNDICE A</w:t>
        </w:r>
        <w:r w:rsidR="007255CB" w:rsidRPr="007255CB">
          <w:rPr>
            <w:rStyle w:val="Hyperlink"/>
          </w:rPr>
          <w:tab/>
        </w:r>
        <w:r w:rsidR="00E13348" w:rsidRPr="007255CB">
          <w:rPr>
            <w:rStyle w:val="Hyperlink"/>
          </w:rPr>
          <w:t>CONTRIBUCIONES DE LOS ESTADOS MIEMBROS</w:t>
        </w:r>
        <w:r w:rsidR="00E13348" w:rsidRPr="007255CB">
          <w:rPr>
            <w:webHidden/>
          </w:rPr>
          <w:tab/>
        </w:r>
        <w:r w:rsidR="00E13348" w:rsidRPr="007255CB">
          <w:rPr>
            <w:webHidden/>
          </w:rPr>
          <w:fldChar w:fldCharType="begin"/>
        </w:r>
        <w:r w:rsidR="00E13348" w:rsidRPr="007255CB">
          <w:rPr>
            <w:webHidden/>
          </w:rPr>
          <w:instrText xml:space="preserve"> PAGEREF _Toc366078768 \h </w:instrText>
        </w:r>
        <w:r w:rsidR="00E13348" w:rsidRPr="007255CB">
          <w:rPr>
            <w:webHidden/>
          </w:rPr>
        </w:r>
        <w:r w:rsidR="00E13348" w:rsidRPr="007255CB">
          <w:rPr>
            <w:webHidden/>
          </w:rPr>
          <w:fldChar w:fldCharType="separate"/>
        </w:r>
        <w:r w:rsidR="0051745D">
          <w:rPr>
            <w:webHidden/>
          </w:rPr>
          <w:t>284</w:t>
        </w:r>
        <w:r w:rsidR="00E13348" w:rsidRPr="007255CB">
          <w:rPr>
            <w:webHidden/>
          </w:rPr>
          <w:fldChar w:fldCharType="end"/>
        </w:r>
      </w:hyperlink>
    </w:p>
    <w:p w:rsidR="00E13348" w:rsidRPr="007255CB" w:rsidRDefault="001F1886" w:rsidP="00A445F5">
      <w:pPr>
        <w:pStyle w:val="TOC2"/>
        <w:rPr>
          <w:rFonts w:asciiTheme="minorHAnsi" w:eastAsiaTheme="minorEastAsia" w:hAnsiTheme="minorHAnsi" w:cstheme="minorBidi"/>
          <w:sz w:val="22"/>
          <w:szCs w:val="22"/>
          <w:lang w:val="en-US" w:eastAsia="en-US"/>
        </w:rPr>
      </w:pPr>
      <w:hyperlink w:anchor="_Toc366078769" w:history="1">
        <w:r w:rsidR="00E13348" w:rsidRPr="007255CB">
          <w:rPr>
            <w:rStyle w:val="Hyperlink"/>
          </w:rPr>
          <w:t>APÉNDICE B</w:t>
        </w:r>
        <w:r w:rsidR="007255CB" w:rsidRPr="007255CB">
          <w:rPr>
            <w:rStyle w:val="Hyperlink"/>
          </w:rPr>
          <w:tab/>
        </w:r>
        <w:r w:rsidR="00E13348" w:rsidRPr="007255CB">
          <w:rPr>
            <w:rStyle w:val="Hyperlink"/>
          </w:rPr>
          <w:t>DEFINICIÓN DE LAS RÚBRICAS PRESUPUESTARIAS</w:t>
        </w:r>
        <w:r w:rsidR="00E13348" w:rsidRPr="007255CB">
          <w:rPr>
            <w:webHidden/>
          </w:rPr>
          <w:tab/>
        </w:r>
        <w:r w:rsidR="00E13348" w:rsidRPr="007255CB">
          <w:rPr>
            <w:webHidden/>
          </w:rPr>
          <w:fldChar w:fldCharType="begin"/>
        </w:r>
        <w:r w:rsidR="00E13348" w:rsidRPr="007255CB">
          <w:rPr>
            <w:webHidden/>
          </w:rPr>
          <w:instrText xml:space="preserve"> PAGEREF _Toc366078769 \h </w:instrText>
        </w:r>
        <w:r w:rsidR="00E13348" w:rsidRPr="007255CB">
          <w:rPr>
            <w:webHidden/>
          </w:rPr>
        </w:r>
        <w:r w:rsidR="00E13348" w:rsidRPr="007255CB">
          <w:rPr>
            <w:webHidden/>
          </w:rPr>
          <w:fldChar w:fldCharType="separate"/>
        </w:r>
        <w:r w:rsidR="0051745D">
          <w:rPr>
            <w:webHidden/>
          </w:rPr>
          <w:t>288</w:t>
        </w:r>
        <w:r w:rsidR="00E13348" w:rsidRPr="007255CB">
          <w:rPr>
            <w:webHidden/>
          </w:rPr>
          <w:fldChar w:fldCharType="end"/>
        </w:r>
      </w:hyperlink>
    </w:p>
    <w:p w:rsidR="00E13348" w:rsidRPr="007255CB" w:rsidRDefault="001F1886" w:rsidP="00A445F5">
      <w:pPr>
        <w:pStyle w:val="TOC2"/>
        <w:rPr>
          <w:rFonts w:asciiTheme="minorHAnsi" w:eastAsiaTheme="minorEastAsia" w:hAnsiTheme="minorHAnsi" w:cstheme="minorBidi"/>
          <w:sz w:val="22"/>
          <w:szCs w:val="22"/>
          <w:lang w:val="en-US" w:eastAsia="en-US"/>
        </w:rPr>
      </w:pPr>
      <w:hyperlink w:anchor="_Toc366078770" w:history="1">
        <w:r w:rsidR="00E13348" w:rsidRPr="007255CB">
          <w:rPr>
            <w:rStyle w:val="Hyperlink"/>
          </w:rPr>
          <w:t>APÉNDICE C</w:t>
        </w:r>
        <w:r w:rsidR="007255CB" w:rsidRPr="007255CB">
          <w:rPr>
            <w:rStyle w:val="Hyperlink"/>
          </w:rPr>
          <w:tab/>
        </w:r>
        <w:r w:rsidR="00E13348" w:rsidRPr="007255CB">
          <w:rPr>
            <w:rStyle w:val="Hyperlink"/>
          </w:rPr>
          <w:t>COSTOS ESTÁNDAR DE PERSONAL</w:t>
        </w:r>
        <w:r w:rsidR="00E13348" w:rsidRPr="007255CB">
          <w:rPr>
            <w:webHidden/>
          </w:rPr>
          <w:tab/>
        </w:r>
        <w:r w:rsidR="00E13348" w:rsidRPr="007255CB">
          <w:rPr>
            <w:webHidden/>
          </w:rPr>
          <w:fldChar w:fldCharType="begin"/>
        </w:r>
        <w:r w:rsidR="00E13348" w:rsidRPr="007255CB">
          <w:rPr>
            <w:webHidden/>
          </w:rPr>
          <w:instrText xml:space="preserve"> PAGEREF _Toc366078770 \h </w:instrText>
        </w:r>
        <w:r w:rsidR="00E13348" w:rsidRPr="007255CB">
          <w:rPr>
            <w:webHidden/>
          </w:rPr>
        </w:r>
        <w:r w:rsidR="00E13348" w:rsidRPr="007255CB">
          <w:rPr>
            <w:webHidden/>
          </w:rPr>
          <w:fldChar w:fldCharType="separate"/>
        </w:r>
        <w:r w:rsidR="0051745D">
          <w:rPr>
            <w:webHidden/>
          </w:rPr>
          <w:t>290</w:t>
        </w:r>
        <w:r w:rsidR="00E13348" w:rsidRPr="007255CB">
          <w:rPr>
            <w:webHidden/>
          </w:rPr>
          <w:fldChar w:fldCharType="end"/>
        </w:r>
      </w:hyperlink>
    </w:p>
    <w:p w:rsidR="00E13348" w:rsidRPr="007255CB" w:rsidRDefault="001F1886" w:rsidP="00A445F5">
      <w:pPr>
        <w:pStyle w:val="TOC2"/>
        <w:rPr>
          <w:rFonts w:asciiTheme="minorHAnsi" w:eastAsiaTheme="minorEastAsia" w:hAnsiTheme="minorHAnsi" w:cstheme="minorBidi"/>
          <w:sz w:val="22"/>
          <w:szCs w:val="22"/>
          <w:lang w:val="en-US" w:eastAsia="en-US"/>
        </w:rPr>
      </w:pPr>
      <w:hyperlink w:anchor="_Toc366078771" w:history="1">
        <w:r w:rsidR="00E13348" w:rsidRPr="007255CB">
          <w:rPr>
            <w:rStyle w:val="Hyperlink"/>
          </w:rPr>
          <w:t>APÉNDICE D</w:t>
        </w:r>
        <w:r w:rsidR="007255CB" w:rsidRPr="007255CB">
          <w:rPr>
            <w:rStyle w:val="Hyperlink"/>
          </w:rPr>
          <w:tab/>
        </w:r>
        <w:r w:rsidR="00E13348" w:rsidRPr="007255CB">
          <w:rPr>
            <w:rStyle w:val="Hyperlink"/>
          </w:rPr>
          <w:t>FÓRMULAS DE FLEXIBILIDAD</w:t>
        </w:r>
        <w:r w:rsidR="00E13348" w:rsidRPr="007255CB">
          <w:rPr>
            <w:webHidden/>
          </w:rPr>
          <w:tab/>
        </w:r>
        <w:r w:rsidR="00E13348" w:rsidRPr="007255CB">
          <w:rPr>
            <w:webHidden/>
          </w:rPr>
          <w:fldChar w:fldCharType="begin"/>
        </w:r>
        <w:r w:rsidR="00E13348" w:rsidRPr="007255CB">
          <w:rPr>
            <w:webHidden/>
          </w:rPr>
          <w:instrText xml:space="preserve"> PAGEREF _Toc366078771 \h </w:instrText>
        </w:r>
        <w:r w:rsidR="00E13348" w:rsidRPr="007255CB">
          <w:rPr>
            <w:webHidden/>
          </w:rPr>
        </w:r>
        <w:r w:rsidR="00E13348" w:rsidRPr="007255CB">
          <w:rPr>
            <w:webHidden/>
          </w:rPr>
          <w:fldChar w:fldCharType="separate"/>
        </w:r>
        <w:r w:rsidR="0051745D">
          <w:rPr>
            <w:webHidden/>
          </w:rPr>
          <w:t>292</w:t>
        </w:r>
        <w:r w:rsidR="00E13348" w:rsidRPr="007255CB">
          <w:rPr>
            <w:webHidden/>
          </w:rPr>
          <w:fldChar w:fldCharType="end"/>
        </w:r>
      </w:hyperlink>
    </w:p>
    <w:p w:rsidR="00E13348" w:rsidRPr="007255CB" w:rsidRDefault="001F1886" w:rsidP="00A445F5">
      <w:pPr>
        <w:pStyle w:val="TOC2"/>
        <w:rPr>
          <w:rFonts w:asciiTheme="minorHAnsi" w:eastAsiaTheme="minorEastAsia" w:hAnsiTheme="minorHAnsi" w:cstheme="minorBidi"/>
          <w:sz w:val="22"/>
          <w:szCs w:val="22"/>
          <w:lang w:val="en-US" w:eastAsia="en-US"/>
        </w:rPr>
      </w:pPr>
      <w:hyperlink w:anchor="_Toc366078772" w:history="1">
        <w:r w:rsidR="00E13348" w:rsidRPr="007255CB">
          <w:rPr>
            <w:rStyle w:val="Hyperlink"/>
          </w:rPr>
          <w:t>APÉNDICE E</w:t>
        </w:r>
        <w:r w:rsidR="007255CB" w:rsidRPr="007255CB">
          <w:rPr>
            <w:rStyle w:val="Hyperlink"/>
          </w:rPr>
          <w:tab/>
        </w:r>
        <w:r w:rsidR="00E13348" w:rsidRPr="007255CB">
          <w:rPr>
            <w:rStyle w:val="Hyperlink"/>
          </w:rPr>
          <w:t>SIGLAS Y ABREVIATURAS EMPLEADAS EN EL DOCUMENTO</w:t>
        </w:r>
        <w:r w:rsidR="00E13348" w:rsidRPr="007255CB">
          <w:rPr>
            <w:webHidden/>
          </w:rPr>
          <w:tab/>
        </w:r>
        <w:r w:rsidR="00E13348" w:rsidRPr="007255CB">
          <w:rPr>
            <w:webHidden/>
          </w:rPr>
          <w:fldChar w:fldCharType="begin"/>
        </w:r>
        <w:r w:rsidR="00E13348" w:rsidRPr="007255CB">
          <w:rPr>
            <w:webHidden/>
          </w:rPr>
          <w:instrText xml:space="preserve"> PAGEREF _Toc366078772 \h </w:instrText>
        </w:r>
        <w:r w:rsidR="00E13348" w:rsidRPr="007255CB">
          <w:rPr>
            <w:webHidden/>
          </w:rPr>
        </w:r>
        <w:r w:rsidR="00E13348" w:rsidRPr="007255CB">
          <w:rPr>
            <w:webHidden/>
          </w:rPr>
          <w:fldChar w:fldCharType="separate"/>
        </w:r>
        <w:r w:rsidR="0051745D">
          <w:rPr>
            <w:webHidden/>
          </w:rPr>
          <w:t>293</w:t>
        </w:r>
        <w:r w:rsidR="00E13348" w:rsidRPr="007255CB">
          <w:rPr>
            <w:webHidden/>
          </w:rPr>
          <w:fldChar w:fldCharType="end"/>
        </w:r>
      </w:hyperlink>
    </w:p>
    <w:p w:rsidR="007B2C29" w:rsidRPr="002C067E" w:rsidRDefault="007B2C29" w:rsidP="004A4009">
      <w:pPr>
        <w:pStyle w:val="StyleHeading214ptAuto"/>
        <w:spacing w:line="240" w:lineRule="auto"/>
        <w:rPr>
          <w:rFonts w:ascii="Arial" w:hAnsi="Arial"/>
          <w:sz w:val="16"/>
          <w:szCs w:val="16"/>
        </w:rPr>
      </w:pPr>
      <w:r w:rsidRPr="007255CB">
        <w:rPr>
          <w:b w:val="0"/>
          <w:szCs w:val="20"/>
        </w:rPr>
        <w:fldChar w:fldCharType="end"/>
      </w:r>
    </w:p>
    <w:p w:rsidR="007B2C29" w:rsidRPr="002C067E" w:rsidRDefault="007B2C29" w:rsidP="004A4009">
      <w:pPr>
        <w:pStyle w:val="Heading1"/>
        <w:keepNext w:val="0"/>
        <w:rPr>
          <w:szCs w:val="20"/>
        </w:rPr>
        <w:sectPr w:rsidR="007B2C29" w:rsidRPr="002C067E" w:rsidSect="007B2C29">
          <w:headerReference w:type="default" r:id="rId13"/>
          <w:footerReference w:type="even" r:id="rId14"/>
          <w:footerReference w:type="first" r:id="rId15"/>
          <w:pgSz w:w="11907" w:h="16840" w:code="9"/>
          <w:pgMar w:top="567" w:right="1418" w:bottom="964" w:left="1418" w:header="510" w:footer="851" w:gutter="0"/>
          <w:pgNumType w:fmt="lowerRoman"/>
          <w:cols w:space="720"/>
          <w:titlePg/>
        </w:sectPr>
      </w:pPr>
    </w:p>
    <w:p w:rsidR="00837AF9" w:rsidRPr="002C067E" w:rsidRDefault="00AA3230" w:rsidP="004A4009">
      <w:pPr>
        <w:pStyle w:val="Heading1"/>
        <w:keepNext w:val="0"/>
        <w:rPr>
          <w:sz w:val="26"/>
          <w:szCs w:val="26"/>
          <w:lang w:val="es-ES_tradnl" w:eastAsia="en-US"/>
        </w:rPr>
      </w:pPr>
      <w:bookmarkStart w:id="6" w:name="_Toc366078695"/>
      <w:r w:rsidRPr="002C067E">
        <w:rPr>
          <w:caps w:val="0"/>
          <w:sz w:val="26"/>
          <w:szCs w:val="26"/>
          <w:lang w:val="es-ES_tradnl" w:eastAsia="en-US"/>
        </w:rPr>
        <w:lastRenderedPageBreak/>
        <w:t>PRÓLOGO DEL DIRECTOR GENERAL</w:t>
      </w:r>
      <w:bookmarkEnd w:id="6"/>
    </w:p>
    <w:p w:rsidR="00837AF9" w:rsidRPr="002C067E" w:rsidRDefault="00837AF9" w:rsidP="004A4009">
      <w:pPr>
        <w:rPr>
          <w:sz w:val="20"/>
          <w:lang w:val="es-ES_tradnl" w:eastAsia="en-US"/>
        </w:rPr>
      </w:pPr>
    </w:p>
    <w:p w:rsidR="00662588" w:rsidRDefault="00662588"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Al tiempo que planificamos el presupuesto por programas para el bienio 2014/15, la coyuntura económica es, por desgracia, similar a la que prevalecía en el momento de planificar el presupuesto por programas para el bienio en curso.  La economía mundial sigue registrando malos resultados.  Frágil es, además, la recuperación de un período prolongado de recesión y de crecimiento estancado o limitado, y poca es la visibilidad que se tiene.</w:t>
      </w:r>
    </w:p>
    <w:p w:rsidR="00837AF9" w:rsidRPr="002C067E" w:rsidRDefault="00837AF9"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 xml:space="preserve">No obstante, y a la sombra de esa recesión persistente, la demanda de títulos de propiedad intelectual (P.I.), que constituyen la base de los ingresos de la </w:t>
      </w:r>
      <w:r w:rsidRPr="002C067E">
        <w:rPr>
          <w:rFonts w:eastAsia="Times New Roman"/>
          <w:sz w:val="20"/>
          <w:lang w:val="es-ES_tradnl" w:eastAsia="fr-FR"/>
        </w:rPr>
        <w:t>Organización</w:t>
      </w:r>
      <w:r w:rsidRPr="002C067E">
        <w:rPr>
          <w:rFonts w:eastAsia="Times New Roman"/>
          <w:sz w:val="20"/>
          <w:lang w:val="es-ES_tradnl" w:eastAsia="en-US"/>
        </w:rPr>
        <w:t xml:space="preserve">, ha dejado atrás a la economía mundial y </w:t>
      </w:r>
      <w:proofErr w:type="gramStart"/>
      <w:r w:rsidRPr="002C067E">
        <w:rPr>
          <w:rFonts w:eastAsia="Times New Roman"/>
          <w:sz w:val="20"/>
          <w:lang w:val="es-ES_tradnl" w:eastAsia="en-US"/>
        </w:rPr>
        <w:t>obtenido</w:t>
      </w:r>
      <w:proofErr w:type="gramEnd"/>
      <w:r w:rsidRPr="002C067E">
        <w:rPr>
          <w:rFonts w:eastAsia="Times New Roman"/>
          <w:sz w:val="20"/>
          <w:lang w:val="es-ES_tradnl" w:eastAsia="en-US"/>
        </w:rPr>
        <w:t xml:space="preserve"> mejores resultados.  Tras haber disminuido en u</w:t>
      </w:r>
      <w:r w:rsidR="002C067E" w:rsidRPr="002C067E">
        <w:rPr>
          <w:rFonts w:eastAsia="Times New Roman"/>
          <w:sz w:val="20"/>
          <w:lang w:val="es-ES_tradnl" w:eastAsia="en-US"/>
        </w:rPr>
        <w:t>n 4</w:t>
      </w:r>
      <w:r w:rsidRPr="002C067E">
        <w:rPr>
          <w:rFonts w:eastAsia="Times New Roman"/>
          <w:sz w:val="20"/>
          <w:lang w:val="es-ES_tradnl" w:eastAsia="en-US"/>
        </w:rPr>
        <w:t>,8% e</w:t>
      </w:r>
      <w:r w:rsidR="002C067E" w:rsidRPr="002C067E">
        <w:rPr>
          <w:rFonts w:eastAsia="Times New Roman"/>
          <w:sz w:val="20"/>
          <w:lang w:val="es-ES_tradnl" w:eastAsia="en-US"/>
        </w:rPr>
        <w:t>n 2</w:t>
      </w:r>
      <w:r w:rsidRPr="002C067E">
        <w:rPr>
          <w:rFonts w:eastAsia="Times New Roman"/>
          <w:sz w:val="20"/>
          <w:lang w:val="es-ES_tradnl" w:eastAsia="en-US"/>
        </w:rPr>
        <w:t xml:space="preserve">009, las solicitudes internacionales de patente presentadas en virtud del Tratado de Cooperación en materia de Patentes (PCT), a las que cabe atribuir aproximadamente el 75% de los ingresos que obtiene la </w:t>
      </w:r>
      <w:r w:rsidRPr="002C067E">
        <w:rPr>
          <w:rFonts w:eastAsia="Times New Roman"/>
          <w:sz w:val="20"/>
          <w:lang w:val="es-ES_tradnl" w:eastAsia="fr-FR"/>
        </w:rPr>
        <w:t>Organización</w:t>
      </w:r>
      <w:r w:rsidRPr="002C067E">
        <w:rPr>
          <w:rFonts w:eastAsia="Times New Roman"/>
          <w:sz w:val="20"/>
          <w:lang w:val="es-ES_tradnl" w:eastAsia="en-US"/>
        </w:rPr>
        <w:t>, aumentaron en u</w:t>
      </w:r>
      <w:r w:rsidR="002C067E" w:rsidRPr="002C067E">
        <w:rPr>
          <w:rFonts w:eastAsia="Times New Roman"/>
          <w:sz w:val="20"/>
          <w:lang w:val="es-ES_tradnl" w:eastAsia="en-US"/>
        </w:rPr>
        <w:t>n 5</w:t>
      </w:r>
      <w:r w:rsidRPr="002C067E">
        <w:rPr>
          <w:rFonts w:eastAsia="Times New Roman"/>
          <w:sz w:val="20"/>
          <w:lang w:val="es-ES_tradnl" w:eastAsia="en-US"/>
        </w:rPr>
        <w:t>,7% e</w:t>
      </w:r>
      <w:r w:rsidR="002C067E" w:rsidRPr="002C067E">
        <w:rPr>
          <w:rFonts w:eastAsia="Times New Roman"/>
          <w:sz w:val="20"/>
          <w:lang w:val="es-ES_tradnl" w:eastAsia="en-US"/>
        </w:rPr>
        <w:t>n 2</w:t>
      </w:r>
      <w:r w:rsidRPr="002C067E">
        <w:rPr>
          <w:rFonts w:eastAsia="Times New Roman"/>
          <w:sz w:val="20"/>
          <w:lang w:val="es-ES_tradnl" w:eastAsia="en-US"/>
        </w:rPr>
        <w:t>010, en u</w:t>
      </w:r>
      <w:r w:rsidR="002C067E" w:rsidRPr="002C067E">
        <w:rPr>
          <w:rFonts w:eastAsia="Times New Roman"/>
          <w:sz w:val="20"/>
          <w:lang w:val="es-ES_tradnl" w:eastAsia="en-US"/>
        </w:rPr>
        <w:t>n 1</w:t>
      </w:r>
      <w:r w:rsidRPr="002C067E">
        <w:rPr>
          <w:rFonts w:eastAsia="Times New Roman"/>
          <w:sz w:val="20"/>
          <w:lang w:val="es-ES_tradnl" w:eastAsia="en-US"/>
        </w:rPr>
        <w:t>1,0% e</w:t>
      </w:r>
      <w:r w:rsidR="002C067E" w:rsidRPr="002C067E">
        <w:rPr>
          <w:rFonts w:eastAsia="Times New Roman"/>
          <w:sz w:val="20"/>
          <w:lang w:val="es-ES_tradnl" w:eastAsia="en-US"/>
        </w:rPr>
        <w:t>n 2</w:t>
      </w:r>
      <w:r w:rsidRPr="002C067E">
        <w:rPr>
          <w:rFonts w:eastAsia="Times New Roman"/>
          <w:sz w:val="20"/>
          <w:lang w:val="es-ES_tradnl" w:eastAsia="en-US"/>
        </w:rPr>
        <w:t>011, y en u</w:t>
      </w:r>
      <w:r w:rsidR="002C067E" w:rsidRPr="002C067E">
        <w:rPr>
          <w:rFonts w:eastAsia="Times New Roman"/>
          <w:sz w:val="20"/>
          <w:lang w:val="es-ES_tradnl" w:eastAsia="en-US"/>
        </w:rPr>
        <w:t>n 6</w:t>
      </w:r>
      <w:r w:rsidRPr="002C067E">
        <w:rPr>
          <w:rFonts w:eastAsia="Times New Roman"/>
          <w:sz w:val="20"/>
          <w:lang w:val="es-ES_tradnl" w:eastAsia="en-US"/>
        </w:rPr>
        <w:t>,3% e</w:t>
      </w:r>
      <w:r w:rsidR="002C067E" w:rsidRPr="002C067E">
        <w:rPr>
          <w:rFonts w:eastAsia="Times New Roman"/>
          <w:sz w:val="20"/>
          <w:lang w:val="es-ES_tradnl" w:eastAsia="en-US"/>
        </w:rPr>
        <w:t>n 2</w:t>
      </w:r>
      <w:r w:rsidRPr="002C067E">
        <w:rPr>
          <w:rFonts w:eastAsia="Times New Roman"/>
          <w:sz w:val="20"/>
          <w:lang w:val="es-ES_tradnl" w:eastAsia="en-US"/>
        </w:rPr>
        <w:t>012, y todo apunta a que aumentarán nuevamente en 2013.  Ese crecimiento es el resultado de varios factores, entre otros, el hecho de recurrir a la innovación como estrategia de crecimiento, al auge de la demanda en China, y a la mayor importancia que se atribuye a la protección internacional (protección en varios países) en el actual contexto, caracterizado por una competencia cada vez más mundializada.</w:t>
      </w:r>
    </w:p>
    <w:p w:rsidR="00837AF9" w:rsidRPr="002C067E" w:rsidRDefault="00837AF9"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 xml:space="preserve">Partiendo de esas estadísticas, y teniendo en cuenta, además, la expansión ininterrumpida de los demás sistemas mundiales de P.I. de la OMPI y el actual clima de tímida recuperación, hemos calculado que los ingresos de la </w:t>
      </w:r>
      <w:r w:rsidRPr="002C067E">
        <w:rPr>
          <w:rFonts w:eastAsia="Times New Roman"/>
          <w:sz w:val="20"/>
          <w:lang w:val="es-ES_tradnl" w:eastAsia="fr-FR"/>
        </w:rPr>
        <w:t>Organización</w:t>
      </w:r>
      <w:r w:rsidRPr="002C067E">
        <w:rPr>
          <w:rFonts w:eastAsia="Times New Roman"/>
          <w:sz w:val="20"/>
          <w:lang w:val="es-ES_tradnl" w:eastAsia="en-US"/>
        </w:rPr>
        <w:t xml:space="preserve"> aumentarán en u</w:t>
      </w:r>
      <w:r w:rsidR="002C067E" w:rsidRPr="002C067E">
        <w:rPr>
          <w:rFonts w:eastAsia="Times New Roman"/>
          <w:sz w:val="20"/>
          <w:lang w:val="es-ES_tradnl" w:eastAsia="en-US"/>
        </w:rPr>
        <w:t>n 4</w:t>
      </w:r>
      <w:r w:rsidRPr="002C067E">
        <w:rPr>
          <w:rFonts w:eastAsia="Times New Roman"/>
          <w:sz w:val="20"/>
          <w:lang w:val="es-ES_tradnl" w:eastAsia="en-US"/>
        </w:rPr>
        <w:t>,5% en el próximo bienio.  Huelga decir que ese aumento de los ingresos no entraña aumento alguno de las contribuciones de los Estados miembros, cuyo importe seguirá siendo el mismo, lo que representa un crecimiento nominal cero de dichas contribuciones.</w:t>
      </w:r>
    </w:p>
    <w:p w:rsidR="00837AF9" w:rsidRPr="002C067E" w:rsidRDefault="00837AF9"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 xml:space="preserve">Aun cuando aumenten los ingresos, existen grandes presiones de costos que entrañarán un nivel más elevado de gastos.  Entre dichos costos están los costos de personal, que se prevé aumenten en un 8,8%.  Uno de los principales componentes del aumento de los costos de personal es el importe previsto para pasivos a largo plazo conforme a las Normas Internacionales de Contabilidad del Sector Público (IPSAS), en particular, el seguro de salud </w:t>
      </w:r>
      <w:r w:rsidR="00F45EDF">
        <w:rPr>
          <w:rFonts w:eastAsia="Times New Roman"/>
          <w:sz w:val="20"/>
          <w:lang w:val="es-ES_tradnl" w:eastAsia="en-US"/>
        </w:rPr>
        <w:t>tras la separación</w:t>
      </w:r>
      <w:r w:rsidRPr="002C067E">
        <w:rPr>
          <w:rFonts w:eastAsia="Times New Roman"/>
          <w:sz w:val="20"/>
          <w:lang w:val="es-ES_tradnl" w:eastAsia="en-US"/>
        </w:rPr>
        <w:t xml:space="preserve"> </w:t>
      </w:r>
      <w:r w:rsidR="00F45EDF">
        <w:rPr>
          <w:rFonts w:eastAsia="Times New Roman"/>
          <w:sz w:val="20"/>
          <w:lang w:val="es-ES_tradnl" w:eastAsia="en-US"/>
        </w:rPr>
        <w:t>d</w:t>
      </w:r>
      <w:r w:rsidRPr="002C067E">
        <w:rPr>
          <w:rFonts w:eastAsia="Times New Roman"/>
          <w:sz w:val="20"/>
          <w:lang w:val="es-ES_tradnl" w:eastAsia="en-US"/>
        </w:rPr>
        <w:t>el servicio.  Además, el costo unitario de traducción en el servicio del PCT ha aumentado, dado que la demanda de traducción en idiomas asiáticos ha pasado a representar un porcentaje más elevado de la demanda global.</w:t>
      </w:r>
    </w:p>
    <w:p w:rsidR="00837AF9" w:rsidRPr="002C067E" w:rsidRDefault="00837AF9"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 xml:space="preserve">La </w:t>
      </w:r>
      <w:r w:rsidRPr="002C067E">
        <w:rPr>
          <w:rFonts w:eastAsia="Times New Roman"/>
          <w:sz w:val="20"/>
          <w:lang w:val="es-ES_tradnl" w:eastAsia="fr-FR"/>
        </w:rPr>
        <w:t>Organización</w:t>
      </w:r>
      <w:r w:rsidRPr="002C067E">
        <w:rPr>
          <w:rFonts w:eastAsia="Times New Roman"/>
          <w:sz w:val="20"/>
          <w:lang w:val="es-ES_tradnl" w:eastAsia="en-US"/>
        </w:rPr>
        <w:t xml:space="preserve"> depende hoy de las tecnologías de la información y la comunicación (TIC) para los servicios que presta en el marco de sus sistemas mundiales de P.I. y cada vez más en otros ámbitos como la enseñanza a distancia, los cursos de promoción y sensibilización que se imparten mediante seminarios en línea y el mantenimiento de los foros electrónicos para los Estados miembros creados por varios comités de la OMPI.  Otro imperativo en materia de costos es la inversión en TIC para la mejora de la prestación de servicios (por ejemplo, el sistema de presentación electrónica de solicitudes PCT) y para la asistencia a los países en desarrollo en la modernización de sus actividades (sistema informático para la automatización de la propiedad industrial (IPAS), y WIPOCOS, que es el sistema de tecnologías de la información de la OMPI para la gestión colectiva de obras), así como para garantizar la continuidad de las actividades, y para el plan de recuperación en casos de desastre y de seguridad en materia de tecnologías de la información.</w:t>
      </w:r>
    </w:p>
    <w:p w:rsidR="00837AF9" w:rsidRPr="002C067E" w:rsidRDefault="00837AF9"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Esos imperativos en materia de costos han puesto nuestro nivel previsto de gastos prácticamente al mismo nivel del importe de ingresos.  En términos generales, en la propuesta de presupuesto se prevé sólo un superávit muy pequeño (2</w:t>
      </w:r>
      <w:r w:rsidR="00037737">
        <w:rPr>
          <w:rFonts w:eastAsia="Times New Roman"/>
          <w:sz w:val="20"/>
          <w:lang w:val="es-ES_tradnl" w:eastAsia="en-US"/>
        </w:rPr>
        <w:t xml:space="preserve"> millones</w:t>
      </w:r>
      <w:r w:rsidRPr="002C067E">
        <w:rPr>
          <w:rFonts w:eastAsia="Times New Roman"/>
          <w:sz w:val="20"/>
          <w:lang w:val="es-ES_tradnl" w:eastAsia="en-US"/>
        </w:rPr>
        <w:t xml:space="preserve"> </w:t>
      </w:r>
      <w:r w:rsidR="00662588">
        <w:rPr>
          <w:rFonts w:eastAsia="Times New Roman"/>
          <w:sz w:val="20"/>
          <w:lang w:val="es-ES_tradnl" w:eastAsia="en-US"/>
        </w:rPr>
        <w:t xml:space="preserve">de </w:t>
      </w:r>
      <w:r w:rsidRPr="002C067E">
        <w:rPr>
          <w:rFonts w:eastAsia="Times New Roman"/>
          <w:sz w:val="20"/>
          <w:lang w:val="es-ES_tradnl" w:eastAsia="en-US"/>
        </w:rPr>
        <w:t xml:space="preserve">francos suizos).  En dicha propuesta no se prevén nuevos puestos de trabajo y se mantiene el mismo número de empleados en nómina.  A ese respecto, cabe señalar que, a pesar de que la demanda ha aumentado, gracias a la mejora de la productividad, la </w:t>
      </w:r>
      <w:r w:rsidRPr="002C067E">
        <w:rPr>
          <w:rFonts w:eastAsia="Times New Roman"/>
          <w:sz w:val="20"/>
          <w:lang w:val="es-ES_tradnl" w:eastAsia="fr-FR"/>
        </w:rPr>
        <w:t>Organización</w:t>
      </w:r>
      <w:r w:rsidRPr="002C067E">
        <w:rPr>
          <w:rFonts w:eastAsia="Times New Roman"/>
          <w:sz w:val="20"/>
          <w:lang w:val="es-ES_tradnl" w:eastAsia="en-US"/>
        </w:rPr>
        <w:t xml:space="preserve"> funciona hoy con un número de empleados en nómina menor que el de 2008.</w:t>
      </w:r>
    </w:p>
    <w:p w:rsidR="00837AF9" w:rsidRPr="002C067E" w:rsidRDefault="00837AF9"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El aumento continuo de la demanda en el ámbito de la P.I. refleja la importancia, e incluso la naturaleza fundamental, de los activos inmateriales y el capital intelectual en la economía contemporánea.  Esa importancia ha generado, a su vez, un entorno gubernamental y económico más complejo para la P.I.  A este respecto existen programas gubernamentales en los planos nacional, bilateral, plurilateral, regional y multilateral.  El ecosistema de la innovación (o cómo concebimos la innovación) es hoy más complejo y la naturaleza del mercado de obras creativas se ha transformado radicalmente y sigue siendo sumamente dinámica.</w:t>
      </w:r>
    </w:p>
    <w:p w:rsidR="00837AF9" w:rsidRPr="002C067E" w:rsidRDefault="00837AF9" w:rsidP="004A4009">
      <w:pPr>
        <w:jc w:val="both"/>
        <w:rPr>
          <w:rFonts w:eastAsia="Times New Roman"/>
          <w:sz w:val="20"/>
          <w:lang w:val="es-ES_tradnl" w:eastAsia="en-US"/>
        </w:rPr>
      </w:pPr>
    </w:p>
    <w:p w:rsidR="00662588" w:rsidRDefault="00662588"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 xml:space="preserve">Esta complejidad creciente pone de relieve cuán importante es la trascendencia de la labor de la </w:t>
      </w:r>
      <w:r w:rsidRPr="002C067E">
        <w:rPr>
          <w:rFonts w:eastAsia="Times New Roman"/>
          <w:sz w:val="20"/>
          <w:lang w:val="es-ES_tradnl" w:eastAsia="fr-FR"/>
        </w:rPr>
        <w:t>Organización</w:t>
      </w:r>
      <w:r w:rsidRPr="002C067E">
        <w:rPr>
          <w:rFonts w:eastAsia="Times New Roman"/>
          <w:sz w:val="20"/>
          <w:lang w:val="es-ES_tradnl" w:eastAsia="en-US"/>
        </w:rPr>
        <w:t xml:space="preserve">.  Es obvio que la </w:t>
      </w:r>
      <w:r w:rsidRPr="002C067E">
        <w:rPr>
          <w:rFonts w:eastAsia="Times New Roman"/>
          <w:sz w:val="20"/>
          <w:lang w:val="es-ES_tradnl" w:eastAsia="fr-FR"/>
        </w:rPr>
        <w:t xml:space="preserve">OMPI </w:t>
      </w:r>
      <w:r w:rsidRPr="002C067E">
        <w:rPr>
          <w:rFonts w:eastAsia="Times New Roman"/>
          <w:sz w:val="20"/>
          <w:lang w:val="es-ES_tradnl" w:eastAsia="en-US"/>
        </w:rPr>
        <w:t xml:space="preserve">no puede hacer frente a todas las exigencias de un mundo tan complejo como el nuestro.  Tenemos la gran suerte de ser una </w:t>
      </w:r>
      <w:r w:rsidRPr="002C067E">
        <w:rPr>
          <w:rFonts w:eastAsia="Times New Roman"/>
          <w:sz w:val="20"/>
          <w:lang w:val="es-ES_tradnl" w:eastAsia="fr-FR"/>
        </w:rPr>
        <w:t>Organización</w:t>
      </w:r>
      <w:r w:rsidRPr="002C067E">
        <w:rPr>
          <w:rFonts w:eastAsia="Times New Roman"/>
          <w:sz w:val="20"/>
          <w:lang w:val="es-ES_tradnl" w:eastAsia="en-US"/>
        </w:rPr>
        <w:t xml:space="preserve"> bien dotada de recursos, pero el hecho de poder autofinanciar gran parte de nuestras actividades no quiere decir que la OMPI sea rica.  Son muchas y variadas las exigencias a las que tenemos que responder con los recursos de que disponemos.</w:t>
      </w:r>
    </w:p>
    <w:p w:rsidR="00837AF9" w:rsidRPr="002C067E" w:rsidRDefault="00837AF9" w:rsidP="004A4009">
      <w:pPr>
        <w:jc w:val="both"/>
        <w:rPr>
          <w:rFonts w:eastAsia="Times New Roman"/>
          <w:sz w:val="20"/>
          <w:lang w:val="es-ES_tradnl" w:eastAsia="en-US"/>
        </w:rPr>
      </w:pPr>
    </w:p>
    <w:p w:rsidR="00837AF9" w:rsidRPr="002C067E" w:rsidRDefault="00837AF9" w:rsidP="004A4009">
      <w:pPr>
        <w:jc w:val="both"/>
        <w:rPr>
          <w:rFonts w:eastAsia="Times New Roman"/>
          <w:sz w:val="20"/>
          <w:lang w:val="es-ES_tradnl" w:eastAsia="en-US"/>
        </w:rPr>
      </w:pPr>
      <w:r w:rsidRPr="002C067E">
        <w:rPr>
          <w:rFonts w:eastAsia="Times New Roman"/>
          <w:sz w:val="20"/>
          <w:lang w:val="es-ES_tradnl" w:eastAsia="en-US"/>
        </w:rPr>
        <w:t xml:space="preserve">A ese respecto, y a los fines de que nuestras actividades tengan la mayor repercusión posible, consideramos más importante que nunca que los programas y actividades de la </w:t>
      </w:r>
      <w:r w:rsidRPr="002C067E">
        <w:rPr>
          <w:rFonts w:eastAsia="Times New Roman"/>
          <w:sz w:val="20"/>
          <w:lang w:val="es-ES_tradnl" w:eastAsia="fr-FR"/>
        </w:rPr>
        <w:t>Organización</w:t>
      </w:r>
      <w:r w:rsidRPr="002C067E">
        <w:rPr>
          <w:rFonts w:eastAsia="Times New Roman"/>
          <w:sz w:val="20"/>
          <w:lang w:val="es-ES_tradnl" w:eastAsia="en-US"/>
        </w:rPr>
        <w:t xml:space="preserve"> estén orientados hacia el cumplimiento de sus metas estratégicas, en particular, la relativas a los sistemas mundiales de P.I., el marco jurídico mundial, la infraestructura mundial, la fuente de referencia en el mundo, y el desarrollo.  Se trata de esferas en las que la </w:t>
      </w:r>
      <w:r w:rsidRPr="002C067E">
        <w:rPr>
          <w:rFonts w:eastAsia="Times New Roman"/>
          <w:sz w:val="20"/>
          <w:lang w:val="es-ES_tradnl" w:eastAsia="fr-FR"/>
        </w:rPr>
        <w:t>Organización</w:t>
      </w:r>
      <w:r w:rsidRPr="002C067E">
        <w:rPr>
          <w:rFonts w:eastAsia="Times New Roman"/>
          <w:sz w:val="20"/>
          <w:lang w:val="es-ES_tradnl" w:eastAsia="en-US"/>
        </w:rPr>
        <w:t xml:space="preserve"> tiene una ventaja comparativa y en las que puede aportar una contribución distintiva en nuestro complejo mundo, en el que tantos actores intervienen.  El marco de resultados refleja ese empeño de afinar la orientación de las actividades y tener mayor repercusión.  El número de resultados previstos ha disminuido, pasando d</w:t>
      </w:r>
      <w:r w:rsidR="002C067E" w:rsidRPr="002C067E">
        <w:rPr>
          <w:rFonts w:eastAsia="Times New Roman"/>
          <w:sz w:val="20"/>
          <w:lang w:val="es-ES_tradnl" w:eastAsia="en-US"/>
        </w:rPr>
        <w:t>e 6</w:t>
      </w:r>
      <w:r w:rsidRPr="002C067E">
        <w:rPr>
          <w:rFonts w:eastAsia="Times New Roman"/>
          <w:sz w:val="20"/>
          <w:lang w:val="es-ES_tradnl" w:eastAsia="en-US"/>
        </w:rPr>
        <w:t xml:space="preserve">0 </w:t>
      </w:r>
      <w:r w:rsidR="002C067E" w:rsidRPr="002C067E">
        <w:rPr>
          <w:rFonts w:eastAsia="Times New Roman"/>
          <w:sz w:val="20"/>
          <w:lang w:val="es-ES_tradnl" w:eastAsia="en-US"/>
        </w:rPr>
        <w:t>a 3</w:t>
      </w:r>
      <w:r w:rsidR="007D5833">
        <w:rPr>
          <w:rFonts w:eastAsia="Times New Roman"/>
          <w:sz w:val="20"/>
          <w:lang w:val="es-ES_tradnl" w:eastAsia="en-US"/>
        </w:rPr>
        <w:t>8</w:t>
      </w:r>
      <w:r w:rsidRPr="002C067E">
        <w:rPr>
          <w:rFonts w:eastAsia="Times New Roman"/>
          <w:sz w:val="20"/>
          <w:lang w:val="es-ES_tradnl" w:eastAsia="en-US"/>
        </w:rPr>
        <w:t>.</w:t>
      </w:r>
    </w:p>
    <w:p w:rsidR="00837AF9" w:rsidRPr="002C067E" w:rsidRDefault="00837AF9" w:rsidP="004A4009">
      <w:pPr>
        <w:rPr>
          <w:sz w:val="20"/>
          <w:lang w:val="es-ES_tradnl"/>
        </w:rPr>
      </w:pPr>
    </w:p>
    <w:p w:rsidR="00837AF9" w:rsidRPr="002C067E" w:rsidRDefault="00837AF9" w:rsidP="004A4009">
      <w:pPr>
        <w:jc w:val="both"/>
        <w:rPr>
          <w:sz w:val="20"/>
          <w:lang w:val="es-ES_tradnl"/>
        </w:rPr>
      </w:pPr>
      <w:r w:rsidRPr="002C067E">
        <w:rPr>
          <w:sz w:val="20"/>
          <w:lang w:val="es-ES_tradnl"/>
        </w:rPr>
        <w:t xml:space="preserve">La Academia de la OMPI constituye un ejemplo específico de la prioridad que damos hoy a la orientación y la consolidación de las actividades.  Nos hemos esforzado por determinar con mayor precisión las ventajas comparativas que ofrece la Academia y por canalizar los recursos disponibles hacia actividades en las que se aprovechen esas ventajas.  En sintonía con esa nueva óptica, la Academia </w:t>
      </w:r>
      <w:r w:rsidR="009A71C5">
        <w:rPr>
          <w:sz w:val="20"/>
          <w:lang w:val="es-ES_tradnl"/>
        </w:rPr>
        <w:t>se</w:t>
      </w:r>
      <w:r w:rsidRPr="002C067E">
        <w:rPr>
          <w:sz w:val="20"/>
          <w:lang w:val="es-ES_tradnl"/>
        </w:rPr>
        <w:t xml:space="preserve">rá el centro especializado de la Organización en creación de capacidad de recursos humanos.  Como tal, </w:t>
      </w:r>
      <w:r w:rsidR="009A71C5">
        <w:rPr>
          <w:sz w:val="20"/>
          <w:lang w:val="es-ES_tradnl"/>
        </w:rPr>
        <w:t>la Academia</w:t>
      </w:r>
      <w:r w:rsidRPr="002C067E">
        <w:rPr>
          <w:sz w:val="20"/>
          <w:lang w:val="es-ES_tradnl"/>
        </w:rPr>
        <w:t xml:space="preserve"> colaborará estrechamente con las oficinas regionales y los programas especializados.</w:t>
      </w:r>
    </w:p>
    <w:p w:rsidR="00837AF9" w:rsidRPr="002C067E" w:rsidRDefault="00837AF9" w:rsidP="004A4009">
      <w:pPr>
        <w:jc w:val="both"/>
        <w:rPr>
          <w:sz w:val="20"/>
          <w:lang w:val="es-ES_tradnl"/>
        </w:rPr>
      </w:pPr>
    </w:p>
    <w:p w:rsidR="00837AF9" w:rsidRPr="002C067E" w:rsidRDefault="00837AF9" w:rsidP="004A4009">
      <w:pPr>
        <w:jc w:val="both"/>
        <w:rPr>
          <w:sz w:val="20"/>
          <w:lang w:val="es-ES_tradnl"/>
        </w:rPr>
      </w:pPr>
      <w:r w:rsidRPr="002C067E">
        <w:rPr>
          <w:sz w:val="20"/>
          <w:lang w:val="es-ES_tradnl"/>
        </w:rPr>
        <w:t>Debido a las presiones de costos y a los grandes cambios que se acusan en el mundo, hemos tenido que modificar nuestros métodos de trabajo.  A ese respecto, cabe citar tres ejemplos:</w:t>
      </w:r>
    </w:p>
    <w:p w:rsidR="00837AF9" w:rsidRPr="002C067E" w:rsidRDefault="00837AF9" w:rsidP="004A4009">
      <w:pPr>
        <w:jc w:val="both"/>
        <w:rPr>
          <w:sz w:val="20"/>
          <w:lang w:val="es-ES_tradnl"/>
        </w:rPr>
      </w:pPr>
    </w:p>
    <w:p w:rsidR="00837AF9" w:rsidRPr="002C067E" w:rsidRDefault="00837AF9" w:rsidP="004A4009">
      <w:pPr>
        <w:jc w:val="both"/>
        <w:rPr>
          <w:sz w:val="20"/>
          <w:lang w:val="es-ES_tradnl"/>
        </w:rPr>
      </w:pPr>
      <w:r w:rsidRPr="002C067E">
        <w:rPr>
          <w:sz w:val="20"/>
          <w:lang w:val="es-ES_tradnl"/>
        </w:rPr>
        <w:t xml:space="preserve">En primer lugar, la mayor importancia de la sostenibilidad de los productos y los servicios que ofrecemos.  Tenemos que velar por que dichos productos y servicios sean sostenibles, no sólo para la Organización sino para los beneficiarios de los mismos.  De ahí que, en última instancia, deban pasar a ser autónomos nuestros programas de centros de apoyo a la tecnología y la innovación (CATI), los sistemas IPAS y WIPOCOS, que de tanta popularidad gozan, así como los cursos de verano organizados conjuntamente con </w:t>
      </w:r>
      <w:r w:rsidR="009A71C5">
        <w:rPr>
          <w:sz w:val="20"/>
          <w:lang w:val="es-ES_tradnl"/>
        </w:rPr>
        <w:t>la Academia</w:t>
      </w:r>
      <w:r w:rsidRPr="002C067E">
        <w:rPr>
          <w:sz w:val="20"/>
          <w:lang w:val="es-ES_tradnl"/>
        </w:rPr>
        <w:t xml:space="preserve"> de la OMPI y las oficinas o instituciones nacionales.  Podrán así liberarse recursos que a su vez puedan utilizarse en otros países que todavía no se han beneficiado de esos programas (aun cuando la demanda en dichos países es elevada).</w:t>
      </w:r>
    </w:p>
    <w:p w:rsidR="00837AF9" w:rsidRPr="002C067E" w:rsidRDefault="00837AF9" w:rsidP="004A4009">
      <w:pPr>
        <w:jc w:val="both"/>
        <w:rPr>
          <w:sz w:val="20"/>
          <w:lang w:val="es-ES_tradnl"/>
        </w:rPr>
      </w:pPr>
    </w:p>
    <w:p w:rsidR="00837AF9" w:rsidRPr="002C067E" w:rsidRDefault="00837AF9" w:rsidP="004A4009">
      <w:pPr>
        <w:jc w:val="both"/>
        <w:rPr>
          <w:sz w:val="20"/>
          <w:lang w:val="es-ES_tradnl"/>
        </w:rPr>
      </w:pPr>
      <w:r w:rsidRPr="002C067E">
        <w:rPr>
          <w:sz w:val="20"/>
          <w:lang w:val="es-ES_tradnl"/>
        </w:rPr>
        <w:t>Otro ejemplo del cambio en nuestros métodos de trabajo es la externalización de servicios.  Utilizamos recursos externos, en lugar de internos, para la prestación de la mayor parte de nuestros servicios de traducción (tanto los servicios de traducción general como los servicios de traducción del PCT).  En la esfera de las TIC, cada vez procedemos más a realizar a nivel interno las actividades de I+D y de diseño y gestión de proyectos y a externalizar el desarrollo de programas informáticos.  Los costos de personal, la oportunidad que ofrecen los procedimientos de licitación mundiales y los rápidos cambios tecnológicos, con la consiguiente dificultad, cada vez mayor, de igualar a nivel interno los conocimientos especializados a los que se puede tener acceso a nivel externo, son los motores de ese cambio.  Nos mantenemos alertas en relación con las oportunidades que presenta la externalización, sin dejar de tener presente como es lógico, que el objetivo no es externalizar toda la Organización.</w:t>
      </w:r>
    </w:p>
    <w:p w:rsidR="00837AF9" w:rsidRPr="002C067E" w:rsidRDefault="00837AF9" w:rsidP="004A4009">
      <w:pPr>
        <w:jc w:val="both"/>
        <w:rPr>
          <w:sz w:val="20"/>
          <w:lang w:val="es-ES_tradnl"/>
        </w:rPr>
      </w:pPr>
    </w:p>
    <w:p w:rsidR="00837AF9" w:rsidRPr="002C067E" w:rsidRDefault="00837AF9" w:rsidP="004A4009">
      <w:pPr>
        <w:jc w:val="both"/>
        <w:rPr>
          <w:snapToGrid w:val="0"/>
          <w:sz w:val="20"/>
          <w:lang w:val="es-ES_tradnl"/>
        </w:rPr>
      </w:pPr>
      <w:r w:rsidRPr="002C067E">
        <w:rPr>
          <w:sz w:val="20"/>
          <w:lang w:val="es-ES_tradnl"/>
        </w:rPr>
        <w:t xml:space="preserve">El tercer ejemplo a ese respecto viene dado por las oficinas de la OMPI en el exterior.  Sobre ese tema se lleva hablando en la Organización tres años.  Hay mucha demanda de establecimiento de oficinas en el exterior y no tenemos bastante capacidad de respuesta.  Se han hecho valer muchas razones excelentes para abrir nuevas oficinas de la OMPI en el exterior, entre otras, que la Organización y sus servicios respondan más estrechamente a las necesidades de los Estados miembros, la expansión de los mercados de nuestros </w:t>
      </w:r>
      <w:r w:rsidRPr="002C067E">
        <w:rPr>
          <w:snapToGrid w:val="0"/>
          <w:sz w:val="20"/>
          <w:lang w:val="es-ES_tradnl"/>
        </w:rPr>
        <w:t xml:space="preserve">sistemas mundiales de P.I., la posibilidad de contar con una red de servicios que funcione 24 horas al día, la prestación de servicios de creación de capacidad sobre el terreno y hacer frente a los desafíos que suponen la continuidad de las actividades, la recuperación en caso de desastre, y la seguridad de las tecnologías de la información, así como la posibilidad de ofrecer el mismo nivel de eficacia en las actividades que se lleven a cabo en todas las partes del mundo.  Por otro lado, qué duda cabe que la Organización no puede tener tantas oficinas en el exterior como Estados miembros.  Antes bien, debe contar con una red limitada de oficinas en el exterior ubicadas estratégicamente.  Además, hay que tener presente que el establecimiento de oficinas en el exterior ha conllevado un </w:t>
      </w:r>
      <w:r w:rsidRPr="002C067E">
        <w:rPr>
          <w:i/>
          <w:snapToGrid w:val="0"/>
          <w:sz w:val="20"/>
          <w:lang w:val="es-ES_tradnl"/>
        </w:rPr>
        <w:t>cambio</w:t>
      </w:r>
      <w:r w:rsidRPr="002C067E">
        <w:rPr>
          <w:snapToGrid w:val="0"/>
          <w:sz w:val="20"/>
          <w:lang w:val="es-ES_tradnl"/>
        </w:rPr>
        <w:t xml:space="preserve"> en la prestación de los servicios y no la prestación de servicios </w:t>
      </w:r>
      <w:r w:rsidRPr="002C067E">
        <w:rPr>
          <w:i/>
          <w:snapToGrid w:val="0"/>
          <w:sz w:val="20"/>
          <w:lang w:val="es-ES_tradnl"/>
        </w:rPr>
        <w:t>nuevos</w:t>
      </w:r>
      <w:r w:rsidRPr="002C067E">
        <w:rPr>
          <w:snapToGrid w:val="0"/>
          <w:sz w:val="20"/>
          <w:lang w:val="es-ES_tradnl"/>
        </w:rPr>
        <w:t xml:space="preserve">.  De cara </w:t>
      </w:r>
      <w:r w:rsidRPr="002C067E">
        <w:rPr>
          <w:snapToGrid w:val="0"/>
          <w:sz w:val="20"/>
          <w:lang w:val="es-ES_tradnl"/>
        </w:rPr>
        <w:lastRenderedPageBreak/>
        <w:t>al bienio 2014/15 hemos propuesto establecer cinco nuevas oficinas al exterior, dos en África y una en China, una en la Federación de Rusia y una en los Estados Unidos de América.  Estaremos así prácticamente representados en todas las regiones.</w:t>
      </w:r>
    </w:p>
    <w:p w:rsidR="00837AF9" w:rsidRPr="002C067E" w:rsidRDefault="00837AF9" w:rsidP="004A4009">
      <w:pPr>
        <w:jc w:val="both"/>
        <w:rPr>
          <w:snapToGrid w:val="0"/>
          <w:sz w:val="20"/>
          <w:lang w:val="es-ES_tradnl"/>
        </w:rPr>
      </w:pPr>
    </w:p>
    <w:p w:rsidR="00837AF9" w:rsidRPr="002C067E" w:rsidRDefault="00837AF9" w:rsidP="004A4009">
      <w:pPr>
        <w:jc w:val="both"/>
        <w:rPr>
          <w:snapToGrid w:val="0"/>
          <w:sz w:val="20"/>
          <w:lang w:val="es-ES_tradnl"/>
        </w:rPr>
      </w:pPr>
      <w:r w:rsidRPr="002C067E">
        <w:rPr>
          <w:snapToGrid w:val="0"/>
          <w:sz w:val="20"/>
          <w:lang w:val="es-ES_tradnl"/>
        </w:rPr>
        <w:t>El cambio en el método de trabajo exige una cooperación mucho mayor en la Secretaría.  La externalización exige instaurar lazos de colaboración más estrechos entre el programa especializado de que se trate y los servicios administrativos, en particular, los de gestión de recursos humanos y compras.  Las oficinas en el exterior exigen responsabilidad ante más de una autoridad, por cuanto los funcionarios que trabajan en dichas oficinas tienen que informar de sus actividades a las autoridades de dichas oficinas y, en cuanto a la labor de fondo, a los administradores de los programas especializados de cuyos servicios se encargan.  Importantísimos en ese sentido son los progresos realizados en el marco del Programa de Alineación Estratégica, en particular, en relación con el valor “mancomunar esfuerzos”.</w:t>
      </w:r>
    </w:p>
    <w:p w:rsidR="00837AF9" w:rsidRPr="002C067E" w:rsidRDefault="00837AF9" w:rsidP="004A4009">
      <w:pPr>
        <w:jc w:val="both"/>
        <w:rPr>
          <w:snapToGrid w:val="0"/>
          <w:sz w:val="20"/>
          <w:lang w:val="es-ES_tradnl"/>
        </w:rPr>
      </w:pPr>
    </w:p>
    <w:p w:rsidR="00837AF9" w:rsidRPr="002C067E" w:rsidRDefault="00837AF9" w:rsidP="004A4009">
      <w:pPr>
        <w:jc w:val="both"/>
        <w:rPr>
          <w:snapToGrid w:val="0"/>
          <w:sz w:val="20"/>
          <w:lang w:val="es-ES_tradnl"/>
        </w:rPr>
      </w:pPr>
      <w:r w:rsidRPr="002C067E">
        <w:rPr>
          <w:snapToGrid w:val="0"/>
          <w:sz w:val="20"/>
          <w:lang w:val="es-ES_tradnl"/>
        </w:rPr>
        <w:t>En lo que respecta a la ejecución de los programas, cabe resaltar varias características principales en la propuesta de presupuesto por programas, a saber:</w:t>
      </w:r>
    </w:p>
    <w:p w:rsidR="00837AF9" w:rsidRPr="002C067E" w:rsidRDefault="00837AF9" w:rsidP="004A4009">
      <w:pPr>
        <w:jc w:val="both"/>
        <w:rPr>
          <w:snapToGrid w:val="0"/>
          <w:sz w:val="20"/>
          <w:lang w:val="es-ES_tradnl"/>
        </w:rPr>
      </w:pPr>
    </w:p>
    <w:p w:rsidR="00837AF9" w:rsidRPr="002C067E" w:rsidRDefault="00837AF9" w:rsidP="00E17471">
      <w:pPr>
        <w:pStyle w:val="ListParagraph"/>
        <w:numPr>
          <w:ilvl w:val="0"/>
          <w:numId w:val="6"/>
        </w:numPr>
        <w:spacing w:after="0" w:line="240" w:lineRule="auto"/>
        <w:ind w:left="567" w:firstLine="0"/>
        <w:jc w:val="both"/>
        <w:rPr>
          <w:rFonts w:ascii="Arial" w:hAnsi="Arial" w:cs="Arial"/>
          <w:sz w:val="20"/>
          <w:lang w:val="es-ES_tradnl"/>
        </w:rPr>
      </w:pPr>
      <w:r w:rsidRPr="002C067E">
        <w:rPr>
          <w:rFonts w:ascii="Arial" w:hAnsi="Arial" w:cs="Arial"/>
          <w:sz w:val="20"/>
          <w:lang w:val="es-ES_tradnl"/>
        </w:rPr>
        <w:t>La ampliación del servicio de presentación electrónica de solicitudes PCT</w:t>
      </w:r>
      <w:r w:rsidRPr="002C067E">
        <w:rPr>
          <w:rFonts w:ascii="Arial" w:hAnsi="Arial" w:cs="Arial"/>
          <w:snapToGrid w:val="0"/>
          <w:sz w:val="20"/>
          <w:lang w:val="es-ES_tradnl"/>
        </w:rPr>
        <w:t xml:space="preserve"> para dar cabida a una gama más amplia de funciones y grupos de usuarios, lo que redundará en una mayor productividad para la OMPI, las oficinas de P.I. y los solicitantes de patentes, y en un nivel más alto de calidad en la prestación de servicios.</w:t>
      </w:r>
    </w:p>
    <w:p w:rsidR="00837AF9" w:rsidRPr="002C067E" w:rsidRDefault="00837AF9" w:rsidP="004A4009">
      <w:pPr>
        <w:pStyle w:val="ListParagraph"/>
        <w:spacing w:after="0" w:line="240" w:lineRule="auto"/>
        <w:ind w:left="567"/>
        <w:jc w:val="both"/>
        <w:rPr>
          <w:rFonts w:ascii="Arial" w:hAnsi="Arial" w:cs="Arial"/>
          <w:sz w:val="20"/>
          <w:lang w:val="es-ES_tradnl"/>
        </w:rPr>
      </w:pPr>
    </w:p>
    <w:p w:rsidR="00837AF9" w:rsidRPr="002C067E" w:rsidRDefault="00837AF9" w:rsidP="00E17471">
      <w:pPr>
        <w:pStyle w:val="ListParagraph"/>
        <w:numPr>
          <w:ilvl w:val="0"/>
          <w:numId w:val="6"/>
        </w:numPr>
        <w:spacing w:after="0" w:line="240" w:lineRule="auto"/>
        <w:ind w:left="567" w:firstLine="0"/>
        <w:jc w:val="both"/>
        <w:rPr>
          <w:rFonts w:ascii="Arial" w:hAnsi="Arial" w:cs="Arial"/>
          <w:sz w:val="20"/>
          <w:lang w:val="es-ES_tradnl"/>
        </w:rPr>
      </w:pPr>
      <w:r w:rsidRPr="002C067E">
        <w:rPr>
          <w:rFonts w:ascii="Arial" w:hAnsi="Arial" w:cs="Arial"/>
          <w:snapToGrid w:val="0"/>
          <w:sz w:val="20"/>
          <w:lang w:val="es-ES_tradnl"/>
        </w:rPr>
        <w:t>La expansión prevista de la cobertura geográfica del sistema de Madrid, al que se prevé se adhieran varios países de América Latina y países miembros de la Asociación de Naciones del Asia Sudoriental (ASEAN), y del sistema de La Haya, acerca del cual han dado indicios positivos de intención de adherirse China, los Estados Unidos de América, la Federación de Rusia, el Japón, la República de Corea y los países de la ASEAN.</w:t>
      </w:r>
    </w:p>
    <w:p w:rsidR="00837AF9" w:rsidRPr="002C067E" w:rsidRDefault="00837AF9" w:rsidP="004A4009">
      <w:pPr>
        <w:pStyle w:val="ListParagraph"/>
        <w:spacing w:after="0" w:line="240" w:lineRule="auto"/>
        <w:ind w:left="567"/>
        <w:jc w:val="both"/>
        <w:rPr>
          <w:rFonts w:ascii="Arial" w:hAnsi="Arial" w:cs="Arial"/>
          <w:sz w:val="20"/>
          <w:lang w:val="es-ES_tradnl"/>
        </w:rPr>
      </w:pPr>
    </w:p>
    <w:p w:rsidR="00837AF9" w:rsidRPr="002C067E" w:rsidRDefault="00837AF9" w:rsidP="00E17471">
      <w:pPr>
        <w:pStyle w:val="ListParagraph"/>
        <w:numPr>
          <w:ilvl w:val="0"/>
          <w:numId w:val="6"/>
        </w:numPr>
        <w:spacing w:after="0" w:line="240" w:lineRule="auto"/>
        <w:ind w:left="567" w:firstLine="0"/>
        <w:jc w:val="both"/>
        <w:rPr>
          <w:rFonts w:ascii="Arial" w:hAnsi="Arial" w:cs="Arial"/>
          <w:sz w:val="20"/>
          <w:lang w:val="es-ES_tradnl"/>
        </w:rPr>
      </w:pPr>
      <w:r w:rsidRPr="002C067E">
        <w:rPr>
          <w:rFonts w:ascii="Arial" w:hAnsi="Arial" w:cs="Arial"/>
          <w:sz w:val="20"/>
          <w:lang w:val="es-ES_tradnl"/>
        </w:rPr>
        <w:t>El estado avanzado y la positiva finalización de varios proyectos normativos, en particular, en la esfera de la radiodifusión, los trámites relativos al Derecho de los diseños industriales, los conocimientos tradicionales, las expresiones culturales tradicionales y la propiedad intelectual en relación con los recursos genéticos, y la revisión del Arreglo de Lisboa relativo a la Protección de las Denominaciones de Origen y su Registro Internacional.</w:t>
      </w:r>
    </w:p>
    <w:p w:rsidR="00837AF9" w:rsidRPr="002C067E" w:rsidRDefault="00837AF9" w:rsidP="004A4009">
      <w:pPr>
        <w:pStyle w:val="ListParagraph"/>
        <w:spacing w:after="0" w:line="240" w:lineRule="auto"/>
        <w:ind w:left="567"/>
        <w:jc w:val="both"/>
        <w:rPr>
          <w:rFonts w:ascii="Arial" w:hAnsi="Arial" w:cs="Arial"/>
          <w:sz w:val="20"/>
          <w:lang w:val="es-ES_tradnl"/>
        </w:rPr>
      </w:pPr>
    </w:p>
    <w:p w:rsidR="00837AF9" w:rsidRPr="002C067E" w:rsidRDefault="00837AF9" w:rsidP="00E17471">
      <w:pPr>
        <w:pStyle w:val="ListParagraph"/>
        <w:numPr>
          <w:ilvl w:val="0"/>
          <w:numId w:val="6"/>
        </w:numPr>
        <w:spacing w:after="0" w:line="240" w:lineRule="auto"/>
        <w:ind w:left="567" w:firstLine="0"/>
        <w:jc w:val="both"/>
        <w:rPr>
          <w:rFonts w:ascii="Arial" w:hAnsi="Arial" w:cs="Arial"/>
          <w:sz w:val="20"/>
          <w:lang w:val="es-ES_tradnl"/>
        </w:rPr>
      </w:pPr>
      <w:r w:rsidRPr="002C067E">
        <w:rPr>
          <w:rFonts w:ascii="Arial" w:hAnsi="Arial" w:cs="Arial"/>
          <w:sz w:val="20"/>
          <w:lang w:val="es-ES_tradnl"/>
        </w:rPr>
        <w:t xml:space="preserve">Una sólida base para proseguir la labor de la plataforma de sectores interesados, creada en el marco del Comité Permanente de Derecho de Autor y Derechos Conexos (SCCR) para aumentar la disponibilidad práctica, en formato accesible, de obras ya publicadas, </w:t>
      </w:r>
      <w:r w:rsidR="009A71C5">
        <w:rPr>
          <w:rFonts w:ascii="Arial" w:hAnsi="Arial" w:cs="Arial"/>
          <w:sz w:val="20"/>
          <w:lang w:val="es-ES_tradnl"/>
        </w:rPr>
        <w:t xml:space="preserve">lo que constituye un </w:t>
      </w:r>
      <w:r w:rsidRPr="002C067E">
        <w:rPr>
          <w:rFonts w:ascii="Arial" w:hAnsi="Arial" w:cs="Arial"/>
          <w:sz w:val="20"/>
          <w:lang w:val="es-ES_tradnl"/>
        </w:rPr>
        <w:t xml:space="preserve">proyecto complementario al </w:t>
      </w:r>
      <w:r w:rsidR="009A71C5" w:rsidRPr="002C067E">
        <w:rPr>
          <w:rFonts w:ascii="Arial" w:hAnsi="Arial" w:cs="Arial"/>
          <w:sz w:val="20"/>
          <w:lang w:val="es-ES_tradnl"/>
        </w:rPr>
        <w:t xml:space="preserve">Tratado </w:t>
      </w:r>
      <w:r w:rsidRPr="002C067E">
        <w:rPr>
          <w:rFonts w:ascii="Arial" w:hAnsi="Arial" w:cs="Arial"/>
          <w:sz w:val="20"/>
          <w:lang w:val="es-ES_tradnl"/>
        </w:rPr>
        <w:t xml:space="preserve">de Marrakech, </w:t>
      </w:r>
      <w:r w:rsidR="009A71C5">
        <w:rPr>
          <w:rFonts w:ascii="Arial" w:hAnsi="Arial" w:cs="Arial"/>
          <w:sz w:val="20"/>
          <w:lang w:val="es-ES_tradnl"/>
        </w:rPr>
        <w:t>adoptado en junio de 2013</w:t>
      </w:r>
      <w:r w:rsidRPr="002C067E">
        <w:rPr>
          <w:rFonts w:ascii="Arial" w:hAnsi="Arial" w:cs="Arial"/>
          <w:sz w:val="20"/>
          <w:lang w:val="es-ES_tradnl"/>
        </w:rPr>
        <w:t>.</w:t>
      </w:r>
    </w:p>
    <w:p w:rsidR="00837AF9" w:rsidRPr="002C067E" w:rsidRDefault="00837AF9" w:rsidP="004A4009">
      <w:pPr>
        <w:pStyle w:val="ListParagraph"/>
        <w:spacing w:after="0" w:line="240" w:lineRule="auto"/>
        <w:ind w:left="567"/>
        <w:jc w:val="both"/>
        <w:rPr>
          <w:rFonts w:ascii="Arial" w:hAnsi="Arial" w:cs="Arial"/>
          <w:sz w:val="20"/>
          <w:lang w:val="es-ES_tradnl"/>
        </w:rPr>
      </w:pPr>
    </w:p>
    <w:p w:rsidR="00837AF9" w:rsidRPr="002C067E" w:rsidRDefault="00837AF9" w:rsidP="00E17471">
      <w:pPr>
        <w:pStyle w:val="ListParagraph"/>
        <w:numPr>
          <w:ilvl w:val="0"/>
          <w:numId w:val="6"/>
        </w:numPr>
        <w:spacing w:after="0" w:line="240" w:lineRule="auto"/>
        <w:ind w:left="567" w:firstLine="0"/>
        <w:jc w:val="both"/>
        <w:rPr>
          <w:rFonts w:ascii="Arial" w:hAnsi="Arial" w:cs="Arial"/>
          <w:sz w:val="20"/>
          <w:lang w:val="es-ES_tradnl"/>
        </w:rPr>
      </w:pPr>
      <w:r w:rsidRPr="002C067E">
        <w:rPr>
          <w:rFonts w:ascii="Arial" w:hAnsi="Arial" w:cs="Arial"/>
          <w:sz w:val="20"/>
          <w:lang w:val="es-ES_tradnl"/>
        </w:rPr>
        <w:t xml:space="preserve">Realizar progresos muy significativos en varios proyectos en la esfera de la infraestructura mundial, entre otros, el aumento del apoyo y la utilización de plataformas mundiales como el servicio de acceso digital a los documentos de prioridad y a la plataforma WIPO CASE (acceso centralizado a los resultados de búsquedas y exámenes);  la mejora de las funciones que se ofrecen como parte de los sistemas IPAS y WIPOCOS, y un mayor número de países que se benefician de estos últimos;  una ampliación del alcance y la funcionalidad de la base de datos PATENTSCOPE y de la base mundial de datos sobre </w:t>
      </w:r>
      <w:r w:rsidRPr="00685491">
        <w:rPr>
          <w:rFonts w:ascii="Arial" w:hAnsi="Arial" w:cs="Arial"/>
          <w:sz w:val="20"/>
          <w:lang w:val="es-ES_tradnl"/>
        </w:rPr>
        <w:t>marcas</w:t>
      </w:r>
      <w:r w:rsidR="003527F0" w:rsidRPr="00685491">
        <w:rPr>
          <w:rFonts w:ascii="Arial" w:hAnsi="Arial" w:cs="Arial"/>
          <w:sz w:val="20"/>
          <w:lang w:val="es-ES_tradnl"/>
        </w:rPr>
        <w:t xml:space="preserve"> (</w:t>
      </w:r>
      <w:proofErr w:type="spellStart"/>
      <w:r w:rsidR="003527F0" w:rsidRPr="00685491">
        <w:rPr>
          <w:rFonts w:ascii="Arial" w:hAnsi="Arial" w:cs="Arial"/>
          <w:i/>
          <w:sz w:val="20"/>
          <w:lang w:val="es-ES_tradnl"/>
        </w:rPr>
        <w:t>brands</w:t>
      </w:r>
      <w:proofErr w:type="spellEnd"/>
      <w:r w:rsidR="003527F0" w:rsidRPr="00685491">
        <w:rPr>
          <w:rFonts w:ascii="Arial" w:hAnsi="Arial" w:cs="Arial"/>
          <w:sz w:val="20"/>
          <w:lang w:val="es-ES_tradnl"/>
        </w:rPr>
        <w:t>)</w:t>
      </w:r>
      <w:r w:rsidR="00FE4D55" w:rsidRPr="00685491">
        <w:rPr>
          <w:rStyle w:val="FootnoteReference"/>
          <w:rFonts w:ascii="Arial" w:hAnsi="Arial" w:cs="Arial"/>
          <w:sz w:val="20"/>
          <w:lang w:val="es-ES_tradnl"/>
        </w:rPr>
        <w:footnoteReference w:customMarkFollows="1" w:id="2"/>
        <w:sym w:font="Symbol" w:char="F02A"/>
      </w:r>
      <w:r w:rsidRPr="002C067E">
        <w:rPr>
          <w:rFonts w:ascii="Arial" w:hAnsi="Arial" w:cs="Arial"/>
          <w:sz w:val="20"/>
          <w:lang w:val="es-ES_tradnl"/>
        </w:rPr>
        <w:t xml:space="preserve"> así como el inicio de la elaboración de una base de datos mundial sobre diseños industriales;  y una mayor participación en nuestros servicios de acceso a los conocimientos por conducto del proyecto CATI así como las bases de datos gratuitas de documentación científica e información tecnológica y de patentes que se ponen a disposición en colaboración con editoriales y proveedores comerciales de información;  y</w:t>
      </w:r>
    </w:p>
    <w:p w:rsidR="00837AF9" w:rsidRPr="002C067E" w:rsidRDefault="00837AF9" w:rsidP="004A4009">
      <w:pPr>
        <w:pStyle w:val="ListParagraph"/>
        <w:spacing w:after="0" w:line="240" w:lineRule="auto"/>
        <w:ind w:left="567"/>
        <w:jc w:val="both"/>
        <w:rPr>
          <w:rFonts w:ascii="Arial" w:hAnsi="Arial" w:cs="Arial"/>
          <w:sz w:val="20"/>
          <w:lang w:val="es-ES_tradnl"/>
        </w:rPr>
      </w:pPr>
    </w:p>
    <w:p w:rsidR="00837AF9" w:rsidRPr="002C067E" w:rsidRDefault="00837AF9" w:rsidP="00E17471">
      <w:pPr>
        <w:pStyle w:val="ListParagraph"/>
        <w:numPr>
          <w:ilvl w:val="0"/>
          <w:numId w:val="6"/>
        </w:numPr>
        <w:spacing w:after="0" w:line="240" w:lineRule="auto"/>
        <w:ind w:left="567" w:firstLine="0"/>
        <w:jc w:val="both"/>
        <w:rPr>
          <w:rFonts w:ascii="Arial" w:hAnsi="Arial" w:cs="Arial"/>
          <w:sz w:val="20"/>
          <w:lang w:val="es-ES_tradnl"/>
        </w:rPr>
      </w:pPr>
      <w:r w:rsidRPr="002C067E">
        <w:rPr>
          <w:rFonts w:ascii="Arial" w:hAnsi="Arial" w:cs="Arial"/>
          <w:sz w:val="20"/>
          <w:lang w:val="es-ES_tradnl"/>
        </w:rPr>
        <w:t>El suministro de una serie de programas de formación específicamente destinados a la creación de capacidad en recursos humanos, por conducto de</w:t>
      </w:r>
      <w:r w:rsidR="007D5833">
        <w:rPr>
          <w:rFonts w:ascii="Arial" w:hAnsi="Arial" w:cs="Arial"/>
          <w:sz w:val="20"/>
          <w:lang w:val="es-ES_tradnl"/>
        </w:rPr>
        <w:t xml:space="preserve"> </w:t>
      </w:r>
      <w:r w:rsidRPr="002C067E">
        <w:rPr>
          <w:rFonts w:ascii="Arial" w:hAnsi="Arial" w:cs="Arial"/>
          <w:sz w:val="20"/>
          <w:lang w:val="es-ES_tradnl"/>
        </w:rPr>
        <w:t>l</w:t>
      </w:r>
      <w:r w:rsidR="007D5833">
        <w:rPr>
          <w:rFonts w:ascii="Arial" w:hAnsi="Arial" w:cs="Arial"/>
          <w:sz w:val="20"/>
          <w:lang w:val="es-ES_tradnl"/>
        </w:rPr>
        <w:t>a</w:t>
      </w:r>
      <w:r w:rsidRPr="002C067E">
        <w:rPr>
          <w:rFonts w:ascii="Arial" w:hAnsi="Arial" w:cs="Arial"/>
          <w:sz w:val="20"/>
          <w:lang w:val="es-ES_tradnl"/>
        </w:rPr>
        <w:t xml:space="preserve"> </w:t>
      </w:r>
      <w:r w:rsidR="007D5833">
        <w:rPr>
          <w:rFonts w:ascii="Arial" w:hAnsi="Arial" w:cs="Arial"/>
          <w:sz w:val="20"/>
          <w:lang w:val="es-ES_tradnl"/>
        </w:rPr>
        <w:t>Academia</w:t>
      </w:r>
      <w:r w:rsidRPr="002C067E">
        <w:rPr>
          <w:rFonts w:ascii="Arial" w:hAnsi="Arial" w:cs="Arial"/>
          <w:sz w:val="20"/>
          <w:lang w:val="es-ES_tradnl"/>
        </w:rPr>
        <w:t xml:space="preserve"> de la OMPI.</w:t>
      </w:r>
    </w:p>
    <w:p w:rsidR="00837AF9" w:rsidRPr="002C067E" w:rsidRDefault="00837AF9" w:rsidP="004A4009">
      <w:pPr>
        <w:ind w:left="567"/>
        <w:rPr>
          <w:sz w:val="20"/>
          <w:lang w:val="es-ES_tradnl"/>
        </w:rPr>
      </w:pPr>
    </w:p>
    <w:p w:rsidR="00837AF9" w:rsidRPr="002C067E" w:rsidRDefault="00837AF9" w:rsidP="00662588">
      <w:pPr>
        <w:keepNext/>
        <w:keepLines/>
        <w:jc w:val="both"/>
        <w:rPr>
          <w:sz w:val="20"/>
          <w:lang w:val="es-ES_tradnl"/>
        </w:rPr>
      </w:pPr>
      <w:r w:rsidRPr="002C067E">
        <w:rPr>
          <w:sz w:val="20"/>
          <w:lang w:val="es-ES_tradnl"/>
        </w:rPr>
        <w:t xml:space="preserve">En el próximo bienio se consolidarán los beneficios derivados del Programa de Alineación Estratégica y finalizará la labor en torno al sistema de planificación de los recursos </w:t>
      </w:r>
      <w:r w:rsidR="00972AA7">
        <w:rPr>
          <w:sz w:val="20"/>
          <w:lang w:val="es-ES_tradnl"/>
        </w:rPr>
        <w:t>institucionales (P</w:t>
      </w:r>
      <w:r w:rsidRPr="002C067E">
        <w:rPr>
          <w:sz w:val="20"/>
          <w:lang w:val="es-ES_tradnl"/>
        </w:rPr>
        <w:t>R</w:t>
      </w:r>
      <w:r w:rsidR="00972AA7">
        <w:rPr>
          <w:sz w:val="20"/>
          <w:lang w:val="es-ES_tradnl"/>
        </w:rPr>
        <w:t>I</w:t>
      </w:r>
      <w:r w:rsidRPr="002C067E">
        <w:rPr>
          <w:sz w:val="20"/>
          <w:lang w:val="es-ES_tradnl"/>
        </w:rPr>
        <w:t>), con lo que la Organización estará en mejores condiciones de emprender las iniciativas señaladas en el párrafo anterior en relación con los programas.  Como siempre, la Organización sólo podrá cumplir verdaderamente sus objetivos y crear valor si dispone del compromiso y de la participación constantes de sus Estados miembros, con los que por fortuna hemos podido contar y a quienes deseo expresar nuestro profundo agradecimiento.</w:t>
      </w:r>
    </w:p>
    <w:p w:rsidR="00837AF9" w:rsidRPr="002C067E" w:rsidRDefault="00837AF9" w:rsidP="00662588">
      <w:pPr>
        <w:keepNext/>
        <w:keepLines/>
        <w:jc w:val="both"/>
        <w:rPr>
          <w:sz w:val="20"/>
        </w:rPr>
      </w:pPr>
    </w:p>
    <w:p w:rsidR="00837AF9" w:rsidRPr="002C067E" w:rsidRDefault="00837AF9" w:rsidP="00662588">
      <w:pPr>
        <w:keepNext/>
        <w:keepLines/>
        <w:tabs>
          <w:tab w:val="left" w:pos="6237"/>
        </w:tabs>
      </w:pPr>
    </w:p>
    <w:p w:rsidR="00837AF9" w:rsidRPr="002C067E" w:rsidRDefault="00837AF9" w:rsidP="00662588">
      <w:pPr>
        <w:keepNext/>
        <w:keepLines/>
        <w:tabs>
          <w:tab w:val="left" w:pos="6237"/>
        </w:tabs>
        <w:rPr>
          <w:lang w:val="en"/>
        </w:rPr>
      </w:pPr>
      <w:r w:rsidRPr="002C067E">
        <w:tab/>
      </w:r>
      <w:r w:rsidR="00C40A11">
        <w:rPr>
          <w:noProof/>
          <w:lang w:val="en-US" w:eastAsia="en-US"/>
        </w:rPr>
        <w:drawing>
          <wp:inline distT="0" distB="0" distL="0" distR="0" wp14:anchorId="22821C37" wp14:editId="74813D4C">
            <wp:extent cx="1597025" cy="504825"/>
            <wp:effectExtent l="0" t="0" r="0" b="9525"/>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597025" cy="504825"/>
                    </a:xfrm>
                    <a:prstGeom prst="rect">
                      <a:avLst/>
                    </a:prstGeom>
                    <a:noFill/>
                    <a:ln>
                      <a:noFill/>
                    </a:ln>
                  </pic:spPr>
                </pic:pic>
              </a:graphicData>
            </a:graphic>
          </wp:inline>
        </w:drawing>
      </w:r>
    </w:p>
    <w:p w:rsidR="00837AF9" w:rsidRPr="00662588" w:rsidRDefault="00837AF9" w:rsidP="004A4009">
      <w:pPr>
        <w:tabs>
          <w:tab w:val="left" w:pos="6804"/>
        </w:tabs>
        <w:rPr>
          <w:sz w:val="20"/>
        </w:rPr>
      </w:pPr>
      <w:r w:rsidRPr="002C067E">
        <w:rPr>
          <w:lang w:val="en"/>
        </w:rPr>
        <w:tab/>
      </w:r>
      <w:r w:rsidRPr="00662588">
        <w:rPr>
          <w:sz w:val="20"/>
        </w:rPr>
        <w:t xml:space="preserve">Francis </w:t>
      </w:r>
      <w:proofErr w:type="spellStart"/>
      <w:r w:rsidRPr="00662588">
        <w:rPr>
          <w:sz w:val="20"/>
        </w:rPr>
        <w:t>Gurry</w:t>
      </w:r>
      <w:proofErr w:type="spellEnd"/>
    </w:p>
    <w:p w:rsidR="0048420D" w:rsidRPr="00662588" w:rsidRDefault="0048420D" w:rsidP="004A4009">
      <w:pPr>
        <w:tabs>
          <w:tab w:val="left" w:pos="6804"/>
        </w:tabs>
        <w:rPr>
          <w:sz w:val="20"/>
        </w:rPr>
      </w:pPr>
    </w:p>
    <w:p w:rsidR="00837AF9" w:rsidRPr="00662588" w:rsidRDefault="00837AF9" w:rsidP="004A4009">
      <w:pPr>
        <w:tabs>
          <w:tab w:val="left" w:pos="6663"/>
        </w:tabs>
        <w:rPr>
          <w:sz w:val="20"/>
        </w:rPr>
      </w:pPr>
      <w:r w:rsidRPr="00662588">
        <w:rPr>
          <w:sz w:val="20"/>
        </w:rPr>
        <w:tab/>
        <w:t>Director General</w:t>
      </w:r>
    </w:p>
    <w:p w:rsidR="00856ED4" w:rsidRPr="00AA3230" w:rsidRDefault="00856ED4" w:rsidP="004A4009">
      <w:pPr>
        <w:tabs>
          <w:tab w:val="left" w:pos="6237"/>
        </w:tabs>
      </w:pPr>
    </w:p>
    <w:p w:rsidR="007D5833" w:rsidRDefault="007D5833" w:rsidP="007D5833">
      <w:pPr>
        <w:pStyle w:val="NormalWeb"/>
        <w:rPr>
          <w:sz w:val="20"/>
          <w:szCs w:val="20"/>
          <w:lang w:val="es-ES"/>
        </w:rPr>
        <w:sectPr w:rsidR="007D5833" w:rsidSect="0081102C">
          <w:headerReference w:type="even" r:id="rId17"/>
          <w:headerReference w:type="default" r:id="rId18"/>
          <w:pgSz w:w="11907" w:h="16840" w:code="9"/>
          <w:pgMar w:top="567" w:right="1247" w:bottom="964" w:left="1361" w:header="510" w:footer="851" w:gutter="0"/>
          <w:cols w:space="720"/>
          <w:docGrid w:linePitch="299"/>
        </w:sectPr>
      </w:pPr>
    </w:p>
    <w:p w:rsidR="007B2C29" w:rsidRPr="00085EE6" w:rsidRDefault="00AA3230" w:rsidP="004A4009">
      <w:pPr>
        <w:pStyle w:val="Heading1"/>
        <w:keepLines/>
        <w:rPr>
          <w:sz w:val="26"/>
          <w:szCs w:val="26"/>
          <w:lang w:val="es-ES_tradnl"/>
        </w:rPr>
      </w:pPr>
      <w:bookmarkStart w:id="7" w:name="_Toc366078696"/>
      <w:r w:rsidRPr="00085EE6">
        <w:rPr>
          <w:caps w:val="0"/>
          <w:sz w:val="26"/>
          <w:szCs w:val="26"/>
          <w:lang w:val="es-ES_tradnl"/>
        </w:rPr>
        <w:lastRenderedPageBreak/>
        <w:t>I.</w:t>
      </w:r>
      <w:r w:rsidRPr="00085EE6">
        <w:rPr>
          <w:caps w:val="0"/>
          <w:sz w:val="26"/>
          <w:szCs w:val="26"/>
          <w:lang w:val="es-ES_tradnl"/>
        </w:rPr>
        <w:tab/>
        <w:t>VISIÓN DE CONJUNTO DE LOS RESULTADOS</w:t>
      </w:r>
      <w:bookmarkEnd w:id="7"/>
    </w:p>
    <w:p w:rsidR="007B2C29" w:rsidRPr="002C067E" w:rsidRDefault="007B2C29" w:rsidP="006E3E3C">
      <w:pPr>
        <w:rPr>
          <w:sz w:val="20"/>
          <w:lang w:val="es-ES_tradnl"/>
        </w:rPr>
      </w:pPr>
    </w:p>
    <w:p w:rsidR="00FE239C" w:rsidRPr="002C067E" w:rsidRDefault="00FE239C" w:rsidP="006E3E3C">
      <w:pPr>
        <w:rPr>
          <w:sz w:val="20"/>
          <w:lang w:val="es-ES_tradnl"/>
        </w:rPr>
      </w:pPr>
    </w:p>
    <w:p w:rsidR="00B22442" w:rsidRPr="002C067E" w:rsidRDefault="00856ED4" w:rsidP="006E3E3C">
      <w:pPr>
        <w:numPr>
          <w:ilvl w:val="0"/>
          <w:numId w:val="4"/>
        </w:numPr>
        <w:tabs>
          <w:tab w:val="clear" w:pos="360"/>
          <w:tab w:val="num" w:pos="567"/>
          <w:tab w:val="left" w:pos="2160"/>
        </w:tabs>
        <w:ind w:left="0" w:firstLine="0"/>
        <w:jc w:val="both"/>
        <w:rPr>
          <w:sz w:val="20"/>
          <w:lang w:val="es-ES_tradnl"/>
        </w:rPr>
      </w:pPr>
      <w:r w:rsidRPr="002C067E">
        <w:rPr>
          <w:sz w:val="20"/>
          <w:lang w:val="es-ES_tradnl"/>
        </w:rPr>
        <w:t>En el presente presupues</w:t>
      </w:r>
      <w:r w:rsidR="00C0559B" w:rsidRPr="002C067E">
        <w:rPr>
          <w:sz w:val="20"/>
          <w:lang w:val="es-ES_tradnl"/>
        </w:rPr>
        <w:t>to por programas se expone la planificación</w:t>
      </w:r>
      <w:r w:rsidRPr="002C067E">
        <w:rPr>
          <w:sz w:val="20"/>
          <w:lang w:val="es-ES_tradnl"/>
        </w:rPr>
        <w:t xml:space="preserve"> para el bieni</w:t>
      </w:r>
      <w:r w:rsidR="00DF7F45" w:rsidRPr="002C067E">
        <w:rPr>
          <w:sz w:val="20"/>
          <w:lang w:val="es-ES_tradnl"/>
        </w:rPr>
        <w:t>o 2</w:t>
      </w:r>
      <w:r w:rsidR="007B2C29" w:rsidRPr="002C067E">
        <w:rPr>
          <w:sz w:val="20"/>
          <w:lang w:val="es-ES_tradnl"/>
        </w:rPr>
        <w:t>014/15</w:t>
      </w:r>
      <w:r w:rsidR="00C0559B" w:rsidRPr="002C067E">
        <w:rPr>
          <w:sz w:val="20"/>
          <w:lang w:val="es-ES_tradnl"/>
        </w:rPr>
        <w:t>, que obedece</w:t>
      </w:r>
      <w:r w:rsidRPr="002C067E">
        <w:rPr>
          <w:sz w:val="20"/>
          <w:lang w:val="es-ES_tradnl"/>
        </w:rPr>
        <w:t xml:space="preserve"> al contexto estratégico general del </w:t>
      </w:r>
      <w:r w:rsidR="00972AA7">
        <w:rPr>
          <w:sz w:val="20"/>
          <w:lang w:val="es-ES_tradnl"/>
        </w:rPr>
        <w:t>P</w:t>
      </w:r>
      <w:r w:rsidRPr="002C067E">
        <w:rPr>
          <w:sz w:val="20"/>
          <w:lang w:val="es-ES_tradnl"/>
        </w:rPr>
        <w:t xml:space="preserve">lan </w:t>
      </w:r>
      <w:r w:rsidR="00972AA7">
        <w:rPr>
          <w:sz w:val="20"/>
          <w:lang w:val="es-ES_tradnl"/>
        </w:rPr>
        <w:t>E</w:t>
      </w:r>
      <w:r w:rsidRPr="002C067E">
        <w:rPr>
          <w:sz w:val="20"/>
          <w:lang w:val="es-ES_tradnl"/>
        </w:rPr>
        <w:t xml:space="preserve">stratégico a </w:t>
      </w:r>
      <w:r w:rsidR="00972AA7">
        <w:rPr>
          <w:sz w:val="20"/>
          <w:lang w:val="es-ES_tradnl"/>
        </w:rPr>
        <w:t>M</w:t>
      </w:r>
      <w:r w:rsidRPr="002C067E">
        <w:rPr>
          <w:sz w:val="20"/>
          <w:lang w:val="es-ES_tradnl"/>
        </w:rPr>
        <w:t xml:space="preserve">ediano </w:t>
      </w:r>
      <w:r w:rsidR="00972AA7">
        <w:rPr>
          <w:sz w:val="20"/>
          <w:lang w:val="es-ES_tradnl"/>
        </w:rPr>
        <w:t>P</w:t>
      </w:r>
      <w:r w:rsidR="00C0559B" w:rsidRPr="002C067E">
        <w:rPr>
          <w:sz w:val="20"/>
          <w:lang w:val="es-ES_tradnl"/>
        </w:rPr>
        <w:t>lazo y se rige</w:t>
      </w:r>
      <w:r w:rsidRPr="002C067E">
        <w:rPr>
          <w:sz w:val="20"/>
          <w:lang w:val="es-ES_tradnl"/>
        </w:rPr>
        <w:t xml:space="preserve"> por las observaciones que han formulado los Estados miembros</w:t>
      </w:r>
      <w:r w:rsidR="00B22442" w:rsidRPr="002C067E">
        <w:rPr>
          <w:sz w:val="20"/>
          <w:lang w:val="es-ES_tradnl"/>
        </w:rPr>
        <w:t>.</w:t>
      </w:r>
    </w:p>
    <w:p w:rsidR="007B2C29" w:rsidRPr="002C067E" w:rsidRDefault="007B2C29" w:rsidP="006E3E3C">
      <w:pPr>
        <w:jc w:val="both"/>
        <w:rPr>
          <w:sz w:val="20"/>
          <w:lang w:val="es-ES_tradnl"/>
        </w:rPr>
      </w:pPr>
    </w:p>
    <w:p w:rsidR="007B2C29" w:rsidRPr="002C067E" w:rsidRDefault="00856ED4" w:rsidP="006E3E3C">
      <w:pPr>
        <w:numPr>
          <w:ilvl w:val="0"/>
          <w:numId w:val="4"/>
        </w:numPr>
        <w:tabs>
          <w:tab w:val="clear" w:pos="360"/>
          <w:tab w:val="left" w:pos="567"/>
        </w:tabs>
        <w:ind w:left="0" w:firstLine="0"/>
        <w:jc w:val="both"/>
        <w:rPr>
          <w:sz w:val="20"/>
          <w:lang w:val="es-ES_tradnl"/>
        </w:rPr>
      </w:pPr>
      <w:r w:rsidRPr="002C067E">
        <w:rPr>
          <w:sz w:val="20"/>
          <w:lang w:val="es-ES_tradnl"/>
        </w:rPr>
        <w:t xml:space="preserve">Sigue aumentando la demanda de </w:t>
      </w:r>
      <w:r w:rsidR="007B2C29" w:rsidRPr="002C067E">
        <w:rPr>
          <w:sz w:val="20"/>
          <w:lang w:val="es-ES_tradnl"/>
        </w:rPr>
        <w:t>product</w:t>
      </w:r>
      <w:r w:rsidRPr="002C067E">
        <w:rPr>
          <w:sz w:val="20"/>
          <w:lang w:val="es-ES_tradnl"/>
        </w:rPr>
        <w:t>o</w:t>
      </w:r>
      <w:r w:rsidR="007B2C29" w:rsidRPr="002C067E">
        <w:rPr>
          <w:sz w:val="20"/>
          <w:lang w:val="es-ES_tradnl"/>
        </w:rPr>
        <w:t xml:space="preserve">s </w:t>
      </w:r>
      <w:r w:rsidRPr="002C067E">
        <w:rPr>
          <w:sz w:val="20"/>
          <w:lang w:val="es-ES_tradnl"/>
        </w:rPr>
        <w:t xml:space="preserve">y </w:t>
      </w:r>
      <w:r w:rsidR="007B2C29" w:rsidRPr="002C067E">
        <w:rPr>
          <w:sz w:val="20"/>
          <w:lang w:val="es-ES_tradnl"/>
        </w:rPr>
        <w:t>servic</w:t>
      </w:r>
      <w:r w:rsidRPr="002C067E">
        <w:rPr>
          <w:sz w:val="20"/>
          <w:lang w:val="es-ES_tradnl"/>
        </w:rPr>
        <w:t>io</w:t>
      </w:r>
      <w:r w:rsidR="007B2C29" w:rsidRPr="002C067E">
        <w:rPr>
          <w:sz w:val="20"/>
          <w:lang w:val="es-ES_tradnl"/>
        </w:rPr>
        <w:t xml:space="preserve">s </w:t>
      </w:r>
      <w:r w:rsidRPr="002C067E">
        <w:rPr>
          <w:sz w:val="20"/>
          <w:lang w:val="es-ES_tradnl"/>
        </w:rPr>
        <w:t>de la Organización</w:t>
      </w:r>
      <w:r w:rsidR="007B2C29" w:rsidRPr="002C067E">
        <w:rPr>
          <w:sz w:val="20"/>
          <w:lang w:val="es-ES_tradnl"/>
        </w:rPr>
        <w:t xml:space="preserve">.  </w:t>
      </w:r>
      <w:r w:rsidRPr="002C067E">
        <w:rPr>
          <w:sz w:val="20"/>
          <w:lang w:val="es-ES_tradnl"/>
        </w:rPr>
        <w:t>Por lo tanto, en la propuesta actual se aspira a que los recursos de la Organización se sigan utilizando para obtener los resultados que mayor importancia revisten para los Estados miembros y demás partes interesadas</w:t>
      </w:r>
      <w:r w:rsidR="007B2C29" w:rsidRPr="002C067E">
        <w:rPr>
          <w:sz w:val="20"/>
          <w:lang w:val="es-ES_tradnl"/>
        </w:rPr>
        <w:t xml:space="preserve">.  </w:t>
      </w:r>
      <w:r w:rsidRPr="002C067E">
        <w:rPr>
          <w:sz w:val="20"/>
          <w:lang w:val="es-ES_tradnl"/>
        </w:rPr>
        <w:t>A ese respecto</w:t>
      </w:r>
      <w:r w:rsidR="007B2C29" w:rsidRPr="002C067E">
        <w:rPr>
          <w:sz w:val="20"/>
          <w:lang w:val="es-ES_tradnl"/>
        </w:rPr>
        <w:t xml:space="preserve">, </w:t>
      </w:r>
      <w:r w:rsidRPr="002C067E">
        <w:rPr>
          <w:sz w:val="20"/>
          <w:lang w:val="es-ES_tradnl"/>
        </w:rPr>
        <w:t>entre las prioridades del b</w:t>
      </w:r>
      <w:r w:rsidR="007B2C29" w:rsidRPr="002C067E">
        <w:rPr>
          <w:sz w:val="20"/>
          <w:lang w:val="es-ES_tradnl"/>
        </w:rPr>
        <w:t>i</w:t>
      </w:r>
      <w:r w:rsidRPr="002C067E">
        <w:rPr>
          <w:sz w:val="20"/>
          <w:lang w:val="es-ES_tradnl"/>
        </w:rPr>
        <w:t>e</w:t>
      </w:r>
      <w:r w:rsidR="007B2C29" w:rsidRPr="002C067E">
        <w:rPr>
          <w:sz w:val="20"/>
          <w:lang w:val="es-ES_tradnl"/>
        </w:rPr>
        <w:t>n</w:t>
      </w:r>
      <w:r w:rsidRPr="002C067E">
        <w:rPr>
          <w:sz w:val="20"/>
          <w:lang w:val="es-ES_tradnl"/>
        </w:rPr>
        <w:t>i</w:t>
      </w:r>
      <w:r w:rsidR="00DF7F45" w:rsidRPr="002C067E">
        <w:rPr>
          <w:sz w:val="20"/>
          <w:lang w:val="es-ES_tradnl"/>
        </w:rPr>
        <w:t>o 2</w:t>
      </w:r>
      <w:r w:rsidR="007B2C29" w:rsidRPr="002C067E">
        <w:rPr>
          <w:sz w:val="20"/>
          <w:lang w:val="es-ES_tradnl"/>
        </w:rPr>
        <w:t xml:space="preserve">014/15 </w:t>
      </w:r>
      <w:r w:rsidRPr="002C067E">
        <w:rPr>
          <w:sz w:val="20"/>
          <w:lang w:val="es-ES_tradnl"/>
        </w:rPr>
        <w:t>figuran las siguientes</w:t>
      </w:r>
      <w:r w:rsidR="007B2C29" w:rsidRPr="002C067E">
        <w:rPr>
          <w:sz w:val="20"/>
          <w:lang w:val="es-ES_tradnl"/>
        </w:rPr>
        <w:t>:</w:t>
      </w:r>
    </w:p>
    <w:p w:rsidR="007B2C29" w:rsidRPr="002C067E" w:rsidRDefault="007B2C29" w:rsidP="006E3E3C">
      <w:pPr>
        <w:ind w:left="720"/>
        <w:jc w:val="both"/>
        <w:rPr>
          <w:sz w:val="20"/>
          <w:lang w:val="es-ES_tradnl"/>
        </w:rPr>
      </w:pPr>
    </w:p>
    <w:p w:rsidR="007B2C29" w:rsidRPr="002C067E" w:rsidRDefault="008004E5" w:rsidP="006E3E3C">
      <w:pPr>
        <w:ind w:left="567"/>
        <w:jc w:val="both"/>
        <w:rPr>
          <w:sz w:val="20"/>
          <w:lang w:val="es-ES_tradnl"/>
        </w:rPr>
      </w:pPr>
      <w:r w:rsidRPr="002C067E">
        <w:rPr>
          <w:sz w:val="20"/>
          <w:lang w:val="es-ES_tradnl"/>
        </w:rPr>
        <w:t>i)</w:t>
      </w:r>
      <w:r w:rsidRPr="002C067E">
        <w:rPr>
          <w:sz w:val="20"/>
          <w:lang w:val="es-ES_tradnl"/>
        </w:rPr>
        <w:tab/>
      </w:r>
      <w:r w:rsidR="00725561" w:rsidRPr="002C067E">
        <w:rPr>
          <w:sz w:val="20"/>
          <w:lang w:val="es-ES_tradnl"/>
        </w:rPr>
        <w:t xml:space="preserve">Velar por </w:t>
      </w:r>
      <w:r w:rsidR="0059265D" w:rsidRPr="002C067E">
        <w:rPr>
          <w:sz w:val="20"/>
          <w:lang w:val="es-ES_tradnl"/>
        </w:rPr>
        <w:t xml:space="preserve">que se utilicen de manera </w:t>
      </w:r>
      <w:r w:rsidR="00725561" w:rsidRPr="002C067E">
        <w:rPr>
          <w:sz w:val="20"/>
          <w:lang w:val="es-ES_tradnl"/>
        </w:rPr>
        <w:t xml:space="preserve">más generalizada </w:t>
      </w:r>
      <w:r w:rsidR="0059265D" w:rsidRPr="002C067E">
        <w:rPr>
          <w:sz w:val="20"/>
          <w:lang w:val="es-ES_tradnl"/>
        </w:rPr>
        <w:t xml:space="preserve">y eficaz </w:t>
      </w:r>
      <w:r w:rsidR="00725561" w:rsidRPr="002C067E">
        <w:rPr>
          <w:sz w:val="20"/>
          <w:lang w:val="es-ES_tradnl"/>
        </w:rPr>
        <w:t xml:space="preserve">los </w:t>
      </w:r>
      <w:r w:rsidR="007B2C29" w:rsidRPr="002C067E">
        <w:rPr>
          <w:sz w:val="20"/>
          <w:lang w:val="es-ES_tradnl"/>
        </w:rPr>
        <w:t>servic</w:t>
      </w:r>
      <w:r w:rsidR="00725561" w:rsidRPr="002C067E">
        <w:rPr>
          <w:sz w:val="20"/>
          <w:lang w:val="es-ES_tradnl"/>
        </w:rPr>
        <w:t>io</w:t>
      </w:r>
      <w:r w:rsidR="007B2C29" w:rsidRPr="002C067E">
        <w:rPr>
          <w:sz w:val="20"/>
          <w:lang w:val="es-ES_tradnl"/>
        </w:rPr>
        <w:t xml:space="preserve">s </w:t>
      </w:r>
      <w:r w:rsidR="002C57B2" w:rsidRPr="002C067E">
        <w:rPr>
          <w:sz w:val="20"/>
          <w:lang w:val="es-ES_tradnl"/>
        </w:rPr>
        <w:t xml:space="preserve">que prestan los </w:t>
      </w:r>
      <w:r w:rsidR="002C57B2" w:rsidRPr="002C067E">
        <w:rPr>
          <w:snapToGrid w:val="0"/>
          <w:sz w:val="20"/>
          <w:lang w:val="es-ES_tradnl"/>
        </w:rPr>
        <w:t>sistemas mundiales de</w:t>
      </w:r>
      <w:r w:rsidR="002C57B2" w:rsidRPr="002C067E">
        <w:rPr>
          <w:sz w:val="20"/>
          <w:lang w:val="es-ES_tradnl"/>
        </w:rPr>
        <w:t xml:space="preserve"> </w:t>
      </w:r>
      <w:r w:rsidR="00CA637E" w:rsidRPr="002C067E">
        <w:rPr>
          <w:sz w:val="20"/>
          <w:lang w:val="es-ES_tradnl"/>
        </w:rPr>
        <w:t>registro</w:t>
      </w:r>
      <w:r w:rsidR="002C57B2" w:rsidRPr="002C067E">
        <w:rPr>
          <w:sz w:val="20"/>
          <w:lang w:val="es-ES_tradnl"/>
        </w:rPr>
        <w:t xml:space="preserve"> de la OMPI, </w:t>
      </w:r>
      <w:r w:rsidR="0082777F" w:rsidRPr="002C067E">
        <w:rPr>
          <w:sz w:val="20"/>
          <w:lang w:val="es-ES_tradnl"/>
        </w:rPr>
        <w:t>sobre todo</w:t>
      </w:r>
      <w:r w:rsidR="002C57B2" w:rsidRPr="002C067E">
        <w:rPr>
          <w:sz w:val="20"/>
          <w:lang w:val="es-ES_tradnl"/>
        </w:rPr>
        <w:t xml:space="preserve">, los </w:t>
      </w:r>
      <w:r w:rsidR="002C57B2" w:rsidRPr="002C067E">
        <w:rPr>
          <w:snapToGrid w:val="0"/>
          <w:sz w:val="20"/>
          <w:lang w:val="es-ES_tradnl"/>
        </w:rPr>
        <w:t xml:space="preserve">sistemas del PCT, </w:t>
      </w:r>
      <w:r w:rsidR="007B2C29" w:rsidRPr="002C067E">
        <w:rPr>
          <w:sz w:val="20"/>
          <w:lang w:val="es-ES_tradnl"/>
        </w:rPr>
        <w:t xml:space="preserve">Madrid </w:t>
      </w:r>
      <w:r w:rsidR="002C57B2" w:rsidRPr="002C067E">
        <w:rPr>
          <w:sz w:val="20"/>
          <w:lang w:val="es-ES_tradnl"/>
        </w:rPr>
        <w:t xml:space="preserve">y </w:t>
      </w:r>
      <w:r w:rsidR="002C57B2" w:rsidRPr="002C067E">
        <w:rPr>
          <w:sz w:val="20"/>
        </w:rPr>
        <w:t>La Haya</w:t>
      </w:r>
      <w:r w:rsidR="002C57B2" w:rsidRPr="002C067E">
        <w:rPr>
          <w:sz w:val="20"/>
          <w:lang w:val="es-ES_tradnl"/>
        </w:rPr>
        <w:t>, sigue siendo una prioridad fundamental de cara al bien</w:t>
      </w:r>
      <w:r w:rsidR="007B2C29" w:rsidRPr="002C067E">
        <w:rPr>
          <w:sz w:val="20"/>
          <w:lang w:val="es-ES_tradnl"/>
        </w:rPr>
        <w:t>i</w:t>
      </w:r>
      <w:r w:rsidR="00DF7F45" w:rsidRPr="002C067E">
        <w:rPr>
          <w:sz w:val="20"/>
          <w:lang w:val="es-ES_tradnl"/>
        </w:rPr>
        <w:t>o 2</w:t>
      </w:r>
      <w:r w:rsidR="007B2C29" w:rsidRPr="002C067E">
        <w:rPr>
          <w:sz w:val="20"/>
          <w:lang w:val="es-ES_tradnl"/>
        </w:rPr>
        <w:t>014/15</w:t>
      </w:r>
      <w:r w:rsidR="002C57B2" w:rsidRPr="002C067E">
        <w:rPr>
          <w:sz w:val="20"/>
          <w:lang w:val="es-ES_tradnl"/>
        </w:rPr>
        <w:t xml:space="preserve"> como cimiento principal de sostenibilidad financiera a largo plazo de la Organización</w:t>
      </w:r>
      <w:r w:rsidR="007B2C29" w:rsidRPr="002C067E">
        <w:rPr>
          <w:sz w:val="20"/>
          <w:lang w:val="es-ES_tradnl"/>
        </w:rPr>
        <w:t xml:space="preserve">.  </w:t>
      </w:r>
      <w:r w:rsidR="002C57B2" w:rsidRPr="002C067E">
        <w:rPr>
          <w:sz w:val="20"/>
          <w:lang w:val="es-ES_tradnl"/>
        </w:rPr>
        <w:t>Con ese fin habrá de responderse a los desafíos que plantea</w:t>
      </w:r>
      <w:r w:rsidR="002314A9" w:rsidRPr="002C067E">
        <w:rPr>
          <w:sz w:val="20"/>
          <w:lang w:val="es-ES_tradnl"/>
        </w:rPr>
        <w:t>n los cambios que se producen en</w:t>
      </w:r>
      <w:r w:rsidR="002C57B2" w:rsidRPr="002C067E">
        <w:rPr>
          <w:sz w:val="20"/>
          <w:lang w:val="es-ES_tradnl"/>
        </w:rPr>
        <w:t xml:space="preserve"> la </w:t>
      </w:r>
      <w:r w:rsidR="002314A9" w:rsidRPr="002C067E">
        <w:rPr>
          <w:sz w:val="20"/>
          <w:lang w:val="es-ES_tradnl"/>
        </w:rPr>
        <w:t>composición</w:t>
      </w:r>
      <w:r w:rsidR="007B2C29" w:rsidRPr="002C067E">
        <w:rPr>
          <w:sz w:val="20"/>
          <w:lang w:val="es-ES_tradnl"/>
        </w:rPr>
        <w:t xml:space="preserve"> </w:t>
      </w:r>
      <w:r w:rsidR="002C57B2" w:rsidRPr="002C067E">
        <w:rPr>
          <w:sz w:val="20"/>
          <w:lang w:val="es-ES_tradnl"/>
        </w:rPr>
        <w:t xml:space="preserve">geográfica </w:t>
      </w:r>
      <w:r w:rsidR="002314A9" w:rsidRPr="002C067E">
        <w:rPr>
          <w:sz w:val="20"/>
          <w:lang w:val="es-ES_tradnl"/>
        </w:rPr>
        <w:t xml:space="preserve">de los </w:t>
      </w:r>
      <w:r w:rsidR="00453111" w:rsidRPr="002C067E">
        <w:rPr>
          <w:sz w:val="20"/>
          <w:lang w:val="es-ES_tradnl"/>
        </w:rPr>
        <w:t xml:space="preserve">usuarios </w:t>
      </w:r>
      <w:r w:rsidR="002314A9" w:rsidRPr="002C067E">
        <w:rPr>
          <w:sz w:val="20"/>
          <w:lang w:val="es-ES_tradnl"/>
        </w:rPr>
        <w:t xml:space="preserve">de </w:t>
      </w:r>
      <w:r w:rsidR="002C57B2" w:rsidRPr="002C067E">
        <w:rPr>
          <w:sz w:val="20"/>
          <w:lang w:val="es-ES_tradnl"/>
        </w:rPr>
        <w:t xml:space="preserve">dichos </w:t>
      </w:r>
      <w:r w:rsidR="007B2C29" w:rsidRPr="002C067E">
        <w:rPr>
          <w:sz w:val="20"/>
          <w:lang w:val="es-ES_tradnl"/>
        </w:rPr>
        <w:t>servic</w:t>
      </w:r>
      <w:r w:rsidR="002C57B2" w:rsidRPr="002C067E">
        <w:rPr>
          <w:sz w:val="20"/>
          <w:lang w:val="es-ES_tradnl"/>
        </w:rPr>
        <w:t>io</w:t>
      </w:r>
      <w:r w:rsidR="007B2C29" w:rsidRPr="002C067E">
        <w:rPr>
          <w:sz w:val="20"/>
          <w:lang w:val="es-ES_tradnl"/>
        </w:rPr>
        <w:t>s</w:t>
      </w:r>
      <w:r w:rsidR="002C57B2" w:rsidRPr="002C067E">
        <w:rPr>
          <w:sz w:val="20"/>
          <w:lang w:val="es-ES_tradnl"/>
        </w:rPr>
        <w:t xml:space="preserve">, lo que entraña </w:t>
      </w:r>
      <w:r w:rsidR="007E1020" w:rsidRPr="002C067E">
        <w:rPr>
          <w:sz w:val="20"/>
          <w:lang w:val="es-ES_tradnl"/>
        </w:rPr>
        <w:t>igualmente</w:t>
      </w:r>
      <w:r w:rsidR="002C57B2" w:rsidRPr="002C067E">
        <w:rPr>
          <w:sz w:val="20"/>
          <w:lang w:val="es-ES_tradnl"/>
        </w:rPr>
        <w:t xml:space="preserve"> </w:t>
      </w:r>
      <w:r w:rsidR="00F3280F" w:rsidRPr="002C067E">
        <w:rPr>
          <w:sz w:val="20"/>
          <w:lang w:val="es-ES_tradnl"/>
        </w:rPr>
        <w:t>disponer de</w:t>
      </w:r>
      <w:r w:rsidR="002C57B2" w:rsidRPr="002C067E">
        <w:rPr>
          <w:sz w:val="20"/>
          <w:lang w:val="es-ES_tradnl"/>
        </w:rPr>
        <w:t xml:space="preserve"> las </w:t>
      </w:r>
      <w:r w:rsidR="0082777F" w:rsidRPr="002C067E">
        <w:rPr>
          <w:sz w:val="20"/>
          <w:lang w:val="es-ES_tradnl"/>
        </w:rPr>
        <w:t xml:space="preserve">correspondientes </w:t>
      </w:r>
      <w:r w:rsidR="002C57B2" w:rsidRPr="002C067E">
        <w:rPr>
          <w:sz w:val="20"/>
          <w:lang w:val="es-ES_tradnl"/>
        </w:rPr>
        <w:t>competencias lingüísticas</w:t>
      </w:r>
      <w:r w:rsidR="007B2C29" w:rsidRPr="002C067E">
        <w:rPr>
          <w:sz w:val="20"/>
          <w:lang w:val="es-ES_tradnl"/>
        </w:rPr>
        <w:t xml:space="preserve">.  </w:t>
      </w:r>
      <w:r w:rsidR="0082777F" w:rsidRPr="002C067E">
        <w:rPr>
          <w:sz w:val="20"/>
          <w:lang w:val="es-ES_tradnl"/>
        </w:rPr>
        <w:t>Asimismo, se verá mejorada l</w:t>
      </w:r>
      <w:r w:rsidR="002C57B2" w:rsidRPr="002C067E">
        <w:rPr>
          <w:sz w:val="20"/>
          <w:lang w:val="es-ES_tradnl"/>
        </w:rPr>
        <w:t xml:space="preserve">a eficacia operativa de los sistemas de registro con el continuo perfeccionamiento del entorno electrónico, especialmente </w:t>
      </w:r>
      <w:r w:rsidR="0082777F" w:rsidRPr="002C067E">
        <w:rPr>
          <w:sz w:val="20"/>
          <w:lang w:val="es-ES_tradnl"/>
        </w:rPr>
        <w:t>e</w:t>
      </w:r>
      <w:r w:rsidR="002C57B2" w:rsidRPr="002C067E">
        <w:rPr>
          <w:sz w:val="20"/>
          <w:lang w:val="es-ES_tradnl"/>
        </w:rPr>
        <w:t xml:space="preserve">l </w:t>
      </w:r>
      <w:r w:rsidR="0082777F" w:rsidRPr="002C067E">
        <w:rPr>
          <w:sz w:val="20"/>
          <w:lang w:val="es-ES_tradnl"/>
        </w:rPr>
        <w:t>e</w:t>
      </w:r>
      <w:r w:rsidR="0082777F" w:rsidRPr="002C067E">
        <w:rPr>
          <w:sz w:val="20"/>
          <w:lang w:val="es-ES_tradnl"/>
        </w:rPr>
        <w:noBreakHyphen/>
      </w:r>
      <w:r w:rsidR="007B2C29" w:rsidRPr="002C067E">
        <w:rPr>
          <w:sz w:val="20"/>
          <w:lang w:val="es-ES_tradnl"/>
        </w:rPr>
        <w:t xml:space="preserve">PCT </w:t>
      </w:r>
      <w:r w:rsidR="0082777F" w:rsidRPr="002C067E">
        <w:rPr>
          <w:sz w:val="20"/>
          <w:lang w:val="es-ES_tradnl"/>
        </w:rPr>
        <w:t xml:space="preserve">y </w:t>
      </w:r>
      <w:r w:rsidR="002C57B2" w:rsidRPr="002C067E">
        <w:rPr>
          <w:sz w:val="20"/>
          <w:lang w:val="es-ES_tradnl"/>
        </w:rPr>
        <w:t xml:space="preserve">la modernización del sistema de </w:t>
      </w:r>
      <w:r w:rsidR="007B2C29" w:rsidRPr="002C067E">
        <w:rPr>
          <w:sz w:val="20"/>
          <w:lang w:val="es-ES_tradnl"/>
        </w:rPr>
        <w:t>Madrid.</w:t>
      </w:r>
    </w:p>
    <w:p w:rsidR="007B2C29" w:rsidRPr="002C067E" w:rsidRDefault="007B2C29" w:rsidP="006E3E3C">
      <w:pPr>
        <w:ind w:left="567"/>
        <w:jc w:val="both"/>
        <w:rPr>
          <w:sz w:val="20"/>
          <w:lang w:val="es-ES_tradnl"/>
        </w:rPr>
      </w:pPr>
    </w:p>
    <w:p w:rsidR="007B2C29" w:rsidRPr="002C067E" w:rsidRDefault="008004E5" w:rsidP="006E3E3C">
      <w:pPr>
        <w:ind w:left="567"/>
        <w:jc w:val="both"/>
        <w:rPr>
          <w:sz w:val="20"/>
          <w:lang w:val="es-ES_tradnl"/>
        </w:rPr>
      </w:pPr>
      <w:r w:rsidRPr="002C067E">
        <w:rPr>
          <w:sz w:val="20"/>
          <w:lang w:val="es-ES_tradnl"/>
        </w:rPr>
        <w:t>ii)</w:t>
      </w:r>
      <w:r w:rsidRPr="002C067E">
        <w:rPr>
          <w:sz w:val="20"/>
          <w:lang w:val="es-ES_tradnl"/>
        </w:rPr>
        <w:tab/>
      </w:r>
      <w:r w:rsidR="002C57B2" w:rsidRPr="002C067E">
        <w:rPr>
          <w:sz w:val="20"/>
          <w:lang w:val="es-ES_tradnl"/>
        </w:rPr>
        <w:t xml:space="preserve">La Organización sigue obteniendo </w:t>
      </w:r>
      <w:r w:rsidR="0082777F" w:rsidRPr="002C067E">
        <w:rPr>
          <w:sz w:val="20"/>
          <w:lang w:val="es-ES_tradnl"/>
        </w:rPr>
        <w:t xml:space="preserve">aproximadamente </w:t>
      </w:r>
      <w:r w:rsidR="002C57B2" w:rsidRPr="002C067E">
        <w:rPr>
          <w:sz w:val="20"/>
          <w:lang w:val="es-ES_tradnl"/>
        </w:rPr>
        <w:t>e</w:t>
      </w:r>
      <w:r w:rsidR="00DF7F45" w:rsidRPr="002C067E">
        <w:rPr>
          <w:sz w:val="20"/>
          <w:lang w:val="es-ES_tradnl"/>
        </w:rPr>
        <w:t>l 7</w:t>
      </w:r>
      <w:r w:rsidR="007B2C29" w:rsidRPr="002C067E">
        <w:rPr>
          <w:sz w:val="20"/>
          <w:lang w:val="es-ES_tradnl"/>
        </w:rPr>
        <w:t xml:space="preserve">5% </w:t>
      </w:r>
      <w:r w:rsidR="002C57B2" w:rsidRPr="002C067E">
        <w:rPr>
          <w:sz w:val="20"/>
          <w:lang w:val="es-ES_tradnl"/>
        </w:rPr>
        <w:t>de sus ingresos de las tasas del PCT</w:t>
      </w:r>
      <w:r w:rsidR="007B2C29" w:rsidRPr="002C067E">
        <w:rPr>
          <w:sz w:val="20"/>
          <w:lang w:val="es-ES_tradnl"/>
        </w:rPr>
        <w:t xml:space="preserve">, </w:t>
      </w:r>
      <w:r w:rsidR="002C57B2" w:rsidRPr="002C067E">
        <w:rPr>
          <w:sz w:val="20"/>
          <w:lang w:val="es-ES_tradnl"/>
        </w:rPr>
        <w:t>lo que constituye un alto grado de dependencia de una única fuente de ingresos</w:t>
      </w:r>
      <w:r w:rsidR="007B2C29" w:rsidRPr="002C067E">
        <w:rPr>
          <w:sz w:val="20"/>
          <w:lang w:val="es-ES_tradnl"/>
        </w:rPr>
        <w:t xml:space="preserve">.  </w:t>
      </w:r>
      <w:r w:rsidR="002C57B2" w:rsidRPr="002C067E">
        <w:rPr>
          <w:sz w:val="20"/>
          <w:lang w:val="es-ES_tradnl"/>
        </w:rPr>
        <w:t>E</w:t>
      </w:r>
      <w:r w:rsidR="007B2C29" w:rsidRPr="002C067E">
        <w:rPr>
          <w:sz w:val="20"/>
          <w:lang w:val="es-ES_tradnl"/>
        </w:rPr>
        <w:t>n resp</w:t>
      </w:r>
      <w:r w:rsidR="002C57B2" w:rsidRPr="002C067E">
        <w:rPr>
          <w:sz w:val="20"/>
          <w:lang w:val="es-ES_tradnl"/>
        </w:rPr>
        <w:t>ue</w:t>
      </w:r>
      <w:r w:rsidR="007B2C29" w:rsidRPr="002C067E">
        <w:rPr>
          <w:sz w:val="20"/>
          <w:lang w:val="es-ES_tradnl"/>
        </w:rPr>
        <w:t>s</w:t>
      </w:r>
      <w:r w:rsidR="002C57B2" w:rsidRPr="002C067E">
        <w:rPr>
          <w:sz w:val="20"/>
          <w:lang w:val="es-ES_tradnl"/>
        </w:rPr>
        <w:t xml:space="preserve">ta a </w:t>
      </w:r>
      <w:r w:rsidR="007B2C29" w:rsidRPr="002C067E">
        <w:rPr>
          <w:sz w:val="20"/>
          <w:lang w:val="es-ES_tradnl"/>
        </w:rPr>
        <w:t>e</w:t>
      </w:r>
      <w:r w:rsidR="002C57B2" w:rsidRPr="002C067E">
        <w:rPr>
          <w:sz w:val="20"/>
          <w:lang w:val="es-ES_tradnl"/>
        </w:rPr>
        <w:t xml:space="preserve">ste riesgo estratégico, la Organización seguirá estudiando las posibilidades de mejorar la sostenibilidad financiera por medio de la ampliación de otras </w:t>
      </w:r>
      <w:r w:rsidR="00C8709B" w:rsidRPr="002C067E">
        <w:rPr>
          <w:sz w:val="20"/>
          <w:lang w:val="es-ES_tradnl"/>
        </w:rPr>
        <w:t>fuentes de ingresos</w:t>
      </w:r>
      <w:r w:rsidR="007B2C29" w:rsidRPr="002C067E">
        <w:rPr>
          <w:sz w:val="20"/>
          <w:lang w:val="es-ES_tradnl"/>
        </w:rPr>
        <w:t>.</w:t>
      </w:r>
    </w:p>
    <w:p w:rsidR="007B2C29" w:rsidRPr="002C067E" w:rsidRDefault="007B2C29" w:rsidP="006E3E3C">
      <w:pPr>
        <w:jc w:val="both"/>
        <w:rPr>
          <w:sz w:val="20"/>
          <w:lang w:val="es-ES_tradnl"/>
        </w:rPr>
      </w:pPr>
    </w:p>
    <w:p w:rsidR="007B2C29" w:rsidRPr="002C067E" w:rsidRDefault="008004E5" w:rsidP="006E3E3C">
      <w:pPr>
        <w:ind w:left="567"/>
        <w:jc w:val="both"/>
        <w:rPr>
          <w:sz w:val="20"/>
          <w:lang w:val="es-ES_tradnl"/>
        </w:rPr>
      </w:pPr>
      <w:r w:rsidRPr="002C067E">
        <w:rPr>
          <w:sz w:val="20"/>
          <w:lang w:val="es-ES_tradnl"/>
        </w:rPr>
        <w:t>iii)</w:t>
      </w:r>
      <w:r w:rsidRPr="002C067E">
        <w:rPr>
          <w:sz w:val="20"/>
          <w:lang w:val="es-ES_tradnl"/>
        </w:rPr>
        <w:tab/>
      </w:r>
      <w:r w:rsidR="00C8709B" w:rsidRPr="002C067E">
        <w:rPr>
          <w:sz w:val="20"/>
          <w:lang w:val="es-ES_tradnl"/>
        </w:rPr>
        <w:t>Una de las prioridades principales e</w:t>
      </w:r>
      <w:r w:rsidR="00DF7F45" w:rsidRPr="002C067E">
        <w:rPr>
          <w:sz w:val="20"/>
          <w:lang w:val="es-ES_tradnl"/>
        </w:rPr>
        <w:t>n 2</w:t>
      </w:r>
      <w:r w:rsidR="007B2C29" w:rsidRPr="002C067E">
        <w:rPr>
          <w:sz w:val="20"/>
          <w:lang w:val="es-ES_tradnl"/>
        </w:rPr>
        <w:t>014/15</w:t>
      </w:r>
      <w:r w:rsidR="00C8709B" w:rsidRPr="002C067E">
        <w:rPr>
          <w:sz w:val="20"/>
          <w:lang w:val="es-ES_tradnl"/>
        </w:rPr>
        <w:t xml:space="preserve"> seguirá siendo fomentar una mayor cooperación y </w:t>
      </w:r>
      <w:r w:rsidR="007D5833">
        <w:rPr>
          <w:sz w:val="20"/>
          <w:lang w:val="es-ES_tradnl"/>
        </w:rPr>
        <w:t>acuerdo</w:t>
      </w:r>
      <w:r w:rsidR="00C8709B" w:rsidRPr="002C067E">
        <w:rPr>
          <w:sz w:val="20"/>
          <w:lang w:val="es-ES_tradnl"/>
        </w:rPr>
        <w:t xml:space="preserve"> entre los Estados miembros acerca del desarrollo de un marco normativo internacio</w:t>
      </w:r>
      <w:r w:rsidR="007E1020" w:rsidRPr="002C067E">
        <w:rPr>
          <w:sz w:val="20"/>
          <w:lang w:val="es-ES_tradnl"/>
        </w:rPr>
        <w:t>nal equilibrado de P.I.</w:t>
      </w:r>
      <w:r w:rsidR="007B2C29" w:rsidRPr="002C067E">
        <w:rPr>
          <w:sz w:val="20"/>
          <w:lang w:val="es-ES_tradnl"/>
        </w:rPr>
        <w:t xml:space="preserve">: </w:t>
      </w:r>
    </w:p>
    <w:p w:rsidR="007B2C29" w:rsidRPr="002C067E" w:rsidRDefault="007B2C29" w:rsidP="006E3E3C">
      <w:pPr>
        <w:jc w:val="both"/>
        <w:rPr>
          <w:sz w:val="20"/>
          <w:lang w:val="es-ES_tradnl"/>
        </w:rPr>
      </w:pPr>
    </w:p>
    <w:p w:rsidR="007B2C29" w:rsidRPr="002C067E" w:rsidRDefault="00C8709B" w:rsidP="006E3E3C">
      <w:pPr>
        <w:numPr>
          <w:ilvl w:val="0"/>
          <w:numId w:val="5"/>
        </w:numPr>
        <w:tabs>
          <w:tab w:val="clear" w:pos="927"/>
          <w:tab w:val="num" w:pos="1701"/>
        </w:tabs>
        <w:ind w:left="1701" w:hanging="567"/>
        <w:jc w:val="both"/>
        <w:rPr>
          <w:sz w:val="20"/>
          <w:lang w:val="es-ES_tradnl"/>
        </w:rPr>
      </w:pPr>
      <w:r w:rsidRPr="002C067E">
        <w:rPr>
          <w:sz w:val="20"/>
          <w:lang w:val="es-ES_tradnl"/>
        </w:rPr>
        <w:t>La OMPI se esforzará por avan</w:t>
      </w:r>
      <w:r w:rsidR="0082777F" w:rsidRPr="002C067E">
        <w:rPr>
          <w:sz w:val="20"/>
          <w:lang w:val="es-ES_tradnl"/>
        </w:rPr>
        <w:t>zar</w:t>
      </w:r>
      <w:r w:rsidRPr="002C067E">
        <w:rPr>
          <w:sz w:val="20"/>
          <w:lang w:val="es-ES_tradnl"/>
        </w:rPr>
        <w:t xml:space="preserve"> en el establecimiento de un marco jurídico internacional equilibrado en el ámbito de las marcas</w:t>
      </w:r>
      <w:r w:rsidR="003527F0">
        <w:rPr>
          <w:sz w:val="20"/>
          <w:lang w:val="es-ES_tradnl"/>
        </w:rPr>
        <w:t xml:space="preserve"> </w:t>
      </w:r>
      <w:r w:rsidR="003527F0" w:rsidRPr="00685491">
        <w:rPr>
          <w:sz w:val="20"/>
          <w:lang w:val="es-ES_tradnl"/>
        </w:rPr>
        <w:t>(</w:t>
      </w:r>
      <w:proofErr w:type="spellStart"/>
      <w:r w:rsidR="003527F0" w:rsidRPr="00685491">
        <w:rPr>
          <w:i/>
          <w:sz w:val="20"/>
          <w:lang w:val="es-ES_tradnl"/>
        </w:rPr>
        <w:t>brands</w:t>
      </w:r>
      <w:proofErr w:type="spellEnd"/>
      <w:r w:rsidR="003527F0" w:rsidRPr="00685491">
        <w:rPr>
          <w:sz w:val="20"/>
          <w:lang w:val="es-ES_tradnl"/>
        </w:rPr>
        <w:t>)</w:t>
      </w:r>
      <w:r w:rsidR="00FE4D55" w:rsidRPr="00685491">
        <w:rPr>
          <w:rStyle w:val="FootnoteReference"/>
          <w:sz w:val="20"/>
          <w:lang w:val="es-ES_tradnl"/>
        </w:rPr>
        <w:footnoteReference w:customMarkFollows="1" w:id="3"/>
        <w:sym w:font="Symbol" w:char="F02A"/>
      </w:r>
      <w:r w:rsidRPr="002C067E">
        <w:rPr>
          <w:sz w:val="20"/>
          <w:lang w:val="es-ES_tradnl"/>
        </w:rPr>
        <w:t xml:space="preserve"> y los </w:t>
      </w:r>
      <w:r w:rsidR="0082777F" w:rsidRPr="002C067E">
        <w:rPr>
          <w:sz w:val="20"/>
          <w:lang w:val="es-ES_tradnl"/>
        </w:rPr>
        <w:t xml:space="preserve">diseños </w:t>
      </w:r>
      <w:r w:rsidRPr="002C067E">
        <w:rPr>
          <w:sz w:val="20"/>
        </w:rPr>
        <w:t>industriales</w:t>
      </w:r>
      <w:r w:rsidRPr="002C067E">
        <w:rPr>
          <w:sz w:val="20"/>
          <w:lang w:val="es-ES_tradnl"/>
        </w:rPr>
        <w:t xml:space="preserve"> que sea propicio para la innovación y el crecimiento económico, especialmente en lo que atañe a un </w:t>
      </w:r>
      <w:r w:rsidRPr="002C067E">
        <w:rPr>
          <w:sz w:val="20"/>
        </w:rPr>
        <w:t>tratado</w:t>
      </w:r>
      <w:r w:rsidRPr="002C067E">
        <w:rPr>
          <w:sz w:val="20"/>
          <w:lang w:val="es-ES_tradnl"/>
        </w:rPr>
        <w:t xml:space="preserve"> internacional para </w:t>
      </w:r>
      <w:r w:rsidR="00221AD8" w:rsidRPr="002C067E">
        <w:rPr>
          <w:sz w:val="20"/>
          <w:lang w:val="es-ES_tradnl"/>
        </w:rPr>
        <w:t xml:space="preserve">facilitar </w:t>
      </w:r>
      <w:r w:rsidRPr="002C067E">
        <w:rPr>
          <w:sz w:val="20"/>
          <w:lang w:val="es-ES_tradnl"/>
        </w:rPr>
        <w:t xml:space="preserve">los procedimientos de registro de los </w:t>
      </w:r>
      <w:r w:rsidRPr="002C067E">
        <w:rPr>
          <w:sz w:val="20"/>
        </w:rPr>
        <w:t>di</w:t>
      </w:r>
      <w:r w:rsidR="0082777F" w:rsidRPr="002C067E">
        <w:rPr>
          <w:sz w:val="20"/>
        </w:rPr>
        <w:t>s</w:t>
      </w:r>
      <w:r w:rsidRPr="002C067E">
        <w:rPr>
          <w:sz w:val="20"/>
        </w:rPr>
        <w:t>e</w:t>
      </w:r>
      <w:r w:rsidR="0082777F" w:rsidRPr="002C067E">
        <w:rPr>
          <w:sz w:val="20"/>
        </w:rPr>
        <w:t>ñ</w:t>
      </w:r>
      <w:r w:rsidRPr="002C067E">
        <w:rPr>
          <w:sz w:val="20"/>
        </w:rPr>
        <w:t>os industriales</w:t>
      </w:r>
      <w:r w:rsidR="007B2C29" w:rsidRPr="002C067E">
        <w:rPr>
          <w:sz w:val="20"/>
          <w:lang w:val="es-ES_tradnl"/>
        </w:rPr>
        <w:t>.</w:t>
      </w:r>
      <w:r w:rsidRPr="002C067E">
        <w:rPr>
          <w:sz w:val="20"/>
          <w:lang w:val="es-ES_tradnl"/>
        </w:rPr>
        <w:t xml:space="preserve">  A reserva de la decisión de la Asamblea General de la OMPI, esta labor dará como resultado la celebración </w:t>
      </w:r>
      <w:r w:rsidR="00221AD8" w:rsidRPr="002C067E">
        <w:rPr>
          <w:sz w:val="20"/>
        </w:rPr>
        <w:t>durante el bienio</w:t>
      </w:r>
      <w:r w:rsidR="00221AD8" w:rsidRPr="002C067E">
        <w:rPr>
          <w:sz w:val="20"/>
          <w:lang w:val="es-ES_tradnl"/>
        </w:rPr>
        <w:t xml:space="preserve"> </w:t>
      </w:r>
      <w:r w:rsidRPr="002C067E">
        <w:rPr>
          <w:sz w:val="20"/>
          <w:lang w:val="es-ES_tradnl"/>
        </w:rPr>
        <w:t xml:space="preserve">de una Conferencia Diplomática para la adopción de un </w:t>
      </w:r>
      <w:r w:rsidR="00ED68AB">
        <w:rPr>
          <w:sz w:val="20"/>
        </w:rPr>
        <w:t>tratado sobre el D</w:t>
      </w:r>
      <w:r w:rsidRPr="002C067E">
        <w:rPr>
          <w:sz w:val="20"/>
        </w:rPr>
        <w:t xml:space="preserve">erecho de los diseños </w:t>
      </w:r>
      <w:r w:rsidR="0082777F" w:rsidRPr="002C067E">
        <w:rPr>
          <w:sz w:val="20"/>
        </w:rPr>
        <w:t>industriales</w:t>
      </w:r>
      <w:r w:rsidRPr="002C067E">
        <w:rPr>
          <w:sz w:val="20"/>
        </w:rPr>
        <w:t>.</w:t>
      </w:r>
    </w:p>
    <w:p w:rsidR="007B2C29" w:rsidRPr="002C067E" w:rsidRDefault="007B2C29" w:rsidP="006E3E3C">
      <w:pPr>
        <w:ind w:left="1134"/>
        <w:jc w:val="both"/>
        <w:rPr>
          <w:sz w:val="20"/>
          <w:lang w:val="es-ES_tradnl"/>
        </w:rPr>
      </w:pPr>
    </w:p>
    <w:p w:rsidR="00B22442" w:rsidRPr="002C067E" w:rsidRDefault="00C8709B" w:rsidP="006E3E3C">
      <w:pPr>
        <w:numPr>
          <w:ilvl w:val="0"/>
          <w:numId w:val="5"/>
        </w:numPr>
        <w:tabs>
          <w:tab w:val="clear" w:pos="927"/>
          <w:tab w:val="num" w:pos="1701"/>
        </w:tabs>
        <w:ind w:left="1701" w:hanging="567"/>
        <w:jc w:val="both"/>
        <w:rPr>
          <w:sz w:val="20"/>
          <w:lang w:val="es-ES_tradnl"/>
        </w:rPr>
      </w:pPr>
      <w:r w:rsidRPr="002C067E">
        <w:rPr>
          <w:sz w:val="20"/>
          <w:lang w:val="es-ES_tradnl"/>
        </w:rPr>
        <w:t>Los avances e</w:t>
      </w:r>
      <w:r w:rsidR="007B2C29" w:rsidRPr="002C067E">
        <w:rPr>
          <w:sz w:val="20"/>
          <w:lang w:val="es-ES_tradnl"/>
        </w:rPr>
        <w:t>n</w:t>
      </w:r>
      <w:r w:rsidRPr="002C067E">
        <w:rPr>
          <w:sz w:val="20"/>
          <w:lang w:val="es-ES_tradnl"/>
        </w:rPr>
        <w:t xml:space="preserve"> la agenda normativa sobre derecho de autor y </w:t>
      </w:r>
      <w:r w:rsidRPr="002C067E">
        <w:rPr>
          <w:snapToGrid w:val="0"/>
          <w:sz w:val="20"/>
        </w:rPr>
        <w:t>derechos conexos</w:t>
      </w:r>
      <w:r w:rsidR="007B2C29" w:rsidRPr="002C067E">
        <w:rPr>
          <w:sz w:val="20"/>
          <w:lang w:val="es-ES_tradnl"/>
        </w:rPr>
        <w:t xml:space="preserve"> </w:t>
      </w:r>
      <w:r w:rsidRPr="002C067E">
        <w:rPr>
          <w:sz w:val="20"/>
          <w:lang w:val="es-ES_tradnl"/>
        </w:rPr>
        <w:t>se centrarán en facilitar la labor relativa a la propuesta d</w:t>
      </w:r>
      <w:r w:rsidR="007B2C29" w:rsidRPr="002C067E">
        <w:rPr>
          <w:sz w:val="20"/>
          <w:lang w:val="es-ES_tradnl"/>
        </w:rPr>
        <w:t>e</w:t>
      </w:r>
      <w:r w:rsidRPr="002C067E">
        <w:rPr>
          <w:sz w:val="20"/>
          <w:lang w:val="es-ES_tradnl"/>
        </w:rPr>
        <w:t xml:space="preserve"> </w:t>
      </w:r>
      <w:r w:rsidRPr="002C067E">
        <w:rPr>
          <w:sz w:val="20"/>
        </w:rPr>
        <w:t>tratado</w:t>
      </w:r>
      <w:r w:rsidRPr="002C067E">
        <w:rPr>
          <w:sz w:val="20"/>
          <w:lang w:val="es-ES_tradnl"/>
        </w:rPr>
        <w:t xml:space="preserve"> sobre </w:t>
      </w:r>
      <w:r w:rsidR="0082777F" w:rsidRPr="002C067E">
        <w:rPr>
          <w:sz w:val="20"/>
          <w:lang w:val="es-ES_tradnl"/>
        </w:rPr>
        <w:t xml:space="preserve">los organismos de </w:t>
      </w:r>
      <w:r w:rsidRPr="002C067E">
        <w:rPr>
          <w:sz w:val="20"/>
          <w:lang w:val="es-ES_tradnl"/>
        </w:rPr>
        <w:t xml:space="preserve">radiodifusión y a los debates </w:t>
      </w:r>
      <w:r w:rsidR="0082777F" w:rsidRPr="002C067E">
        <w:rPr>
          <w:sz w:val="20"/>
          <w:lang w:val="es-ES_tradnl"/>
        </w:rPr>
        <w:t>sobr</w:t>
      </w:r>
      <w:r w:rsidRPr="002C067E">
        <w:rPr>
          <w:sz w:val="20"/>
          <w:lang w:val="es-ES_tradnl"/>
        </w:rPr>
        <w:t xml:space="preserve">e normas de derecho de autor </w:t>
      </w:r>
      <w:r w:rsidR="00B41953" w:rsidRPr="002C067E">
        <w:rPr>
          <w:sz w:val="20"/>
          <w:lang w:val="es-ES_tradnl"/>
        </w:rPr>
        <w:t>en relación con</w:t>
      </w:r>
      <w:r w:rsidRPr="002C067E">
        <w:rPr>
          <w:sz w:val="20"/>
          <w:lang w:val="es-ES_tradnl"/>
        </w:rPr>
        <w:t xml:space="preserve"> otras </w:t>
      </w:r>
      <w:r w:rsidRPr="002C067E">
        <w:rPr>
          <w:sz w:val="20"/>
          <w:szCs w:val="24"/>
        </w:rPr>
        <w:t>excepciones y limitaciones</w:t>
      </w:r>
      <w:r w:rsidRPr="002C067E">
        <w:rPr>
          <w:sz w:val="20"/>
          <w:lang w:val="es-ES_tradnl"/>
        </w:rPr>
        <w:t xml:space="preserve"> que tiene</w:t>
      </w:r>
      <w:r w:rsidR="0082777F" w:rsidRPr="002C067E">
        <w:rPr>
          <w:sz w:val="20"/>
          <w:lang w:val="es-ES_tradnl"/>
        </w:rPr>
        <w:t>n</w:t>
      </w:r>
      <w:r w:rsidRPr="002C067E">
        <w:rPr>
          <w:sz w:val="20"/>
          <w:lang w:val="es-ES_tradnl"/>
        </w:rPr>
        <w:t xml:space="preserve"> lugar actualmente en el</w:t>
      </w:r>
      <w:r w:rsidR="007B2C29" w:rsidRPr="002C067E">
        <w:rPr>
          <w:sz w:val="20"/>
          <w:lang w:val="es-ES_tradnl"/>
        </w:rPr>
        <w:t xml:space="preserve"> SCCR</w:t>
      </w:r>
      <w:r w:rsidR="00B22442" w:rsidRPr="002C067E">
        <w:rPr>
          <w:sz w:val="20"/>
          <w:lang w:val="es-ES_tradnl"/>
        </w:rPr>
        <w:t>.</w:t>
      </w:r>
    </w:p>
    <w:p w:rsidR="007B2C29" w:rsidRPr="002C067E" w:rsidRDefault="007B2C29" w:rsidP="006E3E3C">
      <w:pPr>
        <w:jc w:val="both"/>
        <w:rPr>
          <w:sz w:val="20"/>
          <w:lang w:val="es-ES_tradnl"/>
        </w:rPr>
      </w:pPr>
    </w:p>
    <w:p w:rsidR="007B2C29" w:rsidRPr="002C067E" w:rsidRDefault="0082081C" w:rsidP="006E3E3C">
      <w:pPr>
        <w:numPr>
          <w:ilvl w:val="0"/>
          <w:numId w:val="5"/>
        </w:numPr>
        <w:tabs>
          <w:tab w:val="clear" w:pos="927"/>
          <w:tab w:val="num" w:pos="1701"/>
        </w:tabs>
        <w:ind w:left="1701" w:hanging="567"/>
        <w:jc w:val="both"/>
        <w:rPr>
          <w:sz w:val="20"/>
          <w:lang w:val="es-ES_tradnl"/>
        </w:rPr>
      </w:pPr>
      <w:r w:rsidRPr="002C067E">
        <w:rPr>
          <w:bCs/>
          <w:sz w:val="20"/>
          <w:lang w:val="es-ES_tradnl"/>
        </w:rPr>
        <w:t xml:space="preserve">Con arreglo al mandato del Comité Intergubernamental sobre Propiedad Intelectual y Recursos Genéticos, Conocimientos Tradicionales y Folclore (CIG), la Secretaría se centrará en proporcionar un entorno propicio para las negociaciones específicas entre los Estados miembros </w:t>
      </w:r>
      <w:r w:rsidR="00AD4865" w:rsidRPr="002C067E">
        <w:rPr>
          <w:bCs/>
          <w:sz w:val="20"/>
          <w:lang w:val="es-ES_tradnl"/>
        </w:rPr>
        <w:t>y otros participantes en el CIG</w:t>
      </w:r>
      <w:r w:rsidRPr="002C067E">
        <w:rPr>
          <w:bCs/>
          <w:sz w:val="20"/>
          <w:lang w:val="es-ES_tradnl"/>
        </w:rPr>
        <w:t xml:space="preserve"> que dé lugar a </w:t>
      </w:r>
      <w:r w:rsidR="008D1FC9" w:rsidRPr="002C067E">
        <w:rPr>
          <w:bCs/>
          <w:sz w:val="20"/>
          <w:lang w:val="es-ES_tradnl"/>
        </w:rPr>
        <w:t>interpretaciones</w:t>
      </w:r>
      <w:r w:rsidRPr="002C067E">
        <w:rPr>
          <w:bCs/>
          <w:sz w:val="20"/>
          <w:lang w:val="es-ES_tradnl"/>
        </w:rPr>
        <w:t xml:space="preserve"> comunes y a la convergencia de opiniones y, </w:t>
      </w:r>
      <w:r w:rsidRPr="002C067E">
        <w:rPr>
          <w:bCs/>
          <w:sz w:val="20"/>
          <w:lang w:val="es-ES_tradnl"/>
        </w:rPr>
        <w:lastRenderedPageBreak/>
        <w:t xml:space="preserve">posteriormente, </w:t>
      </w:r>
      <w:r w:rsidR="0082777F" w:rsidRPr="002C067E">
        <w:rPr>
          <w:bCs/>
          <w:sz w:val="20"/>
          <w:lang w:val="es-ES_tradnl"/>
        </w:rPr>
        <w:t xml:space="preserve">a </w:t>
      </w:r>
      <w:r w:rsidRPr="002C067E">
        <w:rPr>
          <w:bCs/>
          <w:sz w:val="20"/>
          <w:lang w:val="es-ES_tradnl"/>
        </w:rPr>
        <w:t>la adopción de uno o varios instrumentos jurídicos internacionales.</w:t>
      </w:r>
    </w:p>
    <w:p w:rsidR="007B2C29" w:rsidRPr="002C067E" w:rsidRDefault="007B2C29" w:rsidP="006E3E3C">
      <w:pPr>
        <w:ind w:left="1134"/>
        <w:jc w:val="both"/>
        <w:rPr>
          <w:sz w:val="20"/>
          <w:lang w:val="es-ES_tradnl"/>
        </w:rPr>
      </w:pPr>
    </w:p>
    <w:p w:rsidR="00B22442" w:rsidRPr="002C067E" w:rsidRDefault="0082081C" w:rsidP="006E3E3C">
      <w:pPr>
        <w:numPr>
          <w:ilvl w:val="0"/>
          <w:numId w:val="5"/>
        </w:numPr>
        <w:tabs>
          <w:tab w:val="clear" w:pos="927"/>
          <w:tab w:val="num" w:pos="1701"/>
        </w:tabs>
        <w:ind w:left="1701" w:hanging="567"/>
        <w:jc w:val="both"/>
        <w:rPr>
          <w:color w:val="000000"/>
          <w:sz w:val="20"/>
          <w:lang w:val="es-ES_tradnl"/>
        </w:rPr>
      </w:pPr>
      <w:r w:rsidRPr="002C067E">
        <w:rPr>
          <w:sz w:val="20"/>
          <w:lang w:val="es-ES_tradnl"/>
        </w:rPr>
        <w:t xml:space="preserve">Tras los avances realizados en la revisión del </w:t>
      </w:r>
      <w:r w:rsidRPr="002C067E">
        <w:rPr>
          <w:sz w:val="20"/>
        </w:rPr>
        <w:t>Arreglo de Lisboa</w:t>
      </w:r>
      <w:r w:rsidRPr="002C067E">
        <w:rPr>
          <w:sz w:val="20"/>
          <w:lang w:val="es-ES_tradnl"/>
        </w:rPr>
        <w:t xml:space="preserve"> con el fin de modernizar el sistema de Lisboa, el Grupo de Trabajo sobre el Desarrollo del </w:t>
      </w:r>
      <w:r w:rsidR="0082777F" w:rsidRPr="002C067E">
        <w:rPr>
          <w:sz w:val="20"/>
          <w:lang w:val="es-ES_tradnl"/>
        </w:rPr>
        <w:t>S</w:t>
      </w:r>
      <w:r w:rsidRPr="002C067E">
        <w:rPr>
          <w:sz w:val="20"/>
          <w:lang w:val="es-ES_tradnl"/>
        </w:rPr>
        <w:t>istema de Lisboa ha acordado que se efectúe una recomendación a la Asamblea de la Unión de Lisboa a</w:t>
      </w:r>
      <w:r w:rsidR="0082777F" w:rsidRPr="002C067E">
        <w:rPr>
          <w:sz w:val="20"/>
          <w:lang w:val="es-ES_tradnl"/>
        </w:rPr>
        <w:t xml:space="preserve"> fin de</w:t>
      </w:r>
      <w:r w:rsidRPr="002C067E">
        <w:rPr>
          <w:sz w:val="20"/>
          <w:lang w:val="es-ES_tradnl"/>
        </w:rPr>
        <w:t xml:space="preserve"> que convoque una Conferencia Diplomática para la adopción de un </w:t>
      </w:r>
      <w:r w:rsidRPr="002C067E">
        <w:rPr>
          <w:sz w:val="20"/>
        </w:rPr>
        <w:t>Arreglo de Lisboa</w:t>
      </w:r>
      <w:r w:rsidRPr="002C067E">
        <w:rPr>
          <w:sz w:val="20"/>
          <w:lang w:val="es-ES_tradnl"/>
        </w:rPr>
        <w:t xml:space="preserve"> revisado e</w:t>
      </w:r>
      <w:r w:rsidR="00DF7F45" w:rsidRPr="002C067E">
        <w:rPr>
          <w:sz w:val="20"/>
          <w:lang w:val="es-ES_tradnl"/>
        </w:rPr>
        <w:t>n 2</w:t>
      </w:r>
      <w:r w:rsidRPr="002C067E">
        <w:rPr>
          <w:sz w:val="20"/>
          <w:lang w:val="es-ES_tradnl"/>
        </w:rPr>
        <w:t xml:space="preserve">015, dejándose en manos de un </w:t>
      </w:r>
      <w:r w:rsidR="0082777F" w:rsidRPr="002C067E">
        <w:rPr>
          <w:sz w:val="20"/>
          <w:lang w:val="es-ES_tradnl"/>
        </w:rPr>
        <w:t>c</w:t>
      </w:r>
      <w:r w:rsidRPr="002C067E">
        <w:rPr>
          <w:sz w:val="20"/>
          <w:lang w:val="es-ES_tradnl"/>
        </w:rPr>
        <w:t xml:space="preserve">omité </w:t>
      </w:r>
      <w:r w:rsidR="0082777F" w:rsidRPr="002C067E">
        <w:rPr>
          <w:sz w:val="20"/>
          <w:lang w:val="es-ES_tradnl"/>
        </w:rPr>
        <w:t>p</w:t>
      </w:r>
      <w:r w:rsidRPr="002C067E">
        <w:rPr>
          <w:sz w:val="20"/>
          <w:lang w:val="es-ES_tradnl"/>
        </w:rPr>
        <w:t>reparatori</w:t>
      </w:r>
      <w:r w:rsidR="00B22442" w:rsidRPr="002C067E">
        <w:rPr>
          <w:sz w:val="20"/>
          <w:lang w:val="es-ES_tradnl"/>
        </w:rPr>
        <w:t>o l</w:t>
      </w:r>
      <w:r w:rsidRPr="002C067E">
        <w:rPr>
          <w:sz w:val="20"/>
          <w:lang w:val="es-ES_tradnl"/>
        </w:rPr>
        <w:t xml:space="preserve">a decisión </w:t>
      </w:r>
      <w:r w:rsidR="00E53CFB" w:rsidRPr="002C067E">
        <w:rPr>
          <w:sz w:val="20"/>
          <w:lang w:val="es-ES_tradnl"/>
        </w:rPr>
        <w:t>sobre</w:t>
      </w:r>
      <w:r w:rsidRPr="002C067E">
        <w:rPr>
          <w:sz w:val="20"/>
          <w:lang w:val="es-ES_tradnl"/>
        </w:rPr>
        <w:t xml:space="preserve"> las fechas y el lugar exactos de dicha Conferencia</w:t>
      </w:r>
      <w:r w:rsidR="00B22442" w:rsidRPr="002C067E">
        <w:rPr>
          <w:color w:val="000000"/>
          <w:sz w:val="20"/>
          <w:lang w:val="es-ES_tradnl"/>
        </w:rPr>
        <w:t>.</w:t>
      </w:r>
    </w:p>
    <w:p w:rsidR="007B2C29" w:rsidRPr="002C067E" w:rsidRDefault="007B2C29" w:rsidP="006E3E3C">
      <w:pPr>
        <w:jc w:val="both"/>
        <w:rPr>
          <w:sz w:val="20"/>
          <w:lang w:val="es-ES_tradnl"/>
        </w:rPr>
      </w:pPr>
    </w:p>
    <w:p w:rsidR="00B22442" w:rsidRPr="002C067E" w:rsidRDefault="0082081C" w:rsidP="006E3E3C">
      <w:pPr>
        <w:numPr>
          <w:ilvl w:val="0"/>
          <w:numId w:val="5"/>
        </w:numPr>
        <w:tabs>
          <w:tab w:val="clear" w:pos="927"/>
          <w:tab w:val="num" w:pos="1701"/>
        </w:tabs>
        <w:ind w:left="1701" w:hanging="567"/>
        <w:jc w:val="both"/>
        <w:rPr>
          <w:sz w:val="20"/>
          <w:lang w:val="es-ES_tradnl"/>
        </w:rPr>
      </w:pPr>
      <w:r w:rsidRPr="002C067E">
        <w:rPr>
          <w:sz w:val="20"/>
          <w:lang w:val="es-ES_tradnl"/>
        </w:rPr>
        <w:t xml:space="preserve">En la propuesta de presupuesto por programas se ha </w:t>
      </w:r>
      <w:r w:rsidR="00A012F4" w:rsidRPr="002C067E">
        <w:rPr>
          <w:sz w:val="20"/>
          <w:lang w:val="es-ES_tradnl"/>
        </w:rPr>
        <w:t>a</w:t>
      </w:r>
      <w:r w:rsidRPr="002C067E">
        <w:rPr>
          <w:sz w:val="20"/>
          <w:lang w:val="es-ES_tradnl"/>
        </w:rPr>
        <w:t>signado una p</w:t>
      </w:r>
      <w:r w:rsidR="00A012F4" w:rsidRPr="002C067E">
        <w:rPr>
          <w:sz w:val="20"/>
          <w:lang w:val="es-ES_tradnl"/>
        </w:rPr>
        <w:t>a</w:t>
      </w:r>
      <w:r w:rsidRPr="002C067E">
        <w:rPr>
          <w:sz w:val="20"/>
          <w:lang w:val="es-ES_tradnl"/>
        </w:rPr>
        <w:t>r</w:t>
      </w:r>
      <w:r w:rsidR="00A012F4" w:rsidRPr="002C067E">
        <w:rPr>
          <w:sz w:val="20"/>
          <w:lang w:val="es-ES_tradnl"/>
        </w:rPr>
        <w:t>t</w:t>
      </w:r>
      <w:r w:rsidRPr="002C067E">
        <w:rPr>
          <w:sz w:val="20"/>
          <w:lang w:val="es-ES_tradnl"/>
        </w:rPr>
        <w:t>i</w:t>
      </w:r>
      <w:r w:rsidR="00A012F4" w:rsidRPr="002C067E">
        <w:rPr>
          <w:sz w:val="20"/>
          <w:lang w:val="es-ES_tradnl"/>
        </w:rPr>
        <w:t>da</w:t>
      </w:r>
      <w:r w:rsidRPr="002C067E">
        <w:rPr>
          <w:sz w:val="20"/>
          <w:lang w:val="es-ES_tradnl"/>
        </w:rPr>
        <w:t xml:space="preserve"> para </w:t>
      </w:r>
      <w:r w:rsidR="00A012F4" w:rsidRPr="002C067E">
        <w:rPr>
          <w:sz w:val="20"/>
          <w:lang w:val="es-ES_tradnl"/>
        </w:rPr>
        <w:t xml:space="preserve">la posible celebración de </w:t>
      </w:r>
      <w:r w:rsidRPr="002C067E">
        <w:rPr>
          <w:sz w:val="20"/>
          <w:lang w:val="es-ES_tradnl"/>
        </w:rPr>
        <w:t>conferencias diplomáticas en caso de que los Estados miembros</w:t>
      </w:r>
      <w:r w:rsidR="00A012F4" w:rsidRPr="002C067E">
        <w:rPr>
          <w:sz w:val="20"/>
          <w:lang w:val="es-ES_tradnl"/>
        </w:rPr>
        <w:t xml:space="preserve"> decidan convocar ese tipo de conferencias</w:t>
      </w:r>
      <w:r w:rsidRPr="002C067E">
        <w:rPr>
          <w:sz w:val="20"/>
          <w:lang w:val="es-ES_tradnl"/>
        </w:rPr>
        <w:t xml:space="preserve"> en el bieni</w:t>
      </w:r>
      <w:r w:rsidR="00DF7F45" w:rsidRPr="002C067E">
        <w:rPr>
          <w:sz w:val="20"/>
          <w:lang w:val="es-ES_tradnl"/>
        </w:rPr>
        <w:t>o 2</w:t>
      </w:r>
      <w:r w:rsidR="007B2C29" w:rsidRPr="002C067E">
        <w:rPr>
          <w:sz w:val="20"/>
          <w:lang w:val="es-ES_tradnl"/>
        </w:rPr>
        <w:t>014/15</w:t>
      </w:r>
      <w:r w:rsidR="00B22442" w:rsidRPr="002C067E">
        <w:rPr>
          <w:sz w:val="20"/>
          <w:lang w:val="es-ES_tradnl"/>
        </w:rPr>
        <w:t>.</w:t>
      </w:r>
    </w:p>
    <w:p w:rsidR="007B2C29" w:rsidRPr="002C067E" w:rsidRDefault="007B2C29" w:rsidP="006E3E3C">
      <w:pPr>
        <w:jc w:val="both"/>
        <w:rPr>
          <w:sz w:val="20"/>
          <w:lang w:val="es-ES_tradnl"/>
        </w:rPr>
      </w:pPr>
    </w:p>
    <w:p w:rsidR="007B2C29" w:rsidRPr="002C067E" w:rsidRDefault="008004E5" w:rsidP="006E3E3C">
      <w:pPr>
        <w:ind w:left="567"/>
        <w:jc w:val="both"/>
        <w:rPr>
          <w:sz w:val="20"/>
          <w:lang w:val="es-ES_tradnl"/>
        </w:rPr>
      </w:pPr>
      <w:r w:rsidRPr="002C067E">
        <w:rPr>
          <w:sz w:val="20"/>
          <w:lang w:val="es-ES_tradnl"/>
        </w:rPr>
        <w:t>iv)</w:t>
      </w:r>
      <w:r w:rsidRPr="002C067E">
        <w:rPr>
          <w:sz w:val="20"/>
          <w:lang w:val="es-ES_tradnl"/>
        </w:rPr>
        <w:tab/>
      </w:r>
      <w:r w:rsidR="0082081C" w:rsidRPr="002C067E">
        <w:rPr>
          <w:sz w:val="20"/>
          <w:lang w:val="es-ES_tradnl"/>
        </w:rPr>
        <w:t>Mejora</w:t>
      </w:r>
      <w:r w:rsidR="00A012F4" w:rsidRPr="002C067E">
        <w:rPr>
          <w:sz w:val="20"/>
          <w:lang w:val="es-ES_tradnl"/>
        </w:rPr>
        <w:t>r</w:t>
      </w:r>
      <w:r w:rsidR="0082081C" w:rsidRPr="002C067E">
        <w:rPr>
          <w:sz w:val="20"/>
          <w:lang w:val="es-ES_tradnl"/>
        </w:rPr>
        <w:t xml:space="preserve"> el acceso a la información sobre P.I. y su utilización por las instituciones </w:t>
      </w:r>
      <w:r w:rsidR="00A012F4" w:rsidRPr="002C067E">
        <w:rPr>
          <w:sz w:val="20"/>
          <w:lang w:val="es-ES_tradnl"/>
        </w:rPr>
        <w:t xml:space="preserve">de </w:t>
      </w:r>
      <w:r w:rsidR="0082081C" w:rsidRPr="002C067E">
        <w:rPr>
          <w:sz w:val="20"/>
          <w:lang w:val="es-ES_tradnl"/>
        </w:rPr>
        <w:t>P.I. y el público, para fomentar la innovación y la creatividad</w:t>
      </w:r>
      <w:r w:rsidR="007B2C29" w:rsidRPr="002C067E">
        <w:rPr>
          <w:sz w:val="20"/>
          <w:lang w:val="es-ES_tradnl"/>
        </w:rPr>
        <w:t xml:space="preserve">.  </w:t>
      </w:r>
      <w:r w:rsidR="0082081C" w:rsidRPr="002C067E">
        <w:rPr>
          <w:sz w:val="20"/>
          <w:lang w:val="es-ES_tradnl"/>
        </w:rPr>
        <w:t>En primer lugar</w:t>
      </w:r>
      <w:r w:rsidR="007B2C29" w:rsidRPr="002C067E">
        <w:rPr>
          <w:sz w:val="20"/>
          <w:lang w:val="es-ES_tradnl"/>
        </w:rPr>
        <w:t xml:space="preserve">, </w:t>
      </w:r>
      <w:r w:rsidR="00DC488B" w:rsidRPr="002C067E">
        <w:rPr>
          <w:sz w:val="20"/>
          <w:lang w:val="es-ES_tradnl"/>
        </w:rPr>
        <w:t xml:space="preserve">la OMPI seguirá ampliando </w:t>
      </w:r>
      <w:r w:rsidR="00791712" w:rsidRPr="002C067E">
        <w:rPr>
          <w:color w:val="000000"/>
          <w:sz w:val="20"/>
          <w:lang w:val="es-ES_tradnl"/>
        </w:rPr>
        <w:t xml:space="preserve">la cobertura geográfica de las colecciones </w:t>
      </w:r>
      <w:r w:rsidR="00791712" w:rsidRPr="002C067E">
        <w:rPr>
          <w:color w:val="000000"/>
          <w:sz w:val="20"/>
        </w:rPr>
        <w:t>nacional</w:t>
      </w:r>
      <w:r w:rsidR="00791712" w:rsidRPr="002C067E">
        <w:rPr>
          <w:color w:val="000000"/>
          <w:sz w:val="20"/>
          <w:lang w:val="es-ES_tradnl"/>
        </w:rPr>
        <w:t xml:space="preserve">es </w:t>
      </w:r>
      <w:r w:rsidR="00791712" w:rsidRPr="002C067E">
        <w:rPr>
          <w:sz w:val="20"/>
          <w:lang w:val="es-ES_tradnl"/>
        </w:rPr>
        <w:t xml:space="preserve">que figuran en </w:t>
      </w:r>
      <w:r w:rsidR="00DC488B" w:rsidRPr="002C067E">
        <w:rPr>
          <w:sz w:val="20"/>
          <w:lang w:val="es-ES_tradnl"/>
        </w:rPr>
        <w:t xml:space="preserve">las bases de datos </w:t>
      </w:r>
      <w:r w:rsidR="006C1CA3" w:rsidRPr="002C067E">
        <w:rPr>
          <w:sz w:val="20"/>
          <w:lang w:val="es-ES_tradnl"/>
        </w:rPr>
        <w:t xml:space="preserve">mundiales </w:t>
      </w:r>
      <w:r w:rsidR="00DC488B" w:rsidRPr="002C067E">
        <w:rPr>
          <w:color w:val="000000"/>
          <w:sz w:val="20"/>
          <w:lang w:val="es-ES_tradnl"/>
        </w:rPr>
        <w:t>y mejora</w:t>
      </w:r>
      <w:r w:rsidR="00A012F4" w:rsidRPr="002C067E">
        <w:rPr>
          <w:color w:val="000000"/>
          <w:sz w:val="20"/>
          <w:lang w:val="es-ES_tradnl"/>
        </w:rPr>
        <w:t>ndo</w:t>
      </w:r>
      <w:r w:rsidR="00DC488B" w:rsidRPr="002C067E">
        <w:rPr>
          <w:color w:val="000000"/>
          <w:sz w:val="20"/>
          <w:lang w:val="es-ES_tradnl"/>
        </w:rPr>
        <w:t xml:space="preserve"> la calidad de los datos en colaboración con las </w:t>
      </w:r>
      <w:r w:rsidR="00DC488B" w:rsidRPr="002C067E">
        <w:rPr>
          <w:color w:val="000000"/>
          <w:sz w:val="20"/>
        </w:rPr>
        <w:t>oficina</w:t>
      </w:r>
      <w:r w:rsidR="00DC488B" w:rsidRPr="002C067E">
        <w:rPr>
          <w:color w:val="000000"/>
          <w:sz w:val="20"/>
          <w:lang w:val="es-ES_tradnl"/>
        </w:rPr>
        <w:t xml:space="preserve">s de P.I. </w:t>
      </w:r>
      <w:r w:rsidR="007B2C29" w:rsidRPr="002C067E">
        <w:rPr>
          <w:color w:val="000000"/>
          <w:sz w:val="20"/>
          <w:lang w:val="es-ES_tradnl"/>
        </w:rPr>
        <w:t>in</w:t>
      </w:r>
      <w:r w:rsidR="00DC488B" w:rsidRPr="002C067E">
        <w:rPr>
          <w:color w:val="000000"/>
          <w:sz w:val="20"/>
          <w:lang w:val="es-ES_tradnl"/>
        </w:rPr>
        <w:t>teresadas</w:t>
      </w:r>
      <w:r w:rsidR="007B2C29" w:rsidRPr="002C067E">
        <w:rPr>
          <w:color w:val="000000"/>
          <w:sz w:val="20"/>
          <w:lang w:val="es-ES_tradnl"/>
        </w:rPr>
        <w:t xml:space="preserve">.  </w:t>
      </w:r>
      <w:r w:rsidR="00DC488B" w:rsidRPr="002C067E">
        <w:rPr>
          <w:color w:val="000000"/>
          <w:sz w:val="20"/>
          <w:lang w:val="es-ES_tradnl"/>
        </w:rPr>
        <w:t xml:space="preserve">Esto conllevará la creación de una base de datos </w:t>
      </w:r>
      <w:r w:rsidR="004C17A7" w:rsidRPr="002C067E">
        <w:rPr>
          <w:color w:val="000000"/>
          <w:sz w:val="20"/>
          <w:lang w:val="es-ES_tradnl"/>
        </w:rPr>
        <w:t xml:space="preserve">mundial </w:t>
      </w:r>
      <w:r w:rsidR="00DC488B" w:rsidRPr="002C067E">
        <w:rPr>
          <w:color w:val="000000"/>
          <w:sz w:val="20"/>
          <w:lang w:val="es-ES_tradnl"/>
        </w:rPr>
        <w:t>sobre dis</w:t>
      </w:r>
      <w:r w:rsidR="00B97FDA" w:rsidRPr="002C067E">
        <w:rPr>
          <w:color w:val="000000"/>
          <w:sz w:val="20"/>
          <w:lang w:val="es-ES_tradnl"/>
        </w:rPr>
        <w:t>eños para completar los datos correspondientes a</w:t>
      </w:r>
      <w:r w:rsidR="00DC488B" w:rsidRPr="002C067E">
        <w:rPr>
          <w:color w:val="000000"/>
          <w:sz w:val="20"/>
          <w:lang w:val="es-ES_tradnl"/>
        </w:rPr>
        <w:t xml:space="preserve"> </w:t>
      </w:r>
      <w:r w:rsidR="00A012F4" w:rsidRPr="002C067E">
        <w:rPr>
          <w:color w:val="000000"/>
          <w:sz w:val="20"/>
          <w:lang w:val="es-ES_tradnl"/>
        </w:rPr>
        <w:t xml:space="preserve">los principales tipos de </w:t>
      </w:r>
      <w:r w:rsidR="00DC488B" w:rsidRPr="002C067E">
        <w:rPr>
          <w:color w:val="000000"/>
          <w:sz w:val="20"/>
          <w:lang w:val="es-ES_tradnl"/>
        </w:rPr>
        <w:t>propiedad industrial</w:t>
      </w:r>
      <w:r w:rsidR="007B2C29" w:rsidRPr="002C067E">
        <w:rPr>
          <w:sz w:val="20"/>
          <w:lang w:val="es-ES_tradnl"/>
        </w:rPr>
        <w:t>.</w:t>
      </w:r>
      <w:r w:rsidR="007B2C29" w:rsidRPr="002C067E">
        <w:rPr>
          <w:color w:val="000000"/>
          <w:sz w:val="20"/>
          <w:lang w:val="es-ES_tradnl"/>
        </w:rPr>
        <w:t xml:space="preserve"> </w:t>
      </w:r>
      <w:r w:rsidR="007B2C29" w:rsidRPr="002C067E">
        <w:rPr>
          <w:sz w:val="20"/>
          <w:lang w:val="es-ES_tradnl"/>
        </w:rPr>
        <w:t xml:space="preserve"> </w:t>
      </w:r>
      <w:r w:rsidR="00DC488B" w:rsidRPr="002C067E">
        <w:rPr>
          <w:sz w:val="20"/>
          <w:lang w:val="es-ES_tradnl"/>
        </w:rPr>
        <w:t xml:space="preserve">En segundo lugar, se fomentará el acceso a los conocimientos </w:t>
      </w:r>
      <w:r w:rsidR="00A012F4" w:rsidRPr="002C067E">
        <w:rPr>
          <w:sz w:val="20"/>
          <w:lang w:val="es-ES_tradnl"/>
        </w:rPr>
        <w:t>d</w:t>
      </w:r>
      <w:r w:rsidR="00DC488B" w:rsidRPr="002C067E">
        <w:rPr>
          <w:sz w:val="20"/>
          <w:lang w:val="es-ES_tradnl"/>
        </w:rPr>
        <w:t>e P.I. medi</w:t>
      </w:r>
      <w:r w:rsidR="00A012F4" w:rsidRPr="002C067E">
        <w:rPr>
          <w:sz w:val="20"/>
          <w:lang w:val="es-ES_tradnl"/>
        </w:rPr>
        <w:t>ante</w:t>
      </w:r>
      <w:r w:rsidR="00DC488B" w:rsidRPr="002C067E">
        <w:rPr>
          <w:sz w:val="20"/>
          <w:lang w:val="es-ES_tradnl"/>
        </w:rPr>
        <w:t xml:space="preserve"> la creación de redes de centros de apoyo a la tecnología y la innovación (CATI) incorporando en todos los niveles el </w:t>
      </w:r>
      <w:r w:rsidR="00DC488B" w:rsidRPr="002C067E">
        <w:rPr>
          <w:snapToGrid w:val="0"/>
          <w:sz w:val="20"/>
          <w:lang w:val="es-ES_tradnl"/>
        </w:rPr>
        <w:t xml:space="preserve">proyecto </w:t>
      </w:r>
      <w:r w:rsidR="008A1F3F" w:rsidRPr="002C067E">
        <w:rPr>
          <w:snapToGrid w:val="0"/>
          <w:sz w:val="20"/>
          <w:lang w:val="es-ES_tradnl"/>
        </w:rPr>
        <w:t xml:space="preserve">ya finalizado </w:t>
      </w:r>
      <w:r w:rsidR="00DC488B" w:rsidRPr="002C067E">
        <w:rPr>
          <w:snapToGrid w:val="0"/>
          <w:sz w:val="20"/>
          <w:lang w:val="es-ES_tradnl"/>
        </w:rPr>
        <w:t xml:space="preserve">de la </w:t>
      </w:r>
      <w:r w:rsidR="00DC488B" w:rsidRPr="002C067E">
        <w:rPr>
          <w:snapToGrid w:val="0"/>
          <w:sz w:val="20"/>
          <w:szCs w:val="24"/>
          <w:lang w:val="es-ES_tradnl"/>
        </w:rPr>
        <w:t>Agenda para el Desarrollo</w:t>
      </w:r>
      <w:r w:rsidR="00DC488B" w:rsidRPr="002C067E">
        <w:rPr>
          <w:snapToGrid w:val="0"/>
          <w:sz w:val="20"/>
          <w:lang w:val="es-ES_tradnl"/>
        </w:rPr>
        <w:t xml:space="preserve"> </w:t>
      </w:r>
      <w:r w:rsidR="008A1F3F" w:rsidRPr="002C067E">
        <w:rPr>
          <w:snapToGrid w:val="0"/>
          <w:sz w:val="20"/>
          <w:lang w:val="es-ES_tradnl"/>
        </w:rPr>
        <w:t xml:space="preserve">que estaba </w:t>
      </w:r>
      <w:r w:rsidR="00DC488B" w:rsidRPr="002C067E">
        <w:rPr>
          <w:snapToGrid w:val="0"/>
          <w:sz w:val="20"/>
          <w:lang w:val="es-ES_tradnl"/>
        </w:rPr>
        <w:t xml:space="preserve">dividido en </w:t>
      </w:r>
      <w:r w:rsidR="004C17A7" w:rsidRPr="002C067E">
        <w:rPr>
          <w:snapToGrid w:val="0"/>
          <w:sz w:val="20"/>
          <w:lang w:val="es-ES_tradnl"/>
        </w:rPr>
        <w:t>dos fases.  En tercer lugar, se fortalecerá</w:t>
      </w:r>
      <w:r w:rsidR="00DC488B" w:rsidRPr="002C067E">
        <w:rPr>
          <w:snapToGrid w:val="0"/>
          <w:sz w:val="20"/>
          <w:lang w:val="es-ES_tradnl"/>
        </w:rPr>
        <w:t xml:space="preserve"> la infraestructura técnica de las </w:t>
      </w:r>
      <w:r w:rsidR="00DC488B" w:rsidRPr="002C067E">
        <w:rPr>
          <w:snapToGrid w:val="0"/>
          <w:sz w:val="20"/>
        </w:rPr>
        <w:t>oficinas de P.I. mediante un modelo de asistencia técnica revisado, centrado en la consecución de resultados sostenibles en cada uno de los países, y en el que la OMPI pasará a desempeñar cada vez más una función de proveedor de servicios.  Una nueva estrategia del bieni</w:t>
      </w:r>
      <w:r w:rsidR="00DF7F45" w:rsidRPr="002C067E">
        <w:rPr>
          <w:snapToGrid w:val="0"/>
          <w:sz w:val="20"/>
        </w:rPr>
        <w:t>o 2</w:t>
      </w:r>
      <w:r w:rsidR="00DC488B" w:rsidRPr="002C067E">
        <w:rPr>
          <w:snapToGrid w:val="0"/>
          <w:sz w:val="20"/>
        </w:rPr>
        <w:t>014/15 será la aplicación de las capacidades y los conocimientos acumulados en la Organi</w:t>
      </w:r>
      <w:r w:rsidR="00890022">
        <w:rPr>
          <w:snapToGrid w:val="0"/>
          <w:sz w:val="20"/>
        </w:rPr>
        <w:t xml:space="preserve">zación a las actividades de los organismos </w:t>
      </w:r>
      <w:r w:rsidR="00DC488B" w:rsidRPr="002C067E">
        <w:rPr>
          <w:snapToGrid w:val="0"/>
          <w:sz w:val="20"/>
        </w:rPr>
        <w:t xml:space="preserve">de gestión colectiva.  El modelo </w:t>
      </w:r>
      <w:r w:rsidR="00A012F4" w:rsidRPr="002C067E">
        <w:rPr>
          <w:snapToGrid w:val="0"/>
          <w:sz w:val="20"/>
        </w:rPr>
        <w:t xml:space="preserve">típico </w:t>
      </w:r>
      <w:r w:rsidR="00DC488B" w:rsidRPr="002C067E">
        <w:rPr>
          <w:snapToGrid w:val="0"/>
          <w:sz w:val="20"/>
        </w:rPr>
        <w:t xml:space="preserve">para la ejecución de proyectos y actividades sobre infraestructura </w:t>
      </w:r>
      <w:r w:rsidR="0046626C" w:rsidRPr="002C067E">
        <w:rPr>
          <w:snapToGrid w:val="0"/>
          <w:sz w:val="20"/>
        </w:rPr>
        <w:t>de cara</w:t>
      </w:r>
      <w:r w:rsidR="00DC488B" w:rsidRPr="002C067E">
        <w:rPr>
          <w:snapToGrid w:val="0"/>
          <w:sz w:val="20"/>
        </w:rPr>
        <w:t xml:space="preserve"> al exterior que contribuyan a la meta estratégica IV consistirá en </w:t>
      </w:r>
      <w:r w:rsidR="00D94614" w:rsidRPr="002C067E">
        <w:rPr>
          <w:snapToGrid w:val="0"/>
          <w:sz w:val="20"/>
        </w:rPr>
        <w:t>que los programas especializados ejer</w:t>
      </w:r>
      <w:r w:rsidR="00A012F4" w:rsidRPr="002C067E">
        <w:rPr>
          <w:snapToGrid w:val="0"/>
          <w:sz w:val="20"/>
        </w:rPr>
        <w:t>za</w:t>
      </w:r>
      <w:r w:rsidR="00D94614" w:rsidRPr="002C067E">
        <w:rPr>
          <w:snapToGrid w:val="0"/>
          <w:sz w:val="20"/>
        </w:rPr>
        <w:t>n el liderazgo en la ejecución y los programas relacionados con</w:t>
      </w:r>
      <w:r w:rsidR="0094681F" w:rsidRPr="002C067E">
        <w:rPr>
          <w:snapToGrid w:val="0"/>
          <w:sz w:val="20"/>
        </w:rPr>
        <w:t xml:space="preserve"> la infraestructura mundial se</w:t>
      </w:r>
      <w:r w:rsidR="00D94614" w:rsidRPr="002C067E">
        <w:rPr>
          <w:snapToGrid w:val="0"/>
          <w:sz w:val="20"/>
        </w:rPr>
        <w:t xml:space="preserve"> </w:t>
      </w:r>
      <w:r w:rsidR="0094681F" w:rsidRPr="002C067E">
        <w:rPr>
          <w:snapToGrid w:val="0"/>
          <w:sz w:val="20"/>
        </w:rPr>
        <w:t>responsabilicen</w:t>
      </w:r>
      <w:r w:rsidR="00DC488B" w:rsidRPr="002C067E">
        <w:rPr>
          <w:snapToGrid w:val="0"/>
          <w:sz w:val="20"/>
        </w:rPr>
        <w:t xml:space="preserve"> de </w:t>
      </w:r>
      <w:r w:rsidR="00D94614" w:rsidRPr="002C067E">
        <w:rPr>
          <w:snapToGrid w:val="0"/>
          <w:sz w:val="20"/>
        </w:rPr>
        <w:t xml:space="preserve">desarrollar y aplicar los </w:t>
      </w:r>
      <w:r w:rsidR="001C1C98" w:rsidRPr="002C067E">
        <w:rPr>
          <w:snapToGrid w:val="0"/>
          <w:sz w:val="20"/>
        </w:rPr>
        <w:t xml:space="preserve">correspondientes aspectos </w:t>
      </w:r>
      <w:r w:rsidR="00D94614" w:rsidRPr="002C067E">
        <w:rPr>
          <w:snapToGrid w:val="0"/>
          <w:sz w:val="20"/>
        </w:rPr>
        <w:t xml:space="preserve">técnicos de </w:t>
      </w:r>
      <w:r w:rsidR="001C1C98" w:rsidRPr="002C067E">
        <w:rPr>
          <w:snapToGrid w:val="0"/>
          <w:sz w:val="20"/>
        </w:rPr>
        <w:t>T.I.</w:t>
      </w:r>
    </w:p>
    <w:p w:rsidR="007B2C29" w:rsidRPr="002C067E" w:rsidRDefault="007B2C29" w:rsidP="006E3E3C">
      <w:pPr>
        <w:ind w:left="567"/>
        <w:jc w:val="both"/>
        <w:rPr>
          <w:sz w:val="20"/>
          <w:lang w:val="es-ES_tradnl"/>
        </w:rPr>
      </w:pPr>
    </w:p>
    <w:p w:rsidR="007B2C29" w:rsidRPr="002C067E" w:rsidRDefault="0075512A" w:rsidP="006E3E3C">
      <w:pPr>
        <w:ind w:left="567"/>
        <w:jc w:val="both"/>
        <w:rPr>
          <w:sz w:val="20"/>
          <w:lang w:val="es-ES_tradnl"/>
        </w:rPr>
      </w:pPr>
      <w:r w:rsidRPr="002C067E">
        <w:rPr>
          <w:sz w:val="20"/>
          <w:lang w:val="es-ES_tradnl"/>
        </w:rPr>
        <w:t>v)</w:t>
      </w:r>
      <w:r w:rsidRPr="002C067E">
        <w:rPr>
          <w:sz w:val="20"/>
          <w:lang w:val="es-ES_tradnl"/>
        </w:rPr>
        <w:tab/>
      </w:r>
      <w:r w:rsidR="002166E8" w:rsidRPr="002C067E">
        <w:rPr>
          <w:sz w:val="20"/>
          <w:lang w:val="es-ES_tradnl"/>
        </w:rPr>
        <w:t>A</w:t>
      </w:r>
      <w:r w:rsidR="00D94614" w:rsidRPr="002C067E">
        <w:rPr>
          <w:sz w:val="20"/>
          <w:lang w:val="es-ES_tradnl"/>
        </w:rPr>
        <w:t xml:space="preserve">ctividades más </w:t>
      </w:r>
      <w:r w:rsidR="007B2C29" w:rsidRPr="002C067E">
        <w:rPr>
          <w:sz w:val="20"/>
          <w:lang w:val="es-ES_tradnl"/>
        </w:rPr>
        <w:t>coordinad</w:t>
      </w:r>
      <w:r w:rsidR="00D94614" w:rsidRPr="002C067E">
        <w:rPr>
          <w:sz w:val="20"/>
          <w:lang w:val="es-ES_tradnl"/>
        </w:rPr>
        <w:t xml:space="preserve">as y específicas de fortalecimiento de la capacidad de recursos humanos en los países en desarrollo, los países menos adelantados (PMA) y los países con economías en transición para utilizar eficazmente la P.I. al servicio del desarrollo bajo el liderazgo de los </w:t>
      </w:r>
      <w:r w:rsidR="002166E8" w:rsidRPr="002C067E">
        <w:rPr>
          <w:sz w:val="20"/>
          <w:lang w:val="es-ES_tradnl"/>
        </w:rPr>
        <w:t>programa</w:t>
      </w:r>
      <w:r w:rsidR="00DF7F45" w:rsidRPr="002C067E">
        <w:rPr>
          <w:sz w:val="20"/>
          <w:lang w:val="es-ES_tradnl"/>
        </w:rPr>
        <w:t>s 9</w:t>
      </w:r>
      <w:r w:rsidR="007B2C29" w:rsidRPr="002C067E">
        <w:rPr>
          <w:sz w:val="20"/>
          <w:lang w:val="es-ES_tradnl"/>
        </w:rPr>
        <w:t xml:space="preserve"> </w:t>
      </w:r>
      <w:r w:rsidR="00D94614" w:rsidRPr="002C067E">
        <w:rPr>
          <w:sz w:val="20"/>
          <w:lang w:val="es-ES_tradnl"/>
        </w:rPr>
        <w:t>y </w:t>
      </w:r>
      <w:r w:rsidR="007B2C29" w:rsidRPr="002C067E">
        <w:rPr>
          <w:sz w:val="20"/>
          <w:lang w:val="es-ES_tradnl"/>
        </w:rPr>
        <w:t xml:space="preserve">10.  </w:t>
      </w:r>
      <w:r w:rsidR="00D94614" w:rsidRPr="002C067E">
        <w:rPr>
          <w:sz w:val="20"/>
          <w:lang w:val="es-ES_tradnl"/>
        </w:rPr>
        <w:t xml:space="preserve">Las reuniones </w:t>
      </w:r>
      <w:r w:rsidR="002F5DF4" w:rsidRPr="002C067E">
        <w:rPr>
          <w:sz w:val="20"/>
          <w:lang w:val="es-ES_tradnl"/>
        </w:rPr>
        <w:t xml:space="preserve">y actividades se planificarán teniendo en cuenta en qué medida contribuyen de manera tangible a la consecución de los </w:t>
      </w:r>
      <w:r w:rsidR="007B2C29" w:rsidRPr="002C067E">
        <w:rPr>
          <w:sz w:val="20"/>
          <w:lang w:val="es-ES_tradnl"/>
        </w:rPr>
        <w:t>result</w:t>
      </w:r>
      <w:r w:rsidR="002F5DF4" w:rsidRPr="002C067E">
        <w:rPr>
          <w:sz w:val="20"/>
          <w:lang w:val="es-ES_tradnl"/>
        </w:rPr>
        <w:t>ado</w:t>
      </w:r>
      <w:r w:rsidR="007B2C29" w:rsidRPr="002C067E">
        <w:rPr>
          <w:sz w:val="20"/>
          <w:lang w:val="es-ES_tradnl"/>
        </w:rPr>
        <w:t xml:space="preserve">s </w:t>
      </w:r>
      <w:r w:rsidR="00436256">
        <w:rPr>
          <w:sz w:val="20"/>
          <w:lang w:val="es-ES_tradnl"/>
        </w:rPr>
        <w:t>previstos</w:t>
      </w:r>
      <w:r w:rsidR="007B2C29" w:rsidRPr="002C067E">
        <w:rPr>
          <w:sz w:val="20"/>
          <w:lang w:val="es-ES_tradnl"/>
        </w:rPr>
        <w:t xml:space="preserve">.  </w:t>
      </w:r>
      <w:r w:rsidR="002F5DF4" w:rsidRPr="002C067E">
        <w:rPr>
          <w:sz w:val="20"/>
          <w:lang w:val="es-ES_tradnl"/>
        </w:rPr>
        <w:t xml:space="preserve">Asimismo, se fortalecerán las capacidades de la Organización para responder más adecuadamente a las características específicas de los PMA, de conformidad con los resultados </w:t>
      </w:r>
      <w:r w:rsidR="00B97FDA" w:rsidRPr="002C067E">
        <w:rPr>
          <w:sz w:val="20"/>
          <w:lang w:val="es-ES_tradnl"/>
        </w:rPr>
        <w:t>previstos</w:t>
      </w:r>
      <w:r w:rsidR="002166E8" w:rsidRPr="002C067E">
        <w:rPr>
          <w:sz w:val="20"/>
          <w:lang w:val="es-ES_tradnl"/>
        </w:rPr>
        <w:t xml:space="preserve"> </w:t>
      </w:r>
      <w:r w:rsidR="002F5DF4" w:rsidRPr="002C067E">
        <w:rPr>
          <w:sz w:val="20"/>
          <w:lang w:val="es-ES_tradnl"/>
        </w:rPr>
        <w:t xml:space="preserve">en el </w:t>
      </w:r>
      <w:r w:rsidR="002166E8" w:rsidRPr="002C067E">
        <w:rPr>
          <w:sz w:val="20"/>
          <w:lang w:val="es-ES_tradnl"/>
        </w:rPr>
        <w:t xml:space="preserve">Programa </w:t>
      </w:r>
      <w:r w:rsidR="002F5DF4" w:rsidRPr="002C067E">
        <w:rPr>
          <w:sz w:val="20"/>
          <w:lang w:val="es-ES_tradnl"/>
        </w:rPr>
        <w:t>de Acción de Estam</w:t>
      </w:r>
      <w:r w:rsidR="00E70262" w:rsidRPr="002C067E">
        <w:rPr>
          <w:sz w:val="20"/>
          <w:lang w:val="es-ES_tradnl"/>
        </w:rPr>
        <w:t>bul</w:t>
      </w:r>
      <w:r w:rsidR="00B97FDA" w:rsidRPr="002C067E">
        <w:rPr>
          <w:sz w:val="20"/>
          <w:lang w:val="es-ES_tradnl"/>
        </w:rPr>
        <w:t xml:space="preserve"> que resulten pertinentes para la OMPI</w:t>
      </w:r>
      <w:r w:rsidR="00E70262" w:rsidRPr="002C067E">
        <w:rPr>
          <w:sz w:val="20"/>
          <w:lang w:val="es-ES_tradnl"/>
        </w:rPr>
        <w:t>.</w:t>
      </w:r>
    </w:p>
    <w:p w:rsidR="007B2C29" w:rsidRPr="002C067E" w:rsidRDefault="007B2C29" w:rsidP="006E3E3C">
      <w:pPr>
        <w:jc w:val="both"/>
        <w:rPr>
          <w:sz w:val="20"/>
          <w:lang w:val="es-ES_tradnl"/>
        </w:rPr>
      </w:pPr>
    </w:p>
    <w:p w:rsidR="007B2C29" w:rsidRDefault="0075512A" w:rsidP="006E3E3C">
      <w:pPr>
        <w:ind w:left="567"/>
        <w:jc w:val="both"/>
        <w:rPr>
          <w:sz w:val="20"/>
          <w:lang w:val="es-ES_tradnl"/>
        </w:rPr>
      </w:pPr>
      <w:proofErr w:type="gramStart"/>
      <w:r w:rsidRPr="002C067E">
        <w:rPr>
          <w:sz w:val="20"/>
          <w:lang w:val="es-ES_tradnl"/>
        </w:rPr>
        <w:t>vi</w:t>
      </w:r>
      <w:proofErr w:type="gramEnd"/>
      <w:r w:rsidRPr="002C067E">
        <w:rPr>
          <w:sz w:val="20"/>
          <w:lang w:val="es-ES_tradnl"/>
        </w:rPr>
        <w:t>)</w:t>
      </w:r>
      <w:r w:rsidRPr="002C067E">
        <w:rPr>
          <w:sz w:val="20"/>
          <w:lang w:val="es-ES_tradnl"/>
        </w:rPr>
        <w:tab/>
      </w:r>
      <w:r w:rsidR="002F5DF4" w:rsidRPr="002C067E">
        <w:rPr>
          <w:sz w:val="20"/>
          <w:lang w:val="es-ES_tradnl"/>
        </w:rPr>
        <w:t xml:space="preserve">A fin de </w:t>
      </w:r>
      <w:r w:rsidRPr="002C067E">
        <w:rPr>
          <w:sz w:val="20"/>
          <w:lang w:val="es-ES_tradnl"/>
        </w:rPr>
        <w:t xml:space="preserve">lograr una planificación y ejecución más integrada de las actividades de formación y desarrollo de capacidades de la OMPI, fomentar la calidad y la rentabilidad, </w:t>
      </w:r>
      <w:r w:rsidR="00B97FDA" w:rsidRPr="002C067E">
        <w:rPr>
          <w:sz w:val="20"/>
          <w:lang w:val="es-ES_tradnl"/>
        </w:rPr>
        <w:t xml:space="preserve">se llevará a cabo la renovación estratégica de </w:t>
      </w:r>
      <w:r w:rsidRPr="002C067E">
        <w:rPr>
          <w:sz w:val="20"/>
          <w:lang w:val="es-ES_tradnl"/>
        </w:rPr>
        <w:t xml:space="preserve">la </w:t>
      </w:r>
      <w:r w:rsidRPr="002C067E">
        <w:rPr>
          <w:sz w:val="20"/>
          <w:szCs w:val="22"/>
        </w:rPr>
        <w:t>Academia de la OMPI</w:t>
      </w:r>
      <w:r w:rsidRPr="002C067E">
        <w:rPr>
          <w:sz w:val="20"/>
          <w:lang w:val="es-ES_tradnl"/>
        </w:rPr>
        <w:t xml:space="preserve"> con el fin de </w:t>
      </w:r>
      <w:r w:rsidR="00E70262" w:rsidRPr="002C067E">
        <w:rPr>
          <w:sz w:val="20"/>
          <w:lang w:val="es-ES_tradnl"/>
        </w:rPr>
        <w:t xml:space="preserve">consolidar </w:t>
      </w:r>
      <w:r w:rsidRPr="002C067E">
        <w:rPr>
          <w:sz w:val="20"/>
          <w:lang w:val="es-ES_tradnl"/>
        </w:rPr>
        <w:t xml:space="preserve">el nicho estratégico </w:t>
      </w:r>
      <w:r w:rsidR="00E70262" w:rsidRPr="002C067E">
        <w:rPr>
          <w:sz w:val="20"/>
          <w:lang w:val="es-ES_tradnl"/>
        </w:rPr>
        <w:t xml:space="preserve">de </w:t>
      </w:r>
      <w:r w:rsidRPr="002C067E">
        <w:rPr>
          <w:sz w:val="20"/>
          <w:lang w:val="es-ES_tradnl"/>
        </w:rPr>
        <w:t xml:space="preserve">la </w:t>
      </w:r>
      <w:r w:rsidR="00B97FDA" w:rsidRPr="002C067E">
        <w:rPr>
          <w:sz w:val="20"/>
          <w:lang w:val="es-ES_tradnl"/>
        </w:rPr>
        <w:t xml:space="preserve">Organización </w:t>
      </w:r>
      <w:r w:rsidR="00E70262" w:rsidRPr="002C067E">
        <w:rPr>
          <w:sz w:val="20"/>
          <w:lang w:val="es-ES_tradnl"/>
        </w:rPr>
        <w:t xml:space="preserve">en </w:t>
      </w:r>
      <w:r w:rsidRPr="002C067E">
        <w:rPr>
          <w:sz w:val="20"/>
          <w:lang w:val="es-ES_tradnl"/>
        </w:rPr>
        <w:t xml:space="preserve">las actividades de formación y fortalecimiento de capacidades.  Durante el bienio se emprenderán </w:t>
      </w:r>
      <w:r w:rsidR="00E70262" w:rsidRPr="002C067E">
        <w:rPr>
          <w:sz w:val="20"/>
          <w:lang w:val="es-ES_tradnl"/>
        </w:rPr>
        <w:t xml:space="preserve">iniciativas </w:t>
      </w:r>
      <w:r w:rsidRPr="002C067E">
        <w:rPr>
          <w:sz w:val="20"/>
          <w:lang w:val="es-ES_tradnl"/>
        </w:rPr>
        <w:t>para examinar y reagrupar gradualmente esas actividades en una única dependencia operativa con arreglo a los principios siguientes:</w:t>
      </w:r>
    </w:p>
    <w:p w:rsidR="00A1004B" w:rsidRDefault="00A1004B" w:rsidP="006E3E3C">
      <w:pPr>
        <w:ind w:left="567"/>
        <w:jc w:val="both"/>
        <w:rPr>
          <w:sz w:val="20"/>
          <w:lang w:val="es-ES_tradnl"/>
        </w:rPr>
      </w:pPr>
    </w:p>
    <w:p w:rsidR="00FE239C" w:rsidRPr="002C067E" w:rsidRDefault="0075512A" w:rsidP="006E3E3C">
      <w:pPr>
        <w:ind w:left="1701" w:hanging="624"/>
        <w:jc w:val="both"/>
        <w:rPr>
          <w:sz w:val="20"/>
          <w:lang w:val="es-ES_tradnl"/>
        </w:rPr>
      </w:pPr>
      <w:r w:rsidRPr="002C067E">
        <w:rPr>
          <w:sz w:val="20"/>
          <w:lang w:val="es-ES_tradnl"/>
        </w:rPr>
        <w:t>a</w:t>
      </w:r>
      <w:r w:rsidR="008004E5" w:rsidRPr="002C067E">
        <w:rPr>
          <w:sz w:val="20"/>
          <w:lang w:val="es-ES_tradnl"/>
        </w:rPr>
        <w:t>)</w:t>
      </w:r>
      <w:r w:rsidR="008004E5" w:rsidRPr="002C067E">
        <w:rPr>
          <w:sz w:val="20"/>
          <w:lang w:val="es-ES_tradnl"/>
        </w:rPr>
        <w:tab/>
      </w:r>
      <w:r w:rsidRPr="002C067E">
        <w:rPr>
          <w:sz w:val="20"/>
          <w:lang w:val="es-ES_tradnl"/>
        </w:rPr>
        <w:t>u</w:t>
      </w:r>
      <w:r w:rsidR="007B2C29" w:rsidRPr="002C067E">
        <w:rPr>
          <w:sz w:val="20"/>
          <w:lang w:val="es-ES_tradnl"/>
        </w:rPr>
        <w:t xml:space="preserve">n </w:t>
      </w:r>
      <w:r w:rsidRPr="002C067E">
        <w:rPr>
          <w:sz w:val="20"/>
          <w:lang w:val="es-ES_tradnl"/>
        </w:rPr>
        <w:t xml:space="preserve">órgano ejecutor para la prestación directa de servicios de formación </w:t>
      </w:r>
      <w:r w:rsidR="007B2C29" w:rsidRPr="002C067E">
        <w:rPr>
          <w:sz w:val="20"/>
          <w:lang w:val="es-ES_tradnl"/>
        </w:rPr>
        <w:t xml:space="preserve">profesional;  </w:t>
      </w:r>
    </w:p>
    <w:p w:rsidR="00FE239C" w:rsidRPr="002C067E" w:rsidRDefault="00FE239C" w:rsidP="006E3E3C">
      <w:pPr>
        <w:ind w:left="1701" w:hanging="624"/>
        <w:jc w:val="both"/>
        <w:rPr>
          <w:sz w:val="20"/>
          <w:lang w:val="es-ES_tradnl"/>
        </w:rPr>
      </w:pPr>
    </w:p>
    <w:p w:rsidR="007B2C29" w:rsidRPr="002C067E" w:rsidRDefault="008004E5" w:rsidP="006E3E3C">
      <w:pPr>
        <w:ind w:left="1701" w:hanging="624"/>
        <w:jc w:val="both"/>
        <w:rPr>
          <w:sz w:val="20"/>
          <w:lang w:val="es-ES_tradnl"/>
        </w:rPr>
      </w:pPr>
      <w:r w:rsidRPr="002C067E">
        <w:rPr>
          <w:sz w:val="20"/>
          <w:lang w:val="es-ES_tradnl"/>
        </w:rPr>
        <w:t>b)</w:t>
      </w:r>
      <w:r w:rsidRPr="002C067E">
        <w:rPr>
          <w:sz w:val="20"/>
          <w:lang w:val="es-ES_tradnl"/>
        </w:rPr>
        <w:tab/>
      </w:r>
      <w:r w:rsidR="0075512A" w:rsidRPr="002C067E">
        <w:rPr>
          <w:sz w:val="20"/>
          <w:lang w:val="es-ES_tradnl"/>
        </w:rPr>
        <w:t xml:space="preserve">un catalizador de redes </w:t>
      </w:r>
      <w:r w:rsidR="00A1004B">
        <w:rPr>
          <w:sz w:val="20"/>
          <w:lang w:val="es-ES_tradnl"/>
        </w:rPr>
        <w:t>y asociaciones para ampliar la diversidad</w:t>
      </w:r>
      <w:r w:rsidR="0075512A" w:rsidRPr="002C067E">
        <w:rPr>
          <w:sz w:val="20"/>
          <w:lang w:val="es-ES_tradnl"/>
        </w:rPr>
        <w:t xml:space="preserve"> de las oportunidades de formación en los países</w:t>
      </w:r>
      <w:r w:rsidR="00E70262" w:rsidRPr="002C067E">
        <w:rPr>
          <w:sz w:val="20"/>
          <w:lang w:val="es-ES_tradnl"/>
        </w:rPr>
        <w:t xml:space="preserve"> y su repercusión</w:t>
      </w:r>
      <w:r w:rsidR="007B2C29" w:rsidRPr="002C067E">
        <w:rPr>
          <w:sz w:val="20"/>
          <w:lang w:val="es-ES_tradnl"/>
        </w:rPr>
        <w:t xml:space="preserve">; </w:t>
      </w:r>
    </w:p>
    <w:p w:rsidR="00FE239C" w:rsidRPr="002C067E" w:rsidRDefault="00FE239C" w:rsidP="006E3E3C">
      <w:pPr>
        <w:ind w:left="1701" w:hanging="624"/>
        <w:jc w:val="both"/>
        <w:rPr>
          <w:sz w:val="20"/>
          <w:lang w:val="es-ES_tradnl"/>
        </w:rPr>
      </w:pPr>
    </w:p>
    <w:p w:rsidR="007B2C29" w:rsidRPr="002C067E" w:rsidRDefault="008004E5" w:rsidP="006E3E3C">
      <w:pPr>
        <w:ind w:left="1701" w:hanging="624"/>
        <w:jc w:val="both"/>
        <w:rPr>
          <w:sz w:val="20"/>
          <w:lang w:val="es-ES_tradnl"/>
        </w:rPr>
      </w:pPr>
      <w:r w:rsidRPr="002C067E">
        <w:rPr>
          <w:sz w:val="20"/>
          <w:lang w:val="es-ES_tradnl"/>
        </w:rPr>
        <w:t>c)</w:t>
      </w:r>
      <w:r w:rsidRPr="002C067E">
        <w:rPr>
          <w:sz w:val="20"/>
          <w:lang w:val="es-ES_tradnl"/>
        </w:rPr>
        <w:tab/>
      </w:r>
      <w:r w:rsidR="0075512A" w:rsidRPr="002C067E">
        <w:rPr>
          <w:sz w:val="20"/>
          <w:lang w:val="es-ES_tradnl"/>
        </w:rPr>
        <w:t>un centro propio de excelencia en la formación</w:t>
      </w:r>
      <w:r w:rsidR="007B2C29" w:rsidRPr="002C067E">
        <w:rPr>
          <w:sz w:val="20"/>
          <w:lang w:val="es-ES_tradnl"/>
        </w:rPr>
        <w:t xml:space="preserve">;  </w:t>
      </w:r>
    </w:p>
    <w:p w:rsidR="00FE239C" w:rsidRPr="002C067E" w:rsidRDefault="00FE239C" w:rsidP="006E3E3C">
      <w:pPr>
        <w:ind w:left="1701" w:hanging="624"/>
        <w:jc w:val="both"/>
        <w:rPr>
          <w:sz w:val="20"/>
          <w:lang w:val="es-ES_tradnl"/>
        </w:rPr>
      </w:pPr>
    </w:p>
    <w:p w:rsidR="007B2C29" w:rsidRPr="002C067E" w:rsidRDefault="008004E5" w:rsidP="006E3E3C">
      <w:pPr>
        <w:ind w:left="1701" w:hanging="624"/>
        <w:jc w:val="both"/>
        <w:rPr>
          <w:sz w:val="20"/>
          <w:lang w:val="es-ES_tradnl"/>
        </w:rPr>
      </w:pPr>
      <w:r w:rsidRPr="002C067E">
        <w:rPr>
          <w:sz w:val="20"/>
          <w:lang w:val="es-ES_tradnl"/>
        </w:rPr>
        <w:lastRenderedPageBreak/>
        <w:t>d)</w:t>
      </w:r>
      <w:r w:rsidRPr="002C067E">
        <w:rPr>
          <w:sz w:val="20"/>
          <w:lang w:val="es-ES_tradnl"/>
        </w:rPr>
        <w:tab/>
      </w:r>
      <w:r w:rsidR="0075512A" w:rsidRPr="002C067E">
        <w:rPr>
          <w:sz w:val="20"/>
          <w:lang w:val="es-ES_tradnl"/>
        </w:rPr>
        <w:t xml:space="preserve">un centro de información en Internet de acceso abierto sobre todas las actividades, </w:t>
      </w:r>
      <w:r w:rsidR="00A1004B">
        <w:rPr>
          <w:sz w:val="20"/>
          <w:lang w:val="es-ES_tradnl"/>
        </w:rPr>
        <w:t>herramientas</w:t>
      </w:r>
      <w:r w:rsidR="0075512A" w:rsidRPr="002C067E">
        <w:rPr>
          <w:sz w:val="20"/>
          <w:lang w:val="es-ES_tradnl"/>
        </w:rPr>
        <w:t xml:space="preserve"> y </w:t>
      </w:r>
      <w:r w:rsidR="007B2C29" w:rsidRPr="002C067E">
        <w:rPr>
          <w:sz w:val="20"/>
          <w:lang w:val="es-ES_tradnl"/>
        </w:rPr>
        <w:t>servic</w:t>
      </w:r>
      <w:r w:rsidR="0075512A" w:rsidRPr="002C067E">
        <w:rPr>
          <w:sz w:val="20"/>
          <w:lang w:val="es-ES_tradnl"/>
        </w:rPr>
        <w:t>io</w:t>
      </w:r>
      <w:r w:rsidR="007B2C29" w:rsidRPr="002C067E">
        <w:rPr>
          <w:sz w:val="20"/>
          <w:lang w:val="es-ES_tradnl"/>
        </w:rPr>
        <w:t>s</w:t>
      </w:r>
      <w:r w:rsidR="0075512A" w:rsidRPr="002C067E">
        <w:rPr>
          <w:sz w:val="20"/>
          <w:lang w:val="es-ES_tradnl"/>
        </w:rPr>
        <w:t xml:space="preserve"> de formación de la OMPI;  y</w:t>
      </w:r>
    </w:p>
    <w:p w:rsidR="00FE239C" w:rsidRPr="002C067E" w:rsidRDefault="00FE239C" w:rsidP="006E3E3C">
      <w:pPr>
        <w:ind w:left="1701" w:hanging="624"/>
        <w:jc w:val="both"/>
        <w:rPr>
          <w:sz w:val="20"/>
          <w:lang w:val="es-ES_tradnl"/>
        </w:rPr>
      </w:pPr>
    </w:p>
    <w:p w:rsidR="00B22442" w:rsidRPr="002C067E" w:rsidRDefault="008004E5" w:rsidP="006E3E3C">
      <w:pPr>
        <w:ind w:left="1701" w:hanging="624"/>
        <w:jc w:val="both"/>
        <w:rPr>
          <w:sz w:val="20"/>
          <w:lang w:val="es-ES_tradnl"/>
        </w:rPr>
      </w:pPr>
      <w:r w:rsidRPr="002C067E">
        <w:rPr>
          <w:sz w:val="20"/>
          <w:lang w:val="es-ES_tradnl"/>
        </w:rPr>
        <w:t>e)</w:t>
      </w:r>
      <w:r w:rsidRPr="002C067E">
        <w:rPr>
          <w:sz w:val="20"/>
          <w:lang w:val="es-ES_tradnl"/>
        </w:rPr>
        <w:tab/>
      </w:r>
      <w:r w:rsidR="00E70262" w:rsidRPr="002C067E">
        <w:rPr>
          <w:sz w:val="20"/>
          <w:lang w:val="es-ES_tradnl"/>
        </w:rPr>
        <w:t xml:space="preserve">una plataforma </w:t>
      </w:r>
      <w:r w:rsidR="0075512A" w:rsidRPr="002C067E">
        <w:rPr>
          <w:sz w:val="20"/>
          <w:lang w:val="es-ES_tradnl"/>
        </w:rPr>
        <w:t>que agrupe las redes virtuales de asociados, expertos y docentes en el ámbito de la formación en P.I. orientada al desarrollo</w:t>
      </w:r>
      <w:r w:rsidR="00B22442" w:rsidRPr="002C067E">
        <w:rPr>
          <w:sz w:val="20"/>
          <w:lang w:val="es-ES_tradnl"/>
        </w:rPr>
        <w:t>.</w:t>
      </w:r>
    </w:p>
    <w:p w:rsidR="007B2C29" w:rsidRPr="002C067E" w:rsidRDefault="007B2C29" w:rsidP="006E3E3C">
      <w:pPr>
        <w:jc w:val="both"/>
        <w:rPr>
          <w:sz w:val="20"/>
          <w:lang w:val="es-ES_tradnl"/>
        </w:rPr>
      </w:pPr>
    </w:p>
    <w:p w:rsidR="007B2C29" w:rsidRPr="002C067E" w:rsidRDefault="008004E5" w:rsidP="006E3E3C">
      <w:pPr>
        <w:ind w:left="567"/>
        <w:jc w:val="both"/>
        <w:rPr>
          <w:sz w:val="20"/>
          <w:lang w:val="es-ES_tradnl"/>
        </w:rPr>
      </w:pPr>
      <w:r w:rsidRPr="002C067E">
        <w:rPr>
          <w:sz w:val="20"/>
          <w:lang w:val="es-ES_tradnl"/>
        </w:rPr>
        <w:t>vii)</w:t>
      </w:r>
      <w:r w:rsidRPr="002C067E">
        <w:rPr>
          <w:sz w:val="20"/>
          <w:lang w:val="es-ES_tradnl"/>
        </w:rPr>
        <w:tab/>
        <w:t xml:space="preserve">Con </w:t>
      </w:r>
      <w:r w:rsidR="002E023E" w:rsidRPr="002C067E">
        <w:rPr>
          <w:sz w:val="20"/>
          <w:lang w:val="es-ES_tradnl"/>
        </w:rPr>
        <w:t xml:space="preserve">arreglo a </w:t>
      </w:r>
      <w:r w:rsidRPr="002C067E">
        <w:rPr>
          <w:sz w:val="20"/>
          <w:lang w:val="es-ES_tradnl"/>
        </w:rPr>
        <w:t xml:space="preserve">los principios rectores consistentes en la obtención de valor añadido y la prestación más eficaz y eficiente de resultados </w:t>
      </w:r>
      <w:r w:rsidR="00E70262" w:rsidRPr="002C067E">
        <w:rPr>
          <w:sz w:val="20"/>
          <w:lang w:val="es-ES_tradnl"/>
        </w:rPr>
        <w:t xml:space="preserve">aprovechando </w:t>
      </w:r>
      <w:r w:rsidRPr="002C067E">
        <w:rPr>
          <w:sz w:val="20"/>
          <w:lang w:val="es-ES_tradnl"/>
        </w:rPr>
        <w:t>la</w:t>
      </w:r>
      <w:r w:rsidR="00E70262" w:rsidRPr="002C067E">
        <w:rPr>
          <w:sz w:val="20"/>
          <w:lang w:val="es-ES_tradnl"/>
        </w:rPr>
        <w:t>s</w:t>
      </w:r>
      <w:r w:rsidRPr="002C067E">
        <w:rPr>
          <w:sz w:val="20"/>
          <w:lang w:val="es-ES_tradnl"/>
        </w:rPr>
        <w:t xml:space="preserve"> ventaja</w:t>
      </w:r>
      <w:r w:rsidR="00E70262" w:rsidRPr="002C067E">
        <w:rPr>
          <w:sz w:val="20"/>
          <w:lang w:val="es-ES_tradnl"/>
        </w:rPr>
        <w:t>s</w:t>
      </w:r>
      <w:r w:rsidRPr="002C067E">
        <w:rPr>
          <w:sz w:val="20"/>
          <w:lang w:val="es-ES_tradnl"/>
        </w:rPr>
        <w:t xml:space="preserve"> que otorga la proximidad geográfica de los destinatarios</w:t>
      </w:r>
      <w:r w:rsidR="00E70262" w:rsidRPr="002C067E">
        <w:rPr>
          <w:sz w:val="20"/>
          <w:lang w:val="es-ES_tradnl"/>
        </w:rPr>
        <w:t xml:space="preserve"> de los servicios</w:t>
      </w:r>
      <w:r w:rsidRPr="002C067E">
        <w:rPr>
          <w:sz w:val="20"/>
          <w:lang w:val="es-ES_tradnl"/>
        </w:rPr>
        <w:t xml:space="preserve">, las </w:t>
      </w:r>
      <w:r w:rsidR="002E023E" w:rsidRPr="002C067E">
        <w:rPr>
          <w:sz w:val="20"/>
          <w:lang w:val="es-ES_tradnl"/>
        </w:rPr>
        <w:t xml:space="preserve">nuevas </w:t>
      </w:r>
      <w:r w:rsidRPr="002C067E">
        <w:rPr>
          <w:sz w:val="20"/>
        </w:rPr>
        <w:t>oficina</w:t>
      </w:r>
      <w:r w:rsidRPr="002C067E">
        <w:rPr>
          <w:sz w:val="20"/>
          <w:lang w:val="es-ES_tradnl"/>
        </w:rPr>
        <w:t xml:space="preserve">s </w:t>
      </w:r>
      <w:r w:rsidR="002E023E" w:rsidRPr="002C067E">
        <w:rPr>
          <w:sz w:val="20"/>
          <w:lang w:val="es-ES_tradnl"/>
        </w:rPr>
        <w:t xml:space="preserve">propuestas </w:t>
      </w:r>
      <w:r w:rsidRPr="002C067E">
        <w:rPr>
          <w:sz w:val="20"/>
          <w:lang w:val="es-ES_tradnl"/>
        </w:rPr>
        <w:t xml:space="preserve">y las </w:t>
      </w:r>
      <w:r w:rsidR="00DC75EB" w:rsidRPr="002C067E">
        <w:rPr>
          <w:sz w:val="20"/>
          <w:lang w:val="es-ES_tradnl"/>
        </w:rPr>
        <w:t xml:space="preserve">oficinas </w:t>
      </w:r>
      <w:r w:rsidR="002E023E" w:rsidRPr="002C067E">
        <w:rPr>
          <w:sz w:val="20"/>
          <w:lang w:val="es-ES_tradnl"/>
        </w:rPr>
        <w:t xml:space="preserve">ya existentes </w:t>
      </w:r>
      <w:r w:rsidR="00DC75EB" w:rsidRPr="002C067E">
        <w:rPr>
          <w:sz w:val="20"/>
          <w:lang w:val="es-ES_tradnl"/>
        </w:rPr>
        <w:t xml:space="preserve">en el exterior </w:t>
      </w:r>
      <w:r w:rsidRPr="002C067E">
        <w:rPr>
          <w:sz w:val="20"/>
          <w:lang w:val="es-ES_tradnl"/>
        </w:rPr>
        <w:t xml:space="preserve">se </w:t>
      </w:r>
      <w:r w:rsidR="00E70262" w:rsidRPr="002C067E">
        <w:rPr>
          <w:sz w:val="20"/>
          <w:lang w:val="es-ES_tradnl"/>
        </w:rPr>
        <w:t xml:space="preserve">dedicarán </w:t>
      </w:r>
      <w:r w:rsidRPr="002C067E">
        <w:rPr>
          <w:sz w:val="20"/>
          <w:lang w:val="es-ES_tradnl"/>
        </w:rPr>
        <w:t xml:space="preserve">especialmente </w:t>
      </w:r>
      <w:r w:rsidR="00E70262" w:rsidRPr="002C067E">
        <w:rPr>
          <w:sz w:val="20"/>
          <w:lang w:val="es-ES_tradnl"/>
        </w:rPr>
        <w:t xml:space="preserve">a </w:t>
      </w:r>
      <w:r w:rsidR="002E023E" w:rsidRPr="002C067E">
        <w:rPr>
          <w:sz w:val="20"/>
          <w:lang w:val="es-ES_tradnl"/>
        </w:rPr>
        <w:t>prestar</w:t>
      </w:r>
      <w:r w:rsidRPr="002C067E">
        <w:rPr>
          <w:sz w:val="20"/>
          <w:lang w:val="es-ES_tradnl"/>
        </w:rPr>
        <w:t xml:space="preserve"> </w:t>
      </w:r>
      <w:r w:rsidR="00A50989" w:rsidRPr="002C067E">
        <w:rPr>
          <w:sz w:val="20"/>
          <w:lang w:val="es-ES_tradnl"/>
        </w:rPr>
        <w:t>servicios de apoyo a los servicios mundiales de P.I. de la OMPI</w:t>
      </w:r>
      <w:r w:rsidRPr="002C067E">
        <w:rPr>
          <w:sz w:val="20"/>
          <w:lang w:val="es-ES_tradnl"/>
        </w:rPr>
        <w:t xml:space="preserve"> </w:t>
      </w:r>
      <w:r w:rsidR="007B2C29" w:rsidRPr="002C067E">
        <w:rPr>
          <w:sz w:val="20"/>
          <w:lang w:val="es-ES_tradnl"/>
        </w:rPr>
        <w:t>(</w:t>
      </w:r>
      <w:r w:rsidR="00E70262" w:rsidRPr="002C067E">
        <w:rPr>
          <w:sz w:val="20"/>
          <w:lang w:val="es-ES_tradnl"/>
        </w:rPr>
        <w:t xml:space="preserve">meta estratégica </w:t>
      </w:r>
      <w:r w:rsidR="007B2C29" w:rsidRPr="002C067E">
        <w:rPr>
          <w:sz w:val="20"/>
          <w:lang w:val="es-ES_tradnl"/>
        </w:rPr>
        <w:t xml:space="preserve">II), </w:t>
      </w:r>
      <w:r w:rsidR="002E023E" w:rsidRPr="002C067E">
        <w:rPr>
          <w:sz w:val="20"/>
          <w:lang w:val="es-ES_tradnl"/>
        </w:rPr>
        <w:t>facilitar</w:t>
      </w:r>
      <w:r w:rsidR="00A50989" w:rsidRPr="002C067E">
        <w:rPr>
          <w:sz w:val="20"/>
          <w:lang w:val="es-ES_tradnl"/>
        </w:rPr>
        <w:t xml:space="preserve"> el uso de la P.I. al servicio del desarrollo (</w:t>
      </w:r>
      <w:r w:rsidR="00E70262" w:rsidRPr="002C067E">
        <w:rPr>
          <w:sz w:val="20"/>
          <w:lang w:val="es-ES_tradnl"/>
        </w:rPr>
        <w:t xml:space="preserve">meta estratégica </w:t>
      </w:r>
      <w:r w:rsidR="002E023E" w:rsidRPr="002C067E">
        <w:rPr>
          <w:sz w:val="20"/>
          <w:lang w:val="es-ES_tradnl"/>
        </w:rPr>
        <w:t>III), fomentar</w:t>
      </w:r>
      <w:r w:rsidR="00A50989" w:rsidRPr="002C067E">
        <w:rPr>
          <w:sz w:val="20"/>
          <w:lang w:val="es-ES_tradnl"/>
        </w:rPr>
        <w:t xml:space="preserve"> la </w:t>
      </w:r>
      <w:r w:rsidR="007B2C29" w:rsidRPr="002C067E">
        <w:rPr>
          <w:sz w:val="20"/>
          <w:lang w:val="es-ES_tradnl"/>
        </w:rPr>
        <w:t>infra</w:t>
      </w:r>
      <w:r w:rsidR="00A50989" w:rsidRPr="002C067E">
        <w:rPr>
          <w:sz w:val="20"/>
          <w:lang w:val="es-ES_tradnl"/>
        </w:rPr>
        <w:t>e</w:t>
      </w:r>
      <w:r w:rsidR="007B2C29" w:rsidRPr="002C067E">
        <w:rPr>
          <w:sz w:val="20"/>
          <w:lang w:val="es-ES_tradnl"/>
        </w:rPr>
        <w:t>structur</w:t>
      </w:r>
      <w:r w:rsidR="00A50989" w:rsidRPr="002C067E">
        <w:rPr>
          <w:sz w:val="20"/>
          <w:lang w:val="es-ES_tradnl"/>
        </w:rPr>
        <w:t>a mundial d</w:t>
      </w:r>
      <w:r w:rsidR="007B2C29" w:rsidRPr="002C067E">
        <w:rPr>
          <w:sz w:val="20"/>
          <w:lang w:val="es-ES_tradnl"/>
        </w:rPr>
        <w:t xml:space="preserve">e </w:t>
      </w:r>
      <w:r w:rsidR="00A50989" w:rsidRPr="002C067E">
        <w:rPr>
          <w:sz w:val="20"/>
          <w:lang w:val="es-ES_tradnl"/>
        </w:rPr>
        <w:t>P.I</w:t>
      </w:r>
      <w:r w:rsidR="007471DC">
        <w:rPr>
          <w:sz w:val="20"/>
          <w:lang w:val="es-ES_tradnl"/>
        </w:rPr>
        <w:t xml:space="preserve">. </w:t>
      </w:r>
      <w:r w:rsidR="00DF7F45" w:rsidRPr="002C067E">
        <w:rPr>
          <w:sz w:val="20"/>
          <w:lang w:val="es-ES_tradnl"/>
        </w:rPr>
        <w:t>(</w:t>
      </w:r>
      <w:r w:rsidR="00E70262" w:rsidRPr="002C067E">
        <w:rPr>
          <w:sz w:val="20"/>
          <w:lang w:val="es-ES_tradnl"/>
        </w:rPr>
        <w:t xml:space="preserve">meta estratégica </w:t>
      </w:r>
      <w:r w:rsidR="00A50989" w:rsidRPr="002C067E">
        <w:rPr>
          <w:sz w:val="20"/>
          <w:lang w:val="es-ES_tradnl"/>
        </w:rPr>
        <w:t xml:space="preserve">IV) y </w:t>
      </w:r>
      <w:r w:rsidR="002E023E" w:rsidRPr="002C067E">
        <w:rPr>
          <w:sz w:val="20"/>
          <w:lang w:val="es-ES_tradnl"/>
        </w:rPr>
        <w:t xml:space="preserve">lograr </w:t>
      </w:r>
      <w:r w:rsidR="00A50989" w:rsidRPr="002C067E">
        <w:rPr>
          <w:sz w:val="20"/>
          <w:lang w:val="es-ES_tradnl"/>
        </w:rPr>
        <w:t>una comunicación más eficaz con el público en general y los sectores interesados de cada país y región respectivos (</w:t>
      </w:r>
      <w:r w:rsidR="00E70262" w:rsidRPr="002C067E">
        <w:rPr>
          <w:sz w:val="20"/>
          <w:lang w:val="es-ES_tradnl"/>
        </w:rPr>
        <w:t xml:space="preserve">meta estratégica </w:t>
      </w:r>
      <w:r w:rsidR="00A50989" w:rsidRPr="002C067E">
        <w:rPr>
          <w:sz w:val="20"/>
          <w:lang w:val="es-ES_tradnl"/>
        </w:rPr>
        <w:t>VIII).</w:t>
      </w:r>
    </w:p>
    <w:p w:rsidR="007B2C29" w:rsidRPr="002C067E" w:rsidRDefault="007B2C29" w:rsidP="006E3E3C">
      <w:pPr>
        <w:ind w:left="567"/>
        <w:jc w:val="both"/>
        <w:rPr>
          <w:sz w:val="20"/>
          <w:lang w:val="es-ES_tradnl"/>
        </w:rPr>
      </w:pPr>
    </w:p>
    <w:p w:rsidR="00B22442" w:rsidRPr="002C067E" w:rsidRDefault="00A50989" w:rsidP="006E3E3C">
      <w:pPr>
        <w:ind w:left="567"/>
        <w:jc w:val="both"/>
        <w:rPr>
          <w:sz w:val="20"/>
          <w:lang w:val="es-ES_tradnl"/>
        </w:rPr>
      </w:pPr>
      <w:r w:rsidRPr="002C067E">
        <w:rPr>
          <w:sz w:val="20"/>
          <w:lang w:val="es-ES_tradnl"/>
        </w:rPr>
        <w:t>viii)</w:t>
      </w:r>
      <w:r w:rsidRPr="002C067E">
        <w:rPr>
          <w:sz w:val="20"/>
          <w:lang w:val="es-ES_tradnl"/>
        </w:rPr>
        <w:tab/>
        <w:t xml:space="preserve">Fortalecer la </w:t>
      </w:r>
      <w:r w:rsidR="0023208C" w:rsidRPr="002C067E">
        <w:rPr>
          <w:sz w:val="20"/>
          <w:lang w:val="es-ES_tradnl"/>
        </w:rPr>
        <w:t>imagen institucional de la OMPI y</w:t>
      </w:r>
      <w:r w:rsidRPr="002C067E">
        <w:rPr>
          <w:sz w:val="20"/>
          <w:lang w:val="es-ES_tradnl"/>
        </w:rPr>
        <w:t xml:space="preserve"> fomentar la calidad, la prestación de servicios y el acceso a los contenidos que produce la Organización, entre otros medios, a través del sitio web, serán prioridades esenciales durante el bienio.  La OMPI </w:t>
      </w:r>
      <w:r w:rsidR="00325C26" w:rsidRPr="002C067E">
        <w:rPr>
          <w:sz w:val="20"/>
          <w:lang w:val="es-ES_tradnl"/>
        </w:rPr>
        <w:t xml:space="preserve">debe comprender mejor las necesidades y expectativas de sus numerosas partes interesadas y seguir basándose en los fundamentos establecidos en el bienio anterior con el fin de fomentar una cultura orientada a los servicios respaldada por una </w:t>
      </w:r>
      <w:r w:rsidR="007B2C29" w:rsidRPr="002C067E">
        <w:rPr>
          <w:sz w:val="20"/>
          <w:lang w:val="es-ES_tradnl"/>
        </w:rPr>
        <w:t>infra</w:t>
      </w:r>
      <w:r w:rsidR="00325C26" w:rsidRPr="002C067E">
        <w:rPr>
          <w:sz w:val="20"/>
          <w:lang w:val="es-ES_tradnl"/>
        </w:rPr>
        <w:t>estructura técnica</w:t>
      </w:r>
      <w:r w:rsidR="00FD20B2" w:rsidRPr="002C067E">
        <w:rPr>
          <w:sz w:val="20"/>
          <w:lang w:val="es-ES_tradnl"/>
        </w:rPr>
        <w:t xml:space="preserve"> de mayor calidad</w:t>
      </w:r>
      <w:r w:rsidR="00B22442" w:rsidRPr="002C067E">
        <w:rPr>
          <w:sz w:val="20"/>
          <w:lang w:val="es-ES_tradnl"/>
        </w:rPr>
        <w:t>.</w:t>
      </w:r>
    </w:p>
    <w:p w:rsidR="007B2C29" w:rsidRPr="002C067E" w:rsidRDefault="007B2C29" w:rsidP="006E3E3C">
      <w:pPr>
        <w:jc w:val="both"/>
        <w:rPr>
          <w:sz w:val="20"/>
          <w:lang w:val="es-ES_tradnl"/>
        </w:rPr>
      </w:pPr>
    </w:p>
    <w:p w:rsidR="007B2C29" w:rsidRPr="002C067E" w:rsidRDefault="00325C26" w:rsidP="006E3E3C">
      <w:pPr>
        <w:ind w:left="567"/>
        <w:jc w:val="both"/>
        <w:rPr>
          <w:sz w:val="20"/>
          <w:szCs w:val="18"/>
          <w:lang w:val="es-ES_tradnl"/>
        </w:rPr>
      </w:pPr>
      <w:r w:rsidRPr="002C067E">
        <w:rPr>
          <w:sz w:val="20"/>
          <w:lang w:val="es-ES_tradnl"/>
        </w:rPr>
        <w:t>ix)</w:t>
      </w:r>
      <w:r w:rsidRPr="002C067E">
        <w:rPr>
          <w:sz w:val="20"/>
          <w:lang w:val="es-ES_tradnl"/>
        </w:rPr>
        <w:tab/>
      </w:r>
      <w:r w:rsidR="00FD20B2" w:rsidRPr="002C067E">
        <w:rPr>
          <w:sz w:val="20"/>
          <w:lang w:val="es-ES_tradnl"/>
        </w:rPr>
        <w:t xml:space="preserve">En el marco de la meta estratégica IX </w:t>
      </w:r>
      <w:r w:rsidR="001508AD" w:rsidRPr="002C067E">
        <w:rPr>
          <w:sz w:val="20"/>
          <w:lang w:val="es-ES_tradnl"/>
        </w:rPr>
        <w:t>p</w:t>
      </w:r>
      <w:r w:rsidRPr="002C067E">
        <w:rPr>
          <w:sz w:val="20"/>
          <w:lang w:val="es-ES_tradnl"/>
        </w:rPr>
        <w:t>roseguirán los esfuerzos para prestar servicios efectivos y eficaces</w:t>
      </w:r>
      <w:r w:rsidR="00DC3386" w:rsidRPr="002C067E">
        <w:rPr>
          <w:sz w:val="20"/>
          <w:lang w:val="es-ES_tradnl"/>
        </w:rPr>
        <w:t>,</w:t>
      </w:r>
      <w:r w:rsidRPr="002C067E">
        <w:rPr>
          <w:sz w:val="20"/>
          <w:lang w:val="es-ES_tradnl"/>
        </w:rPr>
        <w:t xml:space="preserve"> orientados a responder a las necesidades de los usuarios, </w:t>
      </w:r>
      <w:r w:rsidR="0023208C" w:rsidRPr="002C067E">
        <w:rPr>
          <w:sz w:val="20"/>
          <w:lang w:val="es-ES_tradnl"/>
        </w:rPr>
        <w:t xml:space="preserve">ya sean </w:t>
      </w:r>
      <w:r w:rsidRPr="002C067E">
        <w:rPr>
          <w:sz w:val="20"/>
          <w:lang w:val="es-ES_tradnl"/>
        </w:rPr>
        <w:t xml:space="preserve">las partes interesadas </w:t>
      </w:r>
      <w:r w:rsidR="0023208C" w:rsidRPr="002C067E">
        <w:rPr>
          <w:sz w:val="20"/>
          <w:lang w:val="es-ES_tradnl"/>
        </w:rPr>
        <w:t xml:space="preserve">de fuera de </w:t>
      </w:r>
      <w:r w:rsidRPr="002C067E">
        <w:rPr>
          <w:sz w:val="20"/>
          <w:lang w:val="es-ES_tradnl"/>
        </w:rPr>
        <w:t xml:space="preserve">la Organización </w:t>
      </w:r>
      <w:r w:rsidR="00E74A02" w:rsidRPr="002C067E">
        <w:rPr>
          <w:sz w:val="20"/>
          <w:lang w:val="es-ES_tradnl"/>
        </w:rPr>
        <w:t>o</w:t>
      </w:r>
      <w:r w:rsidR="0023208C" w:rsidRPr="002C067E">
        <w:rPr>
          <w:sz w:val="20"/>
          <w:lang w:val="es-ES_tradnl"/>
        </w:rPr>
        <w:t xml:space="preserve"> </w:t>
      </w:r>
      <w:r w:rsidRPr="002C067E">
        <w:rPr>
          <w:sz w:val="20"/>
          <w:lang w:val="es-ES_tradnl"/>
        </w:rPr>
        <w:t xml:space="preserve">los usuarios internos.  </w:t>
      </w:r>
      <w:r w:rsidR="00FD20B2" w:rsidRPr="002C067E">
        <w:rPr>
          <w:sz w:val="20"/>
          <w:lang w:val="es-ES_tradnl"/>
        </w:rPr>
        <w:t xml:space="preserve">Tras </w:t>
      </w:r>
      <w:r w:rsidRPr="002C067E">
        <w:rPr>
          <w:sz w:val="20"/>
          <w:lang w:val="es-ES_tradnl"/>
        </w:rPr>
        <w:t>la revisión exhaustiva del Estatuto y Reglamento del Personal que tuvo lugar e</w:t>
      </w:r>
      <w:r w:rsidR="00DF7F45" w:rsidRPr="002C067E">
        <w:rPr>
          <w:sz w:val="20"/>
          <w:lang w:val="es-ES_tradnl"/>
        </w:rPr>
        <w:t>n 2</w:t>
      </w:r>
      <w:r w:rsidRPr="002C067E">
        <w:rPr>
          <w:sz w:val="20"/>
          <w:lang w:val="es-ES_tradnl"/>
        </w:rPr>
        <w:t>012, se seguirán efe</w:t>
      </w:r>
      <w:r w:rsidR="00FD20B2" w:rsidRPr="002C067E">
        <w:rPr>
          <w:sz w:val="20"/>
          <w:lang w:val="es-ES_tradnl"/>
        </w:rPr>
        <w:t>ctuando ajustes en dicha reglamentación</w:t>
      </w:r>
      <w:r w:rsidRPr="002C067E">
        <w:rPr>
          <w:sz w:val="20"/>
          <w:lang w:val="es-ES_tradnl"/>
        </w:rPr>
        <w:t>, cuando proceda, a fin de velar por que exista un marco reglamentario claro, moderno y actualizado, e</w:t>
      </w:r>
      <w:r w:rsidR="00FD20B2" w:rsidRPr="002C067E">
        <w:rPr>
          <w:sz w:val="20"/>
          <w:lang w:val="es-ES_tradnl"/>
        </w:rPr>
        <w:t>n concordancia con la práctica imperante</w:t>
      </w:r>
      <w:r w:rsidRPr="002C067E">
        <w:rPr>
          <w:sz w:val="20"/>
          <w:lang w:val="es-ES_tradnl"/>
        </w:rPr>
        <w:t xml:space="preserve"> en el </w:t>
      </w:r>
      <w:r w:rsidRPr="002C067E">
        <w:rPr>
          <w:snapToGrid w:val="0"/>
          <w:sz w:val="20"/>
          <w:lang w:val="es-ES_tradnl"/>
        </w:rPr>
        <w:t>sistema común de las NN.UU</w:t>
      </w:r>
      <w:r w:rsidR="007B2C29" w:rsidRPr="002C067E">
        <w:rPr>
          <w:sz w:val="20"/>
          <w:szCs w:val="18"/>
          <w:lang w:val="es-ES_tradnl"/>
        </w:rPr>
        <w:t>.</w:t>
      </w:r>
      <w:r w:rsidRPr="002C067E">
        <w:rPr>
          <w:sz w:val="20"/>
          <w:szCs w:val="18"/>
          <w:lang w:val="es-ES_tradnl"/>
        </w:rPr>
        <w:t xml:space="preserve">  La estructura y el perfil del personal de la Organización </w:t>
      </w:r>
      <w:r w:rsidR="00440952" w:rsidRPr="002C067E">
        <w:rPr>
          <w:sz w:val="20"/>
          <w:szCs w:val="18"/>
          <w:lang w:val="es-ES_tradnl"/>
        </w:rPr>
        <w:t>con</w:t>
      </w:r>
      <w:r w:rsidR="005614FF" w:rsidRPr="002C067E">
        <w:rPr>
          <w:sz w:val="20"/>
          <w:szCs w:val="18"/>
          <w:lang w:val="es-ES_tradnl"/>
        </w:rPr>
        <w:t>lleva</w:t>
      </w:r>
      <w:r w:rsidR="00440952" w:rsidRPr="002C067E">
        <w:rPr>
          <w:sz w:val="20"/>
          <w:szCs w:val="18"/>
          <w:lang w:val="es-ES_tradnl"/>
        </w:rPr>
        <w:t>n</w:t>
      </w:r>
      <w:r w:rsidR="005614FF" w:rsidRPr="002C067E">
        <w:rPr>
          <w:sz w:val="20"/>
          <w:szCs w:val="18"/>
          <w:lang w:val="es-ES_tradnl"/>
        </w:rPr>
        <w:t xml:space="preserve"> </w:t>
      </w:r>
      <w:r w:rsidRPr="002C067E">
        <w:rPr>
          <w:sz w:val="20"/>
          <w:szCs w:val="18"/>
          <w:lang w:val="es-ES_tradnl"/>
        </w:rPr>
        <w:t xml:space="preserve">el riesgo de que las necesidades </w:t>
      </w:r>
      <w:r w:rsidR="00440952" w:rsidRPr="002C067E">
        <w:rPr>
          <w:sz w:val="20"/>
          <w:szCs w:val="18"/>
          <w:lang w:val="es-ES_tradnl"/>
        </w:rPr>
        <w:t xml:space="preserve">evolucionen con tal rapidez que </w:t>
      </w:r>
      <w:r w:rsidR="00281871">
        <w:rPr>
          <w:sz w:val="20"/>
          <w:szCs w:val="18"/>
          <w:lang w:val="es-ES_tradnl"/>
        </w:rPr>
        <w:t xml:space="preserve">se produzcan desajustes entre </w:t>
      </w:r>
      <w:r w:rsidRPr="002C067E">
        <w:rPr>
          <w:sz w:val="20"/>
          <w:szCs w:val="18"/>
          <w:lang w:val="es-ES_tradnl"/>
        </w:rPr>
        <w:t xml:space="preserve">las capacidades del personal </w:t>
      </w:r>
      <w:r w:rsidR="00281871">
        <w:rPr>
          <w:sz w:val="20"/>
          <w:szCs w:val="18"/>
          <w:lang w:val="es-ES_tradnl"/>
        </w:rPr>
        <w:t xml:space="preserve">y </w:t>
      </w:r>
      <w:r w:rsidRPr="002C067E">
        <w:rPr>
          <w:sz w:val="20"/>
          <w:szCs w:val="18"/>
          <w:lang w:val="es-ES_tradnl"/>
        </w:rPr>
        <w:t xml:space="preserve">las nuevas demandas.  Por lo tanto, entre las prioridades correspondientes a los recursos humanos durante el bienio figurará la alineación de las capacidades, el equilibrio entre los géneros a todos los niveles, la diversidad geográfica, la duración del proceso de contratación, y políticas claras alineadas con las necesidades operativas y la práctica </w:t>
      </w:r>
      <w:r w:rsidR="00FD20B2" w:rsidRPr="002C067E">
        <w:rPr>
          <w:sz w:val="20"/>
          <w:szCs w:val="18"/>
          <w:lang w:val="es-ES_tradnl"/>
        </w:rPr>
        <w:t xml:space="preserve">imperante </w:t>
      </w:r>
      <w:r w:rsidRPr="002C067E">
        <w:rPr>
          <w:sz w:val="20"/>
          <w:szCs w:val="18"/>
          <w:lang w:val="es-ES_tradnl"/>
        </w:rPr>
        <w:t xml:space="preserve">en el </w:t>
      </w:r>
      <w:r w:rsidRPr="002C067E">
        <w:rPr>
          <w:snapToGrid w:val="0"/>
          <w:sz w:val="20"/>
          <w:szCs w:val="18"/>
          <w:lang w:val="es-ES_tradnl"/>
        </w:rPr>
        <w:t>sistema común de las NN.UU.  Se fomentará la inversión en el perfeccionamiento del personal haciendo hincapié en las necesidades de formación esenciales a nivel colectivo e individual para velar por el logro eficaz de los resultados previstos en la Organización.</w:t>
      </w:r>
    </w:p>
    <w:p w:rsidR="007B2C29" w:rsidRPr="002C067E" w:rsidRDefault="007B2C29" w:rsidP="006E3E3C">
      <w:pPr>
        <w:jc w:val="both"/>
        <w:rPr>
          <w:sz w:val="20"/>
          <w:lang w:val="es-ES_tradnl"/>
        </w:rPr>
      </w:pPr>
    </w:p>
    <w:p w:rsidR="00B22442" w:rsidRPr="002C067E" w:rsidRDefault="001F5E74" w:rsidP="006E3E3C">
      <w:pPr>
        <w:ind w:left="567"/>
        <w:jc w:val="both"/>
        <w:rPr>
          <w:sz w:val="20"/>
          <w:lang w:val="es-ES_tradnl"/>
        </w:rPr>
      </w:pPr>
      <w:r w:rsidRPr="002C067E">
        <w:rPr>
          <w:sz w:val="20"/>
          <w:lang w:val="es-ES_tradnl"/>
        </w:rPr>
        <w:t>x)</w:t>
      </w:r>
      <w:r w:rsidRPr="002C067E">
        <w:rPr>
          <w:sz w:val="20"/>
          <w:lang w:val="es-ES_tradnl"/>
        </w:rPr>
        <w:tab/>
        <w:t>E</w:t>
      </w:r>
      <w:r w:rsidR="007B2C29" w:rsidRPr="002C067E">
        <w:rPr>
          <w:sz w:val="20"/>
          <w:lang w:val="es-ES_tradnl"/>
        </w:rPr>
        <w:t>n e</w:t>
      </w:r>
      <w:r w:rsidRPr="002C067E">
        <w:rPr>
          <w:sz w:val="20"/>
          <w:lang w:val="es-ES_tradnl"/>
        </w:rPr>
        <w:t>l b</w:t>
      </w:r>
      <w:r w:rsidR="00662588">
        <w:rPr>
          <w:sz w:val="20"/>
          <w:lang w:val="es-ES_tradnl"/>
        </w:rPr>
        <w:t>ienio siguiente, la Secretaría obr</w:t>
      </w:r>
      <w:r w:rsidRPr="002C067E">
        <w:rPr>
          <w:sz w:val="20"/>
          <w:lang w:val="es-ES_tradnl"/>
        </w:rPr>
        <w:t>ará para aplicar plenamente</w:t>
      </w:r>
      <w:r w:rsidR="00662588" w:rsidRPr="002C067E">
        <w:rPr>
          <w:sz w:val="20"/>
          <w:lang w:val="es-ES_tradnl"/>
        </w:rPr>
        <w:t>,</w:t>
      </w:r>
      <w:r w:rsidR="00662588">
        <w:rPr>
          <w:sz w:val="20"/>
          <w:lang w:val="es-ES_tradnl"/>
        </w:rPr>
        <w:t xml:space="preserve"> en forma gradual y con eficacia en función de los costos,</w:t>
      </w:r>
      <w:r w:rsidRPr="002C067E">
        <w:rPr>
          <w:sz w:val="20"/>
          <w:lang w:val="es-ES_tradnl"/>
        </w:rPr>
        <w:t xml:space="preserve"> la Política Lingüística de la OMPI</w:t>
      </w:r>
      <w:r w:rsidR="007B2C29" w:rsidRPr="002C067E">
        <w:rPr>
          <w:sz w:val="20"/>
          <w:lang w:val="es-ES_tradnl"/>
        </w:rPr>
        <w:t xml:space="preserve"> inclu</w:t>
      </w:r>
      <w:r w:rsidR="00662588">
        <w:rPr>
          <w:sz w:val="20"/>
          <w:lang w:val="es-ES_tradnl"/>
        </w:rPr>
        <w:t>yendo</w:t>
      </w:r>
      <w:r w:rsidRPr="002C067E">
        <w:rPr>
          <w:sz w:val="20"/>
          <w:lang w:val="es-ES_tradnl"/>
        </w:rPr>
        <w:t xml:space="preserve"> los aspectos relativos a la cobertura de idiomas y la longitud de los</w:t>
      </w:r>
      <w:r w:rsidR="007B2C29" w:rsidRPr="002C067E">
        <w:rPr>
          <w:sz w:val="20"/>
          <w:lang w:val="es-ES_tradnl"/>
        </w:rPr>
        <w:t xml:space="preserve"> document</w:t>
      </w:r>
      <w:r w:rsidRPr="002C067E">
        <w:rPr>
          <w:sz w:val="20"/>
          <w:lang w:val="es-ES_tradnl"/>
        </w:rPr>
        <w:t>o</w:t>
      </w:r>
      <w:r w:rsidR="007B2C29" w:rsidRPr="002C067E">
        <w:rPr>
          <w:sz w:val="20"/>
          <w:lang w:val="es-ES_tradnl"/>
        </w:rPr>
        <w:t>s</w:t>
      </w:r>
      <w:r w:rsidR="00B22442" w:rsidRPr="002C067E">
        <w:rPr>
          <w:sz w:val="20"/>
          <w:lang w:val="es-ES_tradnl"/>
        </w:rPr>
        <w:t>.</w:t>
      </w:r>
    </w:p>
    <w:p w:rsidR="007B2C29" w:rsidRPr="002C067E" w:rsidRDefault="007B2C29" w:rsidP="006E3E3C">
      <w:pPr>
        <w:jc w:val="both"/>
        <w:rPr>
          <w:sz w:val="20"/>
          <w:lang w:val="es-ES_tradnl"/>
        </w:rPr>
      </w:pPr>
    </w:p>
    <w:p w:rsidR="007B2C29" w:rsidRPr="002C067E" w:rsidRDefault="001F5E74" w:rsidP="006E3E3C">
      <w:pPr>
        <w:ind w:left="567"/>
        <w:jc w:val="both"/>
        <w:rPr>
          <w:sz w:val="20"/>
          <w:lang w:val="es-ES_tradnl"/>
        </w:rPr>
      </w:pPr>
      <w:r w:rsidRPr="002C067E">
        <w:rPr>
          <w:sz w:val="20"/>
          <w:lang w:val="es-ES_tradnl"/>
        </w:rPr>
        <w:t>xi)</w:t>
      </w:r>
      <w:r w:rsidRPr="002C067E">
        <w:rPr>
          <w:sz w:val="20"/>
          <w:lang w:val="es-ES_tradnl"/>
        </w:rPr>
        <w:tab/>
        <w:t xml:space="preserve">Seguirá siendo una prioridad esencial el constante fortalecimiento de la gestión del rendimiento </w:t>
      </w:r>
      <w:r w:rsidR="005621B3" w:rsidRPr="002C067E">
        <w:rPr>
          <w:sz w:val="20"/>
          <w:lang w:val="es-ES_tradnl"/>
        </w:rPr>
        <w:t xml:space="preserve">en </w:t>
      </w:r>
      <w:r w:rsidRPr="002C067E">
        <w:rPr>
          <w:sz w:val="20"/>
          <w:lang w:val="es-ES_tradnl"/>
        </w:rPr>
        <w:t>la Organización</w:t>
      </w:r>
      <w:r w:rsidR="007B2C29" w:rsidRPr="002C067E">
        <w:rPr>
          <w:sz w:val="20"/>
          <w:lang w:val="es-ES_tradnl"/>
        </w:rPr>
        <w:t xml:space="preserve">.  </w:t>
      </w:r>
      <w:r w:rsidRPr="002C067E">
        <w:rPr>
          <w:sz w:val="20"/>
          <w:lang w:val="es-ES_tradnl"/>
        </w:rPr>
        <w:t>El bi</w:t>
      </w:r>
      <w:r w:rsidR="007B2C29" w:rsidRPr="002C067E">
        <w:rPr>
          <w:sz w:val="20"/>
          <w:lang w:val="es-ES_tradnl"/>
        </w:rPr>
        <w:t>e</w:t>
      </w:r>
      <w:r w:rsidRPr="002C067E">
        <w:rPr>
          <w:sz w:val="20"/>
          <w:lang w:val="es-ES_tradnl"/>
        </w:rPr>
        <w:t>ni</w:t>
      </w:r>
      <w:r w:rsidR="00DF7F45" w:rsidRPr="002C067E">
        <w:rPr>
          <w:sz w:val="20"/>
          <w:lang w:val="es-ES_tradnl"/>
        </w:rPr>
        <w:t>o 2</w:t>
      </w:r>
      <w:r w:rsidR="007B2C29" w:rsidRPr="002C067E">
        <w:rPr>
          <w:sz w:val="20"/>
          <w:lang w:val="es-ES_tradnl"/>
        </w:rPr>
        <w:t xml:space="preserve">014/15 </w:t>
      </w:r>
      <w:r w:rsidRPr="002C067E">
        <w:rPr>
          <w:sz w:val="20"/>
          <w:lang w:val="es-ES_tradnl"/>
        </w:rPr>
        <w:t xml:space="preserve">se centrará en velar por que se fortalezcan los procedimientos de supervisión y evaluación de la ejecución de los </w:t>
      </w:r>
      <w:r w:rsidR="005621B3" w:rsidRPr="002C067E">
        <w:rPr>
          <w:sz w:val="20"/>
          <w:lang w:val="es-ES_tradnl"/>
        </w:rPr>
        <w:t xml:space="preserve">programas </w:t>
      </w:r>
      <w:r w:rsidRPr="002C067E">
        <w:rPr>
          <w:sz w:val="20"/>
          <w:lang w:val="es-ES_tradnl"/>
        </w:rPr>
        <w:t xml:space="preserve">a fin de </w:t>
      </w:r>
      <w:r w:rsidR="005621B3" w:rsidRPr="002C067E">
        <w:rPr>
          <w:sz w:val="20"/>
          <w:lang w:val="es-ES_tradnl"/>
        </w:rPr>
        <w:t xml:space="preserve">difundir </w:t>
      </w:r>
      <w:r w:rsidRPr="002C067E">
        <w:rPr>
          <w:sz w:val="20"/>
          <w:lang w:val="es-ES_tradnl"/>
        </w:rPr>
        <w:t xml:space="preserve">y </w:t>
      </w:r>
      <w:r w:rsidR="005621B3" w:rsidRPr="002C067E">
        <w:rPr>
          <w:sz w:val="20"/>
          <w:lang w:val="es-ES_tradnl"/>
        </w:rPr>
        <w:t xml:space="preserve">comprender más adecuadamente la evolución de los mecanismos que se aplican </w:t>
      </w:r>
      <w:r w:rsidRPr="002C067E">
        <w:rPr>
          <w:sz w:val="20"/>
          <w:lang w:val="es-ES_tradnl"/>
        </w:rPr>
        <w:t xml:space="preserve">para seguir mejorando </w:t>
      </w:r>
      <w:r w:rsidR="0054408D" w:rsidRPr="002C067E">
        <w:rPr>
          <w:sz w:val="20"/>
          <w:lang w:val="es-ES_tradnl"/>
        </w:rPr>
        <w:t>dicha</w:t>
      </w:r>
      <w:r w:rsidRPr="002C067E">
        <w:rPr>
          <w:sz w:val="20"/>
          <w:lang w:val="es-ES_tradnl"/>
        </w:rPr>
        <w:t xml:space="preserve"> ejecución</w:t>
      </w:r>
      <w:r w:rsidR="007B2C29" w:rsidRPr="002C067E">
        <w:rPr>
          <w:sz w:val="20"/>
          <w:lang w:val="es-ES_tradnl"/>
        </w:rPr>
        <w:t xml:space="preserve">.  </w:t>
      </w:r>
      <w:r w:rsidRPr="002C067E">
        <w:rPr>
          <w:sz w:val="20"/>
          <w:lang w:val="es-ES_tradnl"/>
        </w:rPr>
        <w:t>El despliegue</w:t>
      </w:r>
      <w:r w:rsidR="00B67A9E" w:rsidRPr="002C067E">
        <w:rPr>
          <w:sz w:val="20"/>
          <w:lang w:val="es-ES_tradnl"/>
        </w:rPr>
        <w:t xml:space="preserve"> de las funciones principales del </w:t>
      </w:r>
      <w:r w:rsidR="00B67A9E" w:rsidRPr="002C067E">
        <w:rPr>
          <w:snapToGrid w:val="0"/>
          <w:sz w:val="20"/>
          <w:lang w:val="es-ES_tradnl"/>
        </w:rPr>
        <w:t xml:space="preserve">sistema de planificación de </w:t>
      </w:r>
      <w:r w:rsidR="00890022">
        <w:rPr>
          <w:snapToGrid w:val="0"/>
          <w:sz w:val="20"/>
          <w:lang w:val="es-ES_tradnl"/>
        </w:rPr>
        <w:t xml:space="preserve">los </w:t>
      </w:r>
      <w:r w:rsidR="00B67A9E" w:rsidRPr="002C067E">
        <w:rPr>
          <w:snapToGrid w:val="0"/>
          <w:sz w:val="20"/>
          <w:lang w:val="es-ES_tradnl"/>
        </w:rPr>
        <w:t xml:space="preserve">recursos </w:t>
      </w:r>
      <w:r w:rsidR="00890022">
        <w:rPr>
          <w:snapToGrid w:val="0"/>
          <w:sz w:val="20"/>
          <w:lang w:val="es-ES_tradnl"/>
        </w:rPr>
        <w:t xml:space="preserve">institucionales </w:t>
      </w:r>
      <w:r w:rsidR="005621B3" w:rsidRPr="002C067E">
        <w:rPr>
          <w:snapToGrid w:val="0"/>
          <w:sz w:val="20"/>
          <w:lang w:val="es-ES_tradnl"/>
        </w:rPr>
        <w:t>(PR</w:t>
      </w:r>
      <w:r w:rsidR="00890022">
        <w:rPr>
          <w:snapToGrid w:val="0"/>
          <w:sz w:val="20"/>
          <w:lang w:val="es-ES_tradnl"/>
        </w:rPr>
        <w:t>I</w:t>
      </w:r>
      <w:r w:rsidR="005621B3" w:rsidRPr="002C067E">
        <w:rPr>
          <w:snapToGrid w:val="0"/>
          <w:sz w:val="20"/>
          <w:lang w:val="es-ES_tradnl"/>
        </w:rPr>
        <w:t xml:space="preserve">) </w:t>
      </w:r>
      <w:r w:rsidR="00B67A9E" w:rsidRPr="002C067E">
        <w:rPr>
          <w:snapToGrid w:val="0"/>
          <w:sz w:val="20"/>
          <w:lang w:val="es-ES_tradnl"/>
        </w:rPr>
        <w:t>y la plena integración de los recursos humanos y financieros</w:t>
      </w:r>
      <w:r w:rsidR="007B2C29" w:rsidRPr="002C067E">
        <w:rPr>
          <w:sz w:val="20"/>
          <w:lang w:val="es-ES_tradnl"/>
        </w:rPr>
        <w:t xml:space="preserve"> </w:t>
      </w:r>
      <w:r w:rsidR="00B67A9E" w:rsidRPr="002C067E">
        <w:rPr>
          <w:sz w:val="20"/>
          <w:lang w:val="es-ES_tradnl"/>
        </w:rPr>
        <w:t xml:space="preserve">de la OMPI y los </w:t>
      </w:r>
      <w:r w:rsidR="00B67A9E" w:rsidRPr="002C067E">
        <w:rPr>
          <w:snapToGrid w:val="0"/>
          <w:sz w:val="20"/>
          <w:lang w:val="es-ES_tradnl"/>
        </w:rPr>
        <w:t xml:space="preserve">sistemas de gestión por resultados serán esenciales para desarrollar sistemas compatibles </w:t>
      </w:r>
      <w:r w:rsidR="005621B3" w:rsidRPr="002C067E">
        <w:rPr>
          <w:snapToGrid w:val="0"/>
          <w:sz w:val="20"/>
          <w:lang w:val="es-ES_tradnl"/>
        </w:rPr>
        <w:t xml:space="preserve">que </w:t>
      </w:r>
      <w:r w:rsidR="00B67A9E" w:rsidRPr="002C067E">
        <w:rPr>
          <w:snapToGrid w:val="0"/>
          <w:sz w:val="20"/>
          <w:lang w:val="es-ES_tradnl"/>
        </w:rPr>
        <w:t>se respalden mutuamente con el fin de integrar la planificación, el seguimiento y la presentación de informes tanto en el ámbito financiero como programático.</w:t>
      </w:r>
    </w:p>
    <w:p w:rsidR="007B2C29" w:rsidRPr="002C067E" w:rsidRDefault="007B2C29" w:rsidP="006E3E3C">
      <w:pPr>
        <w:jc w:val="both"/>
        <w:rPr>
          <w:bCs/>
          <w:sz w:val="20"/>
          <w:lang w:val="es-ES_tradnl"/>
        </w:rPr>
      </w:pPr>
    </w:p>
    <w:p w:rsidR="007B2C29" w:rsidRPr="002C067E" w:rsidRDefault="00B67A9E" w:rsidP="006E3E3C">
      <w:pPr>
        <w:ind w:left="567"/>
        <w:jc w:val="both"/>
        <w:rPr>
          <w:sz w:val="20"/>
          <w:lang w:val="es-ES_tradnl"/>
        </w:rPr>
      </w:pPr>
      <w:r w:rsidRPr="002C067E">
        <w:rPr>
          <w:bCs/>
          <w:sz w:val="20"/>
          <w:lang w:val="es-ES_tradnl"/>
        </w:rPr>
        <w:t>xii)</w:t>
      </w:r>
      <w:r w:rsidRPr="002C067E">
        <w:rPr>
          <w:bCs/>
          <w:sz w:val="20"/>
          <w:lang w:val="es-ES_tradnl"/>
        </w:rPr>
        <w:tab/>
        <w:t xml:space="preserve">Las </w:t>
      </w:r>
      <w:r w:rsidRPr="002C067E">
        <w:rPr>
          <w:sz w:val="20"/>
          <w:lang w:val="es-ES_tradnl"/>
        </w:rPr>
        <w:t xml:space="preserve">nueve </w:t>
      </w:r>
      <w:r w:rsidR="005621B3" w:rsidRPr="002C067E">
        <w:rPr>
          <w:sz w:val="20"/>
          <w:lang w:val="es-ES_tradnl"/>
        </w:rPr>
        <w:t xml:space="preserve">metas estratégicas </w:t>
      </w:r>
      <w:r w:rsidRPr="002C067E">
        <w:rPr>
          <w:sz w:val="20"/>
          <w:lang w:val="es-ES_tradnl"/>
        </w:rPr>
        <w:t xml:space="preserve">de la OMPI dependen en gran medida de </w:t>
      </w:r>
      <w:r w:rsidR="005621B3" w:rsidRPr="002C067E">
        <w:rPr>
          <w:sz w:val="20"/>
          <w:lang w:val="es-ES_tradnl"/>
        </w:rPr>
        <w:t xml:space="preserve">contar con </w:t>
      </w:r>
      <w:r w:rsidRPr="002C067E">
        <w:rPr>
          <w:sz w:val="20"/>
          <w:lang w:val="es-ES_tradnl"/>
        </w:rPr>
        <w:t xml:space="preserve">una infraestructura y unos servicios fiables y eficaces de TIC para la ejecución de los programas.  A medida que aumenta </w:t>
      </w:r>
      <w:r w:rsidR="00413FD5" w:rsidRPr="002C067E">
        <w:rPr>
          <w:sz w:val="20"/>
          <w:lang w:val="es-ES_tradnl"/>
        </w:rPr>
        <w:t>su</w:t>
      </w:r>
      <w:r w:rsidRPr="002C067E">
        <w:rPr>
          <w:sz w:val="20"/>
          <w:lang w:val="es-ES_tradnl"/>
        </w:rPr>
        <w:t xml:space="preserve"> importancia, </w:t>
      </w:r>
      <w:r w:rsidR="005621B3" w:rsidRPr="002C067E">
        <w:rPr>
          <w:sz w:val="20"/>
          <w:lang w:val="es-ES_tradnl"/>
        </w:rPr>
        <w:t xml:space="preserve">crecen </w:t>
      </w:r>
      <w:r w:rsidRPr="002C067E">
        <w:rPr>
          <w:sz w:val="20"/>
          <w:lang w:val="es-ES_tradnl"/>
        </w:rPr>
        <w:t xml:space="preserve">las expectativas y </w:t>
      </w:r>
      <w:r w:rsidR="005621B3" w:rsidRPr="002C067E">
        <w:rPr>
          <w:sz w:val="20"/>
          <w:lang w:val="es-ES_tradnl"/>
        </w:rPr>
        <w:t xml:space="preserve">se amplía </w:t>
      </w:r>
      <w:r w:rsidRPr="002C067E">
        <w:rPr>
          <w:sz w:val="20"/>
          <w:lang w:val="es-ES_tradnl"/>
        </w:rPr>
        <w:t xml:space="preserve">la responsabilidad.  Los usuarios mundiales esperan que los servicios de TIC de la OMPI respondan más adecuadamente a sus necesidades, y sean cada vez más fiables, accesibles y seguros ante </w:t>
      </w:r>
      <w:r w:rsidR="00A633B6" w:rsidRPr="002C067E">
        <w:rPr>
          <w:sz w:val="20"/>
          <w:lang w:val="es-ES_tradnl"/>
        </w:rPr>
        <w:t xml:space="preserve">los </w:t>
      </w:r>
      <w:r w:rsidRPr="002C067E">
        <w:rPr>
          <w:sz w:val="20"/>
          <w:lang w:val="es-ES_tradnl"/>
        </w:rPr>
        <w:t xml:space="preserve">desastres naturales y </w:t>
      </w:r>
      <w:r w:rsidR="00A633B6" w:rsidRPr="002C067E">
        <w:rPr>
          <w:sz w:val="20"/>
          <w:lang w:val="es-ES_tradnl"/>
        </w:rPr>
        <w:t xml:space="preserve">los </w:t>
      </w:r>
      <w:r w:rsidRPr="002C067E">
        <w:rPr>
          <w:sz w:val="20"/>
          <w:lang w:val="es-ES_tradnl"/>
        </w:rPr>
        <w:t>humanos</w:t>
      </w:r>
      <w:r w:rsidR="00A633B6" w:rsidRPr="002C067E">
        <w:rPr>
          <w:sz w:val="20"/>
          <w:lang w:val="es-ES_tradnl"/>
        </w:rPr>
        <w:t>,</w:t>
      </w:r>
      <w:r w:rsidRPr="002C067E">
        <w:rPr>
          <w:sz w:val="20"/>
          <w:lang w:val="es-ES_tradnl"/>
        </w:rPr>
        <w:t xml:space="preserve"> como los </w:t>
      </w:r>
      <w:proofErr w:type="spellStart"/>
      <w:r w:rsidRPr="002C067E">
        <w:rPr>
          <w:sz w:val="20"/>
          <w:lang w:val="es-ES_tradnl"/>
        </w:rPr>
        <w:t>ciberataques</w:t>
      </w:r>
      <w:proofErr w:type="spellEnd"/>
      <w:r w:rsidRPr="002C067E">
        <w:rPr>
          <w:sz w:val="20"/>
          <w:lang w:val="es-ES_tradnl"/>
        </w:rPr>
        <w:t xml:space="preserve">.  Por lo tanto, la seguridad de la información reclama la máxima prioridad y seguirá fortaleciéndose a lo largo del siguiente </w:t>
      </w:r>
      <w:r w:rsidRPr="002C067E">
        <w:rPr>
          <w:sz w:val="20"/>
          <w:lang w:val="es-ES_tradnl"/>
        </w:rPr>
        <w:lastRenderedPageBreak/>
        <w:t xml:space="preserve">bienio.  Se garantizará una mayor accesibilidad </w:t>
      </w:r>
      <w:r w:rsidR="0054408D" w:rsidRPr="002C067E">
        <w:rPr>
          <w:sz w:val="20"/>
          <w:lang w:val="es-ES_tradnl"/>
        </w:rPr>
        <w:t xml:space="preserve">aplicando </w:t>
      </w:r>
      <w:r w:rsidRPr="002C067E">
        <w:rPr>
          <w:sz w:val="20"/>
          <w:lang w:val="es-ES_tradnl"/>
        </w:rPr>
        <w:t>medidas de conmutación por error, recuperación y redundancia.</w:t>
      </w:r>
    </w:p>
    <w:p w:rsidR="007B2C29" w:rsidRPr="002C067E" w:rsidRDefault="007B2C29" w:rsidP="006E3E3C">
      <w:pPr>
        <w:ind w:left="567"/>
        <w:jc w:val="both"/>
        <w:rPr>
          <w:sz w:val="20"/>
          <w:lang w:val="es-ES_tradnl"/>
        </w:rPr>
      </w:pPr>
    </w:p>
    <w:p w:rsidR="007B2C29" w:rsidRPr="002C067E" w:rsidRDefault="00B67A9E" w:rsidP="006E3E3C">
      <w:pPr>
        <w:numPr>
          <w:ilvl w:val="0"/>
          <w:numId w:val="4"/>
        </w:numPr>
        <w:tabs>
          <w:tab w:val="clear" w:pos="360"/>
          <w:tab w:val="num" w:pos="0"/>
        </w:tabs>
        <w:ind w:left="0" w:firstLine="0"/>
        <w:jc w:val="both"/>
        <w:rPr>
          <w:sz w:val="20"/>
          <w:lang w:val="es-ES_tradnl"/>
        </w:rPr>
      </w:pPr>
      <w:r w:rsidRPr="002C067E">
        <w:rPr>
          <w:sz w:val="20"/>
          <w:lang w:val="es-ES_tradnl"/>
        </w:rPr>
        <w:t>El desarrollo sigue siendo una prioridad en el bienio 2014/15 e</w:t>
      </w:r>
      <w:r w:rsidR="007B2C29" w:rsidRPr="002C067E">
        <w:rPr>
          <w:sz w:val="20"/>
          <w:lang w:val="es-ES_tradnl"/>
        </w:rPr>
        <w:t xml:space="preserve">n </w:t>
      </w:r>
      <w:r w:rsidRPr="002C067E">
        <w:rPr>
          <w:sz w:val="20"/>
          <w:lang w:val="es-ES_tradnl"/>
        </w:rPr>
        <w:t xml:space="preserve">concordancia con el </w:t>
      </w:r>
      <w:r w:rsidR="00972AA7">
        <w:rPr>
          <w:sz w:val="20"/>
          <w:lang w:val="es-ES_tradnl"/>
        </w:rPr>
        <w:t>P</w:t>
      </w:r>
      <w:r w:rsidR="00C018D2" w:rsidRPr="002C067E">
        <w:rPr>
          <w:sz w:val="20"/>
          <w:lang w:val="es-ES_tradnl"/>
        </w:rPr>
        <w:t xml:space="preserve">lan </w:t>
      </w:r>
      <w:r w:rsidR="00972AA7">
        <w:rPr>
          <w:sz w:val="20"/>
          <w:lang w:val="es-ES_tradnl"/>
        </w:rPr>
        <w:t>E</w:t>
      </w:r>
      <w:r w:rsidR="00C018D2" w:rsidRPr="002C067E">
        <w:rPr>
          <w:sz w:val="20"/>
          <w:lang w:val="es-ES_tradnl"/>
        </w:rPr>
        <w:t xml:space="preserve">stratégico a </w:t>
      </w:r>
      <w:r w:rsidR="00972AA7">
        <w:rPr>
          <w:sz w:val="20"/>
          <w:lang w:val="es-ES_tradnl"/>
        </w:rPr>
        <w:t>M</w:t>
      </w:r>
      <w:r w:rsidR="00C018D2" w:rsidRPr="002C067E">
        <w:rPr>
          <w:sz w:val="20"/>
          <w:lang w:val="es-ES_tradnl"/>
        </w:rPr>
        <w:t xml:space="preserve">ediano </w:t>
      </w:r>
      <w:r w:rsidR="00972AA7">
        <w:rPr>
          <w:sz w:val="20"/>
          <w:lang w:val="es-ES_tradnl"/>
        </w:rPr>
        <w:t>P</w:t>
      </w:r>
      <w:r w:rsidR="00C018D2" w:rsidRPr="002C067E">
        <w:rPr>
          <w:sz w:val="20"/>
          <w:lang w:val="es-ES_tradnl"/>
        </w:rPr>
        <w:t xml:space="preserve">lazo </w:t>
      </w:r>
      <w:r w:rsidRPr="002C067E">
        <w:rPr>
          <w:sz w:val="20"/>
          <w:lang w:val="es-ES_tradnl"/>
        </w:rPr>
        <w:t>y las expectativas de los Estados miembros</w:t>
      </w:r>
      <w:r w:rsidR="007B2C29" w:rsidRPr="002C067E">
        <w:rPr>
          <w:sz w:val="20"/>
          <w:lang w:val="es-ES_tradnl"/>
        </w:rPr>
        <w:t xml:space="preserve">. </w:t>
      </w:r>
      <w:r w:rsidRPr="002C067E">
        <w:rPr>
          <w:sz w:val="20"/>
          <w:lang w:val="es-ES_tradnl"/>
        </w:rPr>
        <w:t xml:space="preserve"> Esto queda reflejado en la cuota </w:t>
      </w:r>
      <w:r w:rsidR="00FE7E73">
        <w:rPr>
          <w:sz w:val="20"/>
          <w:lang w:val="es-ES_tradnl"/>
        </w:rPr>
        <w:t xml:space="preserve">asignada a actividades para el desarrollo </w:t>
      </w:r>
      <w:proofErr w:type="gramStart"/>
      <w:r w:rsidRPr="002C067E">
        <w:rPr>
          <w:sz w:val="20"/>
          <w:lang w:val="es-ES_tradnl"/>
        </w:rPr>
        <w:t>establecida</w:t>
      </w:r>
      <w:proofErr w:type="gramEnd"/>
      <w:r w:rsidRPr="002C067E">
        <w:rPr>
          <w:sz w:val="20"/>
          <w:lang w:val="es-ES_tradnl"/>
        </w:rPr>
        <w:t xml:space="preserve"> para el siguiente bienio </w:t>
      </w:r>
      <w:r w:rsidR="007B2C29" w:rsidRPr="002C067E">
        <w:rPr>
          <w:sz w:val="20"/>
          <w:lang w:val="es-ES_tradnl"/>
        </w:rPr>
        <w:t>(</w:t>
      </w:r>
      <w:r w:rsidRPr="002C067E">
        <w:rPr>
          <w:sz w:val="20"/>
          <w:lang w:val="es-ES_tradnl"/>
        </w:rPr>
        <w:t>Sinopsis del marco de resultados y Cuadro</w:t>
      </w:r>
      <w:r w:rsidR="00140657">
        <w:rPr>
          <w:sz w:val="20"/>
          <w:lang w:val="es-ES_tradnl"/>
        </w:rPr>
        <w:t xml:space="preserve"> </w:t>
      </w:r>
      <w:r w:rsidR="007B2C29" w:rsidRPr="002C067E">
        <w:rPr>
          <w:sz w:val="20"/>
          <w:lang w:val="es-ES_tradnl"/>
        </w:rPr>
        <w:t xml:space="preserve">8) </w:t>
      </w:r>
      <w:r w:rsidR="0083398F" w:rsidRPr="002C067E">
        <w:rPr>
          <w:sz w:val="20"/>
          <w:lang w:val="es-ES_tradnl"/>
        </w:rPr>
        <w:t>y en el</w:t>
      </w:r>
      <w:r w:rsidRPr="002C067E">
        <w:rPr>
          <w:sz w:val="20"/>
          <w:lang w:val="es-ES_tradnl"/>
        </w:rPr>
        <w:t xml:space="preserve"> aumento absoluto de</w:t>
      </w:r>
      <w:r w:rsidR="00140657">
        <w:rPr>
          <w:sz w:val="20"/>
          <w:lang w:val="es-ES_tradnl"/>
        </w:rPr>
        <w:t xml:space="preserve">l </w:t>
      </w:r>
      <w:r w:rsidR="00096B4A">
        <w:rPr>
          <w:sz w:val="20"/>
          <w:lang w:val="es-ES_tradnl"/>
        </w:rPr>
        <w:t>4</w:t>
      </w:r>
      <w:r w:rsidRPr="002C067E">
        <w:rPr>
          <w:sz w:val="20"/>
          <w:lang w:val="es-ES_tradnl"/>
        </w:rPr>
        <w:t>,</w:t>
      </w:r>
      <w:r w:rsidR="00751475">
        <w:rPr>
          <w:sz w:val="20"/>
          <w:lang w:val="es-ES_tradnl"/>
        </w:rPr>
        <w:t>5</w:t>
      </w:r>
      <w:r w:rsidRPr="002C067E">
        <w:rPr>
          <w:sz w:val="20"/>
          <w:lang w:val="es-ES_tradnl"/>
        </w:rPr>
        <w:t xml:space="preserve">% en </w:t>
      </w:r>
      <w:r w:rsidR="00C018D2" w:rsidRPr="002C067E">
        <w:rPr>
          <w:sz w:val="20"/>
          <w:lang w:val="es-ES_tradnl"/>
        </w:rPr>
        <w:t xml:space="preserve">los </w:t>
      </w:r>
      <w:r w:rsidRPr="002C067E">
        <w:rPr>
          <w:sz w:val="20"/>
          <w:lang w:val="es-ES_tradnl"/>
        </w:rPr>
        <w:t>gastos destinados a desarrol</w:t>
      </w:r>
      <w:r w:rsidR="00140657">
        <w:rPr>
          <w:sz w:val="20"/>
          <w:lang w:val="es-ES_tradnl"/>
        </w:rPr>
        <w:t xml:space="preserve">lo en comparación con el bienio </w:t>
      </w:r>
      <w:r w:rsidRPr="002C067E">
        <w:rPr>
          <w:sz w:val="20"/>
          <w:lang w:val="es-ES_tradnl"/>
        </w:rPr>
        <w:t>2012/13.</w:t>
      </w:r>
    </w:p>
    <w:p w:rsidR="007B2C29" w:rsidRPr="002C067E" w:rsidRDefault="007B2C29" w:rsidP="006E3E3C">
      <w:pPr>
        <w:jc w:val="both"/>
        <w:rPr>
          <w:sz w:val="20"/>
          <w:lang w:val="es-ES_tradnl"/>
        </w:rPr>
      </w:pPr>
    </w:p>
    <w:p w:rsidR="007B2C29" w:rsidRPr="002C067E" w:rsidRDefault="009665B1" w:rsidP="006E3E3C">
      <w:pPr>
        <w:numPr>
          <w:ilvl w:val="0"/>
          <w:numId w:val="4"/>
        </w:numPr>
        <w:tabs>
          <w:tab w:val="clear" w:pos="360"/>
          <w:tab w:val="num" w:pos="0"/>
        </w:tabs>
        <w:ind w:left="0" w:firstLine="0"/>
        <w:jc w:val="both"/>
        <w:rPr>
          <w:sz w:val="20"/>
          <w:lang w:val="es-ES_tradnl"/>
        </w:rPr>
      </w:pPr>
      <w:r w:rsidRPr="002C067E">
        <w:rPr>
          <w:sz w:val="20"/>
          <w:lang w:val="es-ES_tradnl"/>
        </w:rPr>
        <w:t>La incorporación de la dimensión de desarrollo en todas las metas estratégicas y en todos los pr</w:t>
      </w:r>
      <w:r w:rsidR="00F03303">
        <w:rPr>
          <w:sz w:val="20"/>
          <w:lang w:val="es-ES_tradnl"/>
        </w:rPr>
        <w:t>ogramas pertinentes de la Organización</w:t>
      </w:r>
      <w:r w:rsidRPr="002C067E">
        <w:rPr>
          <w:sz w:val="20"/>
          <w:lang w:val="es-ES_tradnl"/>
        </w:rPr>
        <w:t xml:space="preserve">, en concordancia con las recomendaciones de la </w:t>
      </w:r>
      <w:r w:rsidR="007B2C29" w:rsidRPr="002C067E">
        <w:rPr>
          <w:sz w:val="20"/>
          <w:lang w:val="es-ES_tradnl"/>
        </w:rPr>
        <w:t xml:space="preserve">Agenda </w:t>
      </w:r>
      <w:r w:rsidRPr="002C067E">
        <w:rPr>
          <w:sz w:val="20"/>
          <w:lang w:val="es-ES_tradnl"/>
        </w:rPr>
        <w:t>para el Desarrollo</w:t>
      </w:r>
      <w:r w:rsidR="005C62E7">
        <w:rPr>
          <w:sz w:val="20"/>
          <w:lang w:val="es-ES_tradnl"/>
        </w:rPr>
        <w:t xml:space="preserve"> (A.D.)</w:t>
      </w:r>
      <w:r w:rsidR="002A5635" w:rsidRPr="002C067E">
        <w:rPr>
          <w:sz w:val="20"/>
          <w:lang w:val="es-ES_tradnl"/>
        </w:rPr>
        <w:t>,</w:t>
      </w:r>
      <w:r w:rsidRPr="002C067E">
        <w:rPr>
          <w:sz w:val="20"/>
          <w:lang w:val="es-ES_tradnl"/>
        </w:rPr>
        <w:t xml:space="preserve"> sigue estando reflejada en el marco de resultados consolidado par</w:t>
      </w:r>
      <w:r w:rsidR="00140657">
        <w:rPr>
          <w:sz w:val="20"/>
          <w:lang w:val="es-ES_tradnl"/>
        </w:rPr>
        <w:t xml:space="preserve">a </w:t>
      </w:r>
      <w:r w:rsidR="00DF7F45" w:rsidRPr="002C067E">
        <w:rPr>
          <w:sz w:val="20"/>
          <w:lang w:val="es-ES_tradnl"/>
        </w:rPr>
        <w:t>2</w:t>
      </w:r>
      <w:r w:rsidR="007B2C29" w:rsidRPr="002C067E">
        <w:rPr>
          <w:sz w:val="20"/>
          <w:lang w:val="es-ES_tradnl"/>
        </w:rPr>
        <w:t>014/15 (</w:t>
      </w:r>
      <w:r w:rsidRPr="002C067E">
        <w:rPr>
          <w:sz w:val="20"/>
          <w:lang w:val="es-ES_tradnl"/>
        </w:rPr>
        <w:t>Sinopsis del marco de r</w:t>
      </w:r>
      <w:r w:rsidR="007B2C29" w:rsidRPr="002C067E">
        <w:rPr>
          <w:sz w:val="20"/>
          <w:lang w:val="es-ES_tradnl"/>
        </w:rPr>
        <w:t>esult</w:t>
      </w:r>
      <w:r w:rsidRPr="002C067E">
        <w:rPr>
          <w:sz w:val="20"/>
          <w:lang w:val="es-ES_tradnl"/>
        </w:rPr>
        <w:t>ado</w:t>
      </w:r>
      <w:r w:rsidR="007B2C29" w:rsidRPr="002C067E">
        <w:rPr>
          <w:sz w:val="20"/>
          <w:lang w:val="es-ES_tradnl"/>
        </w:rPr>
        <w:t>s</w:t>
      </w:r>
      <w:proofErr w:type="gramStart"/>
      <w:r w:rsidR="007B2C29" w:rsidRPr="002C067E">
        <w:rPr>
          <w:sz w:val="20"/>
          <w:lang w:val="es-ES_tradnl"/>
        </w:rPr>
        <w:t xml:space="preserve">: </w:t>
      </w:r>
      <w:r w:rsidRPr="002C067E">
        <w:rPr>
          <w:sz w:val="20"/>
          <w:lang w:val="es-ES_tradnl"/>
        </w:rPr>
        <w:t xml:space="preserve"> véa</w:t>
      </w:r>
      <w:r w:rsidR="007B2C29" w:rsidRPr="002C067E">
        <w:rPr>
          <w:sz w:val="20"/>
          <w:lang w:val="es-ES_tradnl"/>
        </w:rPr>
        <w:t>se</w:t>
      </w:r>
      <w:proofErr w:type="gramEnd"/>
      <w:r w:rsidR="007B2C29" w:rsidRPr="002C067E">
        <w:rPr>
          <w:sz w:val="20"/>
          <w:lang w:val="es-ES_tradnl"/>
        </w:rPr>
        <w:t xml:space="preserve"> </w:t>
      </w:r>
      <w:r w:rsidRPr="002C067E">
        <w:rPr>
          <w:sz w:val="20"/>
          <w:lang w:val="es-ES_tradnl"/>
        </w:rPr>
        <w:t xml:space="preserve">la cuota presupuestaria </w:t>
      </w:r>
      <w:r w:rsidR="007D0F57">
        <w:rPr>
          <w:sz w:val="20"/>
          <w:lang w:val="es-ES_tradnl"/>
        </w:rPr>
        <w:t>asignada a actividades para el</w:t>
      </w:r>
      <w:r w:rsidRPr="002C067E">
        <w:rPr>
          <w:sz w:val="20"/>
          <w:lang w:val="es-ES_tradnl"/>
        </w:rPr>
        <w:t xml:space="preserve"> desarrollo, por </w:t>
      </w:r>
      <w:r w:rsidR="007B2C29" w:rsidRPr="002C067E">
        <w:rPr>
          <w:sz w:val="20"/>
          <w:lang w:val="es-ES_tradnl"/>
        </w:rPr>
        <w:t>result</w:t>
      </w:r>
      <w:r w:rsidRPr="002C067E">
        <w:rPr>
          <w:sz w:val="20"/>
          <w:lang w:val="es-ES_tradnl"/>
        </w:rPr>
        <w:t>ado</w:t>
      </w:r>
      <w:r w:rsidR="007B2C29" w:rsidRPr="002C067E">
        <w:rPr>
          <w:sz w:val="20"/>
          <w:lang w:val="es-ES_tradnl"/>
        </w:rPr>
        <w:t xml:space="preserve">).  </w:t>
      </w:r>
      <w:r w:rsidRPr="002C067E">
        <w:rPr>
          <w:sz w:val="20"/>
          <w:lang w:val="es-ES_tradnl"/>
        </w:rPr>
        <w:t xml:space="preserve">Por lo tanto, durante el bienio se seguirán incorporando las actividades de la OMPI relacionadas con a) el establecimiento de marcos normativos de P.I. en el plano </w:t>
      </w:r>
      <w:r w:rsidRPr="002C067E">
        <w:rPr>
          <w:sz w:val="20"/>
        </w:rPr>
        <w:t>nacional</w:t>
      </w:r>
      <w:r w:rsidR="000B3819" w:rsidRPr="002C067E">
        <w:rPr>
          <w:sz w:val="20"/>
          <w:lang w:val="es-ES_tradnl"/>
        </w:rPr>
        <w:t xml:space="preserve"> que fomenten la creatividad y la innovación</w:t>
      </w:r>
      <w:r w:rsidRPr="002C067E">
        <w:rPr>
          <w:sz w:val="20"/>
          <w:lang w:val="es-ES_tradnl"/>
        </w:rPr>
        <w:t xml:space="preserve"> </w:t>
      </w:r>
      <w:r w:rsidR="00D7676D" w:rsidRPr="002C067E">
        <w:rPr>
          <w:sz w:val="20"/>
          <w:lang w:val="es-ES_tradnl"/>
        </w:rPr>
        <w:t>y reflejen e</w:t>
      </w:r>
      <w:r w:rsidR="00B22442" w:rsidRPr="002C067E">
        <w:rPr>
          <w:sz w:val="20"/>
          <w:lang w:val="es-ES_tradnl"/>
        </w:rPr>
        <w:t>l n</w:t>
      </w:r>
      <w:r w:rsidR="00D7676D" w:rsidRPr="002C067E">
        <w:rPr>
          <w:sz w:val="20"/>
          <w:lang w:val="es-ES_tradnl"/>
        </w:rPr>
        <w:t xml:space="preserve">ivel de desarrollo de unos y otros Estados miembros de la OMPI;  y b) el fortalecimiento de la infraestructura institucional y técnica de las instituciones de P.I. en las </w:t>
      </w:r>
      <w:r w:rsidR="002B4187" w:rsidRPr="002C067E">
        <w:rPr>
          <w:sz w:val="20"/>
          <w:lang w:val="es-ES_tradnl"/>
        </w:rPr>
        <w:t xml:space="preserve">metas estratégicas </w:t>
      </w:r>
      <w:r w:rsidR="00D7676D" w:rsidRPr="002C067E">
        <w:rPr>
          <w:sz w:val="20"/>
          <w:lang w:val="es-ES_tradnl"/>
        </w:rPr>
        <w:t xml:space="preserve">sustantivas </w:t>
      </w:r>
      <w:r w:rsidR="007B2C29" w:rsidRPr="002C067E">
        <w:rPr>
          <w:bCs/>
          <w:color w:val="000000"/>
          <w:sz w:val="20"/>
          <w:lang w:val="es-ES_tradnl"/>
        </w:rPr>
        <w:t xml:space="preserve">I </w:t>
      </w:r>
      <w:r w:rsidR="00D7676D" w:rsidRPr="002C067E">
        <w:rPr>
          <w:bCs/>
          <w:color w:val="000000"/>
          <w:sz w:val="20"/>
          <w:lang w:val="es-ES_tradnl"/>
        </w:rPr>
        <w:t>y </w:t>
      </w:r>
      <w:r w:rsidR="007B2C29" w:rsidRPr="002C067E">
        <w:rPr>
          <w:bCs/>
          <w:color w:val="000000"/>
          <w:sz w:val="20"/>
          <w:lang w:val="es-ES_tradnl"/>
        </w:rPr>
        <w:t>IV, respectiv</w:t>
      </w:r>
      <w:r w:rsidR="00D7676D" w:rsidRPr="002C067E">
        <w:rPr>
          <w:bCs/>
          <w:color w:val="000000"/>
          <w:sz w:val="20"/>
          <w:lang w:val="es-ES_tradnl"/>
        </w:rPr>
        <w:t>ament</w:t>
      </w:r>
      <w:r w:rsidR="007B2C29" w:rsidRPr="002C067E">
        <w:rPr>
          <w:bCs/>
          <w:color w:val="000000"/>
          <w:sz w:val="20"/>
          <w:lang w:val="es-ES_tradnl"/>
        </w:rPr>
        <w:t xml:space="preserve">e, </w:t>
      </w:r>
      <w:r w:rsidR="00D7676D" w:rsidRPr="002C067E">
        <w:rPr>
          <w:bCs/>
          <w:color w:val="000000"/>
          <w:sz w:val="20"/>
          <w:lang w:val="es-ES_tradnl"/>
        </w:rPr>
        <w:t xml:space="preserve">y en los </w:t>
      </w:r>
      <w:r w:rsidR="005B1161" w:rsidRPr="002C067E">
        <w:rPr>
          <w:bCs/>
          <w:color w:val="000000"/>
          <w:sz w:val="20"/>
          <w:lang w:val="es-ES_tradnl"/>
        </w:rPr>
        <w:t xml:space="preserve">correspondientes </w:t>
      </w:r>
      <w:r w:rsidR="002B4187" w:rsidRPr="002C067E">
        <w:rPr>
          <w:bCs/>
          <w:color w:val="000000"/>
          <w:sz w:val="20"/>
          <w:lang w:val="es-ES_tradnl"/>
        </w:rPr>
        <w:t>programas especializado</w:t>
      </w:r>
      <w:r w:rsidR="002C067E" w:rsidRPr="002C067E">
        <w:rPr>
          <w:bCs/>
          <w:color w:val="000000"/>
          <w:sz w:val="20"/>
          <w:lang w:val="es-ES_tradnl"/>
        </w:rPr>
        <w:t>s 1</w:t>
      </w:r>
      <w:r w:rsidR="007B2C29" w:rsidRPr="002C067E">
        <w:rPr>
          <w:bCs/>
          <w:color w:val="000000"/>
          <w:sz w:val="20"/>
          <w:lang w:val="es-ES_tradnl"/>
        </w:rPr>
        <w:t xml:space="preserve">, 2, 3, 14 </w:t>
      </w:r>
      <w:r w:rsidR="00D7676D" w:rsidRPr="002C067E">
        <w:rPr>
          <w:bCs/>
          <w:color w:val="000000"/>
          <w:sz w:val="20"/>
          <w:lang w:val="es-ES_tradnl"/>
        </w:rPr>
        <w:t>y </w:t>
      </w:r>
      <w:r w:rsidR="007B2C29" w:rsidRPr="002C067E">
        <w:rPr>
          <w:bCs/>
          <w:color w:val="000000"/>
          <w:sz w:val="20"/>
          <w:lang w:val="es-ES_tradnl"/>
        </w:rPr>
        <w:t xml:space="preserve">15.  </w:t>
      </w:r>
      <w:r w:rsidR="004103E8" w:rsidRPr="002C067E">
        <w:rPr>
          <w:bCs/>
          <w:color w:val="000000"/>
          <w:sz w:val="20"/>
          <w:lang w:val="es-ES_tradnl"/>
        </w:rPr>
        <w:t>Esto dará lugar a que mejore</w:t>
      </w:r>
      <w:r w:rsidR="00D7676D" w:rsidRPr="002C067E">
        <w:rPr>
          <w:bCs/>
          <w:color w:val="000000"/>
          <w:sz w:val="20"/>
          <w:lang w:val="es-ES_tradnl"/>
        </w:rPr>
        <w:t xml:space="preserve"> la capacidad para ejecutar actividades orientadas al desarrollo en los </w:t>
      </w:r>
      <w:r w:rsidR="00D7676D" w:rsidRPr="002C067E">
        <w:rPr>
          <w:bCs/>
          <w:color w:val="000000"/>
          <w:sz w:val="20"/>
        </w:rPr>
        <w:t>países en desarrollo</w:t>
      </w:r>
      <w:r w:rsidR="00D7676D" w:rsidRPr="002C067E">
        <w:rPr>
          <w:bCs/>
          <w:color w:val="000000"/>
          <w:sz w:val="20"/>
          <w:lang w:val="es-ES_tradnl"/>
        </w:rPr>
        <w:t xml:space="preserve">, PMA y países con economías en transición, </w:t>
      </w:r>
      <w:r w:rsidR="00BC7369" w:rsidRPr="002C067E">
        <w:rPr>
          <w:bCs/>
          <w:color w:val="000000"/>
          <w:sz w:val="20"/>
          <w:lang w:val="es-ES_tradnl"/>
        </w:rPr>
        <w:t xml:space="preserve">desde el punto de vista de la eficacia, la eficiencia, la coordinación y la coherencia, </w:t>
      </w:r>
      <w:r w:rsidR="00D7676D" w:rsidRPr="002C067E">
        <w:rPr>
          <w:bCs/>
          <w:color w:val="000000"/>
          <w:sz w:val="20"/>
          <w:lang w:val="es-ES_tradnl"/>
        </w:rPr>
        <w:t>lo que en definitiva se traducirá en una mayor incidencia en el desarrollo sobre la base de los avances realizados e</w:t>
      </w:r>
      <w:r w:rsidR="007B2C29" w:rsidRPr="002C067E">
        <w:rPr>
          <w:bCs/>
          <w:color w:val="000000"/>
          <w:sz w:val="20"/>
          <w:lang w:val="es-ES_tradnl"/>
        </w:rPr>
        <w:t>n</w:t>
      </w:r>
      <w:r w:rsidR="00D7676D" w:rsidRPr="002C067E">
        <w:rPr>
          <w:bCs/>
          <w:color w:val="000000"/>
          <w:sz w:val="20"/>
          <w:lang w:val="es-ES_tradnl"/>
        </w:rPr>
        <w:t xml:space="preserve"> el bienio</w:t>
      </w:r>
      <w:r w:rsidR="00140657">
        <w:rPr>
          <w:bCs/>
          <w:color w:val="000000"/>
          <w:sz w:val="20"/>
          <w:lang w:val="es-ES_tradnl"/>
        </w:rPr>
        <w:t xml:space="preserve"> </w:t>
      </w:r>
      <w:r w:rsidR="007B2C29" w:rsidRPr="002C067E">
        <w:rPr>
          <w:bCs/>
          <w:color w:val="000000"/>
          <w:sz w:val="20"/>
          <w:lang w:val="es-ES_tradnl"/>
        </w:rPr>
        <w:t xml:space="preserve">2012/13.  </w:t>
      </w:r>
      <w:r w:rsidR="00D7676D" w:rsidRPr="002C067E">
        <w:rPr>
          <w:bCs/>
          <w:color w:val="000000"/>
          <w:sz w:val="20"/>
          <w:lang w:val="es-ES_tradnl"/>
        </w:rPr>
        <w:t xml:space="preserve">De ese modo, se fortalecerá el modelo establecido para ejecutar las actividades y, por una parte, los </w:t>
      </w:r>
      <w:r w:rsidR="00751475">
        <w:rPr>
          <w:bCs/>
          <w:color w:val="000000"/>
          <w:sz w:val="20"/>
          <w:lang w:val="es-ES_tradnl"/>
        </w:rPr>
        <w:t>programas</w:t>
      </w:r>
      <w:r w:rsidR="00D7676D" w:rsidRPr="002C067E">
        <w:rPr>
          <w:bCs/>
          <w:color w:val="000000"/>
          <w:sz w:val="20"/>
          <w:lang w:val="es-ES_tradnl"/>
        </w:rPr>
        <w:t xml:space="preserve"> especializados aportarán los conocimientos técnicos y sustantivos necesarios para la puesta en práctica de las actividades de desarrollo.  Por otra parte, las oficinas regionales</w:t>
      </w:r>
      <w:r w:rsidR="00096B4A">
        <w:rPr>
          <w:bCs/>
          <w:color w:val="000000"/>
          <w:sz w:val="20"/>
          <w:lang w:val="es-ES_tradnl"/>
        </w:rPr>
        <w:t xml:space="preserve"> en la sede</w:t>
      </w:r>
      <w:r w:rsidR="00D7676D" w:rsidRPr="002C067E">
        <w:rPr>
          <w:bCs/>
          <w:color w:val="000000"/>
          <w:sz w:val="20"/>
          <w:lang w:val="es-ES_tradnl"/>
        </w:rPr>
        <w:t xml:space="preserve"> y las divisiones para determinados países de </w:t>
      </w:r>
      <w:r w:rsidR="007B2C29" w:rsidRPr="002C067E">
        <w:rPr>
          <w:sz w:val="20"/>
          <w:lang w:val="es-ES_tradnl"/>
        </w:rPr>
        <w:t>Europ</w:t>
      </w:r>
      <w:r w:rsidR="00D7676D" w:rsidRPr="002C067E">
        <w:rPr>
          <w:sz w:val="20"/>
          <w:lang w:val="es-ES_tradnl"/>
        </w:rPr>
        <w:t>a</w:t>
      </w:r>
      <w:r w:rsidR="007B2C29" w:rsidRPr="002C067E">
        <w:rPr>
          <w:sz w:val="20"/>
          <w:lang w:val="es-ES_tradnl"/>
        </w:rPr>
        <w:t xml:space="preserve"> </w:t>
      </w:r>
      <w:r w:rsidR="00D7676D" w:rsidRPr="002C067E">
        <w:rPr>
          <w:sz w:val="20"/>
          <w:lang w:val="es-ES_tradnl"/>
        </w:rPr>
        <w:t xml:space="preserve">y </w:t>
      </w:r>
      <w:r w:rsidR="007B2C29" w:rsidRPr="002C067E">
        <w:rPr>
          <w:sz w:val="20"/>
          <w:lang w:val="es-ES_tradnl"/>
        </w:rPr>
        <w:t xml:space="preserve">Asia </w:t>
      </w:r>
      <w:r w:rsidR="00D7676D" w:rsidRPr="002C067E">
        <w:rPr>
          <w:sz w:val="20"/>
          <w:lang w:val="es-ES_tradnl"/>
        </w:rPr>
        <w:t xml:space="preserve">y para los PMA seguirán encargándose de la planificación y la programación en el plano </w:t>
      </w:r>
      <w:r w:rsidR="00D7676D" w:rsidRPr="002C067E">
        <w:rPr>
          <w:sz w:val="20"/>
        </w:rPr>
        <w:t>nacional</w:t>
      </w:r>
      <w:r w:rsidR="00D7676D" w:rsidRPr="002C067E">
        <w:rPr>
          <w:sz w:val="20"/>
          <w:lang w:val="es-ES_tradnl"/>
        </w:rPr>
        <w:t xml:space="preserve">, en estrecha cooperación con los países interesados, y se responsabilizarán de la coordinación general de las actividades que </w:t>
      </w:r>
      <w:r w:rsidR="00096B4A">
        <w:rPr>
          <w:sz w:val="20"/>
          <w:lang w:val="es-ES_tradnl"/>
        </w:rPr>
        <w:t>figuren</w:t>
      </w:r>
      <w:r w:rsidR="00D7676D" w:rsidRPr="002C067E">
        <w:rPr>
          <w:sz w:val="20"/>
          <w:lang w:val="es-ES_tradnl"/>
        </w:rPr>
        <w:t xml:space="preserve"> en los planes </w:t>
      </w:r>
      <w:r w:rsidR="00D7676D" w:rsidRPr="002C067E">
        <w:rPr>
          <w:sz w:val="20"/>
        </w:rPr>
        <w:t>nacional</w:t>
      </w:r>
      <w:r w:rsidR="00D7676D" w:rsidRPr="002C067E">
        <w:rPr>
          <w:sz w:val="20"/>
          <w:lang w:val="es-ES_tradnl"/>
        </w:rPr>
        <w:t>es</w:t>
      </w:r>
      <w:r w:rsidR="005B1161" w:rsidRPr="002C067E">
        <w:rPr>
          <w:sz w:val="20"/>
          <w:lang w:val="es-ES_tradnl"/>
        </w:rPr>
        <w:t xml:space="preserve"> de cada país</w:t>
      </w:r>
      <w:r w:rsidR="007B2C29" w:rsidRPr="002C067E">
        <w:rPr>
          <w:sz w:val="20"/>
          <w:lang w:val="es-ES_tradnl"/>
        </w:rPr>
        <w:t>.</w:t>
      </w:r>
    </w:p>
    <w:p w:rsidR="007B2C29" w:rsidRPr="002C067E" w:rsidRDefault="007B2C29" w:rsidP="006E3E3C">
      <w:pPr>
        <w:jc w:val="both"/>
        <w:rPr>
          <w:sz w:val="20"/>
          <w:lang w:val="es-ES_tradnl"/>
        </w:rPr>
      </w:pPr>
    </w:p>
    <w:p w:rsidR="00B22442" w:rsidRPr="002C067E" w:rsidRDefault="00D7676D" w:rsidP="006E3E3C">
      <w:pPr>
        <w:numPr>
          <w:ilvl w:val="0"/>
          <w:numId w:val="4"/>
        </w:numPr>
        <w:tabs>
          <w:tab w:val="clear" w:pos="360"/>
          <w:tab w:val="num" w:pos="0"/>
        </w:tabs>
        <w:ind w:left="0" w:firstLine="0"/>
        <w:jc w:val="both"/>
        <w:rPr>
          <w:sz w:val="20"/>
          <w:lang w:val="es-ES_tradnl"/>
        </w:rPr>
      </w:pPr>
      <w:r w:rsidRPr="002C067E">
        <w:rPr>
          <w:sz w:val="20"/>
          <w:lang w:val="es-ES_tradnl"/>
        </w:rPr>
        <w:t xml:space="preserve">Las recomendaciones de la </w:t>
      </w:r>
      <w:r w:rsidR="0050634B">
        <w:rPr>
          <w:sz w:val="20"/>
          <w:lang w:val="es-ES_tradnl"/>
        </w:rPr>
        <w:t>A.D.</w:t>
      </w:r>
      <w:r w:rsidRPr="002C067E">
        <w:rPr>
          <w:sz w:val="20"/>
          <w:lang w:val="es-ES_tradnl"/>
        </w:rPr>
        <w:t xml:space="preserve"> siguen orientando las actividades de la OMPI</w:t>
      </w:r>
      <w:r w:rsidR="00751475">
        <w:rPr>
          <w:sz w:val="20"/>
          <w:lang w:val="es-ES_tradnl"/>
        </w:rPr>
        <w:t xml:space="preserve"> en el ámbito del desarrollo</w:t>
      </w:r>
      <w:r w:rsidRPr="002C067E">
        <w:rPr>
          <w:sz w:val="20"/>
          <w:lang w:val="es-ES_tradnl"/>
        </w:rPr>
        <w:t xml:space="preserve">.  Los vínculos existentes entre los programas y las recomendaciones de la </w:t>
      </w:r>
      <w:r w:rsidR="00B96879">
        <w:rPr>
          <w:sz w:val="20"/>
          <w:szCs w:val="24"/>
          <w:lang w:val="es-ES_tradnl"/>
        </w:rPr>
        <w:t xml:space="preserve">A.D. </w:t>
      </w:r>
      <w:r w:rsidRPr="002C067E">
        <w:rPr>
          <w:sz w:val="20"/>
          <w:lang w:val="es-ES_tradnl"/>
        </w:rPr>
        <w:t xml:space="preserve">se reflejan de forma detallada en cada reseña de programa.  Se han incorporado los </w:t>
      </w:r>
      <w:r w:rsidRPr="002C067E">
        <w:rPr>
          <w:snapToGrid w:val="0"/>
          <w:sz w:val="20"/>
          <w:lang w:val="es-ES_tradnl"/>
        </w:rPr>
        <w:t xml:space="preserve">proyectos de la </w:t>
      </w:r>
      <w:r w:rsidRPr="002C067E">
        <w:rPr>
          <w:snapToGrid w:val="0"/>
          <w:sz w:val="20"/>
          <w:szCs w:val="24"/>
          <w:lang w:val="es-ES_tradnl"/>
        </w:rPr>
        <w:t>Agenda para el Desarrollo</w:t>
      </w:r>
      <w:r w:rsidRPr="002C067E">
        <w:rPr>
          <w:snapToGrid w:val="0"/>
          <w:sz w:val="20"/>
          <w:lang w:val="es-ES_tradnl"/>
        </w:rPr>
        <w:t xml:space="preserve"> en lo que atañe al contenido y a los recursos de cada programa en concordancia con el proceso presupuestario </w:t>
      </w:r>
      <w:r w:rsidR="00987E05" w:rsidRPr="002C067E">
        <w:rPr>
          <w:snapToGrid w:val="0"/>
          <w:sz w:val="20"/>
          <w:lang w:val="es-ES_tradnl"/>
        </w:rPr>
        <w:t>aplicado a</w:t>
      </w:r>
      <w:r w:rsidRPr="002C067E">
        <w:rPr>
          <w:snapToGrid w:val="0"/>
          <w:sz w:val="20"/>
          <w:lang w:val="es-ES_tradnl"/>
        </w:rPr>
        <w:t xml:space="preserve"> los proyectos propuestos por el Comité de Desarrollo y Propiedad Intelectual</w:t>
      </w:r>
      <w:r w:rsidRPr="002C067E">
        <w:rPr>
          <w:sz w:val="20"/>
          <w:lang w:val="es-ES_tradnl"/>
        </w:rPr>
        <w:t xml:space="preserve"> </w:t>
      </w:r>
      <w:r w:rsidR="009C183C" w:rsidRPr="002C067E">
        <w:rPr>
          <w:sz w:val="20"/>
          <w:lang w:val="es-ES_tradnl"/>
        </w:rPr>
        <w:t>(</w:t>
      </w:r>
      <w:r w:rsidR="007B2C29" w:rsidRPr="002C067E">
        <w:rPr>
          <w:sz w:val="20"/>
          <w:lang w:val="es-ES_tradnl"/>
        </w:rPr>
        <w:t xml:space="preserve">CDIP) </w:t>
      </w:r>
      <w:r w:rsidRPr="002C067E">
        <w:rPr>
          <w:sz w:val="20"/>
          <w:lang w:val="es-ES_tradnl"/>
        </w:rPr>
        <w:t xml:space="preserve">para </w:t>
      </w:r>
      <w:r w:rsidR="00744E7E" w:rsidRPr="002C067E">
        <w:rPr>
          <w:sz w:val="20"/>
          <w:lang w:val="es-ES_tradnl"/>
        </w:rPr>
        <w:t xml:space="preserve">dar aplicación a </w:t>
      </w:r>
      <w:r w:rsidRPr="002C067E">
        <w:rPr>
          <w:sz w:val="20"/>
          <w:lang w:val="es-ES_tradnl"/>
        </w:rPr>
        <w:t xml:space="preserve">las recomendaciones de la </w:t>
      </w:r>
      <w:r w:rsidR="00B96879">
        <w:rPr>
          <w:sz w:val="20"/>
          <w:szCs w:val="24"/>
          <w:lang w:val="es-ES_tradnl"/>
        </w:rPr>
        <w:t>A.D.</w:t>
      </w:r>
      <w:r w:rsidRPr="002C067E">
        <w:rPr>
          <w:sz w:val="20"/>
          <w:lang w:val="es-ES_tradnl"/>
        </w:rPr>
        <w:t xml:space="preserve"> aprobadas por las Asambleas de la OMPI e</w:t>
      </w:r>
      <w:r w:rsidR="007B2C29" w:rsidRPr="002C067E">
        <w:rPr>
          <w:sz w:val="20"/>
          <w:lang w:val="es-ES_tradnl"/>
        </w:rPr>
        <w:t>n</w:t>
      </w:r>
      <w:r w:rsidR="00140657">
        <w:rPr>
          <w:sz w:val="20"/>
          <w:lang w:val="es-ES_tradnl"/>
        </w:rPr>
        <w:t xml:space="preserve"> </w:t>
      </w:r>
      <w:r w:rsidR="007B2C29" w:rsidRPr="002C067E">
        <w:rPr>
          <w:sz w:val="20"/>
          <w:lang w:val="es-ES_tradnl"/>
        </w:rPr>
        <w:t>2010</w:t>
      </w:r>
      <w:r w:rsidR="00DF7F45" w:rsidRPr="002C067E">
        <w:rPr>
          <w:sz w:val="20"/>
          <w:lang w:val="es-ES_tradnl"/>
        </w:rPr>
        <w:t>.</w:t>
      </w:r>
      <w:r w:rsidR="00DF7F45" w:rsidRPr="002C067E">
        <w:rPr>
          <w:rStyle w:val="FootnoteReference"/>
          <w:sz w:val="20"/>
        </w:rPr>
        <w:footnoteReference w:id="4"/>
      </w:r>
      <w:r w:rsidR="007B2C29" w:rsidRPr="002C067E">
        <w:rPr>
          <w:sz w:val="20"/>
          <w:lang w:val="es-ES_tradnl"/>
        </w:rPr>
        <w:t xml:space="preserve">  </w:t>
      </w:r>
      <w:r w:rsidR="000B4DFA" w:rsidRPr="002C067E">
        <w:rPr>
          <w:sz w:val="20"/>
          <w:lang w:val="es-ES_tradnl"/>
        </w:rPr>
        <w:t>A</w:t>
      </w:r>
      <w:r w:rsidR="005A3E11" w:rsidRPr="002C067E">
        <w:rPr>
          <w:sz w:val="20"/>
          <w:lang w:val="es-ES_tradnl"/>
        </w:rPr>
        <w:t>l a</w:t>
      </w:r>
      <w:r w:rsidR="000B4DFA" w:rsidRPr="002C067E">
        <w:rPr>
          <w:sz w:val="20"/>
          <w:lang w:val="es-ES_tradnl"/>
        </w:rPr>
        <w:t xml:space="preserve">plicar una metodología coherente de gestión y evaluación </w:t>
      </w:r>
      <w:r w:rsidR="006F3701" w:rsidRPr="002C067E">
        <w:rPr>
          <w:sz w:val="20"/>
          <w:lang w:val="es-ES_tradnl"/>
        </w:rPr>
        <w:t xml:space="preserve">de </w:t>
      </w:r>
      <w:r w:rsidR="000B4DFA" w:rsidRPr="002C067E">
        <w:rPr>
          <w:sz w:val="20"/>
          <w:lang w:val="es-ES_tradnl"/>
        </w:rPr>
        <w:t xml:space="preserve">los proyectos de la </w:t>
      </w:r>
      <w:r w:rsidR="00B96879">
        <w:rPr>
          <w:sz w:val="20"/>
          <w:szCs w:val="24"/>
          <w:lang w:val="es-ES_tradnl"/>
        </w:rPr>
        <w:t>A.D.</w:t>
      </w:r>
      <w:r w:rsidR="000B4DFA" w:rsidRPr="002C067E">
        <w:rPr>
          <w:sz w:val="20"/>
          <w:lang w:val="es-ES_tradnl"/>
        </w:rPr>
        <w:t xml:space="preserve"> </w:t>
      </w:r>
      <w:r w:rsidR="005A3E11" w:rsidRPr="002C067E">
        <w:rPr>
          <w:sz w:val="20"/>
          <w:lang w:val="es-ES_tradnl"/>
        </w:rPr>
        <w:t xml:space="preserve">se seguirá velando </w:t>
      </w:r>
      <w:r w:rsidR="000B4DFA" w:rsidRPr="002C067E">
        <w:rPr>
          <w:sz w:val="20"/>
          <w:lang w:val="es-ES_tradnl"/>
        </w:rPr>
        <w:t xml:space="preserve">por extraer las enseñanzas adecuadas de los proyectos antes de emprender </w:t>
      </w:r>
      <w:r w:rsidR="006F3701" w:rsidRPr="002C067E">
        <w:rPr>
          <w:sz w:val="20"/>
          <w:lang w:val="es-ES_tradnl"/>
        </w:rPr>
        <w:t xml:space="preserve">nuevas </w:t>
      </w:r>
      <w:r w:rsidR="005A3E11" w:rsidRPr="002C067E">
        <w:rPr>
          <w:sz w:val="20"/>
          <w:lang w:val="es-ES_tradnl"/>
        </w:rPr>
        <w:t xml:space="preserve">fases </w:t>
      </w:r>
      <w:r w:rsidR="000B4DFA" w:rsidRPr="002C067E">
        <w:rPr>
          <w:sz w:val="20"/>
          <w:lang w:val="es-ES_tradnl"/>
        </w:rPr>
        <w:t xml:space="preserve">de </w:t>
      </w:r>
      <w:r w:rsidR="006F3701" w:rsidRPr="002C067E">
        <w:rPr>
          <w:sz w:val="20"/>
          <w:lang w:val="es-ES_tradnl"/>
        </w:rPr>
        <w:t>ejecución</w:t>
      </w:r>
      <w:r w:rsidR="000B4DFA" w:rsidRPr="002C067E">
        <w:rPr>
          <w:sz w:val="20"/>
          <w:lang w:val="es-ES_tradnl"/>
        </w:rPr>
        <w:t>, previa aprobación del CDIP, o de incorporar actividades de proyectos en las actividades regulares de la Organización</w:t>
      </w:r>
      <w:r w:rsidR="00B22442" w:rsidRPr="002C067E">
        <w:rPr>
          <w:sz w:val="20"/>
          <w:lang w:val="es-ES_tradnl"/>
        </w:rPr>
        <w:t>.</w:t>
      </w:r>
    </w:p>
    <w:p w:rsidR="0056454F" w:rsidRPr="002C067E" w:rsidRDefault="0056454F" w:rsidP="006E3E3C">
      <w:pPr>
        <w:jc w:val="both"/>
        <w:rPr>
          <w:sz w:val="20"/>
          <w:lang w:val="es-ES_tradnl"/>
        </w:rPr>
      </w:pPr>
    </w:p>
    <w:p w:rsidR="00F97297" w:rsidRPr="002C067E" w:rsidRDefault="00F97297" w:rsidP="006E3E3C">
      <w:pPr>
        <w:numPr>
          <w:ilvl w:val="0"/>
          <w:numId w:val="4"/>
        </w:numPr>
        <w:tabs>
          <w:tab w:val="clear" w:pos="360"/>
          <w:tab w:val="num" w:pos="0"/>
        </w:tabs>
        <w:ind w:left="0" w:firstLine="0"/>
        <w:jc w:val="both"/>
        <w:rPr>
          <w:rFonts w:eastAsia="MS Mincho"/>
          <w:sz w:val="20"/>
          <w:lang w:bidi="th-TH"/>
        </w:rPr>
      </w:pPr>
      <w:r w:rsidRPr="002C067E">
        <w:rPr>
          <w:sz w:val="20"/>
        </w:rPr>
        <w:t xml:space="preserve">La OMPI seguirá prestando apoyo a la aplicación de la Declaración del Milenio.  Asimismo, fomentará su participación </w:t>
      </w:r>
      <w:r w:rsidR="004A44C4" w:rsidRPr="002C067E">
        <w:rPr>
          <w:sz w:val="20"/>
        </w:rPr>
        <w:t xml:space="preserve">junto </w:t>
      </w:r>
      <w:r w:rsidRPr="002C067E">
        <w:rPr>
          <w:sz w:val="20"/>
        </w:rPr>
        <w:t xml:space="preserve">con el sistema de las </w:t>
      </w:r>
      <w:r w:rsidR="004A44C4" w:rsidRPr="002C067E">
        <w:rPr>
          <w:sz w:val="20"/>
        </w:rPr>
        <w:t xml:space="preserve">NN.UU. </w:t>
      </w:r>
      <w:r w:rsidRPr="002C067E">
        <w:rPr>
          <w:sz w:val="20"/>
        </w:rPr>
        <w:t xml:space="preserve">y otras partes interesadas en el proceso de la </w:t>
      </w:r>
      <w:r w:rsidRPr="002C067E">
        <w:rPr>
          <w:sz w:val="20"/>
          <w:szCs w:val="24"/>
        </w:rPr>
        <w:t>Agenda para el Desarrollo</w:t>
      </w:r>
      <w:r w:rsidRPr="002C067E">
        <w:rPr>
          <w:sz w:val="20"/>
        </w:rPr>
        <w:t xml:space="preserve"> posterior a</w:t>
      </w:r>
      <w:r w:rsidR="00751475">
        <w:rPr>
          <w:sz w:val="20"/>
        </w:rPr>
        <w:t xml:space="preserve"> </w:t>
      </w:r>
      <w:r w:rsidRPr="002C067E">
        <w:rPr>
          <w:sz w:val="20"/>
        </w:rPr>
        <w:t>2015 a fin de velar por que el marco posterior a 2015 refleje apropiadamente la contribución que pueden efectuar la ciencia, la tecnología y la innovación al desarrollo sostenible.</w:t>
      </w:r>
    </w:p>
    <w:p w:rsidR="007B2C29" w:rsidRPr="002C067E" w:rsidRDefault="007B2C29" w:rsidP="006E3E3C">
      <w:pPr>
        <w:jc w:val="both"/>
        <w:rPr>
          <w:sz w:val="20"/>
        </w:rPr>
      </w:pPr>
    </w:p>
    <w:p w:rsidR="007B2C29" w:rsidRPr="002C067E" w:rsidRDefault="002A5635" w:rsidP="006E3E3C">
      <w:pPr>
        <w:numPr>
          <w:ilvl w:val="0"/>
          <w:numId w:val="4"/>
        </w:numPr>
        <w:tabs>
          <w:tab w:val="clear" w:pos="360"/>
          <w:tab w:val="num" w:pos="0"/>
        </w:tabs>
        <w:ind w:left="0" w:firstLine="0"/>
        <w:jc w:val="both"/>
        <w:rPr>
          <w:sz w:val="20"/>
        </w:rPr>
      </w:pPr>
      <w:r w:rsidRPr="002C067E">
        <w:rPr>
          <w:sz w:val="20"/>
        </w:rPr>
        <w:t>S</w:t>
      </w:r>
      <w:r w:rsidR="00F97297" w:rsidRPr="002C067E">
        <w:rPr>
          <w:sz w:val="20"/>
        </w:rPr>
        <w:t xml:space="preserve">e han vuelto a afinar y consolidar </w:t>
      </w:r>
      <w:r w:rsidRPr="002C067E">
        <w:rPr>
          <w:sz w:val="20"/>
        </w:rPr>
        <w:t xml:space="preserve">los resultados previstos a nivel de la </w:t>
      </w:r>
      <w:r w:rsidRPr="002C067E">
        <w:rPr>
          <w:sz w:val="20"/>
          <w:lang w:eastAsia="fr-FR"/>
        </w:rPr>
        <w:t>Organización</w:t>
      </w:r>
      <w:r w:rsidRPr="002C067E">
        <w:rPr>
          <w:sz w:val="20"/>
        </w:rPr>
        <w:t xml:space="preserve"> </w:t>
      </w:r>
      <w:r w:rsidR="00751475">
        <w:rPr>
          <w:sz w:val="20"/>
        </w:rPr>
        <w:t xml:space="preserve">en comparación con el bienio </w:t>
      </w:r>
      <w:r w:rsidR="007B2C29" w:rsidRPr="002C067E">
        <w:rPr>
          <w:sz w:val="20"/>
        </w:rPr>
        <w:t xml:space="preserve">2012/13. </w:t>
      </w:r>
      <w:r w:rsidR="00F97297" w:rsidRPr="002C067E">
        <w:rPr>
          <w:sz w:val="20"/>
        </w:rPr>
        <w:t xml:space="preserve"> E</w:t>
      </w:r>
      <w:r w:rsidR="004A44C4" w:rsidRPr="002C067E">
        <w:rPr>
          <w:sz w:val="20"/>
        </w:rPr>
        <w:t>n e</w:t>
      </w:r>
      <w:r w:rsidR="00751475">
        <w:rPr>
          <w:sz w:val="20"/>
        </w:rPr>
        <w:t xml:space="preserve">l marco de resultados para </w:t>
      </w:r>
      <w:r w:rsidR="007B2C29" w:rsidRPr="002C067E">
        <w:rPr>
          <w:sz w:val="20"/>
        </w:rPr>
        <w:t xml:space="preserve">2014/15 </w:t>
      </w:r>
      <w:r w:rsidR="004A44C4" w:rsidRPr="002C067E">
        <w:rPr>
          <w:sz w:val="20"/>
        </w:rPr>
        <w:t xml:space="preserve">se </w:t>
      </w:r>
      <w:r w:rsidR="00F97297" w:rsidRPr="002C067E">
        <w:rPr>
          <w:sz w:val="20"/>
        </w:rPr>
        <w:t>expone</w:t>
      </w:r>
      <w:r w:rsidR="004A44C4" w:rsidRPr="002C067E">
        <w:rPr>
          <w:sz w:val="20"/>
        </w:rPr>
        <w:t>n</w:t>
      </w:r>
      <w:r w:rsidR="00F97297" w:rsidRPr="002C067E">
        <w:rPr>
          <w:sz w:val="20"/>
        </w:rPr>
        <w:t> </w:t>
      </w:r>
      <w:r w:rsidR="007B2C29" w:rsidRPr="002C067E">
        <w:rPr>
          <w:sz w:val="20"/>
        </w:rPr>
        <w:t>3</w:t>
      </w:r>
      <w:r w:rsidR="0068453F">
        <w:rPr>
          <w:sz w:val="20"/>
        </w:rPr>
        <w:t>8</w:t>
      </w:r>
      <w:r w:rsidR="007B2C29" w:rsidRPr="002C067E">
        <w:rPr>
          <w:sz w:val="20"/>
        </w:rPr>
        <w:t xml:space="preserve"> </w:t>
      </w:r>
      <w:r w:rsidR="00F97297" w:rsidRPr="002C067E">
        <w:rPr>
          <w:sz w:val="20"/>
        </w:rPr>
        <w:t xml:space="preserve">resultados previstos en el seno de la </w:t>
      </w:r>
      <w:r w:rsidR="00F97297" w:rsidRPr="002C067E">
        <w:rPr>
          <w:sz w:val="20"/>
          <w:lang w:eastAsia="fr-FR"/>
        </w:rPr>
        <w:t>Organización</w:t>
      </w:r>
      <w:r w:rsidR="00F97297" w:rsidRPr="002C067E">
        <w:rPr>
          <w:sz w:val="20"/>
        </w:rPr>
        <w:t xml:space="preserve"> </w:t>
      </w:r>
      <w:r w:rsidR="004A44C4" w:rsidRPr="002C067E">
        <w:rPr>
          <w:sz w:val="20"/>
        </w:rPr>
        <w:t xml:space="preserve">de manera </w:t>
      </w:r>
      <w:r w:rsidR="001004B0" w:rsidRPr="002C067E">
        <w:rPr>
          <w:sz w:val="20"/>
        </w:rPr>
        <w:t>consistente</w:t>
      </w:r>
      <w:r w:rsidR="00C11DD4" w:rsidRPr="002C067E">
        <w:rPr>
          <w:sz w:val="20"/>
        </w:rPr>
        <w:t>, con lo</w:t>
      </w:r>
      <w:r w:rsidR="004A44C4" w:rsidRPr="002C067E">
        <w:rPr>
          <w:sz w:val="20"/>
        </w:rPr>
        <w:t xml:space="preserve"> </w:t>
      </w:r>
      <w:r w:rsidR="00F97297" w:rsidRPr="002C067E">
        <w:rPr>
          <w:sz w:val="20"/>
        </w:rPr>
        <w:t xml:space="preserve">que </w:t>
      </w:r>
      <w:r w:rsidR="00C11DD4" w:rsidRPr="002C067E">
        <w:rPr>
          <w:sz w:val="20"/>
        </w:rPr>
        <w:t>se proporciona</w:t>
      </w:r>
      <w:r w:rsidR="00F97297" w:rsidRPr="002C067E">
        <w:rPr>
          <w:sz w:val="20"/>
        </w:rPr>
        <w:t xml:space="preserve"> un mandato más claro y unas pautas más concretas a los programas que contribuyen a la consecución de esos resultados</w:t>
      </w:r>
      <w:r w:rsidR="007B2C29" w:rsidRPr="002C067E">
        <w:rPr>
          <w:sz w:val="20"/>
        </w:rPr>
        <w:t xml:space="preserve">.  </w:t>
      </w:r>
      <w:r w:rsidR="00F97297" w:rsidRPr="002C067E">
        <w:rPr>
          <w:sz w:val="20"/>
        </w:rPr>
        <w:t xml:space="preserve">La sinopsis del marco de resultados </w:t>
      </w:r>
      <w:r w:rsidR="001004B0" w:rsidRPr="002C067E">
        <w:rPr>
          <w:sz w:val="20"/>
        </w:rPr>
        <w:t xml:space="preserve">también </w:t>
      </w:r>
      <w:r w:rsidR="00F97297" w:rsidRPr="002C067E">
        <w:rPr>
          <w:sz w:val="20"/>
        </w:rPr>
        <w:t xml:space="preserve">aporta una perspectiva </w:t>
      </w:r>
      <w:r w:rsidR="004A44C4" w:rsidRPr="002C067E">
        <w:rPr>
          <w:sz w:val="20"/>
        </w:rPr>
        <w:t xml:space="preserve">del presupuesto </w:t>
      </w:r>
      <w:r w:rsidR="00F97297" w:rsidRPr="002C067E">
        <w:rPr>
          <w:sz w:val="20"/>
        </w:rPr>
        <w:t>para el bienio</w:t>
      </w:r>
      <w:r w:rsidR="00751475">
        <w:rPr>
          <w:sz w:val="20"/>
        </w:rPr>
        <w:t xml:space="preserve"> </w:t>
      </w:r>
      <w:r w:rsidR="007B2C29" w:rsidRPr="002C067E">
        <w:rPr>
          <w:sz w:val="20"/>
        </w:rPr>
        <w:t xml:space="preserve">2014/15 </w:t>
      </w:r>
      <w:r w:rsidR="00074276" w:rsidRPr="002C067E">
        <w:rPr>
          <w:sz w:val="20"/>
        </w:rPr>
        <w:t xml:space="preserve">basada en los resultados, </w:t>
      </w:r>
      <w:r w:rsidR="00F97297" w:rsidRPr="002C067E">
        <w:rPr>
          <w:sz w:val="20"/>
        </w:rPr>
        <w:t>así</w:t>
      </w:r>
      <w:r w:rsidR="007D0F57">
        <w:rPr>
          <w:sz w:val="20"/>
        </w:rPr>
        <w:t xml:space="preserve"> como información sobre el porcentaje de los recursos</w:t>
      </w:r>
      <w:r w:rsidR="00F97297" w:rsidRPr="002C067E">
        <w:rPr>
          <w:sz w:val="20"/>
        </w:rPr>
        <w:t xml:space="preserve"> </w:t>
      </w:r>
      <w:r w:rsidR="007D0F57">
        <w:rPr>
          <w:sz w:val="20"/>
        </w:rPr>
        <w:t>asignados</w:t>
      </w:r>
      <w:r w:rsidR="00F97297" w:rsidRPr="002C067E">
        <w:rPr>
          <w:sz w:val="20"/>
        </w:rPr>
        <w:t xml:space="preserve"> a</w:t>
      </w:r>
      <w:r w:rsidR="007D0F57">
        <w:rPr>
          <w:sz w:val="20"/>
        </w:rPr>
        <w:t xml:space="preserve"> actividades para e</w:t>
      </w:r>
      <w:r w:rsidR="00F97297" w:rsidRPr="002C067E">
        <w:rPr>
          <w:sz w:val="20"/>
        </w:rPr>
        <w:t xml:space="preserve">l desarrollo, por resultado.  Además, </w:t>
      </w:r>
      <w:r w:rsidR="005A3E11" w:rsidRPr="002C067E">
        <w:rPr>
          <w:sz w:val="20"/>
        </w:rPr>
        <w:t xml:space="preserve">en cada uno de los </w:t>
      </w:r>
      <w:r w:rsidR="00F97297" w:rsidRPr="002C067E">
        <w:rPr>
          <w:sz w:val="20"/>
        </w:rPr>
        <w:t>programa</w:t>
      </w:r>
      <w:r w:rsidR="005A3E11" w:rsidRPr="002C067E">
        <w:rPr>
          <w:sz w:val="20"/>
        </w:rPr>
        <w:t>s</w:t>
      </w:r>
      <w:r w:rsidR="00F97297" w:rsidRPr="002C067E">
        <w:rPr>
          <w:sz w:val="20"/>
        </w:rPr>
        <w:t xml:space="preserve"> </w:t>
      </w:r>
      <w:r w:rsidR="005A3E11" w:rsidRPr="002C067E">
        <w:rPr>
          <w:sz w:val="20"/>
        </w:rPr>
        <w:t xml:space="preserve">y </w:t>
      </w:r>
      <w:r w:rsidR="00F97297" w:rsidRPr="002C067E">
        <w:rPr>
          <w:sz w:val="20"/>
        </w:rPr>
        <w:t xml:space="preserve">en </w:t>
      </w:r>
      <w:r w:rsidR="00751475">
        <w:rPr>
          <w:sz w:val="20"/>
        </w:rPr>
        <w:t xml:space="preserve">el Anexo </w:t>
      </w:r>
      <w:r w:rsidR="00F97297" w:rsidRPr="002C067E">
        <w:rPr>
          <w:sz w:val="20"/>
        </w:rPr>
        <w:t>V</w:t>
      </w:r>
      <w:r w:rsidR="0068453F">
        <w:rPr>
          <w:sz w:val="20"/>
        </w:rPr>
        <w:t>III</w:t>
      </w:r>
      <w:r w:rsidR="00F97297" w:rsidRPr="002C067E">
        <w:rPr>
          <w:sz w:val="20"/>
        </w:rPr>
        <w:t xml:space="preserve"> figura un desglose de los recursos extrapresupuestarios </w:t>
      </w:r>
      <w:r w:rsidR="005A3E11" w:rsidRPr="002C067E">
        <w:rPr>
          <w:sz w:val="20"/>
        </w:rPr>
        <w:t>de que se podría disponer</w:t>
      </w:r>
      <w:r w:rsidR="00F97297" w:rsidRPr="002C067E">
        <w:rPr>
          <w:sz w:val="20"/>
        </w:rPr>
        <w:t xml:space="preserve"> en cada programa.</w:t>
      </w:r>
    </w:p>
    <w:p w:rsidR="007B2C29" w:rsidRPr="002C067E" w:rsidRDefault="007B2C29" w:rsidP="006E3E3C">
      <w:pPr>
        <w:jc w:val="both"/>
        <w:rPr>
          <w:bCs/>
          <w:color w:val="000000"/>
          <w:sz w:val="20"/>
        </w:rPr>
      </w:pPr>
    </w:p>
    <w:p w:rsidR="00F97297" w:rsidRPr="002C067E" w:rsidRDefault="00F97297" w:rsidP="00751475">
      <w:pPr>
        <w:numPr>
          <w:ilvl w:val="0"/>
          <w:numId w:val="4"/>
        </w:numPr>
        <w:tabs>
          <w:tab w:val="clear" w:pos="360"/>
          <w:tab w:val="num" w:pos="0"/>
        </w:tabs>
        <w:ind w:left="0" w:firstLine="0"/>
        <w:jc w:val="both"/>
        <w:rPr>
          <w:sz w:val="20"/>
        </w:rPr>
      </w:pPr>
      <w:r w:rsidRPr="002C067E">
        <w:rPr>
          <w:sz w:val="20"/>
        </w:rPr>
        <w:lastRenderedPageBreak/>
        <w:t xml:space="preserve">Se han efectuado otras mejoras en los </w:t>
      </w:r>
      <w:r w:rsidR="009C183C" w:rsidRPr="002C067E">
        <w:rPr>
          <w:sz w:val="20"/>
        </w:rPr>
        <w:t>parámetros</w:t>
      </w:r>
      <w:r w:rsidRPr="002C067E">
        <w:rPr>
          <w:sz w:val="20"/>
        </w:rPr>
        <w:t xml:space="preserve"> de </w:t>
      </w:r>
      <w:r w:rsidR="009C183C" w:rsidRPr="002C067E">
        <w:rPr>
          <w:sz w:val="20"/>
        </w:rPr>
        <w:t xml:space="preserve">evaluación, es decir, </w:t>
      </w:r>
      <w:r w:rsidR="00074276" w:rsidRPr="002C067E">
        <w:rPr>
          <w:sz w:val="20"/>
        </w:rPr>
        <w:t xml:space="preserve">los </w:t>
      </w:r>
      <w:r w:rsidR="009C183C" w:rsidRPr="002C067E">
        <w:rPr>
          <w:sz w:val="20"/>
        </w:rPr>
        <w:t xml:space="preserve">indicadores de rendimiento, </w:t>
      </w:r>
      <w:r w:rsidR="00074276" w:rsidRPr="002C067E">
        <w:rPr>
          <w:sz w:val="20"/>
        </w:rPr>
        <w:t xml:space="preserve">las </w:t>
      </w:r>
      <w:r w:rsidR="009C183C" w:rsidRPr="002C067E">
        <w:rPr>
          <w:sz w:val="20"/>
        </w:rPr>
        <w:t xml:space="preserve">referencias de base y </w:t>
      </w:r>
      <w:r w:rsidR="00074276" w:rsidRPr="002C067E">
        <w:rPr>
          <w:sz w:val="20"/>
        </w:rPr>
        <w:t xml:space="preserve">los </w:t>
      </w:r>
      <w:r w:rsidR="009C183C" w:rsidRPr="002C067E">
        <w:rPr>
          <w:sz w:val="20"/>
        </w:rPr>
        <w:t xml:space="preserve">objetivos en concordancia con las recomendaciones efectuadas en la validación independiente llevada a cabo por la </w:t>
      </w:r>
      <w:r w:rsidR="009C183C" w:rsidRPr="002C067E">
        <w:rPr>
          <w:sz w:val="20"/>
          <w:szCs w:val="24"/>
        </w:rPr>
        <w:t>División de Auditoría y Supervisión Internas</w:t>
      </w:r>
      <w:r w:rsidR="009C183C" w:rsidRPr="002C067E">
        <w:rPr>
          <w:sz w:val="20"/>
        </w:rPr>
        <w:t xml:space="preserve"> (DASI) y la petición de mejoras formulada por los Estados miembros con respecto al Informe sobre el rendimiento de los programas (PPR)</w:t>
      </w:r>
      <w:r w:rsidR="00074276" w:rsidRPr="002C067E">
        <w:rPr>
          <w:sz w:val="20"/>
        </w:rPr>
        <w:t>.</w:t>
      </w:r>
    </w:p>
    <w:p w:rsidR="00F97297" w:rsidRPr="002C067E" w:rsidRDefault="00F97297" w:rsidP="0050634B">
      <w:pPr>
        <w:rPr>
          <w:sz w:val="20"/>
        </w:rPr>
      </w:pPr>
    </w:p>
    <w:p w:rsidR="007B2C29" w:rsidRPr="002C067E" w:rsidRDefault="009C183C" w:rsidP="003527F0">
      <w:pPr>
        <w:numPr>
          <w:ilvl w:val="0"/>
          <w:numId w:val="4"/>
        </w:numPr>
        <w:tabs>
          <w:tab w:val="clear" w:pos="360"/>
          <w:tab w:val="num" w:pos="0"/>
        </w:tabs>
        <w:ind w:left="0" w:firstLine="0"/>
        <w:jc w:val="both"/>
        <w:rPr>
          <w:sz w:val="20"/>
        </w:rPr>
      </w:pPr>
      <w:r w:rsidRPr="002C067E">
        <w:rPr>
          <w:sz w:val="20"/>
        </w:rPr>
        <w:t xml:space="preserve">La aplicación de un procedimiento estructurado y periódico de gestión de los riesgos en toda la </w:t>
      </w:r>
      <w:r w:rsidRPr="002C067E">
        <w:rPr>
          <w:sz w:val="20"/>
          <w:lang w:eastAsia="fr-FR"/>
        </w:rPr>
        <w:t>Organización</w:t>
      </w:r>
      <w:r w:rsidRPr="002C067E">
        <w:rPr>
          <w:sz w:val="20"/>
        </w:rPr>
        <w:t xml:space="preserve"> ha dado lugar a </w:t>
      </w:r>
      <w:r w:rsidR="00074276" w:rsidRPr="002C067E">
        <w:rPr>
          <w:sz w:val="20"/>
        </w:rPr>
        <w:t>que mejore</w:t>
      </w:r>
      <w:r w:rsidRPr="002C067E">
        <w:rPr>
          <w:sz w:val="20"/>
        </w:rPr>
        <w:t xml:space="preserve"> la planificación y </w:t>
      </w:r>
      <w:r w:rsidR="00074276" w:rsidRPr="002C067E">
        <w:rPr>
          <w:sz w:val="20"/>
        </w:rPr>
        <w:t xml:space="preserve">se conozcan </w:t>
      </w:r>
      <w:r w:rsidRPr="002C067E">
        <w:rPr>
          <w:sz w:val="20"/>
        </w:rPr>
        <w:t>mejor las circunstancias que podrían obstaculizar el logro de los resultados previstos.  Actualmente todos los programas llevan a cabo evaluaciones de riesgos como parte de la planificación bienal y de los planes de trabajo anuales.  A lo largo del presente documento se exponen detalladamente a</w:t>
      </w:r>
      <w:r w:rsidR="00074276" w:rsidRPr="002C067E">
        <w:rPr>
          <w:sz w:val="20"/>
        </w:rPr>
        <w:t>l</w:t>
      </w:r>
      <w:r w:rsidRPr="002C067E">
        <w:rPr>
          <w:sz w:val="20"/>
        </w:rPr>
        <w:t xml:space="preserve"> final de cada reseña de programa los principales riesgos y estrategias </w:t>
      </w:r>
      <w:r w:rsidR="00074276" w:rsidRPr="002C067E">
        <w:rPr>
          <w:sz w:val="20"/>
        </w:rPr>
        <w:t xml:space="preserve">de mitigación </w:t>
      </w:r>
      <w:r w:rsidRPr="002C067E">
        <w:rPr>
          <w:sz w:val="20"/>
        </w:rPr>
        <w:t>para cada programa.</w:t>
      </w:r>
    </w:p>
    <w:p w:rsidR="007B2C29" w:rsidRPr="002C067E" w:rsidRDefault="007B2C29" w:rsidP="006E3E3C">
      <w:pPr>
        <w:jc w:val="both"/>
      </w:pPr>
    </w:p>
    <w:p w:rsidR="007B2C29" w:rsidRPr="002C067E" w:rsidRDefault="009C183C" w:rsidP="006E3E3C">
      <w:pPr>
        <w:numPr>
          <w:ilvl w:val="0"/>
          <w:numId w:val="4"/>
        </w:numPr>
        <w:tabs>
          <w:tab w:val="clear" w:pos="360"/>
          <w:tab w:val="num" w:pos="0"/>
        </w:tabs>
        <w:ind w:left="0" w:firstLine="0"/>
        <w:jc w:val="both"/>
        <w:rPr>
          <w:sz w:val="20"/>
        </w:rPr>
      </w:pPr>
      <w:r w:rsidRPr="002C067E">
        <w:rPr>
          <w:sz w:val="20"/>
        </w:rPr>
        <w:t xml:space="preserve">Durante los dos últimos bienios, la </w:t>
      </w:r>
      <w:r w:rsidRPr="002C067E">
        <w:rPr>
          <w:sz w:val="20"/>
          <w:lang w:eastAsia="fr-FR"/>
        </w:rPr>
        <w:t>Organización</w:t>
      </w:r>
      <w:r w:rsidRPr="002C067E">
        <w:rPr>
          <w:sz w:val="20"/>
        </w:rPr>
        <w:t xml:space="preserve"> ha dedicado importantes esfuerzos al </w:t>
      </w:r>
      <w:r w:rsidR="008D17F8">
        <w:rPr>
          <w:sz w:val="20"/>
        </w:rPr>
        <w:t>Programa de Alineación Estratégica</w:t>
      </w:r>
      <w:r w:rsidRPr="002C067E">
        <w:rPr>
          <w:sz w:val="20"/>
        </w:rPr>
        <w:t xml:space="preserve">, concebido </w:t>
      </w:r>
      <w:r w:rsidR="002625D1" w:rsidRPr="002C067E">
        <w:rPr>
          <w:sz w:val="20"/>
        </w:rPr>
        <w:t>con el fin de</w:t>
      </w:r>
      <w:r w:rsidRPr="002C067E">
        <w:rPr>
          <w:sz w:val="20"/>
        </w:rPr>
        <w:t xml:space="preserve"> que la </w:t>
      </w:r>
      <w:r w:rsidRPr="002C067E">
        <w:rPr>
          <w:sz w:val="20"/>
          <w:lang w:eastAsia="fr-FR"/>
        </w:rPr>
        <w:t>Organización</w:t>
      </w:r>
      <w:r w:rsidRPr="002C067E">
        <w:rPr>
          <w:sz w:val="20"/>
        </w:rPr>
        <w:t xml:space="preserve"> funcione de manera responsable, eficaz y eficiente.  Un plan en el que figuran cambios tan ambiciosos exige de por sí </w:t>
      </w:r>
      <w:r w:rsidR="006E7E1C" w:rsidRPr="002C067E">
        <w:rPr>
          <w:sz w:val="20"/>
        </w:rPr>
        <w:t xml:space="preserve">transformar </w:t>
      </w:r>
      <w:r w:rsidRPr="002C067E">
        <w:rPr>
          <w:sz w:val="20"/>
        </w:rPr>
        <w:t xml:space="preserve">la cultura de la </w:t>
      </w:r>
      <w:r w:rsidRPr="002C067E">
        <w:rPr>
          <w:sz w:val="20"/>
          <w:lang w:eastAsia="fr-FR"/>
        </w:rPr>
        <w:t>Organización</w:t>
      </w:r>
      <w:r w:rsidRPr="002C067E">
        <w:rPr>
          <w:sz w:val="20"/>
        </w:rPr>
        <w:t xml:space="preserve"> </w:t>
      </w:r>
      <w:r w:rsidR="00835FED" w:rsidRPr="002C067E">
        <w:rPr>
          <w:sz w:val="20"/>
        </w:rPr>
        <w:t xml:space="preserve">y </w:t>
      </w:r>
      <w:r w:rsidR="006E7E1C" w:rsidRPr="002C067E">
        <w:rPr>
          <w:sz w:val="20"/>
        </w:rPr>
        <w:t xml:space="preserve">disponer de </w:t>
      </w:r>
      <w:r w:rsidRPr="002C067E">
        <w:rPr>
          <w:sz w:val="20"/>
        </w:rPr>
        <w:t xml:space="preserve">la capacidad </w:t>
      </w:r>
      <w:r w:rsidR="00C9166E" w:rsidRPr="002C067E">
        <w:rPr>
          <w:sz w:val="20"/>
        </w:rPr>
        <w:t xml:space="preserve">necesaria </w:t>
      </w:r>
      <w:r w:rsidR="006E7E1C" w:rsidRPr="002C067E">
        <w:rPr>
          <w:sz w:val="20"/>
        </w:rPr>
        <w:t xml:space="preserve">para </w:t>
      </w:r>
      <w:r w:rsidR="00835FED" w:rsidRPr="002C067E">
        <w:rPr>
          <w:sz w:val="20"/>
        </w:rPr>
        <w:t>absorber dicho</w:t>
      </w:r>
      <w:r w:rsidR="006E7E1C" w:rsidRPr="002C067E">
        <w:rPr>
          <w:sz w:val="20"/>
        </w:rPr>
        <w:t>s</w:t>
      </w:r>
      <w:r w:rsidR="00835FED" w:rsidRPr="002C067E">
        <w:rPr>
          <w:sz w:val="20"/>
        </w:rPr>
        <w:t xml:space="preserve"> cambio</w:t>
      </w:r>
      <w:r w:rsidR="006E7E1C" w:rsidRPr="002C067E">
        <w:rPr>
          <w:sz w:val="20"/>
        </w:rPr>
        <w:t>s</w:t>
      </w:r>
      <w:r w:rsidRPr="002C067E">
        <w:rPr>
          <w:sz w:val="20"/>
        </w:rPr>
        <w:t xml:space="preserve">.  La </w:t>
      </w:r>
      <w:r w:rsidRPr="002C067E">
        <w:rPr>
          <w:sz w:val="20"/>
          <w:lang w:eastAsia="fr-FR"/>
        </w:rPr>
        <w:t>Organización</w:t>
      </w:r>
      <w:r w:rsidRPr="002C067E">
        <w:rPr>
          <w:sz w:val="20"/>
        </w:rPr>
        <w:t xml:space="preserve"> tendrá que velar por que los beneficios y mejoras realizados a partir de </w:t>
      </w:r>
      <w:r w:rsidR="00CF1A22" w:rsidRPr="002C067E">
        <w:rPr>
          <w:sz w:val="20"/>
        </w:rPr>
        <w:t xml:space="preserve">su ejecución </w:t>
      </w:r>
      <w:r w:rsidRPr="002C067E">
        <w:rPr>
          <w:sz w:val="20"/>
        </w:rPr>
        <w:t xml:space="preserve">sean duraderos y se </w:t>
      </w:r>
      <w:r w:rsidR="00CF1A22" w:rsidRPr="002C067E">
        <w:rPr>
          <w:sz w:val="20"/>
        </w:rPr>
        <w:t xml:space="preserve">basen </w:t>
      </w:r>
      <w:r w:rsidR="00987E05" w:rsidRPr="002C067E">
        <w:rPr>
          <w:sz w:val="20"/>
        </w:rPr>
        <w:t xml:space="preserve">en el perfeccionamiento </w:t>
      </w:r>
      <w:r w:rsidRPr="002C067E">
        <w:rPr>
          <w:sz w:val="20"/>
        </w:rPr>
        <w:t xml:space="preserve">constante y </w:t>
      </w:r>
      <w:r w:rsidR="00CF1A22" w:rsidRPr="002C067E">
        <w:rPr>
          <w:sz w:val="20"/>
        </w:rPr>
        <w:t xml:space="preserve">en </w:t>
      </w:r>
      <w:r w:rsidRPr="002C067E">
        <w:rPr>
          <w:sz w:val="20"/>
        </w:rPr>
        <w:t xml:space="preserve">un alto </w:t>
      </w:r>
      <w:r w:rsidR="00106F0E" w:rsidRPr="002C067E">
        <w:rPr>
          <w:sz w:val="20"/>
        </w:rPr>
        <w:t>grado</w:t>
      </w:r>
      <w:r w:rsidRPr="002C067E">
        <w:rPr>
          <w:sz w:val="20"/>
        </w:rPr>
        <w:t xml:space="preserve"> de participación del personal.</w:t>
      </w:r>
    </w:p>
    <w:p w:rsidR="008D74C7" w:rsidRDefault="008D74C7" w:rsidP="008D74C7">
      <w:pPr>
        <w:jc w:val="both"/>
        <w:rPr>
          <w:sz w:val="20"/>
        </w:rPr>
      </w:pPr>
    </w:p>
    <w:p w:rsidR="008D74C7" w:rsidRPr="009C183C" w:rsidRDefault="008D74C7" w:rsidP="008D74C7">
      <w:pPr>
        <w:jc w:val="both"/>
        <w:rPr>
          <w:sz w:val="20"/>
        </w:rPr>
      </w:pPr>
    </w:p>
    <w:p w:rsidR="007B2C29" w:rsidRPr="00FE56AC" w:rsidRDefault="007B2C29" w:rsidP="004A4009">
      <w:pPr>
        <w:jc w:val="both"/>
        <w:rPr>
          <w:sz w:val="20"/>
        </w:rPr>
        <w:sectPr w:rsidR="007B2C29" w:rsidRPr="00FE56AC" w:rsidSect="007B2C29">
          <w:headerReference w:type="even" r:id="rId19"/>
          <w:headerReference w:type="default" r:id="rId20"/>
          <w:pgSz w:w="11907" w:h="16840" w:code="9"/>
          <w:pgMar w:top="567" w:right="1418" w:bottom="1361" w:left="1418" w:header="510" w:footer="851" w:gutter="0"/>
          <w:cols w:space="720"/>
        </w:sectPr>
      </w:pPr>
    </w:p>
    <w:p w:rsidR="00A84EF1" w:rsidRPr="00A50BB4" w:rsidRDefault="00A84EF1" w:rsidP="004A4009">
      <w:pPr>
        <w:jc w:val="center"/>
        <w:rPr>
          <w:bCs/>
          <w:sz w:val="20"/>
        </w:rPr>
      </w:pPr>
      <w:r>
        <w:rPr>
          <w:noProof/>
          <w:lang w:val="en-US" w:eastAsia="en-US"/>
        </w:rPr>
        <w:lastRenderedPageBreak/>
        <w:drawing>
          <wp:inline distT="0" distB="0" distL="0" distR="0" wp14:anchorId="1D198C37" wp14:editId="7824DA57">
            <wp:extent cx="8368030" cy="6198870"/>
            <wp:effectExtent l="0" t="0" r="0"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368030" cy="6198870"/>
                    </a:xfrm>
                    <a:prstGeom prst="rect">
                      <a:avLst/>
                    </a:prstGeom>
                    <a:noFill/>
                    <a:ln>
                      <a:noFill/>
                    </a:ln>
                  </pic:spPr>
                </pic:pic>
              </a:graphicData>
            </a:graphic>
          </wp:inline>
        </w:drawing>
      </w:r>
    </w:p>
    <w:p w:rsidR="007B2C29" w:rsidRDefault="007B2C29" w:rsidP="004A4009">
      <w:pPr>
        <w:ind w:left="1080"/>
        <w:jc w:val="both"/>
        <w:rPr>
          <w:sz w:val="20"/>
        </w:rPr>
        <w:sectPr w:rsidR="007B2C29" w:rsidSect="00A55CAD">
          <w:pgSz w:w="16840" w:h="11907" w:orient="landscape" w:code="9"/>
          <w:pgMar w:top="993" w:right="567" w:bottom="1135" w:left="1361" w:header="510" w:footer="851" w:gutter="0"/>
          <w:cols w:space="720"/>
        </w:sectPr>
      </w:pPr>
    </w:p>
    <w:tbl>
      <w:tblPr>
        <w:tblW w:w="21679" w:type="dxa"/>
        <w:tblLayout w:type="fixed"/>
        <w:tblCellMar>
          <w:left w:w="28" w:type="dxa"/>
          <w:right w:w="28" w:type="dxa"/>
        </w:tblCellMar>
        <w:tblLook w:val="0000" w:firstRow="0" w:lastRow="0" w:firstColumn="0" w:lastColumn="0" w:noHBand="0" w:noVBand="0"/>
      </w:tblPr>
      <w:tblGrid>
        <w:gridCol w:w="387"/>
        <w:gridCol w:w="3040"/>
        <w:gridCol w:w="3041"/>
        <w:gridCol w:w="3043"/>
        <w:gridCol w:w="3041"/>
        <w:gridCol w:w="3040"/>
        <w:gridCol w:w="171"/>
        <w:gridCol w:w="2870"/>
        <w:gridCol w:w="3046"/>
      </w:tblGrid>
      <w:tr w:rsidR="00230914" w:rsidRPr="003060BE" w:rsidTr="00FF362A">
        <w:trPr>
          <w:trHeight w:val="294"/>
        </w:trPr>
        <w:tc>
          <w:tcPr>
            <w:tcW w:w="387" w:type="dxa"/>
            <w:vMerge w:val="restart"/>
            <w:tcBorders>
              <w:top w:val="single" w:sz="8" w:space="0" w:color="auto"/>
              <w:left w:val="single" w:sz="8" w:space="0" w:color="auto"/>
              <w:bottom w:val="single" w:sz="4" w:space="0" w:color="000000"/>
              <w:right w:val="nil"/>
            </w:tcBorders>
            <w:shd w:val="clear" w:color="auto" w:fill="99CCFF"/>
            <w:textDirection w:val="btLr"/>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lastRenderedPageBreak/>
              <w:t>Incorporación de la Meta estratégica III: Facilitar el uso de la P.I. en aras del desarrollo y Agenda para el Desarrollo</w:t>
            </w:r>
          </w:p>
        </w:tc>
        <w:tc>
          <w:tcPr>
            <w:tcW w:w="21292" w:type="dxa"/>
            <w:gridSpan w:val="8"/>
            <w:tcBorders>
              <w:top w:val="single" w:sz="4" w:space="0" w:color="auto"/>
              <w:left w:val="single" w:sz="4" w:space="0" w:color="auto"/>
              <w:bottom w:val="single" w:sz="4" w:space="0" w:color="auto"/>
              <w:right w:val="single" w:sz="4" w:space="0" w:color="000000"/>
            </w:tcBorders>
            <w:shd w:val="clear" w:color="auto" w:fill="CCFFFF"/>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Meta estratégica VIII:  Comunicación eficaz entre la OMPI, sus Estados miembros y todas las partes interesadas</w:t>
            </w:r>
          </w:p>
        </w:tc>
      </w:tr>
      <w:tr w:rsidR="00230914" w:rsidRPr="003060BE" w:rsidTr="00FF362A">
        <w:trPr>
          <w:trHeight w:val="145"/>
        </w:trPr>
        <w:tc>
          <w:tcPr>
            <w:tcW w:w="387" w:type="dxa"/>
            <w:vMerge/>
            <w:tcBorders>
              <w:top w:val="single" w:sz="8" w:space="0" w:color="auto"/>
              <w:left w:val="single" w:sz="8" w:space="0" w:color="auto"/>
              <w:bottom w:val="single" w:sz="4" w:space="0" w:color="000000"/>
              <w:right w:val="nil"/>
            </w:tcBorders>
            <w:vAlign w:val="center"/>
          </w:tcPr>
          <w:p w:rsidR="00230914" w:rsidRPr="003060BE" w:rsidRDefault="00230914" w:rsidP="00FF362A">
            <w:pPr>
              <w:tabs>
                <w:tab w:val="right" w:pos="2835"/>
              </w:tabs>
              <w:rPr>
                <w:b/>
                <w:bCs/>
                <w:sz w:val="16"/>
                <w:szCs w:val="16"/>
                <w:lang w:val="es-ES_tradnl"/>
              </w:rPr>
            </w:pPr>
          </w:p>
        </w:tc>
        <w:tc>
          <w:tcPr>
            <w:tcW w:w="3040" w:type="dxa"/>
            <w:tcBorders>
              <w:top w:val="nil"/>
              <w:left w:val="single" w:sz="4" w:space="0" w:color="auto"/>
              <w:bottom w:val="nil"/>
              <w:right w:val="nil"/>
            </w:tcBorders>
            <w:shd w:val="clear" w:color="auto" w:fill="auto"/>
            <w:vAlign w:val="center"/>
          </w:tcPr>
          <w:p w:rsidR="00230914" w:rsidRPr="003060BE" w:rsidRDefault="00230914" w:rsidP="00FF362A">
            <w:pPr>
              <w:tabs>
                <w:tab w:val="right" w:pos="2835"/>
              </w:tabs>
              <w:jc w:val="center"/>
              <w:rPr>
                <w:sz w:val="15"/>
                <w:szCs w:val="15"/>
                <w:lang w:val="es-ES_tradnl"/>
              </w:rPr>
            </w:pPr>
            <w:r w:rsidRPr="003060BE">
              <w:rPr>
                <w:sz w:val="15"/>
                <w:szCs w:val="15"/>
                <w:lang w:val="es-ES_tradnl"/>
              </w:rPr>
              <w:t> </w:t>
            </w:r>
          </w:p>
        </w:tc>
        <w:tc>
          <w:tcPr>
            <w:tcW w:w="3041" w:type="dxa"/>
            <w:tcBorders>
              <w:top w:val="nil"/>
              <w:left w:val="nil"/>
              <w:bottom w:val="nil"/>
              <w:right w:val="nil"/>
            </w:tcBorders>
            <w:shd w:val="clear" w:color="auto" w:fill="auto"/>
            <w:vAlign w:val="center"/>
          </w:tcPr>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r w:rsidRPr="003060BE">
              <w:rPr>
                <w:sz w:val="14"/>
                <w:szCs w:val="14"/>
                <w:lang w:val="es-ES_tradnl"/>
              </w:rPr>
              <w:t>VIII.1. Comunicación más eficaz con el público en general acerca de la P.I. y la función de la OMPI.</w:t>
            </w:r>
          </w:p>
          <w:p w:rsidR="00230914" w:rsidRPr="003060BE" w:rsidRDefault="00230914" w:rsidP="00FF362A">
            <w:pPr>
              <w:tabs>
                <w:tab w:val="right" w:pos="2835"/>
              </w:tabs>
              <w:rPr>
                <w:sz w:val="14"/>
                <w:szCs w:val="14"/>
                <w:lang w:val="es-ES_tradnl"/>
              </w:rPr>
            </w:pPr>
          </w:p>
          <w:p w:rsidR="00230914" w:rsidRPr="003060BE" w:rsidRDefault="00230914" w:rsidP="00FF362A">
            <w:pPr>
              <w:tabs>
                <w:tab w:val="left" w:pos="335"/>
                <w:tab w:val="right" w:pos="2810"/>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r>
            <w:r w:rsidR="00096B4A">
              <w:rPr>
                <w:i/>
                <w:iCs/>
                <w:sz w:val="14"/>
                <w:szCs w:val="14"/>
                <w:lang w:val="es-ES_tradnl"/>
              </w:rPr>
              <w:t>12.882</w:t>
            </w:r>
          </w:p>
          <w:p w:rsidR="00230914" w:rsidRPr="003060BE" w:rsidRDefault="00230914" w:rsidP="00FF362A">
            <w:pPr>
              <w:tabs>
                <w:tab w:val="left" w:pos="348"/>
                <w:tab w:val="right" w:pos="2810"/>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 xml:space="preserve">Cuota de desarrollo: </w:t>
            </w:r>
            <w:r w:rsidRPr="003060BE">
              <w:rPr>
                <w:i/>
                <w:iCs/>
                <w:color w:val="0000FF"/>
                <w:sz w:val="14"/>
                <w:szCs w:val="14"/>
                <w:lang w:val="es-ES_tradnl"/>
              </w:rPr>
              <w:tab/>
            </w:r>
            <w:r w:rsidR="00096B4A">
              <w:rPr>
                <w:i/>
                <w:iCs/>
                <w:color w:val="0000FF"/>
                <w:sz w:val="14"/>
                <w:szCs w:val="14"/>
                <w:lang w:val="es-ES_tradnl"/>
              </w:rPr>
              <w:t>4.963</w:t>
            </w:r>
          </w:p>
          <w:p w:rsidR="00230914" w:rsidRPr="003060BE" w:rsidRDefault="00230914" w:rsidP="00FF362A">
            <w:pPr>
              <w:tabs>
                <w:tab w:val="right" w:pos="2835"/>
              </w:tabs>
              <w:rPr>
                <w:sz w:val="14"/>
                <w:szCs w:val="14"/>
                <w:lang w:val="es-ES_tradnl"/>
              </w:rPr>
            </w:pPr>
          </w:p>
        </w:tc>
        <w:tc>
          <w:tcPr>
            <w:tcW w:w="3043" w:type="dxa"/>
            <w:tcBorders>
              <w:top w:val="nil"/>
              <w:left w:val="nil"/>
              <w:bottom w:val="nil"/>
              <w:right w:val="nil"/>
            </w:tcBorders>
            <w:shd w:val="clear" w:color="auto" w:fill="auto"/>
          </w:tcPr>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r w:rsidRPr="003060BE">
              <w:rPr>
                <w:sz w:val="14"/>
                <w:szCs w:val="14"/>
                <w:lang w:val="es-ES_tradnl"/>
              </w:rPr>
              <w:t>VIII.2. Mejora en la prestación de servicios y la atención de consultas.</w:t>
            </w:r>
          </w:p>
          <w:p w:rsidR="00230914" w:rsidRPr="003060BE" w:rsidRDefault="00230914" w:rsidP="00FF362A">
            <w:pPr>
              <w:tabs>
                <w:tab w:val="left" w:pos="325"/>
                <w:tab w:val="right" w:pos="2040"/>
              </w:tabs>
              <w:rPr>
                <w:i/>
                <w:iCs/>
                <w:sz w:val="14"/>
                <w:szCs w:val="14"/>
                <w:lang w:val="es-ES_tradnl"/>
              </w:rPr>
            </w:pPr>
          </w:p>
          <w:p w:rsidR="00230914" w:rsidRPr="003060BE" w:rsidRDefault="00230914" w:rsidP="00FF362A">
            <w:pPr>
              <w:tabs>
                <w:tab w:val="left" w:pos="325"/>
                <w:tab w:val="right" w:pos="2040"/>
              </w:tabs>
              <w:rPr>
                <w:i/>
                <w:iCs/>
                <w:sz w:val="14"/>
                <w:szCs w:val="14"/>
                <w:lang w:val="es-ES_tradnl"/>
              </w:rPr>
            </w:pPr>
          </w:p>
          <w:p w:rsidR="00230914" w:rsidRPr="003060BE" w:rsidRDefault="00230914" w:rsidP="00FF362A">
            <w:pPr>
              <w:tabs>
                <w:tab w:val="left" w:pos="325"/>
                <w:tab w:val="right" w:pos="2888"/>
              </w:tabs>
              <w:rPr>
                <w:i/>
                <w:iCs/>
                <w:sz w:val="14"/>
                <w:szCs w:val="14"/>
                <w:lang w:val="es-ES_tradnl"/>
              </w:rPr>
            </w:pPr>
            <w:r w:rsidRPr="003060BE">
              <w:rPr>
                <w:i/>
                <w:iCs/>
                <w:sz w:val="14"/>
                <w:szCs w:val="14"/>
                <w:lang w:val="es-ES_tradnl"/>
              </w:rPr>
              <w:tab/>
              <w:t xml:space="preserve">Presupuesto propuesto 14/15:  </w:t>
            </w:r>
            <w:r w:rsidRPr="003060BE">
              <w:rPr>
                <w:i/>
                <w:iCs/>
                <w:sz w:val="14"/>
                <w:szCs w:val="14"/>
                <w:lang w:val="es-ES_tradnl"/>
              </w:rPr>
              <w:tab/>
              <w:t>5.536</w:t>
            </w:r>
          </w:p>
          <w:p w:rsidR="00230914" w:rsidRPr="003060BE" w:rsidRDefault="00230914" w:rsidP="00FF362A">
            <w:pPr>
              <w:tabs>
                <w:tab w:val="left" w:pos="338"/>
                <w:tab w:val="right" w:pos="2888"/>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t xml:space="preserve"> 2.024</w:t>
            </w:r>
          </w:p>
        </w:tc>
        <w:tc>
          <w:tcPr>
            <w:tcW w:w="3041" w:type="dxa"/>
            <w:tcBorders>
              <w:top w:val="nil"/>
              <w:left w:val="nil"/>
              <w:bottom w:val="nil"/>
              <w:right w:val="nil"/>
            </w:tcBorders>
            <w:shd w:val="clear" w:color="auto" w:fill="auto"/>
          </w:tcPr>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r w:rsidRPr="003060BE">
              <w:rPr>
                <w:sz w:val="14"/>
                <w:szCs w:val="14"/>
                <w:lang w:val="es-ES_tradnl"/>
              </w:rPr>
              <w:t>VIII.3. Atención eficaz a los Estados miembros.</w:t>
            </w:r>
          </w:p>
          <w:p w:rsidR="00230914" w:rsidRPr="003060BE" w:rsidRDefault="00230914" w:rsidP="00FF362A">
            <w:pPr>
              <w:tabs>
                <w:tab w:val="left" w:pos="378"/>
                <w:tab w:val="right" w:pos="2040"/>
              </w:tabs>
              <w:rPr>
                <w:i/>
                <w:iCs/>
                <w:sz w:val="14"/>
                <w:szCs w:val="14"/>
                <w:lang w:val="es-ES_tradnl"/>
              </w:rPr>
            </w:pPr>
          </w:p>
          <w:p w:rsidR="00230914" w:rsidRPr="003060BE" w:rsidRDefault="00230914" w:rsidP="00FF362A">
            <w:pPr>
              <w:tabs>
                <w:tab w:val="left" w:pos="378"/>
                <w:tab w:val="right" w:pos="2040"/>
              </w:tabs>
              <w:rPr>
                <w:i/>
                <w:iCs/>
                <w:sz w:val="14"/>
                <w:szCs w:val="14"/>
                <w:lang w:val="es-ES_tradnl"/>
              </w:rPr>
            </w:pPr>
          </w:p>
          <w:p w:rsidR="00230914" w:rsidRPr="003060BE" w:rsidRDefault="00230914" w:rsidP="00FF362A">
            <w:pPr>
              <w:tabs>
                <w:tab w:val="left" w:pos="378"/>
                <w:tab w:val="right" w:pos="2040"/>
              </w:tabs>
              <w:rPr>
                <w:i/>
                <w:iCs/>
                <w:sz w:val="14"/>
                <w:szCs w:val="14"/>
                <w:lang w:val="es-ES_tradnl"/>
              </w:rPr>
            </w:pPr>
          </w:p>
          <w:p w:rsidR="00230914" w:rsidRPr="003060BE" w:rsidRDefault="00230914" w:rsidP="00FF362A">
            <w:pPr>
              <w:tabs>
                <w:tab w:val="left" w:pos="378"/>
                <w:tab w:val="right" w:pos="2822"/>
              </w:tabs>
              <w:rPr>
                <w:i/>
                <w:iCs/>
                <w:sz w:val="14"/>
                <w:szCs w:val="14"/>
                <w:lang w:val="es-ES_tradnl"/>
              </w:rPr>
            </w:pPr>
            <w:r w:rsidRPr="003060BE">
              <w:rPr>
                <w:i/>
                <w:iCs/>
                <w:sz w:val="14"/>
                <w:szCs w:val="14"/>
                <w:lang w:val="es-ES_tradnl"/>
              </w:rPr>
              <w:tab/>
              <w:t xml:space="preserve">Presupuesto propuesto 14/15: </w:t>
            </w:r>
            <w:r w:rsidRPr="003060BE">
              <w:rPr>
                <w:i/>
                <w:iCs/>
                <w:sz w:val="14"/>
                <w:szCs w:val="14"/>
                <w:lang w:val="es-ES_tradnl"/>
              </w:rPr>
              <w:tab/>
              <w:t>6.</w:t>
            </w:r>
            <w:r w:rsidR="00096B4A">
              <w:rPr>
                <w:i/>
                <w:iCs/>
                <w:sz w:val="14"/>
                <w:szCs w:val="14"/>
                <w:lang w:val="es-ES_tradnl"/>
              </w:rPr>
              <w:t>747</w:t>
            </w:r>
          </w:p>
          <w:p w:rsidR="00230914" w:rsidRPr="003060BE" w:rsidRDefault="00230914" w:rsidP="00FF362A">
            <w:pPr>
              <w:tabs>
                <w:tab w:val="left" w:pos="353"/>
                <w:tab w:val="right" w:pos="2822"/>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t>-</w:t>
            </w:r>
          </w:p>
        </w:tc>
        <w:tc>
          <w:tcPr>
            <w:tcW w:w="3211" w:type="dxa"/>
            <w:gridSpan w:val="2"/>
            <w:tcBorders>
              <w:top w:val="nil"/>
              <w:left w:val="nil"/>
              <w:bottom w:val="nil"/>
              <w:right w:val="nil"/>
            </w:tcBorders>
            <w:shd w:val="clear" w:color="auto" w:fill="auto"/>
          </w:tcPr>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r w:rsidRPr="003060BE">
              <w:rPr>
                <w:sz w:val="14"/>
                <w:szCs w:val="14"/>
                <w:lang w:val="es-ES_tradnl"/>
              </w:rPr>
              <w:t>VIII.4. Intercambios abiertos, transparentes y dinámicos con las partes interesadas no gubernamentales.</w:t>
            </w:r>
          </w:p>
          <w:p w:rsidR="00230914" w:rsidRPr="003060BE" w:rsidRDefault="00230914" w:rsidP="00FF362A">
            <w:pPr>
              <w:tabs>
                <w:tab w:val="left" w:pos="368"/>
                <w:tab w:val="right" w:pos="2040"/>
              </w:tabs>
              <w:rPr>
                <w:i/>
                <w:iCs/>
                <w:sz w:val="14"/>
                <w:szCs w:val="14"/>
                <w:lang w:val="es-ES_tradnl"/>
              </w:rPr>
            </w:pPr>
            <w:r w:rsidRPr="003060BE">
              <w:rPr>
                <w:i/>
                <w:iCs/>
                <w:sz w:val="14"/>
                <w:szCs w:val="14"/>
                <w:lang w:val="es-ES_tradnl"/>
              </w:rPr>
              <w:tab/>
            </w:r>
          </w:p>
          <w:p w:rsidR="00230914" w:rsidRPr="003060BE" w:rsidRDefault="00230914" w:rsidP="008D3CF3">
            <w:pPr>
              <w:tabs>
                <w:tab w:val="left" w:pos="348"/>
                <w:tab w:val="right" w:pos="2757"/>
              </w:tabs>
              <w:rPr>
                <w:i/>
                <w:iCs/>
                <w:sz w:val="14"/>
                <w:szCs w:val="14"/>
                <w:lang w:val="es-ES_tradnl"/>
              </w:rPr>
            </w:pPr>
            <w:r w:rsidRPr="003060BE">
              <w:rPr>
                <w:i/>
                <w:iCs/>
                <w:sz w:val="14"/>
                <w:szCs w:val="14"/>
                <w:lang w:val="es-ES_tradnl"/>
              </w:rPr>
              <w:tab/>
              <w:t xml:space="preserve">Presupuesto propuesto 14/15: </w:t>
            </w:r>
            <w:r w:rsidRPr="003060BE">
              <w:rPr>
                <w:i/>
                <w:iCs/>
                <w:sz w:val="14"/>
                <w:szCs w:val="14"/>
                <w:lang w:val="es-ES_tradnl"/>
              </w:rPr>
              <w:tab/>
              <w:t>1.771</w:t>
            </w:r>
          </w:p>
          <w:p w:rsidR="00230914" w:rsidRPr="003060BE" w:rsidRDefault="00230914" w:rsidP="008D3CF3">
            <w:pPr>
              <w:tabs>
                <w:tab w:val="left" w:pos="368"/>
                <w:tab w:val="right" w:pos="2757"/>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t>-</w:t>
            </w:r>
          </w:p>
        </w:tc>
        <w:tc>
          <w:tcPr>
            <w:tcW w:w="2870" w:type="dxa"/>
            <w:tcBorders>
              <w:top w:val="nil"/>
              <w:left w:val="nil"/>
              <w:bottom w:val="nil"/>
              <w:right w:val="nil"/>
            </w:tcBorders>
            <w:shd w:val="clear" w:color="auto" w:fill="auto"/>
          </w:tcPr>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r w:rsidRPr="003060BE">
              <w:rPr>
                <w:sz w:val="14"/>
                <w:szCs w:val="14"/>
                <w:lang w:val="es-ES_tradnl"/>
              </w:rPr>
              <w:t>VIII.5. La OMPI participa y colabora eficazmente en los procesos y negociaciones de las NN.UU. y otras OIG.</w:t>
            </w:r>
          </w:p>
          <w:p w:rsidR="00230914" w:rsidRPr="003060BE" w:rsidRDefault="00230914" w:rsidP="00FF362A">
            <w:pPr>
              <w:tabs>
                <w:tab w:val="right" w:pos="2835"/>
              </w:tabs>
              <w:rPr>
                <w:sz w:val="14"/>
                <w:szCs w:val="14"/>
                <w:lang w:val="es-ES_tradnl"/>
              </w:rPr>
            </w:pPr>
          </w:p>
          <w:p w:rsidR="00230914" w:rsidRPr="003060BE" w:rsidRDefault="00230914" w:rsidP="008D3CF3">
            <w:pPr>
              <w:tabs>
                <w:tab w:val="left" w:pos="397"/>
                <w:tab w:val="right" w:pos="2665"/>
              </w:tabs>
              <w:rPr>
                <w:i/>
                <w:iCs/>
                <w:sz w:val="14"/>
                <w:szCs w:val="14"/>
                <w:lang w:val="es-ES_tradnl"/>
              </w:rPr>
            </w:pPr>
            <w:r w:rsidRPr="003060BE">
              <w:rPr>
                <w:i/>
                <w:iCs/>
                <w:sz w:val="14"/>
                <w:szCs w:val="14"/>
                <w:lang w:val="es-ES_tradnl"/>
              </w:rPr>
              <w:tab/>
              <w:t xml:space="preserve">Presupuesto propuesto 14/15:  </w:t>
            </w:r>
            <w:r w:rsidRPr="003060BE">
              <w:rPr>
                <w:i/>
                <w:iCs/>
                <w:sz w:val="14"/>
                <w:szCs w:val="14"/>
                <w:lang w:val="es-ES_tradnl"/>
              </w:rPr>
              <w:tab/>
              <w:t>5.9</w:t>
            </w:r>
            <w:r w:rsidR="00096B4A">
              <w:rPr>
                <w:i/>
                <w:iCs/>
                <w:sz w:val="14"/>
                <w:szCs w:val="14"/>
                <w:lang w:val="es-ES_tradnl"/>
              </w:rPr>
              <w:t>49</w:t>
            </w:r>
          </w:p>
          <w:p w:rsidR="00230914" w:rsidRPr="003060BE" w:rsidRDefault="00230914" w:rsidP="008D3CF3">
            <w:pPr>
              <w:tabs>
                <w:tab w:val="left" w:pos="409"/>
                <w:tab w:val="right" w:pos="2665"/>
              </w:tabs>
              <w:rPr>
                <w:i/>
                <w:iCs/>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2.778</w:t>
            </w:r>
          </w:p>
        </w:tc>
        <w:tc>
          <w:tcPr>
            <w:tcW w:w="3046" w:type="dxa"/>
            <w:tcBorders>
              <w:top w:val="nil"/>
              <w:left w:val="nil"/>
              <w:bottom w:val="nil"/>
              <w:right w:val="single" w:sz="4" w:space="0" w:color="auto"/>
            </w:tcBorders>
            <w:shd w:val="clear" w:color="auto" w:fill="auto"/>
            <w:vAlign w:val="bottom"/>
          </w:tcPr>
          <w:p w:rsidR="00230914" w:rsidRPr="003060BE" w:rsidRDefault="00230914" w:rsidP="00FF362A">
            <w:pPr>
              <w:tabs>
                <w:tab w:val="right" w:pos="2913"/>
              </w:tabs>
              <w:rPr>
                <w:i/>
                <w:iCs/>
                <w:sz w:val="14"/>
                <w:szCs w:val="14"/>
                <w:lang w:val="es-ES_tradnl"/>
              </w:rPr>
            </w:pPr>
            <w:r w:rsidRPr="003060BE">
              <w:rPr>
                <w:i/>
                <w:iCs/>
                <w:sz w:val="14"/>
                <w:szCs w:val="14"/>
                <w:lang w:val="es-ES_tradnl"/>
              </w:rPr>
              <w:t>Total del presupuesto propuesto,</w:t>
            </w:r>
            <w:r w:rsidRPr="003060BE">
              <w:rPr>
                <w:i/>
                <w:iCs/>
                <w:sz w:val="14"/>
                <w:szCs w:val="14"/>
                <w:lang w:val="es-ES_tradnl"/>
              </w:rPr>
              <w:br/>
              <w:t xml:space="preserve"> meta VIII:</w:t>
            </w:r>
            <w:r w:rsidRPr="003060BE">
              <w:rPr>
                <w:i/>
                <w:iCs/>
                <w:sz w:val="14"/>
                <w:szCs w:val="14"/>
                <w:lang w:val="es-ES_tradnl"/>
              </w:rPr>
              <w:tab/>
              <w:t xml:space="preserve"> </w:t>
            </w:r>
            <w:r w:rsidR="00096B4A">
              <w:rPr>
                <w:i/>
                <w:iCs/>
                <w:sz w:val="14"/>
                <w:szCs w:val="14"/>
                <w:lang w:val="es-ES_tradnl"/>
              </w:rPr>
              <w:t>32.885</w:t>
            </w:r>
          </w:p>
          <w:p w:rsidR="00230914" w:rsidRPr="003060BE" w:rsidRDefault="00230914" w:rsidP="00FF362A">
            <w:pPr>
              <w:tabs>
                <w:tab w:val="right" w:pos="2913"/>
              </w:tabs>
              <w:rPr>
                <w:i/>
                <w:iCs/>
                <w:color w:val="0000FF"/>
                <w:sz w:val="14"/>
                <w:szCs w:val="14"/>
                <w:lang w:val="es-ES_tradnl"/>
              </w:rPr>
            </w:pPr>
            <w:r w:rsidRPr="003060BE">
              <w:rPr>
                <w:i/>
                <w:iCs/>
                <w:color w:val="0000FF"/>
                <w:sz w:val="14"/>
                <w:szCs w:val="14"/>
                <w:lang w:val="es-ES_tradnl"/>
              </w:rPr>
              <w:t>Total de la cuota de desarrollo,</w:t>
            </w:r>
            <w:r w:rsidRPr="003060BE">
              <w:rPr>
                <w:i/>
                <w:iCs/>
                <w:color w:val="0000FF"/>
                <w:sz w:val="14"/>
                <w:szCs w:val="14"/>
                <w:lang w:val="es-ES_tradnl"/>
              </w:rPr>
              <w:br/>
              <w:t xml:space="preserve"> meta VIII:</w:t>
            </w:r>
            <w:r w:rsidRPr="003060BE">
              <w:rPr>
                <w:i/>
                <w:iCs/>
                <w:color w:val="0000FF"/>
                <w:sz w:val="14"/>
                <w:szCs w:val="14"/>
                <w:lang w:val="es-ES_tradnl"/>
              </w:rPr>
              <w:tab/>
              <w:t xml:space="preserve">    9.</w:t>
            </w:r>
            <w:r w:rsidR="00096B4A">
              <w:rPr>
                <w:i/>
                <w:iCs/>
                <w:color w:val="0000FF"/>
                <w:sz w:val="14"/>
                <w:szCs w:val="14"/>
                <w:lang w:val="es-ES_tradnl"/>
              </w:rPr>
              <w:t>765</w:t>
            </w:r>
          </w:p>
          <w:p w:rsidR="00230914" w:rsidRPr="003060BE" w:rsidRDefault="00230914" w:rsidP="00FF362A">
            <w:pPr>
              <w:tabs>
                <w:tab w:val="right" w:pos="2350"/>
              </w:tabs>
              <w:rPr>
                <w:i/>
                <w:iCs/>
                <w:sz w:val="14"/>
                <w:szCs w:val="14"/>
                <w:lang w:val="es-ES_tradnl"/>
              </w:rPr>
            </w:pPr>
          </w:p>
        </w:tc>
      </w:tr>
      <w:tr w:rsidR="00230914" w:rsidRPr="003060BE" w:rsidTr="00FF362A">
        <w:trPr>
          <w:trHeight w:val="559"/>
        </w:trPr>
        <w:tc>
          <w:tcPr>
            <w:tcW w:w="387" w:type="dxa"/>
            <w:vMerge/>
            <w:tcBorders>
              <w:top w:val="single" w:sz="8" w:space="0" w:color="auto"/>
              <w:left w:val="single" w:sz="8" w:space="0" w:color="auto"/>
              <w:bottom w:val="single" w:sz="4" w:space="0" w:color="000000"/>
              <w:right w:val="nil"/>
            </w:tcBorders>
            <w:vAlign w:val="center"/>
          </w:tcPr>
          <w:p w:rsidR="00230914" w:rsidRPr="003060BE" w:rsidRDefault="00230914" w:rsidP="00FF362A">
            <w:pPr>
              <w:tabs>
                <w:tab w:val="right" w:pos="2835"/>
              </w:tabs>
              <w:rPr>
                <w:b/>
                <w:bCs/>
                <w:sz w:val="16"/>
                <w:szCs w:val="16"/>
                <w:lang w:val="es-ES_tradnl"/>
              </w:rPr>
            </w:pPr>
          </w:p>
        </w:tc>
        <w:tc>
          <w:tcPr>
            <w:tcW w:w="3040" w:type="dxa"/>
            <w:tcBorders>
              <w:top w:val="single" w:sz="4" w:space="0" w:color="auto"/>
              <w:left w:val="single" w:sz="4" w:space="0" w:color="auto"/>
              <w:bottom w:val="single" w:sz="4" w:space="0" w:color="auto"/>
              <w:right w:val="single" w:sz="4" w:space="0" w:color="auto"/>
            </w:tcBorders>
            <w:shd w:val="clear" w:color="auto" w:fill="CCFFFF"/>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Meta estratégica I:</w:t>
            </w:r>
          </w:p>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Evolución equilibrada del marco normativo internacional de P.I.</w:t>
            </w:r>
          </w:p>
        </w:tc>
        <w:tc>
          <w:tcPr>
            <w:tcW w:w="3041" w:type="dxa"/>
            <w:tcBorders>
              <w:top w:val="single" w:sz="4" w:space="0" w:color="auto"/>
              <w:left w:val="nil"/>
              <w:bottom w:val="single" w:sz="4" w:space="0" w:color="auto"/>
              <w:right w:val="single" w:sz="4" w:space="0" w:color="auto"/>
            </w:tcBorders>
            <w:shd w:val="clear" w:color="auto" w:fill="CCFFFF"/>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Meta estratégica II:</w:t>
            </w:r>
          </w:p>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Prestación de servicios mundiales de P.I. de calidad</w:t>
            </w:r>
          </w:p>
        </w:tc>
        <w:tc>
          <w:tcPr>
            <w:tcW w:w="3043" w:type="dxa"/>
            <w:tcBorders>
              <w:top w:val="single" w:sz="4" w:space="0" w:color="auto"/>
              <w:left w:val="nil"/>
              <w:bottom w:val="single" w:sz="4" w:space="0" w:color="auto"/>
              <w:right w:val="single" w:sz="4" w:space="0" w:color="auto"/>
            </w:tcBorders>
            <w:shd w:val="clear" w:color="auto" w:fill="CCFFFF"/>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Meta estratégica III:</w:t>
            </w:r>
          </w:p>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Facilitar el uso de la P.I. en aras del desarrollo</w:t>
            </w:r>
          </w:p>
        </w:tc>
        <w:tc>
          <w:tcPr>
            <w:tcW w:w="3041" w:type="dxa"/>
            <w:tcBorders>
              <w:top w:val="single" w:sz="4" w:space="0" w:color="auto"/>
              <w:left w:val="nil"/>
              <w:bottom w:val="single" w:sz="4" w:space="0" w:color="auto"/>
              <w:right w:val="single" w:sz="4" w:space="0" w:color="auto"/>
            </w:tcBorders>
            <w:shd w:val="clear" w:color="auto" w:fill="CCFFFF"/>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Meta estratégica IV:</w:t>
            </w:r>
          </w:p>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Coordinación y desarrollo de la infraestructura mundial de P.I.</w:t>
            </w:r>
          </w:p>
        </w:tc>
        <w:tc>
          <w:tcPr>
            <w:tcW w:w="3211" w:type="dxa"/>
            <w:gridSpan w:val="2"/>
            <w:tcBorders>
              <w:top w:val="single" w:sz="4" w:space="0" w:color="auto"/>
              <w:left w:val="nil"/>
              <w:bottom w:val="single" w:sz="4" w:space="0" w:color="auto"/>
              <w:right w:val="single" w:sz="4" w:space="0" w:color="auto"/>
            </w:tcBorders>
            <w:shd w:val="clear" w:color="auto" w:fill="CCFFFF"/>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Meta estratégica V:</w:t>
            </w:r>
          </w:p>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Fuente de referencia en el mundo de información y análisis en materia de P.I.</w:t>
            </w:r>
          </w:p>
        </w:tc>
        <w:tc>
          <w:tcPr>
            <w:tcW w:w="2870" w:type="dxa"/>
            <w:tcBorders>
              <w:top w:val="single" w:sz="4" w:space="0" w:color="auto"/>
              <w:left w:val="nil"/>
              <w:bottom w:val="single" w:sz="4" w:space="0" w:color="auto"/>
              <w:right w:val="single" w:sz="4" w:space="0" w:color="auto"/>
            </w:tcBorders>
            <w:shd w:val="clear" w:color="auto" w:fill="CCFFFF"/>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Meta estratégica VI:</w:t>
            </w:r>
          </w:p>
          <w:p w:rsidR="00230914" w:rsidRPr="003060BE" w:rsidRDefault="009C708A" w:rsidP="00FF362A">
            <w:pPr>
              <w:tabs>
                <w:tab w:val="right" w:pos="2835"/>
              </w:tabs>
              <w:jc w:val="center"/>
              <w:rPr>
                <w:b/>
                <w:bCs/>
                <w:sz w:val="16"/>
                <w:szCs w:val="16"/>
                <w:lang w:val="es-ES_tradnl"/>
              </w:rPr>
            </w:pPr>
            <w:r>
              <w:rPr>
                <w:b/>
                <w:bCs/>
                <w:sz w:val="16"/>
                <w:szCs w:val="16"/>
                <w:lang w:val="es-ES_tradnl"/>
              </w:rPr>
              <w:t>Cooperación internacional para cultivar el respeto por la P.I.</w:t>
            </w:r>
          </w:p>
        </w:tc>
        <w:tc>
          <w:tcPr>
            <w:tcW w:w="3046" w:type="dxa"/>
            <w:tcBorders>
              <w:top w:val="single" w:sz="4" w:space="0" w:color="auto"/>
              <w:left w:val="nil"/>
              <w:bottom w:val="single" w:sz="4" w:space="0" w:color="auto"/>
              <w:right w:val="single" w:sz="4" w:space="0" w:color="auto"/>
            </w:tcBorders>
            <w:shd w:val="clear" w:color="auto" w:fill="CCFFFF"/>
            <w:vAlign w:val="center"/>
          </w:tcPr>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Meta estratégica VII:</w:t>
            </w:r>
          </w:p>
          <w:p w:rsidR="00230914" w:rsidRPr="003060BE" w:rsidRDefault="00230914" w:rsidP="00FF362A">
            <w:pPr>
              <w:tabs>
                <w:tab w:val="right" w:pos="2835"/>
              </w:tabs>
              <w:jc w:val="center"/>
              <w:rPr>
                <w:b/>
                <w:bCs/>
                <w:sz w:val="16"/>
                <w:szCs w:val="16"/>
                <w:lang w:val="es-ES_tradnl"/>
              </w:rPr>
            </w:pPr>
            <w:r w:rsidRPr="003060BE">
              <w:rPr>
                <w:b/>
                <w:bCs/>
                <w:sz w:val="16"/>
                <w:szCs w:val="16"/>
                <w:lang w:val="es-ES_tradnl"/>
              </w:rPr>
              <w:t>Vínculos entre la P.I. y los problemas mundiales de política pública</w:t>
            </w:r>
          </w:p>
        </w:tc>
      </w:tr>
      <w:tr w:rsidR="00230914" w:rsidRPr="003060BE" w:rsidTr="00FF362A">
        <w:trPr>
          <w:trHeight w:val="145"/>
        </w:trPr>
        <w:tc>
          <w:tcPr>
            <w:tcW w:w="387" w:type="dxa"/>
            <w:vMerge/>
            <w:tcBorders>
              <w:top w:val="single" w:sz="8" w:space="0" w:color="auto"/>
              <w:left w:val="single" w:sz="8" w:space="0" w:color="auto"/>
              <w:bottom w:val="single" w:sz="4" w:space="0" w:color="000000"/>
              <w:right w:val="nil"/>
            </w:tcBorders>
            <w:vAlign w:val="center"/>
          </w:tcPr>
          <w:p w:rsidR="00230914" w:rsidRPr="003060BE" w:rsidRDefault="00230914" w:rsidP="00FF362A">
            <w:pPr>
              <w:tabs>
                <w:tab w:val="right" w:pos="2835"/>
              </w:tabs>
              <w:rPr>
                <w:b/>
                <w:bCs/>
                <w:sz w:val="16"/>
                <w:szCs w:val="16"/>
                <w:lang w:val="es-ES_tradnl"/>
              </w:rPr>
            </w:pPr>
          </w:p>
        </w:tc>
        <w:tc>
          <w:tcPr>
            <w:tcW w:w="3040" w:type="dxa"/>
            <w:tcBorders>
              <w:top w:val="nil"/>
              <w:left w:val="single" w:sz="4" w:space="0" w:color="auto"/>
              <w:right w:val="nil"/>
            </w:tcBorders>
            <w:shd w:val="clear" w:color="auto" w:fill="auto"/>
          </w:tcPr>
          <w:p w:rsidR="008D3CF3" w:rsidRDefault="008D3CF3" w:rsidP="008D3CF3">
            <w:pPr>
              <w:tabs>
                <w:tab w:val="right" w:pos="2835"/>
              </w:tabs>
              <w:rPr>
                <w:sz w:val="14"/>
                <w:szCs w:val="14"/>
                <w:lang w:val="es-ES_tradnl"/>
              </w:rPr>
            </w:pPr>
          </w:p>
          <w:p w:rsidR="00230914" w:rsidRPr="003060BE" w:rsidRDefault="00230914" w:rsidP="00FF362A">
            <w:pPr>
              <w:tabs>
                <w:tab w:val="right" w:pos="2835"/>
              </w:tabs>
              <w:spacing w:after="60"/>
              <w:rPr>
                <w:sz w:val="14"/>
                <w:szCs w:val="14"/>
                <w:lang w:val="es-ES_tradnl"/>
              </w:rPr>
            </w:pPr>
            <w:r w:rsidRPr="003060BE">
              <w:rPr>
                <w:sz w:val="14"/>
                <w:szCs w:val="14"/>
                <w:lang w:val="es-ES_tradnl"/>
              </w:rPr>
              <w:t xml:space="preserve">I.1. Mejor cooperación entre los Estados miembros en lo que atañe a la elaboración de marcos normativos internacionales equilibrados para la P.I. y fomento de </w:t>
            </w:r>
            <w:r w:rsidR="00616858">
              <w:rPr>
                <w:sz w:val="14"/>
                <w:szCs w:val="14"/>
                <w:lang w:val="es-ES_tradnl"/>
              </w:rPr>
              <w:t>acuerd</w:t>
            </w:r>
            <w:r w:rsidRPr="003060BE">
              <w:rPr>
                <w:sz w:val="14"/>
                <w:szCs w:val="14"/>
                <w:lang w:val="es-ES_tradnl"/>
              </w:rPr>
              <w:t>o</w:t>
            </w:r>
            <w:r w:rsidR="00D06458">
              <w:rPr>
                <w:sz w:val="14"/>
                <w:szCs w:val="14"/>
                <w:lang w:val="es-ES_tradnl"/>
              </w:rPr>
              <w:t>s sobre</w:t>
            </w:r>
            <w:r w:rsidR="00616858">
              <w:rPr>
                <w:sz w:val="14"/>
                <w:szCs w:val="14"/>
                <w:lang w:val="es-ES_tradnl"/>
              </w:rPr>
              <w:t xml:space="preserve"> las</w:t>
            </w:r>
            <w:r w:rsidRPr="003060BE">
              <w:rPr>
                <w:sz w:val="14"/>
                <w:szCs w:val="14"/>
                <w:lang w:val="es-ES_tradnl"/>
              </w:rPr>
              <w:t xml:space="preserve"> cuestiones específicas respecto de las que se acuerdan instrumentos internacionales. </w:t>
            </w:r>
          </w:p>
          <w:p w:rsidR="00230914" w:rsidRPr="003060BE" w:rsidRDefault="00230914" w:rsidP="00FF362A">
            <w:pPr>
              <w:tabs>
                <w:tab w:val="left" w:pos="307"/>
                <w:tab w:val="left" w:pos="2157"/>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15.734</w:t>
            </w:r>
            <w:r w:rsidRPr="003060BE">
              <w:rPr>
                <w:i/>
                <w:iCs/>
                <w:sz w:val="14"/>
                <w:szCs w:val="14"/>
                <w:lang w:val="es-ES_tradnl"/>
              </w:rPr>
              <w:tab/>
            </w:r>
          </w:p>
          <w:p w:rsidR="00230914" w:rsidRPr="003060BE" w:rsidRDefault="00230914" w:rsidP="00FF362A">
            <w:pPr>
              <w:tabs>
                <w:tab w:val="left" w:pos="319"/>
                <w:tab w:val="left" w:pos="2157"/>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r>
            <w:r w:rsidRPr="003060BE">
              <w:rPr>
                <w:i/>
                <w:iCs/>
                <w:color w:val="0000FF"/>
                <w:sz w:val="14"/>
                <w:szCs w:val="14"/>
                <w:lang w:val="es-ES_tradnl"/>
              </w:rPr>
              <w:tab/>
              <w:t>8.772</w:t>
            </w:r>
            <w:r w:rsidRPr="003060BE">
              <w:rPr>
                <w:i/>
                <w:iCs/>
                <w:color w:val="0000FF"/>
                <w:sz w:val="14"/>
                <w:szCs w:val="14"/>
                <w:lang w:val="es-ES_tradnl"/>
              </w:rPr>
              <w:tab/>
            </w:r>
          </w:p>
          <w:p w:rsidR="00230914" w:rsidRPr="003060BE" w:rsidRDefault="00230914" w:rsidP="00FF362A">
            <w:pPr>
              <w:tabs>
                <w:tab w:val="right" w:pos="2835"/>
              </w:tabs>
              <w:rPr>
                <w:color w:val="0000FF"/>
                <w:sz w:val="14"/>
                <w:szCs w:val="14"/>
                <w:lang w:val="es-ES_tradnl"/>
              </w:rPr>
            </w:pP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lang w:val="es-ES_tradnl"/>
              </w:rPr>
            </w:pPr>
            <w:r w:rsidRPr="003060BE">
              <w:rPr>
                <w:sz w:val="14"/>
                <w:szCs w:val="14"/>
                <w:lang w:val="es-ES_tradnl"/>
              </w:rPr>
              <w:t>I.2. Marcos de P.I. adaptados y equilibrados en</w:t>
            </w:r>
            <w:r w:rsidR="009A045F">
              <w:rPr>
                <w:sz w:val="14"/>
                <w:szCs w:val="14"/>
                <w:lang w:val="es-ES_tradnl"/>
              </w:rPr>
              <w:t xml:space="preserve"> el ámbito legislativo, reglamentario</w:t>
            </w:r>
            <w:r w:rsidRPr="003060BE">
              <w:rPr>
                <w:sz w:val="14"/>
                <w:szCs w:val="14"/>
                <w:lang w:val="es-ES_tradnl"/>
              </w:rPr>
              <w:t xml:space="preserve"> y de política.</w:t>
            </w:r>
          </w:p>
          <w:p w:rsidR="00230914" w:rsidRPr="003060BE" w:rsidRDefault="00230914" w:rsidP="00FF362A">
            <w:pPr>
              <w:tabs>
                <w:tab w:val="left" w:pos="307"/>
                <w:tab w:val="left" w:pos="2157"/>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7.</w:t>
            </w:r>
            <w:r w:rsidR="00096B4A">
              <w:rPr>
                <w:i/>
                <w:iCs/>
                <w:sz w:val="14"/>
                <w:szCs w:val="14"/>
                <w:lang w:val="es-ES_tradnl"/>
              </w:rPr>
              <w:t>899</w:t>
            </w:r>
            <w:r w:rsidRPr="003060BE">
              <w:rPr>
                <w:i/>
                <w:iCs/>
                <w:sz w:val="14"/>
                <w:szCs w:val="14"/>
                <w:lang w:val="es-ES_tradnl"/>
              </w:rPr>
              <w:tab/>
            </w:r>
          </w:p>
          <w:p w:rsidR="00230914" w:rsidRPr="003060BE" w:rsidRDefault="00230914" w:rsidP="00FF362A">
            <w:pPr>
              <w:tabs>
                <w:tab w:val="left" w:pos="307"/>
                <w:tab w:val="left" w:pos="2157"/>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r>
            <w:r w:rsidRPr="003060BE">
              <w:rPr>
                <w:i/>
                <w:iCs/>
                <w:color w:val="0000FF"/>
                <w:sz w:val="14"/>
                <w:szCs w:val="14"/>
                <w:lang w:val="es-ES_tradnl"/>
              </w:rPr>
              <w:tab/>
              <w:t>7.</w:t>
            </w:r>
            <w:r w:rsidR="00096B4A">
              <w:rPr>
                <w:i/>
                <w:iCs/>
                <w:color w:val="0000FF"/>
                <w:sz w:val="14"/>
                <w:szCs w:val="14"/>
                <w:lang w:val="es-ES_tradnl"/>
              </w:rPr>
              <w:t>899</w:t>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lang w:val="es-ES_tradnl"/>
              </w:rPr>
            </w:pPr>
            <w:r w:rsidRPr="003060BE">
              <w:rPr>
                <w:sz w:val="14"/>
                <w:szCs w:val="14"/>
                <w:lang w:val="es-ES_tradnl"/>
              </w:rPr>
              <w:t>I.3. Aumento de la protección de los emblemas de Estado y de los nombres y emblemas de organizaciones intergubernamentales internacionales.</w:t>
            </w:r>
          </w:p>
          <w:p w:rsidR="00230914" w:rsidRPr="003060BE" w:rsidRDefault="00230914" w:rsidP="00FF362A">
            <w:pPr>
              <w:tabs>
                <w:tab w:val="left" w:pos="307"/>
                <w:tab w:val="left" w:pos="2157"/>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439</w:t>
            </w:r>
            <w:r w:rsidRPr="003060BE">
              <w:rPr>
                <w:i/>
                <w:iCs/>
                <w:sz w:val="14"/>
                <w:szCs w:val="14"/>
                <w:lang w:val="es-ES_tradnl"/>
              </w:rPr>
              <w:tab/>
            </w:r>
          </w:p>
          <w:p w:rsidR="00230914" w:rsidRPr="003060BE" w:rsidRDefault="00230914" w:rsidP="00FF362A">
            <w:pPr>
              <w:tabs>
                <w:tab w:val="left" w:pos="307"/>
                <w:tab w:val="left" w:pos="2157"/>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r>
            <w:r w:rsidRPr="003060BE">
              <w:rPr>
                <w:i/>
                <w:iCs/>
                <w:color w:val="0000FF"/>
                <w:sz w:val="14"/>
                <w:szCs w:val="14"/>
                <w:lang w:val="es-ES_tradnl"/>
              </w:rPr>
              <w:tab/>
              <w:t>-</w:t>
            </w:r>
          </w:p>
          <w:p w:rsidR="00230914" w:rsidRPr="003060BE" w:rsidRDefault="00230914" w:rsidP="00FF362A">
            <w:pPr>
              <w:tabs>
                <w:tab w:val="right" w:pos="2835"/>
              </w:tabs>
              <w:rPr>
                <w:sz w:val="14"/>
                <w:szCs w:val="14"/>
              </w:rPr>
            </w:pPr>
            <w:r w:rsidRPr="003060BE">
              <w:rPr>
                <w:sz w:val="14"/>
                <w:szCs w:val="14"/>
                <w:lang w:val="es-ES_tradnl"/>
              </w:rPr>
              <w:t> </w:t>
            </w:r>
            <w:r w:rsidR="00C40A11">
              <w:rPr>
                <w:noProof/>
                <w:lang w:val="en-US" w:eastAsia="en-US"/>
              </w:rPr>
              <mc:AlternateContent>
                <mc:Choice Requires="wpc">
                  <w:drawing>
                    <wp:anchor distT="0" distB="0" distL="114300" distR="114300" simplePos="0" relativeHeight="251656704" behindDoc="0" locked="0" layoutInCell="1" allowOverlap="1" wp14:anchorId="38D93CEF" wp14:editId="010363EF">
                      <wp:simplePos x="0" y="0"/>
                      <wp:positionH relativeFrom="character">
                        <wp:posOffset>0</wp:posOffset>
                      </wp:positionH>
                      <wp:positionV relativeFrom="line">
                        <wp:posOffset>0</wp:posOffset>
                      </wp:positionV>
                      <wp:extent cx="1828800" cy="1323340"/>
                      <wp:effectExtent l="0" t="0" r="0" b="0"/>
                      <wp:wrapNone/>
                      <wp:docPr id="191" name="Canvas 1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c:wpc>
                        </a:graphicData>
                      </a:graphic>
                      <wp14:sizeRelH relativeFrom="page">
                        <wp14:pctWidth>0</wp14:pctWidth>
                      </wp14:sizeRelH>
                      <wp14:sizeRelV relativeFrom="page">
                        <wp14:pctHeight>0</wp14:pctHeight>
                      </wp14:sizeRelV>
                    </wp:anchor>
                  </w:drawing>
                </mc:Choice>
                <mc:Fallback>
                  <w:pict>
                    <v:group id="Canvas 14" o:spid="_x0000_s1026" editas="canvas" style="position:absolute;margin-left:0;margin-top:0;width:2in;height:104.2pt;z-index:251656704;mso-position-horizontal-relative:char;mso-position-vertical-relative:line" coordsize="18288,132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8288;height:13233;visibility:visible;mso-wrap-style:square">
                        <v:fill o:detectmouseclick="t"/>
                        <v:path o:connecttype="none"/>
                      </v:shape>
                      <w10:wrap anchory="line"/>
                    </v:group>
                  </w:pict>
                </mc:Fallback>
              </mc:AlternateContent>
            </w:r>
            <w:r w:rsidR="00C40A11">
              <w:rPr>
                <w:noProof/>
                <w:lang w:val="en-US" w:eastAsia="en-US"/>
              </w:rPr>
              <mc:AlternateContent>
                <mc:Choice Requires="wps">
                  <w:drawing>
                    <wp:inline distT="0" distB="0" distL="0" distR="0" wp14:anchorId="7A1D89C2" wp14:editId="5A3AD1AF">
                      <wp:extent cx="1828800" cy="1323975"/>
                      <wp:effectExtent l="0" t="0" r="0" b="0"/>
                      <wp:docPr id="1"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828800" cy="1323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2in;height:104.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" filled="f" stroked="f">
                      <o:lock v:ext="edit" aspectratio="t"/>
                      <w10:anchorlock/>
                    </v:rect>
                  </w:pict>
                </mc:Fallback>
              </mc:AlternateContent>
            </w:r>
          </w:p>
        </w:tc>
        <w:tc>
          <w:tcPr>
            <w:tcW w:w="3041" w:type="dxa"/>
            <w:tcBorders>
              <w:top w:val="nil"/>
              <w:left w:val="nil"/>
              <w:right w:val="nil"/>
            </w:tcBorders>
            <w:shd w:val="clear" w:color="auto" w:fill="auto"/>
          </w:tcPr>
          <w:p w:rsidR="008D3CF3" w:rsidRDefault="008D3CF3" w:rsidP="008D3CF3">
            <w:pPr>
              <w:tabs>
                <w:tab w:val="right" w:pos="2835"/>
              </w:tabs>
              <w:rPr>
                <w:sz w:val="14"/>
                <w:szCs w:val="14"/>
                <w:lang w:val="es-ES_tradnl"/>
              </w:rPr>
            </w:pPr>
          </w:p>
          <w:p w:rsidR="00230914" w:rsidRPr="003060BE" w:rsidRDefault="00230914" w:rsidP="00FF362A">
            <w:pPr>
              <w:tabs>
                <w:tab w:val="right" w:pos="2835"/>
              </w:tabs>
              <w:spacing w:after="60"/>
              <w:rPr>
                <w:sz w:val="14"/>
                <w:szCs w:val="14"/>
                <w:lang w:val="es-ES_tradnl"/>
              </w:rPr>
            </w:pPr>
            <w:r w:rsidRPr="003060BE">
              <w:rPr>
                <w:sz w:val="14"/>
                <w:szCs w:val="14"/>
                <w:lang w:val="es-ES_tradnl"/>
              </w:rPr>
              <w:t xml:space="preserve">II.1. Fomento del uso de la vía del PCT para la presentación de solicitudes </w:t>
            </w:r>
            <w:r w:rsidR="005C32FC">
              <w:rPr>
                <w:sz w:val="14"/>
                <w:szCs w:val="14"/>
                <w:lang w:val="es-ES_tradnl"/>
              </w:rPr>
              <w:t xml:space="preserve">internacionales </w:t>
            </w:r>
            <w:r w:rsidRPr="003060BE">
              <w:rPr>
                <w:sz w:val="14"/>
                <w:szCs w:val="14"/>
                <w:lang w:val="es-ES_tradnl"/>
              </w:rPr>
              <w:t xml:space="preserve">de patente. </w:t>
            </w:r>
          </w:p>
          <w:p w:rsidR="00230914" w:rsidRPr="003060BE" w:rsidRDefault="00230914" w:rsidP="00FF362A">
            <w:pPr>
              <w:tabs>
                <w:tab w:val="left" w:pos="348"/>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2</w:t>
            </w:r>
            <w:r w:rsidR="00616858">
              <w:rPr>
                <w:i/>
                <w:iCs/>
                <w:sz w:val="14"/>
                <w:szCs w:val="14"/>
                <w:lang w:val="es-ES_tradnl"/>
              </w:rPr>
              <w:t>4.</w:t>
            </w:r>
            <w:r w:rsidR="002F43CD">
              <w:rPr>
                <w:i/>
                <w:iCs/>
                <w:sz w:val="14"/>
                <w:szCs w:val="14"/>
                <w:lang w:val="es-ES_tradnl"/>
              </w:rPr>
              <w:t>327</w:t>
            </w:r>
            <w:r w:rsidRPr="003060BE">
              <w:rPr>
                <w:i/>
                <w:iCs/>
                <w:sz w:val="14"/>
                <w:szCs w:val="14"/>
                <w:lang w:val="es-ES_tradnl"/>
              </w:rPr>
              <w:tab/>
            </w:r>
          </w:p>
          <w:p w:rsidR="00230914" w:rsidRPr="003060BE" w:rsidRDefault="00230914" w:rsidP="00FF362A">
            <w:pPr>
              <w:tabs>
                <w:tab w:val="left" w:pos="348"/>
                <w:tab w:val="left" w:pos="2173"/>
                <w:tab w:val="right" w:pos="2835"/>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sz w:val="14"/>
                <w:szCs w:val="14"/>
                <w:lang w:val="es-ES_tradnl"/>
              </w:rPr>
              <w:tab/>
            </w:r>
            <w:r w:rsidRPr="003060BE">
              <w:rPr>
                <w:i/>
                <w:iCs/>
                <w:color w:val="0000FF"/>
                <w:sz w:val="14"/>
                <w:szCs w:val="14"/>
                <w:lang w:val="es-ES_tradnl"/>
              </w:rPr>
              <w:t xml:space="preserve"> </w:t>
            </w:r>
            <w:r w:rsidRPr="003060BE">
              <w:rPr>
                <w:i/>
                <w:iCs/>
                <w:color w:val="0000FF"/>
                <w:sz w:val="14"/>
                <w:szCs w:val="14"/>
                <w:lang w:val="es-ES_tradnl"/>
              </w:rPr>
              <w:tab/>
              <w:t xml:space="preserve"> </w:t>
            </w:r>
            <w:r w:rsidR="00616858">
              <w:rPr>
                <w:i/>
                <w:iCs/>
                <w:color w:val="0000FF"/>
                <w:sz w:val="14"/>
                <w:szCs w:val="14"/>
                <w:lang w:val="es-ES_tradnl"/>
              </w:rPr>
              <w:t>5</w:t>
            </w:r>
            <w:r w:rsidRPr="003060BE">
              <w:rPr>
                <w:i/>
                <w:iCs/>
                <w:color w:val="0000FF"/>
                <w:sz w:val="14"/>
                <w:szCs w:val="14"/>
                <w:lang w:val="es-ES_tradnl"/>
              </w:rPr>
              <w:t>.</w:t>
            </w:r>
            <w:r w:rsidR="00616858">
              <w:rPr>
                <w:i/>
                <w:iCs/>
                <w:color w:val="0000FF"/>
                <w:sz w:val="14"/>
                <w:szCs w:val="14"/>
                <w:lang w:val="es-ES_tradnl"/>
              </w:rPr>
              <w:t>112</w:t>
            </w:r>
            <w:r w:rsidRPr="003060BE">
              <w:rPr>
                <w:sz w:val="14"/>
                <w:szCs w:val="14"/>
                <w:lang w:val="es-ES_tradnl"/>
              </w:rPr>
              <w:t xml:space="preserve">     </w:t>
            </w:r>
          </w:p>
          <w:p w:rsidR="00230914" w:rsidRPr="003060BE" w:rsidRDefault="00230914" w:rsidP="00FF362A">
            <w:pPr>
              <w:tabs>
                <w:tab w:val="right" w:pos="2835"/>
              </w:tabs>
              <w:rPr>
                <w:sz w:val="14"/>
                <w:szCs w:val="14"/>
                <w:lang w:val="es-ES_tradnl"/>
              </w:rPr>
            </w:pPr>
          </w:p>
          <w:p w:rsidR="00230914" w:rsidRPr="003060BE" w:rsidRDefault="00230914" w:rsidP="00FF362A">
            <w:pPr>
              <w:autoSpaceDE w:val="0"/>
              <w:autoSpaceDN w:val="0"/>
              <w:adjustRightInd w:val="0"/>
              <w:rPr>
                <w:sz w:val="14"/>
                <w:szCs w:val="14"/>
                <w:lang w:val="es-ES_tradnl" w:bidi="th-TH"/>
              </w:rPr>
            </w:pPr>
            <w:r w:rsidRPr="003060BE">
              <w:rPr>
                <w:sz w:val="14"/>
                <w:szCs w:val="14"/>
              </w:rPr>
              <w:t xml:space="preserve">II.2. </w:t>
            </w:r>
            <w:r w:rsidRPr="003060BE">
              <w:rPr>
                <w:sz w:val="14"/>
                <w:szCs w:val="14"/>
                <w:lang w:val="es-ES_tradnl"/>
              </w:rPr>
              <w:t>Mejora del sistema del PCT.</w:t>
            </w:r>
            <w:r w:rsidRPr="003060BE">
              <w:rPr>
                <w:sz w:val="14"/>
                <w:szCs w:val="14"/>
                <w:lang w:val="es-ES_tradnl" w:bidi="th-TH"/>
              </w:rPr>
              <w:t xml:space="preserve"> </w:t>
            </w:r>
          </w:p>
          <w:p w:rsidR="00230914" w:rsidRPr="003060BE" w:rsidRDefault="00230914" w:rsidP="00FF362A">
            <w:pPr>
              <w:tabs>
                <w:tab w:val="left" w:pos="348"/>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3.106</w:t>
            </w:r>
          </w:p>
          <w:p w:rsidR="00230914" w:rsidRPr="003060BE" w:rsidRDefault="00230914" w:rsidP="00FF362A">
            <w:pPr>
              <w:tabs>
                <w:tab w:val="left" w:pos="348"/>
                <w:tab w:val="left" w:pos="2173"/>
                <w:tab w:val="right" w:pos="2835"/>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sz w:val="14"/>
                <w:szCs w:val="14"/>
                <w:lang w:val="es-ES_tradnl"/>
              </w:rPr>
              <w:tab/>
            </w:r>
            <w:r w:rsidRPr="003060BE">
              <w:rPr>
                <w:color w:val="0000FF"/>
                <w:sz w:val="14"/>
                <w:szCs w:val="14"/>
                <w:lang w:val="es-ES_tradnl"/>
              </w:rPr>
              <w:tab/>
            </w:r>
            <w:r w:rsidRPr="003060BE">
              <w:rPr>
                <w:i/>
                <w:iCs/>
                <w:color w:val="0000FF"/>
                <w:sz w:val="14"/>
                <w:szCs w:val="14"/>
                <w:lang w:val="es-ES_tradnl"/>
              </w:rPr>
              <w:t>206</w:t>
            </w:r>
            <w:r w:rsidRPr="003060BE">
              <w:rPr>
                <w:color w:val="0000FF"/>
                <w:sz w:val="14"/>
                <w:szCs w:val="14"/>
                <w:lang w:val="es-ES_tradnl"/>
              </w:rPr>
              <w:tab/>
            </w:r>
            <w:r w:rsidRPr="003060BE">
              <w:rPr>
                <w:sz w:val="14"/>
                <w:szCs w:val="14"/>
                <w:lang w:val="es-ES_tradnl"/>
              </w:rPr>
              <w:t xml:space="preserve">   </w:t>
            </w:r>
          </w:p>
          <w:p w:rsidR="00230914" w:rsidRPr="003060BE" w:rsidRDefault="00230914" w:rsidP="00FF362A">
            <w:pPr>
              <w:tabs>
                <w:tab w:val="left" w:pos="348"/>
                <w:tab w:val="left" w:pos="1525"/>
                <w:tab w:val="right" w:pos="2835"/>
              </w:tabs>
              <w:rPr>
                <w:sz w:val="14"/>
                <w:szCs w:val="14"/>
                <w:lang w:val="es-ES_tradnl"/>
              </w:rPr>
            </w:pPr>
          </w:p>
          <w:p w:rsidR="00230914" w:rsidRPr="003060BE" w:rsidRDefault="00230914" w:rsidP="00616858">
            <w:pPr>
              <w:tabs>
                <w:tab w:val="right" w:pos="2835"/>
              </w:tabs>
              <w:spacing w:after="60"/>
              <w:rPr>
                <w:sz w:val="14"/>
                <w:szCs w:val="14"/>
                <w:lang w:val="es-ES_tradnl" w:bidi="th-TH"/>
              </w:rPr>
            </w:pPr>
            <w:r w:rsidRPr="003060BE">
              <w:rPr>
                <w:sz w:val="14"/>
                <w:szCs w:val="14"/>
              </w:rPr>
              <w:t xml:space="preserve">II.3. </w:t>
            </w:r>
            <w:r w:rsidRPr="003060BE">
              <w:rPr>
                <w:sz w:val="14"/>
                <w:szCs w:val="14"/>
                <w:lang w:val="es-ES_tradnl"/>
              </w:rPr>
              <w:t>Mejora de la productividad y de la calidad de los servicios en las operaciones del PCT.</w:t>
            </w:r>
          </w:p>
          <w:p w:rsidR="00230914" w:rsidRPr="003060BE" w:rsidRDefault="00230914" w:rsidP="00FF362A">
            <w:pPr>
              <w:tabs>
                <w:tab w:val="left" w:pos="335"/>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172.856</w:t>
            </w:r>
            <w:r w:rsidRPr="003060BE">
              <w:rPr>
                <w:i/>
                <w:iCs/>
                <w:sz w:val="14"/>
                <w:szCs w:val="14"/>
                <w:lang w:val="es-ES_tradnl"/>
              </w:rPr>
              <w:tab/>
            </w:r>
          </w:p>
          <w:p w:rsidR="00230914" w:rsidRPr="003060BE" w:rsidRDefault="00230914" w:rsidP="00FF362A">
            <w:pPr>
              <w:tabs>
                <w:tab w:val="left" w:pos="335"/>
                <w:tab w:val="left" w:pos="2315"/>
                <w:tab w:val="right" w:pos="2835"/>
              </w:tabs>
              <w:rPr>
                <w:color w:val="0000FF"/>
                <w:sz w:val="14"/>
                <w:szCs w:val="14"/>
                <w:lang w:val="es-ES_tradnl"/>
              </w:rPr>
            </w:pPr>
            <w:r w:rsidRPr="003060BE">
              <w:rPr>
                <w:i/>
                <w:iCs/>
                <w:sz w:val="14"/>
                <w:szCs w:val="14"/>
                <w:lang w:val="es-ES_tradnl"/>
              </w:rPr>
              <w:tab/>
            </w:r>
            <w:r w:rsidRPr="003060BE">
              <w:rPr>
                <w:iCs/>
                <w:color w:val="0000FF"/>
                <w:sz w:val="14"/>
                <w:szCs w:val="14"/>
                <w:lang w:val="es-ES_tradnl"/>
              </w:rPr>
              <w:t>Cuota de desarrollo:</w:t>
            </w:r>
            <w:r w:rsidRPr="003060BE">
              <w:rPr>
                <w:sz w:val="14"/>
                <w:szCs w:val="14"/>
                <w:lang w:val="es-ES_tradnl"/>
              </w:rPr>
              <w:t xml:space="preserve"> </w:t>
            </w:r>
            <w:r w:rsidRPr="003060BE">
              <w:rPr>
                <w:sz w:val="14"/>
                <w:szCs w:val="14"/>
                <w:lang w:val="es-ES_tradnl"/>
              </w:rPr>
              <w:tab/>
            </w:r>
            <w:r w:rsidRPr="003060BE">
              <w:rPr>
                <w:sz w:val="14"/>
                <w:szCs w:val="14"/>
                <w:lang w:val="es-ES_tradnl"/>
              </w:rPr>
              <w:tab/>
            </w:r>
            <w:r w:rsidRPr="003060BE">
              <w:rPr>
                <w:color w:val="0000FF"/>
                <w:sz w:val="14"/>
                <w:szCs w:val="14"/>
                <w:lang w:val="es-ES_tradnl"/>
              </w:rPr>
              <w:t>-</w:t>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lang w:val="es-ES_tradnl"/>
              </w:rPr>
            </w:pPr>
            <w:r w:rsidRPr="003060BE">
              <w:rPr>
                <w:sz w:val="14"/>
                <w:szCs w:val="14"/>
                <w:lang w:val="es-ES_tradnl"/>
              </w:rPr>
              <w:t>II.4. Ampliación y mejora del uso del sistema de La Haya por los países en desarrollo y los PMA, entre otros.</w:t>
            </w:r>
          </w:p>
          <w:p w:rsidR="00230914" w:rsidRPr="003060BE" w:rsidRDefault="00230914" w:rsidP="00FF362A">
            <w:pPr>
              <w:tabs>
                <w:tab w:val="left" w:pos="323"/>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5.953</w:t>
            </w:r>
            <w:r w:rsidRPr="003060BE">
              <w:rPr>
                <w:i/>
                <w:iCs/>
                <w:sz w:val="14"/>
                <w:szCs w:val="14"/>
                <w:lang w:val="es-ES_tradnl"/>
              </w:rPr>
              <w:tab/>
              <w:t xml:space="preserve"> </w:t>
            </w:r>
          </w:p>
          <w:p w:rsidR="00230914" w:rsidRPr="003060BE" w:rsidRDefault="00230914" w:rsidP="00FF362A">
            <w:pPr>
              <w:tabs>
                <w:tab w:val="left" w:pos="323"/>
                <w:tab w:val="left" w:pos="2315"/>
                <w:tab w:val="right" w:pos="2835"/>
              </w:tabs>
              <w:rPr>
                <w:i/>
                <w:iCs/>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color w:val="0000FF"/>
                <w:sz w:val="14"/>
                <w:szCs w:val="14"/>
                <w:lang w:val="es-ES_tradnl"/>
              </w:rPr>
              <w:t xml:space="preserve">     </w:t>
            </w:r>
            <w:r w:rsidRPr="003060BE">
              <w:rPr>
                <w:color w:val="0000FF"/>
                <w:sz w:val="14"/>
                <w:szCs w:val="14"/>
                <w:lang w:val="es-ES_tradnl"/>
              </w:rPr>
              <w:tab/>
            </w:r>
            <w:r w:rsidRPr="003060BE">
              <w:rPr>
                <w:color w:val="0000FF"/>
                <w:sz w:val="14"/>
                <w:szCs w:val="14"/>
                <w:lang w:val="es-ES_tradnl"/>
              </w:rPr>
              <w:tab/>
            </w:r>
            <w:r w:rsidRPr="003060BE">
              <w:rPr>
                <w:i/>
                <w:iCs/>
                <w:color w:val="0000FF"/>
                <w:sz w:val="14"/>
                <w:szCs w:val="14"/>
                <w:lang w:val="es-ES_tradnl"/>
              </w:rPr>
              <w:t>354</w:t>
            </w:r>
            <w:r w:rsidRPr="003060BE">
              <w:rPr>
                <w:i/>
                <w:iCs/>
                <w:sz w:val="14"/>
                <w:szCs w:val="14"/>
                <w:lang w:val="es-ES_tradnl"/>
              </w:rPr>
              <w:t xml:space="preserve"> </w:t>
            </w:r>
          </w:p>
          <w:p w:rsidR="00230914" w:rsidRPr="003060BE" w:rsidRDefault="00230914" w:rsidP="00FF362A">
            <w:pPr>
              <w:tabs>
                <w:tab w:val="left" w:pos="1525"/>
                <w:tab w:val="right" w:pos="2835"/>
              </w:tabs>
              <w:rPr>
                <w:sz w:val="14"/>
                <w:szCs w:val="14"/>
                <w:lang w:val="es-ES_tradnl"/>
              </w:rPr>
            </w:pPr>
          </w:p>
          <w:p w:rsidR="00230914" w:rsidRPr="003060BE" w:rsidRDefault="00230914" w:rsidP="00FF362A">
            <w:pPr>
              <w:tabs>
                <w:tab w:val="right" w:pos="2835"/>
              </w:tabs>
              <w:spacing w:after="60"/>
              <w:rPr>
                <w:sz w:val="14"/>
                <w:szCs w:val="14"/>
                <w:lang w:val="es-ES_tradnl"/>
              </w:rPr>
            </w:pPr>
            <w:r w:rsidRPr="003060BE">
              <w:rPr>
                <w:sz w:val="14"/>
                <w:szCs w:val="14"/>
              </w:rPr>
              <w:t xml:space="preserve">II.5. </w:t>
            </w:r>
            <w:r w:rsidRPr="003060BE">
              <w:rPr>
                <w:sz w:val="14"/>
                <w:szCs w:val="14"/>
                <w:lang w:val="es-ES_tradnl"/>
              </w:rPr>
              <w:t>Mejora de la productividad y de la calidad de los servicios en las operaciones del sistema de La Haya.</w:t>
            </w:r>
          </w:p>
          <w:p w:rsidR="00230914" w:rsidRPr="003060BE" w:rsidRDefault="00230914" w:rsidP="00FF362A">
            <w:pPr>
              <w:tabs>
                <w:tab w:val="left" w:pos="360"/>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2.351</w:t>
            </w:r>
            <w:r w:rsidRPr="003060BE">
              <w:rPr>
                <w:i/>
                <w:iCs/>
                <w:sz w:val="14"/>
                <w:szCs w:val="14"/>
                <w:lang w:val="es-ES_tradnl"/>
              </w:rPr>
              <w:tab/>
            </w:r>
          </w:p>
          <w:p w:rsidR="00230914" w:rsidRPr="003060BE" w:rsidRDefault="00230914" w:rsidP="00FF362A">
            <w:pPr>
              <w:tabs>
                <w:tab w:val="left" w:pos="360"/>
                <w:tab w:val="left" w:pos="2315"/>
                <w:tab w:val="right" w:pos="2835"/>
              </w:tabs>
              <w:rPr>
                <w:color w:val="0000FF"/>
                <w:sz w:val="14"/>
                <w:szCs w:val="14"/>
                <w:lang w:val="es-ES_tradnl"/>
              </w:rPr>
            </w:pPr>
            <w:r w:rsidRPr="003060BE">
              <w:rPr>
                <w:i/>
                <w:iCs/>
                <w:sz w:val="14"/>
                <w:szCs w:val="14"/>
                <w:lang w:val="es-ES_tradnl"/>
              </w:rPr>
              <w:tab/>
            </w:r>
            <w:r w:rsidRPr="003060BE">
              <w:rPr>
                <w:iCs/>
                <w:color w:val="0000FF"/>
                <w:sz w:val="14"/>
                <w:szCs w:val="14"/>
                <w:lang w:val="es-ES_tradnl"/>
              </w:rPr>
              <w:t>Cuota de desarrollo:</w:t>
            </w:r>
            <w:r w:rsidRPr="003060BE">
              <w:rPr>
                <w:sz w:val="14"/>
                <w:szCs w:val="14"/>
                <w:lang w:val="es-ES_tradnl"/>
              </w:rPr>
              <w:t xml:space="preserve"> </w:t>
            </w:r>
            <w:r w:rsidRPr="003060BE">
              <w:rPr>
                <w:sz w:val="14"/>
                <w:szCs w:val="14"/>
                <w:lang w:val="es-ES_tradnl"/>
              </w:rPr>
              <w:tab/>
            </w:r>
            <w:r w:rsidRPr="003060BE">
              <w:rPr>
                <w:color w:val="0000FF"/>
                <w:sz w:val="14"/>
                <w:szCs w:val="14"/>
                <w:lang w:val="es-ES_tradnl"/>
              </w:rPr>
              <w:tab/>
              <w:t>-</w:t>
            </w:r>
          </w:p>
          <w:p w:rsidR="00230914" w:rsidRPr="003060BE" w:rsidRDefault="00230914" w:rsidP="00FF362A">
            <w:pPr>
              <w:tabs>
                <w:tab w:val="left" w:pos="1525"/>
                <w:tab w:val="right" w:pos="2835"/>
              </w:tabs>
              <w:rPr>
                <w:sz w:val="14"/>
                <w:szCs w:val="14"/>
                <w:lang w:val="es-ES_tradnl"/>
              </w:rPr>
            </w:pPr>
          </w:p>
          <w:p w:rsidR="00230914" w:rsidRPr="003060BE" w:rsidRDefault="00230914" w:rsidP="00FF362A">
            <w:pPr>
              <w:tabs>
                <w:tab w:val="left" w:pos="1525"/>
                <w:tab w:val="right" w:pos="2835"/>
              </w:tabs>
              <w:spacing w:after="60"/>
              <w:rPr>
                <w:sz w:val="14"/>
                <w:szCs w:val="14"/>
                <w:lang w:val="es-ES_tradnl"/>
              </w:rPr>
            </w:pPr>
            <w:r w:rsidRPr="003060BE">
              <w:rPr>
                <w:sz w:val="14"/>
                <w:szCs w:val="14"/>
                <w:lang w:val="es-ES_tradnl"/>
              </w:rPr>
              <w:t>II. 6. Ampliación y mejora del uso de los sistemas de Madrid y de Lisboa por los países en desarrollo y los PMA, entre otros.</w:t>
            </w:r>
          </w:p>
          <w:p w:rsidR="00230914" w:rsidRPr="003060BE" w:rsidRDefault="00230914" w:rsidP="00FF362A">
            <w:pPr>
              <w:tabs>
                <w:tab w:val="left" w:pos="335"/>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15.878</w:t>
            </w:r>
            <w:r w:rsidRPr="003060BE">
              <w:rPr>
                <w:i/>
                <w:iCs/>
                <w:sz w:val="14"/>
                <w:szCs w:val="14"/>
                <w:lang w:val="es-ES_tradnl"/>
              </w:rPr>
              <w:tab/>
            </w:r>
          </w:p>
          <w:p w:rsidR="00230914" w:rsidRPr="003060BE" w:rsidRDefault="00230914" w:rsidP="00FF362A">
            <w:pPr>
              <w:tabs>
                <w:tab w:val="left" w:pos="335"/>
                <w:tab w:val="left" w:pos="2173"/>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 xml:space="preserve"> 6.377</w:t>
            </w:r>
          </w:p>
          <w:p w:rsidR="00230914" w:rsidRPr="003060BE" w:rsidRDefault="00230914" w:rsidP="00FF362A">
            <w:pPr>
              <w:tabs>
                <w:tab w:val="left" w:pos="1525"/>
                <w:tab w:val="right" w:pos="2835"/>
              </w:tabs>
              <w:rPr>
                <w:sz w:val="14"/>
                <w:szCs w:val="14"/>
                <w:lang w:val="es-ES_tradnl"/>
              </w:rPr>
            </w:pPr>
          </w:p>
          <w:p w:rsidR="00230914" w:rsidRPr="003060BE" w:rsidRDefault="00230914" w:rsidP="00FF362A">
            <w:pPr>
              <w:tabs>
                <w:tab w:val="left" w:pos="1525"/>
                <w:tab w:val="right" w:pos="2835"/>
              </w:tabs>
              <w:spacing w:after="60"/>
              <w:rPr>
                <w:sz w:val="14"/>
                <w:szCs w:val="14"/>
                <w:lang w:val="es-ES_tradnl"/>
              </w:rPr>
            </w:pPr>
            <w:r w:rsidRPr="003060BE">
              <w:rPr>
                <w:sz w:val="14"/>
                <w:szCs w:val="14"/>
              </w:rPr>
              <w:t xml:space="preserve">II.7. </w:t>
            </w:r>
            <w:r w:rsidRPr="003060BE">
              <w:rPr>
                <w:sz w:val="14"/>
                <w:szCs w:val="14"/>
                <w:lang w:val="es-ES_tradnl"/>
              </w:rPr>
              <w:t>Mejora de la productividad y de la calidad de los servicios en las operaciones de los sistemas de Madrid y de Lisboa.</w:t>
            </w:r>
          </w:p>
          <w:p w:rsidR="00230914" w:rsidRPr="003060BE" w:rsidRDefault="00230914" w:rsidP="00FF362A">
            <w:pPr>
              <w:tabs>
                <w:tab w:val="left" w:pos="331"/>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40.932</w:t>
            </w:r>
            <w:r w:rsidRPr="003060BE">
              <w:rPr>
                <w:i/>
                <w:iCs/>
                <w:sz w:val="14"/>
                <w:szCs w:val="14"/>
                <w:lang w:val="es-ES_tradnl"/>
              </w:rPr>
              <w:tab/>
            </w:r>
          </w:p>
          <w:p w:rsidR="00230914" w:rsidRPr="003060BE" w:rsidRDefault="00230914" w:rsidP="00FF362A">
            <w:pPr>
              <w:tabs>
                <w:tab w:val="left" w:pos="331"/>
                <w:tab w:val="left" w:pos="2173"/>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958</w:t>
            </w:r>
          </w:p>
          <w:p w:rsidR="00230914" w:rsidRPr="003060BE" w:rsidRDefault="00230914" w:rsidP="00FF362A">
            <w:pPr>
              <w:tabs>
                <w:tab w:val="left" w:pos="1525"/>
                <w:tab w:val="right" w:pos="2835"/>
              </w:tabs>
              <w:rPr>
                <w:i/>
                <w:iCs/>
                <w:color w:val="0000FF"/>
                <w:sz w:val="14"/>
                <w:szCs w:val="14"/>
                <w:lang w:val="es-ES_tradnl"/>
              </w:rPr>
            </w:pPr>
          </w:p>
          <w:p w:rsidR="00230914" w:rsidRPr="003060BE" w:rsidRDefault="00230914" w:rsidP="00FF362A">
            <w:pPr>
              <w:tabs>
                <w:tab w:val="left" w:pos="1525"/>
                <w:tab w:val="right" w:pos="2835"/>
              </w:tabs>
              <w:spacing w:after="60"/>
              <w:rPr>
                <w:sz w:val="14"/>
                <w:szCs w:val="14"/>
                <w:lang w:val="es-ES_tradnl"/>
              </w:rPr>
            </w:pPr>
            <w:r w:rsidRPr="003060BE">
              <w:rPr>
                <w:sz w:val="14"/>
                <w:szCs w:val="14"/>
              </w:rPr>
              <w:t xml:space="preserve">II.8. </w:t>
            </w:r>
            <w:r w:rsidRPr="003060BE">
              <w:rPr>
                <w:sz w:val="14"/>
                <w:szCs w:val="14"/>
                <w:lang w:val="es-ES_tradnl"/>
              </w:rPr>
              <w:t>Las controversias nacionales e internacionales en materia de P.I. se evitan o resuelven cada vez con más frecuencia mediante procedimientos de mediación, arbitraje y demás métodos de solución extrajudicial de controversias.</w:t>
            </w:r>
          </w:p>
          <w:p w:rsidR="00230914" w:rsidRPr="003060BE" w:rsidRDefault="00230914" w:rsidP="00FF362A">
            <w:pPr>
              <w:tabs>
                <w:tab w:val="left" w:pos="348"/>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3.557</w:t>
            </w:r>
            <w:r w:rsidRPr="003060BE">
              <w:rPr>
                <w:i/>
                <w:iCs/>
                <w:sz w:val="14"/>
                <w:szCs w:val="14"/>
                <w:lang w:val="es-ES_tradnl"/>
              </w:rPr>
              <w:tab/>
            </w:r>
          </w:p>
          <w:p w:rsidR="00230914" w:rsidRPr="003060BE" w:rsidRDefault="00230914" w:rsidP="00FF362A">
            <w:pPr>
              <w:tabs>
                <w:tab w:val="left" w:pos="335"/>
                <w:tab w:val="left" w:pos="2173"/>
                <w:tab w:val="right" w:pos="2835"/>
              </w:tabs>
              <w:rPr>
                <w:i/>
                <w:iCs/>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291</w:t>
            </w:r>
          </w:p>
          <w:p w:rsidR="00230914" w:rsidRPr="003060BE" w:rsidRDefault="00230914" w:rsidP="00FF362A">
            <w:pPr>
              <w:tabs>
                <w:tab w:val="left" w:pos="1525"/>
                <w:tab w:val="right" w:pos="2835"/>
              </w:tabs>
              <w:rPr>
                <w:i/>
                <w:iCs/>
                <w:sz w:val="14"/>
                <w:szCs w:val="14"/>
                <w:lang w:val="es-ES_tradnl"/>
              </w:rPr>
            </w:pPr>
          </w:p>
          <w:p w:rsidR="00230914" w:rsidRPr="003060BE" w:rsidRDefault="00230914" w:rsidP="00FF362A">
            <w:pPr>
              <w:tabs>
                <w:tab w:val="left" w:pos="1525"/>
                <w:tab w:val="right" w:pos="2835"/>
              </w:tabs>
              <w:spacing w:after="60"/>
              <w:rPr>
                <w:sz w:val="14"/>
                <w:szCs w:val="14"/>
                <w:lang w:val="es-ES_tradnl"/>
              </w:rPr>
            </w:pPr>
            <w:r w:rsidRPr="003060BE">
              <w:rPr>
                <w:sz w:val="14"/>
                <w:szCs w:val="14"/>
              </w:rPr>
              <w:t xml:space="preserve">II.9. </w:t>
            </w:r>
            <w:r w:rsidRPr="003060BE">
              <w:rPr>
                <w:sz w:val="14"/>
                <w:szCs w:val="14"/>
                <w:lang w:val="es-ES_tradnl"/>
              </w:rPr>
              <w:t xml:space="preserve">Protección eficaz de la propiedad intelectual en los </w:t>
            </w:r>
            <w:proofErr w:type="spellStart"/>
            <w:r w:rsidRPr="003060BE">
              <w:rPr>
                <w:sz w:val="14"/>
                <w:szCs w:val="14"/>
                <w:lang w:val="es-ES_tradnl"/>
              </w:rPr>
              <w:t>gTLD</w:t>
            </w:r>
            <w:proofErr w:type="spellEnd"/>
            <w:r w:rsidRPr="003060BE">
              <w:rPr>
                <w:sz w:val="14"/>
                <w:szCs w:val="14"/>
                <w:lang w:val="es-ES_tradnl"/>
              </w:rPr>
              <w:t xml:space="preserve"> y los </w:t>
            </w:r>
            <w:proofErr w:type="spellStart"/>
            <w:r w:rsidRPr="003060BE">
              <w:rPr>
                <w:sz w:val="14"/>
                <w:szCs w:val="14"/>
                <w:lang w:val="es-ES_tradnl"/>
              </w:rPr>
              <w:t>ccTLD</w:t>
            </w:r>
            <w:proofErr w:type="spellEnd"/>
            <w:r w:rsidRPr="003060BE">
              <w:rPr>
                <w:sz w:val="14"/>
                <w:szCs w:val="14"/>
                <w:lang w:val="es-ES_tradnl"/>
              </w:rPr>
              <w:t>.</w:t>
            </w:r>
          </w:p>
          <w:p w:rsidR="00230914" w:rsidRPr="003060BE" w:rsidRDefault="00230914" w:rsidP="00FF362A">
            <w:pPr>
              <w:tabs>
                <w:tab w:val="left" w:pos="335"/>
                <w:tab w:val="left" w:pos="2173"/>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7.889</w:t>
            </w:r>
            <w:r w:rsidRPr="003060BE">
              <w:rPr>
                <w:i/>
                <w:iCs/>
                <w:sz w:val="14"/>
                <w:szCs w:val="14"/>
                <w:lang w:val="es-ES_tradnl"/>
              </w:rPr>
              <w:tab/>
            </w:r>
          </w:p>
          <w:p w:rsidR="00230914" w:rsidRPr="003060BE" w:rsidRDefault="00230914" w:rsidP="00FF362A">
            <w:pPr>
              <w:tabs>
                <w:tab w:val="left" w:pos="335"/>
                <w:tab w:val="left" w:pos="2173"/>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169</w:t>
            </w:r>
          </w:p>
          <w:p w:rsidR="00230914" w:rsidRPr="003060BE" w:rsidRDefault="00230914" w:rsidP="00FF362A">
            <w:pPr>
              <w:tabs>
                <w:tab w:val="left" w:pos="1525"/>
                <w:tab w:val="right" w:pos="2835"/>
              </w:tabs>
              <w:rPr>
                <w:i/>
                <w:iCs/>
                <w:sz w:val="14"/>
                <w:szCs w:val="14"/>
                <w:lang w:val="es-ES_tradnl"/>
              </w:rPr>
            </w:pPr>
          </w:p>
        </w:tc>
        <w:tc>
          <w:tcPr>
            <w:tcW w:w="3043" w:type="dxa"/>
            <w:tcBorders>
              <w:top w:val="nil"/>
              <w:left w:val="nil"/>
              <w:right w:val="nil"/>
            </w:tcBorders>
            <w:shd w:val="clear" w:color="auto" w:fill="auto"/>
          </w:tcPr>
          <w:p w:rsidR="008D3CF3" w:rsidRDefault="008D3CF3" w:rsidP="008D3CF3">
            <w:pPr>
              <w:tabs>
                <w:tab w:val="right" w:pos="2835"/>
              </w:tabs>
              <w:rPr>
                <w:sz w:val="14"/>
                <w:szCs w:val="14"/>
                <w:lang w:val="es-ES_tradnl"/>
              </w:rPr>
            </w:pPr>
          </w:p>
          <w:p w:rsidR="00230914" w:rsidRPr="003060BE" w:rsidRDefault="00230914" w:rsidP="00FF362A">
            <w:pPr>
              <w:tabs>
                <w:tab w:val="right" w:pos="2835"/>
              </w:tabs>
              <w:spacing w:after="60"/>
              <w:rPr>
                <w:sz w:val="14"/>
                <w:szCs w:val="14"/>
                <w:lang w:val="es-ES_tradnl"/>
              </w:rPr>
            </w:pPr>
            <w:r w:rsidRPr="003060BE">
              <w:rPr>
                <w:sz w:val="14"/>
                <w:szCs w:val="14"/>
                <w:lang w:val="es-ES_tradnl"/>
              </w:rPr>
              <w:t xml:space="preserve">III.1. Estrategias y planes nacionales de innovación y de P.I. que estén en sintonía con los objetivos nacionales de desarrollo. </w:t>
            </w:r>
          </w:p>
          <w:p w:rsidR="00230914" w:rsidRPr="003060BE" w:rsidRDefault="00230914" w:rsidP="00FF362A">
            <w:pPr>
              <w:tabs>
                <w:tab w:val="left" w:pos="346"/>
                <w:tab w:val="left" w:pos="2189"/>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t>13.</w:t>
            </w:r>
            <w:r w:rsidR="002F43CD">
              <w:rPr>
                <w:i/>
                <w:iCs/>
                <w:sz w:val="14"/>
                <w:szCs w:val="14"/>
                <w:lang w:val="es-ES_tradnl"/>
              </w:rPr>
              <w:t>616</w:t>
            </w:r>
            <w:r w:rsidRPr="003060BE">
              <w:rPr>
                <w:i/>
                <w:iCs/>
                <w:sz w:val="14"/>
                <w:szCs w:val="14"/>
                <w:lang w:val="es-ES_tradnl"/>
              </w:rPr>
              <w:tab/>
            </w:r>
          </w:p>
          <w:p w:rsidR="00230914" w:rsidRPr="003060BE" w:rsidRDefault="00230914" w:rsidP="00FF362A">
            <w:pPr>
              <w:tabs>
                <w:tab w:val="left" w:pos="350"/>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t>13.</w:t>
            </w:r>
            <w:r w:rsidR="002F43CD">
              <w:rPr>
                <w:i/>
                <w:iCs/>
                <w:color w:val="0000FF"/>
                <w:sz w:val="14"/>
                <w:szCs w:val="14"/>
                <w:lang w:val="es-ES_tradnl"/>
              </w:rPr>
              <w:t>616</w:t>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lang w:val="es-ES_tradnl"/>
              </w:rPr>
            </w:pPr>
            <w:r w:rsidRPr="003060BE">
              <w:rPr>
                <w:sz w:val="14"/>
                <w:szCs w:val="14"/>
              </w:rPr>
              <w:t xml:space="preserve">III.2. </w:t>
            </w:r>
            <w:r w:rsidRPr="003060BE">
              <w:rPr>
                <w:sz w:val="14"/>
                <w:szCs w:val="14"/>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p w:rsidR="00230914" w:rsidRPr="003060BE" w:rsidRDefault="00230914" w:rsidP="00FF362A">
            <w:pPr>
              <w:tabs>
                <w:tab w:val="left" w:pos="325"/>
                <w:tab w:val="left" w:pos="2189"/>
                <w:tab w:val="right" w:pos="2835"/>
              </w:tabs>
              <w:rPr>
                <w:i/>
                <w:iCs/>
                <w:sz w:val="14"/>
                <w:szCs w:val="14"/>
                <w:lang w:val="es-ES_tradnl"/>
              </w:rPr>
            </w:pPr>
            <w:r w:rsidRPr="003060BE">
              <w:rPr>
                <w:i/>
                <w:iCs/>
                <w:sz w:val="14"/>
                <w:szCs w:val="14"/>
                <w:lang w:val="es-ES_tradnl"/>
              </w:rPr>
              <w:tab/>
              <w:t>Presupuesto propuesto 14/15:</w:t>
            </w:r>
            <w:r w:rsidRPr="003060BE">
              <w:rPr>
                <w:i/>
                <w:iCs/>
                <w:sz w:val="14"/>
                <w:szCs w:val="14"/>
                <w:lang w:val="es-ES_tradnl"/>
              </w:rPr>
              <w:tab/>
            </w:r>
            <w:r w:rsidR="002F43CD">
              <w:rPr>
                <w:i/>
                <w:iCs/>
                <w:sz w:val="14"/>
                <w:szCs w:val="14"/>
                <w:lang w:val="es-ES_tradnl"/>
              </w:rPr>
              <w:t>37.372</w:t>
            </w:r>
            <w:r w:rsidRPr="003060BE">
              <w:rPr>
                <w:i/>
                <w:iCs/>
                <w:sz w:val="14"/>
                <w:szCs w:val="14"/>
                <w:lang w:val="es-ES_tradnl"/>
              </w:rPr>
              <w:tab/>
            </w:r>
          </w:p>
          <w:p w:rsidR="00230914" w:rsidRPr="003060BE" w:rsidRDefault="00230914" w:rsidP="00FF362A">
            <w:pPr>
              <w:tabs>
                <w:tab w:val="left" w:pos="350"/>
                <w:tab w:val="left" w:pos="2189"/>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3</w:t>
            </w:r>
            <w:r w:rsidR="002F43CD">
              <w:rPr>
                <w:i/>
                <w:iCs/>
                <w:color w:val="0000FF"/>
                <w:sz w:val="14"/>
                <w:szCs w:val="14"/>
                <w:lang w:val="es-ES_tradnl"/>
              </w:rPr>
              <w:t>6.799</w:t>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III.3.  Incorporación de las recomendaciones de la Agenda para el Desarrollo en la labor de la OMPI.</w:t>
            </w:r>
          </w:p>
          <w:p w:rsidR="00230914" w:rsidRPr="003060BE" w:rsidRDefault="00230914" w:rsidP="00FF362A">
            <w:pPr>
              <w:tabs>
                <w:tab w:val="left" w:pos="325"/>
                <w:tab w:val="left" w:pos="2189"/>
                <w:tab w:val="right" w:pos="2888"/>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4.</w:t>
            </w:r>
            <w:r w:rsidR="00616858">
              <w:rPr>
                <w:i/>
                <w:iCs/>
                <w:sz w:val="14"/>
                <w:szCs w:val="14"/>
                <w:lang w:val="es-ES_tradnl"/>
              </w:rPr>
              <w:t>19</w:t>
            </w:r>
            <w:r w:rsidRPr="003060BE">
              <w:rPr>
                <w:i/>
                <w:iCs/>
                <w:sz w:val="14"/>
                <w:szCs w:val="14"/>
                <w:lang w:val="es-ES_tradnl"/>
              </w:rPr>
              <w:t>9</w:t>
            </w:r>
          </w:p>
          <w:p w:rsidR="00230914" w:rsidRPr="003060BE" w:rsidRDefault="00230914" w:rsidP="00FF362A">
            <w:pPr>
              <w:tabs>
                <w:tab w:val="left" w:pos="325"/>
                <w:tab w:val="right" w:pos="2888"/>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4.</w:t>
            </w:r>
            <w:r w:rsidR="00616858">
              <w:rPr>
                <w:i/>
                <w:iCs/>
                <w:color w:val="0000FF"/>
                <w:sz w:val="14"/>
                <w:szCs w:val="14"/>
                <w:lang w:val="es-ES_tradnl"/>
              </w:rPr>
              <w:t>19</w:t>
            </w:r>
            <w:r w:rsidRPr="003060BE">
              <w:rPr>
                <w:i/>
                <w:iCs/>
                <w:color w:val="0000FF"/>
                <w:sz w:val="14"/>
                <w:szCs w:val="14"/>
                <w:lang w:val="es-ES_tradnl"/>
              </w:rPr>
              <w:t>9</w:t>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III.4. Fortalecimiento de los mecanismos de cooperación y de los programas adaptados a las necesidades de los países en desarrollo y los PMA.</w:t>
            </w:r>
          </w:p>
          <w:p w:rsidR="00230914" w:rsidRPr="003060BE" w:rsidRDefault="00230914" w:rsidP="00FF362A">
            <w:pPr>
              <w:tabs>
                <w:tab w:val="left" w:pos="338"/>
                <w:tab w:val="left" w:pos="2189"/>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5.</w:t>
            </w:r>
            <w:r w:rsidR="002F43CD">
              <w:rPr>
                <w:i/>
                <w:iCs/>
                <w:sz w:val="14"/>
                <w:szCs w:val="14"/>
                <w:lang w:val="es-ES_tradnl"/>
              </w:rPr>
              <w:t>398</w:t>
            </w:r>
          </w:p>
          <w:p w:rsidR="00230914" w:rsidRPr="003060BE" w:rsidRDefault="00230914" w:rsidP="00FF362A">
            <w:pPr>
              <w:tabs>
                <w:tab w:val="left" w:pos="338"/>
                <w:tab w:val="left" w:pos="2189"/>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sz w:val="14"/>
                <w:szCs w:val="14"/>
                <w:lang w:val="es-ES_tradnl"/>
              </w:rPr>
              <w:tab/>
            </w:r>
            <w:r w:rsidRPr="003060BE">
              <w:rPr>
                <w:i/>
                <w:iCs/>
                <w:color w:val="0000FF"/>
                <w:sz w:val="14"/>
                <w:szCs w:val="14"/>
                <w:lang w:val="es-ES_tradnl"/>
              </w:rPr>
              <w:t>5.</w:t>
            </w:r>
            <w:r w:rsidR="002F43CD">
              <w:rPr>
                <w:i/>
                <w:iCs/>
                <w:color w:val="0000FF"/>
                <w:sz w:val="14"/>
                <w:szCs w:val="14"/>
                <w:lang w:val="es-ES_tradnl"/>
              </w:rPr>
              <w:t>398</w:t>
            </w:r>
          </w:p>
          <w:p w:rsidR="00230914" w:rsidRPr="003060BE" w:rsidRDefault="00230914" w:rsidP="00FF362A">
            <w:pPr>
              <w:tabs>
                <w:tab w:val="left" w:pos="1525"/>
                <w:tab w:val="right" w:pos="2835"/>
              </w:tabs>
              <w:rPr>
                <w:sz w:val="14"/>
                <w:szCs w:val="14"/>
                <w:lang w:val="es-ES_tradnl"/>
              </w:rPr>
            </w:pPr>
          </w:p>
          <w:p w:rsidR="00230914" w:rsidRDefault="00616858" w:rsidP="00616858">
            <w:pPr>
              <w:tabs>
                <w:tab w:val="right" w:pos="2835"/>
              </w:tabs>
              <w:spacing w:after="60"/>
              <w:rPr>
                <w:sz w:val="14"/>
                <w:szCs w:val="14"/>
                <w:lang w:val="es-ES_tradnl"/>
              </w:rPr>
            </w:pPr>
            <w:r w:rsidRPr="00616858">
              <w:rPr>
                <w:sz w:val="14"/>
                <w:szCs w:val="14"/>
                <w:lang w:val="es-ES_tradnl"/>
              </w:rPr>
              <w:t>III.5 Mejor comprensión de la Agenda para el Desarrollo por los Estados miembros, las OIG, la sociedad civil y demás partes interesadas</w:t>
            </w:r>
            <w:r>
              <w:rPr>
                <w:sz w:val="14"/>
                <w:szCs w:val="14"/>
                <w:lang w:val="es-ES_tradnl"/>
              </w:rPr>
              <w:t>.</w:t>
            </w:r>
          </w:p>
          <w:p w:rsidR="00616858" w:rsidRPr="003060BE" w:rsidRDefault="00616858" w:rsidP="00616858">
            <w:pPr>
              <w:tabs>
                <w:tab w:val="left" w:pos="338"/>
                <w:tab w:val="left" w:pos="2189"/>
                <w:tab w:val="right" w:pos="2835"/>
              </w:tabs>
              <w:rPr>
                <w:i/>
                <w:iCs/>
                <w:sz w:val="14"/>
                <w:szCs w:val="14"/>
                <w:lang w:val="es-ES_tradnl"/>
              </w:rPr>
            </w:pPr>
            <w:r w:rsidRPr="003060BE">
              <w:rPr>
                <w:i/>
                <w:iCs/>
                <w:sz w:val="14"/>
                <w:szCs w:val="14"/>
              </w:rPr>
              <w:tab/>
            </w:r>
            <w:r>
              <w:rPr>
                <w:i/>
                <w:iCs/>
                <w:sz w:val="14"/>
                <w:szCs w:val="14"/>
                <w:lang w:val="es-ES_tradnl"/>
              </w:rPr>
              <w:t>Presupuesto propuesto 14/15:</w:t>
            </w:r>
            <w:r>
              <w:rPr>
                <w:i/>
                <w:iCs/>
                <w:sz w:val="14"/>
                <w:szCs w:val="14"/>
                <w:lang w:val="es-ES_tradnl"/>
              </w:rPr>
              <w:tab/>
              <w:t>509</w:t>
            </w:r>
            <w:r w:rsidRPr="003060BE">
              <w:rPr>
                <w:i/>
                <w:iCs/>
                <w:sz w:val="14"/>
                <w:szCs w:val="14"/>
                <w:lang w:val="es-ES_tradnl"/>
              </w:rPr>
              <w:tab/>
            </w:r>
          </w:p>
          <w:p w:rsidR="00616858" w:rsidRPr="003060BE" w:rsidRDefault="00616858" w:rsidP="00616858">
            <w:pPr>
              <w:tabs>
                <w:tab w:val="left" w:pos="338"/>
                <w:tab w:val="left" w:pos="2189"/>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sz w:val="14"/>
                <w:szCs w:val="14"/>
                <w:lang w:val="es-ES_tradnl"/>
              </w:rPr>
              <w:tab/>
            </w:r>
            <w:r>
              <w:rPr>
                <w:i/>
                <w:iCs/>
                <w:color w:val="0000FF"/>
                <w:sz w:val="14"/>
                <w:szCs w:val="14"/>
                <w:lang w:val="es-ES_tradnl"/>
              </w:rPr>
              <w:t>509</w:t>
            </w:r>
          </w:p>
          <w:p w:rsidR="00616858" w:rsidRPr="003060BE" w:rsidRDefault="00616858" w:rsidP="00616858">
            <w:pPr>
              <w:tabs>
                <w:tab w:val="left" w:pos="1525"/>
                <w:tab w:val="right" w:pos="2835"/>
              </w:tabs>
              <w:rPr>
                <w:sz w:val="14"/>
                <w:szCs w:val="14"/>
                <w:lang w:val="es-ES_tradnl"/>
              </w:rPr>
            </w:pPr>
          </w:p>
          <w:p w:rsidR="00616858" w:rsidRPr="00616858" w:rsidRDefault="00616858" w:rsidP="00616858">
            <w:pPr>
              <w:tabs>
                <w:tab w:val="right" w:pos="2835"/>
              </w:tabs>
              <w:spacing w:after="60"/>
              <w:rPr>
                <w:sz w:val="14"/>
                <w:szCs w:val="14"/>
                <w:lang w:val="es-ES_tradnl"/>
              </w:rPr>
            </w:pPr>
            <w:r w:rsidRPr="00616858">
              <w:rPr>
                <w:sz w:val="14"/>
                <w:szCs w:val="14"/>
                <w:lang w:val="es-ES_tradnl"/>
              </w:rPr>
              <w:t>III.6 Mejor capacidad de las pymes para utilizar con éxito la P.I. con el fin de apoyar la innovación</w:t>
            </w:r>
          </w:p>
          <w:p w:rsidR="00616858" w:rsidRPr="003060BE" w:rsidRDefault="00616858" w:rsidP="00616858">
            <w:pPr>
              <w:tabs>
                <w:tab w:val="left" w:pos="338"/>
                <w:tab w:val="left" w:pos="2189"/>
                <w:tab w:val="right" w:pos="2835"/>
              </w:tabs>
              <w:rPr>
                <w:i/>
                <w:iCs/>
                <w:sz w:val="14"/>
                <w:szCs w:val="14"/>
                <w:lang w:val="es-ES_tradnl"/>
              </w:rPr>
            </w:pPr>
            <w:r w:rsidRPr="003060BE">
              <w:rPr>
                <w:i/>
                <w:iCs/>
                <w:sz w:val="14"/>
                <w:szCs w:val="14"/>
              </w:rPr>
              <w:tab/>
            </w:r>
            <w:r>
              <w:rPr>
                <w:i/>
                <w:iCs/>
                <w:sz w:val="14"/>
                <w:szCs w:val="14"/>
                <w:lang w:val="es-ES_tradnl"/>
              </w:rPr>
              <w:t>Presupuesto propuesto 14/15:</w:t>
            </w:r>
            <w:r>
              <w:rPr>
                <w:i/>
                <w:iCs/>
                <w:sz w:val="14"/>
                <w:szCs w:val="14"/>
                <w:lang w:val="es-ES_tradnl"/>
              </w:rPr>
              <w:tab/>
              <w:t>4.419</w:t>
            </w:r>
            <w:r w:rsidRPr="003060BE">
              <w:rPr>
                <w:i/>
                <w:iCs/>
                <w:sz w:val="14"/>
                <w:szCs w:val="14"/>
                <w:lang w:val="es-ES_tradnl"/>
              </w:rPr>
              <w:tab/>
            </w:r>
          </w:p>
          <w:p w:rsidR="00616858" w:rsidRPr="003060BE" w:rsidRDefault="00616858" w:rsidP="00616858">
            <w:pPr>
              <w:tabs>
                <w:tab w:val="left" w:pos="338"/>
                <w:tab w:val="left" w:pos="2189"/>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sz w:val="14"/>
                <w:szCs w:val="14"/>
                <w:lang w:val="es-ES_tradnl"/>
              </w:rPr>
              <w:tab/>
            </w:r>
            <w:r>
              <w:rPr>
                <w:i/>
                <w:iCs/>
                <w:color w:val="0000FF"/>
                <w:sz w:val="14"/>
                <w:szCs w:val="14"/>
                <w:lang w:val="es-ES_tradnl"/>
              </w:rPr>
              <w:t>4.</w:t>
            </w:r>
            <w:r w:rsidR="002F43CD">
              <w:rPr>
                <w:i/>
                <w:iCs/>
                <w:color w:val="0000FF"/>
                <w:sz w:val="14"/>
                <w:szCs w:val="14"/>
                <w:lang w:val="es-ES_tradnl"/>
              </w:rPr>
              <w:t>231</w:t>
            </w:r>
          </w:p>
          <w:p w:rsidR="00616858" w:rsidRPr="003060BE" w:rsidRDefault="00616858" w:rsidP="00616858">
            <w:pPr>
              <w:tabs>
                <w:tab w:val="left" w:pos="1525"/>
                <w:tab w:val="right" w:pos="2835"/>
              </w:tabs>
              <w:rPr>
                <w:sz w:val="14"/>
                <w:szCs w:val="14"/>
                <w:lang w:val="es-ES_tradnl"/>
              </w:rPr>
            </w:pPr>
          </w:p>
          <w:p w:rsidR="00616858" w:rsidRPr="003060BE" w:rsidRDefault="00616858" w:rsidP="00616858">
            <w:pPr>
              <w:tabs>
                <w:tab w:val="left" w:pos="346"/>
                <w:tab w:val="left" w:pos="1525"/>
                <w:tab w:val="right" w:pos="2835"/>
              </w:tabs>
              <w:rPr>
                <w:sz w:val="14"/>
                <w:szCs w:val="14"/>
                <w:lang w:val="es-ES_tradnl"/>
              </w:rPr>
            </w:pPr>
          </w:p>
        </w:tc>
        <w:tc>
          <w:tcPr>
            <w:tcW w:w="3041" w:type="dxa"/>
            <w:tcBorders>
              <w:top w:val="nil"/>
              <w:left w:val="nil"/>
              <w:right w:val="nil"/>
            </w:tcBorders>
            <w:shd w:val="clear" w:color="auto" w:fill="auto"/>
          </w:tcPr>
          <w:p w:rsidR="008D3CF3" w:rsidRDefault="008D3CF3" w:rsidP="008D3CF3">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IV.1. Sistema actualizado y aceptado mundialmente de clasificaciones internacionales y normas técnicas de la OMPI para facilitar el acceso, el uso y la difusión de información de P.I. entre las partes interesadas de todo el mundo.</w:t>
            </w:r>
          </w:p>
          <w:p w:rsidR="00230914" w:rsidRPr="003060BE" w:rsidRDefault="00230914" w:rsidP="00FF362A">
            <w:pPr>
              <w:tabs>
                <w:tab w:val="left" w:pos="378"/>
                <w:tab w:val="left" w:pos="2205"/>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7.317</w:t>
            </w:r>
            <w:r w:rsidRPr="003060BE">
              <w:rPr>
                <w:i/>
                <w:iCs/>
                <w:sz w:val="14"/>
                <w:szCs w:val="14"/>
                <w:lang w:val="es-ES_tradnl"/>
              </w:rPr>
              <w:tab/>
            </w:r>
          </w:p>
          <w:p w:rsidR="00230914" w:rsidRPr="003060BE" w:rsidRDefault="00230914" w:rsidP="00FF362A">
            <w:pPr>
              <w:tabs>
                <w:tab w:val="left" w:pos="378"/>
                <w:tab w:val="left" w:pos="2205"/>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sz w:val="14"/>
                <w:szCs w:val="14"/>
                <w:lang w:val="es-ES_tradnl"/>
              </w:rPr>
              <w:tab/>
            </w:r>
            <w:r w:rsidRPr="003060BE">
              <w:rPr>
                <w:i/>
                <w:iCs/>
                <w:color w:val="0000FF"/>
                <w:sz w:val="14"/>
                <w:szCs w:val="14"/>
                <w:lang w:val="es-ES_tradnl"/>
              </w:rPr>
              <w:t>1.181</w:t>
            </w:r>
            <w:r w:rsidRPr="003060BE">
              <w:rPr>
                <w:i/>
                <w:iCs/>
                <w:color w:val="0000FF"/>
                <w:sz w:val="14"/>
                <w:szCs w:val="14"/>
                <w:lang w:val="es-ES_tradnl"/>
              </w:rPr>
              <w:tab/>
            </w:r>
          </w:p>
          <w:p w:rsidR="00230914" w:rsidRPr="003060BE" w:rsidRDefault="00C40A11" w:rsidP="00FF362A">
            <w:pPr>
              <w:tabs>
                <w:tab w:val="right" w:pos="2835"/>
              </w:tabs>
              <w:rPr>
                <w:sz w:val="14"/>
                <w:szCs w:val="14"/>
                <w:lang w:val="es-ES_tradnl"/>
              </w:rPr>
            </w:pPr>
            <w:r>
              <w:rPr>
                <w:noProof/>
                <w:lang w:val="en-US" w:eastAsia="en-US"/>
              </w:rPr>
              <mc:AlternateContent>
                <mc:Choice Requires="wps">
                  <w:drawing>
                    <wp:anchor distT="4294967295" distB="4294967295" distL="114299" distR="114299" simplePos="0" relativeHeight="251657728" behindDoc="0" locked="0" layoutInCell="0" allowOverlap="1" wp14:anchorId="1D8B15B2" wp14:editId="7BCC0F73">
                      <wp:simplePos x="0" y="0"/>
                      <wp:positionH relativeFrom="column">
                        <wp:posOffset>8083549</wp:posOffset>
                      </wp:positionH>
                      <wp:positionV relativeFrom="paragraph">
                        <wp:posOffset>668654</wp:posOffset>
                      </wp:positionV>
                      <wp:extent cx="0" cy="0"/>
                      <wp:effectExtent l="0" t="0" r="0" b="0"/>
                      <wp:wrapNone/>
                      <wp:docPr id="190"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Straight Connector 12" o:spid="_x0000_s1026" style="position:absolute;z-index:251657728;visibility:visible;mso-wrap-style:square;mso-width-percent:0;mso-height-percent:0;mso-wrap-distance-left:3.17497mm;mso-wrap-distance-top:-3e-5mm;mso-wrap-distance-right:3.17497mm;mso-wrap-distance-bottom:-3e-5mm;mso-position-horizontal:absolute;mso-position-horizontal-relative:text;mso-position-vertical:absolute;mso-position-vertical-relative:text;mso-width-percent:0;mso-height-percent:0;mso-width-relative:page;mso-height-relative:page" from="636.5pt,52.65pt" to="636.5pt,5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" o:allowincell="f">
                      <v:stroke endarrow="block"/>
                    </v:line>
                  </w:pict>
                </mc:Fallback>
              </mc:AlternateContent>
            </w:r>
          </w:p>
          <w:p w:rsidR="00230914" w:rsidRPr="003060BE" w:rsidRDefault="00230914" w:rsidP="00FF362A">
            <w:pPr>
              <w:tabs>
                <w:tab w:val="right" w:pos="2835"/>
              </w:tabs>
              <w:spacing w:after="60"/>
              <w:rPr>
                <w:sz w:val="14"/>
                <w:szCs w:val="14"/>
              </w:rPr>
            </w:pPr>
            <w:r w:rsidRPr="003060BE">
              <w:rPr>
                <w:sz w:val="14"/>
                <w:szCs w:val="14"/>
                <w:lang w:val="es-ES_tradnl"/>
              </w:rPr>
              <w:t>IV.2. Mejora del acceso y uso de información y conocimientos de P.I. por parte de instituciones de P.I. y el público para fomentar la innovación y la creatividad.</w:t>
            </w:r>
            <w:r w:rsidRPr="003060BE">
              <w:rPr>
                <w:sz w:val="14"/>
                <w:szCs w:val="14"/>
              </w:rPr>
              <w:t xml:space="preserve"> </w:t>
            </w:r>
          </w:p>
          <w:p w:rsidR="00230914" w:rsidRPr="003060BE" w:rsidRDefault="00230914" w:rsidP="00FF362A">
            <w:pPr>
              <w:tabs>
                <w:tab w:val="left" w:pos="378"/>
                <w:tab w:val="left" w:pos="2205"/>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1</w:t>
            </w:r>
            <w:r w:rsidR="00F91117">
              <w:rPr>
                <w:i/>
                <w:iCs/>
                <w:sz w:val="14"/>
                <w:szCs w:val="14"/>
                <w:lang w:val="es-ES_tradnl"/>
              </w:rPr>
              <w:t>8.046</w:t>
            </w:r>
            <w:r w:rsidRPr="003060BE">
              <w:rPr>
                <w:i/>
                <w:iCs/>
                <w:sz w:val="14"/>
                <w:szCs w:val="14"/>
                <w:lang w:val="es-ES_tradnl"/>
              </w:rPr>
              <w:tab/>
            </w:r>
          </w:p>
          <w:p w:rsidR="00230914" w:rsidRPr="003060BE" w:rsidRDefault="00230914" w:rsidP="00FF362A">
            <w:pPr>
              <w:tabs>
                <w:tab w:val="left" w:pos="366"/>
                <w:tab w:val="left" w:pos="2205"/>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sz w:val="14"/>
                <w:szCs w:val="14"/>
                <w:lang w:val="es-ES_tradnl"/>
              </w:rPr>
              <w:tab/>
            </w:r>
            <w:r w:rsidR="00616858">
              <w:rPr>
                <w:i/>
                <w:iCs/>
                <w:color w:val="0000FF"/>
                <w:sz w:val="14"/>
                <w:szCs w:val="14"/>
                <w:lang w:val="es-ES_tradnl"/>
              </w:rPr>
              <w:t>1</w:t>
            </w:r>
            <w:r w:rsidR="00F91117">
              <w:rPr>
                <w:i/>
                <w:iCs/>
                <w:color w:val="0000FF"/>
                <w:sz w:val="14"/>
                <w:szCs w:val="14"/>
                <w:lang w:val="es-ES_tradnl"/>
              </w:rPr>
              <w:t>4.991</w:t>
            </w:r>
            <w:r w:rsidRPr="003060BE">
              <w:rPr>
                <w:i/>
                <w:iCs/>
                <w:color w:val="0000FF"/>
                <w:sz w:val="14"/>
                <w:szCs w:val="14"/>
                <w:lang w:val="es-ES_tradnl"/>
              </w:rPr>
              <w:tab/>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IV.3. Amplia cobertura geográfica en cuanto al contenido y al uso de las bases de datos mundiales de la OMPI en materia de P.I.</w:t>
            </w:r>
            <w:r w:rsidRPr="003060BE">
              <w:rPr>
                <w:sz w:val="14"/>
                <w:szCs w:val="14"/>
              </w:rPr>
              <w:t xml:space="preserve"> </w:t>
            </w:r>
          </w:p>
          <w:p w:rsidR="00230914" w:rsidRPr="003060BE" w:rsidRDefault="00230914" w:rsidP="00FF362A">
            <w:pPr>
              <w:tabs>
                <w:tab w:val="left" w:pos="366"/>
                <w:tab w:val="left" w:pos="2205"/>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2.810</w:t>
            </w:r>
            <w:r w:rsidRPr="003060BE">
              <w:rPr>
                <w:i/>
                <w:iCs/>
                <w:sz w:val="14"/>
                <w:szCs w:val="14"/>
                <w:lang w:val="es-ES_tradnl"/>
              </w:rPr>
              <w:tab/>
            </w:r>
          </w:p>
          <w:p w:rsidR="00230914" w:rsidRPr="003060BE" w:rsidRDefault="00230914" w:rsidP="00FF362A">
            <w:pPr>
              <w:tabs>
                <w:tab w:val="left" w:pos="378"/>
                <w:tab w:val="left" w:pos="2347"/>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702</w:t>
            </w:r>
            <w:r w:rsidRPr="003060BE">
              <w:rPr>
                <w:i/>
                <w:iCs/>
                <w:color w:val="0000FF"/>
                <w:sz w:val="14"/>
                <w:szCs w:val="14"/>
                <w:lang w:val="es-ES_tradnl"/>
              </w:rPr>
              <w:tab/>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IV.4. Mejora en la infraestructura técnica y de conocimientos de las oficinas y demás instituciones de P.I. que les permit</w:t>
            </w:r>
            <w:r w:rsidR="00177006">
              <w:rPr>
                <w:sz w:val="14"/>
                <w:szCs w:val="14"/>
                <w:lang w:val="es-ES_tradnl"/>
              </w:rPr>
              <w:t>a</w:t>
            </w:r>
            <w:r w:rsidRPr="003060BE">
              <w:rPr>
                <w:sz w:val="14"/>
                <w:szCs w:val="14"/>
                <w:lang w:val="es-ES_tradnl"/>
              </w:rPr>
              <w:t xml:space="preserve"> prestar mejores servicios (más económicos, más rápidos y de mejor calidad) a sus partes interesadas.</w:t>
            </w:r>
          </w:p>
          <w:p w:rsidR="00230914" w:rsidRPr="003060BE" w:rsidRDefault="00230914" w:rsidP="00FF362A">
            <w:pPr>
              <w:tabs>
                <w:tab w:val="left" w:pos="353"/>
                <w:tab w:val="left" w:pos="2205"/>
                <w:tab w:val="right" w:pos="2835"/>
              </w:tabs>
              <w:rPr>
                <w:i/>
                <w:iCs/>
                <w:sz w:val="14"/>
                <w:szCs w:val="14"/>
                <w:lang w:val="es-ES_tradnl"/>
              </w:rPr>
            </w:pPr>
            <w:r w:rsidRPr="003060BE">
              <w:rPr>
                <w:i/>
                <w:iCs/>
                <w:sz w:val="14"/>
                <w:szCs w:val="14"/>
              </w:rPr>
              <w:tab/>
            </w:r>
            <w:r w:rsidRPr="003060BE">
              <w:rPr>
                <w:i/>
                <w:iCs/>
                <w:sz w:val="14"/>
                <w:szCs w:val="14"/>
                <w:lang w:val="es-ES_tradnl"/>
              </w:rPr>
              <w:t>Pres</w:t>
            </w:r>
            <w:r w:rsidR="00616858">
              <w:rPr>
                <w:i/>
                <w:iCs/>
                <w:sz w:val="14"/>
                <w:szCs w:val="14"/>
                <w:lang w:val="es-ES_tradnl"/>
              </w:rPr>
              <w:t>upuesto propuesto 14/15:</w:t>
            </w:r>
            <w:r w:rsidR="00616858">
              <w:rPr>
                <w:i/>
                <w:iCs/>
                <w:sz w:val="14"/>
                <w:szCs w:val="14"/>
                <w:lang w:val="es-ES_tradnl"/>
              </w:rPr>
              <w:tab/>
              <w:t>1</w:t>
            </w:r>
            <w:r w:rsidR="00F91117">
              <w:rPr>
                <w:i/>
                <w:iCs/>
                <w:sz w:val="14"/>
                <w:szCs w:val="14"/>
                <w:lang w:val="es-ES_tradnl"/>
              </w:rPr>
              <w:t>7.284</w:t>
            </w:r>
          </w:p>
          <w:p w:rsidR="00230914" w:rsidRPr="003060BE" w:rsidRDefault="00230914" w:rsidP="00F91117">
            <w:pPr>
              <w:tabs>
                <w:tab w:val="left" w:pos="366"/>
                <w:tab w:val="left" w:pos="2205"/>
                <w:tab w:val="right" w:pos="2835"/>
              </w:tabs>
              <w:rPr>
                <w:i/>
                <w:iCs/>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00616858">
              <w:rPr>
                <w:i/>
                <w:iCs/>
                <w:color w:val="0000FF"/>
                <w:sz w:val="14"/>
                <w:szCs w:val="14"/>
                <w:lang w:val="es-ES_tradnl"/>
              </w:rPr>
              <w:tab/>
              <w:t>1</w:t>
            </w:r>
            <w:r w:rsidR="00F91117">
              <w:rPr>
                <w:i/>
                <w:iCs/>
                <w:color w:val="0000FF"/>
                <w:sz w:val="14"/>
                <w:szCs w:val="14"/>
                <w:lang w:val="es-ES_tradnl"/>
              </w:rPr>
              <w:t>4.704</w:t>
            </w:r>
          </w:p>
        </w:tc>
        <w:tc>
          <w:tcPr>
            <w:tcW w:w="3211" w:type="dxa"/>
            <w:gridSpan w:val="2"/>
            <w:tcBorders>
              <w:top w:val="nil"/>
              <w:left w:val="nil"/>
              <w:right w:val="nil"/>
            </w:tcBorders>
            <w:shd w:val="clear" w:color="auto" w:fill="auto"/>
          </w:tcPr>
          <w:p w:rsidR="008D3CF3" w:rsidRDefault="008D3CF3" w:rsidP="008D3CF3">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V.1. Ampliación y mejora del uso de la información estadística de la OMPI en materia de P.I.</w:t>
            </w:r>
            <w:r w:rsidRPr="003060BE">
              <w:rPr>
                <w:sz w:val="14"/>
                <w:szCs w:val="14"/>
              </w:rPr>
              <w:t xml:space="preserve"> </w:t>
            </w:r>
          </w:p>
          <w:p w:rsidR="00230914" w:rsidRPr="003060BE" w:rsidRDefault="00230914" w:rsidP="00FF362A">
            <w:pPr>
              <w:tabs>
                <w:tab w:val="left" w:pos="381"/>
                <w:tab w:val="left" w:pos="2221"/>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2.141</w:t>
            </w:r>
            <w:r w:rsidRPr="003060BE">
              <w:rPr>
                <w:i/>
                <w:iCs/>
                <w:sz w:val="14"/>
                <w:szCs w:val="14"/>
                <w:lang w:val="es-ES_tradnl"/>
              </w:rPr>
              <w:tab/>
            </w:r>
          </w:p>
          <w:p w:rsidR="00230914" w:rsidRPr="003060BE" w:rsidRDefault="00230914" w:rsidP="00FF362A">
            <w:pPr>
              <w:tabs>
                <w:tab w:val="left" w:pos="368"/>
                <w:tab w:val="left" w:pos="2221"/>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r>
            <w:r w:rsidRPr="003060BE">
              <w:rPr>
                <w:i/>
                <w:iCs/>
                <w:color w:val="0000FF"/>
                <w:sz w:val="14"/>
                <w:szCs w:val="14"/>
                <w:lang w:val="es-ES_tradnl"/>
              </w:rPr>
              <w:tab/>
              <w:t>-</w:t>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V.2. Ampliación y mejora del uso de los análisis económicos de la OMPI en la formulación de políticas.</w:t>
            </w:r>
            <w:r w:rsidRPr="003060BE">
              <w:rPr>
                <w:sz w:val="14"/>
                <w:szCs w:val="14"/>
              </w:rPr>
              <w:t xml:space="preserve"> </w:t>
            </w:r>
          </w:p>
          <w:p w:rsidR="00230914" w:rsidRPr="003060BE" w:rsidRDefault="00230914" w:rsidP="00FF362A">
            <w:pPr>
              <w:tabs>
                <w:tab w:val="left" w:pos="381"/>
                <w:tab w:val="left" w:pos="2221"/>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4.261</w:t>
            </w:r>
            <w:r w:rsidRPr="003060BE">
              <w:rPr>
                <w:i/>
                <w:iCs/>
                <w:sz w:val="14"/>
                <w:szCs w:val="14"/>
                <w:lang w:val="es-ES_tradnl"/>
              </w:rPr>
              <w:tab/>
            </w:r>
          </w:p>
          <w:p w:rsidR="00230914" w:rsidRPr="003060BE" w:rsidRDefault="00230914" w:rsidP="00FF362A">
            <w:pPr>
              <w:tabs>
                <w:tab w:val="left" w:pos="381"/>
                <w:tab w:val="left" w:pos="2221"/>
                <w:tab w:val="right" w:pos="2835"/>
              </w:tabs>
              <w:rPr>
                <w:i/>
                <w:iCs/>
                <w:color w:val="0000FF"/>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2.270</w:t>
            </w:r>
          </w:p>
          <w:p w:rsidR="00230914" w:rsidRPr="003060BE" w:rsidRDefault="00230914" w:rsidP="00FF362A">
            <w:pPr>
              <w:tabs>
                <w:tab w:val="right" w:pos="2835"/>
              </w:tabs>
              <w:rPr>
                <w:sz w:val="14"/>
                <w:szCs w:val="14"/>
                <w:lang w:val="es-ES_tradnl"/>
              </w:rPr>
            </w:pPr>
          </w:p>
          <w:p w:rsidR="00230914" w:rsidRPr="003060BE" w:rsidRDefault="00230914" w:rsidP="00FF362A">
            <w:pPr>
              <w:tabs>
                <w:tab w:val="left" w:pos="1525"/>
                <w:tab w:val="right" w:pos="2835"/>
              </w:tabs>
              <w:rPr>
                <w:sz w:val="14"/>
                <w:szCs w:val="14"/>
                <w:lang w:val="es-ES_tradnl"/>
              </w:rPr>
            </w:pPr>
          </w:p>
        </w:tc>
        <w:tc>
          <w:tcPr>
            <w:tcW w:w="2870" w:type="dxa"/>
            <w:tcBorders>
              <w:top w:val="nil"/>
              <w:left w:val="nil"/>
              <w:right w:val="nil"/>
            </w:tcBorders>
            <w:shd w:val="clear" w:color="auto" w:fill="auto"/>
          </w:tcPr>
          <w:p w:rsidR="008D3CF3" w:rsidRDefault="008D3CF3" w:rsidP="008D3CF3">
            <w:pPr>
              <w:tabs>
                <w:tab w:val="right" w:pos="2835"/>
              </w:tabs>
              <w:rPr>
                <w:sz w:val="14"/>
                <w:szCs w:val="14"/>
                <w:lang w:val="es-ES_tradnl"/>
              </w:rPr>
            </w:pPr>
          </w:p>
          <w:p w:rsidR="00230914" w:rsidRPr="003060BE" w:rsidRDefault="00230914" w:rsidP="00FF362A">
            <w:pPr>
              <w:tabs>
                <w:tab w:val="left" w:pos="395"/>
                <w:tab w:val="right" w:pos="2835"/>
              </w:tabs>
              <w:spacing w:after="60"/>
              <w:rPr>
                <w:sz w:val="14"/>
                <w:szCs w:val="14"/>
              </w:rPr>
            </w:pPr>
            <w:r w:rsidRPr="003060BE">
              <w:rPr>
                <w:sz w:val="14"/>
                <w:szCs w:val="14"/>
                <w:lang w:val="es-ES_tradnl"/>
              </w:rPr>
              <w:t xml:space="preserve">VI.1. </w:t>
            </w:r>
            <w:r w:rsidR="009C708A">
              <w:rPr>
                <w:sz w:val="14"/>
                <w:szCs w:val="14"/>
                <w:lang w:val="es-ES_tradnl"/>
              </w:rPr>
              <w:t>Avances en el diálogo internacional sobre políticas entre los Estados miembros de la OMPI para cultivar el respeto por la P.I. sobre la base de la recomendación 45 de la Agenda de la OMPI para el Desarrollo</w:t>
            </w:r>
            <w:r w:rsidR="00BA2F25">
              <w:rPr>
                <w:sz w:val="14"/>
                <w:szCs w:val="14"/>
                <w:lang w:val="es-ES_tradnl"/>
              </w:rPr>
              <w:t>.</w:t>
            </w:r>
          </w:p>
          <w:p w:rsidR="00230914" w:rsidRPr="003060BE" w:rsidRDefault="00230914" w:rsidP="008D3CF3">
            <w:pPr>
              <w:tabs>
                <w:tab w:val="left" w:pos="384"/>
                <w:tab w:val="left" w:pos="2237"/>
                <w:tab w:val="right" w:pos="2665"/>
              </w:tabs>
              <w:rPr>
                <w:i/>
                <w:iCs/>
                <w:sz w:val="14"/>
                <w:szCs w:val="14"/>
                <w:lang w:val="es-ES_tradnl"/>
              </w:rPr>
            </w:pPr>
            <w:r w:rsidRPr="003060BE">
              <w:rPr>
                <w:i/>
                <w:iCs/>
                <w:sz w:val="14"/>
                <w:szCs w:val="14"/>
              </w:rPr>
              <w:tab/>
            </w:r>
            <w:r w:rsidRPr="003060BE">
              <w:rPr>
                <w:i/>
                <w:iCs/>
                <w:sz w:val="14"/>
                <w:szCs w:val="14"/>
                <w:lang w:val="es-ES_tradnl"/>
              </w:rPr>
              <w:t>P</w:t>
            </w:r>
            <w:r w:rsidR="008D3CF3">
              <w:rPr>
                <w:i/>
                <w:iCs/>
                <w:sz w:val="14"/>
                <w:szCs w:val="14"/>
                <w:lang w:val="es-ES_tradnl"/>
              </w:rPr>
              <w:t>resupuesto propuesto 14/15:</w:t>
            </w:r>
            <w:r w:rsidR="008D3CF3">
              <w:rPr>
                <w:i/>
                <w:iCs/>
                <w:sz w:val="14"/>
                <w:szCs w:val="14"/>
                <w:lang w:val="es-ES_tradnl"/>
              </w:rPr>
              <w:tab/>
              <w:t>429</w:t>
            </w:r>
          </w:p>
          <w:p w:rsidR="00230914" w:rsidRPr="003060BE" w:rsidRDefault="00230914" w:rsidP="008D3CF3">
            <w:pPr>
              <w:tabs>
                <w:tab w:val="left" w:pos="395"/>
                <w:tab w:val="left" w:pos="2237"/>
                <w:tab w:val="right" w:pos="2665"/>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305</w:t>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VI.2. Cooperación sistemática</w:t>
            </w:r>
            <w:r w:rsidR="008D3CF3">
              <w:rPr>
                <w:sz w:val="14"/>
                <w:szCs w:val="14"/>
                <w:lang w:val="es-ES_tradnl"/>
              </w:rPr>
              <w:t>,</w:t>
            </w:r>
            <w:r w:rsidRPr="003060BE">
              <w:rPr>
                <w:sz w:val="14"/>
                <w:szCs w:val="14"/>
                <w:lang w:val="es-ES_tradnl"/>
              </w:rPr>
              <w:t xml:space="preserve"> eficaz </w:t>
            </w:r>
            <w:r w:rsidR="008D3CF3">
              <w:rPr>
                <w:sz w:val="14"/>
                <w:szCs w:val="14"/>
                <w:lang w:val="es-ES_tradnl"/>
              </w:rPr>
              <w:t xml:space="preserve">y transparente </w:t>
            </w:r>
            <w:r w:rsidRPr="003060BE">
              <w:rPr>
                <w:sz w:val="14"/>
                <w:szCs w:val="14"/>
                <w:lang w:val="es-ES_tradnl"/>
              </w:rPr>
              <w:t xml:space="preserve">entre la labor de la OMPI y otras </w:t>
            </w:r>
            <w:r w:rsidR="000D7DB1">
              <w:rPr>
                <w:sz w:val="14"/>
                <w:szCs w:val="14"/>
                <w:lang w:val="es-ES_tradnl"/>
              </w:rPr>
              <w:t xml:space="preserve">organizaciones internacionales en el </w:t>
            </w:r>
            <w:r w:rsidR="00990B95">
              <w:rPr>
                <w:sz w:val="14"/>
                <w:szCs w:val="14"/>
                <w:lang w:val="es-ES_tradnl"/>
              </w:rPr>
              <w:t>ámbito del cultivo del respeto</w:t>
            </w:r>
            <w:r w:rsidR="000D7DB1">
              <w:rPr>
                <w:sz w:val="14"/>
                <w:szCs w:val="14"/>
                <w:lang w:val="es-ES_tradnl"/>
              </w:rPr>
              <w:t xml:space="preserve"> por la P.I.</w:t>
            </w:r>
          </w:p>
          <w:p w:rsidR="00230914" w:rsidRPr="003060BE" w:rsidRDefault="00230914" w:rsidP="008D3CF3">
            <w:pPr>
              <w:tabs>
                <w:tab w:val="left" w:pos="397"/>
                <w:tab w:val="left" w:pos="2237"/>
                <w:tab w:val="right" w:pos="2665"/>
              </w:tabs>
              <w:rPr>
                <w:i/>
                <w:iCs/>
                <w:sz w:val="14"/>
                <w:szCs w:val="14"/>
                <w:lang w:val="es-ES_tradnl"/>
              </w:rPr>
            </w:pPr>
            <w:r w:rsidRPr="008D3CF3">
              <w:rPr>
                <w:i/>
                <w:iCs/>
                <w:sz w:val="14"/>
                <w:szCs w:val="14"/>
                <w:lang w:val="es-ES_tradnl"/>
              </w:rPr>
              <w:tab/>
            </w:r>
            <w:proofErr w:type="spellStart"/>
            <w:r w:rsidRPr="003060BE">
              <w:rPr>
                <w:i/>
                <w:iCs/>
                <w:sz w:val="14"/>
                <w:szCs w:val="14"/>
                <w:lang w:val="es-ES_tradnl"/>
              </w:rPr>
              <w:t>Pre</w:t>
            </w:r>
            <w:r w:rsidR="008D3CF3">
              <w:rPr>
                <w:i/>
                <w:iCs/>
                <w:sz w:val="14"/>
                <w:szCs w:val="14"/>
                <w:lang w:val="es-ES_tradnl"/>
              </w:rPr>
              <w:t>sup</w:t>
            </w:r>
            <w:proofErr w:type="spellEnd"/>
            <w:r w:rsidR="00F91117">
              <w:rPr>
                <w:i/>
                <w:iCs/>
                <w:sz w:val="14"/>
                <w:szCs w:val="14"/>
                <w:lang w:val="es-ES_tradnl"/>
              </w:rPr>
              <w:t>.</w:t>
            </w:r>
            <w:r w:rsidR="008D3CF3">
              <w:rPr>
                <w:i/>
                <w:iCs/>
                <w:sz w:val="14"/>
                <w:szCs w:val="14"/>
                <w:lang w:val="es-ES_tradnl"/>
              </w:rPr>
              <w:t xml:space="preserve"> propuesto 14/15:</w:t>
            </w:r>
            <w:r w:rsidR="008D3CF3">
              <w:rPr>
                <w:i/>
                <w:iCs/>
                <w:sz w:val="14"/>
                <w:szCs w:val="14"/>
                <w:lang w:val="es-ES_tradnl"/>
              </w:rPr>
              <w:tab/>
            </w:r>
            <w:r w:rsidR="00F91117">
              <w:rPr>
                <w:i/>
                <w:iCs/>
                <w:sz w:val="14"/>
                <w:szCs w:val="14"/>
                <w:lang w:val="es-ES_tradnl"/>
              </w:rPr>
              <w:tab/>
            </w:r>
            <w:r w:rsidR="008D3CF3">
              <w:rPr>
                <w:i/>
                <w:iCs/>
                <w:sz w:val="14"/>
                <w:szCs w:val="14"/>
                <w:lang w:val="es-ES_tradnl"/>
              </w:rPr>
              <w:t>1.124</w:t>
            </w:r>
          </w:p>
          <w:p w:rsidR="00230914" w:rsidRPr="003060BE" w:rsidRDefault="00230914" w:rsidP="008D3CF3">
            <w:pPr>
              <w:tabs>
                <w:tab w:val="left" w:pos="384"/>
                <w:tab w:val="left" w:pos="2237"/>
                <w:tab w:val="right" w:pos="2665"/>
              </w:tabs>
              <w:rPr>
                <w:sz w:val="14"/>
                <w:szCs w:val="14"/>
                <w:lang w:val="es-ES_tradnl"/>
              </w:rPr>
            </w:pPr>
            <w:r w:rsidRPr="008D3CF3">
              <w:rPr>
                <w:i/>
                <w:iCs/>
                <w:color w:val="0000FF"/>
                <w:sz w:val="14"/>
                <w:szCs w:val="14"/>
                <w:lang w:val="es-ES_tradnl"/>
              </w:rPr>
              <w:tab/>
            </w:r>
            <w:r w:rsidRPr="003060BE">
              <w:rPr>
                <w:i/>
                <w:iCs/>
                <w:color w:val="0000FF"/>
                <w:sz w:val="14"/>
                <w:szCs w:val="14"/>
                <w:lang w:val="es-ES_tradnl"/>
              </w:rPr>
              <w:t>Cuota de desarrollo:</w:t>
            </w:r>
            <w:r w:rsidRPr="008D3CF3">
              <w:rPr>
                <w:i/>
                <w:iCs/>
                <w:color w:val="0000FF"/>
                <w:sz w:val="14"/>
                <w:szCs w:val="14"/>
                <w:lang w:val="es-ES_tradnl"/>
              </w:rPr>
              <w:tab/>
            </w:r>
            <w:r w:rsidRPr="003060BE">
              <w:rPr>
                <w:i/>
                <w:iCs/>
                <w:color w:val="0000FF"/>
                <w:sz w:val="14"/>
                <w:szCs w:val="14"/>
                <w:lang w:val="es-ES_tradnl"/>
              </w:rPr>
              <w:tab/>
              <w:t>843</w:t>
            </w:r>
          </w:p>
        </w:tc>
        <w:tc>
          <w:tcPr>
            <w:tcW w:w="3046" w:type="dxa"/>
            <w:tcBorders>
              <w:top w:val="nil"/>
              <w:left w:val="nil"/>
              <w:right w:val="single" w:sz="4" w:space="0" w:color="auto"/>
            </w:tcBorders>
            <w:shd w:val="clear" w:color="auto" w:fill="auto"/>
          </w:tcPr>
          <w:p w:rsidR="00230914" w:rsidRPr="003060BE" w:rsidRDefault="00230914" w:rsidP="00FF362A">
            <w:pPr>
              <w:tabs>
                <w:tab w:val="right" w:pos="2835"/>
              </w:tabs>
              <w:rPr>
                <w:sz w:val="14"/>
                <w:szCs w:val="14"/>
                <w:lang w:val="es-ES_tradnl"/>
              </w:rPr>
            </w:pPr>
            <w:r w:rsidRPr="003060BE">
              <w:rPr>
                <w:sz w:val="14"/>
                <w:szCs w:val="14"/>
                <w:lang w:val="es-ES_tradnl"/>
              </w:rPr>
              <w:t> </w:t>
            </w:r>
          </w:p>
          <w:p w:rsidR="00230914" w:rsidRPr="003060BE" w:rsidRDefault="008D3CF3" w:rsidP="008D3CF3">
            <w:pPr>
              <w:tabs>
                <w:tab w:val="left" w:pos="395"/>
                <w:tab w:val="right" w:pos="2835"/>
              </w:tabs>
              <w:spacing w:after="60"/>
              <w:rPr>
                <w:sz w:val="14"/>
                <w:szCs w:val="14"/>
                <w:lang w:val="es-ES_tradnl"/>
              </w:rPr>
            </w:pPr>
            <w:r w:rsidRPr="008D3CF3">
              <w:rPr>
                <w:sz w:val="14"/>
                <w:szCs w:val="14"/>
                <w:lang w:val="es-ES_tradnl"/>
              </w:rPr>
              <w:t>VII.2 Plataformas y herramientas de P.I. utilizadas para la transferencia de conocimiento y la difusión y adaptación de tecnología de los países desarrollados en los países en desarrollo, en particular en los menos adelantados, con el fin de atender los desafíos mundiales</w:t>
            </w:r>
          </w:p>
          <w:p w:rsidR="00230914" w:rsidRPr="003060BE" w:rsidRDefault="00945E6F" w:rsidP="00FF362A">
            <w:pPr>
              <w:tabs>
                <w:tab w:val="left" w:pos="424"/>
                <w:tab w:val="left" w:pos="2253"/>
                <w:tab w:val="right" w:pos="2835"/>
              </w:tabs>
              <w:rPr>
                <w:i/>
                <w:iCs/>
                <w:sz w:val="14"/>
                <w:szCs w:val="14"/>
                <w:lang w:val="es-ES_tradnl"/>
              </w:rPr>
            </w:pPr>
            <w:r>
              <w:rPr>
                <w:i/>
                <w:iCs/>
                <w:sz w:val="14"/>
                <w:szCs w:val="14"/>
                <w:lang w:val="es-ES_tradnl"/>
              </w:rPr>
              <w:tab/>
              <w:t>Presupuesto propuesto 14/15:</w:t>
            </w:r>
            <w:r>
              <w:rPr>
                <w:i/>
                <w:iCs/>
                <w:sz w:val="14"/>
                <w:szCs w:val="14"/>
                <w:lang w:val="es-ES_tradnl"/>
              </w:rPr>
              <w:tab/>
              <w:t>4.</w:t>
            </w:r>
            <w:r w:rsidR="00F91117">
              <w:rPr>
                <w:i/>
                <w:iCs/>
                <w:sz w:val="14"/>
                <w:szCs w:val="14"/>
                <w:lang w:val="es-ES_tradnl"/>
              </w:rPr>
              <w:t>401</w:t>
            </w:r>
            <w:r w:rsidR="00230914" w:rsidRPr="003060BE">
              <w:rPr>
                <w:i/>
                <w:iCs/>
                <w:sz w:val="14"/>
                <w:szCs w:val="14"/>
                <w:lang w:val="es-ES_tradnl"/>
              </w:rPr>
              <w:tab/>
            </w:r>
          </w:p>
          <w:p w:rsidR="00230914" w:rsidRPr="003060BE" w:rsidRDefault="00230914" w:rsidP="00FF362A">
            <w:pPr>
              <w:tabs>
                <w:tab w:val="left" w:pos="399"/>
                <w:tab w:val="left" w:pos="2253"/>
                <w:tab w:val="right" w:pos="2835"/>
              </w:tabs>
              <w:rPr>
                <w:i/>
                <w:iCs/>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00945E6F">
              <w:rPr>
                <w:i/>
                <w:iCs/>
                <w:color w:val="0000FF"/>
                <w:sz w:val="14"/>
                <w:szCs w:val="14"/>
                <w:lang w:val="es-ES_tradnl"/>
              </w:rPr>
              <w:tab/>
              <w:t>3.</w:t>
            </w:r>
            <w:r w:rsidR="00F91117">
              <w:rPr>
                <w:i/>
                <w:iCs/>
                <w:color w:val="0000FF"/>
                <w:sz w:val="14"/>
                <w:szCs w:val="14"/>
                <w:lang w:val="es-ES_tradnl"/>
              </w:rPr>
              <w:t>081</w:t>
            </w: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rPr>
                <w:sz w:val="14"/>
                <w:szCs w:val="14"/>
                <w:lang w:val="es-ES_tradnl"/>
              </w:rPr>
            </w:pPr>
          </w:p>
          <w:p w:rsidR="00230914" w:rsidRPr="003060BE" w:rsidRDefault="00230914" w:rsidP="00FF362A">
            <w:pPr>
              <w:tabs>
                <w:tab w:val="right" w:pos="2835"/>
              </w:tabs>
              <w:spacing w:after="60"/>
              <w:rPr>
                <w:sz w:val="14"/>
                <w:szCs w:val="14"/>
              </w:rPr>
            </w:pPr>
            <w:r w:rsidRPr="003060BE">
              <w:rPr>
                <w:sz w:val="14"/>
                <w:szCs w:val="14"/>
                <w:lang w:val="es-ES_tradnl"/>
              </w:rPr>
              <w:t>VII.3. Fomento de la credibilidad de la OMPI en tanto que foro para el análisis de cuestiones en el ámbito de la P.I. y la política de competencia.</w:t>
            </w:r>
          </w:p>
          <w:p w:rsidR="00230914" w:rsidRPr="003060BE" w:rsidRDefault="00230914" w:rsidP="00FF362A">
            <w:pPr>
              <w:tabs>
                <w:tab w:val="left" w:pos="399"/>
                <w:tab w:val="left" w:pos="2253"/>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2.032</w:t>
            </w:r>
          </w:p>
          <w:p w:rsidR="00230914" w:rsidRPr="003060BE" w:rsidRDefault="00230914" w:rsidP="00FF362A">
            <w:pPr>
              <w:tabs>
                <w:tab w:val="left" w:pos="424"/>
                <w:tab w:val="left" w:pos="2253"/>
                <w:tab w:val="right" w:pos="2835"/>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r>
            <w:r w:rsidRPr="003060BE">
              <w:rPr>
                <w:i/>
                <w:iCs/>
                <w:color w:val="0000FF"/>
                <w:sz w:val="14"/>
                <w:szCs w:val="14"/>
                <w:lang w:val="es-ES_tradnl"/>
              </w:rPr>
              <w:tab/>
              <w:t>2.032</w:t>
            </w:r>
            <w:r w:rsidRPr="003060BE">
              <w:rPr>
                <w:i/>
                <w:iCs/>
                <w:sz w:val="14"/>
                <w:szCs w:val="14"/>
                <w:lang w:val="es-ES_tradnl"/>
              </w:rPr>
              <w:tab/>
            </w:r>
          </w:p>
        </w:tc>
      </w:tr>
      <w:tr w:rsidR="00230914" w:rsidRPr="003060BE" w:rsidTr="00FF362A">
        <w:trPr>
          <w:trHeight w:val="145"/>
        </w:trPr>
        <w:tc>
          <w:tcPr>
            <w:tcW w:w="387" w:type="dxa"/>
            <w:vMerge/>
            <w:tcBorders>
              <w:top w:val="single" w:sz="8" w:space="0" w:color="auto"/>
              <w:left w:val="single" w:sz="8" w:space="0" w:color="auto"/>
              <w:bottom w:val="single" w:sz="4" w:space="0" w:color="000000"/>
              <w:right w:val="nil"/>
            </w:tcBorders>
            <w:vAlign w:val="center"/>
          </w:tcPr>
          <w:p w:rsidR="00230914" w:rsidRPr="003060BE" w:rsidRDefault="00230914" w:rsidP="00FF362A">
            <w:pPr>
              <w:tabs>
                <w:tab w:val="right" w:pos="2835"/>
              </w:tabs>
              <w:rPr>
                <w:b/>
                <w:bCs/>
                <w:sz w:val="16"/>
                <w:szCs w:val="16"/>
                <w:lang w:val="es-ES_tradnl"/>
              </w:rPr>
            </w:pPr>
          </w:p>
        </w:tc>
        <w:tc>
          <w:tcPr>
            <w:tcW w:w="3040" w:type="dxa"/>
            <w:tcBorders>
              <w:top w:val="nil"/>
              <w:left w:val="single" w:sz="4" w:space="0" w:color="auto"/>
              <w:bottom w:val="nil"/>
              <w:right w:val="nil"/>
            </w:tcBorders>
            <w:shd w:val="clear" w:color="auto" w:fill="auto"/>
          </w:tcPr>
          <w:p w:rsidR="00230914" w:rsidRPr="003060BE" w:rsidRDefault="00230914" w:rsidP="00FF362A">
            <w:pPr>
              <w:tabs>
                <w:tab w:val="left" w:pos="2157"/>
                <w:tab w:val="right" w:pos="2835"/>
              </w:tabs>
              <w:rPr>
                <w:i/>
                <w:iCs/>
                <w:sz w:val="14"/>
                <w:szCs w:val="14"/>
                <w:lang w:val="es-ES_tradnl"/>
              </w:rPr>
            </w:pPr>
            <w:r w:rsidRPr="003060BE">
              <w:rPr>
                <w:i/>
                <w:iCs/>
                <w:sz w:val="14"/>
                <w:szCs w:val="14"/>
                <w:lang w:val="es-ES_tradnl"/>
              </w:rPr>
              <w:t>Total del presupu</w:t>
            </w:r>
            <w:r w:rsidR="00096B4A">
              <w:rPr>
                <w:i/>
                <w:iCs/>
                <w:sz w:val="14"/>
                <w:szCs w:val="14"/>
                <w:lang w:val="es-ES_tradnl"/>
              </w:rPr>
              <w:t>esto propuesto,</w:t>
            </w:r>
            <w:r w:rsidR="00096B4A">
              <w:rPr>
                <w:i/>
                <w:iCs/>
                <w:sz w:val="14"/>
                <w:szCs w:val="14"/>
                <w:lang w:val="es-ES_tradnl"/>
              </w:rPr>
              <w:br/>
              <w:t xml:space="preserve"> meta I:</w:t>
            </w:r>
            <w:r w:rsidR="00096B4A">
              <w:rPr>
                <w:i/>
                <w:iCs/>
                <w:sz w:val="14"/>
                <w:szCs w:val="14"/>
                <w:lang w:val="es-ES_tradnl"/>
              </w:rPr>
              <w:tab/>
            </w:r>
            <w:r w:rsidR="00096B4A">
              <w:rPr>
                <w:i/>
                <w:iCs/>
                <w:sz w:val="14"/>
                <w:szCs w:val="14"/>
                <w:lang w:val="es-ES_tradnl"/>
              </w:rPr>
              <w:tab/>
              <w:t>24.072</w:t>
            </w:r>
          </w:p>
          <w:p w:rsidR="00230914" w:rsidRPr="003060BE" w:rsidRDefault="00230914" w:rsidP="00096B4A">
            <w:pPr>
              <w:tabs>
                <w:tab w:val="left" w:pos="2157"/>
                <w:tab w:val="right" w:pos="2835"/>
              </w:tabs>
              <w:rPr>
                <w:i/>
                <w:iCs/>
                <w:color w:val="0000FF"/>
                <w:sz w:val="14"/>
                <w:szCs w:val="14"/>
                <w:lang w:val="es-ES_tradnl"/>
              </w:rPr>
            </w:pPr>
            <w:r w:rsidRPr="003060BE">
              <w:rPr>
                <w:i/>
                <w:iCs/>
                <w:color w:val="0000FF"/>
                <w:sz w:val="14"/>
                <w:szCs w:val="14"/>
                <w:lang w:val="es-ES_tradnl"/>
              </w:rPr>
              <w:t>Total de la cuota de desarrollo,</w:t>
            </w:r>
            <w:r w:rsidRPr="003060BE">
              <w:rPr>
                <w:i/>
                <w:iCs/>
                <w:color w:val="0000FF"/>
                <w:sz w:val="14"/>
                <w:szCs w:val="14"/>
                <w:lang w:val="es-ES_tradnl"/>
              </w:rPr>
              <w:br/>
              <w:t xml:space="preserve"> meta I:</w:t>
            </w:r>
            <w:r w:rsidRPr="003060BE">
              <w:rPr>
                <w:i/>
                <w:iCs/>
                <w:color w:val="0000FF"/>
                <w:sz w:val="14"/>
                <w:szCs w:val="14"/>
                <w:lang w:val="es-ES_tradnl"/>
              </w:rPr>
              <w:tab/>
            </w:r>
            <w:r w:rsidRPr="003060BE">
              <w:rPr>
                <w:i/>
                <w:iCs/>
                <w:color w:val="0000FF"/>
                <w:sz w:val="14"/>
                <w:szCs w:val="14"/>
                <w:lang w:val="es-ES_tradnl"/>
              </w:rPr>
              <w:tab/>
              <w:t>16.67</w:t>
            </w:r>
            <w:r w:rsidR="00096B4A">
              <w:rPr>
                <w:i/>
                <w:iCs/>
                <w:color w:val="0000FF"/>
                <w:sz w:val="14"/>
                <w:szCs w:val="14"/>
                <w:lang w:val="es-ES_tradnl"/>
              </w:rPr>
              <w:t>1</w:t>
            </w:r>
          </w:p>
        </w:tc>
        <w:tc>
          <w:tcPr>
            <w:tcW w:w="3041" w:type="dxa"/>
            <w:tcBorders>
              <w:top w:val="nil"/>
              <w:left w:val="nil"/>
              <w:bottom w:val="nil"/>
              <w:right w:val="nil"/>
            </w:tcBorders>
            <w:shd w:val="clear" w:color="auto" w:fill="auto"/>
          </w:tcPr>
          <w:p w:rsidR="00230914" w:rsidRPr="003060BE" w:rsidRDefault="00230914" w:rsidP="00FF362A">
            <w:pPr>
              <w:tabs>
                <w:tab w:val="left" w:pos="2173"/>
                <w:tab w:val="right" w:pos="2835"/>
              </w:tabs>
              <w:rPr>
                <w:i/>
                <w:iCs/>
                <w:sz w:val="14"/>
                <w:szCs w:val="14"/>
                <w:lang w:val="es-ES_tradnl"/>
              </w:rPr>
            </w:pPr>
            <w:r w:rsidRPr="003060BE">
              <w:rPr>
                <w:i/>
                <w:iCs/>
                <w:sz w:val="14"/>
                <w:szCs w:val="14"/>
                <w:lang w:val="es-ES_tradnl"/>
              </w:rPr>
              <w:t>Total del presupuesto propuesto,</w:t>
            </w:r>
            <w:r w:rsidRPr="003060BE">
              <w:rPr>
                <w:i/>
                <w:iCs/>
                <w:sz w:val="14"/>
                <w:szCs w:val="14"/>
                <w:lang w:val="es-ES_tradnl"/>
              </w:rPr>
              <w:br/>
              <w:t xml:space="preserve"> meta II:</w:t>
            </w:r>
            <w:r w:rsidRPr="003060BE">
              <w:rPr>
                <w:i/>
                <w:iCs/>
                <w:sz w:val="14"/>
                <w:szCs w:val="14"/>
                <w:lang w:val="es-ES_tradnl"/>
              </w:rPr>
              <w:tab/>
            </w:r>
            <w:r w:rsidRPr="003060BE">
              <w:rPr>
                <w:i/>
                <w:iCs/>
                <w:sz w:val="14"/>
                <w:szCs w:val="14"/>
                <w:lang w:val="es-ES_tradnl"/>
              </w:rPr>
              <w:tab/>
            </w:r>
            <w:r w:rsidR="002F43CD">
              <w:rPr>
                <w:i/>
                <w:iCs/>
                <w:sz w:val="14"/>
                <w:szCs w:val="14"/>
                <w:lang w:val="es-ES_tradnl"/>
              </w:rPr>
              <w:t>276.849</w:t>
            </w:r>
          </w:p>
          <w:p w:rsidR="00230914" w:rsidRPr="003060BE" w:rsidRDefault="00230914" w:rsidP="00616858">
            <w:pPr>
              <w:tabs>
                <w:tab w:val="left" w:pos="2173"/>
                <w:tab w:val="right" w:pos="2835"/>
              </w:tabs>
              <w:rPr>
                <w:i/>
                <w:iCs/>
                <w:color w:val="0000FF"/>
                <w:sz w:val="14"/>
                <w:szCs w:val="14"/>
                <w:lang w:val="es-ES_tradnl"/>
              </w:rPr>
            </w:pPr>
            <w:r w:rsidRPr="003060BE">
              <w:rPr>
                <w:i/>
                <w:iCs/>
                <w:color w:val="0000FF"/>
                <w:sz w:val="14"/>
                <w:szCs w:val="14"/>
                <w:lang w:val="es-ES_tradnl"/>
              </w:rPr>
              <w:t>Total de la cuota de desarrollo,</w:t>
            </w:r>
            <w:r w:rsidRPr="003060BE">
              <w:rPr>
                <w:i/>
                <w:iCs/>
                <w:color w:val="0000FF"/>
                <w:sz w:val="14"/>
                <w:szCs w:val="14"/>
                <w:lang w:val="es-ES_tradnl"/>
              </w:rPr>
              <w:br/>
              <w:t xml:space="preserve"> meta II:</w:t>
            </w:r>
            <w:r w:rsidRPr="003060BE">
              <w:rPr>
                <w:i/>
                <w:iCs/>
                <w:color w:val="0000FF"/>
                <w:sz w:val="14"/>
                <w:szCs w:val="14"/>
                <w:lang w:val="es-ES_tradnl"/>
              </w:rPr>
              <w:tab/>
            </w:r>
            <w:r w:rsidRPr="003060BE">
              <w:rPr>
                <w:i/>
                <w:iCs/>
                <w:color w:val="0000FF"/>
                <w:sz w:val="14"/>
                <w:szCs w:val="14"/>
                <w:lang w:val="es-ES_tradnl"/>
              </w:rPr>
              <w:tab/>
              <w:t>13</w:t>
            </w:r>
            <w:r w:rsidR="00616858">
              <w:rPr>
                <w:i/>
                <w:iCs/>
                <w:color w:val="0000FF"/>
                <w:sz w:val="14"/>
                <w:szCs w:val="14"/>
                <w:lang w:val="es-ES_tradnl"/>
              </w:rPr>
              <w:t>.4</w:t>
            </w:r>
            <w:r w:rsidRPr="003060BE">
              <w:rPr>
                <w:i/>
                <w:iCs/>
                <w:color w:val="0000FF"/>
                <w:sz w:val="14"/>
                <w:szCs w:val="14"/>
                <w:lang w:val="es-ES_tradnl"/>
              </w:rPr>
              <w:t>6</w:t>
            </w:r>
            <w:r w:rsidR="00616858">
              <w:rPr>
                <w:i/>
                <w:iCs/>
                <w:color w:val="0000FF"/>
                <w:sz w:val="14"/>
                <w:szCs w:val="14"/>
                <w:lang w:val="es-ES_tradnl"/>
              </w:rPr>
              <w:t>7</w:t>
            </w:r>
            <w:r w:rsidRPr="003060BE">
              <w:rPr>
                <w:i/>
                <w:iCs/>
                <w:color w:val="0000FF"/>
                <w:sz w:val="14"/>
                <w:szCs w:val="14"/>
                <w:lang w:val="es-ES_tradnl"/>
              </w:rPr>
              <w:tab/>
              <w:t xml:space="preserve"> </w:t>
            </w:r>
          </w:p>
        </w:tc>
        <w:tc>
          <w:tcPr>
            <w:tcW w:w="3043" w:type="dxa"/>
            <w:tcBorders>
              <w:top w:val="nil"/>
              <w:left w:val="nil"/>
              <w:bottom w:val="nil"/>
              <w:right w:val="nil"/>
            </w:tcBorders>
            <w:shd w:val="clear" w:color="auto" w:fill="auto"/>
          </w:tcPr>
          <w:p w:rsidR="00230914" w:rsidRPr="003060BE" w:rsidRDefault="00230914" w:rsidP="00FF362A">
            <w:pPr>
              <w:tabs>
                <w:tab w:val="left" w:pos="2189"/>
                <w:tab w:val="right" w:pos="2835"/>
              </w:tabs>
              <w:rPr>
                <w:i/>
                <w:iCs/>
                <w:sz w:val="14"/>
                <w:szCs w:val="14"/>
                <w:lang w:val="es-ES_tradnl"/>
              </w:rPr>
            </w:pPr>
            <w:r w:rsidRPr="003060BE">
              <w:rPr>
                <w:i/>
                <w:iCs/>
                <w:sz w:val="14"/>
                <w:szCs w:val="14"/>
                <w:lang w:val="es-ES_tradnl"/>
              </w:rPr>
              <w:t>Total del presupuesto propuesto,</w:t>
            </w:r>
            <w:r w:rsidRPr="003060BE">
              <w:rPr>
                <w:i/>
                <w:iCs/>
                <w:sz w:val="14"/>
                <w:szCs w:val="14"/>
                <w:lang w:val="es-ES_tradnl"/>
              </w:rPr>
              <w:br/>
              <w:t xml:space="preserve"> meta III:</w:t>
            </w:r>
            <w:r w:rsidRPr="003060BE">
              <w:rPr>
                <w:i/>
                <w:iCs/>
                <w:sz w:val="14"/>
                <w:szCs w:val="14"/>
                <w:lang w:val="es-ES_tradnl"/>
              </w:rPr>
              <w:tab/>
            </w:r>
            <w:r w:rsidRPr="003060BE">
              <w:rPr>
                <w:i/>
                <w:iCs/>
                <w:sz w:val="14"/>
                <w:szCs w:val="14"/>
                <w:lang w:val="es-ES_tradnl"/>
              </w:rPr>
              <w:tab/>
              <w:t>6</w:t>
            </w:r>
            <w:r w:rsidR="002F43CD">
              <w:rPr>
                <w:i/>
                <w:iCs/>
                <w:sz w:val="14"/>
                <w:szCs w:val="14"/>
                <w:lang w:val="es-ES_tradnl"/>
              </w:rPr>
              <w:t>5.513</w:t>
            </w:r>
          </w:p>
          <w:p w:rsidR="00230914" w:rsidRPr="003060BE" w:rsidRDefault="00230914" w:rsidP="002F43CD">
            <w:pPr>
              <w:tabs>
                <w:tab w:val="left" w:pos="2189"/>
                <w:tab w:val="right" w:pos="2835"/>
              </w:tabs>
              <w:rPr>
                <w:i/>
                <w:iCs/>
                <w:color w:val="0000FF"/>
                <w:sz w:val="14"/>
                <w:szCs w:val="14"/>
                <w:lang w:val="es-ES_tradnl"/>
              </w:rPr>
            </w:pPr>
            <w:r w:rsidRPr="003060BE">
              <w:rPr>
                <w:i/>
                <w:iCs/>
                <w:color w:val="0000FF"/>
                <w:sz w:val="14"/>
                <w:szCs w:val="14"/>
                <w:lang w:val="es-ES_tradnl"/>
              </w:rPr>
              <w:t>Total de la cuota de desarrollo,</w:t>
            </w:r>
            <w:r w:rsidRPr="003060BE">
              <w:rPr>
                <w:i/>
                <w:iCs/>
                <w:color w:val="0000FF"/>
                <w:sz w:val="14"/>
                <w:szCs w:val="14"/>
                <w:lang w:val="es-ES_tradnl"/>
              </w:rPr>
              <w:br/>
              <w:t xml:space="preserve"> meta III: </w:t>
            </w:r>
            <w:r w:rsidRPr="003060BE">
              <w:rPr>
                <w:i/>
                <w:iCs/>
                <w:color w:val="0000FF"/>
                <w:sz w:val="14"/>
                <w:szCs w:val="14"/>
                <w:lang w:val="es-ES_tradnl"/>
              </w:rPr>
              <w:tab/>
            </w:r>
            <w:r w:rsidRPr="003060BE">
              <w:rPr>
                <w:i/>
                <w:iCs/>
                <w:color w:val="0000FF"/>
                <w:sz w:val="14"/>
                <w:szCs w:val="14"/>
                <w:lang w:val="es-ES_tradnl"/>
              </w:rPr>
              <w:tab/>
              <w:t>6</w:t>
            </w:r>
            <w:r w:rsidR="002F43CD">
              <w:rPr>
                <w:i/>
                <w:iCs/>
                <w:color w:val="0000FF"/>
                <w:sz w:val="14"/>
                <w:szCs w:val="14"/>
                <w:lang w:val="es-ES_tradnl"/>
              </w:rPr>
              <w:t>4.752</w:t>
            </w:r>
          </w:p>
        </w:tc>
        <w:tc>
          <w:tcPr>
            <w:tcW w:w="3041" w:type="dxa"/>
            <w:tcBorders>
              <w:top w:val="nil"/>
              <w:left w:val="nil"/>
              <w:bottom w:val="nil"/>
              <w:right w:val="nil"/>
            </w:tcBorders>
            <w:shd w:val="clear" w:color="auto" w:fill="auto"/>
          </w:tcPr>
          <w:p w:rsidR="00230914" w:rsidRPr="003060BE" w:rsidRDefault="00230914" w:rsidP="00FF362A">
            <w:pPr>
              <w:tabs>
                <w:tab w:val="left" w:pos="2205"/>
                <w:tab w:val="right" w:pos="2835"/>
              </w:tabs>
              <w:rPr>
                <w:i/>
                <w:iCs/>
                <w:sz w:val="14"/>
                <w:szCs w:val="14"/>
                <w:lang w:val="es-ES_tradnl"/>
              </w:rPr>
            </w:pPr>
            <w:r w:rsidRPr="003060BE">
              <w:rPr>
                <w:i/>
                <w:iCs/>
                <w:sz w:val="14"/>
                <w:szCs w:val="14"/>
                <w:lang w:val="es-ES_tradnl"/>
              </w:rPr>
              <w:t>Total del presupue</w:t>
            </w:r>
            <w:r w:rsidR="00616858">
              <w:rPr>
                <w:i/>
                <w:iCs/>
                <w:sz w:val="14"/>
                <w:szCs w:val="14"/>
                <w:lang w:val="es-ES_tradnl"/>
              </w:rPr>
              <w:t>sto propuesto,</w:t>
            </w:r>
            <w:r w:rsidR="00616858">
              <w:rPr>
                <w:i/>
                <w:iCs/>
                <w:sz w:val="14"/>
                <w:szCs w:val="14"/>
                <w:lang w:val="es-ES_tradnl"/>
              </w:rPr>
              <w:br/>
              <w:t xml:space="preserve"> meta IV:</w:t>
            </w:r>
            <w:r w:rsidR="00616858">
              <w:rPr>
                <w:i/>
                <w:iCs/>
                <w:sz w:val="14"/>
                <w:szCs w:val="14"/>
                <w:lang w:val="es-ES_tradnl"/>
              </w:rPr>
              <w:tab/>
            </w:r>
            <w:r w:rsidR="00616858">
              <w:rPr>
                <w:i/>
                <w:iCs/>
                <w:sz w:val="14"/>
                <w:szCs w:val="14"/>
                <w:lang w:val="es-ES_tradnl"/>
              </w:rPr>
              <w:tab/>
              <w:t>4</w:t>
            </w:r>
            <w:r w:rsidR="00F91117">
              <w:rPr>
                <w:i/>
                <w:iCs/>
                <w:sz w:val="14"/>
                <w:szCs w:val="14"/>
                <w:lang w:val="es-ES_tradnl"/>
              </w:rPr>
              <w:t>5.457</w:t>
            </w:r>
          </w:p>
          <w:p w:rsidR="00230914" w:rsidRPr="003060BE" w:rsidRDefault="00230914" w:rsidP="00F91117">
            <w:pPr>
              <w:tabs>
                <w:tab w:val="left" w:pos="2205"/>
                <w:tab w:val="right" w:pos="2835"/>
              </w:tabs>
              <w:rPr>
                <w:i/>
                <w:iCs/>
                <w:color w:val="0000FF"/>
                <w:sz w:val="14"/>
                <w:szCs w:val="14"/>
                <w:lang w:val="es-ES_tradnl"/>
              </w:rPr>
            </w:pPr>
            <w:r w:rsidRPr="003060BE">
              <w:rPr>
                <w:i/>
                <w:iCs/>
                <w:color w:val="0000FF"/>
                <w:sz w:val="14"/>
                <w:szCs w:val="14"/>
                <w:lang w:val="es-ES_tradnl"/>
              </w:rPr>
              <w:t>Total de la cuota d</w:t>
            </w:r>
            <w:r w:rsidR="00616858">
              <w:rPr>
                <w:i/>
                <w:iCs/>
                <w:color w:val="0000FF"/>
                <w:sz w:val="14"/>
                <w:szCs w:val="14"/>
                <w:lang w:val="es-ES_tradnl"/>
              </w:rPr>
              <w:t>e desarrollo,</w:t>
            </w:r>
            <w:r w:rsidR="00616858">
              <w:rPr>
                <w:i/>
                <w:iCs/>
                <w:color w:val="0000FF"/>
                <w:sz w:val="14"/>
                <w:szCs w:val="14"/>
                <w:lang w:val="es-ES_tradnl"/>
              </w:rPr>
              <w:br/>
              <w:t xml:space="preserve"> meta IV:</w:t>
            </w:r>
            <w:r w:rsidR="00616858">
              <w:rPr>
                <w:i/>
                <w:iCs/>
                <w:color w:val="0000FF"/>
                <w:sz w:val="14"/>
                <w:szCs w:val="14"/>
                <w:lang w:val="es-ES_tradnl"/>
              </w:rPr>
              <w:tab/>
            </w:r>
            <w:r w:rsidR="00616858">
              <w:rPr>
                <w:i/>
                <w:iCs/>
                <w:color w:val="0000FF"/>
                <w:sz w:val="14"/>
                <w:szCs w:val="14"/>
                <w:lang w:val="es-ES_tradnl"/>
              </w:rPr>
              <w:tab/>
              <w:t>3</w:t>
            </w:r>
            <w:r w:rsidR="00F91117">
              <w:rPr>
                <w:i/>
                <w:iCs/>
                <w:color w:val="0000FF"/>
                <w:sz w:val="14"/>
                <w:szCs w:val="14"/>
                <w:lang w:val="es-ES_tradnl"/>
              </w:rPr>
              <w:t>1.578</w:t>
            </w:r>
          </w:p>
        </w:tc>
        <w:tc>
          <w:tcPr>
            <w:tcW w:w="3211" w:type="dxa"/>
            <w:gridSpan w:val="2"/>
            <w:tcBorders>
              <w:top w:val="nil"/>
              <w:left w:val="nil"/>
              <w:bottom w:val="nil"/>
              <w:right w:val="nil"/>
            </w:tcBorders>
            <w:shd w:val="clear" w:color="auto" w:fill="auto"/>
          </w:tcPr>
          <w:p w:rsidR="00230914" w:rsidRPr="003060BE" w:rsidRDefault="00230914" w:rsidP="00FF362A">
            <w:pPr>
              <w:tabs>
                <w:tab w:val="left" w:pos="2221"/>
                <w:tab w:val="right" w:pos="2835"/>
              </w:tabs>
              <w:rPr>
                <w:i/>
                <w:iCs/>
                <w:sz w:val="14"/>
                <w:szCs w:val="14"/>
                <w:lang w:val="es-ES_tradnl"/>
              </w:rPr>
            </w:pPr>
            <w:r w:rsidRPr="003060BE">
              <w:rPr>
                <w:i/>
                <w:iCs/>
                <w:sz w:val="14"/>
                <w:szCs w:val="14"/>
                <w:lang w:val="es-ES_tradnl"/>
              </w:rPr>
              <w:t>Total del presupuesto propuesto,</w:t>
            </w:r>
            <w:r w:rsidRPr="003060BE">
              <w:rPr>
                <w:i/>
                <w:iCs/>
                <w:sz w:val="14"/>
                <w:szCs w:val="14"/>
                <w:lang w:val="es-ES_tradnl"/>
              </w:rPr>
              <w:br/>
              <w:t xml:space="preserve"> meta V:</w:t>
            </w:r>
            <w:r w:rsidRPr="003060BE">
              <w:rPr>
                <w:i/>
                <w:iCs/>
                <w:sz w:val="14"/>
                <w:szCs w:val="14"/>
                <w:lang w:val="es-ES_tradnl"/>
              </w:rPr>
              <w:tab/>
            </w:r>
            <w:r w:rsidRPr="003060BE">
              <w:rPr>
                <w:i/>
                <w:iCs/>
                <w:sz w:val="14"/>
                <w:szCs w:val="14"/>
                <w:lang w:val="es-ES_tradnl"/>
              </w:rPr>
              <w:tab/>
              <w:t>6.402</w:t>
            </w:r>
          </w:p>
          <w:p w:rsidR="00230914" w:rsidRPr="003060BE" w:rsidRDefault="00230914" w:rsidP="00FF362A">
            <w:pPr>
              <w:tabs>
                <w:tab w:val="left" w:pos="2221"/>
                <w:tab w:val="right" w:pos="2835"/>
              </w:tabs>
              <w:rPr>
                <w:i/>
                <w:iCs/>
                <w:color w:val="0000FF"/>
                <w:sz w:val="14"/>
                <w:szCs w:val="14"/>
                <w:lang w:val="es-ES_tradnl"/>
              </w:rPr>
            </w:pPr>
            <w:r w:rsidRPr="003060BE">
              <w:rPr>
                <w:i/>
                <w:iCs/>
                <w:color w:val="0000FF"/>
                <w:sz w:val="14"/>
                <w:szCs w:val="14"/>
                <w:lang w:val="es-ES_tradnl"/>
              </w:rPr>
              <w:t>Total de la cuota de desarrollo,</w:t>
            </w:r>
            <w:r w:rsidRPr="003060BE">
              <w:rPr>
                <w:i/>
                <w:iCs/>
                <w:color w:val="0000FF"/>
                <w:sz w:val="14"/>
                <w:szCs w:val="14"/>
                <w:lang w:val="es-ES_tradnl"/>
              </w:rPr>
              <w:br/>
              <w:t xml:space="preserve"> meta V:</w:t>
            </w:r>
            <w:r w:rsidRPr="003060BE">
              <w:rPr>
                <w:i/>
                <w:iCs/>
                <w:color w:val="0000FF"/>
                <w:sz w:val="14"/>
                <w:szCs w:val="14"/>
                <w:lang w:val="es-ES_tradnl"/>
              </w:rPr>
              <w:tab/>
            </w:r>
            <w:r w:rsidRPr="003060BE">
              <w:rPr>
                <w:i/>
                <w:iCs/>
                <w:color w:val="0000FF"/>
                <w:sz w:val="14"/>
                <w:szCs w:val="14"/>
                <w:lang w:val="es-ES_tradnl"/>
              </w:rPr>
              <w:tab/>
              <w:t>2.270</w:t>
            </w:r>
            <w:r w:rsidRPr="003060BE">
              <w:rPr>
                <w:i/>
                <w:iCs/>
                <w:color w:val="0000FF"/>
                <w:sz w:val="14"/>
                <w:szCs w:val="14"/>
                <w:lang w:val="es-ES_tradnl"/>
              </w:rPr>
              <w:tab/>
            </w:r>
          </w:p>
        </w:tc>
        <w:tc>
          <w:tcPr>
            <w:tcW w:w="2870" w:type="dxa"/>
            <w:tcBorders>
              <w:top w:val="nil"/>
              <w:left w:val="nil"/>
              <w:bottom w:val="nil"/>
              <w:right w:val="nil"/>
            </w:tcBorders>
            <w:shd w:val="clear" w:color="auto" w:fill="auto"/>
          </w:tcPr>
          <w:p w:rsidR="00230914" w:rsidRPr="003060BE" w:rsidRDefault="00230914" w:rsidP="00FF362A">
            <w:pPr>
              <w:tabs>
                <w:tab w:val="left" w:pos="2237"/>
                <w:tab w:val="right" w:pos="2835"/>
              </w:tabs>
              <w:rPr>
                <w:i/>
                <w:iCs/>
                <w:sz w:val="14"/>
                <w:szCs w:val="14"/>
                <w:lang w:val="es-ES_tradnl"/>
              </w:rPr>
            </w:pPr>
            <w:r w:rsidRPr="003060BE">
              <w:rPr>
                <w:i/>
                <w:iCs/>
                <w:sz w:val="14"/>
                <w:szCs w:val="14"/>
                <w:lang w:val="es-ES_tradnl"/>
              </w:rPr>
              <w:t>Total del presupuesto propuesto,</w:t>
            </w:r>
            <w:r w:rsidRPr="003060BE">
              <w:rPr>
                <w:i/>
                <w:iCs/>
                <w:sz w:val="14"/>
                <w:szCs w:val="14"/>
                <w:lang w:val="es-ES_tradnl"/>
              </w:rPr>
              <w:br/>
              <w:t xml:space="preserve"> meta VI:</w:t>
            </w:r>
            <w:r w:rsidRPr="003060BE">
              <w:rPr>
                <w:i/>
                <w:iCs/>
                <w:sz w:val="14"/>
                <w:szCs w:val="14"/>
                <w:lang w:val="es-ES_tradnl"/>
              </w:rPr>
              <w:tab/>
            </w:r>
            <w:r w:rsidRPr="003060BE">
              <w:rPr>
                <w:i/>
                <w:iCs/>
                <w:sz w:val="14"/>
                <w:szCs w:val="14"/>
                <w:lang w:val="es-ES_tradnl"/>
              </w:rPr>
              <w:tab/>
              <w:t>1.553</w:t>
            </w:r>
          </w:p>
          <w:p w:rsidR="00230914" w:rsidRPr="003060BE" w:rsidRDefault="00230914" w:rsidP="00FF362A">
            <w:pPr>
              <w:tabs>
                <w:tab w:val="left" w:pos="2237"/>
                <w:tab w:val="right" w:pos="2835"/>
              </w:tabs>
              <w:rPr>
                <w:i/>
                <w:iCs/>
                <w:color w:val="0000FF"/>
                <w:sz w:val="14"/>
                <w:szCs w:val="14"/>
                <w:lang w:val="es-ES_tradnl"/>
              </w:rPr>
            </w:pPr>
            <w:r w:rsidRPr="003060BE">
              <w:rPr>
                <w:i/>
                <w:iCs/>
                <w:color w:val="0000FF"/>
                <w:sz w:val="14"/>
                <w:szCs w:val="14"/>
                <w:lang w:val="es-ES_tradnl"/>
              </w:rPr>
              <w:t>Total de la cuota de desarrollo,</w:t>
            </w:r>
            <w:r w:rsidRPr="003060BE">
              <w:rPr>
                <w:i/>
                <w:iCs/>
                <w:color w:val="0000FF"/>
                <w:sz w:val="14"/>
                <w:szCs w:val="14"/>
                <w:lang w:val="es-ES_tradnl"/>
              </w:rPr>
              <w:br/>
              <w:t xml:space="preserve"> meta VI:</w:t>
            </w:r>
            <w:r w:rsidRPr="003060BE">
              <w:rPr>
                <w:i/>
                <w:iCs/>
                <w:color w:val="0000FF"/>
                <w:sz w:val="14"/>
                <w:szCs w:val="14"/>
                <w:lang w:val="es-ES_tradnl"/>
              </w:rPr>
              <w:tab/>
            </w:r>
            <w:r w:rsidRPr="003060BE">
              <w:rPr>
                <w:i/>
                <w:iCs/>
                <w:color w:val="0000FF"/>
                <w:sz w:val="14"/>
                <w:szCs w:val="14"/>
                <w:lang w:val="es-ES_tradnl"/>
              </w:rPr>
              <w:tab/>
              <w:t>1.148</w:t>
            </w:r>
            <w:r w:rsidRPr="003060BE">
              <w:rPr>
                <w:i/>
                <w:iCs/>
                <w:color w:val="0000FF"/>
                <w:sz w:val="14"/>
                <w:szCs w:val="14"/>
                <w:lang w:val="es-ES_tradnl"/>
              </w:rPr>
              <w:tab/>
            </w:r>
          </w:p>
        </w:tc>
        <w:tc>
          <w:tcPr>
            <w:tcW w:w="3046" w:type="dxa"/>
            <w:tcBorders>
              <w:top w:val="nil"/>
              <w:left w:val="nil"/>
              <w:bottom w:val="nil"/>
              <w:right w:val="single" w:sz="4" w:space="0" w:color="auto"/>
            </w:tcBorders>
            <w:shd w:val="clear" w:color="auto" w:fill="auto"/>
          </w:tcPr>
          <w:p w:rsidR="00230914" w:rsidRPr="003060BE" w:rsidRDefault="00230914" w:rsidP="00FF362A">
            <w:pPr>
              <w:tabs>
                <w:tab w:val="left" w:pos="2253"/>
                <w:tab w:val="right" w:pos="2835"/>
              </w:tabs>
              <w:rPr>
                <w:i/>
                <w:iCs/>
                <w:sz w:val="14"/>
                <w:szCs w:val="14"/>
                <w:lang w:val="es-ES_tradnl"/>
              </w:rPr>
            </w:pPr>
            <w:r w:rsidRPr="003060BE">
              <w:rPr>
                <w:i/>
                <w:iCs/>
                <w:sz w:val="14"/>
                <w:szCs w:val="14"/>
                <w:lang w:val="es-ES_tradnl"/>
              </w:rPr>
              <w:t>Total del presu</w:t>
            </w:r>
            <w:r w:rsidR="00945E6F">
              <w:rPr>
                <w:i/>
                <w:iCs/>
                <w:sz w:val="14"/>
                <w:szCs w:val="14"/>
                <w:lang w:val="es-ES_tradnl"/>
              </w:rPr>
              <w:t>puesto propuesto,</w:t>
            </w:r>
            <w:r w:rsidR="00945E6F">
              <w:rPr>
                <w:i/>
                <w:iCs/>
                <w:sz w:val="14"/>
                <w:szCs w:val="14"/>
                <w:lang w:val="es-ES_tradnl"/>
              </w:rPr>
              <w:br/>
              <w:t xml:space="preserve"> meta VII:</w:t>
            </w:r>
            <w:r w:rsidR="00945E6F">
              <w:rPr>
                <w:i/>
                <w:iCs/>
                <w:sz w:val="14"/>
                <w:szCs w:val="14"/>
                <w:lang w:val="es-ES_tradnl"/>
              </w:rPr>
              <w:tab/>
            </w:r>
            <w:r w:rsidR="00945E6F">
              <w:rPr>
                <w:i/>
                <w:iCs/>
                <w:sz w:val="14"/>
                <w:szCs w:val="14"/>
                <w:lang w:val="es-ES_tradnl"/>
              </w:rPr>
              <w:tab/>
              <w:t>6.</w:t>
            </w:r>
            <w:r w:rsidR="00F91117">
              <w:rPr>
                <w:i/>
                <w:iCs/>
                <w:sz w:val="14"/>
                <w:szCs w:val="14"/>
                <w:lang w:val="es-ES_tradnl"/>
              </w:rPr>
              <w:t>433</w:t>
            </w:r>
          </w:p>
          <w:p w:rsidR="00230914" w:rsidRPr="003060BE" w:rsidRDefault="00230914" w:rsidP="00F91117">
            <w:pPr>
              <w:tabs>
                <w:tab w:val="left" w:pos="2253"/>
                <w:tab w:val="right" w:pos="2835"/>
              </w:tabs>
              <w:rPr>
                <w:i/>
                <w:iCs/>
                <w:color w:val="0000FF"/>
                <w:sz w:val="14"/>
                <w:szCs w:val="14"/>
                <w:lang w:val="es-ES_tradnl"/>
              </w:rPr>
            </w:pPr>
            <w:r w:rsidRPr="003060BE">
              <w:rPr>
                <w:i/>
                <w:iCs/>
                <w:color w:val="0000FF"/>
                <w:sz w:val="14"/>
                <w:szCs w:val="14"/>
                <w:lang w:val="es-ES_tradnl"/>
              </w:rPr>
              <w:t>Total de la cuota</w:t>
            </w:r>
            <w:r w:rsidR="00945E6F">
              <w:rPr>
                <w:i/>
                <w:iCs/>
                <w:color w:val="0000FF"/>
                <w:sz w:val="14"/>
                <w:szCs w:val="14"/>
                <w:lang w:val="es-ES_tradnl"/>
              </w:rPr>
              <w:t xml:space="preserve"> de desarrollo,</w:t>
            </w:r>
            <w:r w:rsidR="00945E6F">
              <w:rPr>
                <w:i/>
                <w:iCs/>
                <w:color w:val="0000FF"/>
                <w:sz w:val="14"/>
                <w:szCs w:val="14"/>
                <w:lang w:val="es-ES_tradnl"/>
              </w:rPr>
              <w:br/>
              <w:t xml:space="preserve"> meta VII:</w:t>
            </w:r>
            <w:r w:rsidR="00945E6F">
              <w:rPr>
                <w:i/>
                <w:iCs/>
                <w:color w:val="0000FF"/>
                <w:sz w:val="14"/>
                <w:szCs w:val="14"/>
                <w:lang w:val="es-ES_tradnl"/>
              </w:rPr>
              <w:tab/>
            </w:r>
            <w:r w:rsidR="00945E6F">
              <w:rPr>
                <w:i/>
                <w:iCs/>
                <w:color w:val="0000FF"/>
                <w:sz w:val="14"/>
                <w:szCs w:val="14"/>
                <w:lang w:val="es-ES_tradnl"/>
              </w:rPr>
              <w:tab/>
              <w:t>5.</w:t>
            </w:r>
            <w:r w:rsidR="00F91117">
              <w:rPr>
                <w:i/>
                <w:iCs/>
                <w:color w:val="0000FF"/>
                <w:sz w:val="14"/>
                <w:szCs w:val="14"/>
                <w:lang w:val="es-ES_tradnl"/>
              </w:rPr>
              <w:t>113</w:t>
            </w:r>
          </w:p>
        </w:tc>
      </w:tr>
      <w:tr w:rsidR="00230914" w:rsidRPr="003060BE" w:rsidTr="00FF362A">
        <w:trPr>
          <w:trHeight w:val="294"/>
        </w:trPr>
        <w:tc>
          <w:tcPr>
            <w:tcW w:w="387" w:type="dxa"/>
            <w:vMerge/>
            <w:tcBorders>
              <w:top w:val="single" w:sz="8" w:space="0" w:color="auto"/>
              <w:left w:val="single" w:sz="8" w:space="0" w:color="auto"/>
              <w:bottom w:val="single" w:sz="4" w:space="0" w:color="000000"/>
              <w:right w:val="nil"/>
            </w:tcBorders>
            <w:vAlign w:val="center"/>
          </w:tcPr>
          <w:p w:rsidR="00230914" w:rsidRPr="003060BE" w:rsidRDefault="00230914" w:rsidP="00FF362A">
            <w:pPr>
              <w:tabs>
                <w:tab w:val="right" w:pos="2835"/>
              </w:tabs>
              <w:rPr>
                <w:b/>
                <w:bCs/>
                <w:sz w:val="16"/>
                <w:szCs w:val="16"/>
                <w:lang w:val="es-ES_tradnl"/>
              </w:rPr>
            </w:pPr>
          </w:p>
        </w:tc>
        <w:tc>
          <w:tcPr>
            <w:tcW w:w="21292" w:type="dxa"/>
            <w:gridSpan w:val="8"/>
            <w:tcBorders>
              <w:top w:val="single" w:sz="4" w:space="0" w:color="auto"/>
              <w:left w:val="single" w:sz="4" w:space="0" w:color="auto"/>
              <w:bottom w:val="single" w:sz="4" w:space="0" w:color="auto"/>
              <w:right w:val="single" w:sz="4" w:space="0" w:color="000000"/>
            </w:tcBorders>
            <w:shd w:val="clear" w:color="auto" w:fill="CCFFFF"/>
            <w:vAlign w:val="center"/>
          </w:tcPr>
          <w:p w:rsidR="00230914" w:rsidRPr="003060BE" w:rsidRDefault="00230914" w:rsidP="00FF362A">
            <w:pPr>
              <w:tabs>
                <w:tab w:val="right" w:pos="2835"/>
              </w:tabs>
              <w:jc w:val="center"/>
              <w:rPr>
                <w:b/>
                <w:bCs/>
                <w:sz w:val="16"/>
                <w:szCs w:val="16"/>
              </w:rPr>
            </w:pPr>
            <w:r w:rsidRPr="003060BE">
              <w:rPr>
                <w:b/>
                <w:bCs/>
                <w:sz w:val="16"/>
                <w:szCs w:val="16"/>
                <w:lang w:val="es-ES_tradnl"/>
              </w:rPr>
              <w:t>Meta estratégica IX - Estructura eficiente de apoyo administrativo y financiero que facilite la ejecución de los programas de la OMPI</w:t>
            </w:r>
          </w:p>
        </w:tc>
      </w:tr>
      <w:tr w:rsidR="00230914" w:rsidRPr="003060BE" w:rsidTr="00237451">
        <w:trPr>
          <w:trHeight w:val="1317"/>
        </w:trPr>
        <w:tc>
          <w:tcPr>
            <w:tcW w:w="387" w:type="dxa"/>
            <w:vMerge/>
            <w:tcBorders>
              <w:top w:val="single" w:sz="8" w:space="0" w:color="auto"/>
              <w:left w:val="single" w:sz="8" w:space="0" w:color="auto"/>
              <w:bottom w:val="single" w:sz="4" w:space="0" w:color="000000"/>
              <w:right w:val="nil"/>
            </w:tcBorders>
            <w:vAlign w:val="center"/>
          </w:tcPr>
          <w:p w:rsidR="00230914" w:rsidRPr="003060BE" w:rsidRDefault="00230914" w:rsidP="00FF362A">
            <w:pPr>
              <w:tabs>
                <w:tab w:val="right" w:pos="2835"/>
              </w:tabs>
              <w:rPr>
                <w:b/>
                <w:bCs/>
                <w:sz w:val="16"/>
                <w:szCs w:val="16"/>
              </w:rPr>
            </w:pPr>
          </w:p>
        </w:tc>
        <w:tc>
          <w:tcPr>
            <w:tcW w:w="3040" w:type="dxa"/>
            <w:tcBorders>
              <w:top w:val="nil"/>
              <w:left w:val="single" w:sz="4" w:space="0" w:color="auto"/>
              <w:bottom w:val="single" w:sz="4" w:space="0" w:color="auto"/>
              <w:right w:val="nil"/>
            </w:tcBorders>
            <w:shd w:val="clear" w:color="auto" w:fill="auto"/>
          </w:tcPr>
          <w:p w:rsidR="00230914" w:rsidRPr="003060BE" w:rsidRDefault="00230914" w:rsidP="00FF362A">
            <w:pPr>
              <w:tabs>
                <w:tab w:val="left" w:pos="1525"/>
                <w:tab w:val="right" w:pos="2835"/>
              </w:tabs>
              <w:rPr>
                <w:sz w:val="15"/>
                <w:szCs w:val="15"/>
              </w:rPr>
            </w:pPr>
            <w:r w:rsidRPr="003060BE">
              <w:rPr>
                <w:sz w:val="15"/>
                <w:szCs w:val="15"/>
              </w:rPr>
              <w:br/>
            </w:r>
          </w:p>
        </w:tc>
        <w:tc>
          <w:tcPr>
            <w:tcW w:w="3041" w:type="dxa"/>
            <w:tcBorders>
              <w:top w:val="nil"/>
              <w:left w:val="nil"/>
              <w:bottom w:val="single" w:sz="4" w:space="0" w:color="auto"/>
              <w:right w:val="nil"/>
            </w:tcBorders>
            <w:shd w:val="clear" w:color="auto" w:fill="auto"/>
          </w:tcPr>
          <w:p w:rsidR="008D3CF3" w:rsidRPr="003060BE" w:rsidRDefault="008D3CF3" w:rsidP="008D3CF3">
            <w:pPr>
              <w:tabs>
                <w:tab w:val="left" w:pos="335"/>
                <w:tab w:val="left" w:pos="2173"/>
                <w:tab w:val="right" w:pos="2835"/>
              </w:tabs>
              <w:rPr>
                <w:i/>
                <w:iCs/>
                <w:sz w:val="14"/>
                <w:szCs w:val="14"/>
              </w:rPr>
            </w:pPr>
          </w:p>
          <w:p w:rsidR="00230914" w:rsidRPr="003060BE" w:rsidRDefault="00230914" w:rsidP="00FF362A">
            <w:pPr>
              <w:tabs>
                <w:tab w:val="right" w:pos="2835"/>
              </w:tabs>
              <w:rPr>
                <w:sz w:val="14"/>
                <w:szCs w:val="14"/>
              </w:rPr>
            </w:pPr>
            <w:r w:rsidRPr="003060BE">
              <w:rPr>
                <w:sz w:val="14"/>
                <w:szCs w:val="14"/>
                <w:lang w:val="es-ES_tradnl"/>
              </w:rPr>
              <w:t xml:space="preserve">IX.1. Servicios de </w:t>
            </w:r>
            <w:proofErr w:type="gramStart"/>
            <w:r w:rsidRPr="003060BE">
              <w:rPr>
                <w:sz w:val="14"/>
                <w:szCs w:val="14"/>
                <w:lang w:val="es-ES_tradnl"/>
              </w:rPr>
              <w:t>apoyo eficaces, eficientes, de calidad y orientados</w:t>
            </w:r>
            <w:proofErr w:type="gramEnd"/>
            <w:r w:rsidRPr="003060BE">
              <w:rPr>
                <w:sz w:val="14"/>
                <w:szCs w:val="14"/>
                <w:lang w:val="es-ES_tradnl"/>
              </w:rPr>
              <w:t xml:space="preserve"> al cliente, tanto a los clientes internos como a las partes interesadas externas.</w:t>
            </w:r>
            <w:r w:rsidRPr="003060BE">
              <w:rPr>
                <w:sz w:val="14"/>
                <w:szCs w:val="14"/>
              </w:rPr>
              <w:t xml:space="preserve"> </w:t>
            </w:r>
          </w:p>
          <w:p w:rsidR="00230914" w:rsidRDefault="00230914" w:rsidP="00FF362A">
            <w:pPr>
              <w:tabs>
                <w:tab w:val="left" w:pos="335"/>
                <w:tab w:val="left" w:pos="2173"/>
                <w:tab w:val="right" w:pos="2835"/>
              </w:tabs>
              <w:rPr>
                <w:i/>
                <w:iCs/>
                <w:sz w:val="14"/>
                <w:szCs w:val="14"/>
              </w:rPr>
            </w:pPr>
          </w:p>
          <w:p w:rsidR="00230914" w:rsidRPr="003060BE" w:rsidRDefault="00230914" w:rsidP="00FF362A">
            <w:pPr>
              <w:tabs>
                <w:tab w:val="left" w:pos="335"/>
                <w:tab w:val="left" w:pos="2173"/>
                <w:tab w:val="right" w:pos="2835"/>
              </w:tabs>
              <w:rPr>
                <w:i/>
                <w:iCs/>
                <w:sz w:val="14"/>
                <w:szCs w:val="14"/>
                <w:lang w:val="es-ES_tradnl"/>
              </w:rPr>
            </w:pPr>
            <w:r w:rsidRPr="003060BE">
              <w:rPr>
                <w:i/>
                <w:iCs/>
                <w:sz w:val="14"/>
                <w:szCs w:val="14"/>
              </w:rPr>
              <w:tab/>
            </w:r>
            <w:r w:rsidRPr="003060BE">
              <w:rPr>
                <w:i/>
                <w:iCs/>
                <w:sz w:val="14"/>
                <w:szCs w:val="14"/>
                <w:lang w:val="es-ES_tradnl"/>
              </w:rPr>
              <w:t>Pr</w:t>
            </w:r>
            <w:r w:rsidR="00616858">
              <w:rPr>
                <w:i/>
                <w:iCs/>
                <w:sz w:val="14"/>
                <w:szCs w:val="14"/>
                <w:lang w:val="es-ES_tradnl"/>
              </w:rPr>
              <w:t>esupuesto propuesto 14/15:</w:t>
            </w:r>
            <w:r w:rsidR="00616858">
              <w:rPr>
                <w:i/>
                <w:iCs/>
                <w:sz w:val="14"/>
                <w:szCs w:val="14"/>
                <w:lang w:val="es-ES_tradnl"/>
              </w:rPr>
              <w:tab/>
              <w:t>150.</w:t>
            </w:r>
            <w:r w:rsidR="002F43CD">
              <w:rPr>
                <w:i/>
                <w:iCs/>
                <w:sz w:val="14"/>
                <w:szCs w:val="14"/>
                <w:lang w:val="es-ES_tradnl"/>
              </w:rPr>
              <w:t>797</w:t>
            </w:r>
          </w:p>
          <w:p w:rsidR="00230914" w:rsidRPr="003060BE" w:rsidRDefault="00230914" w:rsidP="008D3CF3">
            <w:pPr>
              <w:tabs>
                <w:tab w:val="left" w:pos="335"/>
                <w:tab w:val="left" w:pos="1525"/>
                <w:tab w:val="right" w:pos="2835"/>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color w:val="0000FF"/>
                <w:sz w:val="14"/>
                <w:szCs w:val="14"/>
                <w:lang w:val="es-ES_tradnl"/>
              </w:rPr>
              <w:tab/>
              <w:t>-</w:t>
            </w:r>
          </w:p>
        </w:tc>
        <w:tc>
          <w:tcPr>
            <w:tcW w:w="3043" w:type="dxa"/>
            <w:tcBorders>
              <w:top w:val="nil"/>
              <w:left w:val="nil"/>
              <w:bottom w:val="single" w:sz="4" w:space="0" w:color="auto"/>
              <w:right w:val="nil"/>
            </w:tcBorders>
            <w:shd w:val="clear" w:color="auto" w:fill="auto"/>
          </w:tcPr>
          <w:p w:rsidR="008D3CF3" w:rsidRPr="003060BE" w:rsidRDefault="008D3CF3" w:rsidP="008D3CF3">
            <w:pPr>
              <w:tabs>
                <w:tab w:val="left" w:pos="335"/>
                <w:tab w:val="left" w:pos="2173"/>
                <w:tab w:val="right" w:pos="2835"/>
              </w:tabs>
              <w:rPr>
                <w:i/>
                <w:iCs/>
                <w:sz w:val="14"/>
                <w:szCs w:val="14"/>
              </w:rPr>
            </w:pPr>
          </w:p>
          <w:p w:rsidR="00230914" w:rsidRPr="003060BE" w:rsidRDefault="00230914" w:rsidP="00FF362A">
            <w:pPr>
              <w:tabs>
                <w:tab w:val="right" w:pos="2835"/>
              </w:tabs>
              <w:rPr>
                <w:sz w:val="14"/>
                <w:szCs w:val="14"/>
              </w:rPr>
            </w:pPr>
            <w:r w:rsidRPr="003060BE">
              <w:rPr>
                <w:sz w:val="14"/>
                <w:szCs w:val="14"/>
                <w:lang w:val="es-ES_tradnl"/>
              </w:rPr>
              <w:t xml:space="preserve">IX.2. Funcionamiento ágil y sin contratiempos de la Secretaría, provista de un personal bien dirigido, dotado de </w:t>
            </w:r>
            <w:proofErr w:type="gramStart"/>
            <w:r w:rsidRPr="003060BE">
              <w:rPr>
                <w:sz w:val="14"/>
                <w:szCs w:val="14"/>
                <w:lang w:val="es-ES_tradnl"/>
              </w:rPr>
              <w:t>las competencias adecuadas y capaz</w:t>
            </w:r>
            <w:proofErr w:type="gramEnd"/>
            <w:r w:rsidRPr="003060BE">
              <w:rPr>
                <w:sz w:val="14"/>
                <w:szCs w:val="14"/>
                <w:lang w:val="es-ES_tradnl"/>
              </w:rPr>
              <w:t xml:space="preserve"> de conseguir resultados.</w:t>
            </w:r>
            <w:r w:rsidRPr="003060BE">
              <w:rPr>
                <w:sz w:val="14"/>
                <w:szCs w:val="14"/>
              </w:rPr>
              <w:t xml:space="preserve"> </w:t>
            </w:r>
          </w:p>
          <w:p w:rsidR="008D3CF3" w:rsidRPr="003060BE" w:rsidRDefault="008D3CF3" w:rsidP="00FF362A">
            <w:pPr>
              <w:tabs>
                <w:tab w:val="left" w:pos="325"/>
                <w:tab w:val="left" w:pos="2189"/>
                <w:tab w:val="right" w:pos="2835"/>
              </w:tabs>
              <w:rPr>
                <w:i/>
                <w:iCs/>
                <w:sz w:val="14"/>
                <w:szCs w:val="14"/>
              </w:rPr>
            </w:pPr>
          </w:p>
          <w:p w:rsidR="00230914" w:rsidRPr="003060BE" w:rsidRDefault="00230914" w:rsidP="00FF362A">
            <w:pPr>
              <w:tabs>
                <w:tab w:val="left" w:pos="325"/>
                <w:tab w:val="left" w:pos="2189"/>
                <w:tab w:val="right" w:pos="2835"/>
              </w:tabs>
              <w:rPr>
                <w:i/>
                <w:iCs/>
                <w:sz w:val="14"/>
                <w:szCs w:val="14"/>
              </w:rPr>
            </w:pPr>
            <w:r w:rsidRPr="003060BE">
              <w:rPr>
                <w:i/>
                <w:iCs/>
                <w:sz w:val="14"/>
                <w:szCs w:val="14"/>
              </w:rPr>
              <w:tab/>
              <w:t>Presupuesto propuesto 14/15:</w:t>
            </w:r>
            <w:r w:rsidRPr="003060BE">
              <w:rPr>
                <w:i/>
                <w:iCs/>
                <w:sz w:val="14"/>
                <w:szCs w:val="14"/>
              </w:rPr>
              <w:tab/>
              <w:t>36.</w:t>
            </w:r>
            <w:r w:rsidR="002F43CD">
              <w:rPr>
                <w:i/>
                <w:iCs/>
                <w:sz w:val="14"/>
                <w:szCs w:val="14"/>
              </w:rPr>
              <w:t>603</w:t>
            </w:r>
            <w:r w:rsidRPr="003060BE">
              <w:rPr>
                <w:i/>
                <w:iCs/>
                <w:sz w:val="14"/>
                <w:szCs w:val="14"/>
              </w:rPr>
              <w:tab/>
            </w:r>
          </w:p>
          <w:p w:rsidR="00230914" w:rsidRPr="003060BE" w:rsidRDefault="00230914" w:rsidP="00FF362A">
            <w:pPr>
              <w:tabs>
                <w:tab w:val="left" w:pos="338"/>
                <w:tab w:val="left" w:pos="1525"/>
                <w:tab w:val="right" w:pos="2835"/>
              </w:tabs>
              <w:rPr>
                <w:sz w:val="14"/>
                <w:szCs w:val="14"/>
              </w:rPr>
            </w:pPr>
            <w:r w:rsidRPr="003060BE">
              <w:rPr>
                <w:i/>
                <w:iCs/>
                <w:sz w:val="14"/>
                <w:szCs w:val="14"/>
              </w:rPr>
              <w:tab/>
            </w:r>
            <w:r w:rsidRPr="003060BE">
              <w:rPr>
                <w:i/>
                <w:iCs/>
                <w:color w:val="0000FF"/>
                <w:sz w:val="14"/>
                <w:szCs w:val="14"/>
                <w:lang w:val="es-ES_tradnl"/>
              </w:rPr>
              <w:t>Cuota de desarrollo:</w:t>
            </w:r>
            <w:r w:rsidRPr="003060BE">
              <w:rPr>
                <w:i/>
                <w:iCs/>
                <w:sz w:val="14"/>
                <w:szCs w:val="14"/>
              </w:rPr>
              <w:tab/>
            </w:r>
            <w:r w:rsidRPr="003060BE">
              <w:rPr>
                <w:i/>
                <w:iCs/>
                <w:color w:val="0000FF"/>
                <w:sz w:val="14"/>
                <w:szCs w:val="14"/>
              </w:rPr>
              <w:t>-</w:t>
            </w:r>
          </w:p>
        </w:tc>
        <w:tc>
          <w:tcPr>
            <w:tcW w:w="3041" w:type="dxa"/>
            <w:tcBorders>
              <w:top w:val="nil"/>
              <w:left w:val="nil"/>
              <w:bottom w:val="single" w:sz="4" w:space="0" w:color="auto"/>
              <w:right w:val="nil"/>
            </w:tcBorders>
            <w:shd w:val="clear" w:color="auto" w:fill="auto"/>
          </w:tcPr>
          <w:p w:rsidR="008D3CF3" w:rsidRPr="003060BE" w:rsidRDefault="008D3CF3" w:rsidP="008D3CF3">
            <w:pPr>
              <w:tabs>
                <w:tab w:val="left" w:pos="335"/>
                <w:tab w:val="left" w:pos="2173"/>
                <w:tab w:val="right" w:pos="2835"/>
              </w:tabs>
              <w:rPr>
                <w:i/>
                <w:iCs/>
                <w:sz w:val="14"/>
                <w:szCs w:val="14"/>
              </w:rPr>
            </w:pPr>
          </w:p>
          <w:p w:rsidR="00230914" w:rsidRPr="003060BE" w:rsidRDefault="00230914" w:rsidP="00FF362A">
            <w:pPr>
              <w:tabs>
                <w:tab w:val="left" w:pos="1525"/>
                <w:tab w:val="right" w:pos="2835"/>
              </w:tabs>
              <w:rPr>
                <w:sz w:val="14"/>
                <w:szCs w:val="14"/>
              </w:rPr>
            </w:pPr>
            <w:r w:rsidRPr="003060BE">
              <w:rPr>
                <w:sz w:val="14"/>
                <w:szCs w:val="14"/>
                <w:lang w:val="es-ES_tradnl"/>
              </w:rPr>
              <w:t xml:space="preserve">IX.3. Entorno de trabajo propicio basado en un marco </w:t>
            </w:r>
            <w:r w:rsidR="009A045F">
              <w:rPr>
                <w:sz w:val="14"/>
                <w:szCs w:val="14"/>
                <w:lang w:val="es-ES_tradnl"/>
              </w:rPr>
              <w:t>reglamentario</w:t>
            </w:r>
            <w:r w:rsidR="009A045F" w:rsidRPr="003060BE">
              <w:rPr>
                <w:sz w:val="14"/>
                <w:szCs w:val="14"/>
                <w:lang w:val="es-ES_tradnl"/>
              </w:rPr>
              <w:t xml:space="preserve"> </w:t>
            </w:r>
            <w:r w:rsidRPr="003060BE">
              <w:rPr>
                <w:sz w:val="14"/>
                <w:szCs w:val="14"/>
                <w:lang w:val="es-ES_tradnl"/>
              </w:rPr>
              <w:t>eficaz y me</w:t>
            </w:r>
            <w:r w:rsidR="008613B0">
              <w:rPr>
                <w:sz w:val="14"/>
                <w:szCs w:val="14"/>
                <w:lang w:val="es-ES_tradnl"/>
              </w:rPr>
              <w:t xml:space="preserve">dios adecuados para atender los temas de interés </w:t>
            </w:r>
            <w:r w:rsidRPr="003060BE">
              <w:rPr>
                <w:sz w:val="14"/>
                <w:szCs w:val="14"/>
                <w:lang w:val="es-ES_tradnl"/>
              </w:rPr>
              <w:t>del personal.</w:t>
            </w:r>
          </w:p>
          <w:p w:rsidR="008D3CF3" w:rsidRPr="003060BE" w:rsidRDefault="008D3CF3" w:rsidP="00FF362A">
            <w:pPr>
              <w:tabs>
                <w:tab w:val="left" w:pos="378"/>
                <w:tab w:val="left" w:pos="2205"/>
                <w:tab w:val="right" w:pos="2835"/>
              </w:tabs>
              <w:rPr>
                <w:i/>
                <w:iCs/>
                <w:sz w:val="14"/>
                <w:szCs w:val="14"/>
              </w:rPr>
            </w:pPr>
          </w:p>
          <w:p w:rsidR="00230914" w:rsidRPr="003060BE" w:rsidRDefault="00230914" w:rsidP="00FF362A">
            <w:pPr>
              <w:tabs>
                <w:tab w:val="left" w:pos="378"/>
                <w:tab w:val="left" w:pos="2205"/>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2.971</w:t>
            </w:r>
            <w:r w:rsidRPr="003060BE">
              <w:rPr>
                <w:i/>
                <w:iCs/>
                <w:sz w:val="14"/>
                <w:szCs w:val="14"/>
                <w:lang w:val="es-ES_tradnl"/>
              </w:rPr>
              <w:tab/>
            </w:r>
          </w:p>
          <w:p w:rsidR="00230914" w:rsidRPr="003060BE" w:rsidRDefault="00230914" w:rsidP="008D3CF3">
            <w:pPr>
              <w:tabs>
                <w:tab w:val="left" w:pos="366"/>
                <w:tab w:val="right" w:pos="2835"/>
              </w:tabs>
              <w:rPr>
                <w:i/>
                <w:iCs/>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w:t>
            </w:r>
          </w:p>
        </w:tc>
        <w:tc>
          <w:tcPr>
            <w:tcW w:w="3040" w:type="dxa"/>
            <w:tcBorders>
              <w:top w:val="nil"/>
              <w:left w:val="nil"/>
              <w:bottom w:val="single" w:sz="4" w:space="0" w:color="auto"/>
              <w:right w:val="nil"/>
            </w:tcBorders>
            <w:shd w:val="clear" w:color="auto" w:fill="auto"/>
          </w:tcPr>
          <w:p w:rsidR="008D3CF3" w:rsidRPr="003060BE" w:rsidRDefault="008D3CF3" w:rsidP="008D3CF3">
            <w:pPr>
              <w:tabs>
                <w:tab w:val="left" w:pos="335"/>
                <w:tab w:val="left" w:pos="2173"/>
                <w:tab w:val="right" w:pos="2835"/>
              </w:tabs>
              <w:rPr>
                <w:i/>
                <w:iCs/>
                <w:sz w:val="14"/>
                <w:szCs w:val="14"/>
              </w:rPr>
            </w:pPr>
          </w:p>
          <w:p w:rsidR="00230914" w:rsidRPr="003060BE" w:rsidRDefault="00230914" w:rsidP="00FF362A">
            <w:pPr>
              <w:tabs>
                <w:tab w:val="right" w:pos="2835"/>
              </w:tabs>
              <w:rPr>
                <w:sz w:val="14"/>
                <w:szCs w:val="14"/>
              </w:rPr>
            </w:pPr>
            <w:r w:rsidRPr="003060BE">
              <w:rPr>
                <w:sz w:val="14"/>
                <w:szCs w:val="14"/>
                <w:lang w:val="es-ES_tradnl"/>
              </w:rPr>
              <w:t>IX.4. Una Organización responsable con el medio ambiente y la sociedad en la que se garantiza la seguridad del personal de la OMPI, los delegados, los visitantes, la información y los activos físicos.</w:t>
            </w:r>
          </w:p>
          <w:p w:rsidR="00230914" w:rsidRPr="003060BE" w:rsidRDefault="00230914" w:rsidP="00FF362A">
            <w:pPr>
              <w:tabs>
                <w:tab w:val="left" w:pos="368"/>
                <w:tab w:val="left" w:pos="2221"/>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13.992</w:t>
            </w:r>
            <w:r w:rsidRPr="003060BE">
              <w:rPr>
                <w:i/>
                <w:iCs/>
                <w:sz w:val="14"/>
                <w:szCs w:val="14"/>
                <w:lang w:val="es-ES_tradnl"/>
              </w:rPr>
              <w:tab/>
            </w:r>
          </w:p>
          <w:p w:rsidR="00230914" w:rsidRPr="003060BE" w:rsidRDefault="00230914" w:rsidP="008D3CF3">
            <w:pPr>
              <w:tabs>
                <w:tab w:val="left" w:pos="356"/>
                <w:tab w:val="left" w:pos="1525"/>
                <w:tab w:val="right" w:pos="2835"/>
              </w:tabs>
              <w:rPr>
                <w:i/>
                <w:iCs/>
                <w:sz w:val="14"/>
                <w:szCs w:val="14"/>
                <w:lang w:val="es-ES_tradnl"/>
              </w:rPr>
            </w:pPr>
            <w:r w:rsidRPr="003060BE">
              <w:rPr>
                <w:i/>
                <w:iCs/>
                <w:sz w:val="14"/>
                <w:szCs w:val="14"/>
                <w:lang w:val="es-ES_tradnl"/>
              </w:rPr>
              <w:tab/>
            </w:r>
            <w:r w:rsidRPr="003060BE">
              <w:rPr>
                <w:iCs/>
                <w:color w:val="0000FF"/>
                <w:sz w:val="14"/>
                <w:szCs w:val="14"/>
                <w:lang w:val="es-ES_tradnl"/>
              </w:rPr>
              <w:t>Cuota de desarrollo:</w:t>
            </w:r>
            <w:r w:rsidRPr="003060BE">
              <w:rPr>
                <w:sz w:val="14"/>
                <w:szCs w:val="14"/>
                <w:lang w:val="es-ES_tradnl"/>
              </w:rPr>
              <w:t xml:space="preserve"> </w:t>
            </w:r>
            <w:r w:rsidRPr="003060BE">
              <w:rPr>
                <w:sz w:val="14"/>
                <w:szCs w:val="14"/>
                <w:lang w:val="es-ES_tradnl"/>
              </w:rPr>
              <w:tab/>
            </w:r>
            <w:r w:rsidRPr="003060BE">
              <w:rPr>
                <w:color w:val="0000FF"/>
                <w:sz w:val="14"/>
                <w:szCs w:val="14"/>
                <w:lang w:val="es-ES_tradnl"/>
              </w:rPr>
              <w:t>-</w:t>
            </w:r>
          </w:p>
        </w:tc>
        <w:tc>
          <w:tcPr>
            <w:tcW w:w="3041" w:type="dxa"/>
            <w:gridSpan w:val="2"/>
            <w:tcBorders>
              <w:top w:val="nil"/>
              <w:left w:val="nil"/>
              <w:bottom w:val="single" w:sz="4" w:space="0" w:color="auto"/>
              <w:right w:val="nil"/>
            </w:tcBorders>
            <w:shd w:val="clear" w:color="auto" w:fill="auto"/>
          </w:tcPr>
          <w:p w:rsidR="008D3CF3" w:rsidRPr="003060BE" w:rsidRDefault="008D3CF3" w:rsidP="008D3CF3">
            <w:pPr>
              <w:tabs>
                <w:tab w:val="left" w:pos="335"/>
                <w:tab w:val="left" w:pos="2173"/>
                <w:tab w:val="right" w:pos="2835"/>
              </w:tabs>
              <w:rPr>
                <w:i/>
                <w:iCs/>
                <w:sz w:val="14"/>
                <w:szCs w:val="14"/>
              </w:rPr>
            </w:pPr>
          </w:p>
          <w:p w:rsidR="00230914" w:rsidRPr="003060BE" w:rsidRDefault="00230914" w:rsidP="00FF362A">
            <w:pPr>
              <w:rPr>
                <w:sz w:val="14"/>
                <w:szCs w:val="14"/>
                <w:lang w:val="es-ES_tradnl"/>
              </w:rPr>
            </w:pPr>
            <w:r w:rsidRPr="003060BE">
              <w:rPr>
                <w:sz w:val="14"/>
                <w:szCs w:val="14"/>
                <w:lang w:val="es-ES_tradnl"/>
              </w:rPr>
              <w:t>IX.8. Mejor rendición de cuentas, aprendizaje institucional, uso óptimo de los recursos, administración, control interno y buen gobierno gracias a la asistencia que proporciona una supervisión eficaz e independiente.</w:t>
            </w:r>
          </w:p>
          <w:p w:rsidR="00230914" w:rsidRPr="003060BE" w:rsidRDefault="00230914" w:rsidP="00FF362A">
            <w:pPr>
              <w:tabs>
                <w:tab w:val="left" w:pos="412"/>
                <w:tab w:val="left" w:pos="2237"/>
                <w:tab w:val="right" w:pos="2835"/>
              </w:tabs>
              <w:rPr>
                <w:i/>
                <w:iCs/>
                <w:sz w:val="14"/>
                <w:szCs w:val="14"/>
                <w:lang w:val="es-ES_tradnl"/>
              </w:rPr>
            </w:pPr>
            <w:r w:rsidRPr="003060BE">
              <w:rPr>
                <w:i/>
                <w:iCs/>
                <w:sz w:val="14"/>
                <w:szCs w:val="14"/>
              </w:rPr>
              <w:tab/>
            </w:r>
            <w:r w:rsidRPr="003060BE">
              <w:rPr>
                <w:i/>
                <w:iCs/>
                <w:sz w:val="14"/>
                <w:szCs w:val="14"/>
                <w:lang w:val="es-ES_tradnl"/>
              </w:rPr>
              <w:t>Presupuesto propuesto 14/15:</w:t>
            </w:r>
            <w:r w:rsidRPr="003060BE">
              <w:rPr>
                <w:i/>
                <w:iCs/>
                <w:sz w:val="14"/>
                <w:szCs w:val="14"/>
                <w:lang w:val="es-ES_tradnl"/>
              </w:rPr>
              <w:tab/>
              <w:t>6.641</w:t>
            </w:r>
            <w:r w:rsidRPr="003060BE">
              <w:rPr>
                <w:i/>
                <w:iCs/>
                <w:sz w:val="14"/>
                <w:szCs w:val="14"/>
                <w:lang w:val="es-ES_tradnl"/>
              </w:rPr>
              <w:tab/>
            </w:r>
          </w:p>
          <w:p w:rsidR="00230914" w:rsidRPr="003060BE" w:rsidRDefault="00230914" w:rsidP="008D3CF3">
            <w:pPr>
              <w:tabs>
                <w:tab w:val="left" w:pos="424"/>
                <w:tab w:val="left" w:pos="2237"/>
                <w:tab w:val="right" w:pos="2835"/>
              </w:tabs>
              <w:rPr>
                <w:sz w:val="14"/>
                <w:szCs w:val="14"/>
                <w:lang w:val="es-ES_tradnl"/>
              </w:rPr>
            </w:pPr>
            <w:r w:rsidRPr="003060BE">
              <w:rPr>
                <w:i/>
                <w:iCs/>
                <w:sz w:val="14"/>
                <w:szCs w:val="14"/>
                <w:lang w:val="es-ES_tradnl"/>
              </w:rPr>
              <w:tab/>
            </w:r>
            <w:r w:rsidRPr="003060BE">
              <w:rPr>
                <w:i/>
                <w:iCs/>
                <w:color w:val="0000FF"/>
                <w:sz w:val="14"/>
                <w:szCs w:val="14"/>
                <w:lang w:val="es-ES_tradnl"/>
              </w:rPr>
              <w:t>Cuota de desarrollo:</w:t>
            </w:r>
            <w:r w:rsidRPr="003060BE">
              <w:rPr>
                <w:i/>
                <w:iCs/>
                <w:sz w:val="14"/>
                <w:szCs w:val="14"/>
                <w:lang w:val="es-ES_tradnl"/>
              </w:rPr>
              <w:tab/>
            </w:r>
            <w:r w:rsidRPr="003060BE">
              <w:rPr>
                <w:i/>
                <w:iCs/>
                <w:color w:val="0000FF"/>
                <w:sz w:val="14"/>
                <w:szCs w:val="14"/>
                <w:lang w:val="es-ES_tradnl"/>
              </w:rPr>
              <w:tab/>
              <w:t>937</w:t>
            </w:r>
          </w:p>
        </w:tc>
        <w:tc>
          <w:tcPr>
            <w:tcW w:w="3046" w:type="dxa"/>
            <w:tcBorders>
              <w:top w:val="nil"/>
              <w:left w:val="nil"/>
              <w:bottom w:val="single" w:sz="4" w:space="0" w:color="auto"/>
              <w:right w:val="single" w:sz="4" w:space="0" w:color="auto"/>
            </w:tcBorders>
            <w:shd w:val="clear" w:color="auto" w:fill="auto"/>
          </w:tcPr>
          <w:p w:rsidR="00230914" w:rsidRPr="003060BE" w:rsidRDefault="00230914" w:rsidP="00FF362A">
            <w:pPr>
              <w:tabs>
                <w:tab w:val="left" w:pos="2040"/>
                <w:tab w:val="right" w:pos="2835"/>
              </w:tabs>
              <w:rPr>
                <w:i/>
                <w:iCs/>
                <w:sz w:val="14"/>
                <w:szCs w:val="14"/>
                <w:lang w:val="es-ES_tradnl"/>
              </w:rPr>
            </w:pPr>
          </w:p>
          <w:p w:rsidR="00230914" w:rsidRPr="003060BE" w:rsidRDefault="00230914" w:rsidP="00FF362A">
            <w:pPr>
              <w:tabs>
                <w:tab w:val="left" w:pos="2040"/>
                <w:tab w:val="right" w:pos="2835"/>
              </w:tabs>
              <w:rPr>
                <w:i/>
                <w:iCs/>
                <w:sz w:val="14"/>
                <w:szCs w:val="14"/>
                <w:lang w:val="es-ES_tradnl"/>
              </w:rPr>
            </w:pPr>
          </w:p>
          <w:p w:rsidR="00230914" w:rsidRPr="003060BE" w:rsidRDefault="00230914" w:rsidP="00FF362A">
            <w:pPr>
              <w:tabs>
                <w:tab w:val="left" w:pos="2253"/>
                <w:tab w:val="right" w:pos="2835"/>
              </w:tabs>
              <w:rPr>
                <w:i/>
                <w:iCs/>
                <w:sz w:val="14"/>
                <w:szCs w:val="14"/>
                <w:lang w:val="es-ES_tradnl"/>
              </w:rPr>
            </w:pPr>
            <w:r w:rsidRPr="003060BE">
              <w:rPr>
                <w:i/>
                <w:iCs/>
                <w:sz w:val="14"/>
                <w:szCs w:val="14"/>
                <w:lang w:val="es-ES_tradnl"/>
              </w:rPr>
              <w:t>Total del presupu</w:t>
            </w:r>
            <w:r w:rsidR="00945E6F">
              <w:rPr>
                <w:i/>
                <w:iCs/>
                <w:sz w:val="14"/>
                <w:szCs w:val="14"/>
                <w:lang w:val="es-ES_tradnl"/>
              </w:rPr>
              <w:t>esto propuesto,</w:t>
            </w:r>
            <w:r w:rsidR="00945E6F">
              <w:rPr>
                <w:i/>
                <w:iCs/>
                <w:sz w:val="14"/>
                <w:szCs w:val="14"/>
                <w:lang w:val="es-ES_tradnl"/>
              </w:rPr>
              <w:br/>
              <w:t xml:space="preserve"> meta IX:</w:t>
            </w:r>
            <w:r w:rsidR="00945E6F">
              <w:rPr>
                <w:i/>
                <w:iCs/>
                <w:sz w:val="14"/>
                <w:szCs w:val="14"/>
                <w:lang w:val="es-ES_tradnl"/>
              </w:rPr>
              <w:tab/>
            </w:r>
            <w:r w:rsidR="00945E6F">
              <w:rPr>
                <w:i/>
                <w:iCs/>
                <w:sz w:val="14"/>
                <w:szCs w:val="14"/>
                <w:lang w:val="es-ES_tradnl"/>
              </w:rPr>
              <w:tab/>
              <w:t>21</w:t>
            </w:r>
            <w:r w:rsidR="00F91117">
              <w:rPr>
                <w:i/>
                <w:iCs/>
                <w:sz w:val="14"/>
                <w:szCs w:val="14"/>
                <w:lang w:val="es-ES_tradnl"/>
              </w:rPr>
              <w:t>1.004</w:t>
            </w:r>
          </w:p>
          <w:p w:rsidR="00230914" w:rsidRPr="003060BE" w:rsidRDefault="00230914" w:rsidP="00FF362A">
            <w:pPr>
              <w:tabs>
                <w:tab w:val="left" w:pos="2040"/>
                <w:tab w:val="right" w:pos="2835"/>
              </w:tabs>
              <w:rPr>
                <w:color w:val="0000FF"/>
                <w:sz w:val="14"/>
                <w:szCs w:val="14"/>
                <w:lang w:val="es-ES_tradnl"/>
              </w:rPr>
            </w:pPr>
            <w:r w:rsidRPr="003060BE">
              <w:rPr>
                <w:i/>
                <w:iCs/>
                <w:color w:val="0000FF"/>
                <w:sz w:val="14"/>
                <w:szCs w:val="14"/>
                <w:lang w:val="es-ES_tradnl"/>
              </w:rPr>
              <w:t>Total de la cuota de desarrollo,</w:t>
            </w:r>
            <w:r w:rsidRPr="003060BE">
              <w:rPr>
                <w:i/>
                <w:iCs/>
                <w:color w:val="0000FF"/>
                <w:sz w:val="14"/>
                <w:szCs w:val="14"/>
                <w:lang w:val="es-ES_tradnl"/>
              </w:rPr>
              <w:br/>
              <w:t xml:space="preserve"> meta IX:</w:t>
            </w:r>
            <w:r w:rsidRPr="003060BE">
              <w:rPr>
                <w:i/>
                <w:iCs/>
                <w:color w:val="0000FF"/>
                <w:sz w:val="14"/>
                <w:szCs w:val="14"/>
                <w:lang w:val="es-ES_tradnl"/>
              </w:rPr>
              <w:tab/>
            </w:r>
            <w:r w:rsidRPr="003060BE">
              <w:rPr>
                <w:i/>
                <w:iCs/>
                <w:color w:val="0000FF"/>
                <w:sz w:val="14"/>
                <w:szCs w:val="14"/>
                <w:lang w:val="es-ES_tradnl"/>
              </w:rPr>
              <w:tab/>
              <w:t>937</w:t>
            </w:r>
          </w:p>
        </w:tc>
      </w:tr>
      <w:tr w:rsidR="00230914" w:rsidRPr="00A221AA" w:rsidTr="00FF362A">
        <w:trPr>
          <w:trHeight w:val="684"/>
        </w:trPr>
        <w:tc>
          <w:tcPr>
            <w:tcW w:w="387" w:type="dxa"/>
            <w:tcBorders>
              <w:top w:val="nil"/>
              <w:left w:val="nil"/>
              <w:bottom w:val="nil"/>
              <w:right w:val="nil"/>
            </w:tcBorders>
            <w:shd w:val="clear" w:color="auto" w:fill="auto"/>
            <w:noWrap/>
            <w:vAlign w:val="bottom"/>
          </w:tcPr>
          <w:p w:rsidR="00230914" w:rsidRPr="003060BE" w:rsidRDefault="00230914" w:rsidP="00FF362A">
            <w:pPr>
              <w:tabs>
                <w:tab w:val="right" w:pos="2835"/>
              </w:tabs>
              <w:rPr>
                <w:sz w:val="16"/>
                <w:szCs w:val="16"/>
                <w:lang w:val="es-ES_tradnl"/>
              </w:rPr>
            </w:pPr>
          </w:p>
        </w:tc>
        <w:tc>
          <w:tcPr>
            <w:tcW w:w="9124" w:type="dxa"/>
            <w:gridSpan w:val="3"/>
            <w:tcBorders>
              <w:top w:val="single" w:sz="4" w:space="0" w:color="auto"/>
              <w:left w:val="nil"/>
              <w:bottom w:val="nil"/>
              <w:right w:val="nil"/>
            </w:tcBorders>
            <w:shd w:val="clear" w:color="auto" w:fill="auto"/>
            <w:vAlign w:val="center"/>
          </w:tcPr>
          <w:p w:rsidR="00230914" w:rsidRPr="002F43CD" w:rsidRDefault="00230914" w:rsidP="00FF362A">
            <w:pPr>
              <w:tabs>
                <w:tab w:val="right" w:pos="2835"/>
              </w:tabs>
              <w:rPr>
                <w:i/>
                <w:iCs/>
                <w:sz w:val="12"/>
                <w:szCs w:val="12"/>
              </w:rPr>
            </w:pPr>
            <w:r w:rsidRPr="002F43CD">
              <w:rPr>
                <w:i/>
                <w:iCs/>
                <w:sz w:val="12"/>
                <w:szCs w:val="12"/>
                <w:lang w:val="es-ES_tradnl"/>
              </w:rPr>
              <w:t>1 En la propuesta de presupuesto por resultados no aparece el importe correspondiente a fondos sin consignar</w:t>
            </w:r>
            <w:proofErr w:type="gramStart"/>
            <w:r w:rsidRPr="002F43CD">
              <w:rPr>
                <w:i/>
                <w:iCs/>
                <w:sz w:val="12"/>
                <w:szCs w:val="12"/>
                <w:lang w:val="es-ES_tradnl"/>
              </w:rPr>
              <w:t xml:space="preserve">:  </w:t>
            </w:r>
            <w:r w:rsidR="002F43CD" w:rsidRPr="002F43CD">
              <w:rPr>
                <w:i/>
                <w:iCs/>
                <w:sz w:val="12"/>
                <w:szCs w:val="12"/>
                <w:lang w:val="es-ES_tradnl"/>
              </w:rPr>
              <w:t>3</w:t>
            </w:r>
            <w:r w:rsidRPr="002F43CD">
              <w:rPr>
                <w:i/>
                <w:iCs/>
                <w:sz w:val="12"/>
                <w:szCs w:val="12"/>
                <w:lang w:val="es-ES_tradnl"/>
              </w:rPr>
              <w:t>.</w:t>
            </w:r>
            <w:r w:rsidR="002F43CD" w:rsidRPr="002F43CD">
              <w:rPr>
                <w:i/>
                <w:iCs/>
                <w:sz w:val="12"/>
                <w:szCs w:val="12"/>
                <w:lang w:val="es-ES_tradnl"/>
              </w:rPr>
              <w:t>8</w:t>
            </w:r>
            <w:r w:rsidRPr="002F43CD">
              <w:rPr>
                <w:i/>
                <w:iCs/>
                <w:sz w:val="12"/>
                <w:szCs w:val="12"/>
                <w:lang w:val="es-ES_tradnl"/>
              </w:rPr>
              <w:t>27</w:t>
            </w:r>
            <w:proofErr w:type="gramEnd"/>
            <w:r w:rsidRPr="002F43CD">
              <w:rPr>
                <w:i/>
                <w:iCs/>
                <w:sz w:val="12"/>
                <w:szCs w:val="12"/>
                <w:lang w:val="es-ES_tradnl"/>
              </w:rPr>
              <w:t>.</w:t>
            </w:r>
          </w:p>
          <w:p w:rsidR="00230914" w:rsidRPr="002F43CD" w:rsidRDefault="00230914" w:rsidP="00FF362A">
            <w:pPr>
              <w:tabs>
                <w:tab w:val="right" w:pos="2835"/>
              </w:tabs>
              <w:rPr>
                <w:i/>
                <w:iCs/>
                <w:sz w:val="12"/>
                <w:szCs w:val="12"/>
              </w:rPr>
            </w:pPr>
            <w:r w:rsidRPr="002F43CD">
              <w:rPr>
                <w:i/>
                <w:iCs/>
                <w:sz w:val="12"/>
                <w:szCs w:val="12"/>
                <w:lang w:val="es-ES_tradnl"/>
              </w:rPr>
              <w:t>2 Cuota asignada al desarrollo</w:t>
            </w:r>
            <w:proofErr w:type="gramStart"/>
            <w:r w:rsidRPr="002F43CD">
              <w:rPr>
                <w:i/>
                <w:iCs/>
                <w:sz w:val="12"/>
                <w:szCs w:val="12"/>
                <w:lang w:val="es-ES_tradnl"/>
              </w:rPr>
              <w:t>:  Los</w:t>
            </w:r>
            <w:proofErr w:type="gramEnd"/>
            <w:r w:rsidRPr="002F43CD">
              <w:rPr>
                <w:i/>
                <w:iCs/>
                <w:sz w:val="12"/>
                <w:szCs w:val="12"/>
                <w:lang w:val="es-ES_tradnl"/>
              </w:rPr>
              <w:t xml:space="preserve"> gastos se definen en tanto que gastos para desarrollo exclusivamente en la medida en que el beneficiario sea un país en desarrollo y que no se haya previsto un gasto equivalente para los países desarrollados (conforme a lo que se viene haciendo hasta la fecha, a los fines del presupuesto por programas se incluye a los países con economías en transición).</w:t>
            </w:r>
          </w:p>
          <w:p w:rsidR="00230914" w:rsidRPr="002F43CD" w:rsidRDefault="00230914" w:rsidP="00FF362A">
            <w:pPr>
              <w:tabs>
                <w:tab w:val="right" w:pos="2835"/>
              </w:tabs>
              <w:rPr>
                <w:i/>
                <w:iCs/>
                <w:sz w:val="12"/>
                <w:szCs w:val="12"/>
              </w:rPr>
            </w:pPr>
            <w:r w:rsidRPr="002F43CD">
              <w:rPr>
                <w:i/>
                <w:iCs/>
                <w:sz w:val="12"/>
                <w:szCs w:val="12"/>
                <w:lang w:val="es-ES_tradnl"/>
              </w:rPr>
              <w:t>3 En los importes correspondientes a la cuota asignada al desarrollo están incluidos los recursos para proyectos de la Agenda para el Desarrollo</w:t>
            </w:r>
          </w:p>
          <w:p w:rsidR="00230914" w:rsidRPr="002F43CD" w:rsidRDefault="00230914" w:rsidP="00FF362A">
            <w:pPr>
              <w:tabs>
                <w:tab w:val="right" w:pos="2835"/>
              </w:tabs>
              <w:rPr>
                <w:i/>
                <w:iCs/>
                <w:sz w:val="12"/>
                <w:szCs w:val="12"/>
              </w:rPr>
            </w:pPr>
            <w:r w:rsidRPr="002F43CD">
              <w:rPr>
                <w:i/>
                <w:iCs/>
                <w:sz w:val="12"/>
                <w:szCs w:val="12"/>
                <w:lang w:val="es-ES_tradnl"/>
              </w:rPr>
              <w:t>4 En caso de que las cifras no correspondan al presupuesto total se deberá al redondeo de los importes.</w:t>
            </w:r>
          </w:p>
        </w:tc>
        <w:tc>
          <w:tcPr>
            <w:tcW w:w="3041" w:type="dxa"/>
            <w:tcBorders>
              <w:top w:val="nil"/>
              <w:left w:val="nil"/>
              <w:bottom w:val="nil"/>
              <w:right w:val="nil"/>
            </w:tcBorders>
            <w:shd w:val="clear" w:color="auto" w:fill="auto"/>
            <w:noWrap/>
            <w:vAlign w:val="bottom"/>
          </w:tcPr>
          <w:p w:rsidR="00230914" w:rsidRPr="003060BE" w:rsidRDefault="00230914" w:rsidP="00FF362A">
            <w:pPr>
              <w:tabs>
                <w:tab w:val="right" w:pos="2835"/>
              </w:tabs>
              <w:rPr>
                <w:sz w:val="16"/>
                <w:szCs w:val="16"/>
              </w:rPr>
            </w:pPr>
          </w:p>
        </w:tc>
        <w:tc>
          <w:tcPr>
            <w:tcW w:w="3040" w:type="dxa"/>
            <w:tcBorders>
              <w:top w:val="nil"/>
              <w:left w:val="nil"/>
              <w:bottom w:val="nil"/>
              <w:right w:val="nil"/>
            </w:tcBorders>
            <w:shd w:val="clear" w:color="auto" w:fill="auto"/>
            <w:noWrap/>
            <w:vAlign w:val="bottom"/>
          </w:tcPr>
          <w:p w:rsidR="00230914" w:rsidRPr="003060BE" w:rsidRDefault="00230914" w:rsidP="00FF362A">
            <w:pPr>
              <w:tabs>
                <w:tab w:val="right" w:pos="2835"/>
              </w:tabs>
              <w:rPr>
                <w:sz w:val="16"/>
                <w:szCs w:val="16"/>
              </w:rPr>
            </w:pPr>
          </w:p>
        </w:tc>
        <w:tc>
          <w:tcPr>
            <w:tcW w:w="6087" w:type="dxa"/>
            <w:gridSpan w:val="3"/>
            <w:tcBorders>
              <w:top w:val="nil"/>
              <w:left w:val="nil"/>
              <w:bottom w:val="nil"/>
              <w:right w:val="nil"/>
            </w:tcBorders>
            <w:shd w:val="clear" w:color="auto" w:fill="auto"/>
            <w:noWrap/>
          </w:tcPr>
          <w:p w:rsidR="00230914" w:rsidRPr="003060BE" w:rsidRDefault="00230914" w:rsidP="00FF362A">
            <w:pPr>
              <w:tabs>
                <w:tab w:val="right" w:pos="2835"/>
              </w:tabs>
              <w:rPr>
                <w:b/>
                <w:bCs/>
                <w:i/>
                <w:iCs/>
                <w:sz w:val="16"/>
                <w:szCs w:val="16"/>
              </w:rPr>
            </w:pPr>
          </w:p>
          <w:p w:rsidR="00230914" w:rsidRPr="003060BE" w:rsidRDefault="00230914" w:rsidP="00FF362A">
            <w:pPr>
              <w:tabs>
                <w:tab w:val="right" w:pos="2835"/>
              </w:tabs>
              <w:rPr>
                <w:b/>
                <w:bCs/>
                <w:i/>
                <w:iCs/>
                <w:sz w:val="16"/>
                <w:szCs w:val="16"/>
                <w:lang w:val="es-ES_tradnl"/>
              </w:rPr>
            </w:pPr>
            <w:r w:rsidRPr="003060BE">
              <w:rPr>
                <w:b/>
                <w:bCs/>
                <w:i/>
                <w:iCs/>
                <w:sz w:val="16"/>
                <w:szCs w:val="16"/>
                <w:lang w:val="es-ES_tradnl"/>
              </w:rPr>
              <w:t xml:space="preserve">Total del presupuesto propuesto 2014/15:   </w:t>
            </w:r>
            <w:r w:rsidRPr="003060BE">
              <w:rPr>
                <w:b/>
                <w:bCs/>
                <w:i/>
                <w:iCs/>
                <w:sz w:val="16"/>
                <w:szCs w:val="16"/>
                <w:lang w:val="es-ES_tradnl"/>
              </w:rPr>
              <w:tab/>
            </w:r>
            <w:r w:rsidRPr="003060BE">
              <w:rPr>
                <w:b/>
                <w:bCs/>
                <w:i/>
                <w:iCs/>
                <w:sz w:val="16"/>
                <w:szCs w:val="16"/>
                <w:lang w:val="es-ES_tradnl"/>
              </w:rPr>
              <w:tab/>
              <w:t>673.</w:t>
            </w:r>
            <w:r w:rsidR="00F91117">
              <w:rPr>
                <w:b/>
                <w:bCs/>
                <w:i/>
                <w:iCs/>
                <w:sz w:val="16"/>
                <w:szCs w:val="16"/>
                <w:lang w:val="es-ES_tradnl"/>
              </w:rPr>
              <w:t>993</w:t>
            </w:r>
          </w:p>
          <w:p w:rsidR="00230914" w:rsidRPr="003A586E" w:rsidRDefault="00230914" w:rsidP="00F91117">
            <w:pPr>
              <w:tabs>
                <w:tab w:val="right" w:pos="2835"/>
              </w:tabs>
              <w:rPr>
                <w:b/>
                <w:bCs/>
                <w:i/>
                <w:iCs/>
                <w:color w:val="0000FF"/>
                <w:sz w:val="16"/>
                <w:szCs w:val="16"/>
                <w:lang w:val="es-ES_tradnl"/>
              </w:rPr>
            </w:pPr>
            <w:r w:rsidRPr="003060BE">
              <w:rPr>
                <w:b/>
                <w:bCs/>
                <w:i/>
                <w:iCs/>
                <w:sz w:val="16"/>
                <w:szCs w:val="16"/>
                <w:lang w:val="es-ES_tradnl"/>
              </w:rPr>
              <w:t>Total de la cuota de desarrollo:</w:t>
            </w:r>
            <w:r w:rsidRPr="003060BE">
              <w:rPr>
                <w:b/>
                <w:bCs/>
                <w:i/>
                <w:iCs/>
                <w:color w:val="0000FF"/>
                <w:sz w:val="16"/>
                <w:szCs w:val="16"/>
                <w:lang w:val="es-ES_tradnl"/>
              </w:rPr>
              <w:tab/>
            </w:r>
            <w:r w:rsidRPr="003060BE">
              <w:rPr>
                <w:b/>
                <w:bCs/>
                <w:i/>
                <w:iCs/>
                <w:color w:val="0000FF"/>
                <w:sz w:val="16"/>
                <w:szCs w:val="16"/>
                <w:lang w:val="es-ES_tradnl"/>
              </w:rPr>
              <w:tab/>
            </w:r>
            <w:r w:rsidRPr="003060BE">
              <w:rPr>
                <w:b/>
                <w:bCs/>
                <w:i/>
                <w:iCs/>
                <w:color w:val="0000FF"/>
                <w:sz w:val="16"/>
                <w:szCs w:val="16"/>
                <w:lang w:val="es-ES_tradnl"/>
              </w:rPr>
              <w:tab/>
            </w:r>
            <w:r w:rsidRPr="003060BE">
              <w:rPr>
                <w:b/>
                <w:bCs/>
                <w:i/>
                <w:iCs/>
                <w:color w:val="0000FF"/>
                <w:sz w:val="16"/>
                <w:szCs w:val="16"/>
                <w:lang w:val="es-ES_tradnl"/>
              </w:rPr>
              <w:tab/>
              <w:t>14</w:t>
            </w:r>
            <w:r w:rsidR="00F91117">
              <w:rPr>
                <w:b/>
                <w:bCs/>
                <w:i/>
                <w:iCs/>
                <w:color w:val="0000FF"/>
                <w:sz w:val="16"/>
                <w:szCs w:val="16"/>
                <w:lang w:val="es-ES_tradnl"/>
              </w:rPr>
              <w:t>5.699</w:t>
            </w:r>
          </w:p>
        </w:tc>
      </w:tr>
    </w:tbl>
    <w:p w:rsidR="002B303B" w:rsidRPr="00237451" w:rsidRDefault="002B303B" w:rsidP="004A4009">
      <w:pPr>
        <w:rPr>
          <w:sz w:val="12"/>
          <w:szCs w:val="12"/>
          <w:lang w:val="es-ES_tradnl" w:eastAsia="da-DK"/>
        </w:rPr>
      </w:pPr>
    </w:p>
    <w:p w:rsidR="00237451" w:rsidRDefault="00237451">
      <w:pPr>
        <w:rPr>
          <w:lang w:eastAsia="da-DK"/>
        </w:rPr>
      </w:pPr>
    </w:p>
    <w:p w:rsidR="007B2C29" w:rsidRPr="002B303B" w:rsidRDefault="007B2C29" w:rsidP="004A4009">
      <w:pPr>
        <w:rPr>
          <w:lang w:eastAsia="da-DK"/>
        </w:rPr>
        <w:sectPr w:rsidR="007B2C29" w:rsidRPr="002B303B" w:rsidSect="00691F6D">
          <w:headerReference w:type="even" r:id="rId22"/>
          <w:headerReference w:type="default" r:id="rId23"/>
          <w:pgSz w:w="23814" w:h="16840" w:orient="landscape" w:code="8"/>
          <w:pgMar w:top="999" w:right="1134" w:bottom="567" w:left="1134" w:header="284" w:footer="166" w:gutter="0"/>
          <w:cols w:space="720"/>
        </w:sectPr>
      </w:pPr>
    </w:p>
    <w:p w:rsidR="00FF779C" w:rsidRPr="00DE476E" w:rsidRDefault="00FF779C" w:rsidP="00FF779C">
      <w:pPr>
        <w:pStyle w:val="Heading1"/>
        <w:keepNext w:val="0"/>
        <w:widowControl w:val="0"/>
        <w:rPr>
          <w:sz w:val="26"/>
          <w:szCs w:val="26"/>
          <w:lang w:val="es-ES_tradnl"/>
        </w:rPr>
      </w:pPr>
      <w:bookmarkStart w:id="8" w:name="_Toc366078697"/>
      <w:r w:rsidRPr="00DE476E">
        <w:rPr>
          <w:sz w:val="26"/>
          <w:szCs w:val="26"/>
          <w:lang w:val="es-ES_tradnl"/>
        </w:rPr>
        <w:lastRenderedPageBreak/>
        <w:t>II.</w:t>
      </w:r>
      <w:r w:rsidRPr="00DE476E">
        <w:rPr>
          <w:sz w:val="26"/>
          <w:szCs w:val="26"/>
          <w:lang w:val="es-ES_tradnl"/>
        </w:rPr>
        <w:tab/>
        <w:t>PANORAMA FINANCIERO</w:t>
      </w:r>
      <w:bookmarkEnd w:id="8"/>
    </w:p>
    <w:p w:rsidR="00FF779C" w:rsidRPr="00C4585D" w:rsidRDefault="00FF779C" w:rsidP="00FF779C">
      <w:pPr>
        <w:widowControl w:val="0"/>
        <w:rPr>
          <w:sz w:val="20"/>
          <w:lang w:val="es-ES_tradnl"/>
        </w:rPr>
      </w:pPr>
    </w:p>
    <w:p w:rsidR="00FF779C" w:rsidRPr="00C4585D" w:rsidRDefault="00FF779C" w:rsidP="00FF779C">
      <w:pPr>
        <w:widowControl w:val="0"/>
        <w:numPr>
          <w:ilvl w:val="0"/>
          <w:numId w:val="4"/>
        </w:numPr>
        <w:tabs>
          <w:tab w:val="clear" w:pos="360"/>
        </w:tabs>
        <w:ind w:left="0" w:firstLine="0"/>
        <w:jc w:val="both"/>
        <w:rPr>
          <w:sz w:val="20"/>
          <w:lang w:val="es-ES_tradnl"/>
        </w:rPr>
      </w:pPr>
      <w:r w:rsidRPr="00C4585D">
        <w:rPr>
          <w:sz w:val="20"/>
          <w:lang w:val="es-ES_tradnl"/>
        </w:rPr>
        <w:t>En esta sección se expone un panorama de las hipótesis y los parámetros principales que sirven de base a las estimaciones de ingresos y la autorización de gastos propuesta, sometidas al examen de los Estados miembros para el bienio 2014/15.</w:t>
      </w:r>
    </w:p>
    <w:p w:rsidR="00FF779C" w:rsidRPr="00C4585D" w:rsidRDefault="00FF779C" w:rsidP="00FF779C">
      <w:pPr>
        <w:widowControl w:val="0"/>
        <w:jc w:val="both"/>
        <w:rPr>
          <w:sz w:val="20"/>
          <w:lang w:val="es-ES_tradnl"/>
        </w:rPr>
      </w:pPr>
    </w:p>
    <w:p w:rsidR="00FF779C" w:rsidRPr="00C4585D" w:rsidRDefault="00FF779C" w:rsidP="00FF779C">
      <w:pPr>
        <w:widowControl w:val="0"/>
        <w:jc w:val="center"/>
        <w:rPr>
          <w:sz w:val="20"/>
          <w:lang w:val="es-ES_tradnl"/>
        </w:rPr>
      </w:pPr>
      <w:r w:rsidRPr="00C4585D">
        <w:rPr>
          <w:sz w:val="20"/>
          <w:lang w:val="es-ES_tradnl"/>
        </w:rPr>
        <w:t>Cuadro 1.  Propuesta de presupuesto para 2014/15 y principales parámetros de planificación</w:t>
      </w:r>
    </w:p>
    <w:p w:rsidR="00FF779C" w:rsidRPr="00C4585D" w:rsidRDefault="00FF779C" w:rsidP="00FF779C">
      <w:pPr>
        <w:widowControl w:val="0"/>
        <w:jc w:val="center"/>
        <w:rPr>
          <w:sz w:val="20"/>
          <w:lang w:val="es-ES_tradnl"/>
        </w:rPr>
      </w:pPr>
    </w:p>
    <w:p w:rsidR="00FF779C" w:rsidRPr="00C4585D" w:rsidRDefault="0036734A" w:rsidP="00FF779C">
      <w:pPr>
        <w:widowControl w:val="0"/>
        <w:jc w:val="center"/>
        <w:rPr>
          <w:sz w:val="20"/>
          <w:lang w:val="es-ES_tradnl"/>
        </w:rPr>
      </w:pPr>
      <w:r w:rsidRPr="0036734A">
        <w:rPr>
          <w:noProof/>
          <w:lang w:val="en-US" w:eastAsia="en-US"/>
        </w:rPr>
        <w:drawing>
          <wp:inline distT="0" distB="0" distL="0" distR="0" wp14:anchorId="5E799B0C" wp14:editId="7A3E0754">
            <wp:extent cx="5478631" cy="3902149"/>
            <wp:effectExtent l="0" t="0" r="8255" b="3175"/>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3681" cy="3905746"/>
                    </a:xfrm>
                    <a:prstGeom prst="rect">
                      <a:avLst/>
                    </a:prstGeom>
                    <a:noFill/>
                    <a:ln>
                      <a:noFill/>
                    </a:ln>
                  </pic:spPr>
                </pic:pic>
              </a:graphicData>
            </a:graphic>
          </wp:inline>
        </w:drawing>
      </w:r>
    </w:p>
    <w:p w:rsidR="00FF779C" w:rsidRPr="00C4585D" w:rsidRDefault="00FF779C" w:rsidP="00FF779C">
      <w:pPr>
        <w:pStyle w:val="ListParagraph"/>
        <w:widowControl w:val="0"/>
        <w:jc w:val="both"/>
        <w:rPr>
          <w:sz w:val="20"/>
          <w:lang w:val="es-ES_tradnl"/>
        </w:rPr>
      </w:pPr>
    </w:p>
    <w:p w:rsidR="00FF779C" w:rsidRPr="00C4585D" w:rsidRDefault="00FF779C" w:rsidP="00FF779C">
      <w:pPr>
        <w:widowControl w:val="0"/>
        <w:numPr>
          <w:ilvl w:val="0"/>
          <w:numId w:val="4"/>
        </w:numPr>
        <w:tabs>
          <w:tab w:val="clear" w:pos="360"/>
        </w:tabs>
        <w:ind w:left="0" w:firstLine="0"/>
        <w:jc w:val="both"/>
        <w:rPr>
          <w:sz w:val="20"/>
          <w:lang w:val="es-ES_tradnl"/>
        </w:rPr>
      </w:pPr>
      <w:r w:rsidRPr="00C4585D">
        <w:rPr>
          <w:sz w:val="20"/>
          <w:lang w:val="es-ES_tradnl"/>
        </w:rPr>
        <w:t>Desde 2010, los estados financieros de la OMPI se preparan de conformidad con las IPSAS, sobre la base contable integral de acumulación (o devengo).  Sin embargo, el presupuesto o la autorización de gasto por programa aún se proponen, aprueban y administran con arreglo a</w:t>
      </w:r>
      <w:r w:rsidR="00DB5E03">
        <w:rPr>
          <w:sz w:val="20"/>
          <w:lang w:val="es-ES_tradnl"/>
        </w:rPr>
        <w:t xml:space="preserve"> la base contable modificada de acumulación (o devengo)</w:t>
      </w:r>
      <w:r w:rsidRPr="00C4585D">
        <w:rPr>
          <w:sz w:val="20"/>
          <w:lang w:val="es-ES_tradnl"/>
        </w:rPr>
        <w:t xml:space="preserve"> (“base presupuestaria”), de conformidad con el Reglamento Financiero y la Reglamentación Financiera de la Organización.  En consecuencia,</w:t>
      </w:r>
    </w:p>
    <w:p w:rsidR="00FF779C" w:rsidRPr="00C4585D" w:rsidRDefault="00FF779C" w:rsidP="00FF779C">
      <w:pPr>
        <w:widowControl w:val="0"/>
        <w:jc w:val="both"/>
        <w:rPr>
          <w:sz w:val="20"/>
          <w:lang w:val="es-ES_tradnl"/>
        </w:rPr>
      </w:pPr>
    </w:p>
    <w:p w:rsidR="00FF779C" w:rsidRPr="00C4585D" w:rsidRDefault="00FF779C" w:rsidP="00FF779C">
      <w:pPr>
        <w:widowControl w:val="0"/>
        <w:numPr>
          <w:ilvl w:val="1"/>
          <w:numId w:val="4"/>
        </w:numPr>
        <w:tabs>
          <w:tab w:val="clear" w:pos="1080"/>
        </w:tabs>
        <w:ind w:left="1134" w:hanging="567"/>
        <w:jc w:val="both"/>
        <w:rPr>
          <w:sz w:val="20"/>
          <w:lang w:val="es-ES_tradnl"/>
        </w:rPr>
      </w:pPr>
      <w:r w:rsidRPr="00C4585D">
        <w:rPr>
          <w:sz w:val="20"/>
          <w:lang w:val="es-ES_tradnl"/>
        </w:rPr>
        <w:t>si bien todos los importes propuestos en relación con los gastos del bienio 2014/15 se han fijado partiendo de una base presupuestaria, a los fines de la planificación se ha procurado establecer la asignación presupuestaria global de la OMPI de una manera y en un nivel que resulten prudentes y tomen debidamente en consideración los ajustes que se prevé será necesario introducir con arreglo a las IPSAS en relación con los gastos de operación.  Al aplicar ese enfoque, la autorización de gasto global propuesta en el marco del presupuesto ordinario alcanza un nivel moderado y prudente, limitado por los niveles de ingreso que se prevé generar en el próximo bienio, corregidos a la baja en función de la estimación de los ajustes que cabe aplicar con arreglo a las IPSAS;</w:t>
      </w:r>
    </w:p>
    <w:p w:rsidR="00FF779C" w:rsidRPr="00C4585D" w:rsidRDefault="00FF779C" w:rsidP="00FF779C">
      <w:pPr>
        <w:widowControl w:val="0"/>
        <w:jc w:val="both"/>
        <w:rPr>
          <w:sz w:val="20"/>
          <w:lang w:val="es-ES_tradnl"/>
        </w:rPr>
      </w:pPr>
    </w:p>
    <w:p w:rsidR="00FF779C" w:rsidRPr="00C4585D" w:rsidRDefault="00FF779C" w:rsidP="00FF779C">
      <w:pPr>
        <w:widowControl w:val="0"/>
        <w:numPr>
          <w:ilvl w:val="1"/>
          <w:numId w:val="4"/>
        </w:numPr>
        <w:tabs>
          <w:tab w:val="clear" w:pos="1080"/>
        </w:tabs>
        <w:ind w:left="1134" w:hanging="567"/>
        <w:jc w:val="both"/>
        <w:rPr>
          <w:bCs/>
          <w:sz w:val="20"/>
          <w:lang w:val="es-ES_tradnl"/>
        </w:rPr>
      </w:pPr>
      <w:r w:rsidRPr="00C4585D">
        <w:rPr>
          <w:sz w:val="20"/>
          <w:lang w:val="es-ES_tradnl"/>
        </w:rPr>
        <w:t>el presupuesto de la OMPI sigue siendo sometido al examen y la aprobación de las Asambleas con frecuencia bienal.  Si bien todas las diferencias entre los informes presentados conforme a las IPSAS y a la base presupuestaria se divulgan y se reconcilian en los estados financieros de la Organización, el requisito de las IPSAS de presentación anual de informes también exige que la Organización presente su presupuesto con frecuencia anual.  Con ese fin, en el Anexo IX del presente documento se suministran cifras presupuestarias anuales, en relación tanto con los ingresos como con los gastos.</w:t>
      </w:r>
    </w:p>
    <w:p w:rsidR="00FF779C" w:rsidRPr="00C4585D" w:rsidRDefault="00FF779C" w:rsidP="00FF779C">
      <w:pPr>
        <w:widowControl w:val="0"/>
        <w:jc w:val="both"/>
        <w:rPr>
          <w:bCs/>
          <w:sz w:val="20"/>
          <w:lang w:val="es-ES_tradnl"/>
        </w:rPr>
      </w:pPr>
    </w:p>
    <w:p w:rsidR="00FF779C" w:rsidRPr="00C4585D" w:rsidRDefault="00FF779C" w:rsidP="00FF779C">
      <w:pPr>
        <w:widowControl w:val="0"/>
        <w:numPr>
          <w:ilvl w:val="0"/>
          <w:numId w:val="4"/>
        </w:numPr>
        <w:tabs>
          <w:tab w:val="clear" w:pos="360"/>
        </w:tabs>
        <w:ind w:left="0" w:firstLine="0"/>
        <w:jc w:val="both"/>
        <w:rPr>
          <w:bCs/>
          <w:sz w:val="20"/>
          <w:lang w:val="es-ES_tradnl"/>
        </w:rPr>
      </w:pPr>
      <w:r w:rsidRPr="00C4585D">
        <w:rPr>
          <w:bCs/>
          <w:sz w:val="20"/>
          <w:lang w:val="es-ES_tradnl"/>
        </w:rPr>
        <w:t xml:space="preserve">Para el </w:t>
      </w:r>
      <w:r w:rsidRPr="00C4585D">
        <w:rPr>
          <w:sz w:val="20"/>
          <w:lang w:val="es-ES_tradnl"/>
        </w:rPr>
        <w:t>próximo</w:t>
      </w:r>
      <w:r w:rsidRPr="00C4585D">
        <w:rPr>
          <w:bCs/>
          <w:sz w:val="20"/>
          <w:lang w:val="es-ES_tradnl"/>
        </w:rPr>
        <w:t xml:space="preserve"> bienio no se proponen nuevos puestos ni incrementos en el </w:t>
      </w:r>
      <w:r w:rsidRPr="00C4585D">
        <w:rPr>
          <w:sz w:val="20"/>
          <w:lang w:val="es-ES_tradnl"/>
        </w:rPr>
        <w:t>número de empleados de nómina.  La Secretaría propone completar el proceso de regularización, mediante el uso de los puestos cuya regularización aprobaron los Estados miembros con ese fin.</w:t>
      </w:r>
    </w:p>
    <w:p w:rsidR="00FF779C" w:rsidRPr="00C4585D" w:rsidRDefault="00FF779C" w:rsidP="00FF779C">
      <w:pPr>
        <w:widowControl w:val="0"/>
        <w:spacing w:before="60"/>
        <w:jc w:val="both"/>
        <w:rPr>
          <w:bCs/>
          <w:sz w:val="20"/>
          <w:lang w:val="es-ES_tradnl"/>
        </w:rPr>
      </w:pPr>
    </w:p>
    <w:p w:rsidR="00FF779C" w:rsidRPr="00C4585D" w:rsidRDefault="00FF779C" w:rsidP="00FF779C">
      <w:pPr>
        <w:widowControl w:val="0"/>
        <w:numPr>
          <w:ilvl w:val="0"/>
          <w:numId w:val="4"/>
        </w:numPr>
        <w:tabs>
          <w:tab w:val="clear" w:pos="360"/>
        </w:tabs>
        <w:ind w:left="0" w:firstLine="0"/>
        <w:jc w:val="both"/>
        <w:rPr>
          <w:sz w:val="20"/>
          <w:lang w:val="es-ES_tradnl"/>
        </w:rPr>
      </w:pPr>
      <w:r w:rsidRPr="00C4585D">
        <w:rPr>
          <w:bCs/>
          <w:sz w:val="20"/>
          <w:lang w:val="es-ES_tradnl"/>
        </w:rPr>
        <w:t xml:space="preserve">La </w:t>
      </w:r>
      <w:r w:rsidRPr="00C4585D">
        <w:rPr>
          <w:sz w:val="20"/>
          <w:lang w:val="es-ES_tradnl"/>
        </w:rPr>
        <w:t>Organización</w:t>
      </w:r>
      <w:r w:rsidRPr="00C4585D">
        <w:rPr>
          <w:bCs/>
          <w:sz w:val="20"/>
          <w:lang w:val="es-ES_tradnl"/>
        </w:rPr>
        <w:t xml:space="preserve"> ha reconocido la apremiante necesidad de realizar desembolsos e inversiones de capital en los ámbitos de locales, tecnologías de la información y la comunicación (TIC) y seguridad, que se propone financiar a partir de las reservas disponibles.  Para velar por la plena transparencia y ofrecer un cuadro completo de las necesidades de la Organización en materia de recursos en los próximos bienios, esos gastos propuestos se presentan en un documento </w:t>
      </w:r>
      <w:r w:rsidR="00247004">
        <w:rPr>
          <w:bCs/>
          <w:sz w:val="20"/>
          <w:lang w:val="es-ES_tradnl"/>
        </w:rPr>
        <w:t xml:space="preserve">aparte, </w:t>
      </w:r>
      <w:r w:rsidR="00037737">
        <w:rPr>
          <w:bCs/>
          <w:sz w:val="20"/>
          <w:lang w:val="es-ES_tradnl"/>
        </w:rPr>
        <w:t>A</w:t>
      </w:r>
      <w:r w:rsidR="00247004">
        <w:rPr>
          <w:bCs/>
          <w:sz w:val="20"/>
          <w:lang w:val="es-ES_tradnl"/>
        </w:rPr>
        <w:t>/</w:t>
      </w:r>
      <w:r w:rsidR="00037737">
        <w:rPr>
          <w:bCs/>
          <w:sz w:val="20"/>
          <w:lang w:val="es-ES_tradnl"/>
        </w:rPr>
        <w:t>5</w:t>
      </w:r>
      <w:r w:rsidR="00247004">
        <w:rPr>
          <w:bCs/>
          <w:sz w:val="20"/>
          <w:lang w:val="es-ES_tradnl"/>
        </w:rPr>
        <w:t>1/1</w:t>
      </w:r>
      <w:r w:rsidR="00037737">
        <w:rPr>
          <w:bCs/>
          <w:sz w:val="20"/>
          <w:lang w:val="es-ES_tradnl"/>
        </w:rPr>
        <w:t>6</w:t>
      </w:r>
      <w:r w:rsidR="00247004">
        <w:rPr>
          <w:bCs/>
          <w:sz w:val="20"/>
          <w:lang w:val="es-ES_tradnl"/>
        </w:rPr>
        <w:t>,</w:t>
      </w:r>
      <w:r w:rsidRPr="00C4585D">
        <w:rPr>
          <w:bCs/>
          <w:sz w:val="20"/>
          <w:lang w:val="es-ES_tradnl"/>
        </w:rPr>
        <w:t xml:space="preserve"> titulado Plan maestro de mejoras de infraestructura.</w:t>
      </w:r>
    </w:p>
    <w:p w:rsidR="00FF779C" w:rsidRPr="00C4585D" w:rsidRDefault="00FF779C" w:rsidP="00FF779C">
      <w:pPr>
        <w:widowControl w:val="0"/>
        <w:jc w:val="both"/>
        <w:rPr>
          <w:sz w:val="20"/>
          <w:lang w:val="es-ES_tradnl"/>
        </w:rPr>
      </w:pPr>
    </w:p>
    <w:p w:rsidR="00FF779C" w:rsidRPr="00C4585D" w:rsidRDefault="00FF779C" w:rsidP="00FF779C">
      <w:pPr>
        <w:widowControl w:val="0"/>
        <w:numPr>
          <w:ilvl w:val="0"/>
          <w:numId w:val="4"/>
        </w:numPr>
        <w:tabs>
          <w:tab w:val="clear" w:pos="360"/>
        </w:tabs>
        <w:ind w:left="0" w:firstLine="0"/>
        <w:jc w:val="both"/>
        <w:rPr>
          <w:bCs/>
          <w:sz w:val="20"/>
          <w:lang w:val="es-ES_tradnl"/>
        </w:rPr>
      </w:pPr>
      <w:r w:rsidRPr="00C4585D">
        <w:rPr>
          <w:bCs/>
          <w:sz w:val="20"/>
          <w:lang w:val="es-ES_tradnl"/>
        </w:rPr>
        <w:t xml:space="preserve">La propuesta de </w:t>
      </w:r>
      <w:r w:rsidRPr="00C4585D">
        <w:rPr>
          <w:sz w:val="20"/>
          <w:lang w:val="es-ES_tradnl"/>
        </w:rPr>
        <w:t>presupuesto</w:t>
      </w:r>
      <w:r w:rsidRPr="00C4585D">
        <w:rPr>
          <w:bCs/>
          <w:sz w:val="20"/>
          <w:lang w:val="es-ES_tradnl"/>
        </w:rPr>
        <w:t xml:space="preserve"> para el bienio 2014/15 se cifra en 67</w:t>
      </w:r>
      <w:r w:rsidR="00037737">
        <w:rPr>
          <w:bCs/>
          <w:sz w:val="20"/>
          <w:lang w:val="es-ES_tradnl"/>
        </w:rPr>
        <w:t>4</w:t>
      </w:r>
      <w:r w:rsidRPr="00C4585D">
        <w:rPr>
          <w:bCs/>
          <w:sz w:val="20"/>
          <w:lang w:val="es-ES_tradnl"/>
        </w:rPr>
        <w:t xml:space="preserve"> millones de francos suizos, cuantía que tiene debidamente en cuenta la estimación de los ajustes que cabe aplicar con arreglo a las IPSAS para el bienio siguiente, tanto en ingresos como en gastos, lo que a su vez redunda en un pequeño excedente, como resultado de explotación, de aproximadamente </w:t>
      </w:r>
      <w:r w:rsidR="00037737">
        <w:rPr>
          <w:bCs/>
          <w:sz w:val="20"/>
          <w:lang w:val="es-ES_tradnl"/>
        </w:rPr>
        <w:t>2</w:t>
      </w:r>
      <w:r w:rsidRPr="00C4585D">
        <w:rPr>
          <w:bCs/>
          <w:sz w:val="20"/>
          <w:lang w:val="es-ES_tradnl"/>
        </w:rPr>
        <w:t xml:space="preserve"> millones de francos suizos.</w:t>
      </w:r>
      <w:bookmarkStart w:id="9" w:name="_Toc310950754"/>
    </w:p>
    <w:p w:rsidR="00FF779C" w:rsidRPr="00C4585D" w:rsidRDefault="00FF779C" w:rsidP="00FF779C">
      <w:pPr>
        <w:widowControl w:val="0"/>
        <w:jc w:val="both"/>
        <w:rPr>
          <w:bCs/>
          <w:caps/>
          <w:sz w:val="20"/>
          <w:lang w:val="es-ES_tradnl"/>
        </w:rPr>
      </w:pPr>
    </w:p>
    <w:p w:rsidR="00FF779C" w:rsidRPr="00C4585D" w:rsidRDefault="00FF779C" w:rsidP="00FF779C">
      <w:pPr>
        <w:widowControl w:val="0"/>
        <w:numPr>
          <w:ilvl w:val="0"/>
          <w:numId w:val="4"/>
        </w:numPr>
        <w:tabs>
          <w:tab w:val="clear" w:pos="360"/>
        </w:tabs>
        <w:ind w:left="0" w:firstLine="0"/>
        <w:jc w:val="both"/>
        <w:rPr>
          <w:bCs/>
          <w:sz w:val="20"/>
          <w:lang w:val="es-ES_tradnl"/>
        </w:rPr>
      </w:pPr>
      <w:r w:rsidRPr="00C4585D">
        <w:rPr>
          <w:bCs/>
          <w:sz w:val="20"/>
          <w:lang w:val="es-ES_tradnl"/>
        </w:rPr>
        <w:t xml:space="preserve">También se indican los ingresos y gastos previstos por Unión.  Cabe destacar que la estimación de los ajustes que cabe aplicar con arreglo a las IPSAS, respecto tanto de los ingresos como de los gastos, también ha sido incluida en el cuadro que figura </w:t>
      </w:r>
      <w:r w:rsidRPr="00C4585D">
        <w:rPr>
          <w:bCs/>
          <w:i/>
          <w:sz w:val="20"/>
          <w:lang w:val="es-ES_tradnl"/>
        </w:rPr>
        <w:t>infra</w:t>
      </w:r>
      <w:r w:rsidRPr="00C4585D">
        <w:rPr>
          <w:bCs/>
          <w:sz w:val="20"/>
          <w:lang w:val="es-ES_tradnl"/>
        </w:rPr>
        <w:t>.  En el Anexo III se ofrecen más detalles acerca de los ingresos y los gastos por Unión.</w:t>
      </w:r>
    </w:p>
    <w:p w:rsidR="00FF779C" w:rsidRPr="00C4585D" w:rsidRDefault="00FF779C" w:rsidP="00FF779C">
      <w:pPr>
        <w:widowControl w:val="0"/>
        <w:jc w:val="both"/>
        <w:rPr>
          <w:sz w:val="20"/>
          <w:lang w:val="es-ES_tradnl"/>
        </w:rPr>
      </w:pPr>
    </w:p>
    <w:p w:rsidR="00FF779C" w:rsidRPr="00C4585D" w:rsidRDefault="00FF779C" w:rsidP="00FF779C">
      <w:pPr>
        <w:widowControl w:val="0"/>
        <w:jc w:val="center"/>
        <w:rPr>
          <w:bCs/>
          <w:sz w:val="20"/>
          <w:lang w:val="es-ES_tradnl"/>
        </w:rPr>
      </w:pPr>
      <w:r w:rsidRPr="00C4585D">
        <w:rPr>
          <w:bCs/>
          <w:sz w:val="20"/>
          <w:lang w:val="es-ES_tradnl"/>
        </w:rPr>
        <w:t>Cuadro 2.  Panorama financiero, por Unión, 2014/15</w:t>
      </w:r>
    </w:p>
    <w:p w:rsidR="00FF779C" w:rsidRPr="00C4585D" w:rsidRDefault="00FF779C" w:rsidP="00FF779C">
      <w:pPr>
        <w:widowControl w:val="0"/>
        <w:jc w:val="center"/>
        <w:rPr>
          <w:bCs/>
          <w:i/>
          <w:sz w:val="20"/>
          <w:lang w:val="es-ES_tradnl"/>
        </w:rPr>
      </w:pPr>
      <w:r w:rsidRPr="00C4585D">
        <w:rPr>
          <w:bCs/>
          <w:i/>
          <w:sz w:val="20"/>
          <w:lang w:val="es-ES_tradnl"/>
        </w:rPr>
        <w:t>(</w:t>
      </w:r>
      <w:proofErr w:type="gramStart"/>
      <w:r w:rsidRPr="00C4585D">
        <w:rPr>
          <w:bCs/>
          <w:i/>
          <w:sz w:val="20"/>
          <w:lang w:val="es-ES_tradnl"/>
        </w:rPr>
        <w:t>en</w:t>
      </w:r>
      <w:proofErr w:type="gramEnd"/>
      <w:r w:rsidRPr="00C4585D">
        <w:rPr>
          <w:bCs/>
          <w:i/>
          <w:sz w:val="20"/>
          <w:lang w:val="es-ES_tradnl"/>
        </w:rPr>
        <w:t xml:space="preserve"> miles de francos suizos)</w:t>
      </w:r>
    </w:p>
    <w:p w:rsidR="00FF779C" w:rsidRPr="00C4585D" w:rsidRDefault="00FF779C" w:rsidP="00FF779C">
      <w:pPr>
        <w:widowControl w:val="0"/>
        <w:jc w:val="center"/>
        <w:rPr>
          <w:bCs/>
          <w:i/>
          <w:sz w:val="20"/>
          <w:lang w:val="es-ES_tradnl"/>
        </w:rPr>
      </w:pPr>
    </w:p>
    <w:p w:rsidR="00FF779C" w:rsidRPr="00C4585D" w:rsidRDefault="00CD1072" w:rsidP="00FF779C">
      <w:pPr>
        <w:widowControl w:val="0"/>
        <w:jc w:val="center"/>
        <w:rPr>
          <w:bCs/>
          <w:i/>
          <w:sz w:val="20"/>
          <w:lang w:val="es-ES_tradnl"/>
        </w:rPr>
      </w:pPr>
      <w:r w:rsidRPr="00CD1072">
        <w:rPr>
          <w:noProof/>
          <w:lang w:val="en-US" w:eastAsia="en-US"/>
        </w:rPr>
        <w:drawing>
          <wp:inline distT="0" distB="0" distL="0" distR="0" wp14:anchorId="38AC17E7" wp14:editId="3D1DD275">
            <wp:extent cx="5940425" cy="1317464"/>
            <wp:effectExtent l="0" t="0" r="317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1317464"/>
                    </a:xfrm>
                    <a:prstGeom prst="rect">
                      <a:avLst/>
                    </a:prstGeom>
                    <a:noFill/>
                    <a:ln>
                      <a:noFill/>
                    </a:ln>
                  </pic:spPr>
                </pic:pic>
              </a:graphicData>
            </a:graphic>
          </wp:inline>
        </w:drawing>
      </w:r>
    </w:p>
    <w:tbl>
      <w:tblPr>
        <w:tblW w:w="16640" w:type="dxa"/>
        <w:tblInd w:w="70" w:type="dxa"/>
        <w:tblCellMar>
          <w:left w:w="70" w:type="dxa"/>
          <w:right w:w="70" w:type="dxa"/>
        </w:tblCellMar>
        <w:tblLook w:val="04A0" w:firstRow="1" w:lastRow="0" w:firstColumn="1" w:lastColumn="0" w:noHBand="0" w:noVBand="1"/>
      </w:tblPr>
      <w:tblGrid>
        <w:gridCol w:w="9756"/>
        <w:gridCol w:w="656"/>
        <w:gridCol w:w="976"/>
        <w:gridCol w:w="796"/>
        <w:gridCol w:w="1056"/>
        <w:gridCol w:w="476"/>
        <w:gridCol w:w="1076"/>
        <w:gridCol w:w="596"/>
        <w:gridCol w:w="316"/>
        <w:gridCol w:w="936"/>
      </w:tblGrid>
      <w:tr w:rsidR="00FF779C" w:rsidRPr="00C4585D" w:rsidTr="00FF362A">
        <w:trPr>
          <w:trHeight w:val="255"/>
        </w:trPr>
        <w:tc>
          <w:tcPr>
            <w:tcW w:w="9756" w:type="dxa"/>
            <w:tcBorders>
              <w:top w:val="nil"/>
              <w:left w:val="nil"/>
              <w:bottom w:val="nil"/>
              <w:right w:val="nil"/>
            </w:tcBorders>
            <w:shd w:val="clear" w:color="auto" w:fill="auto"/>
            <w:noWrap/>
            <w:hideMark/>
          </w:tcPr>
          <w:p w:rsidR="00FF779C" w:rsidRPr="00C4585D" w:rsidRDefault="00FF779C" w:rsidP="00FF362A">
            <w:pPr>
              <w:rPr>
                <w:rFonts w:eastAsia="Times New Roman"/>
                <w:i/>
                <w:iCs/>
                <w:sz w:val="16"/>
                <w:szCs w:val="16"/>
                <w:lang w:val="es-ES_tradnl" w:eastAsia="es-ES"/>
              </w:rPr>
            </w:pPr>
            <w:r w:rsidRPr="00C4585D">
              <w:rPr>
                <w:rFonts w:eastAsia="Times New Roman"/>
                <w:i/>
                <w:iCs/>
                <w:sz w:val="16"/>
                <w:szCs w:val="16"/>
                <w:lang w:val="es-ES_tradnl" w:eastAsia="es-ES"/>
              </w:rPr>
              <w:t>* En lo relativo a los FRO, los objetivos se calculan en porcentaje del gasto bienal para cada Unión.</w:t>
            </w:r>
          </w:p>
        </w:tc>
        <w:tc>
          <w:tcPr>
            <w:tcW w:w="65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sz w:val="16"/>
                <w:szCs w:val="16"/>
                <w:lang w:val="es-ES_tradnl" w:eastAsia="es-ES"/>
              </w:rPr>
            </w:pPr>
          </w:p>
        </w:tc>
        <w:tc>
          <w:tcPr>
            <w:tcW w:w="97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b/>
                <w:bCs/>
                <w:sz w:val="16"/>
                <w:szCs w:val="16"/>
                <w:lang w:val="es-ES_tradnl" w:eastAsia="es-ES"/>
              </w:rPr>
            </w:pPr>
          </w:p>
        </w:tc>
        <w:tc>
          <w:tcPr>
            <w:tcW w:w="79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sz w:val="16"/>
                <w:szCs w:val="16"/>
                <w:lang w:val="es-ES_tradnl" w:eastAsia="es-ES"/>
              </w:rPr>
            </w:pPr>
          </w:p>
        </w:tc>
        <w:tc>
          <w:tcPr>
            <w:tcW w:w="105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b/>
                <w:bCs/>
                <w:sz w:val="16"/>
                <w:szCs w:val="16"/>
                <w:lang w:val="es-ES_tradnl" w:eastAsia="es-ES"/>
              </w:rPr>
            </w:pPr>
          </w:p>
        </w:tc>
        <w:tc>
          <w:tcPr>
            <w:tcW w:w="47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sz w:val="16"/>
                <w:szCs w:val="16"/>
                <w:lang w:val="es-ES_tradnl" w:eastAsia="es-ES"/>
              </w:rPr>
            </w:pPr>
          </w:p>
        </w:tc>
        <w:tc>
          <w:tcPr>
            <w:tcW w:w="107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b/>
                <w:bCs/>
                <w:sz w:val="16"/>
                <w:szCs w:val="16"/>
                <w:lang w:val="es-ES_tradnl" w:eastAsia="es-ES"/>
              </w:rPr>
            </w:pPr>
          </w:p>
        </w:tc>
        <w:tc>
          <w:tcPr>
            <w:tcW w:w="59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sz w:val="16"/>
                <w:szCs w:val="16"/>
                <w:lang w:val="es-ES_tradnl" w:eastAsia="es-ES"/>
              </w:rPr>
            </w:pPr>
          </w:p>
        </w:tc>
        <w:tc>
          <w:tcPr>
            <w:tcW w:w="31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sz w:val="16"/>
                <w:szCs w:val="16"/>
                <w:lang w:val="es-ES_tradnl" w:eastAsia="es-ES"/>
              </w:rPr>
            </w:pPr>
          </w:p>
        </w:tc>
        <w:tc>
          <w:tcPr>
            <w:tcW w:w="936" w:type="dxa"/>
            <w:tcBorders>
              <w:top w:val="nil"/>
              <w:left w:val="nil"/>
              <w:bottom w:val="nil"/>
              <w:right w:val="nil"/>
            </w:tcBorders>
            <w:shd w:val="clear" w:color="auto" w:fill="auto"/>
            <w:noWrap/>
            <w:vAlign w:val="bottom"/>
            <w:hideMark/>
          </w:tcPr>
          <w:p w:rsidR="00FF779C" w:rsidRPr="00C4585D" w:rsidRDefault="00FF779C" w:rsidP="00FF362A">
            <w:pPr>
              <w:rPr>
                <w:rFonts w:eastAsia="Times New Roman"/>
                <w:sz w:val="16"/>
                <w:szCs w:val="16"/>
                <w:lang w:val="es-ES_tradnl" w:eastAsia="es-ES"/>
              </w:rPr>
            </w:pPr>
          </w:p>
        </w:tc>
      </w:tr>
    </w:tbl>
    <w:p w:rsidR="00FF779C" w:rsidRPr="00C4585D" w:rsidRDefault="00FF779C" w:rsidP="00FF779C">
      <w:pPr>
        <w:widowControl w:val="0"/>
        <w:jc w:val="both"/>
        <w:rPr>
          <w:sz w:val="20"/>
          <w:lang w:val="es-ES_tradnl"/>
        </w:rPr>
      </w:pPr>
    </w:p>
    <w:p w:rsidR="00FF779C" w:rsidRPr="00C63E35" w:rsidRDefault="00FF779C" w:rsidP="00FF779C">
      <w:pPr>
        <w:pStyle w:val="Heading2"/>
        <w:keepNext w:val="0"/>
        <w:widowControl w:val="0"/>
        <w:rPr>
          <w:b/>
          <w:caps w:val="0"/>
          <w:sz w:val="24"/>
          <w:szCs w:val="24"/>
          <w:lang w:val="es-ES_tradnl"/>
        </w:rPr>
      </w:pPr>
      <w:bookmarkStart w:id="10" w:name="_Toc366078698"/>
      <w:bookmarkEnd w:id="9"/>
      <w:r w:rsidRPr="00C63E35">
        <w:rPr>
          <w:b/>
          <w:caps w:val="0"/>
          <w:sz w:val="24"/>
          <w:szCs w:val="24"/>
          <w:lang w:val="es-ES_tradnl"/>
        </w:rPr>
        <w:t>INGRESOS</w:t>
      </w:r>
      <w:bookmarkEnd w:id="10"/>
    </w:p>
    <w:p w:rsidR="00FF779C" w:rsidRPr="00C4585D" w:rsidRDefault="00FF779C" w:rsidP="00FF779C">
      <w:pPr>
        <w:widowControl w:val="0"/>
        <w:shd w:val="clear" w:color="auto" w:fill="FFFFFF"/>
        <w:rPr>
          <w:bCs/>
          <w:sz w:val="20"/>
          <w:lang w:val="es-ES_tradnl"/>
        </w:rPr>
      </w:pPr>
    </w:p>
    <w:p w:rsidR="00FF779C" w:rsidRPr="00C4585D" w:rsidRDefault="00FF779C" w:rsidP="00FF779C">
      <w:pPr>
        <w:widowControl w:val="0"/>
        <w:numPr>
          <w:ilvl w:val="0"/>
          <w:numId w:val="4"/>
        </w:numPr>
        <w:tabs>
          <w:tab w:val="clear" w:pos="360"/>
        </w:tabs>
        <w:ind w:left="0" w:firstLine="0"/>
        <w:jc w:val="both"/>
        <w:rPr>
          <w:sz w:val="20"/>
          <w:lang w:val="es-ES_tradnl"/>
        </w:rPr>
      </w:pPr>
      <w:r w:rsidRPr="0093436F">
        <w:rPr>
          <w:rFonts w:eastAsia="Calibri"/>
          <w:sz w:val="20"/>
          <w:lang w:val="es-ES_tradnl"/>
        </w:rPr>
        <w:t xml:space="preserve">La </w:t>
      </w:r>
      <w:r w:rsidRPr="00C4585D">
        <w:rPr>
          <w:sz w:val="20"/>
          <w:lang w:val="es-ES_tradnl"/>
        </w:rPr>
        <w:t>estimación</w:t>
      </w:r>
      <w:r w:rsidRPr="0093436F">
        <w:rPr>
          <w:rFonts w:eastAsia="Calibri"/>
          <w:sz w:val="20"/>
          <w:lang w:val="es-ES_tradnl"/>
        </w:rPr>
        <w:t xml:space="preserve"> del nivel global de ingresos en 2014/15 se cifra en </w:t>
      </w:r>
      <w:r w:rsidRPr="00C4585D">
        <w:rPr>
          <w:sz w:val="20"/>
          <w:lang w:val="es-ES_tradnl"/>
        </w:rPr>
        <w:t xml:space="preserve">713,3 </w:t>
      </w:r>
      <w:r w:rsidRPr="0093436F">
        <w:rPr>
          <w:rFonts w:eastAsia="Calibri"/>
          <w:sz w:val="20"/>
          <w:lang w:val="es-ES_tradnl"/>
        </w:rPr>
        <w:t>millones de francos suizos, lo que representa un aumento del 4,5% en relación con los niveles estimados de ingresos previstos para el bienio en curso</w:t>
      </w:r>
      <w:r w:rsidRPr="00C4585D">
        <w:rPr>
          <w:sz w:val="20"/>
          <w:lang w:val="es-ES_tradnl"/>
        </w:rPr>
        <w:t xml:space="preserve">.  Como puede apreciarse en el cuadro que figura </w:t>
      </w:r>
      <w:r w:rsidRPr="00C4585D">
        <w:rPr>
          <w:i/>
          <w:sz w:val="20"/>
          <w:lang w:val="es-ES_tradnl"/>
        </w:rPr>
        <w:t>infra</w:t>
      </w:r>
      <w:r w:rsidRPr="00C4585D">
        <w:rPr>
          <w:sz w:val="20"/>
          <w:lang w:val="es-ES_tradnl"/>
        </w:rPr>
        <w:t>, las estimaciones correspondientes a 2014/15 representan aumentos en los ingresos para todos los sistemas de registro, así como para las publicaciones, observándose una leve disminución en lo que atañe a los ingresos correspondientes a arbitraje y a otras fuentes, y un descenso más significativo y continuo en lo tocante a los ingresos por intereses, lo que refleja la actual depresión de las tasas de interés en los mercados financieros.</w:t>
      </w:r>
    </w:p>
    <w:p w:rsidR="00FF779C" w:rsidRPr="00C4585D" w:rsidRDefault="00FF779C" w:rsidP="00FF779C">
      <w:pPr>
        <w:widowControl w:val="0"/>
        <w:jc w:val="both"/>
        <w:rPr>
          <w:sz w:val="20"/>
          <w:lang w:val="es-ES_tradnl"/>
        </w:rPr>
      </w:pPr>
    </w:p>
    <w:p w:rsidR="00FF779C" w:rsidRPr="00C4585D" w:rsidRDefault="00FF779C" w:rsidP="00FF779C">
      <w:pPr>
        <w:widowControl w:val="0"/>
        <w:jc w:val="both"/>
        <w:rPr>
          <w:sz w:val="20"/>
          <w:lang w:val="es-ES_tradnl"/>
        </w:rPr>
      </w:pPr>
    </w:p>
    <w:p w:rsidR="00FF779C" w:rsidRPr="00C4585D" w:rsidRDefault="00FF779C" w:rsidP="00FF779C">
      <w:pPr>
        <w:keepNext/>
        <w:widowControl w:val="0"/>
        <w:jc w:val="center"/>
        <w:rPr>
          <w:sz w:val="20"/>
          <w:lang w:val="es-ES_tradnl"/>
        </w:rPr>
      </w:pPr>
      <w:r w:rsidRPr="00C4585D">
        <w:rPr>
          <w:sz w:val="20"/>
          <w:lang w:val="es-ES_tradnl"/>
        </w:rPr>
        <w:lastRenderedPageBreak/>
        <w:t>Cuadro 3.  Evolución de los ingresos de la Organización entre 2004/05 y 2014/15</w:t>
      </w:r>
    </w:p>
    <w:p w:rsidR="00FF779C" w:rsidRPr="00C4585D" w:rsidRDefault="00FF779C" w:rsidP="00FF779C">
      <w:pPr>
        <w:keepNext/>
        <w:widowControl w:val="0"/>
        <w:jc w:val="center"/>
        <w:rPr>
          <w:i/>
          <w:sz w:val="20"/>
          <w:lang w:val="es-ES_tradnl"/>
        </w:rPr>
      </w:pPr>
      <w:r w:rsidRPr="00C4585D">
        <w:rPr>
          <w:i/>
          <w:sz w:val="20"/>
          <w:lang w:val="es-ES_tradnl"/>
        </w:rPr>
        <w:t>(</w:t>
      </w:r>
      <w:proofErr w:type="gramStart"/>
      <w:r w:rsidRPr="00C4585D">
        <w:rPr>
          <w:i/>
          <w:sz w:val="20"/>
          <w:lang w:val="es-ES_tradnl"/>
        </w:rPr>
        <w:t>en</w:t>
      </w:r>
      <w:proofErr w:type="gramEnd"/>
      <w:r w:rsidRPr="00C4585D">
        <w:rPr>
          <w:i/>
          <w:sz w:val="20"/>
          <w:lang w:val="es-ES_tradnl"/>
        </w:rPr>
        <w:t xml:space="preserve"> millones de francos suizos)</w:t>
      </w:r>
    </w:p>
    <w:p w:rsidR="00FF779C" w:rsidRPr="00C4585D" w:rsidRDefault="00FF779C" w:rsidP="00FF779C">
      <w:pPr>
        <w:keepNext/>
        <w:widowControl w:val="0"/>
        <w:jc w:val="center"/>
        <w:rPr>
          <w:i/>
          <w:sz w:val="20"/>
          <w:lang w:val="es-ES_tradnl"/>
        </w:rPr>
      </w:pPr>
    </w:p>
    <w:p w:rsidR="00FF779C" w:rsidRPr="00C4585D" w:rsidRDefault="00C40A11" w:rsidP="00FF779C">
      <w:pPr>
        <w:widowControl w:val="0"/>
        <w:jc w:val="center"/>
        <w:rPr>
          <w:i/>
          <w:sz w:val="20"/>
          <w:lang w:val="es-ES_tradnl"/>
        </w:rPr>
      </w:pPr>
      <w:r>
        <w:rPr>
          <w:noProof/>
          <w:lang w:val="en-US" w:eastAsia="en-US"/>
        </w:rPr>
        <w:drawing>
          <wp:inline distT="0" distB="0" distL="0" distR="0" wp14:anchorId="3C1FAEAB" wp14:editId="267C99A2">
            <wp:extent cx="5745480" cy="3111500"/>
            <wp:effectExtent l="0" t="0" r="7620" b="0"/>
            <wp:docPr id="1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45480" cy="3111500"/>
                    </a:xfrm>
                    <a:prstGeom prst="rect">
                      <a:avLst/>
                    </a:prstGeom>
                    <a:noFill/>
                    <a:ln>
                      <a:noFill/>
                    </a:ln>
                  </pic:spPr>
                </pic:pic>
              </a:graphicData>
            </a:graphic>
          </wp:inline>
        </w:drawing>
      </w:r>
    </w:p>
    <w:p w:rsidR="00FF779C" w:rsidRPr="00C4585D" w:rsidRDefault="00FF779C" w:rsidP="00FF779C">
      <w:pPr>
        <w:widowControl w:val="0"/>
        <w:jc w:val="center"/>
        <w:rPr>
          <w:i/>
          <w:sz w:val="20"/>
          <w:lang w:val="es-ES_tradnl"/>
        </w:rPr>
      </w:pPr>
    </w:p>
    <w:p w:rsidR="00FF779C" w:rsidRPr="00C4585D" w:rsidRDefault="00FF779C" w:rsidP="00FF779C">
      <w:pPr>
        <w:widowControl w:val="0"/>
        <w:jc w:val="center"/>
        <w:rPr>
          <w:sz w:val="20"/>
          <w:lang w:val="es-ES_tradnl"/>
        </w:rPr>
      </w:pPr>
    </w:p>
    <w:p w:rsidR="00FF779C" w:rsidRPr="00C4585D" w:rsidRDefault="00FF779C" w:rsidP="00FF779C">
      <w:pPr>
        <w:widowControl w:val="0"/>
        <w:jc w:val="center"/>
        <w:rPr>
          <w:sz w:val="20"/>
          <w:lang w:val="es-ES_tradnl"/>
        </w:rPr>
      </w:pPr>
      <w:r w:rsidRPr="00C4585D">
        <w:rPr>
          <w:sz w:val="20"/>
          <w:lang w:val="es-ES_tradnl"/>
        </w:rPr>
        <w:t>Gráfico 1.  Evolución de los ingresos entre 1990/91 y 2014/15*</w:t>
      </w:r>
    </w:p>
    <w:p w:rsidR="00FF779C" w:rsidRPr="00C4585D" w:rsidRDefault="00FF779C" w:rsidP="00FF779C">
      <w:pPr>
        <w:widowControl w:val="0"/>
        <w:jc w:val="center"/>
        <w:rPr>
          <w:sz w:val="20"/>
          <w:lang w:val="es-ES_tradnl"/>
        </w:rPr>
      </w:pPr>
    </w:p>
    <w:p w:rsidR="00FF779C" w:rsidRPr="00C4585D" w:rsidRDefault="00C40A11" w:rsidP="00FF779C">
      <w:pPr>
        <w:widowControl w:val="0"/>
        <w:jc w:val="center"/>
        <w:rPr>
          <w:sz w:val="20"/>
          <w:lang w:val="es-ES_tradnl"/>
        </w:rPr>
      </w:pPr>
      <w:r>
        <w:rPr>
          <w:noProof/>
          <w:sz w:val="20"/>
          <w:lang w:val="en-US" w:eastAsia="en-US"/>
        </w:rPr>
        <w:drawing>
          <wp:inline distT="0" distB="0" distL="0" distR="0" wp14:anchorId="151EA895" wp14:editId="54360F9B">
            <wp:extent cx="5936615" cy="3343910"/>
            <wp:effectExtent l="0" t="0" r="0" b="0"/>
            <wp:docPr id="1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6615" cy="3343910"/>
                    </a:xfrm>
                    <a:prstGeom prst="rect">
                      <a:avLst/>
                    </a:prstGeom>
                    <a:noFill/>
                    <a:ln>
                      <a:noFill/>
                    </a:ln>
                  </pic:spPr>
                </pic:pic>
              </a:graphicData>
            </a:graphic>
          </wp:inline>
        </w:drawing>
      </w:r>
    </w:p>
    <w:p w:rsidR="00FF779C" w:rsidRPr="00C4585D" w:rsidRDefault="00FF779C" w:rsidP="00FF779C">
      <w:pPr>
        <w:widowControl w:val="0"/>
        <w:tabs>
          <w:tab w:val="left" w:pos="142"/>
        </w:tabs>
        <w:ind w:left="142"/>
        <w:rPr>
          <w:i/>
          <w:sz w:val="16"/>
          <w:szCs w:val="16"/>
          <w:lang w:val="es-ES_tradnl"/>
        </w:rPr>
      </w:pPr>
      <w:r w:rsidRPr="00C4585D">
        <w:rPr>
          <w:i/>
          <w:sz w:val="16"/>
          <w:szCs w:val="16"/>
          <w:lang w:val="es-ES_tradnl"/>
        </w:rPr>
        <w:t>* Las cifras correspondientes a 2012/13 y 2014/15 constituyen estimaciones</w:t>
      </w:r>
    </w:p>
    <w:p w:rsidR="00FF779C" w:rsidRPr="00C4585D" w:rsidRDefault="00FF779C" w:rsidP="00FF779C">
      <w:pPr>
        <w:widowControl w:val="0"/>
        <w:rPr>
          <w:sz w:val="20"/>
          <w:lang w:val="es-ES_tradnl"/>
        </w:rPr>
      </w:pPr>
    </w:p>
    <w:p w:rsidR="00A275A0" w:rsidRPr="00C4585D" w:rsidRDefault="00A275A0" w:rsidP="00FF779C">
      <w:pPr>
        <w:widowControl w:val="0"/>
        <w:rPr>
          <w:sz w:val="20"/>
          <w:lang w:val="es-ES_tradnl"/>
        </w:rPr>
      </w:pPr>
    </w:p>
    <w:p w:rsidR="00FF779C" w:rsidRPr="00C4585D" w:rsidRDefault="00FF779C" w:rsidP="00A275A0">
      <w:pPr>
        <w:rPr>
          <w:u w:val="single"/>
          <w:lang w:val="es-ES_tradnl"/>
        </w:rPr>
      </w:pPr>
      <w:r w:rsidRPr="00C4585D">
        <w:rPr>
          <w:u w:val="single"/>
          <w:lang w:val="es-ES_tradnl"/>
        </w:rPr>
        <w:t>Ingresos procedentes de los sistemas internacionales de registro</w:t>
      </w:r>
    </w:p>
    <w:p w:rsidR="00FF779C" w:rsidRPr="00C4585D" w:rsidRDefault="00FF779C" w:rsidP="00FF779C">
      <w:pPr>
        <w:widowControl w:val="0"/>
        <w:rPr>
          <w:bCs/>
          <w:sz w:val="20"/>
          <w:lang w:val="es-ES_tradnl"/>
        </w:rPr>
      </w:pPr>
    </w:p>
    <w:p w:rsidR="00FF779C" w:rsidRPr="00C4585D" w:rsidRDefault="00FF779C" w:rsidP="00FF779C">
      <w:pPr>
        <w:widowControl w:val="0"/>
        <w:numPr>
          <w:ilvl w:val="0"/>
          <w:numId w:val="4"/>
        </w:numPr>
        <w:tabs>
          <w:tab w:val="clear" w:pos="360"/>
        </w:tabs>
        <w:ind w:left="0" w:firstLine="0"/>
        <w:jc w:val="both"/>
        <w:rPr>
          <w:bCs/>
          <w:sz w:val="20"/>
          <w:lang w:val="es-ES_tradnl"/>
        </w:rPr>
      </w:pPr>
      <w:r w:rsidRPr="00C4585D">
        <w:rPr>
          <w:bCs/>
          <w:sz w:val="20"/>
          <w:lang w:val="es-ES_tradnl"/>
        </w:rPr>
        <w:t xml:space="preserve">La principal </w:t>
      </w:r>
      <w:r w:rsidRPr="00C4585D">
        <w:rPr>
          <w:sz w:val="20"/>
          <w:lang w:val="es-ES_tradnl"/>
        </w:rPr>
        <w:t>fuente</w:t>
      </w:r>
      <w:r w:rsidRPr="00C4585D">
        <w:rPr>
          <w:bCs/>
          <w:sz w:val="20"/>
          <w:lang w:val="es-ES_tradnl"/>
        </w:rPr>
        <w:t xml:space="preserve"> de ingresos de la Organización siguen siendo las tasas por los servicios prestados en el marco de los sistemas del PCT, Madrid y La Haya.  El nivel global de ingresos ha seguido aumentando de forma sostenida en el último decenio y, en ese marco, ha seguido aumentando la proporción de ingresos en concepto de tasas.  Éstos siguen representando más del 90% del total de los ingresos de la Organización, según ilustra el gráfico que figura </w:t>
      </w:r>
      <w:r w:rsidRPr="00C4585D">
        <w:rPr>
          <w:bCs/>
          <w:i/>
          <w:sz w:val="20"/>
          <w:lang w:val="es-ES_tradnl"/>
        </w:rPr>
        <w:t>infra</w:t>
      </w:r>
      <w:r w:rsidRPr="00C4585D">
        <w:rPr>
          <w:bCs/>
          <w:sz w:val="20"/>
          <w:lang w:val="es-ES_tradnl"/>
        </w:rPr>
        <w:t xml:space="preserve">.  A la luz de la disminución de los ingresos correspondientes a intereses y a otras fuentes en los bienios pasados, han seguido </w:t>
      </w:r>
      <w:r w:rsidRPr="00C4585D">
        <w:rPr>
          <w:bCs/>
          <w:sz w:val="20"/>
          <w:lang w:val="es-ES_tradnl"/>
        </w:rPr>
        <w:lastRenderedPageBreak/>
        <w:t>aumentando la importancia y la proporción de los ingresos en concepto de tasas, que representan poco menos del 94% del total de ingresos en 2014/15.</w:t>
      </w:r>
    </w:p>
    <w:p w:rsidR="00FF779C" w:rsidRPr="00C4585D" w:rsidRDefault="00FF779C" w:rsidP="00FF779C">
      <w:pPr>
        <w:widowControl w:val="0"/>
        <w:jc w:val="both"/>
        <w:rPr>
          <w:bCs/>
          <w:sz w:val="20"/>
          <w:lang w:val="es-ES_tradnl"/>
        </w:rPr>
      </w:pPr>
    </w:p>
    <w:p w:rsidR="00FF779C" w:rsidRPr="00C4585D" w:rsidRDefault="00FF779C" w:rsidP="00FF779C">
      <w:pPr>
        <w:widowControl w:val="0"/>
        <w:jc w:val="center"/>
        <w:rPr>
          <w:sz w:val="20"/>
          <w:lang w:val="es-ES_tradnl"/>
        </w:rPr>
      </w:pPr>
      <w:r w:rsidRPr="00C4585D">
        <w:rPr>
          <w:sz w:val="20"/>
          <w:lang w:val="es-ES_tradnl"/>
        </w:rPr>
        <w:t>Gráfico 2.  Porcentaje de ingresos por tipo de ingreso - de 2004/05 a 2014/15</w:t>
      </w:r>
    </w:p>
    <w:p w:rsidR="00FF779C" w:rsidRPr="00C4585D" w:rsidRDefault="00C40A11" w:rsidP="00FF779C">
      <w:pPr>
        <w:widowControl w:val="0"/>
        <w:jc w:val="center"/>
        <w:rPr>
          <w:sz w:val="20"/>
          <w:lang w:val="es-ES_tradnl"/>
        </w:rPr>
      </w:pPr>
      <w:r>
        <w:rPr>
          <w:noProof/>
          <w:lang w:val="en-US" w:eastAsia="en-US"/>
        </w:rPr>
        <w:drawing>
          <wp:inline distT="0" distB="0" distL="0" distR="0" wp14:anchorId="39017EFB" wp14:editId="09713C94">
            <wp:extent cx="5936615" cy="3193415"/>
            <wp:effectExtent l="0" t="0" r="0" b="0"/>
            <wp:docPr id="1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36615" cy="3193415"/>
                    </a:xfrm>
                    <a:prstGeom prst="rect">
                      <a:avLst/>
                    </a:prstGeom>
                    <a:noFill/>
                    <a:ln>
                      <a:noFill/>
                    </a:ln>
                  </pic:spPr>
                </pic:pic>
              </a:graphicData>
            </a:graphic>
          </wp:inline>
        </w:drawing>
      </w:r>
    </w:p>
    <w:p w:rsidR="00FF779C" w:rsidRPr="00C4585D" w:rsidRDefault="00FF779C" w:rsidP="00FF779C">
      <w:pPr>
        <w:widowControl w:val="0"/>
        <w:numPr>
          <w:ilvl w:val="0"/>
          <w:numId w:val="4"/>
        </w:numPr>
        <w:tabs>
          <w:tab w:val="clear" w:pos="360"/>
        </w:tabs>
        <w:ind w:left="0" w:firstLine="0"/>
        <w:jc w:val="both"/>
        <w:rPr>
          <w:bCs/>
          <w:sz w:val="20"/>
          <w:lang w:val="es-ES_tradnl"/>
        </w:rPr>
      </w:pPr>
      <w:r w:rsidRPr="00C4585D">
        <w:rPr>
          <w:sz w:val="20"/>
          <w:lang w:val="es-ES_tradnl"/>
        </w:rPr>
        <w:t xml:space="preserve">Las estimaciones de los ingresos en concepto de tasas se basan en los modelos de previsión elaborados por la Secretaría, detallados en el Anexo IV del presente documento.  La estimación normal (o “estimación de base”) de los volúmenes de registro (solicitudes internacionales, registros, renovaciones) ha sido escogida tradicionalmente con fines de planificación como la hipótesis más adecuada a partir de la cual elaborar las estimaciones de los ingresos en concepto de tasas para los sistemas de registro.  Esas proyecciones y estimaciones han dado como resultado unas proyecciones de ingresos relativamente prudentes y </w:t>
      </w:r>
      <w:proofErr w:type="gramStart"/>
      <w:r w:rsidRPr="00C4585D">
        <w:rPr>
          <w:sz w:val="20"/>
          <w:lang w:val="es-ES_tradnl"/>
        </w:rPr>
        <w:t>moderadas</w:t>
      </w:r>
      <w:proofErr w:type="gramEnd"/>
      <w:r w:rsidRPr="00C4585D">
        <w:rPr>
          <w:sz w:val="20"/>
          <w:lang w:val="es-ES_tradnl"/>
        </w:rPr>
        <w:t xml:space="preserve">, según ilustra el gráfico que figura </w:t>
      </w:r>
      <w:r w:rsidRPr="00C4585D">
        <w:rPr>
          <w:i/>
          <w:sz w:val="20"/>
          <w:lang w:val="es-ES_tradnl"/>
        </w:rPr>
        <w:t>infra</w:t>
      </w:r>
      <w:r w:rsidRPr="00C4585D">
        <w:rPr>
          <w:sz w:val="20"/>
          <w:lang w:val="es-ES_tradnl"/>
        </w:rPr>
        <w:t>, en el que las cifras correspondientes al ingreso real exceden, en su mayoría, las previsiones.</w:t>
      </w:r>
    </w:p>
    <w:p w:rsidR="00FF779C" w:rsidRPr="00C4585D" w:rsidRDefault="00FF779C" w:rsidP="00FF779C">
      <w:pPr>
        <w:widowControl w:val="0"/>
        <w:jc w:val="both"/>
        <w:rPr>
          <w:bCs/>
          <w:sz w:val="20"/>
          <w:lang w:val="es-ES_tradnl"/>
        </w:rPr>
      </w:pPr>
    </w:p>
    <w:p w:rsidR="00FF779C" w:rsidRPr="00C4585D" w:rsidRDefault="00FF779C" w:rsidP="00AE07AF">
      <w:pPr>
        <w:widowControl w:val="0"/>
        <w:jc w:val="center"/>
        <w:rPr>
          <w:sz w:val="20"/>
          <w:lang w:val="es-ES_tradnl"/>
        </w:rPr>
      </w:pPr>
      <w:r w:rsidRPr="00C4585D">
        <w:rPr>
          <w:sz w:val="20"/>
          <w:lang w:val="es-ES_tradnl"/>
        </w:rPr>
        <w:t>Gráfico 3.  Previsión de ingreso e ingreso real entre 1990/91 y 2012/13*</w:t>
      </w:r>
    </w:p>
    <w:p w:rsidR="00FF779C" w:rsidRPr="00C4585D" w:rsidRDefault="00FF779C" w:rsidP="00AE07AF">
      <w:pPr>
        <w:widowControl w:val="0"/>
        <w:jc w:val="center"/>
        <w:rPr>
          <w:sz w:val="20"/>
          <w:lang w:val="es-ES_tradnl"/>
        </w:rPr>
      </w:pPr>
    </w:p>
    <w:p w:rsidR="00FF779C" w:rsidRPr="00C4585D" w:rsidRDefault="00C40A11" w:rsidP="00AE07AF">
      <w:pPr>
        <w:widowControl w:val="0"/>
        <w:jc w:val="center"/>
        <w:rPr>
          <w:sz w:val="20"/>
          <w:lang w:val="es-ES_tradnl"/>
        </w:rPr>
      </w:pPr>
      <w:r>
        <w:rPr>
          <w:noProof/>
          <w:lang w:val="en-US" w:eastAsia="en-US"/>
        </w:rPr>
        <w:drawing>
          <wp:inline distT="0" distB="0" distL="0" distR="0" wp14:anchorId="582DA1A0" wp14:editId="699E693D">
            <wp:extent cx="4994910" cy="3091180"/>
            <wp:effectExtent l="0" t="0" r="0" b="0"/>
            <wp:docPr id="1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994910" cy="3091180"/>
                    </a:xfrm>
                    <a:prstGeom prst="rect">
                      <a:avLst/>
                    </a:prstGeom>
                    <a:noFill/>
                    <a:ln>
                      <a:noFill/>
                    </a:ln>
                  </pic:spPr>
                </pic:pic>
              </a:graphicData>
            </a:graphic>
          </wp:inline>
        </w:drawing>
      </w:r>
    </w:p>
    <w:p w:rsidR="00FF779C" w:rsidRPr="00C4585D" w:rsidRDefault="00FF779C" w:rsidP="00FF779C">
      <w:pPr>
        <w:widowControl w:val="0"/>
        <w:ind w:left="284"/>
        <w:jc w:val="both"/>
        <w:rPr>
          <w:bCs/>
          <w:i/>
          <w:sz w:val="16"/>
          <w:szCs w:val="16"/>
          <w:lang w:val="es-ES_tradnl"/>
        </w:rPr>
      </w:pPr>
      <w:r w:rsidRPr="00C4585D">
        <w:rPr>
          <w:bCs/>
          <w:i/>
          <w:sz w:val="16"/>
          <w:szCs w:val="16"/>
          <w:lang w:val="es-ES_tradnl"/>
        </w:rPr>
        <w:t>*La cifra correspondiente a 2012/13 constituye una previsión (línea Ingreso real)</w:t>
      </w:r>
    </w:p>
    <w:p w:rsidR="00FF779C" w:rsidRPr="00C4585D" w:rsidRDefault="00FF779C" w:rsidP="00FF779C">
      <w:pPr>
        <w:widowControl w:val="0"/>
        <w:jc w:val="both"/>
        <w:rPr>
          <w:bCs/>
          <w:i/>
          <w:sz w:val="20"/>
          <w:lang w:val="es-ES_tradnl"/>
        </w:rPr>
      </w:pPr>
    </w:p>
    <w:p w:rsidR="00FF779C" w:rsidRPr="00C4585D" w:rsidRDefault="00FF779C" w:rsidP="00AE07AF">
      <w:pPr>
        <w:keepLines/>
        <w:widowControl w:val="0"/>
        <w:numPr>
          <w:ilvl w:val="0"/>
          <w:numId w:val="4"/>
        </w:numPr>
        <w:tabs>
          <w:tab w:val="clear" w:pos="360"/>
        </w:tabs>
        <w:ind w:left="0" w:firstLine="0"/>
        <w:jc w:val="both"/>
        <w:rPr>
          <w:bCs/>
          <w:sz w:val="20"/>
          <w:lang w:val="es-ES_tradnl"/>
        </w:rPr>
      </w:pPr>
      <w:r w:rsidRPr="00C4585D">
        <w:rPr>
          <w:bCs/>
          <w:sz w:val="20"/>
          <w:lang w:val="es-ES_tradnl"/>
        </w:rPr>
        <w:lastRenderedPageBreak/>
        <w:t xml:space="preserve">Al fijar los parámetros de planificación para 2014/15 en relación con los niveles de registro y de </w:t>
      </w:r>
      <w:r w:rsidRPr="00C4585D">
        <w:rPr>
          <w:sz w:val="20"/>
          <w:lang w:val="es-ES_tradnl"/>
        </w:rPr>
        <w:t>ingresos en concepto de tasas</w:t>
      </w:r>
      <w:r w:rsidRPr="00C4585D">
        <w:rPr>
          <w:bCs/>
          <w:sz w:val="20"/>
          <w:lang w:val="es-ES_tradnl"/>
        </w:rPr>
        <w:t xml:space="preserve">, al igual que en bienios anteriores la Oficina del Economista Jefe preparó para cada sistema de registro un conjunto amplio de proyecciones económicas y estadísticas que se basan en múltiples modelos estadísticos de previsión, entre otros, modelos </w:t>
      </w:r>
      <w:proofErr w:type="spellStart"/>
      <w:r w:rsidRPr="00C4585D">
        <w:rPr>
          <w:bCs/>
          <w:sz w:val="20"/>
          <w:lang w:val="es-ES_tradnl"/>
        </w:rPr>
        <w:t>autorregresivos</w:t>
      </w:r>
      <w:proofErr w:type="spellEnd"/>
      <w:r w:rsidRPr="00C4585D">
        <w:rPr>
          <w:bCs/>
          <w:sz w:val="20"/>
          <w:lang w:val="es-ES_tradnl"/>
        </w:rPr>
        <w:t>, econométricos y de transferencia.  La combinación de los datos producidos por esos modelos da como resultado una serie de márgenes de previsión de los volúmenes de trabajo, asignándose a cada uno probabilidades específicas.  Esas previsiones se exponen en el Anexo IV.</w:t>
      </w:r>
    </w:p>
    <w:p w:rsidR="00FF779C" w:rsidRPr="00C4585D" w:rsidRDefault="00FF779C" w:rsidP="00FF779C">
      <w:pPr>
        <w:widowControl w:val="0"/>
        <w:rPr>
          <w:sz w:val="20"/>
          <w:lang w:val="es-ES_tradnl"/>
        </w:rPr>
      </w:pPr>
    </w:p>
    <w:p w:rsidR="00FF779C" w:rsidRPr="00C4585D" w:rsidRDefault="00FF779C" w:rsidP="00FF779C">
      <w:pPr>
        <w:widowControl w:val="0"/>
        <w:numPr>
          <w:ilvl w:val="0"/>
          <w:numId w:val="4"/>
        </w:numPr>
        <w:tabs>
          <w:tab w:val="clear" w:pos="360"/>
          <w:tab w:val="num" w:pos="567"/>
        </w:tabs>
        <w:ind w:left="0" w:firstLine="0"/>
        <w:jc w:val="both"/>
        <w:rPr>
          <w:bCs/>
          <w:sz w:val="20"/>
          <w:lang w:val="es-ES_tradnl"/>
        </w:rPr>
      </w:pPr>
      <w:r w:rsidRPr="00C4585D">
        <w:rPr>
          <w:bCs/>
          <w:sz w:val="20"/>
          <w:lang w:val="es-ES_tradnl"/>
        </w:rPr>
        <w:t xml:space="preserve">En los ámbitos de trabajo pertinentes, se llevó a cabo un minucioso proceso de validación, de índole práctica </w:t>
      </w:r>
      <w:r w:rsidR="004608A0">
        <w:rPr>
          <w:bCs/>
          <w:sz w:val="20"/>
          <w:lang w:val="es-ES_tradnl"/>
        </w:rPr>
        <w:t>y abarcando todas las funciones</w:t>
      </w:r>
      <w:r w:rsidRPr="00C4585D">
        <w:rPr>
          <w:bCs/>
          <w:sz w:val="20"/>
          <w:lang w:val="es-ES_tradnl"/>
        </w:rPr>
        <w:t xml:space="preserve">, respecto de las hipótesis de base de los modelos, así como de los resultados generados por ellos.  En consecuencia, las cifras de la proyección de base se confirmaron como niveles de registro estimados, en el caso de sistemas del PCT y de La Haya, mientras que en el sistema de Madrid los volúmenes de registro y renovación estimados se confirmaron ligeramente por debajo de la proyección de base arrojada por los modelos.  En el cuadro que figura </w:t>
      </w:r>
      <w:r w:rsidRPr="00C4585D">
        <w:rPr>
          <w:bCs/>
          <w:i/>
          <w:sz w:val="20"/>
          <w:lang w:val="es-ES_tradnl"/>
        </w:rPr>
        <w:t>infra</w:t>
      </w:r>
      <w:r w:rsidRPr="00C4585D">
        <w:rPr>
          <w:bCs/>
          <w:sz w:val="20"/>
          <w:lang w:val="es-ES_tradnl"/>
        </w:rPr>
        <w:t xml:space="preserve"> se presentan los volúmenes de registro respectivos, que sirven de parámetros de planificación para el presupuesto 2014/15.</w:t>
      </w:r>
    </w:p>
    <w:p w:rsidR="00FF779C" w:rsidRPr="00C4585D" w:rsidRDefault="00FF779C" w:rsidP="00FF779C">
      <w:pPr>
        <w:widowControl w:val="0"/>
        <w:jc w:val="both"/>
        <w:rPr>
          <w:bCs/>
          <w:sz w:val="20"/>
          <w:lang w:val="es-ES_tradnl"/>
        </w:rPr>
      </w:pPr>
    </w:p>
    <w:p w:rsidR="00FF779C" w:rsidRDefault="00FF779C" w:rsidP="00FF779C">
      <w:pPr>
        <w:keepNext/>
        <w:widowControl w:val="0"/>
        <w:jc w:val="center"/>
        <w:rPr>
          <w:bCs/>
          <w:i/>
          <w:sz w:val="20"/>
          <w:lang w:val="es-ES_tradnl"/>
        </w:rPr>
      </w:pPr>
      <w:r w:rsidRPr="00C4585D">
        <w:rPr>
          <w:sz w:val="20"/>
          <w:lang w:val="es-ES_tradnl"/>
        </w:rPr>
        <w:t>Cuadro 4.  Estimación de la demanda de servicios (volumen de trabajo) en el marco de los sistemas del PCT, de Madrid y de La Haya</w:t>
      </w:r>
      <w:r w:rsidRPr="00C4585D">
        <w:rPr>
          <w:bCs/>
          <w:i/>
          <w:sz w:val="20"/>
          <w:lang w:val="es-ES_tradnl"/>
        </w:rPr>
        <w:t>*</w:t>
      </w:r>
    </w:p>
    <w:p w:rsidR="00A605D6" w:rsidRPr="00C4585D" w:rsidRDefault="00A605D6" w:rsidP="00FF779C">
      <w:pPr>
        <w:keepNext/>
        <w:widowControl w:val="0"/>
        <w:jc w:val="center"/>
        <w:rPr>
          <w:bCs/>
          <w:i/>
          <w:sz w:val="20"/>
          <w:lang w:val="es-ES_tradnl"/>
        </w:rPr>
      </w:pPr>
    </w:p>
    <w:p w:rsidR="00FF779C" w:rsidRPr="00C4585D" w:rsidRDefault="00C40A11" w:rsidP="00FF779C">
      <w:pPr>
        <w:keepNext/>
        <w:widowControl w:val="0"/>
        <w:jc w:val="center"/>
        <w:rPr>
          <w:bCs/>
          <w:i/>
          <w:sz w:val="20"/>
          <w:lang w:val="es-ES_tradnl"/>
        </w:rPr>
      </w:pPr>
      <w:r>
        <w:rPr>
          <w:noProof/>
          <w:lang w:val="en-US" w:eastAsia="en-US"/>
        </w:rPr>
        <w:drawing>
          <wp:inline distT="0" distB="0" distL="0" distR="0" wp14:anchorId="7D383B7F" wp14:editId="714F7E61">
            <wp:extent cx="5943600" cy="1657985"/>
            <wp:effectExtent l="0" t="0" r="0" b="0"/>
            <wp:docPr id="1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657985"/>
                    </a:xfrm>
                    <a:prstGeom prst="rect">
                      <a:avLst/>
                    </a:prstGeom>
                    <a:noFill/>
                    <a:ln>
                      <a:noFill/>
                    </a:ln>
                  </pic:spPr>
                </pic:pic>
              </a:graphicData>
            </a:graphic>
          </wp:inline>
        </w:drawing>
      </w:r>
    </w:p>
    <w:p w:rsidR="00FF779C" w:rsidRPr="00C4585D" w:rsidRDefault="00FF779C" w:rsidP="00A605D6">
      <w:pPr>
        <w:keepNext/>
        <w:widowControl w:val="0"/>
        <w:jc w:val="right"/>
        <w:rPr>
          <w:bCs/>
          <w:i/>
          <w:sz w:val="20"/>
          <w:lang w:val="es-ES_tradnl"/>
        </w:rPr>
      </w:pPr>
    </w:p>
    <w:p w:rsidR="00FF779C" w:rsidRPr="00C4585D" w:rsidRDefault="00FF779C" w:rsidP="00FF779C">
      <w:pPr>
        <w:widowControl w:val="0"/>
        <w:jc w:val="both"/>
        <w:rPr>
          <w:bCs/>
          <w:i/>
          <w:sz w:val="16"/>
          <w:szCs w:val="16"/>
          <w:lang w:val="es-ES_tradnl"/>
        </w:rPr>
      </w:pPr>
      <w:r w:rsidRPr="00C4585D">
        <w:rPr>
          <w:bCs/>
          <w:i/>
          <w:sz w:val="16"/>
          <w:szCs w:val="16"/>
          <w:lang w:val="es-ES_tradnl"/>
        </w:rPr>
        <w:t>*Cifras reales al mes de enero de 2013</w:t>
      </w:r>
    </w:p>
    <w:p w:rsidR="00FF779C" w:rsidRDefault="00FF779C" w:rsidP="00FF779C">
      <w:pPr>
        <w:widowControl w:val="0"/>
        <w:rPr>
          <w:bCs/>
          <w:sz w:val="20"/>
          <w:lang w:val="es-ES_tradnl"/>
        </w:rPr>
      </w:pPr>
    </w:p>
    <w:p w:rsidR="00007A7B" w:rsidRPr="00C4585D" w:rsidRDefault="00007A7B" w:rsidP="00FF779C">
      <w:pPr>
        <w:widowControl w:val="0"/>
        <w:rPr>
          <w:bCs/>
          <w:sz w:val="20"/>
          <w:lang w:val="es-ES_tradnl"/>
        </w:rPr>
      </w:pPr>
    </w:p>
    <w:p w:rsidR="00FF779C" w:rsidRPr="00007A7B" w:rsidRDefault="00FF779C" w:rsidP="00007A7B">
      <w:pPr>
        <w:rPr>
          <w:u w:val="single"/>
          <w:lang w:val="es-ES_tradnl"/>
        </w:rPr>
      </w:pPr>
      <w:r w:rsidRPr="00007A7B">
        <w:rPr>
          <w:u w:val="single"/>
          <w:lang w:val="es-ES_tradnl"/>
        </w:rPr>
        <w:t>Ingresos de otras fuentes</w:t>
      </w:r>
    </w:p>
    <w:p w:rsidR="00FF779C" w:rsidRPr="00C4585D" w:rsidRDefault="00FF779C" w:rsidP="00FF779C">
      <w:pPr>
        <w:widowControl w:val="0"/>
        <w:rPr>
          <w:bCs/>
          <w:sz w:val="20"/>
          <w:lang w:val="es-ES_tradnl"/>
        </w:rPr>
      </w:pPr>
    </w:p>
    <w:p w:rsidR="00FF779C" w:rsidRPr="00C4585D" w:rsidRDefault="00FF779C" w:rsidP="00FF779C">
      <w:pPr>
        <w:widowControl w:val="0"/>
        <w:numPr>
          <w:ilvl w:val="0"/>
          <w:numId w:val="4"/>
        </w:numPr>
        <w:tabs>
          <w:tab w:val="clear" w:pos="360"/>
          <w:tab w:val="num" w:pos="567"/>
        </w:tabs>
        <w:ind w:left="0" w:firstLine="0"/>
        <w:jc w:val="both"/>
        <w:rPr>
          <w:bCs/>
          <w:sz w:val="20"/>
          <w:lang w:val="es-ES_tradnl"/>
        </w:rPr>
      </w:pPr>
      <w:r w:rsidRPr="00C4585D">
        <w:rPr>
          <w:bCs/>
          <w:sz w:val="20"/>
          <w:lang w:val="es-ES_tradnl"/>
        </w:rPr>
        <w:t>Los ingresos procedentes de las contribuciones de los Estados miembros se mantuvieron prácticamente sin modificación en 35,2 millones de francos suizos para el bienio 2014/15;  compárese con 35,1 millones de francos suizos en 2012/13.</w:t>
      </w:r>
    </w:p>
    <w:p w:rsidR="00FF779C" w:rsidRPr="00C4585D" w:rsidRDefault="00FF779C" w:rsidP="00FF779C">
      <w:pPr>
        <w:widowControl w:val="0"/>
        <w:jc w:val="both"/>
        <w:rPr>
          <w:bCs/>
          <w:sz w:val="20"/>
          <w:lang w:val="es-ES_tradnl"/>
        </w:rPr>
      </w:pPr>
    </w:p>
    <w:p w:rsidR="00FF779C" w:rsidRPr="00C4585D" w:rsidRDefault="00FF779C" w:rsidP="00FF779C">
      <w:pPr>
        <w:widowControl w:val="0"/>
        <w:numPr>
          <w:ilvl w:val="0"/>
          <w:numId w:val="4"/>
        </w:numPr>
        <w:tabs>
          <w:tab w:val="clear" w:pos="360"/>
          <w:tab w:val="num" w:pos="567"/>
        </w:tabs>
        <w:ind w:left="0" w:firstLine="0"/>
        <w:jc w:val="both"/>
        <w:rPr>
          <w:bCs/>
          <w:sz w:val="20"/>
          <w:lang w:val="es-ES_tradnl"/>
        </w:rPr>
      </w:pPr>
      <w:r w:rsidRPr="00C4585D">
        <w:rPr>
          <w:bCs/>
          <w:sz w:val="20"/>
          <w:lang w:val="es-ES_tradnl"/>
        </w:rPr>
        <w:t>Los ingresos correspondientes a los servicios prestados por el Centro de Arbitraje y Mediación se estiman en 2,8 millones de francos suizos para el bienio 2014/15.  Compárese con la estimación de 3</w:t>
      </w:r>
      <w:r w:rsidR="009A79CA">
        <w:rPr>
          <w:bCs/>
          <w:sz w:val="20"/>
          <w:lang w:val="es-ES_tradnl"/>
        </w:rPr>
        <w:t> </w:t>
      </w:r>
      <w:r w:rsidRPr="00C4585D">
        <w:rPr>
          <w:bCs/>
          <w:sz w:val="20"/>
          <w:lang w:val="es-ES_tradnl"/>
        </w:rPr>
        <w:t xml:space="preserve"> millones de francos suizos en 2012/13.  La disminución en la estimación se debe a la incertidumbre relacionada con las menores cuantías que los titulares de marcas destinan a hacer valer sus derechos y a las novedades relativas a los proveedores de servicios de solución de controversias con arreglo a la Política Uniforme de solución de controversias en materias de nombres de dominio, así como a las alternativas a la Política Uniforme que se presentan en el ámbito de los nuevos dominios de nivel superior</w:t>
      </w:r>
      <w:r w:rsidRPr="00C4585D">
        <w:rPr>
          <w:sz w:val="20"/>
          <w:lang w:val="es-ES_tradnl"/>
        </w:rPr>
        <w:t>.</w:t>
      </w:r>
    </w:p>
    <w:p w:rsidR="00FF779C" w:rsidRPr="00C4585D" w:rsidRDefault="00FF779C" w:rsidP="00FF779C">
      <w:pPr>
        <w:widowControl w:val="0"/>
        <w:jc w:val="both"/>
        <w:rPr>
          <w:bCs/>
          <w:sz w:val="20"/>
          <w:lang w:val="es-ES_tradnl"/>
        </w:rPr>
      </w:pPr>
    </w:p>
    <w:p w:rsidR="00FF779C" w:rsidRPr="00C4585D" w:rsidRDefault="00FF779C" w:rsidP="00FF779C">
      <w:pPr>
        <w:widowControl w:val="0"/>
        <w:numPr>
          <w:ilvl w:val="0"/>
          <w:numId w:val="4"/>
        </w:numPr>
        <w:tabs>
          <w:tab w:val="clear" w:pos="360"/>
          <w:tab w:val="num" w:pos="567"/>
        </w:tabs>
        <w:ind w:left="0" w:firstLine="0"/>
        <w:jc w:val="both"/>
        <w:rPr>
          <w:bCs/>
          <w:sz w:val="20"/>
          <w:lang w:val="es-ES_tradnl"/>
        </w:rPr>
      </w:pPr>
      <w:r w:rsidRPr="00C4585D">
        <w:rPr>
          <w:bCs/>
          <w:sz w:val="20"/>
          <w:lang w:val="es-ES_tradnl"/>
        </w:rPr>
        <w:t xml:space="preserve">Los ingresos correspondientes a la venta de publicaciones se estiman en 1.200.000 francos suizos;  compárese con 1.100.000 francos suizos en 2012/13.  Actualmente, la OMPI distribuye sin cargo más del 95% de sus publicaciones en papel.  Dichos ingresos derivan principalmente de la venta de los CD-ROM de </w:t>
      </w:r>
      <w:proofErr w:type="spellStart"/>
      <w:r w:rsidRPr="00C4585D">
        <w:rPr>
          <w:bCs/>
          <w:sz w:val="20"/>
          <w:lang w:val="es-ES_tradnl"/>
        </w:rPr>
        <w:t>PatentScope</w:t>
      </w:r>
      <w:proofErr w:type="spellEnd"/>
      <w:r w:rsidRPr="00C4585D">
        <w:rPr>
          <w:bCs/>
          <w:sz w:val="20"/>
          <w:lang w:val="es-ES_tradnl"/>
        </w:rPr>
        <w:t xml:space="preserve"> y las suscripciones a </w:t>
      </w:r>
      <w:proofErr w:type="spellStart"/>
      <w:r w:rsidRPr="00C4585D">
        <w:rPr>
          <w:bCs/>
          <w:sz w:val="20"/>
          <w:lang w:val="es-ES_tradnl"/>
        </w:rPr>
        <w:t>PatentScope</w:t>
      </w:r>
      <w:proofErr w:type="spellEnd"/>
      <w:r w:rsidRPr="00C4585D">
        <w:rPr>
          <w:bCs/>
          <w:sz w:val="20"/>
          <w:lang w:val="es-ES_tradnl"/>
        </w:rPr>
        <w:t xml:space="preserve"> en Internet, de la venta de algunas publicaciones en papel y de los ingresos por publicidad en la Revista de la OMPI.</w:t>
      </w:r>
    </w:p>
    <w:p w:rsidR="00FF779C" w:rsidRPr="00C4585D" w:rsidRDefault="00FF779C" w:rsidP="00FF779C">
      <w:pPr>
        <w:widowControl w:val="0"/>
        <w:jc w:val="both"/>
        <w:rPr>
          <w:bCs/>
          <w:sz w:val="20"/>
          <w:lang w:val="es-ES_tradnl"/>
        </w:rPr>
      </w:pPr>
    </w:p>
    <w:p w:rsidR="00FF779C" w:rsidRPr="00C4585D" w:rsidRDefault="00FF779C" w:rsidP="00FF779C">
      <w:pPr>
        <w:widowControl w:val="0"/>
        <w:numPr>
          <w:ilvl w:val="0"/>
          <w:numId w:val="4"/>
        </w:numPr>
        <w:tabs>
          <w:tab w:val="clear" w:pos="360"/>
          <w:tab w:val="num" w:pos="567"/>
        </w:tabs>
        <w:ind w:left="0" w:firstLine="0"/>
        <w:jc w:val="both"/>
        <w:rPr>
          <w:bCs/>
          <w:sz w:val="20"/>
          <w:lang w:val="es-ES_tradnl"/>
        </w:rPr>
      </w:pPr>
      <w:r w:rsidRPr="00C4585D">
        <w:rPr>
          <w:bCs/>
          <w:sz w:val="20"/>
          <w:lang w:val="es-ES_tradnl"/>
        </w:rPr>
        <w:t xml:space="preserve">Los ingresos correspondientes a los intereses se estiman en 1.500.000 francos suizos;  compárese con una estimación de 2,8 millones de francos suizos.  La reducción se debe principalmente a la disminución de las tasas de interés, </w:t>
      </w:r>
      <w:r w:rsidRPr="00C4585D">
        <w:rPr>
          <w:sz w:val="20"/>
          <w:lang w:val="es-ES_tradnl"/>
        </w:rPr>
        <w:t>lo que refleja la actual depresión de las tasas de interés en los mercados financieros.</w:t>
      </w:r>
    </w:p>
    <w:p w:rsidR="00FF779C" w:rsidRPr="00C4585D" w:rsidRDefault="00FF779C" w:rsidP="00FF779C">
      <w:pPr>
        <w:widowControl w:val="0"/>
        <w:jc w:val="both"/>
        <w:rPr>
          <w:bCs/>
          <w:sz w:val="20"/>
          <w:lang w:val="es-ES_tradnl"/>
        </w:rPr>
      </w:pPr>
    </w:p>
    <w:p w:rsidR="00FF779C" w:rsidRPr="00C4585D" w:rsidRDefault="00FF779C" w:rsidP="00D5012B">
      <w:pPr>
        <w:keepLines/>
        <w:widowControl w:val="0"/>
        <w:numPr>
          <w:ilvl w:val="0"/>
          <w:numId w:val="4"/>
        </w:numPr>
        <w:tabs>
          <w:tab w:val="clear" w:pos="360"/>
        </w:tabs>
        <w:ind w:left="0" w:firstLine="0"/>
        <w:jc w:val="both"/>
        <w:rPr>
          <w:bCs/>
          <w:sz w:val="20"/>
          <w:lang w:val="es-ES_tradnl"/>
        </w:rPr>
      </w:pPr>
      <w:r w:rsidRPr="00C4585D">
        <w:rPr>
          <w:bCs/>
          <w:sz w:val="20"/>
          <w:lang w:val="es-ES_tradnl"/>
        </w:rPr>
        <w:lastRenderedPageBreak/>
        <w:t>Los ingresos correspondientes a otras fuentes se estiman en 3</w:t>
      </w:r>
      <w:r w:rsidR="00397833">
        <w:rPr>
          <w:bCs/>
          <w:sz w:val="20"/>
          <w:lang w:val="es-ES_tradnl"/>
        </w:rPr>
        <w:t>,</w:t>
      </w:r>
      <w:r w:rsidRPr="00C4585D">
        <w:rPr>
          <w:bCs/>
          <w:sz w:val="20"/>
          <w:lang w:val="es-ES_tradnl"/>
        </w:rPr>
        <w:t>8 millones de francos suizos para el bienio 2014/15;  compárese con 4</w:t>
      </w:r>
      <w:r w:rsidR="00397833">
        <w:rPr>
          <w:bCs/>
          <w:sz w:val="20"/>
          <w:lang w:val="es-ES_tradnl"/>
        </w:rPr>
        <w:t>,</w:t>
      </w:r>
      <w:r w:rsidRPr="00C4585D">
        <w:rPr>
          <w:bCs/>
          <w:sz w:val="20"/>
          <w:lang w:val="es-ES_tradnl"/>
        </w:rPr>
        <w:t xml:space="preserve">1 millones de francos suizos en 2012/13.  Dichos ingresos incluyen los </w:t>
      </w:r>
      <w:r w:rsidRPr="0093436F">
        <w:rPr>
          <w:rFonts w:eastAsia="Calibri"/>
          <w:sz w:val="20"/>
          <w:lang w:val="es-ES_tradnl"/>
        </w:rPr>
        <w:t>pagos de la UPOV a la OMPI por servicios administrativos de apoyo</w:t>
      </w:r>
      <w:r w:rsidRPr="00C4585D">
        <w:rPr>
          <w:bCs/>
          <w:sz w:val="20"/>
          <w:lang w:val="es-ES_tradnl"/>
        </w:rPr>
        <w:t>;  ingresos en concepto de alquiler;  gastos de apoyo en relación con actividades extrapresupuestarias realizadas por la OMPI y financiadas mediante fondos fiduciarios;  tasas de inscripción a conferencias y programas de formación.</w:t>
      </w:r>
    </w:p>
    <w:p w:rsidR="00FF779C" w:rsidRPr="00C4585D" w:rsidRDefault="00FF779C" w:rsidP="00FF779C">
      <w:pPr>
        <w:widowControl w:val="0"/>
        <w:rPr>
          <w:sz w:val="20"/>
          <w:lang w:val="es-ES_tradnl"/>
        </w:rPr>
      </w:pPr>
    </w:p>
    <w:p w:rsidR="00FF779C" w:rsidRPr="00BA1F50" w:rsidRDefault="00FF779C" w:rsidP="00D5012B">
      <w:pPr>
        <w:pStyle w:val="Heading2"/>
        <w:keepNext w:val="0"/>
        <w:widowControl w:val="0"/>
        <w:rPr>
          <w:b/>
          <w:caps w:val="0"/>
          <w:sz w:val="24"/>
          <w:szCs w:val="24"/>
          <w:lang w:val="es-ES_tradnl"/>
        </w:rPr>
      </w:pPr>
      <w:bookmarkStart w:id="11" w:name="_Toc366078699"/>
      <w:r w:rsidRPr="00BA1F50">
        <w:rPr>
          <w:b/>
          <w:caps w:val="0"/>
          <w:sz w:val="24"/>
          <w:szCs w:val="24"/>
          <w:lang w:val="es-ES_tradnl"/>
        </w:rPr>
        <w:t>GASTOS</w:t>
      </w:r>
      <w:bookmarkEnd w:id="11"/>
    </w:p>
    <w:p w:rsidR="00FF779C" w:rsidRPr="00C4585D" w:rsidRDefault="00D5012B" w:rsidP="00D5012B">
      <w:pPr>
        <w:pStyle w:val="Heading3"/>
        <w:keepNext w:val="0"/>
        <w:rPr>
          <w:sz w:val="20"/>
          <w:szCs w:val="20"/>
          <w:u w:val="none"/>
          <w:lang w:val="es-ES_tradnl"/>
        </w:rPr>
      </w:pPr>
      <w:bookmarkStart w:id="12" w:name="_Toc366078700"/>
      <w:r w:rsidRPr="00C4585D">
        <w:rPr>
          <w:sz w:val="20"/>
          <w:szCs w:val="20"/>
          <w:u w:val="none"/>
          <w:lang w:val="es-ES_tradnl"/>
        </w:rPr>
        <w:t>GASTOS GLOBALES</w:t>
      </w:r>
      <w:bookmarkEnd w:id="12"/>
    </w:p>
    <w:p w:rsidR="00FF779C" w:rsidRPr="00C4585D" w:rsidRDefault="00FF779C" w:rsidP="00FF779C">
      <w:pPr>
        <w:widowControl w:val="0"/>
        <w:rPr>
          <w:sz w:val="20"/>
          <w:lang w:val="es-ES_tradnl"/>
        </w:rPr>
      </w:pPr>
    </w:p>
    <w:p w:rsidR="00FF779C" w:rsidRPr="00C4585D" w:rsidRDefault="00FF779C" w:rsidP="00FF779C">
      <w:pPr>
        <w:widowControl w:val="0"/>
        <w:numPr>
          <w:ilvl w:val="0"/>
          <w:numId w:val="4"/>
        </w:numPr>
        <w:tabs>
          <w:tab w:val="clear" w:pos="360"/>
        </w:tabs>
        <w:ind w:left="0" w:firstLine="0"/>
        <w:jc w:val="both"/>
        <w:rPr>
          <w:color w:val="000000"/>
          <w:sz w:val="20"/>
          <w:lang w:val="es-ES_tradnl"/>
        </w:rPr>
      </w:pPr>
      <w:r w:rsidRPr="00C4585D">
        <w:rPr>
          <w:color w:val="000000"/>
          <w:sz w:val="20"/>
          <w:lang w:val="es-ES_tradnl"/>
        </w:rPr>
        <w:t>El gasto total propuesto para el bienio 2014/15 asciende a 67</w:t>
      </w:r>
      <w:r w:rsidR="00037737">
        <w:rPr>
          <w:color w:val="000000"/>
          <w:sz w:val="20"/>
          <w:lang w:val="es-ES_tradnl"/>
        </w:rPr>
        <w:t>4</w:t>
      </w:r>
      <w:r w:rsidRPr="00C4585D">
        <w:rPr>
          <w:color w:val="000000"/>
          <w:sz w:val="20"/>
          <w:lang w:val="es-ES_tradnl"/>
        </w:rPr>
        <w:t xml:space="preserve"> millones de francos suizos, lo que representa un aumento de 2</w:t>
      </w:r>
      <w:r w:rsidR="00037737">
        <w:rPr>
          <w:color w:val="000000"/>
          <w:sz w:val="20"/>
          <w:lang w:val="es-ES_tradnl"/>
        </w:rPr>
        <w:t>5</w:t>
      </w:r>
      <w:r w:rsidRPr="00C4585D">
        <w:rPr>
          <w:color w:val="000000"/>
          <w:sz w:val="20"/>
          <w:lang w:val="es-ES_tradnl"/>
        </w:rPr>
        <w:t>,</w:t>
      </w:r>
      <w:r w:rsidR="00037737">
        <w:rPr>
          <w:color w:val="000000"/>
          <w:sz w:val="20"/>
          <w:lang w:val="es-ES_tradnl"/>
        </w:rPr>
        <w:t>6</w:t>
      </w:r>
      <w:r w:rsidRPr="00C4585D">
        <w:rPr>
          <w:color w:val="000000"/>
          <w:sz w:val="20"/>
          <w:lang w:val="es-ES_tradnl"/>
        </w:rPr>
        <w:t xml:space="preserve"> millones de francos suizos, es decir, el 3,</w:t>
      </w:r>
      <w:r w:rsidR="00037737">
        <w:rPr>
          <w:color w:val="000000"/>
          <w:sz w:val="20"/>
          <w:lang w:val="es-ES_tradnl"/>
        </w:rPr>
        <w:t>9</w:t>
      </w:r>
      <w:r w:rsidRPr="00C4585D">
        <w:rPr>
          <w:color w:val="000000"/>
          <w:sz w:val="20"/>
          <w:lang w:val="es-ES_tradnl"/>
        </w:rPr>
        <w:t>% con respecto al presupuesto de 2012/13 después de las transferencias.  Se propone incrementar los costos de personal, por un importe de 36,3 millones de francos suizos, es decir el 8,8%, y disminuir los costos no relativos al personal por un importe de 1</w:t>
      </w:r>
      <w:r w:rsidR="00037737">
        <w:rPr>
          <w:color w:val="000000"/>
          <w:sz w:val="20"/>
          <w:lang w:val="es-ES_tradnl"/>
        </w:rPr>
        <w:t>0</w:t>
      </w:r>
      <w:r w:rsidRPr="00C4585D">
        <w:rPr>
          <w:color w:val="000000"/>
          <w:sz w:val="20"/>
          <w:lang w:val="es-ES_tradnl"/>
        </w:rPr>
        <w:t>,</w:t>
      </w:r>
      <w:r w:rsidR="00037737">
        <w:rPr>
          <w:color w:val="000000"/>
          <w:sz w:val="20"/>
          <w:lang w:val="es-ES_tradnl"/>
        </w:rPr>
        <w:t>7</w:t>
      </w:r>
      <w:r w:rsidRPr="00C4585D">
        <w:rPr>
          <w:color w:val="000000"/>
          <w:sz w:val="20"/>
          <w:lang w:val="es-ES_tradnl"/>
        </w:rPr>
        <w:t xml:space="preserve"> millones de francos suizos, es decir, el 4.</w:t>
      </w:r>
      <w:r w:rsidR="00037737">
        <w:rPr>
          <w:color w:val="000000"/>
          <w:sz w:val="20"/>
          <w:lang w:val="es-ES_tradnl"/>
        </w:rPr>
        <w:t>5</w:t>
      </w:r>
      <w:r w:rsidRPr="00C4585D">
        <w:rPr>
          <w:color w:val="000000"/>
          <w:sz w:val="20"/>
          <w:lang w:val="es-ES_tradnl"/>
        </w:rPr>
        <w:t>%.</w:t>
      </w:r>
    </w:p>
    <w:p w:rsidR="00FF779C" w:rsidRPr="00C4585D" w:rsidRDefault="00FF779C" w:rsidP="00FF779C">
      <w:pPr>
        <w:widowControl w:val="0"/>
        <w:tabs>
          <w:tab w:val="num" w:pos="690"/>
        </w:tabs>
        <w:jc w:val="both"/>
        <w:rPr>
          <w:color w:val="000000"/>
          <w:sz w:val="20"/>
          <w:lang w:val="es-ES_tradnl"/>
        </w:rPr>
      </w:pPr>
    </w:p>
    <w:p w:rsidR="00FF779C" w:rsidRPr="00C4585D" w:rsidRDefault="00FF779C" w:rsidP="00FF779C">
      <w:pPr>
        <w:widowControl w:val="0"/>
        <w:numPr>
          <w:ilvl w:val="0"/>
          <w:numId w:val="4"/>
        </w:numPr>
        <w:tabs>
          <w:tab w:val="clear" w:pos="360"/>
        </w:tabs>
        <w:ind w:left="0" w:firstLine="0"/>
        <w:jc w:val="both"/>
        <w:rPr>
          <w:color w:val="000000"/>
          <w:sz w:val="20"/>
          <w:lang w:val="es-ES_tradnl"/>
        </w:rPr>
      </w:pPr>
      <w:r w:rsidRPr="00C4585D">
        <w:rPr>
          <w:color w:val="000000"/>
          <w:sz w:val="20"/>
          <w:lang w:val="es-ES_tradnl"/>
        </w:rPr>
        <w:t xml:space="preserve">En el gráfico que figura </w:t>
      </w:r>
      <w:r w:rsidRPr="00C4585D">
        <w:rPr>
          <w:i/>
          <w:color w:val="000000"/>
          <w:sz w:val="20"/>
          <w:lang w:val="es-ES_tradnl"/>
        </w:rPr>
        <w:t>infra</w:t>
      </w:r>
      <w:r w:rsidRPr="00C4585D">
        <w:rPr>
          <w:color w:val="000000"/>
          <w:sz w:val="20"/>
          <w:lang w:val="es-ES_tradnl"/>
        </w:rPr>
        <w:t xml:space="preserve"> se ilustra el contexto en el que puede situarse la evolución del presupuesto 2014/15 de la OMPI.  Desde 1990, se ha observado un incremento moderado en el presupuesto total, en sintonía con el crecimiento de la Organización y el aumento en la demanda de los servicios que presta.</w:t>
      </w:r>
    </w:p>
    <w:p w:rsidR="00FF779C" w:rsidRPr="00C4585D" w:rsidRDefault="00FF779C" w:rsidP="00FF779C">
      <w:pPr>
        <w:widowControl w:val="0"/>
        <w:tabs>
          <w:tab w:val="num" w:pos="690"/>
        </w:tabs>
        <w:jc w:val="both"/>
        <w:rPr>
          <w:color w:val="000000"/>
          <w:sz w:val="20"/>
          <w:lang w:val="es-ES_tradnl"/>
        </w:rPr>
      </w:pPr>
    </w:p>
    <w:p w:rsidR="00FF779C" w:rsidRPr="00C4585D" w:rsidRDefault="00FF779C" w:rsidP="00FF779C">
      <w:pPr>
        <w:widowControl w:val="0"/>
        <w:tabs>
          <w:tab w:val="num" w:pos="690"/>
        </w:tabs>
        <w:jc w:val="both"/>
        <w:rPr>
          <w:color w:val="000000"/>
          <w:sz w:val="20"/>
          <w:lang w:val="es-ES_tradnl"/>
        </w:rPr>
      </w:pPr>
    </w:p>
    <w:p w:rsidR="00FF779C" w:rsidRPr="00C4585D" w:rsidRDefault="00FF779C" w:rsidP="00FF779C">
      <w:pPr>
        <w:keepNext/>
        <w:widowControl w:val="0"/>
        <w:jc w:val="center"/>
        <w:rPr>
          <w:sz w:val="20"/>
          <w:lang w:val="es-ES_tradnl"/>
        </w:rPr>
      </w:pPr>
      <w:r w:rsidRPr="00C4585D">
        <w:rPr>
          <w:sz w:val="20"/>
          <w:lang w:val="es-ES_tradnl"/>
        </w:rPr>
        <w:t>Gráfico 4.  Evolución del gasto presupuestado de la OMPI entre 1990/91 y 2014/15</w:t>
      </w:r>
    </w:p>
    <w:p w:rsidR="00FF779C" w:rsidRPr="00C4585D" w:rsidRDefault="00E9192F" w:rsidP="00FF779C">
      <w:pPr>
        <w:widowControl w:val="0"/>
        <w:jc w:val="center"/>
        <w:rPr>
          <w:sz w:val="20"/>
          <w:lang w:val="es-ES_tradnl"/>
        </w:rPr>
      </w:pPr>
      <w:r w:rsidRPr="00E9192F">
        <w:rPr>
          <w:noProof/>
          <w:lang w:val="en-US" w:eastAsia="en-US"/>
        </w:rPr>
        <w:drawing>
          <wp:inline distT="0" distB="0" distL="0" distR="0" wp14:anchorId="11B04A33" wp14:editId="331B3CDA">
            <wp:extent cx="5940425" cy="2212728"/>
            <wp:effectExtent l="0" t="0" r="317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0425" cy="2212728"/>
                    </a:xfrm>
                    <a:prstGeom prst="rect">
                      <a:avLst/>
                    </a:prstGeom>
                    <a:noFill/>
                    <a:ln>
                      <a:noFill/>
                    </a:ln>
                  </pic:spPr>
                </pic:pic>
              </a:graphicData>
            </a:graphic>
          </wp:inline>
        </w:drawing>
      </w:r>
    </w:p>
    <w:p w:rsidR="00FF779C" w:rsidRPr="00C4585D" w:rsidRDefault="00FF779C" w:rsidP="00FF779C">
      <w:pPr>
        <w:widowControl w:val="0"/>
        <w:rPr>
          <w:sz w:val="20"/>
          <w:lang w:val="es-ES_tradnl"/>
        </w:rPr>
      </w:pPr>
    </w:p>
    <w:p w:rsidR="00FF779C" w:rsidRPr="00C4585D" w:rsidRDefault="00FF779C" w:rsidP="00FF779C">
      <w:pPr>
        <w:numPr>
          <w:ilvl w:val="0"/>
          <w:numId w:val="4"/>
        </w:numPr>
        <w:tabs>
          <w:tab w:val="clear" w:pos="360"/>
          <w:tab w:val="num" w:pos="567"/>
          <w:tab w:val="num" w:pos="690"/>
        </w:tabs>
        <w:ind w:left="0" w:firstLine="0"/>
        <w:jc w:val="both"/>
        <w:rPr>
          <w:color w:val="000000"/>
          <w:sz w:val="20"/>
          <w:lang w:val="es-ES_tradnl"/>
        </w:rPr>
      </w:pPr>
      <w:r w:rsidRPr="00C4585D">
        <w:rPr>
          <w:color w:val="000000"/>
          <w:sz w:val="20"/>
          <w:lang w:val="es-ES_tradnl"/>
        </w:rPr>
        <w:t xml:space="preserve">La estructura del gasto de la Organización en el mismo periodo se ha mantenido relativamente estable, y en gran parte se ajusta a la de una organización que presta servicios, en la que la mayor parte de los gastos corresponden a costos de personal.  Tal como se indica en el gráfico que figura </w:t>
      </w:r>
      <w:r w:rsidRPr="00C4585D">
        <w:rPr>
          <w:i/>
          <w:color w:val="000000"/>
          <w:sz w:val="20"/>
          <w:lang w:val="es-ES_tradnl"/>
        </w:rPr>
        <w:t>infra</w:t>
      </w:r>
      <w:r w:rsidRPr="00C4585D">
        <w:rPr>
          <w:color w:val="000000"/>
          <w:sz w:val="20"/>
          <w:lang w:val="es-ES_tradnl"/>
        </w:rPr>
        <w:t>, dichos costos han permanecido relativamente constantes en la OMPI en los últimos 20 años, aproximadamente, manteniéndose en el margen del 60-72%, en función de los gastos globales en un bienio determinado, y con la presión al alza que ejerce la reforma contractual, así como la necesidad de reconocer los costos relacionados con los futuros pasivos de la Organización que inciden claramente en los costos globales de personal.</w:t>
      </w:r>
    </w:p>
    <w:p w:rsidR="00FF779C" w:rsidRPr="00C4585D" w:rsidRDefault="00FF779C" w:rsidP="00FF779C">
      <w:pPr>
        <w:widowControl w:val="0"/>
        <w:tabs>
          <w:tab w:val="num" w:pos="690"/>
        </w:tabs>
        <w:jc w:val="both"/>
        <w:rPr>
          <w:color w:val="000000"/>
          <w:sz w:val="20"/>
          <w:lang w:val="es-ES_tradnl"/>
        </w:rPr>
      </w:pPr>
    </w:p>
    <w:p w:rsidR="00FF779C" w:rsidRPr="00C4585D" w:rsidRDefault="00FF779C" w:rsidP="00FF779C">
      <w:pPr>
        <w:widowControl w:val="0"/>
        <w:numPr>
          <w:ilvl w:val="0"/>
          <w:numId w:val="4"/>
        </w:numPr>
        <w:tabs>
          <w:tab w:val="clear" w:pos="360"/>
        </w:tabs>
        <w:ind w:left="0" w:firstLine="0"/>
        <w:jc w:val="both"/>
        <w:rPr>
          <w:color w:val="000000"/>
          <w:sz w:val="20"/>
          <w:lang w:val="es-ES_tradnl"/>
        </w:rPr>
      </w:pPr>
      <w:r w:rsidRPr="00C4585D">
        <w:rPr>
          <w:color w:val="000000"/>
          <w:sz w:val="20"/>
          <w:lang w:val="es-ES_tradnl"/>
        </w:rPr>
        <w:t>La Organización se ha esforzado significativamente por seguir perfeccionando y fortaleciendo la gestión financiera y para mejorar la eficacia en función de los costos, conteniendo de esa forma el aumento en los costos no relativos al personal.  En 2012/13, la proporción de costos de personal presupuestados equivalió al 63,3%, y presenta un leve aumento en 2014/15, pasando al 66,</w:t>
      </w:r>
      <w:r w:rsidR="00037737">
        <w:rPr>
          <w:color w:val="000000"/>
          <w:sz w:val="20"/>
          <w:lang w:val="es-ES_tradnl"/>
        </w:rPr>
        <w:t>3</w:t>
      </w:r>
      <w:r w:rsidRPr="00C4585D">
        <w:rPr>
          <w:color w:val="000000"/>
          <w:sz w:val="20"/>
          <w:lang w:val="es-ES_tradnl"/>
        </w:rPr>
        <w:t>%, debido a que sigue conteniéndose el aumento de los costos no relativos al personal.  Las medidas destinadas a fomentar la eficacia en función de los costos seguirán siendo, también en el próximo bienio, un elemento central de los esfuerzos desplegados por la Secretaría.</w:t>
      </w:r>
    </w:p>
    <w:p w:rsidR="00FF779C" w:rsidRPr="00C4585D" w:rsidRDefault="00FF779C" w:rsidP="00FF779C">
      <w:pPr>
        <w:jc w:val="center"/>
        <w:rPr>
          <w:sz w:val="18"/>
          <w:szCs w:val="18"/>
          <w:lang w:val="es-ES_tradnl"/>
        </w:rPr>
      </w:pPr>
    </w:p>
    <w:p w:rsidR="00FF779C" w:rsidRPr="00C4585D" w:rsidRDefault="00FF779C" w:rsidP="00FF779C">
      <w:pPr>
        <w:jc w:val="center"/>
        <w:rPr>
          <w:sz w:val="18"/>
          <w:szCs w:val="18"/>
          <w:lang w:val="es-ES_tradnl"/>
        </w:rPr>
      </w:pPr>
    </w:p>
    <w:p w:rsidR="00FF779C" w:rsidRPr="00C4585D" w:rsidRDefault="00FF779C" w:rsidP="00E47595">
      <w:pPr>
        <w:keepNext/>
        <w:keepLines/>
        <w:jc w:val="center"/>
        <w:rPr>
          <w:sz w:val="18"/>
          <w:szCs w:val="18"/>
          <w:lang w:val="es-ES_tradnl"/>
        </w:rPr>
      </w:pPr>
      <w:r w:rsidRPr="00C4585D">
        <w:rPr>
          <w:sz w:val="18"/>
          <w:szCs w:val="18"/>
          <w:lang w:val="es-ES_tradnl"/>
        </w:rPr>
        <w:lastRenderedPageBreak/>
        <w:t>Gráfico 5.  Evolución de la estructura de costos de la OMPI entre 1990/91 y 2014/15*</w:t>
      </w:r>
    </w:p>
    <w:p w:rsidR="00FF779C" w:rsidRPr="00C4585D" w:rsidRDefault="00FB7A25" w:rsidP="00E47595">
      <w:pPr>
        <w:keepNext/>
        <w:keepLines/>
        <w:jc w:val="center"/>
        <w:rPr>
          <w:sz w:val="18"/>
          <w:szCs w:val="18"/>
          <w:lang w:val="es-ES_tradnl"/>
        </w:rPr>
      </w:pPr>
      <w:r w:rsidRPr="00FB7A25">
        <w:rPr>
          <w:noProof/>
          <w:lang w:val="en-US" w:eastAsia="en-US"/>
        </w:rPr>
        <w:drawing>
          <wp:inline distT="0" distB="0" distL="0" distR="0" wp14:anchorId="36FA451F" wp14:editId="3A3A8C81">
            <wp:extent cx="5940425" cy="2532438"/>
            <wp:effectExtent l="0" t="0" r="3175" b="127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40425" cy="2532438"/>
                    </a:xfrm>
                    <a:prstGeom prst="rect">
                      <a:avLst/>
                    </a:prstGeom>
                    <a:noFill/>
                    <a:ln>
                      <a:noFill/>
                    </a:ln>
                  </pic:spPr>
                </pic:pic>
              </a:graphicData>
            </a:graphic>
          </wp:inline>
        </w:drawing>
      </w:r>
    </w:p>
    <w:p w:rsidR="00FF779C" w:rsidRPr="00C4585D" w:rsidRDefault="00FB7A25" w:rsidP="00E47595">
      <w:pPr>
        <w:keepNext/>
        <w:keepLines/>
        <w:widowControl w:val="0"/>
        <w:jc w:val="both"/>
        <w:rPr>
          <w:i/>
          <w:color w:val="000000"/>
          <w:sz w:val="16"/>
          <w:szCs w:val="16"/>
          <w:lang w:val="es-ES_tradnl"/>
        </w:rPr>
      </w:pPr>
      <w:r>
        <w:rPr>
          <w:i/>
          <w:color w:val="000000"/>
          <w:sz w:val="16"/>
          <w:szCs w:val="16"/>
          <w:lang w:val="es-ES_tradnl"/>
        </w:rPr>
        <w:tab/>
        <w:t>*R</w:t>
      </w:r>
      <w:proofErr w:type="gramStart"/>
      <w:r>
        <w:rPr>
          <w:i/>
          <w:color w:val="000000"/>
          <w:sz w:val="16"/>
          <w:szCs w:val="16"/>
          <w:lang w:val="es-ES_tradnl"/>
        </w:rPr>
        <w:t>:  real</w:t>
      </w:r>
      <w:proofErr w:type="gramEnd"/>
      <w:r w:rsidR="00FF779C" w:rsidRPr="00C4585D">
        <w:rPr>
          <w:i/>
          <w:color w:val="000000"/>
          <w:sz w:val="16"/>
          <w:szCs w:val="16"/>
          <w:lang w:val="es-ES_tradnl"/>
        </w:rPr>
        <w:t>;  P:  presupuestado</w:t>
      </w:r>
    </w:p>
    <w:p w:rsidR="00FF779C" w:rsidRDefault="00FF779C" w:rsidP="00FF779C">
      <w:pPr>
        <w:widowControl w:val="0"/>
        <w:jc w:val="both"/>
        <w:rPr>
          <w:color w:val="000000"/>
          <w:sz w:val="20"/>
          <w:lang w:val="es-ES_tradnl"/>
        </w:rPr>
      </w:pPr>
    </w:p>
    <w:p w:rsidR="00247004" w:rsidRDefault="00247004" w:rsidP="00247004">
      <w:pPr>
        <w:widowControl w:val="0"/>
        <w:numPr>
          <w:ilvl w:val="0"/>
          <w:numId w:val="4"/>
        </w:numPr>
        <w:tabs>
          <w:tab w:val="clear" w:pos="360"/>
          <w:tab w:val="num" w:pos="567"/>
          <w:tab w:val="num" w:pos="690"/>
        </w:tabs>
        <w:ind w:left="0" w:firstLine="0"/>
        <w:jc w:val="both"/>
        <w:rPr>
          <w:color w:val="000000"/>
          <w:sz w:val="20"/>
          <w:lang w:val="es-ES_tradnl"/>
        </w:rPr>
      </w:pPr>
      <w:r>
        <w:rPr>
          <w:color w:val="000000"/>
          <w:sz w:val="20"/>
          <w:lang w:val="es-ES_tradnl"/>
        </w:rPr>
        <w:t xml:space="preserve">Tal como se indica en el párrafo 14, la Secretaría ha elaborado un plan maestro de mejoras de infraestructura, es decir, un plan global y sostenible sobre los proyectos </w:t>
      </w:r>
      <w:r w:rsidR="002208BF">
        <w:rPr>
          <w:color w:val="000000"/>
          <w:sz w:val="20"/>
          <w:lang w:val="es-ES_tradnl"/>
        </w:rPr>
        <w:t>de gasto de capital cuya ejecución está prevista para los tres bienios siguientes, de 2014 a 2019.  El plan maestro ofrece un panorama de los proyectos de gasto de capital con independencia de la fuente de financiación, y h</w:t>
      </w:r>
      <w:r w:rsidR="00257F0A">
        <w:rPr>
          <w:color w:val="000000"/>
          <w:sz w:val="20"/>
          <w:lang w:val="es-ES_tradnl"/>
        </w:rPr>
        <w:t xml:space="preserve">ace una clara diferencia entre </w:t>
      </w:r>
      <w:r w:rsidR="002208BF">
        <w:rPr>
          <w:color w:val="000000"/>
          <w:sz w:val="20"/>
          <w:lang w:val="es-ES_tradnl"/>
        </w:rPr>
        <w:t>l</w:t>
      </w:r>
      <w:r w:rsidR="00257F0A">
        <w:rPr>
          <w:color w:val="000000"/>
          <w:sz w:val="20"/>
          <w:lang w:val="es-ES_tradnl"/>
        </w:rPr>
        <w:t>os</w:t>
      </w:r>
      <w:r w:rsidR="002208BF">
        <w:rPr>
          <w:color w:val="000000"/>
          <w:sz w:val="20"/>
          <w:lang w:val="es-ES_tradnl"/>
        </w:rPr>
        <w:t xml:space="preserve"> </w:t>
      </w:r>
      <w:r w:rsidR="003752B5">
        <w:rPr>
          <w:color w:val="000000"/>
          <w:sz w:val="20"/>
          <w:lang w:val="es-ES_tradnl"/>
        </w:rPr>
        <w:t>costo</w:t>
      </w:r>
      <w:r w:rsidR="00257F0A">
        <w:rPr>
          <w:color w:val="000000"/>
          <w:sz w:val="20"/>
          <w:lang w:val="es-ES_tradnl"/>
        </w:rPr>
        <w:t>s</w:t>
      </w:r>
      <w:r w:rsidR="003752B5">
        <w:rPr>
          <w:color w:val="000000"/>
          <w:sz w:val="20"/>
          <w:lang w:val="es-ES_tradnl"/>
        </w:rPr>
        <w:t xml:space="preserve"> de la</w:t>
      </w:r>
      <w:r w:rsidR="002208BF">
        <w:rPr>
          <w:color w:val="000000"/>
          <w:sz w:val="20"/>
          <w:lang w:val="es-ES_tradnl"/>
        </w:rPr>
        <w:t xml:space="preserve"> inversión </w:t>
      </w:r>
      <w:r w:rsidR="00257F0A">
        <w:rPr>
          <w:color w:val="000000"/>
          <w:sz w:val="20"/>
          <w:lang w:val="es-ES_tradnl"/>
        </w:rPr>
        <w:t>no recurrentes</w:t>
      </w:r>
      <w:r w:rsidR="003752B5">
        <w:rPr>
          <w:color w:val="000000"/>
          <w:sz w:val="20"/>
          <w:lang w:val="es-ES_tradnl"/>
        </w:rPr>
        <w:t xml:space="preserve"> y </w:t>
      </w:r>
      <w:r w:rsidR="002208BF">
        <w:rPr>
          <w:color w:val="000000"/>
          <w:sz w:val="20"/>
          <w:lang w:val="es-ES_tradnl"/>
        </w:rPr>
        <w:t>l</w:t>
      </w:r>
      <w:r w:rsidR="003752B5">
        <w:rPr>
          <w:color w:val="000000"/>
          <w:sz w:val="20"/>
          <w:lang w:val="es-ES_tradnl"/>
        </w:rPr>
        <w:t>os</w:t>
      </w:r>
      <w:r w:rsidR="002208BF">
        <w:rPr>
          <w:color w:val="000000"/>
          <w:sz w:val="20"/>
          <w:lang w:val="es-ES_tradnl"/>
        </w:rPr>
        <w:t xml:space="preserve"> </w:t>
      </w:r>
      <w:r w:rsidR="003752B5">
        <w:rPr>
          <w:color w:val="000000"/>
          <w:sz w:val="20"/>
          <w:lang w:val="es-ES_tradnl"/>
        </w:rPr>
        <w:t>co</w:t>
      </w:r>
      <w:r w:rsidR="002208BF">
        <w:rPr>
          <w:color w:val="000000"/>
          <w:sz w:val="20"/>
          <w:lang w:val="es-ES_tradnl"/>
        </w:rPr>
        <w:t>sto</w:t>
      </w:r>
      <w:r w:rsidR="003752B5">
        <w:rPr>
          <w:color w:val="000000"/>
          <w:sz w:val="20"/>
          <w:lang w:val="es-ES_tradnl"/>
        </w:rPr>
        <w:t>s</w:t>
      </w:r>
      <w:r w:rsidR="002208BF">
        <w:rPr>
          <w:color w:val="000000"/>
          <w:sz w:val="20"/>
          <w:lang w:val="es-ES_tradnl"/>
        </w:rPr>
        <w:t xml:space="preserve"> de funcionamiento</w:t>
      </w:r>
      <w:r w:rsidR="00257F0A">
        <w:rPr>
          <w:color w:val="000000"/>
          <w:sz w:val="20"/>
          <w:lang w:val="es-ES_tradnl"/>
        </w:rPr>
        <w:t xml:space="preserve"> o </w:t>
      </w:r>
      <w:r w:rsidR="003752B5">
        <w:rPr>
          <w:color w:val="000000"/>
          <w:sz w:val="20"/>
          <w:lang w:val="es-ES_tradnl"/>
        </w:rPr>
        <w:t>recurrentes de cada proyecto.</w:t>
      </w:r>
    </w:p>
    <w:p w:rsidR="003752B5" w:rsidRDefault="003752B5" w:rsidP="003752B5">
      <w:pPr>
        <w:widowControl w:val="0"/>
        <w:tabs>
          <w:tab w:val="num" w:pos="690"/>
        </w:tabs>
        <w:jc w:val="both"/>
        <w:rPr>
          <w:color w:val="000000"/>
          <w:sz w:val="20"/>
          <w:lang w:val="es-ES_tradnl"/>
        </w:rPr>
      </w:pPr>
    </w:p>
    <w:p w:rsidR="003752B5" w:rsidRDefault="003752B5" w:rsidP="00247004">
      <w:pPr>
        <w:widowControl w:val="0"/>
        <w:numPr>
          <w:ilvl w:val="0"/>
          <w:numId w:val="4"/>
        </w:numPr>
        <w:tabs>
          <w:tab w:val="clear" w:pos="360"/>
          <w:tab w:val="num" w:pos="567"/>
          <w:tab w:val="num" w:pos="690"/>
        </w:tabs>
        <w:ind w:left="0" w:firstLine="0"/>
        <w:jc w:val="both"/>
        <w:rPr>
          <w:color w:val="000000"/>
          <w:sz w:val="20"/>
          <w:lang w:val="es-ES_tradnl"/>
        </w:rPr>
      </w:pPr>
      <w:r>
        <w:rPr>
          <w:color w:val="000000"/>
          <w:sz w:val="20"/>
          <w:lang w:val="es-ES_tradnl"/>
        </w:rPr>
        <w:t>Según se indica en el cuadro siguiente, para los proyectos cuya ejecución debería comenzar en</w:t>
      </w:r>
      <w:r w:rsidR="00037737">
        <w:rPr>
          <w:color w:val="000000"/>
          <w:sz w:val="20"/>
          <w:lang w:val="es-ES_tradnl"/>
        </w:rPr>
        <w:t> </w:t>
      </w:r>
      <w:r>
        <w:rPr>
          <w:color w:val="000000"/>
          <w:sz w:val="20"/>
          <w:lang w:val="es-ES_tradnl"/>
        </w:rPr>
        <w:t>2014 se propone que su financiación corra a cargo de las reservas, por un total de 11,2 millones de francos suizos.  Con respecto a los costos de funcionamiento/recurrent</w:t>
      </w:r>
      <w:r w:rsidR="00037737">
        <w:rPr>
          <w:color w:val="000000"/>
          <w:sz w:val="20"/>
          <w:lang w:val="es-ES_tradnl"/>
        </w:rPr>
        <w:t>es adicionales, por un total de </w:t>
      </w:r>
      <w:r>
        <w:rPr>
          <w:color w:val="000000"/>
          <w:sz w:val="20"/>
          <w:lang w:val="es-ES_tradnl"/>
        </w:rPr>
        <w:t>3,97 millones de francos suizos, se prevé que su financiación se impute al presupuesto ordinario en los próximos tres bienios</w:t>
      </w:r>
      <w:r w:rsidR="00FD7B6C">
        <w:rPr>
          <w:color w:val="000000"/>
          <w:sz w:val="20"/>
          <w:lang w:val="es-ES_tradnl"/>
        </w:rPr>
        <w:t>.  Se ha incluido en la propuesta de presupuesto por programas de 2014/15 un total de 170 mil francos suizos para cubrir los costos de funcionamiento/recurrentes de los proyectos cuya ejecución debería realizarse en 2014/15.</w:t>
      </w:r>
    </w:p>
    <w:p w:rsidR="00FD7B6C" w:rsidRDefault="00FD7B6C" w:rsidP="00FD7B6C">
      <w:pPr>
        <w:widowControl w:val="0"/>
        <w:tabs>
          <w:tab w:val="num" w:pos="690"/>
        </w:tabs>
        <w:jc w:val="both"/>
        <w:rPr>
          <w:color w:val="000000"/>
          <w:sz w:val="20"/>
          <w:lang w:val="es-ES_tradnl"/>
        </w:rPr>
      </w:pPr>
    </w:p>
    <w:p w:rsidR="00FD7B6C" w:rsidRPr="00237451" w:rsidRDefault="00237451" w:rsidP="00237451">
      <w:pPr>
        <w:widowControl w:val="0"/>
        <w:tabs>
          <w:tab w:val="num" w:pos="690"/>
        </w:tabs>
        <w:jc w:val="center"/>
        <w:rPr>
          <w:color w:val="000000"/>
          <w:sz w:val="20"/>
          <w:lang w:val="es-ES_tradnl"/>
        </w:rPr>
      </w:pPr>
      <w:r>
        <w:rPr>
          <w:color w:val="000000"/>
          <w:sz w:val="20"/>
          <w:lang w:val="es-ES_tradnl"/>
        </w:rPr>
        <w:t xml:space="preserve">Cuadro 5. Proyecto del Plan maestro de mejoras de infraestructura con financiación </w:t>
      </w:r>
      <w:r>
        <w:rPr>
          <w:color w:val="000000"/>
          <w:sz w:val="20"/>
          <w:lang w:val="es-ES_tradnl"/>
        </w:rPr>
        <w:br/>
        <w:t>a cargo de las reservas (</w:t>
      </w:r>
      <w:r>
        <w:rPr>
          <w:i/>
          <w:color w:val="000000"/>
          <w:sz w:val="20"/>
          <w:lang w:val="es-ES_tradnl"/>
        </w:rPr>
        <w:t>en miles de francos suizos</w:t>
      </w:r>
      <w:r>
        <w:rPr>
          <w:color w:val="000000"/>
          <w:sz w:val="20"/>
          <w:lang w:val="es-ES_tradnl"/>
        </w:rPr>
        <w:t>)</w:t>
      </w:r>
    </w:p>
    <w:p w:rsidR="00247004" w:rsidRDefault="00247004" w:rsidP="00FF779C">
      <w:pPr>
        <w:widowControl w:val="0"/>
        <w:jc w:val="both"/>
        <w:rPr>
          <w:color w:val="000000"/>
          <w:sz w:val="20"/>
          <w:lang w:val="es-ES_tradnl"/>
        </w:rPr>
      </w:pPr>
    </w:p>
    <w:p w:rsidR="00237451" w:rsidRDefault="00257F0A" w:rsidP="00257F0A">
      <w:pPr>
        <w:widowControl w:val="0"/>
        <w:jc w:val="center"/>
        <w:rPr>
          <w:color w:val="000000"/>
          <w:sz w:val="20"/>
          <w:lang w:val="es-ES_tradnl"/>
        </w:rPr>
      </w:pPr>
      <w:r w:rsidRPr="00257F0A">
        <w:rPr>
          <w:noProof/>
          <w:lang w:val="en-US" w:eastAsia="en-US"/>
        </w:rPr>
        <w:drawing>
          <wp:inline distT="0" distB="0" distL="0" distR="0" wp14:anchorId="732D0D52" wp14:editId="2265088A">
            <wp:extent cx="5940425" cy="1854618"/>
            <wp:effectExtent l="0" t="0" r="3175" b="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0425" cy="1854618"/>
                    </a:xfrm>
                    <a:prstGeom prst="rect">
                      <a:avLst/>
                    </a:prstGeom>
                    <a:noFill/>
                    <a:ln>
                      <a:noFill/>
                    </a:ln>
                  </pic:spPr>
                </pic:pic>
              </a:graphicData>
            </a:graphic>
          </wp:inline>
        </w:drawing>
      </w:r>
    </w:p>
    <w:p w:rsidR="00237451" w:rsidRDefault="00237451" w:rsidP="00FF779C">
      <w:pPr>
        <w:widowControl w:val="0"/>
        <w:jc w:val="both"/>
        <w:rPr>
          <w:color w:val="000000"/>
          <w:sz w:val="20"/>
          <w:lang w:val="es-ES_tradnl"/>
        </w:rPr>
      </w:pPr>
    </w:p>
    <w:p w:rsidR="00FF779C" w:rsidRPr="00C4585D" w:rsidRDefault="00FF779C" w:rsidP="00FF779C">
      <w:pPr>
        <w:widowControl w:val="0"/>
        <w:numPr>
          <w:ilvl w:val="0"/>
          <w:numId w:val="4"/>
        </w:numPr>
        <w:tabs>
          <w:tab w:val="clear" w:pos="360"/>
          <w:tab w:val="num" w:pos="567"/>
          <w:tab w:val="num" w:pos="690"/>
        </w:tabs>
        <w:ind w:left="0" w:firstLine="0"/>
        <w:jc w:val="both"/>
        <w:rPr>
          <w:sz w:val="20"/>
          <w:lang w:val="es-ES_tradnl"/>
        </w:rPr>
      </w:pPr>
      <w:r w:rsidRPr="00C4585D">
        <w:rPr>
          <w:color w:val="000000"/>
          <w:sz w:val="20"/>
          <w:lang w:val="es-ES_tradnl"/>
        </w:rPr>
        <w:t>En el cuadro que figura a continuación se exponen los detalles de la propuesta de presupuesto para 2014/15, por categoría de costo, comparándolos con el presupuesto de 2012/13 después de las transferencias.  En el Anexo II figura la consignación propuesta por programa en la propuesta de presupuesto para 2014/15, y en el Anexo I figura la comparación del presupuesto de 2012/13 después de las transferencias con el presupuesto inicial de 2012/13.</w:t>
      </w:r>
    </w:p>
    <w:p w:rsidR="00E47595" w:rsidRPr="00C4585D" w:rsidRDefault="00E47595" w:rsidP="00E47595">
      <w:pPr>
        <w:widowControl w:val="0"/>
        <w:tabs>
          <w:tab w:val="num" w:pos="690"/>
        </w:tabs>
        <w:jc w:val="both"/>
        <w:rPr>
          <w:color w:val="000000"/>
          <w:sz w:val="20"/>
          <w:lang w:val="es-ES_tradnl"/>
        </w:rPr>
      </w:pPr>
    </w:p>
    <w:p w:rsidR="00E47595" w:rsidRPr="00C4585D" w:rsidRDefault="00E47595" w:rsidP="00E47595">
      <w:pPr>
        <w:keepNext/>
        <w:jc w:val="center"/>
        <w:rPr>
          <w:bCs/>
          <w:sz w:val="18"/>
          <w:szCs w:val="18"/>
          <w:lang w:val="es-ES_tradnl"/>
        </w:rPr>
      </w:pPr>
      <w:r w:rsidRPr="00C4585D">
        <w:rPr>
          <w:bCs/>
          <w:sz w:val="18"/>
          <w:szCs w:val="18"/>
          <w:lang w:val="es-ES_tradnl"/>
        </w:rPr>
        <w:lastRenderedPageBreak/>
        <w:t>Cuadro 5</w:t>
      </w:r>
      <w:r w:rsidR="00F82128">
        <w:rPr>
          <w:bCs/>
          <w:i/>
          <w:sz w:val="18"/>
          <w:szCs w:val="18"/>
          <w:lang w:val="es-ES_tradnl"/>
        </w:rPr>
        <w:t>bis</w:t>
      </w:r>
      <w:r w:rsidRPr="00C4585D">
        <w:rPr>
          <w:bCs/>
          <w:sz w:val="18"/>
          <w:szCs w:val="18"/>
          <w:lang w:val="es-ES_tradnl"/>
        </w:rPr>
        <w:t>.  Presupuesto para 2014/15 – Por objeto de gasto</w:t>
      </w:r>
    </w:p>
    <w:p w:rsidR="00E47595" w:rsidRPr="00C4585D" w:rsidRDefault="00E47595" w:rsidP="00E47595">
      <w:pPr>
        <w:keepNext/>
        <w:jc w:val="center"/>
        <w:rPr>
          <w:bCs/>
          <w:i/>
          <w:sz w:val="18"/>
          <w:szCs w:val="18"/>
          <w:lang w:val="es-ES_tradnl"/>
        </w:rPr>
      </w:pPr>
      <w:r w:rsidRPr="00C4585D">
        <w:rPr>
          <w:bCs/>
          <w:i/>
          <w:sz w:val="18"/>
          <w:szCs w:val="18"/>
          <w:lang w:val="es-ES_tradnl"/>
        </w:rPr>
        <w:t>(</w:t>
      </w:r>
      <w:proofErr w:type="gramStart"/>
      <w:r w:rsidRPr="00C4585D">
        <w:rPr>
          <w:bCs/>
          <w:i/>
          <w:sz w:val="18"/>
          <w:szCs w:val="18"/>
          <w:lang w:val="es-ES_tradnl"/>
        </w:rPr>
        <w:t>en</w:t>
      </w:r>
      <w:proofErr w:type="gramEnd"/>
      <w:r w:rsidRPr="00C4585D">
        <w:rPr>
          <w:bCs/>
          <w:i/>
          <w:sz w:val="18"/>
          <w:szCs w:val="18"/>
          <w:lang w:val="es-ES_tradnl"/>
        </w:rPr>
        <w:t xml:space="preserve"> miles de francos suizos)</w:t>
      </w:r>
    </w:p>
    <w:p w:rsidR="00E47595" w:rsidRDefault="00E47595" w:rsidP="00E47595">
      <w:pPr>
        <w:keepNext/>
        <w:jc w:val="center"/>
        <w:rPr>
          <w:bCs/>
          <w:sz w:val="20"/>
          <w:lang w:val="es-ES_tradnl"/>
        </w:rPr>
      </w:pPr>
    </w:p>
    <w:p w:rsidR="00872D10" w:rsidRDefault="00194FE8" w:rsidP="00E47595">
      <w:pPr>
        <w:keepNext/>
        <w:jc w:val="center"/>
        <w:rPr>
          <w:bCs/>
          <w:sz w:val="20"/>
          <w:lang w:val="es-ES_tradnl"/>
        </w:rPr>
      </w:pPr>
      <w:r w:rsidRPr="00194FE8">
        <w:rPr>
          <w:noProof/>
          <w:lang w:val="en-US" w:eastAsia="en-US"/>
        </w:rPr>
        <w:drawing>
          <wp:inline distT="0" distB="0" distL="0" distR="0" wp14:anchorId="19055274" wp14:editId="7C38E814">
            <wp:extent cx="5940425" cy="5742016"/>
            <wp:effectExtent l="0" t="0" r="3175"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40425" cy="5742016"/>
                    </a:xfrm>
                    <a:prstGeom prst="rect">
                      <a:avLst/>
                    </a:prstGeom>
                    <a:noFill/>
                    <a:ln>
                      <a:noFill/>
                    </a:ln>
                  </pic:spPr>
                </pic:pic>
              </a:graphicData>
            </a:graphic>
          </wp:inline>
        </w:drawing>
      </w:r>
    </w:p>
    <w:p w:rsidR="00CC0358" w:rsidRPr="00C4585D" w:rsidRDefault="00CC0358" w:rsidP="00872D10">
      <w:pPr>
        <w:keepNext/>
        <w:rPr>
          <w:bCs/>
          <w:sz w:val="20"/>
          <w:lang w:val="es-ES_tradnl"/>
        </w:rPr>
      </w:pPr>
    </w:p>
    <w:p w:rsidR="00E47595" w:rsidRPr="00C4585D" w:rsidRDefault="00E47595" w:rsidP="00E47595">
      <w:pPr>
        <w:rPr>
          <w:sz w:val="16"/>
          <w:szCs w:val="16"/>
          <w:lang w:val="es-ES_tradnl"/>
        </w:rPr>
      </w:pPr>
      <w:r w:rsidRPr="00C4585D">
        <w:rPr>
          <w:sz w:val="16"/>
          <w:szCs w:val="16"/>
          <w:lang w:val="es-ES_tradnl"/>
        </w:rPr>
        <w:t>Notas:</w:t>
      </w:r>
    </w:p>
    <w:p w:rsidR="00E47595" w:rsidRPr="00C4585D" w:rsidRDefault="00E47595" w:rsidP="00E47595">
      <w:pPr>
        <w:rPr>
          <w:sz w:val="16"/>
          <w:szCs w:val="16"/>
          <w:u w:val="single"/>
          <w:lang w:val="es-ES_tradnl"/>
        </w:rPr>
      </w:pPr>
    </w:p>
    <w:p w:rsidR="00E47595" w:rsidRPr="00C4585D" w:rsidRDefault="00E47595" w:rsidP="00E47595">
      <w:pPr>
        <w:rPr>
          <w:sz w:val="16"/>
          <w:szCs w:val="16"/>
          <w:lang w:val="es-ES_tradnl"/>
        </w:rPr>
      </w:pPr>
      <w:r w:rsidRPr="00C4585D">
        <w:rPr>
          <w:sz w:val="16"/>
          <w:szCs w:val="16"/>
          <w:lang w:val="es-ES_tradnl"/>
        </w:rPr>
        <w:t xml:space="preserve">1)  </w:t>
      </w:r>
      <w:r w:rsidR="00812918" w:rsidRPr="00C75C7E">
        <w:rPr>
          <w:sz w:val="16"/>
          <w:szCs w:val="16"/>
          <w:lang w:val="es-ES_tradnl"/>
        </w:rPr>
        <w:t xml:space="preserve">El presupuesto aprobado de 2012/13 y el presupuesto de dicho bienio después de las transferencias se </w:t>
      </w:r>
      <w:proofErr w:type="spellStart"/>
      <w:r w:rsidR="00812918" w:rsidRPr="00C75C7E">
        <w:rPr>
          <w:sz w:val="16"/>
          <w:szCs w:val="16"/>
          <w:lang w:val="es-ES_tradnl"/>
        </w:rPr>
        <w:t>reexpresan</w:t>
      </w:r>
      <w:proofErr w:type="spellEnd"/>
      <w:r w:rsidR="00812918" w:rsidRPr="00C75C7E">
        <w:rPr>
          <w:sz w:val="16"/>
          <w:szCs w:val="16"/>
          <w:lang w:val="es-ES_tradnl"/>
        </w:rPr>
        <w:t xml:space="preserve"> sobre la base de la estructura de categorías d</w:t>
      </w:r>
      <w:r w:rsidR="00812918">
        <w:rPr>
          <w:sz w:val="16"/>
          <w:szCs w:val="16"/>
          <w:lang w:val="es-ES_tradnl"/>
        </w:rPr>
        <w:t>e costos propuesta para 2014/15</w:t>
      </w:r>
      <w:r w:rsidRPr="00C4585D">
        <w:rPr>
          <w:sz w:val="16"/>
          <w:szCs w:val="16"/>
          <w:lang w:val="es-ES_tradnl"/>
        </w:rPr>
        <w:t>.</w:t>
      </w:r>
    </w:p>
    <w:p w:rsidR="00E47595" w:rsidRPr="00C4585D" w:rsidRDefault="00E47595" w:rsidP="00E47595">
      <w:pPr>
        <w:rPr>
          <w:sz w:val="16"/>
          <w:szCs w:val="16"/>
          <w:lang w:val="es-ES_tradnl"/>
        </w:rPr>
      </w:pPr>
    </w:p>
    <w:p w:rsidR="00E47595" w:rsidRPr="00C4585D" w:rsidRDefault="00E47595" w:rsidP="00E47595">
      <w:pPr>
        <w:rPr>
          <w:sz w:val="16"/>
          <w:szCs w:val="16"/>
          <w:lang w:val="es-ES_tradnl"/>
        </w:rPr>
      </w:pPr>
      <w:r w:rsidRPr="00C4585D">
        <w:rPr>
          <w:sz w:val="16"/>
          <w:szCs w:val="16"/>
          <w:lang w:val="es-ES_tradnl"/>
        </w:rPr>
        <w:t xml:space="preserve">2)  </w:t>
      </w:r>
      <w:r w:rsidRPr="000736AD">
        <w:rPr>
          <w:sz w:val="16"/>
          <w:szCs w:val="16"/>
          <w:lang w:val="es-ES_tradnl"/>
        </w:rPr>
        <w:t xml:space="preserve">El presupuesto después de las transferencias refleja el presupuesto por programas ajustado tras las transferencias </w:t>
      </w:r>
      <w:r w:rsidR="00812918" w:rsidRPr="000736AD">
        <w:rPr>
          <w:sz w:val="16"/>
          <w:szCs w:val="16"/>
          <w:lang w:val="es-ES_tradnl"/>
        </w:rPr>
        <w:t>efectuadas</w:t>
      </w:r>
      <w:r w:rsidRPr="000736AD">
        <w:rPr>
          <w:sz w:val="16"/>
          <w:szCs w:val="16"/>
          <w:lang w:val="es-ES_tradnl"/>
        </w:rPr>
        <w:t xml:space="preserve"> en 2012/13 </w:t>
      </w:r>
      <w:r w:rsidR="00812918" w:rsidRPr="000736AD">
        <w:rPr>
          <w:sz w:val="16"/>
          <w:szCs w:val="16"/>
          <w:lang w:val="es-ES_tradnl"/>
        </w:rPr>
        <w:t xml:space="preserve">en virtud del artículo </w:t>
      </w:r>
      <w:r w:rsidRPr="000736AD">
        <w:rPr>
          <w:sz w:val="16"/>
          <w:szCs w:val="16"/>
          <w:lang w:val="es-ES_tradnl"/>
        </w:rPr>
        <w:t>5.5 del Reglament</w:t>
      </w:r>
      <w:r w:rsidR="00812918" w:rsidRPr="000736AD">
        <w:rPr>
          <w:sz w:val="16"/>
          <w:szCs w:val="16"/>
          <w:lang w:val="es-ES_tradnl"/>
        </w:rPr>
        <w:t>o Financiero</w:t>
      </w:r>
      <w:r w:rsidR="000736AD" w:rsidRPr="000736AD">
        <w:rPr>
          <w:sz w:val="16"/>
          <w:szCs w:val="16"/>
          <w:lang w:val="es-ES_tradnl"/>
        </w:rPr>
        <w:t xml:space="preserve"> los ajustes de flexibilidad efectuados en virtud del artículo 5.6</w:t>
      </w:r>
      <w:r w:rsidRPr="000736AD">
        <w:rPr>
          <w:sz w:val="16"/>
          <w:szCs w:val="16"/>
          <w:lang w:val="es-ES_tradnl"/>
        </w:rPr>
        <w:t xml:space="preserve">.  </w:t>
      </w:r>
      <w:r w:rsidR="00812918" w:rsidRPr="000736AD">
        <w:rPr>
          <w:sz w:val="16"/>
          <w:szCs w:val="16"/>
          <w:lang w:val="es-ES_tradnl"/>
        </w:rPr>
        <w:t>Para más información sobre el presupuesto de 2012/13 después de las transferencias, cabe remitirse al cuadro que figura en el Anexo I (Presupuesto después de las transferencias, por programa) del presente documento y al documento WO/PBC/20/2</w:t>
      </w:r>
      <w:r w:rsidR="00812918" w:rsidRPr="00C75C7E">
        <w:rPr>
          <w:sz w:val="16"/>
          <w:szCs w:val="16"/>
          <w:lang w:val="es-ES_tradnl"/>
        </w:rPr>
        <w:t xml:space="preserve"> (Informe sobre el rendimiento de los programas en 2012).  </w:t>
      </w:r>
      <w:r w:rsidRPr="00C4585D">
        <w:rPr>
          <w:sz w:val="16"/>
          <w:szCs w:val="16"/>
          <w:lang w:val="es-ES_tradnl"/>
        </w:rPr>
        <w:t>Para más información sobre las fórmulas de flexibilidad, cabe remitirse al Apéndice D del presente documento.</w:t>
      </w:r>
      <w:r w:rsidR="00B00B43">
        <w:rPr>
          <w:sz w:val="16"/>
          <w:szCs w:val="16"/>
          <w:lang w:val="es-ES_tradnl"/>
        </w:rPr>
        <w:t xml:space="preserve"> </w:t>
      </w:r>
      <w:r w:rsidR="00812918" w:rsidRPr="00C75C7E">
        <w:rPr>
          <w:sz w:val="16"/>
          <w:szCs w:val="16"/>
          <w:lang w:val="es-ES_tradnl"/>
        </w:rPr>
        <w:t xml:space="preserve"> </w:t>
      </w:r>
      <w:r w:rsidR="00812918" w:rsidRPr="00C75C7E">
        <w:rPr>
          <w:rFonts w:cs="ArialMT"/>
          <w:sz w:val="16"/>
          <w:szCs w:val="16"/>
          <w:lang w:val="es-ES_tradnl"/>
        </w:rPr>
        <w:t>Los costos de personal del presupuesto de 2012/13 después de las transferencias representan los gastos reales efectuados hasta el 31 de marzo de 2013 y los importes presupuestados para los nueve meses restantes de 2013, sobre la base de costos estándar.</w:t>
      </w:r>
    </w:p>
    <w:p w:rsidR="00E47595" w:rsidRPr="00C4585D" w:rsidRDefault="00E47595" w:rsidP="00E47595">
      <w:pPr>
        <w:rPr>
          <w:sz w:val="16"/>
          <w:szCs w:val="16"/>
          <w:lang w:val="es-ES_tradnl"/>
        </w:rPr>
      </w:pPr>
    </w:p>
    <w:p w:rsidR="00E47595" w:rsidRPr="00C4585D" w:rsidRDefault="00E47595" w:rsidP="00E47595">
      <w:pPr>
        <w:rPr>
          <w:sz w:val="16"/>
          <w:szCs w:val="16"/>
          <w:lang w:val="es-ES_tradnl"/>
        </w:rPr>
      </w:pPr>
      <w:r w:rsidRPr="00C4585D">
        <w:rPr>
          <w:sz w:val="16"/>
          <w:szCs w:val="16"/>
          <w:lang w:val="es-ES_tradnl"/>
        </w:rPr>
        <w:t xml:space="preserve">3) </w:t>
      </w:r>
      <w:r w:rsidR="00812918" w:rsidRPr="00C75C7E">
        <w:rPr>
          <w:sz w:val="16"/>
          <w:szCs w:val="16"/>
          <w:lang w:val="es-ES_tradnl"/>
        </w:rPr>
        <w:t>Para más información sobre los puestos del programa cabe remitirse al cuadro que figura en el Anexo II</w:t>
      </w:r>
      <w:r w:rsidRPr="00C4585D">
        <w:rPr>
          <w:sz w:val="16"/>
          <w:szCs w:val="16"/>
          <w:lang w:val="es-ES_tradnl"/>
        </w:rPr>
        <w:t>.  La diferencia entre el número de puestos propuestos en 2014/15 y en el presupuesto de 2012/13 después de las transferencias está dada por los 96 puestos destinados a la regularización, que se propone utilizar conforme a lo expuesto en el párrafo 4</w:t>
      </w:r>
      <w:r w:rsidR="00F82128">
        <w:rPr>
          <w:sz w:val="16"/>
          <w:szCs w:val="16"/>
          <w:lang w:val="es-ES_tradnl"/>
        </w:rPr>
        <w:t>1</w:t>
      </w:r>
      <w:r w:rsidRPr="00C4585D">
        <w:rPr>
          <w:sz w:val="16"/>
          <w:szCs w:val="16"/>
          <w:lang w:val="es-ES_tradnl"/>
        </w:rPr>
        <w:t>.</w:t>
      </w:r>
    </w:p>
    <w:p w:rsidR="00FF779C" w:rsidRPr="00C4585D" w:rsidRDefault="00FF779C" w:rsidP="00FF779C">
      <w:pPr>
        <w:widowControl w:val="0"/>
        <w:tabs>
          <w:tab w:val="num" w:pos="690"/>
        </w:tabs>
        <w:jc w:val="both"/>
        <w:rPr>
          <w:color w:val="000000"/>
          <w:sz w:val="20"/>
          <w:lang w:val="es-ES_tradnl"/>
        </w:rPr>
      </w:pPr>
    </w:p>
    <w:p w:rsidR="00FF779C" w:rsidRPr="00C4585D" w:rsidRDefault="00FF779C" w:rsidP="00E47595">
      <w:pPr>
        <w:keepNext/>
        <w:keepLines/>
        <w:numPr>
          <w:ilvl w:val="0"/>
          <w:numId w:val="4"/>
        </w:numPr>
        <w:tabs>
          <w:tab w:val="clear" w:pos="360"/>
          <w:tab w:val="num" w:pos="-2835"/>
          <w:tab w:val="left" w:pos="567"/>
        </w:tabs>
        <w:ind w:left="0" w:firstLine="0"/>
        <w:jc w:val="both"/>
        <w:rPr>
          <w:bCs/>
          <w:sz w:val="20"/>
        </w:rPr>
      </w:pPr>
      <w:r w:rsidRPr="00C4585D">
        <w:rPr>
          <w:color w:val="000000"/>
          <w:sz w:val="20"/>
        </w:rPr>
        <w:lastRenderedPageBreak/>
        <w:t>Se ha mejorado y revisado la denominación y agrupamiento de los objetos de gasto a fin de</w:t>
      </w:r>
      <w:proofErr w:type="gramStart"/>
      <w:r w:rsidRPr="00C4585D">
        <w:rPr>
          <w:color w:val="000000"/>
          <w:sz w:val="20"/>
        </w:rPr>
        <w:t>:  i</w:t>
      </w:r>
      <w:proofErr w:type="gramEnd"/>
      <w:r w:rsidRPr="00C4585D">
        <w:rPr>
          <w:color w:val="000000"/>
          <w:sz w:val="20"/>
        </w:rPr>
        <w:t xml:space="preserve">) armonizar la información de los costos de personal con la reforma contractual aplicada recientemente y, ii) mejorar la eficiencia y la transparencia de la presentación general de información sobre la utilización de recursos.  Para facilitar la comparación de recursos entre los distintos bienios, el presupuesto por programas de 2012/13 aprobado después de las transferencias ha sido </w:t>
      </w:r>
      <w:proofErr w:type="spellStart"/>
      <w:r w:rsidRPr="00C4585D">
        <w:rPr>
          <w:color w:val="000000"/>
          <w:sz w:val="20"/>
        </w:rPr>
        <w:t>reexpresado</w:t>
      </w:r>
      <w:proofErr w:type="spellEnd"/>
      <w:r w:rsidRPr="00C4585D">
        <w:rPr>
          <w:color w:val="000000"/>
          <w:sz w:val="20"/>
        </w:rPr>
        <w:t xml:space="preserve"> de conformidad con los objetos de gasto propuestos para 2014/15.  En el Apéndice B se ofrece un resumen de la definición de las rúbricas presupuestarias.</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 w:val="num" w:pos="690"/>
        </w:tabs>
        <w:ind w:left="0" w:firstLine="0"/>
        <w:jc w:val="both"/>
        <w:rPr>
          <w:bCs/>
          <w:sz w:val="20"/>
        </w:rPr>
      </w:pPr>
      <w:r w:rsidRPr="00C4585D">
        <w:rPr>
          <w:color w:val="000000"/>
          <w:sz w:val="20"/>
        </w:rPr>
        <w:t xml:space="preserve">Los cambios introducidos en el siguiente bienio se resumen a continuación: </w:t>
      </w:r>
    </w:p>
    <w:p w:rsidR="00FF779C" w:rsidRPr="00C4585D" w:rsidRDefault="00FF779C" w:rsidP="00FF779C">
      <w:pPr>
        <w:widowControl w:val="0"/>
        <w:jc w:val="both"/>
        <w:rPr>
          <w:bCs/>
          <w:sz w:val="20"/>
        </w:rPr>
      </w:pPr>
    </w:p>
    <w:p w:rsidR="00FF779C" w:rsidRPr="00C4585D" w:rsidRDefault="00FF779C" w:rsidP="005A3389">
      <w:pPr>
        <w:numPr>
          <w:ilvl w:val="1"/>
          <w:numId w:val="4"/>
        </w:numPr>
        <w:ind w:hanging="513"/>
        <w:jc w:val="both"/>
        <w:rPr>
          <w:color w:val="000000"/>
          <w:sz w:val="20"/>
        </w:rPr>
      </w:pPr>
      <w:r w:rsidRPr="00C4585D">
        <w:rPr>
          <w:color w:val="000000"/>
          <w:sz w:val="20"/>
        </w:rPr>
        <w:t>Tras la aplicación de la reforma contractual, los objetos de gasto en el marco de los recursos de personal han sido revis</w:t>
      </w:r>
      <w:r w:rsidR="00FB78C2">
        <w:rPr>
          <w:color w:val="000000"/>
          <w:sz w:val="20"/>
        </w:rPr>
        <w:t>ados e incluidos en “Puestos y p</w:t>
      </w:r>
      <w:r w:rsidRPr="00C4585D">
        <w:rPr>
          <w:color w:val="000000"/>
          <w:sz w:val="20"/>
        </w:rPr>
        <w:t xml:space="preserve">lazas </w:t>
      </w:r>
      <w:r w:rsidR="00FB78C2">
        <w:rPr>
          <w:color w:val="000000"/>
          <w:sz w:val="20"/>
        </w:rPr>
        <w:t>t</w:t>
      </w:r>
      <w:r w:rsidRPr="00C4585D">
        <w:rPr>
          <w:color w:val="000000"/>
          <w:sz w:val="20"/>
        </w:rPr>
        <w:t>emporales”, mientras que los recursos no relativos al personal se han extraído de esta categoría.  Las nuevas categoría</w:t>
      </w:r>
      <w:r w:rsidR="005A3389" w:rsidRPr="00C4585D">
        <w:rPr>
          <w:color w:val="000000"/>
          <w:sz w:val="20"/>
        </w:rPr>
        <w:t>s de gastos son las siguientes:</w:t>
      </w:r>
    </w:p>
    <w:p w:rsidR="005A3389" w:rsidRPr="00C4585D" w:rsidRDefault="005A3389" w:rsidP="005A3389">
      <w:pPr>
        <w:ind w:left="1080"/>
        <w:jc w:val="both"/>
        <w:rPr>
          <w:color w:val="000000"/>
          <w:sz w:val="20"/>
        </w:rPr>
      </w:pPr>
    </w:p>
    <w:p w:rsidR="00FF779C" w:rsidRPr="00C4585D" w:rsidRDefault="00FF779C" w:rsidP="005A3389">
      <w:pPr>
        <w:numPr>
          <w:ilvl w:val="2"/>
          <w:numId w:val="4"/>
        </w:numPr>
        <w:tabs>
          <w:tab w:val="clear" w:pos="1790"/>
        </w:tabs>
        <w:ind w:left="1701" w:hanging="567"/>
        <w:jc w:val="both"/>
        <w:rPr>
          <w:color w:val="000000"/>
          <w:sz w:val="20"/>
        </w:rPr>
      </w:pPr>
      <w:r w:rsidRPr="00C4585D">
        <w:rPr>
          <w:b/>
          <w:bCs/>
          <w:color w:val="000000"/>
          <w:sz w:val="20"/>
        </w:rPr>
        <w:t xml:space="preserve">Puestos:  </w:t>
      </w:r>
      <w:r w:rsidRPr="00C4585D">
        <w:rPr>
          <w:color w:val="000000"/>
          <w:sz w:val="20"/>
        </w:rPr>
        <w:t>Esta categoría abarca los recursos previstos para cubrir los gastos de personal con contratos de plazo fijo, continuos o permanentes</w:t>
      </w:r>
      <w:r w:rsidR="00AD3357">
        <w:rPr>
          <w:color w:val="000000"/>
          <w:sz w:val="20"/>
        </w:rPr>
        <w:t>, en relación con</w:t>
      </w:r>
      <w:r w:rsidRPr="00C4585D">
        <w:rPr>
          <w:color w:val="000000"/>
          <w:sz w:val="20"/>
        </w:rPr>
        <w:t xml:space="preserve"> los puestos aprobados en el marco de</w:t>
      </w:r>
      <w:r w:rsidR="00281871">
        <w:rPr>
          <w:color w:val="000000"/>
          <w:sz w:val="20"/>
        </w:rPr>
        <w:t xml:space="preserve">l presupuesto ordinario </w:t>
      </w:r>
      <w:r w:rsidR="00AD3357">
        <w:rPr>
          <w:color w:val="000000"/>
          <w:sz w:val="20"/>
        </w:rPr>
        <w:t>para</w:t>
      </w:r>
      <w:r w:rsidR="00281871">
        <w:rPr>
          <w:color w:val="000000"/>
          <w:sz w:val="20"/>
        </w:rPr>
        <w:t xml:space="preserve"> las c</w:t>
      </w:r>
      <w:r w:rsidRPr="00C4585D">
        <w:rPr>
          <w:color w:val="000000"/>
          <w:sz w:val="20"/>
        </w:rPr>
        <w:t>ategorías Profesional y de Servicios Generales.</w:t>
      </w:r>
    </w:p>
    <w:p w:rsidR="005A3389" w:rsidRPr="00C4585D" w:rsidRDefault="005A3389" w:rsidP="005A3389">
      <w:pPr>
        <w:ind w:left="1701"/>
        <w:jc w:val="both"/>
        <w:rPr>
          <w:color w:val="000000"/>
          <w:sz w:val="20"/>
        </w:rPr>
      </w:pPr>
    </w:p>
    <w:p w:rsidR="00FF779C" w:rsidRPr="00C4585D" w:rsidRDefault="00FF779C" w:rsidP="005A3389">
      <w:pPr>
        <w:numPr>
          <w:ilvl w:val="2"/>
          <w:numId w:val="4"/>
        </w:numPr>
        <w:tabs>
          <w:tab w:val="clear" w:pos="1790"/>
          <w:tab w:val="num" w:pos="1701"/>
        </w:tabs>
        <w:ind w:left="1701" w:hanging="567"/>
        <w:jc w:val="both"/>
        <w:rPr>
          <w:color w:val="000000"/>
          <w:sz w:val="20"/>
        </w:rPr>
      </w:pPr>
      <w:r w:rsidRPr="00C4585D">
        <w:rPr>
          <w:b/>
          <w:bCs/>
          <w:color w:val="000000"/>
          <w:sz w:val="20"/>
        </w:rPr>
        <w:t xml:space="preserve">Plazas temporales:  </w:t>
      </w:r>
      <w:r w:rsidRPr="00C4585D">
        <w:rPr>
          <w:color w:val="000000"/>
          <w:sz w:val="20"/>
        </w:rPr>
        <w:t>Esta categoría abarca los recursos previstos para cubrir los gastos de personal cuyos contratos, que previamente eran de corta duración, fueron convertidos en contratos de personal temporero, así como los nuevos contratos de personal temporero establecidos en virtud del nuevo Estatuto y Reglamento del Personal de la OMPI.  Algunos contratos de corta duración pasaron a considerarse becas de la OMPI tras la aplicación de la reforma contractual y, en consecuencia, ahora figuran bajo el rubro de recursos no relativos al personal.</w:t>
      </w:r>
    </w:p>
    <w:p w:rsidR="005A3389" w:rsidRPr="00C4585D" w:rsidRDefault="005A3389" w:rsidP="005A3389">
      <w:pPr>
        <w:tabs>
          <w:tab w:val="num" w:pos="1701"/>
        </w:tabs>
        <w:ind w:left="1701"/>
        <w:jc w:val="both"/>
        <w:rPr>
          <w:color w:val="000000"/>
          <w:sz w:val="20"/>
        </w:rPr>
      </w:pPr>
    </w:p>
    <w:p w:rsidR="00FF779C" w:rsidRPr="00C4585D" w:rsidRDefault="00037737" w:rsidP="005A3389">
      <w:pPr>
        <w:numPr>
          <w:ilvl w:val="2"/>
          <w:numId w:val="4"/>
        </w:numPr>
        <w:tabs>
          <w:tab w:val="clear" w:pos="1790"/>
        </w:tabs>
        <w:ind w:left="1701" w:hanging="567"/>
        <w:jc w:val="both"/>
        <w:rPr>
          <w:color w:val="000000"/>
          <w:sz w:val="20"/>
        </w:rPr>
      </w:pPr>
      <w:r>
        <w:rPr>
          <w:b/>
          <w:bCs/>
          <w:color w:val="000000"/>
          <w:sz w:val="20"/>
        </w:rPr>
        <w:t>Pasantías</w:t>
      </w:r>
      <w:proofErr w:type="gramStart"/>
      <w:r w:rsidR="00FF779C" w:rsidRPr="00C4585D">
        <w:rPr>
          <w:b/>
          <w:bCs/>
          <w:color w:val="000000"/>
          <w:sz w:val="20"/>
        </w:rPr>
        <w:t xml:space="preserve">:  </w:t>
      </w:r>
      <w:r w:rsidR="00FF779C" w:rsidRPr="00C4585D">
        <w:rPr>
          <w:bCs/>
          <w:color w:val="000000"/>
          <w:sz w:val="20"/>
        </w:rPr>
        <w:t>Bajo</w:t>
      </w:r>
      <w:proofErr w:type="gramEnd"/>
      <w:r w:rsidR="00FF779C" w:rsidRPr="00C4585D">
        <w:rPr>
          <w:bCs/>
          <w:color w:val="000000"/>
          <w:sz w:val="20"/>
        </w:rPr>
        <w:t xml:space="preserve"> esta categoría sigue figurando el mismo tipo de contratos, es decir los relativos a los </w:t>
      </w:r>
      <w:r>
        <w:rPr>
          <w:bCs/>
          <w:color w:val="000000"/>
          <w:sz w:val="20"/>
        </w:rPr>
        <w:t>pasantes</w:t>
      </w:r>
      <w:r w:rsidR="00FF779C" w:rsidRPr="00C4585D">
        <w:rPr>
          <w:bCs/>
          <w:color w:val="000000"/>
          <w:sz w:val="20"/>
        </w:rPr>
        <w:t>, pero se ha trasladado de “recursos de personal” a “recursos no relativos al personal” a fin de reflejar adecuadamente la naturaleza de la relación de sus titulares con la Organización.  Puesto que ya no se rigen por el Estatuto y Reglamento del Personal, figuran como recursos no relativos al personal bajo el rubro de gastos no relativos al personal.</w:t>
      </w:r>
    </w:p>
    <w:p w:rsidR="005A3389" w:rsidRPr="00C4585D" w:rsidRDefault="005A3389" w:rsidP="005A3389">
      <w:pPr>
        <w:ind w:left="1701"/>
        <w:jc w:val="both"/>
        <w:rPr>
          <w:color w:val="000000"/>
          <w:sz w:val="20"/>
        </w:rPr>
      </w:pPr>
    </w:p>
    <w:p w:rsidR="00FF779C" w:rsidRPr="00C4585D" w:rsidRDefault="00FF779C" w:rsidP="005A3389">
      <w:pPr>
        <w:numPr>
          <w:ilvl w:val="2"/>
          <w:numId w:val="4"/>
        </w:numPr>
        <w:tabs>
          <w:tab w:val="clear" w:pos="1790"/>
        </w:tabs>
        <w:ind w:left="1701" w:hanging="567"/>
        <w:jc w:val="both"/>
        <w:rPr>
          <w:color w:val="000000"/>
          <w:sz w:val="20"/>
        </w:rPr>
      </w:pPr>
      <w:r w:rsidRPr="00C4585D">
        <w:rPr>
          <w:b/>
          <w:bCs/>
          <w:color w:val="000000"/>
          <w:sz w:val="20"/>
        </w:rPr>
        <w:t xml:space="preserve">Becas de la OMPI </w:t>
      </w:r>
      <w:r w:rsidR="00037737">
        <w:rPr>
          <w:b/>
          <w:bCs/>
          <w:color w:val="000000"/>
          <w:sz w:val="20"/>
        </w:rPr>
        <w:t>y</w:t>
      </w:r>
      <w:r w:rsidRPr="00C4585D">
        <w:rPr>
          <w:b/>
          <w:bCs/>
          <w:color w:val="000000"/>
          <w:sz w:val="20"/>
        </w:rPr>
        <w:t xml:space="preserve"> Becas de formación</w:t>
      </w:r>
      <w:proofErr w:type="gramStart"/>
      <w:r w:rsidRPr="00C4585D">
        <w:rPr>
          <w:b/>
          <w:bCs/>
          <w:color w:val="000000"/>
          <w:sz w:val="20"/>
        </w:rPr>
        <w:t xml:space="preserve">:  </w:t>
      </w:r>
      <w:r w:rsidRPr="00C4585D">
        <w:rPr>
          <w:color w:val="000000"/>
          <w:sz w:val="20"/>
        </w:rPr>
        <w:t>Anteriormente</w:t>
      </w:r>
      <w:proofErr w:type="gramEnd"/>
      <w:r w:rsidRPr="00C4585D">
        <w:rPr>
          <w:color w:val="000000"/>
          <w:sz w:val="20"/>
        </w:rPr>
        <w:t>, bajo el rubro “costos no relativos al personal” figuraba únicamente la categoría de Becas para reflejar los gastos correspondientes a los becarios.  Como consecuencia de la reforma contractual, tanto los tipos de contratos como la presentación de la información se especifican detalladamente, de suerte que ahora se dist</w:t>
      </w:r>
      <w:r w:rsidR="005A3389" w:rsidRPr="00C4585D">
        <w:rPr>
          <w:color w:val="000000"/>
          <w:sz w:val="20"/>
        </w:rPr>
        <w:t>inguen dos categorías de becas:</w:t>
      </w:r>
    </w:p>
    <w:p w:rsidR="005A3389" w:rsidRPr="00C4585D" w:rsidRDefault="005A3389" w:rsidP="005A3389">
      <w:pPr>
        <w:ind w:left="1701"/>
        <w:jc w:val="both"/>
        <w:rPr>
          <w:color w:val="000000"/>
          <w:sz w:val="20"/>
        </w:rPr>
      </w:pPr>
    </w:p>
    <w:p w:rsidR="00FF779C" w:rsidRPr="00C4585D" w:rsidRDefault="00FF779C" w:rsidP="005A3389">
      <w:pPr>
        <w:numPr>
          <w:ilvl w:val="3"/>
          <w:numId w:val="4"/>
        </w:numPr>
        <w:tabs>
          <w:tab w:val="clear" w:pos="2520"/>
        </w:tabs>
        <w:ind w:left="2268" w:hanging="567"/>
        <w:jc w:val="both"/>
        <w:rPr>
          <w:color w:val="000000"/>
          <w:sz w:val="20"/>
        </w:rPr>
      </w:pPr>
      <w:r w:rsidRPr="00C4585D">
        <w:rPr>
          <w:color w:val="000000"/>
          <w:sz w:val="20"/>
        </w:rPr>
        <w:t>Becas de la OMPI</w:t>
      </w:r>
      <w:proofErr w:type="gramStart"/>
      <w:r w:rsidRPr="00C4585D">
        <w:rPr>
          <w:color w:val="000000"/>
          <w:sz w:val="20"/>
        </w:rPr>
        <w:t>:  El</w:t>
      </w:r>
      <w:proofErr w:type="gramEnd"/>
      <w:r w:rsidRPr="00C4585D">
        <w:rPr>
          <w:color w:val="000000"/>
          <w:sz w:val="20"/>
        </w:rPr>
        <w:t xml:space="preserve"> objetivo de estas becas es proporcionar a sus titulares experiencia para consolidar sus conocimientos y competencias profesionales, experiencia que podrán aplicar en su campo profesional cuando regresen a sus respectivos países.</w:t>
      </w:r>
    </w:p>
    <w:p w:rsidR="005A3389" w:rsidRPr="00C4585D" w:rsidRDefault="005A3389" w:rsidP="005A3389">
      <w:pPr>
        <w:ind w:left="2268"/>
        <w:jc w:val="both"/>
        <w:rPr>
          <w:color w:val="000000"/>
          <w:sz w:val="20"/>
        </w:rPr>
      </w:pPr>
    </w:p>
    <w:p w:rsidR="00FF779C" w:rsidRPr="00C4585D" w:rsidRDefault="00FF779C" w:rsidP="005A3389">
      <w:pPr>
        <w:numPr>
          <w:ilvl w:val="3"/>
          <w:numId w:val="4"/>
        </w:numPr>
        <w:tabs>
          <w:tab w:val="clear" w:pos="2520"/>
        </w:tabs>
        <w:ind w:left="2268" w:hanging="567"/>
        <w:jc w:val="both"/>
        <w:rPr>
          <w:color w:val="000000"/>
          <w:sz w:val="20"/>
        </w:rPr>
      </w:pPr>
      <w:r w:rsidRPr="00C4585D">
        <w:rPr>
          <w:color w:val="000000"/>
          <w:sz w:val="20"/>
        </w:rPr>
        <w:t>Becas de formación</w:t>
      </w:r>
      <w:proofErr w:type="gramStart"/>
      <w:r w:rsidRPr="00C4585D">
        <w:rPr>
          <w:color w:val="000000"/>
          <w:sz w:val="20"/>
        </w:rPr>
        <w:t>:  Esta</w:t>
      </w:r>
      <w:proofErr w:type="gramEnd"/>
      <w:r w:rsidRPr="00C4585D">
        <w:rPr>
          <w:color w:val="000000"/>
          <w:sz w:val="20"/>
        </w:rPr>
        <w:t xml:space="preserve"> categoría refleja los gastos en que incurre la Organización en relación con los becarios (que no forman parte de la plantilla) que asisten a cursos y seminarios.</w:t>
      </w:r>
    </w:p>
    <w:p w:rsidR="005A3389" w:rsidRPr="00C4585D" w:rsidRDefault="005A3389" w:rsidP="005A3389">
      <w:pPr>
        <w:ind w:left="2268"/>
        <w:jc w:val="both"/>
        <w:rPr>
          <w:color w:val="000000"/>
          <w:sz w:val="20"/>
        </w:rPr>
      </w:pPr>
    </w:p>
    <w:p w:rsidR="00FF779C" w:rsidRPr="00C4585D" w:rsidRDefault="00FF779C" w:rsidP="005A3389">
      <w:pPr>
        <w:numPr>
          <w:ilvl w:val="1"/>
          <w:numId w:val="4"/>
        </w:numPr>
        <w:ind w:hanging="513"/>
        <w:jc w:val="both"/>
        <w:rPr>
          <w:color w:val="000000"/>
          <w:sz w:val="20"/>
        </w:rPr>
      </w:pPr>
      <w:r w:rsidRPr="00C4585D">
        <w:rPr>
          <w:color w:val="000000"/>
          <w:sz w:val="20"/>
        </w:rPr>
        <w:t>Se ha añadido el rubro “Otros gastos de personal” para ilustrar los diferentes tipos de gastos comunes a la</w:t>
      </w:r>
      <w:r w:rsidR="00F87D66">
        <w:rPr>
          <w:color w:val="000000"/>
          <w:sz w:val="20"/>
        </w:rPr>
        <w:t>s categorías “Puestos y plazas t</w:t>
      </w:r>
      <w:r w:rsidRPr="00C4585D">
        <w:rPr>
          <w:color w:val="000000"/>
          <w:sz w:val="20"/>
        </w:rPr>
        <w:t>emporales”.  En “Otros gastos de personal” se incluyen las partidas presupuestas para cubrir el seguro de accidentes profesionales, la Caja Cerrada de Pensiones y las costas procesales.</w:t>
      </w:r>
    </w:p>
    <w:p w:rsidR="005A3389" w:rsidRPr="00C4585D" w:rsidRDefault="005A3389" w:rsidP="005A3389">
      <w:pPr>
        <w:ind w:left="1080"/>
        <w:jc w:val="both"/>
        <w:rPr>
          <w:color w:val="000000"/>
          <w:sz w:val="20"/>
        </w:rPr>
      </w:pPr>
    </w:p>
    <w:p w:rsidR="00FF779C" w:rsidRPr="00C4585D" w:rsidRDefault="00FF779C" w:rsidP="005A3389">
      <w:pPr>
        <w:widowControl w:val="0"/>
        <w:numPr>
          <w:ilvl w:val="1"/>
          <w:numId w:val="4"/>
        </w:numPr>
        <w:ind w:left="1077" w:hanging="510"/>
        <w:jc w:val="both"/>
        <w:rPr>
          <w:color w:val="000000"/>
          <w:sz w:val="20"/>
        </w:rPr>
      </w:pPr>
      <w:r w:rsidRPr="00C4585D">
        <w:rPr>
          <w:color w:val="000000"/>
          <w:sz w:val="20"/>
        </w:rPr>
        <w:t>Las actuales categ</w:t>
      </w:r>
      <w:r w:rsidR="00F87D66">
        <w:rPr>
          <w:color w:val="000000"/>
          <w:sz w:val="20"/>
        </w:rPr>
        <w:t>orías bajo el rubro “Servicios c</w:t>
      </w:r>
      <w:r w:rsidRPr="00C4585D">
        <w:rPr>
          <w:color w:val="000000"/>
          <w:sz w:val="20"/>
        </w:rPr>
        <w:t>ontractuales</w:t>
      </w:r>
      <w:r w:rsidR="005A3389" w:rsidRPr="00C4585D">
        <w:rPr>
          <w:color w:val="000000"/>
          <w:sz w:val="20"/>
        </w:rPr>
        <w:t>” se han reagrupado como sigue:</w:t>
      </w:r>
    </w:p>
    <w:p w:rsidR="005A3389" w:rsidRPr="00C4585D" w:rsidRDefault="005A3389" w:rsidP="005A3389">
      <w:pPr>
        <w:widowControl w:val="0"/>
        <w:ind w:left="1077"/>
        <w:jc w:val="both"/>
        <w:rPr>
          <w:color w:val="000000"/>
          <w:sz w:val="20"/>
        </w:rPr>
      </w:pPr>
    </w:p>
    <w:p w:rsidR="00FF779C" w:rsidRPr="00C4585D" w:rsidRDefault="00FF779C" w:rsidP="005A3389">
      <w:pPr>
        <w:widowControl w:val="0"/>
        <w:numPr>
          <w:ilvl w:val="3"/>
          <w:numId w:val="4"/>
        </w:numPr>
        <w:tabs>
          <w:tab w:val="clear" w:pos="2520"/>
        </w:tabs>
        <w:ind w:left="2268" w:hanging="567"/>
        <w:jc w:val="both"/>
        <w:rPr>
          <w:color w:val="000000"/>
          <w:sz w:val="20"/>
        </w:rPr>
      </w:pPr>
      <w:r w:rsidRPr="00C4585D">
        <w:rPr>
          <w:color w:val="000000"/>
          <w:sz w:val="20"/>
        </w:rPr>
        <w:t xml:space="preserve">Servicios contractuales individuales, en que se incluyen los costos presupuestados para todos los contratos de ese tipo (anteriormente “Acuerdos de servicios especiales” (ASE) </w:t>
      </w:r>
      <w:r w:rsidR="005A3389" w:rsidRPr="00C4585D">
        <w:rPr>
          <w:color w:val="000000"/>
          <w:sz w:val="20"/>
        </w:rPr>
        <w:t>y “Honorarios de expertos”);  y</w:t>
      </w:r>
    </w:p>
    <w:p w:rsidR="005A3389" w:rsidRPr="00C4585D" w:rsidRDefault="005A3389" w:rsidP="005A3389">
      <w:pPr>
        <w:widowControl w:val="0"/>
        <w:ind w:left="2268"/>
        <w:jc w:val="both"/>
        <w:rPr>
          <w:color w:val="000000"/>
          <w:sz w:val="20"/>
        </w:rPr>
      </w:pPr>
    </w:p>
    <w:p w:rsidR="00FF779C" w:rsidRPr="00C4585D" w:rsidRDefault="00FF779C" w:rsidP="005A3389">
      <w:pPr>
        <w:widowControl w:val="0"/>
        <w:numPr>
          <w:ilvl w:val="3"/>
          <w:numId w:val="4"/>
        </w:numPr>
        <w:tabs>
          <w:tab w:val="clear" w:pos="2520"/>
        </w:tabs>
        <w:ind w:left="2268" w:hanging="567"/>
        <w:jc w:val="both"/>
        <w:rPr>
          <w:color w:val="000000"/>
          <w:sz w:val="20"/>
        </w:rPr>
      </w:pPr>
      <w:r w:rsidRPr="00C4585D">
        <w:rPr>
          <w:color w:val="000000"/>
          <w:sz w:val="20"/>
        </w:rPr>
        <w:t>Otros servicios contractuales, en que se incluyen todos los servicios contractuales con proveedores de servicios comerciales y no comerciales.</w:t>
      </w:r>
    </w:p>
    <w:p w:rsidR="00FF779C" w:rsidRPr="00C4585D" w:rsidRDefault="00FF779C" w:rsidP="00FF779C">
      <w:pPr>
        <w:widowControl w:val="0"/>
        <w:jc w:val="both"/>
        <w:rPr>
          <w:color w:val="000000"/>
          <w:sz w:val="20"/>
        </w:rPr>
      </w:pPr>
    </w:p>
    <w:p w:rsidR="00FF779C" w:rsidRPr="00C4585D" w:rsidRDefault="00FF779C" w:rsidP="00A57FA9">
      <w:pPr>
        <w:pStyle w:val="Heading3"/>
        <w:keepNext w:val="0"/>
        <w:rPr>
          <w:sz w:val="20"/>
          <w:szCs w:val="20"/>
          <w:u w:val="none"/>
          <w:lang w:val="es-ES_tradnl"/>
        </w:rPr>
      </w:pPr>
      <w:bookmarkStart w:id="13" w:name="_Toc366078701"/>
      <w:r w:rsidRPr="00C4585D">
        <w:rPr>
          <w:sz w:val="20"/>
          <w:szCs w:val="20"/>
          <w:u w:val="none"/>
          <w:lang w:val="es-ES_tradnl"/>
        </w:rPr>
        <w:t>GASTOS DE PERSONAL</w:t>
      </w:r>
      <w:bookmarkEnd w:id="13"/>
    </w:p>
    <w:p w:rsidR="00FF779C" w:rsidRPr="00C4585D" w:rsidRDefault="00FF779C" w:rsidP="00FF779C">
      <w:pPr>
        <w:jc w:val="both"/>
        <w:rPr>
          <w:bCs/>
          <w:sz w:val="20"/>
        </w:rPr>
      </w:pPr>
    </w:p>
    <w:p w:rsidR="00FF779C" w:rsidRPr="00C4585D" w:rsidRDefault="00FF779C" w:rsidP="00FF779C">
      <w:pPr>
        <w:widowControl w:val="0"/>
        <w:numPr>
          <w:ilvl w:val="0"/>
          <w:numId w:val="4"/>
        </w:numPr>
        <w:tabs>
          <w:tab w:val="clear" w:pos="360"/>
          <w:tab w:val="num" w:pos="567"/>
        </w:tabs>
        <w:ind w:left="0" w:firstLine="0"/>
        <w:jc w:val="both"/>
        <w:rPr>
          <w:sz w:val="20"/>
        </w:rPr>
      </w:pPr>
      <w:r w:rsidRPr="00C4585D">
        <w:rPr>
          <w:color w:val="000000"/>
          <w:sz w:val="20"/>
        </w:rPr>
        <w:t>Se estima que en el bienio 2014/15 los gastos de personal aumentarán en 36,3 millones de francos suizos, lo que supone un incremento del 8,8% con respecto al presupuesto de 2012/13 después de las transferencias.  Dicho aumento se debe a los siguientes cambios fundamentales:</w:t>
      </w:r>
    </w:p>
    <w:p w:rsidR="00FF779C" w:rsidRPr="00C4585D" w:rsidRDefault="00FF779C" w:rsidP="00FF779C">
      <w:pPr>
        <w:widowControl w:val="0"/>
        <w:tabs>
          <w:tab w:val="num" w:pos="690"/>
        </w:tabs>
        <w:jc w:val="both"/>
        <w:rPr>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b/>
          <w:bCs/>
          <w:color w:val="000000"/>
          <w:sz w:val="20"/>
        </w:rPr>
        <w:t>Nuevo cálculo de costos:  Aumento neto de 12,6 millones de francos suizos</w:t>
      </w:r>
      <w:r w:rsidRPr="00C4585D">
        <w:rPr>
          <w:b/>
          <w:color w:val="000000"/>
          <w:sz w:val="20"/>
        </w:rPr>
        <w:t xml:space="preserve">: </w:t>
      </w:r>
      <w:r w:rsidRPr="00C4585D">
        <w:rPr>
          <w:color w:val="000000"/>
          <w:sz w:val="20"/>
        </w:rPr>
        <w:t xml:space="preserve"> En relación con las categorías “Puestos y </w:t>
      </w:r>
      <w:r w:rsidR="00A279D0">
        <w:rPr>
          <w:color w:val="000000"/>
          <w:sz w:val="20"/>
        </w:rPr>
        <w:t>p</w:t>
      </w:r>
      <w:r w:rsidRPr="00C4585D">
        <w:rPr>
          <w:color w:val="000000"/>
          <w:sz w:val="20"/>
        </w:rPr>
        <w:t xml:space="preserve">lazas </w:t>
      </w:r>
      <w:r w:rsidR="00A279D0">
        <w:rPr>
          <w:color w:val="000000"/>
          <w:sz w:val="20"/>
        </w:rPr>
        <w:t>t</w:t>
      </w:r>
      <w:r w:rsidRPr="00C4585D">
        <w:rPr>
          <w:color w:val="000000"/>
          <w:sz w:val="20"/>
        </w:rPr>
        <w:t>emporales”:  i) los ajustes que impone la CAPI, como el incremento de escalón dentro del grado y cambios en los niveles de remuneración pensionable;  y II) cambios en los costos comunes de personal, como los subsidios de educación, las prestaciones familiares, las vacaciones en el país de origen, etc., y III) la incidencia financiera total de las reclasificaciones realizadas en 2012/13.</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b/>
          <w:bCs/>
          <w:color w:val="000000"/>
          <w:sz w:val="20"/>
        </w:rPr>
        <w:t>Reforma contractual y regularizaciones</w:t>
      </w:r>
      <w:proofErr w:type="gramStart"/>
      <w:r w:rsidRPr="00C4585D">
        <w:rPr>
          <w:b/>
          <w:bCs/>
          <w:color w:val="000000"/>
          <w:sz w:val="20"/>
        </w:rPr>
        <w:t>:  aproximadamente</w:t>
      </w:r>
      <w:proofErr w:type="gramEnd"/>
      <w:r w:rsidRPr="00C4585D">
        <w:rPr>
          <w:b/>
          <w:bCs/>
          <w:color w:val="000000"/>
          <w:sz w:val="20"/>
        </w:rPr>
        <w:t xml:space="preserve"> 4 millones de francos suizos:  </w:t>
      </w:r>
      <w:r w:rsidRPr="00C4585D">
        <w:rPr>
          <w:color w:val="000000"/>
          <w:sz w:val="20"/>
        </w:rPr>
        <w:t>En los costos de personal presupuestados para 2014/15 se tiene en cuenta la repercusión de la aplicación de la reforma contractual y de la regularización, efectuada en 2012/13, de 60 empleados temporeros con muchos años de servicio en la Organización.</w:t>
      </w:r>
    </w:p>
    <w:p w:rsidR="00FF779C" w:rsidRPr="00C4585D" w:rsidRDefault="00FF779C" w:rsidP="00FF779C">
      <w:pPr>
        <w:widowControl w:val="0"/>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b/>
          <w:bCs/>
          <w:color w:val="000000"/>
          <w:sz w:val="20"/>
        </w:rPr>
        <w:t>Seguro médico después de la separación del servicio</w:t>
      </w:r>
      <w:proofErr w:type="gramStart"/>
      <w:r w:rsidRPr="00C4585D">
        <w:rPr>
          <w:b/>
          <w:bCs/>
          <w:color w:val="000000"/>
          <w:sz w:val="20"/>
        </w:rPr>
        <w:t>:  16,3</w:t>
      </w:r>
      <w:proofErr w:type="gramEnd"/>
      <w:r w:rsidRPr="00C4585D">
        <w:rPr>
          <w:b/>
          <w:bCs/>
          <w:color w:val="000000"/>
          <w:sz w:val="20"/>
        </w:rPr>
        <w:t xml:space="preserve"> millones de francos suizos: </w:t>
      </w:r>
      <w:r w:rsidRPr="00C4585D">
        <w:rPr>
          <w:color w:val="000000"/>
          <w:sz w:val="20"/>
        </w:rPr>
        <w:t xml:space="preserve"> Cabe señalar que, como medida de corto plazo, en el presupuesto por programas del bienio 2012/13 se efectuó un ajuste a la baja en el porcentaje aplicado a los costos de los puestos para sufragar la partida de prestaciones pagaderas a los empleados después del servicio, lo que incluye el seguro médico después de la separación del servicio (del 6% al 2%).  Se propone restablecer dicho porcentaje al nivel anterior.</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b/>
          <w:bCs/>
          <w:color w:val="000000"/>
          <w:sz w:val="20"/>
        </w:rPr>
        <w:t>Reclasificación</w:t>
      </w:r>
      <w:proofErr w:type="gramStart"/>
      <w:r w:rsidRPr="00C4585D">
        <w:rPr>
          <w:b/>
          <w:bCs/>
          <w:color w:val="000000"/>
          <w:sz w:val="20"/>
        </w:rPr>
        <w:t>:  2</w:t>
      </w:r>
      <w:proofErr w:type="gramEnd"/>
      <w:r w:rsidRPr="00C4585D">
        <w:rPr>
          <w:b/>
          <w:bCs/>
          <w:color w:val="000000"/>
          <w:sz w:val="20"/>
        </w:rPr>
        <w:t xml:space="preserve"> millones de francos suizos</w:t>
      </w:r>
      <w:r w:rsidRPr="00C4585D">
        <w:rPr>
          <w:b/>
          <w:color w:val="000000"/>
          <w:sz w:val="20"/>
        </w:rPr>
        <w:t>:</w:t>
      </w:r>
      <w:r w:rsidRPr="00C4585D">
        <w:rPr>
          <w:color w:val="000000"/>
          <w:sz w:val="20"/>
        </w:rPr>
        <w:t xml:space="preserve">  En el marco de su modernización, se ha revisado el diseño orgánico antes de la ejecución del prepuesto por programas a fin de precisar las necesidades de recursos humanos de cada sector con miras al próximo bienio a partir de las prioridades y necesidades institucionales.  Como consecuencia de dicha revisión se han elaborado planes de plantilla por sector, que han sido validados por el Director General, en que los cambios en los requisitos laborales pueden justificar las reclasificaciones.  Se ha reservado una partida de 2 millones de francos suizos a tal fin.</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bCs/>
          <w:color w:val="000000"/>
          <w:sz w:val="20"/>
        </w:rPr>
      </w:pPr>
      <w:r w:rsidRPr="00C4585D">
        <w:rPr>
          <w:b/>
          <w:bCs/>
          <w:color w:val="000000"/>
          <w:sz w:val="20"/>
        </w:rPr>
        <w:t xml:space="preserve">Regularizaciones:  1,4 millones de francos suizos:  </w:t>
      </w:r>
      <w:r w:rsidRPr="00C4585D">
        <w:rPr>
          <w:bCs/>
          <w:color w:val="000000"/>
          <w:sz w:val="20"/>
        </w:rPr>
        <w:t>Se ha asignado dicha cantidad con respecto a los 96 puestos restantes en el marco de la utilización de 156 puestos de regularización, aprobados en principio por los Estados miembros en las Asambleas de 2012 (documento de referencia WO/CC/63/5).  Esos 1,4 millones de francos suizos se utilizarán esencialmente para sufragar la diferencia de costos entre las plazas temporales y los puestos de la categoría profesional.  Esto se debe a que, a raíz de la reforma contractual, no existe diferencia material en los beneficios y prestaciones de las plazas temporales y los puestos de la categoría de servicios generales.  Se propone que los Estados miembros autoricen que los 96 puestos restantes se utilicen, en el bienio 2014/15, para i) regularizar a los empleados temporeros con muchos años de servicio y ii) que se mantengan las funciones evaluadas mediante el diseño orgánico, que actualmente desempeña personal temporero.  Al final del bienio, la Secretaría habrá completado, mediante el proceso competitivo, la regularización de las dos categorías referidas anteriormente, de modo que no vuelva a plantearse el problema de los empleados temporeros con muchos años de servicio.</w:t>
      </w:r>
    </w:p>
    <w:p w:rsidR="00FF779C" w:rsidRPr="00C4585D" w:rsidRDefault="00FF779C" w:rsidP="00FF779C">
      <w:pPr>
        <w:widowControl w:val="0"/>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color w:val="000000"/>
          <w:sz w:val="20"/>
        </w:rPr>
        <w:t>Al igual que en anteriores bienios, cabe señalar que en los gastos de personal que figuran en la propuesta de presupuesto de 2014/15 no se incluyen algunos costos que no pueden cuantificarse con certeza en el momento en que se escriben estas líneas, pero cuya repercusión probablemente cause una nueva presión al alza en los costos de personal y quizás haya que tenerlos en cuenta a lo largo del bienio.  Entre tales factores figuran principalmente las decisiones que pueda tomar la Comisión de Administración Pública Internacional (CAPI) en el curso de 2014/15 con respecto a los ajustes obligatorios en las escalas de los sueldos u otros elementos del conjunto de prestaciones y compensaciones del sistema de NN.UU.</w:t>
      </w:r>
    </w:p>
    <w:p w:rsidR="00FF779C" w:rsidRPr="00C4585D" w:rsidRDefault="00FF779C" w:rsidP="00FF779C">
      <w:pPr>
        <w:jc w:val="both"/>
        <w:rPr>
          <w:bCs/>
          <w:sz w:val="20"/>
        </w:rPr>
      </w:pPr>
    </w:p>
    <w:p w:rsidR="00FF779C" w:rsidRPr="00C4585D" w:rsidRDefault="00FF779C" w:rsidP="00A57FA9">
      <w:pPr>
        <w:pStyle w:val="Heading3"/>
        <w:keepNext w:val="0"/>
        <w:rPr>
          <w:sz w:val="20"/>
          <w:szCs w:val="20"/>
          <w:u w:val="none"/>
          <w:lang w:val="es-ES_tradnl"/>
        </w:rPr>
      </w:pPr>
      <w:bookmarkStart w:id="14" w:name="_Toc366078702"/>
      <w:r w:rsidRPr="00C4585D">
        <w:rPr>
          <w:sz w:val="20"/>
          <w:szCs w:val="20"/>
          <w:u w:val="none"/>
          <w:lang w:val="es-ES_tradnl"/>
        </w:rPr>
        <w:lastRenderedPageBreak/>
        <w:t>GASTOS NO RELATIVOS AL PERSONAL</w:t>
      </w:r>
      <w:bookmarkEnd w:id="14"/>
    </w:p>
    <w:p w:rsidR="00FF779C" w:rsidRPr="00C4585D" w:rsidRDefault="00FF779C" w:rsidP="00FF779C">
      <w:pPr>
        <w:jc w:val="both"/>
        <w:rPr>
          <w:bCs/>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color w:val="000000"/>
          <w:sz w:val="20"/>
        </w:rPr>
        <w:t>Se propone disminuir los gastos no relativos al personal en 1</w:t>
      </w:r>
      <w:r w:rsidR="00160C67">
        <w:rPr>
          <w:color w:val="000000"/>
          <w:sz w:val="20"/>
        </w:rPr>
        <w:t>0,7</w:t>
      </w:r>
      <w:r w:rsidRPr="00C4585D">
        <w:rPr>
          <w:color w:val="000000"/>
          <w:sz w:val="20"/>
        </w:rPr>
        <w:t xml:space="preserve"> millones de francos suizos, lo que supone una disminución del 4,</w:t>
      </w:r>
      <w:r w:rsidR="00160C67">
        <w:rPr>
          <w:color w:val="000000"/>
          <w:sz w:val="20"/>
        </w:rPr>
        <w:t>5</w:t>
      </w:r>
      <w:r w:rsidRPr="00C4585D">
        <w:rPr>
          <w:color w:val="000000"/>
          <w:sz w:val="20"/>
        </w:rPr>
        <w:t>%, esto es, 22</w:t>
      </w:r>
      <w:r w:rsidR="00160C67">
        <w:rPr>
          <w:color w:val="000000"/>
          <w:sz w:val="20"/>
        </w:rPr>
        <w:t>7</w:t>
      </w:r>
      <w:r w:rsidRPr="00C4585D">
        <w:rPr>
          <w:color w:val="000000"/>
          <w:sz w:val="20"/>
        </w:rPr>
        <w:t xml:space="preserve"> millones de francos suizos en 2014/15 frente a los 237,7 millones de francos suizos del presupuesto de 2012/13 después de las transferencias.  Esa diferencia general refleja los siguientes cambios principales:</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color w:val="000000"/>
          <w:sz w:val="20"/>
        </w:rPr>
        <w:t>Con sujeción a la decisión de los Estados miembros sobre la posible celebración de conferencias diplomáticas en 2014/15, se han reservado partidas para sufragar la celebración de conferencias diplomáticas:</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color w:val="000000"/>
          <w:sz w:val="20"/>
        </w:rPr>
        <w:t xml:space="preserve">Se han reservado los debidos recursos para sufragar la creación de nuevas oficinas </w:t>
      </w:r>
      <w:r w:rsidR="008921D7">
        <w:rPr>
          <w:color w:val="000000"/>
          <w:sz w:val="20"/>
        </w:rPr>
        <w:t>en el exterior</w:t>
      </w:r>
      <w:r w:rsidRPr="00C4585D">
        <w:rPr>
          <w:color w:val="000000"/>
          <w:sz w:val="20"/>
        </w:rPr>
        <w:t>.</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color w:val="000000"/>
          <w:sz w:val="20"/>
        </w:rPr>
        <w:t xml:space="preserve">Se han destinado nuevos recursos para satisfacer el creciente volumen de trabajo de traducción que se subcontrata en el marco del sistema del PCT (programa 5).  En general, para el bienio 2014/15 se han presupuestado aproximadamente 51 millones de francos suizos para sufragar la traducción de resúmenes del PCT, Informes de búsqueda internacional e informes preliminares internacionales sobre </w:t>
      </w:r>
      <w:proofErr w:type="spellStart"/>
      <w:r w:rsidRPr="00C4585D">
        <w:rPr>
          <w:color w:val="000000"/>
          <w:sz w:val="20"/>
        </w:rPr>
        <w:t>patentabilidad</w:t>
      </w:r>
      <w:proofErr w:type="spellEnd"/>
      <w:r w:rsidRPr="00C4585D">
        <w:rPr>
          <w:color w:val="000000"/>
          <w:sz w:val="20"/>
        </w:rPr>
        <w:t>, lo que constituye un aumento de aproximadamente 10 millones de francos suizos con respecto al presupuesto de 2012/13 después de las transferencias.  La previsión de la mayor parte de tales aumentos en el volumen de traducción atañe al japonés, chino y coreano.</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color w:val="000000"/>
          <w:sz w:val="20"/>
        </w:rPr>
        <w:t xml:space="preserve">Se ha presupuestado un aumento de los recursos para seguir desarrollando y mejorando la infraestructura general de P.I., lo que comprende recursos para sufragar la mejora de la sostenibilidad de los Centros de Apoyo a la Tecnología y la Innovación (CATI) (un total de 700.000 francos suizos en el programa 14) y la creación y el mantenimiento de plataformas de </w:t>
      </w:r>
      <w:r w:rsidRPr="00C4585D">
        <w:rPr>
          <w:i/>
          <w:color w:val="000000"/>
          <w:sz w:val="20"/>
        </w:rPr>
        <w:t>software</w:t>
      </w:r>
      <w:r w:rsidRPr="00C4585D">
        <w:rPr>
          <w:color w:val="000000"/>
          <w:sz w:val="20"/>
        </w:rPr>
        <w:t xml:space="preserve"> para los organismos de gestión colectiva </w:t>
      </w:r>
      <w:r w:rsidR="00CA69B4">
        <w:rPr>
          <w:color w:val="000000"/>
          <w:sz w:val="20"/>
        </w:rPr>
        <w:t xml:space="preserve">(OGC) </w:t>
      </w:r>
      <w:r w:rsidRPr="00C4585D">
        <w:rPr>
          <w:color w:val="000000"/>
          <w:sz w:val="20"/>
        </w:rPr>
        <w:t>del derecho de autor, lo que incluye apoyo a las redes regionales e internacionales de organizaciones (un total de 2 millones de francos suizos en el programa 15).</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0"/>
          <w:numId w:val="4"/>
        </w:numPr>
        <w:tabs>
          <w:tab w:val="clear" w:pos="360"/>
          <w:tab w:val="num" w:pos="567"/>
        </w:tabs>
        <w:ind w:left="0" w:firstLine="0"/>
        <w:jc w:val="both"/>
        <w:rPr>
          <w:color w:val="000000"/>
          <w:sz w:val="20"/>
        </w:rPr>
      </w:pPr>
      <w:r w:rsidRPr="00C4585D">
        <w:rPr>
          <w:color w:val="000000"/>
          <w:sz w:val="20"/>
        </w:rPr>
        <w:t xml:space="preserve">Se ha propuesto aumentar los recursos destinados a Becas de la OMPI a 5,4 millones de francos suizos, principalmente en: </w:t>
      </w:r>
    </w:p>
    <w:p w:rsidR="00FF779C" w:rsidRPr="00C4585D" w:rsidRDefault="00FF779C" w:rsidP="00FF779C">
      <w:pPr>
        <w:widowControl w:val="0"/>
        <w:tabs>
          <w:tab w:val="num" w:pos="690"/>
        </w:tabs>
        <w:jc w:val="both"/>
        <w:rPr>
          <w:color w:val="000000"/>
          <w:sz w:val="20"/>
        </w:rPr>
      </w:pPr>
    </w:p>
    <w:p w:rsidR="00FF779C" w:rsidRPr="00C4585D" w:rsidRDefault="00FF779C" w:rsidP="00FF779C">
      <w:pPr>
        <w:widowControl w:val="0"/>
        <w:numPr>
          <w:ilvl w:val="1"/>
          <w:numId w:val="4"/>
        </w:numPr>
        <w:tabs>
          <w:tab w:val="clear" w:pos="1080"/>
        </w:tabs>
        <w:ind w:left="1134" w:hanging="567"/>
        <w:jc w:val="both"/>
        <w:rPr>
          <w:color w:val="000000"/>
          <w:sz w:val="20"/>
        </w:rPr>
      </w:pPr>
      <w:r w:rsidRPr="00C4585D">
        <w:rPr>
          <w:color w:val="000000"/>
          <w:sz w:val="20"/>
        </w:rPr>
        <w:t xml:space="preserve">los programas 5, 6 y 31 para potenciar los programas de intercambio entre la Oficina Internacional y las oficinas nacionales de P.I.  Mediante dichos programas, los empleados de las oficinas nacionales que participen en ellos podrán adquirir directamente conocimientos y experiencia laboral en materia de procedimientos de examen internacional y de los últimos avances en los sistemas del PCT, de Madrid y de La Haya, y </w:t>
      </w:r>
    </w:p>
    <w:p w:rsidR="00FF779C" w:rsidRPr="00C4585D" w:rsidRDefault="00FF779C" w:rsidP="00FF779C">
      <w:pPr>
        <w:widowControl w:val="0"/>
        <w:tabs>
          <w:tab w:val="num" w:pos="1080"/>
        </w:tabs>
        <w:jc w:val="both"/>
        <w:rPr>
          <w:color w:val="000000"/>
          <w:sz w:val="20"/>
        </w:rPr>
      </w:pPr>
    </w:p>
    <w:p w:rsidR="00FF779C" w:rsidRPr="00C4585D" w:rsidRDefault="00FF779C" w:rsidP="00FF779C">
      <w:pPr>
        <w:widowControl w:val="0"/>
        <w:numPr>
          <w:ilvl w:val="1"/>
          <w:numId w:val="4"/>
        </w:numPr>
        <w:tabs>
          <w:tab w:val="clear" w:pos="1080"/>
        </w:tabs>
        <w:ind w:left="1134" w:hanging="567"/>
        <w:jc w:val="both"/>
        <w:rPr>
          <w:color w:val="000000"/>
          <w:sz w:val="20"/>
        </w:rPr>
      </w:pPr>
      <w:r w:rsidRPr="00C4585D">
        <w:rPr>
          <w:color w:val="000000"/>
          <w:sz w:val="20"/>
        </w:rPr>
        <w:t>el programa 7, en el Centro de Arbitraje y Mediación, en el que se creó un programa específico de becas como parte de la aplicación de la reforma contractual para reflejar el acuerdo mediante el cual la Organización proporciona a los jóvenes profesionales experiencia en la gestión de casos.</w:t>
      </w:r>
    </w:p>
    <w:p w:rsidR="00FF779C" w:rsidRPr="00C4585D" w:rsidRDefault="00FF779C" w:rsidP="00FF779C">
      <w:pPr>
        <w:widowControl w:val="0"/>
        <w:tabs>
          <w:tab w:val="num" w:pos="690"/>
        </w:tabs>
        <w:jc w:val="both"/>
        <w:rPr>
          <w:color w:val="000000"/>
          <w:sz w:val="20"/>
        </w:rPr>
      </w:pPr>
    </w:p>
    <w:p w:rsidR="00FF779C" w:rsidRDefault="00FF779C" w:rsidP="00FF779C">
      <w:pPr>
        <w:widowControl w:val="0"/>
        <w:numPr>
          <w:ilvl w:val="0"/>
          <w:numId w:val="4"/>
        </w:numPr>
        <w:tabs>
          <w:tab w:val="clear" w:pos="360"/>
          <w:tab w:val="num" w:pos="567"/>
        </w:tabs>
        <w:ind w:left="0" w:firstLine="0"/>
        <w:jc w:val="both"/>
        <w:rPr>
          <w:color w:val="000000"/>
          <w:sz w:val="20"/>
        </w:rPr>
      </w:pPr>
      <w:r w:rsidRPr="00C4585D">
        <w:rPr>
          <w:color w:val="000000"/>
          <w:sz w:val="20"/>
        </w:rPr>
        <w:t>Se estima que en el bienio 2014/15 los recursos de “Misiones del personal” y “Viajes de terceros” disminuyan en un porcentaje combinado del </w:t>
      </w:r>
      <w:r w:rsidR="0050634B">
        <w:rPr>
          <w:color w:val="000000"/>
          <w:sz w:val="20"/>
        </w:rPr>
        <w:t>17</w:t>
      </w:r>
      <w:r w:rsidRPr="00C4585D">
        <w:rPr>
          <w:color w:val="000000"/>
          <w:sz w:val="20"/>
        </w:rPr>
        <w:t>% con respecto a 2012/13.  Se espera que la introducción de la herramienta de reservas por Internet (OBT), prevista para comienzos de 2014, genere ahorros en el costo de viajes de entre el 8% y el 10%.  En la elaboración del presupuesto de 2014/15 ya se han tenido en cuenta los ahorros que se espera lograr en los costos de “Viajes”.  En dichas categorías, la disminución de costos se debe asimismo a que el presupuesto de 2012/13 después de las transferencias comprende 2,2 millones de francos suizos en el rubro “Misiones del personal” y “Viajes de terceros” en relación con los proyectos que se están ejecutando en el marco de la Agenda para el Desarrollo, que se espera finalizar en 2013.</w:t>
      </w:r>
    </w:p>
    <w:p w:rsidR="0050634B" w:rsidRPr="00C4585D" w:rsidRDefault="0050634B" w:rsidP="0050634B">
      <w:pPr>
        <w:widowControl w:val="0"/>
        <w:jc w:val="both"/>
        <w:rPr>
          <w:color w:val="000000"/>
          <w:sz w:val="20"/>
        </w:rPr>
      </w:pPr>
    </w:p>
    <w:p w:rsidR="00FF779C" w:rsidRPr="00C4585D" w:rsidRDefault="00FF779C" w:rsidP="004608A0">
      <w:pPr>
        <w:widowControl w:val="0"/>
        <w:numPr>
          <w:ilvl w:val="0"/>
          <w:numId w:val="4"/>
        </w:numPr>
        <w:tabs>
          <w:tab w:val="clear" w:pos="360"/>
          <w:tab w:val="num" w:pos="567"/>
        </w:tabs>
        <w:ind w:left="0" w:firstLine="0"/>
        <w:jc w:val="both"/>
        <w:rPr>
          <w:color w:val="000000"/>
          <w:sz w:val="20"/>
        </w:rPr>
      </w:pPr>
      <w:r w:rsidRPr="00C4585D">
        <w:rPr>
          <w:color w:val="000000"/>
          <w:sz w:val="20"/>
        </w:rPr>
        <w:t>Se ha previsto que los recursos generales no relativos al personal para sufragar las publicaciones disminuyan de 800.000 francos suizos de 2012/13 a unos 400.000 francos suizos en 2014/2015.  Lo cual se debe al aumento de las actividades internas de publicación así como al aumento de la publicación por Internet en el porcentaje del total de publicaciones.</w:t>
      </w:r>
    </w:p>
    <w:p w:rsidR="00FF779C" w:rsidRPr="00C4585D" w:rsidRDefault="00FF779C" w:rsidP="004608A0">
      <w:pPr>
        <w:widowControl w:val="0"/>
        <w:tabs>
          <w:tab w:val="num" w:pos="690"/>
        </w:tabs>
        <w:jc w:val="both"/>
        <w:rPr>
          <w:color w:val="000000"/>
          <w:sz w:val="20"/>
        </w:rPr>
      </w:pPr>
    </w:p>
    <w:p w:rsidR="00FF779C" w:rsidRPr="00C4585D" w:rsidRDefault="00FF779C" w:rsidP="004608A0">
      <w:pPr>
        <w:widowControl w:val="0"/>
        <w:numPr>
          <w:ilvl w:val="0"/>
          <w:numId w:val="4"/>
        </w:numPr>
        <w:tabs>
          <w:tab w:val="clear" w:pos="360"/>
          <w:tab w:val="num" w:pos="567"/>
        </w:tabs>
        <w:ind w:left="0" w:firstLine="0"/>
        <w:jc w:val="both"/>
        <w:rPr>
          <w:color w:val="000000"/>
          <w:sz w:val="20"/>
        </w:rPr>
      </w:pPr>
      <w:r w:rsidRPr="00C4585D">
        <w:rPr>
          <w:color w:val="000000"/>
          <w:sz w:val="20"/>
        </w:rPr>
        <w:t xml:space="preserve">Se prevé que los gastos en la categoría “Locales y mantenimiento” aumenten en 1,7 millones de francos suizos y alcancen el total de 39 millones de francos suizos en el bienio 2014/15.  Los aumentos se han producido principalmente en:  i) el programa 25 sobre mecanismos de continuación de las actividades, recuperación en casos de desastre y mejora de la seguridad de la información;  ii) el </w:t>
      </w:r>
      <w:r w:rsidRPr="00C4585D">
        <w:rPr>
          <w:color w:val="000000"/>
          <w:sz w:val="20"/>
        </w:rPr>
        <w:lastRenderedPageBreak/>
        <w:t xml:space="preserve">programa 5 en el ámbito de los sistemas de información del PCT para el mantenimiento de los equipos de T.I.;  iii) el programa 13 relativo al alquiler de equipos de T.I. para la creación de un motor de búsqueda de la base de datos de P.I.;  y iv) el programa 20 relativo a las nuevas oficinas </w:t>
      </w:r>
      <w:r w:rsidR="008921D7">
        <w:rPr>
          <w:color w:val="000000"/>
          <w:sz w:val="20"/>
        </w:rPr>
        <w:t xml:space="preserve">en el </w:t>
      </w:r>
      <w:r w:rsidRPr="00C4585D">
        <w:rPr>
          <w:color w:val="000000"/>
          <w:sz w:val="20"/>
        </w:rPr>
        <w:t>exter</w:t>
      </w:r>
      <w:r w:rsidR="008921D7">
        <w:rPr>
          <w:color w:val="000000"/>
          <w:sz w:val="20"/>
        </w:rPr>
        <w:t>ior</w:t>
      </w:r>
      <w:r w:rsidRPr="00C4585D">
        <w:rPr>
          <w:color w:val="000000"/>
          <w:sz w:val="20"/>
        </w:rPr>
        <w:t>.</w:t>
      </w:r>
    </w:p>
    <w:p w:rsidR="00FF779C" w:rsidRPr="00C4585D" w:rsidRDefault="00FF779C" w:rsidP="00FF779C">
      <w:pPr>
        <w:widowControl w:val="0"/>
        <w:tabs>
          <w:tab w:val="num" w:pos="690"/>
        </w:tabs>
        <w:jc w:val="both"/>
        <w:rPr>
          <w:color w:val="000000"/>
          <w:sz w:val="20"/>
        </w:rPr>
      </w:pPr>
    </w:p>
    <w:p w:rsidR="00FF779C" w:rsidRPr="00C4585D" w:rsidRDefault="00FF779C" w:rsidP="00FF779C">
      <w:pPr>
        <w:numPr>
          <w:ilvl w:val="0"/>
          <w:numId w:val="4"/>
        </w:numPr>
        <w:tabs>
          <w:tab w:val="clear" w:pos="360"/>
          <w:tab w:val="num" w:pos="567"/>
        </w:tabs>
        <w:ind w:left="0" w:firstLine="0"/>
        <w:jc w:val="both"/>
        <w:rPr>
          <w:sz w:val="20"/>
        </w:rPr>
      </w:pPr>
      <w:r w:rsidRPr="00C4585D">
        <w:rPr>
          <w:sz w:val="20"/>
        </w:rPr>
        <w:t>Como en el bienio anterior, en el presupuesto se han asignado fondos con respecto a la participación en el costo de varios organismos, iniciativas y actividades de las NN.UU. por un total de 1,7 millones de francos suizos.  Las partidas presupuestarias de actividades conexas, como la contribución a la DCI y la JJE y las actividades relacionadas con la seguridad financiadas conjuntamente, etc., han sido asignadas a las áreas específicas de los programas a los que atañen.</w:t>
      </w:r>
    </w:p>
    <w:p w:rsidR="00FF779C" w:rsidRPr="00C4585D" w:rsidRDefault="00FF779C" w:rsidP="00024343">
      <w:pPr>
        <w:rPr>
          <w:sz w:val="20"/>
        </w:rPr>
      </w:pPr>
    </w:p>
    <w:p w:rsidR="00FF779C" w:rsidRPr="00C4585D" w:rsidRDefault="00FF779C" w:rsidP="00024343">
      <w:pPr>
        <w:numPr>
          <w:ilvl w:val="0"/>
          <w:numId w:val="4"/>
        </w:numPr>
        <w:tabs>
          <w:tab w:val="clear" w:pos="360"/>
          <w:tab w:val="num" w:pos="567"/>
        </w:tabs>
        <w:ind w:left="0" w:firstLine="0"/>
        <w:jc w:val="both"/>
        <w:rPr>
          <w:sz w:val="20"/>
        </w:rPr>
      </w:pPr>
      <w:r w:rsidRPr="00C4585D">
        <w:rPr>
          <w:sz w:val="20"/>
        </w:rPr>
        <w:t>En este bienio se ha aumentado la partida destinada a la inversión en el perfeccionamiento del personal para asegurar la efectiva consecución de los resultados previstos en el marco de la Organización.  Como medida de apoyo suplementaria, se han revisado detenidamente las necesidades de formación colectivas e individuales planteadas mediante los programas y se han centralizado en el Departamento de Gestión de Recursos Humanos a los fines de gestión global.</w:t>
      </w:r>
    </w:p>
    <w:p w:rsidR="00FF779C" w:rsidRDefault="00FF779C" w:rsidP="00024343">
      <w:pPr>
        <w:tabs>
          <w:tab w:val="num" w:pos="690"/>
        </w:tabs>
        <w:jc w:val="both"/>
        <w:rPr>
          <w:sz w:val="20"/>
        </w:rPr>
      </w:pPr>
    </w:p>
    <w:p w:rsidR="00024343" w:rsidRPr="00C4585D" w:rsidRDefault="00024343" w:rsidP="00024343">
      <w:pPr>
        <w:tabs>
          <w:tab w:val="num" w:pos="690"/>
        </w:tabs>
        <w:jc w:val="both"/>
        <w:rPr>
          <w:sz w:val="20"/>
        </w:rPr>
      </w:pPr>
    </w:p>
    <w:p w:rsidR="00FF779C" w:rsidRPr="00C4585D" w:rsidRDefault="007A204E" w:rsidP="00024343">
      <w:pPr>
        <w:pStyle w:val="Heading3"/>
        <w:keepNext w:val="0"/>
        <w:spacing w:before="0" w:after="0"/>
        <w:rPr>
          <w:sz w:val="20"/>
          <w:szCs w:val="20"/>
          <w:u w:val="none"/>
          <w:lang w:val="es-ES_tradnl"/>
        </w:rPr>
      </w:pPr>
      <w:bookmarkStart w:id="15" w:name="_Toc366078703"/>
      <w:r w:rsidRPr="00C4585D">
        <w:rPr>
          <w:sz w:val="20"/>
          <w:szCs w:val="20"/>
          <w:u w:val="none"/>
          <w:lang w:val="es-ES_tradnl"/>
        </w:rPr>
        <w:t xml:space="preserve">ACTIVIDADES </w:t>
      </w:r>
      <w:r w:rsidR="00FF779C" w:rsidRPr="00C4585D">
        <w:rPr>
          <w:sz w:val="20"/>
          <w:szCs w:val="20"/>
          <w:u w:val="none"/>
          <w:lang w:val="es-ES_tradnl"/>
        </w:rPr>
        <w:t>DE DESARROLLO Y RECURSOS DE LA AGENDA PARA EL DESARROLLO</w:t>
      </w:r>
      <w:bookmarkEnd w:id="15"/>
    </w:p>
    <w:p w:rsidR="00FF779C" w:rsidRPr="00C4585D" w:rsidRDefault="00FF779C" w:rsidP="00024343">
      <w:pPr>
        <w:jc w:val="both"/>
        <w:rPr>
          <w:bCs/>
          <w:sz w:val="20"/>
        </w:rPr>
      </w:pPr>
    </w:p>
    <w:p w:rsidR="00FF779C" w:rsidRDefault="00FF779C" w:rsidP="00024343">
      <w:pPr>
        <w:numPr>
          <w:ilvl w:val="0"/>
          <w:numId w:val="4"/>
        </w:numPr>
        <w:tabs>
          <w:tab w:val="clear" w:pos="360"/>
          <w:tab w:val="num" w:pos="567"/>
        </w:tabs>
        <w:ind w:left="0" w:firstLine="0"/>
        <w:jc w:val="both"/>
        <w:rPr>
          <w:sz w:val="20"/>
        </w:rPr>
      </w:pPr>
      <w:r w:rsidRPr="00C4585D">
        <w:rPr>
          <w:sz w:val="20"/>
        </w:rPr>
        <w:t xml:space="preserve">La potenciación del desarrollo seguirá siendo una prioridad en el bienio 2014/15.  En el cuadro que figura a continuación se ofrece información precisa de los gastos previstos en materia de desarrollo en 2014/15, por programa.  Se consideran </w:t>
      </w:r>
      <w:r w:rsidRPr="00C4585D">
        <w:rPr>
          <w:i/>
          <w:sz w:val="20"/>
        </w:rPr>
        <w:t xml:space="preserve">gastos </w:t>
      </w:r>
      <w:r w:rsidR="00B32B5E">
        <w:rPr>
          <w:i/>
          <w:sz w:val="20"/>
        </w:rPr>
        <w:t>destinados al</w:t>
      </w:r>
      <w:r w:rsidRPr="00C4585D">
        <w:rPr>
          <w:i/>
          <w:sz w:val="20"/>
        </w:rPr>
        <w:t xml:space="preserve"> desarrollo</w:t>
      </w:r>
      <w:r w:rsidRPr="00C4585D">
        <w:rPr>
          <w:sz w:val="20"/>
        </w:rPr>
        <w:t xml:space="preserve"> únicamente aquellos en los que el beneficiario es un país en desarrollo y no se ha previsto un gasto equivalente para países desarrollados.  En tales importes quedan excluidos los ingresos perdidos por causa de la reducción de tasas acordada por sistemas internacionales de registro para solicitantes de países en desarrollo.</w:t>
      </w:r>
      <w:r w:rsidRPr="00C4585D">
        <w:rPr>
          <w:rStyle w:val="FootnoteReference"/>
          <w:sz w:val="20"/>
        </w:rPr>
        <w:footnoteReference w:id="5"/>
      </w:r>
      <w:r w:rsidRPr="00C4585D">
        <w:rPr>
          <w:sz w:val="20"/>
        </w:rPr>
        <w:t xml:space="preserve">  Si se incluyeran tales gastos, el total relativo a </w:t>
      </w:r>
      <w:r w:rsidRPr="00C4585D">
        <w:rPr>
          <w:i/>
          <w:sz w:val="20"/>
        </w:rPr>
        <w:t xml:space="preserve">gastos </w:t>
      </w:r>
      <w:r w:rsidR="00B32B5E">
        <w:rPr>
          <w:i/>
          <w:sz w:val="20"/>
        </w:rPr>
        <w:t>destinados al</w:t>
      </w:r>
      <w:r w:rsidRPr="00C4585D">
        <w:rPr>
          <w:i/>
          <w:sz w:val="20"/>
        </w:rPr>
        <w:t xml:space="preserve"> desarrollo </w:t>
      </w:r>
      <w:r w:rsidRPr="00C4585D">
        <w:rPr>
          <w:sz w:val="20"/>
        </w:rPr>
        <w:t>sería superior.</w:t>
      </w:r>
    </w:p>
    <w:p w:rsidR="00AD2C50" w:rsidRPr="00C4585D" w:rsidRDefault="00AD2C50" w:rsidP="00AD2C50">
      <w:pPr>
        <w:widowControl w:val="0"/>
        <w:jc w:val="both"/>
        <w:rPr>
          <w:sz w:val="20"/>
        </w:rPr>
      </w:pPr>
    </w:p>
    <w:p w:rsidR="007E5DCB" w:rsidRDefault="007E5DCB" w:rsidP="007E5DCB">
      <w:pPr>
        <w:keepNext/>
        <w:keepLines/>
        <w:jc w:val="center"/>
        <w:rPr>
          <w:sz w:val="18"/>
          <w:szCs w:val="18"/>
        </w:rPr>
      </w:pPr>
    </w:p>
    <w:p w:rsidR="007E5DCB" w:rsidRDefault="007E5DCB" w:rsidP="007E5DCB">
      <w:pPr>
        <w:keepNext/>
        <w:keepLines/>
        <w:jc w:val="center"/>
        <w:rPr>
          <w:sz w:val="18"/>
          <w:szCs w:val="18"/>
        </w:rPr>
      </w:pPr>
    </w:p>
    <w:p w:rsidR="00FF779C" w:rsidRPr="00C4585D" w:rsidRDefault="00FF779C" w:rsidP="007E5DCB">
      <w:pPr>
        <w:keepNext/>
        <w:keepLines/>
        <w:jc w:val="center"/>
        <w:rPr>
          <w:sz w:val="18"/>
          <w:szCs w:val="18"/>
        </w:rPr>
      </w:pPr>
      <w:r w:rsidRPr="00C4585D">
        <w:rPr>
          <w:sz w:val="18"/>
          <w:szCs w:val="18"/>
        </w:rPr>
        <w:t>Cuadr</w:t>
      </w:r>
      <w:r w:rsidR="00C4585D" w:rsidRPr="00C4585D">
        <w:rPr>
          <w:sz w:val="18"/>
          <w:szCs w:val="18"/>
        </w:rPr>
        <w:t>o 6.  G</w:t>
      </w:r>
      <w:r w:rsidRPr="00C4585D">
        <w:rPr>
          <w:sz w:val="18"/>
          <w:szCs w:val="18"/>
        </w:rPr>
        <w:t>astos destinados al desarrollo e</w:t>
      </w:r>
      <w:r w:rsidR="00C4585D" w:rsidRPr="00C4585D">
        <w:rPr>
          <w:sz w:val="18"/>
          <w:szCs w:val="18"/>
        </w:rPr>
        <w:t>n 2</w:t>
      </w:r>
      <w:r w:rsidRPr="00C4585D">
        <w:rPr>
          <w:sz w:val="18"/>
          <w:szCs w:val="18"/>
        </w:rPr>
        <w:t>014/15 (parte correspondiente de los recursos de los programas)</w:t>
      </w:r>
    </w:p>
    <w:p w:rsidR="00FF779C" w:rsidRPr="00C4585D" w:rsidRDefault="00FF779C" w:rsidP="007E5DCB">
      <w:pPr>
        <w:keepNext/>
        <w:keepLines/>
        <w:jc w:val="center"/>
        <w:rPr>
          <w:i/>
          <w:sz w:val="18"/>
          <w:szCs w:val="18"/>
        </w:rPr>
      </w:pPr>
      <w:r w:rsidRPr="00C4585D">
        <w:rPr>
          <w:i/>
          <w:sz w:val="18"/>
          <w:szCs w:val="18"/>
        </w:rPr>
        <w:t>(</w:t>
      </w:r>
      <w:proofErr w:type="gramStart"/>
      <w:r w:rsidRPr="00C4585D">
        <w:rPr>
          <w:i/>
          <w:sz w:val="18"/>
          <w:szCs w:val="18"/>
        </w:rPr>
        <w:t>en</w:t>
      </w:r>
      <w:proofErr w:type="gramEnd"/>
      <w:r w:rsidRPr="00C4585D">
        <w:rPr>
          <w:i/>
          <w:sz w:val="18"/>
          <w:szCs w:val="18"/>
        </w:rPr>
        <w:t xml:space="preserve"> miles de francos suizos)</w:t>
      </w:r>
    </w:p>
    <w:p w:rsidR="00FF779C" w:rsidRDefault="00FF779C" w:rsidP="007E5DCB">
      <w:pPr>
        <w:keepNext/>
        <w:keepLines/>
        <w:jc w:val="center"/>
        <w:rPr>
          <w:i/>
          <w:sz w:val="18"/>
          <w:szCs w:val="18"/>
        </w:rPr>
      </w:pPr>
    </w:p>
    <w:p w:rsidR="00AD2C50" w:rsidRDefault="00803246" w:rsidP="007E5DCB">
      <w:pPr>
        <w:keepNext/>
        <w:keepLines/>
        <w:jc w:val="center"/>
        <w:rPr>
          <w:i/>
          <w:sz w:val="18"/>
          <w:szCs w:val="18"/>
        </w:rPr>
      </w:pPr>
      <w:r w:rsidRPr="00803246">
        <w:rPr>
          <w:noProof/>
          <w:lang w:val="en-US" w:eastAsia="en-US"/>
        </w:rPr>
        <w:drawing>
          <wp:inline distT="0" distB="0" distL="0" distR="0" wp14:anchorId="2E2C5375" wp14:editId="758A83A5">
            <wp:extent cx="5940425" cy="3443617"/>
            <wp:effectExtent l="0" t="0" r="3175" b="444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3443617"/>
                    </a:xfrm>
                    <a:prstGeom prst="rect">
                      <a:avLst/>
                    </a:prstGeom>
                    <a:noFill/>
                    <a:ln>
                      <a:noFill/>
                    </a:ln>
                  </pic:spPr>
                </pic:pic>
              </a:graphicData>
            </a:graphic>
          </wp:inline>
        </w:drawing>
      </w:r>
      <w:r w:rsidR="007E5DCB" w:rsidRPr="007E5DCB">
        <w:t xml:space="preserve"> </w:t>
      </w:r>
    </w:p>
    <w:p w:rsidR="00AD2C50" w:rsidRPr="00C4585D" w:rsidRDefault="00AD2C50" w:rsidP="00AD2C50">
      <w:pPr>
        <w:jc w:val="center"/>
        <w:rPr>
          <w:i/>
          <w:sz w:val="18"/>
          <w:szCs w:val="18"/>
        </w:rPr>
      </w:pPr>
    </w:p>
    <w:p w:rsidR="00FF779C" w:rsidRPr="00C4585D" w:rsidRDefault="00FF779C" w:rsidP="0050634B">
      <w:pPr>
        <w:keepNext/>
        <w:keepLines/>
        <w:widowControl w:val="0"/>
        <w:numPr>
          <w:ilvl w:val="0"/>
          <w:numId w:val="4"/>
        </w:numPr>
        <w:tabs>
          <w:tab w:val="clear" w:pos="360"/>
          <w:tab w:val="num" w:pos="0"/>
        </w:tabs>
        <w:ind w:left="0" w:firstLine="0"/>
        <w:jc w:val="both"/>
        <w:rPr>
          <w:sz w:val="20"/>
        </w:rPr>
      </w:pPr>
      <w:r w:rsidRPr="00C4585D">
        <w:rPr>
          <w:sz w:val="20"/>
        </w:rPr>
        <w:lastRenderedPageBreak/>
        <w:t xml:space="preserve">La metodología aplicada para calcular </w:t>
      </w:r>
      <w:r w:rsidR="007D0F57">
        <w:rPr>
          <w:sz w:val="20"/>
        </w:rPr>
        <w:t>la cuota asignada a actividades para</w:t>
      </w:r>
      <w:r w:rsidRPr="00C4585D">
        <w:rPr>
          <w:sz w:val="20"/>
        </w:rPr>
        <w:t xml:space="preserve"> </w:t>
      </w:r>
      <w:r w:rsidR="007D0F57">
        <w:rPr>
          <w:sz w:val="20"/>
        </w:rPr>
        <w:t>e</w:t>
      </w:r>
      <w:r w:rsidRPr="00C4585D">
        <w:rPr>
          <w:sz w:val="20"/>
        </w:rPr>
        <w:t>l desarrollo de la propuesta de presupuesto para 2014/15 guarda completa conformidad con la adoptada en 2012/13.  Así, la estimación del gasto en desarrollo por programa en 2014/15 se ha efectuado aplicando a las actividades de cada programa la definición de gasto en desarrollo facilitada anteriormente, y ello en estrecha consulta con los respectivos directores de programa.</w:t>
      </w:r>
    </w:p>
    <w:p w:rsidR="00FF779C" w:rsidRPr="00C4585D" w:rsidRDefault="00FF779C" w:rsidP="00FF779C">
      <w:pPr>
        <w:widowControl w:val="0"/>
        <w:jc w:val="both"/>
        <w:rPr>
          <w:sz w:val="20"/>
        </w:rPr>
      </w:pPr>
    </w:p>
    <w:p w:rsidR="00FF779C" w:rsidRPr="00C4585D" w:rsidRDefault="00FF779C" w:rsidP="00FF779C">
      <w:pPr>
        <w:widowControl w:val="0"/>
        <w:numPr>
          <w:ilvl w:val="0"/>
          <w:numId w:val="4"/>
        </w:numPr>
        <w:tabs>
          <w:tab w:val="clear" w:pos="360"/>
          <w:tab w:val="num" w:pos="567"/>
        </w:tabs>
        <w:ind w:left="0" w:firstLine="0"/>
        <w:jc w:val="both"/>
        <w:rPr>
          <w:sz w:val="20"/>
        </w:rPr>
      </w:pPr>
      <w:r w:rsidRPr="00C4585D">
        <w:rPr>
          <w:sz w:val="20"/>
        </w:rPr>
        <w:t>Para la aplicación de los proyectos de la Agenda para el Desarrollo se han asignado 1,6 millones de francos suizos en la propuesta de presupuesto por programas de 2014/15, a reserva de la aprobación del CDIP.</w:t>
      </w:r>
    </w:p>
    <w:p w:rsidR="00FF779C" w:rsidRPr="00C4585D" w:rsidRDefault="00FF779C" w:rsidP="00FF779C">
      <w:pPr>
        <w:widowControl w:val="0"/>
        <w:jc w:val="both"/>
        <w:rPr>
          <w:sz w:val="20"/>
        </w:rPr>
      </w:pPr>
    </w:p>
    <w:p w:rsidR="00FF779C" w:rsidRPr="00C4585D" w:rsidRDefault="00FF779C" w:rsidP="007E5DCB">
      <w:pPr>
        <w:keepNext/>
        <w:keepLines/>
        <w:jc w:val="center"/>
        <w:rPr>
          <w:sz w:val="18"/>
          <w:szCs w:val="18"/>
        </w:rPr>
      </w:pPr>
      <w:r w:rsidRPr="00C4585D">
        <w:rPr>
          <w:sz w:val="18"/>
          <w:szCs w:val="18"/>
        </w:rPr>
        <w:t>Cuadro 7.  Proyectos de la Agenda para el Desarrollo – Resumen de recursos necesarios 2014/15</w:t>
      </w:r>
    </w:p>
    <w:p w:rsidR="00FF779C" w:rsidRPr="00C4585D" w:rsidRDefault="00FF779C" w:rsidP="007E5DCB">
      <w:pPr>
        <w:keepNext/>
        <w:keepLines/>
        <w:jc w:val="center"/>
        <w:rPr>
          <w:i/>
          <w:sz w:val="18"/>
          <w:szCs w:val="18"/>
        </w:rPr>
      </w:pPr>
      <w:r w:rsidRPr="00C4585D">
        <w:rPr>
          <w:i/>
          <w:sz w:val="18"/>
          <w:szCs w:val="18"/>
        </w:rPr>
        <w:t>(</w:t>
      </w:r>
      <w:proofErr w:type="gramStart"/>
      <w:r w:rsidRPr="00C4585D">
        <w:rPr>
          <w:i/>
          <w:sz w:val="18"/>
          <w:szCs w:val="18"/>
        </w:rPr>
        <w:t>en</w:t>
      </w:r>
      <w:proofErr w:type="gramEnd"/>
      <w:r w:rsidRPr="00C4585D">
        <w:rPr>
          <w:i/>
          <w:sz w:val="18"/>
          <w:szCs w:val="18"/>
        </w:rPr>
        <w:t xml:space="preserve"> miles de francos suizos)</w:t>
      </w:r>
    </w:p>
    <w:p w:rsidR="00FF779C" w:rsidRPr="00C4585D" w:rsidRDefault="00FF779C" w:rsidP="007E5DCB">
      <w:pPr>
        <w:keepNext/>
        <w:keepLines/>
        <w:jc w:val="center"/>
        <w:rPr>
          <w:i/>
          <w:sz w:val="18"/>
          <w:szCs w:val="18"/>
        </w:rPr>
      </w:pPr>
    </w:p>
    <w:p w:rsidR="00FF779C" w:rsidRPr="00C4585D" w:rsidRDefault="00C40A11" w:rsidP="007E5DCB">
      <w:pPr>
        <w:keepNext/>
        <w:keepLines/>
        <w:jc w:val="center"/>
        <w:rPr>
          <w:sz w:val="18"/>
          <w:szCs w:val="18"/>
        </w:rPr>
      </w:pPr>
      <w:r>
        <w:rPr>
          <w:noProof/>
          <w:lang w:val="en-US" w:eastAsia="en-US"/>
        </w:rPr>
        <w:drawing>
          <wp:inline distT="0" distB="0" distL="0" distR="0" wp14:anchorId="5DE95078" wp14:editId="5AC0EB47">
            <wp:extent cx="5943600" cy="2402205"/>
            <wp:effectExtent l="0" t="0" r="0" b="0"/>
            <wp:docPr id="1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2402205"/>
                    </a:xfrm>
                    <a:prstGeom prst="rect">
                      <a:avLst/>
                    </a:prstGeom>
                    <a:noFill/>
                    <a:ln>
                      <a:noFill/>
                    </a:ln>
                  </pic:spPr>
                </pic:pic>
              </a:graphicData>
            </a:graphic>
          </wp:inline>
        </w:drawing>
      </w:r>
    </w:p>
    <w:p w:rsidR="00FF779C" w:rsidRPr="00C4585D" w:rsidRDefault="00FF779C" w:rsidP="007E5DCB">
      <w:pPr>
        <w:keepNext/>
        <w:keepLines/>
        <w:widowControl w:val="0"/>
        <w:jc w:val="both"/>
        <w:rPr>
          <w:sz w:val="20"/>
        </w:rPr>
      </w:pPr>
    </w:p>
    <w:p w:rsidR="00FF779C" w:rsidRPr="00C4585D" w:rsidRDefault="00FF779C" w:rsidP="00803246">
      <w:pPr>
        <w:keepNext/>
        <w:keepLines/>
        <w:widowControl w:val="0"/>
        <w:numPr>
          <w:ilvl w:val="0"/>
          <w:numId w:val="4"/>
        </w:numPr>
        <w:tabs>
          <w:tab w:val="clear" w:pos="360"/>
          <w:tab w:val="num" w:pos="567"/>
        </w:tabs>
        <w:ind w:left="0" w:firstLine="0"/>
        <w:jc w:val="both"/>
        <w:rPr>
          <w:sz w:val="20"/>
        </w:rPr>
      </w:pPr>
      <w:r w:rsidRPr="00C4585D">
        <w:rPr>
          <w:sz w:val="20"/>
        </w:rPr>
        <w:t xml:space="preserve">Además, se ha propuesto </w:t>
      </w:r>
      <w:r w:rsidR="00CA1FB2">
        <w:rPr>
          <w:sz w:val="20"/>
        </w:rPr>
        <w:t>incorporar, tras su evaluación,</w:t>
      </w:r>
      <w:r w:rsidRPr="00C4585D">
        <w:rPr>
          <w:sz w:val="20"/>
        </w:rPr>
        <w:t xml:space="preserve"> los siguientes proyectos de la Agenda para el Desarrollo</w:t>
      </w:r>
      <w:r w:rsidR="00CA1FB2">
        <w:rPr>
          <w:sz w:val="20"/>
        </w:rPr>
        <w:t>,</w:t>
      </w:r>
      <w:r w:rsidRPr="00C4585D">
        <w:rPr>
          <w:sz w:val="20"/>
        </w:rPr>
        <w:t xml:space="preserve"> ejecutados en el bienio anterior, </w:t>
      </w:r>
      <w:r w:rsidR="00CA1FB2">
        <w:rPr>
          <w:sz w:val="20"/>
        </w:rPr>
        <w:t>en</w:t>
      </w:r>
      <w:r w:rsidRPr="00C4585D">
        <w:rPr>
          <w:sz w:val="20"/>
        </w:rPr>
        <w:t xml:space="preserve"> los </w:t>
      </w:r>
      <w:r w:rsidR="00CA1FB2">
        <w:rPr>
          <w:sz w:val="20"/>
        </w:rPr>
        <w:t xml:space="preserve">programas </w:t>
      </w:r>
      <w:r w:rsidRPr="00C4585D">
        <w:rPr>
          <w:sz w:val="20"/>
        </w:rPr>
        <w:t>correspondientes:</w:t>
      </w:r>
    </w:p>
    <w:p w:rsidR="00FF779C" w:rsidRPr="00C4585D" w:rsidRDefault="00FF779C" w:rsidP="00803246">
      <w:pPr>
        <w:keepNext/>
        <w:keepLines/>
        <w:rPr>
          <w:sz w:val="20"/>
        </w:rPr>
      </w:pPr>
    </w:p>
    <w:p w:rsidR="00FF779C" w:rsidRPr="00C4585D" w:rsidRDefault="00FF779C" w:rsidP="00803246">
      <w:pPr>
        <w:keepNext/>
        <w:keepLines/>
        <w:numPr>
          <w:ilvl w:val="0"/>
          <w:numId w:val="7"/>
        </w:numPr>
        <w:tabs>
          <w:tab w:val="clear" w:pos="851"/>
        </w:tabs>
        <w:ind w:left="1134" w:hanging="567"/>
        <w:rPr>
          <w:sz w:val="20"/>
        </w:rPr>
      </w:pPr>
      <w:r w:rsidRPr="00C4585D">
        <w:rPr>
          <w:sz w:val="20"/>
        </w:rPr>
        <w:t>Creación de academias nacionales, programa 11 (</w:t>
      </w:r>
      <w:r w:rsidR="00CA1FB2">
        <w:rPr>
          <w:sz w:val="20"/>
        </w:rPr>
        <w:t>Academia</w:t>
      </w:r>
      <w:r w:rsidRPr="00C4585D">
        <w:rPr>
          <w:sz w:val="20"/>
        </w:rPr>
        <w:t xml:space="preserve"> de la OMPI).  Total de recursos</w:t>
      </w:r>
      <w:proofErr w:type="gramStart"/>
      <w:r w:rsidRPr="00C4585D">
        <w:rPr>
          <w:sz w:val="20"/>
        </w:rPr>
        <w:t>:  400.000</w:t>
      </w:r>
      <w:proofErr w:type="gramEnd"/>
      <w:r w:rsidRPr="00C4585D">
        <w:rPr>
          <w:sz w:val="20"/>
        </w:rPr>
        <w:t xml:space="preserve"> francos suizos.</w:t>
      </w:r>
    </w:p>
    <w:p w:rsidR="00FF779C" w:rsidRPr="00C4585D" w:rsidRDefault="00FF779C" w:rsidP="00E17471">
      <w:pPr>
        <w:numPr>
          <w:ilvl w:val="0"/>
          <w:numId w:val="7"/>
        </w:numPr>
        <w:tabs>
          <w:tab w:val="clear" w:pos="851"/>
        </w:tabs>
        <w:spacing w:before="120"/>
        <w:ind w:left="1134" w:hanging="567"/>
        <w:rPr>
          <w:sz w:val="20"/>
        </w:rPr>
      </w:pPr>
      <w:r w:rsidRPr="00C4585D">
        <w:rPr>
          <w:sz w:val="20"/>
        </w:rPr>
        <w:t>Acceso a bases de datos especializadas y mantenimiento, programa 14 (servicios de acceso a la información y el conocimiento en materia de P.I.).  Total de recursos</w:t>
      </w:r>
      <w:proofErr w:type="gramStart"/>
      <w:r w:rsidRPr="00C4585D">
        <w:rPr>
          <w:sz w:val="20"/>
        </w:rPr>
        <w:t>:  1,7</w:t>
      </w:r>
      <w:proofErr w:type="gramEnd"/>
      <w:r w:rsidRPr="00C4585D">
        <w:rPr>
          <w:sz w:val="20"/>
        </w:rPr>
        <w:t xml:space="preserve"> millones de francos suizos.</w:t>
      </w:r>
    </w:p>
    <w:p w:rsidR="00FF779C" w:rsidRPr="00C4585D" w:rsidRDefault="00FF779C" w:rsidP="00E17471">
      <w:pPr>
        <w:numPr>
          <w:ilvl w:val="0"/>
          <w:numId w:val="7"/>
        </w:numPr>
        <w:tabs>
          <w:tab w:val="clear" w:pos="851"/>
        </w:tabs>
        <w:spacing w:before="120"/>
        <w:ind w:left="1134" w:hanging="567"/>
        <w:rPr>
          <w:sz w:val="20"/>
        </w:rPr>
      </w:pPr>
      <w:r w:rsidRPr="00C4585D">
        <w:rPr>
          <w:sz w:val="20"/>
        </w:rPr>
        <w:t>Creación de instrumentos de acceso a la información sobre patentes, programa 14.  Total de recursos:  100.000 francos suizos</w:t>
      </w:r>
    </w:p>
    <w:p w:rsidR="00FF779C" w:rsidRPr="00C4585D" w:rsidRDefault="00FF779C" w:rsidP="00E17471">
      <w:pPr>
        <w:numPr>
          <w:ilvl w:val="0"/>
          <w:numId w:val="7"/>
        </w:numPr>
        <w:tabs>
          <w:tab w:val="clear" w:pos="851"/>
        </w:tabs>
        <w:spacing w:before="120"/>
        <w:ind w:left="1134" w:hanging="567"/>
        <w:rPr>
          <w:sz w:val="20"/>
        </w:rPr>
      </w:pPr>
      <w:r w:rsidRPr="00C4585D">
        <w:rPr>
          <w:sz w:val="20"/>
        </w:rPr>
        <w:t>La P.I. y el fomento de las marcas</w:t>
      </w:r>
      <w:r w:rsidR="00B32B5E">
        <w:rPr>
          <w:sz w:val="20"/>
        </w:rPr>
        <w:t xml:space="preserve"> (</w:t>
      </w:r>
      <w:proofErr w:type="spellStart"/>
      <w:r w:rsidR="00B32B5E" w:rsidRPr="00B32B5E">
        <w:rPr>
          <w:i/>
          <w:sz w:val="20"/>
        </w:rPr>
        <w:t>branding</w:t>
      </w:r>
      <w:proofErr w:type="spellEnd"/>
      <w:r w:rsidR="00B32B5E">
        <w:rPr>
          <w:sz w:val="20"/>
        </w:rPr>
        <w:t>)</w:t>
      </w:r>
      <w:r w:rsidR="00B32B5E" w:rsidRPr="00B32B5E">
        <w:rPr>
          <w:rStyle w:val="FootnoteReference"/>
          <w:sz w:val="20"/>
        </w:rPr>
        <w:footnoteReference w:customMarkFollows="1" w:id="6"/>
        <w:sym w:font="Symbol" w:char="F02A"/>
      </w:r>
      <w:r w:rsidRPr="00C4585D">
        <w:rPr>
          <w:sz w:val="20"/>
        </w:rPr>
        <w:t xml:space="preserve"> de producto, programa 9 (oficinas regionales).  Total de recursos</w:t>
      </w:r>
      <w:proofErr w:type="gramStart"/>
      <w:r w:rsidRPr="00C4585D">
        <w:rPr>
          <w:sz w:val="20"/>
        </w:rPr>
        <w:t>:  aproximadamente</w:t>
      </w:r>
      <w:proofErr w:type="gramEnd"/>
      <w:r w:rsidRPr="00C4585D">
        <w:rPr>
          <w:sz w:val="20"/>
        </w:rPr>
        <w:t> 1 millón de francos suizos.</w:t>
      </w:r>
    </w:p>
    <w:p w:rsidR="00FF779C" w:rsidRPr="001640AD" w:rsidRDefault="00FF779C" w:rsidP="00FF779C"/>
    <w:p w:rsidR="00FF779C" w:rsidRDefault="00FF779C" w:rsidP="00FF779C">
      <w:pPr>
        <w:widowControl w:val="0"/>
        <w:tabs>
          <w:tab w:val="num" w:pos="690"/>
        </w:tabs>
        <w:jc w:val="both"/>
        <w:rPr>
          <w:sz w:val="20"/>
          <w:lang w:val="es-ES_tradnl"/>
        </w:rPr>
      </w:pPr>
    </w:p>
    <w:p w:rsidR="00E14C64" w:rsidRPr="00B32B5E" w:rsidRDefault="00E14C64" w:rsidP="00FF779C">
      <w:pPr>
        <w:widowControl w:val="0"/>
        <w:tabs>
          <w:tab w:val="num" w:pos="690"/>
        </w:tabs>
        <w:jc w:val="both"/>
        <w:rPr>
          <w:sz w:val="20"/>
        </w:rPr>
        <w:sectPr w:rsidR="00E14C64" w:rsidRPr="00B32B5E" w:rsidSect="00FF362A">
          <w:headerReference w:type="even" r:id="rId37"/>
          <w:headerReference w:type="default" r:id="rId38"/>
          <w:footerReference w:type="even" r:id="rId39"/>
          <w:footerReference w:type="default" r:id="rId40"/>
          <w:headerReference w:type="first" r:id="rId41"/>
          <w:footerReference w:type="first" r:id="rId42"/>
          <w:pgSz w:w="11907" w:h="16840" w:code="9"/>
          <w:pgMar w:top="567" w:right="1134" w:bottom="1418" w:left="1418" w:header="510" w:footer="1021" w:gutter="0"/>
          <w:cols w:space="720"/>
          <w:titlePg/>
        </w:sectPr>
      </w:pPr>
    </w:p>
    <w:p w:rsidR="008B2320" w:rsidRPr="00AE2EB2" w:rsidRDefault="008B2320" w:rsidP="008B2320">
      <w:pPr>
        <w:pStyle w:val="Heading1"/>
        <w:keepNext w:val="0"/>
        <w:tabs>
          <w:tab w:val="num" w:pos="0"/>
        </w:tabs>
        <w:rPr>
          <w:szCs w:val="20"/>
        </w:rPr>
      </w:pPr>
      <w:bookmarkStart w:id="16" w:name="_Toc356567745"/>
      <w:bookmarkStart w:id="17" w:name="_Toc366078704"/>
      <w:r w:rsidRPr="00AE2EB2">
        <w:rPr>
          <w:szCs w:val="20"/>
        </w:rPr>
        <w:lastRenderedPageBreak/>
        <w:t>III</w:t>
      </w:r>
      <w:r w:rsidR="00AE2EB2" w:rsidRPr="00AE2EB2">
        <w:rPr>
          <w:szCs w:val="20"/>
        </w:rPr>
        <w:t>.</w:t>
      </w:r>
      <w:r w:rsidR="00AE2EB2" w:rsidRPr="00AE2EB2">
        <w:rPr>
          <w:szCs w:val="20"/>
        </w:rPr>
        <w:tab/>
      </w:r>
      <w:bookmarkEnd w:id="16"/>
      <w:r w:rsidR="00AE2EB2" w:rsidRPr="00AE2EB2">
        <w:rPr>
          <w:szCs w:val="20"/>
        </w:rPr>
        <w:t>DESCRIPCI</w:t>
      </w:r>
      <w:r w:rsidR="006A15F5">
        <w:rPr>
          <w:szCs w:val="20"/>
        </w:rPr>
        <w:t>ÓN</w:t>
      </w:r>
      <w:r w:rsidR="00AE2EB2" w:rsidRPr="00AE2EB2">
        <w:rPr>
          <w:szCs w:val="20"/>
        </w:rPr>
        <w:t xml:space="preserve"> DE</w:t>
      </w:r>
      <w:r w:rsidR="006A15F5">
        <w:rPr>
          <w:szCs w:val="20"/>
        </w:rPr>
        <w:t xml:space="preserve"> LOS</w:t>
      </w:r>
      <w:r w:rsidR="00AE2EB2" w:rsidRPr="00AE2EB2">
        <w:rPr>
          <w:szCs w:val="20"/>
        </w:rPr>
        <w:t xml:space="preserve"> PROGRAMA</w:t>
      </w:r>
      <w:r w:rsidR="006A15F5">
        <w:rPr>
          <w:szCs w:val="20"/>
        </w:rPr>
        <w:t>S,</w:t>
      </w:r>
      <w:r w:rsidR="00AE2EB2" w:rsidRPr="00AE2EB2">
        <w:rPr>
          <w:szCs w:val="20"/>
        </w:rPr>
        <w:t xml:space="preserve"> POR META ESTRAT</w:t>
      </w:r>
      <w:r w:rsidR="00AE2EB2">
        <w:rPr>
          <w:szCs w:val="20"/>
        </w:rPr>
        <w:t>ÉGICA</w:t>
      </w:r>
      <w:bookmarkEnd w:id="17"/>
    </w:p>
    <w:p w:rsidR="008B2320" w:rsidRPr="00AE2EB2" w:rsidRDefault="008B2320" w:rsidP="00AE2EB2"/>
    <w:p w:rsidR="00665F15" w:rsidRPr="000659E4" w:rsidRDefault="00665F15" w:rsidP="00CA1FB2">
      <w:pPr>
        <w:tabs>
          <w:tab w:val="left" w:pos="2127"/>
        </w:tabs>
        <w:spacing w:after="60"/>
        <w:ind w:left="2127" w:hanging="2127"/>
        <w:rPr>
          <w:b/>
          <w:sz w:val="20"/>
        </w:rPr>
      </w:pPr>
      <w:r w:rsidRPr="000659E4">
        <w:rPr>
          <w:b/>
          <w:sz w:val="20"/>
        </w:rPr>
        <w:t>Meta estratégica I</w:t>
      </w:r>
      <w:r>
        <w:rPr>
          <w:b/>
          <w:sz w:val="20"/>
        </w:rPr>
        <w:t>:</w:t>
      </w:r>
      <w:r w:rsidRPr="000659E4">
        <w:rPr>
          <w:b/>
          <w:sz w:val="20"/>
        </w:rPr>
        <w:tab/>
        <w:t>Evolución equilibrada del marco normativo internacional de P.I.</w:t>
      </w:r>
    </w:p>
    <w:p w:rsidR="00665F15" w:rsidRPr="000659E4" w:rsidRDefault="00665F15" w:rsidP="00CA1FB2">
      <w:pPr>
        <w:tabs>
          <w:tab w:val="left" w:pos="2127"/>
        </w:tabs>
        <w:spacing w:after="60"/>
        <w:ind w:left="1134" w:hanging="567"/>
        <w:rPr>
          <w:sz w:val="20"/>
        </w:rPr>
      </w:pPr>
      <w:r w:rsidRPr="000659E4">
        <w:rPr>
          <w:sz w:val="20"/>
        </w:rPr>
        <w:t>Programa 1</w:t>
      </w:r>
      <w:r w:rsidRPr="000659E4">
        <w:rPr>
          <w:sz w:val="20"/>
        </w:rPr>
        <w:tab/>
        <w:t>Derecho de patentes</w:t>
      </w:r>
    </w:p>
    <w:p w:rsidR="00665F15" w:rsidRPr="000659E4" w:rsidRDefault="00665F15" w:rsidP="00CA1FB2">
      <w:pPr>
        <w:tabs>
          <w:tab w:val="left" w:pos="2127"/>
        </w:tabs>
        <w:spacing w:after="60"/>
        <w:ind w:left="1134" w:hanging="567"/>
        <w:rPr>
          <w:sz w:val="20"/>
        </w:rPr>
      </w:pPr>
      <w:r w:rsidRPr="000659E4">
        <w:rPr>
          <w:sz w:val="20"/>
        </w:rPr>
        <w:t>Programa 2</w:t>
      </w:r>
      <w:r w:rsidRPr="000659E4">
        <w:rPr>
          <w:sz w:val="20"/>
        </w:rPr>
        <w:tab/>
        <w:t>Marcas, diseños industriales e indicaciones geográficas</w:t>
      </w:r>
    </w:p>
    <w:p w:rsidR="00665F15" w:rsidRPr="000659E4" w:rsidRDefault="00665F15" w:rsidP="00CA1FB2">
      <w:pPr>
        <w:tabs>
          <w:tab w:val="left" w:pos="2127"/>
        </w:tabs>
        <w:spacing w:after="60"/>
        <w:ind w:left="1134" w:hanging="567"/>
        <w:rPr>
          <w:sz w:val="20"/>
        </w:rPr>
      </w:pPr>
      <w:r w:rsidRPr="000659E4">
        <w:rPr>
          <w:sz w:val="20"/>
        </w:rPr>
        <w:t>Programa 3</w:t>
      </w:r>
      <w:r w:rsidRPr="000659E4">
        <w:rPr>
          <w:sz w:val="20"/>
        </w:rPr>
        <w:tab/>
        <w:t>Derecho de autor y derechos conexos</w:t>
      </w:r>
    </w:p>
    <w:p w:rsidR="00665F15" w:rsidRPr="000659E4" w:rsidRDefault="00665F15" w:rsidP="00CA1FB2">
      <w:pPr>
        <w:tabs>
          <w:tab w:val="left" w:pos="2127"/>
        </w:tabs>
        <w:spacing w:after="60"/>
        <w:ind w:left="2127" w:hanging="1560"/>
        <w:rPr>
          <w:sz w:val="20"/>
        </w:rPr>
      </w:pPr>
      <w:r w:rsidRPr="000659E4">
        <w:rPr>
          <w:sz w:val="20"/>
        </w:rPr>
        <w:t>Programa 4</w:t>
      </w:r>
      <w:r w:rsidRPr="000659E4">
        <w:rPr>
          <w:sz w:val="20"/>
        </w:rPr>
        <w:tab/>
        <w:t>Conocimientos tradicionales, expresiones culturales tradicionales y recursos genéticos</w:t>
      </w:r>
    </w:p>
    <w:p w:rsidR="00665F15" w:rsidRPr="000659E4" w:rsidRDefault="00665F15" w:rsidP="00CA1FB2">
      <w:pPr>
        <w:tabs>
          <w:tab w:val="left" w:pos="2127"/>
        </w:tabs>
        <w:spacing w:after="60"/>
        <w:ind w:left="2127" w:hanging="2127"/>
        <w:rPr>
          <w:b/>
          <w:sz w:val="20"/>
        </w:rPr>
      </w:pPr>
      <w:r>
        <w:rPr>
          <w:b/>
          <w:sz w:val="20"/>
        </w:rPr>
        <w:t>Meta estratégica</w:t>
      </w:r>
      <w:r w:rsidRPr="000659E4">
        <w:rPr>
          <w:b/>
          <w:sz w:val="20"/>
        </w:rPr>
        <w:t xml:space="preserve"> II</w:t>
      </w:r>
      <w:r>
        <w:rPr>
          <w:b/>
          <w:sz w:val="20"/>
        </w:rPr>
        <w:t>:</w:t>
      </w:r>
      <w:r w:rsidRPr="000659E4">
        <w:rPr>
          <w:b/>
          <w:sz w:val="20"/>
        </w:rPr>
        <w:tab/>
        <w:t>Prestación de servicios mundiales de P.I. de calidad</w:t>
      </w:r>
    </w:p>
    <w:p w:rsidR="00665F15" w:rsidRPr="000659E4" w:rsidRDefault="00665F15" w:rsidP="00CA1FB2">
      <w:pPr>
        <w:tabs>
          <w:tab w:val="left" w:pos="2127"/>
        </w:tabs>
        <w:spacing w:after="60"/>
        <w:ind w:left="2127" w:hanging="1560"/>
        <w:rPr>
          <w:sz w:val="20"/>
        </w:rPr>
      </w:pPr>
      <w:r w:rsidRPr="000659E4">
        <w:rPr>
          <w:sz w:val="20"/>
        </w:rPr>
        <w:t>Programa 5</w:t>
      </w:r>
      <w:r w:rsidRPr="000659E4">
        <w:rPr>
          <w:sz w:val="20"/>
        </w:rPr>
        <w:tab/>
        <w:t>Sistema del PCT</w:t>
      </w:r>
    </w:p>
    <w:p w:rsidR="00665F15" w:rsidRPr="000659E4" w:rsidRDefault="00665F15" w:rsidP="00CA1FB2">
      <w:pPr>
        <w:tabs>
          <w:tab w:val="left" w:pos="2127"/>
        </w:tabs>
        <w:spacing w:after="60"/>
        <w:ind w:left="2127" w:hanging="1560"/>
        <w:rPr>
          <w:sz w:val="20"/>
        </w:rPr>
      </w:pPr>
      <w:r w:rsidRPr="000659E4">
        <w:rPr>
          <w:sz w:val="20"/>
        </w:rPr>
        <w:t>Programa 6</w:t>
      </w:r>
      <w:r w:rsidRPr="000659E4">
        <w:rPr>
          <w:sz w:val="20"/>
        </w:rPr>
        <w:tab/>
        <w:t>Sistemas de Madrid y de Lisboa</w:t>
      </w:r>
    </w:p>
    <w:p w:rsidR="00665F15" w:rsidRPr="000659E4" w:rsidRDefault="00665F15" w:rsidP="00CA1FB2">
      <w:pPr>
        <w:tabs>
          <w:tab w:val="left" w:pos="2127"/>
        </w:tabs>
        <w:spacing w:after="60"/>
        <w:ind w:left="2127" w:hanging="1560"/>
        <w:rPr>
          <w:sz w:val="20"/>
        </w:rPr>
      </w:pPr>
      <w:r w:rsidRPr="000659E4">
        <w:rPr>
          <w:sz w:val="20"/>
        </w:rPr>
        <w:t>Programa 31</w:t>
      </w:r>
      <w:r w:rsidRPr="000659E4">
        <w:rPr>
          <w:sz w:val="20"/>
        </w:rPr>
        <w:tab/>
        <w:t>Sistema de La Haya</w:t>
      </w:r>
    </w:p>
    <w:p w:rsidR="00665F15" w:rsidRPr="000659E4" w:rsidRDefault="00665F15" w:rsidP="00CA1FB2">
      <w:pPr>
        <w:tabs>
          <w:tab w:val="left" w:pos="2127"/>
        </w:tabs>
        <w:spacing w:after="60"/>
        <w:ind w:left="2127" w:hanging="1560"/>
        <w:rPr>
          <w:sz w:val="20"/>
        </w:rPr>
      </w:pPr>
      <w:r w:rsidRPr="000659E4">
        <w:rPr>
          <w:sz w:val="20"/>
        </w:rPr>
        <w:t>Programa 7</w:t>
      </w:r>
      <w:r w:rsidRPr="000659E4">
        <w:rPr>
          <w:sz w:val="20"/>
        </w:rPr>
        <w:tab/>
        <w:t xml:space="preserve">Centro de </w:t>
      </w:r>
      <w:r w:rsidR="00CA1FB2" w:rsidRPr="000659E4">
        <w:rPr>
          <w:sz w:val="20"/>
        </w:rPr>
        <w:t xml:space="preserve">Arbitraje </w:t>
      </w:r>
      <w:r w:rsidRPr="000659E4">
        <w:rPr>
          <w:sz w:val="20"/>
        </w:rPr>
        <w:t xml:space="preserve">y </w:t>
      </w:r>
      <w:r w:rsidR="00CA1FB2" w:rsidRPr="000659E4">
        <w:rPr>
          <w:sz w:val="20"/>
        </w:rPr>
        <w:t xml:space="preserve">Mediación </w:t>
      </w:r>
      <w:r w:rsidRPr="000659E4">
        <w:rPr>
          <w:sz w:val="20"/>
        </w:rPr>
        <w:t>de la OMPI</w:t>
      </w:r>
    </w:p>
    <w:p w:rsidR="00665F15" w:rsidRPr="000659E4" w:rsidRDefault="00665F15" w:rsidP="00CA1FB2">
      <w:pPr>
        <w:tabs>
          <w:tab w:val="left" w:pos="2127"/>
        </w:tabs>
        <w:spacing w:after="60"/>
        <w:ind w:left="2127" w:hanging="2127"/>
        <w:rPr>
          <w:b/>
          <w:sz w:val="20"/>
        </w:rPr>
      </w:pPr>
      <w:r>
        <w:rPr>
          <w:b/>
          <w:sz w:val="20"/>
        </w:rPr>
        <w:t>Meta estratégica</w:t>
      </w:r>
      <w:r w:rsidRPr="000659E4">
        <w:rPr>
          <w:b/>
          <w:sz w:val="20"/>
        </w:rPr>
        <w:t xml:space="preserve"> III</w:t>
      </w:r>
      <w:r>
        <w:rPr>
          <w:b/>
          <w:sz w:val="20"/>
        </w:rPr>
        <w:t>:</w:t>
      </w:r>
      <w:r w:rsidRPr="000659E4">
        <w:rPr>
          <w:b/>
          <w:sz w:val="20"/>
        </w:rPr>
        <w:tab/>
        <w:t>Facilitar el uso de la P.I. en aras del desarrollo</w:t>
      </w:r>
    </w:p>
    <w:p w:rsidR="00665F15" w:rsidRPr="00CA1FB2" w:rsidRDefault="00665F15" w:rsidP="00CA1FB2">
      <w:pPr>
        <w:tabs>
          <w:tab w:val="left" w:pos="2127"/>
        </w:tabs>
        <w:spacing w:after="60"/>
        <w:ind w:left="2127" w:hanging="1560"/>
        <w:rPr>
          <w:sz w:val="20"/>
        </w:rPr>
      </w:pPr>
      <w:r w:rsidRPr="00CA1FB2">
        <w:rPr>
          <w:sz w:val="20"/>
        </w:rPr>
        <w:t>Programa 8</w:t>
      </w:r>
      <w:r w:rsidRPr="00CA1FB2">
        <w:rPr>
          <w:sz w:val="20"/>
        </w:rPr>
        <w:tab/>
        <w:t xml:space="preserve">Coordinación de la Agenda para el </w:t>
      </w:r>
      <w:r w:rsidR="00CA1FB2" w:rsidRPr="00CA1FB2">
        <w:rPr>
          <w:sz w:val="20"/>
        </w:rPr>
        <w:t>Desarrollo</w:t>
      </w:r>
    </w:p>
    <w:p w:rsidR="00665F15" w:rsidRPr="00CA1FB2" w:rsidRDefault="00665F15" w:rsidP="00CA1FB2">
      <w:pPr>
        <w:tabs>
          <w:tab w:val="left" w:pos="2127"/>
        </w:tabs>
        <w:spacing w:after="60"/>
        <w:ind w:left="2127" w:hanging="1560"/>
        <w:rPr>
          <w:sz w:val="20"/>
        </w:rPr>
      </w:pPr>
      <w:r w:rsidRPr="00CA1FB2">
        <w:rPr>
          <w:sz w:val="20"/>
        </w:rPr>
        <w:t>Programa 9</w:t>
      </w:r>
      <w:r w:rsidRPr="00CA1FB2">
        <w:rPr>
          <w:sz w:val="20"/>
        </w:rPr>
        <w:tab/>
        <w:t>Países africanos, árabes, de América Latina y el Caribe, de Asia y el Pacífico y países menos adelantados</w:t>
      </w:r>
    </w:p>
    <w:p w:rsidR="00665F15" w:rsidRPr="00CA1FB2" w:rsidRDefault="00665F15" w:rsidP="00CA1FB2">
      <w:pPr>
        <w:tabs>
          <w:tab w:val="left" w:pos="2127"/>
        </w:tabs>
        <w:spacing w:after="60"/>
        <w:ind w:left="2127" w:hanging="1560"/>
        <w:rPr>
          <w:sz w:val="20"/>
        </w:rPr>
      </w:pPr>
      <w:r w:rsidRPr="00CA1FB2">
        <w:rPr>
          <w:sz w:val="20"/>
        </w:rPr>
        <w:t>Programa 10</w:t>
      </w:r>
      <w:r w:rsidRPr="00CA1FB2">
        <w:rPr>
          <w:sz w:val="20"/>
        </w:rPr>
        <w:tab/>
        <w:t>Cooperación con determinados países de Europa y Asia</w:t>
      </w:r>
    </w:p>
    <w:p w:rsidR="00665F15" w:rsidRPr="00CA1FB2" w:rsidRDefault="00665F15" w:rsidP="00CA1FB2">
      <w:pPr>
        <w:tabs>
          <w:tab w:val="left" w:pos="2127"/>
        </w:tabs>
        <w:spacing w:after="60"/>
        <w:ind w:left="2127" w:hanging="1560"/>
        <w:rPr>
          <w:sz w:val="20"/>
        </w:rPr>
      </w:pPr>
      <w:r w:rsidRPr="00CA1FB2">
        <w:rPr>
          <w:sz w:val="20"/>
        </w:rPr>
        <w:t>Programa 11</w:t>
      </w:r>
      <w:r w:rsidRPr="00CA1FB2">
        <w:rPr>
          <w:sz w:val="20"/>
        </w:rPr>
        <w:tab/>
      </w:r>
      <w:r w:rsidR="00CA1FB2" w:rsidRPr="00CA1FB2">
        <w:rPr>
          <w:sz w:val="20"/>
        </w:rPr>
        <w:t xml:space="preserve">Academia </w:t>
      </w:r>
      <w:r w:rsidRPr="00CA1FB2">
        <w:rPr>
          <w:sz w:val="20"/>
        </w:rPr>
        <w:t>de la OMPI</w:t>
      </w:r>
    </w:p>
    <w:p w:rsidR="00CA1FB2" w:rsidRPr="00CA1FB2" w:rsidRDefault="00CA1FB2" w:rsidP="00CA1FB2">
      <w:pPr>
        <w:tabs>
          <w:tab w:val="left" w:pos="2127"/>
        </w:tabs>
        <w:spacing w:after="60"/>
        <w:ind w:left="2127" w:hanging="1560"/>
        <w:rPr>
          <w:sz w:val="20"/>
        </w:rPr>
      </w:pPr>
      <w:r w:rsidRPr="00CA1FB2">
        <w:rPr>
          <w:sz w:val="20"/>
        </w:rPr>
        <w:t>Programa 30</w:t>
      </w:r>
      <w:r w:rsidRPr="00CA1FB2">
        <w:rPr>
          <w:sz w:val="20"/>
        </w:rPr>
        <w:tab/>
      </w:r>
      <w:r>
        <w:rPr>
          <w:sz w:val="20"/>
        </w:rPr>
        <w:t>Pequeñas y medianas empresas (pymes)</w:t>
      </w:r>
      <w:r w:rsidR="0050634B">
        <w:rPr>
          <w:sz w:val="20"/>
        </w:rPr>
        <w:t xml:space="preserve"> e innovación</w:t>
      </w:r>
    </w:p>
    <w:p w:rsidR="00665F15" w:rsidRPr="000659E4" w:rsidRDefault="00665F15" w:rsidP="00CA1FB2">
      <w:pPr>
        <w:tabs>
          <w:tab w:val="left" w:pos="2127"/>
        </w:tabs>
        <w:spacing w:after="60"/>
        <w:ind w:left="2127" w:hanging="2127"/>
        <w:rPr>
          <w:b/>
          <w:sz w:val="20"/>
        </w:rPr>
      </w:pPr>
      <w:r>
        <w:rPr>
          <w:b/>
          <w:sz w:val="20"/>
        </w:rPr>
        <w:t>Meta estratégica</w:t>
      </w:r>
      <w:r w:rsidRPr="000659E4">
        <w:rPr>
          <w:b/>
          <w:sz w:val="20"/>
        </w:rPr>
        <w:t xml:space="preserve"> IV</w:t>
      </w:r>
      <w:r>
        <w:rPr>
          <w:b/>
          <w:sz w:val="20"/>
        </w:rPr>
        <w:t>:</w:t>
      </w:r>
      <w:r w:rsidRPr="000659E4">
        <w:rPr>
          <w:b/>
          <w:sz w:val="20"/>
        </w:rPr>
        <w:tab/>
        <w:t>Coordinación y desarrollo de la infraestructura mundial de la P.I.</w:t>
      </w:r>
    </w:p>
    <w:p w:rsidR="00665F15" w:rsidRPr="000659E4" w:rsidRDefault="00665F15" w:rsidP="00CA1FB2">
      <w:pPr>
        <w:tabs>
          <w:tab w:val="left" w:pos="2127"/>
        </w:tabs>
        <w:spacing w:after="60"/>
        <w:ind w:left="2127" w:hanging="1560"/>
        <w:rPr>
          <w:sz w:val="20"/>
        </w:rPr>
      </w:pPr>
      <w:r w:rsidRPr="000659E4">
        <w:rPr>
          <w:sz w:val="20"/>
        </w:rPr>
        <w:t>Programa 12</w:t>
      </w:r>
      <w:r w:rsidRPr="000659E4">
        <w:rPr>
          <w:sz w:val="20"/>
        </w:rPr>
        <w:tab/>
        <w:t>Clasificaciones internacionales y normas técnicas de la OMPI</w:t>
      </w:r>
    </w:p>
    <w:p w:rsidR="00665F15" w:rsidRPr="000659E4" w:rsidRDefault="00665F15" w:rsidP="00CA1FB2">
      <w:pPr>
        <w:tabs>
          <w:tab w:val="left" w:pos="2127"/>
        </w:tabs>
        <w:spacing w:after="60"/>
        <w:ind w:left="2127" w:hanging="1560"/>
        <w:rPr>
          <w:sz w:val="20"/>
        </w:rPr>
      </w:pPr>
      <w:r w:rsidRPr="000659E4">
        <w:rPr>
          <w:sz w:val="20"/>
        </w:rPr>
        <w:t>Programa 13</w:t>
      </w:r>
      <w:r w:rsidRPr="000659E4">
        <w:rPr>
          <w:sz w:val="20"/>
        </w:rPr>
        <w:tab/>
        <w:t>Bases de datos mundiales</w:t>
      </w:r>
    </w:p>
    <w:p w:rsidR="00665F15" w:rsidRPr="000659E4" w:rsidRDefault="00665F15" w:rsidP="00CA1FB2">
      <w:pPr>
        <w:tabs>
          <w:tab w:val="left" w:pos="2127"/>
        </w:tabs>
        <w:spacing w:after="60"/>
        <w:ind w:left="2127" w:hanging="1560"/>
        <w:rPr>
          <w:sz w:val="20"/>
        </w:rPr>
      </w:pPr>
      <w:r w:rsidRPr="000659E4">
        <w:rPr>
          <w:sz w:val="20"/>
        </w:rPr>
        <w:t>Programa 14</w:t>
      </w:r>
      <w:r w:rsidRPr="000659E4">
        <w:rPr>
          <w:sz w:val="20"/>
        </w:rPr>
        <w:tab/>
        <w:t>Servicios de acceso a la información y a los conocimientos</w:t>
      </w:r>
    </w:p>
    <w:p w:rsidR="00665F15" w:rsidRPr="000659E4" w:rsidRDefault="00665F15" w:rsidP="00CA1FB2">
      <w:pPr>
        <w:tabs>
          <w:tab w:val="left" w:pos="2127"/>
        </w:tabs>
        <w:spacing w:after="60"/>
        <w:ind w:left="2127" w:hanging="1560"/>
        <w:rPr>
          <w:sz w:val="20"/>
        </w:rPr>
      </w:pPr>
      <w:r w:rsidRPr="000659E4">
        <w:rPr>
          <w:sz w:val="20"/>
        </w:rPr>
        <w:t>Programa 15</w:t>
      </w:r>
      <w:r w:rsidRPr="000659E4">
        <w:rPr>
          <w:sz w:val="20"/>
        </w:rPr>
        <w:tab/>
        <w:t>Soluciones operativas para las oficinas de P.I.</w:t>
      </w:r>
    </w:p>
    <w:p w:rsidR="00665F15" w:rsidRPr="000659E4" w:rsidRDefault="00665F15" w:rsidP="00665F15">
      <w:pPr>
        <w:tabs>
          <w:tab w:val="left" w:pos="2127"/>
        </w:tabs>
        <w:spacing w:after="60"/>
        <w:ind w:left="2127" w:hanging="2127"/>
        <w:rPr>
          <w:b/>
          <w:sz w:val="20"/>
        </w:rPr>
      </w:pPr>
      <w:r>
        <w:rPr>
          <w:b/>
          <w:sz w:val="20"/>
        </w:rPr>
        <w:t>Meta estratégica</w:t>
      </w:r>
      <w:r w:rsidRPr="000659E4">
        <w:rPr>
          <w:b/>
          <w:sz w:val="20"/>
        </w:rPr>
        <w:t xml:space="preserve"> V</w:t>
      </w:r>
      <w:r>
        <w:rPr>
          <w:b/>
          <w:sz w:val="20"/>
        </w:rPr>
        <w:t>:</w:t>
      </w:r>
      <w:r w:rsidRPr="000659E4">
        <w:rPr>
          <w:b/>
          <w:sz w:val="20"/>
        </w:rPr>
        <w:tab/>
        <w:t>Fuente de referencia en el mundo de información y análisis en materia de P.I.</w:t>
      </w:r>
    </w:p>
    <w:p w:rsidR="00665F15" w:rsidRPr="000659E4" w:rsidRDefault="00665F15" w:rsidP="00CA1FB2">
      <w:pPr>
        <w:tabs>
          <w:tab w:val="left" w:pos="2127"/>
        </w:tabs>
        <w:spacing w:after="60"/>
        <w:ind w:left="2127" w:hanging="1560"/>
        <w:rPr>
          <w:sz w:val="20"/>
        </w:rPr>
      </w:pPr>
      <w:r w:rsidRPr="000659E4">
        <w:rPr>
          <w:sz w:val="20"/>
        </w:rPr>
        <w:t>Programa 16</w:t>
      </w:r>
      <w:r w:rsidRPr="000659E4">
        <w:rPr>
          <w:sz w:val="20"/>
        </w:rPr>
        <w:tab/>
        <w:t>Economía y estadística</w:t>
      </w:r>
    </w:p>
    <w:p w:rsidR="00665F15" w:rsidRPr="000659E4" w:rsidRDefault="00665F15" w:rsidP="00CA1FB2">
      <w:pPr>
        <w:tabs>
          <w:tab w:val="left" w:pos="2127"/>
        </w:tabs>
        <w:spacing w:after="60"/>
        <w:ind w:left="2127" w:hanging="2127"/>
        <w:rPr>
          <w:b/>
          <w:sz w:val="20"/>
        </w:rPr>
      </w:pPr>
      <w:r>
        <w:rPr>
          <w:b/>
          <w:sz w:val="20"/>
        </w:rPr>
        <w:t>Meta estratégica</w:t>
      </w:r>
      <w:r w:rsidRPr="000659E4">
        <w:rPr>
          <w:b/>
          <w:sz w:val="20"/>
        </w:rPr>
        <w:t xml:space="preserve"> VI</w:t>
      </w:r>
      <w:r>
        <w:rPr>
          <w:b/>
          <w:sz w:val="20"/>
        </w:rPr>
        <w:t>:</w:t>
      </w:r>
      <w:r w:rsidRPr="000659E4">
        <w:rPr>
          <w:b/>
          <w:sz w:val="20"/>
        </w:rPr>
        <w:tab/>
      </w:r>
      <w:r w:rsidR="009C708A">
        <w:rPr>
          <w:b/>
          <w:sz w:val="20"/>
        </w:rPr>
        <w:t>Cooperación internacional para cultivar el respeto por la P.I.</w:t>
      </w:r>
    </w:p>
    <w:p w:rsidR="00665F15" w:rsidRPr="000659E4" w:rsidRDefault="00665F15" w:rsidP="00CA1FB2">
      <w:pPr>
        <w:tabs>
          <w:tab w:val="left" w:pos="2127"/>
        </w:tabs>
        <w:spacing w:after="60"/>
        <w:ind w:left="2127" w:hanging="1560"/>
        <w:rPr>
          <w:sz w:val="20"/>
        </w:rPr>
      </w:pPr>
      <w:r w:rsidRPr="000659E4">
        <w:rPr>
          <w:sz w:val="20"/>
        </w:rPr>
        <w:t>Programa 17</w:t>
      </w:r>
      <w:r w:rsidRPr="000659E4">
        <w:rPr>
          <w:sz w:val="20"/>
        </w:rPr>
        <w:tab/>
      </w:r>
      <w:r w:rsidR="00990B95">
        <w:rPr>
          <w:sz w:val="20"/>
        </w:rPr>
        <w:t>Cultivar</w:t>
      </w:r>
      <w:r w:rsidR="000D7DB1">
        <w:rPr>
          <w:sz w:val="20"/>
        </w:rPr>
        <w:t xml:space="preserve"> el respeto por la P.I.</w:t>
      </w:r>
    </w:p>
    <w:p w:rsidR="00665F15" w:rsidRPr="000659E4" w:rsidRDefault="00665F15" w:rsidP="00CA1FB2">
      <w:pPr>
        <w:tabs>
          <w:tab w:val="left" w:pos="2127"/>
        </w:tabs>
        <w:spacing w:after="60"/>
        <w:ind w:left="2127" w:hanging="2127"/>
        <w:rPr>
          <w:b/>
          <w:sz w:val="20"/>
        </w:rPr>
      </w:pPr>
      <w:r>
        <w:rPr>
          <w:b/>
          <w:sz w:val="20"/>
        </w:rPr>
        <w:t>Meta estratégica</w:t>
      </w:r>
      <w:r w:rsidRPr="000659E4">
        <w:rPr>
          <w:b/>
          <w:sz w:val="20"/>
        </w:rPr>
        <w:t xml:space="preserve"> VII</w:t>
      </w:r>
      <w:r>
        <w:rPr>
          <w:b/>
          <w:sz w:val="20"/>
        </w:rPr>
        <w:t>:</w:t>
      </w:r>
      <w:r w:rsidRPr="000659E4">
        <w:rPr>
          <w:b/>
          <w:sz w:val="20"/>
        </w:rPr>
        <w:tab/>
        <w:t>Vínculos entre la P.I. y los problemas mundiales de política pública</w:t>
      </w:r>
    </w:p>
    <w:p w:rsidR="00665F15" w:rsidRPr="000659E4" w:rsidRDefault="00665F15" w:rsidP="00CA1FB2">
      <w:pPr>
        <w:tabs>
          <w:tab w:val="left" w:pos="2127"/>
        </w:tabs>
        <w:spacing w:after="60"/>
        <w:ind w:left="2127" w:hanging="1560"/>
        <w:rPr>
          <w:sz w:val="20"/>
        </w:rPr>
      </w:pPr>
      <w:r w:rsidRPr="000659E4">
        <w:rPr>
          <w:sz w:val="20"/>
        </w:rPr>
        <w:t>Programa 18</w:t>
      </w:r>
      <w:r w:rsidRPr="000659E4">
        <w:rPr>
          <w:sz w:val="20"/>
        </w:rPr>
        <w:tab/>
        <w:t>La P.I. y los desafíos mundiales</w:t>
      </w:r>
    </w:p>
    <w:p w:rsidR="00665F15" w:rsidRPr="000659E4" w:rsidRDefault="00665F15" w:rsidP="00665F15">
      <w:pPr>
        <w:tabs>
          <w:tab w:val="left" w:pos="2127"/>
        </w:tabs>
        <w:spacing w:after="60"/>
        <w:ind w:left="2127" w:hanging="2127"/>
        <w:rPr>
          <w:b/>
          <w:sz w:val="20"/>
        </w:rPr>
      </w:pPr>
      <w:r>
        <w:rPr>
          <w:b/>
          <w:sz w:val="20"/>
        </w:rPr>
        <w:t>Meta estratégica</w:t>
      </w:r>
      <w:r w:rsidRPr="000659E4">
        <w:rPr>
          <w:b/>
          <w:sz w:val="20"/>
        </w:rPr>
        <w:t xml:space="preserve"> VIII</w:t>
      </w:r>
      <w:r>
        <w:rPr>
          <w:b/>
          <w:sz w:val="20"/>
        </w:rPr>
        <w:t>:</w:t>
      </w:r>
      <w:r w:rsidRPr="000659E4">
        <w:rPr>
          <w:b/>
          <w:sz w:val="20"/>
        </w:rPr>
        <w:tab/>
        <w:t>Comunicación eficaz entre la OMPI, sus Estados miembros y todas las partes interesadas</w:t>
      </w:r>
    </w:p>
    <w:p w:rsidR="00665F15" w:rsidRPr="000659E4" w:rsidRDefault="00665F15" w:rsidP="00CA1FB2">
      <w:pPr>
        <w:tabs>
          <w:tab w:val="left" w:pos="2127"/>
        </w:tabs>
        <w:spacing w:after="60"/>
        <w:ind w:left="2127" w:hanging="1560"/>
        <w:rPr>
          <w:sz w:val="20"/>
        </w:rPr>
      </w:pPr>
      <w:r w:rsidRPr="000659E4">
        <w:rPr>
          <w:sz w:val="20"/>
        </w:rPr>
        <w:t>Programa 19</w:t>
      </w:r>
      <w:r w:rsidRPr="000659E4">
        <w:rPr>
          <w:sz w:val="20"/>
        </w:rPr>
        <w:tab/>
        <w:t>Comunicaciones</w:t>
      </w:r>
    </w:p>
    <w:p w:rsidR="00665F15" w:rsidRPr="000659E4" w:rsidRDefault="00665F15" w:rsidP="00CA1FB2">
      <w:pPr>
        <w:tabs>
          <w:tab w:val="left" w:pos="2127"/>
        </w:tabs>
        <w:spacing w:after="60"/>
        <w:ind w:left="2127" w:hanging="1560"/>
        <w:rPr>
          <w:sz w:val="20"/>
        </w:rPr>
      </w:pPr>
      <w:r w:rsidRPr="000659E4">
        <w:rPr>
          <w:sz w:val="20"/>
        </w:rPr>
        <w:t>Programa 20</w:t>
      </w:r>
      <w:r w:rsidRPr="000659E4">
        <w:rPr>
          <w:sz w:val="20"/>
        </w:rPr>
        <w:tab/>
        <w:t>Relaciones exteriores, alianzas y oficinas en el exterior</w:t>
      </w:r>
    </w:p>
    <w:p w:rsidR="00665F15" w:rsidRPr="000659E4" w:rsidRDefault="00665F15" w:rsidP="00CA1FB2">
      <w:pPr>
        <w:tabs>
          <w:tab w:val="left" w:pos="2127"/>
        </w:tabs>
        <w:spacing w:after="60"/>
        <w:ind w:left="2127" w:hanging="2127"/>
        <w:rPr>
          <w:b/>
          <w:sz w:val="20"/>
        </w:rPr>
      </w:pPr>
      <w:r>
        <w:rPr>
          <w:b/>
          <w:sz w:val="20"/>
        </w:rPr>
        <w:t>Meta estratégica</w:t>
      </w:r>
      <w:r w:rsidRPr="000659E4">
        <w:rPr>
          <w:b/>
          <w:sz w:val="20"/>
        </w:rPr>
        <w:t xml:space="preserve"> IX</w:t>
      </w:r>
      <w:r>
        <w:rPr>
          <w:b/>
          <w:sz w:val="20"/>
        </w:rPr>
        <w:t>:</w:t>
      </w:r>
      <w:r w:rsidRPr="000659E4">
        <w:rPr>
          <w:b/>
          <w:sz w:val="20"/>
        </w:rPr>
        <w:tab/>
        <w:t>Apoyo administrativo y financiero eficiente</w:t>
      </w:r>
    </w:p>
    <w:p w:rsidR="00665F15" w:rsidRPr="000659E4" w:rsidRDefault="00665F15" w:rsidP="00CA1FB2">
      <w:pPr>
        <w:tabs>
          <w:tab w:val="left" w:pos="2127"/>
        </w:tabs>
        <w:spacing w:after="60"/>
        <w:ind w:left="2127" w:hanging="1560"/>
        <w:rPr>
          <w:sz w:val="20"/>
        </w:rPr>
      </w:pPr>
      <w:r w:rsidRPr="000659E4">
        <w:rPr>
          <w:sz w:val="20"/>
        </w:rPr>
        <w:t>Programa 21</w:t>
      </w:r>
      <w:r w:rsidRPr="000659E4">
        <w:rPr>
          <w:sz w:val="20"/>
        </w:rPr>
        <w:tab/>
        <w:t>Gestión ejecutiva</w:t>
      </w:r>
    </w:p>
    <w:p w:rsidR="00665F15" w:rsidRPr="000659E4" w:rsidRDefault="00665F15" w:rsidP="00CA1FB2">
      <w:pPr>
        <w:tabs>
          <w:tab w:val="left" w:pos="2127"/>
        </w:tabs>
        <w:spacing w:after="60"/>
        <w:ind w:left="2127" w:hanging="1560"/>
        <w:rPr>
          <w:sz w:val="20"/>
        </w:rPr>
      </w:pPr>
      <w:r w:rsidRPr="000659E4">
        <w:rPr>
          <w:sz w:val="20"/>
        </w:rPr>
        <w:t>Programa 22</w:t>
      </w:r>
      <w:r w:rsidRPr="000659E4">
        <w:rPr>
          <w:sz w:val="20"/>
        </w:rPr>
        <w:tab/>
        <w:t>Gestión de programas y recursos</w:t>
      </w:r>
    </w:p>
    <w:p w:rsidR="00665F15" w:rsidRPr="000659E4" w:rsidRDefault="00665F15" w:rsidP="00CA1FB2">
      <w:pPr>
        <w:tabs>
          <w:tab w:val="left" w:pos="2127"/>
        </w:tabs>
        <w:spacing w:after="60"/>
        <w:ind w:left="2127" w:hanging="1560"/>
        <w:rPr>
          <w:sz w:val="20"/>
        </w:rPr>
      </w:pPr>
      <w:r w:rsidRPr="000659E4">
        <w:rPr>
          <w:sz w:val="20"/>
        </w:rPr>
        <w:t>Programa 23</w:t>
      </w:r>
      <w:r w:rsidRPr="000659E4">
        <w:rPr>
          <w:sz w:val="20"/>
        </w:rPr>
        <w:tab/>
        <w:t>Gestión y desarrollo de los recursos humanos</w:t>
      </w:r>
    </w:p>
    <w:p w:rsidR="00665F15" w:rsidRPr="000659E4" w:rsidRDefault="00665F15" w:rsidP="00CA1FB2">
      <w:pPr>
        <w:tabs>
          <w:tab w:val="left" w:pos="2127"/>
        </w:tabs>
        <w:spacing w:after="60"/>
        <w:ind w:left="2127" w:hanging="1560"/>
        <w:rPr>
          <w:sz w:val="20"/>
        </w:rPr>
      </w:pPr>
      <w:r w:rsidRPr="000659E4">
        <w:rPr>
          <w:sz w:val="20"/>
        </w:rPr>
        <w:t>Programa 24</w:t>
      </w:r>
      <w:r w:rsidRPr="000659E4">
        <w:rPr>
          <w:sz w:val="20"/>
        </w:rPr>
        <w:tab/>
        <w:t>Servicios de apoyo generales</w:t>
      </w:r>
    </w:p>
    <w:p w:rsidR="00665F15" w:rsidRPr="000659E4" w:rsidRDefault="00665F15" w:rsidP="00CA1FB2">
      <w:pPr>
        <w:tabs>
          <w:tab w:val="left" w:pos="2127"/>
        </w:tabs>
        <w:spacing w:after="60"/>
        <w:ind w:left="2127" w:hanging="1560"/>
        <w:rPr>
          <w:sz w:val="20"/>
        </w:rPr>
      </w:pPr>
      <w:r w:rsidRPr="000659E4">
        <w:rPr>
          <w:sz w:val="20"/>
        </w:rPr>
        <w:t xml:space="preserve">Programa 25 </w:t>
      </w:r>
      <w:r w:rsidRPr="000659E4">
        <w:rPr>
          <w:sz w:val="20"/>
        </w:rPr>
        <w:tab/>
        <w:t>Tecnologías de la información y de las comunicaciones</w:t>
      </w:r>
    </w:p>
    <w:p w:rsidR="00665F15" w:rsidRPr="000659E4" w:rsidRDefault="00665F15" w:rsidP="00CA1FB2">
      <w:pPr>
        <w:tabs>
          <w:tab w:val="left" w:pos="2127"/>
        </w:tabs>
        <w:spacing w:after="60"/>
        <w:ind w:left="2127" w:hanging="1560"/>
        <w:rPr>
          <w:sz w:val="20"/>
        </w:rPr>
      </w:pPr>
      <w:r w:rsidRPr="000659E4">
        <w:rPr>
          <w:sz w:val="20"/>
        </w:rPr>
        <w:t>Programa 26</w:t>
      </w:r>
      <w:r w:rsidRPr="000659E4">
        <w:rPr>
          <w:sz w:val="20"/>
        </w:rPr>
        <w:tab/>
        <w:t>Supervisión interna</w:t>
      </w:r>
    </w:p>
    <w:p w:rsidR="00665F15" w:rsidRPr="000659E4" w:rsidRDefault="00665F15" w:rsidP="00CA1FB2">
      <w:pPr>
        <w:tabs>
          <w:tab w:val="left" w:pos="2127"/>
        </w:tabs>
        <w:spacing w:after="60"/>
        <w:ind w:left="2127" w:hanging="1560"/>
        <w:rPr>
          <w:sz w:val="20"/>
        </w:rPr>
      </w:pPr>
      <w:r w:rsidRPr="000659E4">
        <w:rPr>
          <w:sz w:val="20"/>
        </w:rPr>
        <w:t>Programa 27</w:t>
      </w:r>
      <w:r w:rsidRPr="000659E4">
        <w:rPr>
          <w:sz w:val="20"/>
        </w:rPr>
        <w:tab/>
        <w:t>Servicios de conferencias y lingüísticos</w:t>
      </w:r>
    </w:p>
    <w:p w:rsidR="00665F15" w:rsidRPr="000659E4" w:rsidRDefault="00665F15" w:rsidP="00CA1FB2">
      <w:pPr>
        <w:tabs>
          <w:tab w:val="left" w:pos="2127"/>
        </w:tabs>
        <w:spacing w:after="60"/>
        <w:ind w:left="2127" w:hanging="1560"/>
        <w:rPr>
          <w:sz w:val="20"/>
        </w:rPr>
      </w:pPr>
      <w:r w:rsidRPr="000659E4">
        <w:rPr>
          <w:sz w:val="20"/>
        </w:rPr>
        <w:t>Programa 28</w:t>
      </w:r>
      <w:r w:rsidRPr="000659E4">
        <w:rPr>
          <w:sz w:val="20"/>
        </w:rPr>
        <w:tab/>
        <w:t>Seguridad</w:t>
      </w:r>
    </w:p>
    <w:p w:rsidR="00665F15" w:rsidRPr="000659E4" w:rsidRDefault="00665F15" w:rsidP="00CA1FB2">
      <w:pPr>
        <w:tabs>
          <w:tab w:val="left" w:pos="2127"/>
        </w:tabs>
        <w:spacing w:after="60"/>
        <w:ind w:left="2127" w:hanging="1560"/>
        <w:rPr>
          <w:sz w:val="20"/>
        </w:rPr>
      </w:pPr>
      <w:r w:rsidRPr="000659E4">
        <w:rPr>
          <w:sz w:val="20"/>
        </w:rPr>
        <w:t>Programa 29</w:t>
      </w:r>
      <w:r w:rsidRPr="000659E4">
        <w:rPr>
          <w:sz w:val="20"/>
        </w:rPr>
        <w:tab/>
        <w:t>Nueva sala de conferencias</w:t>
      </w:r>
    </w:p>
    <w:p w:rsidR="00665F15" w:rsidRPr="00716669" w:rsidRDefault="00665F15" w:rsidP="00AE2EB2"/>
    <w:p w:rsidR="005231DF" w:rsidRDefault="005231DF">
      <w:pPr>
        <w:rPr>
          <w:sz w:val="20"/>
        </w:rPr>
      </w:pPr>
      <w:r>
        <w:rPr>
          <w:sz w:val="20"/>
        </w:rPr>
        <w:br w:type="page"/>
      </w:r>
    </w:p>
    <w:p w:rsidR="006B3639" w:rsidRDefault="006B3639" w:rsidP="00AE2EB2">
      <w:pPr>
        <w:rPr>
          <w:sz w:val="20"/>
        </w:rPr>
      </w:pPr>
    </w:p>
    <w:p w:rsidR="005231DF" w:rsidRPr="00665F15" w:rsidRDefault="005231DF" w:rsidP="00AE2EB2">
      <w:pPr>
        <w:rPr>
          <w:sz w:val="20"/>
        </w:rPr>
        <w:sectPr w:rsidR="005231DF" w:rsidRPr="00665F15" w:rsidSect="00FF362A">
          <w:headerReference w:type="first" r:id="rId43"/>
          <w:pgSz w:w="11907" w:h="16840" w:code="9"/>
          <w:pgMar w:top="567" w:right="1134" w:bottom="1418" w:left="1418" w:header="510" w:footer="1021" w:gutter="0"/>
          <w:cols w:space="720"/>
          <w:titlePg/>
        </w:sectPr>
      </w:pPr>
    </w:p>
    <w:p w:rsidR="007D5C17" w:rsidRDefault="006A15F5" w:rsidP="005E581D">
      <w:pPr>
        <w:pStyle w:val="Heading2"/>
        <w:jc w:val="center"/>
        <w:rPr>
          <w:b/>
          <w:caps w:val="0"/>
          <w:sz w:val="24"/>
          <w:szCs w:val="24"/>
          <w:lang w:val="es-ES_tradnl" w:eastAsia="da-DK"/>
        </w:rPr>
      </w:pPr>
      <w:bookmarkStart w:id="18" w:name="_Toc366078705"/>
      <w:bookmarkStart w:id="19" w:name="_Toc356567746"/>
      <w:r w:rsidRPr="008F43DB">
        <w:rPr>
          <w:b/>
          <w:caps w:val="0"/>
          <w:sz w:val="24"/>
          <w:szCs w:val="24"/>
          <w:lang w:val="es-ES_tradnl" w:eastAsia="da-DK"/>
        </w:rPr>
        <w:lastRenderedPageBreak/>
        <w:t>META ESTRATÉGICA I</w:t>
      </w:r>
      <w:bookmarkEnd w:id="18"/>
    </w:p>
    <w:p w:rsidR="007C2B91" w:rsidRPr="008F43DB" w:rsidRDefault="006A15F5" w:rsidP="005E581D">
      <w:pPr>
        <w:pStyle w:val="Heading2"/>
        <w:jc w:val="center"/>
        <w:rPr>
          <w:b/>
          <w:sz w:val="24"/>
          <w:szCs w:val="24"/>
          <w:lang w:val="es-ES_tradnl" w:eastAsia="da-DK"/>
        </w:rPr>
      </w:pPr>
      <w:bookmarkStart w:id="20" w:name="_Toc366078706"/>
      <w:bookmarkEnd w:id="19"/>
      <w:r w:rsidRPr="008F43DB">
        <w:rPr>
          <w:b/>
          <w:caps w:val="0"/>
          <w:sz w:val="24"/>
          <w:szCs w:val="24"/>
          <w:lang w:val="es-ES_tradnl" w:eastAsia="da-DK"/>
        </w:rPr>
        <w:t>EVOLUCIÓN EQUILIBRADA DEL MARCO NORMATIVO</w:t>
      </w:r>
      <w:r w:rsidRPr="008F43DB">
        <w:rPr>
          <w:b/>
          <w:caps w:val="0"/>
          <w:sz w:val="24"/>
          <w:szCs w:val="24"/>
          <w:lang w:val="es-ES_tradnl" w:eastAsia="da-DK"/>
        </w:rPr>
        <w:br/>
        <w:t>INTERNACIONAL DE P.I.</w:t>
      </w:r>
      <w:bookmarkEnd w:id="20"/>
    </w:p>
    <w:p w:rsidR="007C2B91" w:rsidRPr="008F43DB" w:rsidRDefault="007C2B91" w:rsidP="006A15F5">
      <w:pPr>
        <w:rPr>
          <w:lang w:eastAsia="da-DK"/>
        </w:rPr>
      </w:pPr>
    </w:p>
    <w:p w:rsidR="002370D4" w:rsidRPr="008F43DB" w:rsidRDefault="002370D4" w:rsidP="006A15F5">
      <w:pPr>
        <w:rPr>
          <w:lang w:eastAsia="da-DK"/>
        </w:rPr>
      </w:pPr>
    </w:p>
    <w:p w:rsidR="007C2B91" w:rsidRPr="007C2B91" w:rsidRDefault="007C2B91" w:rsidP="007C2B91">
      <w:pPr>
        <w:widowControl w:val="0"/>
        <w:autoSpaceDE w:val="0"/>
        <w:autoSpaceDN w:val="0"/>
        <w:adjustRightInd w:val="0"/>
        <w:jc w:val="both"/>
        <w:rPr>
          <w:rFonts w:eastAsia="Times New Roman"/>
          <w:sz w:val="20"/>
          <w:lang w:eastAsia="en-US"/>
        </w:rPr>
      </w:pPr>
      <w:r w:rsidRPr="007C2B91">
        <w:rPr>
          <w:rFonts w:eastAsia="Times New Roman"/>
          <w:sz w:val="20"/>
          <w:lang w:eastAsia="en-US"/>
        </w:rPr>
        <w:t>Esta meta estratégica tiene por finalidad velar por que la normativa internacional de P.I. se mantenga a la par del entorno tecnológico, geoeconómico, social y cultural, que evoluciona rápidamente, sin dejar de tener en cuenta la aplicación de las recomendaciones de la Agenda para el Desarrollo (A.D.) relacionadas con las actividades normativas.  Una evolución equilibrada a este respecto es fundamental para que el sistema de P.I. siga respondiendo a su finalidad primordial de fomentar la innovación y la creatividad;  que en él se tengan en cuenta las necesidades y los intereses de todos los países, sea cual sea su grado de desarrollo, incluso las flexibilidades previstas en los acuerdos internacionales en materia de P.I.;  y que en él se llegue a un justo equilibrio entre i) los derechos de los creadores y titulares de activos de P.I. y los derechos de los usuarios y el público;  y ii) el fomento de la innovación y la creatividad y la difusión de los beneficios sociales de las obras que son producto de la innovación y la creatividad.</w:t>
      </w:r>
    </w:p>
    <w:p w:rsidR="00AE07AF" w:rsidRPr="007C2B91" w:rsidRDefault="00AE07AF" w:rsidP="00FF779C">
      <w:pPr>
        <w:widowControl w:val="0"/>
        <w:tabs>
          <w:tab w:val="num" w:pos="690"/>
        </w:tabs>
        <w:jc w:val="both"/>
        <w:rPr>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88"/>
        <w:gridCol w:w="3003"/>
        <w:gridCol w:w="3002"/>
      </w:tblGrid>
      <w:tr w:rsidR="0057647D" w:rsidRPr="00C75C7E" w:rsidTr="0057647D">
        <w:trPr>
          <w:cantSplit/>
          <w:tblHeader/>
        </w:trPr>
        <w:tc>
          <w:tcPr>
            <w:tcW w:w="1769" w:type="pct"/>
            <w:tcBorders>
              <w:top w:val="single" w:sz="4" w:space="0" w:color="auto"/>
              <w:bottom w:val="single" w:sz="4" w:space="0" w:color="auto"/>
            </w:tcBorders>
            <w:shd w:val="clear" w:color="auto" w:fill="CCFFFF"/>
            <w:tcMar>
              <w:top w:w="113" w:type="dxa"/>
              <w:bottom w:w="113" w:type="dxa"/>
            </w:tcMar>
            <w:vAlign w:val="center"/>
          </w:tcPr>
          <w:p w:rsidR="0057647D" w:rsidRPr="00C75C7E" w:rsidRDefault="0057647D" w:rsidP="0057647D">
            <w:pPr>
              <w:widowControl w:val="0"/>
              <w:spacing w:after="120"/>
              <w:jc w:val="center"/>
              <w:rPr>
                <w:b/>
                <w:bCs/>
                <w:sz w:val="18"/>
                <w:szCs w:val="18"/>
                <w:lang w:val="es-ES_tradnl"/>
              </w:rPr>
            </w:pPr>
            <w:r w:rsidRPr="00C75C7E">
              <w:rPr>
                <w:b/>
                <w:bCs/>
                <w:sz w:val="18"/>
                <w:szCs w:val="18"/>
                <w:lang w:val="es-ES_tradnl"/>
              </w:rPr>
              <w:t>Resultados previstos</w:t>
            </w:r>
          </w:p>
        </w:tc>
        <w:tc>
          <w:tcPr>
            <w:tcW w:w="1616" w:type="pct"/>
            <w:tcBorders>
              <w:top w:val="single" w:sz="4" w:space="0" w:color="auto"/>
              <w:bottom w:val="single" w:sz="4" w:space="0" w:color="auto"/>
            </w:tcBorders>
            <w:shd w:val="clear" w:color="auto" w:fill="CCFFFF"/>
            <w:tcMar>
              <w:top w:w="113" w:type="dxa"/>
              <w:bottom w:w="113" w:type="dxa"/>
            </w:tcMar>
            <w:vAlign w:val="center"/>
          </w:tcPr>
          <w:p w:rsidR="0057647D" w:rsidRPr="00C75C7E" w:rsidRDefault="0057647D" w:rsidP="0057647D">
            <w:pPr>
              <w:widowControl w:val="0"/>
              <w:spacing w:after="120"/>
              <w:jc w:val="center"/>
              <w:rPr>
                <w:b/>
                <w:sz w:val="18"/>
                <w:szCs w:val="18"/>
                <w:lang w:val="es-ES_tradnl"/>
              </w:rPr>
            </w:pPr>
            <w:r w:rsidRPr="00C75C7E">
              <w:rPr>
                <w:b/>
                <w:sz w:val="18"/>
                <w:szCs w:val="18"/>
                <w:lang w:val="es-ES_tradnl"/>
              </w:rPr>
              <w:t>Indicadores de rendimiento</w:t>
            </w:r>
          </w:p>
        </w:tc>
        <w:tc>
          <w:tcPr>
            <w:tcW w:w="1615" w:type="pct"/>
            <w:tcBorders>
              <w:top w:val="single" w:sz="4" w:space="0" w:color="auto"/>
              <w:bottom w:val="single" w:sz="4" w:space="0" w:color="auto"/>
            </w:tcBorders>
            <w:shd w:val="clear" w:color="auto" w:fill="CCFFFF"/>
            <w:tcMar>
              <w:top w:w="113" w:type="dxa"/>
              <w:bottom w:w="113" w:type="dxa"/>
            </w:tcMar>
            <w:vAlign w:val="center"/>
          </w:tcPr>
          <w:p w:rsidR="0057647D" w:rsidRPr="00C75C7E" w:rsidRDefault="0057647D" w:rsidP="0057647D">
            <w:pPr>
              <w:widowControl w:val="0"/>
              <w:spacing w:after="120"/>
              <w:ind w:left="85"/>
              <w:jc w:val="center"/>
              <w:rPr>
                <w:sz w:val="18"/>
                <w:szCs w:val="18"/>
                <w:lang w:val="es-ES_tradnl"/>
              </w:rPr>
            </w:pPr>
            <w:r w:rsidRPr="00C75C7E">
              <w:rPr>
                <w:b/>
                <w:bCs/>
                <w:sz w:val="18"/>
                <w:szCs w:val="18"/>
                <w:lang w:val="es-ES_tradnl"/>
              </w:rPr>
              <w:t>Programas responsables</w:t>
            </w:r>
          </w:p>
        </w:tc>
      </w:tr>
      <w:tr w:rsidR="0057647D" w:rsidRPr="00C75C7E" w:rsidTr="0057647D">
        <w:trPr>
          <w:cantSplit/>
        </w:trPr>
        <w:tc>
          <w:tcPr>
            <w:tcW w:w="1769" w:type="pct"/>
            <w:tcBorders>
              <w:top w:val="single" w:sz="4" w:space="0" w:color="auto"/>
            </w:tcBorders>
            <w:shd w:val="clear" w:color="auto" w:fill="auto"/>
            <w:tcMar>
              <w:top w:w="113" w:type="dxa"/>
              <w:bottom w:w="113" w:type="dxa"/>
            </w:tcMar>
          </w:tcPr>
          <w:p w:rsidR="0057647D" w:rsidRPr="00C75C7E" w:rsidRDefault="0057647D" w:rsidP="00CA1FB2">
            <w:pPr>
              <w:widowControl w:val="0"/>
              <w:rPr>
                <w:sz w:val="16"/>
                <w:szCs w:val="16"/>
                <w:lang w:val="es-ES_tradnl"/>
              </w:rPr>
            </w:pPr>
            <w:r w:rsidRPr="00C75C7E">
              <w:rPr>
                <w:sz w:val="16"/>
                <w:szCs w:val="16"/>
                <w:lang w:val="es-ES_tradnl"/>
              </w:rPr>
              <w:t>I.1. Mejor cooperación entre los Estados miembros en lo que atañe a la elaboración de marcos normativos internacionales equilibra</w:t>
            </w:r>
            <w:r w:rsidR="00CA1FB2">
              <w:rPr>
                <w:sz w:val="16"/>
                <w:szCs w:val="16"/>
                <w:lang w:val="es-ES_tradnl"/>
              </w:rPr>
              <w:t xml:space="preserve">dos para la P.I. y </w:t>
            </w:r>
            <w:r w:rsidR="00956F2F">
              <w:rPr>
                <w:sz w:val="16"/>
                <w:szCs w:val="16"/>
                <w:lang w:val="es-ES_tradnl"/>
              </w:rPr>
              <w:t>fomento de acuerdos sobre</w:t>
            </w:r>
            <w:r w:rsidRPr="00C75C7E">
              <w:rPr>
                <w:sz w:val="16"/>
                <w:szCs w:val="16"/>
                <w:lang w:val="es-ES_tradnl"/>
              </w:rPr>
              <w:t xml:space="preserve"> </w:t>
            </w:r>
            <w:r w:rsidR="00CA1FB2">
              <w:rPr>
                <w:sz w:val="16"/>
                <w:szCs w:val="16"/>
                <w:lang w:val="es-ES_tradnl"/>
              </w:rPr>
              <w:t xml:space="preserve">las </w:t>
            </w:r>
            <w:r w:rsidRPr="00C75C7E">
              <w:rPr>
                <w:sz w:val="16"/>
                <w:szCs w:val="16"/>
                <w:lang w:val="es-ES_tradnl"/>
              </w:rPr>
              <w:t>cuestiones específicas respecto de las que se acuerdan instrumentos internacionales.</w:t>
            </w:r>
          </w:p>
        </w:tc>
        <w:tc>
          <w:tcPr>
            <w:tcW w:w="1616" w:type="pct"/>
            <w:tcBorders>
              <w:top w:val="single" w:sz="4" w:space="0" w:color="auto"/>
            </w:tcBorders>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Avances en la aplicación de medidas/planes acordados por el SCP.</w:t>
            </w:r>
          </w:p>
        </w:tc>
        <w:tc>
          <w:tcPr>
            <w:tcW w:w="1615" w:type="pct"/>
            <w:tcBorders>
              <w:top w:val="single" w:sz="4" w:space="0" w:color="auto"/>
            </w:tcBorders>
            <w:shd w:val="clear" w:color="auto" w:fill="FFFFFF"/>
            <w:tcMar>
              <w:top w:w="113" w:type="dxa"/>
              <w:bottom w:w="113" w:type="dxa"/>
            </w:tcMar>
          </w:tcPr>
          <w:p w:rsidR="0057647D" w:rsidRPr="00C75C7E" w:rsidRDefault="0057647D" w:rsidP="0057647D">
            <w:pPr>
              <w:widowControl w:val="0"/>
              <w:ind w:left="275"/>
              <w:rPr>
                <w:sz w:val="16"/>
                <w:szCs w:val="16"/>
                <w:lang w:val="es-ES_tradnl"/>
              </w:rPr>
            </w:pPr>
            <w:r w:rsidRPr="00C75C7E">
              <w:rPr>
                <w:sz w:val="16"/>
                <w:szCs w:val="16"/>
                <w:lang w:val="es-ES_tradnl" w:bidi="th-TH"/>
              </w:rPr>
              <w:t>Programa  1</w:t>
            </w:r>
          </w:p>
        </w:tc>
      </w:tr>
      <w:tr w:rsidR="0057647D" w:rsidRPr="00C75C7E" w:rsidTr="0057647D">
        <w:trPr>
          <w:cantSplit/>
          <w:trHeight w:val="600"/>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Porcentaje de participantes en talleres/seminarios/conferencias sobre cuestiones específicas relacionadas con las patentes que expresaron satisfacción al respecto.</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rPr>
            </w:pPr>
            <w:r w:rsidRPr="00C75C7E">
              <w:rPr>
                <w:sz w:val="16"/>
                <w:szCs w:val="16"/>
                <w:lang w:val="es-ES_tradnl"/>
              </w:rPr>
              <w:t>Programa  1</w:t>
            </w:r>
          </w:p>
        </w:tc>
      </w:tr>
      <w:tr w:rsidR="0057647D" w:rsidRPr="00C75C7E" w:rsidTr="0057647D">
        <w:trPr>
          <w:cantSplit/>
          <w:trHeight w:val="536"/>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Acuerdo sobre un marco normativo para los procedimientos de registro y mantenimiento de los diseños industriales.</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rPr>
            </w:pPr>
            <w:r w:rsidRPr="00C75C7E">
              <w:rPr>
                <w:sz w:val="16"/>
                <w:szCs w:val="16"/>
                <w:lang w:val="es-ES_tradnl" w:bidi="th-TH"/>
              </w:rPr>
              <w:t>Programa  2</w:t>
            </w:r>
          </w:p>
        </w:tc>
      </w:tr>
      <w:tr w:rsidR="0057647D" w:rsidRPr="00C75C7E" w:rsidTr="00502F43">
        <w:trPr>
          <w:cantSplit/>
          <w:trHeight w:val="592"/>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02F43" w:rsidP="0057647D">
            <w:pPr>
              <w:widowControl w:val="0"/>
              <w:rPr>
                <w:i/>
                <w:sz w:val="16"/>
                <w:szCs w:val="16"/>
                <w:lang w:val="es-ES_tradnl"/>
              </w:rPr>
            </w:pPr>
            <w:r w:rsidRPr="00502F43">
              <w:rPr>
                <w:sz w:val="16"/>
                <w:szCs w:val="16"/>
                <w:lang w:val="es-ES_tradnl" w:bidi="th-TH"/>
              </w:rPr>
              <w:t>Avances para llegar a un acuerdo sobre las cuestiones que figuran en el orden del día del</w:t>
            </w:r>
            <w:r>
              <w:rPr>
                <w:sz w:val="16"/>
                <w:szCs w:val="16"/>
                <w:lang w:val="es-ES_tradnl" w:bidi="th-TH"/>
              </w:rPr>
              <w:t xml:space="preserve"> SCT.</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rPr>
            </w:pPr>
            <w:r w:rsidRPr="00C75C7E">
              <w:rPr>
                <w:sz w:val="16"/>
                <w:szCs w:val="16"/>
                <w:lang w:val="es-ES_tradnl" w:bidi="th-TH"/>
              </w:rPr>
              <w:t>Programa  2</w:t>
            </w:r>
          </w:p>
        </w:tc>
      </w:tr>
      <w:tr w:rsidR="0057647D" w:rsidRPr="00C75C7E" w:rsidTr="0057647D">
        <w:trPr>
          <w:cantSplit/>
          <w:trHeight w:val="432"/>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de ratificaciones y adhesiones al Tratado de Singapur</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2</w:t>
            </w:r>
          </w:p>
        </w:tc>
      </w:tr>
      <w:tr w:rsidR="0057647D" w:rsidRPr="00C75C7E" w:rsidTr="0057647D">
        <w:trPr>
          <w:cantSplit/>
          <w:trHeight w:val="494"/>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Avances para llegar a un acuerdo sobre las cuestiones que figuran en el orden del día del SCCR.</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3</w:t>
            </w:r>
          </w:p>
        </w:tc>
      </w:tr>
      <w:tr w:rsidR="0057647D" w:rsidRPr="00C75C7E" w:rsidTr="0057647D">
        <w:trPr>
          <w:cantSplit/>
          <w:trHeight w:val="671"/>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02F43">
            <w:pPr>
              <w:widowControl w:val="0"/>
              <w:rPr>
                <w:sz w:val="16"/>
                <w:szCs w:val="16"/>
                <w:lang w:val="es-ES_tradnl"/>
              </w:rPr>
            </w:pPr>
            <w:r w:rsidRPr="00C75C7E">
              <w:rPr>
                <w:sz w:val="16"/>
                <w:szCs w:val="16"/>
                <w:lang w:val="es-ES_tradnl"/>
              </w:rPr>
              <w:t>A</w:t>
            </w:r>
            <w:r w:rsidR="00502F43">
              <w:rPr>
                <w:sz w:val="16"/>
                <w:szCs w:val="16"/>
                <w:lang w:val="es-ES_tradnl"/>
              </w:rPr>
              <w:t>cuerdo en las negociaciones</w:t>
            </w:r>
            <w:r w:rsidRPr="00C75C7E">
              <w:rPr>
                <w:sz w:val="16"/>
                <w:szCs w:val="16"/>
                <w:lang w:val="es-ES_tradnl"/>
              </w:rPr>
              <w:t xml:space="preserve"> del CIG </w:t>
            </w:r>
            <w:r w:rsidR="00502F43">
              <w:rPr>
                <w:sz w:val="16"/>
                <w:szCs w:val="16"/>
                <w:lang w:val="es-ES_tradnl"/>
              </w:rPr>
              <w:t>en torno a</w:t>
            </w:r>
            <w:r w:rsidRPr="00C75C7E">
              <w:rPr>
                <w:sz w:val="16"/>
                <w:szCs w:val="16"/>
                <w:lang w:val="es-ES_tradnl"/>
              </w:rPr>
              <w:t xml:space="preserve"> uno o varios instrum</w:t>
            </w:r>
            <w:r w:rsidR="00502F43">
              <w:rPr>
                <w:sz w:val="16"/>
                <w:szCs w:val="16"/>
                <w:lang w:val="es-ES_tradnl"/>
              </w:rPr>
              <w:t>entos jurídicos internacionales sobre CC.TT., ECT y RR.GG.</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4</w:t>
            </w:r>
          </w:p>
        </w:tc>
      </w:tr>
      <w:tr w:rsidR="0057647D" w:rsidRPr="00C75C7E" w:rsidTr="0057647D">
        <w:trPr>
          <w:cantSplit/>
          <w:trHeight w:val="1300"/>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I.2. Marcos de P.I. adaptados y equilibrados en el ámbito legislativo, reglamentario y de política.</w:t>
            </w: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y porcentaje de Estados miembros que consideran útil la información proporcionada en relación con los principios y prácticas jurídicos del sistema de patentes, como, por ejemplo, las flexibilidades que ofrece el sistema y los desafíos que se plantean en la materia.</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1</w:t>
            </w:r>
          </w:p>
        </w:tc>
      </w:tr>
      <w:tr w:rsidR="0057647D" w:rsidRPr="00C75C7E" w:rsidTr="0057647D">
        <w:trPr>
          <w:cantSplit/>
          <w:trHeight w:val="675"/>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Porcentaje de participantes en talleres/seminarios/conferencias sobre cuestiones específicas relacionadas con las patentes que expresaron satisfacción al respecto.</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1</w:t>
            </w:r>
          </w:p>
        </w:tc>
      </w:tr>
      <w:tr w:rsidR="0057647D" w:rsidRPr="00C75C7E" w:rsidTr="0057647D">
        <w:trPr>
          <w:cantSplit/>
          <w:trHeight w:val="969"/>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y porcentaje de Estados miembros satisfechos con la calidad del asesoramiento jurídico sobre patentes, modelos de utilidad, secretos comerciales y circuitos integrados.</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1</w:t>
            </w:r>
          </w:p>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9</w:t>
            </w:r>
          </w:p>
        </w:tc>
      </w:tr>
      <w:tr w:rsidR="0057647D" w:rsidRPr="00C75C7E" w:rsidTr="0057647D">
        <w:trPr>
          <w:cantSplit/>
          <w:trHeight w:val="913"/>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02F43" w:rsidP="00502F43">
            <w:pPr>
              <w:widowControl w:val="0"/>
              <w:rPr>
                <w:sz w:val="16"/>
                <w:szCs w:val="16"/>
                <w:lang w:val="es-ES_tradnl"/>
              </w:rPr>
            </w:pPr>
            <w:r>
              <w:rPr>
                <w:sz w:val="16"/>
                <w:szCs w:val="16"/>
                <w:lang w:val="es-ES_tradnl"/>
              </w:rPr>
              <w:t>Con sujeción a la aprobación de los Estados miembros, ava</w:t>
            </w:r>
            <w:r w:rsidR="0057647D" w:rsidRPr="00C75C7E">
              <w:rPr>
                <w:sz w:val="16"/>
                <w:szCs w:val="16"/>
                <w:lang w:val="es-ES_tradnl"/>
              </w:rPr>
              <w:t xml:space="preserve">nce en la </w:t>
            </w:r>
            <w:r>
              <w:rPr>
                <w:sz w:val="16"/>
                <w:szCs w:val="16"/>
                <w:lang w:val="es-ES_tradnl"/>
              </w:rPr>
              <w:t>revisión</w:t>
            </w:r>
            <w:r w:rsidR="0057647D" w:rsidRPr="00C75C7E">
              <w:rPr>
                <w:sz w:val="16"/>
                <w:szCs w:val="16"/>
                <w:lang w:val="es-ES_tradnl"/>
              </w:rPr>
              <w:t xml:space="preserve"> de la ley tipo sobre patentes para los países en desarrollo y los PMA.</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1</w:t>
            </w:r>
          </w:p>
        </w:tc>
      </w:tr>
      <w:tr w:rsidR="0057647D" w:rsidRPr="00C75C7E" w:rsidTr="0057647D">
        <w:trPr>
          <w:cantSplit/>
          <w:trHeight w:val="1025"/>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y porcentaje de Estados miembros/organizaciones regionales que han presentado comentarios positivos sobre el asesoramiento legislativo proporcionado en la esfera de las marcas, los diseños industriales y las indicaciones geográficas.</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2</w:t>
            </w:r>
          </w:p>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9</w:t>
            </w:r>
          </w:p>
        </w:tc>
      </w:tr>
      <w:tr w:rsidR="0057647D" w:rsidRPr="00C75C7E" w:rsidTr="0057647D">
        <w:trPr>
          <w:cantSplit/>
          <w:trHeight w:val="403"/>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de países que han ratificado el Tratado de Beijing.</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3</w:t>
            </w:r>
          </w:p>
          <w:p w:rsidR="0057647D" w:rsidRPr="00C75C7E" w:rsidRDefault="0057647D" w:rsidP="0057647D">
            <w:pPr>
              <w:widowControl w:val="0"/>
              <w:rPr>
                <w:sz w:val="16"/>
                <w:szCs w:val="16"/>
                <w:lang w:val="es-ES_tradnl" w:bidi="th-TH"/>
              </w:rPr>
            </w:pPr>
          </w:p>
        </w:tc>
      </w:tr>
      <w:tr w:rsidR="0057647D" w:rsidRPr="00C75C7E" w:rsidTr="0057647D">
        <w:trPr>
          <w:cantSplit/>
          <w:trHeight w:val="506"/>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y porcentaje de países que han presentado comentarios positivos sobre el asesoramiento legislativo de la OMPI.</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3</w:t>
            </w:r>
          </w:p>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9</w:t>
            </w:r>
          </w:p>
          <w:p w:rsidR="0057647D" w:rsidRPr="00C75C7E" w:rsidRDefault="0057647D" w:rsidP="0057647D">
            <w:pPr>
              <w:widowControl w:val="0"/>
              <w:rPr>
                <w:sz w:val="16"/>
                <w:szCs w:val="16"/>
                <w:lang w:val="es-ES_tradnl" w:bidi="th-TH"/>
              </w:rPr>
            </w:pPr>
          </w:p>
        </w:tc>
      </w:tr>
      <w:tr w:rsidR="0057647D" w:rsidRPr="00C75C7E" w:rsidTr="0057647D">
        <w:trPr>
          <w:cantSplit/>
          <w:trHeight w:val="346"/>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de ratificaciones de los Tratados Internet de la OMPI.</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3</w:t>
            </w:r>
          </w:p>
          <w:p w:rsidR="0057647D" w:rsidRPr="00C75C7E" w:rsidRDefault="0057647D" w:rsidP="0057647D">
            <w:pPr>
              <w:widowControl w:val="0"/>
              <w:ind w:left="275"/>
              <w:rPr>
                <w:sz w:val="16"/>
                <w:szCs w:val="16"/>
                <w:lang w:val="es-ES_tradnl" w:bidi="th-TH"/>
              </w:rPr>
            </w:pPr>
          </w:p>
        </w:tc>
      </w:tr>
      <w:tr w:rsidR="0057647D" w:rsidRPr="00C75C7E" w:rsidTr="0057647D">
        <w:trPr>
          <w:cantSplit/>
          <w:trHeight w:val="399"/>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de países que han ratificado el Tratado de Marrakech sobre las personas con discapacidad visual.</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3</w:t>
            </w:r>
          </w:p>
          <w:p w:rsidR="0057647D" w:rsidRPr="00C75C7E" w:rsidRDefault="0057647D" w:rsidP="0057647D">
            <w:pPr>
              <w:widowControl w:val="0"/>
              <w:ind w:left="275"/>
              <w:rPr>
                <w:sz w:val="16"/>
                <w:szCs w:val="16"/>
                <w:lang w:val="es-ES_tradnl" w:bidi="th-TH"/>
              </w:rPr>
            </w:pPr>
          </w:p>
        </w:tc>
      </w:tr>
      <w:tr w:rsidR="0057647D" w:rsidRPr="00C75C7E" w:rsidTr="0057647D">
        <w:trPr>
          <w:cantSplit/>
          <w:trHeight w:val="432"/>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de países que han actualizado su legislación o sus reglamentos.</w:t>
            </w:r>
          </w:p>
        </w:tc>
        <w:tc>
          <w:tcPr>
            <w:tcW w:w="1615" w:type="pct"/>
            <w:shd w:val="clear" w:color="auto" w:fill="FFFFFF"/>
            <w:tcMar>
              <w:top w:w="113" w:type="dxa"/>
              <w:bottom w:w="113" w:type="dxa"/>
            </w:tcMar>
          </w:tcPr>
          <w:p w:rsidR="0057647D" w:rsidRPr="00C75C7E" w:rsidRDefault="0057647D" w:rsidP="007D5C17">
            <w:pPr>
              <w:widowControl w:val="0"/>
              <w:ind w:left="275"/>
              <w:rPr>
                <w:sz w:val="16"/>
                <w:szCs w:val="16"/>
                <w:lang w:val="es-ES_tradnl" w:bidi="th-TH"/>
              </w:rPr>
            </w:pPr>
            <w:r w:rsidRPr="00C75C7E">
              <w:rPr>
                <w:sz w:val="16"/>
                <w:szCs w:val="16"/>
                <w:lang w:val="es-ES_tradnl" w:bidi="th-TH"/>
              </w:rPr>
              <w:t>Programa 10</w:t>
            </w:r>
          </w:p>
        </w:tc>
      </w:tr>
      <w:tr w:rsidR="0057647D" w:rsidRPr="00C75C7E" w:rsidTr="0057647D">
        <w:trPr>
          <w:cantSplit/>
          <w:trHeight w:val="744"/>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de países que han aprobado o modificado los marcos pertinentes (o lo están haciendo actualmente) tras recibir asistencia de la OMPI.</w:t>
            </w:r>
          </w:p>
        </w:tc>
        <w:tc>
          <w:tcPr>
            <w:tcW w:w="1615" w:type="pct"/>
            <w:shd w:val="clear" w:color="auto" w:fill="FFFFFF"/>
            <w:tcMar>
              <w:top w:w="113" w:type="dxa"/>
              <w:bottom w:w="113" w:type="dxa"/>
            </w:tcMar>
          </w:tcPr>
          <w:p w:rsidR="0057647D" w:rsidRPr="00C75C7E" w:rsidRDefault="0057647D" w:rsidP="007D5C17">
            <w:pPr>
              <w:widowControl w:val="0"/>
              <w:ind w:left="275"/>
              <w:rPr>
                <w:sz w:val="16"/>
                <w:szCs w:val="16"/>
                <w:lang w:val="es-ES_tradnl" w:bidi="th-TH"/>
              </w:rPr>
            </w:pPr>
            <w:r w:rsidRPr="00C75C7E">
              <w:rPr>
                <w:sz w:val="16"/>
                <w:szCs w:val="16"/>
                <w:lang w:val="es-ES_tradnl" w:bidi="th-TH"/>
              </w:rPr>
              <w:t>Programa 17</w:t>
            </w:r>
          </w:p>
        </w:tc>
      </w:tr>
      <w:tr w:rsidR="0057647D" w:rsidRPr="00C75C7E" w:rsidTr="0057647D">
        <w:trPr>
          <w:cantSplit/>
          <w:trHeight w:val="660"/>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I.3. Aumento de la protección de los emblemas de Estado y de los nombres y emblemas de organizaciones intergubernamentales internacionales.</w:t>
            </w: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de peticiones de comunicación tramitadas en virtud del artículo 6</w:t>
            </w:r>
            <w:r w:rsidRPr="00C75C7E">
              <w:rPr>
                <w:i/>
                <w:sz w:val="16"/>
                <w:szCs w:val="16"/>
                <w:lang w:val="es-ES_tradnl"/>
              </w:rPr>
              <w:t>ter.</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2</w:t>
            </w:r>
          </w:p>
        </w:tc>
      </w:tr>
      <w:tr w:rsidR="0057647D" w:rsidRPr="00C75C7E" w:rsidTr="0057647D">
        <w:trPr>
          <w:cantSplit/>
          <w:trHeight w:val="382"/>
        </w:trPr>
        <w:tc>
          <w:tcPr>
            <w:tcW w:w="1769" w:type="pct"/>
            <w:shd w:val="clear" w:color="auto" w:fill="auto"/>
            <w:tcMar>
              <w:top w:w="113" w:type="dxa"/>
              <w:bottom w:w="113" w:type="dxa"/>
            </w:tcMar>
          </w:tcPr>
          <w:p w:rsidR="0057647D" w:rsidRPr="00C75C7E" w:rsidRDefault="0057647D" w:rsidP="0057647D">
            <w:pPr>
              <w:widowControl w:val="0"/>
              <w:rPr>
                <w:sz w:val="16"/>
                <w:szCs w:val="16"/>
                <w:lang w:val="es-ES_tradnl"/>
              </w:rPr>
            </w:pPr>
          </w:p>
        </w:tc>
        <w:tc>
          <w:tcPr>
            <w:tcW w:w="1616" w:type="pct"/>
            <w:shd w:val="clear" w:color="auto" w:fill="auto"/>
            <w:tcMar>
              <w:top w:w="113" w:type="dxa"/>
              <w:bottom w:w="113" w:type="dxa"/>
            </w:tcMar>
          </w:tcPr>
          <w:p w:rsidR="0057647D" w:rsidRPr="00C75C7E" w:rsidRDefault="0057647D" w:rsidP="0057647D">
            <w:pPr>
              <w:widowControl w:val="0"/>
              <w:rPr>
                <w:sz w:val="16"/>
                <w:szCs w:val="16"/>
                <w:lang w:val="es-ES_tradnl"/>
              </w:rPr>
            </w:pPr>
            <w:r w:rsidRPr="00C75C7E">
              <w:rPr>
                <w:sz w:val="16"/>
                <w:szCs w:val="16"/>
                <w:lang w:val="es-ES_tradnl"/>
              </w:rPr>
              <w:t>Número de signos publicados en la base de datos sobre el artículo 6</w:t>
            </w:r>
            <w:r w:rsidRPr="00C75C7E">
              <w:rPr>
                <w:i/>
                <w:sz w:val="16"/>
                <w:szCs w:val="16"/>
                <w:lang w:val="es-ES_tradnl"/>
              </w:rPr>
              <w:t>ter</w:t>
            </w:r>
            <w:r w:rsidRPr="00C75C7E">
              <w:rPr>
                <w:sz w:val="16"/>
                <w:szCs w:val="16"/>
                <w:lang w:val="es-ES_tradnl"/>
              </w:rPr>
              <w:t>.</w:t>
            </w:r>
          </w:p>
        </w:tc>
        <w:tc>
          <w:tcPr>
            <w:tcW w:w="1615" w:type="pct"/>
            <w:shd w:val="clear" w:color="auto" w:fill="FFFFFF"/>
            <w:tcMar>
              <w:top w:w="113" w:type="dxa"/>
              <w:bottom w:w="113" w:type="dxa"/>
            </w:tcMar>
          </w:tcPr>
          <w:p w:rsidR="0057647D" w:rsidRPr="00C75C7E" w:rsidRDefault="0057647D" w:rsidP="0057647D">
            <w:pPr>
              <w:widowControl w:val="0"/>
              <w:ind w:left="275"/>
              <w:rPr>
                <w:sz w:val="16"/>
                <w:szCs w:val="16"/>
                <w:lang w:val="es-ES_tradnl" w:bidi="th-TH"/>
              </w:rPr>
            </w:pPr>
            <w:r w:rsidRPr="00C75C7E">
              <w:rPr>
                <w:sz w:val="16"/>
                <w:szCs w:val="16"/>
                <w:lang w:val="es-ES_tradnl" w:bidi="th-TH"/>
              </w:rPr>
              <w:t>Programa  2</w:t>
            </w:r>
          </w:p>
        </w:tc>
      </w:tr>
    </w:tbl>
    <w:p w:rsidR="0057647D" w:rsidRPr="00C75C7E" w:rsidRDefault="0057647D" w:rsidP="0057647D">
      <w:pPr>
        <w:widowControl w:val="0"/>
        <w:tabs>
          <w:tab w:val="left" w:pos="0"/>
        </w:tabs>
        <w:rPr>
          <w:iCs/>
          <w:sz w:val="20"/>
          <w:lang w:val="es-ES_tradnl"/>
        </w:rPr>
      </w:pPr>
    </w:p>
    <w:p w:rsidR="007C2B91" w:rsidRPr="002370D4" w:rsidRDefault="0057647D" w:rsidP="002370D4">
      <w:pPr>
        <w:pStyle w:val="Heading3"/>
        <w:tabs>
          <w:tab w:val="left" w:pos="1985"/>
        </w:tabs>
        <w:rPr>
          <w:b/>
          <w:iCs/>
          <w:caps/>
          <w:u w:val="none"/>
        </w:rPr>
      </w:pPr>
      <w:r>
        <w:rPr>
          <w:sz w:val="20"/>
          <w:lang w:val="es-ES_tradnl"/>
        </w:rPr>
        <w:br w:type="page"/>
      </w:r>
      <w:bookmarkStart w:id="21" w:name="_Toc366078707"/>
      <w:r w:rsidR="007C2B91" w:rsidRPr="002370D4">
        <w:rPr>
          <w:b/>
          <w:iCs/>
          <w:caps/>
          <w:u w:val="none"/>
        </w:rPr>
        <w:lastRenderedPageBreak/>
        <w:t>PROGRAMA 1</w:t>
      </w:r>
      <w:r w:rsidR="007C2B91" w:rsidRPr="002370D4">
        <w:rPr>
          <w:b/>
          <w:iCs/>
          <w:caps/>
          <w:u w:val="none"/>
        </w:rPr>
        <w:tab/>
        <w:t>DERECHO DE PATENTES</w:t>
      </w:r>
      <w:bookmarkEnd w:id="21"/>
    </w:p>
    <w:p w:rsidR="007C2B91" w:rsidRPr="007C2B91" w:rsidRDefault="007C2B91" w:rsidP="007C2B91">
      <w:pPr>
        <w:widowControl w:val="0"/>
        <w:tabs>
          <w:tab w:val="left" w:pos="1701"/>
        </w:tabs>
        <w:ind w:left="1701" w:hanging="1701"/>
        <w:rPr>
          <w:rFonts w:eastAsia="Times New Roman" w:cs="Times New Roman"/>
          <w:bCs/>
          <w:iCs/>
          <w:sz w:val="20"/>
          <w:lang w:eastAsia="en-US"/>
        </w:rPr>
      </w:pPr>
    </w:p>
    <w:p w:rsidR="007C2B91" w:rsidRPr="007C2B91" w:rsidRDefault="007C2B91" w:rsidP="007C2B91">
      <w:pPr>
        <w:widowControl w:val="0"/>
        <w:rPr>
          <w:rFonts w:eastAsia="Times New Roman" w:cs="Times New Roman"/>
          <w:bCs/>
          <w:sz w:val="20"/>
          <w:lang w:eastAsia="en-US"/>
        </w:rPr>
      </w:pPr>
    </w:p>
    <w:p w:rsidR="007C2B91" w:rsidRPr="007C2B91" w:rsidRDefault="007C2B91" w:rsidP="007C2B91">
      <w:pPr>
        <w:widowControl w:val="0"/>
        <w:autoSpaceDE w:val="0"/>
        <w:autoSpaceDN w:val="0"/>
        <w:adjustRightInd w:val="0"/>
        <w:ind w:right="-59"/>
        <w:jc w:val="both"/>
        <w:rPr>
          <w:rFonts w:eastAsia="Times New Roman" w:cs="ArialMT"/>
          <w:szCs w:val="22"/>
          <w:lang w:eastAsia="en-US"/>
        </w:rPr>
      </w:pPr>
      <w:r w:rsidRPr="007C2B91">
        <w:rPr>
          <w:rFonts w:eastAsia="Times New Roman" w:cs="ArialMT"/>
          <w:szCs w:val="22"/>
          <w:lang w:eastAsia="en-US"/>
        </w:rPr>
        <w:t>CONTEXTO DE PLANIFICACIÓN</w:t>
      </w:r>
    </w:p>
    <w:p w:rsidR="007C2B91" w:rsidRPr="007C2B91" w:rsidRDefault="007C2B91" w:rsidP="007C2B91">
      <w:pPr>
        <w:widowControl w:val="0"/>
        <w:autoSpaceDE w:val="0"/>
        <w:autoSpaceDN w:val="0"/>
        <w:adjustRightInd w:val="0"/>
        <w:ind w:right="-59"/>
        <w:jc w:val="both"/>
        <w:rPr>
          <w:rFonts w:eastAsia="Times New Roman" w:cs="ArialMT"/>
          <w:szCs w:val="22"/>
          <w:lang w:eastAsia="en-US"/>
        </w:rPr>
      </w:pPr>
    </w:p>
    <w:p w:rsidR="007C2B91" w:rsidRPr="007C2B91" w:rsidRDefault="007C2B91" w:rsidP="007C2B91">
      <w:pPr>
        <w:widowControl w:val="0"/>
        <w:numPr>
          <w:ilvl w:val="0"/>
          <w:numId w:val="8"/>
        </w:numPr>
        <w:jc w:val="both"/>
        <w:rPr>
          <w:rFonts w:eastAsia="Times New Roman"/>
          <w:bCs/>
          <w:sz w:val="20"/>
          <w:lang w:eastAsia="en-US"/>
        </w:rPr>
      </w:pPr>
      <w:r w:rsidRPr="007C2B91">
        <w:rPr>
          <w:rFonts w:eastAsia="Times New Roman"/>
          <w:sz w:val="20"/>
          <w:lang w:eastAsia="en-US"/>
        </w:rPr>
        <w:t xml:space="preserve">Entre los desafíos fundamentales que afronta este programa se encuentra velar por que la normativa internacional de P.I. se mantenga a la par del entorno tecnológico, económico y social, que evoluciona rápidamente.  En el programa 1 se abordan cuestiones relacionadas con </w:t>
      </w:r>
      <w:r w:rsidRPr="007C2B91">
        <w:rPr>
          <w:rFonts w:eastAsia="Times New Roman"/>
          <w:bCs/>
          <w:sz w:val="20"/>
          <w:lang w:eastAsia="en-US"/>
        </w:rPr>
        <w:t>las patentes, los modelos de utilidad, la información no divulgada y los secretos comerciales, y los circuitos integrados.  Los desafíos más importantes previstos para el bienio 2014/15 son los siguientes</w:t>
      </w:r>
      <w:r w:rsidRPr="007C2B91">
        <w:rPr>
          <w:rFonts w:eastAsia="Times New Roman"/>
          <w:sz w:val="20"/>
          <w:lang w:eastAsia="en-US"/>
        </w:rPr>
        <w:t>:</w:t>
      </w:r>
    </w:p>
    <w:p w:rsidR="007C2B91" w:rsidRPr="007C2B91" w:rsidRDefault="007C2B91" w:rsidP="007C2B91">
      <w:pPr>
        <w:widowControl w:val="0"/>
        <w:autoSpaceDE w:val="0"/>
        <w:autoSpaceDN w:val="0"/>
        <w:adjustRightInd w:val="0"/>
        <w:ind w:right="-59"/>
        <w:jc w:val="both"/>
        <w:rPr>
          <w:rFonts w:eastAsia="Times New Roman" w:cs="ArialMT"/>
          <w:sz w:val="20"/>
          <w:lang w:eastAsia="en-US"/>
        </w:rPr>
      </w:pPr>
    </w:p>
    <w:p w:rsidR="007C2B91" w:rsidRPr="007C2B91" w:rsidRDefault="007C2B91" w:rsidP="007C2B91">
      <w:pPr>
        <w:widowControl w:val="0"/>
        <w:numPr>
          <w:ilvl w:val="0"/>
          <w:numId w:val="9"/>
        </w:numPr>
        <w:tabs>
          <w:tab w:val="num" w:pos="990"/>
        </w:tabs>
        <w:spacing w:after="120"/>
        <w:ind w:left="992" w:hanging="442"/>
        <w:jc w:val="both"/>
        <w:rPr>
          <w:rFonts w:eastAsia="Times New Roman"/>
          <w:bCs/>
          <w:sz w:val="20"/>
          <w:lang w:eastAsia="ja-JP"/>
        </w:rPr>
      </w:pPr>
      <w:r w:rsidRPr="007C2B91">
        <w:rPr>
          <w:rFonts w:eastAsia="Times New Roman"/>
          <w:bCs/>
          <w:sz w:val="20"/>
          <w:lang w:eastAsia="ja-JP"/>
        </w:rPr>
        <w:t>El ritmo de evolución tecnológica, que plantea un desafío al desarrollo del sistema internacional de patentes;</w:t>
      </w:r>
    </w:p>
    <w:p w:rsidR="007C2B91" w:rsidRP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bCs/>
          <w:sz w:val="20"/>
          <w:lang w:eastAsia="ja-JP"/>
        </w:rPr>
        <w:t>La exigencia continua de suministrar mejor información acerca de la función, la incidencia y la aplicación del sistema internacional de patentes, incluidas las flexibilidades que ofrece tanto en el ámbito de los foros internacionales como en materia de asesoramiento legislativo y político a los Estados miembros</w:t>
      </w:r>
      <w:r w:rsidRPr="007C2B91">
        <w:rPr>
          <w:rFonts w:eastAsia="Times New Roman" w:cs="ArialMT"/>
          <w:sz w:val="20"/>
          <w:lang w:eastAsia="en-US"/>
        </w:rPr>
        <w:t>;</w:t>
      </w:r>
    </w:p>
    <w:p w:rsidR="007C2B91" w:rsidRP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bCs/>
          <w:sz w:val="20"/>
          <w:lang w:eastAsia="ja-JP"/>
        </w:rPr>
        <w:t>La existencia de nuevos enfoques de elaboración de normas al margen del contexto multilateral</w:t>
      </w:r>
      <w:r w:rsidRPr="007C2B91">
        <w:rPr>
          <w:rFonts w:eastAsia="Times New Roman" w:cs="ArialMT"/>
          <w:sz w:val="20"/>
          <w:lang w:eastAsia="en-US"/>
        </w:rPr>
        <w:t>;</w:t>
      </w:r>
    </w:p>
    <w:p w:rsidR="007C2B91" w:rsidRP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sz w:val="20"/>
          <w:lang w:eastAsia="en-US"/>
        </w:rPr>
        <w:t>La incidencia que tiene el sistema de patentes en unos mecanismos de innovación cada vez más complejos y globalizados y las distintas concepciones que existen en relación con su función, incluidos los beneficios que aporta a la sociedad en general</w:t>
      </w:r>
      <w:r w:rsidRPr="007C2B91">
        <w:rPr>
          <w:rFonts w:eastAsia="Times New Roman" w:cs="ArialMT"/>
          <w:sz w:val="20"/>
          <w:lang w:eastAsia="en-US"/>
        </w:rPr>
        <w:t>;</w:t>
      </w:r>
    </w:p>
    <w:p w:rsidR="007C2B91" w:rsidRP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cs="ArialMT"/>
          <w:sz w:val="20"/>
          <w:lang w:eastAsia="en-US"/>
        </w:rPr>
        <w:t>La tensión existente entre las opciones de política pública en cuanto al alcance y a la aplicación adecuados del sistema de patentes;</w:t>
      </w:r>
    </w:p>
    <w:p w:rsid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cs="ArialMT"/>
          <w:sz w:val="20"/>
          <w:lang w:eastAsia="en-US"/>
        </w:rPr>
        <w:t>La necesidad de una mejor difusión de las tecnologías por conducto del sistema de patentes;</w:t>
      </w:r>
    </w:p>
    <w:p w:rsidR="007D5C17" w:rsidRPr="007C2B91" w:rsidRDefault="007D5C17" w:rsidP="007C2B91">
      <w:pPr>
        <w:widowControl w:val="0"/>
        <w:numPr>
          <w:ilvl w:val="0"/>
          <w:numId w:val="9"/>
        </w:numPr>
        <w:tabs>
          <w:tab w:val="num" w:pos="990"/>
        </w:tabs>
        <w:spacing w:after="120"/>
        <w:ind w:left="992" w:hanging="442"/>
        <w:jc w:val="both"/>
        <w:rPr>
          <w:rFonts w:eastAsia="Times New Roman" w:cs="ArialMT"/>
          <w:sz w:val="20"/>
          <w:lang w:eastAsia="en-US"/>
        </w:rPr>
      </w:pPr>
      <w:r>
        <w:rPr>
          <w:rFonts w:eastAsia="Times New Roman" w:cs="ArialMT"/>
          <w:sz w:val="20"/>
          <w:lang w:eastAsia="en-US"/>
        </w:rPr>
        <w:t>Insuficiente capacidad para preparar, presentar y seguir la tramitación de las solicitudes de patente;</w:t>
      </w:r>
    </w:p>
    <w:p w:rsidR="007C2B91" w:rsidRP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bCs/>
          <w:sz w:val="20"/>
          <w:lang w:eastAsia="ja-JP"/>
        </w:rPr>
        <w:t>La creciente demanda de prestar asistencia legislativa y política a los Estados miembros</w:t>
      </w:r>
      <w:r w:rsidRPr="007C2B91">
        <w:rPr>
          <w:rFonts w:eastAsia="Times New Roman" w:cs="ArialMT"/>
          <w:sz w:val="20"/>
          <w:lang w:eastAsia="en-US"/>
        </w:rPr>
        <w:t>;</w:t>
      </w:r>
    </w:p>
    <w:p w:rsidR="007C2B91" w:rsidRPr="007C2B91" w:rsidRDefault="007C2B91" w:rsidP="007C2B91">
      <w:pPr>
        <w:widowControl w:val="0"/>
        <w:numPr>
          <w:ilvl w:val="0"/>
          <w:numId w:val="9"/>
        </w:numPr>
        <w:tabs>
          <w:tab w:val="num" w:pos="990"/>
        </w:tabs>
        <w:spacing w:after="120"/>
        <w:ind w:left="992" w:hanging="442"/>
        <w:jc w:val="both"/>
        <w:rPr>
          <w:rFonts w:eastAsia="Times New Roman"/>
          <w:sz w:val="20"/>
          <w:lang w:eastAsia="en-US"/>
        </w:rPr>
      </w:pPr>
      <w:r w:rsidRPr="007C2B91">
        <w:rPr>
          <w:rFonts w:eastAsia="Times New Roman"/>
          <w:sz w:val="20"/>
          <w:lang w:eastAsia="en-US"/>
        </w:rPr>
        <w:t>El ritmo acelerado con que se introducen y se comercializan las tecnologías complejas, que afecta a la función que desempeñan las patentes en la aplicación de las normas técnicas;  y</w:t>
      </w:r>
    </w:p>
    <w:p w:rsidR="007C2B91" w:rsidRPr="007C2B91" w:rsidRDefault="007C2B91" w:rsidP="007C2B91">
      <w:pPr>
        <w:widowControl w:val="0"/>
        <w:numPr>
          <w:ilvl w:val="0"/>
          <w:numId w:val="9"/>
        </w:numPr>
        <w:tabs>
          <w:tab w:val="num" w:pos="990"/>
        </w:tabs>
        <w:spacing w:after="120"/>
        <w:ind w:left="992" w:hanging="442"/>
        <w:jc w:val="both"/>
        <w:rPr>
          <w:rFonts w:eastAsia="Times New Roman"/>
          <w:sz w:val="20"/>
          <w:lang w:eastAsia="en-US"/>
        </w:rPr>
      </w:pPr>
      <w:r w:rsidRPr="007C2B91">
        <w:rPr>
          <w:rFonts w:eastAsia="Times New Roman"/>
          <w:sz w:val="20"/>
          <w:lang w:eastAsia="en-US"/>
        </w:rPr>
        <w:t>La necesidad que existe de abordar el Derecho de patentes en el marco de otras categorías de activos de propiedad intelectual estrechamente relacionadas con este, como por ejemplo los secretos comerciales.</w:t>
      </w:r>
    </w:p>
    <w:p w:rsidR="007C2B91" w:rsidRPr="007C2B91" w:rsidRDefault="007C2B91" w:rsidP="007C2B91">
      <w:pPr>
        <w:widowControl w:val="0"/>
        <w:autoSpaceDE w:val="0"/>
        <w:autoSpaceDN w:val="0"/>
        <w:adjustRightInd w:val="0"/>
        <w:ind w:right="-59"/>
        <w:jc w:val="both"/>
        <w:rPr>
          <w:rFonts w:eastAsia="Times New Roman" w:cs="ArialMT"/>
          <w:szCs w:val="22"/>
          <w:lang w:eastAsia="en-US"/>
        </w:rPr>
      </w:pPr>
    </w:p>
    <w:p w:rsidR="007C2B91" w:rsidRPr="007C2B91" w:rsidRDefault="007C2B91" w:rsidP="007C2B91">
      <w:pPr>
        <w:widowControl w:val="0"/>
        <w:autoSpaceDE w:val="0"/>
        <w:autoSpaceDN w:val="0"/>
        <w:adjustRightInd w:val="0"/>
        <w:ind w:right="-59"/>
        <w:jc w:val="both"/>
        <w:rPr>
          <w:rFonts w:eastAsia="Times New Roman" w:cs="ArialMT"/>
          <w:szCs w:val="22"/>
          <w:lang w:eastAsia="en-US"/>
        </w:rPr>
      </w:pPr>
    </w:p>
    <w:p w:rsidR="007C2B91" w:rsidRPr="007C2B91" w:rsidRDefault="007C2B91" w:rsidP="007C2B91">
      <w:pPr>
        <w:widowControl w:val="0"/>
        <w:autoSpaceDE w:val="0"/>
        <w:autoSpaceDN w:val="0"/>
        <w:adjustRightInd w:val="0"/>
        <w:ind w:right="-59"/>
        <w:jc w:val="both"/>
        <w:rPr>
          <w:rFonts w:eastAsia="Times New Roman" w:cs="ArialMT"/>
          <w:szCs w:val="22"/>
          <w:lang w:eastAsia="en-US"/>
        </w:rPr>
      </w:pPr>
      <w:r w:rsidRPr="007C2B91">
        <w:rPr>
          <w:rFonts w:eastAsia="Times New Roman" w:cs="ArialMT"/>
          <w:szCs w:val="22"/>
          <w:lang w:eastAsia="en-US"/>
        </w:rPr>
        <w:t>ESTRATEGIAS DE EJECUCIÓN</w:t>
      </w:r>
    </w:p>
    <w:p w:rsidR="007C2B91" w:rsidRPr="007C2B91" w:rsidRDefault="007C2B91" w:rsidP="007C2B91">
      <w:pPr>
        <w:widowControl w:val="0"/>
        <w:autoSpaceDE w:val="0"/>
        <w:autoSpaceDN w:val="0"/>
        <w:adjustRightInd w:val="0"/>
        <w:ind w:right="-59"/>
        <w:jc w:val="both"/>
        <w:rPr>
          <w:rFonts w:eastAsia="Times New Roman" w:cs="ArialMT"/>
          <w:szCs w:val="22"/>
          <w:lang w:eastAsia="en-US"/>
        </w:rPr>
      </w:pPr>
    </w:p>
    <w:p w:rsidR="007C2B91" w:rsidRPr="007C2B91" w:rsidRDefault="007C2B91" w:rsidP="007C2B91">
      <w:pPr>
        <w:widowControl w:val="0"/>
        <w:numPr>
          <w:ilvl w:val="0"/>
          <w:numId w:val="8"/>
        </w:numPr>
        <w:jc w:val="both"/>
        <w:rPr>
          <w:rFonts w:eastAsia="Times New Roman" w:cs="ArialMT"/>
          <w:sz w:val="20"/>
          <w:lang w:eastAsia="en-US"/>
        </w:rPr>
      </w:pPr>
      <w:r w:rsidRPr="007C2B91">
        <w:rPr>
          <w:rFonts w:eastAsia="Times New Roman" w:cs="ArialMT"/>
          <w:sz w:val="20"/>
          <w:lang w:eastAsia="en-US"/>
        </w:rPr>
        <w:t xml:space="preserve">Debido a que el motor del proceso normativo son los propios Estados miembros, en el marco del programa los esfuerzos se centrarán en suministrar información fiable y fomentar una coyuntura que favorezca el compromiso y el diálogo entre los Estados miembros en esferas de interés común.  </w:t>
      </w:r>
      <w:r w:rsidRPr="007C2B91">
        <w:rPr>
          <w:rFonts w:eastAsia="Times New Roman" w:cs="ArialMT"/>
          <w:bCs/>
          <w:sz w:val="20"/>
          <w:lang w:eastAsia="en-US"/>
        </w:rPr>
        <w:t>Por otro lado, se seguirá mejorando la capacidad de respuesta en materia de asistencia legislativa y política.  En todas las actividades de este programa que se ejecuten durante el bienio se tendrán en cuenta las recomendaciones pertinentes de la A.D.  Más concretamente, el suministro de información sobre patentes y la prestación de asesoramiento legislativo dan cumplida respuesta a las recomendaciones 15, 17, 20 y 22, respaldando de esta manera los objetivos relativos a “la adopción fundamentada de decisiones y políticas internacionales y nacionales sobre P.I.” y “el establecimiento de marcos normativos de P.I. en el plano nacional e internacional que fomenten la creatividad y la innovación y reflejen el nivel de desarrollo de los distintos Estados miembros de la OMPI”.  Además, el programa tendrá en cuenta la labor desarrollada en el marco de los proyectos de la A.D. finalizados que estén relacionados con la P.I. y el dominio público y las patentes y el dominio público, en aplicación de las recomendaciones 16 y 20.</w:t>
      </w:r>
    </w:p>
    <w:p w:rsidR="007C2B91" w:rsidRPr="007C2B91" w:rsidRDefault="007C2B91" w:rsidP="007C2B91">
      <w:pPr>
        <w:widowControl w:val="0"/>
        <w:autoSpaceDE w:val="0"/>
        <w:autoSpaceDN w:val="0"/>
        <w:adjustRightInd w:val="0"/>
        <w:ind w:right="-59"/>
        <w:jc w:val="both"/>
        <w:rPr>
          <w:rFonts w:eastAsia="Times New Roman" w:cs="ArialMT"/>
          <w:sz w:val="20"/>
          <w:lang w:eastAsia="en-US"/>
        </w:rPr>
      </w:pPr>
    </w:p>
    <w:p w:rsidR="007C2B91" w:rsidRPr="007C2B91" w:rsidRDefault="007C2B91" w:rsidP="009F2448">
      <w:pPr>
        <w:keepNext/>
        <w:widowControl w:val="0"/>
        <w:numPr>
          <w:ilvl w:val="0"/>
          <w:numId w:val="8"/>
        </w:numPr>
        <w:jc w:val="both"/>
        <w:rPr>
          <w:rFonts w:eastAsia="Times New Roman" w:cs="ArialMT"/>
          <w:sz w:val="20"/>
          <w:lang w:eastAsia="en-US"/>
        </w:rPr>
      </w:pPr>
      <w:r w:rsidRPr="007C2B91">
        <w:rPr>
          <w:rFonts w:eastAsia="Times New Roman" w:cs="ArialMT"/>
          <w:sz w:val="20"/>
          <w:lang w:eastAsia="en-US"/>
        </w:rPr>
        <w:lastRenderedPageBreak/>
        <w:t>Concretamente, para el próximo bienio se han fijado los siguientes objetivos en relación con el programa:</w:t>
      </w:r>
    </w:p>
    <w:p w:rsidR="007C2B91" w:rsidRPr="007C2B91" w:rsidRDefault="007C2B91" w:rsidP="009F2448">
      <w:pPr>
        <w:keepNext/>
        <w:widowControl w:val="0"/>
        <w:jc w:val="both"/>
        <w:rPr>
          <w:rFonts w:eastAsia="Times New Roman" w:cs="ArialMT"/>
          <w:sz w:val="20"/>
          <w:lang w:eastAsia="en-US"/>
        </w:rPr>
      </w:pPr>
    </w:p>
    <w:p w:rsidR="007C2B91" w:rsidRP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bCs/>
          <w:sz w:val="20"/>
          <w:lang w:eastAsia="ja-JP"/>
        </w:rPr>
        <w:t>organizar cuatro reuniones del SCP;</w:t>
      </w:r>
    </w:p>
    <w:p w:rsidR="007C2B91" w:rsidRP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bCs/>
          <w:sz w:val="20"/>
          <w:lang w:eastAsia="ja-JP"/>
        </w:rPr>
        <w:t>organizar, previa petición, reuniones de información para representantes de los Estados miembros a los fines de suministrar información sobre cuestiones relacionadas con el Derecho, las políticas y las prácticas en materia de patentes</w:t>
      </w:r>
      <w:r w:rsidR="0050634B">
        <w:rPr>
          <w:rFonts w:eastAsia="Times New Roman"/>
          <w:bCs/>
          <w:sz w:val="20"/>
          <w:lang w:eastAsia="ja-JP"/>
        </w:rPr>
        <w:t>, teniendo debidamente en cuenta las recomendaciones 15 y 16 de la A.D.</w:t>
      </w:r>
      <w:r w:rsidRPr="007C2B91">
        <w:rPr>
          <w:rFonts w:eastAsia="Times New Roman" w:cs="ArialMT"/>
          <w:sz w:val="20"/>
          <w:lang w:eastAsia="en-US"/>
        </w:rPr>
        <w:t>;</w:t>
      </w:r>
    </w:p>
    <w:p w:rsidR="007C2B91" w:rsidRPr="007C2B91" w:rsidRDefault="007C2B91" w:rsidP="007C2B91">
      <w:pPr>
        <w:widowControl w:val="0"/>
        <w:numPr>
          <w:ilvl w:val="0"/>
          <w:numId w:val="9"/>
        </w:numPr>
        <w:tabs>
          <w:tab w:val="num" w:pos="990"/>
        </w:tabs>
        <w:spacing w:after="120"/>
        <w:ind w:left="992" w:hanging="442"/>
        <w:jc w:val="both"/>
        <w:rPr>
          <w:rFonts w:eastAsia="Times New Roman" w:cs="ArialMT"/>
          <w:sz w:val="20"/>
          <w:lang w:eastAsia="en-US"/>
        </w:rPr>
      </w:pPr>
      <w:r w:rsidRPr="007C2B91">
        <w:rPr>
          <w:rFonts w:eastAsia="Times New Roman"/>
          <w:bCs/>
          <w:sz w:val="20"/>
          <w:lang w:eastAsia="ja-JP"/>
        </w:rPr>
        <w:t>seguir proporcionando, previa petición, asesoramiento legislativo a los Estados miembros en el campo de las patentes, los modelos de utilidad, los secretos comerciales y los esquemas de trazado de los circuitos integrados</w:t>
      </w:r>
      <w:r w:rsidR="0050634B">
        <w:rPr>
          <w:rFonts w:eastAsia="Times New Roman"/>
          <w:bCs/>
          <w:sz w:val="20"/>
          <w:lang w:eastAsia="ja-JP"/>
        </w:rPr>
        <w:t>, conforme a las recomendaciones 17, 20 y 22 de la A.D.</w:t>
      </w:r>
      <w:r w:rsidRPr="007C2B91">
        <w:rPr>
          <w:rFonts w:eastAsia="Times New Roman" w:cs="ArialMT"/>
          <w:sz w:val="20"/>
          <w:lang w:eastAsia="en-US"/>
        </w:rPr>
        <w:t>;</w:t>
      </w:r>
    </w:p>
    <w:p w:rsidR="007C2B91" w:rsidRPr="007C2B91" w:rsidRDefault="007C2B91" w:rsidP="007C2B91">
      <w:pPr>
        <w:widowControl w:val="0"/>
        <w:numPr>
          <w:ilvl w:val="0"/>
          <w:numId w:val="9"/>
        </w:numPr>
        <w:tabs>
          <w:tab w:val="num" w:pos="990"/>
        </w:tabs>
        <w:spacing w:after="120"/>
        <w:ind w:left="992" w:hanging="442"/>
        <w:jc w:val="both"/>
        <w:rPr>
          <w:rFonts w:eastAsia="Times New Roman"/>
          <w:bCs/>
          <w:sz w:val="20"/>
          <w:lang w:eastAsia="ja-JP"/>
        </w:rPr>
      </w:pPr>
      <w:r w:rsidRPr="007C2B91">
        <w:rPr>
          <w:rFonts w:eastAsia="Times New Roman" w:cs="ArialMT"/>
          <w:bCs/>
          <w:sz w:val="20"/>
          <w:lang w:eastAsia="en-US"/>
        </w:rPr>
        <w:t>seguir prestando apoyo y asistencia a los Estados miembros en lo que respecta al Convenio de París, el Tratado de Budapest y el Tratado sobre el Derecho de Patentes;</w:t>
      </w:r>
    </w:p>
    <w:p w:rsidR="007C2B91" w:rsidRDefault="007C2B91" w:rsidP="007C2B91">
      <w:pPr>
        <w:widowControl w:val="0"/>
        <w:numPr>
          <w:ilvl w:val="0"/>
          <w:numId w:val="9"/>
        </w:numPr>
        <w:tabs>
          <w:tab w:val="num" w:pos="990"/>
        </w:tabs>
        <w:spacing w:after="120"/>
        <w:ind w:left="992" w:hanging="442"/>
        <w:jc w:val="both"/>
        <w:rPr>
          <w:rFonts w:eastAsia="Times New Roman"/>
          <w:bCs/>
          <w:sz w:val="20"/>
          <w:lang w:eastAsia="ja-JP"/>
        </w:rPr>
      </w:pPr>
      <w:r w:rsidRPr="007C2B91">
        <w:rPr>
          <w:rFonts w:eastAsia="Times New Roman"/>
          <w:bCs/>
          <w:sz w:val="20"/>
          <w:lang w:eastAsia="ja-JP"/>
        </w:rPr>
        <w:t>seguir prestando asistencia a los Estados miembros en relación con los modelos de utilidad, la información no divulgada y los secretos comerciales, y los circuitos integrados;</w:t>
      </w:r>
    </w:p>
    <w:p w:rsidR="007C2B91" w:rsidRPr="00491731" w:rsidRDefault="00491731" w:rsidP="007C2B91">
      <w:pPr>
        <w:widowControl w:val="0"/>
        <w:numPr>
          <w:ilvl w:val="0"/>
          <w:numId w:val="9"/>
        </w:numPr>
        <w:tabs>
          <w:tab w:val="num" w:pos="990"/>
        </w:tabs>
        <w:spacing w:after="120"/>
        <w:ind w:left="992" w:hanging="442"/>
        <w:jc w:val="both"/>
        <w:rPr>
          <w:rFonts w:eastAsia="Times New Roman" w:cs="ArialMT"/>
          <w:sz w:val="20"/>
          <w:lang w:eastAsia="en-US"/>
        </w:rPr>
      </w:pPr>
      <w:r>
        <w:rPr>
          <w:rFonts w:eastAsia="Times New Roman"/>
          <w:bCs/>
          <w:sz w:val="20"/>
          <w:lang w:eastAsia="ja-JP"/>
        </w:rPr>
        <w:t>m</w:t>
      </w:r>
      <w:r w:rsidR="007D5C17" w:rsidRPr="00491731">
        <w:rPr>
          <w:rFonts w:eastAsia="Times New Roman"/>
          <w:bCs/>
          <w:sz w:val="20"/>
          <w:lang w:eastAsia="ja-JP"/>
        </w:rPr>
        <w:t>ejorar la capacidad de los inventores, y de quienes les prestan servicios, para preparar y presentar solicitudes de patente</w:t>
      </w:r>
      <w:r w:rsidRPr="00491731">
        <w:rPr>
          <w:rFonts w:eastAsia="Times New Roman"/>
          <w:bCs/>
          <w:sz w:val="20"/>
          <w:lang w:eastAsia="ja-JP"/>
        </w:rPr>
        <w:t xml:space="preserve"> así como fomentar</w:t>
      </w:r>
      <w:r w:rsidR="007C2B91" w:rsidRPr="00491731">
        <w:rPr>
          <w:rFonts w:eastAsia="Times New Roman"/>
          <w:bCs/>
          <w:sz w:val="20"/>
          <w:lang w:eastAsia="ja-JP"/>
        </w:rPr>
        <w:t xml:space="preserve"> el uso eficaz de las patentes mediante el suministro de información empírica y la organización de cursos de formación y seminarios</w:t>
      </w:r>
      <w:r w:rsidR="007C2B91" w:rsidRPr="00491731">
        <w:rPr>
          <w:rFonts w:eastAsia="Times New Roman" w:cs="ArialMT"/>
          <w:sz w:val="20"/>
          <w:lang w:eastAsia="en-US"/>
        </w:rPr>
        <w:t>;</w:t>
      </w:r>
    </w:p>
    <w:p w:rsidR="007C2B91" w:rsidRPr="007C2B91" w:rsidRDefault="007C2B91" w:rsidP="007C2B91">
      <w:pPr>
        <w:widowControl w:val="0"/>
        <w:numPr>
          <w:ilvl w:val="0"/>
          <w:numId w:val="9"/>
        </w:numPr>
        <w:tabs>
          <w:tab w:val="num" w:pos="990"/>
        </w:tabs>
        <w:spacing w:after="120"/>
        <w:ind w:left="992" w:hanging="442"/>
        <w:jc w:val="both"/>
        <w:rPr>
          <w:rFonts w:eastAsia="Times New Roman"/>
          <w:sz w:val="20"/>
          <w:lang w:eastAsia="en-US"/>
        </w:rPr>
      </w:pPr>
      <w:r w:rsidRPr="007C2B91">
        <w:rPr>
          <w:rFonts w:eastAsia="Times New Roman"/>
          <w:bCs/>
          <w:sz w:val="20"/>
          <w:lang w:eastAsia="ja-JP"/>
        </w:rPr>
        <w:t>abordar la interacción que se produce entre el Derecho de patentes y otras categorías del Derecho de propiedad intelectual, y concretamente los secretos comerciales, en lo que respecta al fomento de la innovación y la difusión de la tecnología</w:t>
      </w:r>
      <w:r w:rsidRPr="007C2B91">
        <w:rPr>
          <w:rFonts w:eastAsia="Times New Roman"/>
          <w:sz w:val="20"/>
          <w:lang w:eastAsia="en-US"/>
        </w:rPr>
        <w:t>;</w:t>
      </w:r>
    </w:p>
    <w:p w:rsidR="007C2B91" w:rsidRPr="007C2B91" w:rsidRDefault="007C2B91" w:rsidP="007C2B91">
      <w:pPr>
        <w:widowControl w:val="0"/>
        <w:numPr>
          <w:ilvl w:val="0"/>
          <w:numId w:val="9"/>
        </w:numPr>
        <w:tabs>
          <w:tab w:val="num" w:pos="990"/>
        </w:tabs>
        <w:spacing w:after="120"/>
        <w:ind w:left="992" w:hanging="442"/>
        <w:jc w:val="both"/>
        <w:rPr>
          <w:rFonts w:eastAsia="Times New Roman"/>
          <w:sz w:val="20"/>
          <w:lang w:eastAsia="en-US"/>
        </w:rPr>
      </w:pPr>
      <w:r w:rsidRPr="007C2B91">
        <w:rPr>
          <w:rFonts w:eastAsia="Times New Roman"/>
          <w:sz w:val="20"/>
          <w:lang w:eastAsia="en-US"/>
        </w:rPr>
        <w:t>desarrollar actividades que ayuden a los Estados miembros y demás partes interesadas a mitigar los conflictos que puedan producirse entre el sistema de patentes y el de normalización;</w:t>
      </w:r>
    </w:p>
    <w:p w:rsidR="007C2B91" w:rsidRPr="007C2B91" w:rsidRDefault="007C2B91" w:rsidP="007C2B91">
      <w:pPr>
        <w:widowControl w:val="0"/>
        <w:numPr>
          <w:ilvl w:val="0"/>
          <w:numId w:val="9"/>
        </w:numPr>
        <w:tabs>
          <w:tab w:val="num" w:pos="990"/>
        </w:tabs>
        <w:spacing w:after="120"/>
        <w:ind w:left="992" w:hanging="442"/>
        <w:jc w:val="both"/>
        <w:rPr>
          <w:rFonts w:eastAsia="Times New Roman"/>
          <w:bCs/>
          <w:sz w:val="20"/>
          <w:lang w:eastAsia="ja-JP"/>
        </w:rPr>
      </w:pPr>
      <w:r w:rsidRPr="007C2B91">
        <w:rPr>
          <w:rFonts w:eastAsia="Times New Roman"/>
          <w:bCs/>
          <w:sz w:val="20"/>
          <w:lang w:eastAsia="ja-JP"/>
        </w:rPr>
        <w:t>seguir apoyando la labor que desarrolla el Sector de Desarrollo en relación con aspectos pertinentes para este programa</w:t>
      </w:r>
      <w:r w:rsidR="00491731">
        <w:rPr>
          <w:rFonts w:eastAsia="Times New Roman"/>
          <w:bCs/>
          <w:sz w:val="20"/>
          <w:lang w:eastAsia="ja-JP"/>
        </w:rPr>
        <w:t xml:space="preserve">, incluyendo la presentación de estudios </w:t>
      </w:r>
      <w:r w:rsidR="0050634B">
        <w:rPr>
          <w:rFonts w:eastAsia="Times New Roman"/>
          <w:bCs/>
          <w:sz w:val="20"/>
          <w:lang w:eastAsia="ja-JP"/>
        </w:rPr>
        <w:t>pertinentes para</w:t>
      </w:r>
      <w:r w:rsidR="00491731">
        <w:rPr>
          <w:rFonts w:eastAsia="Times New Roman"/>
          <w:bCs/>
          <w:sz w:val="20"/>
          <w:lang w:eastAsia="ja-JP"/>
        </w:rPr>
        <w:t xml:space="preserve"> las recomendaciones</w:t>
      </w:r>
      <w:r w:rsidR="001F6669">
        <w:rPr>
          <w:rFonts w:eastAsia="Times New Roman"/>
          <w:bCs/>
          <w:sz w:val="20"/>
          <w:lang w:eastAsia="ja-JP"/>
        </w:rPr>
        <w:t xml:space="preserve"> 12, 13 y 14 y 16</w:t>
      </w:r>
      <w:r w:rsidR="00491731">
        <w:rPr>
          <w:rFonts w:eastAsia="Times New Roman"/>
          <w:bCs/>
          <w:sz w:val="20"/>
          <w:lang w:eastAsia="ja-JP"/>
        </w:rPr>
        <w:t xml:space="preserve"> de la A</w:t>
      </w:r>
      <w:r w:rsidR="001F6669">
        <w:rPr>
          <w:rFonts w:eastAsia="Times New Roman"/>
          <w:bCs/>
          <w:sz w:val="20"/>
          <w:lang w:eastAsia="ja-JP"/>
        </w:rPr>
        <w:t>.</w:t>
      </w:r>
      <w:r w:rsidR="00491731">
        <w:rPr>
          <w:rFonts w:eastAsia="Times New Roman"/>
          <w:bCs/>
          <w:sz w:val="20"/>
          <w:lang w:eastAsia="ja-JP"/>
        </w:rPr>
        <w:t>D</w:t>
      </w:r>
      <w:r w:rsidR="001F6669">
        <w:rPr>
          <w:rFonts w:eastAsia="Times New Roman"/>
          <w:bCs/>
          <w:sz w:val="20"/>
          <w:lang w:eastAsia="ja-JP"/>
        </w:rPr>
        <w:t>.</w:t>
      </w:r>
      <w:r w:rsidR="00491731">
        <w:rPr>
          <w:rFonts w:eastAsia="Times New Roman"/>
          <w:bCs/>
          <w:sz w:val="20"/>
          <w:lang w:eastAsia="ja-JP"/>
        </w:rPr>
        <w:t>, a petición del CDIP</w:t>
      </w:r>
      <w:r w:rsidRPr="007C2B91">
        <w:rPr>
          <w:rFonts w:eastAsia="Times New Roman"/>
          <w:bCs/>
          <w:sz w:val="20"/>
          <w:lang w:eastAsia="ja-JP"/>
        </w:rPr>
        <w:t>;  y</w:t>
      </w:r>
    </w:p>
    <w:p w:rsidR="007C2B91" w:rsidRPr="007C2B91" w:rsidRDefault="007C2B91" w:rsidP="007C2B91">
      <w:pPr>
        <w:widowControl w:val="0"/>
        <w:numPr>
          <w:ilvl w:val="0"/>
          <w:numId w:val="9"/>
        </w:numPr>
        <w:tabs>
          <w:tab w:val="num" w:pos="990"/>
        </w:tabs>
        <w:ind w:left="992" w:hanging="442"/>
        <w:jc w:val="both"/>
        <w:rPr>
          <w:rFonts w:eastAsia="Times New Roman" w:cs="ArialMT"/>
          <w:sz w:val="20"/>
          <w:lang w:eastAsia="en-US"/>
        </w:rPr>
      </w:pPr>
      <w:r w:rsidRPr="007C2B91">
        <w:rPr>
          <w:rFonts w:eastAsia="Times New Roman"/>
          <w:bCs/>
          <w:sz w:val="20"/>
          <w:lang w:eastAsia="ja-JP"/>
        </w:rPr>
        <w:t>seguir trabajando en el marco de los programas 2 (Marcas, diseños industriales e indicaciones geográficas), 3 (</w:t>
      </w:r>
      <w:r w:rsidRPr="007C2B91">
        <w:rPr>
          <w:rFonts w:eastAsia="Times New Roman"/>
          <w:bCs/>
          <w:iCs/>
          <w:sz w:val="20"/>
          <w:lang w:eastAsia="ja-JP"/>
        </w:rPr>
        <w:t>Derecho de autor y derechos conexos), 4 (Conocimientos tradicionales, expresiones culturales tradicionales y recursos genéticos), 5 (</w:t>
      </w:r>
      <w:r w:rsidRPr="007C2B91">
        <w:rPr>
          <w:rFonts w:eastAsia="Times New Roman"/>
          <w:sz w:val="20"/>
          <w:lang w:eastAsia="en-US"/>
        </w:rPr>
        <w:t>Sistema del PCT</w:t>
      </w:r>
      <w:r w:rsidRPr="007C2B91">
        <w:rPr>
          <w:rFonts w:eastAsia="Times New Roman"/>
          <w:bCs/>
          <w:iCs/>
          <w:sz w:val="20"/>
          <w:lang w:eastAsia="ja-JP"/>
        </w:rPr>
        <w:t>), 7 (Centro de Arbitraje y Mediación de la OMPI), 8 (Coordinación de la Agenda para el Desarrollo), 9 (Países africanos, árabes, de América Latina y el Caribe, de Asia y el Pacífico y países menos adelantados), 10 (Cooperación con determinad</w:t>
      </w:r>
      <w:r w:rsidR="00491731">
        <w:rPr>
          <w:rFonts w:eastAsia="Times New Roman"/>
          <w:bCs/>
          <w:iCs/>
          <w:sz w:val="20"/>
          <w:lang w:eastAsia="ja-JP"/>
        </w:rPr>
        <w:t>os países de Europa y Asia), 11 </w:t>
      </w:r>
      <w:r w:rsidRPr="007C2B91">
        <w:rPr>
          <w:rFonts w:eastAsia="Times New Roman"/>
          <w:bCs/>
          <w:iCs/>
          <w:sz w:val="20"/>
          <w:lang w:eastAsia="ja-JP"/>
        </w:rPr>
        <w:t>(</w:t>
      </w:r>
      <w:r w:rsidR="00491731">
        <w:rPr>
          <w:rFonts w:eastAsia="Times New Roman"/>
          <w:bCs/>
          <w:iCs/>
          <w:sz w:val="20"/>
          <w:lang w:eastAsia="ja-JP"/>
        </w:rPr>
        <w:t>Academia</w:t>
      </w:r>
      <w:r w:rsidRPr="007C2B91">
        <w:rPr>
          <w:rFonts w:eastAsia="Times New Roman"/>
          <w:bCs/>
          <w:iCs/>
          <w:sz w:val="20"/>
          <w:lang w:eastAsia="ja-JP"/>
        </w:rPr>
        <w:t xml:space="preserve"> de la OMPI), 12 (Clasificaciones internacionales y normas técnicas), 13 (Bases de datos mundiales), 14 (Servicios de acceso a la informa</w:t>
      </w:r>
      <w:r w:rsidR="00491731">
        <w:rPr>
          <w:rFonts w:eastAsia="Times New Roman"/>
          <w:bCs/>
          <w:iCs/>
          <w:sz w:val="20"/>
          <w:lang w:eastAsia="ja-JP"/>
        </w:rPr>
        <w:t>ción y a los conocimientos), 15 </w:t>
      </w:r>
      <w:r w:rsidRPr="007C2B91">
        <w:rPr>
          <w:rFonts w:eastAsia="Times New Roman"/>
          <w:bCs/>
          <w:iCs/>
          <w:sz w:val="20"/>
          <w:lang w:eastAsia="ja-JP"/>
        </w:rPr>
        <w:t>(</w:t>
      </w:r>
      <w:r w:rsidRPr="007C2B91">
        <w:rPr>
          <w:rFonts w:eastAsia="Times New Roman"/>
          <w:iCs/>
          <w:sz w:val="20"/>
          <w:lang w:eastAsia="en-US"/>
        </w:rPr>
        <w:t>Soluciones operativas para las oficinas de P.I.</w:t>
      </w:r>
      <w:r w:rsidRPr="007C2B91">
        <w:rPr>
          <w:rFonts w:eastAsia="Times New Roman"/>
          <w:bCs/>
          <w:iCs/>
          <w:sz w:val="20"/>
          <w:lang w:eastAsia="ja-JP"/>
        </w:rPr>
        <w:t>), 16 (Economía y estadística), 18 (La P.I. y los desafíos mundiales) y 20 (</w:t>
      </w:r>
      <w:r w:rsidRPr="007C2B91">
        <w:rPr>
          <w:rFonts w:eastAsia="Times New Roman"/>
          <w:iCs/>
          <w:sz w:val="20"/>
          <w:lang w:eastAsia="en-US"/>
        </w:rPr>
        <w:t>Comunicaciones</w:t>
      </w:r>
      <w:r w:rsidRPr="007C2B91">
        <w:rPr>
          <w:rFonts w:eastAsia="Times New Roman"/>
          <w:bCs/>
          <w:iCs/>
          <w:sz w:val="20"/>
          <w:lang w:eastAsia="ja-JP"/>
        </w:rPr>
        <w:t>)</w:t>
      </w:r>
      <w:r w:rsidRPr="007C2B91">
        <w:rPr>
          <w:rFonts w:eastAsia="Times New Roman"/>
          <w:bCs/>
          <w:sz w:val="20"/>
          <w:lang w:eastAsia="ja-JP"/>
        </w:rPr>
        <w:t xml:space="preserve"> en aquellos aspectos que resulten pertinentes para este programa</w:t>
      </w:r>
      <w:r w:rsidRPr="007C2B91">
        <w:rPr>
          <w:rFonts w:eastAsia="Times New Roman" w:cs="ArialMT"/>
          <w:sz w:val="20"/>
          <w:lang w:eastAsia="en-US"/>
        </w:rPr>
        <w:t>.</w:t>
      </w:r>
    </w:p>
    <w:p w:rsidR="007C2B91" w:rsidRPr="007C2B91" w:rsidRDefault="007C2B91" w:rsidP="007C2B91">
      <w:pPr>
        <w:widowControl w:val="0"/>
        <w:autoSpaceDE w:val="0"/>
        <w:autoSpaceDN w:val="0"/>
        <w:adjustRightInd w:val="0"/>
        <w:ind w:right="-1049"/>
        <w:rPr>
          <w:rFonts w:eastAsia="Times New Roman"/>
          <w:sz w:val="20"/>
          <w:lang w:eastAsia="en-US"/>
        </w:rPr>
      </w:pPr>
    </w:p>
    <w:p w:rsidR="0057647D" w:rsidRPr="007C2B91" w:rsidRDefault="0057647D" w:rsidP="00FF779C">
      <w:pPr>
        <w:widowControl w:val="0"/>
        <w:tabs>
          <w:tab w:val="num" w:pos="690"/>
        </w:tabs>
        <w:jc w:val="both"/>
        <w:rPr>
          <w:sz w:val="20"/>
        </w:rPr>
      </w:pPr>
    </w:p>
    <w:p w:rsidR="0057647D" w:rsidRPr="00C75C7E" w:rsidRDefault="0057647D" w:rsidP="0057647D">
      <w:pPr>
        <w:widowControl w:val="0"/>
        <w:autoSpaceDE w:val="0"/>
        <w:autoSpaceDN w:val="0"/>
        <w:adjustRightInd w:val="0"/>
        <w:ind w:right="-1049"/>
        <w:jc w:val="both"/>
        <w:rPr>
          <w:szCs w:val="22"/>
        </w:rPr>
      </w:pPr>
      <w:r w:rsidRPr="00C75C7E">
        <w:rPr>
          <w:szCs w:val="22"/>
        </w:rPr>
        <w:t>PRINCIPALES RIESGOS Y ESTRATEGIAS DE MITIGACIÓN</w:t>
      </w:r>
    </w:p>
    <w:p w:rsidR="0057647D" w:rsidRPr="00C75C7E" w:rsidRDefault="0057647D" w:rsidP="0057647D">
      <w:pPr>
        <w:widowControl w:val="0"/>
        <w:autoSpaceDE w:val="0"/>
        <w:autoSpaceDN w:val="0"/>
        <w:adjustRightInd w:val="0"/>
        <w:ind w:right="-59"/>
        <w:jc w:val="center"/>
        <w:rPr>
          <w:i/>
          <w:sz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400"/>
        <w:gridCol w:w="4899"/>
      </w:tblGrid>
      <w:tr w:rsidR="0057647D" w:rsidRPr="00C75C7E" w:rsidTr="00962ADA">
        <w:trPr>
          <w:trHeight w:val="577"/>
        </w:trPr>
        <w:tc>
          <w:tcPr>
            <w:tcW w:w="4400" w:type="dxa"/>
            <w:shd w:val="clear" w:color="auto" w:fill="CCFFFF"/>
            <w:vAlign w:val="center"/>
          </w:tcPr>
          <w:p w:rsidR="0057647D" w:rsidRPr="00C75C7E" w:rsidRDefault="0057647D" w:rsidP="0057647D">
            <w:pPr>
              <w:widowControl w:val="0"/>
              <w:jc w:val="center"/>
              <w:rPr>
                <w:b/>
                <w:bCs/>
                <w:sz w:val="18"/>
                <w:szCs w:val="18"/>
              </w:rPr>
            </w:pPr>
            <w:r w:rsidRPr="00C75C7E">
              <w:rPr>
                <w:b/>
                <w:bCs/>
                <w:sz w:val="18"/>
                <w:szCs w:val="18"/>
              </w:rPr>
              <w:t>Riesgos en el logro de los resultados del programa</w:t>
            </w:r>
          </w:p>
        </w:tc>
        <w:tc>
          <w:tcPr>
            <w:tcW w:w="4899" w:type="dxa"/>
            <w:shd w:val="clear" w:color="auto" w:fill="CCFFFF"/>
            <w:vAlign w:val="center"/>
          </w:tcPr>
          <w:p w:rsidR="0057647D" w:rsidRPr="00C75C7E" w:rsidRDefault="0057647D" w:rsidP="00962ADA">
            <w:pPr>
              <w:widowControl w:val="0"/>
              <w:rPr>
                <w:b/>
                <w:bCs/>
                <w:sz w:val="18"/>
                <w:szCs w:val="18"/>
              </w:rPr>
            </w:pPr>
            <w:r w:rsidRPr="00C75C7E">
              <w:rPr>
                <w:b/>
                <w:bCs/>
                <w:sz w:val="18"/>
                <w:szCs w:val="18"/>
              </w:rPr>
              <w:t>Planes de mitigación ejecutados o en ejecución</w:t>
            </w:r>
          </w:p>
        </w:tc>
      </w:tr>
      <w:tr w:rsidR="0057647D" w:rsidRPr="00C75C7E" w:rsidTr="00962ADA">
        <w:trPr>
          <w:trHeight w:val="1332"/>
        </w:trPr>
        <w:tc>
          <w:tcPr>
            <w:tcW w:w="4400" w:type="dxa"/>
            <w:shd w:val="clear" w:color="auto" w:fill="auto"/>
            <w:tcMar>
              <w:top w:w="113" w:type="dxa"/>
              <w:bottom w:w="113" w:type="dxa"/>
            </w:tcMar>
          </w:tcPr>
          <w:p w:rsidR="0057647D" w:rsidRPr="00C75C7E" w:rsidRDefault="00491731" w:rsidP="0057647D">
            <w:pPr>
              <w:widowControl w:val="0"/>
              <w:rPr>
                <w:sz w:val="16"/>
                <w:szCs w:val="16"/>
              </w:rPr>
            </w:pPr>
            <w:r>
              <w:rPr>
                <w:sz w:val="16"/>
                <w:szCs w:val="16"/>
              </w:rPr>
              <w:t>Menor</w:t>
            </w:r>
            <w:r w:rsidR="0057647D" w:rsidRPr="00C75C7E">
              <w:rPr>
                <w:sz w:val="16"/>
                <w:szCs w:val="16"/>
              </w:rPr>
              <w:t xml:space="preserve"> pertinencia del Comité </w:t>
            </w:r>
            <w:r>
              <w:rPr>
                <w:sz w:val="16"/>
                <w:szCs w:val="16"/>
              </w:rPr>
              <w:t xml:space="preserve">Permanente sobre el Derecho de Patentes </w:t>
            </w:r>
            <w:r w:rsidR="0057647D" w:rsidRPr="00C75C7E">
              <w:rPr>
                <w:sz w:val="16"/>
                <w:szCs w:val="16"/>
              </w:rPr>
              <w:t>como foro multilateral.</w:t>
            </w:r>
          </w:p>
          <w:p w:rsidR="0057647D" w:rsidRPr="00C75C7E" w:rsidRDefault="0057647D" w:rsidP="0057647D">
            <w:pPr>
              <w:widowControl w:val="0"/>
              <w:autoSpaceDE w:val="0"/>
              <w:autoSpaceDN w:val="0"/>
              <w:adjustRightInd w:val="0"/>
              <w:ind w:right="-59"/>
              <w:jc w:val="both"/>
              <w:rPr>
                <w:sz w:val="16"/>
                <w:szCs w:val="16"/>
              </w:rPr>
            </w:pPr>
          </w:p>
        </w:tc>
        <w:tc>
          <w:tcPr>
            <w:tcW w:w="4899" w:type="dxa"/>
            <w:shd w:val="clear" w:color="auto" w:fill="auto"/>
            <w:tcMar>
              <w:top w:w="113" w:type="dxa"/>
              <w:bottom w:w="113" w:type="dxa"/>
            </w:tcMar>
          </w:tcPr>
          <w:p w:rsidR="0057647D" w:rsidRPr="00C75C7E" w:rsidRDefault="0057647D" w:rsidP="0057647D">
            <w:pPr>
              <w:widowControl w:val="0"/>
              <w:rPr>
                <w:sz w:val="16"/>
                <w:szCs w:val="16"/>
              </w:rPr>
            </w:pPr>
            <w:r w:rsidRPr="00C75C7E">
              <w:rPr>
                <w:sz w:val="16"/>
                <w:szCs w:val="16"/>
              </w:rPr>
              <w:t>Prestación de asesoramiento imparcial y profesional.</w:t>
            </w:r>
          </w:p>
          <w:p w:rsidR="0057647D" w:rsidRPr="00C75C7E" w:rsidRDefault="0057647D" w:rsidP="0057647D">
            <w:pPr>
              <w:widowControl w:val="0"/>
              <w:rPr>
                <w:sz w:val="16"/>
                <w:szCs w:val="16"/>
              </w:rPr>
            </w:pPr>
          </w:p>
          <w:p w:rsidR="0057647D" w:rsidRPr="00C75C7E" w:rsidRDefault="0057647D" w:rsidP="0057647D">
            <w:pPr>
              <w:widowControl w:val="0"/>
              <w:rPr>
                <w:sz w:val="16"/>
                <w:szCs w:val="16"/>
              </w:rPr>
            </w:pPr>
            <w:r w:rsidRPr="00C75C7E">
              <w:rPr>
                <w:sz w:val="16"/>
                <w:szCs w:val="16"/>
              </w:rPr>
              <w:t>Creación de un clima de diálogo integrador y neutral entre los Estados miembros.</w:t>
            </w:r>
          </w:p>
          <w:p w:rsidR="0057647D" w:rsidRPr="00C75C7E" w:rsidRDefault="0057647D" w:rsidP="0057647D">
            <w:pPr>
              <w:widowControl w:val="0"/>
              <w:rPr>
                <w:sz w:val="16"/>
                <w:szCs w:val="16"/>
              </w:rPr>
            </w:pPr>
          </w:p>
          <w:p w:rsidR="0057647D" w:rsidRPr="00C75C7E" w:rsidRDefault="0057647D" w:rsidP="0057647D">
            <w:pPr>
              <w:widowControl w:val="0"/>
              <w:autoSpaceDE w:val="0"/>
              <w:autoSpaceDN w:val="0"/>
              <w:adjustRightInd w:val="0"/>
              <w:ind w:right="-59"/>
              <w:rPr>
                <w:sz w:val="16"/>
                <w:szCs w:val="16"/>
              </w:rPr>
            </w:pPr>
            <w:r w:rsidRPr="00C75C7E">
              <w:rPr>
                <w:sz w:val="16"/>
                <w:szCs w:val="16"/>
              </w:rPr>
              <w:t>Facilitación de información oportuna, precisa y pertinente de interés para los Estados miembros.</w:t>
            </w:r>
          </w:p>
        </w:tc>
      </w:tr>
    </w:tbl>
    <w:p w:rsidR="0057647D" w:rsidRPr="00C75C7E" w:rsidRDefault="0057647D" w:rsidP="0057647D">
      <w:pPr>
        <w:widowControl w:val="0"/>
        <w:rPr>
          <w:sz w:val="20"/>
        </w:rPr>
      </w:pPr>
    </w:p>
    <w:p w:rsidR="0057647D" w:rsidRPr="00C75C7E" w:rsidRDefault="0057647D" w:rsidP="0057647D">
      <w:pPr>
        <w:widowControl w:val="0"/>
        <w:rPr>
          <w:sz w:val="20"/>
        </w:rPr>
      </w:pPr>
    </w:p>
    <w:p w:rsidR="0057647D" w:rsidRPr="00C75C7E" w:rsidRDefault="0057647D" w:rsidP="009F2448">
      <w:pPr>
        <w:keepNext/>
        <w:widowControl w:val="0"/>
        <w:rPr>
          <w:szCs w:val="22"/>
          <w:lang w:val="es-ES_tradnl"/>
        </w:rPr>
      </w:pPr>
      <w:r w:rsidRPr="00C75C7E">
        <w:rPr>
          <w:szCs w:val="22"/>
          <w:lang w:val="es-ES_tradnl"/>
        </w:rPr>
        <w:t>MARCO DE RESULTADOS</w:t>
      </w:r>
    </w:p>
    <w:p w:rsidR="0057647D" w:rsidRPr="00C75C7E" w:rsidRDefault="0057647D" w:rsidP="009F2448">
      <w:pPr>
        <w:keepNext/>
        <w:widowControl w:val="0"/>
        <w:rPr>
          <w:sz w:val="20"/>
          <w:lang w:val="es-ES_tradnl"/>
        </w:rPr>
      </w:pPr>
    </w:p>
    <w:tbl>
      <w:tblPr>
        <w:tblW w:w="4856"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8"/>
        <w:gridCol w:w="2848"/>
        <w:gridCol w:w="2175"/>
        <w:gridCol w:w="1924"/>
      </w:tblGrid>
      <w:tr w:rsidR="0057647D" w:rsidRPr="00C75C7E" w:rsidTr="0057647D">
        <w:trPr>
          <w:cantSplit/>
          <w:trHeight w:val="427"/>
          <w:tblHeader/>
        </w:trPr>
        <w:tc>
          <w:tcPr>
            <w:tcW w:w="1263" w:type="pct"/>
            <w:tcBorders>
              <w:top w:val="single" w:sz="4" w:space="0" w:color="auto"/>
              <w:left w:val="single" w:sz="4" w:space="0" w:color="auto"/>
              <w:bottom w:val="single" w:sz="4" w:space="0" w:color="auto"/>
            </w:tcBorders>
            <w:shd w:val="clear" w:color="auto" w:fill="CCFFFF"/>
            <w:vAlign w:val="center"/>
          </w:tcPr>
          <w:p w:rsidR="0057647D" w:rsidRPr="00C75C7E" w:rsidRDefault="0057647D" w:rsidP="0057647D">
            <w:pPr>
              <w:widowControl w:val="0"/>
              <w:spacing w:after="120"/>
              <w:jc w:val="center"/>
              <w:rPr>
                <w:b/>
                <w:bCs/>
                <w:sz w:val="18"/>
                <w:szCs w:val="18"/>
                <w:lang w:val="es-ES_tradnl"/>
              </w:rPr>
            </w:pPr>
            <w:r w:rsidRPr="00C75C7E">
              <w:rPr>
                <w:b/>
                <w:bCs/>
                <w:sz w:val="18"/>
                <w:szCs w:val="18"/>
                <w:lang w:val="es-ES_tradnl"/>
              </w:rPr>
              <w:t>Resultados previstos</w:t>
            </w:r>
          </w:p>
        </w:tc>
        <w:tc>
          <w:tcPr>
            <w:tcW w:w="1532" w:type="pct"/>
            <w:tcBorders>
              <w:top w:val="single" w:sz="4" w:space="0" w:color="auto"/>
              <w:bottom w:val="single" w:sz="4" w:space="0" w:color="auto"/>
            </w:tcBorders>
            <w:shd w:val="clear" w:color="auto" w:fill="CCFFFF"/>
            <w:tcMar>
              <w:top w:w="110" w:type="dxa"/>
            </w:tcMar>
            <w:vAlign w:val="center"/>
          </w:tcPr>
          <w:p w:rsidR="0057647D" w:rsidRPr="00C75C7E" w:rsidRDefault="0057647D" w:rsidP="0057647D">
            <w:pPr>
              <w:widowControl w:val="0"/>
              <w:spacing w:after="120"/>
              <w:jc w:val="center"/>
              <w:rPr>
                <w:b/>
                <w:sz w:val="18"/>
                <w:szCs w:val="18"/>
                <w:lang w:val="es-ES_tradnl"/>
              </w:rPr>
            </w:pPr>
            <w:r w:rsidRPr="00C75C7E">
              <w:rPr>
                <w:b/>
                <w:sz w:val="18"/>
                <w:szCs w:val="18"/>
                <w:lang w:val="es-ES_tradnl"/>
              </w:rPr>
              <w:t>Indicadores de rendimiento</w:t>
            </w:r>
          </w:p>
        </w:tc>
        <w:tc>
          <w:tcPr>
            <w:tcW w:w="1170" w:type="pct"/>
            <w:tcBorders>
              <w:top w:val="single" w:sz="4" w:space="0" w:color="auto"/>
              <w:bottom w:val="single" w:sz="4" w:space="0" w:color="auto"/>
            </w:tcBorders>
            <w:shd w:val="clear" w:color="auto" w:fill="CCFFFF"/>
            <w:tcMar>
              <w:top w:w="110" w:type="dxa"/>
            </w:tcMar>
            <w:vAlign w:val="center"/>
          </w:tcPr>
          <w:p w:rsidR="0057647D" w:rsidRPr="00C75C7E" w:rsidRDefault="0057647D" w:rsidP="0057647D">
            <w:pPr>
              <w:widowControl w:val="0"/>
              <w:spacing w:after="120"/>
              <w:ind w:left="85"/>
              <w:jc w:val="center"/>
              <w:rPr>
                <w:sz w:val="18"/>
                <w:szCs w:val="18"/>
                <w:lang w:val="es-ES_tradnl"/>
              </w:rPr>
            </w:pPr>
            <w:r w:rsidRPr="00C75C7E">
              <w:rPr>
                <w:b/>
                <w:bCs/>
                <w:sz w:val="18"/>
                <w:szCs w:val="18"/>
                <w:lang w:val="es-ES_tradnl"/>
              </w:rPr>
              <w:t>Referencia</w:t>
            </w:r>
          </w:p>
        </w:tc>
        <w:tc>
          <w:tcPr>
            <w:tcW w:w="1035" w:type="pct"/>
            <w:tcBorders>
              <w:top w:val="single" w:sz="4" w:space="0" w:color="auto"/>
              <w:bottom w:val="single" w:sz="4" w:space="0" w:color="auto"/>
              <w:right w:val="single" w:sz="4" w:space="0" w:color="auto"/>
            </w:tcBorders>
            <w:shd w:val="clear" w:color="auto" w:fill="CCFFFF"/>
            <w:tcMar>
              <w:top w:w="110" w:type="dxa"/>
            </w:tcMar>
            <w:vAlign w:val="center"/>
          </w:tcPr>
          <w:p w:rsidR="0057647D" w:rsidRPr="00C75C7E" w:rsidRDefault="0057647D" w:rsidP="0057647D">
            <w:pPr>
              <w:widowControl w:val="0"/>
              <w:tabs>
                <w:tab w:val="left" w:pos="1539"/>
              </w:tabs>
              <w:spacing w:after="120"/>
              <w:ind w:right="112"/>
              <w:jc w:val="center"/>
              <w:rPr>
                <w:b/>
                <w:bCs/>
                <w:sz w:val="18"/>
                <w:szCs w:val="18"/>
                <w:lang w:val="es-ES_tradnl"/>
              </w:rPr>
            </w:pPr>
            <w:r w:rsidRPr="00C75C7E">
              <w:rPr>
                <w:b/>
                <w:bCs/>
                <w:sz w:val="18"/>
                <w:szCs w:val="18"/>
                <w:lang w:val="es-ES_tradnl"/>
              </w:rPr>
              <w:t>Objetivos</w:t>
            </w:r>
          </w:p>
        </w:tc>
      </w:tr>
      <w:tr w:rsidR="0057647D" w:rsidRPr="00C75C7E" w:rsidTr="0057647D">
        <w:trPr>
          <w:cantSplit/>
          <w:trHeight w:val="1674"/>
        </w:trPr>
        <w:tc>
          <w:tcPr>
            <w:tcW w:w="1263" w:type="pct"/>
            <w:tcBorders>
              <w:top w:val="single" w:sz="4" w:space="0" w:color="auto"/>
            </w:tcBorders>
            <w:shd w:val="clear" w:color="auto" w:fill="auto"/>
            <w:tcMar>
              <w:top w:w="113" w:type="dxa"/>
            </w:tcMar>
          </w:tcPr>
          <w:p w:rsidR="0057647D" w:rsidRPr="00C75C7E" w:rsidRDefault="0057647D" w:rsidP="0057647D">
            <w:pPr>
              <w:widowControl w:val="0"/>
              <w:rPr>
                <w:sz w:val="16"/>
                <w:szCs w:val="16"/>
                <w:lang w:val="es-ES_tradnl"/>
              </w:rPr>
            </w:pPr>
            <w:r w:rsidRPr="00C75C7E">
              <w:rPr>
                <w:sz w:val="16"/>
                <w:szCs w:val="16"/>
                <w:lang w:val="es-ES_tradnl"/>
              </w:rPr>
              <w:t xml:space="preserve">I.1. Mejor cooperación entre los Estados miembros en lo que atañe a la elaboración de marcos normativos internacionales equilibrados para la P.I. y </w:t>
            </w:r>
            <w:r w:rsidR="00956F2F">
              <w:rPr>
                <w:sz w:val="16"/>
                <w:szCs w:val="16"/>
                <w:lang w:val="es-ES_tradnl"/>
              </w:rPr>
              <w:t>fomento de acuerdos sobre</w:t>
            </w:r>
            <w:r w:rsidR="00491731">
              <w:rPr>
                <w:sz w:val="16"/>
                <w:szCs w:val="16"/>
                <w:lang w:val="es-ES_tradnl"/>
              </w:rPr>
              <w:t xml:space="preserve"> las cuestiones específicas</w:t>
            </w:r>
            <w:r w:rsidRPr="00C75C7E">
              <w:rPr>
                <w:sz w:val="16"/>
                <w:szCs w:val="16"/>
                <w:lang w:val="es-ES_tradnl"/>
              </w:rPr>
              <w:t xml:space="preserve"> respecto de las que se acuerdan instrumentos internacionales.</w:t>
            </w:r>
          </w:p>
        </w:tc>
        <w:tc>
          <w:tcPr>
            <w:tcW w:w="1532" w:type="pct"/>
            <w:tcBorders>
              <w:top w:val="single" w:sz="4" w:space="0" w:color="auto"/>
            </w:tcBorders>
            <w:shd w:val="clear" w:color="auto" w:fill="auto"/>
            <w:tcMar>
              <w:top w:w="113" w:type="dxa"/>
            </w:tcMar>
          </w:tcPr>
          <w:p w:rsidR="0057647D" w:rsidRPr="00C75C7E" w:rsidRDefault="0057647D" w:rsidP="0057647D">
            <w:pPr>
              <w:widowControl w:val="0"/>
              <w:rPr>
                <w:sz w:val="16"/>
                <w:szCs w:val="16"/>
                <w:lang w:val="es-ES_tradnl"/>
              </w:rPr>
            </w:pPr>
            <w:r w:rsidRPr="00C75C7E">
              <w:rPr>
                <w:sz w:val="16"/>
                <w:szCs w:val="16"/>
                <w:lang w:val="es-ES_tradnl"/>
              </w:rPr>
              <w:t>Avances en la aplicación de medidas/planes acordados por el SCP.</w:t>
            </w:r>
          </w:p>
        </w:tc>
        <w:tc>
          <w:tcPr>
            <w:tcW w:w="1170" w:type="pct"/>
            <w:tcBorders>
              <w:top w:val="single" w:sz="4" w:space="0" w:color="auto"/>
            </w:tcBorders>
            <w:shd w:val="clear" w:color="auto" w:fill="FFFFFF"/>
            <w:tcMar>
              <w:top w:w="113" w:type="dxa"/>
            </w:tcMar>
          </w:tcPr>
          <w:p w:rsidR="0057647D" w:rsidRPr="00C75C7E" w:rsidRDefault="0057647D" w:rsidP="0057647D">
            <w:pPr>
              <w:widowControl w:val="0"/>
              <w:rPr>
                <w:sz w:val="16"/>
                <w:szCs w:val="16"/>
                <w:lang w:val="es-ES_tradnl" w:bidi="th-TH"/>
              </w:rPr>
            </w:pPr>
            <w:r w:rsidRPr="00C75C7E">
              <w:rPr>
                <w:sz w:val="16"/>
                <w:szCs w:val="16"/>
                <w:lang w:val="es-ES_tradnl" w:bidi="th-TH"/>
              </w:rPr>
              <w:t>Por determinar.</w:t>
            </w: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rPr>
            </w:pPr>
          </w:p>
        </w:tc>
        <w:tc>
          <w:tcPr>
            <w:tcW w:w="1035" w:type="pct"/>
            <w:tcBorders>
              <w:top w:val="single" w:sz="4" w:space="0" w:color="auto"/>
            </w:tcBorders>
            <w:shd w:val="clear" w:color="auto" w:fill="auto"/>
            <w:tcMar>
              <w:top w:w="113" w:type="dxa"/>
            </w:tcMar>
          </w:tcPr>
          <w:p w:rsidR="0057647D" w:rsidRPr="00C75C7E" w:rsidRDefault="0057647D" w:rsidP="0057647D">
            <w:pPr>
              <w:widowControl w:val="0"/>
              <w:ind w:right="381"/>
              <w:rPr>
                <w:bCs/>
                <w:sz w:val="16"/>
                <w:szCs w:val="16"/>
                <w:lang w:val="es-ES_tradnl"/>
              </w:rPr>
            </w:pPr>
            <w:r w:rsidRPr="00C75C7E">
              <w:rPr>
                <w:bCs/>
                <w:sz w:val="16"/>
                <w:szCs w:val="16"/>
                <w:lang w:val="es-ES_tradnl"/>
              </w:rPr>
              <w:t>Avances en cuestiones de interés común en el SCP</w:t>
            </w:r>
          </w:p>
        </w:tc>
      </w:tr>
      <w:tr w:rsidR="0057647D" w:rsidRPr="00C75C7E" w:rsidTr="0057647D">
        <w:trPr>
          <w:cantSplit/>
        </w:trPr>
        <w:tc>
          <w:tcPr>
            <w:tcW w:w="1263" w:type="pct"/>
            <w:shd w:val="clear" w:color="auto" w:fill="auto"/>
            <w:tcMar>
              <w:top w:w="113" w:type="dxa"/>
            </w:tcMar>
          </w:tcPr>
          <w:p w:rsidR="0057647D" w:rsidRPr="00C75C7E" w:rsidRDefault="0057647D" w:rsidP="0057647D">
            <w:pPr>
              <w:widowControl w:val="0"/>
              <w:rPr>
                <w:sz w:val="16"/>
                <w:szCs w:val="16"/>
                <w:lang w:val="es-ES_tradnl"/>
              </w:rPr>
            </w:pPr>
          </w:p>
        </w:tc>
        <w:tc>
          <w:tcPr>
            <w:tcW w:w="1532" w:type="pct"/>
            <w:shd w:val="clear" w:color="auto" w:fill="auto"/>
            <w:tcMar>
              <w:top w:w="113" w:type="dxa"/>
            </w:tcMar>
          </w:tcPr>
          <w:p w:rsidR="0057647D" w:rsidRPr="00C75C7E" w:rsidRDefault="0057647D" w:rsidP="0057647D">
            <w:pPr>
              <w:widowControl w:val="0"/>
              <w:rPr>
                <w:sz w:val="16"/>
                <w:szCs w:val="16"/>
                <w:lang w:val="es-ES_tradnl"/>
              </w:rPr>
            </w:pPr>
            <w:r w:rsidRPr="00C75C7E">
              <w:rPr>
                <w:sz w:val="16"/>
                <w:szCs w:val="16"/>
                <w:lang w:val="es-ES_tradnl"/>
              </w:rPr>
              <w:t>Porcentaje de participantes en talleres/seminarios/conferencias sobre cuestiones específicas relacionadas con las patentes que expresaron satisfacción al respecto.</w:t>
            </w:r>
          </w:p>
        </w:tc>
        <w:tc>
          <w:tcPr>
            <w:tcW w:w="1170" w:type="pct"/>
            <w:shd w:val="clear" w:color="auto" w:fill="FFFFFF"/>
            <w:tcMar>
              <w:top w:w="113" w:type="dxa"/>
            </w:tcMar>
          </w:tcPr>
          <w:p w:rsidR="0057647D" w:rsidRPr="00C75C7E" w:rsidRDefault="0057647D" w:rsidP="0057647D">
            <w:pPr>
              <w:widowControl w:val="0"/>
              <w:rPr>
                <w:sz w:val="16"/>
                <w:szCs w:val="16"/>
                <w:lang w:val="es-ES_tradnl" w:bidi="th-TH"/>
              </w:rPr>
            </w:pPr>
            <w:r w:rsidRPr="00C75C7E">
              <w:rPr>
                <w:sz w:val="16"/>
                <w:szCs w:val="16"/>
                <w:lang w:val="es-ES_tradnl" w:bidi="th-TH"/>
              </w:rPr>
              <w:t>Encuestas de 2012.</w:t>
            </w: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rPr>
            </w:pPr>
          </w:p>
        </w:tc>
        <w:tc>
          <w:tcPr>
            <w:tcW w:w="1035" w:type="pct"/>
            <w:shd w:val="clear" w:color="auto" w:fill="auto"/>
            <w:tcMar>
              <w:top w:w="113" w:type="dxa"/>
            </w:tcMar>
          </w:tcPr>
          <w:p w:rsidR="0057647D" w:rsidRPr="00C75C7E" w:rsidRDefault="0057647D" w:rsidP="0057647D">
            <w:pPr>
              <w:widowControl w:val="0"/>
              <w:ind w:right="51"/>
              <w:rPr>
                <w:bCs/>
                <w:sz w:val="16"/>
                <w:szCs w:val="16"/>
                <w:lang w:val="es-ES_tradnl"/>
              </w:rPr>
            </w:pPr>
            <w:r w:rsidRPr="00C75C7E">
              <w:rPr>
                <w:bCs/>
                <w:sz w:val="16"/>
                <w:szCs w:val="16"/>
                <w:lang w:val="es-ES_tradnl"/>
              </w:rPr>
              <w:t>90%</w:t>
            </w:r>
          </w:p>
        </w:tc>
      </w:tr>
      <w:tr w:rsidR="0057647D" w:rsidRPr="00C75C7E" w:rsidTr="0057647D">
        <w:trPr>
          <w:cantSplit/>
          <w:trHeight w:val="1360"/>
        </w:trPr>
        <w:tc>
          <w:tcPr>
            <w:tcW w:w="1263" w:type="pct"/>
            <w:vMerge w:val="restart"/>
            <w:shd w:val="clear" w:color="auto" w:fill="auto"/>
            <w:tcMar>
              <w:top w:w="113" w:type="dxa"/>
            </w:tcMar>
          </w:tcPr>
          <w:p w:rsidR="0057647D" w:rsidRPr="00C75C7E" w:rsidRDefault="0057647D" w:rsidP="0057647D">
            <w:pPr>
              <w:widowControl w:val="0"/>
              <w:rPr>
                <w:sz w:val="16"/>
                <w:szCs w:val="16"/>
                <w:lang w:val="es-ES_tradnl"/>
              </w:rPr>
            </w:pPr>
            <w:r w:rsidRPr="00C75C7E">
              <w:rPr>
                <w:sz w:val="16"/>
                <w:szCs w:val="16"/>
                <w:lang w:val="es-ES_tradnl"/>
              </w:rPr>
              <w:t>I.2. Marcos de P.I. adaptados y equilibrados en el ámbito legislativo, reglamentario y de política.</w:t>
            </w:r>
          </w:p>
        </w:tc>
        <w:tc>
          <w:tcPr>
            <w:tcW w:w="1532" w:type="pct"/>
            <w:shd w:val="clear" w:color="auto" w:fill="auto"/>
            <w:tcMar>
              <w:top w:w="113" w:type="dxa"/>
            </w:tcMar>
          </w:tcPr>
          <w:p w:rsidR="0057647D" w:rsidRPr="00C75C7E" w:rsidRDefault="0057647D" w:rsidP="0057647D">
            <w:pPr>
              <w:widowControl w:val="0"/>
              <w:rPr>
                <w:sz w:val="16"/>
                <w:szCs w:val="16"/>
                <w:lang w:val="es-ES_tradnl"/>
              </w:rPr>
            </w:pPr>
            <w:r w:rsidRPr="00C75C7E">
              <w:rPr>
                <w:sz w:val="16"/>
                <w:szCs w:val="16"/>
                <w:lang w:val="es-ES_tradnl"/>
              </w:rPr>
              <w:t>Número y porcentaje de Estados miembros que consideran útil la información proporcionada en relación con los principios y prácticas jurídicos del sistema de patentes, como, por ejemplo, las flexibilidades que ofrece el sistema y los desafíos que se plantean en la materia.</w:t>
            </w:r>
          </w:p>
        </w:tc>
        <w:tc>
          <w:tcPr>
            <w:tcW w:w="1170" w:type="pct"/>
            <w:shd w:val="clear" w:color="auto" w:fill="FFFFFF"/>
            <w:tcMar>
              <w:top w:w="113" w:type="dxa"/>
            </w:tcMar>
          </w:tcPr>
          <w:p w:rsidR="0057647D" w:rsidRPr="00C75C7E" w:rsidRDefault="0057647D" w:rsidP="0057647D">
            <w:pPr>
              <w:widowControl w:val="0"/>
              <w:rPr>
                <w:sz w:val="16"/>
                <w:szCs w:val="16"/>
                <w:lang w:val="es-ES_tradnl" w:bidi="th-TH"/>
              </w:rPr>
            </w:pPr>
            <w:r w:rsidRPr="00C75C7E">
              <w:rPr>
                <w:sz w:val="16"/>
                <w:szCs w:val="16"/>
                <w:lang w:val="es-ES_tradnl" w:bidi="th-TH"/>
              </w:rPr>
              <w:t>Por determinar.</w:t>
            </w: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rPr>
            </w:pPr>
          </w:p>
        </w:tc>
        <w:tc>
          <w:tcPr>
            <w:tcW w:w="1035" w:type="pct"/>
            <w:shd w:val="clear" w:color="auto" w:fill="auto"/>
            <w:tcMar>
              <w:top w:w="113" w:type="dxa"/>
            </w:tcMar>
          </w:tcPr>
          <w:p w:rsidR="0057647D" w:rsidRPr="00C75C7E" w:rsidRDefault="0057647D" w:rsidP="0057647D">
            <w:pPr>
              <w:widowControl w:val="0"/>
              <w:ind w:right="51"/>
              <w:rPr>
                <w:bCs/>
                <w:sz w:val="16"/>
                <w:szCs w:val="16"/>
                <w:lang w:val="es-ES_tradnl"/>
              </w:rPr>
            </w:pPr>
            <w:r w:rsidRPr="00C75C7E">
              <w:rPr>
                <w:bCs/>
                <w:sz w:val="16"/>
                <w:szCs w:val="16"/>
                <w:lang w:val="es-ES_tradnl"/>
              </w:rPr>
              <w:t>90%</w:t>
            </w:r>
          </w:p>
        </w:tc>
      </w:tr>
      <w:tr w:rsidR="0057647D" w:rsidRPr="00C75C7E" w:rsidTr="0057647D">
        <w:trPr>
          <w:cantSplit/>
          <w:trHeight w:val="1060"/>
        </w:trPr>
        <w:tc>
          <w:tcPr>
            <w:tcW w:w="1263" w:type="pct"/>
            <w:vMerge/>
            <w:shd w:val="clear" w:color="auto" w:fill="auto"/>
            <w:tcMar>
              <w:top w:w="113" w:type="dxa"/>
            </w:tcMar>
          </w:tcPr>
          <w:p w:rsidR="0057647D" w:rsidRPr="00C75C7E" w:rsidRDefault="0057647D" w:rsidP="0057647D">
            <w:pPr>
              <w:widowControl w:val="0"/>
              <w:rPr>
                <w:sz w:val="16"/>
                <w:szCs w:val="16"/>
                <w:lang w:val="es-ES_tradnl"/>
              </w:rPr>
            </w:pPr>
          </w:p>
        </w:tc>
        <w:tc>
          <w:tcPr>
            <w:tcW w:w="1532" w:type="pct"/>
            <w:shd w:val="clear" w:color="auto" w:fill="auto"/>
            <w:tcMar>
              <w:top w:w="113" w:type="dxa"/>
            </w:tcMar>
          </w:tcPr>
          <w:p w:rsidR="0057647D" w:rsidRPr="00C75C7E" w:rsidRDefault="0057647D" w:rsidP="0057647D">
            <w:pPr>
              <w:widowControl w:val="0"/>
              <w:rPr>
                <w:sz w:val="16"/>
                <w:szCs w:val="16"/>
                <w:lang w:val="es-ES_tradnl"/>
              </w:rPr>
            </w:pPr>
            <w:r w:rsidRPr="00C75C7E">
              <w:rPr>
                <w:sz w:val="16"/>
                <w:szCs w:val="16"/>
                <w:lang w:val="es-ES_tradnl"/>
              </w:rPr>
              <w:t>Porcentaje de participantes en talleres/seminarios/conferencias sobre cuestiones específicas relacionadas con las patentes que expresaron satisfacción al respecto.</w:t>
            </w:r>
          </w:p>
        </w:tc>
        <w:tc>
          <w:tcPr>
            <w:tcW w:w="1170" w:type="pct"/>
            <w:shd w:val="clear" w:color="auto" w:fill="FFFFFF"/>
            <w:tcMar>
              <w:top w:w="113" w:type="dxa"/>
            </w:tcMar>
          </w:tcPr>
          <w:p w:rsidR="0057647D" w:rsidRPr="00C75C7E" w:rsidRDefault="0057647D" w:rsidP="0057647D">
            <w:pPr>
              <w:widowControl w:val="0"/>
              <w:rPr>
                <w:sz w:val="16"/>
                <w:szCs w:val="16"/>
                <w:lang w:val="es-ES_tradnl" w:bidi="th-TH"/>
              </w:rPr>
            </w:pPr>
            <w:r w:rsidRPr="00C75C7E">
              <w:rPr>
                <w:sz w:val="16"/>
                <w:szCs w:val="16"/>
                <w:lang w:val="es-ES_tradnl" w:bidi="th-TH"/>
              </w:rPr>
              <w:t>Por determinar.</w:t>
            </w: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rPr>
            </w:pPr>
          </w:p>
        </w:tc>
        <w:tc>
          <w:tcPr>
            <w:tcW w:w="1035" w:type="pct"/>
            <w:shd w:val="clear" w:color="auto" w:fill="auto"/>
            <w:tcMar>
              <w:top w:w="113" w:type="dxa"/>
            </w:tcMar>
          </w:tcPr>
          <w:p w:rsidR="0057647D" w:rsidRPr="00C75C7E" w:rsidRDefault="0057647D" w:rsidP="0057647D">
            <w:pPr>
              <w:widowControl w:val="0"/>
              <w:ind w:right="161"/>
              <w:rPr>
                <w:bCs/>
                <w:sz w:val="16"/>
                <w:szCs w:val="16"/>
                <w:lang w:val="es-ES_tradnl"/>
              </w:rPr>
            </w:pPr>
            <w:r w:rsidRPr="00C75C7E">
              <w:rPr>
                <w:bCs/>
                <w:sz w:val="16"/>
                <w:szCs w:val="16"/>
                <w:lang w:val="es-ES_tradnl"/>
              </w:rPr>
              <w:t>90%</w:t>
            </w:r>
          </w:p>
        </w:tc>
      </w:tr>
      <w:tr w:rsidR="0057647D" w:rsidRPr="00C75C7E" w:rsidTr="0057647D">
        <w:trPr>
          <w:cantSplit/>
          <w:trHeight w:val="1102"/>
        </w:trPr>
        <w:tc>
          <w:tcPr>
            <w:tcW w:w="1263" w:type="pct"/>
            <w:vMerge/>
            <w:shd w:val="clear" w:color="auto" w:fill="auto"/>
            <w:tcMar>
              <w:top w:w="113" w:type="dxa"/>
            </w:tcMar>
          </w:tcPr>
          <w:p w:rsidR="0057647D" w:rsidRPr="00C75C7E" w:rsidRDefault="0057647D" w:rsidP="0057647D">
            <w:pPr>
              <w:widowControl w:val="0"/>
              <w:rPr>
                <w:sz w:val="16"/>
                <w:szCs w:val="16"/>
                <w:lang w:val="es-ES_tradnl"/>
              </w:rPr>
            </w:pPr>
          </w:p>
        </w:tc>
        <w:tc>
          <w:tcPr>
            <w:tcW w:w="1532" w:type="pct"/>
            <w:shd w:val="clear" w:color="auto" w:fill="auto"/>
            <w:tcMar>
              <w:top w:w="113" w:type="dxa"/>
            </w:tcMar>
          </w:tcPr>
          <w:p w:rsidR="0057647D" w:rsidRPr="00C75C7E" w:rsidRDefault="0057647D" w:rsidP="0057647D">
            <w:pPr>
              <w:widowControl w:val="0"/>
              <w:rPr>
                <w:sz w:val="16"/>
                <w:szCs w:val="16"/>
                <w:lang w:val="es-ES_tradnl"/>
              </w:rPr>
            </w:pPr>
            <w:r w:rsidRPr="00C75C7E">
              <w:rPr>
                <w:sz w:val="16"/>
                <w:szCs w:val="16"/>
                <w:lang w:val="es-ES_tradnl"/>
              </w:rPr>
              <w:t>Número y porcentaje de Estados miembros satisfechos con la calidad del asesoramiento jurídico sobre patentes, modelos de utilidad, secretos comerciales y circuitos integrados.</w:t>
            </w:r>
          </w:p>
        </w:tc>
        <w:tc>
          <w:tcPr>
            <w:tcW w:w="1170" w:type="pct"/>
            <w:shd w:val="clear" w:color="auto" w:fill="FFFFFF"/>
            <w:tcMar>
              <w:top w:w="113" w:type="dxa"/>
            </w:tcMar>
          </w:tcPr>
          <w:p w:rsidR="0057647D" w:rsidRPr="00C75C7E" w:rsidRDefault="0057647D" w:rsidP="0057647D">
            <w:pPr>
              <w:widowControl w:val="0"/>
              <w:rPr>
                <w:sz w:val="16"/>
                <w:szCs w:val="16"/>
                <w:lang w:val="es-ES_tradnl" w:bidi="th-TH"/>
              </w:rPr>
            </w:pPr>
            <w:r w:rsidRPr="00C75C7E">
              <w:rPr>
                <w:sz w:val="16"/>
                <w:szCs w:val="16"/>
                <w:lang w:val="es-ES_tradnl" w:bidi="th-TH"/>
              </w:rPr>
              <w:t>Encuestas de 2012.</w:t>
            </w: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tc>
        <w:tc>
          <w:tcPr>
            <w:tcW w:w="1035" w:type="pct"/>
            <w:shd w:val="clear" w:color="auto" w:fill="auto"/>
            <w:tcMar>
              <w:top w:w="113" w:type="dxa"/>
            </w:tcMar>
          </w:tcPr>
          <w:p w:rsidR="0057647D" w:rsidRPr="00C75C7E" w:rsidRDefault="0057647D" w:rsidP="0057647D">
            <w:pPr>
              <w:widowControl w:val="0"/>
              <w:ind w:right="161"/>
              <w:rPr>
                <w:bCs/>
                <w:sz w:val="16"/>
                <w:szCs w:val="16"/>
                <w:lang w:val="es-ES_tradnl"/>
              </w:rPr>
            </w:pPr>
            <w:r w:rsidRPr="00C75C7E">
              <w:rPr>
                <w:bCs/>
                <w:sz w:val="16"/>
                <w:szCs w:val="16"/>
                <w:lang w:val="es-ES_tradnl"/>
              </w:rPr>
              <w:t>90%</w:t>
            </w:r>
          </w:p>
        </w:tc>
      </w:tr>
      <w:tr w:rsidR="0057647D" w:rsidRPr="00C75C7E" w:rsidTr="0057647D">
        <w:trPr>
          <w:cantSplit/>
          <w:trHeight w:val="1144"/>
        </w:trPr>
        <w:tc>
          <w:tcPr>
            <w:tcW w:w="1263" w:type="pct"/>
            <w:vMerge/>
            <w:shd w:val="clear" w:color="auto" w:fill="auto"/>
            <w:tcMar>
              <w:top w:w="113" w:type="dxa"/>
            </w:tcMar>
          </w:tcPr>
          <w:p w:rsidR="0057647D" w:rsidRPr="00C75C7E" w:rsidRDefault="0057647D" w:rsidP="0057647D">
            <w:pPr>
              <w:widowControl w:val="0"/>
              <w:rPr>
                <w:sz w:val="16"/>
                <w:szCs w:val="16"/>
                <w:lang w:val="es-ES_tradnl"/>
              </w:rPr>
            </w:pPr>
          </w:p>
        </w:tc>
        <w:tc>
          <w:tcPr>
            <w:tcW w:w="1532" w:type="pct"/>
            <w:shd w:val="clear" w:color="auto" w:fill="auto"/>
            <w:tcMar>
              <w:top w:w="113" w:type="dxa"/>
            </w:tcMar>
          </w:tcPr>
          <w:p w:rsidR="0057647D" w:rsidRPr="00C75C7E" w:rsidRDefault="00491731" w:rsidP="00491731">
            <w:pPr>
              <w:widowControl w:val="0"/>
              <w:rPr>
                <w:sz w:val="16"/>
                <w:szCs w:val="16"/>
                <w:lang w:val="es-ES_tradnl"/>
              </w:rPr>
            </w:pPr>
            <w:r>
              <w:rPr>
                <w:sz w:val="16"/>
                <w:szCs w:val="16"/>
                <w:lang w:val="es-ES_tradnl"/>
              </w:rPr>
              <w:t>Con sujeción a la aprobación de los Estados miembros, a</w:t>
            </w:r>
            <w:r w:rsidR="0057647D" w:rsidRPr="00C75C7E">
              <w:rPr>
                <w:sz w:val="16"/>
                <w:szCs w:val="16"/>
                <w:lang w:val="es-ES_tradnl"/>
              </w:rPr>
              <w:t>vance en la revisión de la ley tipo sobre patentes para los países en desarrollo y los PMA.</w:t>
            </w:r>
          </w:p>
        </w:tc>
        <w:tc>
          <w:tcPr>
            <w:tcW w:w="1170" w:type="pct"/>
            <w:shd w:val="clear" w:color="auto" w:fill="FFFFFF"/>
            <w:tcMar>
              <w:top w:w="113" w:type="dxa"/>
            </w:tcMar>
          </w:tcPr>
          <w:p w:rsidR="0057647D" w:rsidRPr="00C75C7E" w:rsidRDefault="0057647D" w:rsidP="0057647D">
            <w:pPr>
              <w:widowControl w:val="0"/>
              <w:rPr>
                <w:sz w:val="16"/>
                <w:szCs w:val="16"/>
                <w:lang w:val="es-ES_tradnl" w:bidi="th-TH"/>
              </w:rPr>
            </w:pPr>
            <w:r w:rsidRPr="00C75C7E">
              <w:rPr>
                <w:sz w:val="16"/>
                <w:szCs w:val="16"/>
                <w:lang w:val="es-ES_tradnl" w:bidi="th-TH"/>
              </w:rPr>
              <w:t>Por determinar.</w:t>
            </w:r>
          </w:p>
          <w:p w:rsidR="0057647D" w:rsidRPr="00C75C7E" w:rsidRDefault="0057647D" w:rsidP="0057647D">
            <w:pPr>
              <w:widowControl w:val="0"/>
              <w:rPr>
                <w:sz w:val="16"/>
                <w:szCs w:val="16"/>
                <w:lang w:val="es-ES_tradnl" w:bidi="th-TH"/>
              </w:rPr>
            </w:pPr>
          </w:p>
          <w:p w:rsidR="0057647D" w:rsidRPr="00C75C7E" w:rsidRDefault="0057647D" w:rsidP="0057647D">
            <w:pPr>
              <w:widowControl w:val="0"/>
              <w:rPr>
                <w:sz w:val="16"/>
                <w:szCs w:val="16"/>
                <w:lang w:val="es-ES_tradnl" w:bidi="th-TH"/>
              </w:rPr>
            </w:pPr>
          </w:p>
        </w:tc>
        <w:tc>
          <w:tcPr>
            <w:tcW w:w="1035" w:type="pct"/>
            <w:shd w:val="clear" w:color="auto" w:fill="auto"/>
            <w:tcMar>
              <w:top w:w="113" w:type="dxa"/>
            </w:tcMar>
          </w:tcPr>
          <w:p w:rsidR="0057647D" w:rsidRPr="00C75C7E" w:rsidRDefault="00491731" w:rsidP="0057647D">
            <w:pPr>
              <w:widowControl w:val="0"/>
              <w:ind w:right="161"/>
              <w:rPr>
                <w:bCs/>
                <w:sz w:val="16"/>
                <w:szCs w:val="16"/>
                <w:lang w:val="es-ES_tradnl"/>
              </w:rPr>
            </w:pPr>
            <w:r>
              <w:rPr>
                <w:bCs/>
                <w:sz w:val="16"/>
                <w:szCs w:val="16"/>
                <w:lang w:val="es-ES_tradnl"/>
              </w:rPr>
              <w:t>Avances en la labor preparatoria de la actualización de la ley tipo de la OMPI sobre patentes</w:t>
            </w:r>
          </w:p>
        </w:tc>
      </w:tr>
    </w:tbl>
    <w:p w:rsidR="0057647D" w:rsidRDefault="0057647D" w:rsidP="0057647D">
      <w:pPr>
        <w:widowControl w:val="0"/>
        <w:rPr>
          <w:sz w:val="20"/>
          <w:lang w:val="es-ES_tradnl"/>
        </w:rPr>
      </w:pPr>
    </w:p>
    <w:p w:rsidR="009F2448" w:rsidRPr="00C75C7E" w:rsidRDefault="009F2448" w:rsidP="0057647D">
      <w:pPr>
        <w:widowControl w:val="0"/>
        <w:rPr>
          <w:sz w:val="20"/>
          <w:lang w:val="es-ES_tradnl"/>
        </w:rPr>
      </w:pPr>
    </w:p>
    <w:p w:rsidR="00F8358E" w:rsidRPr="00F8358E" w:rsidRDefault="00F8358E" w:rsidP="00F8358E">
      <w:pPr>
        <w:widowControl w:val="0"/>
        <w:autoSpaceDE w:val="0"/>
        <w:autoSpaceDN w:val="0"/>
        <w:adjustRightInd w:val="0"/>
        <w:jc w:val="both"/>
        <w:rPr>
          <w:rFonts w:eastAsia="Times New Roman"/>
          <w:szCs w:val="22"/>
          <w:lang w:eastAsia="en-US"/>
        </w:rPr>
      </w:pPr>
      <w:r w:rsidRPr="00F8358E">
        <w:rPr>
          <w:rFonts w:eastAsia="Times New Roman"/>
          <w:szCs w:val="22"/>
          <w:lang w:eastAsia="en-US"/>
        </w:rPr>
        <w:t>RECURSOS PARA EL PROGRAMA 1</w:t>
      </w:r>
    </w:p>
    <w:p w:rsidR="00F8358E" w:rsidRPr="00F8358E" w:rsidRDefault="00F8358E" w:rsidP="00F8358E">
      <w:pPr>
        <w:widowControl w:val="0"/>
        <w:autoSpaceDE w:val="0"/>
        <w:autoSpaceDN w:val="0"/>
        <w:adjustRightInd w:val="0"/>
        <w:jc w:val="both"/>
        <w:rPr>
          <w:rFonts w:eastAsia="Times New Roman"/>
          <w:szCs w:val="22"/>
          <w:lang w:eastAsia="en-US"/>
        </w:rPr>
      </w:pPr>
    </w:p>
    <w:p w:rsidR="00F8358E" w:rsidRPr="00F8358E" w:rsidRDefault="00F8358E" w:rsidP="00F8358E">
      <w:pPr>
        <w:widowControl w:val="0"/>
        <w:numPr>
          <w:ilvl w:val="0"/>
          <w:numId w:val="8"/>
        </w:numPr>
        <w:jc w:val="both"/>
        <w:rPr>
          <w:rFonts w:eastAsia="Times New Roman"/>
          <w:sz w:val="20"/>
          <w:lang w:eastAsia="en-US"/>
        </w:rPr>
      </w:pPr>
      <w:r w:rsidRPr="00F8358E">
        <w:rPr>
          <w:rFonts w:eastAsia="Times New Roman"/>
          <w:sz w:val="20"/>
          <w:lang w:eastAsia="en-US"/>
        </w:rPr>
        <w:t>La reducción en relación con el resultado I.1 (Elaboración de marcos normativos internacionales equilibrados para la P.I.) que se muestra más abajo se debe a la aplicación de medidas destinadas a fomentar la eficacia en función de los costos en el ámbito de las Misiones del personal y los Viajes de terceros.</w:t>
      </w:r>
    </w:p>
    <w:p w:rsidR="00F8358E" w:rsidRPr="00F8358E" w:rsidRDefault="00F8358E" w:rsidP="00F8358E">
      <w:pPr>
        <w:widowControl w:val="0"/>
        <w:jc w:val="both"/>
        <w:rPr>
          <w:rFonts w:eastAsia="Times New Roman"/>
          <w:sz w:val="20"/>
          <w:lang w:eastAsia="en-US"/>
        </w:rPr>
      </w:pPr>
    </w:p>
    <w:p w:rsidR="00F8358E" w:rsidRPr="00F8358E" w:rsidRDefault="00F8358E" w:rsidP="00F8358E">
      <w:pPr>
        <w:widowControl w:val="0"/>
        <w:numPr>
          <w:ilvl w:val="0"/>
          <w:numId w:val="8"/>
        </w:numPr>
        <w:jc w:val="both"/>
        <w:rPr>
          <w:rFonts w:eastAsia="Times New Roman"/>
          <w:sz w:val="20"/>
          <w:lang w:eastAsia="en-US"/>
        </w:rPr>
      </w:pPr>
      <w:r w:rsidRPr="00F8358E">
        <w:rPr>
          <w:rFonts w:eastAsia="Times New Roman"/>
          <w:sz w:val="20"/>
          <w:lang w:eastAsia="en-US"/>
        </w:rPr>
        <w:t>El aumento que se registra en relación con el resultado I.2 (Asesoramiento legislativo) se debe a un incremento de los gastos de personal y Servicios contractuales individuales.</w:t>
      </w:r>
    </w:p>
    <w:p w:rsidR="00F8358E" w:rsidRPr="00F8358E" w:rsidRDefault="00F8358E" w:rsidP="00F8358E">
      <w:pPr>
        <w:widowControl w:val="0"/>
        <w:autoSpaceDE w:val="0"/>
        <w:autoSpaceDN w:val="0"/>
        <w:adjustRightInd w:val="0"/>
        <w:jc w:val="both"/>
        <w:rPr>
          <w:rFonts w:eastAsia="Times New Roman"/>
          <w:sz w:val="20"/>
          <w:lang w:eastAsia="en-US"/>
        </w:rPr>
      </w:pPr>
    </w:p>
    <w:p w:rsidR="00F8358E" w:rsidRPr="00F8358E" w:rsidRDefault="00F8358E" w:rsidP="00F8358E">
      <w:pPr>
        <w:widowControl w:val="0"/>
        <w:numPr>
          <w:ilvl w:val="0"/>
          <w:numId w:val="8"/>
        </w:numPr>
        <w:jc w:val="both"/>
        <w:rPr>
          <w:rFonts w:eastAsia="Times New Roman"/>
          <w:sz w:val="20"/>
          <w:lang w:eastAsia="en-US"/>
        </w:rPr>
      </w:pPr>
      <w:r w:rsidRPr="00F8358E">
        <w:rPr>
          <w:rFonts w:eastAsia="Times New Roman"/>
          <w:sz w:val="20"/>
          <w:lang w:eastAsia="en-US"/>
        </w:rPr>
        <w:t xml:space="preserve">En el bienio 2014/15 no se asignarán recursos al resultado VII.2 (Adopción generalizada de plataformas para abordar problemas de orden mundial) debido a la finalización del proyecto de la A.D. sobre </w:t>
      </w:r>
      <w:r w:rsidR="003A4B0F" w:rsidRPr="00F8358E">
        <w:rPr>
          <w:rFonts w:eastAsia="Times New Roman"/>
          <w:sz w:val="20"/>
          <w:lang w:eastAsia="en-US"/>
        </w:rPr>
        <w:t xml:space="preserve">patentes </w:t>
      </w:r>
      <w:r w:rsidRPr="00F8358E">
        <w:rPr>
          <w:rFonts w:eastAsia="Times New Roman"/>
          <w:sz w:val="20"/>
          <w:lang w:eastAsia="en-US"/>
        </w:rPr>
        <w:t>y dominio público.</w:t>
      </w:r>
    </w:p>
    <w:p w:rsidR="00F8358E" w:rsidRDefault="00F8358E" w:rsidP="00DA2E7F">
      <w:pPr>
        <w:widowControl w:val="0"/>
        <w:autoSpaceDE w:val="0"/>
        <w:autoSpaceDN w:val="0"/>
        <w:adjustRightInd w:val="0"/>
        <w:ind w:firstLine="567"/>
        <w:jc w:val="center"/>
        <w:rPr>
          <w:b/>
          <w:bCs/>
          <w:iCs/>
          <w:sz w:val="20"/>
          <w:lang w:val="es-ES_tradnl"/>
        </w:rPr>
      </w:pPr>
    </w:p>
    <w:p w:rsidR="00F8358E" w:rsidRDefault="00F8358E" w:rsidP="009F2448">
      <w:pPr>
        <w:keepNext/>
        <w:widowControl w:val="0"/>
        <w:autoSpaceDE w:val="0"/>
        <w:autoSpaceDN w:val="0"/>
        <w:adjustRightInd w:val="0"/>
        <w:jc w:val="center"/>
        <w:rPr>
          <w:b/>
          <w:bCs/>
          <w:iCs/>
          <w:sz w:val="20"/>
          <w:lang w:val="es-ES_tradnl"/>
        </w:rPr>
      </w:pPr>
    </w:p>
    <w:p w:rsidR="00DA2E7F" w:rsidRPr="00C75C7E" w:rsidRDefault="00491731" w:rsidP="009F2448">
      <w:pPr>
        <w:keepNext/>
        <w:widowControl w:val="0"/>
        <w:autoSpaceDE w:val="0"/>
        <w:autoSpaceDN w:val="0"/>
        <w:adjustRightInd w:val="0"/>
        <w:jc w:val="center"/>
        <w:rPr>
          <w:b/>
          <w:bCs/>
          <w:iCs/>
          <w:sz w:val="20"/>
          <w:lang w:val="es-ES_tradnl"/>
        </w:rPr>
      </w:pPr>
      <w:r>
        <w:rPr>
          <w:b/>
          <w:bCs/>
          <w:iCs/>
          <w:sz w:val="20"/>
          <w:lang w:val="es-ES_tradnl"/>
        </w:rPr>
        <w:t>Programa 1</w:t>
      </w:r>
      <w:proofErr w:type="gramStart"/>
      <w:r>
        <w:rPr>
          <w:b/>
          <w:bCs/>
          <w:iCs/>
          <w:sz w:val="20"/>
          <w:lang w:val="es-ES_tradnl"/>
        </w:rPr>
        <w:t xml:space="preserve">:  </w:t>
      </w:r>
      <w:r w:rsidR="00DA2E7F" w:rsidRPr="00C75C7E">
        <w:rPr>
          <w:b/>
          <w:bCs/>
          <w:iCs/>
          <w:sz w:val="20"/>
          <w:lang w:val="es-ES_tradnl"/>
        </w:rPr>
        <w:t>Recursos</w:t>
      </w:r>
      <w:proofErr w:type="gramEnd"/>
      <w:r w:rsidR="00DA2E7F" w:rsidRPr="00C75C7E">
        <w:rPr>
          <w:b/>
          <w:bCs/>
          <w:iCs/>
          <w:sz w:val="20"/>
          <w:lang w:val="es-ES_tradnl"/>
        </w:rPr>
        <w:t xml:space="preserve"> por resultado</w:t>
      </w:r>
    </w:p>
    <w:p w:rsidR="00DA2E7F" w:rsidRPr="00C75C7E" w:rsidRDefault="00DA2E7F" w:rsidP="009F2448">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DA2E7F" w:rsidRPr="00C75C7E" w:rsidRDefault="00DA2E7F" w:rsidP="009F2448">
      <w:pPr>
        <w:keepNext/>
        <w:widowControl w:val="0"/>
        <w:jc w:val="center"/>
        <w:rPr>
          <w:sz w:val="20"/>
          <w:lang w:val="es-ES_tradnl"/>
        </w:rPr>
      </w:pPr>
    </w:p>
    <w:p w:rsidR="00DA2E7F" w:rsidRPr="00C75C7E" w:rsidRDefault="00214E52" w:rsidP="00DA2E7F">
      <w:pPr>
        <w:widowControl w:val="0"/>
        <w:jc w:val="center"/>
        <w:rPr>
          <w:sz w:val="20"/>
          <w:lang w:val="es-ES_tradnl"/>
        </w:rPr>
      </w:pPr>
      <w:r w:rsidRPr="00214E52">
        <w:rPr>
          <w:noProof/>
          <w:lang w:val="en-US" w:eastAsia="en-US"/>
        </w:rPr>
        <w:drawing>
          <wp:inline distT="0" distB="0" distL="0" distR="0" wp14:anchorId="360EDAE9" wp14:editId="72F0E77F">
            <wp:extent cx="5762625" cy="2543175"/>
            <wp:effectExtent l="0" t="0" r="9525" b="952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62625" cy="2543175"/>
                    </a:xfrm>
                    <a:prstGeom prst="rect">
                      <a:avLst/>
                    </a:prstGeom>
                    <a:noFill/>
                    <a:ln>
                      <a:noFill/>
                    </a:ln>
                  </pic:spPr>
                </pic:pic>
              </a:graphicData>
            </a:graphic>
          </wp:inline>
        </w:drawing>
      </w:r>
    </w:p>
    <w:p w:rsidR="00DA2E7F" w:rsidRPr="00C75C7E" w:rsidRDefault="00DA2E7F" w:rsidP="00DA2E7F">
      <w:pPr>
        <w:widowControl w:val="0"/>
        <w:rPr>
          <w:sz w:val="20"/>
          <w:lang w:val="es-ES_tradnl"/>
        </w:rPr>
      </w:pPr>
    </w:p>
    <w:p w:rsidR="00DA2E7F" w:rsidRPr="00C75C7E" w:rsidRDefault="00DA2E7F" w:rsidP="00DA2E7F">
      <w:pPr>
        <w:widowControl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DA2E7F" w:rsidRPr="00C75C7E" w:rsidRDefault="00DA2E7F" w:rsidP="00DA2E7F">
      <w:pPr>
        <w:widowControl w:val="0"/>
        <w:autoSpaceDE w:val="0"/>
        <w:autoSpaceDN w:val="0"/>
        <w:adjustRightInd w:val="0"/>
        <w:jc w:val="center"/>
        <w:rPr>
          <w:b/>
          <w:bCs/>
          <w:iCs/>
          <w:sz w:val="20"/>
          <w:lang w:val="es-ES_tradnl"/>
        </w:rPr>
      </w:pPr>
    </w:p>
    <w:p w:rsidR="00DA2E7F" w:rsidRPr="00C75C7E" w:rsidRDefault="00DA2E7F" w:rsidP="00DA2E7F">
      <w:pPr>
        <w:widowControl w:val="0"/>
        <w:autoSpaceDE w:val="0"/>
        <w:autoSpaceDN w:val="0"/>
        <w:adjustRightInd w:val="0"/>
        <w:jc w:val="center"/>
        <w:rPr>
          <w:b/>
          <w:bCs/>
          <w:iCs/>
          <w:sz w:val="20"/>
          <w:lang w:val="es-ES_tradnl"/>
        </w:rPr>
      </w:pPr>
    </w:p>
    <w:p w:rsidR="00DA2E7F" w:rsidRPr="00C75C7E" w:rsidRDefault="005C7451" w:rsidP="009F2448">
      <w:pPr>
        <w:keepNext/>
        <w:widowControl w:val="0"/>
        <w:autoSpaceDE w:val="0"/>
        <w:autoSpaceDN w:val="0"/>
        <w:adjustRightInd w:val="0"/>
        <w:jc w:val="center"/>
        <w:rPr>
          <w:b/>
          <w:bCs/>
          <w:iCs/>
          <w:sz w:val="20"/>
          <w:lang w:val="es-ES_tradnl"/>
        </w:rPr>
      </w:pPr>
      <w:r>
        <w:rPr>
          <w:b/>
          <w:bCs/>
          <w:iCs/>
          <w:sz w:val="20"/>
          <w:lang w:val="es-ES_tradnl"/>
        </w:rPr>
        <w:lastRenderedPageBreak/>
        <w:t>Programa 1</w:t>
      </w:r>
      <w:proofErr w:type="gramStart"/>
      <w:r>
        <w:rPr>
          <w:b/>
          <w:bCs/>
          <w:iCs/>
          <w:sz w:val="20"/>
          <w:lang w:val="es-ES_tradnl"/>
        </w:rPr>
        <w:t xml:space="preserve">:  </w:t>
      </w:r>
      <w:r w:rsidR="00DA2E7F" w:rsidRPr="00C75C7E">
        <w:rPr>
          <w:b/>
          <w:bCs/>
          <w:iCs/>
          <w:sz w:val="20"/>
          <w:lang w:val="es-ES_tradnl"/>
        </w:rPr>
        <w:t>Recursos</w:t>
      </w:r>
      <w:proofErr w:type="gramEnd"/>
      <w:r w:rsidR="00DA2E7F" w:rsidRPr="00C75C7E">
        <w:rPr>
          <w:b/>
          <w:bCs/>
          <w:iCs/>
          <w:sz w:val="20"/>
          <w:lang w:val="es-ES_tradnl"/>
        </w:rPr>
        <w:t xml:space="preserve"> por objeto de gasto</w:t>
      </w:r>
    </w:p>
    <w:p w:rsidR="00DA2E7F" w:rsidRPr="00C75C7E" w:rsidRDefault="00DA2E7F" w:rsidP="009F2448">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DA2E7F" w:rsidRDefault="00DA2E7F" w:rsidP="009F2448">
      <w:pPr>
        <w:keepNext/>
        <w:widowControl w:val="0"/>
        <w:jc w:val="center"/>
        <w:rPr>
          <w:sz w:val="20"/>
          <w:lang w:val="es-ES_tradnl"/>
        </w:rPr>
      </w:pPr>
    </w:p>
    <w:p w:rsidR="00872D10" w:rsidRPr="00C75C7E" w:rsidRDefault="00C40A11" w:rsidP="009F2448">
      <w:pPr>
        <w:keepNext/>
        <w:widowControl w:val="0"/>
        <w:jc w:val="center"/>
        <w:rPr>
          <w:sz w:val="20"/>
          <w:lang w:val="es-ES_tradnl"/>
        </w:rPr>
      </w:pPr>
      <w:r>
        <w:rPr>
          <w:noProof/>
          <w:lang w:val="en-US" w:eastAsia="en-US"/>
        </w:rPr>
        <w:drawing>
          <wp:inline distT="0" distB="0" distL="0" distR="0" wp14:anchorId="1EEDDE96" wp14:editId="2680E61A">
            <wp:extent cx="5936615" cy="5220335"/>
            <wp:effectExtent l="0" t="0" r="698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36615" cy="5220335"/>
                    </a:xfrm>
                    <a:prstGeom prst="rect">
                      <a:avLst/>
                    </a:prstGeom>
                    <a:noFill/>
                    <a:ln>
                      <a:noFill/>
                    </a:ln>
                  </pic:spPr>
                </pic:pic>
              </a:graphicData>
            </a:graphic>
          </wp:inline>
        </w:drawing>
      </w:r>
    </w:p>
    <w:p w:rsidR="00DA2E7F" w:rsidRPr="00C75C7E" w:rsidRDefault="00DA2E7F" w:rsidP="00DA2E7F">
      <w:pPr>
        <w:widowControl w:val="0"/>
        <w:jc w:val="center"/>
        <w:rPr>
          <w:sz w:val="20"/>
          <w:lang w:val="es-ES_tradnl"/>
        </w:rPr>
      </w:pPr>
    </w:p>
    <w:p w:rsidR="00DA2E7F" w:rsidRPr="00C75C7E" w:rsidRDefault="00DA2E7F" w:rsidP="00DA2E7F">
      <w:pPr>
        <w:widowControl w:val="0"/>
        <w:rPr>
          <w:sz w:val="16"/>
          <w:szCs w:val="16"/>
          <w:lang w:val="es-ES_tradnl"/>
        </w:rPr>
      </w:pPr>
      <w:r w:rsidRPr="00C75C7E">
        <w:rPr>
          <w:sz w:val="16"/>
          <w:szCs w:val="16"/>
          <w:lang w:val="es-ES_tradnl"/>
        </w:rPr>
        <w:t>Notas:</w:t>
      </w:r>
    </w:p>
    <w:p w:rsidR="00DA2E7F" w:rsidRPr="00C75C7E" w:rsidRDefault="00DA2E7F" w:rsidP="00DA2E7F">
      <w:pPr>
        <w:widowControl w:val="0"/>
        <w:rPr>
          <w:sz w:val="16"/>
          <w:szCs w:val="16"/>
          <w:u w:val="single"/>
          <w:lang w:val="es-ES_tradnl"/>
        </w:rPr>
      </w:pPr>
    </w:p>
    <w:p w:rsidR="00DA2E7F" w:rsidRPr="00C75C7E" w:rsidRDefault="00DA2E7F" w:rsidP="00DA2E7F">
      <w:pPr>
        <w:widowControl w:val="0"/>
        <w:rPr>
          <w:sz w:val="16"/>
          <w:szCs w:val="16"/>
          <w:lang w:val="es-ES_tradnl"/>
        </w:rPr>
      </w:pPr>
      <w:r>
        <w:rPr>
          <w:sz w:val="16"/>
          <w:szCs w:val="16"/>
          <w:lang w:val="es-ES_tradnl"/>
        </w:rPr>
        <w:t xml:space="preserve">1) </w:t>
      </w:r>
      <w:r w:rsidRPr="00C75C7E">
        <w:rPr>
          <w:sz w:val="16"/>
          <w:szCs w:val="16"/>
          <w:lang w:val="es-ES_tradnl"/>
        </w:rPr>
        <w:t xml:space="preserve"> El presupuesto aprobado de 2012/13 y el presupuesto de dicho bienio después de las transferencias se </w:t>
      </w:r>
      <w:proofErr w:type="spellStart"/>
      <w:r w:rsidRPr="00C75C7E">
        <w:rPr>
          <w:sz w:val="16"/>
          <w:szCs w:val="16"/>
          <w:lang w:val="es-ES_tradnl"/>
        </w:rPr>
        <w:t>reexpresan</w:t>
      </w:r>
      <w:proofErr w:type="spellEnd"/>
      <w:r w:rsidRPr="00C75C7E">
        <w:rPr>
          <w:sz w:val="16"/>
          <w:szCs w:val="16"/>
          <w:lang w:val="es-ES_tradnl"/>
        </w:rPr>
        <w:t xml:space="preserve"> sobre la base de la estructura de categorías de costos propuesta para 2014/15.</w:t>
      </w:r>
    </w:p>
    <w:p w:rsidR="00DA2E7F" w:rsidRPr="005440D4" w:rsidRDefault="00DA2E7F" w:rsidP="00DA2E7F">
      <w:pPr>
        <w:widowControl w:val="0"/>
        <w:rPr>
          <w:sz w:val="16"/>
          <w:szCs w:val="16"/>
          <w:u w:val="single"/>
          <w:lang w:val="es-ES_tradnl"/>
        </w:rPr>
      </w:pPr>
    </w:p>
    <w:p w:rsidR="00DA2E7F" w:rsidRPr="00C75C7E" w:rsidRDefault="00DA2E7F" w:rsidP="00DA2E7F">
      <w:pPr>
        <w:widowControl w:val="0"/>
        <w:tabs>
          <w:tab w:val="left" w:pos="567"/>
        </w:tabs>
        <w:rPr>
          <w:sz w:val="16"/>
          <w:szCs w:val="16"/>
          <w:lang w:val="es-ES_tradnl"/>
        </w:rPr>
      </w:pPr>
      <w:r>
        <w:rPr>
          <w:sz w:val="16"/>
          <w:szCs w:val="16"/>
          <w:lang w:val="es-ES_tradnl"/>
        </w:rPr>
        <w:t xml:space="preserve">2)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DA2E7F" w:rsidRPr="00C75C7E" w:rsidRDefault="00DA2E7F" w:rsidP="00DA2E7F">
      <w:pPr>
        <w:widowControl w:val="0"/>
        <w:rPr>
          <w:sz w:val="16"/>
          <w:szCs w:val="16"/>
          <w:lang w:val="es-ES_tradnl"/>
        </w:rPr>
      </w:pPr>
    </w:p>
    <w:p w:rsidR="00DA2E7F" w:rsidRPr="00C75C7E" w:rsidRDefault="00DA2E7F" w:rsidP="00DA2E7F">
      <w:pPr>
        <w:widowControl w:val="0"/>
        <w:rPr>
          <w:sz w:val="16"/>
          <w:szCs w:val="16"/>
          <w:lang w:val="es-ES_tradnl"/>
        </w:rPr>
      </w:pPr>
      <w:r>
        <w:rPr>
          <w:sz w:val="16"/>
          <w:szCs w:val="16"/>
          <w:lang w:val="es-ES_tradnl"/>
        </w:rPr>
        <w:t xml:space="preserve">3)  </w:t>
      </w:r>
      <w:r w:rsidRPr="00C75C7E">
        <w:rPr>
          <w:sz w:val="16"/>
          <w:szCs w:val="16"/>
          <w:lang w:val="es-ES_tradnl"/>
        </w:rPr>
        <w:t>Para más información sobre los puestos del programa cabe remitirse al cuadro que figura en el Anexo II.</w:t>
      </w:r>
    </w:p>
    <w:p w:rsidR="00DA2E7F" w:rsidRPr="00C75C7E" w:rsidRDefault="00DA2E7F" w:rsidP="00DA2E7F">
      <w:pPr>
        <w:widowControl w:val="0"/>
        <w:autoSpaceDE w:val="0"/>
        <w:autoSpaceDN w:val="0"/>
        <w:adjustRightInd w:val="0"/>
        <w:jc w:val="both"/>
        <w:rPr>
          <w:sz w:val="16"/>
          <w:szCs w:val="16"/>
          <w:lang w:val="es-ES_tradnl"/>
        </w:rPr>
      </w:pPr>
    </w:p>
    <w:p w:rsidR="00F8358E" w:rsidRPr="002370D4" w:rsidRDefault="00364FA7" w:rsidP="00F8358E">
      <w:pPr>
        <w:pStyle w:val="Heading3"/>
        <w:tabs>
          <w:tab w:val="left" w:pos="1985"/>
        </w:tabs>
        <w:rPr>
          <w:b/>
          <w:iCs/>
          <w:caps/>
          <w:u w:val="none"/>
        </w:rPr>
      </w:pPr>
      <w:r>
        <w:rPr>
          <w:sz w:val="20"/>
          <w:lang w:val="es-ES_tradnl"/>
        </w:rPr>
        <w:br w:type="page"/>
      </w:r>
      <w:bookmarkStart w:id="22" w:name="_Toc366078708"/>
      <w:r w:rsidR="00F8358E" w:rsidRPr="002370D4">
        <w:rPr>
          <w:b/>
          <w:iCs/>
          <w:caps/>
          <w:u w:val="none"/>
        </w:rPr>
        <w:lastRenderedPageBreak/>
        <w:t>PROGRAMA 2</w:t>
      </w:r>
      <w:r w:rsidR="00F8358E" w:rsidRPr="002370D4">
        <w:rPr>
          <w:b/>
          <w:iCs/>
          <w:caps/>
          <w:u w:val="none"/>
        </w:rPr>
        <w:tab/>
        <w:t>MARCAS, DISEÑOS INDUSTRIALES E INDICACIONES GEOGRÁFICAS</w:t>
      </w:r>
      <w:bookmarkEnd w:id="22"/>
    </w:p>
    <w:p w:rsidR="00F8358E" w:rsidRPr="006B0DE9" w:rsidRDefault="00F8358E" w:rsidP="00F8358E">
      <w:pPr>
        <w:widowControl w:val="0"/>
        <w:tabs>
          <w:tab w:val="left" w:pos="2268"/>
        </w:tabs>
        <w:ind w:left="2268" w:hanging="2268"/>
        <w:rPr>
          <w:bCs/>
          <w:sz w:val="20"/>
        </w:rPr>
      </w:pPr>
    </w:p>
    <w:p w:rsidR="00F8358E" w:rsidRPr="006B0DE9" w:rsidRDefault="00F8358E" w:rsidP="00F8358E">
      <w:pPr>
        <w:widowControl w:val="0"/>
        <w:tabs>
          <w:tab w:val="left" w:pos="2268"/>
        </w:tabs>
        <w:ind w:left="2268" w:hanging="2268"/>
        <w:rPr>
          <w:bCs/>
          <w:sz w:val="20"/>
        </w:rPr>
      </w:pPr>
    </w:p>
    <w:p w:rsidR="00F8358E" w:rsidRPr="006B0DE9" w:rsidRDefault="00F8358E" w:rsidP="00F8358E">
      <w:pPr>
        <w:pStyle w:val="BodyTextIndent"/>
        <w:widowControl w:val="0"/>
        <w:ind w:left="1985" w:hanging="1985"/>
        <w:jc w:val="both"/>
        <w:rPr>
          <w:rFonts w:ascii="Arial" w:hAnsi="Arial" w:cs="Arial"/>
          <w:sz w:val="22"/>
          <w:szCs w:val="22"/>
          <w:lang w:val="es-ES"/>
        </w:rPr>
      </w:pPr>
      <w:r w:rsidRPr="006B0DE9">
        <w:rPr>
          <w:rFonts w:ascii="Arial" w:hAnsi="Arial" w:cs="Arial"/>
          <w:sz w:val="22"/>
          <w:szCs w:val="22"/>
          <w:lang w:val="es-ES"/>
        </w:rPr>
        <w:t>CONTEXTO DE PLANIFICACIÓN</w:t>
      </w:r>
    </w:p>
    <w:p w:rsidR="00F8358E" w:rsidRPr="006B0DE9" w:rsidRDefault="00F8358E" w:rsidP="00F8358E">
      <w:pPr>
        <w:widowControl w:val="0"/>
        <w:rPr>
          <w:sz w:val="20"/>
          <w:szCs w:val="18"/>
        </w:rPr>
      </w:pPr>
    </w:p>
    <w:p w:rsidR="00F8358E" w:rsidRPr="006B0DE9" w:rsidRDefault="00F8358E" w:rsidP="00BA276E">
      <w:pPr>
        <w:widowControl w:val="0"/>
        <w:numPr>
          <w:ilvl w:val="0"/>
          <w:numId w:val="20"/>
        </w:numPr>
        <w:jc w:val="both"/>
        <w:rPr>
          <w:sz w:val="20"/>
        </w:rPr>
      </w:pPr>
      <w:r w:rsidRPr="006B0DE9">
        <w:rPr>
          <w:sz w:val="20"/>
        </w:rPr>
        <w:t>Cada vez se reconoce más la importancia fundamental que tienen las marcas</w:t>
      </w:r>
      <w:r w:rsidR="004F0162">
        <w:rPr>
          <w:sz w:val="20"/>
        </w:rPr>
        <w:t xml:space="preserve"> (</w:t>
      </w:r>
      <w:proofErr w:type="spellStart"/>
      <w:r w:rsidR="004F0162">
        <w:rPr>
          <w:i/>
          <w:sz w:val="20"/>
        </w:rPr>
        <w:t>brands</w:t>
      </w:r>
      <w:proofErr w:type="spellEnd"/>
      <w:r w:rsidR="004F0162">
        <w:rPr>
          <w:sz w:val="20"/>
        </w:rPr>
        <w:t>)</w:t>
      </w:r>
      <w:r w:rsidR="00FE4D55" w:rsidRPr="00FE4D55">
        <w:rPr>
          <w:rStyle w:val="FootnoteReference"/>
          <w:sz w:val="20"/>
        </w:rPr>
        <w:footnoteReference w:customMarkFollows="1" w:id="7"/>
        <w:sym w:font="Symbol" w:char="F02A"/>
      </w:r>
      <w:r w:rsidRPr="006B0DE9">
        <w:rPr>
          <w:sz w:val="20"/>
        </w:rPr>
        <w:t xml:space="preserve"> a la hora de obtener ventajas competitivas.  </w:t>
      </w:r>
      <w:r w:rsidR="004F0162">
        <w:rPr>
          <w:sz w:val="20"/>
        </w:rPr>
        <w:t>R</w:t>
      </w:r>
      <w:r w:rsidRPr="006B0DE9">
        <w:rPr>
          <w:sz w:val="20"/>
        </w:rPr>
        <w:t>esultan esenciales para la comercialización de nuevos productos (incluidos los servicios) e informan a los consumidores sobre los productos dentro de una economía muy cambiante.  Del mismo modo, cada vez son más los estudios económicos en los que se evalúa el papel que juegan las marcas</w:t>
      </w:r>
      <w:r w:rsidR="000C095D">
        <w:rPr>
          <w:sz w:val="20"/>
        </w:rPr>
        <w:t xml:space="preserve"> (</w:t>
      </w:r>
      <w:proofErr w:type="spellStart"/>
      <w:r w:rsidR="000C095D">
        <w:rPr>
          <w:i/>
          <w:sz w:val="20"/>
        </w:rPr>
        <w:t>brands</w:t>
      </w:r>
      <w:proofErr w:type="spellEnd"/>
      <w:r w:rsidR="000C095D">
        <w:rPr>
          <w:sz w:val="20"/>
        </w:rPr>
        <w:t>)</w:t>
      </w:r>
      <w:r w:rsidR="004F0162">
        <w:rPr>
          <w:sz w:val="20"/>
        </w:rPr>
        <w:t>*</w:t>
      </w:r>
      <w:r w:rsidRPr="006B0DE9">
        <w:rPr>
          <w:sz w:val="20"/>
        </w:rPr>
        <w:t xml:space="preserve"> en la innovación y la importancia económica que tienen a nivel general.  Asimismo, la importancia de los </w:t>
      </w:r>
      <w:r>
        <w:rPr>
          <w:sz w:val="20"/>
        </w:rPr>
        <w:t>diseños</w:t>
      </w:r>
      <w:r w:rsidRPr="006B0DE9">
        <w:rPr>
          <w:sz w:val="20"/>
        </w:rPr>
        <w:t xml:space="preserve"> industriales aumenta de forma constante y cada vez hay más pruebas de su función como fuentes de innovación y crecimiento económico.  Ante esta perspectiva, los encargados de formular políticas tienen que examinar constantemente el marco jurídico de protección de las marcas</w:t>
      </w:r>
      <w:r w:rsidR="000C095D">
        <w:rPr>
          <w:sz w:val="20"/>
        </w:rPr>
        <w:t xml:space="preserve"> (</w:t>
      </w:r>
      <w:proofErr w:type="spellStart"/>
      <w:r w:rsidR="000C095D">
        <w:rPr>
          <w:i/>
          <w:sz w:val="20"/>
        </w:rPr>
        <w:t>brands</w:t>
      </w:r>
      <w:proofErr w:type="spellEnd"/>
      <w:r w:rsidR="000C095D">
        <w:rPr>
          <w:sz w:val="20"/>
        </w:rPr>
        <w:t>)</w:t>
      </w:r>
      <w:r w:rsidR="004F0162">
        <w:rPr>
          <w:sz w:val="20"/>
        </w:rPr>
        <w:t>*</w:t>
      </w:r>
      <w:r w:rsidRPr="006B0DE9">
        <w:rPr>
          <w:sz w:val="20"/>
        </w:rPr>
        <w:t xml:space="preserve"> y los </w:t>
      </w:r>
      <w:r>
        <w:rPr>
          <w:sz w:val="20"/>
        </w:rPr>
        <w:t>diseños</w:t>
      </w:r>
      <w:r w:rsidRPr="006B0DE9">
        <w:rPr>
          <w:sz w:val="20"/>
        </w:rPr>
        <w:t xml:space="preserve"> industriales a fin de estimular la innovación y el rendimiento empresarial y dar una respuesta bien fundamentada a los nuevos desafíos que vayan surgiendo.  Es necesario examinar las normas y los conceptos jurídicos tradicionales en materia de P.I. a nivel nacional, regional e internacional para garantizar su pertinencia y su adecuación a las necesidades de una economía como la actual, muy globalizada y en la que las marcas</w:t>
      </w:r>
      <w:r w:rsidR="000C095D">
        <w:rPr>
          <w:sz w:val="20"/>
        </w:rPr>
        <w:t xml:space="preserve"> (</w:t>
      </w:r>
      <w:proofErr w:type="spellStart"/>
      <w:r w:rsidR="000C095D">
        <w:rPr>
          <w:i/>
          <w:sz w:val="20"/>
        </w:rPr>
        <w:t>brands</w:t>
      </w:r>
      <w:proofErr w:type="spellEnd"/>
      <w:r w:rsidR="000C095D">
        <w:rPr>
          <w:sz w:val="20"/>
        </w:rPr>
        <w:t>)</w:t>
      </w:r>
      <w:r w:rsidR="004F0162">
        <w:rPr>
          <w:sz w:val="20"/>
        </w:rPr>
        <w:t>*</w:t>
      </w:r>
      <w:r w:rsidRPr="006B0DE9">
        <w:rPr>
          <w:sz w:val="20"/>
        </w:rPr>
        <w:t xml:space="preserve"> juegan un papel muy importante.  Cabe destacar que el concepto de marca</w:t>
      </w:r>
      <w:r w:rsidR="000C095D">
        <w:rPr>
          <w:sz w:val="20"/>
        </w:rPr>
        <w:t xml:space="preserve"> (</w:t>
      </w:r>
      <w:proofErr w:type="spellStart"/>
      <w:r w:rsidR="000C095D">
        <w:rPr>
          <w:i/>
          <w:sz w:val="20"/>
        </w:rPr>
        <w:t>brand</w:t>
      </w:r>
      <w:proofErr w:type="spellEnd"/>
      <w:r w:rsidR="000C095D">
        <w:rPr>
          <w:sz w:val="20"/>
        </w:rPr>
        <w:t>)</w:t>
      </w:r>
      <w:r w:rsidR="004F0162">
        <w:rPr>
          <w:sz w:val="20"/>
        </w:rPr>
        <w:t>*</w:t>
      </w:r>
      <w:r w:rsidRPr="006B0DE9">
        <w:rPr>
          <w:sz w:val="20"/>
        </w:rPr>
        <w:t xml:space="preserve"> va más allá de las categorías jurídicas bien arraigadas de derechos de P.I., como son las patentes, el derecho de autor, las marcas</w:t>
      </w:r>
      <w:r w:rsidRPr="006B0DE9">
        <w:rPr>
          <w:bCs/>
          <w:sz w:val="20"/>
        </w:rPr>
        <w:t xml:space="preserve">, los </w:t>
      </w:r>
      <w:r>
        <w:rPr>
          <w:bCs/>
          <w:sz w:val="20"/>
        </w:rPr>
        <w:t>diseños</w:t>
      </w:r>
      <w:r w:rsidRPr="006B0DE9">
        <w:rPr>
          <w:bCs/>
          <w:sz w:val="20"/>
        </w:rPr>
        <w:t xml:space="preserve"> industriales y las indicaciones geográficas.  El programa 2 persigue la obtención de resultados q</w:t>
      </w:r>
      <w:r>
        <w:rPr>
          <w:bCs/>
          <w:sz w:val="20"/>
        </w:rPr>
        <w:t xml:space="preserve">ue permitan a la OMPI </w:t>
      </w:r>
      <w:r w:rsidRPr="006B0DE9">
        <w:rPr>
          <w:bCs/>
          <w:sz w:val="20"/>
        </w:rPr>
        <w:t>avanzar hacia una evolución equilibrada del marco internacional de las marcas</w:t>
      </w:r>
      <w:r w:rsidR="000C095D">
        <w:rPr>
          <w:sz w:val="20"/>
        </w:rPr>
        <w:t xml:space="preserve"> (</w:t>
      </w:r>
      <w:proofErr w:type="spellStart"/>
      <w:r w:rsidR="000C095D">
        <w:rPr>
          <w:i/>
          <w:sz w:val="20"/>
        </w:rPr>
        <w:t>brands</w:t>
      </w:r>
      <w:proofErr w:type="spellEnd"/>
      <w:r w:rsidR="000C095D">
        <w:rPr>
          <w:sz w:val="20"/>
        </w:rPr>
        <w:t>)</w:t>
      </w:r>
      <w:r w:rsidR="004F0162">
        <w:rPr>
          <w:bCs/>
          <w:sz w:val="20"/>
        </w:rPr>
        <w:t>*</w:t>
      </w:r>
      <w:r w:rsidRPr="006B0DE9">
        <w:rPr>
          <w:bCs/>
          <w:sz w:val="20"/>
        </w:rPr>
        <w:t xml:space="preserve"> y los </w:t>
      </w:r>
      <w:r>
        <w:rPr>
          <w:bCs/>
          <w:sz w:val="20"/>
        </w:rPr>
        <w:t>diseños</w:t>
      </w:r>
      <w:r w:rsidRPr="006B0DE9">
        <w:rPr>
          <w:bCs/>
          <w:sz w:val="20"/>
        </w:rPr>
        <w:t xml:space="preserve"> industriales</w:t>
      </w:r>
      <w:r>
        <w:rPr>
          <w:bCs/>
          <w:sz w:val="20"/>
        </w:rPr>
        <w:t>,</w:t>
      </w:r>
      <w:r w:rsidRPr="006B0DE9">
        <w:rPr>
          <w:bCs/>
          <w:sz w:val="20"/>
        </w:rPr>
        <w:t xml:space="preserve"> y que permitan asimismo establecer un entorno jurídico que dé respuesta a las necesidades y los requisitos específicos de los sectores de marcas</w:t>
      </w:r>
      <w:r w:rsidR="004F0162">
        <w:rPr>
          <w:bCs/>
          <w:sz w:val="20"/>
        </w:rPr>
        <w:t>*</w:t>
      </w:r>
      <w:r w:rsidRPr="006B0DE9">
        <w:rPr>
          <w:bCs/>
          <w:sz w:val="20"/>
        </w:rPr>
        <w:t xml:space="preserve"> y de </w:t>
      </w:r>
      <w:r>
        <w:rPr>
          <w:bCs/>
          <w:sz w:val="20"/>
        </w:rPr>
        <w:t>diseños</w:t>
      </w:r>
      <w:r w:rsidRPr="006B0DE9">
        <w:rPr>
          <w:bCs/>
          <w:sz w:val="20"/>
        </w:rPr>
        <w:t xml:space="preserve"> industriales de los Estados miembros.</w:t>
      </w:r>
    </w:p>
    <w:p w:rsidR="00F8358E" w:rsidRPr="006B0DE9" w:rsidRDefault="00F8358E" w:rsidP="00F8358E">
      <w:pPr>
        <w:widowControl w:val="0"/>
        <w:jc w:val="both"/>
        <w:rPr>
          <w:sz w:val="20"/>
        </w:rPr>
      </w:pPr>
    </w:p>
    <w:p w:rsidR="00F8358E" w:rsidRPr="006B0DE9" w:rsidRDefault="00F8358E" w:rsidP="00F8358E">
      <w:pPr>
        <w:widowControl w:val="0"/>
        <w:jc w:val="both"/>
        <w:rPr>
          <w:sz w:val="20"/>
        </w:rPr>
      </w:pPr>
    </w:p>
    <w:p w:rsidR="00F8358E" w:rsidRPr="006B0DE9" w:rsidRDefault="00F8358E" w:rsidP="00F8358E">
      <w:pPr>
        <w:widowControl w:val="0"/>
        <w:tabs>
          <w:tab w:val="left" w:pos="567"/>
          <w:tab w:val="left" w:pos="1985"/>
        </w:tabs>
        <w:jc w:val="both"/>
        <w:rPr>
          <w:bCs/>
          <w:szCs w:val="22"/>
        </w:rPr>
      </w:pPr>
      <w:r w:rsidRPr="006B0DE9">
        <w:rPr>
          <w:bCs/>
          <w:szCs w:val="22"/>
        </w:rPr>
        <w:t>ESTRATEGIAS DE EJECUCIÓN</w:t>
      </w:r>
    </w:p>
    <w:p w:rsidR="00F8358E" w:rsidRPr="006B0DE9" w:rsidRDefault="00F8358E" w:rsidP="00F8358E">
      <w:pPr>
        <w:widowControl w:val="0"/>
        <w:jc w:val="both"/>
        <w:rPr>
          <w:sz w:val="20"/>
        </w:rPr>
      </w:pPr>
    </w:p>
    <w:p w:rsidR="00F8358E" w:rsidRPr="006B0DE9" w:rsidRDefault="00F8358E" w:rsidP="00BA276E">
      <w:pPr>
        <w:widowControl w:val="0"/>
        <w:numPr>
          <w:ilvl w:val="0"/>
          <w:numId w:val="20"/>
        </w:numPr>
        <w:jc w:val="both"/>
        <w:rPr>
          <w:sz w:val="20"/>
        </w:rPr>
      </w:pPr>
      <w:r w:rsidRPr="006B0DE9">
        <w:rPr>
          <w:sz w:val="20"/>
        </w:rPr>
        <w:t>El objetivo principal del programa es avanzar en el establecimiento de un marco jurídico internacional equilibrado en el ámbito de las marcas</w:t>
      </w:r>
      <w:r w:rsidR="000C095D">
        <w:rPr>
          <w:sz w:val="20"/>
        </w:rPr>
        <w:t xml:space="preserve"> (</w:t>
      </w:r>
      <w:proofErr w:type="spellStart"/>
      <w:r w:rsidR="000C095D">
        <w:rPr>
          <w:i/>
          <w:sz w:val="20"/>
        </w:rPr>
        <w:t>brands</w:t>
      </w:r>
      <w:proofErr w:type="spellEnd"/>
      <w:r w:rsidR="000C095D">
        <w:rPr>
          <w:sz w:val="20"/>
        </w:rPr>
        <w:t>)*</w:t>
      </w:r>
      <w:r w:rsidRPr="006B0DE9">
        <w:rPr>
          <w:sz w:val="20"/>
        </w:rPr>
        <w:t xml:space="preserve"> y los </w:t>
      </w:r>
      <w:r>
        <w:rPr>
          <w:sz w:val="20"/>
        </w:rPr>
        <w:t>diseños</w:t>
      </w:r>
      <w:r w:rsidRPr="006B0DE9">
        <w:rPr>
          <w:sz w:val="20"/>
        </w:rPr>
        <w:t xml:space="preserve"> industriales que favorezca la innovación y el desarrollo económico.  Con respecto al establecimiento de un marco internacional que rija los procedimientos de registro en el ámbito de los </w:t>
      </w:r>
      <w:r>
        <w:rPr>
          <w:sz w:val="20"/>
        </w:rPr>
        <w:t>diseños</w:t>
      </w:r>
      <w:r w:rsidRPr="006B0DE9">
        <w:rPr>
          <w:sz w:val="20"/>
        </w:rPr>
        <w:t xml:space="preserve"> industriales, el Comité Permanente sobre el Derecho de Marcas, Diseños Industriales e Indicaciones Geográficas (SCT) ha conseguido avanzar de forma significativa en la elaboración de un proyecto de </w:t>
      </w:r>
      <w:r w:rsidRPr="006B0DE9">
        <w:rPr>
          <w:bCs/>
          <w:sz w:val="20"/>
        </w:rPr>
        <w:t xml:space="preserve">tratado sobre </w:t>
      </w:r>
      <w:r w:rsidR="003A4B0F">
        <w:rPr>
          <w:bCs/>
          <w:sz w:val="20"/>
        </w:rPr>
        <w:t>el Derecho</w:t>
      </w:r>
      <w:r w:rsidRPr="006B0DE9">
        <w:rPr>
          <w:bCs/>
          <w:sz w:val="20"/>
        </w:rPr>
        <w:t xml:space="preserve"> de los </w:t>
      </w:r>
      <w:r>
        <w:rPr>
          <w:bCs/>
          <w:sz w:val="20"/>
        </w:rPr>
        <w:t>diseños</w:t>
      </w:r>
      <w:r w:rsidRPr="006B0DE9">
        <w:rPr>
          <w:bCs/>
          <w:sz w:val="20"/>
        </w:rPr>
        <w:t xml:space="preserve"> </w:t>
      </w:r>
      <w:r w:rsidR="003A4B0F">
        <w:rPr>
          <w:bCs/>
          <w:sz w:val="20"/>
        </w:rPr>
        <w:t xml:space="preserve">industriales </w:t>
      </w:r>
      <w:r w:rsidRPr="006B0DE9">
        <w:rPr>
          <w:bCs/>
          <w:sz w:val="20"/>
        </w:rPr>
        <w:t xml:space="preserve">con el fin de simplificar dichos procedimientos.  Con sujeción a la decisión que adopte al respecto la Asamblea General de la OMPI, esta labor se va a traducir en la celebración de una Conferencia Diplomática a fin de adoptar un tratado sobre </w:t>
      </w:r>
      <w:r w:rsidR="003A4B0F">
        <w:rPr>
          <w:bCs/>
          <w:sz w:val="20"/>
        </w:rPr>
        <w:t>el Derecho</w:t>
      </w:r>
      <w:r w:rsidRPr="006B0DE9">
        <w:rPr>
          <w:bCs/>
          <w:sz w:val="20"/>
        </w:rPr>
        <w:t xml:space="preserve"> de los </w:t>
      </w:r>
      <w:r>
        <w:rPr>
          <w:bCs/>
          <w:sz w:val="20"/>
        </w:rPr>
        <w:t>diseños</w:t>
      </w:r>
      <w:r w:rsidRPr="006B0DE9">
        <w:rPr>
          <w:bCs/>
          <w:sz w:val="20"/>
        </w:rPr>
        <w:t xml:space="preserve"> </w:t>
      </w:r>
      <w:r w:rsidR="003A4B0F">
        <w:rPr>
          <w:bCs/>
          <w:sz w:val="20"/>
        </w:rPr>
        <w:t xml:space="preserve">industriales </w:t>
      </w:r>
      <w:r w:rsidRPr="006B0DE9">
        <w:rPr>
          <w:bCs/>
          <w:sz w:val="20"/>
        </w:rPr>
        <w:t xml:space="preserve">en el trascurso del próximo bienio.  Además, el SCT </w:t>
      </w:r>
      <w:r w:rsidR="00206A37">
        <w:rPr>
          <w:bCs/>
          <w:sz w:val="20"/>
        </w:rPr>
        <w:t xml:space="preserve">continuará ocupándose de la labor que le encomienden los Estados miembros en cuestiones acordadas y concretas en el ámbito de </w:t>
      </w:r>
      <w:r w:rsidRPr="006B0DE9">
        <w:rPr>
          <w:bCs/>
          <w:sz w:val="20"/>
        </w:rPr>
        <w:t xml:space="preserve">las marcas, los </w:t>
      </w:r>
      <w:r>
        <w:rPr>
          <w:bCs/>
          <w:sz w:val="20"/>
        </w:rPr>
        <w:t>diseños</w:t>
      </w:r>
      <w:r w:rsidRPr="006B0DE9">
        <w:rPr>
          <w:bCs/>
          <w:sz w:val="20"/>
        </w:rPr>
        <w:t xml:space="preserve"> industriales y las indicaciones geográficas.  El SCT continuará controlando la evolución del Sistema de Nombres de Dominio de Internet (DNS) (en colaboración con el programa 7) y en el ámbito de las denominaciones comunes (DCI) para sustancias farmacéuticas.  Se prestará la debida atención a la </w:t>
      </w:r>
      <w:r w:rsidR="003A4B0F" w:rsidRPr="006B0DE9">
        <w:rPr>
          <w:bCs/>
          <w:sz w:val="20"/>
        </w:rPr>
        <w:t xml:space="preserve">categoría </w:t>
      </w:r>
      <w:r w:rsidRPr="006B0DE9">
        <w:rPr>
          <w:bCs/>
          <w:sz w:val="20"/>
        </w:rPr>
        <w:t>B de las recomendaciones de la A.D. (recomendaciones 15 a 17 y 20 a 22), en el sentido de tener debidamente en cuenta el grado de desarrollo de los distintos Estados miembros de la OMPI;  las flexibilidades que pueden ofrecer interés a los países en desarrollo y los PMA;  el punto de vista de todos los Estados miembros y demás partes interesadas;  y los objetivos de desarrollo convenidos en el marco del Sistema de las Naciones Unidas.  La Organización prestará el debido apoyo jurídico y administrativo a los Estados miembros y determinadas orga</w:t>
      </w:r>
      <w:r>
        <w:rPr>
          <w:bCs/>
          <w:sz w:val="20"/>
        </w:rPr>
        <w:t>nizaciones intergubernamentales</w:t>
      </w:r>
      <w:r w:rsidRPr="006B0DE9">
        <w:rPr>
          <w:bCs/>
          <w:sz w:val="20"/>
        </w:rPr>
        <w:t xml:space="preserve"> internacionales en lo que respecta a determinados emblemas contemplados en el Artículo 6</w:t>
      </w:r>
      <w:r w:rsidRPr="006B0DE9">
        <w:rPr>
          <w:bCs/>
          <w:i/>
          <w:sz w:val="20"/>
        </w:rPr>
        <w:t>ter</w:t>
      </w:r>
      <w:r w:rsidRPr="006B0DE9">
        <w:rPr>
          <w:bCs/>
          <w:sz w:val="20"/>
        </w:rPr>
        <w:t xml:space="preserve"> del Convenio de París.  Además, el programa asumirá la responsabilidad de ejecutar, en estrecha consulta con el programa 9, varios </w:t>
      </w:r>
      <w:r w:rsidRPr="006B0DE9">
        <w:rPr>
          <w:bCs/>
          <w:sz w:val="20"/>
        </w:rPr>
        <w:lastRenderedPageBreak/>
        <w:t>proyectos concretos de la A.D. en el ámbito de las marcas</w:t>
      </w:r>
      <w:r w:rsidR="000C095D">
        <w:rPr>
          <w:sz w:val="20"/>
        </w:rPr>
        <w:t xml:space="preserve"> (</w:t>
      </w:r>
      <w:proofErr w:type="spellStart"/>
      <w:r w:rsidR="000C095D">
        <w:rPr>
          <w:i/>
          <w:sz w:val="20"/>
        </w:rPr>
        <w:t>brands</w:t>
      </w:r>
      <w:proofErr w:type="spellEnd"/>
      <w:r w:rsidR="000C095D">
        <w:rPr>
          <w:sz w:val="20"/>
        </w:rPr>
        <w:t>)</w:t>
      </w:r>
      <w:r w:rsidR="00685491" w:rsidRPr="00685491">
        <w:rPr>
          <w:rStyle w:val="FootnoteReference"/>
          <w:sz w:val="20"/>
        </w:rPr>
        <w:footnoteReference w:customMarkFollows="1" w:id="8"/>
        <w:sym w:font="Symbol" w:char="F02A"/>
      </w:r>
      <w:r w:rsidRPr="006B0DE9">
        <w:rPr>
          <w:bCs/>
          <w:sz w:val="20"/>
        </w:rPr>
        <w:t xml:space="preserve"> y los </w:t>
      </w:r>
      <w:r>
        <w:rPr>
          <w:bCs/>
          <w:sz w:val="20"/>
        </w:rPr>
        <w:t>diseños</w:t>
      </w:r>
      <w:r w:rsidRPr="006B0DE9">
        <w:rPr>
          <w:bCs/>
          <w:sz w:val="20"/>
        </w:rPr>
        <w:t xml:space="preserve"> industriales</w:t>
      </w:r>
      <w:r>
        <w:rPr>
          <w:bCs/>
          <w:sz w:val="20"/>
        </w:rPr>
        <w:t>.</w:t>
      </w:r>
      <w:r w:rsidRPr="006B0DE9">
        <w:rPr>
          <w:rStyle w:val="FootnoteReference"/>
          <w:bCs/>
          <w:sz w:val="20"/>
        </w:rPr>
        <w:footnoteReference w:id="9"/>
      </w:r>
      <w:r w:rsidRPr="006B0DE9">
        <w:rPr>
          <w:bCs/>
          <w:sz w:val="20"/>
        </w:rPr>
        <w:t xml:space="preserve">  Asimismo, el programa prestará la debida atención a los acuerdos concertados en relación con el proyecto de la A.D. sobre la P.I. y el dominio público, ya finalizado.</w:t>
      </w:r>
    </w:p>
    <w:p w:rsidR="00F8358E" w:rsidRPr="006B0DE9" w:rsidRDefault="00F8358E" w:rsidP="00F8358E">
      <w:pPr>
        <w:widowControl w:val="0"/>
        <w:jc w:val="both"/>
        <w:rPr>
          <w:sz w:val="20"/>
        </w:rPr>
      </w:pPr>
    </w:p>
    <w:p w:rsidR="00F8358E" w:rsidRPr="006B0DE9" w:rsidRDefault="00F8358E" w:rsidP="000C095D">
      <w:pPr>
        <w:widowControl w:val="0"/>
        <w:numPr>
          <w:ilvl w:val="0"/>
          <w:numId w:val="20"/>
        </w:numPr>
        <w:jc w:val="both"/>
        <w:rPr>
          <w:sz w:val="20"/>
        </w:rPr>
      </w:pPr>
      <w:r w:rsidRPr="006B0DE9">
        <w:rPr>
          <w:bCs/>
          <w:sz w:val="20"/>
        </w:rPr>
        <w:t>La ejecución del programa 2 se basará en los resultados de las sesiones que celebre el SCT con el objetivo principal de</w:t>
      </w:r>
      <w:r w:rsidR="00206A37">
        <w:rPr>
          <w:bCs/>
          <w:sz w:val="20"/>
        </w:rPr>
        <w:t xml:space="preserve"> iniciar</w:t>
      </w:r>
      <w:r w:rsidRPr="006B0DE9">
        <w:rPr>
          <w:bCs/>
          <w:sz w:val="20"/>
        </w:rPr>
        <w:t xml:space="preserve"> </w:t>
      </w:r>
      <w:r w:rsidR="000C530C">
        <w:rPr>
          <w:bCs/>
          <w:sz w:val="20"/>
        </w:rPr>
        <w:t>y avanzar la labor sobre las esferas acordadas en materia de marcas, diseños industriales e indicaciones geográficas, incluyendo la determinación de</w:t>
      </w:r>
      <w:r w:rsidRPr="006B0DE9">
        <w:rPr>
          <w:bCs/>
          <w:sz w:val="20"/>
        </w:rPr>
        <w:t xml:space="preserve"> las líneas de acción que se podrían adoptar en el futuro.  Conforme a la recomendación 15 de la A.D., las sesiones del SCT estarán abiertas a la participación de todos los Estados miembros así como de las organizaciones acreditadas con la condición de observador.  Cuando proceda, el SCT expondrá el resultado de su labor a las Asambleas de la OMPI con miras a tomar decisiones al respecto.</w:t>
      </w:r>
    </w:p>
    <w:p w:rsidR="00F8358E" w:rsidRPr="006B0DE9" w:rsidRDefault="00F8358E" w:rsidP="00F8358E">
      <w:pPr>
        <w:widowControl w:val="0"/>
        <w:jc w:val="both"/>
      </w:pPr>
    </w:p>
    <w:p w:rsidR="00F8358E" w:rsidRPr="006B0DE9" w:rsidRDefault="00F8358E" w:rsidP="00BA276E">
      <w:pPr>
        <w:widowControl w:val="0"/>
        <w:numPr>
          <w:ilvl w:val="0"/>
          <w:numId w:val="20"/>
        </w:numPr>
        <w:jc w:val="both"/>
        <w:rPr>
          <w:sz w:val="20"/>
        </w:rPr>
      </w:pPr>
      <w:r w:rsidRPr="006B0DE9">
        <w:rPr>
          <w:bCs/>
          <w:sz w:val="20"/>
        </w:rPr>
        <w:t>La Secretaría seguirá encargándose de administrar con eficacia los procedimientos de comunicación contemplados en el artículo 6</w:t>
      </w:r>
      <w:r w:rsidRPr="006B0DE9">
        <w:rPr>
          <w:bCs/>
          <w:i/>
          <w:sz w:val="20"/>
        </w:rPr>
        <w:t>ter</w:t>
      </w:r>
      <w:r w:rsidRPr="006B0DE9">
        <w:rPr>
          <w:bCs/>
          <w:sz w:val="20"/>
        </w:rPr>
        <w:t xml:space="preserve"> del Convenio de París y</w:t>
      </w:r>
      <w:r w:rsidRPr="006B0DE9">
        <w:rPr>
          <w:sz w:val="20"/>
        </w:rPr>
        <w:t xml:space="preserve"> de elaborar publicaciones electrónicas con carácter bienal en las que se incluyan todos los signos que se hayan comunicado en virtud del párrafo 3 del artículo </w:t>
      </w:r>
      <w:r w:rsidRPr="006B0DE9">
        <w:rPr>
          <w:bCs/>
          <w:sz w:val="20"/>
        </w:rPr>
        <w:t>6</w:t>
      </w:r>
      <w:r w:rsidRPr="006B0DE9">
        <w:rPr>
          <w:bCs/>
          <w:i/>
          <w:sz w:val="20"/>
        </w:rPr>
        <w:t xml:space="preserve">ter. </w:t>
      </w:r>
      <w:r w:rsidRPr="006B0DE9">
        <w:rPr>
          <w:sz w:val="20"/>
        </w:rPr>
        <w:t xml:space="preserve"> En cuanto a </w:t>
      </w:r>
      <w:r w:rsidRPr="006B0DE9">
        <w:rPr>
          <w:bCs/>
          <w:sz w:val="20"/>
        </w:rPr>
        <w:t xml:space="preserve">la </w:t>
      </w:r>
      <w:r w:rsidR="003C43BF">
        <w:rPr>
          <w:bCs/>
          <w:sz w:val="20"/>
        </w:rPr>
        <w:t>m</w:t>
      </w:r>
      <w:r w:rsidRPr="006B0DE9">
        <w:rPr>
          <w:bCs/>
          <w:sz w:val="20"/>
        </w:rPr>
        <w:t xml:space="preserve">eta </w:t>
      </w:r>
      <w:r w:rsidR="003C43BF">
        <w:rPr>
          <w:bCs/>
          <w:sz w:val="20"/>
        </w:rPr>
        <w:t>e</w:t>
      </w:r>
      <w:r w:rsidRPr="006B0DE9">
        <w:rPr>
          <w:bCs/>
          <w:sz w:val="20"/>
        </w:rPr>
        <w:t>stratégica III (Facilitar el uso de la P.I. en aras del desarrollo), en el marco del programa 2 se prestará asesoramiento específico a los Estados miembros conforme a los planes nacionales y en respuesta a las prioridades que se determinen en función de las distintas estrategias nacionales de P.I.  A la hora de</w:t>
      </w:r>
      <w:r>
        <w:rPr>
          <w:bCs/>
          <w:sz w:val="20"/>
        </w:rPr>
        <w:t xml:space="preserve"> prestar asesoramiento jurídico</w:t>
      </w:r>
      <w:r w:rsidRPr="006B0DE9">
        <w:rPr>
          <w:bCs/>
          <w:sz w:val="20"/>
        </w:rPr>
        <w:t xml:space="preserve"> se velará por coordinar las actividades con el programa 9 (Países africanos, árabes, de América Latina y el Caribe, de Asia y el Pacífico y países menos adelantados) y 10 (Cooperación con determinados países de Europa y Asia)</w:t>
      </w:r>
      <w:r>
        <w:rPr>
          <w:bCs/>
          <w:sz w:val="20"/>
        </w:rPr>
        <w:t>,</w:t>
      </w:r>
      <w:r w:rsidRPr="006B0DE9">
        <w:rPr>
          <w:bCs/>
          <w:sz w:val="20"/>
        </w:rPr>
        <w:t xml:space="preserve"> teniendo debidamente en cuenta </w:t>
      </w:r>
      <w:r w:rsidRPr="006B0DE9">
        <w:rPr>
          <w:sz w:val="20"/>
        </w:rPr>
        <w:t>las recomendaciones 1, 6, 12, 13 y 14 de la A.D.</w:t>
      </w:r>
    </w:p>
    <w:p w:rsidR="004046B6" w:rsidRDefault="004046B6" w:rsidP="004046B6">
      <w:pPr>
        <w:widowControl w:val="0"/>
        <w:jc w:val="both"/>
      </w:pPr>
    </w:p>
    <w:p w:rsidR="004046B6" w:rsidRDefault="004046B6" w:rsidP="004046B6">
      <w:pPr>
        <w:widowControl w:val="0"/>
        <w:jc w:val="both"/>
      </w:pPr>
    </w:p>
    <w:p w:rsidR="004046B6" w:rsidRPr="004046B6" w:rsidRDefault="004046B6" w:rsidP="004046B6">
      <w:pPr>
        <w:widowControl w:val="0"/>
        <w:tabs>
          <w:tab w:val="left" w:pos="567"/>
          <w:tab w:val="left" w:pos="1985"/>
        </w:tabs>
        <w:jc w:val="both"/>
        <w:rPr>
          <w:bCs/>
          <w:szCs w:val="22"/>
          <w:lang w:val="es-ES_tradnl"/>
        </w:rPr>
      </w:pPr>
      <w:r w:rsidRPr="004046B6">
        <w:rPr>
          <w:bCs/>
          <w:szCs w:val="22"/>
          <w:lang w:val="es-ES_tradnl"/>
        </w:rPr>
        <w:t>PRINCIPALES RIESGOS Y ESTRATEGIAS DE MITIGACIÓN</w:t>
      </w:r>
    </w:p>
    <w:p w:rsidR="004046B6" w:rsidRPr="00C75C7E" w:rsidRDefault="004046B6" w:rsidP="004046B6">
      <w:pPr>
        <w:widowControl w:val="0"/>
        <w:jc w:val="both"/>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6"/>
        <w:gridCol w:w="4730"/>
      </w:tblGrid>
      <w:tr w:rsidR="004046B6" w:rsidRPr="00C75C7E" w:rsidTr="00F8358E">
        <w:trPr>
          <w:trHeight w:val="314"/>
        </w:trPr>
        <w:tc>
          <w:tcPr>
            <w:tcW w:w="4536" w:type="dxa"/>
            <w:tcBorders>
              <w:top w:val="single" w:sz="4" w:space="0" w:color="auto"/>
              <w:bottom w:val="single" w:sz="4" w:space="0" w:color="auto"/>
            </w:tcBorders>
            <w:shd w:val="clear" w:color="auto" w:fill="CCFFFF"/>
            <w:tcMar>
              <w:top w:w="113" w:type="dxa"/>
              <w:bottom w:w="113" w:type="dxa"/>
            </w:tcMar>
            <w:vAlign w:val="center"/>
          </w:tcPr>
          <w:p w:rsidR="004046B6" w:rsidRPr="00C75C7E" w:rsidRDefault="004046B6" w:rsidP="00900936">
            <w:pPr>
              <w:widowControl w:val="0"/>
              <w:autoSpaceDE w:val="0"/>
              <w:autoSpaceDN w:val="0"/>
              <w:adjustRightInd w:val="0"/>
              <w:ind w:right="-59"/>
              <w:jc w:val="center"/>
              <w:rPr>
                <w:b/>
                <w:bCs/>
                <w:iCs/>
                <w:sz w:val="18"/>
                <w:szCs w:val="18"/>
              </w:rPr>
            </w:pPr>
            <w:r w:rsidRPr="00C75C7E">
              <w:rPr>
                <w:b/>
                <w:bCs/>
                <w:iCs/>
                <w:sz w:val="18"/>
                <w:szCs w:val="18"/>
              </w:rPr>
              <w:t>Riesgos en el logro de los resultados del programa</w:t>
            </w:r>
          </w:p>
        </w:tc>
        <w:tc>
          <w:tcPr>
            <w:tcW w:w="4730" w:type="dxa"/>
            <w:tcBorders>
              <w:top w:val="single" w:sz="4" w:space="0" w:color="auto"/>
              <w:bottom w:val="single" w:sz="4" w:space="0" w:color="auto"/>
            </w:tcBorders>
            <w:shd w:val="clear" w:color="auto" w:fill="CCFFFF"/>
            <w:tcMar>
              <w:top w:w="113" w:type="dxa"/>
              <w:bottom w:w="113" w:type="dxa"/>
            </w:tcMar>
            <w:vAlign w:val="center"/>
          </w:tcPr>
          <w:p w:rsidR="004046B6" w:rsidRPr="00C75C7E" w:rsidRDefault="004046B6" w:rsidP="00900936">
            <w:pPr>
              <w:widowControl w:val="0"/>
              <w:autoSpaceDE w:val="0"/>
              <w:autoSpaceDN w:val="0"/>
              <w:adjustRightInd w:val="0"/>
              <w:ind w:right="-59"/>
              <w:jc w:val="center"/>
              <w:rPr>
                <w:b/>
                <w:bCs/>
                <w:iCs/>
                <w:sz w:val="18"/>
                <w:szCs w:val="18"/>
              </w:rPr>
            </w:pPr>
            <w:r w:rsidRPr="00C75C7E">
              <w:rPr>
                <w:b/>
                <w:bCs/>
                <w:iCs/>
                <w:sz w:val="18"/>
                <w:szCs w:val="18"/>
              </w:rPr>
              <w:t xml:space="preserve">Planes de mitigación ejecutados o en ejecución </w:t>
            </w:r>
          </w:p>
        </w:tc>
      </w:tr>
      <w:tr w:rsidR="004046B6" w:rsidRPr="00C75C7E" w:rsidTr="00F8358E">
        <w:trPr>
          <w:trHeight w:val="1219"/>
        </w:trPr>
        <w:tc>
          <w:tcPr>
            <w:tcW w:w="4536" w:type="dxa"/>
            <w:tcBorders>
              <w:top w:val="single" w:sz="4" w:space="0" w:color="auto"/>
            </w:tcBorders>
            <w:shd w:val="clear" w:color="auto" w:fill="auto"/>
            <w:tcMar>
              <w:top w:w="113" w:type="dxa"/>
              <w:bottom w:w="113" w:type="dxa"/>
            </w:tcMar>
          </w:tcPr>
          <w:p w:rsidR="004046B6" w:rsidRPr="00C75C7E" w:rsidRDefault="000C530C" w:rsidP="000C530C">
            <w:pPr>
              <w:widowControl w:val="0"/>
              <w:rPr>
                <w:sz w:val="16"/>
                <w:szCs w:val="16"/>
              </w:rPr>
            </w:pPr>
            <w:r>
              <w:rPr>
                <w:sz w:val="16"/>
                <w:szCs w:val="16"/>
              </w:rPr>
              <w:t>La forja de acuerdos</w:t>
            </w:r>
            <w:r w:rsidR="004046B6" w:rsidRPr="00C75C7E">
              <w:rPr>
                <w:sz w:val="16"/>
                <w:szCs w:val="16"/>
              </w:rPr>
              <w:t xml:space="preserve"> a escala multilateral sigue siendo</w:t>
            </w:r>
            <w:r>
              <w:rPr>
                <w:sz w:val="16"/>
                <w:szCs w:val="16"/>
              </w:rPr>
              <w:t xml:space="preserve"> ardua</w:t>
            </w:r>
            <w:r w:rsidR="004046B6" w:rsidRPr="00C75C7E">
              <w:rPr>
                <w:sz w:val="16"/>
                <w:szCs w:val="16"/>
              </w:rPr>
              <w:t xml:space="preserve"> y la conclusión satisfactoria de las actividades normativas en el marco del programa 2 dependerá en gran medida de la voluntad de los Estados miembros de definir resultados mutuamente convenidos.  </w:t>
            </w:r>
          </w:p>
        </w:tc>
        <w:tc>
          <w:tcPr>
            <w:tcW w:w="4730" w:type="dxa"/>
            <w:tcBorders>
              <w:top w:val="single" w:sz="4" w:space="0" w:color="auto"/>
            </w:tcBorders>
            <w:shd w:val="clear" w:color="auto" w:fill="auto"/>
            <w:tcMar>
              <w:top w:w="113" w:type="dxa"/>
              <w:bottom w:w="113" w:type="dxa"/>
            </w:tcMar>
          </w:tcPr>
          <w:p w:rsidR="004046B6" w:rsidRPr="00C75C7E" w:rsidRDefault="004046B6" w:rsidP="00900936">
            <w:pPr>
              <w:widowControl w:val="0"/>
              <w:autoSpaceDE w:val="0"/>
              <w:autoSpaceDN w:val="0"/>
              <w:adjustRightInd w:val="0"/>
              <w:ind w:right="-59"/>
              <w:rPr>
                <w:sz w:val="16"/>
                <w:szCs w:val="16"/>
              </w:rPr>
            </w:pPr>
            <w:r w:rsidRPr="00C75C7E">
              <w:rPr>
                <w:sz w:val="16"/>
                <w:szCs w:val="16"/>
              </w:rPr>
              <w:t>Se trata de un riesgo inherente a toda actividad de elaboración de normas, que, por su naturaleza, habrá que asumir en el programa.  Sin embargo, en determinadas actividades programáticas, en particular las sesiones del SCT, cabrá el diálogo e intercambio de puntos de vista a fin de señalar los ámbitos de entendimiento común y los posibles resultados en que se haya llegado a un acuerdo.</w:t>
            </w:r>
          </w:p>
        </w:tc>
      </w:tr>
    </w:tbl>
    <w:p w:rsidR="004046B6" w:rsidRPr="00C75C7E" w:rsidRDefault="004046B6" w:rsidP="004046B6">
      <w:pPr>
        <w:widowControl w:val="0"/>
        <w:jc w:val="both"/>
        <w:rPr>
          <w:sz w:val="20"/>
        </w:rPr>
      </w:pPr>
    </w:p>
    <w:p w:rsidR="004046B6" w:rsidRPr="00C75C7E" w:rsidRDefault="004046B6" w:rsidP="004046B6">
      <w:pPr>
        <w:widowControl w:val="0"/>
        <w:tabs>
          <w:tab w:val="left" w:pos="567"/>
          <w:tab w:val="left" w:pos="1985"/>
        </w:tabs>
        <w:jc w:val="both"/>
        <w:rPr>
          <w:bCs/>
          <w:sz w:val="20"/>
        </w:rPr>
      </w:pPr>
    </w:p>
    <w:p w:rsidR="004046B6" w:rsidRPr="00C75C7E" w:rsidRDefault="004046B6" w:rsidP="00B32B5E">
      <w:pPr>
        <w:keepNext/>
        <w:keepLines/>
        <w:widowControl w:val="0"/>
        <w:tabs>
          <w:tab w:val="left" w:pos="567"/>
          <w:tab w:val="left" w:pos="1985"/>
        </w:tabs>
        <w:jc w:val="both"/>
        <w:rPr>
          <w:bCs/>
          <w:sz w:val="20"/>
          <w:lang w:val="es-ES_tradnl"/>
        </w:rPr>
      </w:pPr>
      <w:r w:rsidRPr="00C75C7E">
        <w:rPr>
          <w:bCs/>
          <w:szCs w:val="22"/>
          <w:lang w:val="es-ES_tradnl"/>
        </w:rPr>
        <w:lastRenderedPageBreak/>
        <w:t>MARCO DE RESULTADOS</w:t>
      </w:r>
    </w:p>
    <w:p w:rsidR="004046B6" w:rsidRPr="00C75C7E" w:rsidRDefault="004046B6" w:rsidP="00B32B5E">
      <w:pPr>
        <w:keepNext/>
        <w:keepLines/>
        <w:widowControl w:val="0"/>
        <w:tabs>
          <w:tab w:val="left" w:pos="567"/>
          <w:tab w:val="left" w:pos="1985"/>
        </w:tabs>
        <w:jc w:val="both"/>
        <w:rPr>
          <w:bCs/>
          <w:sz w:val="20"/>
          <w:lang w:val="es-ES_tradnl"/>
        </w:rPr>
      </w:pPr>
    </w:p>
    <w:tbl>
      <w:tblPr>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8"/>
        <w:gridCol w:w="2849"/>
        <w:gridCol w:w="2058"/>
        <w:gridCol w:w="2153"/>
      </w:tblGrid>
      <w:tr w:rsidR="004046B6" w:rsidRPr="00C75C7E" w:rsidTr="00900936">
        <w:trPr>
          <w:cantSplit/>
          <w:trHeight w:val="430"/>
          <w:tblHeader/>
        </w:trPr>
        <w:tc>
          <w:tcPr>
            <w:tcW w:w="1248" w:type="pct"/>
            <w:tcBorders>
              <w:top w:val="single" w:sz="4" w:space="0" w:color="auto"/>
              <w:bottom w:val="single" w:sz="4" w:space="0" w:color="auto"/>
            </w:tcBorders>
            <w:shd w:val="clear" w:color="auto" w:fill="CCFFFF"/>
            <w:vAlign w:val="center"/>
          </w:tcPr>
          <w:p w:rsidR="004046B6" w:rsidRPr="00C75C7E" w:rsidRDefault="004046B6" w:rsidP="00B32B5E">
            <w:pPr>
              <w:keepNext/>
              <w:keepLines/>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0" w:type="dxa"/>
            </w:tcMar>
            <w:vAlign w:val="center"/>
          </w:tcPr>
          <w:p w:rsidR="004046B6" w:rsidRPr="00C75C7E" w:rsidRDefault="004046B6" w:rsidP="00B32B5E">
            <w:pPr>
              <w:keepNext/>
              <w:keepLines/>
              <w:widowControl w:val="0"/>
              <w:spacing w:after="120"/>
              <w:jc w:val="center"/>
              <w:rPr>
                <w:b/>
                <w:sz w:val="18"/>
                <w:szCs w:val="18"/>
                <w:lang w:val="es-ES_tradnl"/>
              </w:rPr>
            </w:pPr>
            <w:r w:rsidRPr="00C75C7E">
              <w:rPr>
                <w:b/>
                <w:sz w:val="18"/>
                <w:szCs w:val="18"/>
                <w:lang w:val="es-ES_tradnl"/>
              </w:rPr>
              <w:t>Indicadores de rendimiento</w:t>
            </w:r>
          </w:p>
        </w:tc>
        <w:tc>
          <w:tcPr>
            <w:tcW w:w="1094" w:type="pct"/>
            <w:tcBorders>
              <w:top w:val="single" w:sz="4" w:space="0" w:color="auto"/>
              <w:bottom w:val="single" w:sz="4" w:space="0" w:color="auto"/>
            </w:tcBorders>
            <w:shd w:val="clear" w:color="auto" w:fill="CCFFFF"/>
            <w:tcMar>
              <w:top w:w="110" w:type="dxa"/>
            </w:tcMar>
            <w:vAlign w:val="center"/>
          </w:tcPr>
          <w:p w:rsidR="004046B6" w:rsidRPr="00C75C7E" w:rsidRDefault="004046B6" w:rsidP="00B32B5E">
            <w:pPr>
              <w:keepNext/>
              <w:keepLines/>
              <w:widowControl w:val="0"/>
              <w:spacing w:after="120"/>
              <w:ind w:left="85"/>
              <w:jc w:val="center"/>
              <w:rPr>
                <w:sz w:val="18"/>
                <w:szCs w:val="18"/>
                <w:lang w:val="es-ES_tradnl"/>
              </w:rPr>
            </w:pPr>
            <w:r w:rsidRPr="00C75C7E">
              <w:rPr>
                <w:b/>
                <w:bCs/>
                <w:sz w:val="18"/>
                <w:szCs w:val="18"/>
                <w:lang w:val="es-ES_tradnl"/>
              </w:rPr>
              <w:t>Referencia</w:t>
            </w:r>
          </w:p>
        </w:tc>
        <w:tc>
          <w:tcPr>
            <w:tcW w:w="1144" w:type="pct"/>
            <w:tcBorders>
              <w:top w:val="single" w:sz="4" w:space="0" w:color="auto"/>
              <w:bottom w:val="single" w:sz="4" w:space="0" w:color="auto"/>
            </w:tcBorders>
            <w:shd w:val="clear" w:color="auto" w:fill="CCFFFF"/>
            <w:tcMar>
              <w:top w:w="110" w:type="dxa"/>
            </w:tcMar>
            <w:vAlign w:val="center"/>
          </w:tcPr>
          <w:p w:rsidR="004046B6" w:rsidRPr="00C75C7E" w:rsidRDefault="004046B6" w:rsidP="00B32B5E">
            <w:pPr>
              <w:keepNext/>
              <w:keepLines/>
              <w:widowControl w:val="0"/>
              <w:tabs>
                <w:tab w:val="left" w:pos="1649"/>
                <w:tab w:val="left" w:pos="1759"/>
              </w:tabs>
              <w:spacing w:after="120"/>
              <w:ind w:right="1"/>
              <w:jc w:val="center"/>
              <w:rPr>
                <w:b/>
                <w:bCs/>
                <w:sz w:val="18"/>
                <w:szCs w:val="18"/>
                <w:lang w:val="es-ES_tradnl"/>
              </w:rPr>
            </w:pPr>
            <w:r w:rsidRPr="00C75C7E">
              <w:rPr>
                <w:b/>
                <w:bCs/>
                <w:sz w:val="18"/>
                <w:szCs w:val="18"/>
                <w:lang w:val="es-ES_tradnl"/>
              </w:rPr>
              <w:t>Objetivos</w:t>
            </w:r>
          </w:p>
        </w:tc>
      </w:tr>
      <w:tr w:rsidR="004046B6" w:rsidRPr="00C75C7E" w:rsidTr="00900936">
        <w:trPr>
          <w:cantSplit/>
        </w:trPr>
        <w:tc>
          <w:tcPr>
            <w:tcW w:w="1248" w:type="pct"/>
            <w:vMerge w:val="restart"/>
            <w:tcBorders>
              <w:top w:val="single" w:sz="4" w:space="0" w:color="auto"/>
            </w:tcBorders>
            <w:shd w:val="clear" w:color="auto" w:fill="auto"/>
          </w:tcPr>
          <w:p w:rsidR="004046B6" w:rsidRPr="00C75C7E" w:rsidRDefault="004046B6" w:rsidP="00B32B5E">
            <w:pPr>
              <w:keepNext/>
              <w:keepLines/>
              <w:widowControl w:val="0"/>
              <w:rPr>
                <w:sz w:val="16"/>
                <w:szCs w:val="16"/>
                <w:lang w:val="es-ES_tradnl"/>
              </w:rPr>
            </w:pPr>
            <w:r w:rsidRPr="00C75C7E">
              <w:rPr>
                <w:sz w:val="16"/>
                <w:szCs w:val="16"/>
                <w:lang w:val="es-ES_tradnl" w:bidi="th-TH"/>
              </w:rPr>
              <w:t xml:space="preserve">I.1. Mejor cooperación entre los Estados miembros en lo que atañe a la elaboración de marcos normativos internacionales equilibrados para la P.I. y </w:t>
            </w:r>
            <w:r w:rsidR="00491731">
              <w:rPr>
                <w:sz w:val="16"/>
                <w:szCs w:val="16"/>
                <w:lang w:val="es-ES_tradnl" w:bidi="th-TH"/>
              </w:rPr>
              <w:t>fomento de acuerdo</w:t>
            </w:r>
            <w:r w:rsidR="00956F2F">
              <w:rPr>
                <w:sz w:val="16"/>
                <w:szCs w:val="16"/>
                <w:lang w:val="es-ES_tradnl" w:bidi="th-TH"/>
              </w:rPr>
              <w:t>s</w:t>
            </w:r>
            <w:r w:rsidR="00491731">
              <w:rPr>
                <w:sz w:val="16"/>
                <w:szCs w:val="16"/>
                <w:lang w:val="es-ES_tradnl" w:bidi="th-TH"/>
              </w:rPr>
              <w:t xml:space="preserve"> sobre las cuestiones específicas</w:t>
            </w:r>
            <w:r w:rsidRPr="00C75C7E">
              <w:rPr>
                <w:sz w:val="16"/>
                <w:szCs w:val="16"/>
                <w:lang w:val="es-ES_tradnl" w:bidi="th-TH"/>
              </w:rPr>
              <w:t xml:space="preserve"> respecto de las que se acuerdan instrumentos internacionales.</w:t>
            </w:r>
          </w:p>
        </w:tc>
        <w:tc>
          <w:tcPr>
            <w:tcW w:w="1514" w:type="pct"/>
            <w:tcBorders>
              <w:top w:val="single" w:sz="4" w:space="0" w:color="auto"/>
            </w:tcBorders>
            <w:shd w:val="clear" w:color="auto" w:fill="auto"/>
            <w:tcMar>
              <w:top w:w="110" w:type="dxa"/>
              <w:bottom w:w="85" w:type="dxa"/>
            </w:tcMar>
          </w:tcPr>
          <w:p w:rsidR="004046B6" w:rsidRPr="00C75C7E" w:rsidRDefault="004046B6" w:rsidP="00B32B5E">
            <w:pPr>
              <w:keepNext/>
              <w:keepLines/>
              <w:widowControl w:val="0"/>
              <w:rPr>
                <w:sz w:val="16"/>
                <w:szCs w:val="16"/>
                <w:lang w:val="es-ES_tradnl"/>
              </w:rPr>
            </w:pPr>
            <w:r w:rsidRPr="00C75C7E">
              <w:rPr>
                <w:sz w:val="16"/>
                <w:szCs w:val="16"/>
                <w:lang w:val="es-ES_tradnl"/>
              </w:rPr>
              <w:t>Acuerdo sobre un marco normativo para los procedimientos de registro y mantenimiento de los diseños industriales.</w:t>
            </w:r>
          </w:p>
        </w:tc>
        <w:tc>
          <w:tcPr>
            <w:tcW w:w="1094" w:type="pct"/>
            <w:tcBorders>
              <w:top w:val="single" w:sz="4" w:space="0" w:color="auto"/>
            </w:tcBorders>
            <w:shd w:val="clear" w:color="auto" w:fill="FFFFFF"/>
            <w:tcMar>
              <w:top w:w="110" w:type="dxa"/>
              <w:bottom w:w="85" w:type="dxa"/>
            </w:tcMar>
          </w:tcPr>
          <w:p w:rsidR="004046B6" w:rsidRPr="00C75C7E" w:rsidRDefault="004046B6" w:rsidP="00B32B5E">
            <w:pPr>
              <w:keepNext/>
              <w:keepLines/>
              <w:widowControl w:val="0"/>
              <w:rPr>
                <w:sz w:val="16"/>
                <w:szCs w:val="16"/>
                <w:lang w:val="es-ES_tradnl" w:bidi="th-TH"/>
              </w:rPr>
            </w:pPr>
            <w:r w:rsidRPr="00C75C7E">
              <w:rPr>
                <w:sz w:val="16"/>
                <w:szCs w:val="16"/>
                <w:lang w:val="es-ES_tradnl" w:bidi="th-TH"/>
              </w:rPr>
              <w:t>No existe un marco normativo para los procedimientos de registro y mantenimiento de los diseños industriales.</w:t>
            </w:r>
          </w:p>
          <w:p w:rsidR="004046B6" w:rsidRPr="00C75C7E" w:rsidRDefault="004046B6" w:rsidP="00B32B5E">
            <w:pPr>
              <w:keepNext/>
              <w:keepLines/>
              <w:widowControl w:val="0"/>
              <w:rPr>
                <w:sz w:val="16"/>
                <w:szCs w:val="16"/>
                <w:lang w:val="es-ES_tradnl"/>
              </w:rPr>
            </w:pPr>
          </w:p>
        </w:tc>
        <w:tc>
          <w:tcPr>
            <w:tcW w:w="1144" w:type="pct"/>
            <w:tcBorders>
              <w:top w:val="single" w:sz="4" w:space="0" w:color="auto"/>
            </w:tcBorders>
            <w:shd w:val="clear" w:color="auto" w:fill="auto"/>
            <w:tcMar>
              <w:top w:w="110" w:type="dxa"/>
              <w:bottom w:w="85" w:type="dxa"/>
            </w:tcMar>
          </w:tcPr>
          <w:p w:rsidR="004046B6" w:rsidRPr="00C75C7E" w:rsidRDefault="004046B6" w:rsidP="00B32B5E">
            <w:pPr>
              <w:keepNext/>
              <w:keepLines/>
              <w:widowControl w:val="0"/>
              <w:ind w:right="381"/>
              <w:rPr>
                <w:bCs/>
                <w:sz w:val="16"/>
                <w:szCs w:val="16"/>
                <w:lang w:val="es-ES_tradnl"/>
              </w:rPr>
            </w:pPr>
            <w:r w:rsidRPr="00C75C7E">
              <w:rPr>
                <w:bCs/>
                <w:sz w:val="16"/>
                <w:szCs w:val="16"/>
                <w:lang w:val="es-ES_tradnl"/>
              </w:rPr>
              <w:t>Adopción en conferencia dipl</w:t>
            </w:r>
            <w:r w:rsidR="00ED68AB">
              <w:rPr>
                <w:bCs/>
                <w:sz w:val="16"/>
                <w:szCs w:val="16"/>
                <w:lang w:val="es-ES_tradnl"/>
              </w:rPr>
              <w:t>omática de un tratado sobre el D</w:t>
            </w:r>
            <w:r w:rsidRPr="00C75C7E">
              <w:rPr>
                <w:bCs/>
                <w:sz w:val="16"/>
                <w:szCs w:val="16"/>
                <w:lang w:val="es-ES_tradnl"/>
              </w:rPr>
              <w:t>erecho de los diseños industriales.</w:t>
            </w:r>
          </w:p>
        </w:tc>
      </w:tr>
      <w:tr w:rsidR="004046B6" w:rsidRPr="00C75C7E" w:rsidTr="00900936">
        <w:trPr>
          <w:cantSplit/>
        </w:trPr>
        <w:tc>
          <w:tcPr>
            <w:tcW w:w="1248" w:type="pct"/>
            <w:vMerge/>
            <w:shd w:val="clear" w:color="auto" w:fill="auto"/>
          </w:tcPr>
          <w:p w:rsidR="004046B6" w:rsidRPr="00C75C7E" w:rsidRDefault="004046B6" w:rsidP="00B32B5E">
            <w:pPr>
              <w:keepNext/>
              <w:keepLines/>
              <w:widowControl w:val="0"/>
              <w:rPr>
                <w:sz w:val="16"/>
                <w:szCs w:val="16"/>
                <w:lang w:val="es-ES_tradnl"/>
              </w:rPr>
            </w:pPr>
          </w:p>
        </w:tc>
        <w:tc>
          <w:tcPr>
            <w:tcW w:w="1514" w:type="pct"/>
            <w:shd w:val="clear" w:color="auto" w:fill="auto"/>
            <w:tcMar>
              <w:top w:w="110" w:type="dxa"/>
              <w:bottom w:w="85" w:type="dxa"/>
            </w:tcMar>
          </w:tcPr>
          <w:p w:rsidR="004046B6" w:rsidRPr="00C75C7E" w:rsidRDefault="00956F2F" w:rsidP="00B32B5E">
            <w:pPr>
              <w:keepNext/>
              <w:keepLines/>
              <w:widowControl w:val="0"/>
              <w:rPr>
                <w:sz w:val="16"/>
                <w:szCs w:val="16"/>
                <w:lang w:val="es-ES_tradnl" w:bidi="th-TH"/>
              </w:rPr>
            </w:pPr>
            <w:r w:rsidRPr="00C75C7E">
              <w:rPr>
                <w:sz w:val="16"/>
                <w:szCs w:val="16"/>
                <w:lang w:val="es-ES_tradnl"/>
              </w:rPr>
              <w:t>Avances para llegar a un acuerdo sobre las cuestiones que figu</w:t>
            </w:r>
            <w:r>
              <w:rPr>
                <w:sz w:val="16"/>
                <w:szCs w:val="16"/>
                <w:lang w:val="es-ES_tradnl"/>
              </w:rPr>
              <w:t>ran en el orden del día del SCT</w:t>
            </w:r>
            <w:r w:rsidR="004046B6" w:rsidRPr="00C75C7E">
              <w:rPr>
                <w:sz w:val="16"/>
                <w:szCs w:val="16"/>
                <w:lang w:val="es-ES_tradnl" w:bidi="th-TH"/>
              </w:rPr>
              <w:t>.</w:t>
            </w:r>
          </w:p>
          <w:p w:rsidR="004046B6" w:rsidRPr="00C75C7E" w:rsidRDefault="004046B6" w:rsidP="00B32B5E">
            <w:pPr>
              <w:keepNext/>
              <w:keepLines/>
              <w:widowControl w:val="0"/>
              <w:rPr>
                <w:i/>
                <w:sz w:val="16"/>
                <w:szCs w:val="16"/>
                <w:lang w:val="es-ES_tradnl"/>
              </w:rPr>
            </w:pPr>
          </w:p>
        </w:tc>
        <w:tc>
          <w:tcPr>
            <w:tcW w:w="1094" w:type="pct"/>
            <w:shd w:val="clear" w:color="auto" w:fill="FFFFFF"/>
            <w:tcMar>
              <w:top w:w="110" w:type="dxa"/>
              <w:bottom w:w="85" w:type="dxa"/>
            </w:tcMar>
          </w:tcPr>
          <w:p w:rsidR="004046B6" w:rsidRPr="00C75C7E" w:rsidRDefault="00956F2F" w:rsidP="00B32B5E">
            <w:pPr>
              <w:keepNext/>
              <w:keepLines/>
              <w:widowControl w:val="0"/>
              <w:rPr>
                <w:sz w:val="16"/>
                <w:szCs w:val="16"/>
                <w:lang w:val="es-ES_tradnl"/>
              </w:rPr>
            </w:pPr>
            <w:r>
              <w:rPr>
                <w:sz w:val="16"/>
                <w:szCs w:val="16"/>
                <w:lang w:val="es-ES_tradnl" w:bidi="th-TH"/>
              </w:rPr>
              <w:t xml:space="preserve">Proyecto de documento de referencia sobre la protección de los nombres de países contra </w:t>
            </w:r>
            <w:r w:rsidR="00026F22">
              <w:rPr>
                <w:sz w:val="16"/>
                <w:szCs w:val="16"/>
                <w:lang w:val="es-ES_tradnl" w:bidi="th-TH"/>
              </w:rPr>
              <w:t>su</w:t>
            </w:r>
            <w:r>
              <w:rPr>
                <w:sz w:val="16"/>
                <w:szCs w:val="16"/>
                <w:lang w:val="es-ES_tradnl" w:bidi="th-TH"/>
              </w:rPr>
              <w:t xml:space="preserve"> registro </w:t>
            </w:r>
            <w:r w:rsidR="00026F22">
              <w:rPr>
                <w:sz w:val="16"/>
                <w:szCs w:val="16"/>
                <w:lang w:val="es-ES_tradnl" w:bidi="th-TH"/>
              </w:rPr>
              <w:t>y uso como</w:t>
            </w:r>
            <w:r>
              <w:rPr>
                <w:sz w:val="16"/>
                <w:szCs w:val="16"/>
                <w:lang w:val="es-ES_tradnl" w:bidi="th-TH"/>
              </w:rPr>
              <w:t xml:space="preserve"> marcas</w:t>
            </w:r>
            <w:r w:rsidR="004046B6" w:rsidRPr="00C75C7E">
              <w:rPr>
                <w:sz w:val="16"/>
                <w:szCs w:val="16"/>
                <w:lang w:val="es-ES_tradnl" w:bidi="th-TH"/>
              </w:rPr>
              <w:t>.</w:t>
            </w:r>
          </w:p>
        </w:tc>
        <w:tc>
          <w:tcPr>
            <w:tcW w:w="1144" w:type="pct"/>
            <w:shd w:val="clear" w:color="auto" w:fill="auto"/>
            <w:tcMar>
              <w:top w:w="110" w:type="dxa"/>
              <w:bottom w:w="85" w:type="dxa"/>
            </w:tcMar>
          </w:tcPr>
          <w:p w:rsidR="004046B6" w:rsidRPr="00C75C7E" w:rsidRDefault="00956F2F" w:rsidP="00B32B5E">
            <w:pPr>
              <w:keepNext/>
              <w:keepLines/>
              <w:widowControl w:val="0"/>
              <w:tabs>
                <w:tab w:val="left" w:pos="2051"/>
              </w:tabs>
              <w:ind w:right="381"/>
              <w:rPr>
                <w:bCs/>
                <w:sz w:val="16"/>
                <w:szCs w:val="16"/>
                <w:lang w:val="es-ES_tradnl"/>
              </w:rPr>
            </w:pPr>
            <w:r>
              <w:rPr>
                <w:bCs/>
                <w:sz w:val="16"/>
                <w:szCs w:val="16"/>
                <w:lang w:val="es-ES_tradnl"/>
              </w:rPr>
              <w:t>Resultados acordados en el</w:t>
            </w:r>
            <w:r w:rsidR="004046B6" w:rsidRPr="00C75C7E">
              <w:rPr>
                <w:bCs/>
                <w:sz w:val="16"/>
                <w:szCs w:val="16"/>
                <w:lang w:val="es-ES_tradnl"/>
              </w:rPr>
              <w:t xml:space="preserve"> SCT.</w:t>
            </w:r>
          </w:p>
        </w:tc>
      </w:tr>
      <w:tr w:rsidR="004046B6" w:rsidRPr="00C75C7E" w:rsidTr="00900936">
        <w:trPr>
          <w:cantSplit/>
          <w:trHeight w:val="557"/>
        </w:trPr>
        <w:tc>
          <w:tcPr>
            <w:tcW w:w="1248" w:type="pct"/>
            <w:vMerge/>
            <w:shd w:val="clear" w:color="auto" w:fill="auto"/>
          </w:tcPr>
          <w:p w:rsidR="004046B6" w:rsidRPr="00C75C7E" w:rsidRDefault="004046B6" w:rsidP="00900936">
            <w:pPr>
              <w:widowControl w:val="0"/>
              <w:rPr>
                <w:sz w:val="16"/>
                <w:szCs w:val="16"/>
                <w:lang w:val="es-ES_tradnl"/>
              </w:rPr>
            </w:pPr>
          </w:p>
        </w:tc>
        <w:tc>
          <w:tcPr>
            <w:tcW w:w="1514" w:type="pct"/>
            <w:shd w:val="clear" w:color="auto" w:fill="auto"/>
            <w:tcMar>
              <w:top w:w="110" w:type="dxa"/>
              <w:bottom w:w="85" w:type="dxa"/>
            </w:tcMar>
          </w:tcPr>
          <w:p w:rsidR="004046B6" w:rsidRPr="00C75C7E" w:rsidRDefault="004046B6" w:rsidP="00900936">
            <w:pPr>
              <w:widowControl w:val="0"/>
              <w:rPr>
                <w:sz w:val="16"/>
                <w:szCs w:val="16"/>
                <w:lang w:val="es-ES_tradnl"/>
              </w:rPr>
            </w:pPr>
            <w:r w:rsidRPr="00C75C7E">
              <w:rPr>
                <w:sz w:val="16"/>
                <w:szCs w:val="16"/>
                <w:lang w:val="es-ES_tradnl"/>
              </w:rPr>
              <w:t>Número de ratificaciones y adhesiones al Tratado de Singapur</w:t>
            </w:r>
            <w:r w:rsidR="00026F22">
              <w:rPr>
                <w:sz w:val="16"/>
                <w:szCs w:val="16"/>
                <w:lang w:val="es-ES_tradnl"/>
              </w:rPr>
              <w:t>.</w:t>
            </w:r>
          </w:p>
        </w:tc>
        <w:tc>
          <w:tcPr>
            <w:tcW w:w="1094" w:type="pct"/>
            <w:shd w:val="clear" w:color="auto" w:fill="FFFFFF"/>
            <w:tcMar>
              <w:top w:w="110" w:type="dxa"/>
              <w:bottom w:w="85" w:type="dxa"/>
            </w:tcMar>
          </w:tcPr>
          <w:p w:rsidR="004046B6" w:rsidRPr="00C75C7E" w:rsidRDefault="004046B6" w:rsidP="00900936">
            <w:pPr>
              <w:widowControl w:val="0"/>
              <w:rPr>
                <w:sz w:val="16"/>
                <w:szCs w:val="16"/>
                <w:lang w:val="es-ES_tradnl" w:bidi="th-TH"/>
              </w:rPr>
            </w:pPr>
            <w:r w:rsidRPr="00C75C7E">
              <w:rPr>
                <w:sz w:val="16"/>
                <w:szCs w:val="16"/>
                <w:lang w:val="es-ES_tradnl" w:bidi="th-TH"/>
              </w:rPr>
              <w:t>29 Partes Contratantes (al final de 2012).</w:t>
            </w:r>
          </w:p>
        </w:tc>
        <w:tc>
          <w:tcPr>
            <w:tcW w:w="1144" w:type="pct"/>
            <w:shd w:val="clear" w:color="auto" w:fill="auto"/>
            <w:tcMar>
              <w:top w:w="110" w:type="dxa"/>
              <w:bottom w:w="85"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Ocho nuevas ratificaciones</w:t>
            </w:r>
            <w:r w:rsidR="00026F22">
              <w:rPr>
                <w:bCs/>
                <w:sz w:val="16"/>
                <w:szCs w:val="16"/>
                <w:lang w:val="es-ES_tradnl"/>
              </w:rPr>
              <w:t xml:space="preserve"> </w:t>
            </w:r>
            <w:r w:rsidRPr="00C75C7E">
              <w:rPr>
                <w:bCs/>
                <w:sz w:val="16"/>
                <w:szCs w:val="16"/>
                <w:lang w:val="es-ES_tradnl"/>
              </w:rPr>
              <w:t>/</w:t>
            </w:r>
            <w:r w:rsidR="00026F22">
              <w:rPr>
                <w:bCs/>
                <w:sz w:val="16"/>
                <w:szCs w:val="16"/>
                <w:lang w:val="es-ES_tradnl"/>
              </w:rPr>
              <w:t xml:space="preserve"> </w:t>
            </w:r>
            <w:r w:rsidRPr="00C75C7E">
              <w:rPr>
                <w:bCs/>
                <w:sz w:val="16"/>
                <w:szCs w:val="16"/>
                <w:lang w:val="es-ES_tradnl"/>
              </w:rPr>
              <w:t>adhesiones.</w:t>
            </w:r>
          </w:p>
        </w:tc>
      </w:tr>
      <w:tr w:rsidR="004046B6" w:rsidRPr="00C75C7E" w:rsidTr="00900936">
        <w:trPr>
          <w:cantSplit/>
          <w:trHeight w:val="1507"/>
        </w:trPr>
        <w:tc>
          <w:tcPr>
            <w:tcW w:w="1248" w:type="pct"/>
            <w:shd w:val="clear" w:color="auto" w:fill="auto"/>
          </w:tcPr>
          <w:p w:rsidR="004046B6" w:rsidRPr="00C75C7E" w:rsidRDefault="004046B6" w:rsidP="00900936">
            <w:pPr>
              <w:widowControl w:val="0"/>
              <w:rPr>
                <w:sz w:val="16"/>
                <w:szCs w:val="16"/>
                <w:lang w:val="es-ES_tradnl"/>
              </w:rPr>
            </w:pPr>
            <w:r w:rsidRPr="00C75C7E">
              <w:rPr>
                <w:sz w:val="16"/>
                <w:szCs w:val="16"/>
                <w:lang w:val="es-ES_tradnl"/>
              </w:rPr>
              <w:t>I.2. Marcos de P.I. adaptados y equilibrados en el ámbito legislativo, reglamentario y de política.</w:t>
            </w:r>
          </w:p>
        </w:tc>
        <w:tc>
          <w:tcPr>
            <w:tcW w:w="1514" w:type="pct"/>
            <w:shd w:val="clear" w:color="auto" w:fill="auto"/>
            <w:tcMar>
              <w:top w:w="110" w:type="dxa"/>
              <w:bottom w:w="85" w:type="dxa"/>
            </w:tcMar>
          </w:tcPr>
          <w:p w:rsidR="004046B6" w:rsidRPr="00C75C7E" w:rsidRDefault="004046B6" w:rsidP="00900936">
            <w:pPr>
              <w:widowControl w:val="0"/>
              <w:rPr>
                <w:sz w:val="16"/>
                <w:szCs w:val="16"/>
                <w:lang w:val="es-ES_tradnl"/>
              </w:rPr>
            </w:pPr>
            <w:r w:rsidRPr="00C75C7E">
              <w:rPr>
                <w:sz w:val="16"/>
                <w:szCs w:val="16"/>
                <w:lang w:val="es-ES_tradnl"/>
              </w:rPr>
              <w:t>Número y porcentaje de Estados miembros/organizaciones regionales que han presentado comentarios positivos sobre el asesoramiento legislativo proporcionado en la esfera de las marcas, los diseños industriales y las indicaciones geográficas.</w:t>
            </w:r>
          </w:p>
        </w:tc>
        <w:tc>
          <w:tcPr>
            <w:tcW w:w="1094" w:type="pct"/>
            <w:shd w:val="clear" w:color="auto" w:fill="FFFFFF"/>
            <w:tcMar>
              <w:top w:w="110" w:type="dxa"/>
              <w:bottom w:w="85" w:type="dxa"/>
            </w:tcMar>
          </w:tcPr>
          <w:p w:rsidR="004046B6" w:rsidRPr="00C75C7E" w:rsidRDefault="004046B6" w:rsidP="00900936">
            <w:pPr>
              <w:widowControl w:val="0"/>
              <w:rPr>
                <w:sz w:val="16"/>
                <w:szCs w:val="16"/>
                <w:lang w:val="es-ES_tradnl" w:bidi="th-TH"/>
              </w:rPr>
            </w:pPr>
            <w:r w:rsidRPr="00C75C7E">
              <w:rPr>
                <w:sz w:val="16"/>
                <w:szCs w:val="16"/>
                <w:lang w:val="es-ES_tradnl" w:bidi="th-TH"/>
              </w:rPr>
              <w:t>11 Estados miembros/organizaciones regionales han recibido asesoramiento legislativo y tres de ellos han formulado comentarios positivos sobre el asesoramiento legislativo recibido en 2012.</w:t>
            </w:r>
          </w:p>
        </w:tc>
        <w:tc>
          <w:tcPr>
            <w:tcW w:w="1144" w:type="pct"/>
            <w:shd w:val="clear" w:color="auto" w:fill="auto"/>
            <w:tcMar>
              <w:top w:w="110" w:type="dxa"/>
              <w:bottom w:w="85" w:type="dxa"/>
            </w:tcMar>
          </w:tcPr>
          <w:p w:rsidR="004046B6" w:rsidRPr="00C75C7E" w:rsidRDefault="004046B6" w:rsidP="00026F22">
            <w:pPr>
              <w:widowControl w:val="0"/>
              <w:ind w:right="161"/>
              <w:rPr>
                <w:bCs/>
                <w:sz w:val="16"/>
                <w:szCs w:val="16"/>
                <w:lang w:val="es-ES_tradnl"/>
              </w:rPr>
            </w:pPr>
            <w:r w:rsidRPr="00C75C7E">
              <w:rPr>
                <w:bCs/>
                <w:sz w:val="16"/>
                <w:szCs w:val="16"/>
                <w:lang w:val="es-ES_tradnl"/>
              </w:rPr>
              <w:t>Se proporciona asesoramiento legislativo a 10 Estados miembros</w:t>
            </w:r>
            <w:r w:rsidR="00026F22">
              <w:rPr>
                <w:bCs/>
                <w:sz w:val="16"/>
                <w:szCs w:val="16"/>
                <w:lang w:val="es-ES_tradnl"/>
              </w:rPr>
              <w:t xml:space="preserve"> </w:t>
            </w:r>
            <w:r w:rsidRPr="00C75C7E">
              <w:rPr>
                <w:bCs/>
                <w:sz w:val="16"/>
                <w:szCs w:val="16"/>
                <w:lang w:val="es-ES_tradnl"/>
              </w:rPr>
              <w:t>/</w:t>
            </w:r>
            <w:r w:rsidR="00026F22">
              <w:rPr>
                <w:bCs/>
                <w:sz w:val="16"/>
                <w:szCs w:val="16"/>
                <w:lang w:val="es-ES_tradnl"/>
              </w:rPr>
              <w:t xml:space="preserve"> </w:t>
            </w:r>
            <w:r w:rsidRPr="00C75C7E">
              <w:rPr>
                <w:bCs/>
                <w:sz w:val="16"/>
                <w:szCs w:val="16"/>
                <w:lang w:val="es-ES_tradnl"/>
              </w:rPr>
              <w:t>organizaciones regionales</w:t>
            </w:r>
            <w:r w:rsidR="00026F22">
              <w:rPr>
                <w:bCs/>
                <w:sz w:val="16"/>
                <w:szCs w:val="16"/>
                <w:lang w:val="es-ES_tradnl"/>
              </w:rPr>
              <w:t>. 90% de los encuestados expresa satisfacción con el asesoramiento brindado</w:t>
            </w:r>
            <w:r w:rsidRPr="00C75C7E">
              <w:rPr>
                <w:bCs/>
                <w:sz w:val="16"/>
                <w:szCs w:val="16"/>
                <w:lang w:val="es-ES_tradnl"/>
              </w:rPr>
              <w:t xml:space="preserve">. </w:t>
            </w:r>
          </w:p>
        </w:tc>
      </w:tr>
      <w:tr w:rsidR="004046B6" w:rsidRPr="00C75C7E" w:rsidTr="00900936">
        <w:trPr>
          <w:cantSplit/>
          <w:trHeight w:val="1013"/>
        </w:trPr>
        <w:tc>
          <w:tcPr>
            <w:tcW w:w="1248" w:type="pct"/>
            <w:shd w:val="clear" w:color="auto" w:fill="auto"/>
          </w:tcPr>
          <w:p w:rsidR="004046B6" w:rsidRPr="00C75C7E" w:rsidRDefault="004046B6" w:rsidP="00900936">
            <w:pPr>
              <w:widowControl w:val="0"/>
              <w:rPr>
                <w:sz w:val="16"/>
                <w:szCs w:val="16"/>
                <w:lang w:val="es-ES_tradnl"/>
              </w:rPr>
            </w:pPr>
            <w:r w:rsidRPr="00C75C7E">
              <w:rPr>
                <w:sz w:val="16"/>
                <w:szCs w:val="16"/>
                <w:lang w:val="es-ES_tradnl"/>
              </w:rPr>
              <w:t>I.3. Aumento de la protección de los emblemas de Estado y de los nombres y emblemas de organizaciones intergubernamentales internacionales.</w:t>
            </w:r>
          </w:p>
        </w:tc>
        <w:tc>
          <w:tcPr>
            <w:tcW w:w="1514" w:type="pct"/>
            <w:shd w:val="clear" w:color="auto" w:fill="auto"/>
            <w:tcMar>
              <w:top w:w="110" w:type="dxa"/>
            </w:tcMar>
          </w:tcPr>
          <w:p w:rsidR="004046B6" w:rsidRPr="00C75C7E" w:rsidRDefault="004046B6" w:rsidP="00900936">
            <w:pPr>
              <w:widowControl w:val="0"/>
              <w:rPr>
                <w:sz w:val="16"/>
                <w:szCs w:val="16"/>
                <w:lang w:val="es-ES_tradnl"/>
              </w:rPr>
            </w:pPr>
            <w:r w:rsidRPr="00C75C7E">
              <w:rPr>
                <w:sz w:val="16"/>
                <w:szCs w:val="16"/>
                <w:lang w:val="es-ES_tradnl"/>
              </w:rPr>
              <w:t>Número de peticiones de comunicación tramitadas en virtud del artículo 6</w:t>
            </w:r>
            <w:r w:rsidRPr="00C75C7E">
              <w:rPr>
                <w:i/>
                <w:sz w:val="16"/>
                <w:szCs w:val="16"/>
                <w:lang w:val="es-ES_tradnl"/>
              </w:rPr>
              <w:t>ter.</w:t>
            </w:r>
          </w:p>
        </w:tc>
        <w:tc>
          <w:tcPr>
            <w:tcW w:w="1094" w:type="pct"/>
            <w:shd w:val="clear" w:color="auto" w:fill="FFFFFF"/>
            <w:tcMar>
              <w:top w:w="110" w:type="dxa"/>
            </w:tcMar>
          </w:tcPr>
          <w:p w:rsidR="004046B6" w:rsidRPr="00C75C7E" w:rsidRDefault="004046B6" w:rsidP="0048384D">
            <w:pPr>
              <w:widowControl w:val="0"/>
              <w:rPr>
                <w:sz w:val="16"/>
                <w:szCs w:val="16"/>
                <w:lang w:val="es-ES_tradnl" w:bidi="th-TH"/>
              </w:rPr>
            </w:pPr>
            <w:r w:rsidRPr="00C75C7E">
              <w:rPr>
                <w:sz w:val="16"/>
                <w:szCs w:val="16"/>
                <w:lang w:val="es-ES_tradnl" w:bidi="th-TH"/>
              </w:rPr>
              <w:t xml:space="preserve">70 peticiones de comunicación tramitadas </w:t>
            </w:r>
            <w:r w:rsidR="0048384D" w:rsidRPr="00C75C7E">
              <w:rPr>
                <w:sz w:val="16"/>
                <w:szCs w:val="16"/>
                <w:lang w:val="es-ES_tradnl" w:bidi="th-TH"/>
              </w:rPr>
              <w:t>en 2012</w:t>
            </w:r>
            <w:r w:rsidR="0048384D">
              <w:rPr>
                <w:sz w:val="16"/>
                <w:szCs w:val="16"/>
                <w:lang w:val="es-ES_tradnl" w:bidi="th-TH"/>
              </w:rPr>
              <w:t xml:space="preserve"> </w:t>
            </w:r>
            <w:r w:rsidRPr="00C75C7E">
              <w:rPr>
                <w:sz w:val="16"/>
                <w:szCs w:val="16"/>
                <w:lang w:val="es-ES_tradnl" w:bidi="th-TH"/>
              </w:rPr>
              <w:t>en virtud del artículo 6</w:t>
            </w:r>
            <w:r w:rsidRPr="00C75C7E">
              <w:rPr>
                <w:i/>
                <w:sz w:val="16"/>
                <w:szCs w:val="16"/>
                <w:lang w:val="es-ES_tradnl" w:bidi="th-TH"/>
              </w:rPr>
              <w:t>ter</w:t>
            </w:r>
            <w:r w:rsidRPr="00C75C7E">
              <w:rPr>
                <w:sz w:val="16"/>
                <w:szCs w:val="16"/>
                <w:lang w:val="es-ES_tradnl" w:bidi="th-TH"/>
              </w:rPr>
              <w:t>.</w:t>
            </w:r>
          </w:p>
        </w:tc>
        <w:tc>
          <w:tcPr>
            <w:tcW w:w="1144" w:type="pct"/>
            <w:shd w:val="clear" w:color="auto" w:fill="auto"/>
            <w:tcMar>
              <w:top w:w="110"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140  peticiones de comunicación tramitadas en virtud del artículo 6</w:t>
            </w:r>
            <w:r w:rsidRPr="00C75C7E">
              <w:rPr>
                <w:bCs/>
                <w:i/>
                <w:sz w:val="16"/>
                <w:szCs w:val="16"/>
                <w:lang w:val="es-ES_tradnl"/>
              </w:rPr>
              <w:t>ter.</w:t>
            </w:r>
          </w:p>
        </w:tc>
      </w:tr>
      <w:tr w:rsidR="004046B6" w:rsidRPr="00C75C7E" w:rsidTr="00900936">
        <w:trPr>
          <w:cantSplit/>
          <w:trHeight w:val="710"/>
        </w:trPr>
        <w:tc>
          <w:tcPr>
            <w:tcW w:w="1248" w:type="pct"/>
            <w:shd w:val="clear" w:color="auto" w:fill="auto"/>
          </w:tcPr>
          <w:p w:rsidR="004046B6" w:rsidRPr="00C75C7E" w:rsidRDefault="004046B6" w:rsidP="00900936">
            <w:pPr>
              <w:widowControl w:val="0"/>
              <w:rPr>
                <w:sz w:val="16"/>
                <w:szCs w:val="16"/>
                <w:lang w:val="es-ES_tradnl"/>
              </w:rPr>
            </w:pPr>
          </w:p>
        </w:tc>
        <w:tc>
          <w:tcPr>
            <w:tcW w:w="1514" w:type="pct"/>
            <w:shd w:val="clear" w:color="auto" w:fill="auto"/>
            <w:tcMar>
              <w:top w:w="110" w:type="dxa"/>
            </w:tcMar>
          </w:tcPr>
          <w:p w:rsidR="004046B6" w:rsidRPr="00C75C7E" w:rsidRDefault="004046B6" w:rsidP="00900936">
            <w:pPr>
              <w:widowControl w:val="0"/>
              <w:rPr>
                <w:sz w:val="16"/>
                <w:szCs w:val="16"/>
                <w:lang w:val="es-ES_tradnl"/>
              </w:rPr>
            </w:pPr>
            <w:r w:rsidRPr="00C75C7E">
              <w:rPr>
                <w:sz w:val="16"/>
                <w:szCs w:val="16"/>
                <w:lang w:val="es-ES_tradnl"/>
              </w:rPr>
              <w:t>Número de signos publicados en la base de datos sobre el artículo 6</w:t>
            </w:r>
            <w:r w:rsidRPr="00C75C7E">
              <w:rPr>
                <w:i/>
                <w:sz w:val="16"/>
                <w:szCs w:val="16"/>
                <w:lang w:val="es-ES_tradnl"/>
              </w:rPr>
              <w:t>ter</w:t>
            </w:r>
            <w:r w:rsidRPr="00C75C7E">
              <w:rPr>
                <w:sz w:val="16"/>
                <w:szCs w:val="16"/>
                <w:lang w:val="es-ES_tradnl"/>
              </w:rPr>
              <w:t>.</w:t>
            </w:r>
          </w:p>
        </w:tc>
        <w:tc>
          <w:tcPr>
            <w:tcW w:w="1094" w:type="pct"/>
            <w:shd w:val="clear" w:color="auto" w:fill="FFFFFF"/>
            <w:tcMar>
              <w:top w:w="110" w:type="dxa"/>
            </w:tcMar>
          </w:tcPr>
          <w:p w:rsidR="004046B6" w:rsidRPr="00C75C7E" w:rsidRDefault="004046B6" w:rsidP="0048384D">
            <w:pPr>
              <w:widowControl w:val="0"/>
              <w:rPr>
                <w:sz w:val="16"/>
                <w:szCs w:val="16"/>
                <w:lang w:val="es-ES_tradnl" w:bidi="th-TH"/>
              </w:rPr>
            </w:pPr>
            <w:r w:rsidRPr="00C75C7E">
              <w:rPr>
                <w:sz w:val="16"/>
                <w:szCs w:val="16"/>
                <w:lang w:val="es-ES_tradnl" w:bidi="th-TH"/>
              </w:rPr>
              <w:t xml:space="preserve">75 signos publicados </w:t>
            </w:r>
            <w:r w:rsidR="0048384D" w:rsidRPr="00C75C7E">
              <w:rPr>
                <w:sz w:val="16"/>
                <w:szCs w:val="16"/>
                <w:lang w:val="es-ES_tradnl" w:bidi="th-TH"/>
              </w:rPr>
              <w:t>en 2012</w:t>
            </w:r>
            <w:r w:rsidR="0048384D">
              <w:rPr>
                <w:sz w:val="16"/>
                <w:szCs w:val="16"/>
                <w:lang w:val="es-ES_tradnl" w:bidi="th-TH"/>
              </w:rPr>
              <w:t xml:space="preserve"> </w:t>
            </w:r>
            <w:r w:rsidRPr="00C75C7E">
              <w:rPr>
                <w:sz w:val="16"/>
                <w:szCs w:val="16"/>
                <w:lang w:val="es-ES_tradnl" w:bidi="th-TH"/>
              </w:rPr>
              <w:t>en la base de datos sobre el artículo 6</w:t>
            </w:r>
            <w:r w:rsidRPr="00C75C7E">
              <w:rPr>
                <w:i/>
                <w:sz w:val="16"/>
                <w:szCs w:val="16"/>
                <w:lang w:val="es-ES_tradnl" w:bidi="th-TH"/>
              </w:rPr>
              <w:t>ter</w:t>
            </w:r>
            <w:r w:rsidRPr="00C75C7E">
              <w:rPr>
                <w:sz w:val="16"/>
                <w:szCs w:val="16"/>
                <w:lang w:val="es-ES_tradnl" w:bidi="th-TH"/>
              </w:rPr>
              <w:t>.</w:t>
            </w:r>
          </w:p>
        </w:tc>
        <w:tc>
          <w:tcPr>
            <w:tcW w:w="1144" w:type="pct"/>
            <w:shd w:val="clear" w:color="auto" w:fill="auto"/>
            <w:tcMar>
              <w:top w:w="110"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150 signos publicados en la base de datos sobre el artículo 6</w:t>
            </w:r>
            <w:r w:rsidRPr="00C75C7E">
              <w:rPr>
                <w:bCs/>
                <w:i/>
                <w:sz w:val="16"/>
                <w:szCs w:val="16"/>
                <w:lang w:val="es-ES_tradnl"/>
              </w:rPr>
              <w:t>ter</w:t>
            </w:r>
            <w:r w:rsidRPr="00C75C7E">
              <w:rPr>
                <w:bCs/>
                <w:sz w:val="16"/>
                <w:szCs w:val="16"/>
                <w:lang w:val="es-ES_tradnl"/>
              </w:rPr>
              <w:t>.</w:t>
            </w:r>
          </w:p>
        </w:tc>
      </w:tr>
    </w:tbl>
    <w:p w:rsidR="00F8358E" w:rsidRDefault="00F8358E" w:rsidP="00F8358E">
      <w:pPr>
        <w:widowControl w:val="0"/>
        <w:rPr>
          <w:szCs w:val="22"/>
        </w:rPr>
      </w:pPr>
    </w:p>
    <w:p w:rsidR="00F8358E" w:rsidRPr="006B0DE9" w:rsidRDefault="00F8358E" w:rsidP="00F8358E">
      <w:pPr>
        <w:widowControl w:val="0"/>
        <w:rPr>
          <w:szCs w:val="22"/>
        </w:rPr>
      </w:pPr>
    </w:p>
    <w:p w:rsidR="00F8358E" w:rsidRPr="006B0DE9" w:rsidRDefault="00F8358E" w:rsidP="00F8358E">
      <w:pPr>
        <w:widowControl w:val="0"/>
        <w:rPr>
          <w:szCs w:val="22"/>
        </w:rPr>
      </w:pPr>
      <w:r w:rsidRPr="006B0DE9">
        <w:rPr>
          <w:szCs w:val="22"/>
        </w:rPr>
        <w:t>RECURSOS PARA EL PROGRAMA 2</w:t>
      </w:r>
    </w:p>
    <w:p w:rsidR="00F8358E" w:rsidRPr="006B0DE9" w:rsidRDefault="00F8358E" w:rsidP="00F8358E">
      <w:pPr>
        <w:widowControl w:val="0"/>
        <w:autoSpaceDE w:val="0"/>
        <w:autoSpaceDN w:val="0"/>
        <w:adjustRightInd w:val="0"/>
        <w:jc w:val="both"/>
        <w:rPr>
          <w:sz w:val="20"/>
        </w:rPr>
      </w:pPr>
    </w:p>
    <w:p w:rsidR="00F8358E" w:rsidRPr="006B0DE9" w:rsidRDefault="00F8358E" w:rsidP="00BA276E">
      <w:pPr>
        <w:widowControl w:val="0"/>
        <w:numPr>
          <w:ilvl w:val="0"/>
          <w:numId w:val="20"/>
        </w:numPr>
        <w:jc w:val="both"/>
        <w:rPr>
          <w:sz w:val="20"/>
        </w:rPr>
      </w:pPr>
      <w:r w:rsidRPr="006B0DE9">
        <w:rPr>
          <w:sz w:val="20"/>
        </w:rPr>
        <w:t xml:space="preserve">El aumento de los recursos destinados al resultado I.1 (Elaboración de marcos normativos internacionales equilibrados para la P.I.) es el resultado neto de i) una dotación por si se celebrase una conferencia diplomática para adoptar un nuevo tratado </w:t>
      </w:r>
      <w:r w:rsidRPr="006B0DE9">
        <w:rPr>
          <w:bCs/>
          <w:sz w:val="20"/>
        </w:rPr>
        <w:t xml:space="preserve">sobre </w:t>
      </w:r>
      <w:r w:rsidR="003A4B0F">
        <w:rPr>
          <w:bCs/>
          <w:sz w:val="20"/>
        </w:rPr>
        <w:t>el Derecho</w:t>
      </w:r>
      <w:r w:rsidRPr="006B0DE9">
        <w:rPr>
          <w:bCs/>
          <w:sz w:val="20"/>
        </w:rPr>
        <w:t xml:space="preserve"> de los </w:t>
      </w:r>
      <w:r>
        <w:rPr>
          <w:bCs/>
          <w:sz w:val="20"/>
        </w:rPr>
        <w:t>diseños</w:t>
      </w:r>
      <w:r w:rsidRPr="006B0DE9">
        <w:rPr>
          <w:bCs/>
          <w:sz w:val="20"/>
        </w:rPr>
        <w:t xml:space="preserve"> </w:t>
      </w:r>
      <w:r w:rsidR="003A4B0F">
        <w:rPr>
          <w:bCs/>
          <w:sz w:val="20"/>
        </w:rPr>
        <w:t>industriales y ii) </w:t>
      </w:r>
      <w:r w:rsidRPr="006B0DE9">
        <w:rPr>
          <w:bCs/>
          <w:sz w:val="20"/>
        </w:rPr>
        <w:t>reducciones relacionadas con la aplicación de medidas destinadas a fomentar la eficacia en función de los costos en el ámbito de las Misiones del personal y los Viajes de terceros</w:t>
      </w:r>
      <w:r w:rsidRPr="006B0DE9">
        <w:rPr>
          <w:sz w:val="20"/>
        </w:rPr>
        <w:t>.</w:t>
      </w:r>
    </w:p>
    <w:p w:rsidR="00F8358E" w:rsidRPr="006B0DE9" w:rsidRDefault="00F8358E" w:rsidP="00F8358E">
      <w:pPr>
        <w:widowControl w:val="0"/>
        <w:jc w:val="both"/>
        <w:rPr>
          <w:sz w:val="20"/>
        </w:rPr>
      </w:pPr>
    </w:p>
    <w:p w:rsidR="00F8358E" w:rsidRPr="006B0DE9" w:rsidRDefault="00F8358E" w:rsidP="00BA276E">
      <w:pPr>
        <w:widowControl w:val="0"/>
        <w:numPr>
          <w:ilvl w:val="0"/>
          <w:numId w:val="20"/>
        </w:numPr>
        <w:jc w:val="both"/>
        <w:rPr>
          <w:sz w:val="20"/>
        </w:rPr>
      </w:pPr>
      <w:r w:rsidRPr="006B0DE9">
        <w:rPr>
          <w:sz w:val="20"/>
        </w:rPr>
        <w:t>La intensa labor que acarrearía la celebración de una conferencia diplomática ha provocado una disminución de los recursos destinados al resultado I.2 (Asesoramiento legislativo).</w:t>
      </w:r>
    </w:p>
    <w:p w:rsidR="00F8358E" w:rsidRPr="006B0DE9" w:rsidRDefault="00F8358E" w:rsidP="00F8358E">
      <w:pPr>
        <w:widowControl w:val="0"/>
        <w:jc w:val="both"/>
        <w:rPr>
          <w:sz w:val="20"/>
        </w:rPr>
      </w:pPr>
    </w:p>
    <w:p w:rsidR="00F8358E" w:rsidRPr="006B0DE9" w:rsidRDefault="00F8358E" w:rsidP="00BA276E">
      <w:pPr>
        <w:widowControl w:val="0"/>
        <w:numPr>
          <w:ilvl w:val="0"/>
          <w:numId w:val="20"/>
        </w:numPr>
        <w:jc w:val="both"/>
        <w:rPr>
          <w:sz w:val="20"/>
        </w:rPr>
      </w:pPr>
      <w:r w:rsidRPr="006B0DE9">
        <w:rPr>
          <w:sz w:val="20"/>
        </w:rPr>
        <w:t>Los recursos para el resultado III.4 (Fortalecimiento de los mecanismos de cooperación) están relacionados con el proyecto de la A.D. sobre la P.I. y la creación de diseños para fomentar las actividades comerciales en los países en desarrollo y los PMA propuesto, estando sujetos a la aprobación por parte del CDIP, y se refieren principalmente a Misiones del personal; a Conferencias y a Servicios contractuales individuales.</w:t>
      </w:r>
    </w:p>
    <w:p w:rsidR="00F8358E" w:rsidRDefault="00F8358E" w:rsidP="004046B6">
      <w:pPr>
        <w:widowControl w:val="0"/>
        <w:autoSpaceDE w:val="0"/>
        <w:autoSpaceDN w:val="0"/>
        <w:adjustRightInd w:val="0"/>
        <w:jc w:val="center"/>
        <w:rPr>
          <w:b/>
          <w:bCs/>
          <w:iCs/>
          <w:sz w:val="20"/>
        </w:rPr>
      </w:pPr>
    </w:p>
    <w:p w:rsidR="00F8358E" w:rsidRPr="00F8358E" w:rsidRDefault="00F8358E" w:rsidP="004046B6">
      <w:pPr>
        <w:widowControl w:val="0"/>
        <w:autoSpaceDE w:val="0"/>
        <w:autoSpaceDN w:val="0"/>
        <w:adjustRightInd w:val="0"/>
        <w:jc w:val="center"/>
        <w:rPr>
          <w:b/>
          <w:bCs/>
          <w:iCs/>
          <w:sz w:val="20"/>
        </w:rPr>
      </w:pPr>
    </w:p>
    <w:p w:rsidR="004046B6" w:rsidRPr="00C75C7E" w:rsidRDefault="00026F22" w:rsidP="009B58F5">
      <w:pPr>
        <w:keepNext/>
        <w:widowControl w:val="0"/>
        <w:autoSpaceDE w:val="0"/>
        <w:autoSpaceDN w:val="0"/>
        <w:adjustRightInd w:val="0"/>
        <w:jc w:val="center"/>
        <w:rPr>
          <w:b/>
          <w:bCs/>
          <w:iCs/>
          <w:sz w:val="20"/>
          <w:lang w:val="es-ES_tradnl"/>
        </w:rPr>
      </w:pPr>
      <w:r>
        <w:rPr>
          <w:b/>
          <w:bCs/>
          <w:iCs/>
          <w:sz w:val="20"/>
          <w:lang w:val="es-ES_tradnl"/>
        </w:rPr>
        <w:lastRenderedPageBreak/>
        <w:t>Programa 2</w:t>
      </w:r>
      <w:proofErr w:type="gramStart"/>
      <w:r>
        <w:rPr>
          <w:b/>
          <w:bCs/>
          <w:iCs/>
          <w:sz w:val="20"/>
          <w:lang w:val="es-ES_tradnl"/>
        </w:rPr>
        <w:t xml:space="preserve">:  </w:t>
      </w:r>
      <w:r w:rsidR="004046B6" w:rsidRPr="00C75C7E">
        <w:rPr>
          <w:b/>
          <w:bCs/>
          <w:iCs/>
          <w:sz w:val="20"/>
          <w:lang w:val="es-ES_tradnl"/>
        </w:rPr>
        <w:t>Recursos</w:t>
      </w:r>
      <w:proofErr w:type="gramEnd"/>
      <w:r w:rsidR="004046B6" w:rsidRPr="00C75C7E">
        <w:rPr>
          <w:b/>
          <w:bCs/>
          <w:iCs/>
          <w:sz w:val="20"/>
          <w:lang w:val="es-ES_tradnl"/>
        </w:rPr>
        <w:t xml:space="preserve"> por resultado</w:t>
      </w:r>
    </w:p>
    <w:p w:rsidR="004046B6" w:rsidRPr="00C75C7E" w:rsidRDefault="004046B6" w:rsidP="009B58F5">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4046B6" w:rsidRPr="00C75C7E" w:rsidRDefault="004046B6" w:rsidP="009B58F5">
      <w:pPr>
        <w:keepNext/>
        <w:widowControl w:val="0"/>
        <w:autoSpaceDE w:val="0"/>
        <w:autoSpaceDN w:val="0"/>
        <w:adjustRightInd w:val="0"/>
        <w:jc w:val="center"/>
        <w:rPr>
          <w:sz w:val="20"/>
          <w:lang w:val="es-ES_tradnl"/>
        </w:rPr>
      </w:pPr>
    </w:p>
    <w:p w:rsidR="004046B6" w:rsidRPr="00C75C7E" w:rsidRDefault="001F1886" w:rsidP="004046B6">
      <w:pPr>
        <w:widowControl w:val="0"/>
        <w:autoSpaceDE w:val="0"/>
        <w:autoSpaceDN w:val="0"/>
        <w:adjustRightInd w:val="0"/>
        <w:jc w:val="center"/>
        <w:rPr>
          <w:sz w:val="20"/>
          <w:lang w:val="es-ES_tradnl"/>
        </w:rPr>
      </w:pPr>
      <w:r>
        <w:t>-</w:t>
      </w:r>
      <w:r w:rsidR="00214E52" w:rsidRPr="00214E52">
        <w:rPr>
          <w:noProof/>
          <w:lang w:val="en-US" w:eastAsia="en-US"/>
        </w:rPr>
        <w:drawing>
          <wp:inline distT="0" distB="0" distL="0" distR="0" wp14:anchorId="2CAA6C79" wp14:editId="21102F55">
            <wp:extent cx="5762625" cy="2838450"/>
            <wp:effectExtent l="0" t="0" r="9525"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62625" cy="2838450"/>
                    </a:xfrm>
                    <a:prstGeom prst="rect">
                      <a:avLst/>
                    </a:prstGeom>
                    <a:noFill/>
                    <a:ln>
                      <a:noFill/>
                    </a:ln>
                  </pic:spPr>
                </pic:pic>
              </a:graphicData>
            </a:graphic>
          </wp:inline>
        </w:drawing>
      </w:r>
      <w:r w:rsidR="00026F22" w:rsidRPr="00026F22">
        <w:t xml:space="preserve"> </w:t>
      </w:r>
    </w:p>
    <w:p w:rsidR="004046B6" w:rsidRPr="00C75C7E" w:rsidRDefault="004046B6" w:rsidP="004046B6">
      <w:pPr>
        <w:widowControl w:val="0"/>
        <w:autoSpaceDE w:val="0"/>
        <w:autoSpaceDN w:val="0"/>
        <w:adjustRightInd w:val="0"/>
        <w:rPr>
          <w:sz w:val="20"/>
          <w:lang w:val="es-ES_tradnl"/>
        </w:rPr>
      </w:pPr>
    </w:p>
    <w:p w:rsidR="004046B6" w:rsidRPr="00C75C7E" w:rsidRDefault="004046B6" w:rsidP="004046B6">
      <w:pPr>
        <w:widowControl w:val="0"/>
        <w:autoSpaceDE w:val="0"/>
        <w:autoSpaceDN w:val="0"/>
        <w:adjustRightInd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4046B6" w:rsidRPr="00C75C7E" w:rsidRDefault="004046B6" w:rsidP="004046B6">
      <w:pPr>
        <w:widowControl w:val="0"/>
        <w:autoSpaceDE w:val="0"/>
        <w:autoSpaceDN w:val="0"/>
        <w:adjustRightInd w:val="0"/>
        <w:rPr>
          <w:sz w:val="20"/>
          <w:lang w:val="es-ES_tradnl"/>
        </w:rPr>
      </w:pPr>
    </w:p>
    <w:p w:rsidR="004046B6" w:rsidRPr="00C75C7E" w:rsidRDefault="004046B6" w:rsidP="004046B6">
      <w:pPr>
        <w:widowControl w:val="0"/>
        <w:jc w:val="both"/>
        <w:rPr>
          <w:sz w:val="20"/>
          <w:lang w:val="es-ES_tradnl"/>
        </w:rPr>
      </w:pPr>
    </w:p>
    <w:p w:rsidR="004046B6" w:rsidRPr="00C75C7E" w:rsidRDefault="00026F22" w:rsidP="004046B6">
      <w:pPr>
        <w:keepNext/>
        <w:widowControl w:val="0"/>
        <w:autoSpaceDE w:val="0"/>
        <w:autoSpaceDN w:val="0"/>
        <w:adjustRightInd w:val="0"/>
        <w:ind w:firstLine="567"/>
        <w:jc w:val="center"/>
        <w:rPr>
          <w:b/>
          <w:bCs/>
          <w:iCs/>
          <w:sz w:val="20"/>
          <w:lang w:val="es-ES_tradnl"/>
        </w:rPr>
      </w:pPr>
      <w:r>
        <w:rPr>
          <w:b/>
          <w:bCs/>
          <w:iCs/>
          <w:sz w:val="20"/>
          <w:lang w:val="es-ES_tradnl"/>
        </w:rPr>
        <w:lastRenderedPageBreak/>
        <w:t>Programa 2</w:t>
      </w:r>
      <w:proofErr w:type="gramStart"/>
      <w:r>
        <w:rPr>
          <w:b/>
          <w:bCs/>
          <w:iCs/>
          <w:sz w:val="20"/>
          <w:lang w:val="es-ES_tradnl"/>
        </w:rPr>
        <w:t xml:space="preserve">:  </w:t>
      </w:r>
      <w:r w:rsidR="004046B6" w:rsidRPr="00C75C7E">
        <w:rPr>
          <w:b/>
          <w:bCs/>
          <w:iCs/>
          <w:sz w:val="20"/>
          <w:lang w:val="es-ES_tradnl"/>
        </w:rPr>
        <w:t>Recursos</w:t>
      </w:r>
      <w:proofErr w:type="gramEnd"/>
      <w:r w:rsidR="004046B6" w:rsidRPr="00C75C7E">
        <w:rPr>
          <w:b/>
          <w:bCs/>
          <w:iCs/>
          <w:sz w:val="20"/>
          <w:lang w:val="es-ES_tradnl"/>
        </w:rPr>
        <w:t xml:space="preserve"> por objeto de gasto</w:t>
      </w:r>
    </w:p>
    <w:p w:rsidR="004046B6" w:rsidRPr="00C75C7E" w:rsidRDefault="004046B6" w:rsidP="004046B6">
      <w:pPr>
        <w:keepNext/>
        <w:widowControl w:val="0"/>
        <w:jc w:val="center"/>
        <w:rPr>
          <w:i/>
          <w:sz w:val="18"/>
          <w:szCs w:val="18"/>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4046B6" w:rsidRDefault="004046B6" w:rsidP="004046B6">
      <w:pPr>
        <w:keepNext/>
        <w:widowControl w:val="0"/>
        <w:jc w:val="center"/>
        <w:rPr>
          <w:i/>
          <w:sz w:val="18"/>
          <w:szCs w:val="18"/>
          <w:lang w:val="es-ES_tradnl"/>
        </w:rPr>
      </w:pPr>
    </w:p>
    <w:p w:rsidR="00872D10" w:rsidRPr="00C75C7E" w:rsidRDefault="00C40A11" w:rsidP="004046B6">
      <w:pPr>
        <w:keepNext/>
        <w:widowControl w:val="0"/>
        <w:jc w:val="center"/>
        <w:rPr>
          <w:i/>
          <w:sz w:val="18"/>
          <w:szCs w:val="18"/>
          <w:lang w:val="es-ES_tradnl"/>
        </w:rPr>
      </w:pPr>
      <w:r>
        <w:rPr>
          <w:noProof/>
          <w:lang w:val="en-US" w:eastAsia="en-US"/>
        </w:rPr>
        <w:drawing>
          <wp:inline distT="0" distB="0" distL="0" distR="0" wp14:anchorId="04F48D66" wp14:editId="34E13A67">
            <wp:extent cx="5936615" cy="6182360"/>
            <wp:effectExtent l="0" t="0" r="6985"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36615" cy="6182360"/>
                    </a:xfrm>
                    <a:prstGeom prst="rect">
                      <a:avLst/>
                    </a:prstGeom>
                    <a:noFill/>
                    <a:ln>
                      <a:noFill/>
                    </a:ln>
                  </pic:spPr>
                </pic:pic>
              </a:graphicData>
            </a:graphic>
          </wp:inline>
        </w:drawing>
      </w:r>
    </w:p>
    <w:p w:rsidR="00872D10" w:rsidRDefault="00872D10" w:rsidP="004046B6">
      <w:pPr>
        <w:widowControl w:val="0"/>
        <w:rPr>
          <w:sz w:val="16"/>
          <w:szCs w:val="16"/>
          <w:lang w:val="es-ES_tradnl"/>
        </w:rPr>
      </w:pPr>
    </w:p>
    <w:p w:rsidR="004046B6" w:rsidRPr="00C75C7E" w:rsidRDefault="004046B6" w:rsidP="004046B6">
      <w:pPr>
        <w:widowControl w:val="0"/>
        <w:rPr>
          <w:sz w:val="16"/>
          <w:szCs w:val="16"/>
          <w:lang w:val="es-ES_tradnl"/>
        </w:rPr>
      </w:pPr>
      <w:r w:rsidRPr="00C75C7E">
        <w:rPr>
          <w:sz w:val="16"/>
          <w:szCs w:val="16"/>
          <w:lang w:val="es-ES_tradnl"/>
        </w:rPr>
        <w:t>Notas:</w:t>
      </w:r>
    </w:p>
    <w:p w:rsidR="004046B6" w:rsidRPr="00C75C7E" w:rsidRDefault="004046B6" w:rsidP="004046B6">
      <w:pPr>
        <w:widowControl w:val="0"/>
        <w:rPr>
          <w:sz w:val="16"/>
          <w:szCs w:val="16"/>
          <w:u w:val="single"/>
          <w:lang w:val="es-ES_tradnl"/>
        </w:rPr>
      </w:pPr>
    </w:p>
    <w:p w:rsidR="004046B6" w:rsidRDefault="002370D4" w:rsidP="002370D4">
      <w:pPr>
        <w:widowControl w:val="0"/>
        <w:rPr>
          <w:sz w:val="16"/>
          <w:szCs w:val="16"/>
          <w:lang w:val="es-ES_tradnl"/>
        </w:rPr>
      </w:pPr>
      <w:r>
        <w:rPr>
          <w:sz w:val="16"/>
          <w:szCs w:val="16"/>
          <w:lang w:val="es-ES_tradnl"/>
        </w:rPr>
        <w:t xml:space="preserve">1)  </w:t>
      </w:r>
      <w:r w:rsidR="004046B6" w:rsidRPr="00C75C7E">
        <w:rPr>
          <w:sz w:val="16"/>
          <w:szCs w:val="16"/>
          <w:lang w:val="es-ES_tradnl"/>
        </w:rPr>
        <w:t xml:space="preserve">El presupuesto aprobado de 2012/13 y el presupuesto de dicho bienio después de las transferencias se </w:t>
      </w:r>
      <w:proofErr w:type="spellStart"/>
      <w:r w:rsidR="004046B6" w:rsidRPr="00C75C7E">
        <w:rPr>
          <w:sz w:val="16"/>
          <w:szCs w:val="16"/>
          <w:lang w:val="es-ES_tradnl"/>
        </w:rPr>
        <w:t>reexpresan</w:t>
      </w:r>
      <w:proofErr w:type="spellEnd"/>
      <w:r w:rsidR="004046B6" w:rsidRPr="00C75C7E">
        <w:rPr>
          <w:sz w:val="16"/>
          <w:szCs w:val="16"/>
          <w:lang w:val="es-ES_tradnl"/>
        </w:rPr>
        <w:t xml:space="preserve"> sobre la base de la estructura de categorías de costos propuesta para 2014/15.</w:t>
      </w:r>
    </w:p>
    <w:p w:rsidR="004046B6" w:rsidRPr="00C75C7E" w:rsidRDefault="004046B6" w:rsidP="004046B6">
      <w:pPr>
        <w:widowControl w:val="0"/>
        <w:rPr>
          <w:sz w:val="16"/>
          <w:szCs w:val="16"/>
          <w:lang w:val="es-ES_tradnl"/>
        </w:rPr>
      </w:pPr>
    </w:p>
    <w:p w:rsidR="004046B6" w:rsidRDefault="006D4AE3" w:rsidP="004046B6">
      <w:pPr>
        <w:widowControl w:val="0"/>
        <w:rPr>
          <w:rFonts w:cs="ArialMT"/>
          <w:sz w:val="16"/>
          <w:szCs w:val="16"/>
          <w:lang w:val="es-ES_tradnl"/>
        </w:rPr>
      </w:pPr>
      <w:r>
        <w:rPr>
          <w:sz w:val="16"/>
          <w:szCs w:val="16"/>
          <w:lang w:val="es-ES_tradnl"/>
        </w:rPr>
        <w:t xml:space="preserve">2)  </w:t>
      </w:r>
      <w:r w:rsidR="004046B6"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004046B6" w:rsidRPr="00C75C7E">
        <w:rPr>
          <w:rFonts w:cs="ArialMT"/>
          <w:sz w:val="16"/>
          <w:szCs w:val="16"/>
          <w:lang w:val="es-ES_tradnl"/>
        </w:rPr>
        <w:t>Los costos de personal del presupuesto de 2012/13 después de las transferencias representan los gastos reales efectuados hasta el 31 de marzo de 2013 y los importes presupuestados pa</w:t>
      </w:r>
      <w:r w:rsidR="004046B6">
        <w:rPr>
          <w:rFonts w:cs="ArialMT"/>
          <w:sz w:val="16"/>
          <w:szCs w:val="16"/>
          <w:lang w:val="es-ES_tradnl"/>
        </w:rPr>
        <w:t>ra los nueve meses restantes de </w:t>
      </w:r>
      <w:r w:rsidR="004046B6" w:rsidRPr="00C75C7E">
        <w:rPr>
          <w:rFonts w:cs="ArialMT"/>
          <w:sz w:val="16"/>
          <w:szCs w:val="16"/>
          <w:lang w:val="es-ES_tradnl"/>
        </w:rPr>
        <w:t xml:space="preserve">2013, sobre la base de costos estándar. </w:t>
      </w:r>
    </w:p>
    <w:p w:rsidR="004046B6" w:rsidRPr="00C75C7E" w:rsidRDefault="004046B6" w:rsidP="004046B6">
      <w:pPr>
        <w:widowControl w:val="0"/>
        <w:rPr>
          <w:sz w:val="16"/>
          <w:szCs w:val="16"/>
          <w:lang w:val="es-ES_tradnl"/>
        </w:rPr>
      </w:pPr>
    </w:p>
    <w:p w:rsidR="004046B6" w:rsidRDefault="006D4AE3" w:rsidP="004046B6">
      <w:pPr>
        <w:widowControl w:val="0"/>
        <w:tabs>
          <w:tab w:val="left" w:pos="567"/>
        </w:tabs>
        <w:rPr>
          <w:sz w:val="16"/>
          <w:szCs w:val="16"/>
          <w:lang w:val="es-ES_tradnl"/>
        </w:rPr>
      </w:pPr>
      <w:r>
        <w:rPr>
          <w:sz w:val="16"/>
          <w:szCs w:val="16"/>
          <w:lang w:val="es-ES_tradnl"/>
        </w:rPr>
        <w:t xml:space="preserve">3)  </w:t>
      </w:r>
      <w:r w:rsidR="004046B6" w:rsidRPr="00C75C7E">
        <w:rPr>
          <w:sz w:val="16"/>
          <w:szCs w:val="16"/>
          <w:lang w:val="es-ES_tradnl"/>
        </w:rPr>
        <w:t>Para más información sobre los puestos del programa cabe remitirse al cuadro que figura en el Anexo II.</w:t>
      </w:r>
    </w:p>
    <w:p w:rsidR="004046B6" w:rsidRPr="00C75C7E" w:rsidRDefault="004046B6" w:rsidP="004046B6">
      <w:pPr>
        <w:widowControl w:val="0"/>
        <w:tabs>
          <w:tab w:val="left" w:pos="567"/>
        </w:tabs>
        <w:rPr>
          <w:sz w:val="16"/>
          <w:szCs w:val="16"/>
          <w:lang w:val="es-ES_tradnl"/>
        </w:rPr>
      </w:pPr>
    </w:p>
    <w:p w:rsidR="004046B6" w:rsidRPr="00C75C7E" w:rsidRDefault="006D4AE3" w:rsidP="004046B6">
      <w:pPr>
        <w:widowControl w:val="0"/>
        <w:rPr>
          <w:sz w:val="20"/>
          <w:lang w:val="es-ES_tradnl"/>
        </w:rPr>
      </w:pPr>
      <w:r>
        <w:rPr>
          <w:sz w:val="16"/>
          <w:szCs w:val="16"/>
          <w:lang w:val="es-ES_tradnl"/>
        </w:rPr>
        <w:t xml:space="preserve">4)  </w:t>
      </w:r>
      <w:r w:rsidR="004046B6" w:rsidRPr="00C75C7E">
        <w:rPr>
          <w:sz w:val="16"/>
          <w:szCs w:val="16"/>
          <w:lang w:val="es-ES_tradnl"/>
        </w:rPr>
        <w:t>Incluye el proyecto de la A.D. sobre “La P.I. y la creación de diseños para fomentar las actividades comerciales en los países en desarrollo y los países menos adelantados (PMA)”.</w:t>
      </w:r>
    </w:p>
    <w:p w:rsidR="00F8358E" w:rsidRPr="006D4AE3" w:rsidRDefault="004046B6" w:rsidP="006D4AE3">
      <w:pPr>
        <w:pStyle w:val="Heading3"/>
        <w:tabs>
          <w:tab w:val="left" w:pos="1985"/>
        </w:tabs>
        <w:rPr>
          <w:b/>
          <w:iCs/>
          <w:caps/>
          <w:u w:val="none"/>
        </w:rPr>
      </w:pPr>
      <w:r w:rsidRPr="00C75C7E">
        <w:rPr>
          <w:sz w:val="20"/>
          <w:lang w:val="es-ES_tradnl"/>
        </w:rPr>
        <w:br w:type="page"/>
      </w:r>
      <w:bookmarkStart w:id="23" w:name="_Toc356567749"/>
      <w:bookmarkStart w:id="24" w:name="_Toc366078709"/>
      <w:r w:rsidR="006D4AE3" w:rsidRPr="006D4AE3">
        <w:rPr>
          <w:b/>
          <w:iCs/>
          <w:caps/>
          <w:u w:val="none"/>
        </w:rPr>
        <w:lastRenderedPageBreak/>
        <w:t>PROGRAMA 3</w:t>
      </w:r>
      <w:r w:rsidR="006D4AE3" w:rsidRPr="006D4AE3">
        <w:rPr>
          <w:b/>
          <w:iCs/>
          <w:caps/>
          <w:u w:val="none"/>
        </w:rPr>
        <w:tab/>
      </w:r>
      <w:bookmarkEnd w:id="23"/>
      <w:r w:rsidR="006D4AE3" w:rsidRPr="006D4AE3">
        <w:rPr>
          <w:b/>
          <w:iCs/>
          <w:caps/>
          <w:u w:val="none"/>
        </w:rPr>
        <w:t>DERECHO DE AUTOR Y DERECHOS CONEXOS</w:t>
      </w:r>
      <w:bookmarkEnd w:id="24"/>
    </w:p>
    <w:p w:rsidR="00F8358E" w:rsidRPr="006B0DE9" w:rsidRDefault="00F8358E" w:rsidP="00F8358E">
      <w:pPr>
        <w:widowControl w:val="0"/>
        <w:tabs>
          <w:tab w:val="left" w:pos="2268"/>
        </w:tabs>
        <w:ind w:left="2268" w:hanging="2268"/>
        <w:rPr>
          <w:bCs/>
          <w:sz w:val="20"/>
        </w:rPr>
      </w:pPr>
    </w:p>
    <w:p w:rsidR="00F8358E" w:rsidRPr="006B0DE9" w:rsidRDefault="00F8358E" w:rsidP="00F8358E">
      <w:pPr>
        <w:widowControl w:val="0"/>
        <w:tabs>
          <w:tab w:val="left" w:pos="2268"/>
        </w:tabs>
        <w:ind w:left="2268" w:hanging="2268"/>
        <w:rPr>
          <w:bCs/>
          <w:sz w:val="20"/>
        </w:rPr>
      </w:pPr>
    </w:p>
    <w:p w:rsidR="00F8358E" w:rsidRPr="006B0DE9" w:rsidRDefault="00F8358E" w:rsidP="00F8358E">
      <w:pPr>
        <w:pStyle w:val="BodyTextIndent"/>
        <w:widowControl w:val="0"/>
        <w:ind w:left="1985" w:hanging="1985"/>
        <w:jc w:val="both"/>
        <w:rPr>
          <w:rFonts w:ascii="Arial" w:hAnsi="Arial" w:cs="Arial"/>
          <w:sz w:val="22"/>
          <w:szCs w:val="22"/>
          <w:lang w:val="es-ES"/>
        </w:rPr>
      </w:pPr>
      <w:r w:rsidRPr="006B0DE9">
        <w:rPr>
          <w:rFonts w:ascii="Arial" w:hAnsi="Arial" w:cs="Arial"/>
          <w:sz w:val="22"/>
          <w:szCs w:val="22"/>
          <w:lang w:val="es-ES"/>
        </w:rPr>
        <w:t>CONTEXTO DE PLANIFICACIÓN</w:t>
      </w:r>
    </w:p>
    <w:p w:rsidR="00F8358E" w:rsidRPr="006B0DE9" w:rsidRDefault="00F8358E" w:rsidP="00F8358E">
      <w:pPr>
        <w:widowControl w:val="0"/>
        <w:autoSpaceDE w:val="0"/>
        <w:autoSpaceDN w:val="0"/>
        <w:adjustRightInd w:val="0"/>
        <w:rPr>
          <w:sz w:val="20"/>
        </w:rPr>
      </w:pPr>
    </w:p>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En el Plan Estratégico a Mediano Plazo (PEMP) para 2010/15 se destacan varios cambios importantes en el entorno a nivel mundial, con los consiguientes desafíos y oportunidades para la OMPI.  Se considera que esto es aún más evidente en el ámbito del derecho de autor</w:t>
      </w:r>
      <w:r w:rsidR="00026F22">
        <w:rPr>
          <w:sz w:val="20"/>
        </w:rPr>
        <w:t xml:space="preserve"> y los derechos conexos</w:t>
      </w:r>
      <w:r w:rsidRPr="006B0DE9">
        <w:rPr>
          <w:sz w:val="20"/>
        </w:rPr>
        <w:t>, en el que la tecnología digital</w:t>
      </w:r>
      <w:r>
        <w:rPr>
          <w:sz w:val="20"/>
        </w:rPr>
        <w:t>,</w:t>
      </w:r>
      <w:r w:rsidRPr="006B0DE9">
        <w:rPr>
          <w:sz w:val="20"/>
        </w:rPr>
        <w:t xml:space="preserve"> y sobre todo Internet</w:t>
      </w:r>
      <w:r>
        <w:rPr>
          <w:sz w:val="20"/>
        </w:rPr>
        <w:t>,</w:t>
      </w:r>
      <w:r w:rsidRPr="006B0DE9">
        <w:rPr>
          <w:sz w:val="20"/>
        </w:rPr>
        <w:t xml:space="preserve"> han cambiado de forma irreversible la fisonomía de las industrias culturales y creativas.</w:t>
      </w:r>
    </w:p>
    <w:p w:rsidR="00F8358E" w:rsidRPr="006B0DE9" w:rsidRDefault="00F8358E" w:rsidP="00F8358E">
      <w:pPr>
        <w:widowControl w:val="0"/>
        <w:autoSpaceDE w:val="0"/>
        <w:autoSpaceDN w:val="0"/>
        <w:adjustRightInd w:val="0"/>
        <w:jc w:val="both"/>
        <w:rPr>
          <w:sz w:val="20"/>
        </w:rPr>
      </w:pPr>
    </w:p>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Estos son los aspectos y desafíos que son pertinentes y que lo seguirán siendo durante el bienio próximo.</w:t>
      </w:r>
    </w:p>
    <w:p w:rsidR="00F8358E" w:rsidRPr="006B0DE9" w:rsidRDefault="00F8358E" w:rsidP="00F8358E">
      <w:pPr>
        <w:widowControl w:val="0"/>
        <w:rPr>
          <w:sz w:val="20"/>
          <w:u w:val="single"/>
        </w:rPr>
      </w:pPr>
    </w:p>
    <w:p w:rsidR="00F8358E" w:rsidRPr="006B0DE9" w:rsidRDefault="00F8358E" w:rsidP="00F8358E">
      <w:pPr>
        <w:widowControl w:val="0"/>
        <w:rPr>
          <w:sz w:val="20"/>
          <w:u w:val="single"/>
        </w:rPr>
      </w:pPr>
      <w:r w:rsidRPr="006B0DE9">
        <w:rPr>
          <w:sz w:val="20"/>
          <w:u w:val="single"/>
        </w:rPr>
        <w:t>Labor normativa y de política</w:t>
      </w:r>
    </w:p>
    <w:p w:rsidR="00F8358E" w:rsidRPr="006B0DE9" w:rsidRDefault="00F8358E" w:rsidP="00F8358E">
      <w:pPr>
        <w:widowControl w:val="0"/>
        <w:rPr>
          <w:sz w:val="20"/>
          <w:u w:val="single"/>
        </w:rPr>
      </w:pPr>
    </w:p>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Los Estados miembros han reconocido cuáles son las actividades normativas que se han de llevar a cabo y aún hay algunas cuestiones pendientes de solución.  A medida que van finalizando las negociaciones de los distintos tratados, la Secretaría ha de responder a las solicitudes de asesoramiento legislativo que le formulan los Estados miembros a fin de ajustar sus respectivas legislaciones nacionales a las disposiciones de los tratados de la OMPI.</w:t>
      </w:r>
    </w:p>
    <w:p w:rsidR="00F8358E" w:rsidRPr="006B0DE9" w:rsidRDefault="00F8358E" w:rsidP="00F8358E">
      <w:pPr>
        <w:widowControl w:val="0"/>
        <w:autoSpaceDE w:val="0"/>
        <w:autoSpaceDN w:val="0"/>
        <w:adjustRightInd w:val="0"/>
        <w:jc w:val="both"/>
        <w:rPr>
          <w:sz w:val="20"/>
        </w:rPr>
      </w:pPr>
    </w:p>
    <w:p w:rsidR="00F8358E" w:rsidRPr="006B0DE9" w:rsidRDefault="00F8358E" w:rsidP="00F8358E">
      <w:pPr>
        <w:widowControl w:val="0"/>
        <w:autoSpaceDE w:val="0"/>
        <w:autoSpaceDN w:val="0"/>
        <w:adjustRightInd w:val="0"/>
        <w:jc w:val="both"/>
        <w:rPr>
          <w:sz w:val="20"/>
          <w:u w:val="single"/>
        </w:rPr>
      </w:pPr>
      <w:r w:rsidRPr="006B0DE9">
        <w:rPr>
          <w:sz w:val="20"/>
          <w:u w:val="single"/>
        </w:rPr>
        <w:t>Asistencia técnica a los países en desarrollo y los PMA</w:t>
      </w:r>
    </w:p>
    <w:p w:rsidR="00F8358E" w:rsidRPr="006B0DE9" w:rsidRDefault="00F8358E" w:rsidP="00F8358E">
      <w:pPr>
        <w:widowControl w:val="0"/>
        <w:autoSpaceDE w:val="0"/>
        <w:autoSpaceDN w:val="0"/>
        <w:adjustRightInd w:val="0"/>
        <w:jc w:val="both"/>
        <w:rPr>
          <w:sz w:val="20"/>
        </w:rPr>
      </w:pPr>
    </w:p>
    <w:p w:rsidR="00F8358E" w:rsidRPr="006B0DE9" w:rsidRDefault="00F8358E" w:rsidP="00BA276E">
      <w:pPr>
        <w:widowControl w:val="0"/>
        <w:numPr>
          <w:ilvl w:val="0"/>
          <w:numId w:val="21"/>
        </w:numPr>
        <w:autoSpaceDE w:val="0"/>
        <w:autoSpaceDN w:val="0"/>
        <w:adjustRightInd w:val="0"/>
        <w:jc w:val="both"/>
        <w:rPr>
          <w:sz w:val="20"/>
        </w:rPr>
      </w:pPr>
      <w:r w:rsidRPr="006B0DE9">
        <w:rPr>
          <w:bCs/>
          <w:sz w:val="20"/>
        </w:rPr>
        <w:t xml:space="preserve">Facilitar el uso de la P.I. en aras del desarrollo es una de las metas estratégicas de la OMPI.  Para los países en desarrollo resulta muy atractivo responder al desafío que supone utilizar el sistema de derecho de autor </w:t>
      </w:r>
      <w:r w:rsidR="00026F22">
        <w:rPr>
          <w:bCs/>
          <w:sz w:val="20"/>
        </w:rPr>
        <w:t xml:space="preserve">y de derechos conexos </w:t>
      </w:r>
      <w:r w:rsidRPr="006B0DE9">
        <w:rPr>
          <w:bCs/>
          <w:sz w:val="20"/>
        </w:rPr>
        <w:t>para explotar su cultura.  La OMPI redoblará sus esfuerzos a fin de dar respuesta a esta demanda creciente.</w:t>
      </w:r>
    </w:p>
    <w:p w:rsidR="00F8358E" w:rsidRPr="006B0DE9" w:rsidRDefault="00F8358E" w:rsidP="00F8358E">
      <w:pPr>
        <w:widowControl w:val="0"/>
        <w:autoSpaceDE w:val="0"/>
        <w:autoSpaceDN w:val="0"/>
        <w:adjustRightInd w:val="0"/>
        <w:jc w:val="both"/>
        <w:rPr>
          <w:sz w:val="20"/>
        </w:rPr>
      </w:pPr>
    </w:p>
    <w:p w:rsidR="00F8358E" w:rsidRPr="006B0DE9" w:rsidRDefault="00F8358E" w:rsidP="00F8358E">
      <w:pPr>
        <w:widowControl w:val="0"/>
        <w:autoSpaceDE w:val="0"/>
        <w:autoSpaceDN w:val="0"/>
        <w:adjustRightInd w:val="0"/>
        <w:jc w:val="both"/>
        <w:rPr>
          <w:sz w:val="20"/>
          <w:u w:val="single"/>
        </w:rPr>
      </w:pPr>
      <w:r w:rsidRPr="006B0DE9">
        <w:rPr>
          <w:sz w:val="20"/>
          <w:u w:val="single"/>
        </w:rPr>
        <w:t>Fomentar el desarrollo de infraestructura en el ámbito del derecho de autor</w:t>
      </w:r>
    </w:p>
    <w:p w:rsidR="00F8358E" w:rsidRPr="006B0DE9" w:rsidRDefault="00F8358E" w:rsidP="00F8358E">
      <w:pPr>
        <w:widowControl w:val="0"/>
        <w:autoSpaceDE w:val="0"/>
        <w:autoSpaceDN w:val="0"/>
        <w:adjustRightInd w:val="0"/>
        <w:jc w:val="both"/>
        <w:rPr>
          <w:sz w:val="20"/>
        </w:rPr>
      </w:pPr>
    </w:p>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 xml:space="preserve">Para que los países en desarrollo puedan aprovechar el potencial económico que tiene su cultura es absolutamente necesario que </w:t>
      </w:r>
      <w:r>
        <w:rPr>
          <w:sz w:val="20"/>
        </w:rPr>
        <w:t xml:space="preserve">utilicen de forma eficaz </w:t>
      </w:r>
      <w:r w:rsidRPr="006B0DE9">
        <w:rPr>
          <w:sz w:val="20"/>
        </w:rPr>
        <w:t>el sistema de derecho de autor en el entorno digital.  Esto supone un desafío para la OMPI, que ha de responder a las necesidades que se plantean en materia de formación y facilitar el acceso a los sistemas mundiales de gestión de datos.</w:t>
      </w:r>
    </w:p>
    <w:p w:rsidR="00F8358E" w:rsidRPr="006B0DE9" w:rsidRDefault="00F8358E" w:rsidP="00F8358E">
      <w:pPr>
        <w:widowControl w:val="0"/>
        <w:autoSpaceDE w:val="0"/>
        <w:autoSpaceDN w:val="0"/>
        <w:adjustRightInd w:val="0"/>
        <w:jc w:val="both"/>
        <w:rPr>
          <w:sz w:val="20"/>
        </w:rPr>
      </w:pPr>
    </w:p>
    <w:p w:rsidR="00F8358E" w:rsidRPr="006B0DE9" w:rsidRDefault="00F8358E" w:rsidP="00F8358E">
      <w:pPr>
        <w:widowControl w:val="0"/>
        <w:autoSpaceDE w:val="0"/>
        <w:autoSpaceDN w:val="0"/>
        <w:adjustRightInd w:val="0"/>
        <w:jc w:val="both"/>
        <w:rPr>
          <w:sz w:val="20"/>
        </w:rPr>
      </w:pPr>
    </w:p>
    <w:p w:rsidR="00F8358E" w:rsidRPr="006B0DE9" w:rsidRDefault="00F8358E" w:rsidP="00F8358E">
      <w:pPr>
        <w:widowControl w:val="0"/>
        <w:autoSpaceDE w:val="0"/>
        <w:autoSpaceDN w:val="0"/>
        <w:adjustRightInd w:val="0"/>
        <w:jc w:val="both"/>
        <w:rPr>
          <w:sz w:val="20"/>
        </w:rPr>
      </w:pPr>
      <w:r w:rsidRPr="006B0DE9">
        <w:rPr>
          <w:sz w:val="20"/>
        </w:rPr>
        <w:t>ESTRATEGIAS DE EJECUCIÓN</w:t>
      </w:r>
    </w:p>
    <w:p w:rsidR="00F8358E" w:rsidRPr="006B0DE9" w:rsidRDefault="00F8358E" w:rsidP="00F8358E">
      <w:pPr>
        <w:widowControl w:val="0"/>
        <w:autoSpaceDE w:val="0"/>
        <w:autoSpaceDN w:val="0"/>
        <w:adjustRightInd w:val="0"/>
        <w:jc w:val="both"/>
        <w:rPr>
          <w:sz w:val="20"/>
        </w:rPr>
      </w:pPr>
    </w:p>
    <w:p w:rsidR="00F8358E" w:rsidRPr="006B0DE9" w:rsidRDefault="00F8358E" w:rsidP="00BA276E">
      <w:pPr>
        <w:widowControl w:val="0"/>
        <w:numPr>
          <w:ilvl w:val="0"/>
          <w:numId w:val="21"/>
        </w:numPr>
        <w:autoSpaceDE w:val="0"/>
        <w:autoSpaceDN w:val="0"/>
        <w:adjustRightInd w:val="0"/>
        <w:jc w:val="both"/>
        <w:rPr>
          <w:sz w:val="20"/>
        </w:rPr>
      </w:pPr>
      <w:r w:rsidRPr="006B0DE9">
        <w:rPr>
          <w:bCs/>
          <w:sz w:val="20"/>
        </w:rPr>
        <w:t>Ante esta perspectiva, en el próximo bienio el programa se centrará en las prioridades siguientes:</w:t>
      </w:r>
    </w:p>
    <w:p w:rsidR="00F8358E" w:rsidRPr="006B0DE9" w:rsidRDefault="00F8358E" w:rsidP="00F8358E">
      <w:pPr>
        <w:widowControl w:val="0"/>
        <w:rPr>
          <w:sz w:val="20"/>
        </w:rPr>
      </w:pPr>
    </w:p>
    <w:p w:rsidR="00F8358E" w:rsidRPr="006B0DE9" w:rsidRDefault="00F8358E" w:rsidP="00F8358E">
      <w:pPr>
        <w:widowControl w:val="0"/>
        <w:rPr>
          <w:sz w:val="20"/>
          <w:u w:val="single"/>
        </w:rPr>
      </w:pPr>
      <w:r w:rsidRPr="006B0DE9">
        <w:rPr>
          <w:sz w:val="20"/>
          <w:u w:val="single"/>
        </w:rPr>
        <w:t>Labor normativa y de política</w:t>
      </w:r>
    </w:p>
    <w:p w:rsidR="00F8358E" w:rsidRPr="006B0DE9" w:rsidRDefault="00F8358E" w:rsidP="00F8358E">
      <w:pPr>
        <w:widowControl w:val="0"/>
        <w:rPr>
          <w:sz w:val="20"/>
        </w:rPr>
      </w:pPr>
    </w:p>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El desarrollo de las actividades normativas relacionadas con el derecho de autor y los derechos conexos se centrará en facilitar las negociaciones de los tratados, atender las solicitudes que formulen los Estados miembros con respecto a la aplicación de nuevos tratados y prestar asesoramiento legislativo.  Los nuevos tratados que han de aplicarse son el Tratado de Beijing</w:t>
      </w:r>
      <w:r w:rsidR="00990DF3">
        <w:rPr>
          <w:sz w:val="20"/>
        </w:rPr>
        <w:t xml:space="preserve"> sobre Interpretaciones y Ejecuciones Audiovisuales</w:t>
      </w:r>
      <w:r w:rsidRPr="006B0DE9">
        <w:rPr>
          <w:sz w:val="20"/>
        </w:rPr>
        <w:t xml:space="preserve"> y </w:t>
      </w:r>
      <w:r w:rsidR="007D3504">
        <w:rPr>
          <w:sz w:val="20"/>
        </w:rPr>
        <w:t>e</w:t>
      </w:r>
      <w:r w:rsidRPr="006B0DE9">
        <w:rPr>
          <w:sz w:val="20"/>
        </w:rPr>
        <w:t>l Tratado de Marrakech</w:t>
      </w:r>
      <w:r w:rsidR="00990DF3" w:rsidRPr="00990DF3">
        <w:rPr>
          <w:sz w:val="20"/>
        </w:rPr>
        <w:t xml:space="preserve"> para facilitar el acceso a las obras publicadas a las personas ciegas, con discapacidad visual o con otras dificultades para acceder al texto impreso</w:t>
      </w:r>
      <w:r w:rsidRPr="006B0DE9">
        <w:rPr>
          <w:sz w:val="20"/>
        </w:rPr>
        <w:t xml:space="preserve">, y se espera que ambos generen una cantidad significativa de solicitudes de asesoramiento legislativo en el marco de las iniciativas de ratificación y de aplicación por parte de los Estados miembros.  La labor de facilitación tendrá que ver con la propuesta de tratado sobre la radiodifusión y con los debates relativos a </w:t>
      </w:r>
      <w:r w:rsidR="007D3504">
        <w:rPr>
          <w:sz w:val="20"/>
        </w:rPr>
        <w:t>un instrumento o instrumentos jurídicos internacionales y adecuados sobre</w:t>
      </w:r>
      <w:r w:rsidRPr="006B0DE9">
        <w:rPr>
          <w:sz w:val="20"/>
        </w:rPr>
        <w:t xml:space="preserve"> excepciones y limitaciones </w:t>
      </w:r>
      <w:r w:rsidR="007D3504">
        <w:rPr>
          <w:sz w:val="20"/>
        </w:rPr>
        <w:t xml:space="preserve">para las bibliotecas, archivos, instituciones docentes, educativas y de investigación, así como para las personas con otras discapacidades, </w:t>
      </w:r>
      <w:r w:rsidRPr="006B0DE9">
        <w:rPr>
          <w:sz w:val="20"/>
        </w:rPr>
        <w:t>que se están manteniendo en la actualidad en el marco del SCCR.  En el ámbito de las políticas, se prestará atención especial a las oportunidades y desafíos que Internet</w:t>
      </w:r>
      <w:r>
        <w:rPr>
          <w:sz w:val="20"/>
        </w:rPr>
        <w:t xml:space="preserve"> y las tecnologías digitales </w:t>
      </w:r>
      <w:r w:rsidRPr="006B0DE9">
        <w:rPr>
          <w:sz w:val="20"/>
        </w:rPr>
        <w:t>plantean de forma permanente al sistema de derecho de autor.</w:t>
      </w:r>
    </w:p>
    <w:p w:rsidR="00F8358E" w:rsidRPr="006B0DE9" w:rsidRDefault="00F8358E" w:rsidP="00F8358E">
      <w:pPr>
        <w:widowControl w:val="0"/>
        <w:autoSpaceDE w:val="0"/>
        <w:autoSpaceDN w:val="0"/>
        <w:adjustRightInd w:val="0"/>
        <w:jc w:val="both"/>
        <w:rPr>
          <w:sz w:val="20"/>
        </w:rPr>
      </w:pPr>
    </w:p>
    <w:p w:rsidR="00F8358E" w:rsidRPr="006B0DE9" w:rsidRDefault="00F8358E" w:rsidP="00990DF3">
      <w:pPr>
        <w:keepNext/>
        <w:keepLines/>
        <w:widowControl w:val="0"/>
        <w:autoSpaceDE w:val="0"/>
        <w:autoSpaceDN w:val="0"/>
        <w:adjustRightInd w:val="0"/>
        <w:jc w:val="both"/>
        <w:rPr>
          <w:sz w:val="20"/>
          <w:u w:val="single"/>
        </w:rPr>
      </w:pPr>
      <w:r w:rsidRPr="006B0DE9">
        <w:rPr>
          <w:sz w:val="20"/>
          <w:u w:val="single"/>
        </w:rPr>
        <w:lastRenderedPageBreak/>
        <w:t>Asistencia técnica a los países en desarrollo y los PMA</w:t>
      </w:r>
    </w:p>
    <w:p w:rsidR="00F8358E" w:rsidRPr="006B0DE9" w:rsidRDefault="00F8358E" w:rsidP="00990DF3">
      <w:pPr>
        <w:keepNext/>
        <w:keepLines/>
        <w:widowControl w:val="0"/>
        <w:autoSpaceDE w:val="0"/>
        <w:autoSpaceDN w:val="0"/>
        <w:adjustRightInd w:val="0"/>
        <w:jc w:val="both"/>
        <w:rPr>
          <w:sz w:val="20"/>
        </w:rPr>
      </w:pPr>
    </w:p>
    <w:p w:rsidR="00F8358E" w:rsidRPr="006B0DE9" w:rsidRDefault="00F8358E" w:rsidP="00990DF3">
      <w:pPr>
        <w:keepNext/>
        <w:keepLines/>
        <w:widowControl w:val="0"/>
        <w:numPr>
          <w:ilvl w:val="0"/>
          <w:numId w:val="21"/>
        </w:numPr>
        <w:autoSpaceDE w:val="0"/>
        <w:autoSpaceDN w:val="0"/>
        <w:adjustRightInd w:val="0"/>
        <w:jc w:val="both"/>
        <w:rPr>
          <w:sz w:val="20"/>
        </w:rPr>
      </w:pPr>
      <w:r w:rsidRPr="006B0DE9">
        <w:rPr>
          <w:sz w:val="20"/>
        </w:rPr>
        <w:t>La asistencia técnica que se presta a los países en desarrollo y los PMA seguirá centrándose en an</w:t>
      </w:r>
      <w:r>
        <w:rPr>
          <w:sz w:val="20"/>
        </w:rPr>
        <w:t>imar a los países en desarrollo</w:t>
      </w:r>
      <w:r w:rsidRPr="006B0DE9">
        <w:rPr>
          <w:sz w:val="20"/>
        </w:rPr>
        <w:t xml:space="preserve"> a utilizar el sistema de derecho de autor </w:t>
      </w:r>
      <w:r w:rsidR="00990DF3">
        <w:rPr>
          <w:sz w:val="20"/>
        </w:rPr>
        <w:t xml:space="preserve">y de derechos conexos </w:t>
      </w:r>
      <w:r w:rsidRPr="006B0DE9">
        <w:rPr>
          <w:sz w:val="20"/>
        </w:rPr>
        <w:t>para explotar el potencial económico que tiene su cultura.  Tanto en el PEMP como en las metas estratégicas, en la A.D. y en los resultados previstos se reconoce la importancia que tiene la asistencia técnica para los países en desarrollo.  Se van a redoblar los esfuerzos a fin de garantizar la sostenibilidad de los resultados prácticos y cuantificables que se obtengan en los países en desarrollo y los PMA.</w:t>
      </w:r>
    </w:p>
    <w:p w:rsidR="00F8358E" w:rsidRPr="006B0DE9" w:rsidRDefault="00F8358E" w:rsidP="006A15F5"/>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La asistencia técnica se basará en las necesidades de los países, que están siendo identificadas en colaboración con las Oficinas Regionales.  Durante este bienio se recurrirá más a consultores regionales a la hora de ejecutar las actividades nacionales y regionales</w:t>
      </w:r>
      <w:r>
        <w:rPr>
          <w:sz w:val="20"/>
        </w:rPr>
        <w:t>,</w:t>
      </w:r>
      <w:r w:rsidRPr="006B0DE9">
        <w:rPr>
          <w:sz w:val="20"/>
        </w:rPr>
        <w:t xml:space="preserve"> y el personal de la OMPI dedicará más tiempo a desarrollar enfoques estratégicos que se ajusten a las necesidades individuales de cada país.</w:t>
      </w:r>
    </w:p>
    <w:p w:rsidR="00F8358E" w:rsidRPr="006B0DE9" w:rsidRDefault="00F8358E" w:rsidP="00F8358E">
      <w:pPr>
        <w:widowControl w:val="0"/>
        <w:autoSpaceDE w:val="0"/>
        <w:autoSpaceDN w:val="0"/>
        <w:adjustRightInd w:val="0"/>
        <w:jc w:val="both"/>
        <w:rPr>
          <w:sz w:val="20"/>
        </w:rPr>
      </w:pPr>
    </w:p>
    <w:p w:rsidR="00F8358E" w:rsidRPr="006B0DE9" w:rsidRDefault="00F8358E" w:rsidP="00F8358E">
      <w:pPr>
        <w:widowControl w:val="0"/>
        <w:autoSpaceDE w:val="0"/>
        <w:autoSpaceDN w:val="0"/>
        <w:adjustRightInd w:val="0"/>
        <w:jc w:val="both"/>
        <w:rPr>
          <w:sz w:val="20"/>
          <w:u w:val="single"/>
        </w:rPr>
      </w:pPr>
      <w:r w:rsidRPr="006B0DE9">
        <w:rPr>
          <w:sz w:val="20"/>
          <w:u w:val="single"/>
        </w:rPr>
        <w:t>Fomentar el desarrollo de infraestructura en el ámbito del derecho de autor</w:t>
      </w:r>
    </w:p>
    <w:p w:rsidR="00F8358E" w:rsidRPr="006B0DE9" w:rsidRDefault="00F8358E" w:rsidP="00F8358E">
      <w:pPr>
        <w:widowControl w:val="0"/>
        <w:autoSpaceDE w:val="0"/>
        <w:autoSpaceDN w:val="0"/>
        <w:adjustRightInd w:val="0"/>
        <w:jc w:val="both"/>
        <w:rPr>
          <w:sz w:val="20"/>
        </w:rPr>
      </w:pPr>
    </w:p>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La labor en este ámbito se centrará en fortalecer la gestión colectiva y la función que desempeña en el mercado digital.  Los países en desarrollo tendrán que fortalecer su</w:t>
      </w:r>
      <w:r>
        <w:rPr>
          <w:sz w:val="20"/>
        </w:rPr>
        <w:t>s</w:t>
      </w:r>
      <w:r w:rsidRPr="006B0DE9">
        <w:rPr>
          <w:sz w:val="20"/>
        </w:rPr>
        <w:t xml:space="preserve"> marcos jurídicos, sus oficinas de derecho de autor y en especial sus sociedades de gestión colectiva para poder llevar a cabo las actividades encaminadas a animarles a utilizar el sistema de derecho de</w:t>
      </w:r>
      <w:r>
        <w:rPr>
          <w:sz w:val="20"/>
        </w:rPr>
        <w:t xml:space="preserve"> autor</w:t>
      </w:r>
      <w:r w:rsidR="00D06458">
        <w:rPr>
          <w:sz w:val="20"/>
        </w:rPr>
        <w:t xml:space="preserve"> y de derechos conexos</w:t>
      </w:r>
      <w:r>
        <w:rPr>
          <w:sz w:val="20"/>
        </w:rPr>
        <w:t xml:space="preserve"> para explotar su cultura.</w:t>
      </w:r>
    </w:p>
    <w:p w:rsidR="00F8358E" w:rsidRPr="006B0DE9" w:rsidRDefault="00F8358E" w:rsidP="00F8358E">
      <w:pPr>
        <w:widowControl w:val="0"/>
        <w:autoSpaceDE w:val="0"/>
        <w:autoSpaceDN w:val="0"/>
        <w:adjustRightInd w:val="0"/>
        <w:jc w:val="both"/>
        <w:rPr>
          <w:sz w:val="20"/>
        </w:rPr>
      </w:pPr>
    </w:p>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 xml:space="preserve">Se continuará evaluando la contribución económica que realizan </w:t>
      </w:r>
      <w:r w:rsidR="003A4B0F" w:rsidRPr="006B0DE9">
        <w:rPr>
          <w:sz w:val="20"/>
        </w:rPr>
        <w:t xml:space="preserve">al </w:t>
      </w:r>
      <w:r w:rsidR="003A4B0F">
        <w:rPr>
          <w:sz w:val="20"/>
        </w:rPr>
        <w:t>PIB</w:t>
      </w:r>
      <w:r w:rsidR="003A4B0F" w:rsidRPr="006B0DE9">
        <w:rPr>
          <w:sz w:val="20"/>
        </w:rPr>
        <w:t xml:space="preserve"> </w:t>
      </w:r>
      <w:r w:rsidRPr="006B0DE9">
        <w:rPr>
          <w:sz w:val="20"/>
        </w:rPr>
        <w:t>las industrias que dependen del derecho de autor, recurriendo para ello en mayor medida a la subcontratación.  Se están desarrollando módulos de formación por Internet, se cuenta con un ambicioso programa encaminado a mejorar la transparencia, la rendición de cuentas y la gobernanza de los organismos de gestión colectiva (OGC), que se encuentra aún en fase de planificación y, por otra parte, ya se ha comenzado a perfeccionar el programa informático WIPOCOS a fin de mejorar las funciones auxiliares de gestión de los OGC.</w:t>
      </w:r>
    </w:p>
    <w:p w:rsidR="00F8358E" w:rsidRPr="006B0DE9" w:rsidRDefault="00F8358E" w:rsidP="00F8358E">
      <w:pPr>
        <w:widowControl w:val="0"/>
        <w:autoSpaceDE w:val="0"/>
        <w:autoSpaceDN w:val="0"/>
        <w:adjustRightInd w:val="0"/>
        <w:jc w:val="both"/>
        <w:rPr>
          <w:sz w:val="20"/>
        </w:rPr>
      </w:pPr>
      <w:r w:rsidRPr="006B0DE9">
        <w:rPr>
          <w:sz w:val="20"/>
        </w:rPr>
        <w:t xml:space="preserve"> </w:t>
      </w:r>
    </w:p>
    <w:p w:rsidR="00F8358E" w:rsidRPr="006B0DE9" w:rsidRDefault="00F8358E" w:rsidP="00BA276E">
      <w:pPr>
        <w:widowControl w:val="0"/>
        <w:numPr>
          <w:ilvl w:val="0"/>
          <w:numId w:val="21"/>
        </w:numPr>
        <w:autoSpaceDE w:val="0"/>
        <w:autoSpaceDN w:val="0"/>
        <w:adjustRightInd w:val="0"/>
        <w:jc w:val="both"/>
        <w:rPr>
          <w:sz w:val="20"/>
        </w:rPr>
      </w:pPr>
      <w:r w:rsidRPr="006B0DE9">
        <w:rPr>
          <w:sz w:val="20"/>
        </w:rPr>
        <w:t>Además, es necesario ampliar la labor inicial que se viene desarrollando hacia una gestión mundial de los datos musicales, de manera que se incluyan todos los contenidos que se encuentran en Internet, es decir, música, películas, fotos, libros, etcétera.</w:t>
      </w:r>
    </w:p>
    <w:p w:rsidR="00F8358E" w:rsidRPr="006B0DE9" w:rsidRDefault="00F8358E" w:rsidP="00F8358E">
      <w:pPr>
        <w:widowControl w:val="0"/>
        <w:autoSpaceDE w:val="0"/>
        <w:autoSpaceDN w:val="0"/>
        <w:adjustRightInd w:val="0"/>
        <w:jc w:val="both"/>
        <w:rPr>
          <w:sz w:val="20"/>
        </w:rPr>
      </w:pPr>
    </w:p>
    <w:p w:rsidR="007D3504" w:rsidRDefault="007D3504" w:rsidP="00BA276E">
      <w:pPr>
        <w:widowControl w:val="0"/>
        <w:numPr>
          <w:ilvl w:val="0"/>
          <w:numId w:val="21"/>
        </w:numPr>
        <w:autoSpaceDE w:val="0"/>
        <w:autoSpaceDN w:val="0"/>
        <w:adjustRightInd w:val="0"/>
        <w:jc w:val="both"/>
        <w:rPr>
          <w:sz w:val="20"/>
        </w:rPr>
      </w:pPr>
      <w:r>
        <w:rPr>
          <w:sz w:val="20"/>
        </w:rPr>
        <w:t>Comenzará la labor para agilizar la entrada en vigor del Tratado de Marrakech así como su aplicación, en coordinación con los representantes de las asociaciones de los beneficiarios del Tratado, las entidades autorizadas y los Estados miembros.</w:t>
      </w:r>
    </w:p>
    <w:p w:rsidR="007D3504" w:rsidRDefault="007D3504" w:rsidP="007D3504">
      <w:pPr>
        <w:widowControl w:val="0"/>
        <w:autoSpaceDE w:val="0"/>
        <w:autoSpaceDN w:val="0"/>
        <w:adjustRightInd w:val="0"/>
        <w:jc w:val="both"/>
        <w:rPr>
          <w:sz w:val="20"/>
        </w:rPr>
      </w:pPr>
    </w:p>
    <w:p w:rsidR="00F8358E" w:rsidRDefault="00D06458" w:rsidP="00BA276E">
      <w:pPr>
        <w:widowControl w:val="0"/>
        <w:numPr>
          <w:ilvl w:val="0"/>
          <w:numId w:val="21"/>
        </w:numPr>
        <w:autoSpaceDE w:val="0"/>
        <w:autoSpaceDN w:val="0"/>
        <w:adjustRightInd w:val="0"/>
        <w:jc w:val="both"/>
        <w:rPr>
          <w:sz w:val="20"/>
        </w:rPr>
      </w:pPr>
      <w:r>
        <w:rPr>
          <w:sz w:val="20"/>
        </w:rPr>
        <w:t xml:space="preserve">Continuará avanzando la labor </w:t>
      </w:r>
      <w:r w:rsidR="00F8358E" w:rsidRPr="006B0DE9">
        <w:rPr>
          <w:sz w:val="20"/>
        </w:rPr>
        <w:t>encaminad</w:t>
      </w:r>
      <w:r>
        <w:rPr>
          <w:sz w:val="20"/>
        </w:rPr>
        <w:t>a</w:t>
      </w:r>
      <w:r w:rsidR="00F8358E" w:rsidRPr="006B0DE9">
        <w:rPr>
          <w:sz w:val="20"/>
        </w:rPr>
        <w:t xml:space="preserve"> a poner en funcionamiento la infraestructura de tecnologías de la información (T.I.) y el marco </w:t>
      </w:r>
      <w:r>
        <w:rPr>
          <w:sz w:val="20"/>
        </w:rPr>
        <w:t>organizativo del proyecto TIGAR</w:t>
      </w:r>
      <w:r w:rsidR="00F8358E" w:rsidRPr="006B0DE9">
        <w:rPr>
          <w:sz w:val="20"/>
        </w:rPr>
        <w:t>.  Est</w:t>
      </w:r>
      <w:r w:rsidR="007D3504">
        <w:rPr>
          <w:sz w:val="20"/>
        </w:rPr>
        <w:t>a labor</w:t>
      </w:r>
      <w:r w:rsidR="00F8358E" w:rsidRPr="006B0DE9">
        <w:rPr>
          <w:sz w:val="20"/>
        </w:rPr>
        <w:t xml:space="preserve"> será objeto de ampliación y reestructuración en el marco de una </w:t>
      </w:r>
      <w:r w:rsidR="007D3504">
        <w:rPr>
          <w:sz w:val="20"/>
        </w:rPr>
        <w:t>entidad</w:t>
      </w:r>
      <w:r w:rsidR="00F8358E" w:rsidRPr="006B0DE9">
        <w:rPr>
          <w:sz w:val="20"/>
        </w:rPr>
        <w:t xml:space="preserve"> que integrará a las distintas partes interesadas, </w:t>
      </w:r>
      <w:r w:rsidR="007D3504">
        <w:rPr>
          <w:sz w:val="20"/>
        </w:rPr>
        <w:t>así como de</w:t>
      </w:r>
      <w:r w:rsidR="00F8358E" w:rsidRPr="006B0DE9">
        <w:rPr>
          <w:sz w:val="20"/>
        </w:rPr>
        <w:t xml:space="preserve"> aprobación </w:t>
      </w:r>
      <w:r w:rsidR="007D3504">
        <w:rPr>
          <w:sz w:val="20"/>
        </w:rPr>
        <w:t>por</w:t>
      </w:r>
      <w:r w:rsidR="00F8358E" w:rsidRPr="006B0DE9">
        <w:rPr>
          <w:sz w:val="20"/>
        </w:rPr>
        <w:t xml:space="preserve"> los Estados miembros.</w:t>
      </w:r>
    </w:p>
    <w:p w:rsidR="00D06458" w:rsidRDefault="00D06458" w:rsidP="00D06458">
      <w:pPr>
        <w:widowControl w:val="0"/>
        <w:autoSpaceDE w:val="0"/>
        <w:autoSpaceDN w:val="0"/>
        <w:adjustRightInd w:val="0"/>
        <w:jc w:val="both"/>
        <w:rPr>
          <w:sz w:val="20"/>
        </w:rPr>
      </w:pPr>
    </w:p>
    <w:p w:rsidR="00D06458" w:rsidRPr="006B0DE9" w:rsidRDefault="00D06458" w:rsidP="00BA276E">
      <w:pPr>
        <w:widowControl w:val="0"/>
        <w:numPr>
          <w:ilvl w:val="0"/>
          <w:numId w:val="21"/>
        </w:numPr>
        <w:autoSpaceDE w:val="0"/>
        <w:autoSpaceDN w:val="0"/>
        <w:adjustRightInd w:val="0"/>
        <w:jc w:val="both"/>
        <w:rPr>
          <w:sz w:val="20"/>
        </w:rPr>
      </w:pPr>
      <w:r>
        <w:rPr>
          <w:sz w:val="20"/>
        </w:rPr>
        <w:t>La Secretaría continuará empeñada en que la ejecución de esas actividades tenga debidamente en cuenta las recomendaciones 1, 6, 12 a 17, 19 y 20 de la Agenda para el Desarrollo.</w:t>
      </w:r>
    </w:p>
    <w:p w:rsidR="00F8358E" w:rsidRPr="006B0DE9" w:rsidRDefault="00F8358E" w:rsidP="00F8358E">
      <w:pPr>
        <w:widowControl w:val="0"/>
        <w:autoSpaceDE w:val="0"/>
        <w:autoSpaceDN w:val="0"/>
        <w:adjustRightInd w:val="0"/>
        <w:rPr>
          <w:sz w:val="20"/>
        </w:rPr>
      </w:pPr>
    </w:p>
    <w:p w:rsidR="00BF3618" w:rsidRDefault="00BF3618" w:rsidP="004046B6">
      <w:pPr>
        <w:widowControl w:val="0"/>
        <w:autoSpaceDE w:val="0"/>
        <w:autoSpaceDN w:val="0"/>
        <w:adjustRightInd w:val="0"/>
        <w:rPr>
          <w:szCs w:val="22"/>
        </w:rPr>
      </w:pPr>
    </w:p>
    <w:p w:rsidR="004046B6" w:rsidRPr="00C75C7E" w:rsidRDefault="004046B6" w:rsidP="004046B6">
      <w:pPr>
        <w:widowControl w:val="0"/>
        <w:autoSpaceDE w:val="0"/>
        <w:autoSpaceDN w:val="0"/>
        <w:adjustRightInd w:val="0"/>
        <w:rPr>
          <w:sz w:val="20"/>
        </w:rPr>
      </w:pPr>
      <w:r w:rsidRPr="00C75C7E">
        <w:rPr>
          <w:szCs w:val="22"/>
        </w:rPr>
        <w:t>PRINCIPALES RIESGOS Y ESTRATEGIAS DE MITIGACIÓN</w:t>
      </w:r>
    </w:p>
    <w:p w:rsidR="004046B6" w:rsidRPr="00C75C7E" w:rsidRDefault="004046B6" w:rsidP="004046B6">
      <w:pPr>
        <w:widowControl w:val="0"/>
        <w:autoSpaceDE w:val="0"/>
        <w:autoSpaceDN w:val="0"/>
        <w:adjustRightInd w:val="0"/>
        <w:rPr>
          <w:sz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78"/>
        <w:gridCol w:w="4678"/>
      </w:tblGrid>
      <w:tr w:rsidR="004046B6" w:rsidRPr="00C75C7E" w:rsidTr="00900936">
        <w:trPr>
          <w:trHeight w:val="417"/>
        </w:trPr>
        <w:tc>
          <w:tcPr>
            <w:tcW w:w="4678" w:type="dxa"/>
            <w:tcBorders>
              <w:top w:val="single" w:sz="4" w:space="0" w:color="auto"/>
              <w:bottom w:val="single" w:sz="4" w:space="0" w:color="auto"/>
            </w:tcBorders>
            <w:shd w:val="clear" w:color="auto" w:fill="CCFFFF"/>
            <w:tcMar>
              <w:top w:w="113" w:type="dxa"/>
              <w:bottom w:w="113" w:type="dxa"/>
            </w:tcMar>
            <w:vAlign w:val="center"/>
          </w:tcPr>
          <w:p w:rsidR="004046B6" w:rsidRPr="00C75C7E" w:rsidRDefault="004046B6" w:rsidP="00900936">
            <w:pPr>
              <w:widowControl w:val="0"/>
              <w:autoSpaceDE w:val="0"/>
              <w:autoSpaceDN w:val="0"/>
              <w:adjustRightInd w:val="0"/>
              <w:ind w:right="-59"/>
              <w:jc w:val="center"/>
              <w:rPr>
                <w:b/>
                <w:sz w:val="18"/>
                <w:szCs w:val="18"/>
              </w:rPr>
            </w:pPr>
            <w:r w:rsidRPr="00C75C7E">
              <w:rPr>
                <w:b/>
                <w:sz w:val="18"/>
                <w:szCs w:val="18"/>
              </w:rPr>
              <w:t>Riesgos en el logro de los resultados del programa</w:t>
            </w:r>
          </w:p>
        </w:tc>
        <w:tc>
          <w:tcPr>
            <w:tcW w:w="4678" w:type="dxa"/>
            <w:tcBorders>
              <w:top w:val="single" w:sz="4" w:space="0" w:color="auto"/>
              <w:bottom w:val="single" w:sz="4" w:space="0" w:color="auto"/>
            </w:tcBorders>
            <w:shd w:val="clear" w:color="auto" w:fill="CCFFFF"/>
            <w:tcMar>
              <w:top w:w="113" w:type="dxa"/>
              <w:bottom w:w="113" w:type="dxa"/>
            </w:tcMar>
            <w:vAlign w:val="center"/>
          </w:tcPr>
          <w:p w:rsidR="004046B6" w:rsidRPr="00C75C7E" w:rsidRDefault="004046B6" w:rsidP="00900936">
            <w:pPr>
              <w:widowControl w:val="0"/>
              <w:autoSpaceDE w:val="0"/>
              <w:autoSpaceDN w:val="0"/>
              <w:adjustRightInd w:val="0"/>
              <w:ind w:right="-59"/>
              <w:jc w:val="center"/>
              <w:rPr>
                <w:b/>
                <w:sz w:val="18"/>
                <w:szCs w:val="18"/>
              </w:rPr>
            </w:pPr>
            <w:r w:rsidRPr="00C75C7E">
              <w:rPr>
                <w:b/>
                <w:sz w:val="18"/>
                <w:szCs w:val="18"/>
              </w:rPr>
              <w:t xml:space="preserve">Planes de mitigación ejecutados o en ejecución </w:t>
            </w:r>
          </w:p>
        </w:tc>
      </w:tr>
      <w:tr w:rsidR="004046B6" w:rsidRPr="00C75C7E" w:rsidTr="00900936">
        <w:trPr>
          <w:trHeight w:val="894"/>
        </w:trPr>
        <w:tc>
          <w:tcPr>
            <w:tcW w:w="4678" w:type="dxa"/>
            <w:tcBorders>
              <w:top w:val="single" w:sz="4" w:space="0" w:color="auto"/>
            </w:tcBorders>
            <w:shd w:val="clear" w:color="auto" w:fill="auto"/>
            <w:tcMar>
              <w:top w:w="113" w:type="dxa"/>
              <w:bottom w:w="113" w:type="dxa"/>
            </w:tcMar>
          </w:tcPr>
          <w:p w:rsidR="004046B6" w:rsidRPr="00C75C7E" w:rsidRDefault="004046B6" w:rsidP="00900936">
            <w:pPr>
              <w:widowControl w:val="0"/>
              <w:tabs>
                <w:tab w:val="left" w:pos="1170"/>
              </w:tabs>
              <w:rPr>
                <w:sz w:val="16"/>
                <w:szCs w:val="16"/>
              </w:rPr>
            </w:pPr>
            <w:r w:rsidRPr="00C75C7E">
              <w:rPr>
                <w:sz w:val="16"/>
                <w:szCs w:val="16"/>
              </w:rPr>
              <w:t>Tecnología e innovación</w:t>
            </w:r>
            <w:proofErr w:type="gramStart"/>
            <w:r w:rsidRPr="00C75C7E">
              <w:rPr>
                <w:sz w:val="16"/>
                <w:szCs w:val="16"/>
              </w:rPr>
              <w:t>:  la</w:t>
            </w:r>
            <w:proofErr w:type="gramEnd"/>
            <w:r w:rsidRPr="00C75C7E">
              <w:rPr>
                <w:sz w:val="16"/>
                <w:szCs w:val="16"/>
              </w:rPr>
              <w:t xml:space="preserve"> incapacidad del sistema de derecho de autor para adaptarse a los rápidos cambios tecnológicos y de los medios de comunicación puede menoscabar la pertinencia del sistema de derecho de autor.</w:t>
            </w:r>
          </w:p>
        </w:tc>
        <w:tc>
          <w:tcPr>
            <w:tcW w:w="4678" w:type="dxa"/>
            <w:tcBorders>
              <w:top w:val="single" w:sz="4" w:space="0" w:color="auto"/>
            </w:tcBorders>
            <w:shd w:val="clear" w:color="auto" w:fill="auto"/>
            <w:tcMar>
              <w:top w:w="113" w:type="dxa"/>
              <w:bottom w:w="113" w:type="dxa"/>
            </w:tcMar>
          </w:tcPr>
          <w:p w:rsidR="004046B6" w:rsidRPr="00C75C7E" w:rsidRDefault="004046B6" w:rsidP="00900936">
            <w:pPr>
              <w:widowControl w:val="0"/>
              <w:autoSpaceDE w:val="0"/>
              <w:autoSpaceDN w:val="0"/>
              <w:adjustRightInd w:val="0"/>
              <w:ind w:right="-59"/>
              <w:rPr>
                <w:sz w:val="16"/>
                <w:szCs w:val="16"/>
              </w:rPr>
            </w:pPr>
            <w:r w:rsidRPr="00C75C7E">
              <w:rPr>
                <w:sz w:val="16"/>
                <w:szCs w:val="16"/>
              </w:rPr>
              <w:t>Mantenimiento de las actividades e iniciativas de sensibilización para demostrar la importancia del derecho de autor y confirmar su utilidad y adecuación en el cambiante panorama tecnológico.</w:t>
            </w:r>
          </w:p>
        </w:tc>
      </w:tr>
    </w:tbl>
    <w:p w:rsidR="004046B6" w:rsidRPr="00C75C7E" w:rsidRDefault="004046B6" w:rsidP="004046B6">
      <w:pPr>
        <w:widowControl w:val="0"/>
        <w:autoSpaceDE w:val="0"/>
        <w:autoSpaceDN w:val="0"/>
        <w:adjustRightInd w:val="0"/>
        <w:rPr>
          <w:sz w:val="20"/>
        </w:rPr>
      </w:pPr>
    </w:p>
    <w:p w:rsidR="004046B6" w:rsidRPr="00C75C7E" w:rsidRDefault="004046B6" w:rsidP="004046B6">
      <w:pPr>
        <w:widowControl w:val="0"/>
        <w:tabs>
          <w:tab w:val="left" w:pos="567"/>
          <w:tab w:val="left" w:pos="1985"/>
        </w:tabs>
        <w:jc w:val="both"/>
        <w:rPr>
          <w:bCs/>
          <w:sz w:val="20"/>
        </w:rPr>
      </w:pPr>
    </w:p>
    <w:p w:rsidR="004046B6" w:rsidRPr="00C75C7E" w:rsidRDefault="004046B6" w:rsidP="009B58F5">
      <w:pPr>
        <w:keepNext/>
        <w:widowControl w:val="0"/>
        <w:tabs>
          <w:tab w:val="left" w:pos="567"/>
          <w:tab w:val="left" w:pos="1985"/>
        </w:tabs>
        <w:jc w:val="both"/>
        <w:rPr>
          <w:bCs/>
          <w:szCs w:val="22"/>
          <w:lang w:val="es-ES_tradnl"/>
        </w:rPr>
      </w:pPr>
      <w:r w:rsidRPr="00C75C7E">
        <w:rPr>
          <w:bCs/>
          <w:szCs w:val="22"/>
          <w:lang w:val="es-ES_tradnl"/>
        </w:rPr>
        <w:lastRenderedPageBreak/>
        <w:t>MARCO DE RESULTADOS</w:t>
      </w:r>
    </w:p>
    <w:p w:rsidR="004046B6" w:rsidRPr="00C75C7E" w:rsidRDefault="004046B6" w:rsidP="009B58F5">
      <w:pPr>
        <w:keepNext/>
        <w:widowControl w:val="0"/>
        <w:autoSpaceDE w:val="0"/>
        <w:autoSpaceDN w:val="0"/>
        <w:adjustRightInd w:val="0"/>
        <w:jc w:val="both"/>
        <w:rPr>
          <w:szCs w:val="22"/>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48"/>
        <w:gridCol w:w="2848"/>
        <w:gridCol w:w="2171"/>
        <w:gridCol w:w="2039"/>
      </w:tblGrid>
      <w:tr w:rsidR="004046B6" w:rsidRPr="00C75C7E" w:rsidTr="00900936">
        <w:trPr>
          <w:cantSplit/>
          <w:trHeight w:val="615"/>
          <w:tblHeader/>
        </w:trPr>
        <w:tc>
          <w:tcPr>
            <w:tcW w:w="1248" w:type="pct"/>
            <w:tcBorders>
              <w:top w:val="single" w:sz="4" w:space="0" w:color="auto"/>
              <w:bottom w:val="single" w:sz="4" w:space="0" w:color="auto"/>
            </w:tcBorders>
            <w:shd w:val="clear" w:color="auto" w:fill="CCFFFF"/>
            <w:tcMar>
              <w:top w:w="113" w:type="dxa"/>
            </w:tcMar>
            <w:vAlign w:val="center"/>
          </w:tcPr>
          <w:p w:rsidR="004046B6" w:rsidRPr="00C75C7E" w:rsidRDefault="004046B6" w:rsidP="009B58F5">
            <w:pPr>
              <w:keepNext/>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3" w:type="dxa"/>
            </w:tcMar>
            <w:vAlign w:val="center"/>
          </w:tcPr>
          <w:p w:rsidR="004046B6" w:rsidRPr="00C75C7E" w:rsidRDefault="004046B6" w:rsidP="009B58F5">
            <w:pPr>
              <w:keepNext/>
              <w:widowControl w:val="0"/>
              <w:spacing w:after="120"/>
              <w:jc w:val="center"/>
              <w:rPr>
                <w:b/>
                <w:bCs/>
                <w:sz w:val="18"/>
                <w:szCs w:val="18"/>
                <w:lang w:val="es-ES_tradnl"/>
              </w:rPr>
            </w:pPr>
            <w:r w:rsidRPr="00C75C7E">
              <w:rPr>
                <w:b/>
                <w:bCs/>
                <w:sz w:val="18"/>
                <w:szCs w:val="18"/>
                <w:lang w:val="es-ES_tradnl"/>
              </w:rPr>
              <w:t>Indicadores de rendimiento</w:t>
            </w:r>
          </w:p>
        </w:tc>
        <w:tc>
          <w:tcPr>
            <w:tcW w:w="1154" w:type="pct"/>
            <w:tcBorders>
              <w:top w:val="single" w:sz="4" w:space="0" w:color="auto"/>
              <w:bottom w:val="single" w:sz="4" w:space="0" w:color="auto"/>
            </w:tcBorders>
            <w:shd w:val="clear" w:color="auto" w:fill="CCFFFF"/>
            <w:tcMar>
              <w:top w:w="113" w:type="dxa"/>
            </w:tcMar>
            <w:vAlign w:val="center"/>
          </w:tcPr>
          <w:p w:rsidR="004046B6" w:rsidRPr="00C75C7E" w:rsidRDefault="004046B6" w:rsidP="009B58F5">
            <w:pPr>
              <w:keepNext/>
              <w:widowControl w:val="0"/>
              <w:spacing w:after="120"/>
              <w:ind w:left="85"/>
              <w:jc w:val="center"/>
              <w:rPr>
                <w:b/>
                <w:bCs/>
                <w:sz w:val="18"/>
                <w:szCs w:val="18"/>
                <w:lang w:val="es-ES_tradnl"/>
              </w:rPr>
            </w:pPr>
            <w:r w:rsidRPr="00C75C7E">
              <w:rPr>
                <w:b/>
                <w:bCs/>
                <w:sz w:val="18"/>
                <w:szCs w:val="18"/>
                <w:lang w:val="es-ES_tradnl"/>
              </w:rPr>
              <w:t>Referencia</w:t>
            </w:r>
          </w:p>
        </w:tc>
        <w:tc>
          <w:tcPr>
            <w:tcW w:w="1084" w:type="pct"/>
            <w:tcBorders>
              <w:top w:val="single" w:sz="4" w:space="0" w:color="auto"/>
              <w:bottom w:val="single" w:sz="4" w:space="0" w:color="auto"/>
            </w:tcBorders>
            <w:shd w:val="clear" w:color="auto" w:fill="CCFFFF"/>
            <w:tcMar>
              <w:top w:w="113" w:type="dxa"/>
            </w:tcMar>
            <w:vAlign w:val="center"/>
          </w:tcPr>
          <w:p w:rsidR="004046B6" w:rsidRPr="00C75C7E" w:rsidRDefault="004046B6" w:rsidP="009B58F5">
            <w:pPr>
              <w:keepNext/>
              <w:widowControl w:val="0"/>
              <w:tabs>
                <w:tab w:val="left" w:pos="1871"/>
              </w:tabs>
              <w:spacing w:after="120"/>
              <w:ind w:right="49"/>
              <w:jc w:val="center"/>
              <w:rPr>
                <w:b/>
                <w:bCs/>
                <w:sz w:val="18"/>
                <w:szCs w:val="18"/>
                <w:lang w:val="es-ES_tradnl"/>
              </w:rPr>
            </w:pPr>
            <w:r w:rsidRPr="00C75C7E">
              <w:rPr>
                <w:b/>
                <w:bCs/>
                <w:sz w:val="18"/>
                <w:szCs w:val="18"/>
                <w:lang w:val="es-ES_tradnl"/>
              </w:rPr>
              <w:t>Objetivos</w:t>
            </w:r>
          </w:p>
        </w:tc>
      </w:tr>
      <w:tr w:rsidR="004046B6" w:rsidRPr="00C75C7E" w:rsidTr="00900936">
        <w:trPr>
          <w:cantSplit/>
          <w:trHeight w:val="1495"/>
        </w:trPr>
        <w:tc>
          <w:tcPr>
            <w:tcW w:w="1248" w:type="pct"/>
            <w:tcBorders>
              <w:top w:val="single" w:sz="4" w:space="0" w:color="auto"/>
            </w:tcBorders>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 xml:space="preserve">I.1. Mejor cooperación entre los Estados miembros en lo que atañe a la elaboración de marcos normativos internacionales equilibrados para la P.I. y </w:t>
            </w:r>
            <w:r w:rsidR="00956F2F">
              <w:rPr>
                <w:sz w:val="16"/>
                <w:szCs w:val="16"/>
                <w:lang w:val="es-ES_tradnl"/>
              </w:rPr>
              <w:t>fomento de acuerdos sobre</w:t>
            </w:r>
            <w:r w:rsidR="00491731">
              <w:rPr>
                <w:sz w:val="16"/>
                <w:szCs w:val="16"/>
                <w:lang w:val="es-ES_tradnl"/>
              </w:rPr>
              <w:t xml:space="preserve"> las cuestiones específicas</w:t>
            </w:r>
            <w:r w:rsidRPr="00C75C7E">
              <w:rPr>
                <w:sz w:val="16"/>
                <w:szCs w:val="16"/>
                <w:lang w:val="es-ES_tradnl"/>
              </w:rPr>
              <w:t xml:space="preserve"> respecto de las que se acuerdan instrumentos internacionales.</w:t>
            </w:r>
          </w:p>
        </w:tc>
        <w:tc>
          <w:tcPr>
            <w:tcW w:w="1514" w:type="pct"/>
            <w:tcBorders>
              <w:top w:val="single" w:sz="4" w:space="0" w:color="auto"/>
            </w:tcBorders>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Avances para llegar a un acuerdo sobre las cuestiones que figuran en el orden del día del SCCR.</w:t>
            </w:r>
          </w:p>
        </w:tc>
        <w:tc>
          <w:tcPr>
            <w:tcW w:w="1154" w:type="pct"/>
            <w:tcBorders>
              <w:top w:val="single" w:sz="4" w:space="0" w:color="auto"/>
            </w:tcBorders>
            <w:shd w:val="clear" w:color="auto" w:fill="FFFFFF"/>
            <w:tcMar>
              <w:top w:w="113" w:type="dxa"/>
            </w:tcMar>
          </w:tcPr>
          <w:p w:rsidR="004046B6" w:rsidRPr="00C75C7E" w:rsidRDefault="007D3504" w:rsidP="007D3504">
            <w:pPr>
              <w:widowControl w:val="0"/>
              <w:rPr>
                <w:sz w:val="16"/>
                <w:szCs w:val="16"/>
                <w:lang w:val="es-ES_tradnl"/>
              </w:rPr>
            </w:pPr>
            <w:r>
              <w:rPr>
                <w:sz w:val="16"/>
                <w:szCs w:val="16"/>
                <w:lang w:val="es-ES_tradnl" w:bidi="th-TH"/>
              </w:rPr>
              <w:t>Dos</w:t>
            </w:r>
            <w:r w:rsidR="004046B6" w:rsidRPr="00C75C7E">
              <w:rPr>
                <w:sz w:val="16"/>
                <w:szCs w:val="16"/>
                <w:lang w:val="es-ES_tradnl" w:bidi="th-TH"/>
              </w:rPr>
              <w:t xml:space="preserve"> tratado</w:t>
            </w:r>
            <w:r>
              <w:rPr>
                <w:sz w:val="16"/>
                <w:szCs w:val="16"/>
                <w:lang w:val="es-ES_tradnl" w:bidi="th-TH"/>
              </w:rPr>
              <w:t>s</w:t>
            </w:r>
            <w:r w:rsidR="004046B6" w:rsidRPr="00C75C7E">
              <w:rPr>
                <w:sz w:val="16"/>
                <w:szCs w:val="16"/>
                <w:lang w:val="es-ES_tradnl" w:bidi="th-TH"/>
              </w:rPr>
              <w:t xml:space="preserve"> adoptado</w:t>
            </w:r>
            <w:r>
              <w:rPr>
                <w:sz w:val="16"/>
                <w:szCs w:val="16"/>
                <w:lang w:val="es-ES_tradnl" w:bidi="th-TH"/>
              </w:rPr>
              <w:t>s</w:t>
            </w:r>
            <w:r w:rsidR="004046B6" w:rsidRPr="00C75C7E">
              <w:rPr>
                <w:sz w:val="16"/>
                <w:szCs w:val="16"/>
                <w:lang w:val="es-ES_tradnl" w:bidi="th-TH"/>
              </w:rPr>
              <w:t xml:space="preserve"> en el bienio 2012/13 (hasta la fecha).  Dos conferencias diplomáticas convocadas en el bienio 2012/13.</w:t>
            </w:r>
          </w:p>
        </w:tc>
        <w:tc>
          <w:tcPr>
            <w:tcW w:w="1084" w:type="pct"/>
            <w:tcBorders>
              <w:top w:val="single" w:sz="4" w:space="0" w:color="auto"/>
            </w:tcBorders>
            <w:shd w:val="clear" w:color="auto" w:fill="auto"/>
            <w:tcMar>
              <w:top w:w="113" w:type="dxa"/>
            </w:tcMar>
          </w:tcPr>
          <w:p w:rsidR="004046B6" w:rsidRPr="00C75C7E" w:rsidRDefault="004046B6" w:rsidP="00900936">
            <w:pPr>
              <w:widowControl w:val="0"/>
              <w:ind w:right="381"/>
              <w:rPr>
                <w:bCs/>
                <w:sz w:val="16"/>
                <w:szCs w:val="16"/>
                <w:lang w:val="es-ES_tradnl"/>
              </w:rPr>
            </w:pPr>
            <w:r w:rsidRPr="00C75C7E">
              <w:rPr>
                <w:bCs/>
                <w:sz w:val="16"/>
                <w:szCs w:val="16"/>
                <w:lang w:val="es-ES_tradnl"/>
              </w:rPr>
              <w:t>Una conferencia diplomática convocada y un tratado adoptado en el bienio 2014/15.</w:t>
            </w:r>
          </w:p>
        </w:tc>
      </w:tr>
      <w:tr w:rsidR="004046B6" w:rsidRPr="00C75C7E" w:rsidTr="00900936">
        <w:trPr>
          <w:cantSplit/>
        </w:trPr>
        <w:tc>
          <w:tcPr>
            <w:tcW w:w="1248" w:type="pct"/>
            <w:vMerge w:val="restar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I.2. Marcos de P.I. adaptados y equilibrados en el ámbito legislativo, reglamentario y de política.</w:t>
            </w: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de países que han ratificado el Tratado de Beijing.</w:t>
            </w:r>
          </w:p>
        </w:tc>
        <w:tc>
          <w:tcPr>
            <w:tcW w:w="1154" w:type="pct"/>
            <w:shd w:val="clear" w:color="auto" w:fill="FFFFFF"/>
            <w:tcMar>
              <w:top w:w="113" w:type="dxa"/>
            </w:tcMar>
          </w:tcPr>
          <w:p w:rsidR="004046B6" w:rsidRPr="00C75C7E" w:rsidRDefault="004046B6" w:rsidP="00900936">
            <w:pPr>
              <w:widowControl w:val="0"/>
              <w:rPr>
                <w:sz w:val="16"/>
                <w:szCs w:val="16"/>
                <w:lang w:val="es-ES_tradnl"/>
              </w:rPr>
            </w:pPr>
            <w:r w:rsidRPr="00C75C7E">
              <w:rPr>
                <w:sz w:val="16"/>
                <w:szCs w:val="16"/>
                <w:lang w:val="es-ES_tradnl" w:bidi="th-TH"/>
              </w:rPr>
              <w:t>Ninguna.</w:t>
            </w:r>
          </w:p>
        </w:tc>
        <w:tc>
          <w:tcPr>
            <w:tcW w:w="1084" w:type="pct"/>
            <w:shd w:val="clear" w:color="auto" w:fill="auto"/>
            <w:tcMar>
              <w:top w:w="113" w:type="dxa"/>
            </w:tcMar>
          </w:tcPr>
          <w:p w:rsidR="004046B6" w:rsidRPr="00C75C7E" w:rsidRDefault="004046B6" w:rsidP="00900936">
            <w:pPr>
              <w:widowControl w:val="0"/>
              <w:ind w:right="51"/>
              <w:rPr>
                <w:bCs/>
                <w:sz w:val="16"/>
                <w:szCs w:val="16"/>
                <w:lang w:val="es-ES_tradnl"/>
              </w:rPr>
            </w:pPr>
            <w:r w:rsidRPr="00C75C7E">
              <w:rPr>
                <w:bCs/>
                <w:sz w:val="16"/>
                <w:szCs w:val="16"/>
                <w:lang w:val="es-ES_tradnl"/>
              </w:rPr>
              <w:t>30 países.</w:t>
            </w:r>
          </w:p>
        </w:tc>
      </w:tr>
      <w:tr w:rsidR="004046B6" w:rsidRPr="00C75C7E" w:rsidTr="00900936">
        <w:trPr>
          <w:cantSplit/>
          <w:trHeight w:val="724"/>
        </w:trPr>
        <w:tc>
          <w:tcPr>
            <w:tcW w:w="1248" w:type="pct"/>
            <w:vMerge/>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y porcentaje de países que han presentado comentarios positivos sobre el asesoramiento legislativo de la OMPI.</w:t>
            </w:r>
          </w:p>
        </w:tc>
        <w:tc>
          <w:tcPr>
            <w:tcW w:w="1154" w:type="pct"/>
            <w:shd w:val="clear" w:color="auto" w:fill="FFFFFF"/>
            <w:tcMar>
              <w:top w:w="113" w:type="dxa"/>
            </w:tcMar>
          </w:tcPr>
          <w:p w:rsidR="004046B6" w:rsidRPr="00C75C7E" w:rsidRDefault="004046B6" w:rsidP="00900936">
            <w:pPr>
              <w:widowControl w:val="0"/>
              <w:rPr>
                <w:sz w:val="16"/>
                <w:szCs w:val="16"/>
                <w:lang w:val="es-ES_tradnl"/>
              </w:rPr>
            </w:pPr>
            <w:r w:rsidRPr="00C75C7E">
              <w:rPr>
                <w:sz w:val="16"/>
                <w:szCs w:val="16"/>
                <w:lang w:val="es-ES_tradnl"/>
              </w:rPr>
              <w:t>No se dispone de datos.</w:t>
            </w:r>
          </w:p>
        </w:tc>
        <w:tc>
          <w:tcPr>
            <w:tcW w:w="1084" w:type="pct"/>
            <w:shd w:val="clear" w:color="auto" w:fill="auto"/>
            <w:tcMar>
              <w:top w:w="113" w:type="dxa"/>
            </w:tcMar>
          </w:tcPr>
          <w:p w:rsidR="004046B6" w:rsidRPr="00C75C7E" w:rsidRDefault="004046B6" w:rsidP="00900936">
            <w:pPr>
              <w:widowControl w:val="0"/>
              <w:ind w:right="381"/>
              <w:rPr>
                <w:bCs/>
                <w:sz w:val="16"/>
                <w:szCs w:val="16"/>
                <w:lang w:val="es-ES_tradnl"/>
              </w:rPr>
            </w:pPr>
            <w:r w:rsidRPr="00C75C7E">
              <w:rPr>
                <w:bCs/>
                <w:sz w:val="16"/>
                <w:szCs w:val="16"/>
                <w:lang w:val="es-ES_tradnl"/>
              </w:rPr>
              <w:t xml:space="preserve">15 países. </w:t>
            </w:r>
          </w:p>
        </w:tc>
      </w:tr>
      <w:tr w:rsidR="004046B6" w:rsidRPr="00C75C7E" w:rsidTr="00900936">
        <w:trPr>
          <w:cantSplit/>
        </w:trPr>
        <w:tc>
          <w:tcPr>
            <w:tcW w:w="1248" w:type="pct"/>
            <w:vMerge/>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de ratificaciones de los Tratados Internet de la OMPI.</w:t>
            </w:r>
          </w:p>
        </w:tc>
        <w:tc>
          <w:tcPr>
            <w:tcW w:w="1154" w:type="pct"/>
            <w:shd w:val="clear" w:color="auto" w:fill="FFFFFF"/>
            <w:tcMar>
              <w:top w:w="113" w:type="dxa"/>
            </w:tcMar>
          </w:tcPr>
          <w:p w:rsidR="004046B6" w:rsidRPr="00C75C7E" w:rsidRDefault="004046B6" w:rsidP="00900936">
            <w:pPr>
              <w:widowControl w:val="0"/>
              <w:rPr>
                <w:sz w:val="16"/>
                <w:szCs w:val="16"/>
                <w:lang w:val="es-ES_tradnl"/>
              </w:rPr>
            </w:pPr>
            <w:r w:rsidRPr="00C75C7E">
              <w:rPr>
                <w:sz w:val="16"/>
                <w:szCs w:val="16"/>
                <w:lang w:val="es-ES_tradnl" w:bidi="th-TH"/>
              </w:rPr>
              <w:t>181 (al final de 2012).</w:t>
            </w:r>
          </w:p>
        </w:tc>
        <w:tc>
          <w:tcPr>
            <w:tcW w:w="1084" w:type="pct"/>
            <w:shd w:val="clear" w:color="auto" w:fill="auto"/>
            <w:tcMar>
              <w:top w:w="113" w:type="dxa"/>
            </w:tcMar>
          </w:tcPr>
          <w:p w:rsidR="004046B6" w:rsidRPr="00C75C7E" w:rsidRDefault="004046B6" w:rsidP="00900936">
            <w:pPr>
              <w:widowControl w:val="0"/>
              <w:tabs>
                <w:tab w:val="left" w:pos="2051"/>
              </w:tabs>
              <w:ind w:right="381"/>
              <w:rPr>
                <w:bCs/>
                <w:sz w:val="16"/>
                <w:szCs w:val="16"/>
                <w:lang w:val="es-ES_tradnl"/>
              </w:rPr>
            </w:pPr>
            <w:r w:rsidRPr="00C75C7E">
              <w:rPr>
                <w:bCs/>
                <w:sz w:val="16"/>
                <w:szCs w:val="16"/>
                <w:lang w:val="es-ES_tradnl"/>
              </w:rPr>
              <w:t>190</w:t>
            </w:r>
          </w:p>
        </w:tc>
      </w:tr>
      <w:tr w:rsidR="004046B6" w:rsidRPr="00C75C7E" w:rsidTr="00900936">
        <w:trPr>
          <w:cantSplit/>
        </w:trPr>
        <w:tc>
          <w:tcPr>
            <w:tcW w:w="1248" w:type="pct"/>
            <w:vMerge/>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de países que han ratificado el Tratado de Marrakech sobre las personas con discapacidad visual.</w:t>
            </w:r>
          </w:p>
        </w:tc>
        <w:tc>
          <w:tcPr>
            <w:tcW w:w="1154" w:type="pct"/>
            <w:shd w:val="clear" w:color="auto" w:fill="FFFFFF"/>
            <w:tcMar>
              <w:top w:w="113" w:type="dxa"/>
            </w:tcMar>
          </w:tcPr>
          <w:p w:rsidR="004046B6" w:rsidRPr="00C75C7E" w:rsidRDefault="004046B6" w:rsidP="00900936">
            <w:pPr>
              <w:widowControl w:val="0"/>
              <w:rPr>
                <w:sz w:val="16"/>
                <w:szCs w:val="16"/>
                <w:lang w:val="es-ES_tradnl"/>
              </w:rPr>
            </w:pPr>
            <w:r w:rsidRPr="00C75C7E">
              <w:rPr>
                <w:sz w:val="16"/>
                <w:szCs w:val="16"/>
                <w:lang w:val="es-ES_tradnl" w:bidi="th-TH"/>
              </w:rPr>
              <w:t>Ninguna.</w:t>
            </w:r>
          </w:p>
        </w:tc>
        <w:tc>
          <w:tcPr>
            <w:tcW w:w="1084" w:type="pct"/>
            <w:shd w:val="clear" w:color="auto" w:fill="auto"/>
            <w:tcMar>
              <w:top w:w="113" w:type="dxa"/>
            </w:tcMar>
          </w:tcPr>
          <w:p w:rsidR="004046B6" w:rsidRPr="00C75C7E" w:rsidRDefault="00D06458" w:rsidP="00900936">
            <w:pPr>
              <w:widowControl w:val="0"/>
              <w:rPr>
                <w:sz w:val="16"/>
                <w:szCs w:val="16"/>
                <w:lang w:val="es-ES_tradnl"/>
              </w:rPr>
            </w:pPr>
            <w:r>
              <w:rPr>
                <w:sz w:val="16"/>
                <w:szCs w:val="16"/>
                <w:lang w:val="es-ES_tradnl" w:bidi="th-TH"/>
              </w:rPr>
              <w:t>2</w:t>
            </w:r>
            <w:r w:rsidR="004046B6" w:rsidRPr="00C75C7E">
              <w:rPr>
                <w:sz w:val="16"/>
                <w:szCs w:val="16"/>
                <w:lang w:val="es-ES_tradnl" w:bidi="th-TH"/>
              </w:rPr>
              <w:t>0 países.</w:t>
            </w:r>
          </w:p>
        </w:tc>
      </w:tr>
      <w:tr w:rsidR="004046B6" w:rsidRPr="00C75C7E" w:rsidTr="00900936">
        <w:trPr>
          <w:cantSplit/>
        </w:trPr>
        <w:tc>
          <w:tcPr>
            <w:tcW w:w="1248" w:type="pct"/>
            <w:vMerge w:val="restar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III.2 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de gobiernos y de OGC que firman acuerdos con la OMPI para elaborar una nueva norma de garantía de calidad en materia de transparencia, rendición de cuentas y gobernanza.</w:t>
            </w:r>
          </w:p>
        </w:tc>
        <w:tc>
          <w:tcPr>
            <w:tcW w:w="1154" w:type="pct"/>
            <w:shd w:val="clear" w:color="auto" w:fill="FFFFFF"/>
            <w:tcMar>
              <w:top w:w="113" w:type="dxa"/>
            </w:tcMar>
          </w:tcPr>
          <w:p w:rsidR="004046B6" w:rsidRPr="00C75C7E" w:rsidRDefault="00FE2187" w:rsidP="00900936">
            <w:pPr>
              <w:widowControl w:val="0"/>
              <w:rPr>
                <w:sz w:val="16"/>
                <w:szCs w:val="16"/>
                <w:lang w:val="es-ES_tradnl"/>
              </w:rPr>
            </w:pPr>
            <w:r>
              <w:rPr>
                <w:sz w:val="16"/>
                <w:szCs w:val="16"/>
                <w:lang w:val="es-ES_tradnl" w:bidi="th-TH"/>
              </w:rPr>
              <w:t>No disponible.</w:t>
            </w:r>
          </w:p>
        </w:tc>
        <w:tc>
          <w:tcPr>
            <w:tcW w:w="1084" w:type="pct"/>
            <w:shd w:val="clear" w:color="auto" w:fill="auto"/>
            <w:tcMar>
              <w:top w:w="113" w:type="dxa"/>
            </w:tcMar>
          </w:tcPr>
          <w:p w:rsidR="004046B6" w:rsidRPr="00C75C7E" w:rsidRDefault="004046B6" w:rsidP="00900936">
            <w:pPr>
              <w:widowControl w:val="0"/>
              <w:ind w:right="381"/>
              <w:rPr>
                <w:bCs/>
                <w:sz w:val="16"/>
                <w:szCs w:val="16"/>
                <w:lang w:val="es-ES_tradnl"/>
              </w:rPr>
            </w:pPr>
            <w:r w:rsidRPr="00C75C7E">
              <w:rPr>
                <w:bCs/>
                <w:sz w:val="16"/>
                <w:szCs w:val="16"/>
                <w:lang w:val="es-ES_tradnl"/>
              </w:rPr>
              <w:t>Cuatro gobiernos y seis OGC.</w:t>
            </w:r>
          </w:p>
        </w:tc>
      </w:tr>
      <w:tr w:rsidR="004046B6" w:rsidRPr="00C75C7E" w:rsidTr="00900936">
        <w:trPr>
          <w:cantSplit/>
        </w:trPr>
        <w:tc>
          <w:tcPr>
            <w:tcW w:w="1248" w:type="pct"/>
            <w:vMerge/>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Porcentaje de creadores satisfechos con la formación proporcionada sobre el uso de la información y los datos de derecho de autor para la gestión eficaz de sus derechos de autor.</w:t>
            </w:r>
          </w:p>
        </w:tc>
        <w:tc>
          <w:tcPr>
            <w:tcW w:w="1154" w:type="pct"/>
            <w:shd w:val="clear" w:color="auto" w:fill="FFFFFF"/>
            <w:tcMar>
              <w:top w:w="113" w:type="dxa"/>
            </w:tcMar>
          </w:tcPr>
          <w:p w:rsidR="004046B6" w:rsidRPr="00C75C7E" w:rsidRDefault="004046B6" w:rsidP="00900936">
            <w:pPr>
              <w:widowControl w:val="0"/>
              <w:rPr>
                <w:sz w:val="16"/>
                <w:szCs w:val="16"/>
                <w:lang w:val="es-ES_tradnl"/>
              </w:rPr>
            </w:pPr>
            <w:r w:rsidRPr="00C75C7E">
              <w:rPr>
                <w:sz w:val="16"/>
                <w:szCs w:val="16"/>
                <w:lang w:val="es-ES_tradnl" w:bidi="th-TH"/>
              </w:rPr>
              <w:t>Aún no se ha iniciado.</w:t>
            </w:r>
          </w:p>
        </w:tc>
        <w:tc>
          <w:tcPr>
            <w:tcW w:w="1084" w:type="pct"/>
            <w:shd w:val="clear" w:color="auto" w:fill="auto"/>
            <w:tcMar>
              <w:top w:w="113" w:type="dxa"/>
            </w:tcMar>
          </w:tcPr>
          <w:p w:rsidR="004046B6" w:rsidRPr="00C75C7E" w:rsidRDefault="004046B6" w:rsidP="00900936">
            <w:pPr>
              <w:widowControl w:val="0"/>
              <w:tabs>
                <w:tab w:val="left" w:pos="2051"/>
              </w:tabs>
              <w:ind w:right="381"/>
              <w:rPr>
                <w:bCs/>
                <w:sz w:val="16"/>
                <w:szCs w:val="16"/>
                <w:lang w:val="es-ES_tradnl"/>
              </w:rPr>
            </w:pPr>
            <w:r w:rsidRPr="00C75C7E">
              <w:rPr>
                <w:bCs/>
                <w:sz w:val="16"/>
                <w:szCs w:val="16"/>
                <w:lang w:val="es-ES_tradnl"/>
              </w:rPr>
              <w:t>60%</w:t>
            </w:r>
          </w:p>
        </w:tc>
      </w:tr>
      <w:tr w:rsidR="004046B6" w:rsidRPr="00C75C7E" w:rsidTr="00900936">
        <w:trPr>
          <w:cantSplit/>
        </w:trPr>
        <w:tc>
          <w:tcPr>
            <w:tcW w:w="1248" w:type="pct"/>
            <w:vMerge/>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Porcentaje de participantes en reuniones y talleres de creación de capacidad sobre cuestiones de derecho de autor que expresaron satisfacción al respecto.</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Índice de satisfacción del 70%.</w:t>
            </w:r>
          </w:p>
          <w:p w:rsidR="004046B6" w:rsidRPr="00C75C7E" w:rsidRDefault="004046B6" w:rsidP="00900936">
            <w:pPr>
              <w:widowControl w:val="0"/>
              <w:rPr>
                <w:sz w:val="16"/>
                <w:szCs w:val="16"/>
                <w:lang w:val="es-ES_tradnl"/>
              </w:rPr>
            </w:pPr>
          </w:p>
        </w:tc>
        <w:tc>
          <w:tcPr>
            <w:tcW w:w="1084" w:type="pct"/>
            <w:shd w:val="clear" w:color="auto" w:fill="auto"/>
            <w:tcMar>
              <w:top w:w="113" w:type="dxa"/>
            </w:tcMar>
          </w:tcPr>
          <w:p w:rsidR="004046B6" w:rsidRPr="00C75C7E" w:rsidRDefault="004046B6" w:rsidP="00900936">
            <w:pPr>
              <w:widowControl w:val="0"/>
              <w:ind w:right="51"/>
              <w:rPr>
                <w:bCs/>
                <w:sz w:val="16"/>
                <w:szCs w:val="16"/>
                <w:lang w:val="es-ES_tradnl"/>
              </w:rPr>
            </w:pPr>
            <w:r w:rsidRPr="00C75C7E">
              <w:rPr>
                <w:bCs/>
                <w:sz w:val="16"/>
                <w:szCs w:val="16"/>
                <w:lang w:val="es-ES_tradnl"/>
              </w:rPr>
              <w:t>70%  de acuerdo o completamente de acuerdo.</w:t>
            </w:r>
          </w:p>
        </w:tc>
      </w:tr>
      <w:tr w:rsidR="004046B6" w:rsidRPr="00C75C7E" w:rsidTr="00900936">
        <w:trPr>
          <w:cantSplit/>
        </w:trPr>
        <w:tc>
          <w:tcPr>
            <w:tcW w:w="1248" w:type="pct"/>
            <w:vMerge/>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 xml:space="preserve">Número de Estados miembros que toman iniciativas para mejorar el uso del sistema de derecho de autor </w:t>
            </w:r>
            <w:r w:rsidR="00D06458">
              <w:rPr>
                <w:sz w:val="16"/>
                <w:szCs w:val="16"/>
                <w:lang w:val="es-ES_tradnl"/>
              </w:rPr>
              <w:t xml:space="preserve">y derechos conexos </w:t>
            </w:r>
            <w:r w:rsidRPr="00C75C7E">
              <w:rPr>
                <w:sz w:val="16"/>
                <w:szCs w:val="16"/>
                <w:lang w:val="es-ES_tradnl"/>
              </w:rPr>
              <w:t>a fin de explotar el potencial económico de sus obras y productos culturales.</w:t>
            </w:r>
          </w:p>
        </w:tc>
        <w:tc>
          <w:tcPr>
            <w:tcW w:w="1154" w:type="pct"/>
            <w:shd w:val="clear" w:color="auto" w:fill="FFFFFF"/>
            <w:tcMar>
              <w:top w:w="113" w:type="dxa"/>
            </w:tcMar>
          </w:tcPr>
          <w:p w:rsidR="004046B6" w:rsidRPr="00C75C7E" w:rsidRDefault="004046B6" w:rsidP="00900936">
            <w:pPr>
              <w:widowControl w:val="0"/>
              <w:rPr>
                <w:sz w:val="16"/>
                <w:szCs w:val="16"/>
                <w:lang w:val="es-ES_tradnl"/>
              </w:rPr>
            </w:pPr>
            <w:r w:rsidRPr="00C75C7E">
              <w:rPr>
                <w:sz w:val="16"/>
                <w:szCs w:val="16"/>
                <w:lang w:val="es-ES_tradnl" w:bidi="th-TH"/>
              </w:rPr>
              <w:t>60% de países que solicitaron asistencia técnica.</w:t>
            </w:r>
          </w:p>
        </w:tc>
        <w:tc>
          <w:tcPr>
            <w:tcW w:w="1084" w:type="pct"/>
            <w:shd w:val="clear" w:color="auto" w:fill="auto"/>
            <w:tcMar>
              <w:top w:w="113" w:type="dxa"/>
            </w:tcMar>
          </w:tcPr>
          <w:p w:rsidR="004046B6" w:rsidRPr="00C75C7E" w:rsidRDefault="004046B6" w:rsidP="00900936">
            <w:pPr>
              <w:widowControl w:val="0"/>
              <w:ind w:right="51"/>
              <w:rPr>
                <w:bCs/>
                <w:sz w:val="16"/>
                <w:szCs w:val="16"/>
                <w:lang w:val="es-ES_tradnl"/>
              </w:rPr>
            </w:pPr>
            <w:r w:rsidRPr="00C75C7E">
              <w:rPr>
                <w:bCs/>
                <w:sz w:val="16"/>
                <w:szCs w:val="16"/>
                <w:lang w:val="es-ES_tradnl"/>
              </w:rPr>
              <w:t>60% de países que recibieron asistencia.</w:t>
            </w:r>
          </w:p>
        </w:tc>
      </w:tr>
      <w:tr w:rsidR="004046B6" w:rsidRPr="00C75C7E" w:rsidTr="00900936">
        <w:trPr>
          <w:cantSplit/>
          <w:trHeight w:val="991"/>
        </w:trPr>
        <w:tc>
          <w:tcPr>
            <w:tcW w:w="1248" w:type="pct"/>
            <w:shd w:val="clear" w:color="auto" w:fill="auto"/>
            <w:tcMar>
              <w:top w:w="113" w:type="dxa"/>
            </w:tcMar>
          </w:tcPr>
          <w:p w:rsidR="004046B6" w:rsidRPr="00C75C7E" w:rsidRDefault="004046B6" w:rsidP="00900936">
            <w:pPr>
              <w:widowControl w:val="0"/>
              <w:tabs>
                <w:tab w:val="right" w:pos="2835"/>
              </w:tabs>
              <w:spacing w:after="60"/>
              <w:rPr>
                <w:sz w:val="16"/>
                <w:szCs w:val="16"/>
                <w:lang w:val="es-ES_tradnl"/>
              </w:rPr>
            </w:pPr>
            <w:r w:rsidRPr="00C75C7E">
              <w:rPr>
                <w:sz w:val="16"/>
                <w:szCs w:val="16"/>
                <w:lang w:val="es-ES_tradnl"/>
              </w:rPr>
              <w:t>IV.2. Mejora del acceso y uso de información y conocimientos de P.I. por parte de instituciones de P.I. y el público para fomentar la innovación y la creatividad.</w:t>
            </w:r>
            <w:r w:rsidRPr="00C75C7E">
              <w:rPr>
                <w:sz w:val="15"/>
                <w:szCs w:val="15"/>
                <w:lang w:val="es-ES_tradnl"/>
              </w:rPr>
              <w:t xml:space="preserve"> </w:t>
            </w: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 xml:space="preserve">Número de intermediarios de confianza y titulares de </w:t>
            </w:r>
            <w:r w:rsidR="00335765">
              <w:rPr>
                <w:sz w:val="16"/>
                <w:szCs w:val="16"/>
                <w:lang w:val="es-ES_tradnl"/>
              </w:rPr>
              <w:t>derechos que se han adherido a l</w:t>
            </w:r>
            <w:r w:rsidRPr="00C75C7E">
              <w:rPr>
                <w:sz w:val="16"/>
                <w:szCs w:val="16"/>
                <w:lang w:val="es-ES_tradnl"/>
              </w:rPr>
              <w:t>a red de sistemas TIGAR, incluidos los procedentes de países en desarrollo y PMA.</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19 intermediarios de confianza y 40 titulares de derechos.</w:t>
            </w:r>
          </w:p>
          <w:p w:rsidR="004046B6" w:rsidRPr="00C75C7E" w:rsidRDefault="004046B6" w:rsidP="00900936">
            <w:pPr>
              <w:widowControl w:val="0"/>
              <w:rPr>
                <w:sz w:val="16"/>
                <w:szCs w:val="16"/>
                <w:lang w:val="es-ES_tradnl"/>
              </w:rPr>
            </w:pPr>
          </w:p>
        </w:tc>
        <w:tc>
          <w:tcPr>
            <w:tcW w:w="1084" w:type="pct"/>
            <w:shd w:val="clear" w:color="auto" w:fill="auto"/>
            <w:tcMar>
              <w:top w:w="113" w:type="dxa"/>
            </w:tcMar>
          </w:tcPr>
          <w:p w:rsidR="004046B6" w:rsidRPr="00C75C7E" w:rsidRDefault="004046B6" w:rsidP="00900936">
            <w:pPr>
              <w:widowControl w:val="0"/>
              <w:ind w:right="51"/>
              <w:rPr>
                <w:bCs/>
                <w:sz w:val="16"/>
                <w:szCs w:val="16"/>
                <w:lang w:val="es-ES_tradnl"/>
              </w:rPr>
            </w:pPr>
            <w:r w:rsidRPr="00C75C7E">
              <w:rPr>
                <w:bCs/>
                <w:sz w:val="16"/>
                <w:szCs w:val="16"/>
                <w:lang w:val="es-ES_tradnl"/>
              </w:rPr>
              <w:t>24 intermediarios de confianza y 46 titulares de derechos (en total).</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de obras protegidas por derecho de autor distribuidas entre intermediarios de confianza y puestas a disposición de las personas con discapacidad visual a escala internacional por medio de la red de sistemas TIGAR.</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400</w:t>
            </w:r>
          </w:p>
          <w:p w:rsidR="004046B6" w:rsidRPr="00C75C7E" w:rsidRDefault="004046B6" w:rsidP="00900936">
            <w:pPr>
              <w:widowControl w:val="0"/>
              <w:rPr>
                <w:sz w:val="16"/>
                <w:szCs w:val="16"/>
                <w:lang w:val="es-ES_tradnl"/>
              </w:rPr>
            </w:pPr>
          </w:p>
        </w:tc>
        <w:tc>
          <w:tcPr>
            <w:tcW w:w="1084" w:type="pct"/>
            <w:shd w:val="clear" w:color="auto" w:fill="auto"/>
            <w:tcMar>
              <w:top w:w="113"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1.000 en total.</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Porcentaje de personas satisfechas con el apoyo al fortalecimiento de capacidades en infraestructura de derecho de autor.</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 xml:space="preserve">No se dispone de datos. </w:t>
            </w:r>
          </w:p>
        </w:tc>
        <w:tc>
          <w:tcPr>
            <w:tcW w:w="1084" w:type="pct"/>
            <w:shd w:val="clear" w:color="auto" w:fill="auto"/>
            <w:tcMar>
              <w:top w:w="113"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60%</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de instituciones que utilizan el sistema GDA.</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15</w:t>
            </w:r>
          </w:p>
        </w:tc>
        <w:tc>
          <w:tcPr>
            <w:tcW w:w="1084" w:type="pct"/>
            <w:shd w:val="clear" w:color="auto" w:fill="auto"/>
            <w:tcMar>
              <w:top w:w="113"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 xml:space="preserve">15 </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Uso de la base de datos de la OMPI sobre gestión colectiva de los derechos.</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No se dispone de datos.</w:t>
            </w:r>
          </w:p>
          <w:p w:rsidR="004046B6" w:rsidRPr="00C75C7E" w:rsidRDefault="004046B6" w:rsidP="00900936">
            <w:pPr>
              <w:widowControl w:val="0"/>
              <w:rPr>
                <w:sz w:val="16"/>
                <w:szCs w:val="16"/>
                <w:lang w:val="es-ES_tradnl" w:bidi="th-TH"/>
              </w:rPr>
            </w:pPr>
          </w:p>
        </w:tc>
        <w:tc>
          <w:tcPr>
            <w:tcW w:w="1084" w:type="pct"/>
            <w:shd w:val="clear" w:color="auto" w:fill="auto"/>
            <w:tcMar>
              <w:top w:w="113"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100 usuarios.</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de instrumentos jurídicos, directrices, declaraciones de principios distintas de tratados acordados o suscritos por las partes interesadas en ámbitos como los de la P.I. y el deporte y el derecho de autor en el entorno digital.</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Uno (Examen de la OMPI de las consideraciones contractuales en el sector audiovisual).</w:t>
            </w:r>
          </w:p>
          <w:p w:rsidR="004046B6" w:rsidRPr="00C75C7E" w:rsidRDefault="004046B6" w:rsidP="00900936">
            <w:pPr>
              <w:widowControl w:val="0"/>
              <w:rPr>
                <w:sz w:val="16"/>
                <w:szCs w:val="16"/>
                <w:lang w:val="es-ES_tradnl"/>
              </w:rPr>
            </w:pPr>
          </w:p>
        </w:tc>
        <w:tc>
          <w:tcPr>
            <w:tcW w:w="1084" w:type="pct"/>
            <w:shd w:val="clear" w:color="auto" w:fill="auto"/>
            <w:tcMar>
              <w:top w:w="113" w:type="dxa"/>
            </w:tcMar>
          </w:tcPr>
          <w:p w:rsidR="004046B6" w:rsidRPr="00C75C7E" w:rsidRDefault="004046B6" w:rsidP="00900936">
            <w:pPr>
              <w:widowControl w:val="0"/>
              <w:ind w:right="51"/>
              <w:rPr>
                <w:bCs/>
                <w:sz w:val="16"/>
                <w:szCs w:val="16"/>
                <w:lang w:val="es-ES_tradnl"/>
              </w:rPr>
            </w:pPr>
            <w:r w:rsidRPr="00C75C7E">
              <w:rPr>
                <w:bCs/>
                <w:sz w:val="16"/>
                <w:szCs w:val="16"/>
                <w:lang w:val="es-ES_tradnl"/>
              </w:rPr>
              <w:t>Uno.</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IV.4. Mejora en la infraestructura técnica y de conocimientos de las oficinas y demás instituciones de P.I. que l</w:t>
            </w:r>
            <w:r w:rsidR="00177006">
              <w:rPr>
                <w:sz w:val="16"/>
                <w:szCs w:val="16"/>
                <w:lang w:val="es-ES_tradnl"/>
              </w:rPr>
              <w:t>es permita</w:t>
            </w:r>
            <w:r w:rsidRPr="00C75C7E">
              <w:rPr>
                <w:sz w:val="16"/>
                <w:szCs w:val="16"/>
                <w:lang w:val="es-ES_tradnl"/>
              </w:rPr>
              <w:t xml:space="preserve"> prestar mejores servicios (más económicos, más rápidos y de mejor calidad) a sus partes interesadas.</w:t>
            </w: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Número de gobiernos y OGC que firman acuerdos con la OMPI para reestructurar WIPOCOS.</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Aún no se ha iniciado.</w:t>
            </w:r>
          </w:p>
          <w:p w:rsidR="004046B6" w:rsidRPr="00C75C7E" w:rsidRDefault="004046B6" w:rsidP="00900936">
            <w:pPr>
              <w:widowControl w:val="0"/>
              <w:rPr>
                <w:sz w:val="16"/>
                <w:szCs w:val="16"/>
                <w:lang w:val="es-ES_tradnl" w:bidi="th-TH"/>
              </w:rPr>
            </w:pPr>
          </w:p>
          <w:p w:rsidR="004046B6" w:rsidRPr="00C75C7E" w:rsidRDefault="004046B6" w:rsidP="00900936">
            <w:pPr>
              <w:widowControl w:val="0"/>
              <w:rPr>
                <w:sz w:val="16"/>
                <w:szCs w:val="16"/>
                <w:lang w:val="es-ES_tradnl" w:bidi="th-TH"/>
              </w:rPr>
            </w:pPr>
          </w:p>
        </w:tc>
        <w:tc>
          <w:tcPr>
            <w:tcW w:w="1084" w:type="pct"/>
            <w:shd w:val="clear" w:color="auto" w:fill="auto"/>
            <w:tcMar>
              <w:top w:w="113"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Cuatro gobiernos y cinco OGC.</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ind w:right="-151"/>
              <w:rPr>
                <w:sz w:val="16"/>
                <w:szCs w:val="16"/>
                <w:lang w:val="es-ES_tradnl"/>
              </w:rPr>
            </w:pPr>
          </w:p>
        </w:tc>
        <w:tc>
          <w:tcPr>
            <w:tcW w:w="1514" w:type="pct"/>
            <w:shd w:val="clear" w:color="auto" w:fill="auto"/>
            <w:tcMar>
              <w:top w:w="113" w:type="dxa"/>
            </w:tcMar>
          </w:tcPr>
          <w:p w:rsidR="004046B6" w:rsidRPr="00C75C7E" w:rsidRDefault="004046B6" w:rsidP="00900936">
            <w:pPr>
              <w:widowControl w:val="0"/>
              <w:ind w:right="-151"/>
              <w:rPr>
                <w:sz w:val="16"/>
                <w:szCs w:val="16"/>
                <w:lang w:val="es-ES_tradnl"/>
              </w:rPr>
            </w:pPr>
            <w:r w:rsidRPr="00C75C7E">
              <w:rPr>
                <w:sz w:val="16"/>
                <w:szCs w:val="16"/>
                <w:lang w:val="es-ES_tradnl"/>
              </w:rPr>
              <w:t xml:space="preserve">Número de OGC de países en desarrollo y PMA que participan en las redes regionales y mundiales facilitadas por la OMPI. </w:t>
            </w:r>
          </w:p>
        </w:tc>
        <w:tc>
          <w:tcPr>
            <w:tcW w:w="1154" w:type="pct"/>
            <w:shd w:val="clear" w:color="auto" w:fill="FFFFFF"/>
            <w:tcMar>
              <w:top w:w="113" w:type="dxa"/>
            </w:tcMar>
          </w:tcPr>
          <w:p w:rsidR="004046B6" w:rsidRPr="00C75C7E" w:rsidRDefault="004046B6" w:rsidP="00900936">
            <w:pPr>
              <w:widowControl w:val="0"/>
              <w:ind w:right="-151"/>
              <w:rPr>
                <w:sz w:val="16"/>
                <w:szCs w:val="16"/>
                <w:lang w:val="es-ES_tradnl" w:bidi="th-TH"/>
              </w:rPr>
            </w:pPr>
            <w:r w:rsidRPr="00C75C7E">
              <w:rPr>
                <w:sz w:val="16"/>
                <w:szCs w:val="16"/>
                <w:lang w:val="es-ES_tradnl" w:bidi="th-TH"/>
              </w:rPr>
              <w:t>0 (cero).</w:t>
            </w:r>
          </w:p>
          <w:p w:rsidR="004046B6" w:rsidRPr="00C75C7E" w:rsidRDefault="004046B6" w:rsidP="00900936">
            <w:pPr>
              <w:widowControl w:val="0"/>
              <w:ind w:right="-151"/>
              <w:rPr>
                <w:sz w:val="16"/>
                <w:szCs w:val="16"/>
                <w:lang w:val="es-ES_tradnl" w:bidi="th-TH"/>
              </w:rPr>
            </w:pPr>
          </w:p>
        </w:tc>
        <w:tc>
          <w:tcPr>
            <w:tcW w:w="1084" w:type="pct"/>
            <w:shd w:val="clear" w:color="auto" w:fill="auto"/>
            <w:tcMar>
              <w:top w:w="113" w:type="dxa"/>
            </w:tcMar>
          </w:tcPr>
          <w:p w:rsidR="004046B6" w:rsidRPr="00C75C7E" w:rsidRDefault="004046B6" w:rsidP="00900936">
            <w:pPr>
              <w:widowControl w:val="0"/>
              <w:ind w:right="-151"/>
              <w:rPr>
                <w:bCs/>
                <w:sz w:val="16"/>
                <w:szCs w:val="16"/>
                <w:lang w:val="es-ES_tradnl"/>
              </w:rPr>
            </w:pPr>
            <w:r w:rsidRPr="00C75C7E">
              <w:rPr>
                <w:bCs/>
                <w:sz w:val="16"/>
                <w:szCs w:val="16"/>
                <w:lang w:val="es-ES_tradnl"/>
              </w:rPr>
              <w:t>10</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ind w:right="-151"/>
              <w:rPr>
                <w:sz w:val="16"/>
                <w:szCs w:val="16"/>
                <w:lang w:val="es-ES_tradnl"/>
              </w:rPr>
            </w:pPr>
          </w:p>
        </w:tc>
        <w:tc>
          <w:tcPr>
            <w:tcW w:w="1514" w:type="pct"/>
            <w:shd w:val="clear" w:color="auto" w:fill="auto"/>
            <w:tcMar>
              <w:top w:w="113" w:type="dxa"/>
            </w:tcMar>
          </w:tcPr>
          <w:p w:rsidR="004046B6" w:rsidRPr="00C75C7E" w:rsidRDefault="004046B6" w:rsidP="00900936">
            <w:pPr>
              <w:widowControl w:val="0"/>
              <w:ind w:right="-151"/>
              <w:rPr>
                <w:sz w:val="16"/>
                <w:szCs w:val="16"/>
                <w:lang w:val="es-ES_tradnl"/>
              </w:rPr>
            </w:pPr>
            <w:r w:rsidRPr="00C75C7E">
              <w:rPr>
                <w:sz w:val="16"/>
                <w:szCs w:val="16"/>
                <w:lang w:val="es-ES_tradnl"/>
              </w:rPr>
              <w:t>Porcentaje de gobiernos que informan favorablemente acerca de la eficacia y la gobernanza de las oficinas de derecho de autor y otras instituciones en el país.</w:t>
            </w:r>
          </w:p>
        </w:tc>
        <w:tc>
          <w:tcPr>
            <w:tcW w:w="1154" w:type="pct"/>
            <w:shd w:val="clear" w:color="auto" w:fill="FFFFFF"/>
            <w:tcMar>
              <w:top w:w="113" w:type="dxa"/>
            </w:tcMar>
          </w:tcPr>
          <w:p w:rsidR="004046B6" w:rsidRPr="00C75C7E" w:rsidRDefault="004046B6" w:rsidP="00900936">
            <w:pPr>
              <w:widowControl w:val="0"/>
              <w:ind w:right="-151"/>
              <w:rPr>
                <w:sz w:val="16"/>
                <w:szCs w:val="16"/>
                <w:lang w:val="es-ES_tradnl" w:bidi="th-TH"/>
              </w:rPr>
            </w:pPr>
            <w:r w:rsidRPr="00C75C7E">
              <w:rPr>
                <w:sz w:val="16"/>
                <w:szCs w:val="16"/>
                <w:lang w:val="es-ES_tradnl" w:bidi="th-TH"/>
              </w:rPr>
              <w:t>Índice de satisfacción del 80%.</w:t>
            </w:r>
          </w:p>
          <w:p w:rsidR="004046B6" w:rsidRPr="00C75C7E" w:rsidRDefault="004046B6" w:rsidP="00900936">
            <w:pPr>
              <w:widowControl w:val="0"/>
              <w:ind w:right="-151"/>
              <w:rPr>
                <w:sz w:val="16"/>
                <w:szCs w:val="16"/>
                <w:lang w:val="es-ES_tradnl" w:bidi="th-TH"/>
              </w:rPr>
            </w:pPr>
          </w:p>
          <w:p w:rsidR="004046B6" w:rsidRPr="00C75C7E" w:rsidRDefault="004046B6" w:rsidP="00900936">
            <w:pPr>
              <w:widowControl w:val="0"/>
              <w:ind w:right="-151"/>
              <w:rPr>
                <w:sz w:val="16"/>
                <w:szCs w:val="16"/>
                <w:lang w:val="es-ES_tradnl" w:bidi="th-TH"/>
              </w:rPr>
            </w:pPr>
          </w:p>
          <w:p w:rsidR="004046B6" w:rsidRPr="00C75C7E" w:rsidRDefault="004046B6" w:rsidP="00900936">
            <w:pPr>
              <w:widowControl w:val="0"/>
              <w:ind w:right="-151"/>
              <w:rPr>
                <w:sz w:val="16"/>
                <w:szCs w:val="16"/>
                <w:lang w:val="es-ES_tradnl"/>
              </w:rPr>
            </w:pPr>
          </w:p>
        </w:tc>
        <w:tc>
          <w:tcPr>
            <w:tcW w:w="1084" w:type="pct"/>
            <w:shd w:val="clear" w:color="auto" w:fill="auto"/>
            <w:tcMar>
              <w:top w:w="113" w:type="dxa"/>
            </w:tcMar>
          </w:tcPr>
          <w:p w:rsidR="004046B6" w:rsidRPr="00C75C7E" w:rsidRDefault="004046B6" w:rsidP="00900936">
            <w:pPr>
              <w:widowControl w:val="0"/>
              <w:ind w:right="-151"/>
              <w:rPr>
                <w:bCs/>
                <w:sz w:val="16"/>
                <w:szCs w:val="16"/>
                <w:lang w:val="es-ES_tradnl"/>
              </w:rPr>
            </w:pPr>
            <w:r w:rsidRPr="00C75C7E">
              <w:rPr>
                <w:bCs/>
                <w:sz w:val="16"/>
                <w:szCs w:val="16"/>
                <w:lang w:val="es-ES_tradnl"/>
              </w:rPr>
              <w:t>80% de los países que reciben asistencia técnica.</w:t>
            </w:r>
          </w:p>
        </w:tc>
      </w:tr>
      <w:tr w:rsidR="004046B6" w:rsidRPr="00C75C7E" w:rsidTr="00900936">
        <w:trPr>
          <w:cantSplit/>
          <w:trHeight w:val="542"/>
        </w:trPr>
        <w:tc>
          <w:tcPr>
            <w:tcW w:w="1248" w:type="pct"/>
            <w:shd w:val="clear" w:color="auto" w:fill="auto"/>
            <w:tcMar>
              <w:top w:w="113" w:type="dxa"/>
            </w:tcMar>
          </w:tcPr>
          <w:p w:rsidR="004046B6" w:rsidRPr="00C75C7E" w:rsidRDefault="004046B6" w:rsidP="00900936">
            <w:pPr>
              <w:widowControl w:val="0"/>
              <w:tabs>
                <w:tab w:val="right" w:pos="2835"/>
              </w:tabs>
              <w:spacing w:after="60"/>
              <w:rPr>
                <w:sz w:val="15"/>
                <w:szCs w:val="15"/>
                <w:lang w:val="es-ES_tradnl"/>
              </w:rPr>
            </w:pPr>
            <w:r w:rsidRPr="00C75C7E">
              <w:rPr>
                <w:sz w:val="16"/>
                <w:szCs w:val="16"/>
                <w:lang w:val="es-ES_tradnl"/>
              </w:rPr>
              <w:t>V.2. Ampliación y mejora del uso de los análisis económicos de la OMPI en la formulación de políticas.</w:t>
            </w:r>
            <w:r w:rsidRPr="00C75C7E">
              <w:rPr>
                <w:sz w:val="15"/>
                <w:szCs w:val="15"/>
                <w:lang w:val="es-ES_tradnl"/>
              </w:rPr>
              <w:t xml:space="preserve"> </w:t>
            </w:r>
          </w:p>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Uso de estudios económicos de la OMPI sobre derecho de autor en la toma de decisiones de gobiernos y ONG.</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Ocho gobiernos u ONG que utilizan los estudios de la OMPI.</w:t>
            </w:r>
          </w:p>
        </w:tc>
        <w:tc>
          <w:tcPr>
            <w:tcW w:w="1084" w:type="pct"/>
            <w:shd w:val="clear" w:color="auto" w:fill="auto"/>
            <w:tcMar>
              <w:top w:w="113"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12 gobiernos u ONG que utilizan los estudios de la OMPI. (en total)</w:t>
            </w:r>
          </w:p>
        </w:tc>
      </w:tr>
      <w:tr w:rsidR="004046B6" w:rsidRPr="00C75C7E" w:rsidTr="00900936">
        <w:trPr>
          <w:cantSplit/>
        </w:trPr>
        <w:tc>
          <w:tcPr>
            <w:tcW w:w="1248" w:type="pct"/>
            <w:shd w:val="clear" w:color="auto" w:fill="auto"/>
            <w:tcMar>
              <w:top w:w="113" w:type="dxa"/>
            </w:tcMar>
          </w:tcPr>
          <w:p w:rsidR="004046B6" w:rsidRPr="00C75C7E" w:rsidRDefault="004046B6" w:rsidP="00900936">
            <w:pPr>
              <w:widowControl w:val="0"/>
              <w:rPr>
                <w:sz w:val="16"/>
                <w:szCs w:val="16"/>
                <w:lang w:val="es-ES_tradnl"/>
              </w:rPr>
            </w:pPr>
          </w:p>
        </w:tc>
        <w:tc>
          <w:tcPr>
            <w:tcW w:w="1514" w:type="pct"/>
            <w:shd w:val="clear" w:color="auto" w:fill="auto"/>
            <w:tcMar>
              <w:top w:w="113" w:type="dxa"/>
            </w:tcMar>
          </w:tcPr>
          <w:p w:rsidR="004046B6" w:rsidRPr="00C75C7E" w:rsidRDefault="004046B6" w:rsidP="00900936">
            <w:pPr>
              <w:widowControl w:val="0"/>
              <w:rPr>
                <w:sz w:val="16"/>
                <w:szCs w:val="16"/>
                <w:lang w:val="es-ES_tradnl"/>
              </w:rPr>
            </w:pPr>
            <w:r w:rsidRPr="00C75C7E">
              <w:rPr>
                <w:sz w:val="16"/>
                <w:szCs w:val="16"/>
                <w:lang w:val="es-ES_tradnl"/>
              </w:rPr>
              <w:t>Iniciativas nacionales para elaborar nuevas estadísticas sobre las industrias creativas teniendo en cuenta la labor de la OMPI en ese ámbito.</w:t>
            </w:r>
          </w:p>
        </w:tc>
        <w:tc>
          <w:tcPr>
            <w:tcW w:w="1154" w:type="pct"/>
            <w:shd w:val="clear" w:color="auto" w:fill="FFFFFF"/>
            <w:tcMar>
              <w:top w:w="113" w:type="dxa"/>
            </w:tcMar>
          </w:tcPr>
          <w:p w:rsidR="004046B6" w:rsidRPr="00C75C7E" w:rsidRDefault="004046B6" w:rsidP="00900936">
            <w:pPr>
              <w:widowControl w:val="0"/>
              <w:rPr>
                <w:sz w:val="16"/>
                <w:szCs w:val="16"/>
                <w:lang w:val="es-ES_tradnl" w:bidi="th-TH"/>
              </w:rPr>
            </w:pPr>
            <w:r w:rsidRPr="00C75C7E">
              <w:rPr>
                <w:sz w:val="16"/>
                <w:szCs w:val="16"/>
                <w:lang w:val="es-ES_tradnl" w:bidi="th-TH"/>
              </w:rPr>
              <w:t>10 iniciativas nacionales.</w:t>
            </w:r>
          </w:p>
          <w:p w:rsidR="004046B6" w:rsidRPr="00C75C7E" w:rsidRDefault="004046B6" w:rsidP="00900936">
            <w:pPr>
              <w:widowControl w:val="0"/>
              <w:rPr>
                <w:sz w:val="16"/>
                <w:szCs w:val="16"/>
                <w:lang w:val="es-ES_tradnl" w:bidi="th-TH"/>
              </w:rPr>
            </w:pPr>
          </w:p>
        </w:tc>
        <w:tc>
          <w:tcPr>
            <w:tcW w:w="1084" w:type="pct"/>
            <w:shd w:val="clear" w:color="auto" w:fill="auto"/>
            <w:tcMar>
              <w:top w:w="113" w:type="dxa"/>
            </w:tcMar>
          </w:tcPr>
          <w:p w:rsidR="004046B6" w:rsidRPr="00C75C7E" w:rsidRDefault="004046B6" w:rsidP="00900936">
            <w:pPr>
              <w:widowControl w:val="0"/>
              <w:ind w:right="161"/>
              <w:rPr>
                <w:bCs/>
                <w:sz w:val="16"/>
                <w:szCs w:val="16"/>
                <w:lang w:val="es-ES_tradnl"/>
              </w:rPr>
            </w:pPr>
            <w:r w:rsidRPr="00C75C7E">
              <w:rPr>
                <w:bCs/>
                <w:sz w:val="16"/>
                <w:szCs w:val="16"/>
                <w:lang w:val="es-ES_tradnl"/>
              </w:rPr>
              <w:t>15 (en total)</w:t>
            </w:r>
          </w:p>
        </w:tc>
      </w:tr>
    </w:tbl>
    <w:p w:rsidR="004046B6" w:rsidRDefault="004046B6" w:rsidP="004046B6">
      <w:pPr>
        <w:widowControl w:val="0"/>
        <w:autoSpaceDE w:val="0"/>
        <w:autoSpaceDN w:val="0"/>
        <w:adjustRightInd w:val="0"/>
        <w:jc w:val="both"/>
        <w:rPr>
          <w:szCs w:val="22"/>
          <w:lang w:val="es-ES_tradnl"/>
        </w:rPr>
      </w:pPr>
    </w:p>
    <w:p w:rsidR="00546AD7" w:rsidRPr="006B0DE9" w:rsidRDefault="00546AD7" w:rsidP="00546AD7">
      <w:pPr>
        <w:widowControl w:val="0"/>
        <w:autoSpaceDE w:val="0"/>
        <w:autoSpaceDN w:val="0"/>
        <w:adjustRightInd w:val="0"/>
        <w:jc w:val="both"/>
        <w:rPr>
          <w:szCs w:val="22"/>
        </w:rPr>
      </w:pPr>
    </w:p>
    <w:p w:rsidR="00546AD7" w:rsidRPr="006B0DE9" w:rsidRDefault="00546AD7" w:rsidP="00546AD7">
      <w:pPr>
        <w:widowControl w:val="0"/>
        <w:autoSpaceDE w:val="0"/>
        <w:autoSpaceDN w:val="0"/>
        <w:adjustRightInd w:val="0"/>
        <w:jc w:val="both"/>
        <w:rPr>
          <w:szCs w:val="22"/>
        </w:rPr>
      </w:pPr>
      <w:r w:rsidRPr="006B0DE9">
        <w:rPr>
          <w:szCs w:val="22"/>
        </w:rPr>
        <w:t>RECURSOS PARA EL PROGRAMA 3</w:t>
      </w:r>
    </w:p>
    <w:p w:rsidR="00546AD7" w:rsidRPr="006B0DE9" w:rsidRDefault="00546AD7" w:rsidP="00546AD7">
      <w:pPr>
        <w:widowControl w:val="0"/>
        <w:autoSpaceDE w:val="0"/>
        <w:autoSpaceDN w:val="0"/>
        <w:adjustRightInd w:val="0"/>
        <w:jc w:val="both"/>
        <w:rPr>
          <w:sz w:val="20"/>
        </w:rPr>
      </w:pPr>
    </w:p>
    <w:p w:rsidR="00546AD7" w:rsidRPr="006B0DE9" w:rsidRDefault="00546AD7" w:rsidP="00546AD7">
      <w:pPr>
        <w:widowControl w:val="0"/>
        <w:autoSpaceDE w:val="0"/>
        <w:autoSpaceDN w:val="0"/>
        <w:adjustRightInd w:val="0"/>
        <w:jc w:val="both"/>
        <w:rPr>
          <w:sz w:val="20"/>
        </w:rPr>
      </w:pPr>
    </w:p>
    <w:p w:rsidR="00546AD7" w:rsidRPr="006B0DE9" w:rsidRDefault="00546AD7" w:rsidP="00BA276E">
      <w:pPr>
        <w:widowControl w:val="0"/>
        <w:numPr>
          <w:ilvl w:val="0"/>
          <w:numId w:val="21"/>
        </w:numPr>
        <w:autoSpaceDE w:val="0"/>
        <w:autoSpaceDN w:val="0"/>
        <w:adjustRightInd w:val="0"/>
        <w:jc w:val="both"/>
        <w:rPr>
          <w:sz w:val="20"/>
        </w:rPr>
      </w:pPr>
      <w:r w:rsidRPr="006B0DE9">
        <w:rPr>
          <w:sz w:val="20"/>
        </w:rPr>
        <w:t xml:space="preserve">Los recursos que se destinan al resultado I.1 (Elaboración de marcos normativos internacionales equilibrados para la P.I.) en el bienio 2014/15 son inferiores a los del presupuesto para el bienio 2012/13 después de la transferencias, debido a que no se incluye </w:t>
      </w:r>
      <w:r w:rsidR="003A4B0F">
        <w:rPr>
          <w:sz w:val="20"/>
        </w:rPr>
        <w:t>ninguna partida</w:t>
      </w:r>
      <w:r w:rsidRPr="006B0DE9">
        <w:rPr>
          <w:sz w:val="20"/>
        </w:rPr>
        <w:t xml:space="preserve"> para la celebración de una conferencia diplomática en el marco de este programa durante el bienio próximo.  Esto provoca una reducción en las líneas “Misiones del personal”, “Viajes de terceros” y “Conferencias”.</w:t>
      </w:r>
    </w:p>
    <w:p w:rsidR="00546AD7" w:rsidRPr="006B0DE9" w:rsidRDefault="00546AD7" w:rsidP="009B58F5">
      <w:pPr>
        <w:widowControl w:val="0"/>
        <w:jc w:val="both"/>
        <w:rPr>
          <w:sz w:val="20"/>
        </w:rPr>
      </w:pPr>
    </w:p>
    <w:p w:rsidR="00546AD7" w:rsidRPr="006B0DE9" w:rsidRDefault="00546AD7" w:rsidP="00BA276E">
      <w:pPr>
        <w:widowControl w:val="0"/>
        <w:numPr>
          <w:ilvl w:val="0"/>
          <w:numId w:val="21"/>
        </w:numPr>
        <w:autoSpaceDE w:val="0"/>
        <w:autoSpaceDN w:val="0"/>
        <w:adjustRightInd w:val="0"/>
        <w:jc w:val="both"/>
        <w:rPr>
          <w:sz w:val="20"/>
        </w:rPr>
      </w:pPr>
      <w:r>
        <w:rPr>
          <w:sz w:val="20"/>
        </w:rPr>
        <w:t>S</w:t>
      </w:r>
      <w:r w:rsidRPr="006B0DE9">
        <w:rPr>
          <w:sz w:val="20"/>
        </w:rPr>
        <w:t xml:space="preserve">e incrementa </w:t>
      </w:r>
      <w:r>
        <w:rPr>
          <w:sz w:val="20"/>
        </w:rPr>
        <w:t>l</w:t>
      </w:r>
      <w:r w:rsidRPr="006B0DE9">
        <w:rPr>
          <w:sz w:val="20"/>
        </w:rPr>
        <w:t>a propuesta de recursos en relación con el resultado I.2 (Asesoramiento legislativo) debido a que se espera que la aplicación del Tratado de Beijing y del Tratado de Marrakech traigan consigo un aumento de las solicitudes de asesoramiento legislativo.</w:t>
      </w:r>
    </w:p>
    <w:p w:rsidR="00546AD7" w:rsidRPr="006B0DE9" w:rsidRDefault="00546AD7" w:rsidP="00546AD7">
      <w:pPr>
        <w:widowControl w:val="0"/>
      </w:pPr>
    </w:p>
    <w:p w:rsidR="00546AD7" w:rsidRPr="006B0DE9" w:rsidRDefault="00546AD7" w:rsidP="00BA276E">
      <w:pPr>
        <w:widowControl w:val="0"/>
        <w:numPr>
          <w:ilvl w:val="0"/>
          <w:numId w:val="21"/>
        </w:numPr>
        <w:autoSpaceDE w:val="0"/>
        <w:autoSpaceDN w:val="0"/>
        <w:adjustRightInd w:val="0"/>
        <w:jc w:val="both"/>
        <w:rPr>
          <w:sz w:val="20"/>
        </w:rPr>
      </w:pPr>
      <w:r w:rsidRPr="006B0DE9">
        <w:rPr>
          <w:sz w:val="20"/>
        </w:rPr>
        <w:t>El aumento de los recursos destinados al resultado III.2 (Mejora de las capacidades en el ámbito de los recursos humanos) se debe fundamentalmente a la continuación del proyecto de la A.D. sobre Fortalecimiento y desarrollo del sector audiovisual en Burkina Faso y en determinados países de África durante el bienio 2014/15, prestando más atención al fortalecimiento de la gestión colectiva.  Esto produce un ligero aumento en la línea “Becas de formación”.</w:t>
      </w:r>
    </w:p>
    <w:p w:rsidR="00546AD7" w:rsidRPr="006B0DE9" w:rsidRDefault="00546AD7" w:rsidP="00546AD7">
      <w:pPr>
        <w:widowControl w:val="0"/>
        <w:jc w:val="both"/>
        <w:rPr>
          <w:sz w:val="20"/>
        </w:rPr>
      </w:pPr>
    </w:p>
    <w:p w:rsidR="00546AD7" w:rsidRPr="006B0DE9" w:rsidRDefault="00546AD7" w:rsidP="00214E52">
      <w:pPr>
        <w:keepNext/>
        <w:keepLines/>
        <w:widowControl w:val="0"/>
        <w:numPr>
          <w:ilvl w:val="0"/>
          <w:numId w:val="21"/>
        </w:numPr>
        <w:autoSpaceDE w:val="0"/>
        <w:autoSpaceDN w:val="0"/>
        <w:adjustRightInd w:val="0"/>
        <w:jc w:val="both"/>
        <w:rPr>
          <w:sz w:val="20"/>
        </w:rPr>
      </w:pPr>
      <w:r w:rsidRPr="006B0DE9">
        <w:rPr>
          <w:sz w:val="20"/>
        </w:rPr>
        <w:lastRenderedPageBreak/>
        <w:t>La disminución de los recursos destinados al resultado IV.4 (Mejora en la infraestructura técnica y de conocimientos) se debe a la aplicación del modelo estándar para la ejecución de proyectos y actividades en materia de infraestructuras orientados hacia el exterior</w:t>
      </w:r>
      <w:r>
        <w:rPr>
          <w:sz w:val="20"/>
        </w:rPr>
        <w:t>,</w:t>
      </w:r>
      <w:r w:rsidRPr="006B0DE9">
        <w:rPr>
          <w:sz w:val="20"/>
        </w:rPr>
        <w:t xml:space="preserve"> que contribuyen a la consecución de la </w:t>
      </w:r>
      <w:r w:rsidR="003C43BF">
        <w:rPr>
          <w:sz w:val="20"/>
        </w:rPr>
        <w:t>m</w:t>
      </w:r>
      <w:r w:rsidRPr="006B0DE9">
        <w:rPr>
          <w:sz w:val="20"/>
        </w:rPr>
        <w:t xml:space="preserve">eta </w:t>
      </w:r>
      <w:r w:rsidR="003C43BF">
        <w:rPr>
          <w:sz w:val="20"/>
        </w:rPr>
        <w:t>e</w:t>
      </w:r>
      <w:r w:rsidRPr="006B0DE9">
        <w:rPr>
          <w:sz w:val="20"/>
        </w:rPr>
        <w:t>stratégica IV</w:t>
      </w:r>
      <w:r>
        <w:rPr>
          <w:sz w:val="20"/>
        </w:rPr>
        <w:t>,</w:t>
      </w:r>
      <w:r w:rsidRPr="006B0DE9">
        <w:rPr>
          <w:sz w:val="20"/>
        </w:rPr>
        <w:t xml:space="preserve"> y a que los programas especializados están tomando la iniciativa en materia comercial y los programas relacionados con la infraestructura mundial están asumiendo la responsabilidad respecto del desarrollo y la puesta en práctica de los componentes técnicos de T.I. asociados.  Esto ha hecho que sea necesario redistribuir los recursos de personal así como disminuir los recursos no relativos al personal en la línea “Otros servicios contractuales”.</w:t>
      </w:r>
    </w:p>
    <w:p w:rsidR="00546AD7" w:rsidRPr="006B0DE9" w:rsidRDefault="00546AD7" w:rsidP="00546AD7">
      <w:pPr>
        <w:widowControl w:val="0"/>
        <w:jc w:val="both"/>
        <w:rPr>
          <w:sz w:val="20"/>
        </w:rPr>
      </w:pPr>
    </w:p>
    <w:p w:rsidR="00546AD7" w:rsidRPr="006B0DE9" w:rsidRDefault="00546AD7" w:rsidP="00BA276E">
      <w:pPr>
        <w:widowControl w:val="0"/>
        <w:numPr>
          <w:ilvl w:val="0"/>
          <w:numId w:val="21"/>
        </w:numPr>
        <w:autoSpaceDE w:val="0"/>
        <w:autoSpaceDN w:val="0"/>
        <w:adjustRightInd w:val="0"/>
        <w:jc w:val="both"/>
        <w:rPr>
          <w:sz w:val="20"/>
        </w:rPr>
      </w:pPr>
      <w:r w:rsidRPr="006B0DE9">
        <w:rPr>
          <w:sz w:val="20"/>
        </w:rPr>
        <w:t>La disminución de la propuesta de recursos para estudios sobre el derecho de autor en el marco del resultado V.2 (Ampliación y mejora del uso de los análisis económicos de la OMPI) es el reflejo del objetivo de reducir ligeramente el número de este tipo de estudios que se realicen durante el bienio próximo en comparación con el bienio 2012/13.  Esto se traduce en una disminución de los recursos, sobre todo en lo que respecta a Misiones del personal.</w:t>
      </w:r>
    </w:p>
    <w:p w:rsidR="00546AD7" w:rsidRPr="006B0DE9" w:rsidRDefault="00546AD7" w:rsidP="00546AD7">
      <w:pPr>
        <w:widowControl w:val="0"/>
        <w:autoSpaceDE w:val="0"/>
        <w:autoSpaceDN w:val="0"/>
        <w:adjustRightInd w:val="0"/>
        <w:jc w:val="both"/>
        <w:rPr>
          <w:sz w:val="20"/>
        </w:rPr>
      </w:pPr>
    </w:p>
    <w:p w:rsidR="00546AD7" w:rsidRPr="00C75C7E" w:rsidRDefault="00546AD7" w:rsidP="004046B6">
      <w:pPr>
        <w:widowControl w:val="0"/>
        <w:autoSpaceDE w:val="0"/>
        <w:autoSpaceDN w:val="0"/>
        <w:adjustRightInd w:val="0"/>
        <w:jc w:val="both"/>
        <w:rPr>
          <w:szCs w:val="22"/>
          <w:lang w:val="es-ES_tradnl"/>
        </w:rPr>
      </w:pPr>
    </w:p>
    <w:p w:rsidR="004046B6" w:rsidRPr="00C75C7E" w:rsidRDefault="00D06458" w:rsidP="00DB66CC">
      <w:pPr>
        <w:widowControl w:val="0"/>
        <w:autoSpaceDE w:val="0"/>
        <w:autoSpaceDN w:val="0"/>
        <w:adjustRightInd w:val="0"/>
        <w:jc w:val="center"/>
        <w:rPr>
          <w:b/>
          <w:bCs/>
          <w:iCs/>
          <w:sz w:val="20"/>
          <w:lang w:val="es-ES_tradnl"/>
        </w:rPr>
      </w:pPr>
      <w:r>
        <w:rPr>
          <w:b/>
          <w:bCs/>
          <w:iCs/>
          <w:sz w:val="20"/>
          <w:lang w:val="es-ES_tradnl"/>
        </w:rPr>
        <w:t>Programa 3</w:t>
      </w:r>
      <w:proofErr w:type="gramStart"/>
      <w:r>
        <w:rPr>
          <w:b/>
          <w:bCs/>
          <w:iCs/>
          <w:sz w:val="20"/>
          <w:lang w:val="es-ES_tradnl"/>
        </w:rPr>
        <w:t xml:space="preserve">:  </w:t>
      </w:r>
      <w:r w:rsidR="004046B6" w:rsidRPr="00C75C7E">
        <w:rPr>
          <w:b/>
          <w:bCs/>
          <w:iCs/>
          <w:sz w:val="20"/>
          <w:lang w:val="es-ES_tradnl"/>
        </w:rPr>
        <w:t>Recursos</w:t>
      </w:r>
      <w:proofErr w:type="gramEnd"/>
      <w:r w:rsidR="004046B6" w:rsidRPr="00C75C7E">
        <w:rPr>
          <w:b/>
          <w:bCs/>
          <w:iCs/>
          <w:sz w:val="20"/>
          <w:lang w:val="es-ES_tradnl"/>
        </w:rPr>
        <w:t xml:space="preserve"> por resultado</w:t>
      </w:r>
    </w:p>
    <w:p w:rsidR="004046B6" w:rsidRPr="00C75C7E" w:rsidRDefault="004046B6" w:rsidP="00DB66CC">
      <w:pPr>
        <w:widowControl w:val="0"/>
        <w:autoSpaceDE w:val="0"/>
        <w:autoSpaceDN w:val="0"/>
        <w:adjustRightInd w:val="0"/>
        <w:jc w:val="center"/>
        <w:rPr>
          <w:b/>
          <w:i/>
          <w:sz w:val="18"/>
          <w:szCs w:val="18"/>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4046B6" w:rsidRPr="00C75C7E" w:rsidRDefault="004046B6" w:rsidP="00DB66CC">
      <w:pPr>
        <w:widowControl w:val="0"/>
        <w:autoSpaceDE w:val="0"/>
        <w:autoSpaceDN w:val="0"/>
        <w:adjustRightInd w:val="0"/>
        <w:jc w:val="center"/>
        <w:rPr>
          <w:i/>
          <w:sz w:val="18"/>
          <w:szCs w:val="18"/>
          <w:lang w:val="es-ES_tradnl"/>
        </w:rPr>
      </w:pPr>
    </w:p>
    <w:p w:rsidR="004046B6" w:rsidRPr="00C75C7E" w:rsidRDefault="00214E52" w:rsidP="00DB66CC">
      <w:pPr>
        <w:widowControl w:val="0"/>
        <w:autoSpaceDE w:val="0"/>
        <w:autoSpaceDN w:val="0"/>
        <w:adjustRightInd w:val="0"/>
        <w:jc w:val="center"/>
        <w:rPr>
          <w:sz w:val="18"/>
          <w:szCs w:val="18"/>
          <w:lang w:val="es-ES_tradnl"/>
        </w:rPr>
      </w:pPr>
      <w:r w:rsidRPr="00214E52">
        <w:rPr>
          <w:noProof/>
          <w:lang w:val="en-US" w:eastAsia="en-US"/>
        </w:rPr>
        <w:drawing>
          <wp:inline distT="0" distB="0" distL="0" distR="0" wp14:anchorId="3F8A4BAC" wp14:editId="3785DF8D">
            <wp:extent cx="5934075" cy="3848100"/>
            <wp:effectExtent l="0" t="0" r="9525"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34075" cy="3848100"/>
                    </a:xfrm>
                    <a:prstGeom prst="rect">
                      <a:avLst/>
                    </a:prstGeom>
                    <a:noFill/>
                    <a:ln>
                      <a:noFill/>
                    </a:ln>
                  </pic:spPr>
                </pic:pic>
              </a:graphicData>
            </a:graphic>
          </wp:inline>
        </w:drawing>
      </w:r>
      <w:r w:rsidR="000F4438" w:rsidRPr="000F4438">
        <w:t xml:space="preserve"> </w:t>
      </w:r>
    </w:p>
    <w:p w:rsidR="004046B6" w:rsidRPr="00C75C7E" w:rsidRDefault="004046B6" w:rsidP="004046B6">
      <w:pPr>
        <w:widowControl w:val="0"/>
        <w:autoSpaceDE w:val="0"/>
        <w:autoSpaceDN w:val="0"/>
        <w:adjustRightInd w:val="0"/>
        <w:rPr>
          <w:sz w:val="18"/>
          <w:szCs w:val="18"/>
          <w:lang w:val="es-ES_tradnl"/>
        </w:rPr>
      </w:pPr>
    </w:p>
    <w:p w:rsidR="004046B6" w:rsidRPr="00C75C7E" w:rsidRDefault="004046B6" w:rsidP="004046B6">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4046B6" w:rsidRPr="00C75C7E" w:rsidRDefault="004046B6" w:rsidP="004046B6">
      <w:pPr>
        <w:widowControl w:val="0"/>
        <w:autoSpaceDE w:val="0"/>
        <w:autoSpaceDN w:val="0"/>
        <w:adjustRightInd w:val="0"/>
        <w:rPr>
          <w:sz w:val="18"/>
          <w:szCs w:val="18"/>
          <w:lang w:val="es-ES_tradnl"/>
        </w:rPr>
      </w:pPr>
    </w:p>
    <w:p w:rsidR="004046B6" w:rsidRPr="00C75C7E" w:rsidRDefault="004046B6" w:rsidP="004046B6">
      <w:pPr>
        <w:widowControl w:val="0"/>
        <w:autoSpaceDE w:val="0"/>
        <w:autoSpaceDN w:val="0"/>
        <w:adjustRightInd w:val="0"/>
        <w:rPr>
          <w:sz w:val="18"/>
          <w:szCs w:val="18"/>
          <w:lang w:val="es-ES_tradnl"/>
        </w:rPr>
      </w:pPr>
    </w:p>
    <w:p w:rsidR="004046B6" w:rsidRPr="00C75C7E" w:rsidRDefault="000F4438" w:rsidP="009B58F5">
      <w:pPr>
        <w:keepNext/>
        <w:widowControl w:val="0"/>
        <w:autoSpaceDE w:val="0"/>
        <w:autoSpaceDN w:val="0"/>
        <w:adjustRightInd w:val="0"/>
        <w:jc w:val="center"/>
        <w:rPr>
          <w:b/>
          <w:bCs/>
          <w:iCs/>
          <w:sz w:val="20"/>
          <w:lang w:val="es-ES_tradnl"/>
        </w:rPr>
      </w:pPr>
      <w:r>
        <w:rPr>
          <w:b/>
          <w:bCs/>
          <w:iCs/>
          <w:sz w:val="20"/>
          <w:lang w:val="es-ES_tradnl"/>
        </w:rPr>
        <w:lastRenderedPageBreak/>
        <w:t>Programa 3</w:t>
      </w:r>
      <w:proofErr w:type="gramStart"/>
      <w:r>
        <w:rPr>
          <w:b/>
          <w:bCs/>
          <w:iCs/>
          <w:sz w:val="20"/>
          <w:lang w:val="es-ES_tradnl"/>
        </w:rPr>
        <w:t xml:space="preserve">:  </w:t>
      </w:r>
      <w:r w:rsidR="004046B6" w:rsidRPr="00C75C7E">
        <w:rPr>
          <w:b/>
          <w:bCs/>
          <w:iCs/>
          <w:sz w:val="20"/>
          <w:lang w:val="es-ES_tradnl"/>
        </w:rPr>
        <w:t>Recursos</w:t>
      </w:r>
      <w:proofErr w:type="gramEnd"/>
      <w:r w:rsidR="004046B6" w:rsidRPr="00C75C7E">
        <w:rPr>
          <w:b/>
          <w:bCs/>
          <w:iCs/>
          <w:sz w:val="20"/>
          <w:lang w:val="es-ES_tradnl"/>
        </w:rPr>
        <w:t xml:space="preserve"> por objeto de gasto</w:t>
      </w:r>
    </w:p>
    <w:p w:rsidR="004046B6" w:rsidRPr="00C75C7E" w:rsidRDefault="004046B6" w:rsidP="009B58F5">
      <w:pPr>
        <w:keepNext/>
        <w:widowControl w:val="0"/>
        <w:autoSpaceDE w:val="0"/>
        <w:autoSpaceDN w:val="0"/>
        <w:adjustRightInd w:val="0"/>
        <w:jc w:val="center"/>
        <w:rPr>
          <w:i/>
          <w:sz w:val="18"/>
          <w:szCs w:val="18"/>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4046B6" w:rsidRDefault="004046B6" w:rsidP="009B58F5">
      <w:pPr>
        <w:keepNext/>
        <w:widowControl w:val="0"/>
        <w:autoSpaceDE w:val="0"/>
        <w:autoSpaceDN w:val="0"/>
        <w:adjustRightInd w:val="0"/>
        <w:jc w:val="center"/>
        <w:rPr>
          <w:sz w:val="20"/>
          <w:lang w:val="es-ES_tradnl"/>
        </w:rPr>
      </w:pPr>
    </w:p>
    <w:p w:rsidR="00723CAF" w:rsidRPr="00C75C7E" w:rsidRDefault="00C40A11" w:rsidP="009B58F5">
      <w:pPr>
        <w:keepNext/>
        <w:widowControl w:val="0"/>
        <w:autoSpaceDE w:val="0"/>
        <w:autoSpaceDN w:val="0"/>
        <w:adjustRightInd w:val="0"/>
        <w:jc w:val="center"/>
        <w:rPr>
          <w:sz w:val="20"/>
          <w:lang w:val="es-ES_tradnl"/>
        </w:rPr>
      </w:pPr>
      <w:r>
        <w:rPr>
          <w:noProof/>
          <w:lang w:val="en-US" w:eastAsia="en-US"/>
        </w:rPr>
        <w:drawing>
          <wp:inline distT="0" distB="0" distL="0" distR="0" wp14:anchorId="25DDE470" wp14:editId="4C9169B7">
            <wp:extent cx="5936615" cy="6209665"/>
            <wp:effectExtent l="0" t="0" r="6985" b="63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36615" cy="6209665"/>
                    </a:xfrm>
                    <a:prstGeom prst="rect">
                      <a:avLst/>
                    </a:prstGeom>
                    <a:noFill/>
                    <a:ln>
                      <a:noFill/>
                    </a:ln>
                  </pic:spPr>
                </pic:pic>
              </a:graphicData>
            </a:graphic>
          </wp:inline>
        </w:drawing>
      </w:r>
    </w:p>
    <w:p w:rsidR="004046B6" w:rsidRPr="00C75C7E" w:rsidRDefault="004046B6" w:rsidP="0079447F">
      <w:pPr>
        <w:widowControl w:val="0"/>
        <w:autoSpaceDE w:val="0"/>
        <w:autoSpaceDN w:val="0"/>
        <w:adjustRightInd w:val="0"/>
        <w:rPr>
          <w:sz w:val="20"/>
          <w:lang w:val="es-ES_tradnl"/>
        </w:rPr>
      </w:pPr>
    </w:p>
    <w:p w:rsidR="004046B6" w:rsidRPr="00C75C7E" w:rsidRDefault="004046B6" w:rsidP="004046B6">
      <w:pPr>
        <w:widowControl w:val="0"/>
        <w:rPr>
          <w:sz w:val="16"/>
          <w:szCs w:val="16"/>
          <w:lang w:val="es-ES_tradnl"/>
        </w:rPr>
      </w:pPr>
      <w:r w:rsidRPr="00C75C7E">
        <w:rPr>
          <w:sz w:val="16"/>
          <w:szCs w:val="16"/>
          <w:lang w:val="es-ES_tradnl"/>
        </w:rPr>
        <w:t>Notas:</w:t>
      </w:r>
    </w:p>
    <w:p w:rsidR="004046B6" w:rsidRPr="00C75C7E" w:rsidRDefault="004046B6" w:rsidP="004046B6">
      <w:pPr>
        <w:widowControl w:val="0"/>
        <w:rPr>
          <w:sz w:val="16"/>
          <w:szCs w:val="16"/>
          <w:u w:val="single"/>
          <w:lang w:val="es-ES_tradnl"/>
        </w:rPr>
      </w:pPr>
    </w:p>
    <w:p w:rsidR="004046B6" w:rsidRDefault="00450C3A" w:rsidP="00450C3A">
      <w:pPr>
        <w:widowControl w:val="0"/>
        <w:rPr>
          <w:sz w:val="16"/>
          <w:szCs w:val="16"/>
          <w:lang w:val="es-ES_tradnl"/>
        </w:rPr>
      </w:pPr>
      <w:r>
        <w:rPr>
          <w:sz w:val="16"/>
          <w:szCs w:val="16"/>
          <w:lang w:val="es-ES_tradnl"/>
        </w:rPr>
        <w:t xml:space="preserve">1)  </w:t>
      </w:r>
      <w:r w:rsidR="004046B6" w:rsidRPr="00C75C7E">
        <w:rPr>
          <w:sz w:val="16"/>
          <w:szCs w:val="16"/>
          <w:lang w:val="es-ES_tradnl"/>
        </w:rPr>
        <w:t xml:space="preserve">El presupuesto aprobado de 2012/13 y el presupuesto de dicho bienio después de las transferencias se </w:t>
      </w:r>
      <w:proofErr w:type="spellStart"/>
      <w:r w:rsidR="004046B6" w:rsidRPr="00C75C7E">
        <w:rPr>
          <w:sz w:val="16"/>
          <w:szCs w:val="16"/>
          <w:lang w:val="es-ES_tradnl"/>
        </w:rPr>
        <w:t>reexpresan</w:t>
      </w:r>
      <w:proofErr w:type="spellEnd"/>
      <w:r w:rsidR="004046B6" w:rsidRPr="00C75C7E">
        <w:rPr>
          <w:sz w:val="16"/>
          <w:szCs w:val="16"/>
          <w:lang w:val="es-ES_tradnl"/>
        </w:rPr>
        <w:t xml:space="preserve"> sobre la base de la estructura de categorías de costos propuesta para 2014/15.</w:t>
      </w:r>
    </w:p>
    <w:p w:rsidR="004046B6" w:rsidRPr="00C75C7E" w:rsidRDefault="004046B6" w:rsidP="004046B6">
      <w:pPr>
        <w:widowControl w:val="0"/>
        <w:rPr>
          <w:sz w:val="16"/>
          <w:szCs w:val="16"/>
          <w:lang w:val="es-ES_tradnl"/>
        </w:rPr>
      </w:pPr>
    </w:p>
    <w:p w:rsidR="004046B6" w:rsidRDefault="00450C3A" w:rsidP="004046B6">
      <w:pPr>
        <w:widowControl w:val="0"/>
        <w:rPr>
          <w:rFonts w:cs="ArialMT"/>
          <w:sz w:val="16"/>
          <w:szCs w:val="16"/>
          <w:lang w:val="es-ES_tradnl"/>
        </w:rPr>
      </w:pPr>
      <w:r>
        <w:rPr>
          <w:sz w:val="16"/>
          <w:szCs w:val="16"/>
          <w:lang w:val="es-ES_tradnl"/>
        </w:rPr>
        <w:t xml:space="preserve">2)  </w:t>
      </w:r>
      <w:r w:rsidR="004046B6"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004046B6"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4046B6" w:rsidRPr="00C75C7E" w:rsidRDefault="004046B6" w:rsidP="004046B6">
      <w:pPr>
        <w:widowControl w:val="0"/>
        <w:rPr>
          <w:sz w:val="16"/>
          <w:szCs w:val="16"/>
          <w:lang w:val="es-ES_tradnl"/>
        </w:rPr>
      </w:pPr>
    </w:p>
    <w:p w:rsidR="004046B6" w:rsidRDefault="00450C3A" w:rsidP="004046B6">
      <w:pPr>
        <w:widowControl w:val="0"/>
        <w:rPr>
          <w:sz w:val="16"/>
          <w:szCs w:val="16"/>
          <w:lang w:val="es-ES_tradnl"/>
        </w:rPr>
      </w:pPr>
      <w:r>
        <w:rPr>
          <w:sz w:val="16"/>
          <w:szCs w:val="16"/>
          <w:lang w:val="es-ES_tradnl"/>
        </w:rPr>
        <w:t xml:space="preserve">3)  </w:t>
      </w:r>
      <w:r w:rsidR="004046B6" w:rsidRPr="00C75C7E">
        <w:rPr>
          <w:sz w:val="16"/>
          <w:szCs w:val="16"/>
          <w:lang w:val="es-ES_tradnl"/>
        </w:rPr>
        <w:t xml:space="preserve">Para más información sobre los puestos del </w:t>
      </w:r>
      <w:r w:rsidR="004046B6" w:rsidRPr="005440D4">
        <w:rPr>
          <w:rFonts w:cs="ArialMT"/>
          <w:sz w:val="16"/>
          <w:szCs w:val="16"/>
          <w:lang w:val="es-ES_tradnl"/>
        </w:rPr>
        <w:t>programa</w:t>
      </w:r>
      <w:r w:rsidR="004046B6" w:rsidRPr="00C75C7E">
        <w:rPr>
          <w:sz w:val="16"/>
          <w:szCs w:val="16"/>
          <w:lang w:val="es-ES_tradnl"/>
        </w:rPr>
        <w:t xml:space="preserve"> cabe remitirse al cuadro que figura en el Anexo II.</w:t>
      </w:r>
    </w:p>
    <w:p w:rsidR="004046B6" w:rsidRPr="00C75C7E" w:rsidRDefault="004046B6" w:rsidP="004046B6">
      <w:pPr>
        <w:widowControl w:val="0"/>
        <w:rPr>
          <w:sz w:val="16"/>
          <w:szCs w:val="16"/>
          <w:lang w:val="es-ES_tradnl"/>
        </w:rPr>
      </w:pPr>
    </w:p>
    <w:p w:rsidR="004046B6" w:rsidRDefault="00450C3A" w:rsidP="004046B6">
      <w:pPr>
        <w:widowControl w:val="0"/>
        <w:rPr>
          <w:sz w:val="16"/>
          <w:szCs w:val="16"/>
          <w:lang w:val="es-ES_tradnl"/>
        </w:rPr>
      </w:pPr>
      <w:r>
        <w:rPr>
          <w:sz w:val="16"/>
          <w:szCs w:val="16"/>
          <w:lang w:val="es-ES_tradnl"/>
        </w:rPr>
        <w:t>4</w:t>
      </w:r>
      <w:r w:rsidR="0079447F">
        <w:rPr>
          <w:sz w:val="16"/>
          <w:szCs w:val="16"/>
          <w:lang w:val="es-ES_tradnl"/>
        </w:rPr>
        <w:t>)</w:t>
      </w:r>
      <w:r>
        <w:rPr>
          <w:sz w:val="16"/>
          <w:szCs w:val="16"/>
          <w:lang w:val="es-ES_tradnl"/>
        </w:rPr>
        <w:t xml:space="preserve">  </w:t>
      </w:r>
      <w:r w:rsidR="004046B6" w:rsidRPr="00C75C7E">
        <w:rPr>
          <w:sz w:val="16"/>
          <w:szCs w:val="16"/>
          <w:lang w:val="es-ES_tradnl"/>
        </w:rPr>
        <w:t>Incluye el proyecto de la A.D. sobre “Fortalecimiento y desarrollo del sector audiovisual en Burkina Faso y en determinados países de África”.</w:t>
      </w:r>
    </w:p>
    <w:p w:rsidR="00DB66CC" w:rsidRDefault="00DB66CC" w:rsidP="004046B6">
      <w:pPr>
        <w:widowControl w:val="0"/>
        <w:rPr>
          <w:sz w:val="16"/>
          <w:szCs w:val="16"/>
          <w:lang w:val="es-ES_tradnl"/>
        </w:rPr>
      </w:pPr>
    </w:p>
    <w:p w:rsidR="00DB66CC" w:rsidRPr="00C75C7E" w:rsidRDefault="00DB66CC" w:rsidP="004046B6">
      <w:pPr>
        <w:widowControl w:val="0"/>
        <w:rPr>
          <w:sz w:val="16"/>
          <w:szCs w:val="16"/>
          <w:lang w:val="es-ES_tradnl"/>
        </w:rPr>
      </w:pPr>
    </w:p>
    <w:p w:rsidR="004046B6" w:rsidRPr="00C75C7E" w:rsidRDefault="004046B6" w:rsidP="009B58F5">
      <w:pPr>
        <w:keepNext/>
        <w:widowControl w:val="0"/>
        <w:jc w:val="center"/>
        <w:rPr>
          <w:sz w:val="16"/>
          <w:szCs w:val="16"/>
          <w:lang w:val="es-ES_tradnl"/>
        </w:rPr>
      </w:pPr>
      <w:r w:rsidRPr="00C75C7E">
        <w:rPr>
          <w:sz w:val="18"/>
          <w:szCs w:val="18"/>
          <w:lang w:val="es-ES_tradnl"/>
        </w:rPr>
        <w:lastRenderedPageBreak/>
        <w:t>Fondos fiduciarios disponibles potencialmente para su utilización en 2014/15*</w:t>
      </w:r>
    </w:p>
    <w:p w:rsidR="004046B6" w:rsidRPr="00C75C7E" w:rsidRDefault="004046B6" w:rsidP="009B58F5">
      <w:pPr>
        <w:keepNext/>
        <w:widowControl w:val="0"/>
        <w:jc w:val="center"/>
        <w:rPr>
          <w:sz w:val="18"/>
          <w:szCs w:val="18"/>
          <w:lang w:val="es-ES_tradnl"/>
        </w:rPr>
      </w:pPr>
      <w:r w:rsidRPr="00C75C7E">
        <w:rPr>
          <w:iCs/>
          <w:sz w:val="18"/>
          <w:szCs w:val="18"/>
          <w:lang w:val="es-ES_tradnl"/>
        </w:rPr>
        <w:t>(</w:t>
      </w:r>
      <w:proofErr w:type="gramStart"/>
      <w:r w:rsidRPr="00C75C7E">
        <w:rPr>
          <w:iCs/>
          <w:sz w:val="18"/>
          <w:szCs w:val="18"/>
          <w:lang w:val="es-ES_tradnl"/>
        </w:rPr>
        <w:t>en</w:t>
      </w:r>
      <w:proofErr w:type="gramEnd"/>
      <w:r w:rsidRPr="00C75C7E">
        <w:rPr>
          <w:iCs/>
          <w:sz w:val="18"/>
          <w:szCs w:val="18"/>
          <w:lang w:val="es-ES_tradnl"/>
        </w:rPr>
        <w:t xml:space="preserve"> miles de francos suizos)</w:t>
      </w:r>
    </w:p>
    <w:p w:rsidR="004046B6" w:rsidRPr="0079447F" w:rsidRDefault="004046B6" w:rsidP="0079447F">
      <w:pPr>
        <w:keepNext/>
        <w:widowControl w:val="0"/>
        <w:jc w:val="center"/>
        <w:rPr>
          <w:sz w:val="18"/>
          <w:szCs w:val="18"/>
          <w:lang w:val="es-ES_tradnl"/>
        </w:rPr>
      </w:pPr>
    </w:p>
    <w:p w:rsidR="004046B6" w:rsidRPr="00C75C7E" w:rsidRDefault="00C40A11" w:rsidP="00DB66CC">
      <w:pPr>
        <w:widowControl w:val="0"/>
        <w:ind w:left="1134"/>
        <w:rPr>
          <w:sz w:val="16"/>
          <w:szCs w:val="16"/>
          <w:lang w:val="es-ES_tradnl"/>
        </w:rPr>
      </w:pPr>
      <w:r>
        <w:rPr>
          <w:noProof/>
          <w:lang w:val="en-US" w:eastAsia="en-US"/>
        </w:rPr>
        <w:drawing>
          <wp:inline distT="0" distB="0" distL="0" distR="0" wp14:anchorId="019160D5" wp14:editId="413C8C91">
            <wp:extent cx="4217035" cy="832485"/>
            <wp:effectExtent l="0" t="0" r="0" b="5715"/>
            <wp:docPr id="2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217035" cy="832485"/>
                    </a:xfrm>
                    <a:prstGeom prst="rect">
                      <a:avLst/>
                    </a:prstGeom>
                    <a:noFill/>
                    <a:ln>
                      <a:noFill/>
                    </a:ln>
                  </pic:spPr>
                </pic:pic>
              </a:graphicData>
            </a:graphic>
          </wp:inline>
        </w:drawing>
      </w:r>
    </w:p>
    <w:p w:rsidR="004046B6" w:rsidRPr="00C75C7E" w:rsidRDefault="004046B6" w:rsidP="004046B6">
      <w:pPr>
        <w:widowControl w:val="0"/>
        <w:ind w:left="1134"/>
        <w:rPr>
          <w:sz w:val="16"/>
          <w:szCs w:val="16"/>
          <w:lang w:val="es-ES_tradnl"/>
        </w:rPr>
      </w:pPr>
    </w:p>
    <w:p w:rsidR="004046B6" w:rsidRPr="00C75C7E" w:rsidRDefault="004046B6" w:rsidP="004046B6">
      <w:pPr>
        <w:widowControl w:val="0"/>
        <w:ind w:left="1134"/>
        <w:jc w:val="both"/>
        <w:rPr>
          <w:sz w:val="16"/>
          <w:szCs w:val="16"/>
          <w:lang w:val="es-ES_tradnl"/>
        </w:rPr>
      </w:pPr>
      <w:r w:rsidRPr="00C75C7E">
        <w:rPr>
          <w:sz w:val="16"/>
          <w:szCs w:val="16"/>
          <w:lang w:val="es-ES_tradnl"/>
        </w:rPr>
        <w:t>*  A título informativo únicamente.  Para más información cabe remitirse al Anexo VIII.</w:t>
      </w:r>
    </w:p>
    <w:p w:rsidR="004046B6" w:rsidRPr="00C75C7E" w:rsidRDefault="004046B6" w:rsidP="004046B6">
      <w:pPr>
        <w:widowControl w:val="0"/>
        <w:ind w:left="1134"/>
        <w:jc w:val="both"/>
        <w:rPr>
          <w:sz w:val="16"/>
          <w:szCs w:val="16"/>
          <w:lang w:val="es-ES_tradnl"/>
        </w:rPr>
      </w:pPr>
    </w:p>
    <w:p w:rsidR="004046B6" w:rsidRPr="00C75C7E" w:rsidRDefault="004046B6" w:rsidP="004046B6">
      <w:pPr>
        <w:widowControl w:val="0"/>
        <w:ind w:left="1134"/>
        <w:jc w:val="both"/>
        <w:rPr>
          <w:sz w:val="16"/>
          <w:szCs w:val="16"/>
          <w:lang w:val="es-ES_tradnl"/>
        </w:rPr>
      </w:pPr>
      <w:r w:rsidRPr="00C75C7E">
        <w:rPr>
          <w:sz w:val="16"/>
          <w:szCs w:val="16"/>
          <w:lang w:val="es-ES_tradnl"/>
        </w:rPr>
        <w:t>**  En las cifras no se han incluido los intereses ni los ajustes cambiarios.  Cabe observar asimismo que estos fondos se destinan generalmente a actividades que cubren un período que va más allá de un solo bienio, a medida que se reciben los ingresos y se incurre en gastos.</w:t>
      </w:r>
    </w:p>
    <w:p w:rsidR="004046B6" w:rsidRPr="00C75C7E" w:rsidRDefault="004046B6" w:rsidP="004046B6">
      <w:pPr>
        <w:widowControl w:val="0"/>
        <w:ind w:left="1134"/>
        <w:jc w:val="both"/>
        <w:rPr>
          <w:sz w:val="16"/>
          <w:szCs w:val="16"/>
          <w:lang w:val="es-ES_tradnl"/>
        </w:rPr>
      </w:pPr>
    </w:p>
    <w:p w:rsidR="004046B6" w:rsidRPr="00C75C7E" w:rsidRDefault="004046B6" w:rsidP="004046B6">
      <w:pPr>
        <w:widowControl w:val="0"/>
        <w:ind w:left="1134"/>
        <w:jc w:val="both"/>
        <w:rPr>
          <w:sz w:val="16"/>
          <w:szCs w:val="16"/>
          <w:lang w:val="es-ES_tradnl"/>
        </w:rPr>
      </w:pPr>
      <w:r w:rsidRPr="00C75C7E">
        <w:rPr>
          <w:sz w:val="16"/>
          <w:szCs w:val="16"/>
          <w:lang w:val="es-ES_tradnl"/>
        </w:rPr>
        <w:t>***  Las contribuciones anuales varían y se han observado fluctuaciones de un año a otro.</w:t>
      </w:r>
    </w:p>
    <w:p w:rsidR="004046B6" w:rsidRPr="00C75C7E" w:rsidRDefault="004046B6" w:rsidP="004046B6">
      <w:pPr>
        <w:widowControl w:val="0"/>
        <w:ind w:left="1134"/>
        <w:jc w:val="both"/>
        <w:rPr>
          <w:sz w:val="16"/>
          <w:szCs w:val="16"/>
          <w:lang w:val="es-ES_tradnl"/>
        </w:rPr>
      </w:pPr>
    </w:p>
    <w:p w:rsidR="004046B6" w:rsidRPr="00C75C7E" w:rsidRDefault="004046B6" w:rsidP="004046B6">
      <w:pPr>
        <w:widowControl w:val="0"/>
        <w:ind w:left="1134"/>
        <w:jc w:val="both"/>
        <w:rPr>
          <w:sz w:val="16"/>
          <w:szCs w:val="16"/>
          <w:lang w:val="es-ES_tradnl"/>
        </w:rPr>
      </w:pPr>
      <w:r w:rsidRPr="00C75C7E">
        <w:rPr>
          <w:sz w:val="16"/>
          <w:szCs w:val="16"/>
          <w:lang w:val="es-ES_tradnl"/>
        </w:rPr>
        <w:t>****  Las cifras expuestas en esta columna son puramente indicativas y se basan en patrones de financiación anteriores.  Además, no representan los compromisos de los Estados miembros salvo cuando quedan incluidos en el acuerdo de fondos fiduciarios.</w:t>
      </w:r>
    </w:p>
    <w:p w:rsidR="004046B6" w:rsidRPr="00C75C7E" w:rsidRDefault="004046B6" w:rsidP="004046B6">
      <w:pPr>
        <w:widowControl w:val="0"/>
        <w:jc w:val="both"/>
        <w:rPr>
          <w:bCs/>
          <w:sz w:val="20"/>
          <w:lang w:val="es-ES_tradnl"/>
        </w:rPr>
      </w:pPr>
    </w:p>
    <w:p w:rsidR="004046B6" w:rsidRPr="00C75C7E" w:rsidRDefault="004046B6" w:rsidP="004046B6">
      <w:pPr>
        <w:widowControl w:val="0"/>
        <w:jc w:val="both"/>
        <w:rPr>
          <w:bCs/>
          <w:sz w:val="20"/>
          <w:lang w:val="es-ES_tradnl"/>
        </w:rPr>
      </w:pPr>
    </w:p>
    <w:p w:rsidR="00546AD7" w:rsidRPr="00450C3A" w:rsidRDefault="006A3205" w:rsidP="00450C3A">
      <w:pPr>
        <w:pStyle w:val="Heading3"/>
        <w:tabs>
          <w:tab w:val="left" w:pos="1985"/>
        </w:tabs>
        <w:ind w:left="1985" w:hanging="1985"/>
        <w:rPr>
          <w:b/>
          <w:iCs/>
          <w:caps/>
          <w:u w:val="none"/>
        </w:rPr>
      </w:pPr>
      <w:r>
        <w:rPr>
          <w:bCs w:val="0"/>
          <w:szCs w:val="22"/>
        </w:rPr>
        <w:br w:type="page"/>
      </w:r>
      <w:bookmarkStart w:id="25" w:name="_Toc356567750"/>
      <w:bookmarkStart w:id="26" w:name="_Toc366078710"/>
      <w:r w:rsidR="006A15F5" w:rsidRPr="00450C3A">
        <w:rPr>
          <w:b/>
          <w:iCs/>
          <w:u w:val="none"/>
        </w:rPr>
        <w:lastRenderedPageBreak/>
        <w:t>PROGRAMA 4</w:t>
      </w:r>
      <w:r w:rsidR="006A15F5" w:rsidRPr="00450C3A">
        <w:rPr>
          <w:b/>
          <w:iCs/>
          <w:u w:val="none"/>
        </w:rPr>
        <w:tab/>
      </w:r>
      <w:bookmarkEnd w:id="25"/>
      <w:r w:rsidR="006A15F5" w:rsidRPr="00450C3A">
        <w:rPr>
          <w:b/>
          <w:iCs/>
          <w:u w:val="none"/>
        </w:rPr>
        <w:t>CONOCIMIENTOS TRADICIONALES, EXPRESIONES CULTURALES TRADICIONALES Y RECURSOS GENÉTICOS</w:t>
      </w:r>
      <w:bookmarkEnd w:id="26"/>
    </w:p>
    <w:p w:rsidR="00546AD7" w:rsidRPr="00546AD7" w:rsidRDefault="00546AD7" w:rsidP="00546AD7">
      <w:pPr>
        <w:widowControl w:val="0"/>
        <w:tabs>
          <w:tab w:val="left" w:pos="2268"/>
        </w:tabs>
        <w:ind w:left="2268" w:hanging="2268"/>
        <w:rPr>
          <w:rFonts w:eastAsia="Times New Roman" w:cs="Times New Roman"/>
          <w:bCs/>
          <w:sz w:val="20"/>
          <w:lang w:eastAsia="en-US"/>
        </w:rPr>
      </w:pPr>
    </w:p>
    <w:p w:rsidR="00546AD7" w:rsidRPr="00546AD7" w:rsidRDefault="00546AD7" w:rsidP="00546AD7">
      <w:pPr>
        <w:widowControl w:val="0"/>
        <w:tabs>
          <w:tab w:val="left" w:pos="2268"/>
        </w:tabs>
        <w:ind w:left="2268" w:hanging="2268"/>
        <w:rPr>
          <w:rFonts w:eastAsia="Times New Roman" w:cs="Times New Roman"/>
          <w:bCs/>
          <w:sz w:val="20"/>
          <w:lang w:eastAsia="en-US"/>
        </w:rPr>
      </w:pPr>
    </w:p>
    <w:p w:rsidR="00546AD7" w:rsidRPr="00546AD7" w:rsidRDefault="00546AD7" w:rsidP="00546AD7">
      <w:pPr>
        <w:widowControl w:val="0"/>
        <w:ind w:left="1985" w:hanging="1985"/>
        <w:jc w:val="both"/>
        <w:rPr>
          <w:rFonts w:eastAsia="Times New Roman"/>
          <w:szCs w:val="22"/>
          <w:lang w:eastAsia="en-US"/>
        </w:rPr>
      </w:pPr>
      <w:r w:rsidRPr="00546AD7">
        <w:rPr>
          <w:rFonts w:eastAsia="Times New Roman"/>
          <w:szCs w:val="22"/>
          <w:lang w:eastAsia="en-US"/>
        </w:rPr>
        <w:t>CONTEXTO DE PLANIFICACIÓN</w:t>
      </w:r>
    </w:p>
    <w:p w:rsidR="00546AD7" w:rsidRPr="00546AD7" w:rsidRDefault="00546AD7" w:rsidP="00546AD7">
      <w:pPr>
        <w:widowControl w:val="0"/>
        <w:tabs>
          <w:tab w:val="num" w:pos="709"/>
        </w:tabs>
        <w:ind w:left="1140" w:hanging="1140"/>
        <w:rPr>
          <w:rFonts w:eastAsia="Times New Roman"/>
          <w:bCs/>
          <w:sz w:val="20"/>
          <w:lang w:eastAsia="en-US"/>
        </w:rPr>
      </w:pPr>
    </w:p>
    <w:p w:rsidR="00546AD7" w:rsidRPr="00546AD7" w:rsidRDefault="00546AD7" w:rsidP="00BA276E">
      <w:pPr>
        <w:widowControl w:val="0"/>
        <w:numPr>
          <w:ilvl w:val="0"/>
          <w:numId w:val="22"/>
        </w:numPr>
        <w:jc w:val="both"/>
        <w:rPr>
          <w:rFonts w:eastAsia="Times New Roman"/>
          <w:color w:val="000000"/>
          <w:sz w:val="20"/>
          <w:lang w:eastAsia="en-US"/>
        </w:rPr>
      </w:pPr>
      <w:r w:rsidRPr="00546AD7">
        <w:rPr>
          <w:rFonts w:eastAsia="Times New Roman"/>
          <w:bCs/>
          <w:sz w:val="20"/>
          <w:lang w:eastAsia="en-US"/>
        </w:rPr>
        <w:t>El objetivo de este programa es aumentar la eficacia en la utilización de los principios y sistemas de propiedad intelectual (P.I.) actuales y nuevos, para la protección equilibrada de los conocimientos tradicionales (CC.TT.) y las expresiones culturales tradicionales (ECT) contra la apropiación indebida, y para la reglamentación adecuada de la relación que existe entre la P.I. y los recursos genéticos (RR.GG.), en particular en lo tocante al acceso a los RR.GG. y a la participación equitativa en los beneficios que se derivan de ellos.  Trabajar hacia la consecución de estos objetivos permitirá a los Estados miembros, los pueblos indígenas y las comunidades locales y demás partes interesadas profundizar en la relación que existe entre sus políticas en materia de P.I., CC.TT., ECT, y RR.GG., de una parte, y sus estrategias de desarrollo así como sus políticas culturales y de innovación nacionales, de otra.  En sintonía con la A.D., la consecución de estos objetivos mejorará la capacidad de los países en desarrollo, los PMA, los pueblos indígenas y las comunidades locales de aprovechar las ventajas desde el punto de vista económico, tecnológico y cultural.</w:t>
      </w:r>
    </w:p>
    <w:p w:rsidR="00546AD7" w:rsidRPr="00546AD7" w:rsidRDefault="00546AD7" w:rsidP="00546AD7">
      <w:pPr>
        <w:widowControl w:val="0"/>
        <w:tabs>
          <w:tab w:val="num" w:pos="709"/>
        </w:tabs>
        <w:jc w:val="both"/>
        <w:rPr>
          <w:rFonts w:eastAsia="Times New Roman"/>
          <w:color w:val="000000"/>
          <w:sz w:val="20"/>
          <w:lang w:eastAsia="en-US"/>
        </w:rPr>
      </w:pPr>
    </w:p>
    <w:p w:rsidR="00546AD7" w:rsidRPr="00546AD7" w:rsidRDefault="00546AD7" w:rsidP="00BA276E">
      <w:pPr>
        <w:widowControl w:val="0"/>
        <w:numPr>
          <w:ilvl w:val="0"/>
          <w:numId w:val="22"/>
        </w:numPr>
        <w:jc w:val="both"/>
        <w:rPr>
          <w:rFonts w:eastAsia="Times New Roman"/>
          <w:bCs/>
          <w:sz w:val="20"/>
          <w:lang w:eastAsia="en-US"/>
        </w:rPr>
      </w:pPr>
      <w:r w:rsidRPr="00546AD7">
        <w:rPr>
          <w:rFonts w:eastAsia="Times New Roman"/>
          <w:bCs/>
          <w:sz w:val="20"/>
          <w:lang w:eastAsia="en-US"/>
        </w:rPr>
        <w:t>Las negociaciones internacionales se mantienen en el Comité Intergubernamental sobre Propiedad Intelectual y Recursos Genéticos, Conocimientos Tradicionales y Folclore (el CIG).  En virtud de su mandato para el bienio 2012/</w:t>
      </w:r>
      <w:r w:rsidR="003A4B0F">
        <w:rPr>
          <w:rFonts w:eastAsia="Times New Roman"/>
          <w:bCs/>
          <w:sz w:val="20"/>
          <w:lang w:eastAsia="en-US"/>
        </w:rPr>
        <w:t>13, se pidió al CIG que presentara</w:t>
      </w:r>
      <w:r w:rsidRPr="00546AD7">
        <w:rPr>
          <w:rFonts w:eastAsia="Times New Roman"/>
          <w:bCs/>
          <w:sz w:val="20"/>
          <w:lang w:eastAsia="en-US"/>
        </w:rPr>
        <w:t xml:space="preserve"> en el período de sesiones de la Asamblea General de la OMPI que se celebrará en septiembre de 2013 el texto de dicho instrumento (o instrumentos) con el objetivo de tomar una decisión respecto de la celebración de una conferencia diplomática.  En caso de que la decisión de la Asamblea General de septiembre de 2013 sea favorable, lo más probable es que la conferencia mencionada se celebre durante el bienio 2014/15 y que esté precedida por la continuación de las negociaciones en curso y más reuniones preparatorias.  Por consiguiente, es probable que en el transcurso del bienio 2014/15 continúen manteniéndose negociaciones internacionales, con el consiguiente complemento necesario constituido por apoyo práctico y fortalecimiento de las capacidades, que podría incluir la asistencia para la aplicación en los sistemas nacionales y regionales correspondientes de los instrumentos internacionales que puedan adoptarse.</w:t>
      </w:r>
    </w:p>
    <w:p w:rsidR="00546AD7" w:rsidRPr="00546AD7" w:rsidRDefault="00546AD7" w:rsidP="00546AD7">
      <w:pPr>
        <w:widowControl w:val="0"/>
        <w:tabs>
          <w:tab w:val="num" w:pos="709"/>
        </w:tabs>
        <w:jc w:val="both"/>
        <w:rPr>
          <w:rFonts w:eastAsia="Times New Roman"/>
          <w:bCs/>
          <w:sz w:val="20"/>
          <w:lang w:eastAsia="en-US"/>
        </w:rPr>
      </w:pPr>
    </w:p>
    <w:p w:rsidR="00546AD7" w:rsidRPr="00546AD7" w:rsidRDefault="00546AD7" w:rsidP="00BA276E">
      <w:pPr>
        <w:widowControl w:val="0"/>
        <w:numPr>
          <w:ilvl w:val="0"/>
          <w:numId w:val="22"/>
        </w:numPr>
        <w:jc w:val="both"/>
        <w:rPr>
          <w:rFonts w:eastAsia="Times New Roman"/>
          <w:bCs/>
          <w:szCs w:val="22"/>
          <w:lang w:eastAsia="en-US"/>
        </w:rPr>
      </w:pPr>
      <w:r w:rsidRPr="00546AD7">
        <w:rPr>
          <w:rFonts w:eastAsia="Times New Roman"/>
          <w:bCs/>
          <w:sz w:val="20"/>
          <w:lang w:eastAsia="en-US"/>
        </w:rPr>
        <w:t>En el plano internacional, los resultados dependen de</w:t>
      </w:r>
      <w:r w:rsidR="003E09D4">
        <w:rPr>
          <w:rFonts w:eastAsia="Times New Roman"/>
          <w:bCs/>
          <w:sz w:val="20"/>
          <w:lang w:eastAsia="en-US"/>
        </w:rPr>
        <w:t xml:space="preserve"> las decisiones de</w:t>
      </w:r>
      <w:r w:rsidRPr="00546AD7">
        <w:rPr>
          <w:rFonts w:eastAsia="Times New Roman"/>
          <w:bCs/>
          <w:sz w:val="20"/>
          <w:lang w:eastAsia="en-US"/>
        </w:rPr>
        <w:t xml:space="preserve"> los Estados miembros.  </w:t>
      </w:r>
      <w:r w:rsidR="003E09D4">
        <w:rPr>
          <w:rFonts w:eastAsia="Times New Roman"/>
          <w:bCs/>
          <w:sz w:val="20"/>
          <w:lang w:eastAsia="en-US"/>
        </w:rPr>
        <w:t>S</w:t>
      </w:r>
      <w:r w:rsidRPr="00546AD7">
        <w:rPr>
          <w:rFonts w:eastAsia="Times New Roman"/>
          <w:bCs/>
          <w:sz w:val="20"/>
          <w:lang w:eastAsia="en-US"/>
        </w:rPr>
        <w:t xml:space="preserve">igue habiendo diferencias en lo que respecta a </w:t>
      </w:r>
      <w:r w:rsidR="003E09D4">
        <w:rPr>
          <w:rFonts w:eastAsia="Times New Roman"/>
          <w:bCs/>
          <w:sz w:val="20"/>
          <w:lang w:eastAsia="en-US"/>
        </w:rPr>
        <w:t>varias cuestiones</w:t>
      </w:r>
      <w:r w:rsidRPr="00546AD7">
        <w:rPr>
          <w:rFonts w:eastAsia="Times New Roman"/>
          <w:bCs/>
          <w:sz w:val="20"/>
          <w:lang w:eastAsia="en-US"/>
        </w:rPr>
        <w:t>.  Otro desafío es el que tiene que ver con la participación y la representación, puesto que los pueblos indígenas y las comunidades locales en particular se encuentran con obstáculos a la hora de promover sus intereses en materia de P.I. en los foros intergubernamentales.</w:t>
      </w:r>
    </w:p>
    <w:p w:rsidR="00546AD7" w:rsidRPr="00546AD7" w:rsidRDefault="00546AD7" w:rsidP="00546AD7">
      <w:pPr>
        <w:widowControl w:val="0"/>
        <w:tabs>
          <w:tab w:val="num" w:pos="709"/>
        </w:tabs>
        <w:jc w:val="both"/>
        <w:rPr>
          <w:rFonts w:eastAsia="Times New Roman"/>
          <w:bCs/>
          <w:sz w:val="20"/>
          <w:lang w:eastAsia="en-US"/>
        </w:rPr>
      </w:pPr>
    </w:p>
    <w:p w:rsidR="00546AD7" w:rsidRPr="00546AD7" w:rsidRDefault="00546AD7" w:rsidP="00546AD7">
      <w:pPr>
        <w:widowControl w:val="0"/>
        <w:tabs>
          <w:tab w:val="num" w:pos="709"/>
        </w:tabs>
        <w:jc w:val="both"/>
        <w:rPr>
          <w:rFonts w:eastAsia="Times New Roman"/>
          <w:bCs/>
          <w:sz w:val="20"/>
          <w:lang w:eastAsia="en-US"/>
        </w:rPr>
      </w:pPr>
    </w:p>
    <w:p w:rsidR="00546AD7" w:rsidRPr="00546AD7" w:rsidRDefault="00546AD7" w:rsidP="00546AD7">
      <w:pPr>
        <w:widowControl w:val="0"/>
        <w:tabs>
          <w:tab w:val="num" w:pos="709"/>
        </w:tabs>
        <w:jc w:val="both"/>
        <w:rPr>
          <w:rFonts w:eastAsia="Times New Roman"/>
          <w:bCs/>
          <w:szCs w:val="22"/>
          <w:lang w:eastAsia="en-US"/>
        </w:rPr>
      </w:pPr>
      <w:r w:rsidRPr="00546AD7">
        <w:rPr>
          <w:rFonts w:eastAsia="Times New Roman"/>
          <w:bCs/>
          <w:szCs w:val="22"/>
          <w:lang w:eastAsia="en-US"/>
        </w:rPr>
        <w:t>ESTRATEGIAS DE EJECUCIÓN</w:t>
      </w:r>
    </w:p>
    <w:p w:rsidR="00546AD7" w:rsidRPr="00546AD7" w:rsidRDefault="00546AD7" w:rsidP="00546AD7">
      <w:pPr>
        <w:widowControl w:val="0"/>
        <w:tabs>
          <w:tab w:val="num" w:pos="709"/>
        </w:tabs>
        <w:jc w:val="both"/>
        <w:rPr>
          <w:rFonts w:eastAsia="Times New Roman"/>
          <w:bCs/>
          <w:sz w:val="20"/>
          <w:lang w:eastAsia="en-US"/>
        </w:rPr>
      </w:pPr>
    </w:p>
    <w:p w:rsidR="00546AD7" w:rsidRPr="00546AD7" w:rsidRDefault="00546AD7" w:rsidP="00BA276E">
      <w:pPr>
        <w:widowControl w:val="0"/>
        <w:numPr>
          <w:ilvl w:val="0"/>
          <w:numId w:val="22"/>
        </w:numPr>
        <w:jc w:val="both"/>
        <w:rPr>
          <w:rFonts w:eastAsia="Times New Roman"/>
          <w:bCs/>
          <w:sz w:val="20"/>
          <w:lang w:eastAsia="en-US"/>
        </w:rPr>
      </w:pPr>
      <w:r w:rsidRPr="00546AD7">
        <w:rPr>
          <w:rFonts w:eastAsia="Times New Roman"/>
          <w:bCs/>
          <w:sz w:val="20"/>
          <w:lang w:eastAsia="en-US"/>
        </w:rPr>
        <w:t xml:space="preserve">Por tratarse de un proceso impulsado por los Estados miembros, la consecución de resultados en el ámbito internacional depende en gran medida de factores externos y en particular de las decisiones de los Estados miembros.  </w:t>
      </w:r>
      <w:r w:rsidRPr="00546AD7">
        <w:rPr>
          <w:rFonts w:eastAsia="Times New Roman"/>
          <w:sz w:val="20"/>
          <w:lang w:eastAsia="en-US"/>
        </w:rPr>
        <w:t xml:space="preserve">La Secretaría de la OMPI intenta desempeñar un papel receptivo de apoyo y facilitar el trabajo, y hacerlo además con profesionalidad, eficacia y neutralidad.  Entre los resultados del programa se incluyen, en primer lugar, crear un entorno propicio al mantenimiento de negociaciones bien orientadas entre los Estados miembros y otros copartícipes del CIG, lo que podría conducir al entendimiento y al acercamiento de posturas en </w:t>
      </w:r>
      <w:r w:rsidR="003E09D4">
        <w:rPr>
          <w:rFonts w:eastAsia="Times New Roman"/>
          <w:sz w:val="20"/>
          <w:lang w:eastAsia="en-US"/>
        </w:rPr>
        <w:t>torno a</w:t>
      </w:r>
      <w:r w:rsidRPr="00546AD7">
        <w:rPr>
          <w:rFonts w:eastAsia="Times New Roman"/>
          <w:sz w:val="20"/>
          <w:lang w:eastAsia="en-US"/>
        </w:rPr>
        <w:t xml:space="preserve"> los objetivos y aspectos fundamentales y, con posterioridad, a la adopción de uno o varios instrumentos jurídicos internacionales.  Un segundo resultado </w:t>
      </w:r>
      <w:r w:rsidR="003E09D4">
        <w:rPr>
          <w:rFonts w:eastAsia="Times New Roman"/>
          <w:sz w:val="20"/>
          <w:lang w:eastAsia="en-US"/>
        </w:rPr>
        <w:t>ser</w:t>
      </w:r>
      <w:r w:rsidRPr="00546AD7">
        <w:rPr>
          <w:rFonts w:eastAsia="Times New Roman"/>
          <w:sz w:val="20"/>
          <w:lang w:eastAsia="en-US"/>
        </w:rPr>
        <w:t xml:space="preserve">ía sensibilizar a los Estados, los pueblos indígenas y las comunidades locales y demás partes interesadas respecto de la gran importancia que tiene la relación que existe entre la P.I. y los CC.TT., las ECT y los RR.GG. para las estrategias de desarrollo y </w:t>
      </w:r>
      <w:r w:rsidRPr="00546AD7">
        <w:rPr>
          <w:rFonts w:eastAsia="Times New Roman"/>
          <w:bCs/>
          <w:sz w:val="20"/>
          <w:lang w:eastAsia="en-US"/>
        </w:rPr>
        <w:t>las políticas culturales y de innovación</w:t>
      </w:r>
      <w:r w:rsidRPr="00546AD7">
        <w:rPr>
          <w:rFonts w:eastAsia="Times New Roman"/>
          <w:sz w:val="20"/>
          <w:lang w:eastAsia="en-US"/>
        </w:rPr>
        <w:t xml:space="preserve"> nacionales</w:t>
      </w:r>
      <w:r w:rsidRPr="00546AD7">
        <w:rPr>
          <w:rFonts w:eastAsia="Times New Roman"/>
          <w:bCs/>
          <w:sz w:val="20"/>
          <w:lang w:eastAsia="en-US"/>
        </w:rPr>
        <w:t xml:space="preserve">, y más concretamente para aumentar la capacidad de aplicar los principios y los sistemas de P.I. a fin de proteger los CC.TT. y las ECT de manera eficaz y gestionar </w:t>
      </w:r>
      <w:r w:rsidR="003E09D4">
        <w:rPr>
          <w:rFonts w:eastAsia="Times New Roman"/>
          <w:bCs/>
          <w:sz w:val="20"/>
          <w:lang w:eastAsia="en-US"/>
        </w:rPr>
        <w:t>el nexo</w:t>
      </w:r>
      <w:r w:rsidRPr="00546AD7">
        <w:rPr>
          <w:rFonts w:eastAsia="Times New Roman"/>
          <w:bCs/>
          <w:sz w:val="20"/>
          <w:lang w:eastAsia="en-US"/>
        </w:rPr>
        <w:t xml:space="preserve"> que existe entre la P.I. y el acceso a los RR.GG. y la participación equitativa en los beneficios que se derivan de ellos.</w:t>
      </w:r>
    </w:p>
    <w:p w:rsidR="00546AD7" w:rsidRPr="00546AD7" w:rsidRDefault="00546AD7" w:rsidP="00546AD7">
      <w:pPr>
        <w:widowControl w:val="0"/>
        <w:jc w:val="both"/>
        <w:rPr>
          <w:rFonts w:eastAsia="Times New Roman"/>
          <w:bCs/>
          <w:sz w:val="20"/>
          <w:lang w:eastAsia="en-US"/>
        </w:rPr>
      </w:pPr>
    </w:p>
    <w:p w:rsidR="00546AD7" w:rsidRPr="00546AD7" w:rsidRDefault="00546AD7" w:rsidP="003E09D4">
      <w:pPr>
        <w:keepNext/>
        <w:keepLines/>
        <w:widowControl w:val="0"/>
        <w:numPr>
          <w:ilvl w:val="0"/>
          <w:numId w:val="22"/>
        </w:numPr>
        <w:jc w:val="both"/>
        <w:rPr>
          <w:rFonts w:eastAsia="Times New Roman"/>
          <w:bCs/>
          <w:sz w:val="20"/>
          <w:lang w:eastAsia="en-US"/>
        </w:rPr>
      </w:pPr>
      <w:r w:rsidRPr="00546AD7">
        <w:rPr>
          <w:rFonts w:eastAsia="Times New Roman"/>
          <w:bCs/>
          <w:sz w:val="20"/>
          <w:lang w:eastAsia="en-US"/>
        </w:rPr>
        <w:lastRenderedPageBreak/>
        <w:t>Al abordar los objetivos, desafíos y cuestiones expuestos con anterioridad y a fin de obtener estos resultados, se procurará en el marco de este programa aplicar las siguientes estrategias interrelacionadas y complementarias:</w:t>
      </w:r>
    </w:p>
    <w:p w:rsidR="00546AD7" w:rsidRPr="00546AD7" w:rsidRDefault="00546AD7" w:rsidP="003E09D4">
      <w:pPr>
        <w:keepNext/>
        <w:keepLines/>
        <w:widowControl w:val="0"/>
        <w:jc w:val="both"/>
        <w:rPr>
          <w:rFonts w:eastAsia="Times New Roman"/>
          <w:bCs/>
          <w:sz w:val="20"/>
          <w:lang w:eastAsia="en-US"/>
        </w:rPr>
      </w:pPr>
    </w:p>
    <w:p w:rsidR="00546AD7" w:rsidRPr="00546AD7" w:rsidRDefault="00546AD7" w:rsidP="003E09D4">
      <w:pPr>
        <w:keepNext/>
        <w:keepLines/>
        <w:widowControl w:val="0"/>
        <w:numPr>
          <w:ilvl w:val="0"/>
          <w:numId w:val="23"/>
        </w:numPr>
        <w:tabs>
          <w:tab w:val="clear" w:pos="513"/>
        </w:tabs>
        <w:spacing w:after="120"/>
        <w:ind w:left="1134" w:hanging="567"/>
        <w:jc w:val="both"/>
        <w:rPr>
          <w:rFonts w:eastAsia="Times New Roman"/>
          <w:bCs/>
          <w:sz w:val="20"/>
          <w:lang w:eastAsia="ja-JP"/>
        </w:rPr>
      </w:pPr>
      <w:r w:rsidRPr="00546AD7">
        <w:rPr>
          <w:rFonts w:eastAsia="Times New Roman"/>
          <w:bCs/>
          <w:sz w:val="20"/>
          <w:lang w:eastAsia="ja-JP"/>
        </w:rPr>
        <w:t>prestar apoyo profesional y neutral en labores administrativas y de fondo en el marco de las negociaciones del CIG y de las reuniones conexas, así como en la conferencia diplomática si se celebra;  respaldar las cuestiones administrativas relacionadas con las iniciativas destinadas a favorecer la participación de los representantes de las comunidades indígenas y locales en la labor de la OMPI, y ello incluye la gestión práctica del Fondo de la OMPI de Contribuciones Voluntarias para las Comunidades Indígenas y Locales Acreditadas;  y mantener una estrecha coordinación y cooperación con otros organismos y foros intergubernamentales;</w:t>
      </w:r>
    </w:p>
    <w:p w:rsidR="00546AD7" w:rsidRPr="00546AD7" w:rsidRDefault="00546AD7" w:rsidP="00BA276E">
      <w:pPr>
        <w:widowControl w:val="0"/>
        <w:numPr>
          <w:ilvl w:val="0"/>
          <w:numId w:val="23"/>
        </w:numPr>
        <w:tabs>
          <w:tab w:val="clear" w:pos="513"/>
        </w:tabs>
        <w:spacing w:after="120"/>
        <w:ind w:left="1134" w:hanging="567"/>
        <w:jc w:val="both"/>
        <w:rPr>
          <w:rFonts w:eastAsia="Times New Roman"/>
          <w:sz w:val="20"/>
          <w:lang w:eastAsia="en-US"/>
        </w:rPr>
      </w:pPr>
      <w:r w:rsidRPr="00546AD7">
        <w:rPr>
          <w:rFonts w:eastAsia="Times New Roman"/>
          <w:sz w:val="20"/>
          <w:lang w:eastAsia="en-US"/>
        </w:rPr>
        <w:t xml:space="preserve">elaborar y </w:t>
      </w:r>
      <w:r w:rsidRPr="00450C3A">
        <w:rPr>
          <w:rFonts w:eastAsia="Times New Roman"/>
          <w:bCs/>
          <w:sz w:val="20"/>
          <w:lang w:eastAsia="ja-JP"/>
        </w:rPr>
        <w:t>aplicar</w:t>
      </w:r>
      <w:r w:rsidRPr="00546AD7">
        <w:rPr>
          <w:rFonts w:eastAsia="Times New Roman"/>
          <w:sz w:val="20"/>
          <w:lang w:eastAsia="en-US"/>
        </w:rPr>
        <w:t xml:space="preserve">, según se </w:t>
      </w:r>
      <w:r w:rsidRPr="0079447F">
        <w:rPr>
          <w:rFonts w:eastAsia="Times New Roman"/>
          <w:bCs/>
          <w:sz w:val="20"/>
          <w:lang w:eastAsia="ja-JP"/>
        </w:rPr>
        <w:t>solicite</w:t>
      </w:r>
      <w:r w:rsidRPr="00546AD7">
        <w:rPr>
          <w:rFonts w:eastAsia="Times New Roman"/>
          <w:sz w:val="20"/>
          <w:lang w:eastAsia="en-US"/>
        </w:rPr>
        <w:t>, un conjunto ágil e integrado de recursos prácticos, programas e instrumentos pertinentes para que el fortalecimiento de las capacidades y la asistencia técnica jurídica sean eficaces, de conformidad con las estrategias de desarrollo y las políticas culturales y de innovación nacionales;  y</w:t>
      </w:r>
    </w:p>
    <w:p w:rsidR="00546AD7" w:rsidRDefault="00546AD7" w:rsidP="00BA276E">
      <w:pPr>
        <w:widowControl w:val="0"/>
        <w:numPr>
          <w:ilvl w:val="0"/>
          <w:numId w:val="23"/>
        </w:numPr>
        <w:tabs>
          <w:tab w:val="clear" w:pos="513"/>
        </w:tabs>
        <w:spacing w:after="120"/>
        <w:ind w:left="1134" w:hanging="567"/>
        <w:jc w:val="both"/>
        <w:rPr>
          <w:rFonts w:eastAsia="Times New Roman"/>
          <w:sz w:val="20"/>
          <w:lang w:eastAsia="en-US"/>
        </w:rPr>
      </w:pPr>
      <w:r w:rsidRPr="00546AD7">
        <w:rPr>
          <w:rFonts w:eastAsia="Times New Roman"/>
          <w:sz w:val="20"/>
          <w:lang w:eastAsia="en-US"/>
        </w:rPr>
        <w:t>prestar asesoramiento, según se solicite, en relación con los aspectos relacionados con la P.I. del desarrollo de tecnologías de la información y las comunicaciones (TIC) e infraestructuras de otro tipo en el plano nacional, regional e internacional, por ejemplo, bases de datos, inventarios, registros y otras plataformas, así como instituciones, administraciones y organismos, para complementar y poner en práctica los marcos políticos y jurídicos que los Estados y las comunidades puedan crear.</w:t>
      </w:r>
    </w:p>
    <w:p w:rsidR="0079447F" w:rsidRPr="0079447F" w:rsidRDefault="0079447F" w:rsidP="0079447F">
      <w:pPr>
        <w:widowControl w:val="0"/>
        <w:jc w:val="both"/>
        <w:rPr>
          <w:rFonts w:eastAsia="Times New Roman"/>
          <w:bCs/>
          <w:sz w:val="20"/>
          <w:lang w:eastAsia="en-US"/>
        </w:rPr>
      </w:pPr>
    </w:p>
    <w:p w:rsidR="00546AD7" w:rsidRPr="00546AD7" w:rsidRDefault="00546AD7" w:rsidP="00BA276E">
      <w:pPr>
        <w:widowControl w:val="0"/>
        <w:numPr>
          <w:ilvl w:val="0"/>
          <w:numId w:val="22"/>
        </w:numPr>
        <w:jc w:val="both"/>
        <w:rPr>
          <w:sz w:val="20"/>
        </w:rPr>
      </w:pPr>
      <w:r w:rsidRPr="00546AD7">
        <w:rPr>
          <w:rFonts w:eastAsia="Times New Roman"/>
          <w:bCs/>
          <w:sz w:val="20"/>
          <w:lang w:eastAsia="en-US"/>
        </w:rPr>
        <w:t>El objeto de la recomendación 18 de la A.D. es la conclusión con éxito de las negociaciones del CIG.  Las actividades normativas del CIG están orientadas hacia los Estados miembros, tienen carácter participativo y se basan en consultas abiertas y equilibradas (recomendaciones 15, 21 y 42), tienen en cuenta el dominio público (recomendaciones 16 y 20) y las flexibilidades establecidas en los acuerdos de P.I. (recomendaciones 12, 14 y 17), y contribuyen a los objetivos de desarrollo de las Naciones Unidas (recomendación 22).  Este programa contribuye de manera directa y expresa al desarrollo y a la aplicación de las recomendaciones de la A.D., en particular velando por que la asistencia técnica esté orientada a potenciar el desarrollo y obedezca a una demanda (recom</w:t>
      </w:r>
      <w:r w:rsidRPr="00546AD7">
        <w:rPr>
          <w:sz w:val="20"/>
        </w:rPr>
        <w:t>endaciones 1 y 12), prestando asistencia a los grupos regionales para formular o aplicar políticas y marcos regionales (recomendaciones 10, 11, 13 y 14), prestando asistencia legislativa y política en materia de legislación nacional a determinados Estados miembros (recomendaciones 11, 13 y 14), sensibilizando en relación con las cuestiones de la P.I. que están relacionadas con los CC.TT., las ECT, y los RR.GG. (recomendación 3) y cooperando en cuestiones relacionadas con la P.I. con los organismos de las Naciones Unidas (recomendación 40).</w:t>
      </w:r>
    </w:p>
    <w:p w:rsidR="00546AD7" w:rsidRPr="00546AD7" w:rsidRDefault="00546AD7" w:rsidP="00546AD7">
      <w:pPr>
        <w:widowControl w:val="0"/>
        <w:jc w:val="both"/>
        <w:rPr>
          <w:sz w:val="20"/>
        </w:rPr>
      </w:pPr>
    </w:p>
    <w:p w:rsidR="00546AD7" w:rsidRPr="00546AD7" w:rsidRDefault="00546AD7" w:rsidP="00BA276E">
      <w:pPr>
        <w:widowControl w:val="0"/>
        <w:numPr>
          <w:ilvl w:val="0"/>
          <w:numId w:val="22"/>
        </w:numPr>
        <w:jc w:val="both"/>
        <w:rPr>
          <w:rFonts w:eastAsia="Times New Roman"/>
          <w:bCs/>
          <w:sz w:val="20"/>
          <w:lang w:eastAsia="en-US"/>
        </w:rPr>
      </w:pPr>
      <w:r w:rsidRPr="00546AD7">
        <w:rPr>
          <w:rFonts w:eastAsia="Times New Roman"/>
          <w:bCs/>
          <w:sz w:val="20"/>
          <w:lang w:eastAsia="en-US"/>
        </w:rPr>
        <w:t>Los resultados previstos del programa 4 se lograrán también mediante la cooperación y coordinación, según proceda, con otros programas de la OMPI, especialmente el programa 1 (Derecho de patentes), el programa 3 (Derecho de autor y derechos conexos), el programa 7 (</w:t>
      </w:r>
      <w:r w:rsidRPr="00546AD7">
        <w:rPr>
          <w:rFonts w:eastAsia="Times New Roman"/>
          <w:bCs/>
          <w:iCs/>
          <w:sz w:val="20"/>
          <w:lang w:eastAsia="en-US"/>
        </w:rPr>
        <w:t>Centro de Arbitraje y Mediación de la OMPI</w:t>
      </w:r>
      <w:r w:rsidRPr="00546AD7">
        <w:rPr>
          <w:rFonts w:eastAsia="Times New Roman"/>
          <w:bCs/>
          <w:sz w:val="20"/>
          <w:lang w:eastAsia="en-US"/>
        </w:rPr>
        <w:t>), el programa 8 (Coordinación de la Agenda para el Desarrollo), el programa 9 (Países Africanos, Árabes, de América Latina y el Caribe, de Asia y el Pacífico y países menos adelantados), el programa 10 (Cooperación con determinados países de Europa y Asia), el programa 14 (Servicios de acceso a la información y a los conocimientos) y el programa 18 (La P.I. y los desafíos mundiales).</w:t>
      </w:r>
    </w:p>
    <w:p w:rsidR="00546AD7" w:rsidRPr="00546AD7" w:rsidRDefault="00546AD7" w:rsidP="00546AD7">
      <w:pPr>
        <w:widowControl w:val="0"/>
        <w:jc w:val="both"/>
        <w:rPr>
          <w:rFonts w:eastAsia="Times New Roman"/>
          <w:bCs/>
          <w:sz w:val="20"/>
          <w:lang w:eastAsia="en-US"/>
        </w:rPr>
      </w:pPr>
    </w:p>
    <w:p w:rsidR="006A3205" w:rsidRDefault="006A3205" w:rsidP="004046B6">
      <w:pPr>
        <w:widowControl w:val="0"/>
        <w:jc w:val="both"/>
        <w:rPr>
          <w:bCs/>
          <w:szCs w:val="22"/>
        </w:rPr>
      </w:pPr>
    </w:p>
    <w:p w:rsidR="004046B6" w:rsidRPr="00C75C7E" w:rsidRDefault="004046B6" w:rsidP="0079447F">
      <w:pPr>
        <w:keepNext/>
        <w:widowControl w:val="0"/>
        <w:jc w:val="both"/>
        <w:rPr>
          <w:bCs/>
          <w:szCs w:val="22"/>
        </w:rPr>
      </w:pPr>
      <w:r w:rsidRPr="00C75C7E">
        <w:rPr>
          <w:bCs/>
          <w:szCs w:val="22"/>
        </w:rPr>
        <w:t xml:space="preserve">PRINCIPALES RIESGOS Y ESTRATEGIAS DE MITIGACIÓN  </w:t>
      </w:r>
    </w:p>
    <w:p w:rsidR="004046B6" w:rsidRPr="00C75C7E" w:rsidRDefault="004046B6" w:rsidP="0079447F">
      <w:pPr>
        <w:keepNext/>
        <w:widowControl w:val="0"/>
        <w:jc w:val="both"/>
        <w:rPr>
          <w:szCs w:val="24"/>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140"/>
        <w:gridCol w:w="5216"/>
      </w:tblGrid>
      <w:tr w:rsidR="004046B6" w:rsidRPr="00C75C7E" w:rsidTr="00962ADA">
        <w:trPr>
          <w:trHeight w:val="458"/>
          <w:tblHeader/>
        </w:trPr>
        <w:tc>
          <w:tcPr>
            <w:tcW w:w="4140" w:type="dxa"/>
            <w:tcBorders>
              <w:top w:val="single" w:sz="4" w:space="0" w:color="auto"/>
              <w:bottom w:val="single" w:sz="4" w:space="0" w:color="auto"/>
            </w:tcBorders>
            <w:shd w:val="clear" w:color="auto" w:fill="CCFFFF"/>
            <w:tcMar>
              <w:top w:w="113" w:type="dxa"/>
            </w:tcMar>
            <w:vAlign w:val="center"/>
          </w:tcPr>
          <w:p w:rsidR="004046B6" w:rsidRPr="00C75C7E" w:rsidRDefault="004046B6" w:rsidP="0079447F">
            <w:pPr>
              <w:keepNext/>
              <w:widowControl w:val="0"/>
              <w:autoSpaceDE w:val="0"/>
              <w:autoSpaceDN w:val="0"/>
              <w:adjustRightInd w:val="0"/>
              <w:ind w:right="-59"/>
              <w:jc w:val="center"/>
              <w:rPr>
                <w:b/>
                <w:bCs/>
                <w:iCs/>
                <w:sz w:val="18"/>
                <w:szCs w:val="18"/>
              </w:rPr>
            </w:pPr>
            <w:r w:rsidRPr="00C75C7E">
              <w:rPr>
                <w:b/>
                <w:bCs/>
                <w:iCs/>
                <w:sz w:val="18"/>
                <w:szCs w:val="18"/>
              </w:rPr>
              <w:t>Riesgos en el logro de los resultados del programa</w:t>
            </w:r>
          </w:p>
        </w:tc>
        <w:tc>
          <w:tcPr>
            <w:tcW w:w="5216" w:type="dxa"/>
            <w:tcBorders>
              <w:top w:val="single" w:sz="4" w:space="0" w:color="auto"/>
              <w:bottom w:val="single" w:sz="4" w:space="0" w:color="auto"/>
            </w:tcBorders>
            <w:shd w:val="clear" w:color="auto" w:fill="CCFFFF"/>
            <w:tcMar>
              <w:top w:w="113" w:type="dxa"/>
            </w:tcMar>
            <w:vAlign w:val="center"/>
          </w:tcPr>
          <w:p w:rsidR="004046B6" w:rsidRPr="00C75C7E" w:rsidRDefault="004046B6" w:rsidP="0079447F">
            <w:pPr>
              <w:keepNext/>
              <w:widowControl w:val="0"/>
              <w:autoSpaceDE w:val="0"/>
              <w:autoSpaceDN w:val="0"/>
              <w:adjustRightInd w:val="0"/>
              <w:ind w:right="-59"/>
              <w:jc w:val="center"/>
              <w:rPr>
                <w:b/>
                <w:bCs/>
                <w:iCs/>
                <w:sz w:val="18"/>
                <w:szCs w:val="18"/>
              </w:rPr>
            </w:pPr>
            <w:r w:rsidRPr="00C75C7E">
              <w:rPr>
                <w:b/>
                <w:bCs/>
                <w:iCs/>
                <w:sz w:val="18"/>
                <w:szCs w:val="18"/>
              </w:rPr>
              <w:t>Planes de mitigación ejecutados o en ejecución</w:t>
            </w:r>
          </w:p>
        </w:tc>
      </w:tr>
      <w:tr w:rsidR="004046B6" w:rsidRPr="00C75C7E" w:rsidTr="003E09D4">
        <w:trPr>
          <w:trHeight w:val="1129"/>
        </w:trPr>
        <w:tc>
          <w:tcPr>
            <w:tcW w:w="4140" w:type="dxa"/>
            <w:tcBorders>
              <w:top w:val="single" w:sz="4" w:space="0" w:color="auto"/>
            </w:tcBorders>
            <w:shd w:val="clear" w:color="auto" w:fill="auto"/>
            <w:tcMar>
              <w:top w:w="113" w:type="dxa"/>
            </w:tcMar>
          </w:tcPr>
          <w:p w:rsidR="004046B6" w:rsidRPr="00C75C7E" w:rsidRDefault="003E09D4" w:rsidP="003E09D4">
            <w:pPr>
              <w:widowControl w:val="0"/>
              <w:autoSpaceDE w:val="0"/>
              <w:autoSpaceDN w:val="0"/>
              <w:adjustRightInd w:val="0"/>
              <w:ind w:right="-59"/>
              <w:rPr>
                <w:sz w:val="16"/>
                <w:szCs w:val="16"/>
              </w:rPr>
            </w:pPr>
            <w:r>
              <w:rPr>
                <w:bCs/>
                <w:sz w:val="16"/>
                <w:szCs w:val="16"/>
              </w:rPr>
              <w:t>Incapacidad de</w:t>
            </w:r>
            <w:r w:rsidR="004046B6" w:rsidRPr="00C75C7E">
              <w:rPr>
                <w:bCs/>
                <w:sz w:val="16"/>
                <w:szCs w:val="16"/>
              </w:rPr>
              <w:t>l</w:t>
            </w:r>
            <w:r>
              <w:rPr>
                <w:bCs/>
                <w:sz w:val="16"/>
                <w:szCs w:val="16"/>
              </w:rPr>
              <w:t xml:space="preserve"> CIG</w:t>
            </w:r>
            <w:r w:rsidR="004046B6" w:rsidRPr="00C75C7E">
              <w:rPr>
                <w:bCs/>
                <w:sz w:val="16"/>
                <w:szCs w:val="16"/>
              </w:rPr>
              <w:t xml:space="preserve"> de </w:t>
            </w:r>
            <w:r>
              <w:rPr>
                <w:bCs/>
                <w:sz w:val="16"/>
                <w:szCs w:val="16"/>
              </w:rPr>
              <w:t>alcanzar un acuerdo sobre</w:t>
            </w:r>
            <w:r w:rsidR="004046B6" w:rsidRPr="00C75C7E">
              <w:rPr>
                <w:bCs/>
                <w:sz w:val="16"/>
                <w:szCs w:val="16"/>
              </w:rPr>
              <w:t xml:space="preserve"> un instrumento jurídico internacional (o varios).</w:t>
            </w:r>
          </w:p>
        </w:tc>
        <w:tc>
          <w:tcPr>
            <w:tcW w:w="5216" w:type="dxa"/>
            <w:tcBorders>
              <w:top w:val="single" w:sz="4" w:space="0" w:color="auto"/>
            </w:tcBorders>
            <w:shd w:val="clear" w:color="auto" w:fill="auto"/>
            <w:tcMar>
              <w:top w:w="113" w:type="dxa"/>
            </w:tcMar>
          </w:tcPr>
          <w:p w:rsidR="004046B6" w:rsidRPr="00C75C7E" w:rsidRDefault="004046B6" w:rsidP="00900936">
            <w:pPr>
              <w:widowControl w:val="0"/>
              <w:autoSpaceDE w:val="0"/>
              <w:autoSpaceDN w:val="0"/>
              <w:adjustRightInd w:val="0"/>
              <w:ind w:right="-59"/>
              <w:rPr>
                <w:sz w:val="16"/>
                <w:szCs w:val="16"/>
              </w:rPr>
            </w:pPr>
            <w:r w:rsidRPr="00C75C7E">
              <w:rPr>
                <w:bCs/>
                <w:sz w:val="16"/>
                <w:szCs w:val="16"/>
              </w:rPr>
              <w:t>La Secretaría hará todo lo posible, en el alcance de sus recursos, para facilitar y crear un clima favorable a las negociaciones, por ejemplo, facilitando información precisa y objetiva sobre las cuestiones que se están examinando en el CIG y prestando servicios administrativos eficientes y neutrales así como apoyo eficiente y eficaz al Presidente del CIG.</w:t>
            </w:r>
          </w:p>
        </w:tc>
      </w:tr>
      <w:tr w:rsidR="004046B6" w:rsidRPr="00C75C7E" w:rsidTr="003E09D4">
        <w:trPr>
          <w:trHeight w:val="1332"/>
        </w:trPr>
        <w:tc>
          <w:tcPr>
            <w:tcW w:w="4140" w:type="dxa"/>
            <w:shd w:val="clear" w:color="auto" w:fill="auto"/>
            <w:tcMar>
              <w:top w:w="113" w:type="dxa"/>
            </w:tcMar>
          </w:tcPr>
          <w:p w:rsidR="004046B6" w:rsidRPr="00C75C7E" w:rsidRDefault="004046B6" w:rsidP="00900936">
            <w:pPr>
              <w:widowControl w:val="0"/>
              <w:autoSpaceDE w:val="0"/>
              <w:autoSpaceDN w:val="0"/>
              <w:adjustRightInd w:val="0"/>
              <w:ind w:right="-59"/>
              <w:rPr>
                <w:bCs/>
                <w:sz w:val="16"/>
                <w:szCs w:val="16"/>
              </w:rPr>
            </w:pPr>
            <w:r w:rsidRPr="00C75C7E">
              <w:rPr>
                <w:sz w:val="16"/>
                <w:szCs w:val="16"/>
              </w:rPr>
              <w:lastRenderedPageBreak/>
              <w:t>El CIG perderá su pertinencia si los Estados miembros dejan de considerar como cuestiones de P.I. prioritarias los CC.TT., las ECT y los RR.GG. o si estiman que es más probable lograr resultados favorables en otros foros.</w:t>
            </w:r>
          </w:p>
        </w:tc>
        <w:tc>
          <w:tcPr>
            <w:tcW w:w="5216" w:type="dxa"/>
            <w:shd w:val="clear" w:color="auto" w:fill="auto"/>
            <w:tcMar>
              <w:top w:w="113" w:type="dxa"/>
            </w:tcMar>
          </w:tcPr>
          <w:p w:rsidR="004046B6" w:rsidRPr="00C75C7E" w:rsidRDefault="004046B6" w:rsidP="00900936">
            <w:pPr>
              <w:widowControl w:val="0"/>
              <w:autoSpaceDE w:val="0"/>
              <w:autoSpaceDN w:val="0"/>
              <w:adjustRightInd w:val="0"/>
              <w:ind w:right="-59"/>
              <w:rPr>
                <w:bCs/>
                <w:sz w:val="16"/>
                <w:szCs w:val="16"/>
              </w:rPr>
            </w:pPr>
            <w:r w:rsidRPr="00C75C7E">
              <w:rPr>
                <w:sz w:val="16"/>
                <w:szCs w:val="16"/>
              </w:rPr>
              <w:t>La Secretaría lleva a cabo iniciativas de sensibilización sobre la importancia de las políticas de P.I. relacionadas con los CC.TT., las ECT y los RR.GG.  También sigue de cerca las negociaciones que se celebran en otras instancias para poder facilitar a los Estados miembros información neutral sobre la labor del CIG en dichas instancias y se coordina con otras Secretarías para evitar la duplicación de tareas y, así, la confusión que podría causar entre los Estados miembros.</w:t>
            </w:r>
          </w:p>
        </w:tc>
      </w:tr>
    </w:tbl>
    <w:p w:rsidR="004046B6" w:rsidRPr="00C75C7E" w:rsidRDefault="004046B6" w:rsidP="006A15F5"/>
    <w:p w:rsidR="004046B6" w:rsidRPr="00C75C7E" w:rsidRDefault="004046B6" w:rsidP="006A15F5">
      <w:pPr>
        <w:rPr>
          <w:szCs w:val="22"/>
        </w:rPr>
      </w:pPr>
    </w:p>
    <w:p w:rsidR="004046B6" w:rsidRPr="00C75C7E" w:rsidRDefault="004046B6" w:rsidP="004046B6">
      <w:pPr>
        <w:widowControl w:val="0"/>
        <w:tabs>
          <w:tab w:val="left" w:pos="567"/>
          <w:tab w:val="left" w:pos="1985"/>
        </w:tabs>
        <w:jc w:val="both"/>
        <w:rPr>
          <w:bCs/>
          <w:sz w:val="20"/>
          <w:lang w:val="es-ES_tradnl"/>
        </w:rPr>
      </w:pPr>
      <w:r w:rsidRPr="00C75C7E">
        <w:rPr>
          <w:bCs/>
          <w:szCs w:val="22"/>
          <w:lang w:val="es-ES_tradnl"/>
        </w:rPr>
        <w:t>MARCO DE RESULTADOS</w:t>
      </w:r>
    </w:p>
    <w:p w:rsidR="004046B6" w:rsidRPr="00C75C7E" w:rsidRDefault="004046B6" w:rsidP="004046B6">
      <w:pPr>
        <w:widowControl w:val="0"/>
        <w:tabs>
          <w:tab w:val="left" w:pos="567"/>
          <w:tab w:val="left" w:pos="1985"/>
        </w:tabs>
        <w:jc w:val="both"/>
        <w:rPr>
          <w:bCs/>
          <w:sz w:val="20"/>
          <w:lang w:val="es-ES_tradnl"/>
        </w:rPr>
      </w:pPr>
    </w:p>
    <w:tbl>
      <w:tblPr>
        <w:tblW w:w="4888"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0"/>
        <w:gridCol w:w="2847"/>
        <w:gridCol w:w="2057"/>
        <w:gridCol w:w="2103"/>
      </w:tblGrid>
      <w:tr w:rsidR="004046B6" w:rsidRPr="00C75C7E" w:rsidTr="003E09D4">
        <w:trPr>
          <w:cantSplit/>
          <w:trHeight w:val="397"/>
        </w:trPr>
        <w:tc>
          <w:tcPr>
            <w:tcW w:w="1255" w:type="pct"/>
            <w:tcBorders>
              <w:top w:val="single" w:sz="4" w:space="0" w:color="auto"/>
              <w:left w:val="single" w:sz="4" w:space="0" w:color="auto"/>
              <w:bottom w:val="single" w:sz="4" w:space="0" w:color="auto"/>
            </w:tcBorders>
            <w:shd w:val="clear" w:color="auto" w:fill="CCFFFF"/>
            <w:vAlign w:val="center"/>
          </w:tcPr>
          <w:p w:rsidR="004046B6" w:rsidRPr="00C75C7E" w:rsidRDefault="004046B6" w:rsidP="00900936">
            <w:pPr>
              <w:widowControl w:val="0"/>
              <w:spacing w:after="120"/>
              <w:jc w:val="center"/>
              <w:rPr>
                <w:b/>
                <w:bCs/>
                <w:sz w:val="18"/>
                <w:szCs w:val="18"/>
                <w:lang w:val="es-ES_tradnl"/>
              </w:rPr>
            </w:pPr>
            <w:r w:rsidRPr="00C75C7E">
              <w:rPr>
                <w:b/>
                <w:bCs/>
                <w:sz w:val="18"/>
                <w:szCs w:val="18"/>
                <w:lang w:val="es-ES_tradnl"/>
              </w:rPr>
              <w:t>Resultados previstos</w:t>
            </w:r>
          </w:p>
        </w:tc>
        <w:tc>
          <w:tcPr>
            <w:tcW w:w="1521" w:type="pct"/>
            <w:tcBorders>
              <w:top w:val="single" w:sz="4" w:space="0" w:color="auto"/>
              <w:bottom w:val="single" w:sz="4" w:space="0" w:color="auto"/>
            </w:tcBorders>
            <w:shd w:val="clear" w:color="auto" w:fill="CCFFFF"/>
            <w:tcMar>
              <w:top w:w="110" w:type="dxa"/>
            </w:tcMar>
            <w:vAlign w:val="center"/>
          </w:tcPr>
          <w:p w:rsidR="004046B6" w:rsidRPr="00C75C7E" w:rsidRDefault="004046B6" w:rsidP="00900936">
            <w:pPr>
              <w:widowControl w:val="0"/>
              <w:spacing w:after="120"/>
              <w:jc w:val="center"/>
              <w:rPr>
                <w:b/>
                <w:sz w:val="18"/>
                <w:szCs w:val="18"/>
                <w:lang w:val="es-ES_tradnl"/>
              </w:rPr>
            </w:pPr>
            <w:r w:rsidRPr="00C75C7E">
              <w:rPr>
                <w:b/>
                <w:sz w:val="18"/>
                <w:szCs w:val="18"/>
                <w:lang w:val="es-ES_tradnl"/>
              </w:rPr>
              <w:t>Indicadores de rendimiento</w:t>
            </w:r>
          </w:p>
        </w:tc>
        <w:tc>
          <w:tcPr>
            <w:tcW w:w="1099" w:type="pct"/>
            <w:tcBorders>
              <w:top w:val="single" w:sz="4" w:space="0" w:color="auto"/>
              <w:bottom w:val="single" w:sz="4" w:space="0" w:color="auto"/>
            </w:tcBorders>
            <w:shd w:val="clear" w:color="auto" w:fill="CCFFFF"/>
            <w:tcMar>
              <w:top w:w="110" w:type="dxa"/>
            </w:tcMar>
            <w:vAlign w:val="center"/>
          </w:tcPr>
          <w:p w:rsidR="004046B6" w:rsidRPr="00C75C7E" w:rsidRDefault="004046B6" w:rsidP="00900936">
            <w:pPr>
              <w:widowControl w:val="0"/>
              <w:spacing w:after="120"/>
              <w:ind w:left="85"/>
              <w:jc w:val="center"/>
              <w:rPr>
                <w:sz w:val="18"/>
                <w:szCs w:val="18"/>
                <w:lang w:val="es-ES_tradnl"/>
              </w:rPr>
            </w:pPr>
            <w:r w:rsidRPr="00C75C7E">
              <w:rPr>
                <w:b/>
                <w:bCs/>
                <w:sz w:val="18"/>
                <w:szCs w:val="18"/>
                <w:lang w:val="es-ES_tradnl"/>
              </w:rPr>
              <w:t>Referencia</w:t>
            </w:r>
          </w:p>
        </w:tc>
        <w:tc>
          <w:tcPr>
            <w:tcW w:w="1124" w:type="pct"/>
            <w:tcBorders>
              <w:top w:val="single" w:sz="4" w:space="0" w:color="auto"/>
              <w:bottom w:val="single" w:sz="4" w:space="0" w:color="auto"/>
              <w:right w:val="single" w:sz="4" w:space="0" w:color="auto"/>
            </w:tcBorders>
            <w:shd w:val="clear" w:color="auto" w:fill="CCFFFF"/>
            <w:tcMar>
              <w:top w:w="110" w:type="dxa"/>
            </w:tcMar>
            <w:vAlign w:val="center"/>
          </w:tcPr>
          <w:p w:rsidR="004046B6" w:rsidRPr="00C75C7E" w:rsidRDefault="004046B6" w:rsidP="00900936">
            <w:pPr>
              <w:widowControl w:val="0"/>
              <w:tabs>
                <w:tab w:val="left" w:pos="1433"/>
              </w:tabs>
              <w:spacing w:after="120"/>
              <w:ind w:right="222"/>
              <w:jc w:val="center"/>
              <w:rPr>
                <w:b/>
                <w:bCs/>
                <w:sz w:val="18"/>
                <w:szCs w:val="18"/>
                <w:lang w:val="es-ES_tradnl"/>
              </w:rPr>
            </w:pPr>
            <w:r w:rsidRPr="00C75C7E">
              <w:rPr>
                <w:b/>
                <w:bCs/>
                <w:sz w:val="18"/>
                <w:szCs w:val="18"/>
                <w:lang w:val="es-ES_tradnl"/>
              </w:rPr>
              <w:t>Objetivos</w:t>
            </w:r>
          </w:p>
        </w:tc>
      </w:tr>
      <w:tr w:rsidR="004046B6" w:rsidRPr="00C75C7E" w:rsidTr="003E09D4">
        <w:trPr>
          <w:cantSplit/>
        </w:trPr>
        <w:tc>
          <w:tcPr>
            <w:tcW w:w="1255" w:type="pct"/>
            <w:tcBorders>
              <w:top w:val="single" w:sz="4" w:space="0" w:color="auto"/>
            </w:tcBorders>
            <w:shd w:val="clear" w:color="auto" w:fill="auto"/>
            <w:tcMar>
              <w:top w:w="113" w:type="dxa"/>
              <w:bottom w:w="85" w:type="dxa"/>
            </w:tcMar>
          </w:tcPr>
          <w:p w:rsidR="004046B6" w:rsidRPr="00C75C7E" w:rsidRDefault="004046B6" w:rsidP="003E09D4">
            <w:pPr>
              <w:widowControl w:val="0"/>
              <w:rPr>
                <w:sz w:val="16"/>
                <w:szCs w:val="16"/>
                <w:lang w:val="es-ES_tradnl"/>
              </w:rPr>
            </w:pPr>
            <w:r w:rsidRPr="00C75C7E">
              <w:rPr>
                <w:sz w:val="16"/>
                <w:szCs w:val="16"/>
                <w:lang w:val="es-ES_tradnl"/>
              </w:rPr>
              <w:t xml:space="preserve">I.1. Mejor cooperación entre los Estados miembros en lo que atañe a la elaboración de marcos normativos internacionales equilibrados para la P.I. y </w:t>
            </w:r>
            <w:r w:rsidR="00956F2F">
              <w:rPr>
                <w:sz w:val="16"/>
                <w:szCs w:val="16"/>
                <w:lang w:val="es-ES_tradnl"/>
              </w:rPr>
              <w:t xml:space="preserve">fomento de </w:t>
            </w:r>
            <w:r w:rsidR="003E09D4">
              <w:rPr>
                <w:sz w:val="16"/>
                <w:szCs w:val="16"/>
                <w:lang w:val="es-ES_tradnl"/>
              </w:rPr>
              <w:t>acuerdos</w:t>
            </w:r>
            <w:r w:rsidR="00956F2F">
              <w:rPr>
                <w:sz w:val="16"/>
                <w:szCs w:val="16"/>
                <w:lang w:val="es-ES_tradnl"/>
              </w:rPr>
              <w:t xml:space="preserve"> sobre</w:t>
            </w:r>
            <w:r w:rsidR="00491731">
              <w:rPr>
                <w:sz w:val="16"/>
                <w:szCs w:val="16"/>
                <w:lang w:val="es-ES_tradnl"/>
              </w:rPr>
              <w:t xml:space="preserve"> las cuestiones específicas</w:t>
            </w:r>
            <w:r w:rsidRPr="00C75C7E">
              <w:rPr>
                <w:sz w:val="16"/>
                <w:szCs w:val="16"/>
                <w:lang w:val="es-ES_tradnl"/>
              </w:rPr>
              <w:t xml:space="preserve"> respecto de las que se acuerdan instrumentos internacionales.</w:t>
            </w:r>
          </w:p>
        </w:tc>
        <w:tc>
          <w:tcPr>
            <w:tcW w:w="1521" w:type="pct"/>
            <w:tcBorders>
              <w:top w:val="single" w:sz="4" w:space="0" w:color="auto"/>
            </w:tcBorders>
            <w:shd w:val="clear" w:color="auto" w:fill="auto"/>
            <w:tcMar>
              <w:top w:w="113" w:type="dxa"/>
              <w:bottom w:w="85" w:type="dxa"/>
            </w:tcMar>
          </w:tcPr>
          <w:p w:rsidR="004046B6" w:rsidRPr="00C75C7E" w:rsidRDefault="004046B6" w:rsidP="003E09D4">
            <w:pPr>
              <w:widowControl w:val="0"/>
              <w:rPr>
                <w:sz w:val="16"/>
                <w:szCs w:val="16"/>
                <w:lang w:val="es-ES_tradnl"/>
              </w:rPr>
            </w:pPr>
            <w:r w:rsidRPr="00C75C7E">
              <w:rPr>
                <w:sz w:val="16"/>
                <w:szCs w:val="16"/>
                <w:lang w:val="es-ES_tradnl"/>
              </w:rPr>
              <w:t>A</w:t>
            </w:r>
            <w:r w:rsidR="003E09D4">
              <w:rPr>
                <w:sz w:val="16"/>
                <w:szCs w:val="16"/>
                <w:lang w:val="es-ES_tradnl"/>
              </w:rPr>
              <w:t>cuerdo</w:t>
            </w:r>
            <w:r w:rsidRPr="00C75C7E">
              <w:rPr>
                <w:sz w:val="16"/>
                <w:szCs w:val="16"/>
                <w:lang w:val="es-ES_tradnl"/>
              </w:rPr>
              <w:t xml:space="preserve"> en las negociaciones del CIG </w:t>
            </w:r>
            <w:r w:rsidR="003E09D4">
              <w:rPr>
                <w:sz w:val="16"/>
                <w:szCs w:val="16"/>
                <w:lang w:val="es-ES_tradnl"/>
              </w:rPr>
              <w:t>sobre</w:t>
            </w:r>
            <w:r w:rsidRPr="00C75C7E">
              <w:rPr>
                <w:sz w:val="16"/>
                <w:szCs w:val="16"/>
                <w:lang w:val="es-ES_tradnl"/>
              </w:rPr>
              <w:t xml:space="preserve"> uno o varios instrumentos jurídicos internacionales</w:t>
            </w:r>
            <w:r w:rsidR="003E09D4">
              <w:rPr>
                <w:sz w:val="16"/>
                <w:szCs w:val="16"/>
                <w:lang w:val="es-ES_tradnl"/>
              </w:rPr>
              <w:t xml:space="preserve"> relativos a los CC.TT., ECT y RR.GG.</w:t>
            </w:r>
          </w:p>
        </w:tc>
        <w:tc>
          <w:tcPr>
            <w:tcW w:w="1099" w:type="pct"/>
            <w:tcBorders>
              <w:top w:val="single" w:sz="4" w:space="0" w:color="auto"/>
            </w:tcBorders>
            <w:shd w:val="clear" w:color="auto" w:fill="FFFFFF"/>
            <w:tcMar>
              <w:top w:w="113" w:type="dxa"/>
              <w:bottom w:w="85" w:type="dxa"/>
            </w:tcMar>
          </w:tcPr>
          <w:p w:rsidR="004046B6" w:rsidRPr="00C75C7E" w:rsidRDefault="004046B6" w:rsidP="00900936">
            <w:pPr>
              <w:widowControl w:val="0"/>
              <w:rPr>
                <w:sz w:val="16"/>
                <w:szCs w:val="16"/>
                <w:lang w:val="es-ES_tradnl" w:bidi="th-TH"/>
              </w:rPr>
            </w:pPr>
            <w:r w:rsidRPr="00C75C7E">
              <w:rPr>
                <w:sz w:val="16"/>
                <w:szCs w:val="16"/>
                <w:lang w:val="es-ES_tradnl" w:bidi="th-TH"/>
              </w:rPr>
              <w:t>Negociaciones en curso en el marco del mandato del CIG c</w:t>
            </w:r>
            <w:r w:rsidR="00335765">
              <w:rPr>
                <w:sz w:val="16"/>
                <w:szCs w:val="16"/>
                <w:lang w:val="es-ES_tradnl" w:bidi="th-TH"/>
              </w:rPr>
              <w:t xml:space="preserve">orrespondiente a 2012-2013 y </w:t>
            </w:r>
            <w:r w:rsidRPr="00C75C7E">
              <w:rPr>
                <w:sz w:val="16"/>
                <w:szCs w:val="16"/>
                <w:lang w:val="es-ES_tradnl" w:bidi="th-TH"/>
              </w:rPr>
              <w:t>programa de trabajo de 2013.</w:t>
            </w:r>
          </w:p>
          <w:p w:rsidR="004046B6" w:rsidRPr="00C75C7E" w:rsidRDefault="004046B6" w:rsidP="00900936">
            <w:pPr>
              <w:widowControl w:val="0"/>
              <w:rPr>
                <w:sz w:val="16"/>
                <w:szCs w:val="16"/>
                <w:lang w:val="es-ES_tradnl" w:bidi="th-TH"/>
              </w:rPr>
            </w:pPr>
          </w:p>
          <w:p w:rsidR="004046B6" w:rsidRPr="00C75C7E" w:rsidRDefault="004046B6" w:rsidP="00900936">
            <w:pPr>
              <w:widowControl w:val="0"/>
              <w:rPr>
                <w:sz w:val="16"/>
                <w:szCs w:val="16"/>
                <w:lang w:val="es-ES_tradnl"/>
              </w:rPr>
            </w:pPr>
          </w:p>
        </w:tc>
        <w:tc>
          <w:tcPr>
            <w:tcW w:w="1124" w:type="pct"/>
            <w:tcBorders>
              <w:top w:val="single" w:sz="4" w:space="0" w:color="auto"/>
            </w:tcBorders>
            <w:shd w:val="clear" w:color="auto" w:fill="auto"/>
            <w:tcMar>
              <w:top w:w="113" w:type="dxa"/>
              <w:bottom w:w="85" w:type="dxa"/>
            </w:tcMar>
          </w:tcPr>
          <w:p w:rsidR="004046B6" w:rsidRPr="00C75C7E" w:rsidRDefault="004046B6" w:rsidP="003E09D4">
            <w:pPr>
              <w:widowControl w:val="0"/>
              <w:rPr>
                <w:bCs/>
                <w:sz w:val="16"/>
                <w:szCs w:val="16"/>
                <w:lang w:val="es-ES_tradnl"/>
              </w:rPr>
            </w:pPr>
            <w:r w:rsidRPr="00C75C7E">
              <w:rPr>
                <w:bCs/>
                <w:sz w:val="16"/>
                <w:szCs w:val="16"/>
                <w:lang w:val="es-ES_tradnl"/>
              </w:rPr>
              <w:t>Adopción de uno o varios instrumentos internacionales</w:t>
            </w:r>
            <w:r w:rsidR="003E09D4">
              <w:rPr>
                <w:bCs/>
                <w:sz w:val="16"/>
                <w:szCs w:val="16"/>
                <w:lang w:val="es-ES_tradnl"/>
              </w:rPr>
              <w:t xml:space="preserve"> en una conferencia diplomática.</w:t>
            </w:r>
          </w:p>
        </w:tc>
      </w:tr>
      <w:tr w:rsidR="004046B6" w:rsidRPr="00C75C7E" w:rsidTr="003E09D4">
        <w:trPr>
          <w:cantSplit/>
        </w:trPr>
        <w:tc>
          <w:tcPr>
            <w:tcW w:w="1255" w:type="pct"/>
            <w:shd w:val="clear" w:color="auto" w:fill="auto"/>
            <w:tcMar>
              <w:top w:w="113" w:type="dxa"/>
              <w:bottom w:w="85" w:type="dxa"/>
            </w:tcMar>
          </w:tcPr>
          <w:p w:rsidR="004046B6" w:rsidRPr="00C75C7E" w:rsidRDefault="004046B6" w:rsidP="00900936">
            <w:pPr>
              <w:widowControl w:val="0"/>
              <w:rPr>
                <w:sz w:val="16"/>
                <w:szCs w:val="16"/>
                <w:lang w:val="es-ES_tradnl"/>
              </w:rPr>
            </w:pPr>
            <w:r w:rsidRPr="00C75C7E">
              <w:rPr>
                <w:sz w:val="16"/>
                <w:szCs w:val="16"/>
                <w:lang w:val="es-ES_tradnl"/>
              </w:rPr>
              <w:t>III.2 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1521" w:type="pct"/>
            <w:shd w:val="clear" w:color="auto" w:fill="auto"/>
            <w:tcMar>
              <w:top w:w="113" w:type="dxa"/>
              <w:bottom w:w="85" w:type="dxa"/>
            </w:tcMar>
          </w:tcPr>
          <w:p w:rsidR="004046B6" w:rsidRPr="00C75C7E" w:rsidRDefault="004046B6" w:rsidP="00900936">
            <w:pPr>
              <w:widowControl w:val="0"/>
              <w:rPr>
                <w:sz w:val="16"/>
                <w:szCs w:val="16"/>
                <w:lang w:val="es-ES_tradnl"/>
              </w:rPr>
            </w:pPr>
            <w:r w:rsidRPr="00C75C7E">
              <w:rPr>
                <w:sz w:val="16"/>
                <w:szCs w:val="16"/>
                <w:lang w:val="es-ES_tradnl"/>
              </w:rPr>
              <w:t>Porcentaje de participantes en actividades de la OMPI que afirman haber fomentado la capacidad de comprender y utilizar principios, sistemas y herramientas de P.I. para la protección de los CC.TT. y las ECT, y para la gestión de la relación existente entre la P.I. y los RR.GG.</w:t>
            </w:r>
          </w:p>
        </w:tc>
        <w:tc>
          <w:tcPr>
            <w:tcW w:w="1099" w:type="pct"/>
            <w:shd w:val="clear" w:color="auto" w:fill="FFFFFF"/>
            <w:tcMar>
              <w:top w:w="113" w:type="dxa"/>
              <w:bottom w:w="85" w:type="dxa"/>
            </w:tcMar>
          </w:tcPr>
          <w:p w:rsidR="004046B6" w:rsidRPr="00C75C7E" w:rsidRDefault="004046B6" w:rsidP="00900936">
            <w:pPr>
              <w:widowControl w:val="0"/>
              <w:rPr>
                <w:sz w:val="16"/>
                <w:szCs w:val="16"/>
                <w:lang w:val="es-ES_tradnl" w:bidi="th-TH"/>
              </w:rPr>
            </w:pPr>
            <w:r w:rsidRPr="00C75C7E">
              <w:rPr>
                <w:sz w:val="16"/>
                <w:szCs w:val="16"/>
                <w:lang w:val="es-ES_tradnl" w:bidi="th-TH"/>
              </w:rPr>
              <w:t>Aún no está disponible.</w:t>
            </w:r>
          </w:p>
          <w:p w:rsidR="004046B6" w:rsidRPr="00C75C7E" w:rsidRDefault="004046B6" w:rsidP="00900936">
            <w:pPr>
              <w:widowControl w:val="0"/>
              <w:rPr>
                <w:sz w:val="16"/>
                <w:szCs w:val="16"/>
                <w:lang w:val="es-ES_tradnl" w:bidi="th-TH"/>
              </w:rPr>
            </w:pPr>
          </w:p>
          <w:p w:rsidR="004046B6" w:rsidRPr="00C75C7E" w:rsidRDefault="004046B6" w:rsidP="00900936">
            <w:pPr>
              <w:widowControl w:val="0"/>
              <w:rPr>
                <w:sz w:val="16"/>
                <w:szCs w:val="16"/>
                <w:lang w:val="es-ES_tradnl" w:bidi="th-TH"/>
              </w:rPr>
            </w:pPr>
          </w:p>
          <w:p w:rsidR="004046B6" w:rsidRPr="00C75C7E" w:rsidRDefault="004046B6" w:rsidP="00900936">
            <w:pPr>
              <w:widowControl w:val="0"/>
              <w:rPr>
                <w:sz w:val="16"/>
                <w:szCs w:val="16"/>
                <w:lang w:val="es-ES_tradnl"/>
              </w:rPr>
            </w:pPr>
          </w:p>
        </w:tc>
        <w:tc>
          <w:tcPr>
            <w:tcW w:w="1124" w:type="pct"/>
            <w:shd w:val="clear" w:color="auto" w:fill="auto"/>
            <w:tcMar>
              <w:top w:w="113" w:type="dxa"/>
              <w:bottom w:w="85" w:type="dxa"/>
            </w:tcMar>
          </w:tcPr>
          <w:p w:rsidR="004046B6" w:rsidRPr="00C75C7E" w:rsidRDefault="004046B6" w:rsidP="00900936">
            <w:pPr>
              <w:widowControl w:val="0"/>
              <w:tabs>
                <w:tab w:val="left" w:pos="2051"/>
              </w:tabs>
              <w:ind w:right="381"/>
              <w:rPr>
                <w:bCs/>
                <w:sz w:val="16"/>
                <w:szCs w:val="16"/>
                <w:lang w:val="es-ES_tradnl"/>
              </w:rPr>
            </w:pPr>
            <w:r w:rsidRPr="00C75C7E">
              <w:rPr>
                <w:bCs/>
                <w:sz w:val="16"/>
                <w:szCs w:val="16"/>
                <w:lang w:val="es-ES_tradnl"/>
              </w:rPr>
              <w:t>80%</w:t>
            </w:r>
          </w:p>
        </w:tc>
      </w:tr>
    </w:tbl>
    <w:p w:rsidR="004046B6" w:rsidRPr="00C75C7E" w:rsidRDefault="004046B6" w:rsidP="004046B6">
      <w:pPr>
        <w:widowControl w:val="0"/>
        <w:tabs>
          <w:tab w:val="left" w:pos="567"/>
          <w:tab w:val="left" w:pos="1985"/>
        </w:tabs>
        <w:rPr>
          <w:bCs/>
          <w:sz w:val="20"/>
          <w:lang w:val="es-ES_tradnl"/>
        </w:rPr>
      </w:pPr>
    </w:p>
    <w:p w:rsidR="004046B6" w:rsidRDefault="004046B6" w:rsidP="004046B6">
      <w:pPr>
        <w:widowControl w:val="0"/>
        <w:rPr>
          <w:sz w:val="20"/>
          <w:lang w:val="es-ES_tradnl"/>
        </w:rPr>
      </w:pPr>
    </w:p>
    <w:p w:rsidR="00546AD7" w:rsidRPr="006B0DE9" w:rsidRDefault="00546AD7" w:rsidP="00546AD7">
      <w:pPr>
        <w:widowControl w:val="0"/>
        <w:autoSpaceDE w:val="0"/>
        <w:autoSpaceDN w:val="0"/>
        <w:adjustRightInd w:val="0"/>
        <w:jc w:val="both"/>
        <w:rPr>
          <w:szCs w:val="22"/>
        </w:rPr>
      </w:pPr>
      <w:r w:rsidRPr="006B0DE9">
        <w:rPr>
          <w:szCs w:val="22"/>
        </w:rPr>
        <w:t>RECURSOS PARA EL PROGRAMA 4</w:t>
      </w:r>
    </w:p>
    <w:p w:rsidR="00546AD7" w:rsidRPr="006B0DE9" w:rsidRDefault="00546AD7" w:rsidP="00546AD7">
      <w:pPr>
        <w:widowControl w:val="0"/>
        <w:autoSpaceDE w:val="0"/>
        <w:autoSpaceDN w:val="0"/>
        <w:adjustRightInd w:val="0"/>
        <w:rPr>
          <w:sz w:val="20"/>
        </w:rPr>
      </w:pPr>
    </w:p>
    <w:p w:rsidR="00546AD7" w:rsidRPr="006B0DE9" w:rsidRDefault="00546AD7" w:rsidP="00BA276E">
      <w:pPr>
        <w:widowControl w:val="0"/>
        <w:numPr>
          <w:ilvl w:val="0"/>
          <w:numId w:val="22"/>
        </w:numPr>
        <w:jc w:val="both"/>
        <w:rPr>
          <w:sz w:val="20"/>
        </w:rPr>
      </w:pPr>
      <w:r w:rsidRPr="006B0DE9">
        <w:rPr>
          <w:sz w:val="20"/>
        </w:rPr>
        <w:t>El aumento de recursos destinados al resultado I.1 (Elaboración de marcos normativos internacionales equilibrados para la P.I.) guarda relación principalmente con la provisión que se ha realizado para la eventual celebración de una conferencia diplomática en el transcurso del bienio 2014/15 (aumentos en Viajes de terceros y Conferencias).</w:t>
      </w:r>
    </w:p>
    <w:p w:rsidR="00546AD7" w:rsidRPr="006B0DE9" w:rsidRDefault="00546AD7" w:rsidP="00546AD7">
      <w:pPr>
        <w:widowControl w:val="0"/>
        <w:jc w:val="both"/>
        <w:rPr>
          <w:sz w:val="20"/>
        </w:rPr>
      </w:pPr>
    </w:p>
    <w:p w:rsidR="00546AD7" w:rsidRPr="006B0DE9" w:rsidRDefault="00546AD7" w:rsidP="00BA276E">
      <w:pPr>
        <w:widowControl w:val="0"/>
        <w:numPr>
          <w:ilvl w:val="0"/>
          <w:numId w:val="22"/>
        </w:numPr>
        <w:jc w:val="both"/>
        <w:rPr>
          <w:bCs/>
          <w:sz w:val="20"/>
        </w:rPr>
      </w:pPr>
      <w:r w:rsidRPr="006B0DE9">
        <w:rPr>
          <w:sz w:val="20"/>
        </w:rPr>
        <w:t>La magnitud del proceso del CIG y la gran atención que se le ha prestado le han restado recursos al resultado III.2 (Mejora de las capacidades en el ámbito de los recursos humanos).</w:t>
      </w:r>
    </w:p>
    <w:p w:rsidR="00546AD7" w:rsidRPr="006B0DE9" w:rsidRDefault="00546AD7" w:rsidP="00546AD7">
      <w:pPr>
        <w:widowControl w:val="0"/>
        <w:jc w:val="both"/>
        <w:rPr>
          <w:bCs/>
          <w:sz w:val="20"/>
        </w:rPr>
      </w:pPr>
    </w:p>
    <w:p w:rsidR="00546AD7" w:rsidRPr="00546AD7" w:rsidRDefault="00546AD7" w:rsidP="004046B6">
      <w:pPr>
        <w:widowControl w:val="0"/>
        <w:rPr>
          <w:sz w:val="20"/>
        </w:rPr>
      </w:pPr>
    </w:p>
    <w:p w:rsidR="004046B6" w:rsidRPr="00C75C7E" w:rsidRDefault="003E09D4" w:rsidP="0079447F">
      <w:pPr>
        <w:keepNext/>
        <w:widowControl w:val="0"/>
        <w:autoSpaceDE w:val="0"/>
        <w:autoSpaceDN w:val="0"/>
        <w:adjustRightInd w:val="0"/>
        <w:jc w:val="center"/>
        <w:rPr>
          <w:b/>
          <w:bCs/>
          <w:iCs/>
          <w:sz w:val="20"/>
          <w:lang w:val="es-ES_tradnl"/>
        </w:rPr>
      </w:pPr>
      <w:r>
        <w:rPr>
          <w:b/>
          <w:bCs/>
          <w:iCs/>
          <w:sz w:val="20"/>
          <w:lang w:val="es-ES_tradnl"/>
        </w:rPr>
        <w:lastRenderedPageBreak/>
        <w:t>Programa 4</w:t>
      </w:r>
      <w:proofErr w:type="gramStart"/>
      <w:r>
        <w:rPr>
          <w:b/>
          <w:bCs/>
          <w:iCs/>
          <w:sz w:val="20"/>
          <w:lang w:val="es-ES_tradnl"/>
        </w:rPr>
        <w:t xml:space="preserve">:  </w:t>
      </w:r>
      <w:r w:rsidR="004046B6" w:rsidRPr="00C75C7E">
        <w:rPr>
          <w:b/>
          <w:bCs/>
          <w:iCs/>
          <w:sz w:val="20"/>
          <w:lang w:val="es-ES_tradnl"/>
        </w:rPr>
        <w:t>Recursos</w:t>
      </w:r>
      <w:proofErr w:type="gramEnd"/>
      <w:r w:rsidR="004046B6" w:rsidRPr="00C75C7E">
        <w:rPr>
          <w:b/>
          <w:bCs/>
          <w:iCs/>
          <w:sz w:val="20"/>
          <w:lang w:val="es-ES_tradnl"/>
        </w:rPr>
        <w:t xml:space="preserve"> por resultado</w:t>
      </w:r>
    </w:p>
    <w:p w:rsidR="004046B6" w:rsidRPr="00C75C7E" w:rsidRDefault="004046B6" w:rsidP="0079447F">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4046B6" w:rsidRPr="00C75C7E" w:rsidRDefault="004046B6" w:rsidP="0079447F">
      <w:pPr>
        <w:keepNext/>
        <w:widowControl w:val="0"/>
        <w:autoSpaceDE w:val="0"/>
        <w:autoSpaceDN w:val="0"/>
        <w:adjustRightInd w:val="0"/>
        <w:jc w:val="center"/>
        <w:rPr>
          <w:lang w:val="es-ES_tradnl"/>
        </w:rPr>
      </w:pPr>
    </w:p>
    <w:p w:rsidR="004046B6" w:rsidRPr="00C75C7E" w:rsidRDefault="00EE69B6" w:rsidP="0079447F">
      <w:pPr>
        <w:keepNext/>
        <w:widowControl w:val="0"/>
        <w:autoSpaceDE w:val="0"/>
        <w:autoSpaceDN w:val="0"/>
        <w:adjustRightInd w:val="0"/>
        <w:jc w:val="center"/>
        <w:rPr>
          <w:lang w:val="es-ES_tradnl"/>
        </w:rPr>
      </w:pPr>
      <w:r w:rsidRPr="00EE69B6">
        <w:rPr>
          <w:noProof/>
          <w:lang w:val="en-US" w:eastAsia="en-US"/>
        </w:rPr>
        <w:drawing>
          <wp:inline distT="0" distB="0" distL="0" distR="0" wp14:anchorId="4AE97191" wp14:editId="78B69346">
            <wp:extent cx="5940425" cy="2124266"/>
            <wp:effectExtent l="0" t="0" r="3175" b="9525"/>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2124266"/>
                    </a:xfrm>
                    <a:prstGeom prst="rect">
                      <a:avLst/>
                    </a:prstGeom>
                    <a:noFill/>
                    <a:ln>
                      <a:noFill/>
                    </a:ln>
                  </pic:spPr>
                </pic:pic>
              </a:graphicData>
            </a:graphic>
          </wp:inline>
        </w:drawing>
      </w:r>
    </w:p>
    <w:p w:rsidR="004046B6" w:rsidRPr="00C75C7E" w:rsidRDefault="004046B6" w:rsidP="006A3205">
      <w:pPr>
        <w:widowControl w:val="0"/>
        <w:autoSpaceDE w:val="0"/>
        <w:autoSpaceDN w:val="0"/>
        <w:adjustRightInd w:val="0"/>
        <w:rPr>
          <w:sz w:val="20"/>
          <w:lang w:val="es-ES_tradnl"/>
        </w:rPr>
      </w:pPr>
    </w:p>
    <w:p w:rsidR="004046B6" w:rsidRPr="00C75C7E" w:rsidRDefault="004046B6" w:rsidP="004046B6">
      <w:pPr>
        <w:widowControl w:val="0"/>
        <w:autoSpaceDE w:val="0"/>
        <w:autoSpaceDN w:val="0"/>
        <w:adjustRightInd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4046B6" w:rsidRPr="00C75C7E" w:rsidRDefault="004046B6" w:rsidP="004046B6">
      <w:pPr>
        <w:widowControl w:val="0"/>
        <w:autoSpaceDE w:val="0"/>
        <w:autoSpaceDN w:val="0"/>
        <w:adjustRightInd w:val="0"/>
        <w:rPr>
          <w:sz w:val="20"/>
          <w:lang w:val="es-ES_tradnl"/>
        </w:rPr>
      </w:pPr>
    </w:p>
    <w:p w:rsidR="004046B6" w:rsidRPr="00C75C7E" w:rsidRDefault="004046B6" w:rsidP="004046B6">
      <w:pPr>
        <w:widowControl w:val="0"/>
        <w:jc w:val="both"/>
        <w:rPr>
          <w:sz w:val="20"/>
          <w:lang w:val="es-ES_tradnl"/>
        </w:rPr>
      </w:pPr>
    </w:p>
    <w:p w:rsidR="004046B6" w:rsidRPr="00C75C7E" w:rsidRDefault="003E09D4" w:rsidP="0079447F">
      <w:pPr>
        <w:keepNext/>
        <w:widowControl w:val="0"/>
        <w:autoSpaceDE w:val="0"/>
        <w:autoSpaceDN w:val="0"/>
        <w:adjustRightInd w:val="0"/>
        <w:ind w:firstLine="567"/>
        <w:jc w:val="center"/>
        <w:rPr>
          <w:b/>
          <w:bCs/>
          <w:iCs/>
          <w:sz w:val="20"/>
          <w:lang w:val="es-ES_tradnl"/>
        </w:rPr>
      </w:pPr>
      <w:r>
        <w:rPr>
          <w:b/>
          <w:bCs/>
          <w:iCs/>
          <w:sz w:val="20"/>
          <w:lang w:val="es-ES_tradnl"/>
        </w:rPr>
        <w:lastRenderedPageBreak/>
        <w:t>Programa 4</w:t>
      </w:r>
      <w:proofErr w:type="gramStart"/>
      <w:r>
        <w:rPr>
          <w:b/>
          <w:bCs/>
          <w:iCs/>
          <w:sz w:val="20"/>
          <w:lang w:val="es-ES_tradnl"/>
        </w:rPr>
        <w:t xml:space="preserve">:  </w:t>
      </w:r>
      <w:r w:rsidR="004046B6" w:rsidRPr="00C75C7E">
        <w:rPr>
          <w:b/>
          <w:bCs/>
          <w:iCs/>
          <w:sz w:val="20"/>
          <w:lang w:val="es-ES_tradnl"/>
        </w:rPr>
        <w:t>Recursos</w:t>
      </w:r>
      <w:proofErr w:type="gramEnd"/>
      <w:r w:rsidR="004046B6" w:rsidRPr="00C75C7E">
        <w:rPr>
          <w:b/>
          <w:bCs/>
          <w:iCs/>
          <w:sz w:val="20"/>
          <w:lang w:val="es-ES_tradnl"/>
        </w:rPr>
        <w:t xml:space="preserve"> por objeto de gasto</w:t>
      </w:r>
    </w:p>
    <w:p w:rsidR="004046B6" w:rsidRPr="00C75C7E" w:rsidRDefault="004046B6" w:rsidP="0079447F">
      <w:pPr>
        <w:keepNext/>
        <w:widowControl w:val="0"/>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4046B6" w:rsidRDefault="004046B6" w:rsidP="0079447F">
      <w:pPr>
        <w:keepNext/>
        <w:widowControl w:val="0"/>
        <w:autoSpaceDE w:val="0"/>
        <w:autoSpaceDN w:val="0"/>
        <w:adjustRightInd w:val="0"/>
        <w:jc w:val="center"/>
        <w:rPr>
          <w:lang w:val="es-ES_tradnl"/>
        </w:rPr>
      </w:pPr>
    </w:p>
    <w:p w:rsidR="00723CAF" w:rsidRPr="00C75C7E" w:rsidRDefault="00C40A11" w:rsidP="0079447F">
      <w:pPr>
        <w:keepNext/>
        <w:widowControl w:val="0"/>
        <w:autoSpaceDE w:val="0"/>
        <w:autoSpaceDN w:val="0"/>
        <w:adjustRightInd w:val="0"/>
        <w:jc w:val="center"/>
        <w:rPr>
          <w:lang w:val="es-ES_tradnl"/>
        </w:rPr>
      </w:pPr>
      <w:r>
        <w:rPr>
          <w:noProof/>
          <w:lang w:val="en-US" w:eastAsia="en-US"/>
        </w:rPr>
        <w:drawing>
          <wp:inline distT="0" distB="0" distL="0" distR="0" wp14:anchorId="0F3CEF33" wp14:editId="2FB13A4A">
            <wp:extent cx="5936615" cy="5739130"/>
            <wp:effectExtent l="0" t="0" r="698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4046B6" w:rsidRPr="00C75C7E" w:rsidRDefault="004046B6" w:rsidP="004046B6">
      <w:pPr>
        <w:widowControl w:val="0"/>
        <w:autoSpaceDE w:val="0"/>
        <w:autoSpaceDN w:val="0"/>
        <w:adjustRightInd w:val="0"/>
        <w:rPr>
          <w:sz w:val="20"/>
          <w:lang w:val="es-ES_tradnl"/>
        </w:rPr>
      </w:pPr>
    </w:p>
    <w:p w:rsidR="004046B6" w:rsidRPr="00C75C7E" w:rsidRDefault="004046B6" w:rsidP="004046B6">
      <w:pPr>
        <w:widowControl w:val="0"/>
        <w:rPr>
          <w:sz w:val="16"/>
          <w:szCs w:val="16"/>
          <w:lang w:val="es-ES_tradnl"/>
        </w:rPr>
      </w:pPr>
      <w:r w:rsidRPr="00C75C7E">
        <w:rPr>
          <w:sz w:val="16"/>
          <w:szCs w:val="16"/>
          <w:lang w:val="es-ES_tradnl"/>
        </w:rPr>
        <w:t>Notas:</w:t>
      </w:r>
    </w:p>
    <w:p w:rsidR="004046B6" w:rsidRPr="00C75C7E" w:rsidRDefault="004046B6" w:rsidP="004046B6">
      <w:pPr>
        <w:widowControl w:val="0"/>
        <w:rPr>
          <w:sz w:val="16"/>
          <w:szCs w:val="16"/>
          <w:u w:val="single"/>
          <w:lang w:val="es-ES_tradnl"/>
        </w:rPr>
      </w:pPr>
    </w:p>
    <w:p w:rsidR="004046B6" w:rsidRDefault="006A3205" w:rsidP="004046B6">
      <w:pPr>
        <w:widowControl w:val="0"/>
        <w:rPr>
          <w:sz w:val="16"/>
          <w:szCs w:val="16"/>
          <w:lang w:val="es-ES_tradnl"/>
        </w:rPr>
      </w:pPr>
      <w:r>
        <w:rPr>
          <w:sz w:val="16"/>
          <w:szCs w:val="16"/>
          <w:lang w:val="es-ES_tradnl"/>
        </w:rPr>
        <w:t xml:space="preserve">1)  </w:t>
      </w:r>
      <w:r w:rsidR="004046B6" w:rsidRPr="00C75C7E">
        <w:rPr>
          <w:sz w:val="16"/>
          <w:szCs w:val="16"/>
          <w:lang w:val="es-ES_tradnl"/>
        </w:rPr>
        <w:t xml:space="preserve">El presupuesto aprobado de 2012/13 y el presupuesto de dicho bienio después de las transferencias se </w:t>
      </w:r>
      <w:proofErr w:type="spellStart"/>
      <w:r w:rsidR="004046B6" w:rsidRPr="00C75C7E">
        <w:rPr>
          <w:sz w:val="16"/>
          <w:szCs w:val="16"/>
          <w:lang w:val="es-ES_tradnl"/>
        </w:rPr>
        <w:t>reexpresan</w:t>
      </w:r>
      <w:proofErr w:type="spellEnd"/>
      <w:r w:rsidR="004046B6" w:rsidRPr="00C75C7E">
        <w:rPr>
          <w:sz w:val="16"/>
          <w:szCs w:val="16"/>
          <w:lang w:val="es-ES_tradnl"/>
        </w:rPr>
        <w:t xml:space="preserve"> sobre la base de la estructura de categorías de costos propuesta para 2014/15.</w:t>
      </w:r>
    </w:p>
    <w:p w:rsidR="004046B6" w:rsidRPr="00C75C7E" w:rsidRDefault="004046B6" w:rsidP="004046B6">
      <w:pPr>
        <w:widowControl w:val="0"/>
        <w:rPr>
          <w:sz w:val="16"/>
          <w:szCs w:val="16"/>
          <w:lang w:val="es-ES_tradnl"/>
        </w:rPr>
      </w:pPr>
    </w:p>
    <w:p w:rsidR="004046B6" w:rsidRDefault="004046B6" w:rsidP="004046B6">
      <w:pPr>
        <w:widowControl w:val="0"/>
        <w:rPr>
          <w:rFonts w:cs="ArialMT"/>
          <w:sz w:val="16"/>
          <w:szCs w:val="16"/>
          <w:lang w:val="es-ES_tradnl"/>
        </w:rPr>
      </w:pPr>
      <w:r>
        <w:rPr>
          <w:sz w:val="16"/>
          <w:szCs w:val="16"/>
          <w:lang w:val="es-ES_tradnl"/>
        </w:rPr>
        <w:t>2)</w:t>
      </w:r>
      <w:r w:rsidR="006A3205">
        <w:rPr>
          <w:sz w:val="16"/>
          <w:szCs w:val="16"/>
          <w:lang w:val="es-ES_tradnl"/>
        </w:rPr>
        <w:t xml:space="preserve">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4046B6" w:rsidRPr="00C75C7E" w:rsidRDefault="004046B6" w:rsidP="004046B6">
      <w:pPr>
        <w:widowControl w:val="0"/>
        <w:rPr>
          <w:sz w:val="16"/>
          <w:szCs w:val="16"/>
          <w:lang w:val="es-ES_tradnl"/>
        </w:rPr>
      </w:pPr>
    </w:p>
    <w:p w:rsidR="004046B6" w:rsidRPr="00C75C7E" w:rsidRDefault="004046B6" w:rsidP="004046B6">
      <w:pPr>
        <w:widowControl w:val="0"/>
        <w:spacing w:after="120"/>
        <w:rPr>
          <w:sz w:val="16"/>
          <w:szCs w:val="16"/>
          <w:lang w:val="es-ES_tradnl"/>
        </w:rPr>
      </w:pPr>
      <w:r>
        <w:rPr>
          <w:sz w:val="16"/>
          <w:szCs w:val="16"/>
          <w:lang w:val="es-ES_tradnl"/>
        </w:rPr>
        <w:t>3)</w:t>
      </w:r>
      <w:r w:rsidR="006A3205">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DA2E7F" w:rsidRDefault="00DA2E7F" w:rsidP="00FF779C">
      <w:pPr>
        <w:widowControl w:val="0"/>
        <w:tabs>
          <w:tab w:val="num" w:pos="690"/>
        </w:tabs>
        <w:jc w:val="both"/>
        <w:rPr>
          <w:sz w:val="20"/>
          <w:lang w:val="es-ES_tradnl"/>
        </w:rPr>
      </w:pPr>
    </w:p>
    <w:p w:rsidR="00900936" w:rsidRDefault="00900936" w:rsidP="00FF779C">
      <w:pPr>
        <w:widowControl w:val="0"/>
        <w:tabs>
          <w:tab w:val="num" w:pos="690"/>
        </w:tabs>
        <w:jc w:val="both"/>
        <w:rPr>
          <w:sz w:val="20"/>
          <w:lang w:val="es-ES_tradnl"/>
        </w:rPr>
      </w:pPr>
    </w:p>
    <w:p w:rsidR="00900936" w:rsidRDefault="00900936" w:rsidP="00FF779C">
      <w:pPr>
        <w:widowControl w:val="0"/>
        <w:tabs>
          <w:tab w:val="num" w:pos="690"/>
        </w:tabs>
        <w:jc w:val="both"/>
        <w:rPr>
          <w:sz w:val="20"/>
          <w:lang w:val="es-ES_tradnl"/>
        </w:rPr>
        <w:sectPr w:rsidR="00900936" w:rsidSect="00FF362A">
          <w:headerReference w:type="default" r:id="rId53"/>
          <w:headerReference w:type="first" r:id="rId54"/>
          <w:pgSz w:w="11907" w:h="16840" w:code="9"/>
          <w:pgMar w:top="567" w:right="1134" w:bottom="1418" w:left="1418" w:header="510" w:footer="1021" w:gutter="0"/>
          <w:cols w:space="720"/>
          <w:titlePg/>
        </w:sectPr>
      </w:pPr>
    </w:p>
    <w:p w:rsidR="003E09D4" w:rsidRDefault="00450C3A" w:rsidP="00450C3A">
      <w:pPr>
        <w:pStyle w:val="Heading2"/>
        <w:jc w:val="center"/>
        <w:rPr>
          <w:rFonts w:eastAsia="Times New Roman"/>
          <w:b/>
          <w:bCs w:val="0"/>
          <w:iCs w:val="0"/>
          <w:caps w:val="0"/>
          <w:sz w:val="24"/>
          <w:szCs w:val="24"/>
          <w:lang w:eastAsia="da-DK"/>
        </w:rPr>
      </w:pPr>
      <w:bookmarkStart w:id="27" w:name="_Toc366078711"/>
      <w:bookmarkStart w:id="28" w:name="_Toc356567751"/>
      <w:r w:rsidRPr="008541BE">
        <w:rPr>
          <w:rFonts w:eastAsia="Times New Roman"/>
          <w:b/>
          <w:bCs w:val="0"/>
          <w:iCs w:val="0"/>
          <w:caps w:val="0"/>
          <w:sz w:val="24"/>
          <w:szCs w:val="24"/>
          <w:lang w:eastAsia="da-DK"/>
        </w:rPr>
        <w:lastRenderedPageBreak/>
        <w:t xml:space="preserve">META </w:t>
      </w:r>
      <w:r w:rsidRPr="008541BE">
        <w:rPr>
          <w:b/>
          <w:caps w:val="0"/>
          <w:sz w:val="24"/>
          <w:szCs w:val="24"/>
          <w:lang w:val="es-ES_tradnl" w:eastAsia="da-DK"/>
        </w:rPr>
        <w:t>ESTRATÉGICA</w:t>
      </w:r>
      <w:r w:rsidRPr="008541BE">
        <w:rPr>
          <w:rFonts w:eastAsia="Times New Roman"/>
          <w:b/>
          <w:bCs w:val="0"/>
          <w:iCs w:val="0"/>
          <w:caps w:val="0"/>
          <w:sz w:val="24"/>
          <w:szCs w:val="24"/>
          <w:lang w:eastAsia="da-DK"/>
        </w:rPr>
        <w:t xml:space="preserve"> II</w:t>
      </w:r>
      <w:bookmarkEnd w:id="27"/>
    </w:p>
    <w:p w:rsidR="00546AD7" w:rsidRPr="008541BE" w:rsidRDefault="00450C3A" w:rsidP="00450C3A">
      <w:pPr>
        <w:pStyle w:val="Heading2"/>
        <w:jc w:val="center"/>
        <w:rPr>
          <w:rFonts w:eastAsia="Times New Roman"/>
          <w:b/>
          <w:bCs w:val="0"/>
          <w:iCs w:val="0"/>
          <w:caps w:val="0"/>
          <w:sz w:val="24"/>
          <w:szCs w:val="24"/>
          <w:lang w:eastAsia="da-DK"/>
        </w:rPr>
      </w:pPr>
      <w:bookmarkStart w:id="29" w:name="_Toc366078712"/>
      <w:bookmarkEnd w:id="28"/>
      <w:r w:rsidRPr="008541BE">
        <w:rPr>
          <w:rFonts w:eastAsia="Times New Roman"/>
          <w:b/>
          <w:bCs w:val="0"/>
          <w:iCs w:val="0"/>
          <w:caps w:val="0"/>
          <w:sz w:val="24"/>
          <w:szCs w:val="24"/>
          <w:lang w:eastAsia="da-DK"/>
        </w:rPr>
        <w:t>PRESTACIÓN DE SERVICIOS MUNDIALES DE P.I. DE CALIDAD</w:t>
      </w:r>
      <w:bookmarkEnd w:id="29"/>
    </w:p>
    <w:p w:rsidR="00546AD7" w:rsidRPr="00546AD7" w:rsidRDefault="00546AD7" w:rsidP="00546AD7">
      <w:pPr>
        <w:widowControl w:val="0"/>
        <w:tabs>
          <w:tab w:val="left" w:pos="1701"/>
        </w:tabs>
        <w:ind w:left="1701" w:hanging="1701"/>
        <w:jc w:val="center"/>
        <w:rPr>
          <w:rFonts w:eastAsia="Times New Roman"/>
          <w:bCs/>
          <w:caps/>
          <w:sz w:val="20"/>
          <w:lang w:eastAsia="en-US"/>
        </w:rPr>
      </w:pPr>
    </w:p>
    <w:p w:rsidR="00546AD7" w:rsidRPr="00546AD7" w:rsidRDefault="00546AD7" w:rsidP="00546AD7">
      <w:pPr>
        <w:widowControl w:val="0"/>
        <w:tabs>
          <w:tab w:val="left" w:pos="1701"/>
        </w:tabs>
        <w:ind w:left="1701" w:hanging="1701"/>
        <w:jc w:val="center"/>
        <w:rPr>
          <w:rFonts w:eastAsia="Times New Roman"/>
          <w:bCs/>
          <w:caps/>
          <w:sz w:val="20"/>
          <w:lang w:eastAsia="en-US"/>
        </w:rPr>
      </w:pPr>
    </w:p>
    <w:p w:rsidR="00546AD7" w:rsidRPr="00546AD7" w:rsidRDefault="00546AD7" w:rsidP="00546AD7">
      <w:pPr>
        <w:widowControl w:val="0"/>
        <w:autoSpaceDE w:val="0"/>
        <w:autoSpaceDN w:val="0"/>
        <w:adjustRightInd w:val="0"/>
        <w:jc w:val="both"/>
        <w:rPr>
          <w:rFonts w:ascii="Times New Roman" w:eastAsia="Times New Roman" w:hAnsi="Times New Roman" w:cs="Times New Roman"/>
          <w:sz w:val="24"/>
          <w:lang w:eastAsia="en-US"/>
        </w:rPr>
      </w:pPr>
      <w:r w:rsidRPr="00546AD7">
        <w:rPr>
          <w:rFonts w:eastAsia="Times New Roman"/>
          <w:sz w:val="20"/>
          <w:lang w:eastAsia="en-US"/>
        </w:rPr>
        <w:t>Esta meta estratégica engloba los principales servicios de la OMPI, que son también las principales fuentes de ingresos de la Organización.  Su finalidad es velar por que los sistemas mundiales y los servicios de solución extrajudicial de controversias sean la opción número uno de los usuarios, ofreciendo con ese fin servicios interesantes y rentables que les aporten valor añadido.</w:t>
      </w:r>
    </w:p>
    <w:p w:rsidR="00546AD7" w:rsidRPr="00546AD7" w:rsidRDefault="00546AD7" w:rsidP="00546AD7">
      <w:pPr>
        <w:widowControl w:val="0"/>
        <w:tabs>
          <w:tab w:val="left" w:pos="1701"/>
        </w:tabs>
        <w:ind w:left="1701" w:hanging="1701"/>
        <w:jc w:val="center"/>
        <w:rPr>
          <w:rFonts w:eastAsia="Times New Roman"/>
          <w:bCs/>
          <w:caps/>
          <w:sz w:val="20"/>
          <w:lang w:eastAsia="en-US"/>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173"/>
        <w:gridCol w:w="3628"/>
        <w:gridCol w:w="2492"/>
      </w:tblGrid>
      <w:tr w:rsidR="0063482E" w:rsidRPr="00C75C7E" w:rsidTr="00EF3DB5">
        <w:trPr>
          <w:cantSplit/>
          <w:tblHeader/>
        </w:trPr>
        <w:tc>
          <w:tcPr>
            <w:tcW w:w="1707" w:type="pct"/>
            <w:tcBorders>
              <w:top w:val="single" w:sz="4" w:space="0" w:color="auto"/>
              <w:bottom w:val="single" w:sz="4" w:space="0" w:color="auto"/>
            </w:tcBorders>
            <w:shd w:val="clear" w:color="auto" w:fill="CCFFFF"/>
            <w:tcMar>
              <w:top w:w="113" w:type="dxa"/>
              <w:bottom w:w="113" w:type="dxa"/>
            </w:tcMar>
            <w:vAlign w:val="center"/>
          </w:tcPr>
          <w:p w:rsidR="0063482E" w:rsidRPr="00C75C7E" w:rsidRDefault="0063482E" w:rsidP="00EF3DB5">
            <w:pPr>
              <w:widowControl w:val="0"/>
              <w:spacing w:after="120"/>
              <w:jc w:val="center"/>
              <w:rPr>
                <w:b/>
                <w:bCs/>
                <w:sz w:val="18"/>
                <w:szCs w:val="18"/>
                <w:lang w:val="es-ES_tradnl"/>
              </w:rPr>
            </w:pPr>
            <w:r w:rsidRPr="00C75C7E">
              <w:rPr>
                <w:b/>
                <w:bCs/>
                <w:sz w:val="18"/>
                <w:szCs w:val="18"/>
                <w:lang w:val="es-ES_tradnl"/>
              </w:rPr>
              <w:t>Resultados previstos</w:t>
            </w:r>
          </w:p>
        </w:tc>
        <w:tc>
          <w:tcPr>
            <w:tcW w:w="1952" w:type="pct"/>
            <w:tcBorders>
              <w:top w:val="single" w:sz="4" w:space="0" w:color="auto"/>
              <w:bottom w:val="single" w:sz="4" w:space="0" w:color="auto"/>
            </w:tcBorders>
            <w:shd w:val="clear" w:color="auto" w:fill="CCFFFF"/>
            <w:tcMar>
              <w:top w:w="113" w:type="dxa"/>
              <w:bottom w:w="113" w:type="dxa"/>
            </w:tcMar>
            <w:vAlign w:val="center"/>
          </w:tcPr>
          <w:p w:rsidR="0063482E" w:rsidRPr="00C75C7E" w:rsidRDefault="0063482E" w:rsidP="00EF3DB5">
            <w:pPr>
              <w:widowControl w:val="0"/>
              <w:spacing w:after="120"/>
              <w:jc w:val="center"/>
              <w:rPr>
                <w:b/>
                <w:sz w:val="18"/>
                <w:szCs w:val="18"/>
                <w:lang w:val="es-ES_tradnl"/>
              </w:rPr>
            </w:pPr>
            <w:r w:rsidRPr="00C75C7E">
              <w:rPr>
                <w:b/>
                <w:sz w:val="18"/>
                <w:szCs w:val="18"/>
                <w:lang w:val="es-ES_tradnl"/>
              </w:rPr>
              <w:t>Indicadores de rendimiento</w:t>
            </w:r>
          </w:p>
        </w:tc>
        <w:tc>
          <w:tcPr>
            <w:tcW w:w="1341" w:type="pct"/>
            <w:tcBorders>
              <w:top w:val="single" w:sz="4" w:space="0" w:color="auto"/>
              <w:bottom w:val="single" w:sz="4" w:space="0" w:color="auto"/>
            </w:tcBorders>
            <w:shd w:val="clear" w:color="auto" w:fill="CCFFFF"/>
            <w:tcMar>
              <w:top w:w="113" w:type="dxa"/>
              <w:bottom w:w="113" w:type="dxa"/>
            </w:tcMar>
            <w:vAlign w:val="center"/>
          </w:tcPr>
          <w:p w:rsidR="0063482E" w:rsidRPr="00C75C7E" w:rsidRDefault="0063482E" w:rsidP="00EF3DB5">
            <w:pPr>
              <w:widowControl w:val="0"/>
              <w:spacing w:after="120"/>
              <w:ind w:left="85"/>
              <w:jc w:val="center"/>
              <w:rPr>
                <w:sz w:val="18"/>
                <w:szCs w:val="18"/>
                <w:lang w:val="es-ES_tradnl"/>
              </w:rPr>
            </w:pPr>
            <w:r w:rsidRPr="00C75C7E">
              <w:rPr>
                <w:b/>
                <w:bCs/>
                <w:sz w:val="18"/>
                <w:szCs w:val="18"/>
                <w:lang w:val="es-ES_tradnl"/>
              </w:rPr>
              <w:t>Programas responsables</w:t>
            </w:r>
          </w:p>
        </w:tc>
      </w:tr>
      <w:tr w:rsidR="0063482E" w:rsidRPr="00C75C7E" w:rsidTr="00EF3DB5">
        <w:trPr>
          <w:cantSplit/>
        </w:trPr>
        <w:tc>
          <w:tcPr>
            <w:tcW w:w="1707" w:type="pct"/>
            <w:shd w:val="clear" w:color="auto" w:fill="auto"/>
            <w:tcMar>
              <w:top w:w="113" w:type="dxa"/>
              <w:bottom w:w="113" w:type="dxa"/>
            </w:tcMar>
          </w:tcPr>
          <w:p w:rsidR="0063482E" w:rsidRPr="00C75C7E" w:rsidRDefault="0063482E" w:rsidP="005C32FC">
            <w:pPr>
              <w:widowControl w:val="0"/>
              <w:rPr>
                <w:sz w:val="16"/>
                <w:szCs w:val="16"/>
                <w:lang w:val="es-ES_tradnl"/>
              </w:rPr>
            </w:pPr>
            <w:r w:rsidRPr="00C75C7E">
              <w:rPr>
                <w:sz w:val="16"/>
                <w:szCs w:val="16"/>
                <w:lang w:val="es-ES_tradnl"/>
              </w:rPr>
              <w:t xml:space="preserve">II.1. Fomento del uso de la vía del PCT para la presentación de solicitudes </w:t>
            </w:r>
            <w:r w:rsidR="005C32FC">
              <w:rPr>
                <w:sz w:val="16"/>
                <w:szCs w:val="16"/>
                <w:lang w:val="es-ES_tradnl"/>
              </w:rPr>
              <w:t xml:space="preserve">internacionales </w:t>
            </w:r>
            <w:r w:rsidRPr="00C75C7E">
              <w:rPr>
                <w:sz w:val="16"/>
                <w:szCs w:val="16"/>
                <w:lang w:val="es-ES_tradnl"/>
              </w:rPr>
              <w:t>de patente.</w:t>
            </w: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Nivel de satisfacción de los usuarios del PCT respecto de los servicios de información y formación destinados a los usuarios.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rPr>
            </w:pPr>
            <w:r w:rsidRPr="00C75C7E">
              <w:rPr>
                <w:sz w:val="16"/>
                <w:szCs w:val="16"/>
                <w:lang w:val="es-ES_tradnl" w:bidi="th-TH"/>
              </w:rPr>
              <w:t>Programa  5</w:t>
            </w:r>
          </w:p>
        </w:tc>
      </w:tr>
      <w:tr w:rsidR="0063482E" w:rsidRPr="00C75C7E" w:rsidTr="00EF3DB5">
        <w:trPr>
          <w:cantSplit/>
          <w:trHeight w:val="456"/>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Satisfacción de las oficinas y de las Administraciones internacionales respecto de las actividades de cooperación del PCT.</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311"/>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3E09D4">
            <w:pPr>
              <w:widowControl w:val="0"/>
              <w:rPr>
                <w:sz w:val="16"/>
                <w:szCs w:val="16"/>
                <w:lang w:val="es-ES_tradnl"/>
              </w:rPr>
            </w:pPr>
            <w:r w:rsidRPr="00C75C7E">
              <w:rPr>
                <w:sz w:val="16"/>
                <w:szCs w:val="16"/>
                <w:lang w:val="es-ES_tradnl"/>
              </w:rPr>
              <w:t>Número de solicit</w:t>
            </w:r>
            <w:r w:rsidR="003E09D4">
              <w:rPr>
                <w:sz w:val="16"/>
                <w:szCs w:val="16"/>
                <w:lang w:val="es-ES_tradnl"/>
              </w:rPr>
              <w:t>udes</w:t>
            </w:r>
            <w:r w:rsidRPr="00C75C7E">
              <w:rPr>
                <w:sz w:val="16"/>
                <w:szCs w:val="16"/>
                <w:lang w:val="es-ES_tradnl"/>
              </w:rPr>
              <w:t xml:space="preserve"> PCT procedentes de países con economías en transición y países desarrollados.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10</w:t>
            </w:r>
          </w:p>
        </w:tc>
      </w:tr>
      <w:tr w:rsidR="0063482E" w:rsidRPr="00C75C7E" w:rsidTr="00EF3DB5">
        <w:trPr>
          <w:cantSplit/>
          <w:trHeight w:val="263"/>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Porcentaje de solicitudes presentadas en virtud del PCT.</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672"/>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Porcentaje de encargados de la adopción de políticas, funcionarios gubernamentales, profesionales de la P.I. y participantes en talleres con un mayor conocimiento del PCT y los temas conexos.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786"/>
        </w:trPr>
        <w:tc>
          <w:tcPr>
            <w:tcW w:w="1707" w:type="pct"/>
            <w:shd w:val="clear" w:color="auto" w:fill="auto"/>
            <w:tcMar>
              <w:top w:w="113" w:type="dxa"/>
              <w:bottom w:w="113" w:type="dxa"/>
            </w:tcMar>
          </w:tcPr>
          <w:p w:rsidR="0063482E" w:rsidRPr="00C75C7E" w:rsidRDefault="0063482E" w:rsidP="00EF3DB5">
            <w:pPr>
              <w:widowControl w:val="0"/>
              <w:autoSpaceDE w:val="0"/>
              <w:autoSpaceDN w:val="0"/>
              <w:adjustRightInd w:val="0"/>
              <w:rPr>
                <w:sz w:val="16"/>
                <w:szCs w:val="16"/>
                <w:lang w:val="es-ES_tradnl" w:bidi="th-TH"/>
              </w:rPr>
            </w:pPr>
            <w:r w:rsidRPr="00C75C7E">
              <w:rPr>
                <w:sz w:val="16"/>
                <w:szCs w:val="16"/>
                <w:lang w:val="es-ES_tradnl"/>
              </w:rPr>
              <w:t xml:space="preserve">II.2 </w:t>
            </w:r>
            <w:r w:rsidRPr="00C75C7E">
              <w:rPr>
                <w:sz w:val="16"/>
                <w:szCs w:val="16"/>
                <w:lang w:val="es-ES_tradnl" w:bidi="th-TH"/>
              </w:rPr>
              <w:t xml:space="preserve">Mejora del sistema del PCT. </w:t>
            </w:r>
          </w:p>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Continuo desarrollo del sistema del PCT, sobre todo gracias a la aplicación de las recomendaciones de la hoja de ruta del PCT suscritas por los Estados miembros del PCT.</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49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Mejora de los servicios electrónicos dirigidos a solicitantes, terceros, oficinas y Administraciones.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297"/>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II.3. Mejora de la productividad y de la calidad de los servicios en las operaciones del PCT.</w:t>
            </w: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Costo unitario de tramitación de las solicitudes.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328"/>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Calidad global del examen de forma (incluido el tiempo empleado).</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201"/>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Calidad de las traducciones.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307"/>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tabs>
                <w:tab w:val="left" w:pos="1860"/>
              </w:tabs>
              <w:rPr>
                <w:sz w:val="16"/>
                <w:szCs w:val="16"/>
                <w:lang w:val="es-ES_tradnl"/>
              </w:rPr>
            </w:pPr>
            <w:r w:rsidRPr="00C75C7E">
              <w:rPr>
                <w:sz w:val="16"/>
                <w:szCs w:val="16"/>
                <w:lang w:val="es-ES_tradnl"/>
              </w:rPr>
              <w:t>Plazos de traducción de los informes.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315"/>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Calidad del desarrollo de programas informáticos.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323"/>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Niveles de los servicios prestados por los sistemas de información.</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5</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II.4. Ampliación y mejora del uso del sistema de La Haya por los países en desarrollo y los PMA, entre otros.</w:t>
            </w:r>
          </w:p>
        </w:tc>
        <w:tc>
          <w:tcPr>
            <w:tcW w:w="1952" w:type="pct"/>
            <w:shd w:val="clear" w:color="auto" w:fill="auto"/>
            <w:tcMar>
              <w:top w:w="113" w:type="dxa"/>
              <w:bottom w:w="113" w:type="dxa"/>
            </w:tcMar>
          </w:tcPr>
          <w:p w:rsidR="0063482E" w:rsidRPr="00C75C7E" w:rsidRDefault="0063482E" w:rsidP="00F75B80">
            <w:pPr>
              <w:widowControl w:val="0"/>
              <w:rPr>
                <w:sz w:val="16"/>
                <w:szCs w:val="16"/>
                <w:lang w:val="es-ES_tradnl"/>
              </w:rPr>
            </w:pPr>
            <w:r w:rsidRPr="00C75C7E">
              <w:rPr>
                <w:sz w:val="16"/>
                <w:szCs w:val="16"/>
                <w:lang w:val="es-ES_tradnl"/>
              </w:rPr>
              <w:t>Número de solicit</w:t>
            </w:r>
            <w:r w:rsidR="00F75B80">
              <w:rPr>
                <w:sz w:val="16"/>
                <w:szCs w:val="16"/>
                <w:lang w:val="es-ES_tradnl"/>
              </w:rPr>
              <w:t>udes</w:t>
            </w:r>
            <w:r w:rsidRPr="00C75C7E">
              <w:rPr>
                <w:sz w:val="16"/>
                <w:szCs w:val="16"/>
                <w:lang w:val="es-ES_tradnl"/>
              </w:rPr>
              <w:t xml:space="preserve"> del sistema de La Haya procedentes de países con economías en transición y países desarrollados.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10</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países que han formulado o adoptado políticas en las que se expone su adhesión al Arreglo de La Haya.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Porcentaje de encargados de la adopción de políticas, funcionarios gubernamentales, profesionales de la P.I. y participantes en talleres con un mayor conocimiento del sistema de La Haya.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402"/>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partes contratantes en el sistema de La Haya de la región de Asia y el Pacífico.</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332"/>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miembros del Acta de La Haya (1999).</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31</w:t>
            </w:r>
          </w:p>
        </w:tc>
      </w:tr>
      <w:tr w:rsidR="0063482E" w:rsidRPr="00C75C7E" w:rsidTr="00EF3DB5">
        <w:trPr>
          <w:cantSplit/>
          <w:trHeight w:val="382"/>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Porcentaje de oficinas que proporcionan información sobre el sistema de La Haya. </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31</w:t>
            </w:r>
          </w:p>
        </w:tc>
      </w:tr>
      <w:tr w:rsidR="0063482E" w:rsidRPr="00C75C7E" w:rsidTr="00EF3DB5">
        <w:trPr>
          <w:cantSplit/>
          <w:trHeight w:val="317"/>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Solicitudes de registro y renovaciones en virtud del sistema de La Haya.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31</w:t>
            </w:r>
          </w:p>
        </w:tc>
      </w:tr>
      <w:tr w:rsidR="0063482E" w:rsidRPr="00C75C7E" w:rsidTr="00EF3DB5">
        <w:trPr>
          <w:cantSplit/>
          <w:trHeight w:val="478"/>
        </w:trPr>
        <w:tc>
          <w:tcPr>
            <w:tcW w:w="1707" w:type="pct"/>
            <w:shd w:val="clear" w:color="auto" w:fill="auto"/>
            <w:tcMar>
              <w:top w:w="113" w:type="dxa"/>
              <w:bottom w:w="113" w:type="dxa"/>
            </w:tcMar>
          </w:tcPr>
          <w:p w:rsidR="0063482E" w:rsidRPr="00C75C7E" w:rsidRDefault="0063482E" w:rsidP="00EF3DB5">
            <w:pPr>
              <w:widowControl w:val="0"/>
              <w:tabs>
                <w:tab w:val="right" w:pos="2835"/>
              </w:tabs>
              <w:spacing w:after="60"/>
              <w:rPr>
                <w:sz w:val="16"/>
                <w:szCs w:val="16"/>
                <w:lang w:val="es-ES_tradnl"/>
              </w:rPr>
            </w:pPr>
            <w:r w:rsidRPr="00C75C7E">
              <w:rPr>
                <w:sz w:val="16"/>
                <w:szCs w:val="16"/>
                <w:lang w:val="es-ES_tradnl"/>
              </w:rPr>
              <w:t>II.5. Mejora de la productividad y de la calidad de los servicios en las operaciones del sistema de La Haya.</w:t>
            </w:r>
          </w:p>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Predominio del Acta de Ginebra (1999) en el sistema de La Haya.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31</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Avances en la mejora del marco jurídico.</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31</w:t>
            </w:r>
          </w:p>
        </w:tc>
      </w:tr>
      <w:tr w:rsidR="0063482E" w:rsidRPr="00C75C7E" w:rsidTr="00EF3DB5">
        <w:trPr>
          <w:cantSplit/>
          <w:trHeight w:val="461"/>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Flexibilidad de los datos inscritos en el Registro Internacional.</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31</w:t>
            </w:r>
          </w:p>
        </w:tc>
      </w:tr>
      <w:tr w:rsidR="0063482E" w:rsidRPr="00C75C7E" w:rsidTr="00EF3DB5">
        <w:trPr>
          <w:cantSplit/>
          <w:trHeight w:val="301"/>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procedimientos automatizados.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31</w:t>
            </w:r>
          </w:p>
        </w:tc>
      </w:tr>
      <w:tr w:rsidR="0063482E" w:rsidRPr="00C75C7E" w:rsidTr="00EF3DB5">
        <w:trPr>
          <w:cantSplit/>
          <w:trHeight w:val="50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II. 6 Ampliación y mejora del uso de los sistemas de Madrid y de Lisboa por los países en desarrollo y los PMA, entre otros.</w:t>
            </w: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Ampliación de la cobertura geográfica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361"/>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Ampliación de la cobertura geográfica (Lisboa).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Adopción de disposiciones que agilicen o modernicen el marco jurídico del sistema de Lisboa.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32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solicitudes internacionales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502"/>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Porcentaje de oficinas que proporcionan información actualizada sobre el sistema de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Porcentaje de participantes en las actividades del sistema de Lisboa que están satisfechos y manifiestan haber mejorado sus conocimientos tras haber participado en las actividades.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y proporción de registros en vigor del sistema de Lisboa procedentes de países en desarrollo y PMA.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283"/>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Disminución del número de irregularidades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F75B80">
            <w:pPr>
              <w:widowControl w:val="0"/>
              <w:rPr>
                <w:sz w:val="16"/>
                <w:szCs w:val="16"/>
                <w:lang w:val="es-ES_tradnl"/>
              </w:rPr>
            </w:pPr>
            <w:r w:rsidRPr="00C75C7E">
              <w:rPr>
                <w:sz w:val="16"/>
                <w:szCs w:val="16"/>
                <w:lang w:val="es-ES_tradnl"/>
              </w:rPr>
              <w:t>Número de solicit</w:t>
            </w:r>
            <w:r w:rsidR="00F75B80">
              <w:rPr>
                <w:sz w:val="16"/>
                <w:szCs w:val="16"/>
                <w:lang w:val="es-ES_tradnl"/>
              </w:rPr>
              <w:t>ud</w:t>
            </w:r>
            <w:r w:rsidRPr="00C75C7E">
              <w:rPr>
                <w:sz w:val="16"/>
                <w:szCs w:val="16"/>
                <w:lang w:val="es-ES_tradnl"/>
              </w:rPr>
              <w:t>es de los sistemas de Madrid y de Lisboa procedentes de países con economías en transición y países desarrollados.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10</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países que han formulado o adoptado políticas en las que se expone su adhesión al Protocolo de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Porcentaje de participantes satisfechos en talleres/seminarios sobre temas relacionados con el sistema de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402"/>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Partes Contratantes en el Protocolo de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222"/>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nuevos registros (sistema de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134"/>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renovaciones (sistema de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447"/>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II.7. Mejora de la productividad y de la calidad de los servicios en las operaciones de los sistemas de Madrid y de Lisboa.</w:t>
            </w: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Avances en la agilización y simplificación del marco jurídico del sistema de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742"/>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Número de registros. </w:t>
            </w:r>
          </w:p>
          <w:p w:rsidR="0063482E" w:rsidRPr="00C75C7E" w:rsidRDefault="0063482E" w:rsidP="00EF3DB5">
            <w:pPr>
              <w:widowControl w:val="0"/>
              <w:rPr>
                <w:sz w:val="16"/>
                <w:szCs w:val="16"/>
                <w:lang w:val="es-ES_tradnl"/>
              </w:rPr>
            </w:pPr>
            <w:r w:rsidRPr="00C75C7E">
              <w:rPr>
                <w:sz w:val="16"/>
                <w:szCs w:val="16"/>
                <w:lang w:val="es-ES_tradnl"/>
              </w:rPr>
              <w:t xml:space="preserve">Número de renovaciones tramitadas. </w:t>
            </w:r>
          </w:p>
          <w:p w:rsidR="0063482E" w:rsidRPr="00C75C7E" w:rsidRDefault="0063482E" w:rsidP="00EF3DB5">
            <w:pPr>
              <w:widowControl w:val="0"/>
              <w:rPr>
                <w:sz w:val="16"/>
                <w:szCs w:val="16"/>
                <w:lang w:val="es-ES_tradnl"/>
              </w:rPr>
            </w:pPr>
            <w:r w:rsidRPr="00C75C7E">
              <w:rPr>
                <w:sz w:val="16"/>
                <w:szCs w:val="16"/>
                <w:lang w:val="es-ES_tradnl"/>
              </w:rPr>
              <w:t>Número de modificaciones, incluidas las designaciones posteriores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315"/>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Traducción de las solicitudes de manera puntual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267"/>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Disminución del número de correcciones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205"/>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Aumento de la satisfacción de los clientes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131"/>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Aumento del uso del intercambio electrónico (Madrid).</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264"/>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Perfeccionamiento del Registro Internacional electrónico del sistema de Lisboa.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383"/>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Perfeccionamiento de los medios de comunicación y publicación electrónicos en el marco de los procedimientos del Arreglo de Lisboa.</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6</w:t>
            </w:r>
          </w:p>
        </w:tc>
      </w:tr>
      <w:tr w:rsidR="0063482E" w:rsidRPr="00C75C7E" w:rsidTr="00EF3DB5">
        <w:trPr>
          <w:cantSplit/>
          <w:trHeight w:val="58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II.8. Las controversias nacionales e internacionales en materia de P.I. se evitan o resuelven cada vez con más frecuencia mediante procedimientos de mediación, arbitraje y demás métodos de solución extrajudicial de controversias.</w:t>
            </w: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Se considera cada vez más la posibilidad de utilizar servicios de solución extrajudicial de controversias en las transacciones sobre propiedad intelectual, entre otros medios, valiéndose de los procedimientos de la OMPI.</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7</w:t>
            </w:r>
          </w:p>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20</w:t>
            </w:r>
          </w:p>
        </w:tc>
      </w:tr>
      <w:tr w:rsidR="0063482E" w:rsidRPr="00C75C7E" w:rsidTr="00EF3DB5">
        <w:trPr>
          <w:cantSplit/>
          <w:trHeight w:val="428"/>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Políticas de solución extrajudicial de controversias en cuya elaboración y aplicación ha participado el Centro.</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7</w:t>
            </w:r>
          </w:p>
        </w:tc>
      </w:tr>
      <w:tr w:rsidR="0063482E" w:rsidRPr="00C75C7E" w:rsidTr="00EF3DB5">
        <w:trPr>
          <w:cantSplit/>
          <w:trHeight w:val="379"/>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Número de usuarios de países con economías en transición y países desarrollados que utilizan los servicios del Centro de Arbitraje y Mediación.</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10</w:t>
            </w:r>
          </w:p>
        </w:tc>
      </w:tr>
      <w:tr w:rsidR="0063482E" w:rsidRPr="00C75C7E" w:rsidTr="00EF3DB5">
        <w:trPr>
          <w:cantSplit/>
          <w:trHeight w:val="303"/>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II.9 Protección eficaz de la propiedad intelectual en los </w:t>
            </w:r>
            <w:proofErr w:type="spellStart"/>
            <w:r w:rsidRPr="00C75C7E">
              <w:rPr>
                <w:sz w:val="16"/>
                <w:szCs w:val="16"/>
                <w:lang w:val="es-ES_tradnl"/>
              </w:rPr>
              <w:t>gTLD</w:t>
            </w:r>
            <w:proofErr w:type="spellEnd"/>
            <w:r w:rsidRPr="00C75C7E">
              <w:rPr>
                <w:sz w:val="16"/>
                <w:szCs w:val="16"/>
                <w:lang w:val="es-ES_tradnl"/>
              </w:rPr>
              <w:t xml:space="preserve"> y los </w:t>
            </w:r>
            <w:proofErr w:type="spellStart"/>
            <w:r w:rsidRPr="00C75C7E">
              <w:rPr>
                <w:sz w:val="16"/>
                <w:szCs w:val="16"/>
                <w:lang w:val="es-ES_tradnl"/>
              </w:rPr>
              <w:t>ccTLD</w:t>
            </w:r>
            <w:proofErr w:type="spellEnd"/>
            <w:r w:rsidRPr="00C75C7E">
              <w:rPr>
                <w:sz w:val="16"/>
                <w:szCs w:val="16"/>
                <w:lang w:val="es-ES_tradnl"/>
              </w:rPr>
              <w:t>.</w:t>
            </w: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Número de procedimientos relativos a los </w:t>
            </w:r>
            <w:proofErr w:type="spellStart"/>
            <w:r w:rsidRPr="00C75C7E">
              <w:rPr>
                <w:sz w:val="16"/>
                <w:szCs w:val="16"/>
                <w:lang w:val="es-ES_tradnl"/>
              </w:rPr>
              <w:t>gTLD</w:t>
            </w:r>
            <w:proofErr w:type="spellEnd"/>
            <w:r w:rsidRPr="00C75C7E">
              <w:rPr>
                <w:sz w:val="16"/>
                <w:szCs w:val="16"/>
                <w:lang w:val="es-ES_tradnl"/>
              </w:rPr>
              <w:t xml:space="preserve"> administrados en virtud de la Política Uniforme.</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7</w:t>
            </w:r>
          </w:p>
        </w:tc>
      </w:tr>
      <w:tr w:rsidR="0063482E" w:rsidRPr="00C75C7E" w:rsidTr="00EF3DB5">
        <w:trPr>
          <w:cantSplit/>
          <w:trHeight w:val="255"/>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Número de procedimientos relativos a los </w:t>
            </w:r>
            <w:proofErr w:type="spellStart"/>
            <w:r w:rsidRPr="00C75C7E">
              <w:rPr>
                <w:sz w:val="16"/>
                <w:szCs w:val="16"/>
                <w:lang w:val="es-ES_tradnl"/>
              </w:rPr>
              <w:t>ccTLD</w:t>
            </w:r>
            <w:proofErr w:type="spellEnd"/>
            <w:r w:rsidRPr="00C75C7E">
              <w:rPr>
                <w:sz w:val="16"/>
                <w:szCs w:val="16"/>
                <w:lang w:val="es-ES_tradnl"/>
              </w:rPr>
              <w:t xml:space="preserve"> administrados en virtud de la Política Uniforme.</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7</w:t>
            </w:r>
          </w:p>
        </w:tc>
      </w:tr>
      <w:tr w:rsidR="0063482E" w:rsidRPr="00C75C7E" w:rsidTr="00EF3DB5">
        <w:trPr>
          <w:cantSplit/>
          <w:trHeight w:val="566"/>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3A4B0F">
            <w:pPr>
              <w:widowControl w:val="0"/>
              <w:rPr>
                <w:sz w:val="16"/>
                <w:szCs w:val="16"/>
                <w:lang w:val="es-ES_tradnl"/>
              </w:rPr>
            </w:pPr>
            <w:r w:rsidRPr="00C75C7E">
              <w:rPr>
                <w:sz w:val="16"/>
                <w:szCs w:val="16"/>
                <w:lang w:val="es-ES_tradnl"/>
              </w:rPr>
              <w:t>Políticas de solución extrajudicial de controversias en</w:t>
            </w:r>
            <w:r w:rsidR="003A4B0F">
              <w:rPr>
                <w:sz w:val="16"/>
                <w:szCs w:val="16"/>
                <w:lang w:val="es-ES_tradnl"/>
              </w:rPr>
              <w:t xml:space="preserve"> el Sistema de Nombres de Dominio </w:t>
            </w:r>
            <w:r w:rsidRPr="00C75C7E">
              <w:rPr>
                <w:sz w:val="16"/>
                <w:szCs w:val="16"/>
                <w:lang w:val="es-ES_tradnl"/>
              </w:rPr>
              <w:t>cuya elaboración y aplicación ha participado el Centro.</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7</w:t>
            </w:r>
          </w:p>
        </w:tc>
      </w:tr>
      <w:tr w:rsidR="0063482E" w:rsidRPr="00C75C7E" w:rsidTr="00EF3DB5">
        <w:trPr>
          <w:cantSplit/>
          <w:trHeight w:val="500"/>
        </w:trPr>
        <w:tc>
          <w:tcPr>
            <w:tcW w:w="1707" w:type="pct"/>
            <w:shd w:val="clear" w:color="auto" w:fill="auto"/>
            <w:tcMar>
              <w:top w:w="113" w:type="dxa"/>
              <w:bottom w:w="113" w:type="dxa"/>
            </w:tcMar>
          </w:tcPr>
          <w:p w:rsidR="0063482E" w:rsidRPr="00C75C7E" w:rsidRDefault="0063482E" w:rsidP="00EF3DB5">
            <w:pPr>
              <w:widowControl w:val="0"/>
              <w:rPr>
                <w:sz w:val="16"/>
                <w:szCs w:val="16"/>
                <w:lang w:val="es-ES_tradnl"/>
              </w:rPr>
            </w:pPr>
          </w:p>
        </w:tc>
        <w:tc>
          <w:tcPr>
            <w:tcW w:w="1952" w:type="pct"/>
            <w:shd w:val="clear" w:color="auto" w:fill="auto"/>
            <w:tcMar>
              <w:top w:w="113" w:type="dxa"/>
              <w:bottom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Número de administradores de </w:t>
            </w:r>
            <w:proofErr w:type="spellStart"/>
            <w:r w:rsidRPr="00C75C7E">
              <w:rPr>
                <w:sz w:val="16"/>
                <w:szCs w:val="16"/>
                <w:lang w:val="es-ES_tradnl"/>
              </w:rPr>
              <w:t>ccTLD</w:t>
            </w:r>
            <w:proofErr w:type="spellEnd"/>
            <w:r w:rsidRPr="00C75C7E">
              <w:rPr>
                <w:sz w:val="16"/>
                <w:szCs w:val="16"/>
                <w:lang w:val="es-ES_tradnl"/>
              </w:rPr>
              <w:t xml:space="preserve"> que disponen de mecanismos de protección de P.I. concebidos o administrados por la OMPI de conformidad con las normas internacionales.</w:t>
            </w:r>
          </w:p>
        </w:tc>
        <w:tc>
          <w:tcPr>
            <w:tcW w:w="1341" w:type="pct"/>
            <w:shd w:val="clear" w:color="auto" w:fill="FFFFFF"/>
            <w:tcMar>
              <w:top w:w="113" w:type="dxa"/>
              <w:bottom w:w="113" w:type="dxa"/>
            </w:tcMar>
          </w:tcPr>
          <w:p w:rsidR="0063482E" w:rsidRPr="00C75C7E" w:rsidRDefault="0063482E" w:rsidP="00EF3DB5">
            <w:pPr>
              <w:widowControl w:val="0"/>
              <w:ind w:left="441"/>
              <w:rPr>
                <w:sz w:val="16"/>
                <w:szCs w:val="16"/>
                <w:lang w:val="es-ES_tradnl" w:bidi="th-TH"/>
              </w:rPr>
            </w:pPr>
            <w:r w:rsidRPr="00C75C7E">
              <w:rPr>
                <w:sz w:val="16"/>
                <w:szCs w:val="16"/>
                <w:lang w:val="es-ES_tradnl" w:bidi="th-TH"/>
              </w:rPr>
              <w:t>Programa  7</w:t>
            </w:r>
          </w:p>
        </w:tc>
      </w:tr>
    </w:tbl>
    <w:p w:rsidR="0063482E" w:rsidRPr="00C75C7E" w:rsidRDefault="0063482E" w:rsidP="0063482E">
      <w:pPr>
        <w:widowControl w:val="0"/>
        <w:tabs>
          <w:tab w:val="left" w:pos="0"/>
        </w:tabs>
        <w:rPr>
          <w:b/>
          <w:iCs/>
          <w:sz w:val="20"/>
          <w:lang w:val="es-ES_tradnl"/>
        </w:rPr>
      </w:pPr>
    </w:p>
    <w:p w:rsidR="000D64CD" w:rsidRDefault="000D64CD" w:rsidP="00450C3A">
      <w:pPr>
        <w:pStyle w:val="Heading3"/>
        <w:tabs>
          <w:tab w:val="left" w:pos="1985"/>
        </w:tabs>
        <w:rPr>
          <w:lang w:val="es-ES_tradnl"/>
        </w:rPr>
        <w:sectPr w:rsidR="000D64CD" w:rsidSect="003A0C0D">
          <w:headerReference w:type="default" r:id="rId55"/>
          <w:headerReference w:type="first" r:id="rId56"/>
          <w:pgSz w:w="11907" w:h="16840" w:code="9"/>
          <w:pgMar w:top="567" w:right="1134" w:bottom="1418" w:left="1418" w:header="510" w:footer="1021" w:gutter="0"/>
          <w:cols w:space="720"/>
          <w:titlePg/>
        </w:sectPr>
      </w:pPr>
    </w:p>
    <w:p w:rsidR="00546AD7" w:rsidRPr="00450C3A" w:rsidRDefault="006A15F5" w:rsidP="00450C3A">
      <w:pPr>
        <w:pStyle w:val="Heading3"/>
        <w:tabs>
          <w:tab w:val="left" w:pos="1985"/>
        </w:tabs>
        <w:rPr>
          <w:b/>
          <w:iCs/>
          <w:caps/>
          <w:u w:val="none"/>
        </w:rPr>
      </w:pPr>
      <w:bookmarkStart w:id="30" w:name="_Toc356567752"/>
      <w:bookmarkStart w:id="31" w:name="_Toc366078713"/>
      <w:r w:rsidRPr="00450C3A">
        <w:rPr>
          <w:b/>
          <w:iCs/>
          <w:u w:val="none"/>
        </w:rPr>
        <w:lastRenderedPageBreak/>
        <w:t>PROGRAMA 5</w:t>
      </w:r>
      <w:r w:rsidRPr="00450C3A">
        <w:rPr>
          <w:b/>
          <w:iCs/>
          <w:u w:val="none"/>
        </w:rPr>
        <w:tab/>
      </w:r>
      <w:bookmarkEnd w:id="30"/>
      <w:r w:rsidRPr="00450C3A">
        <w:rPr>
          <w:b/>
          <w:iCs/>
          <w:u w:val="none"/>
        </w:rPr>
        <w:t>SISTEMA DEL PCT</w:t>
      </w:r>
      <w:bookmarkEnd w:id="31"/>
    </w:p>
    <w:p w:rsidR="00546AD7" w:rsidRPr="00546AD7" w:rsidRDefault="00546AD7" w:rsidP="00546AD7">
      <w:pPr>
        <w:widowControl w:val="0"/>
        <w:tabs>
          <w:tab w:val="left" w:pos="2268"/>
        </w:tabs>
        <w:ind w:left="2268" w:hanging="2268"/>
        <w:rPr>
          <w:rFonts w:eastAsia="Times New Roman" w:cs="Times New Roman"/>
          <w:bCs/>
          <w:sz w:val="20"/>
          <w:lang w:eastAsia="en-US"/>
        </w:rPr>
      </w:pPr>
    </w:p>
    <w:p w:rsidR="00546AD7" w:rsidRPr="00546AD7" w:rsidRDefault="00546AD7" w:rsidP="00546AD7">
      <w:pPr>
        <w:widowControl w:val="0"/>
        <w:tabs>
          <w:tab w:val="left" w:pos="2268"/>
        </w:tabs>
        <w:ind w:left="2268" w:hanging="2268"/>
        <w:rPr>
          <w:rFonts w:eastAsia="Times New Roman" w:cs="Times New Roman"/>
          <w:bCs/>
          <w:sz w:val="20"/>
          <w:lang w:eastAsia="en-US"/>
        </w:rPr>
      </w:pPr>
    </w:p>
    <w:p w:rsidR="00546AD7" w:rsidRPr="00546AD7" w:rsidRDefault="00546AD7" w:rsidP="00546AD7">
      <w:pPr>
        <w:widowControl w:val="0"/>
        <w:ind w:left="1985" w:hanging="1985"/>
        <w:jc w:val="both"/>
        <w:rPr>
          <w:rFonts w:eastAsia="Times New Roman"/>
          <w:szCs w:val="22"/>
          <w:lang w:eastAsia="en-US"/>
        </w:rPr>
      </w:pPr>
      <w:r w:rsidRPr="00546AD7">
        <w:rPr>
          <w:rFonts w:eastAsia="Times New Roman"/>
          <w:szCs w:val="22"/>
          <w:lang w:eastAsia="en-US"/>
        </w:rPr>
        <w:t>CONTEXTO DE PLANIFICACIÓN</w:t>
      </w:r>
    </w:p>
    <w:p w:rsidR="00546AD7" w:rsidRPr="00546AD7" w:rsidRDefault="00546AD7" w:rsidP="00546AD7">
      <w:pPr>
        <w:widowControl w:val="0"/>
        <w:tabs>
          <w:tab w:val="left" w:pos="567"/>
          <w:tab w:val="left" w:pos="1985"/>
        </w:tabs>
        <w:jc w:val="both"/>
        <w:rPr>
          <w:rFonts w:eastAsia="Times New Roman"/>
          <w:bCs/>
          <w:sz w:val="20"/>
          <w:lang w:eastAsia="en-US"/>
        </w:rPr>
      </w:pPr>
    </w:p>
    <w:p w:rsidR="00546AD7" w:rsidRPr="00546AD7" w:rsidRDefault="00546AD7" w:rsidP="00BA276E">
      <w:pPr>
        <w:widowControl w:val="0"/>
        <w:numPr>
          <w:ilvl w:val="0"/>
          <w:numId w:val="24"/>
        </w:numPr>
        <w:jc w:val="both"/>
        <w:rPr>
          <w:rFonts w:eastAsia="Times New Roman"/>
          <w:bCs/>
          <w:sz w:val="20"/>
          <w:lang w:eastAsia="ja-JP"/>
        </w:rPr>
      </w:pPr>
      <w:r w:rsidRPr="00546AD7">
        <w:rPr>
          <w:rFonts w:eastAsia="Times New Roman"/>
          <w:sz w:val="20"/>
          <w:lang w:eastAsia="en-US"/>
        </w:rPr>
        <w:t>El 75% de los ingresos de la OMPI proceden del sistema del PCT.  Necesariamente, la gran mayoría de los gastos del programa se asignan a su funcionamiento.  Asimismo, el 54% de las solicitudes internacionales se presentan utilizando el PCT.  Sin embargo, para mantener y consolidar el PCT como la vía preferida por los usuarios del sistema internacional de patentes en el próximo bienio, será necesario velar por que el programa 5 haga frente a los desafíos que plantea un mercado mundial de servicios de patentes cada vez más dinámico, caracterizado por los elementos siguientes:</w:t>
      </w:r>
    </w:p>
    <w:p w:rsidR="00546AD7" w:rsidRPr="00546AD7" w:rsidRDefault="00546AD7" w:rsidP="00546AD7">
      <w:pPr>
        <w:widowControl w:val="0"/>
        <w:jc w:val="both"/>
        <w:rPr>
          <w:rFonts w:eastAsia="Times New Roman"/>
          <w:bCs/>
          <w:sz w:val="20"/>
          <w:lang w:eastAsia="ja-JP"/>
        </w:rPr>
      </w:pPr>
    </w:p>
    <w:p w:rsidR="00546AD7" w:rsidRPr="00546AD7" w:rsidRDefault="00546AD7" w:rsidP="00BA276E">
      <w:pPr>
        <w:widowControl w:val="0"/>
        <w:numPr>
          <w:ilvl w:val="0"/>
          <w:numId w:val="25"/>
        </w:numPr>
        <w:spacing w:after="120"/>
        <w:ind w:left="1134" w:hanging="567"/>
        <w:jc w:val="both"/>
        <w:rPr>
          <w:rFonts w:eastAsia="Times New Roman"/>
          <w:bCs/>
          <w:sz w:val="20"/>
          <w:lang w:eastAsia="ja-JP"/>
        </w:rPr>
      </w:pPr>
      <w:r w:rsidRPr="00546AD7">
        <w:rPr>
          <w:rFonts w:eastAsia="Times New Roman"/>
          <w:bCs/>
          <w:sz w:val="20"/>
          <w:lang w:eastAsia="ja-JP"/>
        </w:rPr>
        <w:t>la mira puesta en la calidad y la puntualidad de los informes internacionales;</w:t>
      </w:r>
    </w:p>
    <w:p w:rsidR="00546AD7" w:rsidRPr="00546AD7" w:rsidRDefault="00546AD7" w:rsidP="00BA276E">
      <w:pPr>
        <w:widowControl w:val="0"/>
        <w:numPr>
          <w:ilvl w:val="0"/>
          <w:numId w:val="25"/>
        </w:numPr>
        <w:spacing w:after="120"/>
        <w:ind w:left="1134" w:hanging="567"/>
        <w:jc w:val="both"/>
        <w:rPr>
          <w:rFonts w:eastAsia="Times New Roman"/>
          <w:bCs/>
          <w:sz w:val="20"/>
          <w:lang w:eastAsia="ja-JP"/>
        </w:rPr>
      </w:pPr>
      <w:r w:rsidRPr="00546AD7">
        <w:rPr>
          <w:rFonts w:eastAsia="Times New Roman"/>
          <w:bCs/>
          <w:sz w:val="20"/>
          <w:lang w:eastAsia="ja-JP"/>
        </w:rPr>
        <w:t>el espectro geográfico cada vez más variado que abarca la protección por patente;</w:t>
      </w:r>
    </w:p>
    <w:p w:rsidR="00546AD7" w:rsidRPr="00546AD7" w:rsidRDefault="00546AD7" w:rsidP="00BA276E">
      <w:pPr>
        <w:widowControl w:val="0"/>
        <w:numPr>
          <w:ilvl w:val="0"/>
          <w:numId w:val="25"/>
        </w:numPr>
        <w:spacing w:after="120"/>
        <w:ind w:left="1134" w:hanging="567"/>
        <w:jc w:val="both"/>
        <w:rPr>
          <w:rFonts w:eastAsia="Times New Roman"/>
          <w:bCs/>
          <w:sz w:val="20"/>
          <w:lang w:eastAsia="ja-JP"/>
        </w:rPr>
      </w:pPr>
      <w:r w:rsidRPr="00546AD7">
        <w:rPr>
          <w:rFonts w:eastAsia="Times New Roman"/>
          <w:bCs/>
          <w:sz w:val="20"/>
          <w:lang w:eastAsia="ja-JP"/>
        </w:rPr>
        <w:t>la diversidad lingüística cada vez mayor del estado de la técnica;</w:t>
      </w:r>
    </w:p>
    <w:p w:rsidR="00546AD7" w:rsidRPr="00546AD7" w:rsidRDefault="00546AD7" w:rsidP="00BA276E">
      <w:pPr>
        <w:widowControl w:val="0"/>
        <w:numPr>
          <w:ilvl w:val="0"/>
          <w:numId w:val="25"/>
        </w:numPr>
        <w:spacing w:after="120"/>
        <w:ind w:left="1134" w:hanging="567"/>
        <w:jc w:val="both"/>
        <w:rPr>
          <w:rFonts w:eastAsia="Times New Roman"/>
          <w:bCs/>
          <w:sz w:val="20"/>
          <w:lang w:eastAsia="ja-JP"/>
        </w:rPr>
      </w:pPr>
      <w:r w:rsidRPr="00546AD7">
        <w:rPr>
          <w:rFonts w:eastAsia="Times New Roman"/>
          <w:bCs/>
          <w:sz w:val="20"/>
          <w:lang w:eastAsia="ja-JP"/>
        </w:rPr>
        <w:t>la participación limitada en el PCT de la mayoría de los países en desarrollo y los países menos adelantados (PMA);</w:t>
      </w:r>
    </w:p>
    <w:p w:rsidR="00546AD7" w:rsidRPr="00546AD7" w:rsidRDefault="00546AD7" w:rsidP="00BA276E">
      <w:pPr>
        <w:widowControl w:val="0"/>
        <w:numPr>
          <w:ilvl w:val="0"/>
          <w:numId w:val="25"/>
        </w:numPr>
        <w:spacing w:after="120"/>
        <w:ind w:left="1134" w:hanging="567"/>
        <w:jc w:val="both"/>
        <w:rPr>
          <w:rFonts w:eastAsia="Times New Roman"/>
          <w:bCs/>
          <w:sz w:val="20"/>
          <w:lang w:eastAsia="ja-JP"/>
        </w:rPr>
      </w:pPr>
      <w:r w:rsidRPr="00546AD7">
        <w:rPr>
          <w:rFonts w:eastAsia="Times New Roman"/>
          <w:bCs/>
          <w:sz w:val="20"/>
          <w:lang w:eastAsia="ja-JP"/>
        </w:rPr>
        <w:t>la demanda cada vez mayor de capacitación por parte de los usuarios del PCT nuevos y existentes</w:t>
      </w:r>
      <w:r w:rsidRPr="00546AD7">
        <w:rPr>
          <w:rFonts w:eastAsia="Times New Roman"/>
          <w:bCs/>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bCs/>
          <w:sz w:val="20"/>
          <w:lang w:eastAsia="ja-JP"/>
        </w:rPr>
      </w:pPr>
      <w:r w:rsidRPr="00546AD7">
        <w:rPr>
          <w:rFonts w:eastAsia="Times New Roman"/>
          <w:bCs/>
          <w:sz w:val="20"/>
          <w:lang w:eastAsia="ja-JP"/>
        </w:rPr>
        <w:t>las variaciones en la forma y el alcance de uso del PCT en relación con otros métodos</w:t>
      </w:r>
      <w:r w:rsidRPr="00546AD7">
        <w:rPr>
          <w:rFonts w:eastAsia="Times New Roman"/>
          <w:bCs/>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bCs/>
          <w:sz w:val="20"/>
          <w:lang w:eastAsia="ja-JP"/>
        </w:rPr>
      </w:pPr>
      <w:r w:rsidRPr="00546AD7">
        <w:rPr>
          <w:rFonts w:eastAsia="Times New Roman"/>
          <w:bCs/>
          <w:sz w:val="20"/>
          <w:lang w:eastAsia="ja-JP"/>
        </w:rPr>
        <w:t>la disponibilidad de nuevas tecnologías de la información y las comunicaciones (TIC).</w:t>
      </w:r>
    </w:p>
    <w:p w:rsidR="00546AD7" w:rsidRPr="00546AD7" w:rsidRDefault="00546AD7" w:rsidP="00546AD7">
      <w:pPr>
        <w:widowControl w:val="0"/>
        <w:tabs>
          <w:tab w:val="left" w:pos="567"/>
          <w:tab w:val="left" w:pos="1985"/>
        </w:tabs>
        <w:jc w:val="both"/>
        <w:rPr>
          <w:rFonts w:eastAsia="Times New Roman"/>
          <w:bCs/>
          <w:sz w:val="20"/>
          <w:lang w:eastAsia="en-US"/>
        </w:rPr>
      </w:pPr>
    </w:p>
    <w:p w:rsidR="00546AD7" w:rsidRPr="00546AD7" w:rsidRDefault="00546AD7" w:rsidP="00546AD7">
      <w:pPr>
        <w:widowControl w:val="0"/>
        <w:tabs>
          <w:tab w:val="left" w:pos="567"/>
          <w:tab w:val="left" w:pos="1985"/>
        </w:tabs>
        <w:jc w:val="both"/>
        <w:rPr>
          <w:rFonts w:eastAsia="Times New Roman"/>
          <w:bCs/>
          <w:sz w:val="20"/>
          <w:lang w:eastAsia="en-US"/>
        </w:rPr>
      </w:pPr>
    </w:p>
    <w:p w:rsidR="00546AD7" w:rsidRPr="00546AD7" w:rsidRDefault="00546AD7" w:rsidP="00546AD7">
      <w:pPr>
        <w:widowControl w:val="0"/>
        <w:tabs>
          <w:tab w:val="left" w:pos="567"/>
          <w:tab w:val="left" w:pos="1985"/>
        </w:tabs>
        <w:jc w:val="both"/>
        <w:rPr>
          <w:rFonts w:eastAsia="Times New Roman"/>
          <w:bCs/>
          <w:szCs w:val="22"/>
          <w:lang w:eastAsia="en-US"/>
        </w:rPr>
      </w:pPr>
      <w:r w:rsidRPr="00546AD7">
        <w:rPr>
          <w:rFonts w:eastAsia="Times New Roman"/>
          <w:bCs/>
          <w:szCs w:val="22"/>
          <w:lang w:eastAsia="en-US"/>
        </w:rPr>
        <w:t>ESTRATEGIAS DE EJECUCIÓN</w:t>
      </w:r>
    </w:p>
    <w:p w:rsidR="00546AD7" w:rsidRPr="00546AD7" w:rsidRDefault="00546AD7" w:rsidP="00546AD7">
      <w:pPr>
        <w:widowControl w:val="0"/>
        <w:tabs>
          <w:tab w:val="left" w:pos="567"/>
          <w:tab w:val="left" w:pos="1985"/>
        </w:tabs>
        <w:jc w:val="both"/>
        <w:rPr>
          <w:rFonts w:eastAsia="Times New Roman"/>
          <w:bCs/>
          <w:sz w:val="20"/>
          <w:lang w:eastAsia="en-US"/>
        </w:rPr>
      </w:pPr>
    </w:p>
    <w:p w:rsidR="00546AD7" w:rsidRPr="00546AD7" w:rsidRDefault="00546AD7" w:rsidP="00BA276E">
      <w:pPr>
        <w:widowControl w:val="0"/>
        <w:numPr>
          <w:ilvl w:val="0"/>
          <w:numId w:val="24"/>
        </w:numPr>
        <w:jc w:val="both"/>
        <w:rPr>
          <w:rFonts w:eastAsia="Times New Roman"/>
          <w:bCs/>
          <w:sz w:val="20"/>
          <w:lang w:eastAsia="en-US"/>
        </w:rPr>
      </w:pPr>
      <w:r w:rsidRPr="00546AD7">
        <w:rPr>
          <w:rFonts w:eastAsia="Times New Roman"/>
          <w:bCs/>
          <w:sz w:val="20"/>
          <w:lang w:eastAsia="ja-JP"/>
        </w:rPr>
        <w:t>La participación de todas las partes interesadas es fundamental para el funcionamiento óptimo del sistema del PCT.  Por lo tanto, el programa girará en torno a la comunicación y la cooperación entre las partes interesadas.  Se aplicarán las siguientes estrategias de ejecución:</w:t>
      </w:r>
    </w:p>
    <w:p w:rsidR="00546AD7" w:rsidRPr="00546AD7" w:rsidRDefault="00546AD7" w:rsidP="00546AD7">
      <w:pPr>
        <w:widowControl w:val="0"/>
        <w:tabs>
          <w:tab w:val="left" w:pos="1985"/>
          <w:tab w:val="left" w:pos="2552"/>
        </w:tabs>
        <w:spacing w:after="60"/>
        <w:jc w:val="both"/>
        <w:rPr>
          <w:rFonts w:eastAsia="Times New Roman"/>
          <w:sz w:val="20"/>
          <w:lang w:eastAsia="en-US"/>
        </w:rPr>
      </w:pP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 xml:space="preserve">respaldar los esfuerzos dedicados por las </w:t>
      </w:r>
      <w:r w:rsidR="003A4B0F" w:rsidRPr="00546AD7">
        <w:rPr>
          <w:rFonts w:eastAsia="Times New Roman"/>
          <w:bCs/>
          <w:sz w:val="20"/>
          <w:lang w:eastAsia="ja-JP"/>
        </w:rPr>
        <w:t xml:space="preserve">Administraciones </w:t>
      </w:r>
      <w:r w:rsidRPr="00546AD7">
        <w:rPr>
          <w:rFonts w:eastAsia="Times New Roman"/>
          <w:bCs/>
          <w:sz w:val="20"/>
          <w:lang w:eastAsia="ja-JP"/>
        </w:rPr>
        <w:t>internacionales al mejoramiento de la calidad y la puntualidad de sus procedimientos, y ello incluye elaborar parámetros de calidad y estudiar la posibilidad de realizar en colaboración el examen de las solicitudes PCT y la búsqueda correspondiente</w:t>
      </w:r>
      <w:r w:rsidRPr="00546AD7">
        <w:rPr>
          <w:rFonts w:eastAsia="Times New Roman"/>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mejorar y ampliar la plataforma de Internet “</w:t>
      </w:r>
      <w:proofErr w:type="spellStart"/>
      <w:r w:rsidRPr="00546AD7">
        <w:rPr>
          <w:rFonts w:eastAsia="Times New Roman"/>
          <w:bCs/>
          <w:sz w:val="20"/>
          <w:lang w:eastAsia="ja-JP"/>
        </w:rPr>
        <w:t>ePCT</w:t>
      </w:r>
      <w:proofErr w:type="spellEnd"/>
      <w:r w:rsidRPr="00546AD7">
        <w:rPr>
          <w:rFonts w:eastAsia="Times New Roman"/>
          <w:bCs/>
          <w:sz w:val="20"/>
          <w:lang w:eastAsia="ja-JP"/>
        </w:rPr>
        <w:t xml:space="preserve">” a fin de que los solicitantes, las oficinas y las </w:t>
      </w:r>
      <w:r w:rsidR="003A4B0F" w:rsidRPr="00546AD7">
        <w:rPr>
          <w:rFonts w:eastAsia="Times New Roman"/>
          <w:bCs/>
          <w:sz w:val="20"/>
          <w:lang w:eastAsia="ja-JP"/>
        </w:rPr>
        <w:t xml:space="preserve">Administraciones </w:t>
      </w:r>
      <w:r w:rsidRPr="00546AD7">
        <w:rPr>
          <w:rFonts w:eastAsia="Times New Roman"/>
          <w:bCs/>
          <w:sz w:val="20"/>
          <w:lang w:eastAsia="ja-JP"/>
        </w:rPr>
        <w:t>puedan interactuar con el sistema del PCT</w:t>
      </w:r>
      <w:r w:rsidRPr="00546AD7">
        <w:rPr>
          <w:rFonts w:eastAsia="Times New Roman"/>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seguir estudiando nuevas maneras de mejorar el sistema del PCT, aplicando al mismo tiempo las medidas específicas que hayan sido aprobadas por los Estados miembros</w:t>
      </w:r>
      <w:r w:rsidRPr="00546AD7">
        <w:rPr>
          <w:rFonts w:eastAsia="Times New Roman"/>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seguir coordinándose con los programas 9, 10, 12, 13 y 14 en lo que atañe a la asistencia técnica y el fortalecimiento de las capacidades en el ámbito del PCT para los países en desarrollo y los PMA</w:t>
      </w:r>
      <w:r w:rsidRPr="00546AD7">
        <w:rPr>
          <w:rFonts w:eastAsia="Times New Roman"/>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dar mayor publicidad al PCT entre los clientes actuales y potenciales que no lo utilizan lo suficiente</w:t>
      </w:r>
      <w:r w:rsidRPr="00546AD7">
        <w:rPr>
          <w:rFonts w:eastAsia="Times New Roman"/>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mejorar las comunicaciones con los clientes y las partes interesadas del PCT mediante encuestas y otras actividades de divulgación destinadas a reconocer las necesidades y mejorar la eficacia de los servicios prestados en el marco del PCT;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impartir capacitación a un mayor número de usuarios del PCT, valiéndose de métodos tecnológicos como los seminarios en Internet y las videoconferencias</w:t>
      </w:r>
      <w:r w:rsidRPr="00546AD7">
        <w:rPr>
          <w:rFonts w:eastAsia="Times New Roman"/>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agilizar la preparación y difusión de la información sobre el PCT</w:t>
      </w:r>
      <w:r w:rsidRPr="00546AD7">
        <w:rPr>
          <w:rFonts w:eastAsia="Times New Roman"/>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t>seguir ajustando la composición del personal y la asignación global de recursos para adaptarse a las pautas geográficas cambiantes de la demanda del PCT</w:t>
      </w:r>
      <w:r w:rsidRPr="00546AD7">
        <w:rPr>
          <w:rFonts w:eastAsia="Times New Roman"/>
          <w:sz w:val="20"/>
          <w:lang w:eastAsia="en-US"/>
        </w:rPr>
        <w:t>;</w:t>
      </w:r>
    </w:p>
    <w:p w:rsidR="00546AD7" w:rsidRPr="00546AD7" w:rsidRDefault="00546AD7" w:rsidP="00BA276E">
      <w:pPr>
        <w:widowControl w:val="0"/>
        <w:numPr>
          <w:ilvl w:val="0"/>
          <w:numId w:val="25"/>
        </w:numPr>
        <w:spacing w:after="120"/>
        <w:ind w:left="1134" w:hanging="567"/>
        <w:jc w:val="both"/>
        <w:rPr>
          <w:rFonts w:eastAsia="Times New Roman"/>
          <w:sz w:val="20"/>
          <w:lang w:eastAsia="en-US"/>
        </w:rPr>
      </w:pPr>
      <w:r w:rsidRPr="00546AD7">
        <w:rPr>
          <w:rFonts w:eastAsia="Times New Roman"/>
          <w:bCs/>
          <w:sz w:val="20"/>
          <w:lang w:eastAsia="ja-JP"/>
        </w:rPr>
        <w:lastRenderedPageBreak/>
        <w:t>seguir estudiando y aplicando las medidas de control de costos y mejorando la eficiencia en el funcionamiento del PCT</w:t>
      </w:r>
      <w:r w:rsidRPr="00546AD7">
        <w:rPr>
          <w:rFonts w:eastAsia="Times New Roman"/>
          <w:sz w:val="20"/>
          <w:lang w:eastAsia="en-US"/>
        </w:rPr>
        <w:t>.</w:t>
      </w:r>
    </w:p>
    <w:p w:rsidR="0063482E" w:rsidRDefault="0063482E" w:rsidP="0063482E">
      <w:pPr>
        <w:widowControl w:val="0"/>
        <w:jc w:val="both"/>
        <w:rPr>
          <w:bCs/>
          <w:szCs w:val="22"/>
        </w:rPr>
      </w:pPr>
    </w:p>
    <w:p w:rsidR="00546AD7" w:rsidRDefault="00546AD7" w:rsidP="0063482E">
      <w:pPr>
        <w:widowControl w:val="0"/>
        <w:jc w:val="both"/>
        <w:rPr>
          <w:bCs/>
          <w:szCs w:val="22"/>
        </w:rPr>
      </w:pPr>
    </w:p>
    <w:p w:rsidR="0063482E" w:rsidRPr="00C75C7E" w:rsidRDefault="0063482E" w:rsidP="0063482E">
      <w:pPr>
        <w:widowControl w:val="0"/>
        <w:tabs>
          <w:tab w:val="left" w:pos="-6237"/>
        </w:tabs>
        <w:jc w:val="both"/>
        <w:rPr>
          <w:bCs/>
          <w:szCs w:val="22"/>
        </w:rPr>
      </w:pPr>
      <w:r w:rsidRPr="00C75C7E">
        <w:rPr>
          <w:bCs/>
          <w:szCs w:val="22"/>
        </w:rPr>
        <w:t>PRINCIPALES RIESGOS Y ESTRATEGIAS DE MITIGACIÓN</w:t>
      </w:r>
    </w:p>
    <w:p w:rsidR="0063482E" w:rsidRPr="00C75C7E" w:rsidRDefault="0063482E" w:rsidP="0063482E">
      <w:pPr>
        <w:widowControl w:val="0"/>
        <w:tabs>
          <w:tab w:val="left" w:pos="567"/>
          <w:tab w:val="left" w:pos="1985"/>
        </w:tabs>
        <w:jc w:val="both"/>
        <w:rPr>
          <w:bCs/>
          <w:sz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858"/>
      </w:tblGrid>
      <w:tr w:rsidR="0063482E" w:rsidRPr="00C75C7E" w:rsidTr="00962ADA">
        <w:trPr>
          <w:trHeight w:val="514"/>
        </w:trPr>
        <w:tc>
          <w:tcPr>
            <w:tcW w:w="4535" w:type="dxa"/>
            <w:tcBorders>
              <w:top w:val="single" w:sz="4" w:space="0" w:color="auto"/>
              <w:bottom w:val="single" w:sz="4" w:space="0" w:color="auto"/>
            </w:tcBorders>
            <w:shd w:val="clear" w:color="auto" w:fill="CCFFFF"/>
            <w:tcMar>
              <w:top w:w="113" w:type="dxa"/>
            </w:tcMar>
            <w:vAlign w:val="center"/>
          </w:tcPr>
          <w:p w:rsidR="0063482E" w:rsidRPr="00C75C7E" w:rsidRDefault="0063482E" w:rsidP="00962ADA">
            <w:pPr>
              <w:widowControl w:val="0"/>
              <w:autoSpaceDE w:val="0"/>
              <w:autoSpaceDN w:val="0"/>
              <w:adjustRightInd w:val="0"/>
              <w:ind w:right="-59"/>
              <w:jc w:val="center"/>
              <w:rPr>
                <w:b/>
                <w:sz w:val="18"/>
                <w:szCs w:val="18"/>
              </w:rPr>
            </w:pPr>
            <w:r w:rsidRPr="00C75C7E">
              <w:rPr>
                <w:b/>
                <w:sz w:val="18"/>
                <w:szCs w:val="18"/>
              </w:rPr>
              <w:t>Riesgos en el logro de los resultados del programa</w:t>
            </w:r>
          </w:p>
        </w:tc>
        <w:tc>
          <w:tcPr>
            <w:tcW w:w="4858" w:type="dxa"/>
            <w:tcBorders>
              <w:top w:val="single" w:sz="4" w:space="0" w:color="auto"/>
              <w:bottom w:val="single" w:sz="4" w:space="0" w:color="auto"/>
            </w:tcBorders>
            <w:shd w:val="clear" w:color="auto" w:fill="CCFFFF"/>
            <w:tcMar>
              <w:top w:w="113" w:type="dxa"/>
            </w:tcMar>
            <w:vAlign w:val="center"/>
          </w:tcPr>
          <w:p w:rsidR="0063482E" w:rsidRPr="00C75C7E" w:rsidRDefault="0063482E" w:rsidP="00962ADA">
            <w:pPr>
              <w:widowControl w:val="0"/>
              <w:autoSpaceDE w:val="0"/>
              <w:autoSpaceDN w:val="0"/>
              <w:adjustRightInd w:val="0"/>
              <w:ind w:right="-59"/>
              <w:rPr>
                <w:b/>
                <w:sz w:val="18"/>
                <w:szCs w:val="18"/>
              </w:rPr>
            </w:pPr>
            <w:r w:rsidRPr="00C75C7E">
              <w:rPr>
                <w:b/>
                <w:sz w:val="18"/>
                <w:szCs w:val="18"/>
              </w:rPr>
              <w:t xml:space="preserve">Planes de mitigación ejecutados o en ejecución </w:t>
            </w:r>
          </w:p>
        </w:tc>
      </w:tr>
      <w:tr w:rsidR="0063482E" w:rsidRPr="00C75C7E" w:rsidTr="00962ADA">
        <w:trPr>
          <w:trHeight w:val="668"/>
        </w:trPr>
        <w:tc>
          <w:tcPr>
            <w:tcW w:w="4535" w:type="dxa"/>
            <w:tcBorders>
              <w:top w:val="single" w:sz="4" w:space="0" w:color="auto"/>
              <w:bottom w:val="nil"/>
            </w:tcBorders>
            <w:shd w:val="clear" w:color="auto" w:fill="auto"/>
            <w:tcMar>
              <w:top w:w="113" w:type="dxa"/>
            </w:tcMar>
          </w:tcPr>
          <w:p w:rsidR="0063482E" w:rsidRPr="00C75C7E" w:rsidRDefault="0063482E" w:rsidP="00EF3DB5">
            <w:pPr>
              <w:widowControl w:val="0"/>
              <w:rPr>
                <w:sz w:val="16"/>
                <w:szCs w:val="16"/>
              </w:rPr>
            </w:pPr>
            <w:r w:rsidRPr="00C75C7E">
              <w:rPr>
                <w:sz w:val="16"/>
                <w:szCs w:val="16"/>
              </w:rPr>
              <w:t>Disminución del número de solicitudes presentadas en virtud del PCT, en términos absolutos o relativos con respecto a las solicitudes presentadas mediante el Convenio de París.</w:t>
            </w:r>
          </w:p>
        </w:tc>
        <w:tc>
          <w:tcPr>
            <w:tcW w:w="4858" w:type="dxa"/>
            <w:tcBorders>
              <w:top w:val="single" w:sz="4" w:space="0" w:color="auto"/>
              <w:bottom w:val="nil"/>
            </w:tcBorders>
            <w:shd w:val="clear" w:color="auto" w:fill="auto"/>
            <w:tcMar>
              <w:top w:w="113" w:type="dxa"/>
            </w:tcMar>
          </w:tcPr>
          <w:p w:rsidR="0063482E" w:rsidRPr="00C75C7E" w:rsidRDefault="0063482E" w:rsidP="00EF3DB5">
            <w:pPr>
              <w:widowControl w:val="0"/>
              <w:rPr>
                <w:sz w:val="16"/>
                <w:szCs w:val="16"/>
              </w:rPr>
            </w:pPr>
            <w:r w:rsidRPr="00C75C7E">
              <w:rPr>
                <w:sz w:val="16"/>
                <w:szCs w:val="16"/>
              </w:rPr>
              <w:t>Se seguirá fomentando el PCT entre todos los usuarios como el instrumento más útil y eficiente para proteger la innovación en los mercados internacionales.</w:t>
            </w:r>
          </w:p>
        </w:tc>
      </w:tr>
      <w:tr w:rsidR="0063482E" w:rsidRPr="00C75C7E" w:rsidTr="00962ADA">
        <w:trPr>
          <w:trHeight w:val="1574"/>
        </w:trPr>
        <w:tc>
          <w:tcPr>
            <w:tcW w:w="4535" w:type="dxa"/>
            <w:tcBorders>
              <w:top w:val="nil"/>
              <w:bottom w:val="nil"/>
            </w:tcBorders>
            <w:shd w:val="clear" w:color="auto" w:fill="auto"/>
            <w:tcMar>
              <w:top w:w="113" w:type="dxa"/>
            </w:tcMar>
          </w:tcPr>
          <w:p w:rsidR="0063482E" w:rsidRPr="00C75C7E" w:rsidRDefault="0063482E" w:rsidP="00EF3DB5">
            <w:pPr>
              <w:widowControl w:val="0"/>
              <w:rPr>
                <w:sz w:val="16"/>
                <w:szCs w:val="16"/>
              </w:rPr>
            </w:pPr>
            <w:r w:rsidRPr="00C75C7E">
              <w:rPr>
                <w:sz w:val="16"/>
                <w:szCs w:val="16"/>
              </w:rPr>
              <w:t>Interrupción prolongada de las actividades del PCT.</w:t>
            </w:r>
          </w:p>
          <w:p w:rsidR="0063482E" w:rsidRDefault="0063482E" w:rsidP="00EF3DB5">
            <w:pPr>
              <w:widowControl w:val="0"/>
              <w:rPr>
                <w:sz w:val="16"/>
                <w:szCs w:val="16"/>
              </w:rPr>
            </w:pPr>
          </w:p>
          <w:p w:rsidR="00962ADA" w:rsidRPr="00C75C7E" w:rsidRDefault="00962ADA" w:rsidP="00EF3DB5">
            <w:pPr>
              <w:widowControl w:val="0"/>
              <w:rPr>
                <w:sz w:val="16"/>
                <w:szCs w:val="16"/>
              </w:rPr>
            </w:pPr>
          </w:p>
          <w:p w:rsidR="0063482E" w:rsidRPr="00C75C7E" w:rsidRDefault="0063482E" w:rsidP="00EF3DB5">
            <w:pPr>
              <w:widowControl w:val="0"/>
              <w:rPr>
                <w:sz w:val="16"/>
                <w:szCs w:val="16"/>
              </w:rPr>
            </w:pPr>
            <w:r w:rsidRPr="00C75C7E">
              <w:rPr>
                <w:sz w:val="16"/>
                <w:szCs w:val="16"/>
              </w:rPr>
              <w:t>Si la Oficina Internacional no puede tramitar documentos, incluso durante un plazo breve, el volumen de trabajo acumulado aumenta rápidamente.  Unos pocos días de interrupción de la actividad pueden ocasionar varias semanas de trabajo atrasado.</w:t>
            </w:r>
          </w:p>
        </w:tc>
        <w:tc>
          <w:tcPr>
            <w:tcW w:w="4858" w:type="dxa"/>
            <w:tcBorders>
              <w:top w:val="nil"/>
              <w:bottom w:val="nil"/>
            </w:tcBorders>
            <w:shd w:val="clear" w:color="auto" w:fill="auto"/>
            <w:tcMar>
              <w:top w:w="113" w:type="dxa"/>
            </w:tcMar>
          </w:tcPr>
          <w:p w:rsidR="0063482E" w:rsidRPr="00C75C7E" w:rsidRDefault="0063482E" w:rsidP="00EF3DB5">
            <w:pPr>
              <w:widowControl w:val="0"/>
              <w:rPr>
                <w:sz w:val="16"/>
                <w:szCs w:val="16"/>
              </w:rPr>
            </w:pPr>
            <w:r w:rsidRPr="00C75C7E">
              <w:rPr>
                <w:sz w:val="16"/>
                <w:szCs w:val="16"/>
              </w:rPr>
              <w:t>Aplicación y ejecución periódica de pruebas del plan de gestión de la continuidad de las operaciones.</w:t>
            </w:r>
          </w:p>
          <w:p w:rsidR="0063482E" w:rsidRPr="00C75C7E" w:rsidRDefault="0063482E" w:rsidP="00EF3DB5">
            <w:pPr>
              <w:widowControl w:val="0"/>
              <w:rPr>
                <w:sz w:val="16"/>
                <w:szCs w:val="16"/>
              </w:rPr>
            </w:pPr>
          </w:p>
          <w:p w:rsidR="0063482E" w:rsidRPr="00C75C7E" w:rsidRDefault="0063482E" w:rsidP="00EF3DB5">
            <w:pPr>
              <w:widowControl w:val="0"/>
              <w:autoSpaceDE w:val="0"/>
              <w:autoSpaceDN w:val="0"/>
              <w:adjustRightInd w:val="0"/>
              <w:ind w:right="-59"/>
              <w:rPr>
                <w:sz w:val="16"/>
                <w:szCs w:val="16"/>
              </w:rPr>
            </w:pPr>
            <w:r w:rsidRPr="00C75C7E">
              <w:rPr>
                <w:sz w:val="16"/>
                <w:szCs w:val="16"/>
              </w:rPr>
              <w:t>La finalidad del plan de gestión de la continuidad de las operaciones es asegurar que, en los períodos de interrupción, la labor de la Oficina Internacional pueda efectuarse en la medida suficiente como para evitar que la calidad de los servicios prestados a los usuarios y oficinas del PCT se degrade a niveles inaceptables.</w:t>
            </w:r>
          </w:p>
        </w:tc>
      </w:tr>
      <w:tr w:rsidR="0063482E" w:rsidRPr="00C75C7E" w:rsidTr="00962ADA">
        <w:trPr>
          <w:trHeight w:val="1031"/>
        </w:trPr>
        <w:tc>
          <w:tcPr>
            <w:tcW w:w="4535" w:type="dxa"/>
            <w:tcBorders>
              <w:top w:val="nil"/>
            </w:tcBorders>
            <w:shd w:val="clear" w:color="auto" w:fill="auto"/>
            <w:tcMar>
              <w:top w:w="113" w:type="dxa"/>
            </w:tcMar>
          </w:tcPr>
          <w:p w:rsidR="0063482E" w:rsidRPr="00C75C7E" w:rsidRDefault="0063482E" w:rsidP="00EF3DB5">
            <w:pPr>
              <w:widowControl w:val="0"/>
              <w:rPr>
                <w:sz w:val="16"/>
                <w:szCs w:val="16"/>
              </w:rPr>
            </w:pPr>
            <w:r w:rsidRPr="00C75C7E">
              <w:rPr>
                <w:sz w:val="16"/>
                <w:szCs w:val="16"/>
              </w:rPr>
              <w:t>Divulgación intencionada o involuntaria de información confidencial.</w:t>
            </w:r>
          </w:p>
        </w:tc>
        <w:tc>
          <w:tcPr>
            <w:tcW w:w="4858" w:type="dxa"/>
            <w:tcBorders>
              <w:top w:val="nil"/>
            </w:tcBorders>
            <w:shd w:val="clear" w:color="auto" w:fill="auto"/>
            <w:tcMar>
              <w:top w:w="113" w:type="dxa"/>
            </w:tcMar>
          </w:tcPr>
          <w:p w:rsidR="0063482E" w:rsidRPr="00C75C7E" w:rsidDel="00C266CB" w:rsidRDefault="0063482E" w:rsidP="00EF3DB5">
            <w:pPr>
              <w:widowControl w:val="0"/>
              <w:rPr>
                <w:sz w:val="16"/>
                <w:szCs w:val="16"/>
              </w:rPr>
            </w:pPr>
            <w:r w:rsidRPr="00C75C7E">
              <w:rPr>
                <w:sz w:val="16"/>
                <w:szCs w:val="16"/>
              </w:rPr>
              <w:t>Programa continuo de sensibilización destinado al personal competente</w:t>
            </w:r>
            <w:proofErr w:type="gramStart"/>
            <w:r w:rsidRPr="00C75C7E">
              <w:rPr>
                <w:sz w:val="16"/>
                <w:szCs w:val="16"/>
              </w:rPr>
              <w:t>:  seguir</w:t>
            </w:r>
            <w:proofErr w:type="gramEnd"/>
            <w:r w:rsidRPr="00C75C7E">
              <w:rPr>
                <w:sz w:val="16"/>
                <w:szCs w:val="16"/>
              </w:rPr>
              <w:t xml:space="preserve"> aplicando los más modernos mecanismos de control del entorno físico y electrónico;  seguir mejorando la vigilancia estratégica;  mantener un alto grado de supervisión de los proveedores de servicios de traducción subcontratados.</w:t>
            </w:r>
          </w:p>
        </w:tc>
      </w:tr>
    </w:tbl>
    <w:p w:rsidR="0063482E" w:rsidRPr="00C75C7E" w:rsidRDefault="0063482E" w:rsidP="0063482E">
      <w:pPr>
        <w:widowControl w:val="0"/>
        <w:tabs>
          <w:tab w:val="left" w:pos="567"/>
          <w:tab w:val="left" w:pos="1985"/>
        </w:tabs>
        <w:jc w:val="both"/>
        <w:rPr>
          <w:bCs/>
          <w:sz w:val="20"/>
        </w:rPr>
      </w:pPr>
    </w:p>
    <w:p w:rsidR="0063482E" w:rsidRPr="00C75C7E" w:rsidRDefault="0063482E" w:rsidP="0063482E">
      <w:pPr>
        <w:widowControl w:val="0"/>
        <w:tabs>
          <w:tab w:val="left" w:pos="567"/>
          <w:tab w:val="left" w:pos="1985"/>
        </w:tabs>
        <w:jc w:val="both"/>
        <w:rPr>
          <w:bCs/>
          <w:sz w:val="20"/>
        </w:rPr>
      </w:pPr>
    </w:p>
    <w:p w:rsidR="0063482E" w:rsidRPr="00C75C7E" w:rsidRDefault="0063482E" w:rsidP="0063482E">
      <w:pPr>
        <w:widowControl w:val="0"/>
        <w:tabs>
          <w:tab w:val="left" w:pos="567"/>
          <w:tab w:val="left" w:pos="1985"/>
        </w:tabs>
        <w:jc w:val="both"/>
        <w:rPr>
          <w:bCs/>
          <w:szCs w:val="22"/>
          <w:lang w:val="es-ES_tradnl"/>
        </w:rPr>
      </w:pPr>
      <w:r w:rsidRPr="00C75C7E">
        <w:rPr>
          <w:bCs/>
          <w:szCs w:val="22"/>
          <w:lang w:val="es-ES_tradnl"/>
        </w:rPr>
        <w:t>MARCO DE RESULTADOS</w:t>
      </w:r>
    </w:p>
    <w:p w:rsidR="0063482E" w:rsidRPr="00C75C7E" w:rsidRDefault="0063482E" w:rsidP="0063482E">
      <w:pPr>
        <w:widowControl w:val="0"/>
        <w:rPr>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0"/>
        <w:gridCol w:w="2848"/>
        <w:gridCol w:w="2056"/>
        <w:gridCol w:w="2152"/>
      </w:tblGrid>
      <w:tr w:rsidR="0063482E" w:rsidRPr="00C75C7E" w:rsidTr="00EF3DB5">
        <w:trPr>
          <w:cantSplit/>
          <w:trHeight w:val="419"/>
          <w:tblHeader/>
        </w:trPr>
        <w:tc>
          <w:tcPr>
            <w:tcW w:w="1249" w:type="pct"/>
            <w:tcBorders>
              <w:top w:val="single" w:sz="4" w:space="0" w:color="auto"/>
              <w:bottom w:val="single" w:sz="4" w:space="0" w:color="auto"/>
            </w:tcBorders>
            <w:shd w:val="clear" w:color="auto" w:fill="CCFFFF"/>
            <w:vAlign w:val="center"/>
          </w:tcPr>
          <w:p w:rsidR="0063482E" w:rsidRPr="00C75C7E" w:rsidRDefault="0063482E" w:rsidP="00EF3DB5">
            <w:pPr>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0" w:type="dxa"/>
            </w:tcMar>
            <w:vAlign w:val="center"/>
          </w:tcPr>
          <w:p w:rsidR="0063482E" w:rsidRPr="00C75C7E" w:rsidRDefault="0063482E" w:rsidP="00EF3DB5">
            <w:pPr>
              <w:widowControl w:val="0"/>
              <w:spacing w:after="120"/>
              <w:jc w:val="center"/>
              <w:rPr>
                <w:b/>
                <w:sz w:val="18"/>
                <w:szCs w:val="18"/>
                <w:lang w:val="es-ES_tradnl"/>
              </w:rPr>
            </w:pPr>
            <w:r w:rsidRPr="00C75C7E">
              <w:rPr>
                <w:b/>
                <w:sz w:val="18"/>
                <w:szCs w:val="18"/>
                <w:lang w:val="es-ES_tradnl"/>
              </w:rPr>
              <w:t>Indicadores de rendimiento</w:t>
            </w:r>
          </w:p>
        </w:tc>
        <w:tc>
          <w:tcPr>
            <w:tcW w:w="1093" w:type="pct"/>
            <w:tcBorders>
              <w:top w:val="single" w:sz="4" w:space="0" w:color="auto"/>
              <w:bottom w:val="single" w:sz="4" w:space="0" w:color="auto"/>
            </w:tcBorders>
            <w:shd w:val="clear" w:color="auto" w:fill="CCFFFF"/>
            <w:tcMar>
              <w:top w:w="110" w:type="dxa"/>
            </w:tcMar>
            <w:vAlign w:val="center"/>
          </w:tcPr>
          <w:p w:rsidR="0063482E" w:rsidRPr="00C75C7E" w:rsidRDefault="0063482E" w:rsidP="00EF3DB5">
            <w:pPr>
              <w:widowControl w:val="0"/>
              <w:spacing w:after="120"/>
              <w:ind w:left="85"/>
              <w:jc w:val="center"/>
              <w:rPr>
                <w:sz w:val="18"/>
                <w:szCs w:val="18"/>
                <w:lang w:val="es-ES_tradnl"/>
              </w:rPr>
            </w:pPr>
            <w:r w:rsidRPr="00C75C7E">
              <w:rPr>
                <w:b/>
                <w:bCs/>
                <w:sz w:val="18"/>
                <w:szCs w:val="18"/>
                <w:lang w:val="es-ES_tradnl"/>
              </w:rPr>
              <w:t>Referencia</w:t>
            </w:r>
          </w:p>
        </w:tc>
        <w:tc>
          <w:tcPr>
            <w:tcW w:w="1144" w:type="pct"/>
            <w:tcBorders>
              <w:top w:val="single" w:sz="4" w:space="0" w:color="auto"/>
              <w:bottom w:val="single" w:sz="4" w:space="0" w:color="auto"/>
            </w:tcBorders>
            <w:shd w:val="clear" w:color="auto" w:fill="CCFFFF"/>
            <w:tcMar>
              <w:top w:w="110" w:type="dxa"/>
            </w:tcMar>
            <w:vAlign w:val="center"/>
          </w:tcPr>
          <w:p w:rsidR="0063482E" w:rsidRPr="00C75C7E" w:rsidRDefault="0063482E" w:rsidP="00EF3DB5">
            <w:pPr>
              <w:widowControl w:val="0"/>
              <w:spacing w:after="120"/>
              <w:ind w:right="1"/>
              <w:jc w:val="center"/>
              <w:rPr>
                <w:b/>
                <w:bCs/>
                <w:sz w:val="18"/>
                <w:szCs w:val="18"/>
                <w:lang w:val="es-ES_tradnl"/>
              </w:rPr>
            </w:pPr>
            <w:r w:rsidRPr="00C75C7E">
              <w:rPr>
                <w:b/>
                <w:bCs/>
                <w:sz w:val="18"/>
                <w:szCs w:val="18"/>
                <w:lang w:val="es-ES_tradnl"/>
              </w:rPr>
              <w:t>Objetivos</w:t>
            </w:r>
          </w:p>
        </w:tc>
      </w:tr>
      <w:tr w:rsidR="0063482E" w:rsidRPr="00C75C7E" w:rsidTr="00EF3DB5">
        <w:trPr>
          <w:cantSplit/>
        </w:trPr>
        <w:tc>
          <w:tcPr>
            <w:tcW w:w="1249" w:type="pct"/>
            <w:vMerge w:val="restart"/>
            <w:tcBorders>
              <w:top w:val="single" w:sz="4" w:space="0" w:color="auto"/>
            </w:tcBorders>
            <w:shd w:val="clear" w:color="auto" w:fill="auto"/>
            <w:tcMar>
              <w:top w:w="113" w:type="dxa"/>
            </w:tcMar>
          </w:tcPr>
          <w:p w:rsidR="0063482E" w:rsidRPr="00C75C7E" w:rsidRDefault="0063482E" w:rsidP="005C32FC">
            <w:pPr>
              <w:widowControl w:val="0"/>
              <w:rPr>
                <w:sz w:val="16"/>
                <w:szCs w:val="16"/>
                <w:lang w:val="es-ES_tradnl"/>
              </w:rPr>
            </w:pPr>
            <w:r w:rsidRPr="00C75C7E">
              <w:rPr>
                <w:sz w:val="16"/>
                <w:szCs w:val="16"/>
                <w:lang w:val="es-ES_tradnl"/>
              </w:rPr>
              <w:t xml:space="preserve">II.1. Fomento del uso de la vía del PCT para la presentación de solicitudes </w:t>
            </w:r>
            <w:r w:rsidR="005C32FC">
              <w:rPr>
                <w:sz w:val="16"/>
                <w:szCs w:val="16"/>
                <w:lang w:val="es-ES_tradnl"/>
              </w:rPr>
              <w:t xml:space="preserve">internacionales </w:t>
            </w:r>
            <w:r w:rsidRPr="00C75C7E">
              <w:rPr>
                <w:sz w:val="16"/>
                <w:szCs w:val="16"/>
                <w:lang w:val="es-ES_tradnl"/>
              </w:rPr>
              <w:t>de patente.</w:t>
            </w:r>
          </w:p>
        </w:tc>
        <w:tc>
          <w:tcPr>
            <w:tcW w:w="1514" w:type="pct"/>
            <w:tcBorders>
              <w:top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Nivel de satisfacción de los usuarios del PCT respecto de los servicios de información y formación destinados a los usuarios.</w:t>
            </w:r>
          </w:p>
        </w:tc>
        <w:tc>
          <w:tcPr>
            <w:tcW w:w="1093" w:type="pct"/>
            <w:tcBorders>
              <w:top w:val="single" w:sz="4" w:space="0" w:color="auto"/>
            </w:tcBorders>
            <w:shd w:val="clear" w:color="auto" w:fill="FFFFFF"/>
            <w:tcMar>
              <w:top w:w="113" w:type="dxa"/>
            </w:tcMar>
          </w:tcPr>
          <w:p w:rsidR="0063482E" w:rsidRPr="00C75C7E" w:rsidRDefault="0063482E" w:rsidP="00EF3DB5">
            <w:pPr>
              <w:widowControl w:val="0"/>
              <w:rPr>
                <w:sz w:val="16"/>
                <w:szCs w:val="16"/>
                <w:lang w:val="es-ES_tradnl"/>
              </w:rPr>
            </w:pPr>
            <w:r w:rsidRPr="00C75C7E">
              <w:rPr>
                <w:sz w:val="16"/>
                <w:szCs w:val="16"/>
                <w:lang w:val="es-ES_tradnl"/>
              </w:rPr>
              <w:t>Nivel de satisfacción existente en 2009 entre los usuarios del PCT respecto de los servicios de información y formación destinados a los usuarios.</w:t>
            </w:r>
          </w:p>
        </w:tc>
        <w:tc>
          <w:tcPr>
            <w:tcW w:w="1144" w:type="pct"/>
            <w:tcBorders>
              <w:top w:val="single" w:sz="4" w:space="0" w:color="auto"/>
            </w:tcBorders>
            <w:shd w:val="clear" w:color="auto" w:fill="auto"/>
            <w:tcMar>
              <w:top w:w="110" w:type="dxa"/>
            </w:tcMar>
          </w:tcPr>
          <w:p w:rsidR="0063482E" w:rsidRPr="00C75C7E" w:rsidRDefault="0063482E" w:rsidP="00EF3DB5">
            <w:pPr>
              <w:widowControl w:val="0"/>
              <w:tabs>
                <w:tab w:val="left" w:pos="2051"/>
              </w:tabs>
              <w:ind w:right="381"/>
              <w:rPr>
                <w:bCs/>
                <w:sz w:val="16"/>
                <w:szCs w:val="16"/>
                <w:lang w:val="es-ES_tradnl"/>
              </w:rPr>
            </w:pPr>
            <w:r w:rsidRPr="00C75C7E">
              <w:rPr>
                <w:bCs/>
                <w:sz w:val="16"/>
                <w:szCs w:val="16"/>
                <w:lang w:val="es-ES_tradnl"/>
              </w:rPr>
              <w:t xml:space="preserve">Mantenimiento o aumento del nivel de satisfacción existente en 2009 entre los usuarios del PCT. </w:t>
            </w:r>
          </w:p>
        </w:tc>
      </w:tr>
      <w:tr w:rsidR="0063482E" w:rsidRPr="00C75C7E" w:rsidTr="00EF3DB5">
        <w:trPr>
          <w:cantSplit/>
          <w:trHeight w:val="1279"/>
        </w:trPr>
        <w:tc>
          <w:tcPr>
            <w:tcW w:w="1249" w:type="pct"/>
            <w:vMerge/>
            <w:shd w:val="clear" w:color="auto" w:fill="auto"/>
            <w:tcMar>
              <w:top w:w="113" w:type="dxa"/>
            </w:tcMar>
          </w:tcPr>
          <w:p w:rsidR="0063482E" w:rsidRPr="00C75C7E" w:rsidRDefault="0063482E" w:rsidP="00EF3DB5">
            <w:pPr>
              <w:widowControl w:val="0"/>
              <w:rPr>
                <w:sz w:val="16"/>
                <w:szCs w:val="16"/>
                <w:lang w:val="es-ES_tradnl"/>
              </w:rPr>
            </w:pPr>
          </w:p>
        </w:tc>
        <w:tc>
          <w:tcPr>
            <w:tcW w:w="1514"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Satisfacción de las oficinas y de las Administraciones internacionales respecto de las actividades de cooperación del PCT.</w:t>
            </w:r>
          </w:p>
        </w:tc>
        <w:tc>
          <w:tcPr>
            <w:tcW w:w="1093"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59 encuestados se mostraron satisfechos con las actividades en 2011 (el 95% de los 62  participantes en las actividades/ el 86% de los 69 encuestados).</w:t>
            </w:r>
          </w:p>
          <w:p w:rsidR="0063482E" w:rsidRPr="00C75C7E" w:rsidRDefault="0063482E" w:rsidP="00EF3DB5">
            <w:pPr>
              <w:widowControl w:val="0"/>
              <w:rPr>
                <w:sz w:val="16"/>
                <w:szCs w:val="16"/>
                <w:lang w:val="es-ES_tradnl" w:bidi="th-TH"/>
              </w:rPr>
            </w:pPr>
          </w:p>
        </w:tc>
        <w:tc>
          <w:tcPr>
            <w:tcW w:w="1144"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Mantenimiento del nivel de satisfacción existente en 2011 entre las Oficinas y las Administraciones internacionales.</w:t>
            </w:r>
          </w:p>
        </w:tc>
      </w:tr>
      <w:tr w:rsidR="0063482E" w:rsidRPr="00C75C7E" w:rsidTr="00EF3DB5">
        <w:trPr>
          <w:cantSplit/>
          <w:trHeight w:val="346"/>
        </w:trPr>
        <w:tc>
          <w:tcPr>
            <w:tcW w:w="1249" w:type="pct"/>
            <w:vMerge w:val="restart"/>
            <w:shd w:val="clear" w:color="auto" w:fill="auto"/>
            <w:tcMar>
              <w:top w:w="113" w:type="dxa"/>
            </w:tcMar>
          </w:tcPr>
          <w:p w:rsidR="0063482E" w:rsidRPr="00C75C7E" w:rsidRDefault="0063482E" w:rsidP="00EF3DB5">
            <w:pPr>
              <w:widowControl w:val="0"/>
              <w:autoSpaceDE w:val="0"/>
              <w:autoSpaceDN w:val="0"/>
              <w:adjustRightInd w:val="0"/>
              <w:rPr>
                <w:sz w:val="15"/>
                <w:szCs w:val="15"/>
                <w:lang w:val="es-ES_tradnl" w:bidi="th-TH"/>
              </w:rPr>
            </w:pPr>
            <w:r w:rsidRPr="00C75C7E">
              <w:rPr>
                <w:sz w:val="16"/>
                <w:szCs w:val="16"/>
                <w:lang w:val="es-ES_tradnl"/>
              </w:rPr>
              <w:t xml:space="preserve">II.2 </w:t>
            </w:r>
            <w:r w:rsidRPr="00C75C7E">
              <w:rPr>
                <w:sz w:val="15"/>
                <w:szCs w:val="15"/>
                <w:lang w:val="es-ES_tradnl" w:bidi="th-TH"/>
              </w:rPr>
              <w:t xml:space="preserve"> </w:t>
            </w:r>
            <w:r w:rsidRPr="00C75C7E">
              <w:rPr>
                <w:sz w:val="16"/>
                <w:szCs w:val="16"/>
                <w:lang w:val="es-ES_tradnl" w:bidi="th-TH"/>
              </w:rPr>
              <w:t>Mejora del sistema del PCT.</w:t>
            </w:r>
          </w:p>
          <w:p w:rsidR="0063482E" w:rsidRPr="00C75C7E" w:rsidRDefault="0063482E" w:rsidP="00EF3DB5">
            <w:pPr>
              <w:widowControl w:val="0"/>
              <w:rPr>
                <w:sz w:val="16"/>
                <w:szCs w:val="16"/>
                <w:lang w:val="es-ES_tradnl"/>
              </w:rPr>
            </w:pPr>
          </w:p>
        </w:tc>
        <w:tc>
          <w:tcPr>
            <w:tcW w:w="1514"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Continuo desarrollo del sistema del PCT, sobre todo gracias a la aplicación de las recomendaciones de la hoja de ruta del PCT suscritas por los Estados miembros del PCT.</w:t>
            </w:r>
          </w:p>
        </w:tc>
        <w:tc>
          <w:tcPr>
            <w:tcW w:w="1093"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Decisiones de los órganos pertinentes del PCT hasta el final de 2013.</w:t>
            </w:r>
          </w:p>
        </w:tc>
        <w:tc>
          <w:tcPr>
            <w:tcW w:w="1144"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Decisiones de los órganos pertinentes del PCT hasta el final de 2015.</w:t>
            </w:r>
          </w:p>
        </w:tc>
      </w:tr>
      <w:tr w:rsidR="0063482E" w:rsidRPr="00C75C7E" w:rsidTr="00EF3DB5">
        <w:trPr>
          <w:cantSplit/>
          <w:trHeight w:val="1412"/>
        </w:trPr>
        <w:tc>
          <w:tcPr>
            <w:tcW w:w="1249" w:type="pct"/>
            <w:vMerge/>
            <w:shd w:val="clear" w:color="auto" w:fill="auto"/>
            <w:tcMar>
              <w:top w:w="113" w:type="dxa"/>
            </w:tcMar>
          </w:tcPr>
          <w:p w:rsidR="0063482E" w:rsidRPr="00C75C7E" w:rsidRDefault="0063482E" w:rsidP="00EF3DB5">
            <w:pPr>
              <w:widowControl w:val="0"/>
              <w:rPr>
                <w:sz w:val="16"/>
                <w:szCs w:val="16"/>
                <w:lang w:val="es-ES_tradnl"/>
              </w:rPr>
            </w:pPr>
          </w:p>
        </w:tc>
        <w:tc>
          <w:tcPr>
            <w:tcW w:w="1514"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Mejora de los servicios electrónicos dirigidos a solicitantes, terceros, oficinas y Administraciones.</w:t>
            </w:r>
          </w:p>
        </w:tc>
        <w:tc>
          <w:tcPr>
            <w:tcW w:w="1093"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 xml:space="preserve">Número de transacciones efectuadas por medio de los servicios </w:t>
            </w:r>
            <w:proofErr w:type="spellStart"/>
            <w:r w:rsidRPr="00C75C7E">
              <w:rPr>
                <w:sz w:val="16"/>
                <w:szCs w:val="16"/>
                <w:lang w:val="es-ES_tradnl" w:bidi="th-TH"/>
              </w:rPr>
              <w:t>ePCT</w:t>
            </w:r>
            <w:proofErr w:type="spellEnd"/>
            <w:r w:rsidRPr="00C75C7E">
              <w:rPr>
                <w:sz w:val="16"/>
                <w:szCs w:val="16"/>
                <w:lang w:val="es-ES_tradnl" w:bidi="th-TH"/>
              </w:rPr>
              <w:t xml:space="preserve"> al final de 2013 para:</w:t>
            </w:r>
            <w:r w:rsidRPr="00C75C7E">
              <w:rPr>
                <w:sz w:val="16"/>
                <w:szCs w:val="16"/>
                <w:lang w:val="es-ES_tradnl" w:bidi="th-TH"/>
              </w:rPr>
              <w:br/>
              <w:t xml:space="preserve"> -- solicitantes;</w:t>
            </w:r>
            <w:r w:rsidRPr="00C75C7E">
              <w:rPr>
                <w:sz w:val="16"/>
                <w:szCs w:val="16"/>
                <w:lang w:val="es-ES_tradnl" w:bidi="th-TH"/>
              </w:rPr>
              <w:br/>
              <w:t xml:space="preserve"> -- terceros; </w:t>
            </w:r>
            <w:r w:rsidRPr="00C75C7E">
              <w:rPr>
                <w:sz w:val="16"/>
                <w:szCs w:val="16"/>
                <w:lang w:val="es-ES_tradnl" w:bidi="th-TH"/>
              </w:rPr>
              <w:br/>
              <w:t xml:space="preserve"> -- Oficinas;  y</w:t>
            </w:r>
            <w:r w:rsidRPr="00C75C7E">
              <w:rPr>
                <w:sz w:val="16"/>
                <w:szCs w:val="16"/>
                <w:lang w:val="es-ES_tradnl" w:bidi="th-TH"/>
              </w:rPr>
              <w:br/>
              <w:t xml:space="preserve"> -- Administraciones</w:t>
            </w:r>
          </w:p>
          <w:p w:rsidR="0063482E" w:rsidRPr="00C75C7E" w:rsidRDefault="0063482E" w:rsidP="00EF3DB5">
            <w:pPr>
              <w:widowControl w:val="0"/>
              <w:rPr>
                <w:sz w:val="16"/>
                <w:szCs w:val="16"/>
                <w:lang w:val="es-ES_tradnl" w:bidi="th-TH"/>
              </w:rPr>
            </w:pPr>
          </w:p>
        </w:tc>
        <w:tc>
          <w:tcPr>
            <w:tcW w:w="1144"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Aumento del número</w:t>
            </w:r>
            <w:r w:rsidRPr="00C75C7E">
              <w:rPr>
                <w:lang w:val="es-ES_tradnl"/>
              </w:rPr>
              <w:t xml:space="preserve"> </w:t>
            </w:r>
            <w:r w:rsidRPr="00C75C7E">
              <w:rPr>
                <w:bCs/>
                <w:sz w:val="16"/>
                <w:szCs w:val="16"/>
                <w:lang w:val="es-ES_tradnl"/>
              </w:rPr>
              <w:t xml:space="preserve">de transacciones efectuadas por medio de los servicios </w:t>
            </w:r>
            <w:proofErr w:type="spellStart"/>
            <w:r w:rsidRPr="00C75C7E">
              <w:rPr>
                <w:bCs/>
                <w:sz w:val="16"/>
                <w:szCs w:val="16"/>
                <w:lang w:val="es-ES_tradnl"/>
              </w:rPr>
              <w:t>ePCT</w:t>
            </w:r>
            <w:proofErr w:type="spellEnd"/>
            <w:r w:rsidRPr="00C75C7E">
              <w:rPr>
                <w:bCs/>
                <w:sz w:val="16"/>
                <w:szCs w:val="16"/>
                <w:lang w:val="es-ES_tradnl"/>
              </w:rPr>
              <w:t xml:space="preserve"> para :</w:t>
            </w:r>
            <w:r w:rsidRPr="00C75C7E">
              <w:rPr>
                <w:bCs/>
                <w:sz w:val="16"/>
                <w:szCs w:val="16"/>
                <w:lang w:val="es-ES_tradnl"/>
              </w:rPr>
              <w:br/>
              <w:t xml:space="preserve"> -- solicitantes;</w:t>
            </w:r>
          </w:p>
          <w:p w:rsidR="0063482E" w:rsidRPr="00C75C7E" w:rsidRDefault="0063482E" w:rsidP="00EF3DB5">
            <w:pPr>
              <w:widowControl w:val="0"/>
              <w:ind w:right="161"/>
              <w:rPr>
                <w:bCs/>
                <w:sz w:val="16"/>
                <w:szCs w:val="16"/>
                <w:lang w:val="es-ES_tradnl"/>
              </w:rPr>
            </w:pPr>
            <w:r w:rsidRPr="00C75C7E">
              <w:rPr>
                <w:bCs/>
                <w:sz w:val="16"/>
                <w:szCs w:val="16"/>
                <w:lang w:val="es-ES_tradnl"/>
              </w:rPr>
              <w:t xml:space="preserve"> -- terceros; </w:t>
            </w:r>
          </w:p>
          <w:p w:rsidR="0063482E" w:rsidRPr="00C75C7E" w:rsidRDefault="0063482E" w:rsidP="00EF3DB5">
            <w:pPr>
              <w:widowControl w:val="0"/>
              <w:ind w:right="161"/>
              <w:rPr>
                <w:bCs/>
                <w:sz w:val="16"/>
                <w:szCs w:val="16"/>
                <w:lang w:val="es-ES_tradnl"/>
              </w:rPr>
            </w:pPr>
            <w:r w:rsidRPr="00C75C7E">
              <w:rPr>
                <w:bCs/>
                <w:sz w:val="16"/>
                <w:szCs w:val="16"/>
                <w:lang w:val="es-ES_tradnl"/>
              </w:rPr>
              <w:t xml:space="preserve"> -- Oficinas;  y</w:t>
            </w:r>
          </w:p>
          <w:p w:rsidR="0063482E" w:rsidRPr="00C75C7E" w:rsidRDefault="0063482E" w:rsidP="00EF3DB5">
            <w:pPr>
              <w:widowControl w:val="0"/>
              <w:ind w:right="161"/>
              <w:rPr>
                <w:bCs/>
                <w:sz w:val="16"/>
                <w:szCs w:val="16"/>
                <w:lang w:val="es-ES_tradnl"/>
              </w:rPr>
            </w:pPr>
            <w:r w:rsidRPr="00C75C7E">
              <w:rPr>
                <w:bCs/>
                <w:sz w:val="16"/>
                <w:szCs w:val="16"/>
                <w:lang w:val="es-ES_tradnl"/>
              </w:rPr>
              <w:t xml:space="preserve"> -- Administraciones</w:t>
            </w:r>
          </w:p>
        </w:tc>
      </w:tr>
      <w:tr w:rsidR="0063482E" w:rsidRPr="00C75C7E" w:rsidTr="00EF3DB5">
        <w:trPr>
          <w:cantSplit/>
          <w:trHeight w:val="330"/>
        </w:trPr>
        <w:tc>
          <w:tcPr>
            <w:tcW w:w="1249"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II.3. Mejora de la productividad y de la calidad de los servicios en las operaciones del PCT.</w:t>
            </w:r>
          </w:p>
        </w:tc>
        <w:tc>
          <w:tcPr>
            <w:tcW w:w="1514"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Costo unitario de tramitación de las solicitudes.</w:t>
            </w:r>
          </w:p>
        </w:tc>
        <w:tc>
          <w:tcPr>
            <w:tcW w:w="1093"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Costo unitario en 2013.</w:t>
            </w:r>
          </w:p>
          <w:p w:rsidR="0063482E" w:rsidRPr="00C75C7E" w:rsidRDefault="0063482E" w:rsidP="00EF3DB5">
            <w:pPr>
              <w:widowControl w:val="0"/>
              <w:rPr>
                <w:sz w:val="16"/>
                <w:szCs w:val="16"/>
                <w:lang w:val="es-ES_tradnl" w:bidi="th-TH"/>
              </w:rPr>
            </w:pPr>
          </w:p>
        </w:tc>
        <w:tc>
          <w:tcPr>
            <w:tcW w:w="1144"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Menor costo unitario.</w:t>
            </w:r>
          </w:p>
        </w:tc>
      </w:tr>
      <w:tr w:rsidR="0063482E" w:rsidRPr="00C75C7E" w:rsidTr="00EF3DB5">
        <w:trPr>
          <w:cantSplit/>
          <w:trHeight w:val="422"/>
        </w:trPr>
        <w:tc>
          <w:tcPr>
            <w:tcW w:w="1249" w:type="pct"/>
            <w:vMerge w:val="restart"/>
            <w:shd w:val="clear" w:color="auto" w:fill="auto"/>
            <w:tcMar>
              <w:top w:w="113" w:type="dxa"/>
            </w:tcMar>
          </w:tcPr>
          <w:p w:rsidR="0063482E" w:rsidRPr="00C75C7E" w:rsidRDefault="0063482E" w:rsidP="00EF3DB5">
            <w:pPr>
              <w:widowControl w:val="0"/>
              <w:rPr>
                <w:sz w:val="16"/>
                <w:szCs w:val="16"/>
                <w:lang w:val="es-ES_tradnl"/>
              </w:rPr>
            </w:pPr>
          </w:p>
        </w:tc>
        <w:tc>
          <w:tcPr>
            <w:tcW w:w="1514"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Calidad global del examen de forma (incluido el tiempo empleado).</w:t>
            </w:r>
          </w:p>
        </w:tc>
        <w:tc>
          <w:tcPr>
            <w:tcW w:w="1093"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Promedio de los tres últimos años.</w:t>
            </w:r>
          </w:p>
          <w:p w:rsidR="0063482E" w:rsidRPr="00C75C7E" w:rsidRDefault="0063482E" w:rsidP="00EF3DB5">
            <w:pPr>
              <w:widowControl w:val="0"/>
              <w:rPr>
                <w:sz w:val="16"/>
                <w:szCs w:val="16"/>
                <w:lang w:val="es-ES_tradnl" w:bidi="th-TH"/>
              </w:rPr>
            </w:pPr>
          </w:p>
        </w:tc>
        <w:tc>
          <w:tcPr>
            <w:tcW w:w="1144"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Mayor calidad.</w:t>
            </w:r>
          </w:p>
        </w:tc>
      </w:tr>
      <w:tr w:rsidR="0063482E" w:rsidRPr="00C75C7E" w:rsidTr="00EF3DB5">
        <w:trPr>
          <w:cantSplit/>
          <w:trHeight w:val="470"/>
        </w:trPr>
        <w:tc>
          <w:tcPr>
            <w:tcW w:w="1249" w:type="pct"/>
            <w:vMerge/>
            <w:shd w:val="clear" w:color="auto" w:fill="auto"/>
            <w:tcMar>
              <w:top w:w="113" w:type="dxa"/>
            </w:tcMar>
          </w:tcPr>
          <w:p w:rsidR="0063482E" w:rsidRPr="00C75C7E" w:rsidRDefault="0063482E" w:rsidP="00EF3DB5">
            <w:pPr>
              <w:widowControl w:val="0"/>
              <w:rPr>
                <w:sz w:val="16"/>
                <w:szCs w:val="16"/>
                <w:lang w:val="es-ES_tradnl"/>
              </w:rPr>
            </w:pPr>
          </w:p>
        </w:tc>
        <w:tc>
          <w:tcPr>
            <w:tcW w:w="1514"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Calidad de las traducciones.</w:t>
            </w:r>
          </w:p>
        </w:tc>
        <w:tc>
          <w:tcPr>
            <w:tcW w:w="1093"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Promedio de los tres últimos años.</w:t>
            </w:r>
          </w:p>
        </w:tc>
        <w:tc>
          <w:tcPr>
            <w:tcW w:w="1144"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Mayor calidad.</w:t>
            </w:r>
          </w:p>
        </w:tc>
      </w:tr>
      <w:tr w:rsidR="0063482E" w:rsidRPr="00C75C7E" w:rsidTr="00EF3DB5">
        <w:trPr>
          <w:cantSplit/>
          <w:trHeight w:val="470"/>
        </w:trPr>
        <w:tc>
          <w:tcPr>
            <w:tcW w:w="1249" w:type="pct"/>
            <w:vMerge/>
            <w:shd w:val="clear" w:color="auto" w:fill="auto"/>
            <w:tcMar>
              <w:top w:w="113" w:type="dxa"/>
            </w:tcMar>
          </w:tcPr>
          <w:p w:rsidR="0063482E" w:rsidRPr="00C75C7E" w:rsidRDefault="0063482E" w:rsidP="00EF3DB5">
            <w:pPr>
              <w:widowControl w:val="0"/>
              <w:rPr>
                <w:sz w:val="16"/>
                <w:szCs w:val="16"/>
                <w:lang w:val="es-ES_tradnl"/>
              </w:rPr>
            </w:pPr>
          </w:p>
        </w:tc>
        <w:tc>
          <w:tcPr>
            <w:tcW w:w="1514"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Plazos de traducción de los informes.</w:t>
            </w:r>
          </w:p>
        </w:tc>
        <w:tc>
          <w:tcPr>
            <w:tcW w:w="1093"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Plazos de traducción en 2013.</w:t>
            </w:r>
          </w:p>
        </w:tc>
        <w:tc>
          <w:tcPr>
            <w:tcW w:w="1144"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Mejora.</w:t>
            </w:r>
          </w:p>
        </w:tc>
      </w:tr>
      <w:tr w:rsidR="0063482E" w:rsidRPr="00C75C7E" w:rsidTr="00EF3DB5">
        <w:trPr>
          <w:cantSplit/>
          <w:trHeight w:val="565"/>
        </w:trPr>
        <w:tc>
          <w:tcPr>
            <w:tcW w:w="1249" w:type="pct"/>
            <w:vMerge/>
            <w:shd w:val="clear" w:color="auto" w:fill="auto"/>
            <w:tcMar>
              <w:top w:w="113" w:type="dxa"/>
            </w:tcMar>
          </w:tcPr>
          <w:p w:rsidR="0063482E" w:rsidRPr="00C75C7E" w:rsidRDefault="0063482E" w:rsidP="00EF3DB5">
            <w:pPr>
              <w:widowControl w:val="0"/>
              <w:rPr>
                <w:sz w:val="16"/>
                <w:szCs w:val="16"/>
                <w:lang w:val="es-ES_tradnl"/>
              </w:rPr>
            </w:pPr>
          </w:p>
        </w:tc>
        <w:tc>
          <w:tcPr>
            <w:tcW w:w="1514" w:type="pct"/>
            <w:tcBorders>
              <w:bottom w:val="nil"/>
            </w:tcBorders>
            <w:shd w:val="clear" w:color="auto" w:fill="auto"/>
            <w:tcMar>
              <w:top w:w="113" w:type="dxa"/>
            </w:tcMar>
          </w:tcPr>
          <w:p w:rsidR="0063482E" w:rsidRPr="00C75C7E" w:rsidRDefault="0063482E" w:rsidP="00EF3DB5">
            <w:pPr>
              <w:widowControl w:val="0"/>
              <w:tabs>
                <w:tab w:val="left" w:pos="1860"/>
              </w:tabs>
              <w:rPr>
                <w:sz w:val="16"/>
                <w:szCs w:val="16"/>
                <w:lang w:val="es-ES_tradnl"/>
              </w:rPr>
            </w:pPr>
            <w:r w:rsidRPr="00C75C7E">
              <w:rPr>
                <w:sz w:val="16"/>
                <w:szCs w:val="16"/>
                <w:lang w:val="es-ES_tradnl"/>
              </w:rPr>
              <w:t>Calidad del desarrollo de programas informáticos.</w:t>
            </w:r>
          </w:p>
        </w:tc>
        <w:tc>
          <w:tcPr>
            <w:tcW w:w="1093" w:type="pct"/>
            <w:tcBorders>
              <w:bottom w:val="nil"/>
            </w:tcBorders>
            <w:shd w:val="clear" w:color="auto" w:fill="FFFFFF"/>
            <w:tcMar>
              <w:top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Calidad del desarrollo de las aplicaciones informáticas más recientes de </w:t>
            </w:r>
            <w:proofErr w:type="spellStart"/>
            <w:r w:rsidRPr="00C75C7E">
              <w:rPr>
                <w:sz w:val="16"/>
                <w:szCs w:val="16"/>
                <w:lang w:val="es-ES_tradnl"/>
              </w:rPr>
              <w:t>ePCT</w:t>
            </w:r>
            <w:proofErr w:type="spellEnd"/>
            <w:r w:rsidRPr="00C75C7E">
              <w:rPr>
                <w:sz w:val="16"/>
                <w:szCs w:val="16"/>
                <w:lang w:val="es-ES_tradnl"/>
              </w:rPr>
              <w:t xml:space="preserve"> y </w:t>
            </w:r>
            <w:proofErr w:type="spellStart"/>
            <w:r w:rsidRPr="00C75C7E">
              <w:rPr>
                <w:sz w:val="16"/>
                <w:szCs w:val="16"/>
                <w:lang w:val="es-ES_tradnl"/>
              </w:rPr>
              <w:t>eDossier</w:t>
            </w:r>
            <w:proofErr w:type="spellEnd"/>
            <w:r w:rsidRPr="00C75C7E">
              <w:rPr>
                <w:sz w:val="16"/>
                <w:szCs w:val="16"/>
                <w:lang w:val="es-ES_tradnl"/>
              </w:rPr>
              <w:t xml:space="preserve"> en 2013.</w:t>
            </w:r>
          </w:p>
        </w:tc>
        <w:tc>
          <w:tcPr>
            <w:tcW w:w="1144" w:type="pct"/>
            <w:tcBorders>
              <w:bottom w:val="nil"/>
              <w:right w:val="single" w:sz="4" w:space="0" w:color="auto"/>
            </w:tcBorders>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Mayor calidad.</w:t>
            </w:r>
          </w:p>
        </w:tc>
      </w:tr>
      <w:tr w:rsidR="0063482E" w:rsidRPr="00C75C7E" w:rsidTr="00EF3DB5">
        <w:trPr>
          <w:cantSplit/>
          <w:trHeight w:val="580"/>
        </w:trPr>
        <w:tc>
          <w:tcPr>
            <w:tcW w:w="1249" w:type="pct"/>
            <w:vMerge/>
            <w:shd w:val="clear" w:color="auto" w:fill="auto"/>
            <w:tcMar>
              <w:top w:w="113" w:type="dxa"/>
            </w:tcMar>
          </w:tcPr>
          <w:p w:rsidR="0063482E" w:rsidRPr="00C75C7E" w:rsidRDefault="0063482E" w:rsidP="00EF3DB5">
            <w:pPr>
              <w:widowControl w:val="0"/>
              <w:rPr>
                <w:sz w:val="16"/>
                <w:szCs w:val="16"/>
                <w:lang w:val="es-ES_tradnl"/>
              </w:rPr>
            </w:pPr>
          </w:p>
        </w:tc>
        <w:tc>
          <w:tcPr>
            <w:tcW w:w="1514" w:type="pct"/>
            <w:tcBorders>
              <w:top w:val="nil"/>
              <w:bottom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Niveles de los servicios prestados por los sistemas de información.</w:t>
            </w:r>
          </w:p>
        </w:tc>
        <w:tc>
          <w:tcPr>
            <w:tcW w:w="1093" w:type="pct"/>
            <w:tcBorders>
              <w:top w:val="nil"/>
              <w:bottom w:val="single" w:sz="4" w:space="0" w:color="auto"/>
            </w:tcBorders>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Niveles de los servicios prestados por los sistemas de información en 2013.</w:t>
            </w:r>
          </w:p>
          <w:p w:rsidR="0063482E" w:rsidRPr="00C75C7E" w:rsidRDefault="0063482E" w:rsidP="00EF3DB5">
            <w:pPr>
              <w:widowControl w:val="0"/>
              <w:rPr>
                <w:sz w:val="16"/>
                <w:szCs w:val="16"/>
                <w:lang w:val="es-ES_tradnl" w:bidi="th-TH"/>
              </w:rPr>
            </w:pPr>
          </w:p>
        </w:tc>
        <w:tc>
          <w:tcPr>
            <w:tcW w:w="1144" w:type="pct"/>
            <w:tcBorders>
              <w:top w:val="nil"/>
              <w:bottom w:val="single" w:sz="4" w:space="0" w:color="auto"/>
              <w:right w:val="single" w:sz="4" w:space="0" w:color="auto"/>
            </w:tcBorders>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Niveles más elevados de los servicios prestados por los sistemas de información.</w:t>
            </w:r>
          </w:p>
        </w:tc>
      </w:tr>
    </w:tbl>
    <w:p w:rsidR="0063482E" w:rsidRPr="00C75C7E" w:rsidRDefault="0063482E" w:rsidP="0063482E">
      <w:pPr>
        <w:widowControl w:val="0"/>
        <w:rPr>
          <w:sz w:val="20"/>
          <w:lang w:val="es-ES_tradnl"/>
        </w:rPr>
      </w:pPr>
    </w:p>
    <w:p w:rsidR="00546AD7" w:rsidRPr="006B0DE9" w:rsidRDefault="00546AD7" w:rsidP="00546AD7">
      <w:pPr>
        <w:widowControl w:val="0"/>
        <w:rPr>
          <w:sz w:val="20"/>
        </w:rPr>
      </w:pPr>
    </w:p>
    <w:p w:rsidR="00546AD7" w:rsidRPr="006B0DE9" w:rsidRDefault="00546AD7" w:rsidP="00546AD7">
      <w:pPr>
        <w:widowControl w:val="0"/>
        <w:autoSpaceDE w:val="0"/>
        <w:autoSpaceDN w:val="0"/>
        <w:adjustRightInd w:val="0"/>
        <w:jc w:val="both"/>
        <w:rPr>
          <w:szCs w:val="22"/>
        </w:rPr>
      </w:pPr>
      <w:r w:rsidRPr="006B0DE9">
        <w:rPr>
          <w:szCs w:val="22"/>
        </w:rPr>
        <w:t>RECURSOS PARA EL PROGRAMA 5</w:t>
      </w:r>
    </w:p>
    <w:p w:rsidR="00546AD7" w:rsidRPr="006B0DE9" w:rsidRDefault="00546AD7" w:rsidP="00546AD7">
      <w:pPr>
        <w:widowControl w:val="0"/>
        <w:autoSpaceDE w:val="0"/>
        <w:autoSpaceDN w:val="0"/>
        <w:adjustRightInd w:val="0"/>
        <w:rPr>
          <w:sz w:val="20"/>
        </w:rPr>
      </w:pPr>
    </w:p>
    <w:p w:rsidR="00546AD7" w:rsidRPr="006B0DE9" w:rsidRDefault="00546AD7" w:rsidP="00BA276E">
      <w:pPr>
        <w:widowControl w:val="0"/>
        <w:numPr>
          <w:ilvl w:val="0"/>
          <w:numId w:val="24"/>
        </w:numPr>
        <w:jc w:val="both"/>
        <w:rPr>
          <w:sz w:val="20"/>
        </w:rPr>
      </w:pPr>
      <w:r w:rsidRPr="006B0DE9">
        <w:rPr>
          <w:sz w:val="20"/>
        </w:rPr>
        <w:t>El incremento propuesto para el resultado II.3 (Mejora de la productividad y de la calidad de los servicios en las operaciones del PCT) s</w:t>
      </w:r>
      <w:r w:rsidR="00F75B80">
        <w:rPr>
          <w:sz w:val="20"/>
        </w:rPr>
        <w:t>e debe a:  i) un aumento de 10,3</w:t>
      </w:r>
      <w:r w:rsidRPr="006B0DE9">
        <w:rPr>
          <w:sz w:val="20"/>
        </w:rPr>
        <w:t xml:space="preserve"> millones de francos suizos en la línea “Otros servicios contractuales” motivada por el aumento previsto del volumen de traducciones de resúmenes del PCT, informes de búsqueda internacional e informes preliminares internacionales sobre la </w:t>
      </w:r>
      <w:proofErr w:type="spellStart"/>
      <w:r w:rsidRPr="006B0DE9">
        <w:rPr>
          <w:sz w:val="20"/>
        </w:rPr>
        <w:t>patentabilidad</w:t>
      </w:r>
      <w:proofErr w:type="spellEnd"/>
      <w:r w:rsidRPr="006B0DE9">
        <w:rPr>
          <w:sz w:val="20"/>
        </w:rPr>
        <w:t xml:space="preserve"> que se van a subcontratar durante el bienio próximo y ii) un aumento de 400.000 francos suizos en gastos </w:t>
      </w:r>
      <w:r w:rsidR="00F75B80">
        <w:rPr>
          <w:sz w:val="20"/>
        </w:rPr>
        <w:t>no relativos a</w:t>
      </w:r>
      <w:r w:rsidRPr="006B0DE9">
        <w:rPr>
          <w:sz w:val="20"/>
        </w:rPr>
        <w:t xml:space="preserve"> personal en relación con las Becas de la OMPI, que responde a los recursos que serán necesarios para poner en marcha un nuevo programa de becas entre la Oficina Internacional y las oficinas nacionales de P.I. para los sistemas mundiales de registro.  Este programa permitirá al personal de las oficinas nacionales participantes conocer en profundidad la labor que desarrolla la Oficina Internacional y adquirir conocimientos y experiencia laboral en primera persona acerca de los procedimientos de </w:t>
      </w:r>
      <w:r w:rsidR="00EE69B6">
        <w:rPr>
          <w:sz w:val="20"/>
        </w:rPr>
        <w:t>examen</w:t>
      </w:r>
      <w:r w:rsidRPr="006B0DE9">
        <w:rPr>
          <w:sz w:val="20"/>
        </w:rPr>
        <w:t xml:space="preserve"> de forma así como de las últimas novedades</w:t>
      </w:r>
      <w:r w:rsidR="00E21158">
        <w:rPr>
          <w:sz w:val="20"/>
        </w:rPr>
        <w:t xml:space="preserve"> en este ámbito.  El aumento de </w:t>
      </w:r>
      <w:r w:rsidRPr="006B0DE9">
        <w:rPr>
          <w:sz w:val="20"/>
        </w:rPr>
        <w:t>300.000 francos suizos en la línea “Locales y mantenimiento" está relacionado con el sector de los Servicios de información del PCT para el mantenimiento de los equipos de tecnologías de la información (T.I.).</w:t>
      </w:r>
    </w:p>
    <w:p w:rsidR="00546AD7" w:rsidRPr="006B0DE9" w:rsidRDefault="00546AD7" w:rsidP="00546AD7">
      <w:pPr>
        <w:widowControl w:val="0"/>
        <w:autoSpaceDE w:val="0"/>
        <w:autoSpaceDN w:val="0"/>
        <w:adjustRightInd w:val="0"/>
        <w:rPr>
          <w:sz w:val="20"/>
        </w:rPr>
      </w:pPr>
    </w:p>
    <w:p w:rsidR="0063482E" w:rsidRPr="00546AD7" w:rsidRDefault="0063482E" w:rsidP="0063482E">
      <w:pPr>
        <w:widowControl w:val="0"/>
        <w:autoSpaceDE w:val="0"/>
        <w:autoSpaceDN w:val="0"/>
        <w:adjustRightInd w:val="0"/>
        <w:rPr>
          <w:sz w:val="20"/>
        </w:rPr>
      </w:pPr>
    </w:p>
    <w:p w:rsidR="0063482E" w:rsidRPr="00C75C7E" w:rsidRDefault="00EE69B6" w:rsidP="0063482E">
      <w:pPr>
        <w:widowControl w:val="0"/>
        <w:autoSpaceDE w:val="0"/>
        <w:autoSpaceDN w:val="0"/>
        <w:adjustRightInd w:val="0"/>
        <w:jc w:val="center"/>
        <w:rPr>
          <w:b/>
          <w:bCs/>
          <w:iCs/>
          <w:sz w:val="20"/>
          <w:lang w:val="es-ES_tradnl"/>
        </w:rPr>
      </w:pPr>
      <w:r>
        <w:rPr>
          <w:b/>
          <w:bCs/>
          <w:iCs/>
          <w:sz w:val="20"/>
          <w:lang w:val="es-ES_tradnl"/>
        </w:rPr>
        <w:t>Programa 5</w:t>
      </w:r>
      <w:proofErr w:type="gramStart"/>
      <w:r>
        <w:rPr>
          <w:b/>
          <w:bCs/>
          <w:iCs/>
          <w:sz w:val="20"/>
          <w:lang w:val="es-ES_tradnl"/>
        </w:rPr>
        <w:t xml:space="preserve">:  </w:t>
      </w:r>
      <w:r w:rsidR="0063482E" w:rsidRPr="00C75C7E">
        <w:rPr>
          <w:b/>
          <w:bCs/>
          <w:iCs/>
          <w:sz w:val="20"/>
          <w:lang w:val="es-ES_tradnl"/>
        </w:rPr>
        <w:t>Recursos</w:t>
      </w:r>
      <w:proofErr w:type="gramEnd"/>
      <w:r w:rsidR="0063482E" w:rsidRPr="00C75C7E">
        <w:rPr>
          <w:b/>
          <w:bCs/>
          <w:iCs/>
          <w:sz w:val="20"/>
          <w:lang w:val="es-ES_tradnl"/>
        </w:rPr>
        <w:t xml:space="preserve"> por resultado</w:t>
      </w:r>
    </w:p>
    <w:p w:rsidR="0063482E" w:rsidRDefault="0063482E" w:rsidP="0063482E">
      <w:pPr>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265DC" w:rsidRPr="00C75C7E" w:rsidRDefault="006265DC" w:rsidP="0063482E">
      <w:pPr>
        <w:widowControl w:val="0"/>
        <w:autoSpaceDE w:val="0"/>
        <w:autoSpaceDN w:val="0"/>
        <w:adjustRightInd w:val="0"/>
        <w:jc w:val="center"/>
        <w:rPr>
          <w:b/>
          <w:i/>
          <w:sz w:val="18"/>
          <w:szCs w:val="18"/>
          <w:lang w:val="es-ES_tradnl"/>
        </w:rPr>
      </w:pPr>
    </w:p>
    <w:p w:rsidR="0063482E" w:rsidRPr="00C75C7E" w:rsidRDefault="002178C9" w:rsidP="0063482E">
      <w:pPr>
        <w:widowControl w:val="0"/>
        <w:autoSpaceDE w:val="0"/>
        <w:autoSpaceDN w:val="0"/>
        <w:adjustRightInd w:val="0"/>
        <w:jc w:val="center"/>
        <w:rPr>
          <w:i/>
          <w:sz w:val="18"/>
          <w:szCs w:val="18"/>
          <w:lang w:val="es-ES_tradnl"/>
        </w:rPr>
      </w:pPr>
      <w:r w:rsidRPr="002178C9">
        <w:rPr>
          <w:noProof/>
          <w:lang w:val="en-US" w:eastAsia="en-US"/>
        </w:rPr>
        <w:drawing>
          <wp:inline distT="0" distB="0" distL="0" distR="0" wp14:anchorId="32B1D524" wp14:editId="6B4A8D42">
            <wp:extent cx="5858510" cy="1722755"/>
            <wp:effectExtent l="0" t="0" r="8890"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58510" cy="1722755"/>
                    </a:xfrm>
                    <a:prstGeom prst="rect">
                      <a:avLst/>
                    </a:prstGeom>
                    <a:noFill/>
                    <a:ln>
                      <a:noFill/>
                    </a:ln>
                  </pic:spPr>
                </pic:pic>
              </a:graphicData>
            </a:graphic>
          </wp:inline>
        </w:drawing>
      </w:r>
    </w:p>
    <w:p w:rsidR="0063482E" w:rsidRPr="00C75C7E" w:rsidRDefault="0063482E" w:rsidP="0063482E">
      <w:pPr>
        <w:widowControl w:val="0"/>
        <w:autoSpaceDE w:val="0"/>
        <w:autoSpaceDN w:val="0"/>
        <w:adjustRightInd w:val="0"/>
        <w:jc w:val="center"/>
        <w:rPr>
          <w:sz w:val="20"/>
          <w:lang w:val="es-ES_tradnl"/>
        </w:rPr>
      </w:pPr>
    </w:p>
    <w:p w:rsidR="0063482E" w:rsidRPr="00C75C7E" w:rsidRDefault="0063482E" w:rsidP="0063482E">
      <w:pPr>
        <w:widowControl w:val="0"/>
        <w:autoSpaceDE w:val="0"/>
        <w:autoSpaceDN w:val="0"/>
        <w:adjustRightInd w:val="0"/>
        <w:jc w:val="center"/>
        <w:rPr>
          <w:sz w:val="20"/>
          <w:lang w:val="es-ES_tradnl"/>
        </w:rPr>
      </w:pPr>
    </w:p>
    <w:p w:rsidR="0063482E" w:rsidRPr="00C75C7E" w:rsidRDefault="0063482E" w:rsidP="0063482E">
      <w:pPr>
        <w:widowControl w:val="0"/>
        <w:autoSpaceDE w:val="0"/>
        <w:autoSpaceDN w:val="0"/>
        <w:adjustRightInd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63482E" w:rsidRPr="00C75C7E" w:rsidRDefault="0063482E" w:rsidP="0063482E">
      <w:pPr>
        <w:widowControl w:val="0"/>
        <w:autoSpaceDE w:val="0"/>
        <w:autoSpaceDN w:val="0"/>
        <w:adjustRightInd w:val="0"/>
        <w:rPr>
          <w:sz w:val="20"/>
          <w:lang w:val="es-ES_tradnl"/>
        </w:rPr>
      </w:pPr>
    </w:p>
    <w:p w:rsidR="0063482E" w:rsidRPr="00C75C7E" w:rsidRDefault="0063482E" w:rsidP="0063482E">
      <w:pPr>
        <w:widowControl w:val="0"/>
        <w:jc w:val="both"/>
        <w:rPr>
          <w:sz w:val="20"/>
          <w:lang w:val="es-ES_tradnl"/>
        </w:rPr>
      </w:pPr>
    </w:p>
    <w:p w:rsidR="0063482E" w:rsidRPr="00C75C7E" w:rsidRDefault="00214E52" w:rsidP="0079447F">
      <w:pPr>
        <w:keepNext/>
        <w:widowControl w:val="0"/>
        <w:autoSpaceDE w:val="0"/>
        <w:autoSpaceDN w:val="0"/>
        <w:adjustRightInd w:val="0"/>
        <w:jc w:val="center"/>
        <w:rPr>
          <w:b/>
          <w:bCs/>
          <w:iCs/>
          <w:sz w:val="20"/>
          <w:lang w:val="es-ES_tradnl"/>
        </w:rPr>
      </w:pPr>
      <w:r>
        <w:rPr>
          <w:b/>
          <w:bCs/>
          <w:iCs/>
          <w:sz w:val="20"/>
          <w:lang w:val="es-ES_tradnl"/>
        </w:rPr>
        <w:lastRenderedPageBreak/>
        <w:t>Programa 5</w:t>
      </w:r>
      <w:proofErr w:type="gramStart"/>
      <w:r>
        <w:rPr>
          <w:b/>
          <w:bCs/>
          <w:iCs/>
          <w:sz w:val="20"/>
          <w:lang w:val="es-ES_tradnl"/>
        </w:rPr>
        <w:t xml:space="preserve">:  </w:t>
      </w:r>
      <w:r w:rsidR="0063482E" w:rsidRPr="00C75C7E">
        <w:rPr>
          <w:b/>
          <w:bCs/>
          <w:iCs/>
          <w:sz w:val="20"/>
          <w:lang w:val="es-ES_tradnl"/>
        </w:rPr>
        <w:t>Recursos</w:t>
      </w:r>
      <w:proofErr w:type="gramEnd"/>
      <w:r w:rsidR="0063482E" w:rsidRPr="00C75C7E">
        <w:rPr>
          <w:b/>
          <w:bCs/>
          <w:iCs/>
          <w:sz w:val="20"/>
          <w:lang w:val="es-ES_tradnl"/>
        </w:rPr>
        <w:t xml:space="preserve"> por objeto de gasto</w:t>
      </w:r>
    </w:p>
    <w:p w:rsidR="0063482E" w:rsidRDefault="0063482E" w:rsidP="0079447F">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723CAF" w:rsidRDefault="00723CAF" w:rsidP="0079447F">
      <w:pPr>
        <w:keepNext/>
        <w:widowControl w:val="0"/>
        <w:autoSpaceDE w:val="0"/>
        <w:autoSpaceDN w:val="0"/>
        <w:adjustRightInd w:val="0"/>
        <w:jc w:val="center"/>
        <w:rPr>
          <w:bCs/>
          <w:i/>
          <w:sz w:val="20"/>
          <w:lang w:val="es-ES_tradnl"/>
        </w:rPr>
      </w:pPr>
    </w:p>
    <w:p w:rsidR="00723CAF" w:rsidRPr="00C75C7E" w:rsidRDefault="007653ED" w:rsidP="0079447F">
      <w:pPr>
        <w:keepNext/>
        <w:widowControl w:val="0"/>
        <w:autoSpaceDE w:val="0"/>
        <w:autoSpaceDN w:val="0"/>
        <w:adjustRightInd w:val="0"/>
        <w:jc w:val="center"/>
        <w:rPr>
          <w:bCs/>
          <w:i/>
          <w:sz w:val="20"/>
          <w:lang w:val="es-ES_tradnl"/>
        </w:rPr>
      </w:pPr>
      <w:r w:rsidRPr="007653ED">
        <w:rPr>
          <w:noProof/>
          <w:lang w:val="en-US" w:eastAsia="en-US"/>
        </w:rPr>
        <w:drawing>
          <wp:inline distT="0" distB="0" distL="0" distR="0" wp14:anchorId="261A0C3F" wp14:editId="50549CAF">
            <wp:extent cx="5940425" cy="5956778"/>
            <wp:effectExtent l="0" t="0" r="3175" b="635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940425" cy="5956778"/>
                    </a:xfrm>
                    <a:prstGeom prst="rect">
                      <a:avLst/>
                    </a:prstGeom>
                    <a:noFill/>
                    <a:ln>
                      <a:noFill/>
                    </a:ln>
                  </pic:spPr>
                </pic:pic>
              </a:graphicData>
            </a:graphic>
          </wp:inline>
        </w:drawing>
      </w:r>
    </w:p>
    <w:p w:rsidR="0063482E" w:rsidRPr="00C75C7E" w:rsidRDefault="0063482E" w:rsidP="0079447F">
      <w:pPr>
        <w:keepNext/>
        <w:widowControl w:val="0"/>
        <w:autoSpaceDE w:val="0"/>
        <w:autoSpaceDN w:val="0"/>
        <w:adjustRightInd w:val="0"/>
        <w:rPr>
          <w:sz w:val="20"/>
          <w:lang w:val="es-ES_tradnl"/>
        </w:rPr>
      </w:pPr>
    </w:p>
    <w:p w:rsidR="0063482E" w:rsidRPr="00C75C7E" w:rsidRDefault="0063482E" w:rsidP="0063482E">
      <w:pPr>
        <w:widowControl w:val="0"/>
        <w:rPr>
          <w:sz w:val="16"/>
          <w:szCs w:val="16"/>
          <w:lang w:val="es-ES_tradnl"/>
        </w:rPr>
      </w:pPr>
      <w:r w:rsidRPr="00C75C7E">
        <w:rPr>
          <w:sz w:val="16"/>
          <w:szCs w:val="16"/>
          <w:lang w:val="es-ES_tradnl"/>
        </w:rPr>
        <w:t>Notas:</w:t>
      </w:r>
    </w:p>
    <w:p w:rsidR="0063482E" w:rsidRPr="00C75C7E" w:rsidRDefault="0063482E" w:rsidP="0063482E">
      <w:pPr>
        <w:widowControl w:val="0"/>
        <w:rPr>
          <w:sz w:val="16"/>
          <w:szCs w:val="16"/>
          <w:u w:val="single"/>
          <w:lang w:val="es-ES_tradnl"/>
        </w:rPr>
      </w:pPr>
    </w:p>
    <w:p w:rsidR="0063482E" w:rsidRDefault="00133F6F" w:rsidP="0063482E">
      <w:pPr>
        <w:widowControl w:val="0"/>
        <w:tabs>
          <w:tab w:val="left" w:pos="567"/>
        </w:tabs>
        <w:rPr>
          <w:sz w:val="16"/>
          <w:szCs w:val="16"/>
          <w:lang w:val="es-ES_tradnl"/>
        </w:rPr>
      </w:pPr>
      <w:r>
        <w:rPr>
          <w:sz w:val="16"/>
          <w:szCs w:val="16"/>
          <w:lang w:val="es-ES_tradnl"/>
        </w:rPr>
        <w:t xml:space="preserve">1)  </w:t>
      </w:r>
      <w:r w:rsidR="0063482E" w:rsidRPr="00C75C7E">
        <w:rPr>
          <w:sz w:val="16"/>
          <w:szCs w:val="16"/>
          <w:lang w:val="es-ES_tradnl"/>
        </w:rPr>
        <w:t xml:space="preserve">El presupuesto aprobado de 2012/13 y el presupuesto de dicho bienio después de las transferencias se </w:t>
      </w:r>
      <w:proofErr w:type="spellStart"/>
      <w:r w:rsidR="0063482E" w:rsidRPr="00C75C7E">
        <w:rPr>
          <w:sz w:val="16"/>
          <w:szCs w:val="16"/>
          <w:lang w:val="es-ES_tradnl"/>
        </w:rPr>
        <w:t>reexpresan</w:t>
      </w:r>
      <w:proofErr w:type="spellEnd"/>
      <w:r w:rsidR="0063482E" w:rsidRPr="00C75C7E">
        <w:rPr>
          <w:sz w:val="16"/>
          <w:szCs w:val="16"/>
          <w:lang w:val="es-ES_tradnl"/>
        </w:rPr>
        <w:t xml:space="preserve"> sobre la base de la estructura de categorías de costos propuesta para 2014/15.</w:t>
      </w:r>
    </w:p>
    <w:p w:rsidR="0063482E" w:rsidRPr="00C75C7E" w:rsidRDefault="0063482E" w:rsidP="0063482E">
      <w:pPr>
        <w:widowControl w:val="0"/>
        <w:tabs>
          <w:tab w:val="left" w:pos="567"/>
        </w:tabs>
        <w:rPr>
          <w:sz w:val="16"/>
          <w:szCs w:val="16"/>
          <w:lang w:val="es-ES_tradnl"/>
        </w:rPr>
      </w:pPr>
    </w:p>
    <w:p w:rsidR="0063482E" w:rsidRDefault="0063482E" w:rsidP="0063482E">
      <w:pPr>
        <w:widowControl w:val="0"/>
        <w:tabs>
          <w:tab w:val="left" w:pos="567"/>
        </w:tabs>
        <w:rPr>
          <w:rFonts w:cs="ArialMT"/>
          <w:sz w:val="16"/>
          <w:szCs w:val="16"/>
          <w:lang w:val="es-ES_tradnl"/>
        </w:rPr>
      </w:pPr>
      <w:r>
        <w:rPr>
          <w:sz w:val="16"/>
          <w:szCs w:val="16"/>
          <w:lang w:val="es-ES_tradnl"/>
        </w:rPr>
        <w:t>2)</w:t>
      </w:r>
      <w:r w:rsidR="00133F6F">
        <w:rPr>
          <w:sz w:val="16"/>
          <w:szCs w:val="16"/>
          <w:lang w:val="es-ES_tradnl"/>
        </w:rPr>
        <w:t xml:space="preserve">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y los ajustes de flexibilidad efectuados en virtud del artículo 5.6.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Para más información sobre las fórmulas de flexibilidad cabe remitirse al Apéndice D del presente documento.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63482E" w:rsidRPr="00C75C7E" w:rsidRDefault="0063482E" w:rsidP="0063482E">
      <w:pPr>
        <w:widowControl w:val="0"/>
        <w:rPr>
          <w:sz w:val="16"/>
          <w:szCs w:val="16"/>
          <w:lang w:val="es-ES_tradnl"/>
        </w:rPr>
      </w:pPr>
    </w:p>
    <w:p w:rsidR="0063482E" w:rsidRPr="00C75C7E" w:rsidRDefault="0063482E" w:rsidP="0063482E">
      <w:pPr>
        <w:widowControl w:val="0"/>
        <w:rPr>
          <w:sz w:val="16"/>
          <w:szCs w:val="16"/>
          <w:lang w:val="es-ES_tradnl"/>
        </w:rPr>
      </w:pPr>
      <w:r>
        <w:rPr>
          <w:sz w:val="16"/>
          <w:szCs w:val="16"/>
          <w:lang w:val="es-ES_tradnl"/>
        </w:rPr>
        <w:t>3)</w:t>
      </w:r>
      <w:r w:rsidR="00133F6F">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546AD7" w:rsidRPr="006B0DE9" w:rsidRDefault="0063482E" w:rsidP="00546AD7">
      <w:pPr>
        <w:pStyle w:val="StyleHeading3ComplexItalic"/>
        <w:keepNext w:val="0"/>
        <w:widowControl w:val="0"/>
        <w:rPr>
          <w:lang w:val="es-ES"/>
        </w:rPr>
      </w:pPr>
      <w:r w:rsidRPr="00C75C7E">
        <w:rPr>
          <w:lang w:val="es-ES_tradnl"/>
        </w:rPr>
        <w:br w:type="page"/>
      </w:r>
      <w:bookmarkStart w:id="32" w:name="_Toc356567753"/>
      <w:bookmarkStart w:id="33" w:name="_Toc366078714"/>
      <w:r w:rsidR="006A15F5" w:rsidRPr="006B0DE9">
        <w:rPr>
          <w:caps w:val="0"/>
          <w:lang w:val="es-ES"/>
        </w:rPr>
        <w:lastRenderedPageBreak/>
        <w:t>PROGRAMA 6</w:t>
      </w:r>
      <w:r w:rsidR="006A15F5" w:rsidRPr="006B0DE9">
        <w:rPr>
          <w:caps w:val="0"/>
          <w:lang w:val="es-ES"/>
        </w:rPr>
        <w:tab/>
      </w:r>
      <w:bookmarkEnd w:id="32"/>
      <w:r w:rsidR="006A15F5" w:rsidRPr="006B0DE9">
        <w:rPr>
          <w:caps w:val="0"/>
          <w:lang w:val="es-ES"/>
        </w:rPr>
        <w:t>SISTEMAS DE MADRID Y DE LISBOA</w:t>
      </w:r>
      <w:bookmarkEnd w:id="33"/>
    </w:p>
    <w:p w:rsidR="00546AD7" w:rsidRPr="006B0DE9" w:rsidRDefault="00546AD7" w:rsidP="006A15F5"/>
    <w:p w:rsidR="00546AD7" w:rsidRPr="006B0DE9" w:rsidRDefault="00546AD7" w:rsidP="006A15F5">
      <w:pPr>
        <w:rPr>
          <w:b/>
        </w:rPr>
      </w:pPr>
    </w:p>
    <w:p w:rsidR="00546AD7" w:rsidRPr="006B0DE9" w:rsidRDefault="00546AD7" w:rsidP="00546AD7">
      <w:pPr>
        <w:widowControl w:val="0"/>
        <w:jc w:val="both"/>
        <w:rPr>
          <w:b/>
          <w:szCs w:val="22"/>
        </w:rPr>
      </w:pPr>
      <w:r w:rsidRPr="006B0DE9">
        <w:rPr>
          <w:b/>
          <w:szCs w:val="22"/>
        </w:rPr>
        <w:t>A.</w:t>
      </w:r>
      <w:r w:rsidRPr="006B0DE9">
        <w:rPr>
          <w:b/>
          <w:szCs w:val="22"/>
        </w:rPr>
        <w:tab/>
        <w:t>SISTEMA DE MADRID</w:t>
      </w:r>
    </w:p>
    <w:p w:rsidR="00546AD7" w:rsidRDefault="00546AD7" w:rsidP="00546AD7">
      <w:pPr>
        <w:pStyle w:val="BodyTextIndent"/>
        <w:widowControl w:val="0"/>
        <w:ind w:left="1985" w:hanging="1985"/>
        <w:jc w:val="both"/>
        <w:rPr>
          <w:rFonts w:ascii="Arial" w:hAnsi="Arial" w:cs="Arial"/>
          <w:sz w:val="20"/>
          <w:lang w:val="es-ES"/>
        </w:rPr>
      </w:pPr>
    </w:p>
    <w:p w:rsidR="00450C3A" w:rsidRPr="006B0DE9" w:rsidRDefault="00450C3A" w:rsidP="00546AD7">
      <w:pPr>
        <w:pStyle w:val="BodyTextIndent"/>
        <w:widowControl w:val="0"/>
        <w:ind w:left="1985" w:hanging="1985"/>
        <w:jc w:val="both"/>
        <w:rPr>
          <w:rFonts w:ascii="Arial" w:hAnsi="Arial" w:cs="Arial"/>
          <w:sz w:val="20"/>
          <w:lang w:val="es-ES"/>
        </w:rPr>
      </w:pPr>
    </w:p>
    <w:p w:rsidR="00546AD7" w:rsidRPr="006B0DE9" w:rsidRDefault="00546AD7" w:rsidP="00546AD7">
      <w:pPr>
        <w:widowControl w:val="0"/>
        <w:rPr>
          <w:szCs w:val="18"/>
        </w:rPr>
      </w:pPr>
      <w:r w:rsidRPr="006B0DE9">
        <w:rPr>
          <w:szCs w:val="18"/>
        </w:rPr>
        <w:t>CONTEXTO DE PLANIFICACIÓN</w:t>
      </w:r>
    </w:p>
    <w:p w:rsidR="00546AD7" w:rsidRPr="006B0DE9" w:rsidRDefault="00546AD7" w:rsidP="00546AD7">
      <w:pPr>
        <w:pStyle w:val="Default"/>
        <w:widowControl w:val="0"/>
        <w:jc w:val="both"/>
        <w:rPr>
          <w:sz w:val="20"/>
          <w:szCs w:val="20"/>
          <w:lang w:val="es-ES"/>
        </w:rPr>
      </w:pPr>
    </w:p>
    <w:p w:rsidR="00546AD7" w:rsidRPr="006B0DE9" w:rsidRDefault="00546AD7" w:rsidP="00BA276E">
      <w:pPr>
        <w:widowControl w:val="0"/>
        <w:numPr>
          <w:ilvl w:val="0"/>
          <w:numId w:val="26"/>
        </w:numPr>
        <w:jc w:val="both"/>
        <w:rPr>
          <w:sz w:val="20"/>
        </w:rPr>
      </w:pPr>
      <w:r w:rsidRPr="006B0DE9">
        <w:rPr>
          <w:sz w:val="20"/>
        </w:rPr>
        <w:t>El sistema de Madrid, a pesar de la incertidumbre en la que se encuentra la economía a nivel mundial, ha seguido creciendo desde 2011 en lo que se refiere a la cantidad de solicitudes presentadas y el número de Partes Contratantes en las que ha entrado en vigor el Protocolo de Madrid.  Se espera que este crecimiento se mantenga durante el bienio próximo.</w:t>
      </w:r>
    </w:p>
    <w:p w:rsidR="00546AD7" w:rsidRPr="006B0DE9" w:rsidRDefault="00546AD7" w:rsidP="00546AD7">
      <w:pPr>
        <w:widowControl w:val="0"/>
        <w:jc w:val="both"/>
        <w:rPr>
          <w:sz w:val="20"/>
          <w:szCs w:val="16"/>
        </w:rPr>
      </w:pPr>
    </w:p>
    <w:p w:rsidR="00546AD7" w:rsidRPr="006B0DE9" w:rsidRDefault="00546AD7" w:rsidP="00546AD7">
      <w:pPr>
        <w:widowControl w:val="0"/>
        <w:jc w:val="both"/>
        <w:rPr>
          <w:sz w:val="20"/>
          <w:szCs w:val="16"/>
        </w:rPr>
      </w:pPr>
    </w:p>
    <w:p w:rsidR="00546AD7" w:rsidRPr="006B0DE9" w:rsidRDefault="00546AD7" w:rsidP="00546AD7">
      <w:pPr>
        <w:widowControl w:val="0"/>
        <w:jc w:val="both"/>
        <w:rPr>
          <w:szCs w:val="18"/>
        </w:rPr>
      </w:pPr>
      <w:r w:rsidRPr="006B0DE9">
        <w:rPr>
          <w:szCs w:val="18"/>
        </w:rPr>
        <w:t>ESTRATEGIAS DE EJECUCIÓN</w:t>
      </w:r>
    </w:p>
    <w:p w:rsidR="00546AD7" w:rsidRPr="006B0DE9" w:rsidRDefault="00546AD7" w:rsidP="00546AD7">
      <w:pPr>
        <w:widowControl w:val="0"/>
        <w:jc w:val="both"/>
        <w:rPr>
          <w:sz w:val="20"/>
        </w:rPr>
      </w:pPr>
    </w:p>
    <w:p w:rsidR="00546AD7" w:rsidRPr="006B0DE9" w:rsidRDefault="00546AD7" w:rsidP="00BA276E">
      <w:pPr>
        <w:widowControl w:val="0"/>
        <w:numPr>
          <w:ilvl w:val="0"/>
          <w:numId w:val="26"/>
        </w:numPr>
        <w:jc w:val="both"/>
        <w:rPr>
          <w:sz w:val="20"/>
        </w:rPr>
      </w:pPr>
      <w:r w:rsidRPr="006B0DE9">
        <w:rPr>
          <w:sz w:val="20"/>
        </w:rPr>
        <w:t xml:space="preserve">Durante el bienio 2014/15 se va a continuar prestando atención especial al aumento del alcance geográfico del sistema de Madrid entre los países desarrollados, </w:t>
      </w:r>
      <w:r w:rsidR="003A4B0F">
        <w:rPr>
          <w:sz w:val="20"/>
        </w:rPr>
        <w:t xml:space="preserve">los países </w:t>
      </w:r>
      <w:r w:rsidRPr="006B0DE9">
        <w:rPr>
          <w:sz w:val="20"/>
        </w:rPr>
        <w:t>en desarrollo y los países menos adelantados (PMA), fomentando un mayor uso del sistema tanto entre las Partes Contratantes actuales como entre las nuevas.  Además, se van a aprovechar las oportunidades que se deriven del hecho de que todos los miembros de la Unión de Madrid sean Partes Contratantes del Protocolo de Madrid.  Esto permitirá desarrollar todo el potencial que tiene el sistema de Madrid como principal herramienta con la que cuentan las empresas de todos los tamaños para proteger sus marcas en los mercados de exportación.</w:t>
      </w:r>
    </w:p>
    <w:p w:rsidR="00546AD7" w:rsidRPr="006B0DE9" w:rsidRDefault="00546AD7" w:rsidP="00546AD7">
      <w:pPr>
        <w:widowControl w:val="0"/>
        <w:jc w:val="both"/>
        <w:rPr>
          <w:sz w:val="20"/>
        </w:rPr>
      </w:pPr>
    </w:p>
    <w:p w:rsidR="00546AD7" w:rsidRPr="006B0DE9" w:rsidRDefault="00546AD7" w:rsidP="00BA276E">
      <w:pPr>
        <w:widowControl w:val="0"/>
        <w:numPr>
          <w:ilvl w:val="0"/>
          <w:numId w:val="26"/>
        </w:numPr>
        <w:jc w:val="both"/>
        <w:rPr>
          <w:sz w:val="20"/>
        </w:rPr>
      </w:pPr>
      <w:r w:rsidRPr="006B0DE9">
        <w:rPr>
          <w:sz w:val="20"/>
        </w:rPr>
        <w:t>Se va a continuar perfeccionando el sistema de Madrid, simplificándolo aún más y aumentando la eficiencia y la rentabilidad en la administración de los procedimientos de registro internacional.  Para ello es necesario en concreto llevar a cabo una búsqueda continua de fórmulas que permitan simplificar el funcionamiento de la Oficina Internacional dentro de los límites que establece el marco jurídico internacional.  Esto incluye agilizar los procesos operativos, continuar ampliando los medios de comunicación electrónica entre la Oficina Internacional, las oficinas y los usuarios, y el empleo de herramientas de T.I. modernas en beneficio tanto de los titulares de derechos como de las oficinas.</w:t>
      </w:r>
    </w:p>
    <w:p w:rsidR="00546AD7" w:rsidRPr="006B0DE9" w:rsidRDefault="00546AD7" w:rsidP="00546AD7">
      <w:pPr>
        <w:widowControl w:val="0"/>
        <w:jc w:val="both"/>
        <w:rPr>
          <w:sz w:val="20"/>
        </w:rPr>
      </w:pPr>
    </w:p>
    <w:p w:rsidR="00546AD7" w:rsidRPr="006B0DE9" w:rsidRDefault="00546AD7" w:rsidP="00BA276E">
      <w:pPr>
        <w:widowControl w:val="0"/>
        <w:numPr>
          <w:ilvl w:val="0"/>
          <w:numId w:val="26"/>
        </w:numPr>
        <w:jc w:val="both"/>
        <w:rPr>
          <w:sz w:val="20"/>
        </w:rPr>
      </w:pPr>
      <w:r w:rsidRPr="006B0DE9">
        <w:rPr>
          <w:sz w:val="20"/>
        </w:rPr>
        <w:t xml:space="preserve">Con la finalidad de mejorar la atención que se presta a los clientes y de ofrecer un acceso más rápido y sencillo a la información básica, la Oficina Internacional continuará fomentando la comunicación electrónica entre la propia Oficina Internacional, de una parte, y las oficinas y los usuarios, de otra.  En concreto, se van a mejorar los servicios que se prestan en la actualidad en Internet, entre los que se encuentra el Gestor de Productos y Servicios de Madrid (MGS), que es una herramienta plurilingüe disponible en Internet que permite </w:t>
      </w:r>
      <w:r w:rsidR="00391FE9">
        <w:rPr>
          <w:sz w:val="20"/>
        </w:rPr>
        <w:t>com</w:t>
      </w:r>
      <w:r w:rsidRPr="006B0DE9">
        <w:rPr>
          <w:sz w:val="20"/>
        </w:rPr>
        <w:t>pilar lista</w:t>
      </w:r>
      <w:r w:rsidR="00391FE9">
        <w:rPr>
          <w:sz w:val="20"/>
        </w:rPr>
        <w:t>s</w:t>
      </w:r>
      <w:r w:rsidRPr="006B0DE9">
        <w:rPr>
          <w:sz w:val="20"/>
        </w:rPr>
        <w:t xml:space="preserve"> de productos y servicios que se pueden utilizar a la hora de presentar </w:t>
      </w:r>
      <w:r w:rsidR="00391FE9">
        <w:rPr>
          <w:sz w:val="20"/>
        </w:rPr>
        <w:t>solicitudes de registro de marcas.</w:t>
      </w:r>
    </w:p>
    <w:p w:rsidR="00546AD7" w:rsidRPr="006B0DE9" w:rsidRDefault="00546AD7" w:rsidP="00546AD7">
      <w:pPr>
        <w:widowControl w:val="0"/>
        <w:jc w:val="both"/>
        <w:rPr>
          <w:sz w:val="20"/>
        </w:rPr>
      </w:pPr>
    </w:p>
    <w:p w:rsidR="00546AD7" w:rsidRPr="006B0DE9" w:rsidRDefault="00546AD7" w:rsidP="00BA276E">
      <w:pPr>
        <w:widowControl w:val="0"/>
        <w:numPr>
          <w:ilvl w:val="0"/>
          <w:numId w:val="26"/>
        </w:numPr>
        <w:jc w:val="both"/>
        <w:rPr>
          <w:sz w:val="20"/>
        </w:rPr>
      </w:pPr>
      <w:r w:rsidRPr="006B0DE9">
        <w:rPr>
          <w:sz w:val="20"/>
        </w:rPr>
        <w:t>El Grupo de Trabajo sobre el Desarrollo Jurídico del Sistema de Madrid se seguirá reuniendo dos veces al año o cuando lo estime necesario, y buscará fórmulas para mejorar el marco jurídico internacional.  Por recomendación del Grupo de Trabajo, las modificaciones que se propone introducir en el Reglamento Común se someterán al examen de la Asamblea de la Unión de Madrid para su aprobación durante el bienio 2014/15.</w:t>
      </w:r>
    </w:p>
    <w:p w:rsidR="00546AD7" w:rsidRPr="006B0DE9" w:rsidRDefault="00546AD7" w:rsidP="00546AD7">
      <w:pPr>
        <w:widowControl w:val="0"/>
        <w:jc w:val="both"/>
        <w:rPr>
          <w:sz w:val="20"/>
        </w:rPr>
      </w:pPr>
    </w:p>
    <w:p w:rsidR="00546AD7" w:rsidRPr="006B0DE9" w:rsidRDefault="00546AD7" w:rsidP="00BA276E">
      <w:pPr>
        <w:widowControl w:val="0"/>
        <w:numPr>
          <w:ilvl w:val="0"/>
          <w:numId w:val="26"/>
        </w:numPr>
        <w:jc w:val="both"/>
        <w:rPr>
          <w:sz w:val="20"/>
        </w:rPr>
      </w:pPr>
      <w:r w:rsidRPr="006B0DE9">
        <w:rPr>
          <w:sz w:val="20"/>
        </w:rPr>
        <w:t>Con respecto a la información y promoción, se va a realizar un esfuerzo especial a fin de establecer cuáles pueden ser las causas de la infrautilización del sistema en determinados países.  La resolución de estas cuestiones podría acarrear un aumento considerable de la utilización del sistema de Madrid.</w:t>
      </w:r>
    </w:p>
    <w:p w:rsidR="00546AD7" w:rsidRPr="006B0DE9" w:rsidRDefault="00546AD7" w:rsidP="00546AD7">
      <w:pPr>
        <w:widowControl w:val="0"/>
        <w:jc w:val="both"/>
        <w:rPr>
          <w:sz w:val="20"/>
        </w:rPr>
      </w:pPr>
    </w:p>
    <w:p w:rsidR="00546AD7" w:rsidRPr="006B0DE9" w:rsidRDefault="00546AD7" w:rsidP="00BA276E">
      <w:pPr>
        <w:widowControl w:val="0"/>
        <w:numPr>
          <w:ilvl w:val="0"/>
          <w:numId w:val="26"/>
        </w:numPr>
        <w:jc w:val="both"/>
        <w:rPr>
          <w:sz w:val="20"/>
        </w:rPr>
      </w:pPr>
      <w:r w:rsidRPr="006B0DE9">
        <w:rPr>
          <w:sz w:val="20"/>
        </w:rPr>
        <w:t>En la medida en que se den las sinergias necesarias, las actividades de promoción continuarán contando con la participación de las administraciones competentes de las Partes Contratantes, las organizaciones intergubernamentales (OIG), las organizaciones no gubernamentales (ONG) y las partes interesadas, incluidos los titulares de derechos de P.I. y los profesionales del ámbito de las marcas.  Asimismo, se seguirá centrando la atención en las iniciativas de formación y las actividades de fortalecimiento de las capacidades, en consulta con otros sectores clave de la Organización.</w:t>
      </w:r>
    </w:p>
    <w:p w:rsidR="00546AD7" w:rsidRPr="006B0DE9" w:rsidRDefault="00546AD7" w:rsidP="00546AD7">
      <w:pPr>
        <w:widowControl w:val="0"/>
        <w:jc w:val="both"/>
        <w:rPr>
          <w:sz w:val="20"/>
        </w:rPr>
      </w:pPr>
    </w:p>
    <w:p w:rsidR="00546AD7" w:rsidRPr="006B0DE9" w:rsidRDefault="00546AD7" w:rsidP="00FE42C5">
      <w:pPr>
        <w:keepNext/>
        <w:keepLines/>
        <w:widowControl w:val="0"/>
        <w:numPr>
          <w:ilvl w:val="0"/>
          <w:numId w:val="26"/>
        </w:numPr>
        <w:jc w:val="both"/>
        <w:rPr>
          <w:sz w:val="20"/>
        </w:rPr>
      </w:pPr>
      <w:r w:rsidRPr="006B0DE9">
        <w:rPr>
          <w:sz w:val="20"/>
        </w:rPr>
        <w:lastRenderedPageBreak/>
        <w:t>Por otra parte, de conformidad con la recomendación 1 de la Agenda para el Desarrollo (A.D.), se van a elaborar programas de divulgación que permitan comunicar con mayor eficacia la incidencia que en la práctica tendría una eventual adhesión al Protocolo en un determinado contexto nacional.</w:t>
      </w:r>
    </w:p>
    <w:p w:rsidR="00546AD7" w:rsidRPr="006B0DE9" w:rsidRDefault="00546AD7" w:rsidP="00546AD7">
      <w:pPr>
        <w:widowControl w:val="0"/>
        <w:jc w:val="both"/>
        <w:rPr>
          <w:sz w:val="20"/>
        </w:rPr>
      </w:pPr>
    </w:p>
    <w:p w:rsidR="00546AD7" w:rsidRPr="006B0DE9" w:rsidRDefault="00546AD7" w:rsidP="00546AD7">
      <w:pPr>
        <w:widowControl w:val="0"/>
        <w:jc w:val="both"/>
        <w:rPr>
          <w:sz w:val="20"/>
        </w:rPr>
      </w:pPr>
    </w:p>
    <w:p w:rsidR="00546AD7" w:rsidRPr="006B0DE9" w:rsidRDefault="00546AD7" w:rsidP="00546AD7">
      <w:pPr>
        <w:widowControl w:val="0"/>
        <w:autoSpaceDE w:val="0"/>
        <w:autoSpaceDN w:val="0"/>
        <w:adjustRightInd w:val="0"/>
        <w:jc w:val="both"/>
        <w:rPr>
          <w:b/>
          <w:bCs/>
          <w:color w:val="000000"/>
        </w:rPr>
      </w:pPr>
      <w:r w:rsidRPr="006B0DE9">
        <w:rPr>
          <w:b/>
          <w:bCs/>
          <w:color w:val="000000"/>
        </w:rPr>
        <w:t>B.</w:t>
      </w:r>
      <w:r w:rsidRPr="006B0DE9">
        <w:rPr>
          <w:b/>
          <w:bCs/>
          <w:color w:val="000000"/>
        </w:rPr>
        <w:tab/>
        <w:t>SISTEMA DE LISBOA</w:t>
      </w:r>
    </w:p>
    <w:p w:rsidR="00546AD7" w:rsidRDefault="00546AD7" w:rsidP="00546AD7">
      <w:pPr>
        <w:widowControl w:val="0"/>
        <w:autoSpaceDE w:val="0"/>
        <w:autoSpaceDN w:val="0"/>
        <w:adjustRightInd w:val="0"/>
        <w:jc w:val="both"/>
        <w:rPr>
          <w:color w:val="000000"/>
          <w:sz w:val="20"/>
        </w:rPr>
      </w:pPr>
    </w:p>
    <w:p w:rsidR="0079447F" w:rsidRPr="006B0DE9" w:rsidRDefault="0079447F" w:rsidP="00546AD7">
      <w:pPr>
        <w:widowControl w:val="0"/>
        <w:autoSpaceDE w:val="0"/>
        <w:autoSpaceDN w:val="0"/>
        <w:adjustRightInd w:val="0"/>
        <w:jc w:val="both"/>
        <w:rPr>
          <w:color w:val="000000"/>
          <w:sz w:val="20"/>
        </w:rPr>
      </w:pPr>
    </w:p>
    <w:p w:rsidR="00546AD7" w:rsidRPr="006B0DE9" w:rsidRDefault="00546AD7" w:rsidP="00546AD7">
      <w:pPr>
        <w:widowControl w:val="0"/>
        <w:autoSpaceDE w:val="0"/>
        <w:autoSpaceDN w:val="0"/>
        <w:adjustRightInd w:val="0"/>
        <w:jc w:val="both"/>
        <w:rPr>
          <w:color w:val="000000"/>
          <w:sz w:val="18"/>
          <w:szCs w:val="18"/>
        </w:rPr>
      </w:pPr>
      <w:r w:rsidRPr="006B0DE9">
        <w:rPr>
          <w:color w:val="000000"/>
        </w:rPr>
        <w:t>CONTEXTO DE PLANIFICACIÓN</w:t>
      </w:r>
    </w:p>
    <w:p w:rsidR="00546AD7" w:rsidRPr="006B0DE9" w:rsidRDefault="00546AD7" w:rsidP="00546AD7">
      <w:pPr>
        <w:widowControl w:val="0"/>
        <w:autoSpaceDE w:val="0"/>
        <w:autoSpaceDN w:val="0"/>
        <w:adjustRightInd w:val="0"/>
        <w:jc w:val="both"/>
        <w:rPr>
          <w:color w:val="000000"/>
          <w:sz w:val="20"/>
        </w:rPr>
      </w:pPr>
    </w:p>
    <w:p w:rsidR="00546AD7" w:rsidRPr="006B0DE9" w:rsidRDefault="00546AD7" w:rsidP="00BA276E">
      <w:pPr>
        <w:widowControl w:val="0"/>
        <w:numPr>
          <w:ilvl w:val="0"/>
          <w:numId w:val="26"/>
        </w:numPr>
        <w:jc w:val="both"/>
        <w:rPr>
          <w:color w:val="000000"/>
          <w:sz w:val="20"/>
        </w:rPr>
      </w:pPr>
      <w:r w:rsidRPr="006B0DE9">
        <w:rPr>
          <w:bCs/>
          <w:color w:val="000000"/>
          <w:sz w:val="20"/>
        </w:rPr>
        <w:t xml:space="preserve">En lo que respecta al sistema de Lisboa, en el bienio la atención girará en torno a la posible finalización de la revisión </w:t>
      </w:r>
      <w:r w:rsidRPr="006B0DE9">
        <w:rPr>
          <w:sz w:val="20"/>
        </w:rPr>
        <w:t xml:space="preserve">del sistema de Lisboa.  El Grupo de Trabajo sobre el Desarrollo del Sistema de Lisboa está llevando a cabo una revisión del Arreglo de Lisboa de 1958, a fin de </w:t>
      </w:r>
      <w:r w:rsidRPr="006B0DE9">
        <w:rPr>
          <w:bCs/>
          <w:sz w:val="20"/>
        </w:rPr>
        <w:t>hacer más atractivo el sistema en pos de la adhesión por los gobiernos, por un lado, y de su uso por los titulares de derechos, por el otro, manteniendo los principios y objetivos del Arreglo de Lisboa.  Los objetivos principales del Grupo de Trabajo son precisar que el sistema de Lisboa es aplicable también respecto de las indicaciones geográficas, incluir la posibilidad de adhesión por parte de las OIG y perfeccionar su marco legal.</w:t>
      </w:r>
    </w:p>
    <w:p w:rsidR="00546AD7" w:rsidRPr="006B0DE9" w:rsidRDefault="00546AD7" w:rsidP="00546AD7">
      <w:pPr>
        <w:widowControl w:val="0"/>
        <w:autoSpaceDE w:val="0"/>
        <w:autoSpaceDN w:val="0"/>
        <w:adjustRightInd w:val="0"/>
        <w:jc w:val="both"/>
        <w:rPr>
          <w:color w:val="000000"/>
          <w:sz w:val="20"/>
        </w:rPr>
      </w:pPr>
    </w:p>
    <w:p w:rsidR="00546AD7" w:rsidRPr="006B0DE9" w:rsidRDefault="00546AD7" w:rsidP="00546AD7">
      <w:pPr>
        <w:widowControl w:val="0"/>
        <w:autoSpaceDE w:val="0"/>
        <w:autoSpaceDN w:val="0"/>
        <w:adjustRightInd w:val="0"/>
        <w:jc w:val="both"/>
        <w:rPr>
          <w:color w:val="000000"/>
          <w:sz w:val="20"/>
        </w:rPr>
      </w:pPr>
      <w:r w:rsidRPr="006B0DE9">
        <w:rPr>
          <w:color w:val="000000"/>
          <w:sz w:val="20"/>
        </w:rPr>
        <w:t>Desde 1997, ha aumentado el número de miembros del sistema de Lisboa, pasando de 17 a 28 Estados.</w:t>
      </w:r>
    </w:p>
    <w:p w:rsidR="00546AD7" w:rsidRPr="006B0DE9" w:rsidRDefault="00546AD7" w:rsidP="00546AD7">
      <w:pPr>
        <w:widowControl w:val="0"/>
        <w:autoSpaceDE w:val="0"/>
        <w:autoSpaceDN w:val="0"/>
        <w:adjustRightInd w:val="0"/>
        <w:jc w:val="both"/>
        <w:rPr>
          <w:color w:val="000000"/>
          <w:sz w:val="20"/>
        </w:rPr>
      </w:pPr>
    </w:p>
    <w:p w:rsidR="00546AD7" w:rsidRPr="006B0DE9" w:rsidRDefault="00546AD7" w:rsidP="00546AD7">
      <w:pPr>
        <w:widowControl w:val="0"/>
        <w:autoSpaceDE w:val="0"/>
        <w:autoSpaceDN w:val="0"/>
        <w:adjustRightInd w:val="0"/>
        <w:jc w:val="both"/>
        <w:rPr>
          <w:color w:val="000000"/>
          <w:sz w:val="20"/>
        </w:rPr>
      </w:pPr>
    </w:p>
    <w:p w:rsidR="00546AD7" w:rsidRPr="006B0DE9" w:rsidRDefault="00546AD7" w:rsidP="00546AD7">
      <w:pPr>
        <w:widowControl w:val="0"/>
        <w:autoSpaceDE w:val="0"/>
        <w:autoSpaceDN w:val="0"/>
        <w:adjustRightInd w:val="0"/>
        <w:jc w:val="both"/>
        <w:rPr>
          <w:color w:val="000000"/>
          <w:sz w:val="18"/>
          <w:szCs w:val="18"/>
        </w:rPr>
      </w:pPr>
      <w:r w:rsidRPr="006B0DE9">
        <w:rPr>
          <w:color w:val="000000"/>
        </w:rPr>
        <w:t>ESTRATEGIAS DE EJECUCIÓN</w:t>
      </w:r>
    </w:p>
    <w:p w:rsidR="00546AD7" w:rsidRPr="006B0DE9" w:rsidRDefault="00546AD7" w:rsidP="00546AD7">
      <w:pPr>
        <w:widowControl w:val="0"/>
        <w:autoSpaceDE w:val="0"/>
        <w:autoSpaceDN w:val="0"/>
        <w:adjustRightInd w:val="0"/>
        <w:jc w:val="both"/>
        <w:rPr>
          <w:color w:val="000000"/>
          <w:sz w:val="20"/>
        </w:rPr>
      </w:pPr>
    </w:p>
    <w:p w:rsidR="00546AD7" w:rsidRPr="006B0DE9" w:rsidRDefault="00546AD7" w:rsidP="00BA276E">
      <w:pPr>
        <w:widowControl w:val="0"/>
        <w:numPr>
          <w:ilvl w:val="0"/>
          <w:numId w:val="26"/>
        </w:numPr>
        <w:jc w:val="both"/>
        <w:rPr>
          <w:color w:val="000000"/>
          <w:sz w:val="20"/>
        </w:rPr>
      </w:pPr>
      <w:r w:rsidRPr="006B0DE9">
        <w:rPr>
          <w:color w:val="000000"/>
          <w:sz w:val="20"/>
        </w:rPr>
        <w:t>A la luz de los avances obtenidos en lo que respecta a la revisión del Arreglo de Lisboa con el fin de modernizar el sistema de Lisboa y hacer que el número de miembros aumente de forma considerable, permitiendo asimismo la adhesión de las OIG, el Grupo de Trabajo ha acordado recomendar a la Asamblea de la Unión de Lisboa que convoque una conferencia diplomática en 2015 para la adopción de un Arreglo de Lisboa revisado,</w:t>
      </w:r>
      <w:r w:rsidRPr="006B0DE9">
        <w:t xml:space="preserve"> </w:t>
      </w:r>
      <w:r w:rsidRPr="006B0DE9">
        <w:rPr>
          <w:color w:val="000000"/>
          <w:sz w:val="20"/>
        </w:rPr>
        <w:t>dejándose en manos del comité preparatorio la decisión de las fechas y el lugar precisos de la misma.</w:t>
      </w:r>
    </w:p>
    <w:p w:rsidR="00546AD7" w:rsidRPr="006B0DE9" w:rsidRDefault="00546AD7" w:rsidP="00546AD7">
      <w:pPr>
        <w:widowControl w:val="0"/>
        <w:jc w:val="both"/>
        <w:rPr>
          <w:color w:val="000000"/>
          <w:sz w:val="20"/>
        </w:rPr>
      </w:pPr>
    </w:p>
    <w:p w:rsidR="00546AD7" w:rsidRPr="006B0DE9" w:rsidRDefault="00546AD7" w:rsidP="00BA276E">
      <w:pPr>
        <w:widowControl w:val="0"/>
        <w:numPr>
          <w:ilvl w:val="0"/>
          <w:numId w:val="26"/>
        </w:numPr>
        <w:jc w:val="both"/>
        <w:rPr>
          <w:color w:val="000000"/>
          <w:sz w:val="20"/>
        </w:rPr>
      </w:pPr>
      <w:r w:rsidRPr="006B0DE9">
        <w:rPr>
          <w:color w:val="000000"/>
          <w:sz w:val="20"/>
        </w:rPr>
        <w:t>Las actividades de información y promoción que lleva a cabo la Oficina Internacional incorporarán, como elemento importante, las cuestiones relativas al registro internacional de las denominaciones de origen y las indicaciones geográficas, con inclusión de la revisión prevista del sistema de Lisboa.</w:t>
      </w:r>
    </w:p>
    <w:p w:rsidR="00546AD7" w:rsidRPr="006B0DE9" w:rsidRDefault="00546AD7" w:rsidP="00546AD7">
      <w:pPr>
        <w:widowControl w:val="0"/>
        <w:autoSpaceDE w:val="0"/>
        <w:autoSpaceDN w:val="0"/>
        <w:adjustRightInd w:val="0"/>
        <w:jc w:val="both"/>
        <w:rPr>
          <w:b/>
          <w:bCs/>
          <w:color w:val="333333"/>
          <w:sz w:val="20"/>
        </w:rPr>
      </w:pPr>
    </w:p>
    <w:p w:rsidR="00546AD7" w:rsidRPr="006B0DE9" w:rsidRDefault="00546AD7" w:rsidP="00BA276E">
      <w:pPr>
        <w:widowControl w:val="0"/>
        <w:numPr>
          <w:ilvl w:val="0"/>
          <w:numId w:val="26"/>
        </w:numPr>
        <w:jc w:val="both"/>
        <w:rPr>
          <w:sz w:val="20"/>
        </w:rPr>
      </w:pPr>
      <w:r w:rsidRPr="006B0DE9">
        <w:rPr>
          <w:sz w:val="20"/>
        </w:rPr>
        <w:t xml:space="preserve">En este contexto, la Oficina Internacional prestará asimismo asistencia técnica en beneficio de los países en desarrollo y </w:t>
      </w:r>
      <w:r>
        <w:rPr>
          <w:sz w:val="20"/>
        </w:rPr>
        <w:t xml:space="preserve">los </w:t>
      </w:r>
      <w:r w:rsidRPr="006B0DE9">
        <w:rPr>
          <w:sz w:val="20"/>
        </w:rPr>
        <w:t xml:space="preserve">PMA que estén interesados.  Además, se </w:t>
      </w:r>
      <w:r w:rsidRPr="006B0DE9">
        <w:rPr>
          <w:bCs/>
          <w:sz w:val="20"/>
        </w:rPr>
        <w:t xml:space="preserve">seguirán utilizando herramientas electrónicas con el objetivo de </w:t>
      </w:r>
      <w:r>
        <w:rPr>
          <w:bCs/>
          <w:sz w:val="20"/>
        </w:rPr>
        <w:t>aumentar al máximo</w:t>
      </w:r>
      <w:r w:rsidRPr="006B0DE9">
        <w:rPr>
          <w:bCs/>
          <w:sz w:val="20"/>
        </w:rPr>
        <w:t xml:space="preserve"> la eficacia en los procedimientos del sistema de Lisboa.</w:t>
      </w:r>
    </w:p>
    <w:p w:rsidR="00546AD7" w:rsidRPr="006B0DE9" w:rsidRDefault="00546AD7" w:rsidP="00546AD7">
      <w:pPr>
        <w:widowControl w:val="0"/>
        <w:autoSpaceDE w:val="0"/>
        <w:autoSpaceDN w:val="0"/>
        <w:adjustRightInd w:val="0"/>
        <w:jc w:val="both"/>
        <w:rPr>
          <w:sz w:val="20"/>
        </w:rPr>
      </w:pPr>
    </w:p>
    <w:p w:rsidR="00546AD7" w:rsidRPr="006B0DE9" w:rsidRDefault="00546AD7" w:rsidP="00BA276E">
      <w:pPr>
        <w:widowControl w:val="0"/>
        <w:numPr>
          <w:ilvl w:val="0"/>
          <w:numId w:val="26"/>
        </w:numPr>
        <w:jc w:val="both"/>
        <w:rPr>
          <w:sz w:val="20"/>
        </w:rPr>
      </w:pPr>
      <w:r w:rsidRPr="006B0DE9">
        <w:rPr>
          <w:sz w:val="20"/>
        </w:rPr>
        <w:t>Una vez se haya automatizado el Registro Internacional y se hayan establecido los medios electrónicos de comunicación en el marco de los procedimientos del Arreglo de Lisboa entre la Oficina Internacional y las administraciones competentes de todos los Estados miembros, objetivos que se espera conseguir en 2013, la Oficina Internacional se dedicará a perfeccionar los procedimientos de notificación y de registro durante el bienio, según proceda.</w:t>
      </w:r>
    </w:p>
    <w:p w:rsidR="00546AD7" w:rsidRPr="006B0DE9" w:rsidRDefault="00546AD7" w:rsidP="00546AD7">
      <w:pPr>
        <w:widowControl w:val="0"/>
        <w:autoSpaceDE w:val="0"/>
        <w:autoSpaceDN w:val="0"/>
        <w:adjustRightInd w:val="0"/>
        <w:jc w:val="both"/>
        <w:rPr>
          <w:color w:val="000000"/>
          <w:sz w:val="20"/>
        </w:rPr>
      </w:pPr>
    </w:p>
    <w:p w:rsidR="00546AD7" w:rsidRPr="006B0DE9" w:rsidRDefault="00546AD7" w:rsidP="00BA276E">
      <w:pPr>
        <w:widowControl w:val="0"/>
        <w:numPr>
          <w:ilvl w:val="0"/>
          <w:numId w:val="26"/>
        </w:numPr>
        <w:jc w:val="both"/>
        <w:rPr>
          <w:color w:val="000000"/>
          <w:sz w:val="20"/>
        </w:rPr>
      </w:pPr>
      <w:r w:rsidRPr="006B0DE9">
        <w:rPr>
          <w:color w:val="000000"/>
          <w:sz w:val="20"/>
        </w:rPr>
        <w:t xml:space="preserve">El número medio de solicitudes internacionales y otras peticiones de inscripción en el Registro Internacional en el marco del sistema de Lisboa de 1967 ha </w:t>
      </w:r>
      <w:r>
        <w:rPr>
          <w:color w:val="000000"/>
          <w:sz w:val="20"/>
        </w:rPr>
        <w:t>sido de</w:t>
      </w:r>
      <w:r w:rsidRPr="006B0DE9">
        <w:rPr>
          <w:color w:val="000000"/>
          <w:sz w:val="20"/>
        </w:rPr>
        <w:t xml:space="preserve"> aproximadamente 25 transacciones de esa índole por año, aunque con grandes fluctuaciones entre años (por ejemplo, en 2009 se realizaron siete transacciones y en 2007 se realizaron 596).</w:t>
      </w:r>
    </w:p>
    <w:p w:rsidR="00546AD7" w:rsidRPr="006B0DE9" w:rsidRDefault="00546AD7" w:rsidP="00546AD7">
      <w:pPr>
        <w:widowControl w:val="0"/>
        <w:autoSpaceDE w:val="0"/>
        <w:autoSpaceDN w:val="0"/>
        <w:adjustRightInd w:val="0"/>
        <w:jc w:val="both"/>
        <w:rPr>
          <w:color w:val="000000"/>
          <w:sz w:val="20"/>
        </w:rPr>
      </w:pPr>
    </w:p>
    <w:p w:rsidR="00453803" w:rsidRDefault="00453803" w:rsidP="0063482E">
      <w:pPr>
        <w:widowControl w:val="0"/>
        <w:autoSpaceDE w:val="0"/>
        <w:autoSpaceDN w:val="0"/>
        <w:adjustRightInd w:val="0"/>
        <w:jc w:val="both"/>
      </w:pPr>
    </w:p>
    <w:p w:rsidR="0063482E" w:rsidRPr="00C75C7E" w:rsidRDefault="0063482E" w:rsidP="0079447F">
      <w:pPr>
        <w:keepNext/>
        <w:widowControl w:val="0"/>
        <w:autoSpaceDE w:val="0"/>
        <w:autoSpaceDN w:val="0"/>
        <w:adjustRightInd w:val="0"/>
        <w:jc w:val="both"/>
      </w:pPr>
      <w:r w:rsidRPr="00C75C7E">
        <w:rPr>
          <w:bCs/>
          <w:szCs w:val="22"/>
        </w:rPr>
        <w:lastRenderedPageBreak/>
        <w:t>PRINCIPALES RIESGOS Y ESTRATEGIAS DE MITIGACIÓN</w:t>
      </w:r>
    </w:p>
    <w:p w:rsidR="0063482E" w:rsidRPr="00C75C7E" w:rsidRDefault="0063482E" w:rsidP="0079447F">
      <w:pPr>
        <w:keepNext/>
        <w:widowControl w:val="0"/>
        <w:autoSpaceDE w:val="0"/>
        <w:autoSpaceDN w:val="0"/>
        <w:adjustRightInd w:val="0"/>
        <w:jc w:val="both"/>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5011"/>
      </w:tblGrid>
      <w:tr w:rsidR="0063482E" w:rsidRPr="00C75C7E" w:rsidTr="00962ADA">
        <w:trPr>
          <w:trHeight w:val="459"/>
          <w:tblHeader/>
        </w:trPr>
        <w:tc>
          <w:tcPr>
            <w:tcW w:w="4400" w:type="dxa"/>
            <w:tcBorders>
              <w:top w:val="single" w:sz="4" w:space="0" w:color="auto"/>
              <w:bottom w:val="single" w:sz="4" w:space="0" w:color="auto"/>
            </w:tcBorders>
            <w:shd w:val="clear" w:color="auto" w:fill="CCFFFF"/>
            <w:vAlign w:val="center"/>
          </w:tcPr>
          <w:p w:rsidR="0063482E" w:rsidRPr="00C75C7E" w:rsidRDefault="0063482E" w:rsidP="0079447F">
            <w:pPr>
              <w:keepNext/>
              <w:widowControl w:val="0"/>
              <w:autoSpaceDE w:val="0"/>
              <w:autoSpaceDN w:val="0"/>
              <w:adjustRightInd w:val="0"/>
              <w:ind w:right="-59"/>
              <w:jc w:val="center"/>
              <w:rPr>
                <w:b/>
                <w:bCs/>
                <w:iCs/>
                <w:sz w:val="18"/>
                <w:szCs w:val="18"/>
              </w:rPr>
            </w:pPr>
            <w:r w:rsidRPr="00C75C7E">
              <w:rPr>
                <w:b/>
                <w:bCs/>
                <w:iCs/>
                <w:sz w:val="18"/>
                <w:szCs w:val="18"/>
              </w:rPr>
              <w:t>Riesgos en el logro de los resultados del programa</w:t>
            </w:r>
          </w:p>
        </w:tc>
        <w:tc>
          <w:tcPr>
            <w:tcW w:w="5011" w:type="dxa"/>
            <w:tcBorders>
              <w:top w:val="single" w:sz="4" w:space="0" w:color="auto"/>
              <w:bottom w:val="single" w:sz="4" w:space="0" w:color="auto"/>
            </w:tcBorders>
            <w:shd w:val="clear" w:color="auto" w:fill="CCFFFF"/>
            <w:vAlign w:val="center"/>
          </w:tcPr>
          <w:p w:rsidR="0063482E" w:rsidRPr="00C75C7E" w:rsidRDefault="0063482E" w:rsidP="00962ADA">
            <w:pPr>
              <w:keepNext/>
              <w:widowControl w:val="0"/>
              <w:autoSpaceDE w:val="0"/>
              <w:autoSpaceDN w:val="0"/>
              <w:adjustRightInd w:val="0"/>
              <w:ind w:right="-59"/>
              <w:rPr>
                <w:b/>
                <w:bCs/>
                <w:iCs/>
                <w:sz w:val="18"/>
                <w:szCs w:val="18"/>
              </w:rPr>
            </w:pPr>
            <w:r w:rsidRPr="00C75C7E">
              <w:rPr>
                <w:b/>
                <w:bCs/>
                <w:iCs/>
                <w:sz w:val="18"/>
                <w:szCs w:val="18"/>
              </w:rPr>
              <w:t xml:space="preserve">Planes de mitigación ejecutados o en ejecución </w:t>
            </w:r>
          </w:p>
        </w:tc>
      </w:tr>
      <w:tr w:rsidR="0063482E" w:rsidRPr="00C75C7E" w:rsidTr="00962ADA">
        <w:trPr>
          <w:trHeight w:val="1496"/>
        </w:trPr>
        <w:tc>
          <w:tcPr>
            <w:tcW w:w="4400" w:type="dxa"/>
            <w:tcBorders>
              <w:top w:val="single" w:sz="4" w:space="0" w:color="auto"/>
            </w:tcBorders>
            <w:shd w:val="clear" w:color="auto" w:fill="auto"/>
            <w:tcMar>
              <w:top w:w="113" w:type="dxa"/>
              <w:bottom w:w="113" w:type="dxa"/>
            </w:tcMar>
          </w:tcPr>
          <w:p w:rsidR="0063482E" w:rsidRPr="00C75C7E" w:rsidRDefault="0063482E" w:rsidP="00EF3DB5">
            <w:pPr>
              <w:widowControl w:val="0"/>
              <w:rPr>
                <w:sz w:val="16"/>
                <w:szCs w:val="16"/>
              </w:rPr>
            </w:pPr>
            <w:r w:rsidRPr="00C75C7E">
              <w:rPr>
                <w:sz w:val="16"/>
                <w:szCs w:val="16"/>
              </w:rPr>
              <w:t>La utilización del sistema de Madrid disminuyó en 2009 y desde entonces se ha ido incrementando.  Sin embargo, podría producirse una segunda “caída”, lo que daría lugar a una infrautilización del sistema de Madrid y menos ingresos para la OMPI.  Hay además otros factores que podrían contribuir a la infrautilización del sistema de Madrid, como la inestabilidad política o social o la falta de infraestructura jurídica apropiada.</w:t>
            </w:r>
          </w:p>
          <w:p w:rsidR="0063482E" w:rsidRPr="00C75C7E" w:rsidRDefault="0063482E" w:rsidP="00EF3DB5">
            <w:pPr>
              <w:widowControl w:val="0"/>
              <w:rPr>
                <w:sz w:val="16"/>
                <w:szCs w:val="16"/>
              </w:rPr>
            </w:pPr>
          </w:p>
        </w:tc>
        <w:tc>
          <w:tcPr>
            <w:tcW w:w="5011" w:type="dxa"/>
            <w:tcBorders>
              <w:top w:val="single" w:sz="4" w:space="0" w:color="auto"/>
            </w:tcBorders>
            <w:shd w:val="clear" w:color="auto" w:fill="auto"/>
            <w:tcMar>
              <w:top w:w="113" w:type="dxa"/>
              <w:bottom w:w="113" w:type="dxa"/>
            </w:tcMar>
          </w:tcPr>
          <w:p w:rsidR="0063482E" w:rsidRPr="00C75C7E" w:rsidRDefault="0063482E" w:rsidP="00EF3DB5">
            <w:pPr>
              <w:widowControl w:val="0"/>
              <w:autoSpaceDE w:val="0"/>
              <w:autoSpaceDN w:val="0"/>
              <w:adjustRightInd w:val="0"/>
              <w:ind w:right="-59"/>
              <w:rPr>
                <w:sz w:val="16"/>
                <w:szCs w:val="16"/>
              </w:rPr>
            </w:pPr>
            <w:r w:rsidRPr="00C75C7E">
              <w:rPr>
                <w:sz w:val="16"/>
                <w:szCs w:val="16"/>
              </w:rPr>
              <w:t xml:space="preserve">Los riesgos podrían mitigarse mediante un intensivo programa de actividades promocionales encaminadas a maximizar el posible uso del sistema de Madrid por parte de los usuarios, y contrarrestar así su infrautilización, a fin de aprovechar las crecientes eficiencia y </w:t>
            </w:r>
            <w:proofErr w:type="spellStart"/>
            <w:r w:rsidRPr="00C75C7E">
              <w:rPr>
                <w:sz w:val="16"/>
                <w:szCs w:val="16"/>
              </w:rPr>
              <w:t>costoeficacia</w:t>
            </w:r>
            <w:proofErr w:type="spellEnd"/>
            <w:r w:rsidRPr="00C75C7E">
              <w:rPr>
                <w:sz w:val="16"/>
                <w:szCs w:val="16"/>
              </w:rPr>
              <w:t xml:space="preserve"> del sistema.  No obstante, cuando fuera necesario modificar las políticas o leyes de marcas en los planos nacional, regional o incluso internacional, podría llevar mucho tiempo resolver el problema, o incluso no llegar a resolverse.</w:t>
            </w:r>
          </w:p>
        </w:tc>
      </w:tr>
      <w:tr w:rsidR="0063482E" w:rsidRPr="00C75C7E" w:rsidTr="00962ADA">
        <w:trPr>
          <w:trHeight w:val="1575"/>
        </w:trPr>
        <w:tc>
          <w:tcPr>
            <w:tcW w:w="4400" w:type="dxa"/>
            <w:shd w:val="clear" w:color="auto" w:fill="auto"/>
            <w:tcMar>
              <w:top w:w="113" w:type="dxa"/>
              <w:bottom w:w="113" w:type="dxa"/>
            </w:tcMar>
          </w:tcPr>
          <w:p w:rsidR="0063482E" w:rsidRPr="00C75C7E" w:rsidRDefault="0063482E" w:rsidP="00EF3DB5">
            <w:pPr>
              <w:widowControl w:val="0"/>
              <w:rPr>
                <w:sz w:val="16"/>
                <w:szCs w:val="16"/>
              </w:rPr>
            </w:pPr>
            <w:r w:rsidRPr="00C75C7E">
              <w:rPr>
                <w:sz w:val="16"/>
                <w:szCs w:val="16"/>
              </w:rPr>
              <w:t>Algunas complicaciones podrían obstaculizar la transformación del sistema de Lisboa en un sistema con mayor participación internacional.  En concreto, las partes interesadas podrían seguir dudando de las ventajas del sistema.</w:t>
            </w:r>
          </w:p>
          <w:p w:rsidR="0063482E" w:rsidRPr="00C75C7E" w:rsidRDefault="0063482E" w:rsidP="00EF3DB5">
            <w:pPr>
              <w:widowControl w:val="0"/>
              <w:rPr>
                <w:sz w:val="16"/>
                <w:szCs w:val="16"/>
              </w:rPr>
            </w:pPr>
          </w:p>
        </w:tc>
        <w:tc>
          <w:tcPr>
            <w:tcW w:w="5011" w:type="dxa"/>
            <w:shd w:val="clear" w:color="auto" w:fill="auto"/>
            <w:tcMar>
              <w:top w:w="113" w:type="dxa"/>
              <w:bottom w:w="113" w:type="dxa"/>
            </w:tcMar>
          </w:tcPr>
          <w:p w:rsidR="0063482E" w:rsidRPr="00C75C7E" w:rsidRDefault="0063482E" w:rsidP="00EF3DB5">
            <w:pPr>
              <w:widowControl w:val="0"/>
              <w:autoSpaceDE w:val="0"/>
              <w:autoSpaceDN w:val="0"/>
              <w:adjustRightInd w:val="0"/>
              <w:ind w:right="-59"/>
              <w:rPr>
                <w:sz w:val="16"/>
                <w:szCs w:val="16"/>
              </w:rPr>
            </w:pPr>
            <w:r w:rsidRPr="00C75C7E">
              <w:rPr>
                <w:sz w:val="16"/>
                <w:szCs w:val="16"/>
              </w:rPr>
              <w:t>En el examen se tiene en cuenta cómo se protegen las denominaciones de origen y las indicaciones geográficas en varias jurisdicciones sin perder de vista los principios y objetivos del sistema de Lisboa.</w:t>
            </w:r>
          </w:p>
          <w:p w:rsidR="0063482E" w:rsidRPr="00C75C7E" w:rsidRDefault="0063482E" w:rsidP="00EF3DB5">
            <w:pPr>
              <w:widowControl w:val="0"/>
              <w:autoSpaceDE w:val="0"/>
              <w:autoSpaceDN w:val="0"/>
              <w:adjustRightInd w:val="0"/>
              <w:ind w:right="-59"/>
              <w:rPr>
                <w:sz w:val="16"/>
                <w:szCs w:val="16"/>
              </w:rPr>
            </w:pPr>
            <w:r w:rsidRPr="00C75C7E">
              <w:rPr>
                <w:sz w:val="16"/>
                <w:szCs w:val="16"/>
              </w:rPr>
              <w:t>Las actividades informativas y promocionales se basan en el mismo planteamiento, al tiempo que se señalan las ventajas del sistema de Lisboa y las flexibilidades disponibles que deben especificarse en el Arreglo de Lisboa revisado.</w:t>
            </w:r>
          </w:p>
        </w:tc>
      </w:tr>
    </w:tbl>
    <w:p w:rsidR="0063482E" w:rsidRPr="00C75C7E" w:rsidRDefault="0063482E" w:rsidP="006A15F5"/>
    <w:p w:rsidR="0063482E" w:rsidRPr="00C75C7E" w:rsidRDefault="0063482E" w:rsidP="006A15F5">
      <w:pPr>
        <w:rPr>
          <w:szCs w:val="22"/>
        </w:rPr>
      </w:pPr>
    </w:p>
    <w:p w:rsidR="0063482E" w:rsidRPr="00C75C7E" w:rsidRDefault="0063482E" w:rsidP="0063482E">
      <w:pPr>
        <w:widowControl w:val="0"/>
        <w:tabs>
          <w:tab w:val="left" w:pos="567"/>
          <w:tab w:val="left" w:pos="1985"/>
        </w:tabs>
        <w:jc w:val="both"/>
        <w:rPr>
          <w:bCs/>
          <w:szCs w:val="22"/>
          <w:lang w:val="es-ES_tradnl"/>
        </w:rPr>
      </w:pPr>
      <w:r w:rsidRPr="00C75C7E">
        <w:rPr>
          <w:bCs/>
          <w:szCs w:val="22"/>
          <w:lang w:val="es-ES_tradnl"/>
        </w:rPr>
        <w:t>MARCO DE RESULTADOS</w:t>
      </w:r>
    </w:p>
    <w:p w:rsidR="0063482E" w:rsidRPr="00C75C7E" w:rsidRDefault="0063482E" w:rsidP="0063482E">
      <w:pPr>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33"/>
        <w:gridCol w:w="2829"/>
        <w:gridCol w:w="2158"/>
        <w:gridCol w:w="2086"/>
      </w:tblGrid>
      <w:tr w:rsidR="0063482E" w:rsidRPr="00C75C7E" w:rsidTr="00EF3DB5">
        <w:trPr>
          <w:cantSplit/>
          <w:trHeight w:val="608"/>
          <w:tblHeader/>
        </w:trPr>
        <w:tc>
          <w:tcPr>
            <w:tcW w:w="1240" w:type="pct"/>
            <w:tcBorders>
              <w:top w:val="single" w:sz="4" w:space="0" w:color="auto"/>
              <w:left w:val="single" w:sz="4" w:space="0" w:color="auto"/>
              <w:bottom w:val="single" w:sz="4" w:space="0" w:color="auto"/>
            </w:tcBorders>
            <w:shd w:val="clear" w:color="auto" w:fill="CCFFFF"/>
            <w:vAlign w:val="center"/>
          </w:tcPr>
          <w:p w:rsidR="0063482E" w:rsidRPr="00C75C7E" w:rsidRDefault="0063482E" w:rsidP="00EF3DB5">
            <w:pPr>
              <w:widowControl w:val="0"/>
              <w:spacing w:after="120"/>
              <w:jc w:val="center"/>
              <w:rPr>
                <w:b/>
                <w:bCs/>
                <w:sz w:val="18"/>
                <w:szCs w:val="18"/>
                <w:lang w:val="es-ES_tradnl"/>
              </w:rPr>
            </w:pPr>
            <w:r w:rsidRPr="00C75C7E">
              <w:rPr>
                <w:b/>
                <w:bCs/>
                <w:sz w:val="18"/>
                <w:szCs w:val="18"/>
                <w:lang w:val="es-ES_tradnl"/>
              </w:rPr>
              <w:t>Resultados previstos</w:t>
            </w:r>
          </w:p>
        </w:tc>
        <w:tc>
          <w:tcPr>
            <w:tcW w:w="1504" w:type="pct"/>
            <w:tcBorders>
              <w:top w:val="single" w:sz="4" w:space="0" w:color="auto"/>
              <w:bottom w:val="single" w:sz="4" w:space="0" w:color="auto"/>
            </w:tcBorders>
            <w:shd w:val="clear" w:color="auto" w:fill="CCFFFF"/>
            <w:tcMar>
              <w:top w:w="110" w:type="dxa"/>
            </w:tcMar>
            <w:vAlign w:val="center"/>
          </w:tcPr>
          <w:p w:rsidR="0063482E" w:rsidRPr="00C75C7E" w:rsidRDefault="0063482E" w:rsidP="00EF3DB5">
            <w:pPr>
              <w:widowControl w:val="0"/>
              <w:spacing w:after="120"/>
              <w:jc w:val="center"/>
              <w:rPr>
                <w:b/>
                <w:sz w:val="18"/>
                <w:szCs w:val="18"/>
                <w:lang w:val="es-ES_tradnl"/>
              </w:rPr>
            </w:pPr>
            <w:r w:rsidRPr="00C75C7E">
              <w:rPr>
                <w:b/>
                <w:sz w:val="18"/>
                <w:szCs w:val="18"/>
                <w:lang w:val="es-ES_tradnl"/>
              </w:rPr>
              <w:t>Indicadores de rendimiento</w:t>
            </w:r>
          </w:p>
        </w:tc>
        <w:tc>
          <w:tcPr>
            <w:tcW w:w="1147" w:type="pct"/>
            <w:tcBorders>
              <w:top w:val="single" w:sz="4" w:space="0" w:color="auto"/>
              <w:bottom w:val="single" w:sz="4" w:space="0" w:color="auto"/>
            </w:tcBorders>
            <w:shd w:val="clear" w:color="auto" w:fill="CCFFFF"/>
            <w:tcMar>
              <w:top w:w="110" w:type="dxa"/>
            </w:tcMar>
            <w:vAlign w:val="center"/>
          </w:tcPr>
          <w:p w:rsidR="0063482E" w:rsidRPr="00C75C7E" w:rsidRDefault="0063482E" w:rsidP="00EF3DB5">
            <w:pPr>
              <w:widowControl w:val="0"/>
              <w:spacing w:after="120"/>
              <w:ind w:left="85"/>
              <w:jc w:val="center"/>
              <w:rPr>
                <w:sz w:val="18"/>
                <w:szCs w:val="18"/>
                <w:lang w:val="es-ES_tradnl"/>
              </w:rPr>
            </w:pPr>
            <w:r w:rsidRPr="00C75C7E">
              <w:rPr>
                <w:b/>
                <w:bCs/>
                <w:sz w:val="18"/>
                <w:szCs w:val="18"/>
                <w:lang w:val="es-ES_tradnl"/>
              </w:rPr>
              <w:t>Referencia</w:t>
            </w:r>
          </w:p>
        </w:tc>
        <w:tc>
          <w:tcPr>
            <w:tcW w:w="1109" w:type="pct"/>
            <w:tcBorders>
              <w:top w:val="single" w:sz="4" w:space="0" w:color="auto"/>
              <w:bottom w:val="single" w:sz="4" w:space="0" w:color="auto"/>
              <w:right w:val="single" w:sz="4" w:space="0" w:color="auto"/>
            </w:tcBorders>
            <w:shd w:val="clear" w:color="auto" w:fill="CCFFFF"/>
            <w:tcMar>
              <w:top w:w="110" w:type="dxa"/>
            </w:tcMar>
            <w:vAlign w:val="center"/>
          </w:tcPr>
          <w:p w:rsidR="0063482E" w:rsidRPr="00C75C7E" w:rsidRDefault="0063482E" w:rsidP="00EF3DB5">
            <w:pPr>
              <w:widowControl w:val="0"/>
              <w:tabs>
                <w:tab w:val="left" w:pos="1906"/>
              </w:tabs>
              <w:spacing w:after="120"/>
              <w:ind w:right="-122"/>
              <w:jc w:val="center"/>
              <w:rPr>
                <w:b/>
                <w:bCs/>
                <w:sz w:val="18"/>
                <w:szCs w:val="18"/>
                <w:lang w:val="es-ES_tradnl"/>
              </w:rPr>
            </w:pPr>
            <w:r w:rsidRPr="00C75C7E">
              <w:rPr>
                <w:b/>
                <w:bCs/>
                <w:sz w:val="18"/>
                <w:szCs w:val="18"/>
                <w:lang w:val="es-ES_tradnl"/>
              </w:rPr>
              <w:t>Objetivos</w:t>
            </w:r>
          </w:p>
        </w:tc>
      </w:tr>
      <w:tr w:rsidR="0063482E" w:rsidRPr="00C75C7E" w:rsidTr="00EF3DB5">
        <w:trPr>
          <w:cantSplit/>
        </w:trPr>
        <w:tc>
          <w:tcPr>
            <w:tcW w:w="1240" w:type="pct"/>
            <w:tcBorders>
              <w:top w:val="single" w:sz="4" w:space="0" w:color="auto"/>
            </w:tcBorders>
            <w:shd w:val="clear" w:color="auto" w:fill="auto"/>
          </w:tcPr>
          <w:p w:rsidR="0063482E" w:rsidRPr="00C75C7E" w:rsidRDefault="0063482E" w:rsidP="00EF3DB5">
            <w:pPr>
              <w:widowControl w:val="0"/>
              <w:rPr>
                <w:sz w:val="16"/>
                <w:szCs w:val="16"/>
                <w:lang w:val="es-ES_tradnl"/>
              </w:rPr>
            </w:pPr>
            <w:r w:rsidRPr="00C75C7E">
              <w:rPr>
                <w:sz w:val="16"/>
                <w:szCs w:val="16"/>
                <w:lang w:val="es-ES_tradnl"/>
              </w:rPr>
              <w:t>II. 6 Ampliación y mejora del uso de los sistemas de Madrid y de Lisboa por los países en desarrollo y los PMA, entre otros.</w:t>
            </w:r>
          </w:p>
        </w:tc>
        <w:tc>
          <w:tcPr>
            <w:tcW w:w="1504" w:type="pct"/>
            <w:tcBorders>
              <w:top w:val="single" w:sz="4" w:space="0" w:color="auto"/>
            </w:tcBorders>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Ampliación de la cobertura geográfica (Madrid).</w:t>
            </w:r>
          </w:p>
        </w:tc>
        <w:tc>
          <w:tcPr>
            <w:tcW w:w="1147" w:type="pct"/>
            <w:tcBorders>
              <w:top w:val="single" w:sz="4" w:space="0" w:color="auto"/>
            </w:tcBorders>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El número de Partes Contratantes al final de 2013.</w:t>
            </w:r>
          </w:p>
        </w:tc>
        <w:tc>
          <w:tcPr>
            <w:tcW w:w="1109" w:type="pct"/>
            <w:tcBorders>
              <w:top w:val="single" w:sz="4" w:space="0" w:color="auto"/>
            </w:tcBorders>
            <w:shd w:val="clear" w:color="auto" w:fill="auto"/>
            <w:tcMar>
              <w:top w:w="110" w:type="dxa"/>
            </w:tcMar>
          </w:tcPr>
          <w:p w:rsidR="0063482E" w:rsidRPr="00C75C7E" w:rsidRDefault="0063482E" w:rsidP="00EF3DB5">
            <w:pPr>
              <w:widowControl w:val="0"/>
              <w:ind w:right="51"/>
              <w:rPr>
                <w:bCs/>
                <w:sz w:val="16"/>
                <w:szCs w:val="16"/>
                <w:lang w:val="es-ES_tradnl"/>
              </w:rPr>
            </w:pPr>
            <w:r w:rsidRPr="00C75C7E">
              <w:rPr>
                <w:bCs/>
                <w:sz w:val="16"/>
                <w:szCs w:val="16"/>
                <w:lang w:val="es-ES_tradnl"/>
              </w:rPr>
              <w:t>Un total de 100 Partes Contratantes a fines de 2015.</w:t>
            </w:r>
          </w:p>
        </w:tc>
      </w:tr>
      <w:tr w:rsidR="0063482E" w:rsidRPr="00C75C7E" w:rsidTr="00EF3DB5">
        <w:trPr>
          <w:cantSplit/>
          <w:trHeight w:val="337"/>
        </w:trPr>
        <w:tc>
          <w:tcPr>
            <w:tcW w:w="1240" w:type="pct"/>
            <w:shd w:val="clear" w:color="auto" w:fill="auto"/>
          </w:tcPr>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Ampliación de la cobertura geográfica (Lisboa).</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28 (abril de 2013).</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rPr>
            </w:pPr>
          </w:p>
        </w:tc>
        <w:tc>
          <w:tcPr>
            <w:tcW w:w="1109" w:type="pct"/>
            <w:shd w:val="clear" w:color="auto" w:fill="auto"/>
            <w:tcMar>
              <w:top w:w="110" w:type="dxa"/>
            </w:tcMar>
          </w:tcPr>
          <w:p w:rsidR="0063482E" w:rsidRPr="00C75C7E" w:rsidRDefault="0063482E" w:rsidP="00EF3DB5">
            <w:pPr>
              <w:widowControl w:val="0"/>
              <w:ind w:right="51"/>
              <w:rPr>
                <w:bCs/>
                <w:sz w:val="16"/>
                <w:szCs w:val="16"/>
                <w:lang w:val="es-ES_tradnl"/>
              </w:rPr>
            </w:pPr>
            <w:r w:rsidRPr="00C75C7E">
              <w:rPr>
                <w:bCs/>
                <w:sz w:val="16"/>
                <w:szCs w:val="16"/>
                <w:lang w:val="es-ES_tradnl"/>
              </w:rPr>
              <w:t>32</w:t>
            </w:r>
          </w:p>
        </w:tc>
      </w:tr>
      <w:tr w:rsidR="0063482E" w:rsidRPr="00C75C7E" w:rsidTr="00EF3DB5">
        <w:trPr>
          <w:cantSplit/>
          <w:trHeight w:val="1120"/>
        </w:trPr>
        <w:tc>
          <w:tcPr>
            <w:tcW w:w="1240" w:type="pct"/>
            <w:shd w:val="clear" w:color="auto" w:fill="auto"/>
          </w:tcPr>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Adopción de disposiciones que agilicen o modernicen el marco jurídico del sistema de Lisboa.</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Arreglo de Lisboa, Reglamento e Instrucciones Administrativas en vigor al final de 2013.</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rPr>
            </w:pPr>
          </w:p>
        </w:tc>
        <w:tc>
          <w:tcPr>
            <w:tcW w:w="1109"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Revisión del Arreglo de Lisboa y modificaciones del Reglamento y las Instrucciones Administrativas.</w:t>
            </w:r>
          </w:p>
        </w:tc>
      </w:tr>
      <w:tr w:rsidR="0063482E" w:rsidRPr="00C75C7E" w:rsidTr="00EF3DB5">
        <w:trPr>
          <w:cantSplit/>
          <w:trHeight w:val="801"/>
        </w:trPr>
        <w:tc>
          <w:tcPr>
            <w:tcW w:w="1240" w:type="pct"/>
            <w:shd w:val="clear" w:color="auto" w:fill="auto"/>
          </w:tcPr>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Número de solicitudes internacionales (Madrid).</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El número de solicitudes internacionales al final de 2013.</w:t>
            </w:r>
          </w:p>
          <w:p w:rsidR="0063482E" w:rsidRPr="00C75C7E" w:rsidRDefault="0063482E" w:rsidP="00EF3DB5">
            <w:pPr>
              <w:widowControl w:val="0"/>
              <w:rPr>
                <w:sz w:val="16"/>
                <w:szCs w:val="16"/>
                <w:lang w:val="es-ES_tradnl" w:bidi="th-TH"/>
              </w:rPr>
            </w:pPr>
          </w:p>
        </w:tc>
        <w:tc>
          <w:tcPr>
            <w:tcW w:w="1109"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Aumento del 8.1% a fines de 2015.</w:t>
            </w:r>
          </w:p>
        </w:tc>
      </w:tr>
      <w:tr w:rsidR="0063482E" w:rsidRPr="00C75C7E" w:rsidTr="00EF3DB5">
        <w:trPr>
          <w:cantSplit/>
          <w:trHeight w:val="787"/>
        </w:trPr>
        <w:tc>
          <w:tcPr>
            <w:tcW w:w="1240" w:type="pct"/>
            <w:shd w:val="clear" w:color="auto" w:fill="auto"/>
          </w:tcPr>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Porcentaje de oficinas que proporcionan información actualizada sobre el sistema de Madrid.</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Porcentaje de oficinas que proporcionan dicha información.</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tc>
        <w:tc>
          <w:tcPr>
            <w:tcW w:w="1109"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Mayor porcentaje.</w:t>
            </w:r>
          </w:p>
        </w:tc>
      </w:tr>
      <w:tr w:rsidR="0063482E" w:rsidRPr="00C75C7E" w:rsidTr="00EF3DB5">
        <w:trPr>
          <w:cantSplit/>
          <w:trHeight w:val="790"/>
        </w:trPr>
        <w:tc>
          <w:tcPr>
            <w:tcW w:w="1240" w:type="pct"/>
            <w:shd w:val="clear" w:color="auto" w:fill="auto"/>
          </w:tcPr>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Porcentaje de participantes en las actividades del sistema de Lisboa que están satisfechos y manifiestan haber mejorado sus conocimientos tras haber participado en las actividades.</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Número de actividades y porcentaje de participantes satisfechos en 2013.</w:t>
            </w:r>
          </w:p>
          <w:p w:rsidR="0063482E" w:rsidRPr="00C75C7E" w:rsidRDefault="0063482E" w:rsidP="00EF3DB5">
            <w:pPr>
              <w:widowControl w:val="0"/>
              <w:rPr>
                <w:sz w:val="16"/>
                <w:szCs w:val="16"/>
                <w:lang w:val="es-ES_tradnl" w:bidi="th-TH"/>
              </w:rPr>
            </w:pPr>
          </w:p>
        </w:tc>
        <w:tc>
          <w:tcPr>
            <w:tcW w:w="1109"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Al menos ocho actividades y un 85% de participantes satisfechos.</w:t>
            </w:r>
          </w:p>
        </w:tc>
      </w:tr>
      <w:tr w:rsidR="0063482E" w:rsidRPr="00C75C7E" w:rsidTr="00EF3DB5">
        <w:trPr>
          <w:cantSplit/>
          <w:trHeight w:val="615"/>
        </w:trPr>
        <w:tc>
          <w:tcPr>
            <w:tcW w:w="1240" w:type="pct"/>
            <w:shd w:val="clear" w:color="auto" w:fill="auto"/>
          </w:tcPr>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Número y proporción de registros en vigor del sistema de Lisboa procedentes de países en desarrollo y PMA.</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67 (de 809) (abril de 2013)</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tc>
        <w:tc>
          <w:tcPr>
            <w:tcW w:w="1109"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80 (de 825)</w:t>
            </w:r>
          </w:p>
        </w:tc>
      </w:tr>
      <w:tr w:rsidR="0063482E" w:rsidRPr="00C75C7E" w:rsidTr="00EF3DB5">
        <w:trPr>
          <w:cantSplit/>
          <w:trHeight w:val="606"/>
        </w:trPr>
        <w:tc>
          <w:tcPr>
            <w:tcW w:w="1240" w:type="pct"/>
            <w:shd w:val="clear" w:color="auto" w:fill="auto"/>
          </w:tcPr>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Disminución del número de irregularidades (Madrid).</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34% de solicitudes irregulares (en 2012).</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tc>
        <w:tc>
          <w:tcPr>
            <w:tcW w:w="1109"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Disminución en un 10% del número de irregularidades (Madrid).</w:t>
            </w:r>
          </w:p>
        </w:tc>
      </w:tr>
      <w:tr w:rsidR="0063482E" w:rsidRPr="00C75C7E" w:rsidTr="00EF3DB5">
        <w:trPr>
          <w:cantSplit/>
          <w:trHeight w:val="1132"/>
        </w:trPr>
        <w:tc>
          <w:tcPr>
            <w:tcW w:w="1240" w:type="pct"/>
            <w:shd w:val="clear" w:color="auto" w:fill="auto"/>
          </w:tcPr>
          <w:p w:rsidR="0063482E" w:rsidRPr="00C75C7E" w:rsidRDefault="0063482E" w:rsidP="00EF3DB5">
            <w:pPr>
              <w:widowControl w:val="0"/>
              <w:tabs>
                <w:tab w:val="left" w:pos="1525"/>
                <w:tab w:val="right" w:pos="2835"/>
              </w:tabs>
              <w:spacing w:after="60"/>
              <w:rPr>
                <w:sz w:val="16"/>
                <w:szCs w:val="16"/>
                <w:lang w:val="es-ES_tradnl"/>
              </w:rPr>
            </w:pPr>
            <w:r w:rsidRPr="00C75C7E">
              <w:rPr>
                <w:sz w:val="16"/>
                <w:szCs w:val="16"/>
                <w:lang w:val="es-ES_tradnl"/>
              </w:rPr>
              <w:t>II.7. Mejora de la productividad y de la calidad de los servicios en las operaciones de los sistemas de Madrid y de Lisboa.</w:t>
            </w:r>
          </w:p>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Avances en la agilización y simplificación del marco jurídico del sistema de Madrid.</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Reglamento Común e Instrucciones Administrativas del sistema de Madrid en vigor al final de 2013.</w:t>
            </w:r>
          </w:p>
          <w:p w:rsidR="0063482E" w:rsidRPr="00C75C7E" w:rsidRDefault="0063482E" w:rsidP="00EF3DB5">
            <w:pPr>
              <w:widowControl w:val="0"/>
              <w:rPr>
                <w:sz w:val="16"/>
                <w:szCs w:val="16"/>
                <w:lang w:val="es-ES_tradnl" w:bidi="th-TH"/>
              </w:rPr>
            </w:pPr>
          </w:p>
        </w:tc>
        <w:tc>
          <w:tcPr>
            <w:tcW w:w="1109"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Modificaciones del Reglamento Común y las Instrucciones Administrativas del sistema de Madrid.</w:t>
            </w:r>
          </w:p>
        </w:tc>
      </w:tr>
      <w:tr w:rsidR="0063482E" w:rsidRPr="00C75C7E" w:rsidTr="00EF3DB5">
        <w:trPr>
          <w:cantSplit/>
          <w:trHeight w:val="2583"/>
        </w:trPr>
        <w:tc>
          <w:tcPr>
            <w:tcW w:w="1240" w:type="pct"/>
            <w:shd w:val="clear" w:color="auto" w:fill="auto"/>
          </w:tcPr>
          <w:p w:rsidR="0063482E" w:rsidRPr="00C75C7E" w:rsidRDefault="0063482E" w:rsidP="00EF3DB5">
            <w:pPr>
              <w:widowControl w:val="0"/>
              <w:rPr>
                <w:sz w:val="16"/>
                <w:szCs w:val="16"/>
                <w:lang w:val="es-ES_tradnl"/>
              </w:rPr>
            </w:pPr>
          </w:p>
        </w:tc>
        <w:tc>
          <w:tcPr>
            <w:tcW w:w="1504" w:type="pct"/>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 xml:space="preserve">Número de registros. </w:t>
            </w:r>
          </w:p>
          <w:p w:rsidR="0063482E" w:rsidRPr="00C75C7E" w:rsidRDefault="0063482E" w:rsidP="00EF3DB5">
            <w:pPr>
              <w:widowControl w:val="0"/>
              <w:rPr>
                <w:sz w:val="16"/>
                <w:szCs w:val="16"/>
                <w:lang w:val="es-ES_tradnl"/>
              </w:rPr>
            </w:pPr>
            <w:r w:rsidRPr="00C75C7E">
              <w:rPr>
                <w:sz w:val="16"/>
                <w:szCs w:val="16"/>
                <w:lang w:val="es-ES_tradnl"/>
              </w:rPr>
              <w:t xml:space="preserve">Número de renovaciones tramitadas. </w:t>
            </w:r>
          </w:p>
          <w:p w:rsidR="0063482E" w:rsidRPr="00C75C7E" w:rsidRDefault="0063482E" w:rsidP="00EF3DB5">
            <w:pPr>
              <w:widowControl w:val="0"/>
              <w:rPr>
                <w:sz w:val="16"/>
                <w:szCs w:val="16"/>
                <w:lang w:val="es-ES_tradnl"/>
              </w:rPr>
            </w:pPr>
            <w:r w:rsidRPr="00C75C7E">
              <w:rPr>
                <w:sz w:val="16"/>
                <w:szCs w:val="16"/>
                <w:lang w:val="es-ES_tradnl"/>
              </w:rPr>
              <w:t>Número de modificaciones, incluidas las designaciones posteriores (Madrid).</w:t>
            </w:r>
          </w:p>
        </w:tc>
        <w:tc>
          <w:tcPr>
            <w:tcW w:w="1147" w:type="pct"/>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 xml:space="preserve">Registros, renovaciones (véase el Anexo VII).  </w:t>
            </w:r>
          </w:p>
          <w:p w:rsidR="0063482E" w:rsidRPr="00C75C7E" w:rsidRDefault="0063482E" w:rsidP="00EF3DB5">
            <w:pPr>
              <w:widowControl w:val="0"/>
              <w:rPr>
                <w:sz w:val="16"/>
                <w:szCs w:val="16"/>
                <w:lang w:val="es-ES_tradnl" w:bidi="th-TH"/>
              </w:rPr>
            </w:pPr>
            <w:r w:rsidRPr="00C75C7E">
              <w:rPr>
                <w:sz w:val="16"/>
                <w:szCs w:val="16"/>
                <w:lang w:val="es-ES_tradnl" w:bidi="th-TH"/>
              </w:rPr>
              <w:t>Se inscribieron 97.500 modificaciones en el Registro (2012).</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tc>
        <w:tc>
          <w:tcPr>
            <w:tcW w:w="1109" w:type="pct"/>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2014</w:t>
            </w:r>
            <w:proofErr w:type="gramStart"/>
            <w:r w:rsidRPr="00C75C7E">
              <w:rPr>
                <w:bCs/>
                <w:sz w:val="16"/>
                <w:szCs w:val="16"/>
                <w:lang w:val="es-ES_tradnl"/>
              </w:rPr>
              <w:t>:  Aumento</w:t>
            </w:r>
            <w:proofErr w:type="gramEnd"/>
            <w:r w:rsidRPr="00C75C7E">
              <w:rPr>
                <w:bCs/>
                <w:sz w:val="16"/>
                <w:szCs w:val="16"/>
                <w:lang w:val="es-ES_tradnl"/>
              </w:rPr>
              <w:t xml:space="preserve"> del 6,3% en los registros y renovaciones. </w:t>
            </w:r>
          </w:p>
          <w:p w:rsidR="0063482E" w:rsidRPr="00C75C7E" w:rsidRDefault="0063482E" w:rsidP="00EF3DB5">
            <w:pPr>
              <w:widowControl w:val="0"/>
              <w:ind w:right="161"/>
              <w:rPr>
                <w:bCs/>
                <w:sz w:val="16"/>
                <w:szCs w:val="16"/>
                <w:lang w:val="es-ES_tradnl"/>
              </w:rPr>
            </w:pPr>
            <w:r w:rsidRPr="00C75C7E">
              <w:rPr>
                <w:bCs/>
                <w:sz w:val="16"/>
                <w:szCs w:val="16"/>
                <w:lang w:val="es-ES_tradnl"/>
              </w:rPr>
              <w:t>2015</w:t>
            </w:r>
            <w:proofErr w:type="gramStart"/>
            <w:r w:rsidRPr="00C75C7E">
              <w:rPr>
                <w:bCs/>
                <w:sz w:val="16"/>
                <w:szCs w:val="16"/>
                <w:lang w:val="es-ES_tradnl"/>
              </w:rPr>
              <w:t>:  Aumento</w:t>
            </w:r>
            <w:proofErr w:type="gramEnd"/>
            <w:r w:rsidRPr="00C75C7E">
              <w:rPr>
                <w:bCs/>
                <w:sz w:val="16"/>
                <w:szCs w:val="16"/>
                <w:lang w:val="es-ES_tradnl"/>
              </w:rPr>
              <w:t xml:space="preserve"> del 3,3% en los registros y renovaciones.  </w:t>
            </w:r>
          </w:p>
          <w:p w:rsidR="0063482E" w:rsidRPr="00C75C7E" w:rsidRDefault="0063482E" w:rsidP="00EF3DB5">
            <w:pPr>
              <w:widowControl w:val="0"/>
              <w:ind w:right="161"/>
              <w:rPr>
                <w:bCs/>
                <w:sz w:val="16"/>
                <w:szCs w:val="16"/>
                <w:lang w:val="es-ES_tradnl"/>
              </w:rPr>
            </w:pPr>
            <w:r w:rsidRPr="00C75C7E">
              <w:rPr>
                <w:bCs/>
                <w:sz w:val="16"/>
                <w:szCs w:val="16"/>
                <w:lang w:val="es-ES_tradnl"/>
              </w:rPr>
              <w:t>Total de registros</w:t>
            </w:r>
            <w:proofErr w:type="gramStart"/>
            <w:r w:rsidRPr="00C75C7E">
              <w:rPr>
                <w:bCs/>
                <w:sz w:val="16"/>
                <w:szCs w:val="16"/>
                <w:lang w:val="es-ES_tradnl"/>
              </w:rPr>
              <w:t>:  92.500</w:t>
            </w:r>
            <w:proofErr w:type="gramEnd"/>
            <w:r w:rsidRPr="00C75C7E">
              <w:rPr>
                <w:bCs/>
                <w:sz w:val="16"/>
                <w:szCs w:val="16"/>
                <w:lang w:val="es-ES_tradnl"/>
              </w:rPr>
              <w:t xml:space="preserve">. </w:t>
            </w:r>
          </w:p>
          <w:p w:rsidR="0063482E" w:rsidRPr="00C75C7E" w:rsidRDefault="0063482E" w:rsidP="00EF3DB5">
            <w:pPr>
              <w:widowControl w:val="0"/>
              <w:ind w:right="161"/>
              <w:rPr>
                <w:bCs/>
                <w:sz w:val="16"/>
                <w:szCs w:val="16"/>
                <w:lang w:val="es-ES_tradnl"/>
              </w:rPr>
            </w:pPr>
            <w:r w:rsidRPr="00C75C7E">
              <w:rPr>
                <w:bCs/>
                <w:sz w:val="16"/>
                <w:szCs w:val="16"/>
                <w:lang w:val="es-ES_tradnl"/>
              </w:rPr>
              <w:t xml:space="preserve">Total de renovaciones:   49.000 </w:t>
            </w:r>
          </w:p>
          <w:p w:rsidR="0063482E" w:rsidRPr="00C75C7E" w:rsidRDefault="0063482E" w:rsidP="00EF3DB5">
            <w:pPr>
              <w:widowControl w:val="0"/>
              <w:ind w:right="161"/>
              <w:rPr>
                <w:bCs/>
                <w:sz w:val="16"/>
                <w:szCs w:val="16"/>
                <w:lang w:val="es-ES_tradnl"/>
              </w:rPr>
            </w:pPr>
            <w:r w:rsidRPr="00C75C7E">
              <w:rPr>
                <w:bCs/>
                <w:sz w:val="16"/>
                <w:szCs w:val="16"/>
                <w:lang w:val="es-ES_tradnl"/>
              </w:rPr>
              <w:t>Total de modificaciones: 200.000, incluidas 35.000 designaciones posteriores.</w:t>
            </w:r>
          </w:p>
        </w:tc>
      </w:tr>
      <w:tr w:rsidR="0063482E" w:rsidRPr="00C75C7E" w:rsidTr="00EF3DB5">
        <w:trPr>
          <w:cantSplit/>
          <w:trHeight w:val="531"/>
        </w:trPr>
        <w:tc>
          <w:tcPr>
            <w:tcW w:w="1240" w:type="pct"/>
            <w:tcBorders>
              <w:bottom w:val="nil"/>
            </w:tcBorders>
            <w:shd w:val="clear" w:color="auto" w:fill="auto"/>
          </w:tcPr>
          <w:p w:rsidR="0063482E" w:rsidRPr="00C75C7E" w:rsidRDefault="0063482E" w:rsidP="00EF3DB5">
            <w:pPr>
              <w:widowControl w:val="0"/>
              <w:rPr>
                <w:sz w:val="16"/>
                <w:szCs w:val="16"/>
                <w:lang w:val="es-ES_tradnl"/>
              </w:rPr>
            </w:pPr>
          </w:p>
        </w:tc>
        <w:tc>
          <w:tcPr>
            <w:tcW w:w="1504" w:type="pct"/>
            <w:tcBorders>
              <w:bottom w:val="nil"/>
            </w:tcBorders>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Traducción de las solicitudes de manera puntual (Madrid).</w:t>
            </w:r>
          </w:p>
        </w:tc>
        <w:tc>
          <w:tcPr>
            <w:tcW w:w="1147" w:type="pct"/>
            <w:tcBorders>
              <w:bottom w:val="nil"/>
            </w:tcBorders>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No se dispone de datos.</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tc>
        <w:tc>
          <w:tcPr>
            <w:tcW w:w="1109" w:type="pct"/>
            <w:tcBorders>
              <w:bottom w:val="nil"/>
            </w:tcBorders>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Cuatro semanas.</w:t>
            </w:r>
          </w:p>
        </w:tc>
      </w:tr>
      <w:tr w:rsidR="0063482E" w:rsidRPr="00C75C7E" w:rsidTr="00EF3DB5">
        <w:trPr>
          <w:cantSplit/>
          <w:trHeight w:val="663"/>
        </w:trPr>
        <w:tc>
          <w:tcPr>
            <w:tcW w:w="1240" w:type="pct"/>
            <w:tcBorders>
              <w:top w:val="nil"/>
              <w:left w:val="single" w:sz="4" w:space="0" w:color="auto"/>
              <w:bottom w:val="nil"/>
            </w:tcBorders>
            <w:shd w:val="clear" w:color="auto" w:fill="auto"/>
          </w:tcPr>
          <w:p w:rsidR="0063482E" w:rsidRPr="00C75C7E" w:rsidRDefault="0063482E" w:rsidP="00EF3DB5">
            <w:pPr>
              <w:widowControl w:val="0"/>
              <w:rPr>
                <w:sz w:val="16"/>
                <w:szCs w:val="16"/>
                <w:lang w:val="es-ES_tradnl"/>
              </w:rPr>
            </w:pPr>
          </w:p>
        </w:tc>
        <w:tc>
          <w:tcPr>
            <w:tcW w:w="1504" w:type="pct"/>
            <w:tcBorders>
              <w:top w:val="nil"/>
              <w:bottom w:val="nil"/>
            </w:tcBorders>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Disminución del número de correcciones (Madrid).</w:t>
            </w:r>
          </w:p>
        </w:tc>
        <w:tc>
          <w:tcPr>
            <w:tcW w:w="1147" w:type="pct"/>
            <w:tcBorders>
              <w:top w:val="nil"/>
              <w:bottom w:val="nil"/>
            </w:tcBorders>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 xml:space="preserve">Número de correcciones en 2012 </w:t>
            </w:r>
            <w:proofErr w:type="gramStart"/>
            <w:r w:rsidRPr="00C75C7E">
              <w:rPr>
                <w:sz w:val="16"/>
                <w:szCs w:val="16"/>
                <w:lang w:val="es-ES_tradnl" w:bidi="th-TH"/>
              </w:rPr>
              <w:t>( 5.000</w:t>
            </w:r>
            <w:proofErr w:type="gramEnd"/>
            <w:r w:rsidRPr="00C75C7E">
              <w:rPr>
                <w:sz w:val="16"/>
                <w:szCs w:val="16"/>
                <w:lang w:val="es-ES_tradnl" w:bidi="th-TH"/>
              </w:rPr>
              <w:t xml:space="preserve"> peticiones).</w:t>
            </w:r>
          </w:p>
          <w:p w:rsidR="0063482E" w:rsidRPr="00C75C7E" w:rsidRDefault="0063482E" w:rsidP="00EF3DB5">
            <w:pPr>
              <w:widowControl w:val="0"/>
              <w:rPr>
                <w:sz w:val="16"/>
                <w:szCs w:val="16"/>
                <w:lang w:val="es-ES_tradnl" w:bidi="th-TH"/>
              </w:rPr>
            </w:pPr>
          </w:p>
        </w:tc>
        <w:tc>
          <w:tcPr>
            <w:tcW w:w="1109" w:type="pct"/>
            <w:tcBorders>
              <w:top w:val="nil"/>
              <w:bottom w:val="nil"/>
              <w:right w:val="single" w:sz="4" w:space="0" w:color="auto"/>
            </w:tcBorders>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Disminución en un 10% del número de correcciones.</w:t>
            </w:r>
          </w:p>
        </w:tc>
      </w:tr>
      <w:tr w:rsidR="0063482E" w:rsidRPr="00C75C7E" w:rsidTr="00EF3DB5">
        <w:trPr>
          <w:cantSplit/>
          <w:trHeight w:val="946"/>
        </w:trPr>
        <w:tc>
          <w:tcPr>
            <w:tcW w:w="1240" w:type="pct"/>
            <w:tcBorders>
              <w:top w:val="nil"/>
              <w:left w:val="single" w:sz="4" w:space="0" w:color="auto"/>
              <w:bottom w:val="nil"/>
            </w:tcBorders>
            <w:shd w:val="clear" w:color="auto" w:fill="auto"/>
          </w:tcPr>
          <w:p w:rsidR="0063482E" w:rsidRPr="00C75C7E" w:rsidRDefault="0063482E" w:rsidP="00EF3DB5">
            <w:pPr>
              <w:widowControl w:val="0"/>
              <w:rPr>
                <w:sz w:val="16"/>
                <w:szCs w:val="16"/>
                <w:lang w:val="es-ES_tradnl"/>
              </w:rPr>
            </w:pPr>
          </w:p>
        </w:tc>
        <w:tc>
          <w:tcPr>
            <w:tcW w:w="1504" w:type="pct"/>
            <w:tcBorders>
              <w:top w:val="nil"/>
              <w:bottom w:val="nil"/>
            </w:tcBorders>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Aumento de la satisfacción de los clientes (Madrid).</w:t>
            </w:r>
          </w:p>
        </w:tc>
        <w:tc>
          <w:tcPr>
            <w:tcW w:w="1147" w:type="pct"/>
            <w:tcBorders>
              <w:top w:val="nil"/>
              <w:bottom w:val="nil"/>
            </w:tcBorders>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Encuesta de prestación de servicios al cliente en</w:t>
            </w:r>
            <w:r w:rsidRPr="00C75C7E">
              <w:rPr>
                <w:sz w:val="16"/>
                <w:szCs w:val="16"/>
                <w:highlight w:val="cyan"/>
                <w:lang w:val="es-ES_tradnl" w:bidi="th-TH"/>
              </w:rPr>
              <w:t xml:space="preserve"> </w:t>
            </w:r>
            <w:r w:rsidRPr="00C75C7E">
              <w:rPr>
                <w:sz w:val="16"/>
                <w:szCs w:val="16"/>
                <w:lang w:val="es-ES_tradnl" w:bidi="th-TH"/>
              </w:rPr>
              <w:t>2012. Índice de prestación de servicios</w:t>
            </w:r>
            <w:proofErr w:type="gramStart"/>
            <w:r w:rsidRPr="00C75C7E">
              <w:rPr>
                <w:sz w:val="16"/>
                <w:szCs w:val="16"/>
                <w:lang w:val="es-ES_tradnl" w:bidi="th-TH"/>
              </w:rPr>
              <w:t>:  79</w:t>
            </w:r>
            <w:proofErr w:type="gramEnd"/>
            <w:r w:rsidRPr="00C75C7E">
              <w:rPr>
                <w:sz w:val="16"/>
                <w:szCs w:val="16"/>
                <w:lang w:val="es-ES_tradnl" w:bidi="th-TH"/>
              </w:rPr>
              <w:t>.</w:t>
            </w:r>
          </w:p>
        </w:tc>
        <w:tc>
          <w:tcPr>
            <w:tcW w:w="1109" w:type="pct"/>
            <w:tcBorders>
              <w:top w:val="nil"/>
              <w:bottom w:val="nil"/>
              <w:right w:val="single" w:sz="4" w:space="0" w:color="auto"/>
            </w:tcBorders>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Índice de satisfacción más elevado en la siguiente encuesta, centrado en la puntualidad y la capacidad de respuesta.</w:t>
            </w:r>
          </w:p>
        </w:tc>
      </w:tr>
      <w:tr w:rsidR="0063482E" w:rsidRPr="00C75C7E" w:rsidTr="00EF3DB5">
        <w:trPr>
          <w:cantSplit/>
          <w:trHeight w:val="1337"/>
        </w:trPr>
        <w:tc>
          <w:tcPr>
            <w:tcW w:w="1240" w:type="pct"/>
            <w:tcBorders>
              <w:top w:val="nil"/>
              <w:left w:val="single" w:sz="4" w:space="0" w:color="auto"/>
              <w:bottom w:val="nil"/>
            </w:tcBorders>
            <w:shd w:val="clear" w:color="auto" w:fill="auto"/>
          </w:tcPr>
          <w:p w:rsidR="0063482E" w:rsidRPr="00C75C7E" w:rsidRDefault="0063482E" w:rsidP="00EF3DB5">
            <w:pPr>
              <w:widowControl w:val="0"/>
              <w:rPr>
                <w:sz w:val="16"/>
                <w:szCs w:val="16"/>
                <w:lang w:val="es-ES_tradnl"/>
              </w:rPr>
            </w:pPr>
          </w:p>
        </w:tc>
        <w:tc>
          <w:tcPr>
            <w:tcW w:w="1504" w:type="pct"/>
            <w:tcBorders>
              <w:top w:val="nil"/>
              <w:bottom w:val="nil"/>
            </w:tcBorders>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Aumento del uso del intercambio electrónico (Madrid).</w:t>
            </w:r>
          </w:p>
        </w:tc>
        <w:tc>
          <w:tcPr>
            <w:tcW w:w="1147" w:type="pct"/>
            <w:tcBorders>
              <w:top w:val="nil"/>
              <w:bottom w:val="nil"/>
            </w:tcBorders>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60% de documentos recibidos electrónicamente;  85.00</w:t>
            </w:r>
            <w:r w:rsidR="00335765">
              <w:rPr>
                <w:sz w:val="16"/>
                <w:szCs w:val="16"/>
                <w:lang w:val="es-ES_tradnl" w:bidi="th-TH"/>
              </w:rPr>
              <w:t>0</w:t>
            </w:r>
            <w:r w:rsidRPr="00C75C7E">
              <w:rPr>
                <w:sz w:val="16"/>
                <w:szCs w:val="16"/>
                <w:lang w:val="es-ES_tradnl" w:bidi="th-TH"/>
              </w:rPr>
              <w:t xml:space="preserve"> marcas notificadas por correo electrónico;  200 usuarios que utilizan el Gestor de carteras del sistema de Madrid;  17 oficinas que envían solicitudes en XML.</w:t>
            </w:r>
          </w:p>
          <w:p w:rsidR="0063482E" w:rsidRPr="00C75C7E" w:rsidRDefault="0063482E" w:rsidP="00EF3DB5">
            <w:pPr>
              <w:widowControl w:val="0"/>
              <w:rPr>
                <w:sz w:val="16"/>
                <w:szCs w:val="16"/>
                <w:lang w:val="es-ES_tradnl" w:bidi="th-TH"/>
              </w:rPr>
            </w:pPr>
          </w:p>
        </w:tc>
        <w:tc>
          <w:tcPr>
            <w:tcW w:w="1109" w:type="pct"/>
            <w:tcBorders>
              <w:top w:val="nil"/>
              <w:bottom w:val="nil"/>
              <w:right w:val="single" w:sz="4" w:space="0" w:color="auto"/>
            </w:tcBorders>
            <w:shd w:val="clear" w:color="auto" w:fill="auto"/>
            <w:tcMar>
              <w:top w:w="110" w:type="dxa"/>
            </w:tcMar>
          </w:tcPr>
          <w:p w:rsidR="0063482E" w:rsidRPr="00C75C7E" w:rsidRDefault="0063482E" w:rsidP="009A79CA">
            <w:pPr>
              <w:widowControl w:val="0"/>
              <w:ind w:right="161"/>
              <w:rPr>
                <w:bCs/>
                <w:sz w:val="16"/>
                <w:szCs w:val="16"/>
                <w:lang w:val="es-ES_tradnl"/>
              </w:rPr>
            </w:pPr>
            <w:r w:rsidRPr="00C75C7E">
              <w:rPr>
                <w:bCs/>
                <w:sz w:val="16"/>
                <w:szCs w:val="16"/>
                <w:lang w:val="es-ES_tradnl"/>
              </w:rPr>
              <w:t>70% de documentos recibidos electrónicamente;  110.000 marcas notificadas por correo electrónico;  1</w:t>
            </w:r>
            <w:r w:rsidR="009A79CA">
              <w:rPr>
                <w:bCs/>
                <w:sz w:val="16"/>
                <w:szCs w:val="16"/>
                <w:lang w:val="es-ES_tradnl"/>
              </w:rPr>
              <w:t>.</w:t>
            </w:r>
            <w:r w:rsidRPr="00C75C7E">
              <w:rPr>
                <w:bCs/>
                <w:sz w:val="16"/>
                <w:szCs w:val="16"/>
                <w:lang w:val="es-ES_tradnl"/>
              </w:rPr>
              <w:t>000 usuarios que utilizan el Gestor de carteras del sistema de Madrid;  23 oficinas que envían solicitudes en XML.</w:t>
            </w:r>
          </w:p>
        </w:tc>
      </w:tr>
      <w:tr w:rsidR="0063482E" w:rsidRPr="00C75C7E" w:rsidTr="00EF3DB5">
        <w:trPr>
          <w:cantSplit/>
          <w:trHeight w:val="992"/>
        </w:trPr>
        <w:tc>
          <w:tcPr>
            <w:tcW w:w="1240" w:type="pct"/>
            <w:tcBorders>
              <w:top w:val="nil"/>
              <w:left w:val="single" w:sz="4" w:space="0" w:color="auto"/>
              <w:bottom w:val="nil"/>
            </w:tcBorders>
            <w:shd w:val="clear" w:color="auto" w:fill="auto"/>
          </w:tcPr>
          <w:p w:rsidR="0063482E" w:rsidRPr="00C75C7E" w:rsidRDefault="0063482E" w:rsidP="00EF3DB5">
            <w:pPr>
              <w:widowControl w:val="0"/>
              <w:rPr>
                <w:sz w:val="16"/>
                <w:szCs w:val="16"/>
                <w:lang w:val="es-ES_tradnl"/>
              </w:rPr>
            </w:pPr>
          </w:p>
        </w:tc>
        <w:tc>
          <w:tcPr>
            <w:tcW w:w="1504" w:type="pct"/>
            <w:tcBorders>
              <w:top w:val="nil"/>
              <w:bottom w:val="nil"/>
            </w:tcBorders>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Perfeccionamiento del Registro Internacional electrónico del sistema de Lisboa.</w:t>
            </w:r>
          </w:p>
        </w:tc>
        <w:tc>
          <w:tcPr>
            <w:tcW w:w="1147" w:type="pct"/>
            <w:tcBorders>
              <w:top w:val="nil"/>
              <w:bottom w:val="nil"/>
            </w:tcBorders>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El Registro Internacional electrónico por establecer en 2013.</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tc>
        <w:tc>
          <w:tcPr>
            <w:tcW w:w="1109" w:type="pct"/>
            <w:tcBorders>
              <w:top w:val="nil"/>
              <w:bottom w:val="nil"/>
              <w:right w:val="single" w:sz="4" w:space="0" w:color="auto"/>
            </w:tcBorders>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 xml:space="preserve">Sistema electrónico que conecta el Registro Internacional y la base de datos </w:t>
            </w:r>
            <w:proofErr w:type="spellStart"/>
            <w:r w:rsidRPr="00C75C7E">
              <w:rPr>
                <w:bCs/>
                <w:sz w:val="16"/>
                <w:szCs w:val="16"/>
                <w:lang w:val="es-ES_tradnl"/>
              </w:rPr>
              <w:t>Lisbon</w:t>
            </w:r>
            <w:proofErr w:type="spellEnd"/>
            <w:r w:rsidRPr="00C75C7E">
              <w:rPr>
                <w:bCs/>
                <w:sz w:val="16"/>
                <w:szCs w:val="16"/>
                <w:lang w:val="es-ES_tradnl"/>
              </w:rPr>
              <w:t xml:space="preserve"> Express en el sitio web de la OMPI.</w:t>
            </w:r>
          </w:p>
        </w:tc>
      </w:tr>
      <w:tr w:rsidR="0063482E" w:rsidRPr="00C75C7E" w:rsidTr="00EF3DB5">
        <w:trPr>
          <w:cantSplit/>
          <w:trHeight w:val="966"/>
        </w:trPr>
        <w:tc>
          <w:tcPr>
            <w:tcW w:w="1240" w:type="pct"/>
            <w:tcBorders>
              <w:top w:val="nil"/>
              <w:left w:val="single" w:sz="4" w:space="0" w:color="auto"/>
              <w:bottom w:val="single" w:sz="4" w:space="0" w:color="auto"/>
            </w:tcBorders>
            <w:shd w:val="clear" w:color="auto" w:fill="auto"/>
          </w:tcPr>
          <w:p w:rsidR="0063482E" w:rsidRPr="00C75C7E" w:rsidRDefault="0063482E" w:rsidP="00EF3DB5">
            <w:pPr>
              <w:widowControl w:val="0"/>
              <w:rPr>
                <w:sz w:val="16"/>
                <w:szCs w:val="16"/>
                <w:lang w:val="es-ES_tradnl"/>
              </w:rPr>
            </w:pPr>
          </w:p>
        </w:tc>
        <w:tc>
          <w:tcPr>
            <w:tcW w:w="1504" w:type="pct"/>
            <w:tcBorders>
              <w:top w:val="nil"/>
              <w:bottom w:val="single" w:sz="4" w:space="0" w:color="auto"/>
            </w:tcBorders>
            <w:shd w:val="clear" w:color="auto" w:fill="auto"/>
            <w:tcMar>
              <w:top w:w="110" w:type="dxa"/>
            </w:tcMar>
          </w:tcPr>
          <w:p w:rsidR="0063482E" w:rsidRPr="00C75C7E" w:rsidRDefault="0063482E" w:rsidP="00EF3DB5">
            <w:pPr>
              <w:widowControl w:val="0"/>
              <w:rPr>
                <w:sz w:val="16"/>
                <w:szCs w:val="16"/>
                <w:lang w:val="es-ES_tradnl"/>
              </w:rPr>
            </w:pPr>
            <w:r w:rsidRPr="00C75C7E">
              <w:rPr>
                <w:sz w:val="16"/>
                <w:szCs w:val="16"/>
                <w:lang w:val="es-ES_tradnl"/>
              </w:rPr>
              <w:t>Perfeccionamiento de los medios de comunicación y publicación electrónicos en el marco de los procedimientos del Arreglo de Lisboa.</w:t>
            </w:r>
          </w:p>
        </w:tc>
        <w:tc>
          <w:tcPr>
            <w:tcW w:w="1147" w:type="pct"/>
            <w:tcBorders>
              <w:top w:val="nil"/>
              <w:bottom w:val="single" w:sz="4" w:space="0" w:color="auto"/>
            </w:tcBorders>
            <w:shd w:val="clear" w:color="auto" w:fill="FFFFFF"/>
            <w:tcMar>
              <w:top w:w="110" w:type="dxa"/>
            </w:tcMar>
          </w:tcPr>
          <w:p w:rsidR="0063482E" w:rsidRPr="00C75C7E" w:rsidRDefault="0063482E" w:rsidP="00EF3DB5">
            <w:pPr>
              <w:widowControl w:val="0"/>
              <w:rPr>
                <w:sz w:val="16"/>
                <w:szCs w:val="16"/>
                <w:lang w:val="es-ES_tradnl" w:bidi="th-TH"/>
              </w:rPr>
            </w:pPr>
            <w:r w:rsidRPr="00C75C7E">
              <w:rPr>
                <w:sz w:val="16"/>
                <w:szCs w:val="16"/>
                <w:lang w:val="es-ES_tradnl" w:bidi="th-TH"/>
              </w:rPr>
              <w:t>Medios electrónicos en funcionamiento al final de 2013.</w:t>
            </w:r>
          </w:p>
          <w:p w:rsidR="0063482E" w:rsidRPr="00C75C7E" w:rsidRDefault="0063482E" w:rsidP="00EF3DB5">
            <w:pPr>
              <w:widowControl w:val="0"/>
              <w:rPr>
                <w:sz w:val="16"/>
                <w:szCs w:val="16"/>
                <w:lang w:val="es-ES_tradnl" w:bidi="th-TH"/>
              </w:rPr>
            </w:pPr>
          </w:p>
        </w:tc>
        <w:tc>
          <w:tcPr>
            <w:tcW w:w="1109" w:type="pct"/>
            <w:tcBorders>
              <w:top w:val="nil"/>
              <w:bottom w:val="single" w:sz="4" w:space="0" w:color="auto"/>
              <w:right w:val="single" w:sz="4" w:space="0" w:color="auto"/>
            </w:tcBorders>
            <w:shd w:val="clear" w:color="auto" w:fill="auto"/>
            <w:tcMar>
              <w:top w:w="110"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 xml:space="preserve">Sistema de presentación electrónica e incorporación del boletín del sistema de Lisboa a la base de datos </w:t>
            </w:r>
            <w:proofErr w:type="spellStart"/>
            <w:r w:rsidRPr="00C75C7E">
              <w:rPr>
                <w:bCs/>
                <w:sz w:val="16"/>
                <w:szCs w:val="16"/>
                <w:lang w:val="es-ES_tradnl"/>
              </w:rPr>
              <w:t>Lisbon</w:t>
            </w:r>
            <w:proofErr w:type="spellEnd"/>
            <w:r w:rsidRPr="00C75C7E">
              <w:rPr>
                <w:bCs/>
                <w:sz w:val="16"/>
                <w:szCs w:val="16"/>
                <w:lang w:val="es-ES_tradnl"/>
              </w:rPr>
              <w:t xml:space="preserve"> Express.</w:t>
            </w:r>
          </w:p>
        </w:tc>
      </w:tr>
    </w:tbl>
    <w:p w:rsidR="0063482E" w:rsidRPr="0079447F" w:rsidRDefault="0063482E" w:rsidP="0079447F">
      <w:pPr>
        <w:widowControl w:val="0"/>
        <w:autoSpaceDE w:val="0"/>
        <w:autoSpaceDN w:val="0"/>
        <w:adjustRightInd w:val="0"/>
        <w:jc w:val="both"/>
        <w:rPr>
          <w:szCs w:val="22"/>
        </w:rPr>
      </w:pPr>
    </w:p>
    <w:p w:rsidR="005E581D" w:rsidRPr="0079447F" w:rsidRDefault="005E581D" w:rsidP="0079447F">
      <w:pPr>
        <w:widowControl w:val="0"/>
        <w:autoSpaceDE w:val="0"/>
        <w:autoSpaceDN w:val="0"/>
        <w:adjustRightInd w:val="0"/>
        <w:jc w:val="both"/>
        <w:rPr>
          <w:szCs w:val="22"/>
        </w:rPr>
      </w:pPr>
    </w:p>
    <w:p w:rsidR="005E581D" w:rsidRPr="006B0DE9" w:rsidRDefault="005E581D" w:rsidP="005E581D">
      <w:pPr>
        <w:widowControl w:val="0"/>
        <w:autoSpaceDE w:val="0"/>
        <w:autoSpaceDN w:val="0"/>
        <w:adjustRightInd w:val="0"/>
        <w:jc w:val="both"/>
        <w:rPr>
          <w:szCs w:val="22"/>
        </w:rPr>
      </w:pPr>
      <w:r w:rsidRPr="006B0DE9">
        <w:rPr>
          <w:szCs w:val="22"/>
        </w:rPr>
        <w:lastRenderedPageBreak/>
        <w:t>RECURSOS PARA EL PROGRAMA 6</w:t>
      </w:r>
    </w:p>
    <w:p w:rsidR="005E581D" w:rsidRPr="006B0DE9" w:rsidRDefault="005E581D" w:rsidP="005E581D">
      <w:pPr>
        <w:widowControl w:val="0"/>
        <w:autoSpaceDE w:val="0"/>
        <w:autoSpaceDN w:val="0"/>
        <w:adjustRightInd w:val="0"/>
        <w:jc w:val="both"/>
        <w:rPr>
          <w:szCs w:val="22"/>
        </w:rPr>
      </w:pPr>
    </w:p>
    <w:p w:rsidR="005E581D" w:rsidRPr="006B0DE9" w:rsidRDefault="005E581D" w:rsidP="00BA276E">
      <w:pPr>
        <w:widowControl w:val="0"/>
        <w:numPr>
          <w:ilvl w:val="0"/>
          <w:numId w:val="26"/>
        </w:numPr>
        <w:jc w:val="both"/>
        <w:rPr>
          <w:color w:val="000000"/>
          <w:sz w:val="20"/>
        </w:rPr>
      </w:pPr>
      <w:r w:rsidRPr="006B0DE9">
        <w:rPr>
          <w:color w:val="000000"/>
          <w:sz w:val="20"/>
        </w:rPr>
        <w:t xml:space="preserve">El aumento de los recursos destinados al </w:t>
      </w:r>
      <w:r w:rsidRPr="006B0DE9">
        <w:rPr>
          <w:sz w:val="20"/>
        </w:rPr>
        <w:t xml:space="preserve">resultado II.6 (Ampliación y mejora del uso de los sistemas de Madrid y de Lisboa) se debe a:  i) la propuesta de redistribución interna de los recursos necesarios para respaldar la ampliación del sistema de Madrid;  ii) </w:t>
      </w:r>
      <w:r w:rsidRPr="006B0DE9">
        <w:rPr>
          <w:color w:val="000000"/>
          <w:sz w:val="20"/>
        </w:rPr>
        <w:t xml:space="preserve">la provisión destinada a la celebración de una eventual conferencia diplomática para la adopción de un Arreglo de Lisboa revisado, con sujeción a la decisión que adopte al respecto la Asamblea de la Unión de Lisboa (reflejada en la línea “Conferencias”), y iii) </w:t>
      </w:r>
      <w:r w:rsidRPr="006B0DE9">
        <w:rPr>
          <w:sz w:val="20"/>
        </w:rPr>
        <w:t>un aumento de 1,2 millones para un nuevo programa de becas entre la Oficina Internacional y las oficinas nacionales de P.I. para los sistemas mundiales de registro</w:t>
      </w:r>
      <w:r w:rsidRPr="006B0DE9">
        <w:rPr>
          <w:color w:val="000000"/>
          <w:sz w:val="20"/>
        </w:rPr>
        <w:t>.</w:t>
      </w:r>
    </w:p>
    <w:p w:rsidR="005E581D" w:rsidRPr="006B0DE9" w:rsidRDefault="005E581D" w:rsidP="005E581D">
      <w:pPr>
        <w:widowControl w:val="0"/>
        <w:jc w:val="both"/>
        <w:rPr>
          <w:color w:val="000000"/>
          <w:sz w:val="20"/>
        </w:rPr>
      </w:pPr>
    </w:p>
    <w:p w:rsidR="005E581D" w:rsidRPr="006B0DE9" w:rsidRDefault="005E581D" w:rsidP="00BA276E">
      <w:pPr>
        <w:widowControl w:val="0"/>
        <w:numPr>
          <w:ilvl w:val="0"/>
          <w:numId w:val="26"/>
        </w:numPr>
        <w:jc w:val="both"/>
        <w:rPr>
          <w:sz w:val="20"/>
        </w:rPr>
      </w:pPr>
      <w:r w:rsidRPr="006B0DE9">
        <w:rPr>
          <w:color w:val="000000"/>
          <w:sz w:val="20"/>
        </w:rPr>
        <w:t>El programa de becas permitirá al personal de las oficinas nacionales participantes conocer en profundidad la labor que desarrolla la Oficina Internacional y adquirir conocimientos y experiencia laboral en primera persona acerca de los procedimientos de intercambio de formalidades así como de las últimas novedades en este ámbito.</w:t>
      </w:r>
    </w:p>
    <w:p w:rsidR="005E581D" w:rsidRPr="006B0DE9" w:rsidRDefault="005E581D" w:rsidP="005E581D">
      <w:pPr>
        <w:widowControl w:val="0"/>
        <w:jc w:val="both"/>
        <w:rPr>
          <w:sz w:val="20"/>
        </w:rPr>
      </w:pPr>
    </w:p>
    <w:p w:rsidR="005E581D" w:rsidRPr="006B0DE9" w:rsidRDefault="005E581D" w:rsidP="00BA276E">
      <w:pPr>
        <w:widowControl w:val="0"/>
        <w:numPr>
          <w:ilvl w:val="0"/>
          <w:numId w:val="26"/>
        </w:numPr>
        <w:jc w:val="both"/>
        <w:rPr>
          <w:sz w:val="20"/>
        </w:rPr>
      </w:pPr>
      <w:r w:rsidRPr="006B0DE9">
        <w:rPr>
          <w:sz w:val="20"/>
        </w:rPr>
        <w:t>La reducción de los recursos destinados al resultado II.7 (Mejora de la productividad y de la calidad de los servicios – Madrid y Lisboa) se debe fundamentalmente a la disminución de los costos de traducción y del costo unitario obtenida mediante la introducción de cambios en la estrategia de subcontratación, sustituyendo los acuerdos de prestación de servicios contractuales individuales por servicios contractuales comerciales.  El consiguiente cambio en las categorías de costos queda reflejado en el cuadro siguiente.</w:t>
      </w:r>
    </w:p>
    <w:p w:rsidR="005E581D" w:rsidRPr="006B0DE9" w:rsidRDefault="005E581D" w:rsidP="005E581D">
      <w:pPr>
        <w:widowControl w:val="0"/>
        <w:jc w:val="both"/>
        <w:rPr>
          <w:color w:val="000000"/>
          <w:sz w:val="20"/>
        </w:rPr>
      </w:pPr>
    </w:p>
    <w:p w:rsidR="005E581D" w:rsidRPr="005E581D" w:rsidRDefault="005E581D" w:rsidP="0063482E">
      <w:pPr>
        <w:widowControl w:val="0"/>
        <w:rPr>
          <w:sz w:val="16"/>
          <w:szCs w:val="16"/>
        </w:rPr>
      </w:pPr>
    </w:p>
    <w:p w:rsidR="0063482E" w:rsidRPr="00C75C7E" w:rsidRDefault="00FE42C5" w:rsidP="0003053D">
      <w:pPr>
        <w:widowControl w:val="0"/>
        <w:autoSpaceDE w:val="0"/>
        <w:autoSpaceDN w:val="0"/>
        <w:adjustRightInd w:val="0"/>
        <w:jc w:val="center"/>
        <w:rPr>
          <w:b/>
          <w:bCs/>
          <w:iCs/>
          <w:sz w:val="20"/>
          <w:lang w:val="es-ES_tradnl"/>
        </w:rPr>
      </w:pPr>
      <w:r>
        <w:rPr>
          <w:b/>
          <w:bCs/>
          <w:iCs/>
          <w:sz w:val="20"/>
          <w:lang w:val="es-ES_tradnl"/>
        </w:rPr>
        <w:t>Programa 6</w:t>
      </w:r>
      <w:proofErr w:type="gramStart"/>
      <w:r>
        <w:rPr>
          <w:b/>
          <w:bCs/>
          <w:iCs/>
          <w:sz w:val="20"/>
          <w:lang w:val="es-ES_tradnl"/>
        </w:rPr>
        <w:t xml:space="preserve">:  </w:t>
      </w:r>
      <w:r w:rsidR="0063482E" w:rsidRPr="00C75C7E">
        <w:rPr>
          <w:b/>
          <w:bCs/>
          <w:iCs/>
          <w:sz w:val="20"/>
          <w:lang w:val="es-ES_tradnl"/>
        </w:rPr>
        <w:t>Recursos</w:t>
      </w:r>
      <w:proofErr w:type="gramEnd"/>
      <w:r w:rsidR="0063482E" w:rsidRPr="00C75C7E">
        <w:rPr>
          <w:b/>
          <w:bCs/>
          <w:iCs/>
          <w:sz w:val="20"/>
          <w:lang w:val="es-ES_tradnl"/>
        </w:rPr>
        <w:t xml:space="preserve"> por resultado</w:t>
      </w:r>
    </w:p>
    <w:p w:rsidR="0063482E" w:rsidRPr="00C75C7E" w:rsidRDefault="0063482E" w:rsidP="0003053D">
      <w:pPr>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3482E" w:rsidRPr="00C75C7E" w:rsidRDefault="0063482E" w:rsidP="0003053D">
      <w:pPr>
        <w:widowControl w:val="0"/>
        <w:autoSpaceDE w:val="0"/>
        <w:autoSpaceDN w:val="0"/>
        <w:adjustRightInd w:val="0"/>
        <w:jc w:val="center"/>
        <w:rPr>
          <w:sz w:val="16"/>
          <w:szCs w:val="16"/>
          <w:lang w:val="es-ES_tradnl"/>
        </w:rPr>
      </w:pPr>
      <w:r w:rsidRPr="00C75C7E">
        <w:rPr>
          <w:sz w:val="16"/>
          <w:szCs w:val="16"/>
          <w:lang w:val="es-ES_tradnl"/>
        </w:rPr>
        <w:t xml:space="preserve"> </w:t>
      </w:r>
    </w:p>
    <w:p w:rsidR="0063482E" w:rsidRPr="00C75C7E" w:rsidRDefault="00C40A11" w:rsidP="0003053D">
      <w:pPr>
        <w:widowControl w:val="0"/>
        <w:autoSpaceDE w:val="0"/>
        <w:autoSpaceDN w:val="0"/>
        <w:adjustRightInd w:val="0"/>
        <w:jc w:val="center"/>
        <w:rPr>
          <w:lang w:val="es-ES_tradnl"/>
        </w:rPr>
      </w:pPr>
      <w:r>
        <w:rPr>
          <w:noProof/>
          <w:lang w:val="en-US" w:eastAsia="en-US"/>
        </w:rPr>
        <w:drawing>
          <wp:inline distT="0" distB="0" distL="0" distR="0" wp14:anchorId="590BD092" wp14:editId="354D5991">
            <wp:extent cx="5793740" cy="1753870"/>
            <wp:effectExtent l="0" t="0" r="0" b="0"/>
            <wp:docPr id="3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93740" cy="1753870"/>
                    </a:xfrm>
                    <a:prstGeom prst="rect">
                      <a:avLst/>
                    </a:prstGeom>
                    <a:noFill/>
                    <a:ln>
                      <a:noFill/>
                    </a:ln>
                  </pic:spPr>
                </pic:pic>
              </a:graphicData>
            </a:graphic>
          </wp:inline>
        </w:drawing>
      </w:r>
    </w:p>
    <w:p w:rsidR="0063482E" w:rsidRPr="00C75C7E" w:rsidRDefault="0063482E" w:rsidP="0063482E">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03053D">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63482E" w:rsidRPr="00C75C7E" w:rsidRDefault="0063482E" w:rsidP="0063482E">
      <w:pPr>
        <w:widowControl w:val="0"/>
        <w:autoSpaceDE w:val="0"/>
        <w:autoSpaceDN w:val="0"/>
        <w:adjustRightInd w:val="0"/>
        <w:rPr>
          <w:sz w:val="18"/>
          <w:szCs w:val="18"/>
          <w:lang w:val="es-ES_tradnl"/>
        </w:rPr>
      </w:pPr>
    </w:p>
    <w:p w:rsidR="0063482E" w:rsidRPr="00C75C7E" w:rsidRDefault="0063482E" w:rsidP="0063482E">
      <w:pPr>
        <w:widowControl w:val="0"/>
        <w:autoSpaceDE w:val="0"/>
        <w:autoSpaceDN w:val="0"/>
        <w:adjustRightInd w:val="0"/>
        <w:rPr>
          <w:sz w:val="18"/>
          <w:szCs w:val="18"/>
          <w:lang w:val="es-ES_tradnl"/>
        </w:rPr>
      </w:pPr>
    </w:p>
    <w:p w:rsidR="0063482E" w:rsidRPr="00C75C7E" w:rsidRDefault="00FE42C5" w:rsidP="0079447F">
      <w:pPr>
        <w:keepNext/>
        <w:widowControl w:val="0"/>
        <w:autoSpaceDE w:val="0"/>
        <w:autoSpaceDN w:val="0"/>
        <w:adjustRightInd w:val="0"/>
        <w:jc w:val="center"/>
        <w:rPr>
          <w:b/>
          <w:bCs/>
          <w:iCs/>
          <w:sz w:val="20"/>
          <w:lang w:val="es-ES_tradnl"/>
        </w:rPr>
      </w:pPr>
      <w:r>
        <w:rPr>
          <w:b/>
          <w:bCs/>
          <w:iCs/>
          <w:sz w:val="20"/>
          <w:lang w:val="es-ES_tradnl"/>
        </w:rPr>
        <w:lastRenderedPageBreak/>
        <w:t>Programa 6</w:t>
      </w:r>
      <w:proofErr w:type="gramStart"/>
      <w:r>
        <w:rPr>
          <w:b/>
          <w:bCs/>
          <w:iCs/>
          <w:sz w:val="20"/>
          <w:lang w:val="es-ES_tradnl"/>
        </w:rPr>
        <w:t xml:space="preserve">:  </w:t>
      </w:r>
      <w:r w:rsidR="0063482E" w:rsidRPr="00C75C7E">
        <w:rPr>
          <w:b/>
          <w:bCs/>
          <w:iCs/>
          <w:sz w:val="20"/>
          <w:lang w:val="es-ES_tradnl"/>
        </w:rPr>
        <w:t>Recursos</w:t>
      </w:r>
      <w:proofErr w:type="gramEnd"/>
      <w:r w:rsidR="0063482E" w:rsidRPr="00C75C7E">
        <w:rPr>
          <w:b/>
          <w:bCs/>
          <w:iCs/>
          <w:sz w:val="20"/>
          <w:lang w:val="es-ES_tradnl"/>
        </w:rPr>
        <w:t xml:space="preserve"> por objeto de gasto</w:t>
      </w:r>
    </w:p>
    <w:p w:rsidR="0063482E" w:rsidRPr="00C75C7E" w:rsidRDefault="0063482E" w:rsidP="0079447F">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3482E" w:rsidRDefault="0063482E" w:rsidP="0079447F">
      <w:pPr>
        <w:keepNext/>
        <w:widowControl w:val="0"/>
        <w:autoSpaceDE w:val="0"/>
        <w:autoSpaceDN w:val="0"/>
        <w:adjustRightInd w:val="0"/>
        <w:jc w:val="center"/>
        <w:rPr>
          <w:sz w:val="16"/>
          <w:szCs w:val="16"/>
          <w:lang w:val="es-ES_tradnl"/>
        </w:rPr>
      </w:pPr>
    </w:p>
    <w:p w:rsidR="00723CAF" w:rsidRDefault="00C40A11" w:rsidP="0079447F">
      <w:pPr>
        <w:keepNext/>
        <w:widowControl w:val="0"/>
        <w:autoSpaceDE w:val="0"/>
        <w:autoSpaceDN w:val="0"/>
        <w:adjustRightInd w:val="0"/>
        <w:jc w:val="center"/>
        <w:rPr>
          <w:sz w:val="16"/>
          <w:szCs w:val="16"/>
          <w:lang w:val="es-ES_tradnl"/>
        </w:rPr>
      </w:pPr>
      <w:r>
        <w:rPr>
          <w:noProof/>
          <w:lang w:val="en-US" w:eastAsia="en-US"/>
        </w:rPr>
        <w:drawing>
          <wp:inline distT="0" distB="0" distL="0" distR="0" wp14:anchorId="7371D20F" wp14:editId="7094871A">
            <wp:extent cx="5936615" cy="5739130"/>
            <wp:effectExtent l="0" t="0" r="698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63482E" w:rsidRPr="00C75C7E" w:rsidRDefault="0063482E" w:rsidP="0079447F">
      <w:pPr>
        <w:widowControl w:val="0"/>
        <w:rPr>
          <w:lang w:val="es-ES_tradnl"/>
        </w:rPr>
      </w:pPr>
    </w:p>
    <w:p w:rsidR="0063482E" w:rsidRPr="00C75C7E" w:rsidRDefault="0063482E" w:rsidP="0063482E">
      <w:pPr>
        <w:widowControl w:val="0"/>
        <w:rPr>
          <w:sz w:val="16"/>
          <w:szCs w:val="16"/>
          <w:lang w:val="es-ES_tradnl"/>
        </w:rPr>
      </w:pPr>
      <w:r w:rsidRPr="00C75C7E">
        <w:rPr>
          <w:sz w:val="16"/>
          <w:szCs w:val="16"/>
          <w:lang w:val="es-ES_tradnl"/>
        </w:rPr>
        <w:t>Notas:</w:t>
      </w:r>
    </w:p>
    <w:p w:rsidR="0063482E" w:rsidRPr="00C75C7E" w:rsidRDefault="0063482E" w:rsidP="0063482E">
      <w:pPr>
        <w:widowControl w:val="0"/>
        <w:rPr>
          <w:sz w:val="16"/>
          <w:szCs w:val="16"/>
          <w:u w:val="single"/>
          <w:lang w:val="es-ES_tradnl"/>
        </w:rPr>
      </w:pPr>
    </w:p>
    <w:p w:rsidR="0063482E" w:rsidRDefault="0003053D" w:rsidP="0063482E">
      <w:pPr>
        <w:widowControl w:val="0"/>
        <w:rPr>
          <w:sz w:val="16"/>
          <w:szCs w:val="16"/>
          <w:lang w:val="es-ES_tradnl"/>
        </w:rPr>
      </w:pPr>
      <w:r>
        <w:rPr>
          <w:sz w:val="16"/>
          <w:szCs w:val="16"/>
          <w:lang w:val="es-ES_tradnl"/>
        </w:rPr>
        <w:t xml:space="preserve">1)  </w:t>
      </w:r>
      <w:r w:rsidR="0063482E" w:rsidRPr="00C75C7E">
        <w:rPr>
          <w:sz w:val="16"/>
          <w:szCs w:val="16"/>
          <w:lang w:val="es-ES_tradnl"/>
        </w:rPr>
        <w:t xml:space="preserve">El presupuesto </w:t>
      </w:r>
      <w:r w:rsidR="0063482E" w:rsidRPr="002E4257">
        <w:rPr>
          <w:sz w:val="16"/>
          <w:szCs w:val="16"/>
          <w:lang w:val="es-ES_tradnl"/>
        </w:rPr>
        <w:t>aprobado</w:t>
      </w:r>
      <w:r w:rsidR="0063482E" w:rsidRPr="00C75C7E">
        <w:rPr>
          <w:sz w:val="16"/>
          <w:szCs w:val="16"/>
          <w:lang w:val="es-ES_tradnl"/>
        </w:rPr>
        <w:t xml:space="preserve"> de 2012/13 y el presupuesto de dicho bienio después de las transferencias se </w:t>
      </w:r>
      <w:proofErr w:type="spellStart"/>
      <w:r w:rsidR="0063482E" w:rsidRPr="00C75C7E">
        <w:rPr>
          <w:sz w:val="16"/>
          <w:szCs w:val="16"/>
          <w:lang w:val="es-ES_tradnl"/>
        </w:rPr>
        <w:t>reexpresan</w:t>
      </w:r>
      <w:proofErr w:type="spellEnd"/>
      <w:r w:rsidR="0063482E" w:rsidRPr="00C75C7E">
        <w:rPr>
          <w:sz w:val="16"/>
          <w:szCs w:val="16"/>
          <w:lang w:val="es-ES_tradnl"/>
        </w:rPr>
        <w:t xml:space="preserve"> sobre la base de la estructura de categorías de costos propuesta para 2014/15.</w:t>
      </w:r>
    </w:p>
    <w:p w:rsidR="0063482E" w:rsidRPr="00C75C7E" w:rsidRDefault="0063482E" w:rsidP="0063482E">
      <w:pPr>
        <w:widowControl w:val="0"/>
        <w:rPr>
          <w:sz w:val="16"/>
          <w:szCs w:val="16"/>
          <w:lang w:val="es-ES_tradnl"/>
        </w:rPr>
      </w:pPr>
    </w:p>
    <w:p w:rsidR="0063482E" w:rsidRDefault="0063482E" w:rsidP="0063482E">
      <w:pPr>
        <w:widowControl w:val="0"/>
        <w:rPr>
          <w:rFonts w:cs="ArialMT"/>
          <w:sz w:val="16"/>
          <w:szCs w:val="16"/>
          <w:lang w:val="es-ES_tradnl"/>
        </w:rPr>
      </w:pPr>
      <w:r>
        <w:rPr>
          <w:sz w:val="16"/>
          <w:szCs w:val="16"/>
          <w:lang w:val="es-ES_tradnl"/>
        </w:rPr>
        <w:t>2)</w:t>
      </w:r>
      <w:r w:rsidR="0003053D">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w:t>
      </w:r>
      <w:r>
        <w:rPr>
          <w:sz w:val="16"/>
          <w:szCs w:val="16"/>
          <w:lang w:val="es-ES_tradnl"/>
        </w:rPr>
        <w:t>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63482E" w:rsidRPr="00C75C7E" w:rsidRDefault="0063482E" w:rsidP="0063482E">
      <w:pPr>
        <w:widowControl w:val="0"/>
        <w:rPr>
          <w:sz w:val="16"/>
          <w:szCs w:val="16"/>
          <w:lang w:val="es-ES_tradnl"/>
        </w:rPr>
      </w:pPr>
    </w:p>
    <w:p w:rsidR="0063482E" w:rsidRPr="00C75C7E" w:rsidRDefault="0063482E" w:rsidP="0063482E">
      <w:pPr>
        <w:widowControl w:val="0"/>
        <w:rPr>
          <w:sz w:val="16"/>
          <w:szCs w:val="16"/>
          <w:lang w:val="es-ES_tradnl"/>
        </w:rPr>
      </w:pPr>
      <w:r>
        <w:rPr>
          <w:sz w:val="16"/>
          <w:szCs w:val="16"/>
          <w:lang w:val="es-ES_tradnl"/>
        </w:rPr>
        <w:t>3)</w:t>
      </w:r>
      <w:r w:rsidR="0003053D">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5E581D" w:rsidRPr="00450C3A" w:rsidRDefault="0063482E" w:rsidP="00450C3A">
      <w:pPr>
        <w:pStyle w:val="Heading3"/>
        <w:tabs>
          <w:tab w:val="left" w:pos="1985"/>
        </w:tabs>
        <w:rPr>
          <w:b/>
          <w:iCs/>
          <w:caps/>
          <w:u w:val="none"/>
        </w:rPr>
      </w:pPr>
      <w:r w:rsidRPr="00C75C7E">
        <w:rPr>
          <w:lang w:val="es-ES_tradnl"/>
        </w:rPr>
        <w:br w:type="page"/>
      </w:r>
      <w:bookmarkStart w:id="34" w:name="_Toc356567754"/>
      <w:bookmarkStart w:id="35" w:name="_Toc366078715"/>
      <w:r w:rsidR="006A15F5" w:rsidRPr="00450C3A">
        <w:rPr>
          <w:b/>
          <w:iCs/>
          <w:u w:val="none"/>
        </w:rPr>
        <w:lastRenderedPageBreak/>
        <w:t>PROGRAMA 31</w:t>
      </w:r>
      <w:r w:rsidR="006A15F5" w:rsidRPr="00450C3A">
        <w:rPr>
          <w:b/>
          <w:iCs/>
          <w:u w:val="none"/>
        </w:rPr>
        <w:tab/>
      </w:r>
      <w:bookmarkEnd w:id="34"/>
      <w:r w:rsidR="006A15F5" w:rsidRPr="00450C3A">
        <w:rPr>
          <w:b/>
          <w:iCs/>
          <w:u w:val="none"/>
        </w:rPr>
        <w:t>SISTEMA DE LA HAYA</w:t>
      </w:r>
      <w:bookmarkEnd w:id="35"/>
    </w:p>
    <w:p w:rsidR="005E581D" w:rsidRPr="0079447F" w:rsidRDefault="005E581D" w:rsidP="006A15F5"/>
    <w:p w:rsidR="005E581D" w:rsidRPr="0079447F" w:rsidRDefault="005E581D" w:rsidP="006A15F5"/>
    <w:p w:rsidR="005E581D" w:rsidRPr="006B0DE9" w:rsidRDefault="005E581D" w:rsidP="005E581D">
      <w:pPr>
        <w:pStyle w:val="BodyTextIndent"/>
        <w:widowControl w:val="0"/>
        <w:ind w:left="1985" w:hanging="1985"/>
        <w:jc w:val="both"/>
        <w:rPr>
          <w:rFonts w:ascii="Arial" w:hAnsi="Arial" w:cs="Arial"/>
          <w:sz w:val="22"/>
          <w:szCs w:val="22"/>
          <w:lang w:val="es-ES"/>
        </w:rPr>
      </w:pPr>
      <w:r w:rsidRPr="006B0DE9">
        <w:rPr>
          <w:rFonts w:ascii="Arial" w:hAnsi="Arial" w:cs="Arial"/>
          <w:sz w:val="22"/>
          <w:szCs w:val="22"/>
          <w:lang w:val="es-ES"/>
        </w:rPr>
        <w:t>CONTEXTO DE PLANIFICACIÓN</w:t>
      </w:r>
    </w:p>
    <w:p w:rsidR="005E581D" w:rsidRPr="006B0DE9" w:rsidRDefault="005E581D" w:rsidP="005E581D">
      <w:pPr>
        <w:widowControl w:val="0"/>
        <w:rPr>
          <w:sz w:val="20"/>
        </w:rPr>
      </w:pPr>
    </w:p>
    <w:p w:rsidR="005E581D" w:rsidRPr="006B0DE9" w:rsidRDefault="005E581D" w:rsidP="00BA276E">
      <w:pPr>
        <w:widowControl w:val="0"/>
        <w:numPr>
          <w:ilvl w:val="0"/>
          <w:numId w:val="27"/>
        </w:numPr>
        <w:jc w:val="both"/>
        <w:rPr>
          <w:sz w:val="20"/>
        </w:rPr>
      </w:pPr>
      <w:r w:rsidRPr="006B0DE9">
        <w:rPr>
          <w:sz w:val="20"/>
        </w:rPr>
        <w:t xml:space="preserve">Los esfuerzos encaminados a ampliar el alcance geográfico del sistema de la Haya promoviendo la adhesión al Acta de Ginebra de 1999 del Arreglo de La Haya comenzaron a dar frutos durante el bienio 2012/13.  Se espera que pronto se adhieran países pertenecientes a algunas de las principales zonas comerciales del mundo.  Por más que sean nuevos en el sistema de La Haya, estos se encuentran entre los países en los que más solicitudes de registro de dibujos y modelos industriales se presentan y es probable que su incorporación estimule la adhesión de más países.  Por consiguiente, durante el bienio 2014/15 se espera que se produzca un aumento considerable del número de solicitudes internacionales.  Además, varias características del Acta de 1999 se elaboraron precisamente en vista de la incorporación de algunos de los países que se espera que se adhieran, en especial teniendo en cuenta los minuciosos exámenes de la novedad que llevan a cabo sus oficinas. Estas características se encuentran entre las más complejas y </w:t>
      </w:r>
      <w:r>
        <w:rPr>
          <w:sz w:val="20"/>
        </w:rPr>
        <w:t xml:space="preserve">todavía no se han puesto a prueba </w:t>
      </w:r>
      <w:r w:rsidRPr="006B0DE9">
        <w:rPr>
          <w:sz w:val="20"/>
        </w:rPr>
        <w:t>en la práctica.</w:t>
      </w:r>
    </w:p>
    <w:p w:rsidR="005E581D" w:rsidRPr="006B0DE9" w:rsidRDefault="005E581D" w:rsidP="005E581D">
      <w:pPr>
        <w:widowControl w:val="0"/>
        <w:jc w:val="both"/>
        <w:rPr>
          <w:sz w:val="20"/>
        </w:rPr>
      </w:pPr>
    </w:p>
    <w:p w:rsidR="005E581D" w:rsidRPr="006B0DE9" w:rsidRDefault="005E581D" w:rsidP="00BA276E">
      <w:pPr>
        <w:widowControl w:val="0"/>
        <w:numPr>
          <w:ilvl w:val="0"/>
          <w:numId w:val="27"/>
        </w:numPr>
        <w:jc w:val="both"/>
        <w:rPr>
          <w:sz w:val="20"/>
        </w:rPr>
      </w:pPr>
      <w:r w:rsidRPr="006B0DE9">
        <w:rPr>
          <w:sz w:val="20"/>
        </w:rPr>
        <w:t>A la luz de lo antedicho, los desafíos para el bienio 2014/15 consistirán en hacer frente al crecimiento previsto, aplicar con éxito las características del Acta de Ginebra que aún no se han puesto en práctica y velar por que el sistema siga siendo atractivo para los usuarios.</w:t>
      </w:r>
    </w:p>
    <w:p w:rsidR="005E581D" w:rsidRPr="006B0DE9" w:rsidRDefault="005E581D" w:rsidP="005E581D">
      <w:pPr>
        <w:widowControl w:val="0"/>
        <w:rPr>
          <w:sz w:val="20"/>
        </w:rPr>
      </w:pPr>
    </w:p>
    <w:p w:rsidR="005E581D" w:rsidRPr="006B0DE9" w:rsidRDefault="005E581D" w:rsidP="005E581D">
      <w:pPr>
        <w:widowControl w:val="0"/>
        <w:rPr>
          <w:sz w:val="20"/>
        </w:rPr>
      </w:pPr>
    </w:p>
    <w:p w:rsidR="005E581D" w:rsidRPr="006B0DE9" w:rsidRDefault="005E581D" w:rsidP="005E581D">
      <w:pPr>
        <w:widowControl w:val="0"/>
        <w:tabs>
          <w:tab w:val="left" w:pos="567"/>
          <w:tab w:val="left" w:pos="1985"/>
        </w:tabs>
        <w:jc w:val="both"/>
        <w:rPr>
          <w:bCs/>
        </w:rPr>
      </w:pPr>
      <w:r w:rsidRPr="006B0DE9">
        <w:rPr>
          <w:bCs/>
        </w:rPr>
        <w:t>ESTRATEGIAS DE EJECUCIÓN</w:t>
      </w:r>
    </w:p>
    <w:p w:rsidR="005E581D" w:rsidRPr="006B0DE9" w:rsidRDefault="005E581D" w:rsidP="005E581D">
      <w:pPr>
        <w:widowControl w:val="0"/>
        <w:tabs>
          <w:tab w:val="left" w:pos="567"/>
          <w:tab w:val="left" w:pos="1985"/>
        </w:tabs>
        <w:jc w:val="both"/>
        <w:rPr>
          <w:bCs/>
          <w:sz w:val="20"/>
        </w:rPr>
      </w:pPr>
    </w:p>
    <w:p w:rsidR="005E581D" w:rsidRPr="006B0DE9" w:rsidRDefault="005E581D" w:rsidP="00BA276E">
      <w:pPr>
        <w:widowControl w:val="0"/>
        <w:numPr>
          <w:ilvl w:val="0"/>
          <w:numId w:val="27"/>
        </w:numPr>
        <w:jc w:val="both"/>
        <w:rPr>
          <w:sz w:val="20"/>
        </w:rPr>
      </w:pPr>
      <w:r w:rsidRPr="006B0DE9">
        <w:rPr>
          <w:sz w:val="20"/>
        </w:rPr>
        <w:t>La intención de la OMPI es que el sistema de La Haya sea el sistema preferido para el registro de dibujos y modelos.  Para lograrlo, la OMPI aumentará la sensibilización acerca del sistema de La Haya y promoverá una ampliación y mejora de su uso, mejorando al mismo tiempo la gestión, ante el aumento de la complejidad y del volumen de trabajo.</w:t>
      </w:r>
    </w:p>
    <w:p w:rsidR="005E581D" w:rsidRPr="006B0DE9" w:rsidRDefault="005E581D" w:rsidP="005E581D">
      <w:pPr>
        <w:widowControl w:val="0"/>
        <w:ind w:left="709"/>
        <w:jc w:val="both"/>
        <w:rPr>
          <w:sz w:val="20"/>
        </w:rPr>
      </w:pPr>
    </w:p>
    <w:p w:rsidR="005E581D" w:rsidRPr="006B0DE9" w:rsidRDefault="005E581D" w:rsidP="00BA276E">
      <w:pPr>
        <w:widowControl w:val="0"/>
        <w:numPr>
          <w:ilvl w:val="0"/>
          <w:numId w:val="27"/>
        </w:numPr>
        <w:jc w:val="both"/>
        <w:rPr>
          <w:sz w:val="20"/>
        </w:rPr>
      </w:pPr>
      <w:r w:rsidRPr="006B0DE9">
        <w:rPr>
          <w:sz w:val="20"/>
        </w:rPr>
        <w:t>Se tomarán medidas coordinadas que abordarán tres frentes</w:t>
      </w:r>
      <w:proofErr w:type="gramStart"/>
      <w:r w:rsidRPr="006B0DE9">
        <w:rPr>
          <w:sz w:val="20"/>
        </w:rPr>
        <w:t>:  la</w:t>
      </w:r>
      <w:proofErr w:type="gramEnd"/>
      <w:r w:rsidRPr="006B0DE9">
        <w:rPr>
          <w:sz w:val="20"/>
        </w:rPr>
        <w:t xml:space="preserve"> visibilidad, el alcance geográfico y el desarrollo del sistema.</w:t>
      </w:r>
    </w:p>
    <w:p w:rsidR="005E581D" w:rsidRPr="006B0DE9" w:rsidRDefault="005E581D" w:rsidP="005E581D">
      <w:pPr>
        <w:widowControl w:val="0"/>
        <w:jc w:val="both"/>
        <w:rPr>
          <w:sz w:val="20"/>
        </w:rPr>
      </w:pPr>
    </w:p>
    <w:p w:rsidR="005E581D" w:rsidRPr="006B0DE9" w:rsidRDefault="005E581D" w:rsidP="005E581D">
      <w:pPr>
        <w:widowControl w:val="0"/>
        <w:tabs>
          <w:tab w:val="left" w:pos="1134"/>
        </w:tabs>
        <w:spacing w:after="120"/>
        <w:ind w:left="567"/>
        <w:jc w:val="both"/>
        <w:rPr>
          <w:sz w:val="20"/>
        </w:rPr>
      </w:pPr>
      <w:r w:rsidRPr="006B0DE9">
        <w:rPr>
          <w:sz w:val="20"/>
        </w:rPr>
        <w:t>i)</w:t>
      </w:r>
      <w:r w:rsidRPr="006B0DE9">
        <w:rPr>
          <w:sz w:val="20"/>
        </w:rPr>
        <w:tab/>
      </w:r>
      <w:r w:rsidRPr="006B0DE9">
        <w:rPr>
          <w:b/>
          <w:sz w:val="20"/>
        </w:rPr>
        <w:t>Visibilidad</w:t>
      </w:r>
      <w:proofErr w:type="gramStart"/>
      <w:r w:rsidRPr="006B0DE9">
        <w:rPr>
          <w:sz w:val="20"/>
        </w:rPr>
        <w:t xml:space="preserve">:  </w:t>
      </w:r>
      <w:r>
        <w:rPr>
          <w:sz w:val="20"/>
        </w:rPr>
        <w:t>se</w:t>
      </w:r>
      <w:proofErr w:type="gramEnd"/>
      <w:r>
        <w:rPr>
          <w:sz w:val="20"/>
        </w:rPr>
        <w:t xml:space="preserve"> </w:t>
      </w:r>
      <w:r w:rsidRPr="006B0DE9">
        <w:rPr>
          <w:sz w:val="20"/>
        </w:rPr>
        <w:t xml:space="preserve">seguirá </w:t>
      </w:r>
      <w:r>
        <w:rPr>
          <w:sz w:val="20"/>
        </w:rPr>
        <w:t>promoviendo el sistema</w:t>
      </w:r>
      <w:r w:rsidRPr="006B0DE9">
        <w:rPr>
          <w:sz w:val="20"/>
        </w:rPr>
        <w:t xml:space="preserve"> entre los miembros actuales, entre los que aún existe un margen de mejora importante.  Asimismo, se va a comenzar a promo</w:t>
      </w:r>
      <w:r>
        <w:rPr>
          <w:sz w:val="20"/>
        </w:rPr>
        <w:t>ve</w:t>
      </w:r>
      <w:r w:rsidRPr="006B0DE9">
        <w:rPr>
          <w:sz w:val="20"/>
        </w:rPr>
        <w:t>rlo entre los países cuya adhesión sea inminente, a fin de fomentar el uso inmediato del sistema tras la adhesión.</w:t>
      </w:r>
    </w:p>
    <w:p w:rsidR="005E581D" w:rsidRPr="006B0DE9" w:rsidRDefault="005E581D" w:rsidP="005E581D">
      <w:pPr>
        <w:widowControl w:val="0"/>
        <w:tabs>
          <w:tab w:val="left" w:pos="1100"/>
        </w:tabs>
        <w:spacing w:after="120"/>
        <w:ind w:left="567"/>
        <w:jc w:val="both"/>
        <w:rPr>
          <w:sz w:val="20"/>
        </w:rPr>
      </w:pPr>
      <w:r w:rsidRPr="006B0DE9">
        <w:rPr>
          <w:sz w:val="20"/>
        </w:rPr>
        <w:t>ii)</w:t>
      </w:r>
      <w:r w:rsidRPr="006B0DE9">
        <w:rPr>
          <w:sz w:val="20"/>
        </w:rPr>
        <w:tab/>
      </w:r>
      <w:r w:rsidRPr="006B0DE9">
        <w:rPr>
          <w:b/>
          <w:sz w:val="20"/>
        </w:rPr>
        <w:t>Alcance geográfico</w:t>
      </w:r>
      <w:proofErr w:type="gramStart"/>
      <w:r w:rsidRPr="006B0DE9">
        <w:rPr>
          <w:sz w:val="20"/>
        </w:rPr>
        <w:t>:  proseguirán</w:t>
      </w:r>
      <w:proofErr w:type="gramEnd"/>
      <w:r w:rsidRPr="006B0DE9">
        <w:rPr>
          <w:sz w:val="20"/>
        </w:rPr>
        <w:t xml:space="preserve"> las iniciativas de promoción y asistencia técnica para fomentar la expansión del sistema de La Haya mediante nuevas adhesiones al Acta de Ginebra, en cooperación con los programas pertinentes.  Se dará prioridad a los países cuya adhesión pueda hacer que el sistema resulte más atractivo para los usuarios o que se produzcan nuevas adhesiones.</w:t>
      </w:r>
    </w:p>
    <w:p w:rsidR="005E581D" w:rsidRPr="006B0DE9" w:rsidRDefault="005E581D" w:rsidP="005E581D">
      <w:pPr>
        <w:widowControl w:val="0"/>
        <w:tabs>
          <w:tab w:val="left" w:pos="1100"/>
        </w:tabs>
        <w:ind w:left="567"/>
        <w:jc w:val="both"/>
        <w:rPr>
          <w:sz w:val="20"/>
        </w:rPr>
      </w:pPr>
      <w:r w:rsidRPr="006B0DE9">
        <w:rPr>
          <w:sz w:val="20"/>
        </w:rPr>
        <w:t>iii)</w:t>
      </w:r>
      <w:r w:rsidRPr="006B0DE9">
        <w:rPr>
          <w:sz w:val="20"/>
        </w:rPr>
        <w:tab/>
      </w:r>
      <w:r w:rsidRPr="006B0DE9">
        <w:rPr>
          <w:b/>
          <w:sz w:val="20"/>
        </w:rPr>
        <w:t>Desarrollo del sistema</w:t>
      </w:r>
      <w:proofErr w:type="gramStart"/>
      <w:r w:rsidRPr="006B0DE9">
        <w:rPr>
          <w:sz w:val="20"/>
        </w:rPr>
        <w:t>:  a</w:t>
      </w:r>
      <w:proofErr w:type="gramEnd"/>
      <w:r w:rsidRPr="006B0DE9">
        <w:rPr>
          <w:sz w:val="20"/>
        </w:rPr>
        <w:t xml:space="preserve"> la par de la expansión del sistema será necesario perfeccionar los servicios de apoyo en materia de T.I. para lograr mayores niveles de productividad mediante un aumento de la eficiencia.  En particular, será necesario aumentar la cantidad de instrumentos de comercio electrónico.  Asimismo, será preciso seguir desarrollando el marco jurídico con el fin de que siga el ritmo de las necesidades de las nuevas Partes Contratantes y los nuevos usuarios.  Por último, con miras a simplificar los procedimientos, resulta fundamental que el sistema gire en torno al Acta de 1999, y con ese fin deberán proseguirse los esfuerzos destinados a cesar la aplicación del Acta de Londres de 1934.</w:t>
      </w:r>
    </w:p>
    <w:p w:rsidR="005E581D" w:rsidRDefault="005E581D" w:rsidP="005E581D">
      <w:pPr>
        <w:widowControl w:val="0"/>
        <w:tabs>
          <w:tab w:val="left" w:pos="567"/>
          <w:tab w:val="left" w:pos="1985"/>
        </w:tabs>
        <w:jc w:val="both"/>
        <w:rPr>
          <w:bCs/>
          <w:sz w:val="20"/>
        </w:rPr>
      </w:pPr>
    </w:p>
    <w:p w:rsidR="00EA4CD8" w:rsidRPr="006B0DE9" w:rsidRDefault="00EA4CD8" w:rsidP="005E581D">
      <w:pPr>
        <w:widowControl w:val="0"/>
        <w:tabs>
          <w:tab w:val="left" w:pos="567"/>
          <w:tab w:val="left" w:pos="1985"/>
        </w:tabs>
        <w:jc w:val="both"/>
        <w:rPr>
          <w:bCs/>
          <w:sz w:val="20"/>
        </w:rPr>
      </w:pPr>
    </w:p>
    <w:p w:rsidR="00EA4CD8" w:rsidRDefault="00EA4CD8" w:rsidP="0079447F">
      <w:pPr>
        <w:keepNext/>
        <w:widowControl w:val="0"/>
        <w:jc w:val="both"/>
        <w:rPr>
          <w:bCs/>
          <w:iCs/>
        </w:rPr>
      </w:pPr>
    </w:p>
    <w:p w:rsidR="00EA4CD8" w:rsidRDefault="00EA4CD8" w:rsidP="0079447F">
      <w:pPr>
        <w:keepNext/>
        <w:widowControl w:val="0"/>
        <w:jc w:val="both"/>
        <w:rPr>
          <w:bCs/>
          <w:iCs/>
        </w:rPr>
      </w:pPr>
    </w:p>
    <w:p w:rsidR="0063482E" w:rsidRPr="00C75C7E" w:rsidRDefault="0063482E" w:rsidP="0079447F">
      <w:pPr>
        <w:keepNext/>
        <w:widowControl w:val="0"/>
        <w:jc w:val="both"/>
        <w:rPr>
          <w:sz w:val="18"/>
          <w:szCs w:val="18"/>
        </w:rPr>
      </w:pPr>
      <w:r w:rsidRPr="00C75C7E">
        <w:rPr>
          <w:bCs/>
          <w:iCs/>
        </w:rPr>
        <w:t>PRINCIPALES RIESGOS Y ESTRATEGIAS DE MITIGACIÓN</w:t>
      </w:r>
    </w:p>
    <w:p w:rsidR="0063482E" w:rsidRPr="00C75C7E" w:rsidRDefault="0063482E" w:rsidP="0079447F">
      <w:pPr>
        <w:keepNext/>
        <w:widowControl w:val="0"/>
        <w:jc w:val="both"/>
        <w:rPr>
          <w:b/>
          <w:sz w:val="20"/>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5066"/>
      </w:tblGrid>
      <w:tr w:rsidR="0063482E" w:rsidRPr="00C75C7E" w:rsidTr="00962ADA">
        <w:trPr>
          <w:trHeight w:val="478"/>
        </w:trPr>
        <w:tc>
          <w:tcPr>
            <w:tcW w:w="4290" w:type="dxa"/>
            <w:tcBorders>
              <w:top w:val="single" w:sz="4" w:space="0" w:color="auto"/>
              <w:bottom w:val="single" w:sz="4" w:space="0" w:color="auto"/>
            </w:tcBorders>
            <w:shd w:val="clear" w:color="auto" w:fill="CCFFFF"/>
            <w:tcMar>
              <w:top w:w="113" w:type="dxa"/>
              <w:bottom w:w="85" w:type="dxa"/>
            </w:tcMar>
            <w:vAlign w:val="center"/>
          </w:tcPr>
          <w:p w:rsidR="0063482E" w:rsidRPr="00C75C7E" w:rsidRDefault="0063482E" w:rsidP="0079447F">
            <w:pPr>
              <w:keepNext/>
              <w:widowControl w:val="0"/>
              <w:autoSpaceDE w:val="0"/>
              <w:autoSpaceDN w:val="0"/>
              <w:adjustRightInd w:val="0"/>
              <w:ind w:right="-59"/>
              <w:jc w:val="center"/>
              <w:rPr>
                <w:b/>
                <w:bCs/>
                <w:iCs/>
                <w:sz w:val="18"/>
                <w:szCs w:val="18"/>
              </w:rPr>
            </w:pPr>
            <w:r w:rsidRPr="00C75C7E">
              <w:rPr>
                <w:b/>
                <w:bCs/>
                <w:iCs/>
                <w:sz w:val="18"/>
                <w:szCs w:val="18"/>
              </w:rPr>
              <w:t>Riesgos en el logro de los resultados del programa</w:t>
            </w:r>
          </w:p>
        </w:tc>
        <w:tc>
          <w:tcPr>
            <w:tcW w:w="5066" w:type="dxa"/>
            <w:tcBorders>
              <w:top w:val="single" w:sz="4" w:space="0" w:color="auto"/>
              <w:bottom w:val="single" w:sz="4" w:space="0" w:color="auto"/>
            </w:tcBorders>
            <w:shd w:val="clear" w:color="auto" w:fill="CCFFFF"/>
            <w:tcMar>
              <w:top w:w="113" w:type="dxa"/>
              <w:bottom w:w="85" w:type="dxa"/>
            </w:tcMar>
            <w:vAlign w:val="center"/>
          </w:tcPr>
          <w:p w:rsidR="0063482E" w:rsidRPr="00C75C7E" w:rsidRDefault="0063482E" w:rsidP="00962ADA">
            <w:pPr>
              <w:keepNext/>
              <w:widowControl w:val="0"/>
              <w:autoSpaceDE w:val="0"/>
              <w:autoSpaceDN w:val="0"/>
              <w:adjustRightInd w:val="0"/>
              <w:ind w:right="-59"/>
              <w:rPr>
                <w:b/>
                <w:bCs/>
                <w:iCs/>
                <w:sz w:val="18"/>
                <w:szCs w:val="18"/>
              </w:rPr>
            </w:pPr>
            <w:r w:rsidRPr="00C75C7E">
              <w:rPr>
                <w:b/>
                <w:bCs/>
                <w:iCs/>
                <w:sz w:val="18"/>
                <w:szCs w:val="18"/>
              </w:rPr>
              <w:t xml:space="preserve">Planes de mitigación ejecutados o en ejecución </w:t>
            </w:r>
          </w:p>
        </w:tc>
      </w:tr>
      <w:tr w:rsidR="0063482E" w:rsidRPr="00C75C7E" w:rsidTr="00962ADA">
        <w:trPr>
          <w:trHeight w:val="1051"/>
        </w:trPr>
        <w:tc>
          <w:tcPr>
            <w:tcW w:w="4290" w:type="dxa"/>
            <w:tcBorders>
              <w:top w:val="single" w:sz="4" w:space="0" w:color="auto"/>
            </w:tcBorders>
            <w:shd w:val="clear" w:color="auto" w:fill="auto"/>
            <w:tcMar>
              <w:top w:w="113" w:type="dxa"/>
              <w:bottom w:w="85" w:type="dxa"/>
            </w:tcMar>
          </w:tcPr>
          <w:p w:rsidR="0063482E" w:rsidRPr="00C75C7E" w:rsidRDefault="0063482E" w:rsidP="00EF3DB5">
            <w:pPr>
              <w:widowControl w:val="0"/>
              <w:rPr>
                <w:sz w:val="16"/>
                <w:szCs w:val="16"/>
              </w:rPr>
            </w:pPr>
            <w:r w:rsidRPr="00C75C7E">
              <w:rPr>
                <w:sz w:val="16"/>
                <w:szCs w:val="16"/>
              </w:rPr>
              <w:t>Disminución del grado de satisfacción de los usuarios debido a las dificultades que plantea el aumento del número de solicitudes presentadas y de peticiones de información y a la creciente complejidad del sistema como consecuencia de la ejecución de funciones relativas al examen de la novedad en determinadas oficinas designadas.</w:t>
            </w:r>
          </w:p>
        </w:tc>
        <w:tc>
          <w:tcPr>
            <w:tcW w:w="5066" w:type="dxa"/>
            <w:tcBorders>
              <w:top w:val="single" w:sz="4" w:space="0" w:color="auto"/>
            </w:tcBorders>
            <w:shd w:val="clear" w:color="auto" w:fill="auto"/>
            <w:tcMar>
              <w:top w:w="113" w:type="dxa"/>
              <w:bottom w:w="85" w:type="dxa"/>
            </w:tcMar>
          </w:tcPr>
          <w:p w:rsidR="0063482E" w:rsidRPr="00C75C7E" w:rsidRDefault="0063482E" w:rsidP="00EF3DB5">
            <w:pPr>
              <w:widowControl w:val="0"/>
              <w:autoSpaceDE w:val="0"/>
              <w:autoSpaceDN w:val="0"/>
              <w:adjustRightInd w:val="0"/>
              <w:ind w:right="-59"/>
              <w:rPr>
                <w:sz w:val="16"/>
                <w:szCs w:val="16"/>
              </w:rPr>
            </w:pPr>
            <w:r w:rsidRPr="00C75C7E">
              <w:rPr>
                <w:sz w:val="16"/>
                <w:szCs w:val="16"/>
              </w:rPr>
              <w:t>Potenciación de la eficiencia y efectividad en todos los aspectos de la administración del sistema;  fomento de las prácticas más extendidas y de la convergencia entre las oficinas concernidas;  adopción de soluciones de T.I. para asistir a los usuarios y examinadores de las oficinas y de la Oficina Internacional.</w:t>
            </w:r>
          </w:p>
        </w:tc>
      </w:tr>
    </w:tbl>
    <w:p w:rsidR="0063482E" w:rsidRDefault="0063482E" w:rsidP="0063482E">
      <w:pPr>
        <w:widowControl w:val="0"/>
        <w:tabs>
          <w:tab w:val="left" w:pos="567"/>
          <w:tab w:val="left" w:pos="1985"/>
        </w:tabs>
        <w:jc w:val="both"/>
        <w:rPr>
          <w:bCs/>
          <w:sz w:val="20"/>
        </w:rPr>
      </w:pPr>
    </w:p>
    <w:p w:rsidR="00EA4CD8" w:rsidRPr="00C75C7E" w:rsidRDefault="00EA4CD8" w:rsidP="0063482E">
      <w:pPr>
        <w:widowControl w:val="0"/>
        <w:tabs>
          <w:tab w:val="left" w:pos="567"/>
          <w:tab w:val="left" w:pos="1985"/>
        </w:tabs>
        <w:jc w:val="both"/>
        <w:rPr>
          <w:bCs/>
          <w:sz w:val="20"/>
        </w:rPr>
      </w:pPr>
    </w:p>
    <w:p w:rsidR="0063482E" w:rsidRPr="00C75C7E" w:rsidRDefault="0063482E" w:rsidP="0063482E">
      <w:pPr>
        <w:widowControl w:val="0"/>
        <w:tabs>
          <w:tab w:val="left" w:pos="567"/>
          <w:tab w:val="left" w:pos="1985"/>
        </w:tabs>
        <w:jc w:val="both"/>
        <w:rPr>
          <w:bCs/>
          <w:sz w:val="20"/>
          <w:lang w:val="es-ES_tradnl"/>
        </w:rPr>
      </w:pPr>
      <w:r w:rsidRPr="00C75C7E">
        <w:rPr>
          <w:bCs/>
          <w:szCs w:val="22"/>
          <w:lang w:val="es-ES_tradnl"/>
        </w:rPr>
        <w:t>MARCO DE RESULTADOS</w:t>
      </w:r>
    </w:p>
    <w:p w:rsidR="0063482E" w:rsidRPr="00C75C7E" w:rsidRDefault="0063482E" w:rsidP="0063482E">
      <w:pPr>
        <w:widowControl w:val="0"/>
        <w:tabs>
          <w:tab w:val="left" w:pos="567"/>
          <w:tab w:val="left" w:pos="1985"/>
        </w:tabs>
        <w:jc w:val="both"/>
        <w:rPr>
          <w:bCs/>
          <w:sz w:val="20"/>
          <w:lang w:val="es-ES_tradnl"/>
        </w:rPr>
      </w:pPr>
    </w:p>
    <w:tbl>
      <w:tblPr>
        <w:tblW w:w="4915"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596"/>
        <w:gridCol w:w="2730"/>
        <w:gridCol w:w="2153"/>
        <w:gridCol w:w="1929"/>
      </w:tblGrid>
      <w:tr w:rsidR="0063482E" w:rsidRPr="00C75C7E" w:rsidTr="00EA4CD8">
        <w:trPr>
          <w:trHeight w:val="426"/>
          <w:tblHeader/>
        </w:trPr>
        <w:tc>
          <w:tcPr>
            <w:tcW w:w="1380" w:type="pct"/>
            <w:tcBorders>
              <w:top w:val="single" w:sz="4" w:space="0" w:color="auto"/>
              <w:bottom w:val="single" w:sz="4" w:space="0" w:color="auto"/>
            </w:tcBorders>
            <w:shd w:val="clear" w:color="auto" w:fill="CCFFFF"/>
            <w:tcMar>
              <w:top w:w="113" w:type="dxa"/>
            </w:tcMar>
            <w:vAlign w:val="center"/>
          </w:tcPr>
          <w:p w:rsidR="0063482E" w:rsidRPr="00C75C7E" w:rsidRDefault="0063482E" w:rsidP="00EF3DB5">
            <w:pPr>
              <w:widowControl w:val="0"/>
              <w:spacing w:after="120"/>
              <w:jc w:val="center"/>
              <w:rPr>
                <w:b/>
                <w:bCs/>
                <w:sz w:val="18"/>
                <w:szCs w:val="18"/>
                <w:lang w:val="es-ES_tradnl"/>
              </w:rPr>
            </w:pPr>
            <w:r w:rsidRPr="00C75C7E">
              <w:rPr>
                <w:b/>
                <w:bCs/>
                <w:sz w:val="18"/>
                <w:szCs w:val="18"/>
                <w:lang w:val="es-ES_tradnl"/>
              </w:rPr>
              <w:t>Resultados previstos</w:t>
            </w:r>
          </w:p>
        </w:tc>
        <w:tc>
          <w:tcPr>
            <w:tcW w:w="1451" w:type="pct"/>
            <w:tcBorders>
              <w:top w:val="single" w:sz="4" w:space="0" w:color="auto"/>
              <w:bottom w:val="single" w:sz="4" w:space="0" w:color="auto"/>
            </w:tcBorders>
            <w:shd w:val="clear" w:color="auto" w:fill="CCFFFF"/>
            <w:tcMar>
              <w:top w:w="113" w:type="dxa"/>
            </w:tcMar>
            <w:vAlign w:val="center"/>
          </w:tcPr>
          <w:p w:rsidR="0063482E" w:rsidRPr="00C75C7E" w:rsidRDefault="0063482E" w:rsidP="00EF3DB5">
            <w:pPr>
              <w:widowControl w:val="0"/>
              <w:spacing w:after="120"/>
              <w:jc w:val="center"/>
              <w:rPr>
                <w:b/>
                <w:sz w:val="18"/>
                <w:szCs w:val="18"/>
                <w:lang w:val="es-ES_tradnl"/>
              </w:rPr>
            </w:pPr>
            <w:r w:rsidRPr="00C75C7E">
              <w:rPr>
                <w:b/>
                <w:sz w:val="18"/>
                <w:szCs w:val="18"/>
                <w:lang w:val="es-ES_tradnl"/>
              </w:rPr>
              <w:t>Indicadores de rendimiento</w:t>
            </w:r>
          </w:p>
        </w:tc>
        <w:tc>
          <w:tcPr>
            <w:tcW w:w="1144" w:type="pct"/>
            <w:tcBorders>
              <w:top w:val="single" w:sz="4" w:space="0" w:color="auto"/>
              <w:bottom w:val="single" w:sz="4" w:space="0" w:color="auto"/>
            </w:tcBorders>
            <w:shd w:val="clear" w:color="auto" w:fill="CCFFFF"/>
            <w:tcMar>
              <w:top w:w="113" w:type="dxa"/>
            </w:tcMar>
            <w:vAlign w:val="center"/>
          </w:tcPr>
          <w:p w:rsidR="0063482E" w:rsidRPr="00C75C7E" w:rsidRDefault="0063482E" w:rsidP="00EF3DB5">
            <w:pPr>
              <w:widowControl w:val="0"/>
              <w:spacing w:after="120"/>
              <w:ind w:left="85"/>
              <w:jc w:val="center"/>
              <w:rPr>
                <w:sz w:val="18"/>
                <w:szCs w:val="18"/>
                <w:lang w:val="es-ES_tradnl"/>
              </w:rPr>
            </w:pPr>
            <w:r w:rsidRPr="00C75C7E">
              <w:rPr>
                <w:b/>
                <w:bCs/>
                <w:sz w:val="18"/>
                <w:szCs w:val="18"/>
                <w:lang w:val="es-ES_tradnl"/>
              </w:rPr>
              <w:t>Referencia</w:t>
            </w:r>
          </w:p>
        </w:tc>
        <w:tc>
          <w:tcPr>
            <w:tcW w:w="1025" w:type="pct"/>
            <w:tcBorders>
              <w:top w:val="single" w:sz="4" w:space="0" w:color="auto"/>
              <w:bottom w:val="single" w:sz="4" w:space="0" w:color="auto"/>
            </w:tcBorders>
            <w:shd w:val="clear" w:color="auto" w:fill="CCFFFF"/>
            <w:tcMar>
              <w:top w:w="113" w:type="dxa"/>
            </w:tcMar>
            <w:vAlign w:val="center"/>
          </w:tcPr>
          <w:p w:rsidR="0063482E" w:rsidRPr="00C75C7E" w:rsidRDefault="0063482E" w:rsidP="00EF3DB5">
            <w:pPr>
              <w:widowControl w:val="0"/>
              <w:tabs>
                <w:tab w:val="left" w:pos="1543"/>
                <w:tab w:val="left" w:pos="1623"/>
                <w:tab w:val="left" w:pos="1733"/>
              </w:tabs>
              <w:spacing w:after="120"/>
              <w:ind w:right="-107"/>
              <w:jc w:val="center"/>
              <w:rPr>
                <w:b/>
                <w:bCs/>
                <w:sz w:val="18"/>
                <w:szCs w:val="18"/>
                <w:lang w:val="es-ES_tradnl"/>
              </w:rPr>
            </w:pPr>
            <w:r w:rsidRPr="00C75C7E">
              <w:rPr>
                <w:b/>
                <w:bCs/>
                <w:sz w:val="18"/>
                <w:szCs w:val="18"/>
                <w:lang w:val="es-ES_tradnl"/>
              </w:rPr>
              <w:t>Objetivos</w:t>
            </w:r>
          </w:p>
        </w:tc>
      </w:tr>
      <w:tr w:rsidR="0063482E" w:rsidRPr="00C75C7E" w:rsidTr="00EF3DB5">
        <w:tc>
          <w:tcPr>
            <w:tcW w:w="1380" w:type="pct"/>
            <w:vMerge w:val="restart"/>
            <w:tcBorders>
              <w:top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II.4. Ampliación y mejora del uso del sistema de La Haya por los países en desarrollo y los PMA, entre otros.</w:t>
            </w:r>
          </w:p>
        </w:tc>
        <w:tc>
          <w:tcPr>
            <w:tcW w:w="1451" w:type="pct"/>
            <w:tcBorders>
              <w:top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Número de miembros del Acta de La Haya (1999).</w:t>
            </w:r>
          </w:p>
        </w:tc>
        <w:tc>
          <w:tcPr>
            <w:tcW w:w="1144" w:type="pct"/>
            <w:tcBorders>
              <w:top w:val="single" w:sz="4" w:space="0" w:color="auto"/>
            </w:tcBorders>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45 Partes Contratantes.</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rPr>
            </w:pPr>
          </w:p>
        </w:tc>
        <w:tc>
          <w:tcPr>
            <w:tcW w:w="1025" w:type="pct"/>
            <w:tcBorders>
              <w:top w:val="single" w:sz="4" w:space="0" w:color="auto"/>
            </w:tcBorders>
            <w:shd w:val="clear" w:color="auto" w:fill="auto"/>
            <w:tcMar>
              <w:top w:w="113" w:type="dxa"/>
            </w:tcMar>
          </w:tcPr>
          <w:p w:rsidR="0063482E" w:rsidRPr="00C75C7E" w:rsidRDefault="0063482E" w:rsidP="00EF3DB5">
            <w:pPr>
              <w:widowControl w:val="0"/>
              <w:ind w:right="381"/>
              <w:rPr>
                <w:bCs/>
                <w:sz w:val="16"/>
                <w:szCs w:val="16"/>
                <w:lang w:val="es-ES_tradnl"/>
              </w:rPr>
            </w:pPr>
            <w:r w:rsidRPr="00C75C7E">
              <w:rPr>
                <w:bCs/>
                <w:sz w:val="16"/>
                <w:szCs w:val="16"/>
                <w:lang w:val="es-ES_tradnl"/>
              </w:rPr>
              <w:t>58 Partes Contratantes.</w:t>
            </w:r>
          </w:p>
        </w:tc>
      </w:tr>
      <w:tr w:rsidR="0063482E" w:rsidRPr="00C75C7E" w:rsidTr="00EF3DB5">
        <w:trPr>
          <w:trHeight w:val="713"/>
        </w:trPr>
        <w:tc>
          <w:tcPr>
            <w:tcW w:w="1380" w:type="pct"/>
            <w:vMerge/>
            <w:shd w:val="clear" w:color="auto" w:fill="auto"/>
            <w:tcMar>
              <w:top w:w="113" w:type="dxa"/>
            </w:tcMar>
          </w:tcPr>
          <w:p w:rsidR="0063482E" w:rsidRPr="00C75C7E" w:rsidRDefault="0063482E" w:rsidP="00EF3DB5">
            <w:pPr>
              <w:widowControl w:val="0"/>
              <w:rPr>
                <w:sz w:val="16"/>
                <w:szCs w:val="16"/>
                <w:lang w:val="es-ES_tradnl"/>
              </w:rPr>
            </w:pPr>
          </w:p>
        </w:tc>
        <w:tc>
          <w:tcPr>
            <w:tcW w:w="1451"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Porcentaje de oficinas que proporcionan información sobre el sistema de La Haya. </w:t>
            </w:r>
          </w:p>
        </w:tc>
        <w:tc>
          <w:tcPr>
            <w:tcW w:w="1144"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Porcentaje de oficinas que proporcionan dicha información.</w:t>
            </w:r>
          </w:p>
          <w:p w:rsidR="0063482E" w:rsidRPr="00C75C7E" w:rsidRDefault="0063482E" w:rsidP="00EF3DB5">
            <w:pPr>
              <w:widowControl w:val="0"/>
              <w:rPr>
                <w:sz w:val="16"/>
                <w:szCs w:val="16"/>
                <w:lang w:val="es-ES_tradnl" w:bidi="th-TH"/>
              </w:rPr>
            </w:pPr>
          </w:p>
        </w:tc>
        <w:tc>
          <w:tcPr>
            <w:tcW w:w="1025" w:type="pct"/>
            <w:shd w:val="clear" w:color="auto" w:fill="auto"/>
            <w:tcMar>
              <w:top w:w="113"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Mayor porcentaje.</w:t>
            </w:r>
          </w:p>
        </w:tc>
      </w:tr>
      <w:tr w:rsidR="0063482E" w:rsidRPr="00C75C7E" w:rsidTr="00EF3DB5">
        <w:trPr>
          <w:trHeight w:val="1504"/>
        </w:trPr>
        <w:tc>
          <w:tcPr>
            <w:tcW w:w="1380" w:type="pct"/>
            <w:vMerge/>
            <w:shd w:val="clear" w:color="auto" w:fill="auto"/>
            <w:tcMar>
              <w:top w:w="113" w:type="dxa"/>
            </w:tcMar>
          </w:tcPr>
          <w:p w:rsidR="0063482E" w:rsidRPr="00C75C7E" w:rsidRDefault="0063482E" w:rsidP="00EF3DB5">
            <w:pPr>
              <w:widowControl w:val="0"/>
              <w:rPr>
                <w:sz w:val="16"/>
                <w:szCs w:val="16"/>
                <w:lang w:val="es-ES_tradnl"/>
              </w:rPr>
            </w:pPr>
          </w:p>
        </w:tc>
        <w:tc>
          <w:tcPr>
            <w:tcW w:w="1451"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Solicitudes de registro y renovaciones en virtud del sistema de La Haya.</w:t>
            </w:r>
          </w:p>
        </w:tc>
        <w:tc>
          <w:tcPr>
            <w:tcW w:w="1144"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2.604 solicitudes</w:t>
            </w:r>
          </w:p>
          <w:p w:rsidR="003A4B0F" w:rsidRDefault="0063482E" w:rsidP="00EF3DB5">
            <w:pPr>
              <w:widowControl w:val="0"/>
              <w:rPr>
                <w:sz w:val="16"/>
                <w:szCs w:val="16"/>
                <w:lang w:val="es-ES_tradnl" w:bidi="th-TH"/>
              </w:rPr>
            </w:pPr>
            <w:r w:rsidRPr="00C75C7E">
              <w:rPr>
                <w:sz w:val="16"/>
                <w:szCs w:val="16"/>
                <w:lang w:val="es-ES_tradnl" w:bidi="th-TH"/>
              </w:rPr>
              <w:t xml:space="preserve">12.506 </w:t>
            </w:r>
            <w:r w:rsidR="003A4B0F">
              <w:rPr>
                <w:sz w:val="16"/>
                <w:szCs w:val="16"/>
                <w:lang w:val="es-ES_tradnl" w:bidi="th-TH"/>
              </w:rPr>
              <w:t>dibujos y modelos</w:t>
            </w:r>
            <w:r w:rsidRPr="00C75C7E">
              <w:rPr>
                <w:sz w:val="16"/>
                <w:szCs w:val="16"/>
                <w:lang w:val="es-ES_tradnl" w:bidi="th-TH"/>
              </w:rPr>
              <w:t xml:space="preserve"> contenidos</w:t>
            </w:r>
            <w:r w:rsidR="003A4B0F">
              <w:rPr>
                <w:sz w:val="16"/>
                <w:szCs w:val="16"/>
                <w:lang w:val="es-ES_tradnl" w:bidi="th-TH"/>
              </w:rPr>
              <w:t xml:space="preserve"> </w:t>
            </w:r>
          </w:p>
          <w:p w:rsidR="0063482E" w:rsidRPr="00C75C7E" w:rsidRDefault="0063482E" w:rsidP="00EF3DB5">
            <w:pPr>
              <w:widowControl w:val="0"/>
              <w:rPr>
                <w:sz w:val="16"/>
                <w:szCs w:val="16"/>
                <w:lang w:val="es-ES_tradnl" w:bidi="th-TH"/>
              </w:rPr>
            </w:pPr>
            <w:r w:rsidRPr="00C75C7E">
              <w:rPr>
                <w:sz w:val="16"/>
                <w:szCs w:val="16"/>
                <w:lang w:val="es-ES_tradnl" w:bidi="th-TH"/>
              </w:rPr>
              <w:t>3.120 renovaciones (2012).</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tc>
        <w:tc>
          <w:tcPr>
            <w:tcW w:w="1025" w:type="pct"/>
            <w:shd w:val="clear" w:color="auto" w:fill="auto"/>
            <w:tcMar>
              <w:top w:w="113" w:type="dxa"/>
            </w:tcMar>
          </w:tcPr>
          <w:p w:rsidR="0063482E" w:rsidRPr="00C75C7E" w:rsidRDefault="0063482E" w:rsidP="00EF3DB5">
            <w:pPr>
              <w:widowControl w:val="0"/>
              <w:ind w:right="161"/>
              <w:rPr>
                <w:bCs/>
                <w:sz w:val="16"/>
                <w:szCs w:val="16"/>
                <w:u w:val="single"/>
                <w:lang w:val="es-ES_tradnl"/>
              </w:rPr>
            </w:pPr>
            <w:r w:rsidRPr="00C75C7E">
              <w:rPr>
                <w:bCs/>
                <w:sz w:val="16"/>
                <w:szCs w:val="16"/>
                <w:u w:val="single"/>
                <w:lang w:val="es-ES_tradnl"/>
              </w:rPr>
              <w:t xml:space="preserve">2014: </w:t>
            </w:r>
          </w:p>
          <w:p w:rsidR="0063482E" w:rsidRPr="00C75C7E" w:rsidRDefault="0063482E" w:rsidP="00EF3DB5">
            <w:pPr>
              <w:widowControl w:val="0"/>
              <w:ind w:right="161"/>
              <w:rPr>
                <w:bCs/>
                <w:sz w:val="16"/>
                <w:szCs w:val="16"/>
                <w:lang w:val="es-ES_tradnl"/>
              </w:rPr>
            </w:pPr>
            <w:r w:rsidRPr="00C75C7E">
              <w:rPr>
                <w:bCs/>
                <w:sz w:val="16"/>
                <w:szCs w:val="16"/>
                <w:lang w:val="es-ES_tradnl"/>
              </w:rPr>
              <w:t xml:space="preserve">Solicitudes: </w:t>
            </w:r>
          </w:p>
          <w:p w:rsidR="0063482E" w:rsidRPr="00C75C7E" w:rsidRDefault="0063482E" w:rsidP="00EF3DB5">
            <w:pPr>
              <w:widowControl w:val="0"/>
              <w:ind w:right="161"/>
              <w:rPr>
                <w:bCs/>
                <w:sz w:val="16"/>
                <w:szCs w:val="16"/>
                <w:lang w:val="es-ES_tradnl"/>
              </w:rPr>
            </w:pPr>
            <w:r w:rsidRPr="00C75C7E">
              <w:rPr>
                <w:bCs/>
                <w:sz w:val="16"/>
                <w:szCs w:val="16"/>
                <w:lang w:val="es-ES_tradnl"/>
              </w:rPr>
              <w:t xml:space="preserve">Aumento del 33,9%. </w:t>
            </w:r>
          </w:p>
          <w:p w:rsidR="0063482E" w:rsidRPr="00C75C7E" w:rsidRDefault="003A4B0F" w:rsidP="00EF3DB5">
            <w:pPr>
              <w:widowControl w:val="0"/>
              <w:ind w:right="161"/>
              <w:rPr>
                <w:bCs/>
                <w:sz w:val="16"/>
                <w:szCs w:val="16"/>
                <w:lang w:val="es-ES_tradnl"/>
              </w:rPr>
            </w:pPr>
            <w:r>
              <w:rPr>
                <w:bCs/>
                <w:sz w:val="16"/>
                <w:szCs w:val="16"/>
                <w:lang w:val="es-ES_tradnl"/>
              </w:rPr>
              <w:t>Dibujos y modelos</w:t>
            </w:r>
            <w:r w:rsidR="0063482E" w:rsidRPr="00C75C7E">
              <w:rPr>
                <w:bCs/>
                <w:sz w:val="16"/>
                <w:szCs w:val="16"/>
                <w:lang w:val="es-ES_tradnl"/>
              </w:rPr>
              <w:t xml:space="preserve"> contenidos: aumento del 33% Renovaciones: </w:t>
            </w:r>
          </w:p>
          <w:p w:rsidR="0063482E" w:rsidRPr="00C75C7E" w:rsidRDefault="0063482E" w:rsidP="00EF3DB5">
            <w:pPr>
              <w:widowControl w:val="0"/>
              <w:ind w:right="161"/>
              <w:rPr>
                <w:bCs/>
                <w:sz w:val="16"/>
                <w:szCs w:val="16"/>
                <w:lang w:val="es-ES_tradnl"/>
              </w:rPr>
            </w:pPr>
            <w:r w:rsidRPr="00C75C7E">
              <w:rPr>
                <w:bCs/>
                <w:sz w:val="16"/>
                <w:szCs w:val="16"/>
                <w:lang w:val="es-ES_tradnl"/>
              </w:rPr>
              <w:t>Aumento del 2.9%.</w:t>
            </w:r>
          </w:p>
          <w:p w:rsidR="0063482E" w:rsidRPr="00C75C7E" w:rsidRDefault="0063482E" w:rsidP="00EF3DB5">
            <w:pPr>
              <w:widowControl w:val="0"/>
              <w:ind w:right="161"/>
              <w:rPr>
                <w:bCs/>
                <w:sz w:val="16"/>
                <w:szCs w:val="16"/>
                <w:lang w:val="es-ES_tradnl"/>
              </w:rPr>
            </w:pPr>
          </w:p>
          <w:p w:rsidR="0063482E" w:rsidRPr="00C75C7E" w:rsidRDefault="0063482E" w:rsidP="00EF3DB5">
            <w:pPr>
              <w:widowControl w:val="0"/>
              <w:ind w:right="161"/>
              <w:rPr>
                <w:bCs/>
                <w:sz w:val="16"/>
                <w:szCs w:val="16"/>
                <w:lang w:val="es-ES_tradnl"/>
              </w:rPr>
            </w:pPr>
            <w:r w:rsidRPr="00C75C7E">
              <w:rPr>
                <w:bCs/>
                <w:sz w:val="16"/>
                <w:szCs w:val="16"/>
                <w:u w:val="single"/>
                <w:lang w:val="es-ES_tradnl"/>
              </w:rPr>
              <w:t>2015:</w:t>
            </w:r>
            <w:r w:rsidRPr="00C75C7E">
              <w:rPr>
                <w:bCs/>
                <w:sz w:val="16"/>
                <w:szCs w:val="16"/>
                <w:lang w:val="es-ES_tradnl"/>
              </w:rPr>
              <w:t xml:space="preserve"> </w:t>
            </w:r>
          </w:p>
          <w:p w:rsidR="0063482E" w:rsidRPr="00C75C7E" w:rsidRDefault="0063482E" w:rsidP="00EF3DB5">
            <w:pPr>
              <w:widowControl w:val="0"/>
              <w:ind w:right="161"/>
              <w:rPr>
                <w:bCs/>
                <w:sz w:val="16"/>
                <w:szCs w:val="16"/>
                <w:lang w:val="es-ES_tradnl"/>
              </w:rPr>
            </w:pPr>
            <w:r w:rsidRPr="00C75C7E">
              <w:rPr>
                <w:bCs/>
                <w:sz w:val="16"/>
                <w:szCs w:val="16"/>
                <w:lang w:val="es-ES_tradnl"/>
              </w:rPr>
              <w:t xml:space="preserve">Solicitudes:  </w:t>
            </w:r>
          </w:p>
          <w:p w:rsidR="0063482E" w:rsidRPr="00C75C7E" w:rsidRDefault="0063482E" w:rsidP="00EF3DB5">
            <w:pPr>
              <w:widowControl w:val="0"/>
              <w:ind w:right="161"/>
              <w:rPr>
                <w:bCs/>
                <w:sz w:val="16"/>
                <w:szCs w:val="16"/>
                <w:lang w:val="es-ES_tradnl"/>
              </w:rPr>
            </w:pPr>
            <w:r w:rsidRPr="00C75C7E">
              <w:rPr>
                <w:bCs/>
                <w:sz w:val="16"/>
                <w:szCs w:val="16"/>
                <w:lang w:val="es-ES_tradnl"/>
              </w:rPr>
              <w:t xml:space="preserve">Aumento del 23,4%. </w:t>
            </w:r>
          </w:p>
          <w:p w:rsidR="0063482E" w:rsidRPr="00C75C7E" w:rsidRDefault="003A4B0F" w:rsidP="00EF3DB5">
            <w:pPr>
              <w:widowControl w:val="0"/>
              <w:ind w:right="161"/>
              <w:rPr>
                <w:bCs/>
                <w:sz w:val="16"/>
                <w:szCs w:val="16"/>
                <w:lang w:val="es-ES_tradnl"/>
              </w:rPr>
            </w:pPr>
            <w:r>
              <w:rPr>
                <w:sz w:val="16"/>
                <w:szCs w:val="16"/>
                <w:lang w:val="es-ES_tradnl" w:bidi="th-TH"/>
              </w:rPr>
              <w:t>Dibujos y modelos</w:t>
            </w:r>
            <w:r w:rsidR="0063482E" w:rsidRPr="00C75C7E">
              <w:rPr>
                <w:bCs/>
                <w:sz w:val="16"/>
                <w:szCs w:val="16"/>
                <w:lang w:val="es-ES_tradnl"/>
              </w:rPr>
              <w:t xml:space="preserve"> contenidos: aumento del 23,5% Renovaciones: </w:t>
            </w:r>
          </w:p>
          <w:p w:rsidR="0063482E" w:rsidRPr="00C75C7E" w:rsidRDefault="0063482E" w:rsidP="00EF3DB5">
            <w:pPr>
              <w:widowControl w:val="0"/>
              <w:ind w:right="161"/>
              <w:rPr>
                <w:bCs/>
                <w:sz w:val="16"/>
                <w:szCs w:val="16"/>
                <w:lang w:val="es-ES_tradnl"/>
              </w:rPr>
            </w:pPr>
            <w:r w:rsidRPr="00C75C7E">
              <w:rPr>
                <w:bCs/>
                <w:sz w:val="16"/>
                <w:szCs w:val="16"/>
                <w:lang w:val="es-ES_tradnl"/>
              </w:rPr>
              <w:t>Aumento del 5.5%.</w:t>
            </w:r>
          </w:p>
        </w:tc>
      </w:tr>
      <w:tr w:rsidR="0063482E" w:rsidRPr="00C75C7E" w:rsidTr="00EF3DB5">
        <w:tc>
          <w:tcPr>
            <w:tcW w:w="1380" w:type="pct"/>
            <w:vMerge w:val="restar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II.5. Mejora de la productividad y de la calidad de los servicios en las operaciones del sistema de La Haya.</w:t>
            </w:r>
          </w:p>
        </w:tc>
        <w:tc>
          <w:tcPr>
            <w:tcW w:w="1451"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Predominio del Acta de Ginebra (1999) en el sistema de La Haya.</w:t>
            </w:r>
          </w:p>
        </w:tc>
        <w:tc>
          <w:tcPr>
            <w:tcW w:w="1144"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15 miembros del sistema de La Haya siguen sin estar obligados por el Acta de Ginebra de 1999;  Siguen pendientes las comunicaciones de consentimiento de cinco miembros para cesar la aplicación del Acta de 1934 (al final de 2012).</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rPr>
            </w:pPr>
          </w:p>
        </w:tc>
        <w:tc>
          <w:tcPr>
            <w:tcW w:w="1025" w:type="pct"/>
            <w:shd w:val="clear" w:color="auto" w:fill="auto"/>
            <w:tcMar>
              <w:top w:w="113" w:type="dxa"/>
            </w:tcMar>
          </w:tcPr>
          <w:p w:rsidR="0063482E" w:rsidRPr="00C75C7E" w:rsidRDefault="0063482E" w:rsidP="00EF3DB5">
            <w:pPr>
              <w:widowControl w:val="0"/>
              <w:tabs>
                <w:tab w:val="left" w:pos="2051"/>
              </w:tabs>
              <w:ind w:right="381"/>
              <w:rPr>
                <w:bCs/>
                <w:sz w:val="16"/>
                <w:szCs w:val="16"/>
                <w:lang w:val="es-ES_tradnl"/>
              </w:rPr>
            </w:pPr>
            <w:r w:rsidRPr="00C75C7E">
              <w:rPr>
                <w:bCs/>
                <w:sz w:val="16"/>
                <w:szCs w:val="16"/>
                <w:lang w:val="es-ES_tradnl"/>
              </w:rPr>
              <w:t>Ningún país está obligado únicamente por el Acta de la Haya de 1960 fuera de la UE o la OAPI;  se han recibido las (cinco) comunicaciones de consentimiento restantes para cesar la aplicación del Acta de 1934.</w:t>
            </w:r>
          </w:p>
        </w:tc>
      </w:tr>
      <w:tr w:rsidR="0063482E" w:rsidRPr="00C75C7E" w:rsidTr="00EF3DB5">
        <w:tc>
          <w:tcPr>
            <w:tcW w:w="1380" w:type="pct"/>
            <w:vMerge/>
            <w:shd w:val="clear" w:color="auto" w:fill="auto"/>
            <w:tcMar>
              <w:top w:w="113" w:type="dxa"/>
            </w:tcMar>
          </w:tcPr>
          <w:p w:rsidR="0063482E" w:rsidRPr="00C75C7E" w:rsidRDefault="0063482E" w:rsidP="00EF3DB5">
            <w:pPr>
              <w:widowControl w:val="0"/>
              <w:rPr>
                <w:sz w:val="16"/>
                <w:szCs w:val="16"/>
                <w:lang w:val="es-ES_tradnl"/>
              </w:rPr>
            </w:pPr>
          </w:p>
        </w:tc>
        <w:tc>
          <w:tcPr>
            <w:tcW w:w="1451" w:type="pct"/>
            <w:shd w:val="clear" w:color="auto" w:fill="auto"/>
            <w:tcMar>
              <w:top w:w="113" w:type="dxa"/>
            </w:tcMar>
          </w:tcPr>
          <w:p w:rsidR="0063482E" w:rsidRPr="00C75C7E" w:rsidRDefault="0063482E" w:rsidP="00EA4CD8">
            <w:pPr>
              <w:widowControl w:val="0"/>
              <w:rPr>
                <w:sz w:val="16"/>
                <w:szCs w:val="16"/>
                <w:lang w:val="es-ES_tradnl"/>
              </w:rPr>
            </w:pPr>
            <w:r w:rsidRPr="00C75C7E">
              <w:rPr>
                <w:sz w:val="16"/>
                <w:szCs w:val="16"/>
                <w:lang w:val="es-ES_tradnl"/>
              </w:rPr>
              <w:t>Avances en la mejora del marco jurídico.</w:t>
            </w:r>
          </w:p>
        </w:tc>
        <w:tc>
          <w:tcPr>
            <w:tcW w:w="1144" w:type="pct"/>
            <w:shd w:val="clear" w:color="auto" w:fill="FFFFFF"/>
            <w:tcMar>
              <w:top w:w="113" w:type="dxa"/>
            </w:tcMar>
          </w:tcPr>
          <w:p w:rsidR="0063482E" w:rsidRPr="00C75C7E" w:rsidRDefault="0063482E" w:rsidP="00EA4CD8">
            <w:pPr>
              <w:widowControl w:val="0"/>
              <w:rPr>
                <w:sz w:val="16"/>
                <w:szCs w:val="16"/>
                <w:lang w:val="es-ES_tradnl" w:bidi="th-TH"/>
              </w:rPr>
            </w:pPr>
            <w:r w:rsidRPr="00C75C7E">
              <w:rPr>
                <w:sz w:val="16"/>
                <w:szCs w:val="16"/>
                <w:lang w:val="es-ES_tradnl" w:bidi="th-TH"/>
              </w:rPr>
              <w:t>Marco jurídico vigente.</w:t>
            </w:r>
          </w:p>
          <w:p w:rsidR="0063482E" w:rsidRPr="00C75C7E" w:rsidRDefault="0063482E" w:rsidP="00EA4CD8">
            <w:pPr>
              <w:widowControl w:val="0"/>
              <w:rPr>
                <w:sz w:val="16"/>
                <w:szCs w:val="16"/>
                <w:lang w:val="es-ES_tradnl" w:bidi="th-TH"/>
              </w:rPr>
            </w:pPr>
          </w:p>
          <w:p w:rsidR="0063482E" w:rsidRPr="00C75C7E" w:rsidRDefault="0063482E" w:rsidP="00EA4CD8">
            <w:pPr>
              <w:widowControl w:val="0"/>
              <w:rPr>
                <w:sz w:val="16"/>
                <w:szCs w:val="16"/>
                <w:lang w:val="es-ES_tradnl"/>
              </w:rPr>
            </w:pPr>
          </w:p>
        </w:tc>
        <w:tc>
          <w:tcPr>
            <w:tcW w:w="1025" w:type="pct"/>
            <w:shd w:val="clear" w:color="auto" w:fill="auto"/>
            <w:tcMar>
              <w:top w:w="113" w:type="dxa"/>
            </w:tcMar>
          </w:tcPr>
          <w:p w:rsidR="0063482E" w:rsidRPr="00C75C7E" w:rsidRDefault="0063482E" w:rsidP="00EA4CD8">
            <w:pPr>
              <w:pStyle w:val="PlainText"/>
              <w:widowControl w:val="0"/>
              <w:rPr>
                <w:rFonts w:ascii="Arial" w:hAnsi="Arial"/>
                <w:sz w:val="16"/>
                <w:szCs w:val="16"/>
                <w:lang w:val="es-ES_tradnl"/>
              </w:rPr>
            </w:pPr>
            <w:r w:rsidRPr="00C75C7E">
              <w:rPr>
                <w:rFonts w:ascii="Arial" w:hAnsi="Arial"/>
                <w:sz w:val="16"/>
                <w:szCs w:val="16"/>
                <w:lang w:val="es-ES_tradnl"/>
              </w:rPr>
              <w:t>Modificaciones del Reglamento y las Instrucciones Administrativas del Arreglo de La Haya y nuevos mecanismos introducidos a raíz de las adhesiones de nuevas Partes Contratantes.</w:t>
            </w:r>
          </w:p>
          <w:p w:rsidR="0063482E" w:rsidRPr="00C75C7E" w:rsidRDefault="0063482E" w:rsidP="00EA4CD8">
            <w:pPr>
              <w:widowControl w:val="0"/>
              <w:ind w:right="51"/>
              <w:rPr>
                <w:bCs/>
                <w:sz w:val="16"/>
                <w:szCs w:val="16"/>
                <w:lang w:val="es-ES_tradnl"/>
              </w:rPr>
            </w:pPr>
          </w:p>
        </w:tc>
      </w:tr>
      <w:tr w:rsidR="0063482E" w:rsidRPr="00C75C7E" w:rsidTr="00EF3DB5">
        <w:trPr>
          <w:trHeight w:val="687"/>
        </w:trPr>
        <w:tc>
          <w:tcPr>
            <w:tcW w:w="1380" w:type="pct"/>
            <w:vMerge/>
            <w:shd w:val="clear" w:color="auto" w:fill="auto"/>
            <w:tcMar>
              <w:top w:w="113" w:type="dxa"/>
            </w:tcMar>
          </w:tcPr>
          <w:p w:rsidR="0063482E" w:rsidRPr="00C75C7E" w:rsidRDefault="0063482E" w:rsidP="00EF3DB5">
            <w:pPr>
              <w:widowControl w:val="0"/>
              <w:rPr>
                <w:sz w:val="16"/>
                <w:szCs w:val="16"/>
                <w:lang w:val="es-ES_tradnl"/>
              </w:rPr>
            </w:pPr>
          </w:p>
        </w:tc>
        <w:tc>
          <w:tcPr>
            <w:tcW w:w="1451" w:type="pct"/>
            <w:shd w:val="clear" w:color="auto" w:fill="auto"/>
            <w:tcMar>
              <w:top w:w="113" w:type="dxa"/>
            </w:tcMar>
          </w:tcPr>
          <w:p w:rsidR="0063482E" w:rsidRPr="00C75C7E" w:rsidRDefault="0063482E" w:rsidP="00EA4CD8">
            <w:pPr>
              <w:widowControl w:val="0"/>
              <w:rPr>
                <w:sz w:val="16"/>
                <w:szCs w:val="16"/>
                <w:lang w:val="es-ES_tradnl"/>
              </w:rPr>
            </w:pPr>
            <w:r w:rsidRPr="00C75C7E">
              <w:rPr>
                <w:sz w:val="16"/>
                <w:szCs w:val="16"/>
                <w:lang w:val="es-ES_tradnl"/>
              </w:rPr>
              <w:t>Flexibilidad de los datos inscritos en el Registro Internacional.</w:t>
            </w:r>
          </w:p>
        </w:tc>
        <w:tc>
          <w:tcPr>
            <w:tcW w:w="1144" w:type="pct"/>
            <w:shd w:val="clear" w:color="auto" w:fill="FFFFFF"/>
            <w:tcMar>
              <w:top w:w="113" w:type="dxa"/>
            </w:tcMar>
          </w:tcPr>
          <w:p w:rsidR="0063482E" w:rsidRPr="00C75C7E" w:rsidRDefault="0063482E" w:rsidP="00EA4CD8">
            <w:pPr>
              <w:widowControl w:val="0"/>
              <w:rPr>
                <w:sz w:val="16"/>
                <w:szCs w:val="16"/>
                <w:lang w:val="es-ES_tradnl" w:bidi="th-TH"/>
              </w:rPr>
            </w:pPr>
            <w:r w:rsidRPr="00C75C7E">
              <w:rPr>
                <w:sz w:val="16"/>
                <w:szCs w:val="16"/>
                <w:lang w:val="es-ES_tradnl" w:bidi="th-TH"/>
              </w:rPr>
              <w:t xml:space="preserve">Incapacidad de registrar información detallada sobre los </w:t>
            </w:r>
            <w:r w:rsidR="003A4B0F">
              <w:rPr>
                <w:sz w:val="16"/>
                <w:szCs w:val="16"/>
                <w:lang w:val="es-ES_tradnl" w:bidi="th-TH"/>
              </w:rPr>
              <w:t>dibujos y modelos</w:t>
            </w:r>
            <w:r w:rsidRPr="00C75C7E">
              <w:rPr>
                <w:sz w:val="16"/>
                <w:szCs w:val="16"/>
                <w:lang w:val="es-ES_tradnl" w:bidi="th-TH"/>
              </w:rPr>
              <w:t>.</w:t>
            </w:r>
          </w:p>
          <w:p w:rsidR="0063482E" w:rsidRPr="00C75C7E" w:rsidRDefault="0063482E" w:rsidP="00EA4CD8">
            <w:pPr>
              <w:widowControl w:val="0"/>
              <w:rPr>
                <w:sz w:val="16"/>
                <w:szCs w:val="16"/>
                <w:lang w:val="es-ES_tradnl"/>
              </w:rPr>
            </w:pPr>
          </w:p>
        </w:tc>
        <w:tc>
          <w:tcPr>
            <w:tcW w:w="1025" w:type="pct"/>
            <w:shd w:val="clear" w:color="auto" w:fill="auto"/>
            <w:tcMar>
              <w:top w:w="113" w:type="dxa"/>
            </w:tcMar>
          </w:tcPr>
          <w:p w:rsidR="0063482E" w:rsidRPr="00C75C7E" w:rsidRDefault="0063482E" w:rsidP="00EA4CD8">
            <w:pPr>
              <w:widowControl w:val="0"/>
              <w:ind w:right="161"/>
              <w:rPr>
                <w:bCs/>
                <w:sz w:val="16"/>
                <w:szCs w:val="16"/>
                <w:lang w:val="es-ES_tradnl"/>
              </w:rPr>
            </w:pPr>
            <w:r w:rsidRPr="00C75C7E">
              <w:rPr>
                <w:bCs/>
                <w:sz w:val="16"/>
                <w:szCs w:val="16"/>
                <w:lang w:val="es-ES_tradnl"/>
              </w:rPr>
              <w:t xml:space="preserve">Capacidad de registrar información detallada sobre los </w:t>
            </w:r>
            <w:r w:rsidR="003A4B0F">
              <w:rPr>
                <w:sz w:val="16"/>
                <w:szCs w:val="16"/>
                <w:lang w:val="es-ES_tradnl" w:bidi="th-TH"/>
              </w:rPr>
              <w:t>dibujos y modelos</w:t>
            </w:r>
            <w:r w:rsidRPr="00C75C7E">
              <w:rPr>
                <w:bCs/>
                <w:sz w:val="16"/>
                <w:szCs w:val="16"/>
                <w:lang w:val="es-ES_tradnl"/>
              </w:rPr>
              <w:t>.</w:t>
            </w:r>
          </w:p>
        </w:tc>
      </w:tr>
      <w:tr w:rsidR="0063482E" w:rsidRPr="00C75C7E" w:rsidTr="00EF3DB5">
        <w:trPr>
          <w:trHeight w:val="414"/>
        </w:trPr>
        <w:tc>
          <w:tcPr>
            <w:tcW w:w="1380" w:type="pct"/>
            <w:vMerge/>
            <w:shd w:val="clear" w:color="auto" w:fill="auto"/>
            <w:tcMar>
              <w:top w:w="113" w:type="dxa"/>
            </w:tcMar>
          </w:tcPr>
          <w:p w:rsidR="0063482E" w:rsidRPr="00C75C7E" w:rsidRDefault="0063482E" w:rsidP="00EF3DB5">
            <w:pPr>
              <w:widowControl w:val="0"/>
              <w:rPr>
                <w:sz w:val="16"/>
                <w:szCs w:val="16"/>
                <w:lang w:val="es-ES_tradnl"/>
              </w:rPr>
            </w:pPr>
          </w:p>
        </w:tc>
        <w:tc>
          <w:tcPr>
            <w:tcW w:w="1451" w:type="pct"/>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Número de procedimientos automatizados.</w:t>
            </w:r>
          </w:p>
        </w:tc>
        <w:tc>
          <w:tcPr>
            <w:tcW w:w="1144" w:type="pct"/>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2</w:t>
            </w:r>
          </w:p>
          <w:p w:rsidR="0063482E" w:rsidRPr="00C75C7E" w:rsidRDefault="0063482E" w:rsidP="00EF3DB5">
            <w:pPr>
              <w:widowControl w:val="0"/>
              <w:rPr>
                <w:sz w:val="16"/>
                <w:szCs w:val="16"/>
                <w:lang w:val="es-ES_tradnl" w:bidi="th-TH"/>
              </w:rPr>
            </w:pPr>
          </w:p>
        </w:tc>
        <w:tc>
          <w:tcPr>
            <w:tcW w:w="1025" w:type="pct"/>
            <w:shd w:val="clear" w:color="auto" w:fill="auto"/>
            <w:tcMar>
              <w:top w:w="113"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 xml:space="preserve">4 </w:t>
            </w:r>
          </w:p>
        </w:tc>
      </w:tr>
    </w:tbl>
    <w:p w:rsidR="0063482E" w:rsidRPr="00C75C7E" w:rsidRDefault="0063482E" w:rsidP="0063482E">
      <w:pPr>
        <w:widowControl w:val="0"/>
        <w:rPr>
          <w:sz w:val="20"/>
          <w:lang w:val="es-ES_tradnl"/>
        </w:rPr>
      </w:pPr>
    </w:p>
    <w:p w:rsidR="005E581D" w:rsidRPr="006B0DE9" w:rsidRDefault="005E581D" w:rsidP="005E581D">
      <w:pPr>
        <w:widowControl w:val="0"/>
        <w:rPr>
          <w:sz w:val="20"/>
        </w:rPr>
      </w:pPr>
    </w:p>
    <w:p w:rsidR="005E581D" w:rsidRPr="006B0DE9" w:rsidRDefault="005E581D" w:rsidP="005E581D">
      <w:pPr>
        <w:widowControl w:val="0"/>
        <w:autoSpaceDE w:val="0"/>
        <w:autoSpaceDN w:val="0"/>
        <w:adjustRightInd w:val="0"/>
        <w:jc w:val="both"/>
        <w:rPr>
          <w:szCs w:val="22"/>
        </w:rPr>
      </w:pPr>
      <w:r w:rsidRPr="006B0DE9">
        <w:rPr>
          <w:szCs w:val="22"/>
        </w:rPr>
        <w:t>RECURSOS PARA EL PROGRAMA 31</w:t>
      </w:r>
    </w:p>
    <w:p w:rsidR="005E581D" w:rsidRPr="006B0DE9" w:rsidRDefault="005E581D" w:rsidP="005E581D">
      <w:pPr>
        <w:widowControl w:val="0"/>
        <w:jc w:val="both"/>
        <w:rPr>
          <w:sz w:val="20"/>
        </w:rPr>
      </w:pPr>
    </w:p>
    <w:p w:rsidR="005E581D" w:rsidRPr="006B0DE9" w:rsidRDefault="005E581D" w:rsidP="00BA276E">
      <w:pPr>
        <w:widowControl w:val="0"/>
        <w:numPr>
          <w:ilvl w:val="0"/>
          <w:numId w:val="27"/>
        </w:numPr>
        <w:jc w:val="both"/>
        <w:rPr>
          <w:sz w:val="20"/>
        </w:rPr>
      </w:pPr>
      <w:r w:rsidRPr="006B0DE9">
        <w:rPr>
          <w:sz w:val="20"/>
        </w:rPr>
        <w:t>El aumento de los recursos destinados al resultado II.4 (Ampliación y mejora del uso del sistema de La Haya) se debe fundamentalmente al aumento reglamentario de los gastos de personal.</w:t>
      </w:r>
    </w:p>
    <w:p w:rsidR="005E581D" w:rsidRPr="006B0DE9" w:rsidRDefault="005E581D" w:rsidP="005E581D">
      <w:pPr>
        <w:widowControl w:val="0"/>
        <w:rPr>
          <w:sz w:val="20"/>
        </w:rPr>
      </w:pPr>
    </w:p>
    <w:p w:rsidR="005E581D" w:rsidRPr="006B0DE9" w:rsidRDefault="005E581D" w:rsidP="00BA276E">
      <w:pPr>
        <w:widowControl w:val="0"/>
        <w:numPr>
          <w:ilvl w:val="0"/>
          <w:numId w:val="27"/>
        </w:numPr>
        <w:jc w:val="both"/>
        <w:rPr>
          <w:sz w:val="20"/>
        </w:rPr>
      </w:pPr>
      <w:r w:rsidRPr="006B0DE9">
        <w:rPr>
          <w:sz w:val="20"/>
        </w:rPr>
        <w:t>La pequeña disminución de los recursos destinados al resultado II.5 (Mejora de la productividad y de la calidad de los servicios – La Haya) se debe a una reducción en las líneas “Misiones del personal” y “Viajes de terceros”</w:t>
      </w:r>
      <w:r w:rsidRPr="006B0DE9">
        <w:rPr>
          <w:bCs/>
          <w:sz w:val="20"/>
        </w:rPr>
        <w:t xml:space="preserve"> relacionada con la aplicación de medidas destinadas a fomentar la eficacia en función de los costos, así como a ciertas reducciones previstas en lo que atañe a las Comunicaciones motivadas por un ahorro en los</w:t>
      </w:r>
      <w:r w:rsidRPr="006B0DE9">
        <w:rPr>
          <w:sz w:val="20"/>
        </w:rPr>
        <w:t xml:space="preserve"> gastos de correos.</w:t>
      </w:r>
    </w:p>
    <w:p w:rsidR="005E581D" w:rsidRPr="006B0DE9" w:rsidRDefault="005E581D" w:rsidP="005E581D">
      <w:pPr>
        <w:widowControl w:val="0"/>
      </w:pPr>
    </w:p>
    <w:p w:rsidR="005E581D" w:rsidRPr="006B0DE9" w:rsidRDefault="005E581D" w:rsidP="00BA276E">
      <w:pPr>
        <w:widowControl w:val="0"/>
        <w:numPr>
          <w:ilvl w:val="0"/>
          <w:numId w:val="27"/>
        </w:numPr>
        <w:jc w:val="both"/>
        <w:rPr>
          <w:sz w:val="20"/>
        </w:rPr>
      </w:pPr>
      <w:r w:rsidRPr="006B0DE9">
        <w:rPr>
          <w:sz w:val="20"/>
        </w:rPr>
        <w:t>El programa 31 va a participar en el nuevo programa de becas con las oficinas nacionales de P.I.  Se ha propuesto destinar una cantidad de 83.000 francos suizos a este fin durante el bienio 2014/15.</w:t>
      </w:r>
    </w:p>
    <w:p w:rsidR="005E581D" w:rsidRPr="006B0DE9" w:rsidRDefault="005E581D" w:rsidP="005E581D">
      <w:pPr>
        <w:widowControl w:val="0"/>
        <w:autoSpaceDE w:val="0"/>
        <w:autoSpaceDN w:val="0"/>
        <w:adjustRightInd w:val="0"/>
        <w:rPr>
          <w:sz w:val="20"/>
        </w:rPr>
      </w:pPr>
    </w:p>
    <w:p w:rsidR="005E581D" w:rsidRPr="005E581D" w:rsidRDefault="005E581D" w:rsidP="0063482E">
      <w:pPr>
        <w:widowControl w:val="0"/>
        <w:autoSpaceDE w:val="0"/>
        <w:autoSpaceDN w:val="0"/>
        <w:adjustRightInd w:val="0"/>
        <w:rPr>
          <w:sz w:val="20"/>
        </w:rPr>
      </w:pPr>
    </w:p>
    <w:p w:rsidR="0063482E" w:rsidRPr="00C75C7E" w:rsidRDefault="00FE42C5" w:rsidP="008F058B">
      <w:pPr>
        <w:widowControl w:val="0"/>
        <w:autoSpaceDE w:val="0"/>
        <w:autoSpaceDN w:val="0"/>
        <w:adjustRightInd w:val="0"/>
        <w:jc w:val="center"/>
        <w:rPr>
          <w:b/>
          <w:bCs/>
          <w:iCs/>
          <w:sz w:val="20"/>
          <w:lang w:val="es-ES_tradnl"/>
        </w:rPr>
      </w:pPr>
      <w:r>
        <w:rPr>
          <w:b/>
          <w:bCs/>
          <w:iCs/>
          <w:sz w:val="20"/>
          <w:lang w:val="es-ES_tradnl"/>
        </w:rPr>
        <w:t>Programa 31</w:t>
      </w:r>
      <w:proofErr w:type="gramStart"/>
      <w:r>
        <w:rPr>
          <w:b/>
          <w:bCs/>
          <w:iCs/>
          <w:sz w:val="20"/>
          <w:lang w:val="es-ES_tradnl"/>
        </w:rPr>
        <w:t xml:space="preserve">:  </w:t>
      </w:r>
      <w:r w:rsidR="0063482E" w:rsidRPr="00C75C7E">
        <w:rPr>
          <w:b/>
          <w:bCs/>
          <w:iCs/>
          <w:sz w:val="20"/>
          <w:lang w:val="es-ES_tradnl"/>
        </w:rPr>
        <w:t>Recursos</w:t>
      </w:r>
      <w:proofErr w:type="gramEnd"/>
      <w:r w:rsidR="0063482E" w:rsidRPr="00C75C7E">
        <w:rPr>
          <w:b/>
          <w:bCs/>
          <w:iCs/>
          <w:sz w:val="20"/>
          <w:lang w:val="es-ES_tradnl"/>
        </w:rPr>
        <w:t xml:space="preserve"> por resultado</w:t>
      </w:r>
    </w:p>
    <w:p w:rsidR="0063482E" w:rsidRPr="00C75C7E" w:rsidRDefault="0063482E" w:rsidP="008F058B">
      <w:pPr>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3482E" w:rsidRPr="00C75C7E" w:rsidRDefault="0063482E" w:rsidP="008F058B">
      <w:pPr>
        <w:widowControl w:val="0"/>
        <w:autoSpaceDE w:val="0"/>
        <w:autoSpaceDN w:val="0"/>
        <w:adjustRightInd w:val="0"/>
        <w:jc w:val="center"/>
        <w:rPr>
          <w:i/>
          <w:sz w:val="18"/>
          <w:szCs w:val="18"/>
          <w:lang w:val="es-ES_tradnl"/>
        </w:rPr>
      </w:pPr>
    </w:p>
    <w:p w:rsidR="0063482E" w:rsidRPr="00C75C7E" w:rsidRDefault="00C40A11" w:rsidP="008F058B">
      <w:pPr>
        <w:widowControl w:val="0"/>
        <w:autoSpaceDE w:val="0"/>
        <w:autoSpaceDN w:val="0"/>
        <w:adjustRightInd w:val="0"/>
        <w:jc w:val="center"/>
        <w:rPr>
          <w:sz w:val="18"/>
          <w:szCs w:val="18"/>
          <w:lang w:val="es-ES_tradnl"/>
        </w:rPr>
      </w:pPr>
      <w:r>
        <w:rPr>
          <w:noProof/>
          <w:lang w:val="en-US" w:eastAsia="en-US"/>
        </w:rPr>
        <w:drawing>
          <wp:inline distT="0" distB="0" distL="0" distR="0" wp14:anchorId="0D0FE1D1" wp14:editId="3556BBA9">
            <wp:extent cx="5793740" cy="1480820"/>
            <wp:effectExtent l="0" t="0" r="0" b="5080"/>
            <wp:docPr id="33"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93740" cy="1480820"/>
                    </a:xfrm>
                    <a:prstGeom prst="rect">
                      <a:avLst/>
                    </a:prstGeom>
                    <a:noFill/>
                    <a:ln>
                      <a:noFill/>
                    </a:ln>
                  </pic:spPr>
                </pic:pic>
              </a:graphicData>
            </a:graphic>
          </wp:inline>
        </w:drawing>
      </w:r>
    </w:p>
    <w:p w:rsidR="0063482E" w:rsidRPr="00C75C7E" w:rsidRDefault="0063482E" w:rsidP="00E81EB4">
      <w:pPr>
        <w:widowControl w:val="0"/>
        <w:autoSpaceDE w:val="0"/>
        <w:autoSpaceDN w:val="0"/>
        <w:adjustRightInd w:val="0"/>
        <w:rPr>
          <w:sz w:val="20"/>
          <w:lang w:val="es-ES_tradnl"/>
        </w:rPr>
      </w:pPr>
    </w:p>
    <w:p w:rsidR="0063482E" w:rsidRPr="00C75C7E" w:rsidRDefault="0063482E" w:rsidP="0063482E">
      <w:pPr>
        <w:widowControl w:val="0"/>
        <w:autoSpaceDE w:val="0"/>
        <w:autoSpaceDN w:val="0"/>
        <w:adjustRightInd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63482E" w:rsidRPr="00C75C7E" w:rsidRDefault="0063482E" w:rsidP="0063482E">
      <w:pPr>
        <w:widowControl w:val="0"/>
        <w:autoSpaceDE w:val="0"/>
        <w:autoSpaceDN w:val="0"/>
        <w:adjustRightInd w:val="0"/>
        <w:jc w:val="center"/>
        <w:rPr>
          <w:sz w:val="20"/>
          <w:lang w:val="es-ES_tradnl"/>
        </w:rPr>
      </w:pPr>
    </w:p>
    <w:p w:rsidR="0063482E" w:rsidRPr="00C75C7E" w:rsidRDefault="0063482E" w:rsidP="0079447F">
      <w:pPr>
        <w:keepNext/>
        <w:widowControl w:val="0"/>
        <w:autoSpaceDE w:val="0"/>
        <w:autoSpaceDN w:val="0"/>
        <w:adjustRightInd w:val="0"/>
        <w:jc w:val="center"/>
        <w:rPr>
          <w:sz w:val="20"/>
          <w:lang w:val="es-ES_tradnl"/>
        </w:rPr>
      </w:pPr>
    </w:p>
    <w:p w:rsidR="0063482E" w:rsidRPr="00C75C7E" w:rsidRDefault="00FE42C5" w:rsidP="0079447F">
      <w:pPr>
        <w:keepNext/>
        <w:widowControl w:val="0"/>
        <w:autoSpaceDE w:val="0"/>
        <w:autoSpaceDN w:val="0"/>
        <w:adjustRightInd w:val="0"/>
        <w:jc w:val="center"/>
        <w:rPr>
          <w:b/>
          <w:bCs/>
          <w:iCs/>
          <w:sz w:val="20"/>
          <w:lang w:val="es-ES_tradnl"/>
        </w:rPr>
      </w:pPr>
      <w:r>
        <w:rPr>
          <w:b/>
          <w:bCs/>
          <w:iCs/>
          <w:sz w:val="20"/>
          <w:lang w:val="es-ES_tradnl"/>
        </w:rPr>
        <w:t>Programa 31</w:t>
      </w:r>
      <w:proofErr w:type="gramStart"/>
      <w:r>
        <w:rPr>
          <w:b/>
          <w:bCs/>
          <w:iCs/>
          <w:sz w:val="20"/>
          <w:lang w:val="es-ES_tradnl"/>
        </w:rPr>
        <w:t xml:space="preserve">:  </w:t>
      </w:r>
      <w:r w:rsidR="0063482E" w:rsidRPr="00C75C7E">
        <w:rPr>
          <w:b/>
          <w:bCs/>
          <w:iCs/>
          <w:sz w:val="20"/>
          <w:lang w:val="es-ES_tradnl"/>
        </w:rPr>
        <w:t>Recursos</w:t>
      </w:r>
      <w:proofErr w:type="gramEnd"/>
      <w:r w:rsidR="0063482E" w:rsidRPr="00C75C7E">
        <w:rPr>
          <w:b/>
          <w:bCs/>
          <w:iCs/>
          <w:sz w:val="20"/>
          <w:lang w:val="es-ES_tradnl"/>
        </w:rPr>
        <w:t xml:space="preserve"> por objeto de gasto</w:t>
      </w:r>
    </w:p>
    <w:p w:rsidR="0063482E" w:rsidRPr="00C75C7E" w:rsidRDefault="0063482E" w:rsidP="0079447F">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3482E" w:rsidRPr="00C75C7E" w:rsidRDefault="0063482E" w:rsidP="0079447F">
      <w:pPr>
        <w:keepNext/>
        <w:widowControl w:val="0"/>
        <w:jc w:val="both"/>
        <w:rPr>
          <w:sz w:val="20"/>
          <w:lang w:val="es-ES_tradnl"/>
        </w:rPr>
      </w:pPr>
    </w:p>
    <w:p w:rsidR="0063482E" w:rsidRPr="00C75C7E" w:rsidRDefault="00C40A11" w:rsidP="0079447F">
      <w:pPr>
        <w:keepNext/>
        <w:widowControl w:val="0"/>
        <w:jc w:val="center"/>
        <w:rPr>
          <w:sz w:val="20"/>
          <w:lang w:val="es-ES_tradnl"/>
        </w:rPr>
      </w:pPr>
      <w:r>
        <w:rPr>
          <w:noProof/>
          <w:lang w:val="en-US" w:eastAsia="en-US"/>
        </w:rPr>
        <w:drawing>
          <wp:inline distT="0" distB="0" distL="0" distR="0" wp14:anchorId="5B6A06BA" wp14:editId="0D910097">
            <wp:extent cx="5936615" cy="5854700"/>
            <wp:effectExtent l="0" t="0" r="698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36615" cy="5854700"/>
                    </a:xfrm>
                    <a:prstGeom prst="rect">
                      <a:avLst/>
                    </a:prstGeom>
                    <a:noFill/>
                    <a:ln>
                      <a:noFill/>
                    </a:ln>
                  </pic:spPr>
                </pic:pic>
              </a:graphicData>
            </a:graphic>
          </wp:inline>
        </w:drawing>
      </w:r>
    </w:p>
    <w:p w:rsidR="0063482E" w:rsidRPr="00C75C7E" w:rsidRDefault="0063482E" w:rsidP="0063482E">
      <w:pPr>
        <w:widowControl w:val="0"/>
        <w:jc w:val="both"/>
        <w:rPr>
          <w:sz w:val="20"/>
          <w:lang w:val="es-ES_tradnl"/>
        </w:rPr>
      </w:pPr>
    </w:p>
    <w:p w:rsidR="0063482E" w:rsidRPr="00C75C7E" w:rsidRDefault="0063482E" w:rsidP="0063482E">
      <w:pPr>
        <w:widowControl w:val="0"/>
        <w:rPr>
          <w:sz w:val="16"/>
          <w:szCs w:val="16"/>
          <w:lang w:val="es-ES_tradnl"/>
        </w:rPr>
      </w:pPr>
      <w:r w:rsidRPr="00C75C7E">
        <w:rPr>
          <w:sz w:val="16"/>
          <w:szCs w:val="16"/>
          <w:lang w:val="es-ES_tradnl"/>
        </w:rPr>
        <w:t>Notas:</w:t>
      </w:r>
    </w:p>
    <w:p w:rsidR="0063482E" w:rsidRPr="00C75C7E" w:rsidRDefault="0063482E" w:rsidP="0063482E">
      <w:pPr>
        <w:widowControl w:val="0"/>
        <w:rPr>
          <w:sz w:val="16"/>
          <w:szCs w:val="16"/>
          <w:u w:val="single"/>
          <w:lang w:val="es-ES_tradnl"/>
        </w:rPr>
      </w:pPr>
    </w:p>
    <w:p w:rsidR="0063482E" w:rsidRDefault="00450C3A" w:rsidP="0063482E">
      <w:pPr>
        <w:widowControl w:val="0"/>
        <w:tabs>
          <w:tab w:val="left" w:pos="567"/>
        </w:tabs>
        <w:rPr>
          <w:sz w:val="16"/>
          <w:szCs w:val="16"/>
          <w:lang w:val="es-ES_tradnl"/>
        </w:rPr>
      </w:pPr>
      <w:r>
        <w:rPr>
          <w:sz w:val="16"/>
          <w:szCs w:val="16"/>
          <w:lang w:val="es-ES_tradnl"/>
        </w:rPr>
        <w:t xml:space="preserve">1)  </w:t>
      </w:r>
      <w:r w:rsidR="0063482E" w:rsidRPr="00C75C7E">
        <w:rPr>
          <w:sz w:val="16"/>
          <w:szCs w:val="16"/>
          <w:lang w:val="es-ES_tradnl"/>
        </w:rPr>
        <w:t xml:space="preserve">El presupuesto aprobado de 2012/13 y el presupuesto de dicho bienio después de las transferencias se </w:t>
      </w:r>
      <w:proofErr w:type="spellStart"/>
      <w:r w:rsidR="0063482E" w:rsidRPr="00C75C7E">
        <w:rPr>
          <w:sz w:val="16"/>
          <w:szCs w:val="16"/>
          <w:lang w:val="es-ES_tradnl"/>
        </w:rPr>
        <w:t>reexpresan</w:t>
      </w:r>
      <w:proofErr w:type="spellEnd"/>
      <w:r w:rsidR="0063482E" w:rsidRPr="00C75C7E">
        <w:rPr>
          <w:sz w:val="16"/>
          <w:szCs w:val="16"/>
          <w:lang w:val="es-ES_tradnl"/>
        </w:rPr>
        <w:t xml:space="preserve"> sobre la base de la estructura de categorías de costos propuesta para 2014/15.</w:t>
      </w:r>
    </w:p>
    <w:p w:rsidR="0063482E" w:rsidRPr="00C75C7E" w:rsidRDefault="0063482E" w:rsidP="0063482E">
      <w:pPr>
        <w:widowControl w:val="0"/>
        <w:tabs>
          <w:tab w:val="left" w:pos="567"/>
        </w:tabs>
        <w:rPr>
          <w:sz w:val="16"/>
          <w:szCs w:val="16"/>
          <w:lang w:val="es-ES_tradnl"/>
        </w:rPr>
      </w:pPr>
    </w:p>
    <w:p w:rsidR="0063482E" w:rsidRDefault="00450C3A" w:rsidP="0063482E">
      <w:pPr>
        <w:widowControl w:val="0"/>
        <w:tabs>
          <w:tab w:val="left" w:pos="567"/>
        </w:tabs>
        <w:rPr>
          <w:rFonts w:cs="ArialMT"/>
          <w:sz w:val="16"/>
          <w:szCs w:val="16"/>
          <w:lang w:val="es-ES_tradnl"/>
        </w:rPr>
      </w:pPr>
      <w:r>
        <w:rPr>
          <w:sz w:val="16"/>
          <w:szCs w:val="16"/>
          <w:lang w:val="es-ES_tradnl"/>
        </w:rPr>
        <w:t xml:space="preserve">2)  </w:t>
      </w:r>
      <w:r w:rsidR="0063482E"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w:t>
      </w:r>
      <w:r w:rsidR="0063482E">
        <w:rPr>
          <w:sz w:val="16"/>
          <w:szCs w:val="16"/>
          <w:lang w:val="es-ES_tradnl"/>
        </w:rPr>
        <w:t>rmación sobre el presupuesto de </w:t>
      </w:r>
      <w:r w:rsidR="0063482E"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0063482E" w:rsidRPr="00C75C7E">
        <w:rPr>
          <w:rFonts w:cs="ArialMT"/>
          <w:sz w:val="16"/>
          <w:szCs w:val="16"/>
          <w:lang w:val="es-ES_tradnl"/>
        </w:rPr>
        <w:t xml:space="preserve">Los costos de personal del presupuesto de 2012/13 después de las transferencias representan los gastos reales efectuados hasta el 31 de </w:t>
      </w:r>
      <w:r w:rsidR="0063482E" w:rsidRPr="002E4257">
        <w:rPr>
          <w:sz w:val="16"/>
          <w:szCs w:val="16"/>
          <w:lang w:val="es-ES_tradnl"/>
        </w:rPr>
        <w:t>marzo</w:t>
      </w:r>
      <w:r w:rsidR="0063482E" w:rsidRPr="00C75C7E">
        <w:rPr>
          <w:rFonts w:cs="ArialMT"/>
          <w:sz w:val="16"/>
          <w:szCs w:val="16"/>
          <w:lang w:val="es-ES_tradnl"/>
        </w:rPr>
        <w:t xml:space="preserve"> de 2013 y los importes presupuestados para los nueve meses restantes de 2013, sobre la base de costos estándar. </w:t>
      </w:r>
    </w:p>
    <w:p w:rsidR="0063482E" w:rsidRPr="00C75C7E" w:rsidRDefault="0063482E" w:rsidP="0063482E">
      <w:pPr>
        <w:widowControl w:val="0"/>
        <w:tabs>
          <w:tab w:val="left" w:pos="567"/>
        </w:tabs>
        <w:rPr>
          <w:sz w:val="16"/>
          <w:szCs w:val="16"/>
          <w:lang w:val="es-ES_tradnl"/>
        </w:rPr>
      </w:pPr>
    </w:p>
    <w:p w:rsidR="0063482E" w:rsidRPr="00C75C7E" w:rsidRDefault="00450C3A" w:rsidP="0063482E">
      <w:pPr>
        <w:widowControl w:val="0"/>
        <w:spacing w:after="120"/>
        <w:rPr>
          <w:sz w:val="16"/>
          <w:szCs w:val="16"/>
          <w:lang w:val="es-ES_tradnl"/>
        </w:rPr>
      </w:pPr>
      <w:r>
        <w:rPr>
          <w:sz w:val="16"/>
          <w:szCs w:val="16"/>
          <w:lang w:val="es-ES_tradnl"/>
        </w:rPr>
        <w:t xml:space="preserve">3)  </w:t>
      </w:r>
      <w:r w:rsidR="0063482E" w:rsidRPr="00C75C7E">
        <w:rPr>
          <w:sz w:val="16"/>
          <w:szCs w:val="16"/>
          <w:lang w:val="es-ES_tradnl"/>
        </w:rPr>
        <w:t>Para más información sobre los puestos del programa cabe remitirse al cuadro que figura en el Anexo II.</w:t>
      </w:r>
    </w:p>
    <w:p w:rsidR="005E581D" w:rsidRPr="00450C3A" w:rsidRDefault="0063482E" w:rsidP="00450C3A">
      <w:pPr>
        <w:pStyle w:val="Heading3"/>
        <w:tabs>
          <w:tab w:val="left" w:pos="1985"/>
        </w:tabs>
        <w:rPr>
          <w:b/>
          <w:iCs/>
          <w:caps/>
          <w:u w:val="none"/>
        </w:rPr>
      </w:pPr>
      <w:r w:rsidRPr="00C75C7E">
        <w:rPr>
          <w:lang w:val="es-ES_tradnl"/>
        </w:rPr>
        <w:br w:type="page"/>
      </w:r>
      <w:bookmarkStart w:id="36" w:name="_Toc356567755"/>
      <w:bookmarkStart w:id="37" w:name="_Toc366078716"/>
      <w:r w:rsidR="006A15F5" w:rsidRPr="00450C3A">
        <w:rPr>
          <w:b/>
          <w:iCs/>
          <w:u w:val="none"/>
        </w:rPr>
        <w:lastRenderedPageBreak/>
        <w:t>PROGRAMA 7</w:t>
      </w:r>
      <w:r w:rsidR="006A15F5" w:rsidRPr="00450C3A">
        <w:rPr>
          <w:b/>
          <w:iCs/>
          <w:u w:val="none"/>
        </w:rPr>
        <w:tab/>
      </w:r>
      <w:bookmarkEnd w:id="36"/>
      <w:r w:rsidR="006A15F5" w:rsidRPr="00450C3A">
        <w:rPr>
          <w:b/>
          <w:iCs/>
          <w:u w:val="none"/>
        </w:rPr>
        <w:t>CENTRO DE ARBITRAJE Y MEDIACIÓN DE LA OMPI</w:t>
      </w:r>
      <w:bookmarkEnd w:id="37"/>
    </w:p>
    <w:p w:rsidR="005E581D" w:rsidRPr="006B0DE9" w:rsidRDefault="005E581D" w:rsidP="006A15F5"/>
    <w:p w:rsidR="005E581D" w:rsidRPr="006B0DE9" w:rsidRDefault="005E581D" w:rsidP="006A15F5">
      <w:pPr>
        <w:rPr>
          <w:b/>
        </w:rPr>
      </w:pPr>
    </w:p>
    <w:p w:rsidR="005E581D" w:rsidRPr="006B0DE9" w:rsidRDefault="005E581D" w:rsidP="005E581D">
      <w:pPr>
        <w:pStyle w:val="BodyTextIndent"/>
        <w:widowControl w:val="0"/>
        <w:ind w:left="1985" w:hanging="1985"/>
        <w:jc w:val="both"/>
        <w:rPr>
          <w:rFonts w:ascii="Arial" w:hAnsi="Arial" w:cs="Arial"/>
          <w:sz w:val="22"/>
          <w:szCs w:val="22"/>
          <w:lang w:val="es-ES"/>
        </w:rPr>
      </w:pPr>
      <w:r w:rsidRPr="006B0DE9">
        <w:rPr>
          <w:rFonts w:ascii="Arial" w:hAnsi="Arial" w:cs="Arial"/>
          <w:sz w:val="22"/>
          <w:szCs w:val="22"/>
          <w:lang w:val="es-ES"/>
        </w:rPr>
        <w:t>CONTEXTO DE PLANIFICACIÓN</w:t>
      </w:r>
    </w:p>
    <w:p w:rsidR="005E581D" w:rsidRPr="006B0DE9" w:rsidRDefault="005E581D" w:rsidP="005E581D">
      <w:pPr>
        <w:widowControl w:val="0"/>
        <w:rPr>
          <w:sz w:val="20"/>
        </w:rPr>
      </w:pPr>
    </w:p>
    <w:p w:rsidR="005E581D" w:rsidRPr="006B0DE9" w:rsidRDefault="005E581D" w:rsidP="00BA276E">
      <w:pPr>
        <w:widowControl w:val="0"/>
        <w:numPr>
          <w:ilvl w:val="0"/>
          <w:numId w:val="28"/>
        </w:numPr>
        <w:jc w:val="both"/>
        <w:rPr>
          <w:rFonts w:eastAsia="Batang"/>
          <w:sz w:val="20"/>
          <w:lang w:eastAsia="ko-KR" w:bidi="ta-IN"/>
        </w:rPr>
      </w:pPr>
      <w:r w:rsidRPr="006B0DE9">
        <w:rPr>
          <w:rFonts w:eastAsia="Batang"/>
          <w:sz w:val="20"/>
          <w:lang w:eastAsia="ko-KR" w:bidi="ta-IN"/>
        </w:rPr>
        <w:t>En el marco de una economía impulsada por la P.I., las partes interesadas han de integrar en su funcionamiento la gestión de los conflictos (por ejemplo, mediante el desarrollo de nuevas tecnologías), así como aplicar prácticas contractuales y políticas de observancia más amplias.  El conocimiento de los riesgos y las oportunidades que conlleva la solución de controversias ayuda a reducir al mínimo las perturbaciones que dichas controversias pueden ocasionar en la explotación de los derechos de P.I.</w:t>
      </w:r>
    </w:p>
    <w:p w:rsidR="005E581D" w:rsidRPr="006B0DE9" w:rsidRDefault="005E581D" w:rsidP="005E581D">
      <w:pPr>
        <w:widowControl w:val="0"/>
        <w:jc w:val="both"/>
        <w:rPr>
          <w:rFonts w:eastAsia="Batang"/>
          <w:sz w:val="20"/>
          <w:lang w:eastAsia="ko-KR" w:bidi="ta-IN"/>
        </w:rPr>
      </w:pPr>
    </w:p>
    <w:p w:rsidR="005E581D" w:rsidRPr="006B0DE9" w:rsidRDefault="005E581D" w:rsidP="00BA276E">
      <w:pPr>
        <w:widowControl w:val="0"/>
        <w:numPr>
          <w:ilvl w:val="0"/>
          <w:numId w:val="28"/>
        </w:numPr>
        <w:jc w:val="both"/>
        <w:rPr>
          <w:rFonts w:eastAsia="Batang"/>
          <w:sz w:val="20"/>
          <w:lang w:eastAsia="ko-KR" w:bidi="ta-IN"/>
        </w:rPr>
      </w:pPr>
      <w:r w:rsidRPr="006B0DE9">
        <w:rPr>
          <w:rFonts w:eastAsia="Batang"/>
          <w:sz w:val="20"/>
          <w:lang w:eastAsia="ko-KR" w:bidi="ta-IN"/>
        </w:rPr>
        <w:t>Los tribunales y las oficinas de P.I. tienden a ofrecer soluciones formales de carácter territorial que surgen de procedimientos basados en derechos de aplicación generalizada;  sin embargo, puesto que la evolución de las condiciones para la creación y utilización de la P.I. pone de manifiesto la necesidad de agilizar el marco de obtención de títulos de P.I., motivos similares impulsan a los titulares de derechos y los usuarios a valorar la opción de utilizar métodos de solución de controversias</w:t>
      </w:r>
      <w:r w:rsidR="00281871">
        <w:rPr>
          <w:rFonts w:eastAsia="Batang"/>
          <w:sz w:val="20"/>
          <w:lang w:eastAsia="ko-KR" w:bidi="ta-IN"/>
        </w:rPr>
        <w:t xml:space="preserve"> aplicables a nivel internacional</w:t>
      </w:r>
      <w:r w:rsidRPr="006B0DE9">
        <w:rPr>
          <w:rFonts w:eastAsia="Batang"/>
          <w:sz w:val="20"/>
          <w:lang w:eastAsia="ko-KR" w:bidi="ta-IN"/>
        </w:rPr>
        <w:t>.  El Centro de Arbitraje y Mediación de la OMPI presta asistencia en esa tarea, por un lado, como centro de recursos de carácter mundial, mediante la sensibilización, y en su calidad de proveedor de servicios, ofreciendo instrumentos de administración de controversias a partir de las cláusulas y los reglamentos elaborados por la OMPI.  Entre los beneficiarios potenciales de estas actividades se encuentran las empresas privadas y las administraciones públicas.</w:t>
      </w:r>
    </w:p>
    <w:p w:rsidR="005E581D" w:rsidRPr="006B0DE9" w:rsidRDefault="005E581D" w:rsidP="005E581D">
      <w:pPr>
        <w:widowControl w:val="0"/>
        <w:jc w:val="both"/>
        <w:rPr>
          <w:rFonts w:eastAsia="Batang"/>
          <w:sz w:val="20"/>
          <w:lang w:eastAsia="ko-KR" w:bidi="ta-IN"/>
        </w:rPr>
      </w:pPr>
    </w:p>
    <w:p w:rsidR="005E581D" w:rsidRPr="006B0DE9" w:rsidRDefault="005E581D" w:rsidP="00BA276E">
      <w:pPr>
        <w:widowControl w:val="0"/>
        <w:numPr>
          <w:ilvl w:val="0"/>
          <w:numId w:val="28"/>
        </w:numPr>
        <w:jc w:val="both"/>
        <w:rPr>
          <w:rFonts w:eastAsia="Batang"/>
          <w:sz w:val="20"/>
          <w:lang w:eastAsia="ko-KR" w:bidi="ta-IN"/>
        </w:rPr>
      </w:pPr>
      <w:r w:rsidRPr="006B0DE9">
        <w:rPr>
          <w:rFonts w:eastAsia="Batang"/>
          <w:sz w:val="20"/>
          <w:lang w:eastAsia="ko-KR" w:bidi="ta-IN"/>
        </w:rPr>
        <w:t xml:space="preserve">Como consecuencia de la experiencia adquirida en materia de políticas, el Centro de Arbitraje y Mediación de la OMPI se encuentra en la posición ideal para contribuir a la creación de marcos de solución extrajudicial de controversias sobre la P.I.  Del mismo modo, por motivos comerciales y de política, muchos </w:t>
      </w:r>
      <w:r w:rsidR="00281871">
        <w:rPr>
          <w:rFonts w:eastAsia="Batang"/>
          <w:sz w:val="20"/>
          <w:lang w:eastAsia="ko-KR" w:bidi="ta-IN"/>
        </w:rPr>
        <w:t>proveedores</w:t>
      </w:r>
      <w:r w:rsidRPr="006B0DE9">
        <w:rPr>
          <w:rFonts w:eastAsia="Batang"/>
          <w:sz w:val="20"/>
          <w:lang w:eastAsia="ko-KR" w:bidi="ta-IN"/>
        </w:rPr>
        <w:t xml:space="preserve"> de servicios de solución </w:t>
      </w:r>
      <w:r>
        <w:rPr>
          <w:rFonts w:eastAsia="Batang"/>
          <w:sz w:val="20"/>
          <w:lang w:eastAsia="ko-KR" w:bidi="ta-IN"/>
        </w:rPr>
        <w:t xml:space="preserve">extrajudicial </w:t>
      </w:r>
      <w:r w:rsidRPr="006B0DE9">
        <w:rPr>
          <w:rFonts w:eastAsia="Batang"/>
          <w:sz w:val="20"/>
          <w:lang w:eastAsia="ko-KR" w:bidi="ta-IN"/>
        </w:rPr>
        <w:t>de controversias compiten en la prestación de esos mecanismos.  La obtención de reconocimiento en ese mercado dependerá de la capacidad para desarrollar, promocionar y prestar los servicios adecuados.</w:t>
      </w:r>
    </w:p>
    <w:p w:rsidR="005E581D" w:rsidRPr="006B0DE9" w:rsidRDefault="005E581D" w:rsidP="005E581D">
      <w:pPr>
        <w:widowControl w:val="0"/>
        <w:autoSpaceDE w:val="0"/>
        <w:autoSpaceDN w:val="0"/>
        <w:adjustRightInd w:val="0"/>
        <w:rPr>
          <w:rFonts w:eastAsia="Batang"/>
          <w:sz w:val="20"/>
          <w:lang w:eastAsia="ko-KR" w:bidi="ta-IN"/>
        </w:rPr>
      </w:pPr>
    </w:p>
    <w:p w:rsidR="005E581D" w:rsidRPr="006B0DE9" w:rsidRDefault="005E581D" w:rsidP="00BA276E">
      <w:pPr>
        <w:widowControl w:val="0"/>
        <w:numPr>
          <w:ilvl w:val="0"/>
          <w:numId w:val="28"/>
        </w:numPr>
        <w:jc w:val="both"/>
        <w:rPr>
          <w:rFonts w:eastAsia="Batang"/>
          <w:sz w:val="20"/>
          <w:lang w:eastAsia="ko-KR" w:bidi="ta-IN"/>
        </w:rPr>
      </w:pPr>
      <w:r w:rsidRPr="006B0DE9">
        <w:rPr>
          <w:rFonts w:eastAsia="Batang"/>
          <w:sz w:val="20"/>
          <w:lang w:eastAsia="ko-KR" w:bidi="ta-IN"/>
        </w:rPr>
        <w:t>Un ejemplo de la capacidad potencial</w:t>
      </w:r>
      <w:r>
        <w:rPr>
          <w:rFonts w:eastAsia="Batang"/>
          <w:sz w:val="20"/>
          <w:lang w:eastAsia="ko-KR" w:bidi="ta-IN"/>
        </w:rPr>
        <w:t xml:space="preserve"> de los mecanismos </w:t>
      </w:r>
      <w:r w:rsidRPr="006B0DE9">
        <w:rPr>
          <w:rFonts w:eastAsia="Batang"/>
          <w:sz w:val="20"/>
          <w:lang w:eastAsia="ko-KR" w:bidi="ta-IN"/>
        </w:rPr>
        <w:t xml:space="preserve">de solución </w:t>
      </w:r>
      <w:r>
        <w:rPr>
          <w:rFonts w:eastAsia="Batang"/>
          <w:sz w:val="20"/>
          <w:lang w:eastAsia="ko-KR" w:bidi="ta-IN"/>
        </w:rPr>
        <w:t xml:space="preserve">extrajudicial </w:t>
      </w:r>
      <w:r w:rsidRPr="006B0DE9">
        <w:rPr>
          <w:rFonts w:eastAsia="Batang"/>
          <w:sz w:val="20"/>
          <w:lang w:eastAsia="ko-KR" w:bidi="ta-IN"/>
        </w:rPr>
        <w:t xml:space="preserve">de controversias en materia de P.I. es la Política Uniforme de Solución de Controversias en materia de Nombres de Dominio, impulsada por la OMPI.  Hasta el final de 2012, el Centro de Arbitraje y Mediación de la OMPI ha tramitado más de 25.000 demandas en virtud de este eficaz mecanismo de alcance mundial, disponible en Internet, que constituye una alternativa a los litigios judiciales para hacer frente a los abusos contra las marcas en el Sistema de Nombres de Dominio de Internet (DNS).  El panorama del </w:t>
      </w:r>
      <w:r>
        <w:rPr>
          <w:rFonts w:eastAsia="Batang"/>
          <w:sz w:val="20"/>
          <w:lang w:eastAsia="ko-KR" w:bidi="ta-IN"/>
        </w:rPr>
        <w:t xml:space="preserve">DNS </w:t>
      </w:r>
      <w:r w:rsidRPr="006B0DE9">
        <w:rPr>
          <w:rFonts w:eastAsia="Batang"/>
          <w:sz w:val="20"/>
          <w:lang w:eastAsia="ko-KR" w:bidi="ta-IN"/>
        </w:rPr>
        <w:t>va a sufrir cambios importantes, que se traducirán en un gran aumento en el número de dominios genéricos de nivel superior (</w:t>
      </w:r>
      <w:proofErr w:type="spellStart"/>
      <w:r w:rsidRPr="006B0DE9">
        <w:rPr>
          <w:rFonts w:eastAsia="Batang"/>
          <w:sz w:val="20"/>
          <w:lang w:eastAsia="ko-KR" w:bidi="ta-IN"/>
        </w:rPr>
        <w:t>gTLD</w:t>
      </w:r>
      <w:proofErr w:type="spellEnd"/>
      <w:r w:rsidRPr="006B0DE9">
        <w:rPr>
          <w:rFonts w:eastAsia="Batang"/>
          <w:sz w:val="20"/>
          <w:lang w:eastAsia="ko-KR" w:bidi="ta-IN"/>
        </w:rPr>
        <w:t xml:space="preserve">) y en la introducción de </w:t>
      </w:r>
      <w:proofErr w:type="spellStart"/>
      <w:r w:rsidRPr="006B0DE9">
        <w:rPr>
          <w:rFonts w:eastAsia="Batang"/>
          <w:sz w:val="20"/>
          <w:lang w:eastAsia="ko-KR" w:bidi="ta-IN"/>
        </w:rPr>
        <w:t>gTLD</w:t>
      </w:r>
      <w:proofErr w:type="spellEnd"/>
      <w:r w:rsidRPr="006B0DE9">
        <w:rPr>
          <w:rFonts w:eastAsia="Batang"/>
          <w:sz w:val="20"/>
          <w:lang w:eastAsia="ko-KR" w:bidi="ta-IN"/>
        </w:rPr>
        <w:t xml:space="preserve"> y nombres de dominio internacionalizados (caracteres no latinos).</w:t>
      </w:r>
    </w:p>
    <w:p w:rsidR="005E581D" w:rsidRPr="006B0DE9" w:rsidRDefault="005E581D" w:rsidP="005E581D">
      <w:pPr>
        <w:widowControl w:val="0"/>
        <w:autoSpaceDE w:val="0"/>
        <w:autoSpaceDN w:val="0"/>
        <w:adjustRightInd w:val="0"/>
        <w:rPr>
          <w:rFonts w:eastAsia="Batang"/>
          <w:sz w:val="20"/>
          <w:lang w:eastAsia="ko-KR" w:bidi="ta-IN"/>
        </w:rPr>
      </w:pPr>
    </w:p>
    <w:p w:rsidR="005E581D" w:rsidRPr="006B0DE9" w:rsidRDefault="005E581D" w:rsidP="00BA276E">
      <w:pPr>
        <w:widowControl w:val="0"/>
        <w:numPr>
          <w:ilvl w:val="0"/>
          <w:numId w:val="28"/>
        </w:numPr>
        <w:jc w:val="both"/>
        <w:rPr>
          <w:rFonts w:eastAsia="Batang"/>
          <w:sz w:val="20"/>
          <w:lang w:eastAsia="ko-KR" w:bidi="ta-IN"/>
        </w:rPr>
      </w:pPr>
      <w:r w:rsidRPr="006B0DE9">
        <w:rPr>
          <w:rFonts w:eastAsia="Batang"/>
          <w:sz w:val="20"/>
          <w:lang w:eastAsia="ko-KR" w:bidi="ta-IN"/>
        </w:rPr>
        <w:t xml:space="preserve">Con el fin de reducir las consecuencias adversas que esta incertidumbre podría tener en el ámbito de la P.I., el Centro de Arbitraje y Mediación de la OMPI debe seguir desempeñando una función dinámica de supervisión de las soluciones que adopte la Corporación </w:t>
      </w:r>
      <w:r w:rsidR="00281871">
        <w:rPr>
          <w:rFonts w:eastAsia="Batang"/>
          <w:sz w:val="20"/>
          <w:lang w:eastAsia="ko-KR" w:bidi="ta-IN"/>
        </w:rPr>
        <w:t>para la</w:t>
      </w:r>
      <w:r w:rsidRPr="006B0DE9">
        <w:rPr>
          <w:rFonts w:eastAsia="Batang"/>
          <w:sz w:val="20"/>
          <w:lang w:eastAsia="ko-KR" w:bidi="ta-IN"/>
        </w:rPr>
        <w:t xml:space="preserve"> Asignación de Nombres y Números </w:t>
      </w:r>
      <w:r w:rsidR="00281871">
        <w:rPr>
          <w:rFonts w:eastAsia="Batang"/>
          <w:sz w:val="20"/>
          <w:lang w:eastAsia="ko-KR" w:bidi="ta-IN"/>
        </w:rPr>
        <w:t>en</w:t>
      </w:r>
      <w:r w:rsidRPr="006B0DE9">
        <w:rPr>
          <w:rFonts w:eastAsia="Batang"/>
          <w:sz w:val="20"/>
          <w:lang w:eastAsia="ko-KR" w:bidi="ta-IN"/>
        </w:rPr>
        <w:t xml:space="preserve"> Internet (ICANN).  En este sentido, los cambios sustanciales que se produzcan en la demanda de la Política Uniforme de Solución de Controversias en materia de Nombres de Dominio podrían incidir en este servicio de la OMPI.</w:t>
      </w:r>
    </w:p>
    <w:p w:rsidR="005E581D" w:rsidRPr="006B0DE9" w:rsidRDefault="005E581D" w:rsidP="005E581D">
      <w:pPr>
        <w:widowControl w:val="0"/>
        <w:rPr>
          <w:rFonts w:eastAsia="Batang"/>
          <w:sz w:val="20"/>
          <w:lang w:eastAsia="ko-KR" w:bidi="ta-IN"/>
        </w:rPr>
      </w:pPr>
    </w:p>
    <w:p w:rsidR="005E581D" w:rsidRPr="006B0DE9" w:rsidRDefault="005E581D" w:rsidP="00BA276E">
      <w:pPr>
        <w:widowControl w:val="0"/>
        <w:numPr>
          <w:ilvl w:val="0"/>
          <w:numId w:val="28"/>
        </w:numPr>
        <w:jc w:val="both"/>
        <w:rPr>
          <w:rFonts w:eastAsia="Batang"/>
          <w:sz w:val="20"/>
          <w:lang w:eastAsia="ko-KR" w:bidi="ta-IN"/>
        </w:rPr>
      </w:pPr>
      <w:r w:rsidRPr="006B0DE9">
        <w:rPr>
          <w:rFonts w:eastAsia="Batang"/>
          <w:sz w:val="20"/>
          <w:lang w:eastAsia="ko-KR" w:bidi="ta-IN"/>
        </w:rPr>
        <w:t>El Centro de Arbitraje y Mediación de la OMPI brinda asistencia a los dominios de nivel superior correspondientes a códigos de países (</w:t>
      </w:r>
      <w:proofErr w:type="spellStart"/>
      <w:r w:rsidRPr="006B0DE9">
        <w:rPr>
          <w:rFonts w:eastAsia="Batang"/>
          <w:sz w:val="20"/>
          <w:lang w:eastAsia="ko-KR" w:bidi="ta-IN"/>
        </w:rPr>
        <w:t>ccTLD</w:t>
      </w:r>
      <w:proofErr w:type="spellEnd"/>
      <w:r w:rsidRPr="006B0DE9">
        <w:rPr>
          <w:rFonts w:eastAsia="Batang"/>
          <w:sz w:val="20"/>
          <w:lang w:eastAsia="ko-KR" w:bidi="ta-IN"/>
        </w:rPr>
        <w:t xml:space="preserve">) en el establecimiento de las mejores prácticas de registro y los mecanismos más eficaces de solución de controversias.  De manera más general, en el ámbito de la solución </w:t>
      </w:r>
      <w:r w:rsidR="008921D7">
        <w:rPr>
          <w:rFonts w:eastAsia="Batang"/>
          <w:sz w:val="20"/>
          <w:lang w:eastAsia="ko-KR" w:bidi="ta-IN"/>
        </w:rPr>
        <w:t>extrajudicial de</w:t>
      </w:r>
      <w:r w:rsidRPr="006B0DE9">
        <w:rPr>
          <w:rFonts w:eastAsia="Batang"/>
          <w:sz w:val="20"/>
          <w:lang w:eastAsia="ko-KR" w:bidi="ta-IN"/>
        </w:rPr>
        <w:t xml:space="preserve"> controversias en materia de P.I., las oficinas nacionales de P.I. recurren al Centro de Arbitraje y Mediación de al OMPI para obtener información sobre la elaboración de mecanismos </w:t>
      </w:r>
      <w:r w:rsidR="00281871">
        <w:rPr>
          <w:rFonts w:eastAsia="Batang"/>
          <w:sz w:val="20"/>
          <w:lang w:eastAsia="ko-KR" w:bidi="ta-IN"/>
        </w:rPr>
        <w:t>facultativos</w:t>
      </w:r>
      <w:r w:rsidRPr="006B0DE9">
        <w:rPr>
          <w:rFonts w:eastAsia="Batang"/>
          <w:sz w:val="20"/>
          <w:lang w:eastAsia="ko-KR" w:bidi="ta-IN"/>
        </w:rPr>
        <w:t xml:space="preserve"> de solución </w:t>
      </w:r>
      <w:r>
        <w:rPr>
          <w:rFonts w:eastAsia="Batang"/>
          <w:sz w:val="20"/>
          <w:lang w:eastAsia="ko-KR" w:bidi="ta-IN"/>
        </w:rPr>
        <w:t xml:space="preserve">extrajudicial </w:t>
      </w:r>
      <w:r w:rsidRPr="006B0DE9">
        <w:rPr>
          <w:rFonts w:eastAsia="Batang"/>
          <w:sz w:val="20"/>
          <w:lang w:eastAsia="ko-KR" w:bidi="ta-IN"/>
        </w:rPr>
        <w:t xml:space="preserve">de controversias que complementen los procedimientos administrativos con los que cuentan. El Centro de Arbitraje y Mediación de la OMPI organiza asimismo programas de formación para funcionarios, profesionales y estudiantes de la P.I., en algunos casos por Internet.  Estas actividades de formación y fortalecimiento de las capacidades, realizadas en sintonía con las recomendaciones 1 y 6 de la A.D., contribuirán a la aplicación de la recomendación 10 de la A.D., velando por que los países en desarrollo y los PMA perfeccionen su capacidad institucional para resolver de forma eficiente, justa y </w:t>
      </w:r>
      <w:proofErr w:type="spellStart"/>
      <w:r w:rsidRPr="006B0DE9">
        <w:rPr>
          <w:rFonts w:eastAsia="Batang"/>
          <w:sz w:val="20"/>
          <w:lang w:eastAsia="ko-KR" w:bidi="ta-IN"/>
        </w:rPr>
        <w:t>costoeficaz</w:t>
      </w:r>
      <w:proofErr w:type="spellEnd"/>
      <w:r w:rsidRPr="006B0DE9">
        <w:rPr>
          <w:rFonts w:eastAsia="Batang"/>
          <w:sz w:val="20"/>
          <w:lang w:eastAsia="ko-KR" w:bidi="ta-IN"/>
        </w:rPr>
        <w:t xml:space="preserve"> las controversias en materia de P.I.</w:t>
      </w:r>
    </w:p>
    <w:p w:rsidR="005E581D" w:rsidRPr="006B0DE9" w:rsidRDefault="005E581D" w:rsidP="005E581D">
      <w:pPr>
        <w:widowControl w:val="0"/>
        <w:tabs>
          <w:tab w:val="num" w:pos="709"/>
        </w:tabs>
        <w:ind w:left="1140" w:hanging="1140"/>
        <w:rPr>
          <w:bCs/>
          <w:sz w:val="20"/>
        </w:rPr>
      </w:pPr>
    </w:p>
    <w:p w:rsidR="005E581D" w:rsidRPr="006B0DE9" w:rsidRDefault="005E581D" w:rsidP="005E581D">
      <w:pPr>
        <w:widowControl w:val="0"/>
        <w:tabs>
          <w:tab w:val="num" w:pos="709"/>
        </w:tabs>
        <w:ind w:left="1140" w:hanging="1140"/>
        <w:rPr>
          <w:bCs/>
          <w:sz w:val="20"/>
        </w:rPr>
      </w:pPr>
    </w:p>
    <w:p w:rsidR="005E581D" w:rsidRPr="006B0DE9" w:rsidRDefault="005E581D" w:rsidP="00281871">
      <w:pPr>
        <w:keepNext/>
        <w:widowControl w:val="0"/>
        <w:tabs>
          <w:tab w:val="num" w:pos="709"/>
        </w:tabs>
        <w:rPr>
          <w:szCs w:val="22"/>
        </w:rPr>
      </w:pPr>
      <w:r w:rsidRPr="006B0DE9">
        <w:rPr>
          <w:szCs w:val="22"/>
        </w:rPr>
        <w:t>ESTRATEGIAS DE EJECUCIÓN</w:t>
      </w:r>
    </w:p>
    <w:p w:rsidR="005E581D" w:rsidRPr="006B0DE9" w:rsidRDefault="005E581D" w:rsidP="005E581D">
      <w:pPr>
        <w:widowControl w:val="0"/>
        <w:tabs>
          <w:tab w:val="num" w:pos="709"/>
        </w:tabs>
        <w:rPr>
          <w:bCs/>
          <w:sz w:val="20"/>
        </w:rPr>
      </w:pPr>
    </w:p>
    <w:p w:rsidR="005E581D" w:rsidRPr="006B0DE9" w:rsidRDefault="00281871" w:rsidP="00BA276E">
      <w:pPr>
        <w:widowControl w:val="0"/>
        <w:numPr>
          <w:ilvl w:val="0"/>
          <w:numId w:val="28"/>
        </w:numPr>
        <w:jc w:val="both"/>
        <w:rPr>
          <w:rFonts w:eastAsia="Batang"/>
          <w:color w:val="000000"/>
          <w:sz w:val="20"/>
          <w:lang w:eastAsia="ko-KR" w:bidi="ta-IN"/>
        </w:rPr>
      </w:pPr>
      <w:r>
        <w:rPr>
          <w:rFonts w:eastAsia="Batang"/>
          <w:color w:val="000000"/>
          <w:sz w:val="20"/>
          <w:lang w:eastAsia="ko-KR" w:bidi="ta-IN"/>
        </w:rPr>
        <w:t>A la luz de lo ante</w:t>
      </w:r>
      <w:r w:rsidR="005E581D" w:rsidRPr="006B0DE9">
        <w:rPr>
          <w:rFonts w:eastAsia="Batang"/>
          <w:color w:val="000000"/>
          <w:sz w:val="20"/>
          <w:lang w:eastAsia="ko-KR" w:bidi="ta-IN"/>
        </w:rPr>
        <w:t>dicho, el Centro de Arbitraje y Mediación de la OMPI pondrá en práctica las siguientes estrategias:</w:t>
      </w:r>
    </w:p>
    <w:p w:rsidR="005E581D" w:rsidRPr="006B0DE9" w:rsidRDefault="005E581D" w:rsidP="005E581D">
      <w:pPr>
        <w:widowControl w:val="0"/>
        <w:autoSpaceDE w:val="0"/>
        <w:autoSpaceDN w:val="0"/>
        <w:adjustRightInd w:val="0"/>
        <w:jc w:val="both"/>
        <w:rPr>
          <w:rFonts w:eastAsia="Batang"/>
          <w:color w:val="000000"/>
          <w:sz w:val="20"/>
          <w:lang w:eastAsia="ko-KR" w:bidi="ta-IN"/>
        </w:rPr>
      </w:pPr>
    </w:p>
    <w:p w:rsidR="005E581D" w:rsidRPr="006B0DE9" w:rsidRDefault="005E581D" w:rsidP="00BA276E">
      <w:pPr>
        <w:widowControl w:val="0"/>
        <w:numPr>
          <w:ilvl w:val="0"/>
          <w:numId w:val="29"/>
        </w:numPr>
        <w:tabs>
          <w:tab w:val="left" w:pos="1134"/>
        </w:tabs>
        <w:spacing w:after="120"/>
        <w:ind w:left="567" w:firstLine="0"/>
        <w:jc w:val="both"/>
        <w:rPr>
          <w:rFonts w:eastAsia="Batang"/>
          <w:color w:val="000000"/>
          <w:sz w:val="20"/>
          <w:lang w:eastAsia="ko-KR" w:bidi="ta-IN"/>
        </w:rPr>
      </w:pPr>
      <w:r w:rsidRPr="006B0DE9">
        <w:rPr>
          <w:rFonts w:eastAsia="Batang"/>
          <w:color w:val="000000"/>
          <w:sz w:val="20"/>
          <w:lang w:eastAsia="ko-KR" w:bidi="ta-IN"/>
        </w:rPr>
        <w:t xml:space="preserve">Mejorar la sensibilización de las partes interesadas en relación con las opciones </w:t>
      </w:r>
      <w:r w:rsidRPr="00677A69">
        <w:rPr>
          <w:sz w:val="20"/>
        </w:rPr>
        <w:t>disponibles</w:t>
      </w:r>
      <w:r w:rsidRPr="006B0DE9">
        <w:rPr>
          <w:rFonts w:eastAsia="Batang"/>
          <w:color w:val="000000"/>
          <w:sz w:val="20"/>
          <w:lang w:eastAsia="ko-KR" w:bidi="ta-IN"/>
        </w:rPr>
        <w:t xml:space="preserve"> en lo que respecta a la solución</w:t>
      </w:r>
      <w:r w:rsidR="008921D7">
        <w:rPr>
          <w:rFonts w:eastAsia="Batang"/>
          <w:color w:val="000000"/>
          <w:sz w:val="20"/>
          <w:lang w:eastAsia="ko-KR" w:bidi="ta-IN"/>
        </w:rPr>
        <w:t xml:space="preserve"> extrajudicial</w:t>
      </w:r>
      <w:r w:rsidRPr="006B0DE9">
        <w:rPr>
          <w:rFonts w:eastAsia="Batang"/>
          <w:color w:val="000000"/>
          <w:sz w:val="20"/>
          <w:lang w:eastAsia="ko-KR" w:bidi="ta-IN"/>
        </w:rPr>
        <w:t xml:space="preserve"> de controversias en materia de P.I.  El programa cooperará con otros programas, entre ellos el programa 1 (</w:t>
      </w:r>
      <w:r w:rsidRPr="006B0DE9">
        <w:rPr>
          <w:iCs/>
          <w:sz w:val="20"/>
        </w:rPr>
        <w:t>Derecho de patentes</w:t>
      </w:r>
      <w:r w:rsidRPr="006B0DE9">
        <w:rPr>
          <w:rFonts w:eastAsia="Batang"/>
          <w:color w:val="000000"/>
          <w:sz w:val="20"/>
          <w:lang w:eastAsia="ko-KR" w:bidi="ta-IN"/>
        </w:rPr>
        <w:t>), el programa 3 (Derecho de autor y derechos conexos), el programa 4 (Conocimientos tradicionales, expresiones culturales tradicionales y recursos genéticos), el programa 5 (Sistema del PCT), el programa 6 (Sistemas de Madrid y de Lisboa), el programa 9 (Países africanos, árabes, de América Latina y el Caribe, de Asia y el Pacífico y países menos adelantados), el programa 10 (Cooperación con determinados países de Europa y Asia), el programa 11 (</w:t>
      </w:r>
      <w:r w:rsidR="00FE42C5">
        <w:rPr>
          <w:rFonts w:eastAsia="Batang"/>
          <w:color w:val="000000"/>
          <w:sz w:val="20"/>
          <w:lang w:eastAsia="ko-KR" w:bidi="ta-IN"/>
        </w:rPr>
        <w:t>Academia</w:t>
      </w:r>
      <w:r w:rsidRPr="006B0DE9">
        <w:rPr>
          <w:rFonts w:eastAsia="Batang"/>
          <w:bCs/>
          <w:iCs/>
          <w:color w:val="000000"/>
          <w:sz w:val="20"/>
          <w:lang w:eastAsia="ko-KR" w:bidi="ta-IN"/>
        </w:rPr>
        <w:t xml:space="preserve"> de la OMPI</w:t>
      </w:r>
      <w:r w:rsidRPr="006B0DE9">
        <w:rPr>
          <w:rFonts w:eastAsia="Batang"/>
          <w:color w:val="000000"/>
          <w:sz w:val="20"/>
          <w:lang w:eastAsia="ko-KR" w:bidi="ta-IN"/>
        </w:rPr>
        <w:t>), el programa 19 (</w:t>
      </w:r>
      <w:r w:rsidRPr="006B0DE9">
        <w:rPr>
          <w:rFonts w:eastAsia="Batang"/>
          <w:iCs/>
          <w:color w:val="000000"/>
          <w:sz w:val="20"/>
          <w:lang w:eastAsia="ko-KR" w:bidi="ta-IN"/>
        </w:rPr>
        <w:t>Comunicaciones</w:t>
      </w:r>
      <w:r w:rsidRPr="006B0DE9">
        <w:rPr>
          <w:rFonts w:eastAsia="Batang"/>
          <w:color w:val="000000"/>
          <w:sz w:val="20"/>
          <w:lang w:eastAsia="ko-KR" w:bidi="ta-IN"/>
        </w:rPr>
        <w:t>), el programa 20 (</w:t>
      </w:r>
      <w:r w:rsidRPr="006B0DE9">
        <w:rPr>
          <w:iCs/>
          <w:sz w:val="20"/>
        </w:rPr>
        <w:t>Relaciones exteriores, alianzas y oficinas en el exterior</w:t>
      </w:r>
      <w:r w:rsidRPr="006B0DE9">
        <w:rPr>
          <w:rFonts w:eastAsia="Batang"/>
          <w:color w:val="000000"/>
          <w:sz w:val="20"/>
          <w:lang w:eastAsia="ko-KR" w:bidi="ta-IN"/>
        </w:rPr>
        <w:t>), y el programa 27 (</w:t>
      </w:r>
      <w:r w:rsidRPr="006B0DE9">
        <w:rPr>
          <w:rFonts w:eastAsia="Batang"/>
          <w:iCs/>
          <w:color w:val="000000"/>
          <w:sz w:val="20"/>
          <w:lang w:eastAsia="ko-KR" w:bidi="ta-IN"/>
        </w:rPr>
        <w:t>Servicios de conferencias y lingüísticos</w:t>
      </w:r>
      <w:r w:rsidRPr="006B0DE9">
        <w:rPr>
          <w:rFonts w:eastAsia="Batang"/>
          <w:color w:val="000000"/>
          <w:sz w:val="20"/>
          <w:lang w:eastAsia="ko-KR" w:bidi="ta-IN"/>
        </w:rPr>
        <w:t>).</w:t>
      </w:r>
    </w:p>
    <w:p w:rsidR="005E581D" w:rsidRPr="006B0DE9" w:rsidRDefault="005E581D" w:rsidP="005E581D">
      <w:pPr>
        <w:widowControl w:val="0"/>
        <w:tabs>
          <w:tab w:val="num" w:pos="540"/>
        </w:tabs>
        <w:autoSpaceDE w:val="0"/>
        <w:autoSpaceDN w:val="0"/>
        <w:adjustRightInd w:val="0"/>
        <w:ind w:left="540" w:hanging="540"/>
        <w:jc w:val="both"/>
        <w:rPr>
          <w:rFonts w:eastAsia="Batang"/>
          <w:color w:val="000000"/>
          <w:sz w:val="20"/>
          <w:lang w:eastAsia="ko-KR" w:bidi="ta-IN"/>
        </w:rPr>
      </w:pPr>
    </w:p>
    <w:p w:rsidR="005E581D" w:rsidRPr="006B0DE9" w:rsidRDefault="005E581D" w:rsidP="00BA276E">
      <w:pPr>
        <w:widowControl w:val="0"/>
        <w:numPr>
          <w:ilvl w:val="0"/>
          <w:numId w:val="29"/>
        </w:numPr>
        <w:tabs>
          <w:tab w:val="left" w:pos="1134"/>
        </w:tabs>
        <w:spacing w:after="120"/>
        <w:ind w:left="567" w:firstLine="0"/>
        <w:jc w:val="both"/>
        <w:rPr>
          <w:rFonts w:eastAsia="Batang"/>
          <w:color w:val="000000"/>
          <w:sz w:val="20"/>
          <w:lang w:eastAsia="ko-KR" w:bidi="ta-IN"/>
        </w:rPr>
      </w:pPr>
      <w:r w:rsidRPr="006B0DE9">
        <w:rPr>
          <w:rFonts w:eastAsia="Batang"/>
          <w:color w:val="000000"/>
          <w:sz w:val="20"/>
          <w:lang w:eastAsia="ko-KR" w:bidi="ta-IN"/>
        </w:rPr>
        <w:t xml:space="preserve">Fomentar el interés en los servicios de solución de controversias que presta el </w:t>
      </w:r>
      <w:r w:rsidRPr="006B0DE9">
        <w:rPr>
          <w:rFonts w:eastAsia="Batang"/>
          <w:sz w:val="20"/>
          <w:lang w:eastAsia="ko-KR" w:bidi="ta-IN"/>
        </w:rPr>
        <w:t>Centro de Arbitraje y Mediación de la OMPI, adaptando sus procedimientos y la infraestructura de tramitación de las demandas a las necesidades de los usuarios, en constante evolución, entre otras cosas por medio de soluciones en las que se utilicen las T.I.</w:t>
      </w:r>
    </w:p>
    <w:p w:rsidR="005E581D" w:rsidRPr="006B0DE9" w:rsidRDefault="005E581D" w:rsidP="005E581D">
      <w:pPr>
        <w:widowControl w:val="0"/>
        <w:autoSpaceDE w:val="0"/>
        <w:autoSpaceDN w:val="0"/>
        <w:adjustRightInd w:val="0"/>
        <w:jc w:val="both"/>
        <w:rPr>
          <w:rFonts w:eastAsia="Batang"/>
          <w:color w:val="000000"/>
          <w:sz w:val="20"/>
          <w:lang w:eastAsia="ko-KR" w:bidi="ta-IN"/>
        </w:rPr>
      </w:pPr>
    </w:p>
    <w:p w:rsidR="005E581D" w:rsidRPr="006B0DE9" w:rsidRDefault="005E581D" w:rsidP="00BA276E">
      <w:pPr>
        <w:widowControl w:val="0"/>
        <w:numPr>
          <w:ilvl w:val="0"/>
          <w:numId w:val="29"/>
        </w:numPr>
        <w:tabs>
          <w:tab w:val="left" w:pos="1134"/>
        </w:tabs>
        <w:spacing w:after="120"/>
        <w:ind w:left="567" w:firstLine="0"/>
        <w:jc w:val="both"/>
        <w:rPr>
          <w:rFonts w:eastAsia="Batang"/>
          <w:color w:val="000000"/>
          <w:sz w:val="20"/>
          <w:lang w:eastAsia="ko-KR" w:bidi="ta-IN"/>
        </w:rPr>
      </w:pPr>
      <w:r w:rsidRPr="006B0DE9">
        <w:rPr>
          <w:rFonts w:eastAsia="Batang"/>
          <w:color w:val="000000"/>
          <w:sz w:val="20"/>
          <w:lang w:eastAsia="ko-KR" w:bidi="ta-IN"/>
        </w:rPr>
        <w:t xml:space="preserve">Colaborar con los titulares de activos, los usuarios, las oficinas y demás entidades de P.I. para </w:t>
      </w:r>
      <w:r w:rsidRPr="00677A69">
        <w:rPr>
          <w:rFonts w:eastAsia="Batang"/>
          <w:sz w:val="20"/>
          <w:lang w:eastAsia="ko-KR" w:bidi="ta-IN"/>
        </w:rPr>
        <w:t>establecer</w:t>
      </w:r>
      <w:r w:rsidRPr="006B0DE9">
        <w:rPr>
          <w:rFonts w:eastAsia="Batang"/>
          <w:color w:val="000000"/>
          <w:sz w:val="20"/>
          <w:lang w:eastAsia="ko-KR" w:bidi="ta-IN"/>
        </w:rPr>
        <w:t xml:space="preserve"> procedimientos específicamente adaptados a las características particulares de las controversias que se plantean con frecuencia en los respectivos ámbitos de actividad.  En el marco de este programa se cooperará con otros, por ejemplo, el programa 1 (Derecho de patentes), el programa 2 (Marcas, </w:t>
      </w:r>
      <w:r>
        <w:rPr>
          <w:rFonts w:eastAsia="Batang"/>
          <w:color w:val="000000"/>
          <w:sz w:val="20"/>
          <w:lang w:eastAsia="ko-KR" w:bidi="ta-IN"/>
        </w:rPr>
        <w:t>diseños</w:t>
      </w:r>
      <w:r w:rsidRPr="006B0DE9">
        <w:rPr>
          <w:rFonts w:eastAsia="Batang"/>
          <w:color w:val="000000"/>
          <w:sz w:val="20"/>
          <w:lang w:eastAsia="ko-KR" w:bidi="ta-IN"/>
        </w:rPr>
        <w:t xml:space="preserve"> industriales e indicaciones geográficas), el programa 3 (Derecho de autor y derechos conexos), el programa 4 (Conocimientos tradicionales, expresiones culturales tradicionales y recursos genéticos), el programa 6 (Sistemas de Madrid y de Lisboa), el programa 17 (</w:t>
      </w:r>
      <w:r w:rsidR="00990B95">
        <w:rPr>
          <w:rFonts w:eastAsia="Batang"/>
          <w:color w:val="000000"/>
          <w:sz w:val="20"/>
          <w:lang w:eastAsia="ko-KR" w:bidi="ta-IN"/>
        </w:rPr>
        <w:t xml:space="preserve">Cultivar </w:t>
      </w:r>
      <w:r w:rsidR="000D7DB1">
        <w:rPr>
          <w:rFonts w:eastAsia="Batang"/>
          <w:color w:val="000000"/>
          <w:sz w:val="20"/>
          <w:lang w:eastAsia="ko-KR" w:bidi="ta-IN"/>
        </w:rPr>
        <w:t>el respeto por la P.I.</w:t>
      </w:r>
      <w:r w:rsidRPr="006B0DE9">
        <w:rPr>
          <w:rFonts w:eastAsia="Batang"/>
          <w:color w:val="000000"/>
          <w:sz w:val="20"/>
          <w:lang w:eastAsia="ko-KR" w:bidi="ta-IN"/>
        </w:rPr>
        <w:t>), el programa 18 (La P.I. y los desafíos mundiales), y el programa 31 (Sistema de La Haya).</w:t>
      </w:r>
    </w:p>
    <w:p w:rsidR="005E581D" w:rsidRPr="006B0DE9" w:rsidRDefault="005E581D" w:rsidP="005E581D">
      <w:pPr>
        <w:widowControl w:val="0"/>
        <w:tabs>
          <w:tab w:val="num" w:pos="709"/>
        </w:tabs>
        <w:jc w:val="both"/>
        <w:rPr>
          <w:bCs/>
          <w:sz w:val="20"/>
        </w:rPr>
      </w:pPr>
    </w:p>
    <w:p w:rsidR="008F058B" w:rsidRDefault="008F058B" w:rsidP="008F058B">
      <w:pPr>
        <w:widowControl w:val="0"/>
        <w:rPr>
          <w:szCs w:val="22"/>
        </w:rPr>
      </w:pPr>
    </w:p>
    <w:p w:rsidR="0063482E" w:rsidRPr="00C75C7E" w:rsidRDefault="0063482E" w:rsidP="008F058B">
      <w:pPr>
        <w:widowControl w:val="0"/>
        <w:rPr>
          <w:szCs w:val="22"/>
        </w:rPr>
      </w:pPr>
      <w:r w:rsidRPr="00C75C7E">
        <w:rPr>
          <w:szCs w:val="22"/>
        </w:rPr>
        <w:t>PRINCIPALES RIESGOS Y ESTRATEGIAS DE MITIGACIÓN</w:t>
      </w:r>
    </w:p>
    <w:p w:rsidR="0063482E" w:rsidRPr="00C75C7E" w:rsidRDefault="0063482E" w:rsidP="008F058B">
      <w:pPr>
        <w:widowControl w:val="0"/>
        <w:tabs>
          <w:tab w:val="num" w:pos="709"/>
        </w:tabs>
        <w:rPr>
          <w:szCs w:val="22"/>
        </w:rPr>
      </w:pPr>
    </w:p>
    <w:tbl>
      <w:tblPr>
        <w:tblW w:w="9529"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6"/>
        <w:gridCol w:w="4993"/>
      </w:tblGrid>
      <w:tr w:rsidR="0063482E" w:rsidRPr="00C75C7E" w:rsidTr="00962ADA">
        <w:trPr>
          <w:trHeight w:val="479"/>
        </w:trPr>
        <w:tc>
          <w:tcPr>
            <w:tcW w:w="4536" w:type="dxa"/>
            <w:tcBorders>
              <w:top w:val="single" w:sz="4" w:space="0" w:color="auto"/>
              <w:bottom w:val="single" w:sz="4" w:space="0" w:color="auto"/>
            </w:tcBorders>
            <w:shd w:val="clear" w:color="auto" w:fill="CCFFFF"/>
            <w:vAlign w:val="center"/>
          </w:tcPr>
          <w:p w:rsidR="0063482E" w:rsidRPr="00C75C7E" w:rsidRDefault="0063482E" w:rsidP="00EF3DB5">
            <w:pPr>
              <w:widowControl w:val="0"/>
              <w:autoSpaceDE w:val="0"/>
              <w:autoSpaceDN w:val="0"/>
              <w:adjustRightInd w:val="0"/>
              <w:ind w:right="-59"/>
              <w:jc w:val="center"/>
              <w:rPr>
                <w:b/>
                <w:bCs/>
                <w:iCs/>
                <w:sz w:val="18"/>
                <w:szCs w:val="18"/>
              </w:rPr>
            </w:pPr>
            <w:r w:rsidRPr="00C75C7E">
              <w:rPr>
                <w:b/>
                <w:bCs/>
                <w:iCs/>
                <w:sz w:val="18"/>
                <w:szCs w:val="18"/>
              </w:rPr>
              <w:t>Riesgos en el logro de los resultados del programa</w:t>
            </w:r>
          </w:p>
        </w:tc>
        <w:tc>
          <w:tcPr>
            <w:tcW w:w="4993" w:type="dxa"/>
            <w:tcBorders>
              <w:top w:val="single" w:sz="4" w:space="0" w:color="auto"/>
              <w:bottom w:val="single" w:sz="4" w:space="0" w:color="auto"/>
            </w:tcBorders>
            <w:shd w:val="clear" w:color="auto" w:fill="CCFFFF"/>
            <w:vAlign w:val="center"/>
          </w:tcPr>
          <w:p w:rsidR="0063482E" w:rsidRPr="00C75C7E" w:rsidRDefault="0063482E" w:rsidP="00962ADA">
            <w:pPr>
              <w:widowControl w:val="0"/>
              <w:autoSpaceDE w:val="0"/>
              <w:autoSpaceDN w:val="0"/>
              <w:adjustRightInd w:val="0"/>
              <w:ind w:right="-59"/>
              <w:rPr>
                <w:b/>
                <w:bCs/>
                <w:iCs/>
                <w:sz w:val="18"/>
                <w:szCs w:val="18"/>
              </w:rPr>
            </w:pPr>
            <w:r w:rsidRPr="00C75C7E">
              <w:rPr>
                <w:b/>
                <w:bCs/>
                <w:iCs/>
                <w:sz w:val="18"/>
                <w:szCs w:val="18"/>
              </w:rPr>
              <w:t xml:space="preserve">Planes de mitigación ejecutados o en ejecución </w:t>
            </w:r>
          </w:p>
        </w:tc>
      </w:tr>
      <w:tr w:rsidR="0063482E" w:rsidRPr="00C75C7E" w:rsidTr="00962ADA">
        <w:trPr>
          <w:trHeight w:val="1564"/>
        </w:trPr>
        <w:tc>
          <w:tcPr>
            <w:tcW w:w="4536" w:type="dxa"/>
            <w:tcBorders>
              <w:top w:val="single" w:sz="4" w:space="0" w:color="auto"/>
            </w:tcBorders>
            <w:shd w:val="clear" w:color="auto" w:fill="auto"/>
            <w:tcMar>
              <w:top w:w="113" w:type="dxa"/>
              <w:bottom w:w="113" w:type="dxa"/>
            </w:tcMar>
          </w:tcPr>
          <w:p w:rsidR="0063482E" w:rsidRPr="00C75C7E" w:rsidRDefault="0063482E" w:rsidP="00EF3DB5">
            <w:pPr>
              <w:widowControl w:val="0"/>
              <w:rPr>
                <w:sz w:val="16"/>
                <w:szCs w:val="16"/>
              </w:rPr>
            </w:pPr>
            <w:r w:rsidRPr="00C75C7E">
              <w:rPr>
                <w:rFonts w:cs="ArialMT"/>
                <w:iCs/>
                <w:sz w:val="16"/>
                <w:szCs w:val="16"/>
              </w:rPr>
              <w:t>Las variaciones en los recursos en comparación con otros proveedores de servicios de solución extrajudicial de controversias afectan al reconocimiento en el mercado de los servicios de arbitraje y mediación que ofrece la OMPI.</w:t>
            </w:r>
          </w:p>
        </w:tc>
        <w:tc>
          <w:tcPr>
            <w:tcW w:w="4993" w:type="dxa"/>
            <w:tcBorders>
              <w:top w:val="single" w:sz="4" w:space="0" w:color="auto"/>
            </w:tcBorders>
            <w:shd w:val="clear" w:color="auto" w:fill="auto"/>
            <w:tcMar>
              <w:top w:w="113" w:type="dxa"/>
              <w:bottom w:w="113" w:type="dxa"/>
            </w:tcMar>
          </w:tcPr>
          <w:p w:rsidR="0063482E" w:rsidRPr="00C75C7E" w:rsidRDefault="0063482E" w:rsidP="00EF3DB5">
            <w:pPr>
              <w:widowControl w:val="0"/>
              <w:autoSpaceDE w:val="0"/>
              <w:autoSpaceDN w:val="0"/>
              <w:adjustRightInd w:val="0"/>
              <w:ind w:right="-59"/>
              <w:rPr>
                <w:sz w:val="16"/>
                <w:szCs w:val="16"/>
              </w:rPr>
            </w:pPr>
            <w:r w:rsidRPr="00C75C7E">
              <w:rPr>
                <w:iCs/>
                <w:sz w:val="16"/>
                <w:szCs w:val="16"/>
              </w:rPr>
              <w:t>La OMPI seguirá sirviéndose de la posición del Centro de Arbitraje y Mediación como principal especialista en la mediación, el arbitraje y otros procedimientos de solución extrajudicial de controversias en materia de P.I. estrechando la colaboración con otras instancias, por ejemplo, cooperando con más regularidad con asociaciones de P.I. y cuestiones conexas, maximizando la utilización del Centro en Singapur  para fomentar la actividad regional e intensificando la colaboración con otras secciones de la OMPI.  Además, el riesgo podría mitigarse fomentando la participación de los árbitros y mediadores de la OMPI en distintos foros y la investigación de nuevas prácticas y expectativas de los usuarios.</w:t>
            </w:r>
          </w:p>
        </w:tc>
      </w:tr>
      <w:tr w:rsidR="0063482E" w:rsidRPr="00C75C7E" w:rsidTr="00962ADA">
        <w:trPr>
          <w:trHeight w:val="468"/>
        </w:trPr>
        <w:tc>
          <w:tcPr>
            <w:tcW w:w="4536" w:type="dxa"/>
            <w:shd w:val="clear" w:color="auto" w:fill="auto"/>
            <w:tcMar>
              <w:top w:w="113" w:type="dxa"/>
              <w:bottom w:w="113" w:type="dxa"/>
            </w:tcMar>
          </w:tcPr>
          <w:p w:rsidR="0063482E" w:rsidRPr="00C75C7E" w:rsidRDefault="0063482E" w:rsidP="00EF3DB5">
            <w:pPr>
              <w:widowControl w:val="0"/>
              <w:rPr>
                <w:rFonts w:cs="ArialMT"/>
                <w:iCs/>
                <w:sz w:val="16"/>
                <w:szCs w:val="16"/>
              </w:rPr>
            </w:pPr>
            <w:r w:rsidRPr="00C75C7E">
              <w:rPr>
                <w:iCs/>
                <w:sz w:val="16"/>
                <w:szCs w:val="16"/>
              </w:rPr>
              <w:t>La fragmentación y competencia existentes en el sistema de nombres de dominio y los procesos de elaboración de políticas de la ICANN van en detrimento de la centralización normativa (incluida la Política Uniforme de Solución de Controversias en materia de Nombres de Dominio) y de la primacía del Centro;  la ampliación del sistema de nombres de dominio y el aumento de la utilización de servicios de solución extrajudicial de controversias en el ámbito de los nombres de dominio ponen en cuestión las funciones del Centro en materia de administración de procedimientos y de elaboración de políticas.</w:t>
            </w:r>
          </w:p>
        </w:tc>
        <w:tc>
          <w:tcPr>
            <w:tcW w:w="4993" w:type="dxa"/>
            <w:shd w:val="clear" w:color="auto" w:fill="auto"/>
            <w:tcMar>
              <w:top w:w="113" w:type="dxa"/>
              <w:bottom w:w="113" w:type="dxa"/>
            </w:tcMar>
          </w:tcPr>
          <w:p w:rsidR="0063482E" w:rsidRPr="00C75C7E" w:rsidRDefault="0063482E" w:rsidP="00EF3DB5">
            <w:pPr>
              <w:widowControl w:val="0"/>
              <w:autoSpaceDE w:val="0"/>
              <w:autoSpaceDN w:val="0"/>
              <w:adjustRightInd w:val="0"/>
              <w:ind w:right="-59"/>
              <w:rPr>
                <w:iCs/>
                <w:sz w:val="16"/>
                <w:szCs w:val="16"/>
              </w:rPr>
            </w:pPr>
            <w:r w:rsidRPr="00C75C7E">
              <w:rPr>
                <w:iCs/>
                <w:sz w:val="16"/>
                <w:szCs w:val="16"/>
              </w:rPr>
              <w:t xml:space="preserve">Priorizar los recursos para la administración de procedimientos y </w:t>
            </w:r>
            <w:proofErr w:type="spellStart"/>
            <w:r w:rsidRPr="00C75C7E">
              <w:rPr>
                <w:iCs/>
                <w:sz w:val="16"/>
                <w:szCs w:val="16"/>
              </w:rPr>
              <w:t>y</w:t>
            </w:r>
            <w:proofErr w:type="spellEnd"/>
            <w:r w:rsidRPr="00C75C7E">
              <w:rPr>
                <w:iCs/>
                <w:sz w:val="16"/>
                <w:szCs w:val="16"/>
              </w:rPr>
              <w:t xml:space="preserve"> la elaboración de políticas para encontrar un equilibrio entre “permanecer en el mercado” y aportar un valor específico de la OMPI.</w:t>
            </w:r>
          </w:p>
          <w:p w:rsidR="0063482E" w:rsidRPr="00C75C7E" w:rsidRDefault="0063482E" w:rsidP="00EF3DB5">
            <w:pPr>
              <w:widowControl w:val="0"/>
              <w:autoSpaceDE w:val="0"/>
              <w:autoSpaceDN w:val="0"/>
              <w:adjustRightInd w:val="0"/>
              <w:ind w:right="-59"/>
              <w:rPr>
                <w:iCs/>
                <w:sz w:val="16"/>
                <w:szCs w:val="16"/>
              </w:rPr>
            </w:pPr>
          </w:p>
        </w:tc>
      </w:tr>
    </w:tbl>
    <w:p w:rsidR="0063482E" w:rsidRDefault="0063482E" w:rsidP="0063482E">
      <w:pPr>
        <w:widowControl w:val="0"/>
        <w:tabs>
          <w:tab w:val="left" w:pos="567"/>
          <w:tab w:val="left" w:pos="1985"/>
        </w:tabs>
        <w:jc w:val="both"/>
        <w:rPr>
          <w:bCs/>
          <w:sz w:val="20"/>
        </w:rPr>
      </w:pPr>
    </w:p>
    <w:p w:rsidR="00FC6442" w:rsidRPr="00C75C7E" w:rsidRDefault="00FC6442" w:rsidP="00962ADA">
      <w:pPr>
        <w:keepNext/>
        <w:keepLines/>
        <w:widowControl w:val="0"/>
        <w:tabs>
          <w:tab w:val="left" w:pos="567"/>
          <w:tab w:val="left" w:pos="1985"/>
        </w:tabs>
        <w:jc w:val="both"/>
        <w:rPr>
          <w:bCs/>
          <w:sz w:val="20"/>
        </w:rPr>
      </w:pPr>
    </w:p>
    <w:p w:rsidR="0063482E" w:rsidRPr="00C75C7E" w:rsidRDefault="0063482E" w:rsidP="00962ADA">
      <w:pPr>
        <w:keepNext/>
        <w:keepLines/>
        <w:widowControl w:val="0"/>
        <w:tabs>
          <w:tab w:val="left" w:pos="567"/>
          <w:tab w:val="left" w:pos="1985"/>
        </w:tabs>
        <w:jc w:val="both"/>
        <w:rPr>
          <w:bCs/>
          <w:sz w:val="20"/>
          <w:lang w:val="es-ES_tradnl"/>
        </w:rPr>
      </w:pPr>
      <w:r w:rsidRPr="00C75C7E">
        <w:rPr>
          <w:bCs/>
          <w:szCs w:val="22"/>
          <w:lang w:val="es-ES_tradnl"/>
        </w:rPr>
        <w:t>MARCO DE RESULTADOS</w:t>
      </w:r>
    </w:p>
    <w:p w:rsidR="0063482E" w:rsidRPr="00C75C7E" w:rsidRDefault="0063482E" w:rsidP="00962ADA">
      <w:pPr>
        <w:keepNext/>
        <w:keepLines/>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49"/>
        <w:gridCol w:w="2848"/>
        <w:gridCol w:w="2175"/>
        <w:gridCol w:w="2034"/>
      </w:tblGrid>
      <w:tr w:rsidR="0063482E" w:rsidRPr="00C75C7E" w:rsidTr="00EF3DB5">
        <w:trPr>
          <w:cantSplit/>
          <w:trHeight w:val="461"/>
          <w:tblHeader/>
        </w:trPr>
        <w:tc>
          <w:tcPr>
            <w:tcW w:w="1249" w:type="pct"/>
            <w:tcBorders>
              <w:top w:val="single" w:sz="4" w:space="0" w:color="auto"/>
              <w:left w:val="single" w:sz="4" w:space="0" w:color="auto"/>
              <w:bottom w:val="single" w:sz="4" w:space="0" w:color="auto"/>
            </w:tcBorders>
            <w:shd w:val="clear" w:color="auto" w:fill="CCFFFF"/>
            <w:vAlign w:val="center"/>
          </w:tcPr>
          <w:p w:rsidR="0063482E" w:rsidRPr="00C75C7E" w:rsidRDefault="0063482E" w:rsidP="00EF3DB5">
            <w:pPr>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0" w:type="dxa"/>
            </w:tcMar>
            <w:vAlign w:val="center"/>
          </w:tcPr>
          <w:p w:rsidR="0063482E" w:rsidRPr="00C75C7E" w:rsidRDefault="0063482E" w:rsidP="00EF3DB5">
            <w:pPr>
              <w:widowControl w:val="0"/>
              <w:spacing w:after="120"/>
              <w:jc w:val="center"/>
              <w:rPr>
                <w:b/>
                <w:sz w:val="18"/>
                <w:szCs w:val="18"/>
                <w:lang w:val="es-ES_tradnl"/>
              </w:rPr>
            </w:pPr>
            <w:r w:rsidRPr="00C75C7E">
              <w:rPr>
                <w:b/>
                <w:sz w:val="18"/>
                <w:szCs w:val="18"/>
                <w:lang w:val="es-ES_tradnl"/>
              </w:rPr>
              <w:t>Indicadores de rendimiento</w:t>
            </w:r>
          </w:p>
        </w:tc>
        <w:tc>
          <w:tcPr>
            <w:tcW w:w="1156" w:type="pct"/>
            <w:tcBorders>
              <w:top w:val="single" w:sz="4" w:space="0" w:color="auto"/>
              <w:bottom w:val="single" w:sz="4" w:space="0" w:color="auto"/>
            </w:tcBorders>
            <w:shd w:val="clear" w:color="auto" w:fill="CCFFFF"/>
            <w:tcMar>
              <w:top w:w="110" w:type="dxa"/>
            </w:tcMar>
            <w:vAlign w:val="center"/>
          </w:tcPr>
          <w:p w:rsidR="0063482E" w:rsidRPr="00C75C7E" w:rsidRDefault="0063482E" w:rsidP="00EF3DB5">
            <w:pPr>
              <w:widowControl w:val="0"/>
              <w:spacing w:after="120"/>
              <w:ind w:left="85"/>
              <w:jc w:val="center"/>
              <w:rPr>
                <w:sz w:val="18"/>
                <w:szCs w:val="18"/>
                <w:lang w:val="es-ES_tradnl"/>
              </w:rPr>
            </w:pPr>
            <w:r w:rsidRPr="00C75C7E">
              <w:rPr>
                <w:b/>
                <w:bCs/>
                <w:sz w:val="18"/>
                <w:szCs w:val="18"/>
                <w:lang w:val="es-ES_tradnl"/>
              </w:rPr>
              <w:t>Referencia</w:t>
            </w:r>
          </w:p>
        </w:tc>
        <w:tc>
          <w:tcPr>
            <w:tcW w:w="1081" w:type="pct"/>
            <w:tcBorders>
              <w:top w:val="single" w:sz="4" w:space="0" w:color="auto"/>
              <w:bottom w:val="single" w:sz="4" w:space="0" w:color="auto"/>
              <w:right w:val="single" w:sz="4" w:space="0" w:color="auto"/>
            </w:tcBorders>
            <w:shd w:val="clear" w:color="auto" w:fill="CCFFFF"/>
            <w:tcMar>
              <w:top w:w="110" w:type="dxa"/>
            </w:tcMar>
            <w:vAlign w:val="center"/>
          </w:tcPr>
          <w:p w:rsidR="0063482E" w:rsidRPr="00C75C7E" w:rsidRDefault="0063482E" w:rsidP="00EF3DB5">
            <w:pPr>
              <w:widowControl w:val="0"/>
              <w:tabs>
                <w:tab w:val="left" w:pos="1868"/>
              </w:tabs>
              <w:spacing w:after="120"/>
              <w:ind w:right="51"/>
              <w:jc w:val="center"/>
              <w:rPr>
                <w:b/>
                <w:bCs/>
                <w:sz w:val="18"/>
                <w:szCs w:val="18"/>
                <w:lang w:val="es-ES_tradnl"/>
              </w:rPr>
            </w:pPr>
            <w:r w:rsidRPr="00C75C7E">
              <w:rPr>
                <w:b/>
                <w:bCs/>
                <w:sz w:val="18"/>
                <w:szCs w:val="18"/>
                <w:lang w:val="es-ES_tradnl"/>
              </w:rPr>
              <w:t>Objetivos</w:t>
            </w:r>
          </w:p>
        </w:tc>
      </w:tr>
      <w:tr w:rsidR="0063482E" w:rsidRPr="00C75C7E" w:rsidTr="00EF3DB5">
        <w:trPr>
          <w:cantSplit/>
        </w:trPr>
        <w:tc>
          <w:tcPr>
            <w:tcW w:w="1249" w:type="pct"/>
            <w:vMerge w:val="restart"/>
            <w:tcBorders>
              <w:top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II.8. Las controversias nacionales e internacionales en materia de P.I. se evitan o resuelven cada vez con más frecuencia mediante procedimientos de mediación, arbitraje y demás métodos de solución extrajudicial de controversias.</w:t>
            </w:r>
          </w:p>
        </w:tc>
        <w:tc>
          <w:tcPr>
            <w:tcW w:w="1514" w:type="pct"/>
            <w:tcBorders>
              <w:top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Se considera cada vez más la posibilidad de utilizar servicios de solución extrajudicial de controversias en las transacciones sobre propiedad intelectual, entre otros medios, valiéndose de los procedimientos de la OMPI.</w:t>
            </w:r>
          </w:p>
        </w:tc>
        <w:tc>
          <w:tcPr>
            <w:tcW w:w="1156" w:type="pct"/>
            <w:tcBorders>
              <w:top w:val="single" w:sz="4" w:space="0" w:color="auto"/>
            </w:tcBorders>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 xml:space="preserve">284 controversias y 79  mediaciones (en total al final de 2012) </w:t>
            </w:r>
          </w:p>
          <w:p w:rsidR="0063482E" w:rsidRPr="00C75C7E" w:rsidRDefault="0063482E" w:rsidP="00EF3DB5">
            <w:pPr>
              <w:widowControl w:val="0"/>
              <w:rPr>
                <w:sz w:val="16"/>
                <w:szCs w:val="16"/>
                <w:lang w:val="es-ES_tradnl" w:bidi="th-TH"/>
              </w:rPr>
            </w:pPr>
            <w:r w:rsidRPr="00C75C7E">
              <w:rPr>
                <w:sz w:val="16"/>
                <w:szCs w:val="16"/>
                <w:lang w:val="es-ES_tradnl" w:bidi="th-TH"/>
              </w:rPr>
              <w:t xml:space="preserve">4.000 consultas recibidas (2010/11) </w:t>
            </w:r>
          </w:p>
          <w:p w:rsidR="0063482E" w:rsidRPr="00C75C7E" w:rsidRDefault="0063482E" w:rsidP="00EF3DB5">
            <w:pPr>
              <w:widowControl w:val="0"/>
              <w:rPr>
                <w:sz w:val="16"/>
                <w:szCs w:val="16"/>
                <w:lang w:val="es-ES_tradnl" w:bidi="th-TH"/>
              </w:rPr>
            </w:pPr>
            <w:r w:rsidRPr="00C75C7E">
              <w:rPr>
                <w:sz w:val="16"/>
                <w:szCs w:val="16"/>
                <w:lang w:val="es-ES_tradnl" w:bidi="th-TH"/>
              </w:rPr>
              <w:t xml:space="preserve">30 millones de visitas al sitio web (en total al final de 2012) </w:t>
            </w:r>
          </w:p>
          <w:p w:rsidR="0063482E" w:rsidRPr="00C75C7E" w:rsidRDefault="0063482E" w:rsidP="00EF3DB5">
            <w:pPr>
              <w:widowControl w:val="0"/>
              <w:rPr>
                <w:sz w:val="16"/>
                <w:szCs w:val="16"/>
                <w:lang w:val="es-ES_tradnl" w:bidi="th-TH"/>
              </w:rPr>
            </w:pPr>
            <w:r w:rsidRPr="00C75C7E">
              <w:rPr>
                <w:sz w:val="16"/>
                <w:szCs w:val="16"/>
                <w:lang w:val="es-ES_tradnl" w:bidi="th-TH"/>
              </w:rPr>
              <w:t xml:space="preserve">276 participantes en actividades corrientes del Centro de Arbitraje (2010/11); </w:t>
            </w:r>
          </w:p>
          <w:p w:rsidR="0063482E" w:rsidRPr="00C75C7E" w:rsidRDefault="0063482E" w:rsidP="00EF3DB5">
            <w:pPr>
              <w:widowControl w:val="0"/>
              <w:rPr>
                <w:sz w:val="16"/>
                <w:szCs w:val="16"/>
                <w:lang w:val="es-ES_tradnl" w:bidi="th-TH"/>
              </w:rPr>
            </w:pPr>
            <w:r w:rsidRPr="00C75C7E">
              <w:rPr>
                <w:sz w:val="16"/>
                <w:szCs w:val="16"/>
                <w:lang w:val="es-ES_tradnl" w:bidi="th-TH"/>
              </w:rPr>
              <w:t>3.000 participantes en reuniones externas del Centro de Arbitraje (2010/11).</w:t>
            </w:r>
          </w:p>
          <w:p w:rsidR="0063482E" w:rsidRPr="00C75C7E" w:rsidRDefault="0063482E" w:rsidP="00EF3DB5">
            <w:pPr>
              <w:widowControl w:val="0"/>
              <w:rPr>
                <w:sz w:val="16"/>
                <w:szCs w:val="16"/>
                <w:lang w:val="es-ES_tradnl"/>
              </w:rPr>
            </w:pPr>
          </w:p>
        </w:tc>
        <w:tc>
          <w:tcPr>
            <w:tcW w:w="1081" w:type="pct"/>
            <w:tcBorders>
              <w:top w:val="single" w:sz="4" w:space="0" w:color="auto"/>
            </w:tcBorders>
            <w:shd w:val="clear" w:color="auto" w:fill="auto"/>
            <w:tcMar>
              <w:top w:w="113" w:type="dxa"/>
            </w:tcMar>
          </w:tcPr>
          <w:p w:rsidR="0063482E" w:rsidRPr="00C75C7E" w:rsidRDefault="0063482E" w:rsidP="00EF3DB5">
            <w:pPr>
              <w:widowControl w:val="0"/>
              <w:ind w:right="381"/>
              <w:rPr>
                <w:bCs/>
                <w:sz w:val="16"/>
                <w:szCs w:val="16"/>
                <w:lang w:val="es-ES_tradnl"/>
              </w:rPr>
            </w:pPr>
            <w:r w:rsidRPr="00C75C7E">
              <w:rPr>
                <w:bCs/>
                <w:sz w:val="16"/>
                <w:szCs w:val="16"/>
                <w:lang w:val="es-ES_tradnl"/>
              </w:rPr>
              <w:t xml:space="preserve">Otras 40 controversias y  mediaciones Otras 4.000 consultas </w:t>
            </w:r>
          </w:p>
          <w:p w:rsidR="0063482E" w:rsidRPr="00C75C7E" w:rsidRDefault="0063482E" w:rsidP="00EF3DB5">
            <w:pPr>
              <w:widowControl w:val="0"/>
              <w:ind w:right="381"/>
              <w:rPr>
                <w:bCs/>
                <w:sz w:val="16"/>
                <w:szCs w:val="16"/>
                <w:lang w:val="es-ES_tradnl"/>
              </w:rPr>
            </w:pPr>
            <w:r w:rsidRPr="00C75C7E">
              <w:rPr>
                <w:bCs/>
                <w:sz w:val="16"/>
                <w:szCs w:val="16"/>
                <w:lang w:val="es-ES_tradnl"/>
              </w:rPr>
              <w:t>Otros 3,5 millones de visitas 250 participantes en actividades corrientes del Centro de Arbitraje 6.000 participantes en reuniones externas del Centro de Arbitraje.</w:t>
            </w:r>
          </w:p>
        </w:tc>
      </w:tr>
      <w:tr w:rsidR="0063482E" w:rsidRPr="00C75C7E" w:rsidTr="00EF3DB5">
        <w:trPr>
          <w:cantSplit/>
        </w:trPr>
        <w:tc>
          <w:tcPr>
            <w:tcW w:w="1249" w:type="pct"/>
            <w:vMerge/>
            <w:tcBorders>
              <w:bottom w:val="nil"/>
            </w:tcBorders>
            <w:shd w:val="clear" w:color="auto" w:fill="auto"/>
            <w:tcMar>
              <w:top w:w="113" w:type="dxa"/>
            </w:tcMar>
          </w:tcPr>
          <w:p w:rsidR="0063482E" w:rsidRPr="00C75C7E" w:rsidRDefault="0063482E" w:rsidP="00EF3DB5">
            <w:pPr>
              <w:widowControl w:val="0"/>
              <w:rPr>
                <w:sz w:val="16"/>
                <w:szCs w:val="16"/>
                <w:lang w:val="es-ES_tradnl"/>
              </w:rPr>
            </w:pPr>
          </w:p>
        </w:tc>
        <w:tc>
          <w:tcPr>
            <w:tcW w:w="1514" w:type="pct"/>
            <w:tcBorders>
              <w:bottom w:val="nil"/>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Políticas de solución extrajudicial de controversias en cuya elaboración y aplicación ha participado el Centro.</w:t>
            </w:r>
          </w:p>
        </w:tc>
        <w:tc>
          <w:tcPr>
            <w:tcW w:w="1156" w:type="pct"/>
            <w:tcBorders>
              <w:bottom w:val="nil"/>
            </w:tcBorders>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Seis regímenes especiales adoptados (AGICOA, EGEDA, cine y medios de comunicación, ICOM, IPOS, ITPGRFA) (en total al final de 2012).</w:t>
            </w:r>
          </w:p>
          <w:p w:rsidR="0063482E" w:rsidRPr="00C75C7E" w:rsidRDefault="0063482E" w:rsidP="00EF3DB5">
            <w:pPr>
              <w:widowControl w:val="0"/>
              <w:rPr>
                <w:sz w:val="16"/>
                <w:szCs w:val="16"/>
                <w:lang w:val="es-ES_tradnl"/>
              </w:rPr>
            </w:pPr>
          </w:p>
        </w:tc>
        <w:tc>
          <w:tcPr>
            <w:tcW w:w="1081" w:type="pct"/>
            <w:tcBorders>
              <w:bottom w:val="nil"/>
            </w:tcBorders>
            <w:shd w:val="clear" w:color="auto" w:fill="auto"/>
            <w:tcMar>
              <w:top w:w="113" w:type="dxa"/>
            </w:tcMar>
          </w:tcPr>
          <w:p w:rsidR="0063482E" w:rsidRPr="00C75C7E" w:rsidRDefault="0063482E" w:rsidP="00EF3DB5">
            <w:pPr>
              <w:widowControl w:val="0"/>
              <w:ind w:right="51"/>
              <w:rPr>
                <w:bCs/>
                <w:sz w:val="16"/>
                <w:szCs w:val="16"/>
                <w:lang w:val="es-ES_tradnl"/>
              </w:rPr>
            </w:pPr>
            <w:r w:rsidRPr="00C75C7E">
              <w:rPr>
                <w:bCs/>
                <w:sz w:val="16"/>
                <w:szCs w:val="16"/>
                <w:lang w:val="es-ES_tradnl"/>
              </w:rPr>
              <w:t>De uno a tres nuevos regímenes especiales.</w:t>
            </w:r>
          </w:p>
        </w:tc>
      </w:tr>
      <w:tr w:rsidR="0063482E" w:rsidRPr="00C75C7E" w:rsidTr="00EF3DB5">
        <w:trPr>
          <w:cantSplit/>
          <w:trHeight w:val="812"/>
        </w:trPr>
        <w:tc>
          <w:tcPr>
            <w:tcW w:w="1249" w:type="pct"/>
            <w:vMerge w:val="restart"/>
            <w:tcBorders>
              <w:top w:val="nil"/>
              <w:bottom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II.9.  Protección eficaz de la propiedad intelectual en los </w:t>
            </w:r>
            <w:proofErr w:type="spellStart"/>
            <w:r w:rsidRPr="00C75C7E">
              <w:rPr>
                <w:sz w:val="16"/>
                <w:szCs w:val="16"/>
                <w:lang w:val="es-ES_tradnl"/>
              </w:rPr>
              <w:t>gTLD</w:t>
            </w:r>
            <w:proofErr w:type="spellEnd"/>
            <w:r w:rsidRPr="00C75C7E">
              <w:rPr>
                <w:sz w:val="16"/>
                <w:szCs w:val="16"/>
                <w:lang w:val="es-ES_tradnl"/>
              </w:rPr>
              <w:t xml:space="preserve"> y los </w:t>
            </w:r>
            <w:proofErr w:type="spellStart"/>
            <w:r w:rsidRPr="00C75C7E">
              <w:rPr>
                <w:sz w:val="16"/>
                <w:szCs w:val="16"/>
                <w:lang w:val="es-ES_tradnl"/>
              </w:rPr>
              <w:t>ccTLD</w:t>
            </w:r>
            <w:proofErr w:type="spellEnd"/>
            <w:r w:rsidRPr="00C75C7E">
              <w:rPr>
                <w:sz w:val="16"/>
                <w:szCs w:val="16"/>
                <w:lang w:val="es-ES_tradnl"/>
              </w:rPr>
              <w:t>.</w:t>
            </w:r>
          </w:p>
        </w:tc>
        <w:tc>
          <w:tcPr>
            <w:tcW w:w="1514" w:type="pct"/>
            <w:tcBorders>
              <w:top w:val="nil"/>
              <w:bottom w:val="nil"/>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Número de procedimientos relativos a los </w:t>
            </w:r>
            <w:proofErr w:type="spellStart"/>
            <w:r w:rsidRPr="00C75C7E">
              <w:rPr>
                <w:sz w:val="16"/>
                <w:szCs w:val="16"/>
                <w:lang w:val="es-ES_tradnl"/>
              </w:rPr>
              <w:t>gTLD</w:t>
            </w:r>
            <w:proofErr w:type="spellEnd"/>
            <w:r w:rsidRPr="00C75C7E">
              <w:rPr>
                <w:sz w:val="16"/>
                <w:szCs w:val="16"/>
                <w:lang w:val="es-ES_tradnl"/>
              </w:rPr>
              <w:t xml:space="preserve"> administrados en virtud de la Política Uniforme.</w:t>
            </w:r>
          </w:p>
        </w:tc>
        <w:tc>
          <w:tcPr>
            <w:tcW w:w="1156" w:type="pct"/>
            <w:tcBorders>
              <w:top w:val="nil"/>
              <w:bottom w:val="nil"/>
            </w:tcBorders>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 xml:space="preserve">22.644 procedimientos relativos a los </w:t>
            </w:r>
            <w:proofErr w:type="spellStart"/>
            <w:r w:rsidRPr="00C75C7E">
              <w:rPr>
                <w:sz w:val="16"/>
                <w:szCs w:val="16"/>
                <w:lang w:val="es-ES_tradnl" w:bidi="th-TH"/>
              </w:rPr>
              <w:t>gTLD</w:t>
            </w:r>
            <w:proofErr w:type="spellEnd"/>
            <w:r w:rsidRPr="00C75C7E">
              <w:rPr>
                <w:sz w:val="16"/>
                <w:szCs w:val="16"/>
                <w:lang w:val="es-ES_tradnl" w:bidi="th-TH"/>
              </w:rPr>
              <w:t xml:space="preserve"> administrados por el Centro (en total al final de 2012).</w:t>
            </w:r>
          </w:p>
          <w:p w:rsidR="0063482E" w:rsidRPr="00C75C7E" w:rsidRDefault="0063482E" w:rsidP="00EF3DB5">
            <w:pPr>
              <w:widowControl w:val="0"/>
              <w:rPr>
                <w:sz w:val="16"/>
                <w:szCs w:val="16"/>
                <w:lang w:val="es-ES_tradnl"/>
              </w:rPr>
            </w:pPr>
          </w:p>
        </w:tc>
        <w:tc>
          <w:tcPr>
            <w:tcW w:w="1081" w:type="pct"/>
            <w:tcBorders>
              <w:top w:val="nil"/>
              <w:bottom w:val="nil"/>
            </w:tcBorders>
            <w:shd w:val="clear" w:color="auto" w:fill="auto"/>
            <w:tcMar>
              <w:top w:w="113"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Otros 3.000 procedimientos.</w:t>
            </w:r>
          </w:p>
        </w:tc>
      </w:tr>
      <w:tr w:rsidR="0063482E" w:rsidRPr="00C75C7E" w:rsidTr="00EF3DB5">
        <w:trPr>
          <w:cantSplit/>
          <w:trHeight w:val="786"/>
        </w:trPr>
        <w:tc>
          <w:tcPr>
            <w:tcW w:w="1249" w:type="pct"/>
            <w:vMerge/>
            <w:tcBorders>
              <w:top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p>
        </w:tc>
        <w:tc>
          <w:tcPr>
            <w:tcW w:w="1514" w:type="pct"/>
            <w:tcBorders>
              <w:top w:val="nil"/>
              <w:bottom w:val="nil"/>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Número de procedimientos relativos a los </w:t>
            </w:r>
            <w:proofErr w:type="spellStart"/>
            <w:r w:rsidRPr="00C75C7E">
              <w:rPr>
                <w:sz w:val="16"/>
                <w:szCs w:val="16"/>
                <w:lang w:val="es-ES_tradnl"/>
              </w:rPr>
              <w:t>ccTLD</w:t>
            </w:r>
            <w:proofErr w:type="spellEnd"/>
            <w:r w:rsidRPr="00C75C7E">
              <w:rPr>
                <w:sz w:val="16"/>
                <w:szCs w:val="16"/>
                <w:lang w:val="es-ES_tradnl"/>
              </w:rPr>
              <w:t xml:space="preserve"> administrados en virtud de la Política Uniforme.</w:t>
            </w:r>
          </w:p>
        </w:tc>
        <w:tc>
          <w:tcPr>
            <w:tcW w:w="1156" w:type="pct"/>
            <w:tcBorders>
              <w:top w:val="nil"/>
              <w:bottom w:val="nil"/>
            </w:tcBorders>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 xml:space="preserve">2.470 procedimientos relativos a los </w:t>
            </w:r>
            <w:proofErr w:type="spellStart"/>
            <w:r w:rsidRPr="00C75C7E">
              <w:rPr>
                <w:sz w:val="16"/>
                <w:szCs w:val="16"/>
                <w:lang w:val="es-ES_tradnl" w:bidi="th-TH"/>
              </w:rPr>
              <w:t>ccTLD</w:t>
            </w:r>
            <w:proofErr w:type="spellEnd"/>
            <w:r w:rsidRPr="00C75C7E">
              <w:rPr>
                <w:sz w:val="16"/>
                <w:szCs w:val="16"/>
                <w:lang w:val="es-ES_tradnl" w:bidi="th-TH"/>
              </w:rPr>
              <w:t xml:space="preserve"> administrados por el Centro (en total al final de 2012).</w:t>
            </w:r>
          </w:p>
        </w:tc>
        <w:tc>
          <w:tcPr>
            <w:tcW w:w="1081" w:type="pct"/>
            <w:tcBorders>
              <w:top w:val="nil"/>
              <w:bottom w:val="nil"/>
              <w:right w:val="single" w:sz="4" w:space="0" w:color="auto"/>
            </w:tcBorders>
            <w:shd w:val="clear" w:color="auto" w:fill="auto"/>
            <w:tcMar>
              <w:top w:w="113"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Otros 350 procedimientos.</w:t>
            </w:r>
          </w:p>
        </w:tc>
      </w:tr>
      <w:tr w:rsidR="0063482E" w:rsidRPr="00C75C7E" w:rsidTr="00EF3DB5">
        <w:trPr>
          <w:cantSplit/>
          <w:trHeight w:val="930"/>
        </w:trPr>
        <w:tc>
          <w:tcPr>
            <w:tcW w:w="1249" w:type="pct"/>
            <w:vMerge/>
            <w:shd w:val="clear" w:color="auto" w:fill="auto"/>
            <w:tcMar>
              <w:top w:w="113" w:type="dxa"/>
            </w:tcMar>
          </w:tcPr>
          <w:p w:rsidR="0063482E" w:rsidRPr="00C75C7E" w:rsidRDefault="0063482E" w:rsidP="00EF3DB5">
            <w:pPr>
              <w:widowControl w:val="0"/>
              <w:rPr>
                <w:sz w:val="16"/>
                <w:szCs w:val="16"/>
                <w:lang w:val="es-ES_tradnl"/>
              </w:rPr>
            </w:pPr>
          </w:p>
        </w:tc>
        <w:tc>
          <w:tcPr>
            <w:tcW w:w="1514" w:type="pct"/>
            <w:tcBorders>
              <w:top w:val="nil"/>
              <w:bottom w:val="nil"/>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Políticas de solución extrajudicial de controversias </w:t>
            </w:r>
            <w:r w:rsidR="00281871">
              <w:rPr>
                <w:sz w:val="16"/>
                <w:szCs w:val="16"/>
                <w:lang w:val="es-ES_tradnl"/>
              </w:rPr>
              <w:t xml:space="preserve">en el Sistema de Nombres de Dominio </w:t>
            </w:r>
            <w:r w:rsidRPr="00C75C7E">
              <w:rPr>
                <w:sz w:val="16"/>
                <w:szCs w:val="16"/>
                <w:lang w:val="es-ES_tradnl"/>
              </w:rPr>
              <w:t>en cuya elaboración y aplicación ha participado el Centro.</w:t>
            </w:r>
          </w:p>
        </w:tc>
        <w:tc>
          <w:tcPr>
            <w:tcW w:w="1156" w:type="pct"/>
            <w:tcBorders>
              <w:top w:val="nil"/>
              <w:bottom w:val="nil"/>
            </w:tcBorders>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Política Uniforme, Política de solución de controversias para la etapa previa a la adjudicación (en total al final de 2012).</w:t>
            </w:r>
          </w:p>
          <w:p w:rsidR="0063482E" w:rsidRPr="00C75C7E" w:rsidRDefault="0063482E" w:rsidP="00EF3DB5">
            <w:pPr>
              <w:widowControl w:val="0"/>
              <w:rPr>
                <w:sz w:val="16"/>
                <w:szCs w:val="16"/>
                <w:lang w:val="es-ES_tradnl" w:bidi="th-TH"/>
              </w:rPr>
            </w:pPr>
          </w:p>
        </w:tc>
        <w:tc>
          <w:tcPr>
            <w:tcW w:w="1081" w:type="pct"/>
            <w:tcBorders>
              <w:top w:val="nil"/>
              <w:bottom w:val="nil"/>
              <w:right w:val="single" w:sz="4" w:space="0" w:color="auto"/>
            </w:tcBorders>
            <w:shd w:val="clear" w:color="auto" w:fill="auto"/>
            <w:tcMar>
              <w:top w:w="113"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 xml:space="preserve">Aplicación en el </w:t>
            </w:r>
            <w:r w:rsidR="00281871" w:rsidRPr="00C75C7E">
              <w:rPr>
                <w:bCs/>
                <w:sz w:val="16"/>
                <w:szCs w:val="16"/>
                <w:lang w:val="es-ES_tradnl"/>
              </w:rPr>
              <w:t xml:space="preserve">Sistema </w:t>
            </w:r>
            <w:r w:rsidRPr="00C75C7E">
              <w:rPr>
                <w:bCs/>
                <w:sz w:val="16"/>
                <w:szCs w:val="16"/>
                <w:lang w:val="es-ES_tradnl"/>
              </w:rPr>
              <w:t xml:space="preserve">de </w:t>
            </w:r>
            <w:r w:rsidR="00281871" w:rsidRPr="00C75C7E">
              <w:rPr>
                <w:bCs/>
                <w:sz w:val="16"/>
                <w:szCs w:val="16"/>
                <w:lang w:val="es-ES_tradnl"/>
              </w:rPr>
              <w:t xml:space="preserve">Nombres </w:t>
            </w:r>
            <w:r w:rsidRPr="00C75C7E">
              <w:rPr>
                <w:bCs/>
                <w:sz w:val="16"/>
                <w:szCs w:val="16"/>
                <w:lang w:val="es-ES_tradnl"/>
              </w:rPr>
              <w:t xml:space="preserve">de </w:t>
            </w:r>
            <w:r w:rsidR="00281871" w:rsidRPr="00C75C7E">
              <w:rPr>
                <w:bCs/>
                <w:sz w:val="16"/>
                <w:szCs w:val="16"/>
                <w:lang w:val="es-ES_tradnl"/>
              </w:rPr>
              <w:t xml:space="preserve">Dominio </w:t>
            </w:r>
            <w:r w:rsidRPr="00C75C7E">
              <w:rPr>
                <w:bCs/>
                <w:sz w:val="16"/>
                <w:szCs w:val="16"/>
                <w:lang w:val="es-ES_tradnl"/>
              </w:rPr>
              <w:t>de las recomendaciones de la OMPI en materia de política y procedimientos.</w:t>
            </w:r>
          </w:p>
          <w:p w:rsidR="0063482E" w:rsidRPr="00C75C7E" w:rsidRDefault="0063482E" w:rsidP="00EF3DB5">
            <w:pPr>
              <w:widowControl w:val="0"/>
              <w:ind w:right="161"/>
              <w:rPr>
                <w:bCs/>
                <w:sz w:val="16"/>
                <w:szCs w:val="16"/>
                <w:lang w:val="es-ES_tradnl"/>
              </w:rPr>
            </w:pPr>
          </w:p>
        </w:tc>
      </w:tr>
      <w:tr w:rsidR="0063482E" w:rsidRPr="00C75C7E" w:rsidTr="00EF3DB5">
        <w:trPr>
          <w:cantSplit/>
          <w:trHeight w:val="1171"/>
        </w:trPr>
        <w:tc>
          <w:tcPr>
            <w:tcW w:w="1249" w:type="pct"/>
            <w:vMerge/>
            <w:tcBorders>
              <w:bottom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p>
        </w:tc>
        <w:tc>
          <w:tcPr>
            <w:tcW w:w="1514" w:type="pct"/>
            <w:tcBorders>
              <w:top w:val="nil"/>
              <w:bottom w:val="single" w:sz="4" w:space="0" w:color="auto"/>
            </w:tcBorders>
            <w:shd w:val="clear" w:color="auto" w:fill="auto"/>
            <w:tcMar>
              <w:top w:w="113" w:type="dxa"/>
            </w:tcMar>
          </w:tcPr>
          <w:p w:rsidR="0063482E" w:rsidRPr="00C75C7E" w:rsidRDefault="0063482E" w:rsidP="00EF3DB5">
            <w:pPr>
              <w:widowControl w:val="0"/>
              <w:rPr>
                <w:sz w:val="16"/>
                <w:szCs w:val="16"/>
                <w:lang w:val="es-ES_tradnl"/>
              </w:rPr>
            </w:pPr>
            <w:r w:rsidRPr="00C75C7E">
              <w:rPr>
                <w:sz w:val="16"/>
                <w:szCs w:val="16"/>
                <w:lang w:val="es-ES_tradnl"/>
              </w:rPr>
              <w:t xml:space="preserve">Número de administradores de </w:t>
            </w:r>
            <w:proofErr w:type="spellStart"/>
            <w:r w:rsidRPr="00C75C7E">
              <w:rPr>
                <w:sz w:val="16"/>
                <w:szCs w:val="16"/>
                <w:lang w:val="es-ES_tradnl"/>
              </w:rPr>
              <w:t>ccTLD</w:t>
            </w:r>
            <w:proofErr w:type="spellEnd"/>
            <w:r w:rsidRPr="00C75C7E">
              <w:rPr>
                <w:sz w:val="16"/>
                <w:szCs w:val="16"/>
                <w:lang w:val="es-ES_tradnl"/>
              </w:rPr>
              <w:t xml:space="preserve"> que disponen de mecanismos de protección de P.I. concebidos o administrados por la OMPI de conformidad con las normas internacionales.</w:t>
            </w:r>
          </w:p>
        </w:tc>
        <w:tc>
          <w:tcPr>
            <w:tcW w:w="1156" w:type="pct"/>
            <w:tcBorders>
              <w:top w:val="nil"/>
              <w:bottom w:val="single" w:sz="4" w:space="0" w:color="auto"/>
            </w:tcBorders>
            <w:shd w:val="clear" w:color="auto" w:fill="FFFFFF"/>
            <w:tcMar>
              <w:top w:w="113" w:type="dxa"/>
            </w:tcMar>
          </w:tcPr>
          <w:p w:rsidR="0063482E" w:rsidRPr="00C75C7E" w:rsidRDefault="0063482E" w:rsidP="00EF3DB5">
            <w:pPr>
              <w:widowControl w:val="0"/>
              <w:rPr>
                <w:sz w:val="16"/>
                <w:szCs w:val="16"/>
                <w:lang w:val="es-ES_tradnl" w:bidi="th-TH"/>
              </w:rPr>
            </w:pPr>
            <w:r w:rsidRPr="00C75C7E">
              <w:rPr>
                <w:sz w:val="16"/>
                <w:szCs w:val="16"/>
                <w:lang w:val="es-ES_tradnl" w:bidi="th-TH"/>
              </w:rPr>
              <w:t>67</w:t>
            </w:r>
            <w:r w:rsidRPr="00F73403">
              <w:rPr>
                <w:sz w:val="16"/>
                <w:szCs w:val="16"/>
                <w:lang w:val="es-ES_tradnl" w:bidi="th-TH"/>
              </w:rPr>
              <w:t xml:space="preserve"> </w:t>
            </w:r>
            <w:r w:rsidRPr="00C75C7E">
              <w:rPr>
                <w:sz w:val="16"/>
                <w:szCs w:val="16"/>
                <w:lang w:val="es-ES_tradnl" w:bidi="th-TH"/>
              </w:rPr>
              <w:t xml:space="preserve">administradores de </w:t>
            </w:r>
            <w:proofErr w:type="spellStart"/>
            <w:r w:rsidRPr="00C75C7E">
              <w:rPr>
                <w:sz w:val="16"/>
                <w:szCs w:val="16"/>
                <w:lang w:val="es-ES_tradnl" w:bidi="th-TH"/>
              </w:rPr>
              <w:t>ccTLD</w:t>
            </w:r>
            <w:proofErr w:type="spellEnd"/>
            <w:r w:rsidRPr="00C75C7E">
              <w:rPr>
                <w:sz w:val="16"/>
                <w:szCs w:val="16"/>
                <w:lang w:val="es-ES_tradnl" w:bidi="th-TH"/>
              </w:rPr>
              <w:t xml:space="preserve"> (en total al final de 2012).</w:t>
            </w:r>
          </w:p>
          <w:p w:rsidR="0063482E" w:rsidRPr="00C75C7E" w:rsidRDefault="0063482E" w:rsidP="00EF3DB5">
            <w:pPr>
              <w:widowControl w:val="0"/>
              <w:rPr>
                <w:sz w:val="16"/>
                <w:szCs w:val="16"/>
                <w:lang w:val="es-ES_tradnl" w:bidi="th-TH"/>
              </w:rPr>
            </w:pPr>
          </w:p>
          <w:p w:rsidR="0063482E" w:rsidRPr="00C75C7E" w:rsidRDefault="0063482E" w:rsidP="00EF3DB5">
            <w:pPr>
              <w:widowControl w:val="0"/>
              <w:rPr>
                <w:sz w:val="16"/>
                <w:szCs w:val="16"/>
                <w:lang w:val="es-ES_tradnl" w:bidi="th-TH"/>
              </w:rPr>
            </w:pPr>
          </w:p>
        </w:tc>
        <w:tc>
          <w:tcPr>
            <w:tcW w:w="1081" w:type="pct"/>
            <w:tcBorders>
              <w:top w:val="nil"/>
              <w:bottom w:val="single" w:sz="4" w:space="0" w:color="auto"/>
              <w:right w:val="single" w:sz="4" w:space="0" w:color="auto"/>
            </w:tcBorders>
            <w:shd w:val="clear" w:color="auto" w:fill="auto"/>
            <w:tcMar>
              <w:top w:w="113" w:type="dxa"/>
            </w:tcMar>
          </w:tcPr>
          <w:p w:rsidR="0063482E" w:rsidRPr="00C75C7E" w:rsidRDefault="0063482E" w:rsidP="00EF3DB5">
            <w:pPr>
              <w:widowControl w:val="0"/>
              <w:ind w:right="161"/>
              <w:rPr>
                <w:bCs/>
                <w:sz w:val="16"/>
                <w:szCs w:val="16"/>
                <w:lang w:val="es-ES_tradnl"/>
              </w:rPr>
            </w:pPr>
            <w:r w:rsidRPr="00C75C7E">
              <w:rPr>
                <w:bCs/>
                <w:sz w:val="16"/>
                <w:szCs w:val="16"/>
                <w:lang w:val="es-ES_tradnl"/>
              </w:rPr>
              <w:t>Cuatro nuevos administradores.</w:t>
            </w:r>
          </w:p>
        </w:tc>
      </w:tr>
    </w:tbl>
    <w:p w:rsidR="0063482E" w:rsidRPr="00C75C7E" w:rsidRDefault="0063482E" w:rsidP="0063482E">
      <w:pPr>
        <w:widowControl w:val="0"/>
        <w:rPr>
          <w:sz w:val="20"/>
          <w:lang w:val="es-ES_tradnl"/>
        </w:rPr>
      </w:pPr>
    </w:p>
    <w:p w:rsidR="005E581D" w:rsidRPr="006B0DE9" w:rsidRDefault="005E581D" w:rsidP="005E581D">
      <w:pPr>
        <w:widowControl w:val="0"/>
        <w:rPr>
          <w:sz w:val="20"/>
        </w:rPr>
      </w:pPr>
    </w:p>
    <w:p w:rsidR="005E581D" w:rsidRPr="006B0DE9" w:rsidRDefault="005E581D" w:rsidP="005E581D">
      <w:pPr>
        <w:widowControl w:val="0"/>
        <w:autoSpaceDE w:val="0"/>
        <w:autoSpaceDN w:val="0"/>
        <w:adjustRightInd w:val="0"/>
        <w:jc w:val="both"/>
        <w:rPr>
          <w:szCs w:val="22"/>
        </w:rPr>
      </w:pPr>
      <w:r w:rsidRPr="006B0DE9">
        <w:rPr>
          <w:szCs w:val="22"/>
        </w:rPr>
        <w:t>RECURSOS PARA EL PROGRAMA 7</w:t>
      </w:r>
    </w:p>
    <w:p w:rsidR="005E581D" w:rsidRPr="006B0DE9" w:rsidRDefault="005E581D" w:rsidP="005E581D">
      <w:pPr>
        <w:widowControl w:val="0"/>
        <w:jc w:val="both"/>
        <w:rPr>
          <w:rFonts w:eastAsia="Batang"/>
          <w:sz w:val="20"/>
          <w:lang w:eastAsia="ko-KR" w:bidi="ta-IN"/>
        </w:rPr>
      </w:pPr>
    </w:p>
    <w:p w:rsidR="005E581D" w:rsidRPr="006B0DE9" w:rsidRDefault="005E581D" w:rsidP="00BA276E">
      <w:pPr>
        <w:widowControl w:val="0"/>
        <w:numPr>
          <w:ilvl w:val="0"/>
          <w:numId w:val="28"/>
        </w:numPr>
        <w:jc w:val="both"/>
        <w:rPr>
          <w:sz w:val="20"/>
        </w:rPr>
      </w:pPr>
      <w:r w:rsidRPr="006B0DE9">
        <w:rPr>
          <w:rFonts w:eastAsia="Batang"/>
          <w:sz w:val="20"/>
          <w:lang w:eastAsia="ko-KR"/>
        </w:rPr>
        <w:t xml:space="preserve">El incremento de los recursos destinados al resultado II.9 (Protección eficaz de la P.I. en los </w:t>
      </w:r>
      <w:proofErr w:type="spellStart"/>
      <w:r w:rsidRPr="00AB7F4A">
        <w:rPr>
          <w:rFonts w:eastAsia="Batang"/>
          <w:color w:val="000000"/>
          <w:sz w:val="20"/>
          <w:lang w:eastAsia="ko-KR" w:bidi="ta-IN"/>
        </w:rPr>
        <w:t>gTLD</w:t>
      </w:r>
      <w:proofErr w:type="spellEnd"/>
      <w:r w:rsidRPr="006B0DE9">
        <w:rPr>
          <w:rFonts w:eastAsia="Batang"/>
          <w:sz w:val="20"/>
          <w:lang w:eastAsia="ko-KR"/>
        </w:rPr>
        <w:t xml:space="preserve"> y los </w:t>
      </w:r>
      <w:proofErr w:type="spellStart"/>
      <w:r w:rsidRPr="006B0DE9">
        <w:rPr>
          <w:rFonts w:eastAsia="Batang"/>
          <w:sz w:val="20"/>
          <w:lang w:eastAsia="ko-KR"/>
        </w:rPr>
        <w:t>ccTLD</w:t>
      </w:r>
      <w:proofErr w:type="spellEnd"/>
      <w:r w:rsidRPr="006B0DE9">
        <w:rPr>
          <w:rFonts w:eastAsia="Batang"/>
          <w:sz w:val="20"/>
          <w:lang w:eastAsia="ko-KR"/>
        </w:rPr>
        <w:t>) obedece a un aumento de los gastos de personal, así como del costo del programa de becas de la OMPI, auspiciado por el Centro de Arbitraje y Mediación.  Este último se creó en el marco de la reforma de los contratos, a fin de reconocer el acuerdo por el que la Organización ofrece a jóvenes profesionales experiencia en la tramitación de demandas con el objetivo de fortalecer sus conocimientos y sus aptitudes profesionales en los ámbitos que incumben al Centro de Arbitraje y Mediación.</w:t>
      </w:r>
    </w:p>
    <w:p w:rsidR="005E581D" w:rsidRPr="006B0DE9" w:rsidRDefault="005E581D" w:rsidP="005E581D">
      <w:pPr>
        <w:widowControl w:val="0"/>
        <w:jc w:val="both"/>
        <w:rPr>
          <w:sz w:val="20"/>
        </w:rPr>
      </w:pPr>
    </w:p>
    <w:p w:rsidR="0063482E" w:rsidRPr="005E581D" w:rsidRDefault="0063482E" w:rsidP="0063482E">
      <w:pPr>
        <w:widowControl w:val="0"/>
        <w:rPr>
          <w:sz w:val="20"/>
        </w:rPr>
      </w:pPr>
    </w:p>
    <w:p w:rsidR="0063482E" w:rsidRPr="00C75C7E" w:rsidRDefault="00FE42C5" w:rsidP="00BD6413">
      <w:pPr>
        <w:keepNext/>
        <w:widowControl w:val="0"/>
        <w:autoSpaceDE w:val="0"/>
        <w:autoSpaceDN w:val="0"/>
        <w:adjustRightInd w:val="0"/>
        <w:jc w:val="center"/>
        <w:rPr>
          <w:b/>
          <w:bCs/>
          <w:iCs/>
          <w:sz w:val="20"/>
          <w:lang w:val="es-ES_tradnl"/>
        </w:rPr>
      </w:pPr>
      <w:r>
        <w:rPr>
          <w:b/>
          <w:bCs/>
          <w:iCs/>
          <w:sz w:val="20"/>
          <w:lang w:val="es-ES_tradnl"/>
        </w:rPr>
        <w:lastRenderedPageBreak/>
        <w:t>Programa 7</w:t>
      </w:r>
      <w:proofErr w:type="gramStart"/>
      <w:r>
        <w:rPr>
          <w:b/>
          <w:bCs/>
          <w:iCs/>
          <w:sz w:val="20"/>
          <w:lang w:val="es-ES_tradnl"/>
        </w:rPr>
        <w:t xml:space="preserve">:  </w:t>
      </w:r>
      <w:r w:rsidR="0063482E" w:rsidRPr="00C75C7E">
        <w:rPr>
          <w:b/>
          <w:bCs/>
          <w:iCs/>
          <w:sz w:val="20"/>
          <w:lang w:val="es-ES_tradnl"/>
        </w:rPr>
        <w:t>Recursos</w:t>
      </w:r>
      <w:proofErr w:type="gramEnd"/>
      <w:r w:rsidR="0063482E" w:rsidRPr="00C75C7E">
        <w:rPr>
          <w:b/>
          <w:bCs/>
          <w:iCs/>
          <w:sz w:val="20"/>
          <w:lang w:val="es-ES_tradnl"/>
        </w:rPr>
        <w:t xml:space="preserve"> por resultado</w:t>
      </w:r>
    </w:p>
    <w:p w:rsidR="0063482E" w:rsidRPr="00C75C7E" w:rsidRDefault="0063482E" w:rsidP="00BD6413">
      <w:pPr>
        <w:keepNext/>
        <w:widowControl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3482E" w:rsidRPr="00C75C7E" w:rsidRDefault="0063482E" w:rsidP="00BD6413">
      <w:pPr>
        <w:keepNext/>
        <w:widowControl w:val="0"/>
        <w:jc w:val="center"/>
        <w:rPr>
          <w:sz w:val="20"/>
          <w:lang w:val="es-ES_tradnl"/>
        </w:rPr>
      </w:pPr>
    </w:p>
    <w:p w:rsidR="0063482E" w:rsidRPr="00C75C7E" w:rsidRDefault="00C40A11" w:rsidP="00FC6442">
      <w:pPr>
        <w:widowControl w:val="0"/>
        <w:jc w:val="both"/>
        <w:rPr>
          <w:sz w:val="20"/>
          <w:lang w:val="es-ES_tradnl"/>
        </w:rPr>
      </w:pPr>
      <w:r>
        <w:rPr>
          <w:noProof/>
          <w:lang w:val="en-US" w:eastAsia="en-US"/>
        </w:rPr>
        <w:drawing>
          <wp:inline distT="0" distB="0" distL="0" distR="0" wp14:anchorId="0ED04D5E" wp14:editId="6834BE93">
            <wp:extent cx="5793740" cy="1890395"/>
            <wp:effectExtent l="0" t="0" r="0" b="0"/>
            <wp:docPr id="3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93740" cy="1890395"/>
                    </a:xfrm>
                    <a:prstGeom prst="rect">
                      <a:avLst/>
                    </a:prstGeom>
                    <a:noFill/>
                    <a:ln>
                      <a:noFill/>
                    </a:ln>
                  </pic:spPr>
                </pic:pic>
              </a:graphicData>
            </a:graphic>
          </wp:inline>
        </w:drawing>
      </w:r>
    </w:p>
    <w:p w:rsidR="0063482E" w:rsidRPr="00C75C7E" w:rsidRDefault="0063482E" w:rsidP="00FC6442">
      <w:pPr>
        <w:widowControl w:val="0"/>
        <w:jc w:val="both"/>
        <w:rPr>
          <w:sz w:val="20"/>
          <w:lang w:val="es-ES_tradnl"/>
        </w:rPr>
      </w:pPr>
    </w:p>
    <w:p w:rsidR="0063482E" w:rsidRPr="00C75C7E" w:rsidRDefault="0063482E" w:rsidP="0063482E">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w:t>
      </w:r>
      <w:r w:rsidR="00FC6442">
        <w:rPr>
          <w:sz w:val="16"/>
          <w:szCs w:val="16"/>
          <w:lang w:val="es-ES_tradnl"/>
        </w:rPr>
        <w:t xml:space="preserve"> </w:t>
      </w:r>
      <w:r w:rsidRPr="00C75C7E">
        <w:rPr>
          <w:sz w:val="16"/>
          <w:szCs w:val="16"/>
          <w:lang w:val="es-ES_tradnl"/>
        </w:rPr>
        <w:t xml:space="preserve"> 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63482E" w:rsidRPr="00C75C7E" w:rsidRDefault="0063482E" w:rsidP="0063482E">
      <w:pPr>
        <w:widowControl w:val="0"/>
        <w:jc w:val="both"/>
        <w:rPr>
          <w:sz w:val="20"/>
          <w:lang w:val="es-ES_tradnl"/>
        </w:rPr>
      </w:pPr>
    </w:p>
    <w:p w:rsidR="0063482E" w:rsidRPr="00C75C7E" w:rsidRDefault="0063482E" w:rsidP="0063482E">
      <w:pPr>
        <w:widowControl w:val="0"/>
        <w:jc w:val="both"/>
        <w:rPr>
          <w:sz w:val="20"/>
          <w:lang w:val="es-ES_tradnl"/>
        </w:rPr>
      </w:pPr>
    </w:p>
    <w:p w:rsidR="0063482E" w:rsidRPr="00C75C7E" w:rsidRDefault="00FE42C5" w:rsidP="00BD6413">
      <w:pPr>
        <w:keepNext/>
        <w:widowControl w:val="0"/>
        <w:autoSpaceDE w:val="0"/>
        <w:autoSpaceDN w:val="0"/>
        <w:adjustRightInd w:val="0"/>
        <w:jc w:val="center"/>
        <w:rPr>
          <w:b/>
          <w:bCs/>
          <w:iCs/>
          <w:sz w:val="20"/>
          <w:lang w:val="es-ES_tradnl"/>
        </w:rPr>
      </w:pPr>
      <w:r>
        <w:rPr>
          <w:b/>
          <w:bCs/>
          <w:iCs/>
          <w:sz w:val="20"/>
          <w:lang w:val="es-ES_tradnl"/>
        </w:rPr>
        <w:lastRenderedPageBreak/>
        <w:t>Programa 7</w:t>
      </w:r>
      <w:proofErr w:type="gramStart"/>
      <w:r>
        <w:rPr>
          <w:b/>
          <w:bCs/>
          <w:iCs/>
          <w:sz w:val="20"/>
          <w:lang w:val="es-ES_tradnl"/>
        </w:rPr>
        <w:t xml:space="preserve">:  </w:t>
      </w:r>
      <w:r w:rsidR="0063482E" w:rsidRPr="00C75C7E">
        <w:rPr>
          <w:b/>
          <w:bCs/>
          <w:iCs/>
          <w:sz w:val="20"/>
          <w:lang w:val="es-ES_tradnl"/>
        </w:rPr>
        <w:t>Recursos</w:t>
      </w:r>
      <w:proofErr w:type="gramEnd"/>
      <w:r w:rsidR="0063482E" w:rsidRPr="00C75C7E">
        <w:rPr>
          <w:b/>
          <w:bCs/>
          <w:iCs/>
          <w:sz w:val="20"/>
          <w:lang w:val="es-ES_tradnl"/>
        </w:rPr>
        <w:t xml:space="preserve"> por objeto de gasto</w:t>
      </w:r>
    </w:p>
    <w:p w:rsidR="0063482E" w:rsidRPr="00C75C7E" w:rsidRDefault="0063482E" w:rsidP="00BD6413">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3482E" w:rsidRDefault="0063482E" w:rsidP="00BD6413">
      <w:pPr>
        <w:keepNext/>
        <w:widowControl w:val="0"/>
        <w:jc w:val="center"/>
        <w:rPr>
          <w:sz w:val="20"/>
          <w:lang w:val="es-ES_tradnl"/>
        </w:rPr>
      </w:pPr>
    </w:p>
    <w:p w:rsidR="00723CAF" w:rsidRPr="00C75C7E" w:rsidRDefault="00C40A11" w:rsidP="00BD6413">
      <w:pPr>
        <w:keepNext/>
        <w:widowControl w:val="0"/>
        <w:jc w:val="center"/>
        <w:rPr>
          <w:sz w:val="20"/>
          <w:lang w:val="es-ES_tradnl"/>
        </w:rPr>
      </w:pPr>
      <w:r>
        <w:rPr>
          <w:noProof/>
          <w:lang w:val="en-US" w:eastAsia="en-US"/>
        </w:rPr>
        <w:drawing>
          <wp:inline distT="0" distB="0" distL="0" distR="0" wp14:anchorId="4A800CC8" wp14:editId="2D772668">
            <wp:extent cx="5936615" cy="5739130"/>
            <wp:effectExtent l="0" t="0" r="698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723CAF" w:rsidRDefault="00723CAF" w:rsidP="0063482E">
      <w:pPr>
        <w:widowControl w:val="0"/>
        <w:rPr>
          <w:sz w:val="16"/>
          <w:szCs w:val="16"/>
          <w:lang w:val="es-ES_tradnl"/>
        </w:rPr>
      </w:pPr>
    </w:p>
    <w:p w:rsidR="0063482E" w:rsidRPr="00C75C7E" w:rsidRDefault="0063482E" w:rsidP="0063482E">
      <w:pPr>
        <w:widowControl w:val="0"/>
        <w:rPr>
          <w:sz w:val="16"/>
          <w:szCs w:val="16"/>
          <w:lang w:val="es-ES_tradnl"/>
        </w:rPr>
      </w:pPr>
      <w:r w:rsidRPr="00C75C7E">
        <w:rPr>
          <w:sz w:val="16"/>
          <w:szCs w:val="16"/>
          <w:lang w:val="es-ES_tradnl"/>
        </w:rPr>
        <w:t>Notas:</w:t>
      </w:r>
    </w:p>
    <w:p w:rsidR="0063482E" w:rsidRPr="00C75C7E" w:rsidRDefault="0063482E" w:rsidP="0063482E">
      <w:pPr>
        <w:widowControl w:val="0"/>
        <w:rPr>
          <w:sz w:val="16"/>
          <w:szCs w:val="16"/>
          <w:u w:val="single"/>
          <w:lang w:val="es-ES_tradnl"/>
        </w:rPr>
      </w:pPr>
    </w:p>
    <w:p w:rsidR="0063482E" w:rsidRDefault="00FC6442" w:rsidP="0063482E">
      <w:pPr>
        <w:widowControl w:val="0"/>
        <w:tabs>
          <w:tab w:val="left" w:pos="567"/>
        </w:tabs>
        <w:rPr>
          <w:sz w:val="16"/>
          <w:szCs w:val="16"/>
          <w:lang w:val="es-ES_tradnl"/>
        </w:rPr>
      </w:pPr>
      <w:r>
        <w:rPr>
          <w:sz w:val="16"/>
          <w:szCs w:val="16"/>
          <w:lang w:val="es-ES_tradnl"/>
        </w:rPr>
        <w:t xml:space="preserve">1)  </w:t>
      </w:r>
      <w:r w:rsidR="0063482E" w:rsidRPr="00C75C7E">
        <w:rPr>
          <w:sz w:val="16"/>
          <w:szCs w:val="16"/>
          <w:lang w:val="es-ES_tradnl"/>
        </w:rPr>
        <w:t xml:space="preserve">El presupuesto aprobado de 2012/13 y el presupuesto de dicho bienio después de las transferencias se </w:t>
      </w:r>
      <w:proofErr w:type="spellStart"/>
      <w:r w:rsidR="0063482E" w:rsidRPr="00C75C7E">
        <w:rPr>
          <w:sz w:val="16"/>
          <w:szCs w:val="16"/>
          <w:lang w:val="es-ES_tradnl"/>
        </w:rPr>
        <w:t>reexpresan</w:t>
      </w:r>
      <w:proofErr w:type="spellEnd"/>
      <w:r w:rsidR="0063482E" w:rsidRPr="00C75C7E">
        <w:rPr>
          <w:sz w:val="16"/>
          <w:szCs w:val="16"/>
          <w:lang w:val="es-ES_tradnl"/>
        </w:rPr>
        <w:t xml:space="preserve"> sobre la base de la estructura de categorías de costos propuesta para 2014/15.</w:t>
      </w:r>
    </w:p>
    <w:p w:rsidR="0063482E" w:rsidRPr="00C75C7E" w:rsidRDefault="0063482E" w:rsidP="0063482E">
      <w:pPr>
        <w:widowControl w:val="0"/>
        <w:tabs>
          <w:tab w:val="left" w:pos="567"/>
        </w:tabs>
        <w:rPr>
          <w:sz w:val="16"/>
          <w:szCs w:val="16"/>
          <w:lang w:val="es-ES_tradnl"/>
        </w:rPr>
      </w:pPr>
    </w:p>
    <w:p w:rsidR="0063482E" w:rsidRDefault="0063482E" w:rsidP="0063482E">
      <w:pPr>
        <w:widowControl w:val="0"/>
        <w:tabs>
          <w:tab w:val="left" w:pos="567"/>
        </w:tabs>
        <w:rPr>
          <w:rFonts w:cs="ArialMT"/>
          <w:sz w:val="16"/>
          <w:szCs w:val="16"/>
          <w:lang w:val="es-ES_tradnl"/>
        </w:rPr>
      </w:pPr>
      <w:r>
        <w:rPr>
          <w:sz w:val="16"/>
          <w:szCs w:val="16"/>
          <w:lang w:val="es-ES_tradnl"/>
        </w:rPr>
        <w:t>2)</w:t>
      </w:r>
      <w:r w:rsidR="00FC6442">
        <w:rPr>
          <w:sz w:val="16"/>
          <w:szCs w:val="16"/>
          <w:lang w:val="es-ES_tradnl"/>
        </w:rPr>
        <w:t xml:space="preserve">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63482E" w:rsidRPr="00C75C7E" w:rsidRDefault="0063482E" w:rsidP="0063482E">
      <w:pPr>
        <w:widowControl w:val="0"/>
        <w:tabs>
          <w:tab w:val="left" w:pos="567"/>
        </w:tabs>
        <w:rPr>
          <w:sz w:val="16"/>
          <w:szCs w:val="16"/>
          <w:lang w:val="es-ES_tradnl"/>
        </w:rPr>
      </w:pPr>
    </w:p>
    <w:p w:rsidR="0063482E" w:rsidRDefault="0063482E" w:rsidP="0063482E">
      <w:pPr>
        <w:widowControl w:val="0"/>
        <w:tabs>
          <w:tab w:val="left" w:pos="567"/>
        </w:tabs>
        <w:rPr>
          <w:sz w:val="16"/>
          <w:szCs w:val="16"/>
          <w:lang w:val="es-ES_tradnl"/>
        </w:rPr>
      </w:pPr>
      <w:r>
        <w:rPr>
          <w:sz w:val="16"/>
          <w:szCs w:val="16"/>
          <w:lang w:val="es-ES_tradnl"/>
        </w:rPr>
        <w:t>3)</w:t>
      </w:r>
      <w:r w:rsidR="00FC6442">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05047E" w:rsidRPr="00C75C7E" w:rsidRDefault="0005047E" w:rsidP="0063482E">
      <w:pPr>
        <w:widowControl w:val="0"/>
        <w:tabs>
          <w:tab w:val="left" w:pos="567"/>
        </w:tabs>
        <w:rPr>
          <w:sz w:val="16"/>
          <w:szCs w:val="16"/>
          <w:lang w:val="es-ES_tradnl"/>
        </w:rPr>
      </w:pPr>
    </w:p>
    <w:p w:rsidR="0063482E" w:rsidRDefault="0063482E" w:rsidP="0063482E">
      <w:pPr>
        <w:rPr>
          <w:sz w:val="20"/>
          <w:lang w:val="es-ES_tradnl"/>
        </w:rPr>
      </w:pPr>
    </w:p>
    <w:p w:rsidR="005231DF" w:rsidRDefault="005231DF">
      <w:pPr>
        <w:rPr>
          <w:sz w:val="20"/>
          <w:lang w:val="es-ES_tradnl"/>
        </w:rPr>
      </w:pPr>
      <w:r>
        <w:rPr>
          <w:sz w:val="20"/>
          <w:lang w:val="es-ES_tradnl"/>
        </w:rPr>
        <w:br w:type="page"/>
      </w:r>
    </w:p>
    <w:p w:rsidR="0005047E" w:rsidRDefault="0005047E" w:rsidP="0063482E">
      <w:pPr>
        <w:rPr>
          <w:sz w:val="20"/>
          <w:lang w:val="es-ES_tradnl"/>
        </w:rPr>
      </w:pPr>
    </w:p>
    <w:p w:rsidR="005231DF" w:rsidRDefault="005231DF" w:rsidP="0063482E">
      <w:pPr>
        <w:rPr>
          <w:sz w:val="20"/>
          <w:lang w:val="es-ES_tradnl"/>
        </w:rPr>
        <w:sectPr w:rsidR="005231DF" w:rsidSect="003A0C0D">
          <w:headerReference w:type="even" r:id="rId65"/>
          <w:headerReference w:type="default" r:id="rId66"/>
          <w:pgSz w:w="11907" w:h="16840" w:code="9"/>
          <w:pgMar w:top="567" w:right="1134" w:bottom="1418" w:left="1418" w:header="510" w:footer="1021" w:gutter="0"/>
          <w:cols w:space="720"/>
          <w:titlePg/>
        </w:sectPr>
      </w:pPr>
    </w:p>
    <w:p w:rsidR="00FE42C5" w:rsidRDefault="00D04A55" w:rsidP="00EA39DF">
      <w:pPr>
        <w:pStyle w:val="Heading2"/>
        <w:jc w:val="center"/>
        <w:rPr>
          <w:b/>
          <w:caps w:val="0"/>
          <w:sz w:val="24"/>
          <w:szCs w:val="24"/>
          <w:lang w:val="es-ES_tradnl" w:eastAsia="da-DK"/>
        </w:rPr>
      </w:pPr>
      <w:bookmarkStart w:id="38" w:name="_Toc366078717"/>
      <w:bookmarkStart w:id="39" w:name="_Toc356567756"/>
      <w:r w:rsidRPr="008F43DB">
        <w:rPr>
          <w:b/>
          <w:caps w:val="0"/>
          <w:sz w:val="24"/>
          <w:szCs w:val="24"/>
          <w:lang w:val="es-ES_tradnl" w:eastAsia="da-DK"/>
        </w:rPr>
        <w:lastRenderedPageBreak/>
        <w:t>META ESTRATÉGICA III</w:t>
      </w:r>
      <w:bookmarkEnd w:id="38"/>
    </w:p>
    <w:p w:rsidR="00D04A55" w:rsidRPr="008F43DB" w:rsidRDefault="00D04A55" w:rsidP="00EA39DF">
      <w:pPr>
        <w:pStyle w:val="Heading2"/>
        <w:jc w:val="center"/>
        <w:rPr>
          <w:b/>
          <w:caps w:val="0"/>
          <w:sz w:val="24"/>
          <w:szCs w:val="24"/>
          <w:lang w:val="es-ES_tradnl" w:eastAsia="da-DK"/>
        </w:rPr>
      </w:pPr>
      <w:bookmarkStart w:id="40" w:name="_Toc366078718"/>
      <w:r w:rsidRPr="008F43DB">
        <w:rPr>
          <w:b/>
          <w:caps w:val="0"/>
          <w:sz w:val="24"/>
          <w:szCs w:val="24"/>
          <w:lang w:val="es-ES_tradnl" w:eastAsia="da-DK"/>
        </w:rPr>
        <w:t>FACILITAR EL USO DE LA P.I. EN ARAS DEL DESARROLLO</w:t>
      </w:r>
      <w:bookmarkEnd w:id="40"/>
    </w:p>
    <w:bookmarkEnd w:id="39"/>
    <w:p w:rsidR="00D04A55" w:rsidRPr="00EA39DF" w:rsidRDefault="00D04A55" w:rsidP="00EA39DF">
      <w:pPr>
        <w:widowControl w:val="0"/>
        <w:jc w:val="both"/>
        <w:rPr>
          <w:rFonts w:eastAsia="Times New Roman"/>
          <w:sz w:val="20"/>
          <w:lang w:eastAsia="en-US"/>
        </w:rPr>
      </w:pPr>
    </w:p>
    <w:p w:rsidR="00D04A55" w:rsidRPr="00EA39DF" w:rsidRDefault="00D04A55" w:rsidP="00EA39DF">
      <w:pPr>
        <w:widowControl w:val="0"/>
        <w:jc w:val="both"/>
        <w:rPr>
          <w:rFonts w:eastAsia="Times New Roman"/>
          <w:sz w:val="20"/>
          <w:lang w:eastAsia="en-US"/>
        </w:rPr>
      </w:pPr>
    </w:p>
    <w:p w:rsidR="00D04A55" w:rsidRPr="00D04A55" w:rsidRDefault="00D04A55" w:rsidP="00D04A55">
      <w:pPr>
        <w:widowControl w:val="0"/>
        <w:jc w:val="both"/>
        <w:rPr>
          <w:rFonts w:eastAsia="Times New Roman"/>
          <w:sz w:val="20"/>
          <w:lang w:eastAsia="en-US"/>
        </w:rPr>
      </w:pPr>
      <w:r w:rsidRPr="00D04A55">
        <w:rPr>
          <w:rFonts w:eastAsia="Times New Roman"/>
          <w:sz w:val="20"/>
          <w:lang w:eastAsia="en-US"/>
        </w:rPr>
        <w:t xml:space="preserve">La meta de facilitar el uso de la P.I. en aras del desarrollo social, cultural y económico es lo que impulsa las múltiples actividades de la OMPI de asistencia técnica y fortalecimiento de capacidades, de cuya ejecución se ocupan varios programas en cada sector de la Organización.  Común denominador de todas esas actividades, el enfoque a mediano plazo de esta meta estratégica intersectorial es asistir a los países en desarrollo, los países menos adelantados (PMA) y los países con economías en transición a que utilicen eficazmente el sistema de propiedad intelectual en función de su propio contexto. </w:t>
      </w:r>
    </w:p>
    <w:p w:rsidR="00D04A55" w:rsidRPr="00D04A55" w:rsidRDefault="00D04A55" w:rsidP="00D04A55">
      <w:pPr>
        <w:widowControl w:val="0"/>
        <w:jc w:val="both"/>
        <w:rPr>
          <w:rFonts w:eastAsia="Times New Roman"/>
          <w:sz w:val="20"/>
          <w:lang w:eastAsia="en-US"/>
        </w:rPr>
      </w:pPr>
    </w:p>
    <w:p w:rsidR="00D04A55" w:rsidRPr="00D04A55" w:rsidRDefault="00D04A55" w:rsidP="00D04A55">
      <w:pPr>
        <w:widowControl w:val="0"/>
        <w:autoSpaceDE w:val="0"/>
        <w:autoSpaceDN w:val="0"/>
        <w:adjustRightInd w:val="0"/>
        <w:jc w:val="both"/>
        <w:rPr>
          <w:rFonts w:eastAsia="Times New Roman"/>
          <w:i/>
          <w:iCs/>
          <w:sz w:val="20"/>
          <w:lang w:eastAsia="en-US"/>
        </w:rPr>
      </w:pPr>
      <w:r w:rsidRPr="00D04A55">
        <w:rPr>
          <w:rFonts w:eastAsia="Times New Roman"/>
          <w:sz w:val="20"/>
          <w:lang w:eastAsia="en-US"/>
        </w:rPr>
        <w:t>La Agenda de la OMPI para el Desarrollo desempeña un papel central a la hora de garantizar que todas las actividades de la OMPI contribuyan a esta meta estratégica.</w:t>
      </w:r>
    </w:p>
    <w:p w:rsidR="00F921DF" w:rsidRPr="00D04A55" w:rsidRDefault="00F921DF" w:rsidP="008F691D">
      <w:pPr>
        <w:tabs>
          <w:tab w:val="left" w:pos="1701"/>
        </w:tabs>
        <w:ind w:left="1701" w:hanging="1701"/>
        <w:rPr>
          <w:b/>
          <w:bCs/>
          <w:caps/>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286"/>
        <w:gridCol w:w="3174"/>
        <w:gridCol w:w="2833"/>
      </w:tblGrid>
      <w:tr w:rsidR="00B16400" w:rsidRPr="00C75C7E" w:rsidTr="004341A3">
        <w:trPr>
          <w:cantSplit/>
          <w:tblHeader/>
        </w:trPr>
        <w:tc>
          <w:tcPr>
            <w:tcW w:w="1768" w:type="pct"/>
            <w:tcBorders>
              <w:top w:val="single" w:sz="4" w:space="0" w:color="auto"/>
              <w:bottom w:val="single" w:sz="4" w:space="0" w:color="auto"/>
            </w:tcBorders>
            <w:shd w:val="clear" w:color="auto" w:fill="CCFFFF"/>
            <w:tcMar>
              <w:top w:w="113" w:type="dxa"/>
              <w:bottom w:w="57" w:type="dxa"/>
            </w:tcMar>
            <w:vAlign w:val="center"/>
          </w:tcPr>
          <w:p w:rsidR="00B16400" w:rsidRPr="00C75C7E" w:rsidRDefault="00B16400" w:rsidP="004341A3">
            <w:pPr>
              <w:widowControl w:val="0"/>
              <w:spacing w:after="120"/>
              <w:jc w:val="center"/>
              <w:rPr>
                <w:b/>
                <w:bCs/>
                <w:sz w:val="16"/>
                <w:szCs w:val="16"/>
                <w:lang w:val="es-ES_tradnl"/>
              </w:rPr>
            </w:pPr>
            <w:r w:rsidRPr="00C75C7E">
              <w:rPr>
                <w:b/>
                <w:bCs/>
                <w:sz w:val="16"/>
                <w:szCs w:val="16"/>
                <w:lang w:val="es-ES_tradnl"/>
              </w:rPr>
              <w:t>Resultados previstos</w:t>
            </w:r>
          </w:p>
        </w:tc>
        <w:tc>
          <w:tcPr>
            <w:tcW w:w="1708" w:type="pct"/>
            <w:tcBorders>
              <w:top w:val="single" w:sz="4" w:space="0" w:color="auto"/>
              <w:bottom w:val="single" w:sz="4" w:space="0" w:color="auto"/>
            </w:tcBorders>
            <w:shd w:val="clear" w:color="auto" w:fill="CCFFFF"/>
            <w:tcMar>
              <w:top w:w="113" w:type="dxa"/>
              <w:bottom w:w="57" w:type="dxa"/>
            </w:tcMar>
            <w:vAlign w:val="center"/>
          </w:tcPr>
          <w:p w:rsidR="00B16400" w:rsidRPr="00C75C7E" w:rsidRDefault="00B16400" w:rsidP="004341A3">
            <w:pPr>
              <w:widowControl w:val="0"/>
              <w:spacing w:after="120"/>
              <w:jc w:val="center"/>
              <w:rPr>
                <w:b/>
                <w:bCs/>
                <w:sz w:val="16"/>
                <w:szCs w:val="16"/>
                <w:lang w:val="es-ES_tradnl"/>
              </w:rPr>
            </w:pPr>
            <w:r w:rsidRPr="00C75C7E">
              <w:rPr>
                <w:b/>
                <w:bCs/>
                <w:sz w:val="16"/>
                <w:szCs w:val="16"/>
                <w:lang w:val="es-ES_tradnl"/>
              </w:rPr>
              <w:t>Indicadores de rendimiento</w:t>
            </w:r>
          </w:p>
        </w:tc>
        <w:tc>
          <w:tcPr>
            <w:tcW w:w="1524" w:type="pct"/>
            <w:tcBorders>
              <w:top w:val="single" w:sz="4" w:space="0" w:color="auto"/>
              <w:bottom w:val="single" w:sz="4" w:space="0" w:color="auto"/>
            </w:tcBorders>
            <w:shd w:val="clear" w:color="auto" w:fill="CCFFFF"/>
            <w:tcMar>
              <w:top w:w="113" w:type="dxa"/>
              <w:bottom w:w="57" w:type="dxa"/>
            </w:tcMar>
            <w:vAlign w:val="center"/>
          </w:tcPr>
          <w:p w:rsidR="00B16400" w:rsidRPr="00C75C7E" w:rsidRDefault="00B16400" w:rsidP="004341A3">
            <w:pPr>
              <w:widowControl w:val="0"/>
              <w:spacing w:after="120"/>
              <w:ind w:left="85"/>
              <w:jc w:val="center"/>
              <w:rPr>
                <w:b/>
                <w:bCs/>
                <w:sz w:val="16"/>
                <w:szCs w:val="16"/>
                <w:lang w:val="es-ES_tradnl"/>
              </w:rPr>
            </w:pPr>
            <w:r w:rsidRPr="00C75C7E">
              <w:rPr>
                <w:b/>
                <w:bCs/>
                <w:sz w:val="16"/>
                <w:szCs w:val="16"/>
                <w:lang w:val="es-ES_tradnl"/>
              </w:rPr>
              <w:t>Programas responsables</w:t>
            </w:r>
          </w:p>
        </w:tc>
      </w:tr>
      <w:tr w:rsidR="00B16400" w:rsidRPr="00C75C7E" w:rsidTr="004341A3">
        <w:trPr>
          <w:cantSplit/>
        </w:trPr>
        <w:tc>
          <w:tcPr>
            <w:tcW w:w="1768" w:type="pct"/>
            <w:tcBorders>
              <w:top w:val="single" w:sz="4" w:space="0" w:color="auto"/>
            </w:tcBorders>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III.1. Estrategias y planes nacionales de innovación y de P.I. que estén en sintonía con los objetivos nacionales de desarrollo.</w:t>
            </w:r>
            <w:r w:rsidRPr="00C75C7E">
              <w:rPr>
                <w:sz w:val="15"/>
                <w:szCs w:val="15"/>
                <w:lang w:val="es-ES_tradnl"/>
              </w:rPr>
              <w:t xml:space="preserve"> </w:t>
            </w:r>
          </w:p>
        </w:tc>
        <w:tc>
          <w:tcPr>
            <w:tcW w:w="1708" w:type="pct"/>
            <w:tcBorders>
              <w:top w:val="single" w:sz="4" w:space="0" w:color="auto"/>
            </w:tcBorders>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países que están en proceso de formular/adoptar estrategias o planes de desarrollo nacionales de P.I.</w:t>
            </w:r>
          </w:p>
        </w:tc>
        <w:tc>
          <w:tcPr>
            <w:tcW w:w="1524" w:type="pct"/>
            <w:tcBorders>
              <w:top w:val="single" w:sz="4" w:space="0" w:color="auto"/>
            </w:tcBorders>
            <w:shd w:val="clear" w:color="auto" w:fill="FFFFFF"/>
            <w:tcMar>
              <w:top w:w="113" w:type="dxa"/>
              <w:bottom w:w="57" w:type="dxa"/>
            </w:tcMar>
          </w:tcPr>
          <w:p w:rsidR="00B16400" w:rsidRPr="00C75C7E" w:rsidRDefault="00B16400" w:rsidP="004341A3">
            <w:pPr>
              <w:widowControl w:val="0"/>
              <w:ind w:left="551"/>
              <w:rPr>
                <w:sz w:val="16"/>
                <w:szCs w:val="16"/>
                <w:lang w:val="es-ES_tradnl"/>
              </w:rPr>
            </w:pPr>
            <w:r w:rsidRPr="00C75C7E">
              <w:rPr>
                <w:sz w:val="16"/>
                <w:szCs w:val="16"/>
                <w:lang w:val="es-ES_tradnl" w:bidi="th-TH"/>
              </w:rPr>
              <w:t>Programa  9</w:t>
            </w:r>
          </w:p>
        </w:tc>
      </w:tr>
      <w:tr w:rsidR="00B16400" w:rsidRPr="00C75C7E" w:rsidTr="004341A3">
        <w:trPr>
          <w:cantSplit/>
          <w:trHeight w:val="556"/>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países que han adoptado o aplicado estrategias o planes de desarrollo nacionales de P.I.</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rPr>
            </w:pPr>
            <w:r w:rsidRPr="00C75C7E">
              <w:rPr>
                <w:sz w:val="16"/>
                <w:szCs w:val="16"/>
                <w:lang w:val="es-ES_tradnl" w:bidi="th-TH"/>
              </w:rPr>
              <w:t>Programa  9</w:t>
            </w:r>
          </w:p>
        </w:tc>
      </w:tr>
      <w:tr w:rsidR="00B16400" w:rsidRPr="00C75C7E" w:rsidTr="004341A3">
        <w:trPr>
          <w:cantSplit/>
          <w:trHeight w:val="368"/>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universidades que han elaborado políticas de P.I.</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rPr>
            </w:pPr>
            <w:r w:rsidRPr="00C75C7E">
              <w:rPr>
                <w:sz w:val="16"/>
                <w:szCs w:val="16"/>
                <w:lang w:val="es-ES_tradnl" w:bidi="th-TH"/>
              </w:rPr>
              <w:t>Programa  10</w:t>
            </w:r>
          </w:p>
        </w:tc>
      </w:tr>
      <w:tr w:rsidR="00B16400" w:rsidRPr="00C75C7E" w:rsidTr="004341A3">
        <w:trPr>
          <w:cantSplit/>
          <w:trHeight w:val="362"/>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países que han elaborado estrategias/planes nacionales de P.I.</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10</w:t>
            </w:r>
          </w:p>
        </w:tc>
      </w:tr>
      <w:tr w:rsidR="00F75B80" w:rsidRPr="00C75C7E" w:rsidTr="00F75B80">
        <w:trPr>
          <w:cantSplit/>
          <w:trHeight w:val="680"/>
        </w:trPr>
        <w:tc>
          <w:tcPr>
            <w:tcW w:w="1768" w:type="pct"/>
            <w:shd w:val="clear" w:color="auto" w:fill="auto"/>
            <w:tcMar>
              <w:top w:w="113" w:type="dxa"/>
              <w:bottom w:w="57" w:type="dxa"/>
            </w:tcMar>
          </w:tcPr>
          <w:p w:rsidR="00F75B80" w:rsidRPr="00C75C7E" w:rsidRDefault="00F75B80" w:rsidP="004341A3">
            <w:pPr>
              <w:widowControl w:val="0"/>
              <w:rPr>
                <w:sz w:val="16"/>
                <w:szCs w:val="16"/>
                <w:lang w:val="es-ES_tradnl"/>
              </w:rPr>
            </w:pPr>
          </w:p>
        </w:tc>
        <w:tc>
          <w:tcPr>
            <w:tcW w:w="1708" w:type="pct"/>
            <w:shd w:val="clear" w:color="auto" w:fill="auto"/>
            <w:tcMar>
              <w:top w:w="113" w:type="dxa"/>
              <w:bottom w:w="57" w:type="dxa"/>
            </w:tcMar>
          </w:tcPr>
          <w:p w:rsidR="00F75B80" w:rsidRPr="00C75C7E" w:rsidRDefault="00F75B80" w:rsidP="004341A3">
            <w:pPr>
              <w:widowControl w:val="0"/>
              <w:rPr>
                <w:sz w:val="16"/>
                <w:szCs w:val="16"/>
                <w:lang w:val="es-ES_tradnl"/>
              </w:rPr>
            </w:pPr>
            <w:r>
              <w:rPr>
                <w:sz w:val="16"/>
                <w:szCs w:val="16"/>
                <w:lang w:val="es-ES_tradnl"/>
              </w:rPr>
              <w:t>Número de países con políticas nacionales de innovación iniciadas, en curso o adoptadas.</w:t>
            </w:r>
          </w:p>
        </w:tc>
        <w:tc>
          <w:tcPr>
            <w:tcW w:w="1524" w:type="pct"/>
            <w:shd w:val="clear" w:color="auto" w:fill="FFFFFF"/>
            <w:tcMar>
              <w:top w:w="113" w:type="dxa"/>
              <w:bottom w:w="57" w:type="dxa"/>
            </w:tcMar>
          </w:tcPr>
          <w:p w:rsidR="00F75B80" w:rsidRPr="00C75C7E" w:rsidRDefault="00F75B80" w:rsidP="004341A3">
            <w:pPr>
              <w:widowControl w:val="0"/>
              <w:ind w:left="551"/>
              <w:rPr>
                <w:sz w:val="16"/>
                <w:szCs w:val="16"/>
                <w:lang w:val="es-ES_tradnl" w:bidi="th-TH"/>
              </w:rPr>
            </w:pPr>
            <w:r>
              <w:rPr>
                <w:sz w:val="16"/>
                <w:szCs w:val="16"/>
                <w:lang w:val="es-ES_tradnl" w:bidi="th-TH"/>
              </w:rPr>
              <w:t>Programa  30</w:t>
            </w:r>
          </w:p>
        </w:tc>
      </w:tr>
      <w:tr w:rsidR="00B16400" w:rsidRPr="00C75C7E" w:rsidTr="004341A3">
        <w:trPr>
          <w:cantSplit/>
          <w:trHeight w:val="1089"/>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III.2 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gobiernos y de OGC que firman acuerdos con la OMPI para elaborar una nueva norma de garantía de calidad en materia de transparencia, rendición de cuentas y gobernanza.</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3</w:t>
            </w:r>
          </w:p>
        </w:tc>
      </w:tr>
      <w:tr w:rsidR="00B16400" w:rsidRPr="00C75C7E" w:rsidTr="004341A3">
        <w:trPr>
          <w:cantSplit/>
          <w:trHeight w:val="702"/>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Porcentaje de creadores satisfechos con la formación proporcionada sobre el uso de la información y los datos de derecho de autor para la gestión eficaz de sus derechos de autor.</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3</w:t>
            </w:r>
          </w:p>
        </w:tc>
      </w:tr>
      <w:tr w:rsidR="00B16400" w:rsidRPr="00C75C7E" w:rsidTr="004341A3">
        <w:trPr>
          <w:cantSplit/>
          <w:trHeight w:val="540"/>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Porcentaje de participantes en reuniones y talleres de creación de capacidad sobre cuestiones de derecho de autor que expresaron satisfacción al respecto.</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3</w:t>
            </w:r>
          </w:p>
        </w:tc>
      </w:tr>
      <w:tr w:rsidR="00B16400" w:rsidRPr="00C75C7E" w:rsidTr="004341A3">
        <w:trPr>
          <w:cantSplit/>
          <w:trHeight w:val="800"/>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Estados miembros que toman iniciativas para mejorar el uso del sistema de derecho de autor a fin de explotar el potencial económico de sus obras y productos culturales.</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3</w:t>
            </w:r>
          </w:p>
        </w:tc>
      </w:tr>
      <w:tr w:rsidR="00B16400" w:rsidRPr="00C75C7E" w:rsidTr="004341A3">
        <w:trPr>
          <w:cantSplit/>
          <w:trHeight w:val="800"/>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Porcentaje de participantes en actividades de la OMPI que afirman haber fomentado la capacidad de comprender y utilizar principios, sistemas y herramientas de P.I. para la protección de los CC.TT. y las ECT, y para la gestión de la relación existente entre la P.I. y los RR.GG.</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4</w:t>
            </w:r>
          </w:p>
        </w:tc>
      </w:tr>
      <w:tr w:rsidR="00B16400" w:rsidRPr="00C75C7E" w:rsidTr="004341A3">
        <w:trPr>
          <w:cantSplit/>
          <w:trHeight w:val="550"/>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Porcentaje de participantes en actividades de la OMPI que se muestran satisfechos del contenido y la organización de dichos actos.</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9</w:t>
            </w:r>
          </w:p>
        </w:tc>
      </w:tr>
      <w:tr w:rsidR="00B16400" w:rsidRPr="00C75C7E" w:rsidTr="004341A3">
        <w:trPr>
          <w:cantSplit/>
          <w:trHeight w:val="554"/>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Porcentaje de participantes en talleres de la OMPI que aplican las capacidades adquiridas en su labor/empresa.</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9</w:t>
            </w:r>
          </w:p>
        </w:tc>
      </w:tr>
      <w:tr w:rsidR="00B16400" w:rsidRPr="00C75C7E" w:rsidTr="004341A3">
        <w:trPr>
          <w:cantSplit/>
          <w:trHeight w:val="532"/>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 xml:space="preserve">Porcentaje de expertos nacionales y regionales en P.I. utilizados como expertos en las actividades de la OMPI </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9</w:t>
            </w:r>
          </w:p>
        </w:tc>
      </w:tr>
      <w:tr w:rsidR="00B16400" w:rsidRPr="00C75C7E" w:rsidTr="004341A3">
        <w:trPr>
          <w:cantSplit/>
          <w:trHeight w:val="547"/>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países con economías en transición que han establecido programas o cursos anuales de formación en P.I. para los profesionales de la P.I. o las pymes</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10</w:t>
            </w:r>
          </w:p>
        </w:tc>
      </w:tr>
      <w:tr w:rsidR="00B16400" w:rsidRPr="00C75C7E" w:rsidTr="004341A3">
        <w:trPr>
          <w:cantSplit/>
          <w:trHeight w:val="538"/>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Porcentaje de profesionales de P.I. y funcionarios de oficinas de P.I. que han recibido formación y utilizan en su trabajo las nuevas aptitudes adquiridas.</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10</w:t>
            </w:r>
          </w:p>
        </w:tc>
      </w:tr>
      <w:tr w:rsidR="00B16400" w:rsidRPr="00C75C7E" w:rsidTr="004341A3">
        <w:trPr>
          <w:cantSplit/>
          <w:trHeight w:val="800"/>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Cartera revisada de cursos de formación en P.I. para los países en desarrollo, PMA y países con economías en transición/ pertinencia del contenido de los cursos de formación para las necesidades de fortalecimiento de capacidades de los países en desarrollo, los PMA y los países con economías en transición.</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11</w:t>
            </w:r>
          </w:p>
        </w:tc>
      </w:tr>
      <w:tr w:rsidR="00B16400" w:rsidRPr="00C75C7E" w:rsidTr="004341A3">
        <w:trPr>
          <w:cantSplit/>
          <w:trHeight w:val="800"/>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Acceso ampliado y plurilingüe a la enseñanza a distancia de diversos aspectos de la P.I. para los países en desarrollo, los PMA y los países con economías en transición / pertinencia del contenido de la cartera de cursos de enseñanza a distancia para las necesidades de fortalecimiento de capacidades de los países en desarrollo, los PMA y los países con economías en transición.</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11</w:t>
            </w:r>
          </w:p>
        </w:tc>
      </w:tr>
      <w:tr w:rsidR="00B16400" w:rsidRPr="00C75C7E" w:rsidTr="004341A3">
        <w:trPr>
          <w:cantSplit/>
          <w:trHeight w:val="800"/>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Fomento del acceso a los estudios superiores en P.I. para los países en desarrollo, los PMA y los países con economías en transición / número de universidades de países en desarrollo, PMA y países con economías en transición que ofrecen nuevos programas docentes de P.I.</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11</w:t>
            </w:r>
          </w:p>
        </w:tc>
      </w:tr>
      <w:tr w:rsidR="005B4CCD" w:rsidRPr="00C75C7E" w:rsidTr="005B4CCD">
        <w:trPr>
          <w:cantSplit/>
          <w:trHeight w:val="588"/>
        </w:trPr>
        <w:tc>
          <w:tcPr>
            <w:tcW w:w="1768" w:type="pct"/>
            <w:shd w:val="clear" w:color="auto" w:fill="auto"/>
            <w:tcMar>
              <w:top w:w="113" w:type="dxa"/>
              <w:bottom w:w="57" w:type="dxa"/>
            </w:tcMar>
          </w:tcPr>
          <w:p w:rsidR="005B4CCD" w:rsidRPr="00C75C7E" w:rsidRDefault="005B4CCD" w:rsidP="005B4CCD">
            <w:pPr>
              <w:widowControl w:val="0"/>
              <w:rPr>
                <w:sz w:val="16"/>
                <w:szCs w:val="16"/>
                <w:lang w:val="es-ES_tradnl"/>
              </w:rPr>
            </w:pPr>
          </w:p>
        </w:tc>
        <w:tc>
          <w:tcPr>
            <w:tcW w:w="1708" w:type="pct"/>
            <w:shd w:val="clear" w:color="auto" w:fill="auto"/>
            <w:tcMar>
              <w:top w:w="113" w:type="dxa"/>
              <w:bottom w:w="57" w:type="dxa"/>
            </w:tcMar>
          </w:tcPr>
          <w:p w:rsidR="005B4CCD" w:rsidRPr="00C75C7E" w:rsidRDefault="005B4CCD" w:rsidP="005B4CCD">
            <w:pPr>
              <w:widowControl w:val="0"/>
              <w:rPr>
                <w:sz w:val="16"/>
                <w:szCs w:val="16"/>
                <w:lang w:val="es-ES_tradnl"/>
              </w:rPr>
            </w:pPr>
            <w:r w:rsidRPr="00C75C7E">
              <w:rPr>
                <w:sz w:val="16"/>
                <w:szCs w:val="16"/>
                <w:lang w:val="es-ES_tradnl"/>
              </w:rPr>
              <w:t>Establecimiento progresivo de una red de expertos en P.I. en los países en desarrollo, PMA y países con economías en transición.</w:t>
            </w:r>
          </w:p>
        </w:tc>
        <w:tc>
          <w:tcPr>
            <w:tcW w:w="1524" w:type="pct"/>
            <w:shd w:val="clear" w:color="auto" w:fill="FFFFFF"/>
            <w:tcMar>
              <w:top w:w="113" w:type="dxa"/>
              <w:bottom w:w="57" w:type="dxa"/>
            </w:tcMar>
          </w:tcPr>
          <w:p w:rsidR="005B4CCD" w:rsidRPr="00C75C7E" w:rsidRDefault="005B4CCD" w:rsidP="005B4CCD">
            <w:pPr>
              <w:widowControl w:val="0"/>
              <w:ind w:left="551"/>
              <w:rPr>
                <w:sz w:val="16"/>
                <w:szCs w:val="16"/>
                <w:lang w:val="es-ES_tradnl" w:bidi="th-TH"/>
              </w:rPr>
            </w:pPr>
            <w:r w:rsidRPr="00C75C7E">
              <w:rPr>
                <w:sz w:val="16"/>
                <w:szCs w:val="16"/>
                <w:lang w:val="es-ES_tradnl" w:bidi="th-TH"/>
              </w:rPr>
              <w:t>Programa  11</w:t>
            </w:r>
          </w:p>
        </w:tc>
      </w:tr>
      <w:tr w:rsidR="005B4CCD" w:rsidRPr="00C75C7E" w:rsidTr="005B4CCD">
        <w:trPr>
          <w:cantSplit/>
          <w:trHeight w:val="588"/>
        </w:trPr>
        <w:tc>
          <w:tcPr>
            <w:tcW w:w="1768" w:type="pct"/>
            <w:shd w:val="clear" w:color="auto" w:fill="auto"/>
            <w:tcMar>
              <w:top w:w="113" w:type="dxa"/>
              <w:bottom w:w="57" w:type="dxa"/>
            </w:tcMar>
          </w:tcPr>
          <w:p w:rsidR="005B4CCD" w:rsidRPr="00C75C7E" w:rsidRDefault="005B4CCD" w:rsidP="005B4CCD">
            <w:pPr>
              <w:widowControl w:val="0"/>
              <w:rPr>
                <w:sz w:val="16"/>
                <w:szCs w:val="16"/>
                <w:lang w:val="es-ES_tradnl"/>
              </w:rPr>
            </w:pPr>
          </w:p>
        </w:tc>
        <w:tc>
          <w:tcPr>
            <w:tcW w:w="1708" w:type="pct"/>
            <w:shd w:val="clear" w:color="auto" w:fill="auto"/>
            <w:tcMar>
              <w:top w:w="113" w:type="dxa"/>
              <w:bottom w:w="57" w:type="dxa"/>
            </w:tcMar>
          </w:tcPr>
          <w:p w:rsidR="005B4CCD" w:rsidRPr="00C75C7E" w:rsidRDefault="005B4CCD" w:rsidP="005B4CCD">
            <w:pPr>
              <w:widowControl w:val="0"/>
              <w:rPr>
                <w:sz w:val="16"/>
                <w:szCs w:val="16"/>
                <w:lang w:val="es-ES_tradnl"/>
              </w:rPr>
            </w:pPr>
            <w:r>
              <w:rPr>
                <w:sz w:val="16"/>
                <w:szCs w:val="16"/>
                <w:lang w:val="es-ES_tradnl"/>
              </w:rPr>
              <w:t>Número de nuevas academias nacionales establecidas tras la finalización de la fase piloto</w:t>
            </w:r>
            <w:r w:rsidRPr="00C75C7E">
              <w:rPr>
                <w:sz w:val="16"/>
                <w:szCs w:val="16"/>
                <w:lang w:val="es-ES_tradnl"/>
              </w:rPr>
              <w:t>.</w:t>
            </w:r>
          </w:p>
        </w:tc>
        <w:tc>
          <w:tcPr>
            <w:tcW w:w="1524" w:type="pct"/>
            <w:shd w:val="clear" w:color="auto" w:fill="FFFFFF"/>
            <w:tcMar>
              <w:top w:w="113" w:type="dxa"/>
              <w:bottom w:w="57" w:type="dxa"/>
            </w:tcMar>
          </w:tcPr>
          <w:p w:rsidR="005B4CCD" w:rsidRPr="00C75C7E" w:rsidRDefault="005B4CCD" w:rsidP="005B4CCD">
            <w:pPr>
              <w:widowControl w:val="0"/>
              <w:ind w:left="551"/>
              <w:rPr>
                <w:sz w:val="16"/>
                <w:szCs w:val="16"/>
                <w:lang w:val="es-ES_tradnl" w:bidi="th-TH"/>
              </w:rPr>
            </w:pPr>
            <w:r w:rsidRPr="00C75C7E">
              <w:rPr>
                <w:sz w:val="16"/>
                <w:szCs w:val="16"/>
                <w:lang w:val="es-ES_tradnl" w:bidi="th-TH"/>
              </w:rPr>
              <w:t>Programa  11</w:t>
            </w:r>
          </w:p>
        </w:tc>
      </w:tr>
      <w:tr w:rsidR="00B16400" w:rsidRPr="00C75C7E" w:rsidTr="004341A3">
        <w:trPr>
          <w:cantSplit/>
          <w:trHeight w:val="726"/>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Porcentaje de participantes que han recibido formación y que están satisfechos de la utilidad y pertinencia de la formación recibida para su vida profesional.</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17</w:t>
            </w:r>
          </w:p>
        </w:tc>
      </w:tr>
      <w:tr w:rsidR="00B16400" w:rsidRPr="00C75C7E" w:rsidTr="004341A3">
        <w:trPr>
          <w:cantSplit/>
          <w:trHeight w:val="543"/>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5B4CCD">
            <w:pPr>
              <w:widowControl w:val="0"/>
              <w:rPr>
                <w:sz w:val="16"/>
                <w:szCs w:val="16"/>
                <w:lang w:val="es-ES_tradnl"/>
              </w:rPr>
            </w:pPr>
            <w:r w:rsidRPr="00C75C7E">
              <w:rPr>
                <w:sz w:val="16"/>
                <w:szCs w:val="16"/>
                <w:lang w:val="es-ES_tradnl"/>
              </w:rPr>
              <w:t>Porcentaje de destinatarios que han demostrado conocimientos básicos de</w:t>
            </w:r>
            <w:r w:rsidR="005B4CCD">
              <w:rPr>
                <w:sz w:val="16"/>
                <w:szCs w:val="16"/>
                <w:lang w:val="es-ES_tradnl"/>
              </w:rPr>
              <w:t xml:space="preserve"> un sistema equilibrado </w:t>
            </w:r>
            <w:r w:rsidRPr="00C75C7E">
              <w:rPr>
                <w:sz w:val="16"/>
                <w:szCs w:val="16"/>
                <w:lang w:val="es-ES_tradnl"/>
              </w:rPr>
              <w:t>de P.I. tras las actividades de la OMPI.</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17</w:t>
            </w:r>
          </w:p>
        </w:tc>
      </w:tr>
      <w:tr w:rsidR="00B16400" w:rsidRPr="00C75C7E" w:rsidTr="004341A3">
        <w:trPr>
          <w:cantSplit/>
          <w:trHeight w:val="369"/>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países participantes en el programa de Premios de la OMPI.</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17</w:t>
            </w:r>
          </w:p>
        </w:tc>
      </w:tr>
      <w:tr w:rsidR="00B16400" w:rsidRPr="00C75C7E" w:rsidTr="004341A3">
        <w:trPr>
          <w:cantSplit/>
          <w:trHeight w:val="492"/>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acuerdos de acogida de científicos de países en desarrollo.</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18</w:t>
            </w:r>
          </w:p>
        </w:tc>
      </w:tr>
      <w:tr w:rsidR="00B16400" w:rsidRPr="00C75C7E" w:rsidTr="004341A3">
        <w:trPr>
          <w:cantSplit/>
          <w:trHeight w:val="800"/>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Porcentaje de encargados de la adopción de políticas, funcionarios gubernamentales, profesionales de la P.I. y participantes en talleres con un mayor conocimiento de los OGC y la manera de usar eficazmente la P.I. al servicio del desarrollo.</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20</w:t>
            </w:r>
          </w:p>
        </w:tc>
      </w:tr>
      <w:tr w:rsidR="00F43EC5" w:rsidRPr="00C75C7E" w:rsidTr="004341A3">
        <w:trPr>
          <w:cantSplit/>
          <w:trHeight w:val="544"/>
        </w:trPr>
        <w:tc>
          <w:tcPr>
            <w:tcW w:w="1768" w:type="pct"/>
            <w:shd w:val="clear" w:color="auto" w:fill="auto"/>
            <w:tcMar>
              <w:top w:w="113" w:type="dxa"/>
              <w:bottom w:w="57" w:type="dxa"/>
            </w:tcMar>
          </w:tcPr>
          <w:p w:rsidR="00F43EC5" w:rsidRPr="00C75C7E" w:rsidRDefault="00F43EC5" w:rsidP="004341A3">
            <w:pPr>
              <w:widowControl w:val="0"/>
              <w:rPr>
                <w:sz w:val="16"/>
                <w:szCs w:val="16"/>
                <w:lang w:val="es-ES_tradnl"/>
              </w:rPr>
            </w:pPr>
          </w:p>
        </w:tc>
        <w:tc>
          <w:tcPr>
            <w:tcW w:w="1708" w:type="pct"/>
            <w:shd w:val="clear" w:color="auto" w:fill="auto"/>
            <w:tcMar>
              <w:top w:w="113" w:type="dxa"/>
              <w:bottom w:w="57" w:type="dxa"/>
            </w:tcMar>
          </w:tcPr>
          <w:p w:rsidR="00F43EC5" w:rsidRPr="00C75C7E" w:rsidRDefault="00F43EC5" w:rsidP="005B4CCD">
            <w:pPr>
              <w:widowControl w:val="0"/>
              <w:rPr>
                <w:sz w:val="16"/>
                <w:szCs w:val="16"/>
                <w:lang w:val="es-ES_tradnl"/>
              </w:rPr>
            </w:pPr>
            <w:r>
              <w:rPr>
                <w:sz w:val="16"/>
                <w:szCs w:val="16"/>
                <w:lang w:val="es-ES_tradnl"/>
              </w:rPr>
              <w:t xml:space="preserve">Porcentaje de profesionales de la P.I. formados que utilizan </w:t>
            </w:r>
            <w:r w:rsidRPr="00031268">
              <w:rPr>
                <w:sz w:val="16"/>
                <w:szCs w:val="16"/>
                <w:lang w:val="es-ES_tradnl"/>
              </w:rPr>
              <w:t>en su trabajo las nuevas aptitudes adquiridas.</w:t>
            </w:r>
          </w:p>
        </w:tc>
        <w:tc>
          <w:tcPr>
            <w:tcW w:w="1524" w:type="pct"/>
            <w:shd w:val="clear" w:color="auto" w:fill="FFFFFF"/>
            <w:tcMar>
              <w:top w:w="113" w:type="dxa"/>
              <w:bottom w:w="57" w:type="dxa"/>
            </w:tcMar>
          </w:tcPr>
          <w:p w:rsidR="00F43EC5" w:rsidRPr="00C75C7E" w:rsidRDefault="00F43EC5" w:rsidP="004341A3">
            <w:pPr>
              <w:widowControl w:val="0"/>
              <w:ind w:left="551"/>
              <w:rPr>
                <w:sz w:val="16"/>
                <w:szCs w:val="16"/>
                <w:lang w:val="es-ES_tradnl" w:bidi="th-TH"/>
              </w:rPr>
            </w:pPr>
            <w:r>
              <w:rPr>
                <w:sz w:val="16"/>
                <w:szCs w:val="16"/>
                <w:lang w:val="es-ES_tradnl" w:bidi="th-TH"/>
              </w:rPr>
              <w:t>Programa  30</w:t>
            </w:r>
          </w:p>
        </w:tc>
      </w:tr>
      <w:tr w:rsidR="00B16400" w:rsidRPr="00C75C7E" w:rsidTr="004341A3">
        <w:trPr>
          <w:cantSplit/>
          <w:trHeight w:val="544"/>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III.3  Incorporación de las recomendaciones de la Agenda para el Desarrollo en la labor de la OMPI.</w:t>
            </w:r>
          </w:p>
        </w:tc>
        <w:tc>
          <w:tcPr>
            <w:tcW w:w="1708" w:type="pct"/>
            <w:shd w:val="clear" w:color="auto" w:fill="auto"/>
            <w:tcMar>
              <w:top w:w="113" w:type="dxa"/>
              <w:bottom w:w="57" w:type="dxa"/>
            </w:tcMar>
          </w:tcPr>
          <w:p w:rsidR="00B16400" w:rsidRPr="00C75C7E" w:rsidRDefault="00B16400" w:rsidP="005B4CCD">
            <w:pPr>
              <w:widowControl w:val="0"/>
              <w:rPr>
                <w:sz w:val="16"/>
                <w:szCs w:val="16"/>
                <w:lang w:val="es-ES_tradnl"/>
              </w:rPr>
            </w:pPr>
            <w:r w:rsidRPr="00C75C7E">
              <w:rPr>
                <w:sz w:val="16"/>
                <w:szCs w:val="16"/>
                <w:lang w:val="es-ES_tradnl"/>
              </w:rPr>
              <w:t>Número de recomendaciones de la A</w:t>
            </w:r>
            <w:r w:rsidR="005B4CCD">
              <w:rPr>
                <w:sz w:val="16"/>
                <w:szCs w:val="16"/>
                <w:lang w:val="es-ES_tradnl"/>
              </w:rPr>
              <w:t>.</w:t>
            </w:r>
            <w:r w:rsidRPr="00C75C7E">
              <w:rPr>
                <w:sz w:val="16"/>
                <w:szCs w:val="16"/>
                <w:lang w:val="es-ES_tradnl"/>
              </w:rPr>
              <w:t>D</w:t>
            </w:r>
            <w:r w:rsidR="005B4CCD">
              <w:rPr>
                <w:sz w:val="16"/>
                <w:szCs w:val="16"/>
                <w:lang w:val="es-ES_tradnl"/>
              </w:rPr>
              <w:t>.</w:t>
            </w:r>
            <w:r w:rsidRPr="00C75C7E">
              <w:rPr>
                <w:sz w:val="16"/>
                <w:szCs w:val="16"/>
                <w:lang w:val="es-ES_tradnl"/>
              </w:rPr>
              <w:t xml:space="preserve"> que ha abordado el CDIP mediante proyectos, actividades y estudios.</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8</w:t>
            </w:r>
          </w:p>
        </w:tc>
      </w:tr>
      <w:tr w:rsidR="00F43EC5" w:rsidRPr="00C75C7E" w:rsidTr="004341A3">
        <w:trPr>
          <w:cantSplit/>
          <w:trHeight w:val="547"/>
        </w:trPr>
        <w:tc>
          <w:tcPr>
            <w:tcW w:w="1768" w:type="pct"/>
            <w:shd w:val="clear" w:color="auto" w:fill="auto"/>
            <w:tcMar>
              <w:top w:w="113" w:type="dxa"/>
              <w:bottom w:w="57" w:type="dxa"/>
            </w:tcMar>
          </w:tcPr>
          <w:p w:rsidR="00F43EC5" w:rsidRPr="00C75C7E" w:rsidRDefault="00F43EC5" w:rsidP="004341A3">
            <w:pPr>
              <w:widowControl w:val="0"/>
              <w:rPr>
                <w:sz w:val="16"/>
                <w:szCs w:val="16"/>
                <w:lang w:val="es-ES_tradnl"/>
              </w:rPr>
            </w:pPr>
          </w:p>
        </w:tc>
        <w:tc>
          <w:tcPr>
            <w:tcW w:w="1708" w:type="pct"/>
            <w:shd w:val="clear" w:color="auto" w:fill="auto"/>
            <w:tcMar>
              <w:top w:w="113" w:type="dxa"/>
              <w:bottom w:w="57" w:type="dxa"/>
            </w:tcMar>
          </w:tcPr>
          <w:p w:rsidR="00F43EC5" w:rsidRPr="00C75C7E" w:rsidRDefault="00F43EC5" w:rsidP="004341A3">
            <w:pPr>
              <w:widowControl w:val="0"/>
              <w:rPr>
                <w:sz w:val="16"/>
                <w:szCs w:val="16"/>
                <w:lang w:val="es-ES_tradnl"/>
              </w:rPr>
            </w:pPr>
            <w:r>
              <w:rPr>
                <w:sz w:val="16"/>
                <w:szCs w:val="16"/>
                <w:lang w:val="es-ES_tradnl"/>
              </w:rPr>
              <w:t>Tasa de satisfacción de los Estados miembros con los resultados de los proyectos, actividades y estudios.</w:t>
            </w:r>
          </w:p>
        </w:tc>
        <w:tc>
          <w:tcPr>
            <w:tcW w:w="1524" w:type="pct"/>
            <w:shd w:val="clear" w:color="auto" w:fill="FFFFFF"/>
            <w:tcMar>
              <w:top w:w="113" w:type="dxa"/>
              <w:bottom w:w="57" w:type="dxa"/>
            </w:tcMar>
          </w:tcPr>
          <w:p w:rsidR="00F43EC5" w:rsidRPr="00C75C7E" w:rsidRDefault="00F43EC5" w:rsidP="004341A3">
            <w:pPr>
              <w:widowControl w:val="0"/>
              <w:ind w:left="551"/>
              <w:rPr>
                <w:sz w:val="16"/>
                <w:szCs w:val="16"/>
                <w:lang w:val="es-ES_tradnl" w:bidi="th-TH"/>
              </w:rPr>
            </w:pPr>
            <w:r>
              <w:rPr>
                <w:sz w:val="16"/>
                <w:szCs w:val="16"/>
                <w:lang w:val="es-ES_tradnl" w:bidi="th-TH"/>
              </w:rPr>
              <w:t>Programa  8</w:t>
            </w:r>
          </w:p>
        </w:tc>
      </w:tr>
      <w:tr w:rsidR="00B16400" w:rsidRPr="00C75C7E" w:rsidTr="004341A3">
        <w:trPr>
          <w:cantSplit/>
          <w:trHeight w:val="547"/>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Aplicación del mecanismo de coordinación aprobado por los Estados miembros.</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8</w:t>
            </w:r>
          </w:p>
        </w:tc>
      </w:tr>
      <w:tr w:rsidR="005B4CCD" w:rsidRPr="00C75C7E" w:rsidTr="004341A3">
        <w:trPr>
          <w:cantSplit/>
          <w:trHeight w:val="708"/>
        </w:trPr>
        <w:tc>
          <w:tcPr>
            <w:tcW w:w="1768" w:type="pct"/>
            <w:shd w:val="clear" w:color="auto" w:fill="auto"/>
            <w:tcMar>
              <w:top w:w="113" w:type="dxa"/>
              <w:bottom w:w="57" w:type="dxa"/>
            </w:tcMar>
          </w:tcPr>
          <w:p w:rsidR="005B4CCD" w:rsidRPr="00C75C7E" w:rsidRDefault="005B4CCD" w:rsidP="004341A3">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5B4CCD" w:rsidRPr="00C75C7E" w:rsidRDefault="005B4CCD" w:rsidP="005B4CCD">
            <w:pPr>
              <w:widowControl w:val="0"/>
              <w:rPr>
                <w:sz w:val="16"/>
                <w:szCs w:val="16"/>
                <w:lang w:val="es-ES_tradnl"/>
              </w:rPr>
            </w:pPr>
            <w:r>
              <w:rPr>
                <w:sz w:val="16"/>
                <w:szCs w:val="16"/>
                <w:lang w:val="es-ES_tradnl"/>
              </w:rPr>
              <w:t>Número de programas que reflejan que las recomendaciones de la A.D. han sido incorporadas en la labor corriente de la OMPI</w:t>
            </w:r>
            <w:r w:rsidR="00DB4C60">
              <w:rPr>
                <w:sz w:val="16"/>
                <w:szCs w:val="16"/>
                <w:lang w:val="es-ES_tradnl"/>
              </w:rPr>
              <w:t>.</w:t>
            </w:r>
          </w:p>
        </w:tc>
        <w:tc>
          <w:tcPr>
            <w:tcW w:w="1524" w:type="pct"/>
            <w:shd w:val="clear" w:color="auto" w:fill="FFFFFF"/>
            <w:tcMar>
              <w:top w:w="113" w:type="dxa"/>
              <w:bottom w:w="57" w:type="dxa"/>
            </w:tcMar>
          </w:tcPr>
          <w:p w:rsidR="005B4CCD" w:rsidRPr="00C75C7E" w:rsidRDefault="005B4CCD" w:rsidP="004341A3">
            <w:pPr>
              <w:widowControl w:val="0"/>
              <w:ind w:left="551"/>
              <w:rPr>
                <w:sz w:val="16"/>
                <w:szCs w:val="16"/>
                <w:lang w:val="es-ES_tradnl" w:bidi="th-TH"/>
              </w:rPr>
            </w:pPr>
            <w:r>
              <w:rPr>
                <w:sz w:val="16"/>
                <w:szCs w:val="16"/>
                <w:lang w:val="es-ES_tradnl" w:bidi="th-TH"/>
              </w:rPr>
              <w:t>Programa  8</w:t>
            </w:r>
          </w:p>
        </w:tc>
      </w:tr>
      <w:tr w:rsidR="005B4CCD" w:rsidRPr="00C75C7E" w:rsidTr="005B4CCD">
        <w:trPr>
          <w:cantSplit/>
          <w:trHeight w:val="708"/>
        </w:trPr>
        <w:tc>
          <w:tcPr>
            <w:tcW w:w="1768" w:type="pct"/>
            <w:shd w:val="clear" w:color="auto" w:fill="auto"/>
            <w:tcMar>
              <w:top w:w="113" w:type="dxa"/>
              <w:bottom w:w="57" w:type="dxa"/>
            </w:tcMar>
          </w:tcPr>
          <w:p w:rsidR="005B4CCD" w:rsidRPr="00C75C7E" w:rsidRDefault="005B4CCD" w:rsidP="005B4CCD">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5B4CCD" w:rsidRPr="00C75C7E" w:rsidRDefault="005B4CCD" w:rsidP="00F43EC5">
            <w:pPr>
              <w:widowControl w:val="0"/>
              <w:rPr>
                <w:sz w:val="16"/>
                <w:szCs w:val="16"/>
                <w:lang w:val="es-ES_tradnl"/>
              </w:rPr>
            </w:pPr>
            <w:r>
              <w:rPr>
                <w:sz w:val="16"/>
                <w:szCs w:val="16"/>
                <w:lang w:val="es-ES_tradnl"/>
              </w:rPr>
              <w:t>Número de proyectos de la A.D.</w:t>
            </w:r>
            <w:r w:rsidR="00DB4C60">
              <w:rPr>
                <w:sz w:val="16"/>
                <w:szCs w:val="16"/>
                <w:lang w:val="es-ES_tradnl"/>
              </w:rPr>
              <w:t xml:space="preserve"> </w:t>
            </w:r>
            <w:r w:rsidR="00F43EC5">
              <w:rPr>
                <w:sz w:val="16"/>
                <w:szCs w:val="16"/>
                <w:lang w:val="es-ES_tradnl"/>
              </w:rPr>
              <w:t xml:space="preserve">y forma en la que </w:t>
            </w:r>
            <w:r w:rsidR="00DB4C60">
              <w:rPr>
                <w:sz w:val="16"/>
                <w:szCs w:val="16"/>
                <w:lang w:val="es-ES_tradnl"/>
              </w:rPr>
              <w:t>han sido incorporados en la labor corriente de la OMPI (fijación de normas, asistencia técnica y prestación de servicios).</w:t>
            </w:r>
          </w:p>
        </w:tc>
        <w:tc>
          <w:tcPr>
            <w:tcW w:w="1524" w:type="pct"/>
            <w:shd w:val="clear" w:color="auto" w:fill="FFFFFF"/>
            <w:tcMar>
              <w:top w:w="113" w:type="dxa"/>
              <w:bottom w:w="57" w:type="dxa"/>
            </w:tcMar>
          </w:tcPr>
          <w:p w:rsidR="005B4CCD" w:rsidRPr="00C75C7E" w:rsidRDefault="005B4CCD" w:rsidP="005B4CCD">
            <w:pPr>
              <w:widowControl w:val="0"/>
              <w:ind w:left="551"/>
              <w:rPr>
                <w:sz w:val="16"/>
                <w:szCs w:val="16"/>
                <w:lang w:val="es-ES_tradnl" w:bidi="th-TH"/>
              </w:rPr>
            </w:pPr>
            <w:r>
              <w:rPr>
                <w:sz w:val="16"/>
                <w:szCs w:val="16"/>
                <w:lang w:val="es-ES_tradnl" w:bidi="th-TH"/>
              </w:rPr>
              <w:t>Programa  8</w:t>
            </w:r>
          </w:p>
        </w:tc>
      </w:tr>
      <w:tr w:rsidR="00DB4C60" w:rsidRPr="00C75C7E" w:rsidTr="00DB4C60">
        <w:trPr>
          <w:cantSplit/>
          <w:trHeight w:val="708"/>
        </w:trPr>
        <w:tc>
          <w:tcPr>
            <w:tcW w:w="1768" w:type="pct"/>
            <w:shd w:val="clear" w:color="auto" w:fill="auto"/>
            <w:tcMar>
              <w:top w:w="113" w:type="dxa"/>
              <w:bottom w:w="57" w:type="dxa"/>
            </w:tcMar>
          </w:tcPr>
          <w:p w:rsidR="00DB4C60" w:rsidRPr="00C75C7E" w:rsidRDefault="00DB4C60" w:rsidP="00DB4C60">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DB4C60" w:rsidRPr="00C75C7E" w:rsidRDefault="00DB4C60" w:rsidP="00DB4C60">
            <w:pPr>
              <w:widowControl w:val="0"/>
              <w:rPr>
                <w:sz w:val="16"/>
                <w:szCs w:val="16"/>
                <w:lang w:val="es-ES_tradnl"/>
              </w:rPr>
            </w:pPr>
            <w:r>
              <w:rPr>
                <w:sz w:val="16"/>
                <w:szCs w:val="16"/>
                <w:lang w:val="es-ES_tradnl"/>
              </w:rPr>
              <w:t>Sistema eficaz instalado para la planificación, el seguimiento y la evaluación de la aplicación de las recomendaciones de la A.D.</w:t>
            </w:r>
          </w:p>
        </w:tc>
        <w:tc>
          <w:tcPr>
            <w:tcW w:w="1524" w:type="pct"/>
            <w:shd w:val="clear" w:color="auto" w:fill="FFFFFF"/>
            <w:tcMar>
              <w:top w:w="113" w:type="dxa"/>
              <w:bottom w:w="57" w:type="dxa"/>
            </w:tcMar>
          </w:tcPr>
          <w:p w:rsidR="00DB4C60" w:rsidRPr="00C75C7E" w:rsidRDefault="00DB4C60" w:rsidP="00DB4C60">
            <w:pPr>
              <w:widowControl w:val="0"/>
              <w:ind w:left="551"/>
              <w:rPr>
                <w:sz w:val="16"/>
                <w:szCs w:val="16"/>
                <w:lang w:val="es-ES_tradnl" w:bidi="th-TH"/>
              </w:rPr>
            </w:pPr>
            <w:r>
              <w:rPr>
                <w:sz w:val="16"/>
                <w:szCs w:val="16"/>
                <w:lang w:val="es-ES_tradnl" w:bidi="th-TH"/>
              </w:rPr>
              <w:t>Programa  8</w:t>
            </w:r>
          </w:p>
        </w:tc>
      </w:tr>
      <w:tr w:rsidR="00F43EC5" w:rsidRPr="00C75C7E" w:rsidTr="004341A3">
        <w:trPr>
          <w:cantSplit/>
          <w:trHeight w:val="708"/>
        </w:trPr>
        <w:tc>
          <w:tcPr>
            <w:tcW w:w="1768" w:type="pct"/>
            <w:shd w:val="clear" w:color="auto" w:fill="auto"/>
            <w:tcMar>
              <w:top w:w="113" w:type="dxa"/>
              <w:bottom w:w="57" w:type="dxa"/>
            </w:tcMar>
          </w:tcPr>
          <w:p w:rsidR="00F43EC5" w:rsidRPr="00C75C7E" w:rsidRDefault="00F43EC5" w:rsidP="004341A3">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F43EC5" w:rsidRPr="00C75C7E" w:rsidRDefault="00F43EC5" w:rsidP="004341A3">
            <w:pPr>
              <w:widowControl w:val="0"/>
              <w:rPr>
                <w:sz w:val="16"/>
                <w:szCs w:val="16"/>
                <w:lang w:val="es-ES_tradnl"/>
              </w:rPr>
            </w:pPr>
            <w:r>
              <w:rPr>
                <w:sz w:val="16"/>
                <w:szCs w:val="16"/>
                <w:lang w:val="es-ES_tradnl"/>
              </w:rPr>
              <w:t>Porcentaje de proyectos de la A.D. que han sido evaluados en forma independiente.</w:t>
            </w:r>
          </w:p>
        </w:tc>
        <w:tc>
          <w:tcPr>
            <w:tcW w:w="1524" w:type="pct"/>
            <w:shd w:val="clear" w:color="auto" w:fill="FFFFFF"/>
            <w:tcMar>
              <w:top w:w="113" w:type="dxa"/>
              <w:bottom w:w="57" w:type="dxa"/>
            </w:tcMar>
          </w:tcPr>
          <w:p w:rsidR="00F43EC5" w:rsidRPr="00C75C7E" w:rsidRDefault="00F43EC5" w:rsidP="004341A3">
            <w:pPr>
              <w:widowControl w:val="0"/>
              <w:ind w:left="551"/>
              <w:rPr>
                <w:sz w:val="16"/>
                <w:szCs w:val="16"/>
                <w:lang w:val="es-ES_tradnl" w:bidi="th-TH"/>
              </w:rPr>
            </w:pPr>
            <w:r>
              <w:rPr>
                <w:sz w:val="16"/>
                <w:szCs w:val="16"/>
                <w:lang w:val="es-ES_tradnl" w:bidi="th-TH"/>
              </w:rPr>
              <w:t>Programa  8</w:t>
            </w:r>
          </w:p>
        </w:tc>
      </w:tr>
      <w:tr w:rsidR="00B16400" w:rsidRPr="00C75C7E" w:rsidTr="004341A3">
        <w:trPr>
          <w:cantSplit/>
          <w:trHeight w:val="708"/>
        </w:trPr>
        <w:tc>
          <w:tcPr>
            <w:tcW w:w="1768" w:type="pct"/>
            <w:shd w:val="clear" w:color="auto" w:fill="auto"/>
            <w:tcMar>
              <w:top w:w="113" w:type="dxa"/>
              <w:bottom w:w="57" w:type="dxa"/>
            </w:tcMar>
          </w:tcPr>
          <w:p w:rsidR="00B16400" w:rsidRPr="00C75C7E" w:rsidRDefault="00B16400" w:rsidP="004341A3">
            <w:pPr>
              <w:widowControl w:val="0"/>
              <w:tabs>
                <w:tab w:val="right" w:pos="2835"/>
              </w:tabs>
              <w:spacing w:after="60"/>
              <w:rPr>
                <w:sz w:val="15"/>
                <w:szCs w:val="15"/>
                <w:lang w:val="es-ES_tradnl"/>
              </w:rPr>
            </w:pPr>
            <w:r w:rsidRPr="00C75C7E">
              <w:rPr>
                <w:sz w:val="16"/>
                <w:szCs w:val="16"/>
                <w:lang w:val="es-ES_tradnl"/>
              </w:rPr>
              <w:t xml:space="preserve">III.4. </w:t>
            </w:r>
            <w:r w:rsidR="00DB4C60">
              <w:rPr>
                <w:sz w:val="16"/>
                <w:szCs w:val="16"/>
                <w:lang w:val="es-ES_tradnl"/>
              </w:rPr>
              <w:t xml:space="preserve"> </w:t>
            </w:r>
            <w:r w:rsidRPr="00C75C7E">
              <w:rPr>
                <w:sz w:val="16"/>
                <w:szCs w:val="16"/>
                <w:lang w:val="es-ES_tradnl"/>
              </w:rPr>
              <w:t>Fortalecimiento de los mecanismos de cooperación y de los programas adaptados a las necesidades de los países en desarrollo y los PMA.</w:t>
            </w:r>
          </w:p>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mecanismos de cooperación, programas y asociaciones nuevos o consolidados a los que se presta apoyo para promover/fortalecer la cooperación subregional o regional en P.I.</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9</w:t>
            </w:r>
          </w:p>
        </w:tc>
      </w:tr>
      <w:tr w:rsidR="00B16400" w:rsidRPr="00C75C7E" w:rsidTr="004341A3">
        <w:trPr>
          <w:cantSplit/>
          <w:trHeight w:val="652"/>
        </w:trPr>
        <w:tc>
          <w:tcPr>
            <w:tcW w:w="1768" w:type="pct"/>
            <w:shd w:val="clear" w:color="auto" w:fill="auto"/>
            <w:tcMar>
              <w:top w:w="113" w:type="dxa"/>
              <w:bottom w:w="57" w:type="dxa"/>
            </w:tcMar>
          </w:tcPr>
          <w:p w:rsidR="00B16400" w:rsidRPr="00C75C7E" w:rsidRDefault="00B16400" w:rsidP="004341A3">
            <w:pPr>
              <w:widowControl w:val="0"/>
              <w:rPr>
                <w:sz w:val="16"/>
                <w:szCs w:val="16"/>
                <w:lang w:val="es-ES_tradnl"/>
              </w:rPr>
            </w:pPr>
          </w:p>
        </w:tc>
        <w:tc>
          <w:tcPr>
            <w:tcW w:w="1708" w:type="pct"/>
            <w:shd w:val="clear" w:color="auto" w:fill="auto"/>
            <w:tcMar>
              <w:top w:w="113" w:type="dxa"/>
              <w:bottom w:w="57" w:type="dxa"/>
            </w:tcMar>
          </w:tcPr>
          <w:p w:rsidR="00B16400" w:rsidRPr="00C75C7E" w:rsidRDefault="00B16400" w:rsidP="004341A3">
            <w:pPr>
              <w:widowControl w:val="0"/>
              <w:rPr>
                <w:sz w:val="16"/>
                <w:szCs w:val="16"/>
                <w:lang w:val="es-ES_tradnl"/>
              </w:rPr>
            </w:pPr>
            <w:r w:rsidRPr="00C75C7E">
              <w:rPr>
                <w:sz w:val="16"/>
                <w:szCs w:val="16"/>
                <w:lang w:val="es-ES_tradnl"/>
              </w:rPr>
              <w:t>Número de asociaciones establecidas en las que la parte que ofrece asistencia procede de un país desarrollado.</w:t>
            </w:r>
          </w:p>
        </w:tc>
        <w:tc>
          <w:tcPr>
            <w:tcW w:w="1524" w:type="pct"/>
            <w:shd w:val="clear" w:color="auto" w:fill="FFFFFF"/>
            <w:tcMar>
              <w:top w:w="113" w:type="dxa"/>
              <w:bottom w:w="57" w:type="dxa"/>
            </w:tcMar>
          </w:tcPr>
          <w:p w:rsidR="00B16400" w:rsidRPr="00C75C7E" w:rsidRDefault="00B16400" w:rsidP="004341A3">
            <w:pPr>
              <w:widowControl w:val="0"/>
              <w:ind w:left="551"/>
              <w:rPr>
                <w:sz w:val="16"/>
                <w:szCs w:val="16"/>
                <w:lang w:val="es-ES_tradnl" w:bidi="th-TH"/>
              </w:rPr>
            </w:pPr>
            <w:r w:rsidRPr="00C75C7E">
              <w:rPr>
                <w:sz w:val="16"/>
                <w:szCs w:val="16"/>
                <w:lang w:val="es-ES_tradnl" w:bidi="th-TH"/>
              </w:rPr>
              <w:t>Programa  10</w:t>
            </w:r>
          </w:p>
        </w:tc>
      </w:tr>
      <w:tr w:rsidR="00DB4C60" w:rsidRPr="00C75C7E" w:rsidTr="00DB4C60">
        <w:trPr>
          <w:cantSplit/>
          <w:trHeight w:val="708"/>
        </w:trPr>
        <w:tc>
          <w:tcPr>
            <w:tcW w:w="1768" w:type="pct"/>
            <w:shd w:val="clear" w:color="auto" w:fill="auto"/>
            <w:tcMar>
              <w:top w:w="113" w:type="dxa"/>
              <w:bottom w:w="57" w:type="dxa"/>
            </w:tcMar>
          </w:tcPr>
          <w:p w:rsidR="00DB4C60" w:rsidRPr="00C75C7E" w:rsidRDefault="00DB4C60" w:rsidP="00DB4C60">
            <w:pPr>
              <w:widowControl w:val="0"/>
              <w:tabs>
                <w:tab w:val="right" w:pos="2835"/>
              </w:tabs>
              <w:spacing w:after="60"/>
              <w:rPr>
                <w:sz w:val="16"/>
                <w:szCs w:val="16"/>
                <w:lang w:val="es-ES_tradnl"/>
              </w:rPr>
            </w:pPr>
            <w:r>
              <w:rPr>
                <w:sz w:val="16"/>
                <w:szCs w:val="16"/>
                <w:lang w:val="es-ES_tradnl"/>
              </w:rPr>
              <w:t xml:space="preserve">III.5  </w:t>
            </w:r>
            <w:r w:rsidRPr="00DB4C60">
              <w:rPr>
                <w:sz w:val="16"/>
                <w:szCs w:val="16"/>
                <w:lang w:val="es-ES_tradnl"/>
              </w:rPr>
              <w:t>Mejor comprensión de la Agenda para el Desarrollo por los Estados miembros, las OIG, la sociedad civil y demás partes interesadas</w:t>
            </w:r>
          </w:p>
        </w:tc>
        <w:tc>
          <w:tcPr>
            <w:tcW w:w="1708" w:type="pct"/>
            <w:shd w:val="clear" w:color="auto" w:fill="auto"/>
            <w:tcMar>
              <w:top w:w="113" w:type="dxa"/>
              <w:bottom w:w="57" w:type="dxa"/>
            </w:tcMar>
          </w:tcPr>
          <w:p w:rsidR="00DB4C60" w:rsidRPr="00C75C7E" w:rsidRDefault="00DB4C60" w:rsidP="00DB4C60">
            <w:pPr>
              <w:widowControl w:val="0"/>
              <w:rPr>
                <w:sz w:val="16"/>
                <w:szCs w:val="16"/>
                <w:lang w:val="es-ES_tradnl"/>
              </w:rPr>
            </w:pPr>
            <w:r>
              <w:rPr>
                <w:sz w:val="16"/>
                <w:szCs w:val="16"/>
                <w:lang w:val="es-ES_tradnl"/>
              </w:rPr>
              <w:t>Número de países que piden asistencia técnica por conducto de proyectos de la A.D. y que manifiestan interés en actividades relacionadas con la A.D.</w:t>
            </w:r>
          </w:p>
        </w:tc>
        <w:tc>
          <w:tcPr>
            <w:tcW w:w="1524" w:type="pct"/>
            <w:shd w:val="clear" w:color="auto" w:fill="FFFFFF"/>
            <w:tcMar>
              <w:top w:w="113" w:type="dxa"/>
              <w:bottom w:w="57" w:type="dxa"/>
            </w:tcMar>
          </w:tcPr>
          <w:p w:rsidR="00DB4C60" w:rsidRPr="00C75C7E" w:rsidRDefault="00DB4C60" w:rsidP="00DB4C60">
            <w:pPr>
              <w:widowControl w:val="0"/>
              <w:ind w:left="551"/>
              <w:rPr>
                <w:sz w:val="16"/>
                <w:szCs w:val="16"/>
                <w:lang w:val="es-ES_tradnl" w:bidi="th-TH"/>
              </w:rPr>
            </w:pPr>
            <w:r>
              <w:rPr>
                <w:sz w:val="16"/>
                <w:szCs w:val="16"/>
                <w:lang w:val="es-ES_tradnl" w:bidi="th-TH"/>
              </w:rPr>
              <w:t>Programa  8</w:t>
            </w:r>
          </w:p>
        </w:tc>
      </w:tr>
      <w:tr w:rsidR="00DB4C60" w:rsidRPr="00C75C7E" w:rsidTr="00DB4C60">
        <w:trPr>
          <w:cantSplit/>
          <w:trHeight w:val="708"/>
        </w:trPr>
        <w:tc>
          <w:tcPr>
            <w:tcW w:w="1768" w:type="pct"/>
            <w:shd w:val="clear" w:color="auto" w:fill="auto"/>
            <w:tcMar>
              <w:top w:w="113" w:type="dxa"/>
              <w:bottom w:w="57" w:type="dxa"/>
            </w:tcMar>
          </w:tcPr>
          <w:p w:rsidR="00DB4C60" w:rsidRDefault="00DB4C60" w:rsidP="00DB4C60">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DB4C60" w:rsidRDefault="00DB4C60" w:rsidP="00DB4C60">
            <w:pPr>
              <w:widowControl w:val="0"/>
              <w:rPr>
                <w:sz w:val="16"/>
                <w:szCs w:val="16"/>
                <w:lang w:val="es-ES_tradnl"/>
              </w:rPr>
            </w:pPr>
            <w:r>
              <w:rPr>
                <w:sz w:val="16"/>
                <w:szCs w:val="16"/>
                <w:lang w:val="es-ES_tradnl"/>
              </w:rPr>
              <w:t>Porcentaje de participantes en reuniones de la OMPI (Estados miembros, OIG, sociedad civil y demás partes interesadas) satisfechos con la información recibida sobre las recomendaciones de la A.D.</w:t>
            </w:r>
          </w:p>
        </w:tc>
        <w:tc>
          <w:tcPr>
            <w:tcW w:w="1524" w:type="pct"/>
            <w:shd w:val="clear" w:color="auto" w:fill="FFFFFF"/>
            <w:tcMar>
              <w:top w:w="113" w:type="dxa"/>
              <w:bottom w:w="57" w:type="dxa"/>
            </w:tcMar>
          </w:tcPr>
          <w:p w:rsidR="00DB4C60" w:rsidRDefault="00DB4C60" w:rsidP="00DB4C60">
            <w:pPr>
              <w:widowControl w:val="0"/>
              <w:ind w:left="551"/>
              <w:rPr>
                <w:sz w:val="16"/>
                <w:szCs w:val="16"/>
                <w:lang w:val="es-ES_tradnl" w:bidi="th-TH"/>
              </w:rPr>
            </w:pPr>
            <w:r>
              <w:rPr>
                <w:sz w:val="16"/>
                <w:szCs w:val="16"/>
                <w:lang w:val="es-ES_tradnl" w:bidi="th-TH"/>
              </w:rPr>
              <w:t>Programa  8</w:t>
            </w:r>
          </w:p>
        </w:tc>
      </w:tr>
      <w:tr w:rsidR="00DB4C60" w:rsidRPr="00C75C7E" w:rsidTr="00DB4C60">
        <w:trPr>
          <w:cantSplit/>
          <w:trHeight w:val="708"/>
        </w:trPr>
        <w:tc>
          <w:tcPr>
            <w:tcW w:w="1768" w:type="pct"/>
            <w:shd w:val="clear" w:color="auto" w:fill="auto"/>
            <w:tcMar>
              <w:top w:w="113" w:type="dxa"/>
              <w:bottom w:w="57" w:type="dxa"/>
            </w:tcMar>
          </w:tcPr>
          <w:p w:rsidR="00DB4C60" w:rsidRDefault="00DB4C60" w:rsidP="00DB4C60">
            <w:pPr>
              <w:widowControl w:val="0"/>
              <w:tabs>
                <w:tab w:val="right" w:pos="2835"/>
              </w:tabs>
              <w:spacing w:after="60"/>
              <w:rPr>
                <w:sz w:val="16"/>
                <w:szCs w:val="16"/>
                <w:lang w:val="es-ES_tradnl"/>
              </w:rPr>
            </w:pPr>
            <w:r>
              <w:rPr>
                <w:sz w:val="16"/>
                <w:szCs w:val="16"/>
                <w:lang w:val="es-ES_tradnl"/>
              </w:rPr>
              <w:lastRenderedPageBreak/>
              <w:t xml:space="preserve">III.6  </w:t>
            </w:r>
            <w:r w:rsidRPr="00DB4C60">
              <w:rPr>
                <w:sz w:val="16"/>
                <w:szCs w:val="16"/>
                <w:lang w:val="es-ES_tradnl"/>
              </w:rPr>
              <w:t>Mejor capacidad de las pymes para utilizar con éxito la P.I. con el fin de apoyar la innovación</w:t>
            </w:r>
          </w:p>
        </w:tc>
        <w:tc>
          <w:tcPr>
            <w:tcW w:w="1708" w:type="pct"/>
            <w:shd w:val="clear" w:color="auto" w:fill="auto"/>
            <w:tcMar>
              <w:top w:w="113" w:type="dxa"/>
              <w:bottom w:w="57" w:type="dxa"/>
            </w:tcMar>
          </w:tcPr>
          <w:p w:rsidR="00DB4C60" w:rsidRDefault="00DB4C60" w:rsidP="00DB4C60">
            <w:pPr>
              <w:widowControl w:val="0"/>
              <w:rPr>
                <w:sz w:val="16"/>
                <w:szCs w:val="16"/>
                <w:lang w:val="es-ES_tradnl"/>
              </w:rPr>
            </w:pPr>
            <w:r>
              <w:rPr>
                <w:sz w:val="16"/>
                <w:szCs w:val="16"/>
                <w:lang w:val="es-ES_tradnl"/>
              </w:rPr>
              <w:t>Porcentaje de participantes en programas de formación destinados a instituciones de apoyo a las pymes que manifiestan satisfacción con el contenido y la organización de esos eventos.</w:t>
            </w:r>
          </w:p>
        </w:tc>
        <w:tc>
          <w:tcPr>
            <w:tcW w:w="1524" w:type="pct"/>
            <w:shd w:val="clear" w:color="auto" w:fill="FFFFFF"/>
            <w:tcMar>
              <w:top w:w="113" w:type="dxa"/>
              <w:bottom w:w="57" w:type="dxa"/>
            </w:tcMar>
          </w:tcPr>
          <w:p w:rsidR="00DB4C60" w:rsidRDefault="00A602DB" w:rsidP="00DB4C60">
            <w:pPr>
              <w:widowControl w:val="0"/>
              <w:ind w:left="551"/>
              <w:rPr>
                <w:sz w:val="16"/>
                <w:szCs w:val="16"/>
                <w:lang w:val="es-ES_tradnl" w:bidi="th-TH"/>
              </w:rPr>
            </w:pPr>
            <w:r>
              <w:rPr>
                <w:sz w:val="16"/>
                <w:szCs w:val="16"/>
                <w:lang w:val="es-ES_tradnl" w:bidi="th-TH"/>
              </w:rPr>
              <w:t>Programa 10</w:t>
            </w:r>
          </w:p>
        </w:tc>
      </w:tr>
      <w:tr w:rsidR="00A602DB" w:rsidRPr="00C75C7E" w:rsidTr="00DB4C60">
        <w:trPr>
          <w:cantSplit/>
          <w:trHeight w:val="708"/>
        </w:trPr>
        <w:tc>
          <w:tcPr>
            <w:tcW w:w="1768" w:type="pct"/>
            <w:shd w:val="clear" w:color="auto" w:fill="auto"/>
            <w:tcMar>
              <w:top w:w="113" w:type="dxa"/>
              <w:bottom w:w="57" w:type="dxa"/>
            </w:tcMar>
          </w:tcPr>
          <w:p w:rsidR="00A602DB" w:rsidRPr="00A602DB" w:rsidRDefault="00A602DB" w:rsidP="00A602DB">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A602DB" w:rsidRPr="00A602DB" w:rsidRDefault="00A602DB" w:rsidP="00A602DB">
            <w:pPr>
              <w:widowControl w:val="0"/>
              <w:tabs>
                <w:tab w:val="right" w:pos="2835"/>
              </w:tabs>
              <w:spacing w:after="60"/>
              <w:rPr>
                <w:sz w:val="16"/>
                <w:szCs w:val="16"/>
                <w:lang w:val="es-ES_tradnl"/>
              </w:rPr>
            </w:pPr>
            <w:r w:rsidRPr="00A602DB">
              <w:rPr>
                <w:sz w:val="16"/>
                <w:szCs w:val="16"/>
                <w:lang w:val="es-ES_tradnl"/>
              </w:rPr>
              <w:t xml:space="preserve">Porcentaje de instituciones de apoyo a las pymes </w:t>
            </w:r>
            <w:r>
              <w:rPr>
                <w:sz w:val="16"/>
                <w:szCs w:val="16"/>
                <w:lang w:val="es-ES_tradnl"/>
              </w:rPr>
              <w:t>que han recibido formación, que a su vez brindan información, apoyo y servicios de consultoría/asesoramiento en gestión de activos de P.I.</w:t>
            </w:r>
          </w:p>
        </w:tc>
        <w:tc>
          <w:tcPr>
            <w:tcW w:w="1524" w:type="pct"/>
            <w:shd w:val="clear" w:color="auto" w:fill="FFFFFF"/>
            <w:tcMar>
              <w:top w:w="113" w:type="dxa"/>
              <w:bottom w:w="57" w:type="dxa"/>
            </w:tcMar>
          </w:tcPr>
          <w:p w:rsidR="00A602DB" w:rsidRPr="00A602DB" w:rsidRDefault="00A602DB" w:rsidP="00A602DB">
            <w:pPr>
              <w:widowControl w:val="0"/>
              <w:ind w:left="551"/>
              <w:rPr>
                <w:sz w:val="16"/>
                <w:szCs w:val="16"/>
                <w:lang w:val="es-ES_tradnl"/>
              </w:rPr>
            </w:pPr>
            <w:r>
              <w:rPr>
                <w:sz w:val="16"/>
                <w:szCs w:val="16"/>
                <w:lang w:val="es-ES_tradnl" w:bidi="th-TH"/>
              </w:rPr>
              <w:t>Programa 10</w:t>
            </w:r>
          </w:p>
        </w:tc>
      </w:tr>
      <w:tr w:rsidR="00A602DB" w:rsidRPr="00C75C7E" w:rsidTr="00DB4C60">
        <w:trPr>
          <w:cantSplit/>
          <w:trHeight w:val="708"/>
        </w:trPr>
        <w:tc>
          <w:tcPr>
            <w:tcW w:w="1768" w:type="pct"/>
            <w:shd w:val="clear" w:color="auto" w:fill="auto"/>
            <w:tcMar>
              <w:top w:w="113" w:type="dxa"/>
              <w:bottom w:w="57" w:type="dxa"/>
            </w:tcMar>
          </w:tcPr>
          <w:p w:rsidR="00A602DB" w:rsidRPr="00A602DB" w:rsidRDefault="00A602DB" w:rsidP="00A602DB">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A602DB" w:rsidRPr="00A602DB" w:rsidRDefault="00A602DB" w:rsidP="00A602DB">
            <w:pPr>
              <w:widowControl w:val="0"/>
              <w:tabs>
                <w:tab w:val="right" w:pos="2835"/>
              </w:tabs>
              <w:spacing w:after="60"/>
              <w:rPr>
                <w:sz w:val="16"/>
                <w:szCs w:val="16"/>
                <w:lang w:val="es-ES_tradnl"/>
              </w:rPr>
            </w:pPr>
            <w:r>
              <w:rPr>
                <w:sz w:val="16"/>
                <w:szCs w:val="16"/>
                <w:lang w:val="es-ES_tradnl"/>
              </w:rPr>
              <w:t>Número de países que han establecido programas de formación en P.I. destinados a las pymes.</w:t>
            </w:r>
          </w:p>
        </w:tc>
        <w:tc>
          <w:tcPr>
            <w:tcW w:w="1524" w:type="pct"/>
            <w:shd w:val="clear" w:color="auto" w:fill="FFFFFF"/>
            <w:tcMar>
              <w:top w:w="113" w:type="dxa"/>
              <w:bottom w:w="57" w:type="dxa"/>
            </w:tcMar>
          </w:tcPr>
          <w:p w:rsidR="00A602DB" w:rsidRPr="00A602DB" w:rsidRDefault="00A602DB" w:rsidP="00A602DB">
            <w:pPr>
              <w:widowControl w:val="0"/>
              <w:ind w:left="551"/>
              <w:rPr>
                <w:sz w:val="16"/>
                <w:szCs w:val="16"/>
                <w:lang w:val="es-ES_tradnl" w:bidi="th-TH"/>
              </w:rPr>
            </w:pPr>
            <w:r>
              <w:rPr>
                <w:sz w:val="16"/>
                <w:szCs w:val="16"/>
                <w:lang w:val="es-ES_tradnl" w:bidi="th-TH"/>
              </w:rPr>
              <w:t>Programa 10</w:t>
            </w:r>
          </w:p>
        </w:tc>
      </w:tr>
      <w:tr w:rsidR="00A602DB" w:rsidRPr="00C75C7E" w:rsidTr="00DB4C60">
        <w:trPr>
          <w:cantSplit/>
          <w:trHeight w:val="708"/>
        </w:trPr>
        <w:tc>
          <w:tcPr>
            <w:tcW w:w="1768" w:type="pct"/>
            <w:shd w:val="clear" w:color="auto" w:fill="auto"/>
            <w:tcMar>
              <w:top w:w="113" w:type="dxa"/>
              <w:bottom w:w="57" w:type="dxa"/>
            </w:tcMar>
          </w:tcPr>
          <w:p w:rsidR="00A602DB" w:rsidRPr="00A602DB" w:rsidRDefault="00A602DB" w:rsidP="00A602DB">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A602DB" w:rsidRDefault="00A602DB" w:rsidP="00A602DB">
            <w:pPr>
              <w:widowControl w:val="0"/>
              <w:tabs>
                <w:tab w:val="right" w:pos="2835"/>
              </w:tabs>
              <w:spacing w:after="60"/>
              <w:rPr>
                <w:sz w:val="16"/>
                <w:szCs w:val="16"/>
                <w:lang w:val="es-ES_tradnl"/>
              </w:rPr>
            </w:pPr>
            <w:r>
              <w:rPr>
                <w:sz w:val="16"/>
                <w:szCs w:val="16"/>
                <w:lang w:val="es-ES_tradnl"/>
              </w:rPr>
              <w:t>Número de suscripciones al Boletín para las pymes</w:t>
            </w:r>
          </w:p>
        </w:tc>
        <w:tc>
          <w:tcPr>
            <w:tcW w:w="1524" w:type="pct"/>
            <w:shd w:val="clear" w:color="auto" w:fill="FFFFFF"/>
            <w:tcMar>
              <w:top w:w="113" w:type="dxa"/>
              <w:bottom w:w="57" w:type="dxa"/>
            </w:tcMar>
          </w:tcPr>
          <w:p w:rsidR="00A602DB" w:rsidRDefault="00A602DB" w:rsidP="00A602DB">
            <w:pPr>
              <w:widowControl w:val="0"/>
              <w:ind w:left="551"/>
              <w:rPr>
                <w:sz w:val="16"/>
                <w:szCs w:val="16"/>
                <w:lang w:val="es-ES_tradnl" w:bidi="th-TH"/>
              </w:rPr>
            </w:pPr>
            <w:r>
              <w:rPr>
                <w:sz w:val="16"/>
                <w:szCs w:val="16"/>
                <w:lang w:val="es-ES_tradnl" w:bidi="th-TH"/>
              </w:rPr>
              <w:t>Programa  30</w:t>
            </w:r>
          </w:p>
        </w:tc>
      </w:tr>
      <w:tr w:rsidR="00A602DB" w:rsidRPr="00C75C7E" w:rsidTr="00DB4C60">
        <w:trPr>
          <w:cantSplit/>
          <w:trHeight w:val="708"/>
        </w:trPr>
        <w:tc>
          <w:tcPr>
            <w:tcW w:w="1768" w:type="pct"/>
            <w:shd w:val="clear" w:color="auto" w:fill="auto"/>
            <w:tcMar>
              <w:top w:w="113" w:type="dxa"/>
              <w:bottom w:w="57" w:type="dxa"/>
            </w:tcMar>
          </w:tcPr>
          <w:p w:rsidR="00A602DB" w:rsidRPr="00A602DB" w:rsidRDefault="00A602DB" w:rsidP="00A602DB">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A602DB" w:rsidRDefault="00A602DB" w:rsidP="00A82B27">
            <w:pPr>
              <w:widowControl w:val="0"/>
              <w:tabs>
                <w:tab w:val="right" w:pos="2835"/>
              </w:tabs>
              <w:spacing w:after="60"/>
              <w:rPr>
                <w:sz w:val="16"/>
                <w:szCs w:val="16"/>
                <w:lang w:val="es-ES_tradnl"/>
              </w:rPr>
            </w:pPr>
            <w:r>
              <w:rPr>
                <w:sz w:val="16"/>
                <w:szCs w:val="16"/>
                <w:lang w:val="es-ES_tradnl"/>
              </w:rPr>
              <w:t>Número de directrices y material sobre pymes</w:t>
            </w:r>
            <w:r w:rsidR="00A82B27">
              <w:rPr>
                <w:sz w:val="16"/>
                <w:szCs w:val="16"/>
                <w:lang w:val="es-ES_tradnl"/>
              </w:rPr>
              <w:t xml:space="preserve"> descargado del sitio web.</w:t>
            </w:r>
          </w:p>
        </w:tc>
        <w:tc>
          <w:tcPr>
            <w:tcW w:w="1524" w:type="pct"/>
            <w:shd w:val="clear" w:color="auto" w:fill="FFFFFF"/>
            <w:tcMar>
              <w:top w:w="113" w:type="dxa"/>
              <w:bottom w:w="57" w:type="dxa"/>
            </w:tcMar>
          </w:tcPr>
          <w:p w:rsidR="00A602DB" w:rsidRDefault="00A602DB" w:rsidP="00A602DB">
            <w:pPr>
              <w:widowControl w:val="0"/>
              <w:ind w:left="551"/>
              <w:rPr>
                <w:sz w:val="16"/>
                <w:szCs w:val="16"/>
                <w:lang w:val="es-ES_tradnl" w:bidi="th-TH"/>
              </w:rPr>
            </w:pPr>
            <w:r>
              <w:rPr>
                <w:sz w:val="16"/>
                <w:szCs w:val="16"/>
                <w:lang w:val="es-ES_tradnl" w:bidi="th-TH"/>
              </w:rPr>
              <w:t>Programa  30</w:t>
            </w:r>
          </w:p>
        </w:tc>
      </w:tr>
      <w:tr w:rsidR="00A602DB" w:rsidRPr="00C75C7E" w:rsidTr="00DB4C60">
        <w:trPr>
          <w:cantSplit/>
          <w:trHeight w:val="708"/>
        </w:trPr>
        <w:tc>
          <w:tcPr>
            <w:tcW w:w="1768" w:type="pct"/>
            <w:shd w:val="clear" w:color="auto" w:fill="auto"/>
            <w:tcMar>
              <w:top w:w="113" w:type="dxa"/>
              <w:bottom w:w="57" w:type="dxa"/>
            </w:tcMar>
          </w:tcPr>
          <w:p w:rsidR="00A602DB" w:rsidRPr="00A602DB" w:rsidRDefault="00A602DB" w:rsidP="00A602DB">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A602DB" w:rsidRDefault="00A602DB" w:rsidP="00A602DB">
            <w:pPr>
              <w:widowControl w:val="0"/>
              <w:tabs>
                <w:tab w:val="right" w:pos="2835"/>
              </w:tabs>
              <w:spacing w:after="60"/>
              <w:rPr>
                <w:sz w:val="16"/>
                <w:szCs w:val="16"/>
                <w:lang w:val="es-ES_tradnl"/>
              </w:rPr>
            </w:pPr>
            <w:r>
              <w:rPr>
                <w:sz w:val="16"/>
                <w:szCs w:val="16"/>
                <w:lang w:val="es-ES_tradnl"/>
              </w:rPr>
              <w:t xml:space="preserve">Número de estudios de caso relacionados con las pymes que han sido consultados por intermedio de la base de datos </w:t>
            </w:r>
            <w:r w:rsidRPr="00A602DB">
              <w:rPr>
                <w:i/>
                <w:sz w:val="16"/>
                <w:szCs w:val="16"/>
                <w:lang w:val="es-ES_tradnl"/>
              </w:rPr>
              <w:t xml:space="preserve">IP </w:t>
            </w:r>
            <w:proofErr w:type="spellStart"/>
            <w:r w:rsidRPr="00A602DB">
              <w:rPr>
                <w:i/>
                <w:sz w:val="16"/>
                <w:szCs w:val="16"/>
                <w:lang w:val="es-ES_tradnl"/>
              </w:rPr>
              <w:t>Advantage</w:t>
            </w:r>
            <w:proofErr w:type="spellEnd"/>
            <w:r>
              <w:rPr>
                <w:sz w:val="16"/>
                <w:szCs w:val="16"/>
                <w:lang w:val="es-ES_tradnl"/>
              </w:rPr>
              <w:t xml:space="preserve"> u otras bases de datos.</w:t>
            </w:r>
          </w:p>
        </w:tc>
        <w:tc>
          <w:tcPr>
            <w:tcW w:w="1524" w:type="pct"/>
            <w:shd w:val="clear" w:color="auto" w:fill="FFFFFF"/>
            <w:tcMar>
              <w:top w:w="113" w:type="dxa"/>
              <w:bottom w:w="57" w:type="dxa"/>
            </w:tcMar>
          </w:tcPr>
          <w:p w:rsidR="00A602DB" w:rsidRDefault="00A602DB" w:rsidP="00A602DB">
            <w:pPr>
              <w:widowControl w:val="0"/>
              <w:ind w:left="551"/>
              <w:rPr>
                <w:sz w:val="16"/>
                <w:szCs w:val="16"/>
                <w:lang w:val="es-ES_tradnl" w:bidi="th-TH"/>
              </w:rPr>
            </w:pPr>
            <w:r>
              <w:rPr>
                <w:sz w:val="16"/>
                <w:szCs w:val="16"/>
                <w:lang w:val="es-ES_tradnl" w:bidi="th-TH"/>
              </w:rPr>
              <w:t>Programa  30</w:t>
            </w:r>
          </w:p>
        </w:tc>
      </w:tr>
      <w:tr w:rsidR="00F43EC5" w:rsidRPr="00C75C7E" w:rsidTr="00DB4C60">
        <w:trPr>
          <w:cantSplit/>
          <w:trHeight w:val="708"/>
        </w:trPr>
        <w:tc>
          <w:tcPr>
            <w:tcW w:w="1768" w:type="pct"/>
            <w:shd w:val="clear" w:color="auto" w:fill="auto"/>
            <w:tcMar>
              <w:top w:w="113" w:type="dxa"/>
              <w:bottom w:w="57" w:type="dxa"/>
            </w:tcMar>
          </w:tcPr>
          <w:p w:rsidR="00F43EC5" w:rsidRPr="00A602DB" w:rsidRDefault="00F43EC5" w:rsidP="00A602DB">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F43EC5" w:rsidRDefault="00AB63CE" w:rsidP="00AB63CE">
            <w:pPr>
              <w:widowControl w:val="0"/>
              <w:tabs>
                <w:tab w:val="right" w:pos="2835"/>
              </w:tabs>
              <w:spacing w:after="60"/>
              <w:rPr>
                <w:sz w:val="16"/>
                <w:szCs w:val="16"/>
                <w:lang w:val="es-ES_tradnl"/>
              </w:rPr>
            </w:pPr>
            <w:r>
              <w:rPr>
                <w:sz w:val="16"/>
                <w:szCs w:val="16"/>
                <w:lang w:val="es-ES_tradnl"/>
              </w:rPr>
              <w:t>Porcentaje de participantes en los programas de formación destinados a las instituciones de apoyo a las pymes que están satisfechos con el contenido y la organización de esos eventos.</w:t>
            </w:r>
          </w:p>
        </w:tc>
        <w:tc>
          <w:tcPr>
            <w:tcW w:w="1524" w:type="pct"/>
            <w:shd w:val="clear" w:color="auto" w:fill="FFFFFF"/>
            <w:tcMar>
              <w:top w:w="113" w:type="dxa"/>
              <w:bottom w:w="57" w:type="dxa"/>
            </w:tcMar>
          </w:tcPr>
          <w:p w:rsidR="00F43EC5" w:rsidRDefault="00AB63CE" w:rsidP="00A602DB">
            <w:pPr>
              <w:widowControl w:val="0"/>
              <w:ind w:left="551"/>
              <w:rPr>
                <w:sz w:val="16"/>
                <w:szCs w:val="16"/>
                <w:lang w:val="es-ES_tradnl" w:bidi="th-TH"/>
              </w:rPr>
            </w:pPr>
            <w:r>
              <w:rPr>
                <w:sz w:val="16"/>
                <w:szCs w:val="16"/>
                <w:lang w:val="es-ES_tradnl" w:bidi="th-TH"/>
              </w:rPr>
              <w:t>Programa  30</w:t>
            </w:r>
          </w:p>
        </w:tc>
      </w:tr>
      <w:tr w:rsidR="00F43EC5" w:rsidRPr="00C75C7E" w:rsidTr="00DB4C60">
        <w:trPr>
          <w:cantSplit/>
          <w:trHeight w:val="708"/>
        </w:trPr>
        <w:tc>
          <w:tcPr>
            <w:tcW w:w="1768" w:type="pct"/>
            <w:shd w:val="clear" w:color="auto" w:fill="auto"/>
            <w:tcMar>
              <w:top w:w="113" w:type="dxa"/>
              <w:bottom w:w="57" w:type="dxa"/>
            </w:tcMar>
          </w:tcPr>
          <w:p w:rsidR="00F43EC5" w:rsidRPr="00A602DB" w:rsidRDefault="00F43EC5" w:rsidP="00A602DB">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F43EC5" w:rsidRDefault="00AB63CE" w:rsidP="00A602DB">
            <w:pPr>
              <w:widowControl w:val="0"/>
              <w:tabs>
                <w:tab w:val="right" w:pos="2835"/>
              </w:tabs>
              <w:spacing w:after="60"/>
              <w:rPr>
                <w:sz w:val="16"/>
                <w:szCs w:val="16"/>
                <w:lang w:val="es-ES_tradnl"/>
              </w:rPr>
            </w:pPr>
            <w:r>
              <w:rPr>
                <w:sz w:val="16"/>
                <w:szCs w:val="16"/>
                <w:lang w:val="es-ES_tradnl"/>
              </w:rPr>
              <w:t>Porcentaje de instituciones de apoyo a las pymes que, tras haber recibido formación, suministran información, dan apoyo y prestan servicios de asesoramiento/consultoría sobre gestión de activos de P.I.</w:t>
            </w:r>
          </w:p>
        </w:tc>
        <w:tc>
          <w:tcPr>
            <w:tcW w:w="1524" w:type="pct"/>
            <w:shd w:val="clear" w:color="auto" w:fill="FFFFFF"/>
            <w:tcMar>
              <w:top w:w="113" w:type="dxa"/>
              <w:bottom w:w="57" w:type="dxa"/>
            </w:tcMar>
          </w:tcPr>
          <w:p w:rsidR="00F43EC5" w:rsidRDefault="00AB63CE" w:rsidP="00A602DB">
            <w:pPr>
              <w:widowControl w:val="0"/>
              <w:ind w:left="551"/>
              <w:rPr>
                <w:sz w:val="16"/>
                <w:szCs w:val="16"/>
                <w:lang w:val="es-ES_tradnl" w:bidi="th-TH"/>
              </w:rPr>
            </w:pPr>
            <w:r>
              <w:rPr>
                <w:sz w:val="16"/>
                <w:szCs w:val="16"/>
                <w:lang w:val="es-ES_tradnl" w:bidi="th-TH"/>
              </w:rPr>
              <w:t>Programa  30</w:t>
            </w:r>
          </w:p>
        </w:tc>
      </w:tr>
      <w:tr w:rsidR="00F43EC5" w:rsidRPr="00C75C7E" w:rsidTr="00DB4C60">
        <w:trPr>
          <w:cantSplit/>
          <w:trHeight w:val="708"/>
        </w:trPr>
        <w:tc>
          <w:tcPr>
            <w:tcW w:w="1768" w:type="pct"/>
            <w:shd w:val="clear" w:color="auto" w:fill="auto"/>
            <w:tcMar>
              <w:top w:w="113" w:type="dxa"/>
              <w:bottom w:w="57" w:type="dxa"/>
            </w:tcMar>
          </w:tcPr>
          <w:p w:rsidR="00F43EC5" w:rsidRPr="00A602DB" w:rsidRDefault="00F43EC5" w:rsidP="00A602DB">
            <w:pPr>
              <w:widowControl w:val="0"/>
              <w:tabs>
                <w:tab w:val="right" w:pos="2835"/>
              </w:tabs>
              <w:spacing w:after="60"/>
              <w:rPr>
                <w:sz w:val="16"/>
                <w:szCs w:val="16"/>
                <w:lang w:val="es-ES_tradnl"/>
              </w:rPr>
            </w:pPr>
          </w:p>
        </w:tc>
        <w:tc>
          <w:tcPr>
            <w:tcW w:w="1708" w:type="pct"/>
            <w:shd w:val="clear" w:color="auto" w:fill="auto"/>
            <w:tcMar>
              <w:top w:w="113" w:type="dxa"/>
              <w:bottom w:w="57" w:type="dxa"/>
            </w:tcMar>
          </w:tcPr>
          <w:p w:rsidR="00F43EC5" w:rsidRDefault="00AB63CE" w:rsidP="00A602DB">
            <w:pPr>
              <w:widowControl w:val="0"/>
              <w:tabs>
                <w:tab w:val="right" w:pos="2835"/>
              </w:tabs>
              <w:spacing w:after="60"/>
              <w:rPr>
                <w:sz w:val="16"/>
                <w:szCs w:val="16"/>
                <w:lang w:val="es-ES_tradnl"/>
              </w:rPr>
            </w:pPr>
            <w:r>
              <w:rPr>
                <w:sz w:val="16"/>
                <w:szCs w:val="16"/>
                <w:lang w:val="es-ES_tradnl"/>
              </w:rPr>
              <w:t>Número de países que han establecido programas de formación en P.I. para las pymes.</w:t>
            </w:r>
          </w:p>
        </w:tc>
        <w:tc>
          <w:tcPr>
            <w:tcW w:w="1524" w:type="pct"/>
            <w:shd w:val="clear" w:color="auto" w:fill="FFFFFF"/>
            <w:tcMar>
              <w:top w:w="113" w:type="dxa"/>
              <w:bottom w:w="57" w:type="dxa"/>
            </w:tcMar>
          </w:tcPr>
          <w:p w:rsidR="00F43EC5" w:rsidRDefault="00AB63CE" w:rsidP="00A602DB">
            <w:pPr>
              <w:widowControl w:val="0"/>
              <w:ind w:left="551"/>
              <w:rPr>
                <w:sz w:val="16"/>
                <w:szCs w:val="16"/>
                <w:lang w:val="es-ES_tradnl" w:bidi="th-TH"/>
              </w:rPr>
            </w:pPr>
            <w:r>
              <w:rPr>
                <w:sz w:val="16"/>
                <w:szCs w:val="16"/>
                <w:lang w:val="es-ES_tradnl" w:bidi="th-TH"/>
              </w:rPr>
              <w:t>Programa  30</w:t>
            </w:r>
          </w:p>
        </w:tc>
      </w:tr>
    </w:tbl>
    <w:p w:rsidR="00B16400" w:rsidRPr="00C75C7E" w:rsidRDefault="00B16400" w:rsidP="00B16400">
      <w:pPr>
        <w:widowControl w:val="0"/>
        <w:jc w:val="center"/>
        <w:rPr>
          <w:b/>
          <w:bCs/>
          <w:caps/>
          <w:sz w:val="20"/>
          <w:lang w:val="es-ES_tradnl"/>
        </w:rPr>
      </w:pPr>
    </w:p>
    <w:p w:rsidR="00D73C7C" w:rsidRPr="008541BE" w:rsidRDefault="00B16400" w:rsidP="008541BE">
      <w:pPr>
        <w:pStyle w:val="Heading3"/>
        <w:tabs>
          <w:tab w:val="left" w:pos="1985"/>
        </w:tabs>
        <w:rPr>
          <w:b/>
          <w:iCs/>
          <w:caps/>
          <w:u w:val="none"/>
        </w:rPr>
      </w:pPr>
      <w:r w:rsidRPr="00C75C7E">
        <w:rPr>
          <w:rStyle w:val="StyleStyleHeading3ComplexItalicLatin12ptChar"/>
          <w:lang w:val="es-ES_tradnl"/>
        </w:rPr>
        <w:br w:type="page"/>
      </w:r>
      <w:bookmarkStart w:id="41" w:name="_Toc366078719"/>
      <w:bookmarkStart w:id="42" w:name="_Toc356567757"/>
      <w:r w:rsidR="006A15F5" w:rsidRPr="008541BE">
        <w:rPr>
          <w:b/>
          <w:iCs/>
          <w:u w:val="none"/>
        </w:rPr>
        <w:lastRenderedPageBreak/>
        <w:t>PROGRAMA 8</w:t>
      </w:r>
      <w:r w:rsidR="006A15F5" w:rsidRPr="008541BE">
        <w:rPr>
          <w:b/>
          <w:iCs/>
          <w:u w:val="none"/>
        </w:rPr>
        <w:tab/>
        <w:t>COORDINACIÓN DE LA AGEN</w:t>
      </w:r>
      <w:r w:rsidR="003C4D1D">
        <w:rPr>
          <w:b/>
          <w:iCs/>
          <w:u w:val="none"/>
        </w:rPr>
        <w:t>D</w:t>
      </w:r>
      <w:r w:rsidR="006A15F5" w:rsidRPr="008541BE">
        <w:rPr>
          <w:b/>
          <w:iCs/>
          <w:u w:val="none"/>
        </w:rPr>
        <w:t>A PARA EL DESARROLLO</w:t>
      </w:r>
      <w:bookmarkEnd w:id="41"/>
      <w:r w:rsidR="006A15F5" w:rsidRPr="008541BE">
        <w:rPr>
          <w:b/>
          <w:iCs/>
          <w:u w:val="none"/>
        </w:rPr>
        <w:t xml:space="preserve"> </w:t>
      </w:r>
      <w:bookmarkEnd w:id="42"/>
    </w:p>
    <w:p w:rsidR="00D73C7C" w:rsidRDefault="00D73C7C" w:rsidP="00D73C7C">
      <w:pPr>
        <w:widowControl w:val="0"/>
        <w:tabs>
          <w:tab w:val="left" w:pos="2268"/>
        </w:tabs>
        <w:ind w:left="2268" w:hanging="2268"/>
        <w:rPr>
          <w:rFonts w:eastAsia="Times New Roman"/>
          <w:b/>
          <w:sz w:val="20"/>
          <w:lang w:eastAsia="en-US"/>
        </w:rPr>
      </w:pPr>
    </w:p>
    <w:p w:rsidR="008541BE" w:rsidRPr="00D73C7C" w:rsidRDefault="008541BE" w:rsidP="00D73C7C">
      <w:pPr>
        <w:widowControl w:val="0"/>
        <w:tabs>
          <w:tab w:val="left" w:pos="2268"/>
        </w:tabs>
        <w:ind w:left="2268" w:hanging="2268"/>
        <w:rPr>
          <w:rFonts w:eastAsia="Times New Roman"/>
          <w:b/>
          <w:sz w:val="20"/>
          <w:lang w:eastAsia="en-US"/>
        </w:rPr>
      </w:pPr>
    </w:p>
    <w:p w:rsidR="00D73C7C" w:rsidRPr="00D73C7C" w:rsidRDefault="00D73C7C" w:rsidP="00D73C7C">
      <w:pPr>
        <w:widowControl w:val="0"/>
        <w:ind w:left="1985" w:hanging="1985"/>
        <w:jc w:val="both"/>
        <w:rPr>
          <w:rFonts w:eastAsia="Times New Roman"/>
          <w:szCs w:val="22"/>
          <w:lang w:eastAsia="en-US"/>
        </w:rPr>
      </w:pPr>
      <w:r w:rsidRPr="00D73C7C">
        <w:rPr>
          <w:rFonts w:eastAsia="Times New Roman"/>
          <w:szCs w:val="22"/>
          <w:lang w:eastAsia="en-US"/>
        </w:rPr>
        <w:t xml:space="preserve">CONTEXTO DE PLANIFICACIÓN </w:t>
      </w:r>
    </w:p>
    <w:p w:rsidR="00D73C7C" w:rsidRPr="00D73C7C" w:rsidRDefault="00D73C7C" w:rsidP="00D73C7C">
      <w:pPr>
        <w:widowControl w:val="0"/>
        <w:jc w:val="both"/>
        <w:rPr>
          <w:rFonts w:eastAsia="Times New Roman"/>
          <w:sz w:val="20"/>
          <w:lang w:eastAsia="en-US"/>
        </w:rPr>
      </w:pPr>
    </w:p>
    <w:p w:rsidR="00D73C7C" w:rsidRPr="00D73C7C" w:rsidRDefault="00D73C7C" w:rsidP="00BA276E">
      <w:pPr>
        <w:widowControl w:val="0"/>
        <w:numPr>
          <w:ilvl w:val="1"/>
          <w:numId w:val="30"/>
        </w:numPr>
        <w:jc w:val="both"/>
        <w:rPr>
          <w:rFonts w:eastAsia="Times New Roman"/>
          <w:bCs/>
          <w:sz w:val="20"/>
          <w:lang w:eastAsia="en-US"/>
        </w:rPr>
      </w:pPr>
      <w:r w:rsidRPr="00D73C7C">
        <w:rPr>
          <w:rFonts w:eastAsia="Times New Roman"/>
          <w:bCs/>
          <w:sz w:val="20"/>
          <w:lang w:eastAsia="en-US"/>
        </w:rPr>
        <w:t>La incorporación efectiva de la Agenda para el Desarrollo (A.D.) y la consecución de sus metas y principios en la labor de la Organización siguen siendo prioridades fundamentales para el próximo bienio.  La Organización ha culminado los cinco primeros años de ejecución de la A.D. y ha puesto en marcha un sistema completo para la evaluación de proyectos de la Agenda.  Además, el aspecto de desarrollo de la labor de la Organización sigue evolucionando a través de la participación activa y el diálogo con los Estados miembros.</w:t>
      </w:r>
    </w:p>
    <w:p w:rsidR="00D73C7C" w:rsidRPr="00D73C7C" w:rsidRDefault="00D73C7C" w:rsidP="00D73C7C">
      <w:pPr>
        <w:widowControl w:val="0"/>
        <w:jc w:val="both"/>
        <w:rPr>
          <w:rFonts w:eastAsia="Times New Roman"/>
          <w:bCs/>
          <w:sz w:val="20"/>
          <w:lang w:eastAsia="en-US"/>
        </w:rPr>
      </w:pPr>
    </w:p>
    <w:p w:rsidR="00D73C7C" w:rsidRPr="00D73C7C" w:rsidRDefault="00D73C7C" w:rsidP="00BA276E">
      <w:pPr>
        <w:widowControl w:val="0"/>
        <w:numPr>
          <w:ilvl w:val="1"/>
          <w:numId w:val="30"/>
        </w:numPr>
        <w:jc w:val="both"/>
        <w:rPr>
          <w:rFonts w:eastAsia="Times New Roman"/>
          <w:bCs/>
          <w:sz w:val="20"/>
          <w:lang w:eastAsia="en-US"/>
        </w:rPr>
      </w:pPr>
      <w:r w:rsidRPr="00D73C7C">
        <w:rPr>
          <w:rFonts w:eastAsia="Times New Roman"/>
          <w:bCs/>
          <w:sz w:val="20"/>
          <w:lang w:eastAsia="en-US"/>
        </w:rPr>
        <w:t xml:space="preserve">Durante el bienio anterior se consiguieron progresos importantes en los siguientes ámbitos:  la integración de las recomendaciones y principios de la A.D. en el presupuesto por programas y en los informes sobre el rendimiento de los programas (PPR);  la progresión de la metodología basada en los proyectos de la A.D. hacia la etapa de evaluación;  los proyectos de la A.D. derivados de propuestas presentadas por los países en desarrollo y los países menos adelantados (PMA);  la aplicación de los mecanismos de coordinación y las modalidades de supervisión, evaluación y presentación de informes (el "mecanismo de coordinación") aprobados por los Estados miembros;  y la supervisión y evaluación sistemática completa de todos los proyectos de la A.D. </w:t>
      </w:r>
    </w:p>
    <w:p w:rsidR="00D73C7C" w:rsidRDefault="00D73C7C" w:rsidP="00D73C7C">
      <w:pPr>
        <w:widowControl w:val="0"/>
        <w:tabs>
          <w:tab w:val="num" w:pos="709"/>
        </w:tabs>
        <w:jc w:val="both"/>
        <w:rPr>
          <w:rFonts w:eastAsia="Times New Roman"/>
          <w:bCs/>
          <w:sz w:val="20"/>
          <w:lang w:eastAsia="en-US"/>
        </w:rPr>
      </w:pPr>
    </w:p>
    <w:p w:rsidR="008541BE" w:rsidRPr="00D73C7C" w:rsidRDefault="008541BE" w:rsidP="00D73C7C">
      <w:pPr>
        <w:widowControl w:val="0"/>
        <w:tabs>
          <w:tab w:val="num" w:pos="709"/>
        </w:tabs>
        <w:jc w:val="both"/>
        <w:rPr>
          <w:rFonts w:eastAsia="Times New Roman"/>
          <w:bCs/>
          <w:sz w:val="20"/>
          <w:lang w:eastAsia="en-US"/>
        </w:rPr>
      </w:pPr>
    </w:p>
    <w:p w:rsidR="00D73C7C" w:rsidRPr="00D73C7C" w:rsidRDefault="00D73C7C" w:rsidP="00D73C7C">
      <w:pPr>
        <w:widowControl w:val="0"/>
        <w:jc w:val="both"/>
        <w:rPr>
          <w:rFonts w:ascii="Times New Roman" w:eastAsia="Times New Roman" w:hAnsi="Times New Roman" w:cs="Times New Roman"/>
          <w:szCs w:val="22"/>
          <w:lang w:eastAsia="en-US"/>
        </w:rPr>
      </w:pPr>
      <w:r w:rsidRPr="00D73C7C">
        <w:rPr>
          <w:rFonts w:eastAsia="Times New Roman"/>
          <w:szCs w:val="22"/>
          <w:lang w:eastAsia="en-US"/>
        </w:rPr>
        <w:t xml:space="preserve">ESTRATEGIAS DE EJECUCIÓN </w:t>
      </w:r>
    </w:p>
    <w:p w:rsidR="00D73C7C" w:rsidRPr="00D73C7C" w:rsidRDefault="00D73C7C" w:rsidP="00D73C7C">
      <w:pPr>
        <w:widowControl w:val="0"/>
        <w:jc w:val="both"/>
        <w:rPr>
          <w:rFonts w:eastAsia="Times New Roman"/>
          <w:sz w:val="20"/>
          <w:szCs w:val="14"/>
          <w:lang w:eastAsia="en-US"/>
        </w:rPr>
      </w:pPr>
    </w:p>
    <w:p w:rsidR="00D73C7C" w:rsidRPr="00D73C7C" w:rsidRDefault="00D73C7C" w:rsidP="00BA276E">
      <w:pPr>
        <w:widowControl w:val="0"/>
        <w:numPr>
          <w:ilvl w:val="1"/>
          <w:numId w:val="30"/>
        </w:numPr>
        <w:jc w:val="both"/>
        <w:rPr>
          <w:rFonts w:eastAsia="Times New Roman"/>
          <w:bCs/>
          <w:sz w:val="20"/>
          <w:lang w:eastAsia="en-US"/>
        </w:rPr>
      </w:pPr>
      <w:r w:rsidRPr="00D73C7C">
        <w:rPr>
          <w:rFonts w:eastAsia="Times New Roman"/>
          <w:bCs/>
          <w:sz w:val="20"/>
          <w:lang w:eastAsia="en-US"/>
        </w:rPr>
        <w:t>Durante el bienio 2014/15, el programa responderá a la función, en constante evolución, que desempeña la A.D., así como a las correspondientes necesidades y peticiones de los Estados miembros.  El programa seguirá garantizando que los principios y recomendaciones de la A.D. se incorporan de forma adecuada y eficaz en la labor que desempeña la Organización en el ámbito del desarrollo.  En el programa se hará un esfuerzo por encontrar la forma más efectiva de ejecutar las decisiones adoptadas por la Asamblea General de la OMPI y el CDIP a través de una coordinación activa que abarque todos los sectores de la OMPI y de una colaboración dinámica con los Estados miembros, otras organizaciones internacionales gubernamentales, organizaciones no gubernamentales y la sociedad civil.</w:t>
      </w:r>
    </w:p>
    <w:p w:rsidR="00D73C7C" w:rsidRPr="00D73C7C" w:rsidRDefault="00D73C7C" w:rsidP="00D73C7C">
      <w:pPr>
        <w:widowControl w:val="0"/>
        <w:jc w:val="both"/>
        <w:rPr>
          <w:rFonts w:eastAsia="Times New Roman"/>
          <w:bCs/>
          <w:sz w:val="20"/>
          <w:lang w:eastAsia="en-US"/>
        </w:rPr>
      </w:pPr>
    </w:p>
    <w:p w:rsidR="00D73C7C" w:rsidRPr="00D73C7C" w:rsidRDefault="00D73C7C" w:rsidP="00BA276E">
      <w:pPr>
        <w:widowControl w:val="0"/>
        <w:numPr>
          <w:ilvl w:val="1"/>
          <w:numId w:val="30"/>
        </w:numPr>
        <w:jc w:val="both"/>
        <w:rPr>
          <w:rFonts w:eastAsia="Times New Roman"/>
          <w:bCs/>
          <w:sz w:val="20"/>
          <w:lang w:eastAsia="en-US"/>
        </w:rPr>
      </w:pPr>
      <w:r w:rsidRPr="00D73C7C">
        <w:rPr>
          <w:rFonts w:eastAsia="Times New Roman"/>
          <w:bCs/>
          <w:sz w:val="20"/>
          <w:lang w:eastAsia="en-US"/>
        </w:rPr>
        <w:t xml:space="preserve">A través del programa se seguirá prestando apoyo a la labor del CDIP, con los siguientes objetivos en particular:  mantener en toda la Organización las miras puestas en la incorporación de la A.D.;  elaborar estrategias para la ejecución de las recomendaciones de la A.D.;  coordinar la gestión y la efectiva aplicación, supervisión, evaluación y presentación de informes de los proyectos de la Agenda para el Desarrollo y las actividades ya incorporadas relacionadas con dicha Agenda;  facilitar un examen externo de la ejecución de la A.D. con arreglo al mecanismo de coordinación;  y prestar apoyo a la difusión de información y la toma de conciencia en las cuestiones relacionadas con la A.D. </w:t>
      </w:r>
      <w:r w:rsidR="006E54B7">
        <w:rPr>
          <w:rFonts w:eastAsia="Times New Roman"/>
          <w:bCs/>
          <w:sz w:val="20"/>
          <w:lang w:eastAsia="en-US"/>
        </w:rPr>
        <w:t xml:space="preserve"> Los proyectos de la A.D., así como toda fase ulterior de proyectos en curso de ejecución, aprobada por el CDIP, continuará siendo financiada conforme al proceso presupuestario </w:t>
      </w:r>
      <w:r w:rsidR="006E54B7" w:rsidRPr="000D3F52">
        <w:rPr>
          <w:sz w:val="20"/>
        </w:rPr>
        <w:t>aplicado a los proyectos propuestos por el Comité de Desarrollo y Propiedad Intelectual (CDIP) para dar aplicación a las recomendaciones de la Agenda para el Desarrollo</w:t>
      </w:r>
      <w:r w:rsidR="006E54B7">
        <w:rPr>
          <w:sz w:val="20"/>
        </w:rPr>
        <w:t>, que consta en el documento A/48/5 Rev. aprobado por los Estados miembros en 2010.</w:t>
      </w:r>
    </w:p>
    <w:p w:rsidR="00D73C7C" w:rsidRPr="00D73C7C" w:rsidRDefault="00D73C7C" w:rsidP="00D73C7C">
      <w:pPr>
        <w:widowControl w:val="0"/>
        <w:jc w:val="both"/>
        <w:rPr>
          <w:rFonts w:eastAsia="Times New Roman"/>
          <w:bCs/>
          <w:sz w:val="20"/>
          <w:lang w:eastAsia="en-US"/>
        </w:rPr>
      </w:pPr>
    </w:p>
    <w:p w:rsidR="00D73C7C" w:rsidRPr="00D73C7C" w:rsidRDefault="00D73C7C" w:rsidP="00BA276E">
      <w:pPr>
        <w:widowControl w:val="0"/>
        <w:numPr>
          <w:ilvl w:val="1"/>
          <w:numId w:val="30"/>
        </w:numPr>
        <w:jc w:val="both"/>
        <w:rPr>
          <w:rFonts w:eastAsia="Times New Roman"/>
          <w:bCs/>
          <w:sz w:val="20"/>
          <w:lang w:eastAsia="en-US"/>
        </w:rPr>
      </w:pPr>
      <w:r w:rsidRPr="00D73C7C">
        <w:rPr>
          <w:rFonts w:eastAsia="Times New Roman"/>
          <w:bCs/>
          <w:sz w:val="20"/>
          <w:lang w:eastAsia="en-US"/>
        </w:rPr>
        <w:t>En el marco del programa se seguirán facilitando las actividades que atañen a la P.I. y al desarrollo, según lo solicitado por  el CDIP y la Asamblea General.  La función y orientación de los Estados miembros sigue siendo de gran importancia para garantizar que se reflejan de manera efectiva en la labor de la Organización los principios relativos al desarrollo, así como los logros de los objetivos del programa para el bienio.</w:t>
      </w:r>
    </w:p>
    <w:p w:rsidR="00D73C7C" w:rsidRPr="00AC5C4F" w:rsidRDefault="00D73C7C" w:rsidP="00D73C7C">
      <w:pPr>
        <w:widowControl w:val="0"/>
        <w:jc w:val="both"/>
        <w:rPr>
          <w:szCs w:val="22"/>
        </w:rPr>
      </w:pPr>
    </w:p>
    <w:p w:rsidR="00E92E1F" w:rsidRDefault="00E92E1F" w:rsidP="00E92E1F">
      <w:pPr>
        <w:widowControl w:val="0"/>
        <w:jc w:val="both"/>
        <w:rPr>
          <w:szCs w:val="22"/>
        </w:rPr>
      </w:pPr>
    </w:p>
    <w:p w:rsidR="00B16400" w:rsidRPr="00C75C7E" w:rsidRDefault="00B16400" w:rsidP="006E54B7">
      <w:pPr>
        <w:keepNext/>
        <w:keepLines/>
        <w:widowControl w:val="0"/>
        <w:jc w:val="both"/>
        <w:rPr>
          <w:szCs w:val="22"/>
        </w:rPr>
      </w:pPr>
      <w:r w:rsidRPr="00C75C7E">
        <w:rPr>
          <w:szCs w:val="22"/>
        </w:rPr>
        <w:lastRenderedPageBreak/>
        <w:t>PRINCIPALES RIESGOS Y ESTRATEGIAS DE MITIGACIÓN</w:t>
      </w:r>
    </w:p>
    <w:p w:rsidR="00B16400" w:rsidRPr="00C75C7E" w:rsidRDefault="00B16400" w:rsidP="006E54B7">
      <w:pPr>
        <w:keepNext/>
        <w:keepLines/>
        <w:widowControl w:val="0"/>
        <w:jc w:val="both"/>
        <w:rPr>
          <w:sz w:val="20"/>
        </w:rPr>
      </w:pPr>
    </w:p>
    <w:tbl>
      <w:tblPr>
        <w:tblW w:w="9498"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820"/>
        <w:gridCol w:w="4678"/>
      </w:tblGrid>
      <w:tr w:rsidR="00B16400" w:rsidRPr="00C75C7E" w:rsidTr="00AC5C4F">
        <w:trPr>
          <w:trHeight w:val="564"/>
        </w:trPr>
        <w:tc>
          <w:tcPr>
            <w:tcW w:w="4820" w:type="dxa"/>
            <w:tcBorders>
              <w:top w:val="single" w:sz="4" w:space="0" w:color="auto"/>
              <w:bottom w:val="single" w:sz="4" w:space="0" w:color="auto"/>
            </w:tcBorders>
            <w:shd w:val="clear" w:color="auto" w:fill="CCFFFF"/>
            <w:vAlign w:val="center"/>
          </w:tcPr>
          <w:p w:rsidR="00B16400" w:rsidRPr="00C75C7E" w:rsidRDefault="00B16400" w:rsidP="006E54B7">
            <w:pPr>
              <w:keepNext/>
              <w:keepLines/>
              <w:widowControl w:val="0"/>
              <w:autoSpaceDE w:val="0"/>
              <w:autoSpaceDN w:val="0"/>
              <w:adjustRightInd w:val="0"/>
              <w:ind w:right="-59"/>
              <w:jc w:val="center"/>
              <w:rPr>
                <w:b/>
                <w:bCs/>
                <w:iCs/>
                <w:sz w:val="18"/>
                <w:szCs w:val="18"/>
              </w:rPr>
            </w:pPr>
            <w:r w:rsidRPr="00C75C7E">
              <w:rPr>
                <w:b/>
                <w:bCs/>
                <w:iCs/>
                <w:sz w:val="18"/>
                <w:szCs w:val="18"/>
              </w:rPr>
              <w:t>Riesgos en el logro de los resultados del programa</w:t>
            </w:r>
          </w:p>
        </w:tc>
        <w:tc>
          <w:tcPr>
            <w:tcW w:w="4678" w:type="dxa"/>
            <w:tcBorders>
              <w:top w:val="single" w:sz="4" w:space="0" w:color="auto"/>
              <w:bottom w:val="single" w:sz="4" w:space="0" w:color="auto"/>
            </w:tcBorders>
            <w:shd w:val="clear" w:color="auto" w:fill="CCFFFF"/>
            <w:vAlign w:val="center"/>
          </w:tcPr>
          <w:p w:rsidR="00B16400" w:rsidRPr="00C75C7E" w:rsidRDefault="00B16400" w:rsidP="006E54B7">
            <w:pPr>
              <w:keepNext/>
              <w:keepLines/>
              <w:widowControl w:val="0"/>
              <w:autoSpaceDE w:val="0"/>
              <w:autoSpaceDN w:val="0"/>
              <w:adjustRightInd w:val="0"/>
              <w:ind w:right="-59"/>
              <w:rPr>
                <w:b/>
                <w:bCs/>
                <w:iCs/>
                <w:sz w:val="18"/>
                <w:szCs w:val="18"/>
              </w:rPr>
            </w:pPr>
            <w:r w:rsidRPr="00C75C7E">
              <w:rPr>
                <w:b/>
                <w:bCs/>
                <w:iCs/>
                <w:sz w:val="18"/>
                <w:szCs w:val="18"/>
              </w:rPr>
              <w:t xml:space="preserve">Planes de mitigación ejecutados o en ejecución </w:t>
            </w:r>
          </w:p>
        </w:tc>
      </w:tr>
      <w:tr w:rsidR="00B16400" w:rsidRPr="00C75C7E" w:rsidTr="00AC5C4F">
        <w:trPr>
          <w:trHeight w:val="838"/>
        </w:trPr>
        <w:tc>
          <w:tcPr>
            <w:tcW w:w="4820" w:type="dxa"/>
            <w:tcBorders>
              <w:top w:val="single" w:sz="4" w:space="0" w:color="auto"/>
            </w:tcBorders>
            <w:shd w:val="clear" w:color="auto" w:fill="auto"/>
            <w:tcMar>
              <w:top w:w="113" w:type="dxa"/>
              <w:bottom w:w="85" w:type="dxa"/>
            </w:tcMar>
          </w:tcPr>
          <w:p w:rsidR="00B16400" w:rsidRPr="00C75C7E" w:rsidRDefault="00B16400" w:rsidP="006E54B7">
            <w:pPr>
              <w:keepNext/>
              <w:keepLines/>
              <w:widowControl w:val="0"/>
              <w:autoSpaceDE w:val="0"/>
              <w:autoSpaceDN w:val="0"/>
              <w:adjustRightInd w:val="0"/>
              <w:ind w:right="-59"/>
              <w:rPr>
                <w:sz w:val="16"/>
                <w:szCs w:val="16"/>
              </w:rPr>
            </w:pPr>
            <w:r w:rsidRPr="00C75C7E">
              <w:rPr>
                <w:sz w:val="16"/>
                <w:szCs w:val="16"/>
              </w:rPr>
              <w:t>No llevar a cabo la supervisión sistemática de las recomendaciones</w:t>
            </w:r>
            <w:r w:rsidR="006E54B7">
              <w:rPr>
                <w:sz w:val="16"/>
                <w:szCs w:val="16"/>
              </w:rPr>
              <w:t xml:space="preserve"> de la A.D.</w:t>
            </w:r>
            <w:r w:rsidRPr="00C75C7E">
              <w:rPr>
                <w:sz w:val="16"/>
                <w:szCs w:val="16"/>
              </w:rPr>
              <w:t xml:space="preserve"> y su aplicación podría tener como consecuencia la pérdida de oportunidades y que no se atribuyera suficiente atención a la experiencia adquirida. </w:t>
            </w:r>
          </w:p>
        </w:tc>
        <w:tc>
          <w:tcPr>
            <w:tcW w:w="4678" w:type="dxa"/>
            <w:tcBorders>
              <w:top w:val="single" w:sz="4" w:space="0" w:color="auto"/>
            </w:tcBorders>
            <w:shd w:val="clear" w:color="auto" w:fill="auto"/>
            <w:tcMar>
              <w:top w:w="113" w:type="dxa"/>
              <w:bottom w:w="85" w:type="dxa"/>
            </w:tcMar>
          </w:tcPr>
          <w:p w:rsidR="00B16400" w:rsidRPr="00C75C7E" w:rsidRDefault="00B16400" w:rsidP="006E54B7">
            <w:pPr>
              <w:keepNext/>
              <w:keepLines/>
              <w:widowControl w:val="0"/>
              <w:autoSpaceDE w:val="0"/>
              <w:autoSpaceDN w:val="0"/>
              <w:adjustRightInd w:val="0"/>
              <w:ind w:right="-59"/>
              <w:rPr>
                <w:sz w:val="16"/>
                <w:szCs w:val="16"/>
              </w:rPr>
            </w:pPr>
            <w:r w:rsidRPr="00C75C7E">
              <w:rPr>
                <w:sz w:val="16"/>
                <w:szCs w:val="16"/>
              </w:rPr>
              <w:t>Fomentar y ejecutar con rigurosidad la supervisión de la aplicación de las recomendaciones</w:t>
            </w:r>
            <w:r w:rsidR="006E54B7">
              <w:rPr>
                <w:sz w:val="16"/>
                <w:szCs w:val="16"/>
              </w:rPr>
              <w:t xml:space="preserve"> de la A.D.</w:t>
            </w:r>
            <w:r w:rsidRPr="00C75C7E">
              <w:rPr>
                <w:sz w:val="16"/>
                <w:szCs w:val="16"/>
              </w:rPr>
              <w:t xml:space="preserve"> por parte de la División de Coordinación de la A.D.</w:t>
            </w:r>
          </w:p>
        </w:tc>
      </w:tr>
    </w:tbl>
    <w:p w:rsidR="00B16400" w:rsidRPr="00C75C7E" w:rsidRDefault="00B16400" w:rsidP="006A15F5"/>
    <w:p w:rsidR="00B16400" w:rsidRPr="00C75C7E" w:rsidRDefault="00B16400" w:rsidP="006A15F5">
      <w:pPr>
        <w:rPr>
          <w:lang w:val="es-ES_tradnl"/>
        </w:rPr>
      </w:pPr>
    </w:p>
    <w:p w:rsidR="00B16400" w:rsidRPr="00C75C7E" w:rsidRDefault="00B16400" w:rsidP="00B16400">
      <w:pPr>
        <w:widowControl w:val="0"/>
        <w:tabs>
          <w:tab w:val="left" w:pos="567"/>
          <w:tab w:val="left" w:pos="1985"/>
        </w:tabs>
        <w:jc w:val="both"/>
        <w:rPr>
          <w:bCs/>
          <w:sz w:val="20"/>
          <w:lang w:val="es-ES_tradnl"/>
        </w:rPr>
      </w:pPr>
      <w:r w:rsidRPr="00C75C7E">
        <w:rPr>
          <w:bCs/>
          <w:szCs w:val="22"/>
          <w:lang w:val="es-ES_tradnl"/>
        </w:rPr>
        <w:t>MARCO DE RESULTADOS</w:t>
      </w:r>
    </w:p>
    <w:p w:rsidR="00B16400" w:rsidRPr="00C75C7E" w:rsidRDefault="00B16400" w:rsidP="00B16400">
      <w:pPr>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2"/>
        <w:gridCol w:w="2750"/>
        <w:gridCol w:w="2154"/>
        <w:gridCol w:w="2150"/>
      </w:tblGrid>
      <w:tr w:rsidR="00B16400" w:rsidRPr="00C75C7E" w:rsidTr="004341A3">
        <w:trPr>
          <w:cantSplit/>
          <w:trHeight w:val="392"/>
        </w:trPr>
        <w:tc>
          <w:tcPr>
            <w:tcW w:w="1250" w:type="pct"/>
            <w:tcBorders>
              <w:top w:val="single" w:sz="4" w:space="0" w:color="auto"/>
              <w:bottom w:val="single" w:sz="4" w:space="0" w:color="auto"/>
            </w:tcBorders>
            <w:shd w:val="clear" w:color="auto" w:fill="CCFFFF"/>
            <w:vAlign w:val="center"/>
          </w:tcPr>
          <w:p w:rsidR="00B16400" w:rsidRPr="00C75C7E" w:rsidRDefault="00B16400" w:rsidP="004341A3">
            <w:pPr>
              <w:widowControl w:val="0"/>
              <w:spacing w:after="120"/>
              <w:jc w:val="center"/>
              <w:rPr>
                <w:b/>
                <w:bCs/>
                <w:sz w:val="18"/>
                <w:szCs w:val="18"/>
                <w:lang w:val="es-ES_tradnl"/>
              </w:rPr>
            </w:pPr>
            <w:r w:rsidRPr="00C75C7E">
              <w:rPr>
                <w:b/>
                <w:bCs/>
                <w:sz w:val="18"/>
                <w:szCs w:val="18"/>
                <w:lang w:val="es-ES_tradnl"/>
              </w:rPr>
              <w:t>Resultados previstos</w:t>
            </w:r>
          </w:p>
        </w:tc>
        <w:tc>
          <w:tcPr>
            <w:tcW w:w="1462"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jc w:val="center"/>
              <w:rPr>
                <w:b/>
                <w:sz w:val="18"/>
                <w:szCs w:val="18"/>
                <w:lang w:val="es-ES_tradnl"/>
              </w:rPr>
            </w:pPr>
            <w:r w:rsidRPr="00C75C7E">
              <w:rPr>
                <w:b/>
                <w:sz w:val="18"/>
                <w:szCs w:val="18"/>
                <w:lang w:val="es-ES_tradnl"/>
              </w:rPr>
              <w:t>Indicadores de rendimiento</w:t>
            </w:r>
          </w:p>
        </w:tc>
        <w:tc>
          <w:tcPr>
            <w:tcW w:w="1145"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ind w:left="85"/>
              <w:jc w:val="center"/>
              <w:rPr>
                <w:sz w:val="18"/>
                <w:szCs w:val="18"/>
                <w:lang w:val="es-ES_tradnl"/>
              </w:rPr>
            </w:pPr>
            <w:r w:rsidRPr="00C75C7E">
              <w:rPr>
                <w:b/>
                <w:bCs/>
                <w:sz w:val="18"/>
                <w:szCs w:val="18"/>
                <w:lang w:val="es-ES_tradnl"/>
              </w:rPr>
              <w:t>Referencia</w:t>
            </w:r>
          </w:p>
        </w:tc>
        <w:tc>
          <w:tcPr>
            <w:tcW w:w="1143"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tabs>
                <w:tab w:val="left" w:pos="1757"/>
              </w:tabs>
              <w:spacing w:after="120"/>
              <w:ind w:right="1"/>
              <w:jc w:val="center"/>
              <w:rPr>
                <w:b/>
                <w:bCs/>
                <w:sz w:val="18"/>
                <w:szCs w:val="18"/>
                <w:lang w:val="es-ES_tradnl"/>
              </w:rPr>
            </w:pPr>
            <w:r w:rsidRPr="00C75C7E">
              <w:rPr>
                <w:b/>
                <w:bCs/>
                <w:sz w:val="18"/>
                <w:szCs w:val="18"/>
                <w:lang w:val="es-ES_tradnl"/>
              </w:rPr>
              <w:t>Objetivos</w:t>
            </w:r>
          </w:p>
        </w:tc>
      </w:tr>
      <w:tr w:rsidR="00B16400" w:rsidRPr="00C75C7E" w:rsidTr="004341A3">
        <w:trPr>
          <w:cantSplit/>
        </w:trPr>
        <w:tc>
          <w:tcPr>
            <w:tcW w:w="1250" w:type="pct"/>
            <w:tcBorders>
              <w:top w:val="single" w:sz="4" w:space="0" w:color="auto"/>
            </w:tcBorders>
            <w:shd w:val="clear" w:color="auto" w:fill="auto"/>
          </w:tcPr>
          <w:p w:rsidR="00B16400" w:rsidRPr="00C75C7E" w:rsidRDefault="00B16400" w:rsidP="004341A3">
            <w:pPr>
              <w:widowControl w:val="0"/>
              <w:rPr>
                <w:sz w:val="16"/>
                <w:szCs w:val="16"/>
                <w:lang w:val="es-ES_tradnl"/>
              </w:rPr>
            </w:pPr>
            <w:r w:rsidRPr="00C75C7E">
              <w:rPr>
                <w:sz w:val="16"/>
                <w:szCs w:val="16"/>
                <w:lang w:val="es-ES_tradnl"/>
              </w:rPr>
              <w:t>III.3  Incorporación de las recomendaciones de la Agenda para el Desarrollo en la labor de la OMPI.</w:t>
            </w:r>
          </w:p>
        </w:tc>
        <w:tc>
          <w:tcPr>
            <w:tcW w:w="1462" w:type="pct"/>
            <w:tcBorders>
              <w:top w:val="single" w:sz="4" w:space="0" w:color="auto"/>
            </w:tcBorders>
            <w:shd w:val="clear" w:color="auto" w:fill="auto"/>
            <w:tcMar>
              <w:top w:w="110" w:type="dxa"/>
            </w:tcMar>
          </w:tcPr>
          <w:p w:rsidR="00B16400" w:rsidRPr="00C75C7E" w:rsidRDefault="00B16400" w:rsidP="00AC5C4F">
            <w:pPr>
              <w:widowControl w:val="0"/>
              <w:rPr>
                <w:sz w:val="16"/>
                <w:szCs w:val="16"/>
                <w:lang w:val="es-ES_tradnl"/>
              </w:rPr>
            </w:pPr>
            <w:r w:rsidRPr="00C75C7E">
              <w:rPr>
                <w:sz w:val="16"/>
                <w:szCs w:val="16"/>
                <w:lang w:val="es-ES_tradnl"/>
              </w:rPr>
              <w:t>Número de recomendaciones de la A</w:t>
            </w:r>
            <w:r w:rsidR="00AC5C4F">
              <w:rPr>
                <w:sz w:val="16"/>
                <w:szCs w:val="16"/>
                <w:lang w:val="es-ES_tradnl"/>
              </w:rPr>
              <w:t>.</w:t>
            </w:r>
            <w:r w:rsidRPr="00C75C7E">
              <w:rPr>
                <w:sz w:val="16"/>
                <w:szCs w:val="16"/>
                <w:lang w:val="es-ES_tradnl"/>
              </w:rPr>
              <w:t>D</w:t>
            </w:r>
            <w:r w:rsidR="00AC5C4F">
              <w:rPr>
                <w:sz w:val="16"/>
                <w:szCs w:val="16"/>
                <w:lang w:val="es-ES_tradnl"/>
              </w:rPr>
              <w:t>.</w:t>
            </w:r>
            <w:r w:rsidRPr="00C75C7E">
              <w:rPr>
                <w:sz w:val="16"/>
                <w:szCs w:val="16"/>
                <w:lang w:val="es-ES_tradnl"/>
              </w:rPr>
              <w:t xml:space="preserve"> de las que se ha ocupado el CDIP mediante proyectos, actividades y estudios.</w:t>
            </w:r>
          </w:p>
        </w:tc>
        <w:tc>
          <w:tcPr>
            <w:tcW w:w="1145" w:type="pct"/>
            <w:tcBorders>
              <w:top w:val="single" w:sz="4" w:space="0" w:color="auto"/>
            </w:tcBorders>
            <w:shd w:val="clear" w:color="auto" w:fill="FFFFFF"/>
            <w:tcMar>
              <w:top w:w="110" w:type="dxa"/>
            </w:tcMar>
          </w:tcPr>
          <w:p w:rsidR="00B16400" w:rsidRPr="00C75C7E" w:rsidRDefault="00B16400" w:rsidP="004341A3">
            <w:pPr>
              <w:widowControl w:val="0"/>
              <w:rPr>
                <w:sz w:val="16"/>
                <w:szCs w:val="16"/>
                <w:lang w:val="es-ES_tradnl" w:bidi="th-TH"/>
              </w:rPr>
            </w:pPr>
            <w:r w:rsidRPr="00C75C7E">
              <w:rPr>
                <w:sz w:val="16"/>
                <w:szCs w:val="16"/>
                <w:lang w:val="es-ES_tradnl" w:bidi="th-TH"/>
              </w:rPr>
              <w:t>El Comité se ha ocupado de 42 recomendaciones en diciembre de 2011.</w:t>
            </w:r>
          </w:p>
          <w:p w:rsidR="00B16400" w:rsidRPr="00C75C7E" w:rsidRDefault="00B16400" w:rsidP="004341A3">
            <w:pPr>
              <w:widowControl w:val="0"/>
              <w:rPr>
                <w:sz w:val="16"/>
                <w:szCs w:val="16"/>
                <w:lang w:val="es-ES_tradnl"/>
              </w:rPr>
            </w:pPr>
          </w:p>
        </w:tc>
        <w:tc>
          <w:tcPr>
            <w:tcW w:w="1143" w:type="pct"/>
            <w:tcBorders>
              <w:top w:val="single" w:sz="4" w:space="0" w:color="auto"/>
            </w:tcBorders>
            <w:shd w:val="clear" w:color="auto" w:fill="auto"/>
            <w:tcMar>
              <w:top w:w="110" w:type="dxa"/>
            </w:tcMar>
          </w:tcPr>
          <w:p w:rsidR="00B16400" w:rsidRPr="00C75C7E" w:rsidRDefault="00B16400" w:rsidP="004341A3">
            <w:pPr>
              <w:widowControl w:val="0"/>
              <w:tabs>
                <w:tab w:val="left" w:pos="1870"/>
              </w:tabs>
              <w:ind w:right="113"/>
              <w:rPr>
                <w:bCs/>
                <w:sz w:val="16"/>
                <w:szCs w:val="16"/>
                <w:lang w:val="es-ES_tradnl"/>
              </w:rPr>
            </w:pPr>
            <w:r w:rsidRPr="00C75C7E">
              <w:rPr>
                <w:bCs/>
                <w:sz w:val="16"/>
                <w:szCs w:val="16"/>
                <w:lang w:val="es-ES_tradnl"/>
              </w:rPr>
              <w:t>El CDIP se ocupará de 45 recomendaciones.</w:t>
            </w:r>
          </w:p>
        </w:tc>
      </w:tr>
      <w:tr w:rsidR="006E54B7" w:rsidRPr="00C75C7E" w:rsidTr="004341A3">
        <w:trPr>
          <w:cantSplit/>
        </w:trPr>
        <w:tc>
          <w:tcPr>
            <w:tcW w:w="1250" w:type="pct"/>
            <w:shd w:val="clear" w:color="auto" w:fill="auto"/>
          </w:tcPr>
          <w:p w:rsidR="006E54B7" w:rsidRPr="00C75C7E" w:rsidRDefault="006E54B7" w:rsidP="004341A3">
            <w:pPr>
              <w:widowControl w:val="0"/>
              <w:rPr>
                <w:sz w:val="16"/>
                <w:szCs w:val="16"/>
                <w:lang w:val="es-ES_tradnl"/>
              </w:rPr>
            </w:pPr>
          </w:p>
        </w:tc>
        <w:tc>
          <w:tcPr>
            <w:tcW w:w="1462" w:type="pct"/>
            <w:shd w:val="clear" w:color="auto" w:fill="auto"/>
            <w:tcMar>
              <w:top w:w="110" w:type="dxa"/>
            </w:tcMar>
          </w:tcPr>
          <w:p w:rsidR="006E54B7" w:rsidRPr="00C75C7E" w:rsidRDefault="006E54B7" w:rsidP="004341A3">
            <w:pPr>
              <w:widowControl w:val="0"/>
              <w:rPr>
                <w:sz w:val="16"/>
                <w:szCs w:val="16"/>
                <w:lang w:val="es-ES_tradnl"/>
              </w:rPr>
            </w:pPr>
            <w:r>
              <w:rPr>
                <w:sz w:val="16"/>
                <w:szCs w:val="16"/>
                <w:lang w:val="es-ES_tradnl"/>
              </w:rPr>
              <w:t>Tasa de satisfacción de los Estados miembros con los resultados de los proyectos, actividades y estudios.</w:t>
            </w:r>
          </w:p>
        </w:tc>
        <w:tc>
          <w:tcPr>
            <w:tcW w:w="1145" w:type="pct"/>
            <w:shd w:val="clear" w:color="auto" w:fill="FFFFFF"/>
            <w:tcMar>
              <w:top w:w="110" w:type="dxa"/>
            </w:tcMar>
          </w:tcPr>
          <w:p w:rsidR="006E54B7" w:rsidRPr="00C75C7E" w:rsidRDefault="006E54B7" w:rsidP="004341A3">
            <w:pPr>
              <w:widowControl w:val="0"/>
              <w:rPr>
                <w:sz w:val="16"/>
                <w:szCs w:val="16"/>
                <w:lang w:val="es-ES_tradnl" w:bidi="th-TH"/>
              </w:rPr>
            </w:pPr>
            <w:r>
              <w:rPr>
                <w:sz w:val="16"/>
                <w:szCs w:val="16"/>
                <w:lang w:val="es-ES_tradnl" w:bidi="th-TH"/>
              </w:rPr>
              <w:t>80%</w:t>
            </w:r>
          </w:p>
        </w:tc>
        <w:tc>
          <w:tcPr>
            <w:tcW w:w="1143" w:type="pct"/>
            <w:shd w:val="clear" w:color="auto" w:fill="auto"/>
            <w:tcMar>
              <w:top w:w="110" w:type="dxa"/>
            </w:tcMar>
          </w:tcPr>
          <w:p w:rsidR="006E54B7" w:rsidRPr="00C75C7E" w:rsidRDefault="006E54B7" w:rsidP="004341A3">
            <w:pPr>
              <w:widowControl w:val="0"/>
              <w:tabs>
                <w:tab w:val="left" w:pos="2051"/>
              </w:tabs>
              <w:ind w:right="381"/>
              <w:rPr>
                <w:bCs/>
                <w:sz w:val="16"/>
                <w:szCs w:val="16"/>
                <w:lang w:val="es-ES_tradnl"/>
              </w:rPr>
            </w:pPr>
            <w:r>
              <w:rPr>
                <w:bCs/>
                <w:sz w:val="16"/>
                <w:szCs w:val="16"/>
                <w:lang w:val="es-ES_tradnl"/>
              </w:rPr>
              <w:t>80%</w:t>
            </w:r>
          </w:p>
        </w:tc>
      </w:tr>
      <w:tr w:rsidR="00B16400" w:rsidRPr="00C75C7E" w:rsidTr="004341A3">
        <w:trPr>
          <w:cantSplit/>
        </w:trPr>
        <w:tc>
          <w:tcPr>
            <w:tcW w:w="1250" w:type="pct"/>
            <w:shd w:val="clear" w:color="auto" w:fill="auto"/>
          </w:tcPr>
          <w:p w:rsidR="00B16400" w:rsidRPr="00C75C7E" w:rsidRDefault="00B16400" w:rsidP="004341A3">
            <w:pPr>
              <w:widowControl w:val="0"/>
              <w:rPr>
                <w:sz w:val="16"/>
                <w:szCs w:val="16"/>
                <w:lang w:val="es-ES_tradnl"/>
              </w:rPr>
            </w:pPr>
          </w:p>
        </w:tc>
        <w:tc>
          <w:tcPr>
            <w:tcW w:w="1462" w:type="pct"/>
            <w:shd w:val="clear" w:color="auto" w:fill="auto"/>
            <w:tcMar>
              <w:top w:w="110" w:type="dxa"/>
            </w:tcMar>
          </w:tcPr>
          <w:p w:rsidR="00B16400" w:rsidRPr="00C75C7E" w:rsidRDefault="00B16400" w:rsidP="004341A3">
            <w:pPr>
              <w:widowControl w:val="0"/>
              <w:rPr>
                <w:sz w:val="16"/>
                <w:szCs w:val="16"/>
                <w:lang w:val="es-ES_tradnl"/>
              </w:rPr>
            </w:pPr>
            <w:r w:rsidRPr="00C75C7E">
              <w:rPr>
                <w:sz w:val="16"/>
                <w:szCs w:val="16"/>
                <w:lang w:val="es-ES_tradnl"/>
              </w:rPr>
              <w:t>Aplicación del mecanismo de coordinación aprobado por los Estados miembros.</w:t>
            </w:r>
          </w:p>
        </w:tc>
        <w:tc>
          <w:tcPr>
            <w:tcW w:w="1145" w:type="pct"/>
            <w:shd w:val="clear" w:color="auto" w:fill="FFFFFF"/>
            <w:tcMar>
              <w:top w:w="110" w:type="dxa"/>
            </w:tcMar>
          </w:tcPr>
          <w:p w:rsidR="00B16400" w:rsidRPr="00C75C7E" w:rsidRDefault="00B16400" w:rsidP="004341A3">
            <w:pPr>
              <w:widowControl w:val="0"/>
              <w:rPr>
                <w:sz w:val="16"/>
                <w:szCs w:val="16"/>
                <w:lang w:val="es-ES_tradnl" w:bidi="th-TH"/>
              </w:rPr>
            </w:pPr>
            <w:r w:rsidRPr="00C75C7E">
              <w:rPr>
                <w:sz w:val="16"/>
                <w:szCs w:val="16"/>
                <w:lang w:val="es-ES_tradnl" w:bidi="th-TH"/>
              </w:rPr>
              <w:t>Mecanismos de coordina</w:t>
            </w:r>
            <w:r w:rsidR="00AC5C4F">
              <w:rPr>
                <w:sz w:val="16"/>
                <w:szCs w:val="16"/>
                <w:lang w:val="es-ES_tradnl" w:bidi="th-TH"/>
              </w:rPr>
              <w:t>-</w:t>
            </w:r>
            <w:proofErr w:type="spellStart"/>
            <w:r w:rsidRPr="00C75C7E">
              <w:rPr>
                <w:sz w:val="16"/>
                <w:szCs w:val="16"/>
                <w:lang w:val="es-ES_tradnl" w:bidi="th-TH"/>
              </w:rPr>
              <w:t>ción</w:t>
            </w:r>
            <w:proofErr w:type="spellEnd"/>
            <w:r w:rsidRPr="00C75C7E">
              <w:rPr>
                <w:sz w:val="16"/>
                <w:szCs w:val="16"/>
                <w:lang w:val="es-ES_tradnl" w:bidi="th-TH"/>
              </w:rPr>
              <w:t xml:space="preserve"> y modalidades de supervisión, evaluación y presentación de informes aprobados por el Comité en abril de 2010.</w:t>
            </w:r>
          </w:p>
          <w:p w:rsidR="00B16400" w:rsidRPr="00C75C7E" w:rsidRDefault="00B16400" w:rsidP="004341A3">
            <w:pPr>
              <w:widowControl w:val="0"/>
              <w:rPr>
                <w:sz w:val="16"/>
                <w:szCs w:val="16"/>
                <w:lang w:val="es-ES_tradnl"/>
              </w:rPr>
            </w:pPr>
          </w:p>
        </w:tc>
        <w:tc>
          <w:tcPr>
            <w:tcW w:w="1143" w:type="pct"/>
            <w:shd w:val="clear" w:color="auto" w:fill="auto"/>
            <w:tcMar>
              <w:top w:w="110" w:type="dxa"/>
            </w:tcMar>
          </w:tcPr>
          <w:p w:rsidR="00B16400" w:rsidRPr="00C75C7E" w:rsidRDefault="00B16400" w:rsidP="004341A3">
            <w:pPr>
              <w:widowControl w:val="0"/>
              <w:tabs>
                <w:tab w:val="left" w:pos="2051"/>
              </w:tabs>
              <w:ind w:right="381"/>
              <w:rPr>
                <w:bCs/>
                <w:sz w:val="16"/>
                <w:szCs w:val="16"/>
                <w:lang w:val="es-ES_tradnl"/>
              </w:rPr>
            </w:pPr>
            <w:r w:rsidRPr="00C75C7E">
              <w:rPr>
                <w:bCs/>
                <w:sz w:val="16"/>
                <w:szCs w:val="16"/>
                <w:lang w:val="es-ES_tradnl"/>
              </w:rPr>
              <w:t>Mecanismos de coordinación aplicados conforme a la decisión de los Estados miembros.</w:t>
            </w:r>
          </w:p>
        </w:tc>
      </w:tr>
      <w:tr w:rsidR="00987FC7" w:rsidRPr="00C75C7E" w:rsidTr="004341A3">
        <w:trPr>
          <w:cantSplit/>
        </w:trPr>
        <w:tc>
          <w:tcPr>
            <w:tcW w:w="1250" w:type="pct"/>
            <w:shd w:val="clear" w:color="auto" w:fill="auto"/>
          </w:tcPr>
          <w:p w:rsidR="00987FC7" w:rsidRPr="00C75C7E" w:rsidRDefault="00987FC7" w:rsidP="004341A3">
            <w:pPr>
              <w:widowControl w:val="0"/>
              <w:rPr>
                <w:sz w:val="16"/>
                <w:szCs w:val="16"/>
                <w:lang w:val="es-ES_tradnl"/>
              </w:rPr>
            </w:pPr>
          </w:p>
        </w:tc>
        <w:tc>
          <w:tcPr>
            <w:tcW w:w="1462" w:type="pct"/>
            <w:shd w:val="clear" w:color="auto" w:fill="auto"/>
            <w:tcMar>
              <w:top w:w="110" w:type="dxa"/>
            </w:tcMar>
          </w:tcPr>
          <w:p w:rsidR="00987FC7" w:rsidRPr="00C75C7E" w:rsidRDefault="00987FC7" w:rsidP="004341A3">
            <w:pPr>
              <w:widowControl w:val="0"/>
              <w:rPr>
                <w:sz w:val="16"/>
                <w:szCs w:val="16"/>
                <w:lang w:val="es-ES_tradnl"/>
              </w:rPr>
            </w:pPr>
            <w:r>
              <w:rPr>
                <w:sz w:val="16"/>
                <w:szCs w:val="16"/>
                <w:lang w:val="es-ES_tradnl"/>
              </w:rPr>
              <w:t>Número de programas que reflejan que las recomendaciones de la A.D. han sido incorporadas en la labor corriente de la OMPI.</w:t>
            </w:r>
          </w:p>
        </w:tc>
        <w:tc>
          <w:tcPr>
            <w:tcW w:w="1145" w:type="pct"/>
            <w:shd w:val="clear" w:color="auto" w:fill="FFFFFF"/>
            <w:tcMar>
              <w:top w:w="110" w:type="dxa"/>
            </w:tcMar>
          </w:tcPr>
          <w:p w:rsidR="00987FC7" w:rsidRPr="00C75C7E" w:rsidRDefault="00987FC7" w:rsidP="004341A3">
            <w:pPr>
              <w:widowControl w:val="0"/>
              <w:rPr>
                <w:sz w:val="16"/>
                <w:szCs w:val="16"/>
                <w:lang w:val="es-ES_tradnl" w:bidi="th-TH"/>
              </w:rPr>
            </w:pPr>
            <w:r>
              <w:rPr>
                <w:sz w:val="16"/>
                <w:szCs w:val="16"/>
                <w:lang w:val="es-ES_tradnl" w:bidi="th-TH"/>
              </w:rPr>
              <w:t>Por determinar</w:t>
            </w:r>
          </w:p>
        </w:tc>
        <w:tc>
          <w:tcPr>
            <w:tcW w:w="1143" w:type="pct"/>
            <w:shd w:val="clear" w:color="auto" w:fill="auto"/>
            <w:tcMar>
              <w:top w:w="110" w:type="dxa"/>
            </w:tcMar>
          </w:tcPr>
          <w:p w:rsidR="00987FC7" w:rsidRPr="00C75C7E" w:rsidRDefault="00987FC7" w:rsidP="004341A3">
            <w:pPr>
              <w:widowControl w:val="0"/>
              <w:tabs>
                <w:tab w:val="left" w:pos="2051"/>
              </w:tabs>
              <w:ind w:right="381"/>
              <w:rPr>
                <w:bCs/>
                <w:sz w:val="16"/>
                <w:szCs w:val="16"/>
                <w:lang w:val="es-ES_tradnl"/>
              </w:rPr>
            </w:pPr>
            <w:r>
              <w:rPr>
                <w:bCs/>
                <w:sz w:val="16"/>
                <w:szCs w:val="16"/>
                <w:lang w:val="es-ES_tradnl"/>
              </w:rPr>
              <w:t>20</w:t>
            </w:r>
          </w:p>
        </w:tc>
      </w:tr>
      <w:tr w:rsidR="00987FC7" w:rsidRPr="00C75C7E" w:rsidTr="004341A3">
        <w:trPr>
          <w:cantSplit/>
        </w:trPr>
        <w:tc>
          <w:tcPr>
            <w:tcW w:w="1250" w:type="pct"/>
            <w:shd w:val="clear" w:color="auto" w:fill="auto"/>
          </w:tcPr>
          <w:p w:rsidR="00987FC7" w:rsidRPr="00C75C7E" w:rsidRDefault="00987FC7" w:rsidP="004341A3">
            <w:pPr>
              <w:widowControl w:val="0"/>
              <w:rPr>
                <w:sz w:val="16"/>
                <w:szCs w:val="16"/>
                <w:lang w:val="es-ES_tradnl"/>
              </w:rPr>
            </w:pPr>
          </w:p>
        </w:tc>
        <w:tc>
          <w:tcPr>
            <w:tcW w:w="1462" w:type="pct"/>
            <w:shd w:val="clear" w:color="auto" w:fill="auto"/>
            <w:tcMar>
              <w:top w:w="110" w:type="dxa"/>
            </w:tcMar>
          </w:tcPr>
          <w:p w:rsidR="00987FC7" w:rsidRPr="00C75C7E" w:rsidRDefault="00987FC7" w:rsidP="006E54B7">
            <w:pPr>
              <w:widowControl w:val="0"/>
              <w:rPr>
                <w:sz w:val="16"/>
                <w:szCs w:val="16"/>
                <w:lang w:val="es-ES_tradnl"/>
              </w:rPr>
            </w:pPr>
            <w:r>
              <w:rPr>
                <w:sz w:val="16"/>
                <w:szCs w:val="16"/>
                <w:lang w:val="es-ES_tradnl"/>
              </w:rPr>
              <w:t>Número de proyectos de la A.D</w:t>
            </w:r>
            <w:r w:rsidR="006E54B7">
              <w:rPr>
                <w:sz w:val="16"/>
                <w:szCs w:val="16"/>
                <w:lang w:val="es-ES_tradnl"/>
              </w:rPr>
              <w:t>, y forma en</w:t>
            </w:r>
            <w:r>
              <w:rPr>
                <w:sz w:val="16"/>
                <w:szCs w:val="16"/>
                <w:lang w:val="es-ES_tradnl"/>
              </w:rPr>
              <w:t xml:space="preserve"> que han sido incorporados en la labor corriente de la OMPI (fijación de normas, asistencia técnica y prestación de servicios).</w:t>
            </w:r>
          </w:p>
        </w:tc>
        <w:tc>
          <w:tcPr>
            <w:tcW w:w="1145" w:type="pct"/>
            <w:shd w:val="clear" w:color="auto" w:fill="FFFFFF"/>
            <w:tcMar>
              <w:top w:w="110" w:type="dxa"/>
            </w:tcMar>
          </w:tcPr>
          <w:p w:rsidR="00987FC7" w:rsidRPr="00C75C7E" w:rsidRDefault="00987FC7" w:rsidP="004341A3">
            <w:pPr>
              <w:widowControl w:val="0"/>
              <w:rPr>
                <w:sz w:val="16"/>
                <w:szCs w:val="16"/>
                <w:lang w:val="es-ES_tradnl" w:bidi="th-TH"/>
              </w:rPr>
            </w:pPr>
            <w:r>
              <w:rPr>
                <w:sz w:val="16"/>
                <w:szCs w:val="16"/>
                <w:lang w:val="es-ES_tradnl" w:bidi="th-TH"/>
              </w:rPr>
              <w:t>Por determinar</w:t>
            </w:r>
          </w:p>
        </w:tc>
        <w:tc>
          <w:tcPr>
            <w:tcW w:w="1143" w:type="pct"/>
            <w:shd w:val="clear" w:color="auto" w:fill="auto"/>
            <w:tcMar>
              <w:top w:w="110" w:type="dxa"/>
            </w:tcMar>
          </w:tcPr>
          <w:p w:rsidR="00987FC7" w:rsidRPr="00C75C7E" w:rsidRDefault="00987FC7" w:rsidP="004341A3">
            <w:pPr>
              <w:widowControl w:val="0"/>
              <w:tabs>
                <w:tab w:val="left" w:pos="2051"/>
              </w:tabs>
              <w:ind w:right="381"/>
              <w:rPr>
                <w:bCs/>
                <w:sz w:val="16"/>
                <w:szCs w:val="16"/>
                <w:lang w:val="es-ES_tradnl"/>
              </w:rPr>
            </w:pPr>
            <w:r>
              <w:rPr>
                <w:bCs/>
                <w:sz w:val="16"/>
                <w:szCs w:val="16"/>
                <w:lang w:val="es-ES_tradnl"/>
              </w:rPr>
              <w:t>12</w:t>
            </w:r>
          </w:p>
        </w:tc>
      </w:tr>
      <w:tr w:rsidR="00987FC7" w:rsidRPr="00C75C7E" w:rsidTr="004341A3">
        <w:trPr>
          <w:cantSplit/>
        </w:trPr>
        <w:tc>
          <w:tcPr>
            <w:tcW w:w="1250" w:type="pct"/>
            <w:shd w:val="clear" w:color="auto" w:fill="auto"/>
          </w:tcPr>
          <w:p w:rsidR="00987FC7" w:rsidRPr="00C75C7E" w:rsidRDefault="00987FC7" w:rsidP="004341A3">
            <w:pPr>
              <w:widowControl w:val="0"/>
              <w:rPr>
                <w:sz w:val="16"/>
                <w:szCs w:val="16"/>
                <w:lang w:val="es-ES_tradnl"/>
              </w:rPr>
            </w:pPr>
          </w:p>
        </w:tc>
        <w:tc>
          <w:tcPr>
            <w:tcW w:w="1462" w:type="pct"/>
            <w:shd w:val="clear" w:color="auto" w:fill="auto"/>
            <w:tcMar>
              <w:top w:w="110" w:type="dxa"/>
            </w:tcMar>
          </w:tcPr>
          <w:p w:rsidR="00987FC7" w:rsidRPr="00C75C7E" w:rsidRDefault="00987FC7" w:rsidP="004341A3">
            <w:pPr>
              <w:widowControl w:val="0"/>
              <w:rPr>
                <w:sz w:val="16"/>
                <w:szCs w:val="16"/>
                <w:lang w:val="es-ES_tradnl"/>
              </w:rPr>
            </w:pPr>
            <w:r>
              <w:rPr>
                <w:sz w:val="16"/>
                <w:szCs w:val="16"/>
                <w:lang w:val="es-ES_tradnl"/>
              </w:rPr>
              <w:t>Sistema eficaz instalado para la planificación, el seguimiento y la evaluación de la aplicación de las recomendaciones de la A.D.</w:t>
            </w:r>
          </w:p>
        </w:tc>
        <w:tc>
          <w:tcPr>
            <w:tcW w:w="1145" w:type="pct"/>
            <w:shd w:val="clear" w:color="auto" w:fill="FFFFFF"/>
            <w:tcMar>
              <w:top w:w="110" w:type="dxa"/>
            </w:tcMar>
          </w:tcPr>
          <w:p w:rsidR="00987FC7" w:rsidRPr="00C75C7E" w:rsidRDefault="00987FC7" w:rsidP="004341A3">
            <w:pPr>
              <w:widowControl w:val="0"/>
              <w:rPr>
                <w:sz w:val="16"/>
                <w:szCs w:val="16"/>
                <w:lang w:val="es-ES_tradnl" w:bidi="th-TH"/>
              </w:rPr>
            </w:pPr>
            <w:r>
              <w:rPr>
                <w:sz w:val="16"/>
                <w:szCs w:val="16"/>
                <w:lang w:val="es-ES_tradnl" w:bidi="th-TH"/>
              </w:rPr>
              <w:t>Por determinar</w:t>
            </w:r>
          </w:p>
        </w:tc>
        <w:tc>
          <w:tcPr>
            <w:tcW w:w="1143" w:type="pct"/>
            <w:shd w:val="clear" w:color="auto" w:fill="auto"/>
            <w:tcMar>
              <w:top w:w="110" w:type="dxa"/>
            </w:tcMar>
          </w:tcPr>
          <w:p w:rsidR="00987FC7" w:rsidRPr="00C75C7E" w:rsidRDefault="00987FC7" w:rsidP="004341A3">
            <w:pPr>
              <w:widowControl w:val="0"/>
              <w:tabs>
                <w:tab w:val="left" w:pos="2051"/>
              </w:tabs>
              <w:ind w:right="381"/>
              <w:rPr>
                <w:bCs/>
                <w:sz w:val="16"/>
                <w:szCs w:val="16"/>
                <w:lang w:val="es-ES_tradnl"/>
              </w:rPr>
            </w:pPr>
            <w:r>
              <w:rPr>
                <w:bCs/>
                <w:sz w:val="16"/>
                <w:szCs w:val="16"/>
                <w:lang w:val="es-ES_tradnl"/>
              </w:rPr>
              <w:t xml:space="preserve">Todos los programas disponen de un sistema eficaz de planificación, </w:t>
            </w:r>
            <w:proofErr w:type="spellStart"/>
            <w:r>
              <w:rPr>
                <w:bCs/>
                <w:sz w:val="16"/>
                <w:szCs w:val="16"/>
                <w:lang w:val="es-ES_tradnl"/>
              </w:rPr>
              <w:t>segui</w:t>
            </w:r>
            <w:proofErr w:type="spellEnd"/>
            <w:r w:rsidR="00AC5C4F">
              <w:rPr>
                <w:bCs/>
                <w:sz w:val="16"/>
                <w:szCs w:val="16"/>
                <w:lang w:val="es-ES_tradnl"/>
              </w:rPr>
              <w:t>-</w:t>
            </w:r>
            <w:r>
              <w:rPr>
                <w:bCs/>
                <w:sz w:val="16"/>
                <w:szCs w:val="16"/>
                <w:lang w:val="es-ES_tradnl"/>
              </w:rPr>
              <w:t>miento y evaluación de la aplicación de las recomendaciones de la A.D.</w:t>
            </w:r>
          </w:p>
        </w:tc>
      </w:tr>
      <w:tr w:rsidR="006E54B7" w:rsidRPr="00C75C7E" w:rsidTr="004341A3">
        <w:trPr>
          <w:cantSplit/>
        </w:trPr>
        <w:tc>
          <w:tcPr>
            <w:tcW w:w="1250" w:type="pct"/>
            <w:shd w:val="clear" w:color="auto" w:fill="auto"/>
          </w:tcPr>
          <w:p w:rsidR="006E54B7" w:rsidRDefault="006E54B7" w:rsidP="004341A3">
            <w:pPr>
              <w:widowControl w:val="0"/>
              <w:rPr>
                <w:sz w:val="16"/>
                <w:szCs w:val="16"/>
                <w:lang w:val="es-ES_tradnl"/>
              </w:rPr>
            </w:pPr>
          </w:p>
        </w:tc>
        <w:tc>
          <w:tcPr>
            <w:tcW w:w="1462" w:type="pct"/>
            <w:shd w:val="clear" w:color="auto" w:fill="auto"/>
            <w:tcMar>
              <w:top w:w="110" w:type="dxa"/>
            </w:tcMar>
          </w:tcPr>
          <w:p w:rsidR="006E54B7" w:rsidRDefault="006E54B7" w:rsidP="004341A3">
            <w:pPr>
              <w:widowControl w:val="0"/>
              <w:rPr>
                <w:sz w:val="16"/>
                <w:szCs w:val="16"/>
                <w:lang w:val="es-ES_tradnl"/>
              </w:rPr>
            </w:pPr>
            <w:r>
              <w:rPr>
                <w:sz w:val="16"/>
                <w:szCs w:val="16"/>
                <w:lang w:val="es-ES_tradnl"/>
              </w:rPr>
              <w:t>Porcentaje de proyectos de la A.D. que han sido evaluados en forma independiente.</w:t>
            </w:r>
          </w:p>
        </w:tc>
        <w:tc>
          <w:tcPr>
            <w:tcW w:w="1145" w:type="pct"/>
            <w:shd w:val="clear" w:color="auto" w:fill="FFFFFF"/>
            <w:tcMar>
              <w:top w:w="110" w:type="dxa"/>
            </w:tcMar>
          </w:tcPr>
          <w:p w:rsidR="006E54B7" w:rsidRDefault="006E54B7" w:rsidP="004341A3">
            <w:pPr>
              <w:widowControl w:val="0"/>
              <w:rPr>
                <w:sz w:val="16"/>
                <w:szCs w:val="16"/>
                <w:lang w:val="es-ES_tradnl" w:bidi="th-TH"/>
              </w:rPr>
            </w:pPr>
            <w:r>
              <w:rPr>
                <w:sz w:val="16"/>
                <w:szCs w:val="16"/>
                <w:lang w:val="es-ES_tradnl" w:bidi="th-TH"/>
              </w:rPr>
              <w:t>100%</w:t>
            </w:r>
          </w:p>
        </w:tc>
        <w:tc>
          <w:tcPr>
            <w:tcW w:w="1143" w:type="pct"/>
            <w:shd w:val="clear" w:color="auto" w:fill="auto"/>
            <w:tcMar>
              <w:top w:w="110" w:type="dxa"/>
            </w:tcMar>
          </w:tcPr>
          <w:p w:rsidR="006E54B7" w:rsidRDefault="006E54B7" w:rsidP="00987FC7">
            <w:pPr>
              <w:widowControl w:val="0"/>
              <w:tabs>
                <w:tab w:val="left" w:pos="2051"/>
              </w:tabs>
              <w:ind w:right="381"/>
              <w:rPr>
                <w:sz w:val="16"/>
                <w:szCs w:val="16"/>
                <w:lang w:val="es-ES_tradnl" w:bidi="th-TH"/>
              </w:rPr>
            </w:pPr>
            <w:r>
              <w:rPr>
                <w:sz w:val="16"/>
                <w:szCs w:val="16"/>
                <w:lang w:val="es-ES_tradnl" w:bidi="th-TH"/>
              </w:rPr>
              <w:t>100%</w:t>
            </w:r>
          </w:p>
        </w:tc>
      </w:tr>
      <w:tr w:rsidR="00987FC7" w:rsidRPr="00C75C7E" w:rsidTr="004341A3">
        <w:trPr>
          <w:cantSplit/>
        </w:trPr>
        <w:tc>
          <w:tcPr>
            <w:tcW w:w="1250" w:type="pct"/>
            <w:shd w:val="clear" w:color="auto" w:fill="auto"/>
          </w:tcPr>
          <w:p w:rsidR="00987FC7" w:rsidRPr="00C75C7E" w:rsidRDefault="00987FC7" w:rsidP="004341A3">
            <w:pPr>
              <w:widowControl w:val="0"/>
              <w:rPr>
                <w:sz w:val="16"/>
                <w:szCs w:val="16"/>
                <w:lang w:val="es-ES_tradnl"/>
              </w:rPr>
            </w:pPr>
            <w:r>
              <w:rPr>
                <w:sz w:val="16"/>
                <w:szCs w:val="16"/>
                <w:lang w:val="es-ES_tradnl"/>
              </w:rPr>
              <w:t xml:space="preserve">III.5  </w:t>
            </w:r>
            <w:r w:rsidRPr="00DB4C60">
              <w:rPr>
                <w:sz w:val="16"/>
                <w:szCs w:val="16"/>
                <w:lang w:val="es-ES_tradnl"/>
              </w:rPr>
              <w:t>Mejor comprensión de la Agenda para el Desarrollo por los Estados miembros, las OIG, la sociedad civil y demás partes interesadas</w:t>
            </w:r>
          </w:p>
        </w:tc>
        <w:tc>
          <w:tcPr>
            <w:tcW w:w="1462" w:type="pct"/>
            <w:shd w:val="clear" w:color="auto" w:fill="auto"/>
            <w:tcMar>
              <w:top w:w="110" w:type="dxa"/>
            </w:tcMar>
          </w:tcPr>
          <w:p w:rsidR="00987FC7" w:rsidRPr="00C75C7E" w:rsidRDefault="00987FC7" w:rsidP="004341A3">
            <w:pPr>
              <w:widowControl w:val="0"/>
              <w:rPr>
                <w:sz w:val="16"/>
                <w:szCs w:val="16"/>
                <w:lang w:val="es-ES_tradnl"/>
              </w:rPr>
            </w:pPr>
            <w:r>
              <w:rPr>
                <w:sz w:val="16"/>
                <w:szCs w:val="16"/>
                <w:lang w:val="es-ES_tradnl"/>
              </w:rPr>
              <w:t>Número de países que piden asistencia técnica por conducto de proyectos de la A.D. y que manifiestan interés en actividades relacionadas con la A.D.</w:t>
            </w:r>
          </w:p>
        </w:tc>
        <w:tc>
          <w:tcPr>
            <w:tcW w:w="1145" w:type="pct"/>
            <w:shd w:val="clear" w:color="auto" w:fill="FFFFFF"/>
            <w:tcMar>
              <w:top w:w="110" w:type="dxa"/>
            </w:tcMar>
          </w:tcPr>
          <w:p w:rsidR="00987FC7" w:rsidRPr="00C75C7E" w:rsidRDefault="00987FC7" w:rsidP="004341A3">
            <w:pPr>
              <w:widowControl w:val="0"/>
              <w:rPr>
                <w:sz w:val="16"/>
                <w:szCs w:val="16"/>
                <w:lang w:val="es-ES_tradnl" w:bidi="th-TH"/>
              </w:rPr>
            </w:pPr>
            <w:r>
              <w:rPr>
                <w:sz w:val="16"/>
                <w:szCs w:val="16"/>
                <w:lang w:val="es-ES_tradnl" w:bidi="th-TH"/>
              </w:rPr>
              <w:t>Proyectos y actividades relacionadas con la A.D. en 43 países (abril de 2013)</w:t>
            </w:r>
          </w:p>
        </w:tc>
        <w:tc>
          <w:tcPr>
            <w:tcW w:w="1143" w:type="pct"/>
            <w:shd w:val="clear" w:color="auto" w:fill="auto"/>
            <w:tcMar>
              <w:top w:w="110" w:type="dxa"/>
            </w:tcMar>
          </w:tcPr>
          <w:p w:rsidR="00987FC7" w:rsidRPr="00C75C7E" w:rsidRDefault="00987FC7" w:rsidP="00987FC7">
            <w:pPr>
              <w:widowControl w:val="0"/>
              <w:tabs>
                <w:tab w:val="left" w:pos="2051"/>
              </w:tabs>
              <w:ind w:right="381"/>
              <w:rPr>
                <w:bCs/>
                <w:sz w:val="16"/>
                <w:szCs w:val="16"/>
                <w:lang w:val="es-ES_tradnl"/>
              </w:rPr>
            </w:pPr>
            <w:r>
              <w:rPr>
                <w:sz w:val="16"/>
                <w:szCs w:val="16"/>
                <w:lang w:val="es-ES_tradnl" w:bidi="th-TH"/>
              </w:rPr>
              <w:t>Proyectos y actividades relacionadas con la A.D. en 50 países</w:t>
            </w:r>
          </w:p>
        </w:tc>
      </w:tr>
      <w:tr w:rsidR="00987FC7" w:rsidRPr="00C75C7E" w:rsidTr="004341A3">
        <w:trPr>
          <w:cantSplit/>
        </w:trPr>
        <w:tc>
          <w:tcPr>
            <w:tcW w:w="1250" w:type="pct"/>
            <w:shd w:val="clear" w:color="auto" w:fill="auto"/>
          </w:tcPr>
          <w:p w:rsidR="00987FC7" w:rsidRPr="00C75C7E" w:rsidRDefault="00987FC7" w:rsidP="004341A3">
            <w:pPr>
              <w:widowControl w:val="0"/>
              <w:rPr>
                <w:sz w:val="16"/>
                <w:szCs w:val="16"/>
                <w:lang w:val="es-ES_tradnl"/>
              </w:rPr>
            </w:pPr>
          </w:p>
        </w:tc>
        <w:tc>
          <w:tcPr>
            <w:tcW w:w="1462" w:type="pct"/>
            <w:shd w:val="clear" w:color="auto" w:fill="auto"/>
            <w:tcMar>
              <w:top w:w="110" w:type="dxa"/>
            </w:tcMar>
          </w:tcPr>
          <w:p w:rsidR="00987FC7" w:rsidRPr="00C75C7E" w:rsidRDefault="00987FC7" w:rsidP="004341A3">
            <w:pPr>
              <w:widowControl w:val="0"/>
              <w:rPr>
                <w:sz w:val="16"/>
                <w:szCs w:val="16"/>
                <w:lang w:val="es-ES_tradnl"/>
              </w:rPr>
            </w:pPr>
            <w:r>
              <w:rPr>
                <w:sz w:val="16"/>
                <w:szCs w:val="16"/>
                <w:lang w:val="es-ES_tradnl"/>
              </w:rPr>
              <w:t>Porcentaje de participantes en reuniones de la OMPI (Estados miembros, OIG, sociedad civil y demás partes interesadas) satisfechos con la información recibida sobre las recomendaciones de la A.D.</w:t>
            </w:r>
            <w:r>
              <w:rPr>
                <w:sz w:val="16"/>
                <w:szCs w:val="16"/>
                <w:lang w:val="es-ES_tradnl"/>
              </w:rPr>
              <w:br/>
            </w:r>
          </w:p>
        </w:tc>
        <w:tc>
          <w:tcPr>
            <w:tcW w:w="1145" w:type="pct"/>
            <w:shd w:val="clear" w:color="auto" w:fill="FFFFFF"/>
            <w:tcMar>
              <w:top w:w="110" w:type="dxa"/>
            </w:tcMar>
          </w:tcPr>
          <w:p w:rsidR="00987FC7" w:rsidRPr="00C75C7E" w:rsidRDefault="00987FC7" w:rsidP="004341A3">
            <w:pPr>
              <w:widowControl w:val="0"/>
              <w:rPr>
                <w:sz w:val="16"/>
                <w:szCs w:val="16"/>
                <w:lang w:val="es-ES_tradnl" w:bidi="th-TH"/>
              </w:rPr>
            </w:pPr>
            <w:proofErr w:type="spellStart"/>
            <w:r>
              <w:rPr>
                <w:sz w:val="16"/>
                <w:szCs w:val="16"/>
                <w:lang w:val="es-ES_tradnl" w:bidi="th-TH"/>
              </w:rPr>
              <w:t>n.a</w:t>
            </w:r>
            <w:proofErr w:type="spellEnd"/>
            <w:r>
              <w:rPr>
                <w:sz w:val="16"/>
                <w:szCs w:val="16"/>
                <w:lang w:val="es-ES_tradnl" w:bidi="th-TH"/>
              </w:rPr>
              <w:t>.</w:t>
            </w:r>
          </w:p>
        </w:tc>
        <w:tc>
          <w:tcPr>
            <w:tcW w:w="1143" w:type="pct"/>
            <w:shd w:val="clear" w:color="auto" w:fill="auto"/>
            <w:tcMar>
              <w:top w:w="110" w:type="dxa"/>
            </w:tcMar>
          </w:tcPr>
          <w:p w:rsidR="00987FC7" w:rsidRPr="00C75C7E" w:rsidRDefault="00987FC7" w:rsidP="004341A3">
            <w:pPr>
              <w:widowControl w:val="0"/>
              <w:tabs>
                <w:tab w:val="left" w:pos="2051"/>
              </w:tabs>
              <w:ind w:right="381"/>
              <w:rPr>
                <w:bCs/>
                <w:sz w:val="16"/>
                <w:szCs w:val="16"/>
                <w:lang w:val="es-ES_tradnl"/>
              </w:rPr>
            </w:pPr>
            <w:r>
              <w:rPr>
                <w:bCs/>
                <w:sz w:val="16"/>
                <w:szCs w:val="16"/>
                <w:lang w:val="es-ES_tradnl"/>
              </w:rPr>
              <w:t>80%</w:t>
            </w:r>
          </w:p>
        </w:tc>
      </w:tr>
    </w:tbl>
    <w:p w:rsidR="00B16400" w:rsidRPr="00C75C7E" w:rsidRDefault="00B16400" w:rsidP="00B16400">
      <w:pPr>
        <w:widowControl w:val="0"/>
        <w:tabs>
          <w:tab w:val="left" w:pos="567"/>
          <w:tab w:val="left" w:pos="1985"/>
        </w:tabs>
        <w:jc w:val="both"/>
        <w:rPr>
          <w:bCs/>
          <w:sz w:val="20"/>
          <w:lang w:val="es-ES_tradnl"/>
        </w:rPr>
      </w:pPr>
    </w:p>
    <w:p w:rsidR="00B16400" w:rsidRDefault="00B16400" w:rsidP="00B16400">
      <w:pPr>
        <w:widowControl w:val="0"/>
        <w:tabs>
          <w:tab w:val="left" w:pos="567"/>
          <w:tab w:val="left" w:pos="1985"/>
        </w:tabs>
        <w:jc w:val="both"/>
        <w:rPr>
          <w:bCs/>
          <w:sz w:val="20"/>
          <w:lang w:val="es-ES_tradnl"/>
        </w:rPr>
      </w:pPr>
    </w:p>
    <w:p w:rsidR="00D73C7C" w:rsidRPr="00D73C7C" w:rsidRDefault="00D73C7C" w:rsidP="00D73C7C">
      <w:pPr>
        <w:widowControl w:val="0"/>
        <w:autoSpaceDE w:val="0"/>
        <w:autoSpaceDN w:val="0"/>
        <w:adjustRightInd w:val="0"/>
        <w:jc w:val="both"/>
        <w:rPr>
          <w:rFonts w:eastAsia="Times New Roman"/>
          <w:szCs w:val="22"/>
          <w:lang w:eastAsia="en-US"/>
        </w:rPr>
      </w:pPr>
      <w:r w:rsidRPr="00D73C7C">
        <w:rPr>
          <w:rFonts w:eastAsia="Times New Roman"/>
          <w:szCs w:val="22"/>
          <w:lang w:eastAsia="en-US"/>
        </w:rPr>
        <w:lastRenderedPageBreak/>
        <w:t>RECURSOS PARA EL PROGRAMA 8</w:t>
      </w:r>
    </w:p>
    <w:p w:rsidR="00D73C7C" w:rsidRPr="00D73C7C" w:rsidRDefault="00D73C7C" w:rsidP="00D73C7C">
      <w:pPr>
        <w:widowControl w:val="0"/>
        <w:autoSpaceDE w:val="0"/>
        <w:autoSpaceDN w:val="0"/>
        <w:adjustRightInd w:val="0"/>
        <w:rPr>
          <w:rFonts w:eastAsia="Times New Roman"/>
          <w:sz w:val="20"/>
          <w:lang w:eastAsia="en-US"/>
        </w:rPr>
      </w:pPr>
    </w:p>
    <w:p w:rsidR="00D73C7C" w:rsidRPr="00D73C7C" w:rsidRDefault="00D73C7C" w:rsidP="00AC5C4F">
      <w:pPr>
        <w:widowControl w:val="0"/>
        <w:numPr>
          <w:ilvl w:val="1"/>
          <w:numId w:val="30"/>
        </w:numPr>
        <w:jc w:val="both"/>
        <w:rPr>
          <w:rFonts w:eastAsia="Times New Roman"/>
          <w:bCs/>
          <w:sz w:val="20"/>
          <w:lang w:eastAsia="en-US"/>
        </w:rPr>
      </w:pPr>
      <w:r w:rsidRPr="00D73C7C">
        <w:rPr>
          <w:rFonts w:eastAsia="Times New Roman"/>
          <w:bCs/>
          <w:sz w:val="20"/>
          <w:lang w:eastAsia="en-US"/>
        </w:rPr>
        <w:t>El aumento en los recursos para el resultado III.3 (Incorporación de las recomendaciones de la Agenda para el Desarrollo) se debe principalmente al efecto neto de lo siguiente</w:t>
      </w:r>
      <w:proofErr w:type="gramStart"/>
      <w:r w:rsidRPr="00D73C7C">
        <w:rPr>
          <w:rFonts w:eastAsia="Times New Roman"/>
          <w:bCs/>
          <w:sz w:val="20"/>
          <w:lang w:eastAsia="en-US"/>
        </w:rPr>
        <w:t>:  i</w:t>
      </w:r>
      <w:proofErr w:type="gramEnd"/>
      <w:r w:rsidRPr="00D73C7C">
        <w:rPr>
          <w:rFonts w:eastAsia="Times New Roman"/>
          <w:bCs/>
          <w:sz w:val="20"/>
          <w:lang w:eastAsia="en-US"/>
        </w:rPr>
        <w:t>) el aumento reglamentario en los costos de personal;  y ii) una disminución en la línea de "Servicios contractuales" debido al menor número de evaluaciones de proyectos de la A.D. previstas para 2014/15 en comparación con 2012/13.</w:t>
      </w:r>
      <w:r w:rsidR="00987FC7">
        <w:rPr>
          <w:rFonts w:eastAsia="Times New Roman"/>
          <w:bCs/>
          <w:sz w:val="20"/>
          <w:lang w:eastAsia="en-US"/>
        </w:rPr>
        <w:t xml:space="preserve">  </w:t>
      </w:r>
      <w:r w:rsidR="00987FC7" w:rsidRPr="00987FC7">
        <w:rPr>
          <w:rFonts w:eastAsia="Times New Roman"/>
          <w:bCs/>
          <w:sz w:val="20"/>
          <w:lang w:eastAsia="en-US"/>
        </w:rPr>
        <w:t>La disminución de los recursos destinados al resultado</w:t>
      </w:r>
      <w:r w:rsidR="00987FC7">
        <w:rPr>
          <w:rFonts w:eastAsia="Times New Roman"/>
          <w:bCs/>
          <w:sz w:val="20"/>
          <w:lang w:eastAsia="en-US"/>
        </w:rPr>
        <w:t xml:space="preserve"> III.5 (</w:t>
      </w:r>
      <w:r w:rsidR="00987FC7" w:rsidRPr="00987FC7">
        <w:rPr>
          <w:rFonts w:eastAsia="Times New Roman"/>
          <w:bCs/>
          <w:sz w:val="20"/>
          <w:lang w:eastAsia="en-US"/>
        </w:rPr>
        <w:t>Mejor comprensión de la Agenda para el Desarrollo por los Estados miembros, las OIG, la sociedad civil y demás partes interesadas</w:t>
      </w:r>
      <w:r w:rsidR="00987FC7">
        <w:rPr>
          <w:rFonts w:eastAsia="Times New Roman"/>
          <w:bCs/>
          <w:sz w:val="20"/>
          <w:lang w:eastAsia="en-US"/>
        </w:rPr>
        <w:t xml:space="preserve">) se debe principalmente a </w:t>
      </w:r>
      <w:r w:rsidR="00AC5C4F" w:rsidRPr="00AC5C4F">
        <w:rPr>
          <w:rFonts w:eastAsia="Times New Roman"/>
          <w:bCs/>
          <w:sz w:val="20"/>
          <w:lang w:eastAsia="en-US"/>
        </w:rPr>
        <w:t>una disminución en la línea de "Conferencias" (está previsto que la Conferencia Internacional sobre P.I. y Desarrollo se celebre en 2012/13, pero no en 2014/15</w:t>
      </w:r>
      <w:r w:rsidR="00AC5C4F">
        <w:rPr>
          <w:rFonts w:eastAsia="Times New Roman"/>
          <w:bCs/>
          <w:sz w:val="20"/>
          <w:lang w:eastAsia="en-US"/>
        </w:rPr>
        <w:t>).</w:t>
      </w:r>
    </w:p>
    <w:p w:rsidR="00D73C7C" w:rsidRPr="00D73C7C" w:rsidRDefault="00D73C7C" w:rsidP="00B16400">
      <w:pPr>
        <w:widowControl w:val="0"/>
        <w:tabs>
          <w:tab w:val="left" w:pos="567"/>
          <w:tab w:val="left" w:pos="1985"/>
        </w:tabs>
        <w:jc w:val="both"/>
        <w:rPr>
          <w:bCs/>
          <w:sz w:val="20"/>
        </w:rPr>
      </w:pPr>
    </w:p>
    <w:p w:rsidR="00B16400" w:rsidRPr="00C75C7E" w:rsidRDefault="00AC5C4F" w:rsidP="008541BE">
      <w:pPr>
        <w:keepNext/>
        <w:widowControl w:val="0"/>
        <w:autoSpaceDE w:val="0"/>
        <w:autoSpaceDN w:val="0"/>
        <w:adjustRightInd w:val="0"/>
        <w:ind w:firstLine="567"/>
        <w:jc w:val="center"/>
        <w:rPr>
          <w:b/>
          <w:bCs/>
          <w:iCs/>
          <w:sz w:val="20"/>
          <w:lang w:val="es-ES_tradnl"/>
        </w:rPr>
      </w:pPr>
      <w:r>
        <w:rPr>
          <w:b/>
          <w:bCs/>
          <w:iCs/>
          <w:sz w:val="20"/>
          <w:lang w:val="es-ES_tradnl"/>
        </w:rPr>
        <w:t>Programa 8</w:t>
      </w:r>
      <w:proofErr w:type="gramStart"/>
      <w:r>
        <w:rPr>
          <w:b/>
          <w:bCs/>
          <w:iCs/>
          <w:sz w:val="20"/>
          <w:lang w:val="es-ES_tradnl"/>
        </w:rPr>
        <w:t xml:space="preserve">:  </w:t>
      </w:r>
      <w:r w:rsidR="00B16400" w:rsidRPr="00C75C7E">
        <w:rPr>
          <w:b/>
          <w:bCs/>
          <w:iCs/>
          <w:sz w:val="20"/>
          <w:lang w:val="es-ES_tradnl"/>
        </w:rPr>
        <w:t>Recursos</w:t>
      </w:r>
      <w:proofErr w:type="gramEnd"/>
      <w:r w:rsidR="00B16400" w:rsidRPr="00C75C7E">
        <w:rPr>
          <w:b/>
          <w:bCs/>
          <w:iCs/>
          <w:sz w:val="20"/>
          <w:lang w:val="es-ES_tradnl"/>
        </w:rPr>
        <w:t xml:space="preserve"> por resultado</w:t>
      </w:r>
    </w:p>
    <w:p w:rsidR="00B16400" w:rsidRPr="00C75C7E" w:rsidRDefault="00B16400" w:rsidP="008541BE">
      <w:pPr>
        <w:keepNext/>
        <w:widowControl w:val="0"/>
        <w:autoSpaceDE w:val="0"/>
        <w:autoSpaceDN w:val="0"/>
        <w:adjustRightInd w:val="0"/>
        <w:ind w:firstLine="567"/>
        <w:jc w:val="center"/>
        <w:rPr>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16400" w:rsidRPr="00C75C7E" w:rsidRDefault="00B16400" w:rsidP="008541BE">
      <w:pPr>
        <w:keepNext/>
        <w:widowControl w:val="0"/>
        <w:autoSpaceDE w:val="0"/>
        <w:autoSpaceDN w:val="0"/>
        <w:adjustRightInd w:val="0"/>
        <w:jc w:val="center"/>
        <w:rPr>
          <w:sz w:val="20"/>
          <w:lang w:val="es-ES_tradnl"/>
        </w:rPr>
      </w:pPr>
    </w:p>
    <w:p w:rsidR="00B16400" w:rsidRPr="00C75C7E" w:rsidRDefault="00AC5C4F" w:rsidP="00CA2926">
      <w:pPr>
        <w:widowControl w:val="0"/>
        <w:autoSpaceDE w:val="0"/>
        <w:autoSpaceDN w:val="0"/>
        <w:adjustRightInd w:val="0"/>
        <w:jc w:val="center"/>
        <w:rPr>
          <w:lang w:val="es-ES_tradnl"/>
        </w:rPr>
      </w:pPr>
      <w:r w:rsidRPr="00AC5C4F">
        <w:rPr>
          <w:noProof/>
          <w:lang w:val="en-US" w:eastAsia="en-US"/>
        </w:rPr>
        <w:drawing>
          <wp:inline distT="0" distB="0" distL="0" distR="0" wp14:anchorId="5AACD525" wp14:editId="3379CE00">
            <wp:extent cx="5572125" cy="1457325"/>
            <wp:effectExtent l="0" t="0" r="9525" b="9525"/>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572125" cy="1457325"/>
                    </a:xfrm>
                    <a:prstGeom prst="rect">
                      <a:avLst/>
                    </a:prstGeom>
                    <a:noFill/>
                    <a:ln>
                      <a:noFill/>
                    </a:ln>
                  </pic:spPr>
                </pic:pic>
              </a:graphicData>
            </a:graphic>
          </wp:inline>
        </w:drawing>
      </w:r>
      <w:r w:rsidRPr="00AC5C4F">
        <w:t xml:space="preserve"> </w:t>
      </w:r>
    </w:p>
    <w:p w:rsidR="00B16400" w:rsidRPr="00C75C7E" w:rsidRDefault="00B16400" w:rsidP="00CA2926">
      <w:pPr>
        <w:widowControl w:val="0"/>
        <w:autoSpaceDE w:val="0"/>
        <w:autoSpaceDN w:val="0"/>
        <w:adjustRightInd w:val="0"/>
        <w:jc w:val="center"/>
        <w:rPr>
          <w:lang w:val="es-ES_tradnl"/>
        </w:rPr>
      </w:pPr>
    </w:p>
    <w:p w:rsidR="00B16400" w:rsidRPr="00C75C7E" w:rsidRDefault="00B16400" w:rsidP="00CA2926">
      <w:pPr>
        <w:widowControl w:val="0"/>
        <w:autoSpaceDE w:val="0"/>
        <w:autoSpaceDN w:val="0"/>
        <w:adjustRightInd w:val="0"/>
        <w:rPr>
          <w:bCs/>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B16400" w:rsidRDefault="00B16400" w:rsidP="00B16400">
      <w:pPr>
        <w:widowControl w:val="0"/>
        <w:jc w:val="both"/>
        <w:rPr>
          <w:sz w:val="20"/>
          <w:lang w:val="es-ES_tradnl"/>
        </w:rPr>
      </w:pPr>
    </w:p>
    <w:p w:rsidR="00AC5C4F" w:rsidRPr="00C75C7E" w:rsidRDefault="00AC5C4F" w:rsidP="00B16400">
      <w:pPr>
        <w:widowControl w:val="0"/>
        <w:jc w:val="both"/>
        <w:rPr>
          <w:sz w:val="20"/>
          <w:lang w:val="es-ES_tradnl"/>
        </w:rPr>
      </w:pPr>
    </w:p>
    <w:p w:rsidR="00B16400" w:rsidRPr="00C75C7E" w:rsidRDefault="00AC5C4F" w:rsidP="00AC5C4F">
      <w:pPr>
        <w:keepNext/>
        <w:keepLines/>
        <w:widowControl w:val="0"/>
        <w:autoSpaceDE w:val="0"/>
        <w:autoSpaceDN w:val="0"/>
        <w:adjustRightInd w:val="0"/>
        <w:jc w:val="center"/>
        <w:rPr>
          <w:b/>
          <w:bCs/>
          <w:iCs/>
          <w:sz w:val="20"/>
          <w:lang w:val="es-ES_tradnl"/>
        </w:rPr>
      </w:pPr>
      <w:r>
        <w:rPr>
          <w:b/>
          <w:bCs/>
          <w:iCs/>
          <w:sz w:val="20"/>
          <w:lang w:val="es-ES_tradnl"/>
        </w:rPr>
        <w:lastRenderedPageBreak/>
        <w:t>Programa 8</w:t>
      </w:r>
      <w:proofErr w:type="gramStart"/>
      <w:r>
        <w:rPr>
          <w:b/>
          <w:bCs/>
          <w:iCs/>
          <w:sz w:val="20"/>
          <w:lang w:val="es-ES_tradnl"/>
        </w:rPr>
        <w:t xml:space="preserve">:  </w:t>
      </w:r>
      <w:r w:rsidR="00B16400" w:rsidRPr="00C75C7E">
        <w:rPr>
          <w:b/>
          <w:bCs/>
          <w:iCs/>
          <w:sz w:val="20"/>
          <w:lang w:val="es-ES_tradnl"/>
        </w:rPr>
        <w:t>Recursos</w:t>
      </w:r>
      <w:proofErr w:type="gramEnd"/>
      <w:r w:rsidR="00B16400" w:rsidRPr="00C75C7E">
        <w:rPr>
          <w:b/>
          <w:bCs/>
          <w:iCs/>
          <w:sz w:val="20"/>
          <w:lang w:val="es-ES_tradnl"/>
        </w:rPr>
        <w:t xml:space="preserve"> por objeto de gasto</w:t>
      </w:r>
    </w:p>
    <w:p w:rsidR="00B16400" w:rsidRDefault="00B16400" w:rsidP="00AC5C4F">
      <w:pPr>
        <w:keepNext/>
        <w:keepLines/>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723CAF" w:rsidRDefault="00723CAF" w:rsidP="00AC5C4F">
      <w:pPr>
        <w:keepNext/>
        <w:keepLines/>
        <w:widowControl w:val="0"/>
        <w:autoSpaceDE w:val="0"/>
        <w:autoSpaceDN w:val="0"/>
        <w:adjustRightInd w:val="0"/>
        <w:jc w:val="center"/>
        <w:rPr>
          <w:bCs/>
          <w:i/>
          <w:sz w:val="20"/>
          <w:lang w:val="es-ES_tradnl"/>
        </w:rPr>
      </w:pPr>
    </w:p>
    <w:p w:rsidR="00723CAF" w:rsidRPr="00C75C7E" w:rsidRDefault="00C40A11" w:rsidP="00AC5C4F">
      <w:pPr>
        <w:keepNext/>
        <w:keepLines/>
        <w:widowControl w:val="0"/>
        <w:autoSpaceDE w:val="0"/>
        <w:autoSpaceDN w:val="0"/>
        <w:adjustRightInd w:val="0"/>
        <w:jc w:val="center"/>
        <w:rPr>
          <w:bCs/>
          <w:i/>
          <w:sz w:val="20"/>
          <w:lang w:val="es-ES_tradnl"/>
        </w:rPr>
      </w:pPr>
      <w:r>
        <w:rPr>
          <w:noProof/>
          <w:lang w:val="en-US" w:eastAsia="en-US"/>
        </w:rPr>
        <w:drawing>
          <wp:inline distT="0" distB="0" distL="0" distR="0" wp14:anchorId="62E09C81" wp14:editId="5DE0FE24">
            <wp:extent cx="5936615" cy="5739130"/>
            <wp:effectExtent l="0" t="0" r="698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B16400" w:rsidRPr="00C75C7E" w:rsidRDefault="00B16400" w:rsidP="00AC5C4F">
      <w:pPr>
        <w:keepNext/>
        <w:keepLines/>
        <w:widowControl w:val="0"/>
        <w:rPr>
          <w:sz w:val="20"/>
          <w:lang w:val="es-ES_tradnl"/>
        </w:rPr>
      </w:pPr>
    </w:p>
    <w:p w:rsidR="00B16400" w:rsidRPr="00C75C7E" w:rsidRDefault="00B16400" w:rsidP="00AC5C4F">
      <w:pPr>
        <w:keepNext/>
        <w:keepLines/>
        <w:widowControl w:val="0"/>
        <w:rPr>
          <w:sz w:val="16"/>
          <w:szCs w:val="16"/>
          <w:lang w:val="es-ES_tradnl"/>
        </w:rPr>
      </w:pPr>
      <w:r w:rsidRPr="00C75C7E">
        <w:rPr>
          <w:sz w:val="16"/>
          <w:szCs w:val="16"/>
          <w:lang w:val="es-ES_tradnl"/>
        </w:rPr>
        <w:t>Notas:</w:t>
      </w:r>
    </w:p>
    <w:p w:rsidR="00B16400" w:rsidRPr="00C75C7E" w:rsidRDefault="00B16400" w:rsidP="00AC5C4F">
      <w:pPr>
        <w:keepNext/>
        <w:keepLines/>
        <w:widowControl w:val="0"/>
        <w:rPr>
          <w:sz w:val="16"/>
          <w:szCs w:val="16"/>
          <w:u w:val="single"/>
          <w:lang w:val="es-ES_tradnl"/>
        </w:rPr>
      </w:pPr>
    </w:p>
    <w:p w:rsidR="00B16400" w:rsidRDefault="00A91E88" w:rsidP="00AC5C4F">
      <w:pPr>
        <w:keepNext/>
        <w:keepLines/>
        <w:widowControl w:val="0"/>
        <w:tabs>
          <w:tab w:val="left" w:pos="567"/>
        </w:tabs>
        <w:rPr>
          <w:sz w:val="16"/>
          <w:szCs w:val="16"/>
          <w:lang w:val="es-ES_tradnl"/>
        </w:rPr>
      </w:pPr>
      <w:r>
        <w:rPr>
          <w:sz w:val="16"/>
          <w:szCs w:val="16"/>
          <w:lang w:val="es-ES_tradnl"/>
        </w:rPr>
        <w:t xml:space="preserve">1)  </w:t>
      </w:r>
      <w:r w:rsidR="00B16400" w:rsidRPr="00C75C7E">
        <w:rPr>
          <w:sz w:val="16"/>
          <w:szCs w:val="16"/>
          <w:lang w:val="es-ES_tradnl"/>
        </w:rPr>
        <w:t xml:space="preserve">El presupuesto aprobado de 2012/13 y el presupuesto de dicho bienio después de las transferencias se </w:t>
      </w:r>
      <w:proofErr w:type="spellStart"/>
      <w:r w:rsidR="00B16400" w:rsidRPr="00C75C7E">
        <w:rPr>
          <w:sz w:val="16"/>
          <w:szCs w:val="16"/>
          <w:lang w:val="es-ES_tradnl"/>
        </w:rPr>
        <w:t>reexpresan</w:t>
      </w:r>
      <w:proofErr w:type="spellEnd"/>
      <w:r w:rsidR="00B16400" w:rsidRPr="00C75C7E">
        <w:rPr>
          <w:sz w:val="16"/>
          <w:szCs w:val="16"/>
          <w:lang w:val="es-ES_tradnl"/>
        </w:rPr>
        <w:t xml:space="preserve"> sobre la base de la estructura de categorías de costos propuesta para 2014/15.</w:t>
      </w:r>
    </w:p>
    <w:p w:rsidR="00B16400" w:rsidRPr="00C75C7E" w:rsidRDefault="00B16400" w:rsidP="00AC5C4F">
      <w:pPr>
        <w:keepNext/>
        <w:keepLines/>
        <w:widowControl w:val="0"/>
        <w:tabs>
          <w:tab w:val="left" w:pos="567"/>
        </w:tabs>
        <w:rPr>
          <w:sz w:val="16"/>
          <w:szCs w:val="16"/>
          <w:lang w:val="es-ES_tradnl"/>
        </w:rPr>
      </w:pPr>
    </w:p>
    <w:p w:rsidR="00B16400" w:rsidRDefault="00B16400" w:rsidP="00B16400">
      <w:pPr>
        <w:widowControl w:val="0"/>
        <w:tabs>
          <w:tab w:val="left" w:pos="567"/>
        </w:tabs>
        <w:rPr>
          <w:rFonts w:cs="ArialMT"/>
          <w:sz w:val="16"/>
          <w:szCs w:val="16"/>
          <w:lang w:val="es-ES_tradnl"/>
        </w:rPr>
      </w:pPr>
      <w:r>
        <w:rPr>
          <w:sz w:val="16"/>
          <w:szCs w:val="16"/>
          <w:lang w:val="es-ES_tradnl"/>
        </w:rPr>
        <w:t>2)</w:t>
      </w:r>
      <w:r w:rsidR="00A91E88">
        <w:rPr>
          <w:sz w:val="16"/>
          <w:szCs w:val="16"/>
          <w:lang w:val="es-ES_tradnl"/>
        </w:rPr>
        <w:t xml:space="preserve">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w:t>
      </w:r>
      <w:r w:rsidRPr="007045EB">
        <w:rPr>
          <w:sz w:val="16"/>
          <w:szCs w:val="16"/>
          <w:lang w:val="es-ES_tradnl"/>
        </w:rPr>
        <w:t>personal</w:t>
      </w:r>
      <w:r w:rsidRPr="00C75C7E">
        <w:rPr>
          <w:rFonts w:cs="ArialMT"/>
          <w:sz w:val="16"/>
          <w:szCs w:val="16"/>
          <w:lang w:val="es-ES_tradnl"/>
        </w:rPr>
        <w:t xml:space="preserve"> del presupuesto de 2012/13 después de las transferencias representan los gastos reales efectuados hasta el 31 de marzo de 2013 y los importes presupuestados para los nueve meses restantes de 2013, sobre la base de costos estándar. </w:t>
      </w:r>
    </w:p>
    <w:p w:rsidR="00B16400" w:rsidRPr="00C75C7E" w:rsidRDefault="00B16400" w:rsidP="00B16400">
      <w:pPr>
        <w:widowControl w:val="0"/>
        <w:tabs>
          <w:tab w:val="left" w:pos="567"/>
        </w:tabs>
        <w:rPr>
          <w:sz w:val="16"/>
          <w:szCs w:val="16"/>
          <w:lang w:val="es-ES_tradnl"/>
        </w:rPr>
      </w:pPr>
    </w:p>
    <w:p w:rsidR="00B16400" w:rsidRPr="00C75C7E" w:rsidRDefault="00B16400" w:rsidP="00B16400">
      <w:pPr>
        <w:widowControl w:val="0"/>
        <w:tabs>
          <w:tab w:val="left" w:pos="567"/>
        </w:tabs>
        <w:rPr>
          <w:sz w:val="16"/>
          <w:szCs w:val="16"/>
          <w:lang w:val="es-ES_tradnl"/>
        </w:rPr>
      </w:pPr>
      <w:r>
        <w:rPr>
          <w:sz w:val="16"/>
          <w:szCs w:val="16"/>
          <w:lang w:val="es-ES_tradnl"/>
        </w:rPr>
        <w:t>3)</w:t>
      </w:r>
      <w:r w:rsidR="00A91E88">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D73C7C" w:rsidRPr="008541BE" w:rsidRDefault="00B16400" w:rsidP="008541BE">
      <w:pPr>
        <w:pStyle w:val="Heading3"/>
        <w:tabs>
          <w:tab w:val="left" w:pos="1985"/>
        </w:tabs>
        <w:ind w:left="1985" w:hanging="1985"/>
        <w:rPr>
          <w:b/>
          <w:iCs/>
          <w:caps/>
          <w:u w:val="none"/>
        </w:rPr>
      </w:pPr>
      <w:r w:rsidRPr="00C75C7E">
        <w:rPr>
          <w:sz w:val="20"/>
          <w:lang w:val="es-ES_tradnl"/>
        </w:rPr>
        <w:br w:type="page"/>
      </w:r>
      <w:bookmarkStart w:id="43" w:name="_Toc366078720"/>
      <w:bookmarkStart w:id="44" w:name="_Toc356567758"/>
      <w:r w:rsidR="006A15F5" w:rsidRPr="008541BE">
        <w:rPr>
          <w:b/>
          <w:iCs/>
          <w:u w:val="none"/>
        </w:rPr>
        <w:lastRenderedPageBreak/>
        <w:t>PROGRAMA 9</w:t>
      </w:r>
      <w:r w:rsidR="006A15F5" w:rsidRPr="008541BE">
        <w:rPr>
          <w:b/>
          <w:iCs/>
          <w:u w:val="none"/>
        </w:rPr>
        <w:tab/>
        <w:t>PAÍSES AFRICANOS, ÁRABES, DE AMÉRICA LATINA Y EL CARIBE, DE ASIA Y EL PACÍFICO Y PAÍSES MENOS ADELANTADOS</w:t>
      </w:r>
      <w:bookmarkEnd w:id="43"/>
      <w:r w:rsidR="006A15F5" w:rsidRPr="008541BE">
        <w:rPr>
          <w:b/>
          <w:iCs/>
          <w:u w:val="none"/>
        </w:rPr>
        <w:t xml:space="preserve"> </w:t>
      </w:r>
      <w:bookmarkEnd w:id="44"/>
    </w:p>
    <w:p w:rsidR="00D73C7C" w:rsidRPr="00D73C7C" w:rsidRDefault="00D73C7C" w:rsidP="006A15F5">
      <w:pPr>
        <w:rPr>
          <w:lang w:eastAsia="en-US"/>
        </w:rPr>
      </w:pPr>
    </w:p>
    <w:p w:rsidR="00D73C7C" w:rsidRPr="00D73C7C" w:rsidRDefault="00D73C7C" w:rsidP="006A15F5">
      <w:pPr>
        <w:rPr>
          <w:rFonts w:cs="Times New Roman"/>
          <w:lang w:eastAsia="en-US"/>
        </w:rPr>
      </w:pPr>
    </w:p>
    <w:p w:rsidR="00D73C7C" w:rsidRPr="00D73C7C" w:rsidRDefault="00D73C7C" w:rsidP="00D73C7C">
      <w:pPr>
        <w:widowControl w:val="0"/>
        <w:ind w:left="1985" w:hanging="1985"/>
        <w:jc w:val="both"/>
        <w:rPr>
          <w:rFonts w:eastAsia="Times New Roman"/>
          <w:szCs w:val="22"/>
          <w:lang w:eastAsia="en-US"/>
        </w:rPr>
      </w:pPr>
      <w:r w:rsidRPr="00D73C7C">
        <w:rPr>
          <w:rFonts w:eastAsia="Times New Roman"/>
          <w:szCs w:val="22"/>
          <w:lang w:eastAsia="en-US"/>
        </w:rPr>
        <w:t xml:space="preserve">CONTEXTO DE PLANIFICACIÓN </w:t>
      </w:r>
    </w:p>
    <w:p w:rsidR="00D73C7C" w:rsidRPr="00D73C7C" w:rsidRDefault="00D73C7C" w:rsidP="00D73C7C">
      <w:pPr>
        <w:widowControl w:val="0"/>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 xml:space="preserve">El programa está impulsado por la meta estratégica III, Facilitar el uso de la P.I. en aras del desarrollo, cuyo requisito previo fundamental es un entorno propicio que comprende recursos de política, legislativos, institucionales, empresariales y humanos que crearán las condiciones para que los países en desarrollo y los países menos adelantados (PMA) utilicen la P.I. en aras del desarrollo, les permitirán sacar provecho del sistema de P.I. y mejorarán su participación en la economía mundial de la innovación.  </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bCs/>
          <w:sz w:val="20"/>
          <w:lang w:eastAsia="en-US"/>
        </w:rPr>
      </w:pPr>
      <w:r w:rsidRPr="00D73C7C">
        <w:rPr>
          <w:rFonts w:eastAsia="Times New Roman" w:cs="Times New Roman"/>
          <w:sz w:val="20"/>
          <w:lang w:eastAsia="en-US"/>
        </w:rPr>
        <w:t xml:space="preserve">Los principales desafíos son:  a) la diversidad de sistemas jurídicos, económicos y políticos y de situaciones que se dan en los países en desarrollo y los PMA en las regiones africana, árabe, de Asia y el Pacífico y de América Latina y el Caribe;  b) la necesidad y demanda en continuo aumento de servicios relacionados con el desarrollo, así como de otros servicios de la OMPI;  c) la gran cantidad y diversidad de partes interesadas con diferentes requisitos en cuanto a capacidades, competencias y conocimientos, desde los encargados de la adopción de políticas, los funcionarios de las oficinas de P.I., administradores y examinadores, hasta los administradores de la transferencia de tecnología derivada de actividades universitarias y de I+D, empresarios y gestores de empresas, inventores e innovadores y profesionales de la P.I.;  d) los desafíos de que la noción de la P.I. en aras del desarrollo se traduzca en resultados concretos que reportan ventajas tangibles a sectores concretos y a la sociedad en general;  y e) el desafío constante de garantizar la pertinencia, incidencia y sostenibilidad de los resultados, sobre todo en cada país. </w:t>
      </w:r>
    </w:p>
    <w:p w:rsidR="00D73C7C" w:rsidRPr="00D73C7C" w:rsidRDefault="00D73C7C" w:rsidP="00D73C7C">
      <w:pPr>
        <w:widowControl w:val="0"/>
        <w:jc w:val="both"/>
        <w:rPr>
          <w:rFonts w:eastAsia="Times New Roman"/>
          <w:bCs/>
          <w:sz w:val="20"/>
          <w:lang w:eastAsia="en-US"/>
        </w:rPr>
      </w:pPr>
    </w:p>
    <w:p w:rsidR="00D73C7C" w:rsidRPr="00D73C7C" w:rsidRDefault="00D73C7C" w:rsidP="00D73C7C">
      <w:pPr>
        <w:widowControl w:val="0"/>
        <w:jc w:val="both"/>
        <w:rPr>
          <w:rFonts w:eastAsia="Times New Roman"/>
          <w:bCs/>
          <w:sz w:val="20"/>
          <w:lang w:eastAsia="en-US"/>
        </w:rPr>
      </w:pPr>
    </w:p>
    <w:p w:rsidR="00D73C7C" w:rsidRPr="00D73C7C" w:rsidRDefault="00D73C7C" w:rsidP="00D73C7C">
      <w:pPr>
        <w:widowControl w:val="0"/>
        <w:jc w:val="both"/>
        <w:rPr>
          <w:rFonts w:eastAsia="Times New Roman"/>
          <w:bCs/>
          <w:sz w:val="20"/>
          <w:lang w:eastAsia="en-US"/>
        </w:rPr>
      </w:pPr>
      <w:r w:rsidRPr="00D73C7C">
        <w:rPr>
          <w:rFonts w:eastAsia="Times New Roman"/>
          <w:bCs/>
          <w:sz w:val="20"/>
          <w:lang w:eastAsia="en-US"/>
        </w:rPr>
        <w:t xml:space="preserve">ESTRATEGIAS DE EJECUCIÓN </w:t>
      </w:r>
    </w:p>
    <w:p w:rsidR="00D73C7C" w:rsidRPr="00D73C7C" w:rsidRDefault="00D73C7C" w:rsidP="00D73C7C">
      <w:pPr>
        <w:widowControl w:val="0"/>
        <w:jc w:val="both"/>
        <w:rPr>
          <w:rFonts w:eastAsia="Times New Roman"/>
          <w:bCs/>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La labor del programa seguirá guiándose por las recomendaciones de la A.D. sobre asistencia técnica y fortalecimiento de capacidades, en particular las recomendaciones 1, 6, 12, 13 y 14.  Se llevará a cabo una estrategia fundamental de ejecución a través de estrategias nacionales de P.I. concebidas en el contexto de los planes de desarrollo de cada país.  Las estrategias nacionales de P.I. pueden conformar las necesidades y lagunas en las esferas de los marcos legislativos y de política, la infraestructura institucional y técnica y el fortalecimiento de las capacidades en el ámbito de los recursos humanos, a la vez que impulsan la capacidad potencial de la P.I. en las esferas prioritarias definidas en los planes nacionales de desarrollo.  Con arreglo a uno de sus resultados previstos, con el programa se redoblará la labor de asistencia a los países en la concepción, formulación y aplicación de estrategias nacionales de P.I.  Mediante esta estrategia de ejecución se utilizará la metodología sobre la formulación de las estrategias nacionales de P.I., confeccionada en el bienio anterior en el marco de un proyecto de la A.D., que incluye herramientas para la evaluación de necesidades, el establecimiento de parámetros de referencia y directrices para un proceso iterativo de consulta y validación de las diversas partes interesadas.  Las Oficinas Regionales guiarán la formulación de las estrategias de P.I. de los países en sus respectivas regiones, en coordinación con la División de Países Menos Adelantados (PMA) y la División de Proyectos Especiales y con aportaciones de sectores pertinentes, en particular en la fase de ejecución.</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En paralelo a la preparación, adopción y ejecución de las estrategias nacionales de P.I., los planes nacionales serán una herramienta de planificación para lograr de manera progresiva coherencia, transparencia y una mejor coordinación en la prestación de servicios relacionados con el desarrollo por parte de toda la Organización.  Los planes nacionales ofrecerán un panorama general de la envergadura y amplitud de la participación de la OMPI en un país determinado a través de una matriz de resultados claros que deben conseguirse, programas y actividades que se llevarán a cabo en un país a lo largo de un período de dos años tras las pertinentes consultas entre el país y la OMPI.  Las Oficinas Regionales tomarán la iniciativa para elaborar los planes nacionales en consulta y coordinación estrecha con otros sectores.</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 xml:space="preserve">Se crearán programas de fortalecimiento de las capacidades que se ajusten a los requisitos de determinados grupos de destinatarios, y se centrarán en la actualización de las capacidades y competencias a través de programas prácticos de corta duración impartidos en el ámbito nacional, </w:t>
      </w:r>
      <w:r w:rsidRPr="00D73C7C">
        <w:rPr>
          <w:rFonts w:eastAsia="Times New Roman" w:cs="Times New Roman"/>
          <w:sz w:val="20"/>
          <w:lang w:eastAsia="en-US"/>
        </w:rPr>
        <w:lastRenderedPageBreak/>
        <w:t xml:space="preserve">subregional y regional.  Continuarán elaborándose herramientas e indicadores adecuados con objeto de evaluar la aplicación y utilidad de las capacidades y conocimientos que tratan de actualizarse con tales programas. </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Se crearán y pondrán en práctica programas adaptados que abordarán específicamente las necesidades de los PMA y se centrarán en particular en las esferas temáticas prioritarias</w:t>
      </w:r>
      <w:r w:rsidR="007B5ECA">
        <w:rPr>
          <w:rFonts w:eastAsia="Times New Roman" w:cs="Times New Roman"/>
          <w:sz w:val="20"/>
          <w:lang w:eastAsia="en-US"/>
        </w:rPr>
        <w:t xml:space="preserve"> y</w:t>
      </w:r>
      <w:r w:rsidRPr="00D73C7C">
        <w:rPr>
          <w:rFonts w:eastAsia="Times New Roman" w:cs="Times New Roman"/>
          <w:sz w:val="20"/>
          <w:lang w:eastAsia="en-US"/>
        </w:rPr>
        <w:t xml:space="preserve"> generales recogidas en los Aportes concretos de la OMPI, adoptados con ocasión de la Cuarta Conferencia de las Naciones Unidas sobre los PMA (IV Conferencia de las NN.UU. sobre los PMA).  En virtud de este marco más amplio de cooperación, la OMPI y los PMA colaborarán para crear y consolidar sistemas e instituciones de transferencia de tecnología de los PMA y contribuirán a la consecución de las recomendaciones pertinentes del Programa de Acción de Estambul. </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Para que la noción de la P.I. en aras del desarrollo se traduzca en resultados y ventajas concretos y tangibles, se pondrá en marcha una serie de proyectos intersectoriales innovadores basados en la P.I., entre los que cabe mencionar los proyectos sobre la P.I. y el desarrollo de marcas para el fomento de las empresas y el desarrollo de las comunidades en los sectores de la industria agroalimentaria, la artesanía y el diseño, así como los proyectos sobre la transferencia de tecnología adecuada.  Para tales proyectos, se fomentarán acuerdos y asociaciones de cooperación con otras organizaciones intergubernamentales e instituciones no gubernamentales que trabajan en las regiones, como medio de aunar recursos y conocimientos especializados para tener una incidencia más amplia.  En particular, se emprenderán iniciativas para examinar la posible contribución de la OMPI al Marco de Asistencia de las Naciones Unidas para el Desarrollo a escala nacional, así como a los acuerdos de cooperación con las comunidades económicas regionales.</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 xml:space="preserve">   Las bases de datos elaboradas en el marco de dos proyectos de la A.D. en el bienio 2010/11 para documentar las diferentes actividades de asistencia técnica que presta la OMPI, seguirán manteniéndose y perfeccionándose, y entre ellas se incluye la base de datos que tiene por objeto emparejar las ofertas de financiación de los países donantes con las necesidades de asistencia para el desarrollo de los países beneficiarios. </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 xml:space="preserve">Otros elementos del entorno propicio relacionados con los marcos legislativo y de política, la infraestructura y el acceso a la información, si bien se abordan directamente en el sector especializado pertinente, estarán coordinados por las Oficinas como parte bien del marco de la estrategia nacional de P.I., bien del plan nacional.  Las consultas internas periódicas y el diálogo serán una parte habitual del proceso de coordinación. </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BA276E">
      <w:pPr>
        <w:widowControl w:val="0"/>
        <w:numPr>
          <w:ilvl w:val="0"/>
          <w:numId w:val="31"/>
        </w:numPr>
        <w:ind w:left="0"/>
        <w:jc w:val="both"/>
        <w:rPr>
          <w:rFonts w:eastAsia="Times New Roman" w:cs="Times New Roman"/>
          <w:sz w:val="20"/>
          <w:lang w:eastAsia="en-US"/>
        </w:rPr>
      </w:pPr>
      <w:r w:rsidRPr="00D73C7C">
        <w:rPr>
          <w:rFonts w:eastAsia="Times New Roman" w:cs="Times New Roman"/>
          <w:sz w:val="20"/>
          <w:lang w:eastAsia="en-US"/>
        </w:rPr>
        <w:t xml:space="preserve">Por lo general se prevé que esas estrategias mejoren la calidad y la eficacia de la prestación por parte de la Organización de servicios orientados a potenciar el desarrollo, centrando la atención en los resultados a la vez que se vela por la sostenibilidad y continuidad de las medidas adoptadas. </w:t>
      </w:r>
    </w:p>
    <w:p w:rsidR="00D73C7C" w:rsidRPr="00D73C7C" w:rsidRDefault="00D73C7C" w:rsidP="00D73C7C">
      <w:pPr>
        <w:widowControl w:val="0"/>
        <w:jc w:val="both"/>
        <w:rPr>
          <w:rFonts w:eastAsia="Times New Roman" w:cs="Times New Roman"/>
          <w:sz w:val="20"/>
          <w:lang w:eastAsia="en-US"/>
        </w:rPr>
      </w:pPr>
    </w:p>
    <w:p w:rsidR="00D73C7C" w:rsidRPr="00D73C7C" w:rsidRDefault="00D73C7C" w:rsidP="00D73C7C">
      <w:pPr>
        <w:widowControl w:val="0"/>
        <w:jc w:val="both"/>
        <w:rPr>
          <w:rFonts w:eastAsia="Times New Roman"/>
          <w:bCs/>
          <w:sz w:val="20"/>
          <w:lang w:eastAsia="en-US"/>
        </w:rPr>
      </w:pPr>
    </w:p>
    <w:p w:rsidR="00B16400" w:rsidRPr="00C75C7E" w:rsidRDefault="00B16400" w:rsidP="00B16400">
      <w:pPr>
        <w:widowControl w:val="0"/>
        <w:jc w:val="both"/>
        <w:rPr>
          <w:bCs/>
          <w:szCs w:val="22"/>
        </w:rPr>
      </w:pPr>
      <w:r w:rsidRPr="00C75C7E">
        <w:rPr>
          <w:bCs/>
          <w:szCs w:val="22"/>
        </w:rPr>
        <w:t>PRINCIPALES RIESGOS Y ESTRATEGIAS DE MITIGACIÓN</w:t>
      </w:r>
    </w:p>
    <w:p w:rsidR="00B16400" w:rsidRPr="00C75C7E" w:rsidRDefault="00B16400" w:rsidP="00B16400">
      <w:pPr>
        <w:widowControl w:val="0"/>
        <w:tabs>
          <w:tab w:val="left" w:pos="567"/>
          <w:tab w:val="left" w:pos="1985"/>
        </w:tabs>
        <w:jc w:val="both"/>
        <w:rPr>
          <w:bCs/>
          <w:sz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821"/>
      </w:tblGrid>
      <w:tr w:rsidR="00B16400" w:rsidRPr="00C75C7E" w:rsidTr="00962ADA">
        <w:trPr>
          <w:trHeight w:val="709"/>
          <w:tblHeader/>
        </w:trPr>
        <w:tc>
          <w:tcPr>
            <w:tcW w:w="4535" w:type="dxa"/>
            <w:tcBorders>
              <w:top w:val="single" w:sz="4" w:space="0" w:color="auto"/>
              <w:bottom w:val="single" w:sz="4" w:space="0" w:color="auto"/>
            </w:tcBorders>
            <w:shd w:val="clear" w:color="auto" w:fill="CCFFFF"/>
            <w:vAlign w:val="center"/>
          </w:tcPr>
          <w:p w:rsidR="00B16400" w:rsidRPr="00C75C7E" w:rsidRDefault="00B16400" w:rsidP="004341A3">
            <w:pPr>
              <w:widowControl w:val="0"/>
              <w:autoSpaceDE w:val="0"/>
              <w:autoSpaceDN w:val="0"/>
              <w:adjustRightInd w:val="0"/>
              <w:ind w:right="-59"/>
              <w:jc w:val="center"/>
              <w:rPr>
                <w:b/>
                <w:sz w:val="18"/>
                <w:szCs w:val="18"/>
              </w:rPr>
            </w:pPr>
            <w:r w:rsidRPr="00C75C7E">
              <w:rPr>
                <w:b/>
                <w:sz w:val="18"/>
                <w:szCs w:val="18"/>
              </w:rPr>
              <w:t>Riesgos en el logro de los resultados del programa</w:t>
            </w:r>
          </w:p>
        </w:tc>
        <w:tc>
          <w:tcPr>
            <w:tcW w:w="4821" w:type="dxa"/>
            <w:tcBorders>
              <w:top w:val="single" w:sz="4" w:space="0" w:color="auto"/>
              <w:bottom w:val="single" w:sz="4" w:space="0" w:color="auto"/>
            </w:tcBorders>
            <w:shd w:val="clear" w:color="auto" w:fill="CCFFFF"/>
            <w:vAlign w:val="center"/>
          </w:tcPr>
          <w:p w:rsidR="00B16400" w:rsidRPr="00C75C7E" w:rsidRDefault="00B16400" w:rsidP="00C40836">
            <w:pPr>
              <w:widowControl w:val="0"/>
              <w:autoSpaceDE w:val="0"/>
              <w:autoSpaceDN w:val="0"/>
              <w:adjustRightInd w:val="0"/>
              <w:ind w:right="-59"/>
              <w:rPr>
                <w:b/>
                <w:sz w:val="18"/>
                <w:szCs w:val="18"/>
              </w:rPr>
            </w:pPr>
            <w:r w:rsidRPr="00C75C7E">
              <w:rPr>
                <w:b/>
                <w:sz w:val="18"/>
                <w:szCs w:val="18"/>
              </w:rPr>
              <w:t>Planes de mitigación ejecutados o en ejecución</w:t>
            </w:r>
          </w:p>
        </w:tc>
      </w:tr>
      <w:tr w:rsidR="00B16400" w:rsidRPr="00C75C7E" w:rsidTr="00C40836">
        <w:trPr>
          <w:trHeight w:val="1456"/>
        </w:trPr>
        <w:tc>
          <w:tcPr>
            <w:tcW w:w="4535" w:type="dxa"/>
            <w:tcBorders>
              <w:top w:val="single" w:sz="4" w:space="0" w:color="auto"/>
            </w:tcBorders>
            <w:shd w:val="clear" w:color="auto" w:fill="auto"/>
            <w:tcMar>
              <w:top w:w="113" w:type="dxa"/>
              <w:bottom w:w="85" w:type="dxa"/>
            </w:tcMar>
          </w:tcPr>
          <w:p w:rsidR="00B16400" w:rsidRPr="00C75C7E" w:rsidRDefault="00B16400" w:rsidP="004341A3">
            <w:pPr>
              <w:widowControl w:val="0"/>
              <w:autoSpaceDE w:val="0"/>
              <w:autoSpaceDN w:val="0"/>
              <w:adjustRightInd w:val="0"/>
              <w:ind w:right="-59"/>
              <w:rPr>
                <w:sz w:val="16"/>
                <w:szCs w:val="16"/>
              </w:rPr>
            </w:pPr>
            <w:r w:rsidRPr="00C75C7E">
              <w:rPr>
                <w:sz w:val="16"/>
                <w:szCs w:val="16"/>
              </w:rPr>
              <w:t xml:space="preserve">Riesgo de inestabilidad política en los Estados miembros expuestos a un alto riesgo de seguridad, que puede ocasionar la cancelación de algunas actividades o retrasos en la prestación de asistencia técnica, obstaculizando la plena consecución de los resultados previstos en el programa 9. </w:t>
            </w:r>
          </w:p>
        </w:tc>
        <w:tc>
          <w:tcPr>
            <w:tcW w:w="4821" w:type="dxa"/>
            <w:tcBorders>
              <w:top w:val="single" w:sz="4" w:space="0" w:color="auto"/>
            </w:tcBorders>
            <w:shd w:val="clear" w:color="auto" w:fill="auto"/>
            <w:tcMar>
              <w:top w:w="113" w:type="dxa"/>
              <w:bottom w:w="85" w:type="dxa"/>
            </w:tcMar>
          </w:tcPr>
          <w:p w:rsidR="00B16400" w:rsidRPr="00C75C7E" w:rsidRDefault="00B16400" w:rsidP="004341A3">
            <w:pPr>
              <w:widowControl w:val="0"/>
              <w:autoSpaceDE w:val="0"/>
              <w:autoSpaceDN w:val="0"/>
              <w:adjustRightInd w:val="0"/>
              <w:ind w:right="-59"/>
              <w:rPr>
                <w:sz w:val="16"/>
                <w:szCs w:val="16"/>
              </w:rPr>
            </w:pPr>
            <w:r w:rsidRPr="00C75C7E">
              <w:rPr>
                <w:sz w:val="16"/>
                <w:szCs w:val="16"/>
              </w:rPr>
              <w:t>i) Ejecución de una adecuada evaluación de riesgos y formulación de los planes y las actividades anuales del país teniendo en cuenta dicha evaluación.</w:t>
            </w:r>
          </w:p>
          <w:p w:rsidR="00C40836" w:rsidRDefault="00C40836" w:rsidP="004341A3">
            <w:pPr>
              <w:widowControl w:val="0"/>
              <w:autoSpaceDE w:val="0"/>
              <w:autoSpaceDN w:val="0"/>
              <w:adjustRightInd w:val="0"/>
              <w:ind w:right="-59"/>
              <w:rPr>
                <w:sz w:val="16"/>
                <w:szCs w:val="16"/>
              </w:rPr>
            </w:pPr>
          </w:p>
          <w:p w:rsidR="00B16400" w:rsidRPr="00C75C7E" w:rsidRDefault="00B16400" w:rsidP="004341A3">
            <w:pPr>
              <w:widowControl w:val="0"/>
              <w:autoSpaceDE w:val="0"/>
              <w:autoSpaceDN w:val="0"/>
              <w:adjustRightInd w:val="0"/>
              <w:ind w:right="-59"/>
              <w:rPr>
                <w:sz w:val="16"/>
                <w:szCs w:val="16"/>
              </w:rPr>
            </w:pPr>
            <w:r w:rsidRPr="00C75C7E">
              <w:rPr>
                <w:sz w:val="16"/>
                <w:szCs w:val="16"/>
              </w:rPr>
              <w:t>ii) Continua supervisión, junto con la oficina de P.I. y las partes interesadas, a fin de elaborar planes alternativos.</w:t>
            </w:r>
          </w:p>
        </w:tc>
      </w:tr>
      <w:tr w:rsidR="00B16400" w:rsidRPr="00C75C7E" w:rsidTr="00C40836">
        <w:trPr>
          <w:trHeight w:val="1508"/>
        </w:trPr>
        <w:tc>
          <w:tcPr>
            <w:tcW w:w="4535" w:type="dxa"/>
            <w:shd w:val="clear" w:color="auto" w:fill="auto"/>
            <w:tcMar>
              <w:top w:w="113" w:type="dxa"/>
              <w:bottom w:w="85" w:type="dxa"/>
            </w:tcMar>
          </w:tcPr>
          <w:p w:rsidR="00B16400" w:rsidRPr="00C75C7E" w:rsidRDefault="00B16400" w:rsidP="004341A3">
            <w:pPr>
              <w:widowControl w:val="0"/>
              <w:autoSpaceDE w:val="0"/>
              <w:autoSpaceDN w:val="0"/>
              <w:adjustRightInd w:val="0"/>
              <w:ind w:right="-59"/>
              <w:rPr>
                <w:sz w:val="16"/>
                <w:szCs w:val="16"/>
              </w:rPr>
            </w:pPr>
            <w:r w:rsidRPr="00C75C7E">
              <w:rPr>
                <w:sz w:val="16"/>
                <w:szCs w:val="16"/>
              </w:rPr>
              <w:t>Cambios políticos que podrían producir cambios en las políticas de P.I. de los países y los gobiernos o los altos directivos de las oficinas de P.I., lo que, a su vez, podría dar lugar a la revisión de los planes de trabajo de los países afectados y reducir o retrasar la prestación de servicios, incidiendo negativamente en la consecución de los resultados previstos.</w:t>
            </w:r>
          </w:p>
        </w:tc>
        <w:tc>
          <w:tcPr>
            <w:tcW w:w="4821" w:type="dxa"/>
            <w:shd w:val="clear" w:color="auto" w:fill="auto"/>
            <w:tcMar>
              <w:top w:w="113" w:type="dxa"/>
              <w:bottom w:w="85" w:type="dxa"/>
            </w:tcMar>
          </w:tcPr>
          <w:p w:rsidR="00B16400" w:rsidRPr="00C75C7E" w:rsidRDefault="00B16400" w:rsidP="004341A3">
            <w:pPr>
              <w:widowControl w:val="0"/>
              <w:autoSpaceDE w:val="0"/>
              <w:autoSpaceDN w:val="0"/>
              <w:adjustRightInd w:val="0"/>
              <w:ind w:right="-59"/>
              <w:rPr>
                <w:sz w:val="16"/>
                <w:szCs w:val="16"/>
              </w:rPr>
            </w:pPr>
            <w:r w:rsidRPr="00C75C7E">
              <w:rPr>
                <w:sz w:val="16"/>
                <w:szCs w:val="16"/>
              </w:rPr>
              <w:t>i) Mantenimiento de la flexibilidad para efectuar ajustes ocasionales en los planes de trabajo de los distintos países.</w:t>
            </w:r>
          </w:p>
          <w:p w:rsidR="00C40836" w:rsidRDefault="00C40836" w:rsidP="004341A3">
            <w:pPr>
              <w:widowControl w:val="0"/>
              <w:autoSpaceDE w:val="0"/>
              <w:autoSpaceDN w:val="0"/>
              <w:adjustRightInd w:val="0"/>
              <w:ind w:right="-59"/>
              <w:rPr>
                <w:sz w:val="16"/>
                <w:szCs w:val="16"/>
              </w:rPr>
            </w:pPr>
          </w:p>
          <w:p w:rsidR="00B16400" w:rsidRPr="00C75C7E" w:rsidRDefault="00B16400" w:rsidP="004341A3">
            <w:pPr>
              <w:widowControl w:val="0"/>
              <w:autoSpaceDE w:val="0"/>
              <w:autoSpaceDN w:val="0"/>
              <w:adjustRightInd w:val="0"/>
              <w:ind w:right="-59"/>
              <w:rPr>
                <w:sz w:val="16"/>
                <w:szCs w:val="16"/>
              </w:rPr>
            </w:pPr>
            <w:r w:rsidRPr="00C75C7E">
              <w:rPr>
                <w:sz w:val="16"/>
                <w:szCs w:val="16"/>
              </w:rPr>
              <w:t>ii) Fomento y facilitación del consenso en estrategias de P.I. y planes de trabajo nacionales.</w:t>
            </w:r>
          </w:p>
        </w:tc>
      </w:tr>
    </w:tbl>
    <w:p w:rsidR="00B16400" w:rsidRPr="00C75C7E" w:rsidRDefault="00B16400" w:rsidP="00B16400">
      <w:pPr>
        <w:widowControl w:val="0"/>
        <w:tabs>
          <w:tab w:val="left" w:pos="567"/>
          <w:tab w:val="left" w:pos="1985"/>
        </w:tabs>
        <w:jc w:val="both"/>
        <w:rPr>
          <w:bCs/>
          <w:sz w:val="20"/>
        </w:rPr>
      </w:pPr>
    </w:p>
    <w:p w:rsidR="00B16400" w:rsidRPr="00C75C7E" w:rsidRDefault="00B16400" w:rsidP="00B16400">
      <w:pPr>
        <w:widowControl w:val="0"/>
        <w:tabs>
          <w:tab w:val="left" w:pos="567"/>
          <w:tab w:val="left" w:pos="1985"/>
        </w:tabs>
        <w:jc w:val="both"/>
        <w:rPr>
          <w:bCs/>
          <w:sz w:val="20"/>
        </w:rPr>
      </w:pPr>
    </w:p>
    <w:p w:rsidR="00B16400" w:rsidRPr="00C75C7E" w:rsidRDefault="00B16400" w:rsidP="00B16400">
      <w:pPr>
        <w:widowControl w:val="0"/>
        <w:tabs>
          <w:tab w:val="left" w:pos="567"/>
          <w:tab w:val="left" w:pos="1985"/>
        </w:tabs>
        <w:jc w:val="both"/>
        <w:rPr>
          <w:bCs/>
          <w:sz w:val="20"/>
          <w:lang w:val="es-ES_tradnl"/>
        </w:rPr>
      </w:pPr>
      <w:r w:rsidRPr="00C75C7E">
        <w:rPr>
          <w:bCs/>
          <w:szCs w:val="22"/>
          <w:lang w:val="es-ES_tradnl"/>
        </w:rPr>
        <w:t>MARCO DE RESULTADOS</w:t>
      </w:r>
    </w:p>
    <w:p w:rsidR="00B16400" w:rsidRPr="00C75C7E" w:rsidRDefault="00B16400" w:rsidP="00B16400">
      <w:pPr>
        <w:widowControl w:val="0"/>
        <w:tabs>
          <w:tab w:val="left" w:pos="567"/>
          <w:tab w:val="left" w:pos="1985"/>
        </w:tabs>
        <w:jc w:val="both"/>
        <w:rPr>
          <w:bCs/>
          <w:sz w:val="20"/>
          <w:lang w:val="es-ES_tradnl"/>
        </w:rPr>
      </w:pPr>
    </w:p>
    <w:tbl>
      <w:tblPr>
        <w:tblW w:w="4916"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51"/>
        <w:gridCol w:w="2849"/>
        <w:gridCol w:w="2174"/>
        <w:gridCol w:w="2036"/>
      </w:tblGrid>
      <w:tr w:rsidR="00B16400" w:rsidRPr="00C75C7E" w:rsidTr="004341A3">
        <w:trPr>
          <w:cantSplit/>
          <w:trHeight w:val="421"/>
          <w:tblHeader/>
        </w:trPr>
        <w:tc>
          <w:tcPr>
            <w:tcW w:w="1249" w:type="pct"/>
            <w:tcBorders>
              <w:top w:val="single" w:sz="4" w:space="0" w:color="auto"/>
              <w:bottom w:val="single" w:sz="4" w:space="0" w:color="auto"/>
            </w:tcBorders>
            <w:shd w:val="clear" w:color="auto" w:fill="CCFFFF"/>
            <w:vAlign w:val="center"/>
          </w:tcPr>
          <w:p w:rsidR="00B16400" w:rsidRPr="00C75C7E" w:rsidRDefault="00B16400" w:rsidP="004341A3">
            <w:pPr>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jc w:val="center"/>
              <w:rPr>
                <w:b/>
                <w:bCs/>
                <w:sz w:val="18"/>
                <w:szCs w:val="18"/>
                <w:lang w:val="es-ES_tradnl"/>
              </w:rPr>
            </w:pPr>
            <w:r w:rsidRPr="00C75C7E">
              <w:rPr>
                <w:b/>
                <w:bCs/>
                <w:sz w:val="18"/>
                <w:szCs w:val="18"/>
                <w:lang w:val="es-ES_tradnl"/>
              </w:rPr>
              <w:t>Indicadores de rendimiento</w:t>
            </w:r>
          </w:p>
        </w:tc>
        <w:tc>
          <w:tcPr>
            <w:tcW w:w="1155"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ind w:left="85"/>
              <w:jc w:val="center"/>
              <w:rPr>
                <w:b/>
                <w:bCs/>
                <w:sz w:val="18"/>
                <w:szCs w:val="18"/>
                <w:lang w:val="es-ES_tradnl"/>
              </w:rPr>
            </w:pPr>
            <w:r w:rsidRPr="00C75C7E">
              <w:rPr>
                <w:b/>
                <w:bCs/>
                <w:sz w:val="18"/>
                <w:szCs w:val="18"/>
                <w:lang w:val="es-ES_tradnl"/>
              </w:rPr>
              <w:t>Referencia</w:t>
            </w:r>
          </w:p>
        </w:tc>
        <w:tc>
          <w:tcPr>
            <w:tcW w:w="1082"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tabs>
                <w:tab w:val="left" w:pos="1648"/>
                <w:tab w:val="left" w:pos="1758"/>
              </w:tabs>
              <w:spacing w:after="120"/>
              <w:ind w:right="3"/>
              <w:jc w:val="center"/>
              <w:rPr>
                <w:b/>
                <w:bCs/>
                <w:sz w:val="18"/>
                <w:szCs w:val="18"/>
                <w:lang w:val="es-ES_tradnl"/>
              </w:rPr>
            </w:pPr>
            <w:r w:rsidRPr="00C75C7E">
              <w:rPr>
                <w:b/>
                <w:bCs/>
                <w:sz w:val="18"/>
                <w:szCs w:val="18"/>
                <w:lang w:val="es-ES_tradnl"/>
              </w:rPr>
              <w:t>Objetivos</w:t>
            </w:r>
          </w:p>
        </w:tc>
      </w:tr>
      <w:tr w:rsidR="00B16400" w:rsidRPr="00C75C7E" w:rsidTr="004341A3">
        <w:trPr>
          <w:cantSplit/>
        </w:trPr>
        <w:tc>
          <w:tcPr>
            <w:tcW w:w="1249" w:type="pct"/>
            <w:vMerge w:val="restart"/>
            <w:tcBorders>
              <w:top w:val="single" w:sz="4" w:space="0" w:color="auto"/>
            </w:tcBorders>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I.2. Marcos de P.I. adaptados y equilibrados en el ámbito legislativo, reglamentario y de política.</w:t>
            </w:r>
          </w:p>
        </w:tc>
        <w:tc>
          <w:tcPr>
            <w:tcW w:w="1514" w:type="pct"/>
            <w:tcBorders>
              <w:top w:val="single" w:sz="4" w:space="0" w:color="auto"/>
            </w:tcBorders>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 xml:space="preserve">Número y porcentaje de Estados miembros satisfechos con la calidad del asesoramiento jurídico sobre patentes, modelos de utilidad, secretos comerciales y circuitos integrados. </w:t>
            </w:r>
          </w:p>
        </w:tc>
        <w:tc>
          <w:tcPr>
            <w:tcW w:w="1155" w:type="pct"/>
            <w:tcBorders>
              <w:top w:val="single" w:sz="4" w:space="0" w:color="auto"/>
            </w:tcBorders>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Encuestas de 2012.</w:t>
            </w:r>
          </w:p>
          <w:p w:rsidR="00B16400" w:rsidRPr="00C75C7E" w:rsidRDefault="00B16400" w:rsidP="004341A3">
            <w:pPr>
              <w:widowControl w:val="0"/>
              <w:rPr>
                <w:sz w:val="16"/>
                <w:szCs w:val="16"/>
                <w:lang w:val="es-ES_tradnl"/>
              </w:rPr>
            </w:pPr>
          </w:p>
        </w:tc>
        <w:tc>
          <w:tcPr>
            <w:tcW w:w="1082" w:type="pct"/>
            <w:tcBorders>
              <w:top w:val="single" w:sz="4" w:space="0" w:color="auto"/>
            </w:tcBorders>
            <w:shd w:val="clear" w:color="auto" w:fill="auto"/>
            <w:tcMar>
              <w:top w:w="113" w:type="dxa"/>
            </w:tcMar>
          </w:tcPr>
          <w:p w:rsidR="00B16400" w:rsidRPr="00C75C7E" w:rsidRDefault="00B16400" w:rsidP="004341A3">
            <w:pPr>
              <w:widowControl w:val="0"/>
              <w:tabs>
                <w:tab w:val="left" w:pos="2051"/>
              </w:tabs>
              <w:ind w:right="381"/>
              <w:rPr>
                <w:bCs/>
                <w:sz w:val="16"/>
                <w:szCs w:val="16"/>
                <w:lang w:val="es-ES_tradnl"/>
              </w:rPr>
            </w:pPr>
            <w:r w:rsidRPr="00C75C7E">
              <w:rPr>
                <w:bCs/>
                <w:sz w:val="16"/>
                <w:szCs w:val="16"/>
                <w:lang w:val="es-ES_tradnl"/>
              </w:rPr>
              <w:t>90%</w:t>
            </w:r>
          </w:p>
        </w:tc>
      </w:tr>
      <w:tr w:rsidR="00B16400" w:rsidRPr="00C75C7E" w:rsidTr="004341A3">
        <w:trPr>
          <w:cantSplit/>
          <w:trHeight w:val="1170"/>
        </w:trPr>
        <w:tc>
          <w:tcPr>
            <w:tcW w:w="1249" w:type="pct"/>
            <w:vMerge/>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 xml:space="preserve">Número y porcentaje de Estados miembros/organizaciones regionales que han presentado comentarios positivos sobre el asesoramiento legislativo proporcionado en la esfera de las marcas, los diseños industriales y las indicaciones geográficas. </w:t>
            </w:r>
          </w:p>
        </w:tc>
        <w:tc>
          <w:tcPr>
            <w:tcW w:w="1155" w:type="pct"/>
            <w:shd w:val="clear" w:color="auto" w:fill="FFFFFF"/>
            <w:tcMar>
              <w:top w:w="113" w:type="dxa"/>
            </w:tcMar>
          </w:tcPr>
          <w:p w:rsidR="00B16400" w:rsidRPr="00C75C7E" w:rsidRDefault="00B16400" w:rsidP="004341A3">
            <w:pPr>
              <w:widowControl w:val="0"/>
              <w:rPr>
                <w:sz w:val="16"/>
                <w:szCs w:val="16"/>
                <w:lang w:val="es-ES_tradnl"/>
              </w:rPr>
            </w:pPr>
            <w:r w:rsidRPr="00C75C7E">
              <w:rPr>
                <w:sz w:val="16"/>
                <w:szCs w:val="16"/>
                <w:lang w:val="es-ES_tradnl" w:bidi="th-TH"/>
              </w:rPr>
              <w:t>Tres Estados miembros/organizaciones regionales han presentado comentarios positivos sobre el asesoramiento legislativo recibido en 2012.</w:t>
            </w:r>
          </w:p>
        </w:tc>
        <w:tc>
          <w:tcPr>
            <w:tcW w:w="1082" w:type="pct"/>
            <w:shd w:val="clear" w:color="auto" w:fill="auto"/>
            <w:tcMar>
              <w:top w:w="113" w:type="dxa"/>
            </w:tcMar>
          </w:tcPr>
          <w:p w:rsidR="00B16400" w:rsidRPr="00C75C7E" w:rsidRDefault="00B16400" w:rsidP="004341A3">
            <w:pPr>
              <w:widowControl w:val="0"/>
              <w:ind w:right="51"/>
              <w:rPr>
                <w:bCs/>
                <w:sz w:val="16"/>
                <w:szCs w:val="16"/>
                <w:lang w:val="es-ES_tradnl"/>
              </w:rPr>
            </w:pPr>
            <w:r w:rsidRPr="00C75C7E">
              <w:rPr>
                <w:bCs/>
                <w:sz w:val="16"/>
                <w:szCs w:val="16"/>
                <w:lang w:val="es-ES_tradnl"/>
              </w:rPr>
              <w:t>Comentarios positivos recibidos de 10 Estados miembros/organizaciones regionales (desglose regional).</w:t>
            </w:r>
          </w:p>
        </w:tc>
      </w:tr>
      <w:tr w:rsidR="00B16400" w:rsidRPr="00C75C7E" w:rsidTr="004341A3">
        <w:trPr>
          <w:cantSplit/>
          <w:trHeight w:val="671"/>
        </w:trPr>
        <w:tc>
          <w:tcPr>
            <w:tcW w:w="1249" w:type="pct"/>
            <w:vMerge/>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 xml:space="preserve">Número y porcentaje de países que han presentado comentarios positivos sobre el asesoramiento legislativo de la OMPI. </w:t>
            </w:r>
          </w:p>
        </w:tc>
        <w:tc>
          <w:tcPr>
            <w:tcW w:w="1155" w:type="pct"/>
            <w:shd w:val="clear" w:color="auto" w:fill="FFFFFF"/>
            <w:tcMar>
              <w:top w:w="113" w:type="dxa"/>
            </w:tcMar>
          </w:tcPr>
          <w:p w:rsidR="00B16400" w:rsidRPr="00C75C7E" w:rsidRDefault="00B16400" w:rsidP="004341A3">
            <w:pPr>
              <w:widowControl w:val="0"/>
              <w:rPr>
                <w:sz w:val="16"/>
                <w:szCs w:val="16"/>
                <w:lang w:val="es-ES_tradnl"/>
              </w:rPr>
            </w:pPr>
            <w:r w:rsidRPr="00C75C7E">
              <w:rPr>
                <w:sz w:val="16"/>
                <w:szCs w:val="16"/>
                <w:lang w:val="es-ES_tradnl" w:bidi="th-TH"/>
              </w:rPr>
              <w:t>Todavía no se han recopilado los comentarios.</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15 países (desglose regional)</w:t>
            </w:r>
          </w:p>
        </w:tc>
      </w:tr>
      <w:tr w:rsidR="00B16400" w:rsidRPr="00C75C7E" w:rsidTr="004341A3">
        <w:trPr>
          <w:cantSplit/>
          <w:trHeight w:val="1408"/>
        </w:trPr>
        <w:tc>
          <w:tcPr>
            <w:tcW w:w="1249"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III.1. Estrategias y planes nacionales de innovación y de P.I. que estén en sintonía con los objetivos nacionales de desarrollo.</w:t>
            </w: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Número de países que están en proceso de formular/adoptar estrategias o planes de desarrollo nacionales de P.I.</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África (12 en total).</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Asia y el Pacífico (8).</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Región de los Países Árabes (4).</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América Latina y el Caribe (9).</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 xml:space="preserve">5 PMA incluidos en el desglose regional precedente. </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África (18 en total).</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Asia y el Pacífico (13 en total)</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Región de los Países Árabes (7 en total)</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América Latina y el Caribe (13 en total)</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rPr>
                <w:sz w:val="16"/>
                <w:szCs w:val="16"/>
                <w:lang w:val="es-ES_tradnl" w:bidi="th-TH"/>
              </w:rPr>
            </w:pPr>
            <w:r w:rsidRPr="00C75C7E">
              <w:rPr>
                <w:sz w:val="16"/>
                <w:szCs w:val="16"/>
                <w:lang w:val="es-ES_tradnl" w:bidi="th-TH"/>
              </w:rPr>
              <w:t xml:space="preserve">10 PMA incluidos en el desglose regional precedente. </w:t>
            </w:r>
          </w:p>
        </w:tc>
      </w:tr>
      <w:tr w:rsidR="00B16400" w:rsidRPr="00C75C7E" w:rsidTr="004341A3">
        <w:trPr>
          <w:cantSplit/>
          <w:trHeight w:val="2272"/>
        </w:trPr>
        <w:tc>
          <w:tcPr>
            <w:tcW w:w="1249" w:type="pct"/>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Número de países que han adoptado o aplicado estrategias o planes de desarrollo nacionales de P.I.</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África (4).</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Región de los Países Árabes (3).</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Asia y el Pacífico (3).</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América Latina y el Caribe (4).</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5 PMA incluidos en el desglose regional precedente.</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África (6 en total).</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Región de los Países Árabes (6) en total</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872D10">
              <w:rPr>
                <w:bCs/>
                <w:sz w:val="16"/>
                <w:szCs w:val="16"/>
                <w:lang w:val="es-ES_tradnl"/>
              </w:rPr>
              <w:t>Asia y el Pacífico (7)</w:t>
            </w:r>
            <w:r w:rsidRPr="00C75C7E">
              <w:rPr>
                <w:bCs/>
                <w:sz w:val="16"/>
                <w:szCs w:val="16"/>
                <w:lang w:val="es-ES_tradnl"/>
              </w:rPr>
              <w:t xml:space="preserve"> en total</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América Latina y el Caribe (12).</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sz w:val="16"/>
                <w:szCs w:val="16"/>
                <w:lang w:val="es-ES_tradnl" w:bidi="th-TH"/>
              </w:rPr>
              <w:t>11 PMA incluidos en el desglose regional precedente.</w:t>
            </w:r>
          </w:p>
        </w:tc>
      </w:tr>
      <w:tr w:rsidR="00B16400" w:rsidRPr="00C75C7E" w:rsidTr="004341A3">
        <w:trPr>
          <w:cantSplit/>
          <w:trHeight w:val="1680"/>
        </w:trPr>
        <w:tc>
          <w:tcPr>
            <w:tcW w:w="1249" w:type="pct"/>
            <w:vMerge w:val="restar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III.2 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Porcentaje de participantes en actividades de la OMPI que se muestran satisfechos del contenido y la organización de dichos actos.</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No se dispone de datos.</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África (70).</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Región de los Países Árabes (80).</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Asia y el Pacífico (65).</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 xml:space="preserve">América Latina y el Caribe (80). </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PMA (80%).</w:t>
            </w:r>
          </w:p>
        </w:tc>
      </w:tr>
      <w:tr w:rsidR="00B16400" w:rsidRPr="00C75C7E" w:rsidTr="004341A3">
        <w:trPr>
          <w:cantSplit/>
          <w:trHeight w:val="1839"/>
        </w:trPr>
        <w:tc>
          <w:tcPr>
            <w:tcW w:w="1249" w:type="pct"/>
            <w:vMerge/>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Porcentaje de participantes en talleres de la OMPI que aplican las capacidades adquiridas en su labor/empresa.</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Información no disponible.</w:t>
            </w:r>
          </w:p>
          <w:p w:rsidR="00B16400" w:rsidRPr="00C75C7E" w:rsidRDefault="00B16400" w:rsidP="004341A3">
            <w:pPr>
              <w:widowControl w:val="0"/>
              <w:rPr>
                <w:sz w:val="16"/>
                <w:szCs w:val="16"/>
                <w:lang w:val="es-ES_tradnl" w:bidi="th-TH"/>
              </w:rPr>
            </w:pPr>
          </w:p>
          <w:p w:rsidR="00B16400" w:rsidRPr="00C75C7E" w:rsidRDefault="00B16400" w:rsidP="004341A3">
            <w:pPr>
              <w:widowControl w:val="0"/>
              <w:ind w:right="3"/>
              <w:rPr>
                <w:bCs/>
                <w:sz w:val="16"/>
                <w:szCs w:val="16"/>
                <w:lang w:val="es-ES_tradnl"/>
              </w:rPr>
            </w:pPr>
            <w:r w:rsidRPr="00C75C7E">
              <w:rPr>
                <w:bCs/>
                <w:sz w:val="16"/>
                <w:szCs w:val="16"/>
                <w:lang w:val="es-ES_tradnl"/>
              </w:rPr>
              <w:t>Asia y el Pacífico (65).</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Información no disponible.</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Información no disponible.</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Información no disponible.</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África (70).</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3"/>
              <w:rPr>
                <w:bCs/>
                <w:sz w:val="16"/>
                <w:szCs w:val="16"/>
                <w:lang w:val="es-ES_tradnl"/>
              </w:rPr>
            </w:pPr>
            <w:r w:rsidRPr="00C75C7E">
              <w:rPr>
                <w:bCs/>
                <w:sz w:val="16"/>
                <w:szCs w:val="16"/>
                <w:lang w:val="es-ES_tradnl"/>
              </w:rPr>
              <w:t>Asia y el Pacífico (65).</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Región de los Países Árabes (70).</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América Latina y el Caribe (30).</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PMA (80%).</w:t>
            </w:r>
          </w:p>
        </w:tc>
      </w:tr>
      <w:tr w:rsidR="00B16400" w:rsidRPr="00C75C7E" w:rsidTr="004341A3">
        <w:trPr>
          <w:cantSplit/>
          <w:trHeight w:val="1865"/>
        </w:trPr>
        <w:tc>
          <w:tcPr>
            <w:tcW w:w="1249" w:type="pct"/>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Porcentaje de expertos nacionales y regionales en P.I. utilizados como expertos en las actividades de la OMPI</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África (65).</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Región de los Países Árabes (70).</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No se dispone de datos</w:t>
            </w:r>
            <w:r w:rsidR="00C40836">
              <w:rPr>
                <w:sz w:val="16"/>
                <w:szCs w:val="16"/>
                <w:lang w:val="es-ES_tradnl" w:bidi="th-TH"/>
              </w:rPr>
              <w:t xml:space="preserve"> sobre Asia y el Pacífico.</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América Latina y el Caribe (70).</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PMA (70%).</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África (75).</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Región de los Países Árabes (80).</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Asia y el Pacífico (55).</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América Latina y el Caribe (80).</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PMA (80%).</w:t>
            </w:r>
          </w:p>
        </w:tc>
      </w:tr>
      <w:tr w:rsidR="00B16400" w:rsidRPr="00C75C7E" w:rsidTr="004341A3">
        <w:trPr>
          <w:cantSplit/>
          <w:trHeight w:val="1144"/>
        </w:trPr>
        <w:tc>
          <w:tcPr>
            <w:tcW w:w="1249"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III.4. Fortalecimiento de los mecanismos de cooperación y de los programas adaptados a las necesidades de los países en desarrollo y los PMA.</w:t>
            </w: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Número de mecanismos de cooperación, programas y asociaciones nuevos o consolidados a los que se presta apoyo para promover/fortalecer la cooperación subregional o regional en P.I.</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África (3).</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Región de los Países Árabes (2).</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Asia y el Pacífico (4).</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América Latina y el Caribe (3).</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2 PMA incluidos en el desglose regional precedente.</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Proyectos de tecnología adecuados en 3 PMA</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África (2).</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Región de los Países Árabes (1).</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Asia y el Pacífico (4).</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América Latina y el Caribe (7).</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rPr>
                <w:sz w:val="16"/>
                <w:szCs w:val="16"/>
                <w:lang w:val="es-ES_tradnl" w:bidi="th-TH"/>
              </w:rPr>
            </w:pPr>
            <w:r w:rsidRPr="00C75C7E">
              <w:rPr>
                <w:sz w:val="16"/>
                <w:szCs w:val="16"/>
                <w:lang w:val="es-ES_tradnl" w:bidi="th-TH"/>
              </w:rPr>
              <w:t>4 PMA incluidos en el desglose regional precedente.</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Proyectos de tecnología adecuados en al menos 4 PMA</w:t>
            </w:r>
          </w:p>
        </w:tc>
      </w:tr>
      <w:tr w:rsidR="00B16400" w:rsidRPr="00C75C7E" w:rsidTr="004341A3">
        <w:trPr>
          <w:cantSplit/>
          <w:trHeight w:val="795"/>
        </w:trPr>
        <w:tc>
          <w:tcPr>
            <w:tcW w:w="1249" w:type="pct"/>
            <w:shd w:val="clear" w:color="auto" w:fill="auto"/>
            <w:tcMar>
              <w:top w:w="113" w:type="dxa"/>
            </w:tcMar>
          </w:tcPr>
          <w:p w:rsidR="00B16400" w:rsidRPr="00C75C7E" w:rsidRDefault="00B16400" w:rsidP="00460232">
            <w:pPr>
              <w:widowControl w:val="0"/>
              <w:rPr>
                <w:sz w:val="16"/>
                <w:szCs w:val="16"/>
                <w:lang w:val="es-ES_tradnl"/>
              </w:rPr>
            </w:pPr>
            <w:r w:rsidRPr="00C75C7E">
              <w:rPr>
                <w:sz w:val="16"/>
                <w:szCs w:val="16"/>
                <w:lang w:val="es-ES_tradnl"/>
              </w:rPr>
              <w:t>IV.2</w:t>
            </w:r>
            <w:r w:rsidR="00460232">
              <w:rPr>
                <w:sz w:val="16"/>
                <w:szCs w:val="16"/>
                <w:lang w:val="es-ES_tradnl"/>
              </w:rPr>
              <w:t xml:space="preserve"> </w:t>
            </w:r>
            <w:r w:rsidRPr="00C75C7E">
              <w:rPr>
                <w:sz w:val="16"/>
                <w:szCs w:val="16"/>
                <w:lang w:val="es-ES_tradnl"/>
              </w:rPr>
              <w:t xml:space="preserve"> Mejora del acceso y uso de información y conocimientos de P.I. por parte de instituciones de P.I. y el público para fomentar la innovación y la creatividad.</w:t>
            </w: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Número de redes nacionales sostenibles de CATI.</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14 redes nacionales de CATI:</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África (6).</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Región de los Países Árabes (2).</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Asia y el Pacífico (2).</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América Latina y el Caribe (4).</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bidi="th-TH"/>
              </w:rPr>
            </w:pPr>
            <w:r w:rsidRPr="00C75C7E">
              <w:rPr>
                <w:sz w:val="16"/>
                <w:szCs w:val="16"/>
                <w:lang w:val="es-ES_tradnl" w:bidi="th-TH"/>
              </w:rPr>
              <w:t>6 PMA incluidos en el desglose regional precedente.</w:t>
            </w:r>
          </w:p>
        </w:tc>
        <w:tc>
          <w:tcPr>
            <w:tcW w:w="1082" w:type="pct"/>
            <w:shd w:val="clear" w:color="auto" w:fill="auto"/>
            <w:tcMar>
              <w:top w:w="113" w:type="dxa"/>
            </w:tcMar>
          </w:tcPr>
          <w:p w:rsidR="00B16400" w:rsidRPr="00C75C7E" w:rsidRDefault="00B16400" w:rsidP="004341A3">
            <w:pPr>
              <w:widowControl w:val="0"/>
              <w:ind w:right="3"/>
              <w:rPr>
                <w:bCs/>
                <w:sz w:val="16"/>
                <w:szCs w:val="16"/>
                <w:lang w:val="es-ES_tradnl"/>
              </w:rPr>
            </w:pPr>
            <w:r w:rsidRPr="00C75C7E">
              <w:rPr>
                <w:bCs/>
                <w:sz w:val="16"/>
                <w:szCs w:val="16"/>
                <w:lang w:val="es-ES_tradnl"/>
              </w:rPr>
              <w:t>23 redes nacionales de CATI (en total):</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África (10 de los que 8 son PMA)</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 xml:space="preserve">Región de los Países Árabes (3). </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Asia y el Pacífico (4 de los que 2 son PMA)</w:t>
            </w:r>
          </w:p>
          <w:p w:rsidR="00B16400" w:rsidRPr="00C75C7E" w:rsidRDefault="00B16400" w:rsidP="004341A3">
            <w:pPr>
              <w:widowControl w:val="0"/>
              <w:ind w:right="161"/>
              <w:rPr>
                <w:bCs/>
                <w:sz w:val="16"/>
                <w:szCs w:val="16"/>
                <w:lang w:val="es-ES_tradnl"/>
              </w:rPr>
            </w:pPr>
          </w:p>
          <w:p w:rsidR="00B16400" w:rsidRPr="00C75C7E" w:rsidRDefault="00B16400" w:rsidP="004341A3">
            <w:pPr>
              <w:widowControl w:val="0"/>
              <w:ind w:right="161"/>
              <w:rPr>
                <w:bCs/>
                <w:sz w:val="16"/>
                <w:szCs w:val="16"/>
                <w:lang w:val="es-ES_tradnl"/>
              </w:rPr>
            </w:pPr>
            <w:r w:rsidRPr="00C75C7E">
              <w:rPr>
                <w:bCs/>
                <w:sz w:val="16"/>
                <w:szCs w:val="16"/>
                <w:lang w:val="es-ES_tradnl"/>
              </w:rPr>
              <w:t>América Latina y el Caribe (6).</w:t>
            </w:r>
          </w:p>
          <w:p w:rsidR="00B16400" w:rsidRPr="00C75C7E" w:rsidRDefault="00B16400" w:rsidP="004341A3">
            <w:pPr>
              <w:widowControl w:val="0"/>
              <w:ind w:right="161"/>
              <w:rPr>
                <w:bCs/>
                <w:sz w:val="16"/>
                <w:szCs w:val="16"/>
                <w:lang w:val="es-ES_tradnl"/>
              </w:rPr>
            </w:pPr>
          </w:p>
        </w:tc>
      </w:tr>
      <w:tr w:rsidR="00B16400" w:rsidRPr="00C75C7E" w:rsidTr="004341A3">
        <w:trPr>
          <w:cantSplit/>
          <w:trHeight w:val="795"/>
        </w:trPr>
        <w:tc>
          <w:tcPr>
            <w:tcW w:w="1249" w:type="pct"/>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Promedio de usuarios que utilizan los servicios de los CATI por trimestre y por país.</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 xml:space="preserve">200 </w:t>
            </w:r>
            <w:r w:rsidR="00231ABD">
              <w:rPr>
                <w:sz w:val="16"/>
                <w:szCs w:val="16"/>
                <w:lang w:val="es-ES_tradnl" w:bidi="th-TH"/>
              </w:rPr>
              <w:t>(mín.)</w:t>
            </w:r>
            <w:r w:rsidRPr="00C75C7E">
              <w:rPr>
                <w:sz w:val="16"/>
                <w:szCs w:val="16"/>
                <w:lang w:val="es-ES_tradnl" w:bidi="th-TH"/>
              </w:rPr>
              <w:t xml:space="preserve"> – 630 (máx.).</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sz w:val="16"/>
                <w:szCs w:val="16"/>
                <w:lang w:val="es-ES_tradnl" w:bidi="th-TH"/>
              </w:rPr>
              <w:t xml:space="preserve">300 </w:t>
            </w:r>
            <w:r w:rsidR="00231ABD">
              <w:rPr>
                <w:sz w:val="16"/>
                <w:szCs w:val="16"/>
                <w:lang w:val="es-ES_tradnl" w:bidi="th-TH"/>
              </w:rPr>
              <w:t>(mín.)</w:t>
            </w:r>
            <w:r w:rsidRPr="00C75C7E">
              <w:rPr>
                <w:sz w:val="16"/>
                <w:szCs w:val="16"/>
                <w:lang w:val="es-ES_tradnl" w:bidi="th-TH"/>
              </w:rPr>
              <w:t xml:space="preserve"> – 750 (máx.).</w:t>
            </w:r>
          </w:p>
        </w:tc>
      </w:tr>
      <w:tr w:rsidR="00B16400" w:rsidRPr="00C75C7E" w:rsidTr="004341A3">
        <w:trPr>
          <w:cantSplit/>
          <w:trHeight w:val="795"/>
        </w:trPr>
        <w:tc>
          <w:tcPr>
            <w:tcW w:w="1249" w:type="pct"/>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Número de países que utilizan la base de datos de asistencia técnica en P.I. (IP-TAD) y la lista de consultores (IP_ROC).</w:t>
            </w:r>
          </w:p>
        </w:tc>
        <w:tc>
          <w:tcPr>
            <w:tcW w:w="1155"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60 (al 01.03.2013)</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70</w:t>
            </w:r>
          </w:p>
        </w:tc>
      </w:tr>
      <w:tr w:rsidR="00B16400" w:rsidRPr="00C75C7E" w:rsidTr="004341A3">
        <w:trPr>
          <w:cantSplit/>
          <w:trHeight w:val="795"/>
        </w:trPr>
        <w:tc>
          <w:tcPr>
            <w:tcW w:w="1249" w:type="pct"/>
            <w:shd w:val="clear" w:color="auto" w:fill="auto"/>
            <w:tcMar>
              <w:top w:w="113" w:type="dxa"/>
            </w:tcMar>
          </w:tcPr>
          <w:p w:rsidR="00B16400" w:rsidRPr="00C75C7E" w:rsidRDefault="00B16400" w:rsidP="00460232">
            <w:pPr>
              <w:widowControl w:val="0"/>
              <w:rPr>
                <w:sz w:val="16"/>
                <w:szCs w:val="16"/>
                <w:lang w:val="es-ES_tradnl"/>
              </w:rPr>
            </w:pPr>
            <w:r w:rsidRPr="00C75C7E">
              <w:rPr>
                <w:sz w:val="16"/>
                <w:szCs w:val="16"/>
                <w:lang w:val="es-ES_tradnl"/>
              </w:rPr>
              <w:lastRenderedPageBreak/>
              <w:t xml:space="preserve">IV.4 </w:t>
            </w:r>
            <w:r w:rsidR="00B52FA1">
              <w:rPr>
                <w:sz w:val="16"/>
                <w:szCs w:val="16"/>
                <w:lang w:val="es-ES_tradnl"/>
              </w:rPr>
              <w:t xml:space="preserve"> </w:t>
            </w:r>
            <w:r w:rsidRPr="00C75C7E">
              <w:rPr>
                <w:sz w:val="16"/>
                <w:szCs w:val="16"/>
                <w:lang w:val="es-ES_tradnl"/>
              </w:rPr>
              <w:t xml:space="preserve">Mejora en la infraestructura técnica y de conocimientos de las oficinas y demás instituciones de P.I. </w:t>
            </w:r>
            <w:r w:rsidR="00177006">
              <w:rPr>
                <w:sz w:val="16"/>
                <w:szCs w:val="16"/>
                <w:lang w:val="es-ES_tradnl"/>
              </w:rPr>
              <w:t>que les permita prestar mejores servicios</w:t>
            </w:r>
            <w:r w:rsidRPr="00C75C7E">
              <w:rPr>
                <w:sz w:val="16"/>
                <w:szCs w:val="16"/>
                <w:lang w:val="es-ES_tradnl"/>
              </w:rPr>
              <w:t xml:space="preserve"> (más económicos, más rápidos y de mejor calidad) a sus partes interesadas.</w:t>
            </w: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Media del nivel de los servicios prestados por las Oficinas de P.I. que reciben asistencia (en una escala del 1 al 5).</w:t>
            </w:r>
          </w:p>
        </w:tc>
        <w:tc>
          <w:tcPr>
            <w:tcW w:w="1155" w:type="pct"/>
            <w:shd w:val="clear" w:color="auto" w:fill="FFFFFF"/>
            <w:tcMar>
              <w:top w:w="113" w:type="dxa"/>
            </w:tcMar>
          </w:tcPr>
          <w:p w:rsidR="00B16400" w:rsidRPr="00C75C7E" w:rsidRDefault="001F769A" w:rsidP="004341A3">
            <w:pPr>
              <w:widowControl w:val="0"/>
              <w:rPr>
                <w:sz w:val="16"/>
                <w:szCs w:val="16"/>
                <w:lang w:val="es-ES_tradnl" w:bidi="th-TH"/>
              </w:rPr>
            </w:pPr>
            <w:r>
              <w:rPr>
                <w:sz w:val="16"/>
                <w:szCs w:val="16"/>
                <w:lang w:val="es-ES_tradnl" w:bidi="th-TH"/>
              </w:rPr>
              <w:t>Por determinar</w:t>
            </w:r>
            <w:r w:rsidR="00460232">
              <w:rPr>
                <w:sz w:val="16"/>
                <w:szCs w:val="16"/>
                <w:lang w:val="es-ES_tradnl" w:bidi="th-TH"/>
              </w:rPr>
              <w:t>.</w:t>
            </w:r>
          </w:p>
        </w:tc>
        <w:tc>
          <w:tcPr>
            <w:tcW w:w="1082" w:type="pct"/>
            <w:shd w:val="clear" w:color="auto" w:fill="auto"/>
            <w:tcMar>
              <w:top w:w="113" w:type="dxa"/>
            </w:tcMar>
          </w:tcPr>
          <w:p w:rsidR="00B16400" w:rsidRPr="00C75C7E" w:rsidRDefault="001F769A" w:rsidP="004341A3">
            <w:pPr>
              <w:widowControl w:val="0"/>
              <w:ind w:right="161"/>
              <w:rPr>
                <w:bCs/>
                <w:sz w:val="16"/>
                <w:szCs w:val="16"/>
                <w:lang w:val="es-ES_tradnl"/>
              </w:rPr>
            </w:pPr>
            <w:r>
              <w:rPr>
                <w:bCs/>
                <w:sz w:val="16"/>
                <w:szCs w:val="16"/>
                <w:lang w:val="es-ES_tradnl"/>
              </w:rPr>
              <w:t>Por determinar</w:t>
            </w:r>
            <w:r w:rsidR="00460232">
              <w:rPr>
                <w:bCs/>
                <w:sz w:val="16"/>
                <w:szCs w:val="16"/>
                <w:lang w:val="es-ES_tradnl"/>
              </w:rPr>
              <w:t>.</w:t>
            </w:r>
          </w:p>
        </w:tc>
      </w:tr>
    </w:tbl>
    <w:p w:rsidR="00B16400" w:rsidRDefault="00B16400" w:rsidP="00B16400">
      <w:pPr>
        <w:widowControl w:val="0"/>
        <w:autoSpaceDE w:val="0"/>
        <w:autoSpaceDN w:val="0"/>
        <w:adjustRightInd w:val="0"/>
        <w:jc w:val="both"/>
        <w:rPr>
          <w:szCs w:val="22"/>
          <w:lang w:val="es-ES_tradnl"/>
        </w:rPr>
      </w:pPr>
    </w:p>
    <w:p w:rsidR="00D73C7C" w:rsidRPr="00F039C2" w:rsidRDefault="00D73C7C" w:rsidP="00D73C7C">
      <w:pPr>
        <w:widowControl w:val="0"/>
        <w:autoSpaceDE w:val="0"/>
        <w:autoSpaceDN w:val="0"/>
        <w:adjustRightInd w:val="0"/>
        <w:jc w:val="both"/>
        <w:rPr>
          <w:szCs w:val="22"/>
        </w:rPr>
      </w:pPr>
    </w:p>
    <w:p w:rsidR="00D73C7C" w:rsidRPr="00CA3895" w:rsidRDefault="00D73C7C" w:rsidP="00D73C7C">
      <w:pPr>
        <w:widowControl w:val="0"/>
        <w:autoSpaceDE w:val="0"/>
        <w:autoSpaceDN w:val="0"/>
        <w:adjustRightInd w:val="0"/>
        <w:jc w:val="both"/>
        <w:rPr>
          <w:szCs w:val="22"/>
        </w:rPr>
      </w:pPr>
      <w:r w:rsidRPr="00CA3895">
        <w:rPr>
          <w:szCs w:val="22"/>
        </w:rPr>
        <w:t>RECURSOS PARA EL PROGRAMA 9</w:t>
      </w:r>
    </w:p>
    <w:p w:rsidR="00D73C7C" w:rsidRPr="00CA3895" w:rsidRDefault="00D73C7C" w:rsidP="00D73C7C">
      <w:pPr>
        <w:widowControl w:val="0"/>
        <w:autoSpaceDE w:val="0"/>
        <w:autoSpaceDN w:val="0"/>
        <w:adjustRightInd w:val="0"/>
        <w:rPr>
          <w:b/>
          <w:bCs/>
          <w:iCs/>
          <w:sz w:val="20"/>
        </w:rPr>
      </w:pPr>
    </w:p>
    <w:p w:rsidR="00D73C7C" w:rsidRPr="00F039C2" w:rsidRDefault="00D73C7C" w:rsidP="00BA276E">
      <w:pPr>
        <w:widowControl w:val="0"/>
        <w:numPr>
          <w:ilvl w:val="0"/>
          <w:numId w:val="31"/>
        </w:numPr>
        <w:ind w:left="0"/>
        <w:jc w:val="both"/>
        <w:rPr>
          <w:sz w:val="20"/>
        </w:rPr>
      </w:pPr>
      <w:r w:rsidRPr="00CA3895">
        <w:rPr>
          <w:sz w:val="20"/>
        </w:rPr>
        <w:t>La</w:t>
      </w:r>
      <w:r w:rsidRPr="00F039C2">
        <w:rPr>
          <w:sz w:val="20"/>
        </w:rPr>
        <w:t xml:space="preserve"> </w:t>
      </w:r>
      <w:r>
        <w:rPr>
          <w:sz w:val="20"/>
        </w:rPr>
        <w:t xml:space="preserve">disminución </w:t>
      </w:r>
      <w:r w:rsidRPr="00F039C2">
        <w:rPr>
          <w:sz w:val="20"/>
        </w:rPr>
        <w:t>en los recursos para los resultados I.2 (</w:t>
      </w:r>
      <w:r w:rsidRPr="00CA3895">
        <w:rPr>
          <w:sz w:val="20"/>
        </w:rPr>
        <w:t>Asesoramiento legislativ</w:t>
      </w:r>
      <w:r>
        <w:rPr>
          <w:sz w:val="20"/>
        </w:rPr>
        <w:t>o</w:t>
      </w:r>
      <w:r w:rsidRPr="00F039C2">
        <w:rPr>
          <w:sz w:val="20"/>
        </w:rPr>
        <w:t xml:space="preserve">) y IV.2 (Mejora </w:t>
      </w:r>
      <w:r>
        <w:rPr>
          <w:sz w:val="20"/>
        </w:rPr>
        <w:t xml:space="preserve">del acceso y uso de </w:t>
      </w:r>
      <w:r w:rsidRPr="00F039C2">
        <w:rPr>
          <w:sz w:val="20"/>
        </w:rPr>
        <w:t xml:space="preserve">información y conocimientos </w:t>
      </w:r>
      <w:r>
        <w:rPr>
          <w:sz w:val="20"/>
        </w:rPr>
        <w:t xml:space="preserve">de </w:t>
      </w:r>
      <w:r w:rsidRPr="00F039C2">
        <w:rPr>
          <w:sz w:val="20"/>
        </w:rPr>
        <w:t>P.I.)</w:t>
      </w:r>
      <w:r>
        <w:rPr>
          <w:sz w:val="20"/>
        </w:rPr>
        <w:t xml:space="preserve"> </w:t>
      </w:r>
      <w:r w:rsidRPr="00F039C2">
        <w:rPr>
          <w:sz w:val="20"/>
        </w:rPr>
        <w:t>reflej</w:t>
      </w:r>
      <w:r>
        <w:rPr>
          <w:sz w:val="20"/>
        </w:rPr>
        <w:t>a</w:t>
      </w:r>
      <w:r w:rsidRPr="00F039C2">
        <w:rPr>
          <w:sz w:val="20"/>
        </w:rPr>
        <w:t xml:space="preserve"> la puesta en práctica continuada del modelo de </w:t>
      </w:r>
      <w:r>
        <w:rPr>
          <w:sz w:val="20"/>
        </w:rPr>
        <w:t xml:space="preserve">ejecución </w:t>
      </w:r>
      <w:r w:rsidRPr="00F039C2">
        <w:rPr>
          <w:sz w:val="20"/>
        </w:rPr>
        <w:t>de las actividades orientadas a potenciar el desarrollo, en virtud del cual los programas especializados asumen la responsabilidad técnica de la ejecución de las actividades relacionadas con el asesoramiento legislativ</w:t>
      </w:r>
      <w:r>
        <w:rPr>
          <w:sz w:val="20"/>
        </w:rPr>
        <w:t>o</w:t>
      </w:r>
      <w:r w:rsidRPr="00F039C2">
        <w:rPr>
          <w:sz w:val="20"/>
        </w:rPr>
        <w:t xml:space="preserve">, la infraestructura de las oficinas de P.I. y </w:t>
      </w:r>
      <w:r>
        <w:rPr>
          <w:sz w:val="20"/>
        </w:rPr>
        <w:t xml:space="preserve">la </w:t>
      </w:r>
      <w:r w:rsidRPr="00F039C2">
        <w:rPr>
          <w:sz w:val="20"/>
        </w:rPr>
        <w:t>facilita</w:t>
      </w:r>
      <w:r>
        <w:rPr>
          <w:sz w:val="20"/>
        </w:rPr>
        <w:t>ción d</w:t>
      </w:r>
      <w:r w:rsidRPr="00F039C2">
        <w:rPr>
          <w:sz w:val="20"/>
        </w:rPr>
        <w:t xml:space="preserve">el acceso a información y conocimientos </w:t>
      </w:r>
      <w:r>
        <w:rPr>
          <w:sz w:val="20"/>
        </w:rPr>
        <w:t>de</w:t>
      </w:r>
      <w:r w:rsidRPr="00F039C2">
        <w:rPr>
          <w:sz w:val="20"/>
        </w:rPr>
        <w:t xml:space="preserve"> P.I.  Ello se </w:t>
      </w:r>
      <w:r>
        <w:rPr>
          <w:sz w:val="20"/>
        </w:rPr>
        <w:t xml:space="preserve">materializa </w:t>
      </w:r>
      <w:r w:rsidRPr="00F039C2">
        <w:rPr>
          <w:sz w:val="20"/>
        </w:rPr>
        <w:t xml:space="preserve">en </w:t>
      </w:r>
      <w:r>
        <w:rPr>
          <w:sz w:val="20"/>
        </w:rPr>
        <w:t xml:space="preserve">disminuciones </w:t>
      </w:r>
      <w:r w:rsidRPr="00F039C2">
        <w:rPr>
          <w:sz w:val="20"/>
        </w:rPr>
        <w:t xml:space="preserve">en los </w:t>
      </w:r>
      <w:r w:rsidRPr="00361C81">
        <w:rPr>
          <w:sz w:val="20"/>
        </w:rPr>
        <w:t>servicios contractuales individuales</w:t>
      </w:r>
      <w:r w:rsidRPr="00F039C2">
        <w:rPr>
          <w:sz w:val="20"/>
        </w:rPr>
        <w:t>, las misiones del personal y viajes de terceros (</w:t>
      </w:r>
      <w:r>
        <w:rPr>
          <w:sz w:val="20"/>
        </w:rPr>
        <w:t xml:space="preserve">disminución </w:t>
      </w:r>
      <w:r w:rsidRPr="00F039C2">
        <w:rPr>
          <w:sz w:val="20"/>
        </w:rPr>
        <w:t xml:space="preserve">que también se ve afectada por la </w:t>
      </w:r>
      <w:r>
        <w:rPr>
          <w:sz w:val="20"/>
        </w:rPr>
        <w:t xml:space="preserve">mejora de la </w:t>
      </w:r>
      <w:r w:rsidRPr="00F039C2">
        <w:rPr>
          <w:sz w:val="20"/>
        </w:rPr>
        <w:t>eficacia en función de los costos en los viajes).</w:t>
      </w:r>
    </w:p>
    <w:p w:rsidR="00D73C7C" w:rsidRPr="00F039C2" w:rsidRDefault="00D73C7C" w:rsidP="00D73C7C">
      <w:pPr>
        <w:widowControl w:val="0"/>
        <w:jc w:val="both"/>
        <w:rPr>
          <w:sz w:val="20"/>
        </w:rPr>
      </w:pPr>
    </w:p>
    <w:p w:rsidR="00D73C7C" w:rsidRPr="00F039C2" w:rsidRDefault="00D73C7C" w:rsidP="00BA276E">
      <w:pPr>
        <w:widowControl w:val="0"/>
        <w:numPr>
          <w:ilvl w:val="0"/>
          <w:numId w:val="31"/>
        </w:numPr>
        <w:ind w:left="0"/>
        <w:jc w:val="both"/>
        <w:rPr>
          <w:sz w:val="20"/>
        </w:rPr>
      </w:pPr>
      <w:r w:rsidRPr="00F039C2">
        <w:rPr>
          <w:sz w:val="20"/>
        </w:rPr>
        <w:t>El aumento en los recursos para el resultado III.1 (Estrategias nacionales de P.I.) y el aumento en los recursos totales combinados para los resultados III.2 (Mejora de las capacidades en el ámbito de los recursos humanos) y III.4 (Mecanismos y programas</w:t>
      </w:r>
      <w:r>
        <w:rPr>
          <w:sz w:val="20"/>
        </w:rPr>
        <w:t xml:space="preserve"> de cooperación</w:t>
      </w:r>
      <w:r w:rsidRPr="00F039C2">
        <w:rPr>
          <w:sz w:val="20"/>
        </w:rPr>
        <w:t xml:space="preserve">) reflejan nuevamente la puesta en práctica del modelo de </w:t>
      </w:r>
      <w:r>
        <w:rPr>
          <w:sz w:val="20"/>
        </w:rPr>
        <w:t>ejecución</w:t>
      </w:r>
      <w:r w:rsidRPr="00F039C2">
        <w:rPr>
          <w:sz w:val="20"/>
        </w:rPr>
        <w:t xml:space="preserve">, en virtud del cual se ha reforzado la responsabilidad de la Oficinas Regionales por las estrategias y planes nacionales de P.I. y el fortalecimiento de las capacidades </w:t>
      </w:r>
    </w:p>
    <w:p w:rsidR="00D73C7C" w:rsidRPr="00F039C2" w:rsidRDefault="00D73C7C" w:rsidP="00D73C7C">
      <w:pPr>
        <w:widowControl w:val="0"/>
        <w:jc w:val="both"/>
        <w:rPr>
          <w:sz w:val="20"/>
        </w:rPr>
      </w:pPr>
    </w:p>
    <w:p w:rsidR="00D73C7C" w:rsidRPr="00F039C2" w:rsidRDefault="00D73C7C" w:rsidP="00BA276E">
      <w:pPr>
        <w:widowControl w:val="0"/>
        <w:numPr>
          <w:ilvl w:val="0"/>
          <w:numId w:val="31"/>
        </w:numPr>
        <w:ind w:left="0"/>
        <w:jc w:val="both"/>
        <w:rPr>
          <w:sz w:val="20"/>
        </w:rPr>
      </w:pPr>
      <w:r w:rsidRPr="00F039C2">
        <w:rPr>
          <w:sz w:val="20"/>
        </w:rPr>
        <w:t>El trasvase de recursos entre los resultados III.2</w:t>
      </w:r>
      <w:r w:rsidR="007B5ECA">
        <w:rPr>
          <w:sz w:val="20"/>
        </w:rPr>
        <w:t xml:space="preserve"> y</w:t>
      </w:r>
      <w:r w:rsidRPr="00F039C2">
        <w:rPr>
          <w:sz w:val="20"/>
        </w:rPr>
        <w:t xml:space="preserve"> III.4</w:t>
      </w:r>
      <w:r w:rsidR="001F769A">
        <w:rPr>
          <w:sz w:val="20"/>
        </w:rPr>
        <w:t xml:space="preserve"> </w:t>
      </w:r>
      <w:r w:rsidRPr="00F039C2">
        <w:rPr>
          <w:sz w:val="20"/>
        </w:rPr>
        <w:t>refleja</w:t>
      </w:r>
      <w:r w:rsidR="007B5ECA">
        <w:rPr>
          <w:sz w:val="20"/>
        </w:rPr>
        <w:t xml:space="preserve"> </w:t>
      </w:r>
      <w:r w:rsidRPr="00F039C2">
        <w:rPr>
          <w:sz w:val="20"/>
        </w:rPr>
        <w:t>la ampliación de</w:t>
      </w:r>
      <w:r w:rsidR="001F769A">
        <w:rPr>
          <w:sz w:val="20"/>
        </w:rPr>
        <w:t xml:space="preserve">l </w:t>
      </w:r>
      <w:r w:rsidRPr="00F039C2">
        <w:rPr>
          <w:sz w:val="20"/>
        </w:rPr>
        <w:t xml:space="preserve">último resultado </w:t>
      </w:r>
      <w:r w:rsidR="001F769A">
        <w:rPr>
          <w:sz w:val="20"/>
        </w:rPr>
        <w:t xml:space="preserve">III.4 </w:t>
      </w:r>
      <w:r w:rsidRPr="00F039C2">
        <w:rPr>
          <w:sz w:val="20"/>
        </w:rPr>
        <w:t xml:space="preserve">para abarcar los mecanismos y programas de cooperación tanto en los países en desarrollo como en los PMA, en comparación con el bienio </w:t>
      </w:r>
      <w:r>
        <w:rPr>
          <w:sz w:val="20"/>
        </w:rPr>
        <w:t xml:space="preserve">de </w:t>
      </w:r>
      <w:r w:rsidRPr="00F039C2">
        <w:rPr>
          <w:sz w:val="20"/>
        </w:rPr>
        <w:t>2012/13, en el que el resultado se centraba por completo en dichos mecanismos en los PMA solamente</w:t>
      </w:r>
      <w:r w:rsidR="001F769A">
        <w:rPr>
          <w:sz w:val="20"/>
        </w:rPr>
        <w:t xml:space="preserve">.  </w:t>
      </w:r>
      <w:r w:rsidRPr="00F039C2">
        <w:rPr>
          <w:sz w:val="20"/>
        </w:rPr>
        <w:t>Una gran parte de la labor en el marco de</w:t>
      </w:r>
      <w:r w:rsidR="001F769A">
        <w:rPr>
          <w:sz w:val="20"/>
        </w:rPr>
        <w:t>l</w:t>
      </w:r>
      <w:r w:rsidRPr="00F039C2">
        <w:rPr>
          <w:sz w:val="20"/>
        </w:rPr>
        <w:t xml:space="preserve"> resultado</w:t>
      </w:r>
      <w:r w:rsidR="001F769A">
        <w:rPr>
          <w:sz w:val="20"/>
        </w:rPr>
        <w:t xml:space="preserve"> III.4 </w:t>
      </w:r>
      <w:r w:rsidRPr="00F039C2">
        <w:rPr>
          <w:sz w:val="20"/>
        </w:rPr>
        <w:t xml:space="preserve">incluye las actividades de fortalecimiento de capacidades. </w:t>
      </w:r>
    </w:p>
    <w:p w:rsidR="00D73C7C" w:rsidRPr="00F039C2" w:rsidRDefault="00D73C7C" w:rsidP="00D73C7C">
      <w:pPr>
        <w:widowControl w:val="0"/>
        <w:jc w:val="both"/>
        <w:rPr>
          <w:sz w:val="20"/>
        </w:rPr>
      </w:pPr>
    </w:p>
    <w:p w:rsidR="00D73C7C" w:rsidRPr="00F039C2" w:rsidRDefault="00D73C7C" w:rsidP="00BA276E">
      <w:pPr>
        <w:widowControl w:val="0"/>
        <w:numPr>
          <w:ilvl w:val="0"/>
          <w:numId w:val="31"/>
        </w:numPr>
        <w:ind w:left="0"/>
        <w:jc w:val="both"/>
        <w:rPr>
          <w:sz w:val="20"/>
        </w:rPr>
      </w:pPr>
      <w:r w:rsidRPr="00F039C2">
        <w:rPr>
          <w:sz w:val="20"/>
        </w:rPr>
        <w:t xml:space="preserve">La </w:t>
      </w:r>
      <w:r>
        <w:rPr>
          <w:sz w:val="20"/>
        </w:rPr>
        <w:t xml:space="preserve">disminución </w:t>
      </w:r>
      <w:r w:rsidRPr="00F039C2">
        <w:rPr>
          <w:sz w:val="20"/>
        </w:rPr>
        <w:t>en los recursos para el resultado III.3 (</w:t>
      </w:r>
      <w:r w:rsidRPr="00F039C2">
        <w:rPr>
          <w:bCs/>
          <w:sz w:val="20"/>
        </w:rPr>
        <w:t xml:space="preserve">Incorporación de </w:t>
      </w:r>
      <w:r>
        <w:rPr>
          <w:bCs/>
          <w:sz w:val="20"/>
        </w:rPr>
        <w:t>la A.D.</w:t>
      </w:r>
      <w:r w:rsidRPr="00F039C2">
        <w:rPr>
          <w:bCs/>
          <w:sz w:val="20"/>
        </w:rPr>
        <w:t>)</w:t>
      </w:r>
      <w:r w:rsidR="007B5ECA">
        <w:rPr>
          <w:bCs/>
          <w:sz w:val="20"/>
        </w:rPr>
        <w:t>, en comparación con el presupuesto aprobado de 2012/13,</w:t>
      </w:r>
      <w:r w:rsidRPr="00F039C2">
        <w:rPr>
          <w:bCs/>
          <w:sz w:val="20"/>
        </w:rPr>
        <w:t xml:space="preserve"> se debe principalmente al cambio en la fuente de financiación para el proyecto de la A</w:t>
      </w:r>
      <w:r>
        <w:rPr>
          <w:bCs/>
          <w:sz w:val="20"/>
        </w:rPr>
        <w:t xml:space="preserve">.D. </w:t>
      </w:r>
      <w:r w:rsidRPr="00F039C2">
        <w:rPr>
          <w:bCs/>
          <w:sz w:val="20"/>
        </w:rPr>
        <w:t>sobre la cooperación Sur-Sur en materia de P.I. y desarrollo entre los países en desarrollo y los PMA (que se financia ahora con cargo a las reservas).</w:t>
      </w:r>
    </w:p>
    <w:p w:rsidR="00D73C7C" w:rsidRPr="00F039C2" w:rsidRDefault="00D73C7C" w:rsidP="00D73C7C">
      <w:pPr>
        <w:widowControl w:val="0"/>
        <w:jc w:val="both"/>
        <w:rPr>
          <w:sz w:val="20"/>
        </w:rPr>
      </w:pPr>
    </w:p>
    <w:p w:rsidR="00D73C7C" w:rsidRPr="00D73C7C" w:rsidRDefault="00D73C7C" w:rsidP="00B16400">
      <w:pPr>
        <w:widowControl w:val="0"/>
        <w:autoSpaceDE w:val="0"/>
        <w:autoSpaceDN w:val="0"/>
        <w:adjustRightInd w:val="0"/>
        <w:jc w:val="both"/>
        <w:rPr>
          <w:szCs w:val="22"/>
        </w:rPr>
      </w:pPr>
    </w:p>
    <w:p w:rsidR="00B16400" w:rsidRPr="00C75C7E" w:rsidRDefault="00A83AE4" w:rsidP="00D73C7C">
      <w:pPr>
        <w:keepNext/>
        <w:widowControl w:val="0"/>
        <w:autoSpaceDE w:val="0"/>
        <w:autoSpaceDN w:val="0"/>
        <w:adjustRightInd w:val="0"/>
        <w:jc w:val="center"/>
        <w:rPr>
          <w:b/>
          <w:bCs/>
          <w:iCs/>
          <w:sz w:val="20"/>
          <w:lang w:val="es-ES_tradnl"/>
        </w:rPr>
      </w:pPr>
      <w:r>
        <w:rPr>
          <w:b/>
          <w:bCs/>
          <w:iCs/>
          <w:sz w:val="20"/>
          <w:lang w:val="es-ES_tradnl"/>
        </w:rPr>
        <w:lastRenderedPageBreak/>
        <w:t>Programa 9</w:t>
      </w:r>
      <w:proofErr w:type="gramStart"/>
      <w:r>
        <w:rPr>
          <w:b/>
          <w:bCs/>
          <w:iCs/>
          <w:sz w:val="20"/>
          <w:lang w:val="es-ES_tradnl"/>
        </w:rPr>
        <w:t xml:space="preserve">:  </w:t>
      </w:r>
      <w:r w:rsidR="00B16400" w:rsidRPr="00C75C7E">
        <w:rPr>
          <w:b/>
          <w:bCs/>
          <w:iCs/>
          <w:sz w:val="20"/>
          <w:lang w:val="es-ES_tradnl"/>
        </w:rPr>
        <w:t>Recursos</w:t>
      </w:r>
      <w:proofErr w:type="gramEnd"/>
      <w:r w:rsidR="00B16400" w:rsidRPr="00C75C7E">
        <w:rPr>
          <w:b/>
          <w:bCs/>
          <w:iCs/>
          <w:sz w:val="20"/>
          <w:lang w:val="es-ES_tradnl"/>
        </w:rPr>
        <w:t xml:space="preserve"> por resultado</w:t>
      </w:r>
    </w:p>
    <w:p w:rsidR="00B16400" w:rsidRPr="00C75C7E" w:rsidRDefault="00B16400" w:rsidP="00D73C7C">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16400" w:rsidRPr="00C75C7E" w:rsidRDefault="00B16400" w:rsidP="00D73C7C">
      <w:pPr>
        <w:keepNext/>
        <w:widowControl w:val="0"/>
        <w:autoSpaceDE w:val="0"/>
        <w:autoSpaceDN w:val="0"/>
        <w:adjustRightInd w:val="0"/>
        <w:jc w:val="center"/>
        <w:rPr>
          <w:bCs/>
          <w:i/>
          <w:sz w:val="18"/>
          <w:szCs w:val="18"/>
          <w:lang w:val="es-ES_tradnl"/>
        </w:rPr>
      </w:pPr>
    </w:p>
    <w:p w:rsidR="00B16400" w:rsidRPr="00C75C7E" w:rsidRDefault="00AB33E5" w:rsidP="00D73C7C">
      <w:pPr>
        <w:keepNext/>
        <w:widowControl w:val="0"/>
        <w:autoSpaceDE w:val="0"/>
        <w:autoSpaceDN w:val="0"/>
        <w:adjustRightInd w:val="0"/>
        <w:jc w:val="center"/>
        <w:rPr>
          <w:lang w:val="es-ES_tradnl"/>
        </w:rPr>
      </w:pPr>
      <w:r w:rsidRPr="00AB33E5">
        <w:rPr>
          <w:noProof/>
          <w:lang w:val="en-US" w:eastAsia="en-US"/>
        </w:rPr>
        <w:drawing>
          <wp:inline distT="0" distB="0" distL="0" distR="0" wp14:anchorId="1B829FE5" wp14:editId="7D3CCE7B">
            <wp:extent cx="5837555" cy="4348480"/>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837555" cy="4348480"/>
                    </a:xfrm>
                    <a:prstGeom prst="rect">
                      <a:avLst/>
                    </a:prstGeom>
                    <a:noFill/>
                    <a:ln>
                      <a:noFill/>
                    </a:ln>
                  </pic:spPr>
                </pic:pic>
              </a:graphicData>
            </a:graphic>
          </wp:inline>
        </w:drawing>
      </w:r>
    </w:p>
    <w:p w:rsidR="00B16400" w:rsidRPr="00C75C7E" w:rsidRDefault="00B16400" w:rsidP="00B16400">
      <w:pPr>
        <w:widowControl w:val="0"/>
        <w:autoSpaceDE w:val="0"/>
        <w:autoSpaceDN w:val="0"/>
        <w:adjustRightInd w:val="0"/>
        <w:jc w:val="center"/>
        <w:rPr>
          <w:sz w:val="20"/>
          <w:lang w:val="es-ES_tradnl"/>
        </w:rPr>
      </w:pPr>
    </w:p>
    <w:p w:rsidR="00B16400" w:rsidRPr="00C75C7E" w:rsidRDefault="00B16400" w:rsidP="00B16400">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8A65E0">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B16400" w:rsidRPr="00C75C7E" w:rsidRDefault="00B16400" w:rsidP="00B16400">
      <w:pPr>
        <w:widowControl w:val="0"/>
        <w:autoSpaceDE w:val="0"/>
        <w:autoSpaceDN w:val="0"/>
        <w:adjustRightInd w:val="0"/>
        <w:jc w:val="center"/>
        <w:rPr>
          <w:sz w:val="20"/>
          <w:lang w:val="es-ES_tradnl"/>
        </w:rPr>
      </w:pPr>
    </w:p>
    <w:p w:rsidR="00B16400" w:rsidRPr="00C75C7E" w:rsidRDefault="00B16400" w:rsidP="00B16400">
      <w:pPr>
        <w:widowControl w:val="0"/>
        <w:jc w:val="center"/>
        <w:rPr>
          <w:bCs/>
          <w:sz w:val="20"/>
          <w:lang w:val="es-ES_tradnl"/>
        </w:rPr>
      </w:pPr>
    </w:p>
    <w:p w:rsidR="00B16400" w:rsidRPr="00C75C7E" w:rsidRDefault="00A83AE4" w:rsidP="00D73C7C">
      <w:pPr>
        <w:keepNext/>
        <w:widowControl w:val="0"/>
        <w:autoSpaceDE w:val="0"/>
        <w:autoSpaceDN w:val="0"/>
        <w:adjustRightInd w:val="0"/>
        <w:jc w:val="center"/>
        <w:rPr>
          <w:b/>
          <w:bCs/>
          <w:iCs/>
          <w:sz w:val="20"/>
          <w:lang w:val="es-ES_tradnl"/>
        </w:rPr>
      </w:pPr>
      <w:r>
        <w:rPr>
          <w:b/>
          <w:bCs/>
          <w:iCs/>
          <w:sz w:val="20"/>
          <w:lang w:val="es-ES_tradnl"/>
        </w:rPr>
        <w:lastRenderedPageBreak/>
        <w:t>Programa 9</w:t>
      </w:r>
      <w:proofErr w:type="gramStart"/>
      <w:r>
        <w:rPr>
          <w:b/>
          <w:bCs/>
          <w:iCs/>
          <w:sz w:val="20"/>
          <w:lang w:val="es-ES_tradnl"/>
        </w:rPr>
        <w:t xml:space="preserve">:  </w:t>
      </w:r>
      <w:r w:rsidR="00B16400" w:rsidRPr="00C75C7E">
        <w:rPr>
          <w:b/>
          <w:bCs/>
          <w:iCs/>
          <w:sz w:val="20"/>
          <w:lang w:val="es-ES_tradnl"/>
        </w:rPr>
        <w:t>Recursos</w:t>
      </w:r>
      <w:proofErr w:type="gramEnd"/>
      <w:r w:rsidR="00B16400" w:rsidRPr="00C75C7E">
        <w:rPr>
          <w:b/>
          <w:bCs/>
          <w:iCs/>
          <w:sz w:val="20"/>
          <w:lang w:val="es-ES_tradnl"/>
        </w:rPr>
        <w:t xml:space="preserve"> por objeto de gasto</w:t>
      </w:r>
    </w:p>
    <w:p w:rsidR="00B16400" w:rsidRPr="00C75C7E" w:rsidRDefault="00B16400" w:rsidP="00D73C7C">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16400" w:rsidRDefault="00B16400" w:rsidP="00D73C7C">
      <w:pPr>
        <w:keepNext/>
        <w:widowControl w:val="0"/>
        <w:jc w:val="center"/>
        <w:rPr>
          <w:i/>
          <w:sz w:val="18"/>
          <w:szCs w:val="18"/>
          <w:lang w:val="es-ES_tradnl"/>
        </w:rPr>
      </w:pPr>
    </w:p>
    <w:p w:rsidR="00723CAF" w:rsidRPr="00C75C7E" w:rsidRDefault="00C45AF7" w:rsidP="00D73C7C">
      <w:pPr>
        <w:keepNext/>
        <w:widowControl w:val="0"/>
        <w:jc w:val="center"/>
        <w:rPr>
          <w:i/>
          <w:sz w:val="18"/>
          <w:szCs w:val="18"/>
          <w:lang w:val="es-ES_tradnl"/>
        </w:rPr>
      </w:pPr>
      <w:r w:rsidRPr="00C45AF7">
        <w:rPr>
          <w:noProof/>
          <w:lang w:val="en-US" w:eastAsia="en-US"/>
        </w:rPr>
        <w:drawing>
          <wp:inline distT="0" distB="0" distL="0" distR="0" wp14:anchorId="20CA5107" wp14:editId="0C933544">
            <wp:extent cx="5940425" cy="5965019"/>
            <wp:effectExtent l="0" t="0" r="317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940425" cy="5965019"/>
                    </a:xfrm>
                    <a:prstGeom prst="rect">
                      <a:avLst/>
                    </a:prstGeom>
                    <a:noFill/>
                    <a:ln>
                      <a:noFill/>
                    </a:ln>
                  </pic:spPr>
                </pic:pic>
              </a:graphicData>
            </a:graphic>
          </wp:inline>
        </w:drawing>
      </w:r>
    </w:p>
    <w:p w:rsidR="00B16400" w:rsidRPr="00C75C7E" w:rsidRDefault="00B16400" w:rsidP="00B16400">
      <w:pPr>
        <w:widowControl w:val="0"/>
        <w:autoSpaceDE w:val="0"/>
        <w:autoSpaceDN w:val="0"/>
        <w:adjustRightInd w:val="0"/>
        <w:rPr>
          <w:sz w:val="20"/>
          <w:lang w:val="es-ES_tradnl"/>
        </w:rPr>
      </w:pPr>
    </w:p>
    <w:p w:rsidR="00B16400" w:rsidRPr="00C75C7E" w:rsidRDefault="00B16400" w:rsidP="00B16400">
      <w:pPr>
        <w:widowControl w:val="0"/>
        <w:rPr>
          <w:sz w:val="16"/>
          <w:szCs w:val="16"/>
          <w:lang w:val="es-ES_tradnl"/>
        </w:rPr>
      </w:pPr>
      <w:r w:rsidRPr="00C75C7E">
        <w:rPr>
          <w:sz w:val="16"/>
          <w:szCs w:val="16"/>
          <w:lang w:val="es-ES_tradnl"/>
        </w:rPr>
        <w:t>Notas:</w:t>
      </w:r>
    </w:p>
    <w:p w:rsidR="00B16400" w:rsidRPr="00C75C7E" w:rsidRDefault="00B16400" w:rsidP="00B16400">
      <w:pPr>
        <w:widowControl w:val="0"/>
        <w:rPr>
          <w:sz w:val="16"/>
          <w:szCs w:val="16"/>
          <w:u w:val="single"/>
          <w:lang w:val="es-ES_tradnl"/>
        </w:rPr>
      </w:pPr>
    </w:p>
    <w:p w:rsidR="00B16400" w:rsidRDefault="008A65E0" w:rsidP="00B16400">
      <w:pPr>
        <w:widowControl w:val="0"/>
        <w:rPr>
          <w:sz w:val="16"/>
          <w:szCs w:val="16"/>
          <w:lang w:val="es-ES_tradnl"/>
        </w:rPr>
      </w:pPr>
      <w:r>
        <w:rPr>
          <w:sz w:val="16"/>
          <w:szCs w:val="16"/>
          <w:lang w:val="es-ES_tradnl"/>
        </w:rPr>
        <w:t xml:space="preserve">1)  </w:t>
      </w:r>
      <w:r w:rsidR="00B16400" w:rsidRPr="00C75C7E">
        <w:rPr>
          <w:sz w:val="16"/>
          <w:szCs w:val="16"/>
          <w:lang w:val="es-ES_tradnl"/>
        </w:rPr>
        <w:t xml:space="preserve">El presupuesto aprobado de 2012/13 y el presupuesto de dicho bienio después de las transferencias se </w:t>
      </w:r>
      <w:proofErr w:type="spellStart"/>
      <w:r w:rsidR="00B16400" w:rsidRPr="00C75C7E">
        <w:rPr>
          <w:sz w:val="16"/>
          <w:szCs w:val="16"/>
          <w:lang w:val="es-ES_tradnl"/>
        </w:rPr>
        <w:t>reexpresan</w:t>
      </w:r>
      <w:proofErr w:type="spellEnd"/>
      <w:r w:rsidR="00B16400" w:rsidRPr="00C75C7E">
        <w:rPr>
          <w:sz w:val="16"/>
          <w:szCs w:val="16"/>
          <w:lang w:val="es-ES_tradnl"/>
        </w:rPr>
        <w:t xml:space="preserve"> sobre la base de la estructura de categorías de costos propuesta para 2014/15.</w:t>
      </w:r>
    </w:p>
    <w:p w:rsidR="00B16400" w:rsidRPr="00C75C7E" w:rsidRDefault="00B16400" w:rsidP="00B16400">
      <w:pPr>
        <w:widowControl w:val="0"/>
        <w:rPr>
          <w:sz w:val="16"/>
          <w:szCs w:val="16"/>
          <w:lang w:val="es-ES_tradnl"/>
        </w:rPr>
      </w:pPr>
    </w:p>
    <w:p w:rsidR="00B16400" w:rsidRDefault="00B16400" w:rsidP="00B16400">
      <w:pPr>
        <w:widowControl w:val="0"/>
        <w:rPr>
          <w:rFonts w:cs="ArialMT"/>
          <w:sz w:val="16"/>
          <w:szCs w:val="16"/>
          <w:lang w:val="es-ES_tradnl"/>
        </w:rPr>
      </w:pPr>
      <w:r>
        <w:rPr>
          <w:sz w:val="16"/>
          <w:szCs w:val="16"/>
          <w:lang w:val="es-ES_tradnl"/>
        </w:rPr>
        <w:t>2)</w:t>
      </w:r>
      <w:r w:rsidR="008A65E0">
        <w:rPr>
          <w:sz w:val="16"/>
          <w:szCs w:val="16"/>
          <w:lang w:val="es-ES_tradnl"/>
        </w:rPr>
        <w:t xml:space="preserve">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w:t>
      </w:r>
      <w:r w:rsidRPr="007045EB">
        <w:rPr>
          <w:sz w:val="16"/>
          <w:szCs w:val="16"/>
          <w:lang w:val="es-ES_tradnl"/>
        </w:rPr>
        <w:t>personal</w:t>
      </w:r>
      <w:r w:rsidRPr="00C75C7E">
        <w:rPr>
          <w:rFonts w:cs="ArialMT"/>
          <w:sz w:val="16"/>
          <w:szCs w:val="16"/>
          <w:lang w:val="es-ES_tradnl"/>
        </w:rPr>
        <w:t xml:space="preserve"> del presupuesto de 2012/13 después de las transferencias representan los gastos reales efectuados hasta el 31 de marzo de 2013 y los importes presupuestados para los nueve meses restantes de 2013, sobre la base de costos estándar. </w:t>
      </w:r>
    </w:p>
    <w:p w:rsidR="00B16400" w:rsidRPr="00C75C7E" w:rsidRDefault="00B16400" w:rsidP="00B16400">
      <w:pPr>
        <w:widowControl w:val="0"/>
        <w:rPr>
          <w:sz w:val="16"/>
          <w:szCs w:val="16"/>
          <w:lang w:val="es-ES_tradnl"/>
        </w:rPr>
      </w:pPr>
    </w:p>
    <w:p w:rsidR="00B16400" w:rsidRDefault="00B16400" w:rsidP="008541BE">
      <w:pPr>
        <w:widowControl w:val="0"/>
        <w:spacing w:after="120"/>
        <w:rPr>
          <w:sz w:val="20"/>
          <w:lang w:val="es-ES_tradnl"/>
        </w:rPr>
      </w:pPr>
      <w:r>
        <w:rPr>
          <w:sz w:val="16"/>
          <w:szCs w:val="16"/>
          <w:lang w:val="es-ES_tradnl"/>
        </w:rPr>
        <w:t>3)</w:t>
      </w:r>
      <w:r w:rsidR="008A65E0">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F14A90" w:rsidRPr="00C75C7E" w:rsidRDefault="00F14A90" w:rsidP="002E7DC3">
      <w:pPr>
        <w:keepNext/>
        <w:widowControl w:val="0"/>
        <w:jc w:val="center"/>
        <w:rPr>
          <w:sz w:val="20"/>
          <w:lang w:val="es-ES_tradnl"/>
        </w:rPr>
      </w:pPr>
    </w:p>
    <w:p w:rsidR="00B16400" w:rsidRPr="00C75C7E" w:rsidRDefault="00B16400" w:rsidP="002E7DC3">
      <w:pPr>
        <w:keepNext/>
        <w:widowControl w:val="0"/>
        <w:jc w:val="center"/>
        <w:rPr>
          <w:sz w:val="16"/>
          <w:szCs w:val="16"/>
          <w:lang w:val="es-ES_tradnl"/>
        </w:rPr>
      </w:pPr>
      <w:r w:rsidRPr="00C75C7E">
        <w:rPr>
          <w:sz w:val="18"/>
          <w:szCs w:val="18"/>
          <w:lang w:val="es-ES_tradnl"/>
        </w:rPr>
        <w:t>Fondos fiduciarios disponibles potencialmente para su utilización en 2014/15*</w:t>
      </w:r>
    </w:p>
    <w:p w:rsidR="00B16400" w:rsidRPr="00C75C7E" w:rsidRDefault="00B16400" w:rsidP="002E7DC3">
      <w:pPr>
        <w:keepNext/>
        <w:widowControl w:val="0"/>
        <w:jc w:val="center"/>
        <w:rPr>
          <w:sz w:val="18"/>
          <w:szCs w:val="18"/>
          <w:lang w:val="es-ES_tradnl"/>
        </w:rPr>
      </w:pPr>
      <w:r w:rsidRPr="00C75C7E">
        <w:rPr>
          <w:iCs/>
          <w:sz w:val="18"/>
          <w:szCs w:val="18"/>
          <w:lang w:val="es-ES_tradnl"/>
        </w:rPr>
        <w:t>(</w:t>
      </w:r>
      <w:proofErr w:type="gramStart"/>
      <w:r w:rsidRPr="00C75C7E">
        <w:rPr>
          <w:iCs/>
          <w:sz w:val="18"/>
          <w:szCs w:val="18"/>
          <w:lang w:val="es-ES_tradnl"/>
        </w:rPr>
        <w:t>en</w:t>
      </w:r>
      <w:proofErr w:type="gramEnd"/>
      <w:r w:rsidRPr="00C75C7E">
        <w:rPr>
          <w:iCs/>
          <w:sz w:val="18"/>
          <w:szCs w:val="18"/>
          <w:lang w:val="es-ES_tradnl"/>
        </w:rPr>
        <w:t xml:space="preserve"> miles de francos suizos)</w:t>
      </w:r>
    </w:p>
    <w:p w:rsidR="00B16400" w:rsidRPr="00C75C7E" w:rsidRDefault="00B16400" w:rsidP="002E7DC3">
      <w:pPr>
        <w:keepNext/>
        <w:widowControl w:val="0"/>
        <w:jc w:val="center"/>
        <w:rPr>
          <w:sz w:val="20"/>
          <w:lang w:val="es-ES_tradnl"/>
        </w:rPr>
      </w:pPr>
    </w:p>
    <w:p w:rsidR="00B16400" w:rsidRPr="00C75C7E" w:rsidRDefault="00C40A11" w:rsidP="002E7DC3">
      <w:pPr>
        <w:keepNext/>
        <w:widowControl w:val="0"/>
        <w:ind w:left="1134"/>
        <w:rPr>
          <w:sz w:val="16"/>
          <w:szCs w:val="16"/>
          <w:lang w:val="es-ES_tradnl"/>
        </w:rPr>
      </w:pPr>
      <w:r>
        <w:rPr>
          <w:noProof/>
          <w:lang w:val="en-US" w:eastAsia="en-US"/>
        </w:rPr>
        <w:drawing>
          <wp:inline distT="0" distB="0" distL="0" distR="0" wp14:anchorId="066F1C44" wp14:editId="6F9C16C5">
            <wp:extent cx="4217035" cy="1433195"/>
            <wp:effectExtent l="0" t="0" r="0" b="0"/>
            <wp:docPr id="4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217035" cy="1433195"/>
                    </a:xfrm>
                    <a:prstGeom prst="rect">
                      <a:avLst/>
                    </a:prstGeom>
                    <a:noFill/>
                    <a:ln>
                      <a:noFill/>
                    </a:ln>
                  </pic:spPr>
                </pic:pic>
              </a:graphicData>
            </a:graphic>
          </wp:inline>
        </w:drawing>
      </w:r>
    </w:p>
    <w:p w:rsidR="00B16400" w:rsidRPr="00C75C7E" w:rsidRDefault="00B16400" w:rsidP="00B16400">
      <w:pPr>
        <w:widowControl w:val="0"/>
        <w:ind w:left="1134"/>
        <w:rPr>
          <w:sz w:val="16"/>
          <w:szCs w:val="16"/>
          <w:lang w:val="es-ES_tradnl"/>
        </w:rPr>
      </w:pPr>
    </w:p>
    <w:p w:rsidR="00B16400" w:rsidRPr="00C75C7E" w:rsidRDefault="00B16400" w:rsidP="00B16400">
      <w:pPr>
        <w:widowControl w:val="0"/>
        <w:ind w:left="1134"/>
        <w:jc w:val="both"/>
        <w:rPr>
          <w:sz w:val="16"/>
          <w:szCs w:val="16"/>
          <w:lang w:val="es-ES_tradnl"/>
        </w:rPr>
      </w:pPr>
      <w:r w:rsidRPr="00C75C7E">
        <w:rPr>
          <w:sz w:val="16"/>
          <w:szCs w:val="16"/>
          <w:lang w:val="es-ES_tradnl"/>
        </w:rPr>
        <w:t>*  A título informativo únicamente.  Cabe observar que en algunos acuerdos de fondos fiduciarios se contemplan recursos para actividades que van más allá de la región/programa.  Para más información cabe remitirse al Anexo VIII.</w:t>
      </w:r>
    </w:p>
    <w:p w:rsidR="00B16400" w:rsidRPr="00C75C7E" w:rsidRDefault="00B16400" w:rsidP="00B16400">
      <w:pPr>
        <w:widowControl w:val="0"/>
        <w:ind w:left="1134"/>
        <w:jc w:val="both"/>
        <w:rPr>
          <w:sz w:val="16"/>
          <w:szCs w:val="16"/>
          <w:lang w:val="es-ES_tradnl"/>
        </w:rPr>
      </w:pPr>
    </w:p>
    <w:p w:rsidR="00B16400" w:rsidRPr="00C75C7E" w:rsidRDefault="00B16400" w:rsidP="00B16400">
      <w:pPr>
        <w:widowControl w:val="0"/>
        <w:ind w:left="1134"/>
        <w:jc w:val="both"/>
        <w:rPr>
          <w:sz w:val="16"/>
          <w:szCs w:val="16"/>
          <w:lang w:val="es-ES_tradnl"/>
        </w:rPr>
      </w:pPr>
      <w:r w:rsidRPr="00C75C7E">
        <w:rPr>
          <w:sz w:val="16"/>
          <w:szCs w:val="16"/>
          <w:lang w:val="es-ES_tradnl"/>
        </w:rPr>
        <w:t>**  En las cifras no se han incluido los intereses ni los ajustes cambiarios.  Cabe observar asimismo que estos fondos se destinan generalmente a actividades que cubren un período que va más allá de un solo bienio, a medida que se reciben los ingresos y se incurre en gastos.</w:t>
      </w:r>
    </w:p>
    <w:p w:rsidR="00B16400" w:rsidRPr="00C75C7E" w:rsidRDefault="00B16400" w:rsidP="00B16400">
      <w:pPr>
        <w:widowControl w:val="0"/>
        <w:ind w:left="1134"/>
        <w:jc w:val="both"/>
        <w:rPr>
          <w:sz w:val="16"/>
          <w:szCs w:val="16"/>
          <w:lang w:val="es-ES_tradnl"/>
        </w:rPr>
      </w:pPr>
    </w:p>
    <w:p w:rsidR="00B16400" w:rsidRPr="00C75C7E" w:rsidRDefault="00B16400" w:rsidP="00B16400">
      <w:pPr>
        <w:widowControl w:val="0"/>
        <w:ind w:left="1134"/>
        <w:jc w:val="both"/>
        <w:rPr>
          <w:sz w:val="16"/>
          <w:szCs w:val="16"/>
          <w:lang w:val="es-ES_tradnl"/>
        </w:rPr>
      </w:pPr>
      <w:r w:rsidRPr="00C75C7E">
        <w:rPr>
          <w:sz w:val="16"/>
          <w:szCs w:val="16"/>
          <w:lang w:val="es-ES_tradnl"/>
        </w:rPr>
        <w:t>***  Las contribuciones anuales varían y se han observado fluctuaciones de un año a otro.</w:t>
      </w:r>
    </w:p>
    <w:p w:rsidR="00B16400" w:rsidRPr="00C75C7E" w:rsidRDefault="00B16400" w:rsidP="00B16400">
      <w:pPr>
        <w:widowControl w:val="0"/>
        <w:ind w:left="1134"/>
        <w:jc w:val="both"/>
        <w:rPr>
          <w:sz w:val="16"/>
          <w:szCs w:val="16"/>
          <w:lang w:val="es-ES_tradnl"/>
        </w:rPr>
      </w:pPr>
    </w:p>
    <w:p w:rsidR="00B16400" w:rsidRPr="00C75C7E" w:rsidRDefault="00B16400" w:rsidP="00B16400">
      <w:pPr>
        <w:widowControl w:val="0"/>
        <w:ind w:left="1134"/>
        <w:jc w:val="both"/>
        <w:rPr>
          <w:sz w:val="16"/>
          <w:szCs w:val="16"/>
          <w:lang w:val="es-ES_tradnl"/>
        </w:rPr>
      </w:pPr>
      <w:r w:rsidRPr="00C75C7E">
        <w:rPr>
          <w:sz w:val="16"/>
          <w:szCs w:val="16"/>
          <w:lang w:val="es-ES_tradnl"/>
        </w:rPr>
        <w:t>****  Las cifras expuestas en esta columna son puramente indicativas y se basan en patrones de financiación anteriores.  Además, no representan los compromisos de los Estados miembros salvo cuando quedan incluidos en el acuerdo de fondos fiduciarios.</w:t>
      </w:r>
    </w:p>
    <w:p w:rsidR="002E7DC3" w:rsidRPr="00CA3895" w:rsidRDefault="00F14A90" w:rsidP="008541BE">
      <w:pPr>
        <w:pStyle w:val="StyleHeading3ComplexItalic"/>
        <w:keepNext w:val="0"/>
        <w:widowControl w:val="0"/>
        <w:rPr>
          <w:lang w:val="es-ES"/>
        </w:rPr>
      </w:pPr>
      <w:r>
        <w:rPr>
          <w:sz w:val="18"/>
          <w:szCs w:val="18"/>
          <w:lang w:val="es-ES_tradnl"/>
        </w:rPr>
        <w:br w:type="page"/>
      </w:r>
      <w:bookmarkStart w:id="45" w:name="_Toc356567759"/>
      <w:bookmarkStart w:id="46" w:name="_Toc366078721"/>
      <w:r w:rsidR="006A15F5" w:rsidRPr="00CA3895">
        <w:rPr>
          <w:caps w:val="0"/>
          <w:lang w:val="es-ES"/>
        </w:rPr>
        <w:lastRenderedPageBreak/>
        <w:t>PROGRAMA 10</w:t>
      </w:r>
      <w:r w:rsidR="006A15F5" w:rsidRPr="00CA3895">
        <w:rPr>
          <w:caps w:val="0"/>
          <w:lang w:val="es-ES"/>
        </w:rPr>
        <w:tab/>
        <w:t>COOPERACIÓN CON DETERMINADOS PAÍSES DE EUROPA Y ASIA</w:t>
      </w:r>
      <w:bookmarkEnd w:id="45"/>
      <w:bookmarkEnd w:id="46"/>
      <w:r w:rsidR="006A15F5" w:rsidRPr="00CA3895">
        <w:rPr>
          <w:caps w:val="0"/>
          <w:lang w:val="es-ES"/>
        </w:rPr>
        <w:t xml:space="preserve"> </w:t>
      </w:r>
    </w:p>
    <w:p w:rsidR="002E7DC3" w:rsidRPr="00CA3895" w:rsidRDefault="002E7DC3" w:rsidP="006A15F5"/>
    <w:p w:rsidR="002E7DC3" w:rsidRPr="00CA3895" w:rsidRDefault="002E7DC3" w:rsidP="006A15F5">
      <w:pPr>
        <w:rPr>
          <w:b/>
        </w:rPr>
      </w:pPr>
    </w:p>
    <w:p w:rsidR="002E7DC3" w:rsidRPr="00F039C2" w:rsidRDefault="002E7DC3" w:rsidP="002E7DC3">
      <w:pPr>
        <w:pStyle w:val="BodyTextIndent"/>
        <w:widowControl w:val="0"/>
        <w:ind w:left="1985" w:hanging="1985"/>
        <w:jc w:val="both"/>
        <w:rPr>
          <w:rFonts w:ascii="Arial" w:hAnsi="Arial" w:cs="Arial"/>
          <w:sz w:val="22"/>
          <w:szCs w:val="22"/>
          <w:lang w:val="es-ES"/>
        </w:rPr>
      </w:pPr>
      <w:r w:rsidRPr="00F039C2">
        <w:rPr>
          <w:rFonts w:ascii="Arial" w:hAnsi="Arial" w:cs="Arial"/>
          <w:sz w:val="22"/>
          <w:szCs w:val="22"/>
          <w:lang w:val="es-ES"/>
        </w:rPr>
        <w:t xml:space="preserve">CONTEXTO DE PLANIFICACIÓN  </w:t>
      </w:r>
    </w:p>
    <w:p w:rsidR="002E7DC3" w:rsidRPr="00F039C2" w:rsidRDefault="002E7DC3" w:rsidP="002E7DC3">
      <w:pPr>
        <w:widowControl w:val="0"/>
        <w:rPr>
          <w:sz w:val="20"/>
        </w:rPr>
      </w:pPr>
    </w:p>
    <w:p w:rsidR="002E7DC3" w:rsidRPr="00F039C2" w:rsidRDefault="002E7DC3" w:rsidP="00BA276E">
      <w:pPr>
        <w:widowControl w:val="0"/>
        <w:numPr>
          <w:ilvl w:val="0"/>
          <w:numId w:val="32"/>
        </w:numPr>
        <w:ind w:left="0"/>
        <w:jc w:val="both"/>
        <w:rPr>
          <w:sz w:val="20"/>
        </w:rPr>
      </w:pPr>
      <w:r w:rsidRPr="00F039C2">
        <w:rPr>
          <w:sz w:val="20"/>
        </w:rPr>
        <w:t xml:space="preserve">Los principales desafíos del programa serán dos:  en primer lugar, prestar apoyo para mejorar la participación de los Estados de Europa Central y del Báltico, Asia Central, Europa Oriental y el Cáucaso, así como </w:t>
      </w:r>
      <w:r>
        <w:rPr>
          <w:sz w:val="20"/>
        </w:rPr>
        <w:t xml:space="preserve">de </w:t>
      </w:r>
      <w:r w:rsidRPr="00F039C2">
        <w:rPr>
          <w:sz w:val="20"/>
        </w:rPr>
        <w:t>algunos países del Mediterráneo, en el sistema internacional de P.I. y en los beneficios económicos y sociales que se derivan de la innovación y la creatividad; y en segundo lugar, coordinar el fomento y prestación de servicios y programas a los países desarroll</w:t>
      </w:r>
      <w:r>
        <w:rPr>
          <w:sz w:val="20"/>
        </w:rPr>
        <w:t>ados</w:t>
      </w:r>
      <w:r w:rsidRPr="00F039C2">
        <w:rPr>
          <w:sz w:val="20"/>
        </w:rPr>
        <w:t xml:space="preserve"> por parte de la OMPI.</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La asistencia que garantiza el programa tendrá que adaptarse a las necesidades específicas de los países interesados, que tienen diferentes niveles de desarrollo económico y necesidades m</w:t>
      </w:r>
      <w:r>
        <w:rPr>
          <w:sz w:val="20"/>
        </w:rPr>
        <w:t>uy distintas en materia de P.I.</w:t>
      </w:r>
      <w:r w:rsidRPr="00F039C2">
        <w:rPr>
          <w:sz w:val="20"/>
        </w:rPr>
        <w:t xml:space="preserve">  Algunos países necesitan un apoyo continuado a los esfuerzos de los gobiernos por establecer un entorno institucional y jurídico nacional que sea seguro y equilibrado, mientras que en otros países se tratará de conseguir una asistencia especializada para construir un sistema de innovación favorable.  Además, algunos países de la región se preparan para ser miembros de la Unión Europea (UE) y la Organización Europea de Patentes (OEP) y necesitan adaptar sus sistemas de P.I. en consecuencia.</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En el contexto de la economía mundial parece indispensable potenciar la interacción entre las partes interesadas e instituciones de los países desarrollados y la OMPI, con objeto de dar mayor relieve al perfil y la posición de la OMPI en los países interesados.  Un enfoque institucional coordinado ante los países desarrollados aportará beneficios tanto a la OMPI como a sus Estados miembros.</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Como consecuencia de la crisis económica y financiera, muchos países consideraron que el papel de la innovación y la P.I. e</w:t>
      </w:r>
      <w:r>
        <w:rPr>
          <w:sz w:val="20"/>
        </w:rPr>
        <w:t>ra</w:t>
      </w:r>
      <w:r w:rsidRPr="00F039C2">
        <w:rPr>
          <w:sz w:val="20"/>
        </w:rPr>
        <w:t xml:space="preserve"> fundamental para su recuperación.  Esto ha llevado a una mayor sensibilización y un</w:t>
      </w:r>
      <w:r>
        <w:rPr>
          <w:sz w:val="20"/>
        </w:rPr>
        <w:t>a</w:t>
      </w:r>
      <w:r w:rsidRPr="00F039C2">
        <w:rPr>
          <w:sz w:val="20"/>
        </w:rPr>
        <w:t xml:space="preserve"> mejor </w:t>
      </w:r>
      <w:r>
        <w:rPr>
          <w:sz w:val="20"/>
        </w:rPr>
        <w:t xml:space="preserve">comprensión </w:t>
      </w:r>
      <w:r w:rsidRPr="00F039C2">
        <w:rPr>
          <w:sz w:val="20"/>
        </w:rPr>
        <w:t xml:space="preserve">de un planteamiento más sistemático y a largo plazo ante la P.I. y la innovación.  Por ello la demanda para elaborar estrategias y planes nacionales en materia de P.I. seguirá aumentando en el próximo bienio. </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 xml:space="preserve">Las pequeñas y </w:t>
      </w:r>
      <w:r w:rsidR="004E3B39">
        <w:rPr>
          <w:sz w:val="20"/>
        </w:rPr>
        <w:t>medianas empresas (p</w:t>
      </w:r>
      <w:r w:rsidRPr="00F039C2">
        <w:rPr>
          <w:sz w:val="20"/>
        </w:rPr>
        <w:t>ymes) son una pieza esencial en el sistema nacional de innovación.  El desarrollo econó</w:t>
      </w:r>
      <w:r w:rsidR="004E3B39">
        <w:rPr>
          <w:sz w:val="20"/>
        </w:rPr>
        <w:t>mico depende de ellas.  Muchas p</w:t>
      </w:r>
      <w:r w:rsidRPr="00F039C2">
        <w:rPr>
          <w:sz w:val="20"/>
        </w:rPr>
        <w:t>ymes de la región empiezan a ofrecer productos y prestar servicios en industrias que ha</w:t>
      </w:r>
      <w:r>
        <w:rPr>
          <w:sz w:val="20"/>
        </w:rPr>
        <w:t>cen un uso intensivo de la P.I.</w:t>
      </w:r>
      <w:r w:rsidRPr="00F039C2">
        <w:rPr>
          <w:sz w:val="20"/>
        </w:rPr>
        <w:t xml:space="preserve">  En consecuencia, es necesario potenciar que entiendan mejor la P.I., por ejemplo, cómo integrar la P.I. en sus políticas en materia de innovación, cómo hacer un mejor uso del sistema de innovación y c</w:t>
      </w:r>
      <w:r>
        <w:rPr>
          <w:sz w:val="20"/>
        </w:rPr>
        <w:t>ó</w:t>
      </w:r>
      <w:r w:rsidRPr="00F039C2">
        <w:rPr>
          <w:sz w:val="20"/>
        </w:rPr>
        <w:t>mo beneficiarse de los servicios de la OMPI.</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Si bien se han logrado progresos importantes en la región hacia una economía basada en los conocimientos, aún pueden introducirse mejoras que propicien el flujo de innovación y creatividad de</w:t>
      </w:r>
      <w:r>
        <w:rPr>
          <w:sz w:val="20"/>
        </w:rPr>
        <w:t>sde</w:t>
      </w:r>
      <w:r w:rsidRPr="00F039C2">
        <w:rPr>
          <w:sz w:val="20"/>
        </w:rPr>
        <w:t xml:space="preserve"> las universidades a las empresas.  Además de constituir oficinas de transferencia de tecnología (OTT) y centros de información en materia de P.I., uno de los aspectos fundamentales que exigen atención es el desarrollo de políticas en materia de P.I. en universidades e instituciones de investigación.</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 xml:space="preserve">Muchos países de la región se han unido a los sistemas de la OMPI, en concreto el </w:t>
      </w:r>
      <w:r>
        <w:rPr>
          <w:sz w:val="20"/>
        </w:rPr>
        <w:t>s</w:t>
      </w:r>
      <w:r w:rsidRPr="00F039C2">
        <w:rPr>
          <w:sz w:val="20"/>
        </w:rPr>
        <w:t xml:space="preserve">istema del PCT y el </w:t>
      </w:r>
      <w:r>
        <w:rPr>
          <w:sz w:val="20"/>
        </w:rPr>
        <w:t>s</w:t>
      </w:r>
      <w:r w:rsidRPr="00F039C2">
        <w:rPr>
          <w:sz w:val="20"/>
        </w:rPr>
        <w:t xml:space="preserve">istema de Madrid, y algunos tienen previsto unirse al </w:t>
      </w:r>
      <w:r>
        <w:rPr>
          <w:sz w:val="20"/>
        </w:rPr>
        <w:t>s</w:t>
      </w:r>
      <w:r w:rsidRPr="00F039C2">
        <w:rPr>
          <w:sz w:val="20"/>
        </w:rPr>
        <w:t xml:space="preserve">istema de La Haya.  Todavía no se ha hecho efectivo plenamente el potencial de dichos sistemas en la región.  Por ello es necesario </w:t>
      </w:r>
      <w:r>
        <w:rPr>
          <w:sz w:val="20"/>
        </w:rPr>
        <w:t xml:space="preserve">seguir fomentándolos y </w:t>
      </w:r>
      <w:r w:rsidRPr="00F039C2">
        <w:rPr>
          <w:sz w:val="20"/>
        </w:rPr>
        <w:t>organizando formación específica sobre su utilización.</w:t>
      </w:r>
    </w:p>
    <w:p w:rsidR="002E7DC3" w:rsidRPr="009F406F" w:rsidRDefault="002E7DC3" w:rsidP="002E7DC3">
      <w:pPr>
        <w:widowControl w:val="0"/>
        <w:jc w:val="both"/>
        <w:rPr>
          <w:sz w:val="20"/>
        </w:rPr>
      </w:pPr>
    </w:p>
    <w:p w:rsidR="002E7DC3" w:rsidRPr="009F406F" w:rsidRDefault="002E7DC3" w:rsidP="002E7DC3">
      <w:pPr>
        <w:widowControl w:val="0"/>
        <w:rPr>
          <w:sz w:val="20"/>
        </w:rPr>
      </w:pPr>
    </w:p>
    <w:p w:rsidR="002E7DC3" w:rsidRPr="00F039C2" w:rsidRDefault="002E7DC3" w:rsidP="002E7DC3">
      <w:pPr>
        <w:widowControl w:val="0"/>
        <w:tabs>
          <w:tab w:val="left" w:pos="567"/>
          <w:tab w:val="left" w:pos="1985"/>
        </w:tabs>
        <w:jc w:val="both"/>
        <w:rPr>
          <w:bCs/>
          <w:szCs w:val="22"/>
        </w:rPr>
      </w:pPr>
      <w:r w:rsidRPr="001F5DCE">
        <w:rPr>
          <w:bCs/>
          <w:szCs w:val="22"/>
        </w:rPr>
        <w:t>ESTRATEGIAS DE EJECUCIÓN</w:t>
      </w:r>
      <w:r w:rsidRPr="00F039C2">
        <w:rPr>
          <w:bCs/>
          <w:szCs w:val="22"/>
        </w:rPr>
        <w:t xml:space="preserve"> </w:t>
      </w:r>
    </w:p>
    <w:p w:rsidR="002E7DC3" w:rsidRPr="00F039C2" w:rsidRDefault="002E7DC3" w:rsidP="002E7DC3">
      <w:pPr>
        <w:widowControl w:val="0"/>
        <w:tabs>
          <w:tab w:val="left" w:pos="567"/>
          <w:tab w:val="left" w:pos="1985"/>
        </w:tabs>
        <w:jc w:val="both"/>
        <w:rPr>
          <w:bCs/>
          <w:sz w:val="20"/>
        </w:rPr>
      </w:pPr>
    </w:p>
    <w:p w:rsidR="002E7DC3" w:rsidRPr="00F039C2" w:rsidRDefault="002E7DC3" w:rsidP="00BA276E">
      <w:pPr>
        <w:widowControl w:val="0"/>
        <w:numPr>
          <w:ilvl w:val="0"/>
          <w:numId w:val="32"/>
        </w:numPr>
        <w:ind w:left="0"/>
        <w:jc w:val="both"/>
        <w:rPr>
          <w:sz w:val="20"/>
        </w:rPr>
      </w:pPr>
      <w:r w:rsidRPr="00F039C2">
        <w:rPr>
          <w:sz w:val="20"/>
        </w:rPr>
        <w:t>La labor del programa para los países con economías en transición seguirá guiándose por las recomendaciones de la A</w:t>
      </w:r>
      <w:r>
        <w:rPr>
          <w:sz w:val="20"/>
        </w:rPr>
        <w:t>.D. sobre</w:t>
      </w:r>
      <w:r w:rsidRPr="00F039C2">
        <w:rPr>
          <w:sz w:val="20"/>
        </w:rPr>
        <w:t xml:space="preserve"> asistencia técnica y fortalecimiento de capacidades, en particular las recomendaciones 1, 6, 12, 13 y 14.  El programa seguirá ofreciendo asistencia a los países de la región, centrando la atención en marcos de P.I</w:t>
      </w:r>
      <w:r>
        <w:rPr>
          <w:sz w:val="20"/>
        </w:rPr>
        <w:t>.</w:t>
      </w:r>
      <w:r w:rsidRPr="00F039C2">
        <w:rPr>
          <w:sz w:val="20"/>
        </w:rPr>
        <w:t xml:space="preserve"> adaptados y equilibrados en el ámbito legislativo, reg</w:t>
      </w:r>
      <w:r>
        <w:rPr>
          <w:sz w:val="20"/>
        </w:rPr>
        <w:t xml:space="preserve">lamentario </w:t>
      </w:r>
      <w:r w:rsidRPr="00F039C2">
        <w:rPr>
          <w:sz w:val="20"/>
        </w:rPr>
        <w:t xml:space="preserve">y de política;  políticas nacionales de innovación y de P.I. claramente definidas y coherentes, estrategias y planes de desarrollo que estén en sintonía con las metas y los objetivos nacionales de desarrollo;  una mejora en la infraestructura técnica y de conocimientos de las oficinas y demás instituciones de P.I. que les permita prestar mejores servicios (más económicos, más rápidos y de mejor calidad) a sus usuarios;  y una mejora de las capacidades en el ámbito de los recursos humanos para hacer frente al amplio </w:t>
      </w:r>
      <w:r w:rsidRPr="00F039C2">
        <w:rPr>
          <w:sz w:val="20"/>
        </w:rPr>
        <w:lastRenderedPageBreak/>
        <w:t xml:space="preserve">espectro de exigencias que supone la utilización eficaz de la P.I. en aras del desarrollo en los países en desarrollo, </w:t>
      </w:r>
      <w:r>
        <w:rPr>
          <w:sz w:val="20"/>
        </w:rPr>
        <w:t xml:space="preserve">los </w:t>
      </w:r>
      <w:r w:rsidRPr="00F039C2">
        <w:rPr>
          <w:sz w:val="20"/>
        </w:rPr>
        <w:t xml:space="preserve">PMA y </w:t>
      </w:r>
      <w:r>
        <w:rPr>
          <w:sz w:val="20"/>
        </w:rPr>
        <w:t xml:space="preserve">los </w:t>
      </w:r>
      <w:r w:rsidRPr="00F039C2">
        <w:rPr>
          <w:sz w:val="20"/>
        </w:rPr>
        <w:t>países con economías en transición.</w:t>
      </w:r>
    </w:p>
    <w:p w:rsidR="002E7DC3" w:rsidRPr="00F039C2" w:rsidRDefault="002E7DC3" w:rsidP="002E7DC3">
      <w:pPr>
        <w:widowControl w:val="0"/>
        <w:jc w:val="both"/>
        <w:rPr>
          <w:sz w:val="20"/>
        </w:rPr>
      </w:pPr>
    </w:p>
    <w:p w:rsidR="00A83AE4" w:rsidRDefault="00A83AE4" w:rsidP="00BA276E">
      <w:pPr>
        <w:widowControl w:val="0"/>
        <w:numPr>
          <w:ilvl w:val="0"/>
          <w:numId w:val="32"/>
        </w:numPr>
        <w:ind w:left="0"/>
        <w:jc w:val="both"/>
        <w:rPr>
          <w:sz w:val="20"/>
        </w:rPr>
      </w:pPr>
      <w:r>
        <w:rPr>
          <w:rFonts w:eastAsia="Times New Roman" w:cs="Times New Roman"/>
          <w:sz w:val="20"/>
          <w:lang w:eastAsia="en-US"/>
        </w:rPr>
        <w:t>Las actividades de fortalecimiento de capacidades para las pymes serán planificadas y ejecutadas de conformidad con las estrategias nacionales vigentes en materia de P.I., y bajo la modalidad de “formar al formador” para que haya una mayor divulgación.  La concepción de los cursos de formación deberá realizarse en estrecha coordinación con los programas 9, 11 y 30.</w:t>
      </w:r>
    </w:p>
    <w:p w:rsidR="00A83AE4" w:rsidRDefault="00A83AE4" w:rsidP="00A83AE4">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 xml:space="preserve">Por lo que respecta a los países desarrollados, es necesario adoptar un enfoque más coordinado </w:t>
      </w:r>
      <w:r>
        <w:rPr>
          <w:sz w:val="20"/>
        </w:rPr>
        <w:t>con respecto a</w:t>
      </w:r>
      <w:r w:rsidRPr="00F039C2">
        <w:rPr>
          <w:sz w:val="20"/>
        </w:rPr>
        <w:t xml:space="preserve">l fomento y la </w:t>
      </w:r>
      <w:r>
        <w:rPr>
          <w:sz w:val="20"/>
        </w:rPr>
        <w:t xml:space="preserve">ejecución </w:t>
      </w:r>
      <w:r w:rsidRPr="00F039C2">
        <w:rPr>
          <w:sz w:val="20"/>
        </w:rPr>
        <w:t xml:space="preserve">de diferentes servicios y actividades </w:t>
      </w:r>
      <w:r>
        <w:rPr>
          <w:sz w:val="20"/>
        </w:rPr>
        <w:t xml:space="preserve">por parte </w:t>
      </w:r>
      <w:r w:rsidRPr="00F039C2">
        <w:rPr>
          <w:sz w:val="20"/>
        </w:rPr>
        <w:t>de la OMPI, entre ellos los sistemas mundiales de P.I., el programa normativo</w:t>
      </w:r>
      <w:r w:rsidRPr="00873831">
        <w:rPr>
          <w:sz w:val="20"/>
        </w:rPr>
        <w:t>, los estudios importantes</w:t>
      </w:r>
      <w:r w:rsidRPr="00F039C2">
        <w:rPr>
          <w:sz w:val="20"/>
        </w:rPr>
        <w:t xml:space="preserve">, las bases de datos mundiales para la P.I. y las plataformas y herramientas </w:t>
      </w:r>
      <w:r w:rsidRPr="008A05E8">
        <w:rPr>
          <w:sz w:val="20"/>
        </w:rPr>
        <w:t>para la economía de los conocimientos caracterizada por el establecimiento de conexiones.</w:t>
      </w:r>
      <w:r w:rsidRPr="00F039C2">
        <w:rPr>
          <w:sz w:val="20"/>
        </w:rPr>
        <w:t xml:space="preserve">  Además, es importante recabar y procesar la información disponible sobre las tendencias y desafíos para la P.I. en los países interesados, de manera que sea posible mejorar la cooperación con las autoridades públicas y l</w:t>
      </w:r>
      <w:r>
        <w:rPr>
          <w:sz w:val="20"/>
        </w:rPr>
        <w:t>a</w:t>
      </w:r>
      <w:r w:rsidRPr="00F039C2">
        <w:rPr>
          <w:sz w:val="20"/>
        </w:rPr>
        <w:t xml:space="preserve">s </w:t>
      </w:r>
      <w:r>
        <w:rPr>
          <w:sz w:val="20"/>
        </w:rPr>
        <w:t xml:space="preserve">partes </w:t>
      </w:r>
      <w:r w:rsidRPr="00F039C2">
        <w:rPr>
          <w:sz w:val="20"/>
        </w:rPr>
        <w:t>interesad</w:t>
      </w:r>
      <w:r>
        <w:rPr>
          <w:sz w:val="20"/>
        </w:rPr>
        <w:t>a</w:t>
      </w:r>
      <w:r w:rsidRPr="00F039C2">
        <w:rPr>
          <w:sz w:val="20"/>
        </w:rPr>
        <w:t>s con respecto a los diferentes servicios y actividades de la OMPI.</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 xml:space="preserve">El programa, con el apoyo y la coordinación de las aportaciones de todos los programas pertinentes de la OMPI, conseguirá </w:t>
      </w:r>
      <w:r>
        <w:rPr>
          <w:sz w:val="20"/>
        </w:rPr>
        <w:t>los</w:t>
      </w:r>
      <w:r w:rsidRPr="00F039C2">
        <w:rPr>
          <w:sz w:val="20"/>
        </w:rPr>
        <w:t xml:space="preserve"> resultados previstos a través de un amplio espectro de actividades para el fortalecimiento de las capacidades, así como con la realización de los análisis pertinentes y la preparación de estudios de apoyo.  La evaluación de las actividades permitirá que el programa siga mejorando y adaptando sus actividades a las necesidades específicas de la región.</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 xml:space="preserve">Para satisfacer las diversas necesidades y expectativas de esos países en materia de P.I. será necesario efectuar actividades de evaluación de necesidades en cada país, que constituirán la base para la elaboración de estrategias nacionales de innovación  y de P.I. específicas. </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 xml:space="preserve">Además, el programa </w:t>
      </w:r>
      <w:r>
        <w:rPr>
          <w:sz w:val="20"/>
        </w:rPr>
        <w:t xml:space="preserve">aprovechará </w:t>
      </w:r>
      <w:r w:rsidRPr="00F039C2">
        <w:rPr>
          <w:sz w:val="20"/>
        </w:rPr>
        <w:t>también ciertos puntos comunes y características compartidas de los sistemas económicos y de P.I. de los países de la región y posibilitará el intercambio de experiencias, lecciones aprendidas y prácticas más difundidas.</w:t>
      </w:r>
    </w:p>
    <w:p w:rsidR="002E7DC3" w:rsidRPr="00F039C2" w:rsidRDefault="002E7DC3" w:rsidP="002E7DC3">
      <w:pPr>
        <w:widowControl w:val="0"/>
        <w:jc w:val="both"/>
        <w:rPr>
          <w:sz w:val="20"/>
        </w:rPr>
      </w:pPr>
    </w:p>
    <w:p w:rsidR="002E7DC3" w:rsidRPr="00F039C2" w:rsidRDefault="002E7DC3" w:rsidP="00BA276E">
      <w:pPr>
        <w:widowControl w:val="0"/>
        <w:numPr>
          <w:ilvl w:val="0"/>
          <w:numId w:val="32"/>
        </w:numPr>
        <w:ind w:left="0"/>
        <w:jc w:val="both"/>
        <w:rPr>
          <w:sz w:val="20"/>
        </w:rPr>
      </w:pPr>
      <w:r w:rsidRPr="00F039C2">
        <w:rPr>
          <w:sz w:val="20"/>
        </w:rPr>
        <w:t>Dado que el número de instituciones de enseñanza superior con políticas de P.I. sigue siendo relativamente bajo en algunos de los países que se enmarcan en el programa, a petición de tales países mediante el programa se seguirá prestando asistencia a las iniciativas pertinentes en el ámbito nacional, con lo que se fomentara la puesta en práctica de dichas políticas.</w:t>
      </w:r>
    </w:p>
    <w:p w:rsidR="002E7DC3" w:rsidRPr="00F039C2" w:rsidRDefault="002E7DC3" w:rsidP="002E7DC3">
      <w:pPr>
        <w:widowControl w:val="0"/>
        <w:jc w:val="both"/>
        <w:rPr>
          <w:sz w:val="20"/>
        </w:rPr>
      </w:pPr>
    </w:p>
    <w:p w:rsidR="002E7DC3" w:rsidRPr="009F406F" w:rsidRDefault="002E7DC3" w:rsidP="00BA276E">
      <w:pPr>
        <w:widowControl w:val="0"/>
        <w:numPr>
          <w:ilvl w:val="0"/>
          <w:numId w:val="32"/>
        </w:numPr>
        <w:autoSpaceDE w:val="0"/>
        <w:autoSpaceDN w:val="0"/>
        <w:adjustRightInd w:val="0"/>
        <w:ind w:left="0"/>
        <w:jc w:val="both"/>
        <w:rPr>
          <w:sz w:val="20"/>
          <w:lang w:eastAsia="es-ES"/>
        </w:rPr>
      </w:pPr>
      <w:r w:rsidRPr="00F039C2">
        <w:rPr>
          <w:sz w:val="20"/>
        </w:rPr>
        <w:t xml:space="preserve"> Algunos países de Europa y Asia mantienen una estrecha relación con la UE o ya son miembros.</w:t>
      </w:r>
      <w:r>
        <w:rPr>
          <w:sz w:val="20"/>
        </w:rPr>
        <w:t xml:space="preserve"> </w:t>
      </w:r>
      <w:r w:rsidRPr="00F039C2">
        <w:rPr>
          <w:sz w:val="20"/>
        </w:rPr>
        <w:t xml:space="preserve"> De ser pertinente, se tendrán en cuenta en la cooperación con esos países las necesidades derivadas de la adhesión a la UE de algunos de ellos, así como las necesidades específicas de los países adherentes, los países candidatos a la adhesión y los países que se beneficien de la política </w:t>
      </w:r>
      <w:r>
        <w:rPr>
          <w:sz w:val="20"/>
        </w:rPr>
        <w:t>e</w:t>
      </w:r>
      <w:r w:rsidRPr="00F039C2">
        <w:rPr>
          <w:sz w:val="20"/>
        </w:rPr>
        <w:t xml:space="preserve">uropea de Vecindad y la política de la Asociación Oriental.  </w:t>
      </w:r>
      <w:r w:rsidRPr="00F039C2">
        <w:rPr>
          <w:sz w:val="20"/>
          <w:lang w:eastAsia="es-ES"/>
        </w:rPr>
        <w:t xml:space="preserve">Se tratará de establecer sinergias para los programas de P.I. que esos países </w:t>
      </w:r>
      <w:r>
        <w:rPr>
          <w:sz w:val="20"/>
          <w:lang w:eastAsia="es-ES"/>
        </w:rPr>
        <w:t xml:space="preserve">puedan </w:t>
      </w:r>
      <w:r w:rsidRPr="00F039C2">
        <w:rPr>
          <w:sz w:val="20"/>
          <w:lang w:eastAsia="es-ES"/>
        </w:rPr>
        <w:t>emprend</w:t>
      </w:r>
      <w:r>
        <w:rPr>
          <w:sz w:val="20"/>
          <w:lang w:eastAsia="es-ES"/>
        </w:rPr>
        <w:t>er</w:t>
      </w:r>
      <w:r w:rsidRPr="00F039C2">
        <w:rPr>
          <w:sz w:val="20"/>
          <w:lang w:eastAsia="es-ES"/>
        </w:rPr>
        <w:t xml:space="preserve"> en el marco de la UE o de la Organización Europea de Patentes (OEP).  </w:t>
      </w:r>
      <w:r w:rsidRPr="00F039C2">
        <w:rPr>
          <w:sz w:val="20"/>
        </w:rPr>
        <w:t xml:space="preserve">Además, con el fin de crear sinergias con las iniciativas correspondientes, se tendrán debidamente en cuenta las actividades de cooperación que se realicen en los Estados miembros de la Comunidad de Estados Independientes (CEI), en particular en colaboración con el Consejo Interestatal </w:t>
      </w:r>
      <w:r w:rsidR="007B5ECA">
        <w:rPr>
          <w:sz w:val="20"/>
        </w:rPr>
        <w:t>para</w:t>
      </w:r>
      <w:r w:rsidRPr="00F039C2">
        <w:rPr>
          <w:sz w:val="20"/>
        </w:rPr>
        <w:t xml:space="preserve"> la Protección</w:t>
      </w:r>
      <w:r w:rsidR="007B5ECA">
        <w:rPr>
          <w:sz w:val="20"/>
        </w:rPr>
        <w:t xml:space="preserve"> Jurídica y la Observancia</w:t>
      </w:r>
      <w:r w:rsidRPr="00F039C2">
        <w:rPr>
          <w:sz w:val="20"/>
        </w:rPr>
        <w:t xml:space="preserve"> de la Propiedad In</w:t>
      </w:r>
      <w:r w:rsidR="007B5ECA">
        <w:rPr>
          <w:sz w:val="20"/>
        </w:rPr>
        <w:t>telectual</w:t>
      </w:r>
      <w:r w:rsidRPr="00F039C2">
        <w:rPr>
          <w:sz w:val="20"/>
        </w:rPr>
        <w:t xml:space="preserve"> (I</w:t>
      </w:r>
      <w:r>
        <w:rPr>
          <w:sz w:val="20"/>
        </w:rPr>
        <w:t>C</w:t>
      </w:r>
      <w:r w:rsidRPr="00F039C2">
        <w:rPr>
          <w:sz w:val="20"/>
        </w:rPr>
        <w:t>P</w:t>
      </w:r>
      <w:r w:rsidR="007B5ECA">
        <w:rPr>
          <w:sz w:val="20"/>
        </w:rPr>
        <w:t>E</w:t>
      </w:r>
      <w:r w:rsidRPr="00F039C2">
        <w:rPr>
          <w:sz w:val="20"/>
        </w:rPr>
        <w:t>I</w:t>
      </w:r>
      <w:r>
        <w:rPr>
          <w:sz w:val="20"/>
        </w:rPr>
        <w:t>P</w:t>
      </w:r>
      <w:r w:rsidRPr="00F039C2">
        <w:rPr>
          <w:sz w:val="20"/>
        </w:rPr>
        <w:t>) y la Asamblea Interparlamentaria de los Estados miembros de la CEI</w:t>
      </w:r>
      <w:r>
        <w:rPr>
          <w:sz w:val="20"/>
        </w:rPr>
        <w:t xml:space="preserve"> (IPACIS)</w:t>
      </w:r>
      <w:r w:rsidRPr="00F039C2">
        <w:rPr>
          <w:sz w:val="20"/>
        </w:rPr>
        <w:t xml:space="preserve">.  </w:t>
      </w:r>
      <w:r w:rsidRPr="00F039C2">
        <w:rPr>
          <w:sz w:val="20"/>
          <w:lang w:eastAsia="es-ES"/>
        </w:rPr>
        <w:t>Seguirá prestándose particular atención a la cooperación con la Organización Eurasiática de Patentes</w:t>
      </w:r>
      <w:r>
        <w:rPr>
          <w:sz w:val="20"/>
          <w:lang w:eastAsia="es-ES"/>
        </w:rPr>
        <w:t>,</w:t>
      </w:r>
      <w:r w:rsidRPr="00F039C2">
        <w:rPr>
          <w:sz w:val="20"/>
          <w:lang w:eastAsia="es-ES"/>
        </w:rPr>
        <w:t xml:space="preserve"> que se fortalecerá aún más para promover los vínculos con el </w:t>
      </w:r>
      <w:r>
        <w:rPr>
          <w:sz w:val="20"/>
          <w:lang w:eastAsia="es-ES"/>
        </w:rPr>
        <w:t>s</w:t>
      </w:r>
      <w:r w:rsidRPr="00E23914">
        <w:rPr>
          <w:sz w:val="20"/>
          <w:lang w:eastAsia="es-ES"/>
        </w:rPr>
        <w:t>istema</w:t>
      </w:r>
      <w:r w:rsidRPr="00F039C2">
        <w:rPr>
          <w:sz w:val="20"/>
          <w:lang w:eastAsia="es-ES"/>
        </w:rPr>
        <w:t xml:space="preserve"> del PCT y mancomunar los esfuerzos destinados a facilitar el uso de los sistemas y activos de P.I. en pos del desarrollo sostenible de la región. </w:t>
      </w:r>
      <w:r>
        <w:rPr>
          <w:sz w:val="20"/>
          <w:lang w:eastAsia="es-ES"/>
        </w:rPr>
        <w:t xml:space="preserve"> </w:t>
      </w:r>
      <w:r w:rsidRPr="00F039C2">
        <w:rPr>
          <w:sz w:val="20"/>
          <w:lang w:eastAsia="es-ES"/>
        </w:rPr>
        <w:t xml:space="preserve">Mediante el programa se cooperará también con la </w:t>
      </w:r>
      <w:r w:rsidRPr="008A05E8">
        <w:rPr>
          <w:sz w:val="20"/>
          <w:lang w:eastAsia="es-ES"/>
        </w:rPr>
        <w:t>Comisión Económica Eurasiática</w:t>
      </w:r>
      <w:r w:rsidRPr="00F039C2">
        <w:rPr>
          <w:sz w:val="20"/>
          <w:lang w:eastAsia="es-ES"/>
        </w:rPr>
        <w:t xml:space="preserve"> en actividades </w:t>
      </w:r>
      <w:r w:rsidRPr="009F406F">
        <w:rPr>
          <w:sz w:val="20"/>
          <w:lang w:eastAsia="es-ES"/>
        </w:rPr>
        <w:t>específicas de la región.</w:t>
      </w:r>
    </w:p>
    <w:p w:rsidR="002E7DC3" w:rsidRPr="009F406F" w:rsidRDefault="002E7DC3" w:rsidP="002E7DC3">
      <w:pPr>
        <w:widowControl w:val="0"/>
        <w:autoSpaceDE w:val="0"/>
        <w:autoSpaceDN w:val="0"/>
        <w:adjustRightInd w:val="0"/>
        <w:jc w:val="both"/>
        <w:rPr>
          <w:sz w:val="20"/>
          <w:lang w:eastAsia="es-ES"/>
        </w:rPr>
      </w:pPr>
    </w:p>
    <w:p w:rsidR="00F14A90" w:rsidRPr="002E7DC3" w:rsidRDefault="00F14A90" w:rsidP="00B16400">
      <w:pPr>
        <w:widowControl w:val="0"/>
      </w:pPr>
    </w:p>
    <w:p w:rsidR="00B16400" w:rsidRPr="00C75C7E" w:rsidRDefault="00B16400" w:rsidP="008A3ABA">
      <w:pPr>
        <w:keepNext/>
        <w:keepLines/>
        <w:widowControl w:val="0"/>
        <w:rPr>
          <w:lang w:val="pl-PL"/>
        </w:rPr>
      </w:pPr>
      <w:r w:rsidRPr="00C75C7E">
        <w:rPr>
          <w:lang w:val="pl-PL"/>
        </w:rPr>
        <w:lastRenderedPageBreak/>
        <w:t xml:space="preserve">PRINCIPALES RIESGOS Y ESTRATEGIAS DE MITIGACIÓN  </w:t>
      </w:r>
    </w:p>
    <w:p w:rsidR="00B16400" w:rsidRPr="00C75C7E" w:rsidRDefault="00B16400" w:rsidP="008A3ABA">
      <w:pPr>
        <w:keepNext/>
        <w:keepLines/>
        <w:widowControl w:val="0"/>
        <w:rPr>
          <w:sz w:val="20"/>
          <w:lang w:val="pl-PL"/>
        </w:rPr>
      </w:pPr>
    </w:p>
    <w:tbl>
      <w:tblPr>
        <w:tblW w:w="9548" w:type="dxa"/>
        <w:tblInd w:w="108" w:type="dxa"/>
        <w:tblBorders>
          <w:top w:val="single" w:sz="4" w:space="0" w:color="auto"/>
          <w:left w:val="single" w:sz="4" w:space="0" w:color="auto"/>
          <w:bottom w:val="single" w:sz="4" w:space="0" w:color="auto"/>
          <w:right w:val="single" w:sz="4" w:space="0" w:color="auto"/>
          <w:insideH w:val="single" w:sz="4" w:space="0" w:color="auto"/>
        </w:tblBorders>
        <w:tblLook w:val="01E0" w:firstRow="1" w:lastRow="1" w:firstColumn="1" w:lastColumn="1" w:noHBand="0" w:noVBand="0"/>
      </w:tblPr>
      <w:tblGrid>
        <w:gridCol w:w="4537"/>
        <w:gridCol w:w="5011"/>
      </w:tblGrid>
      <w:tr w:rsidR="00B16400" w:rsidRPr="00C75C7E" w:rsidTr="001D4249">
        <w:trPr>
          <w:cantSplit/>
          <w:trHeight w:val="347"/>
        </w:trPr>
        <w:tc>
          <w:tcPr>
            <w:tcW w:w="4537" w:type="dxa"/>
            <w:shd w:val="clear" w:color="auto" w:fill="CCFFFF"/>
            <w:tcMar>
              <w:top w:w="113" w:type="dxa"/>
            </w:tcMar>
            <w:vAlign w:val="center"/>
          </w:tcPr>
          <w:p w:rsidR="00B16400" w:rsidRPr="00C75C7E" w:rsidRDefault="00B16400" w:rsidP="008A3ABA">
            <w:pPr>
              <w:keepNext/>
              <w:keepLines/>
              <w:widowControl w:val="0"/>
              <w:autoSpaceDE w:val="0"/>
              <w:autoSpaceDN w:val="0"/>
              <w:adjustRightInd w:val="0"/>
              <w:ind w:right="-59"/>
              <w:jc w:val="center"/>
              <w:rPr>
                <w:b/>
                <w:bCs/>
                <w:iCs/>
                <w:sz w:val="18"/>
                <w:szCs w:val="18"/>
                <w:lang w:val="es-ES_tradnl"/>
              </w:rPr>
            </w:pPr>
            <w:r w:rsidRPr="00C75C7E">
              <w:rPr>
                <w:b/>
                <w:bCs/>
                <w:iCs/>
                <w:sz w:val="18"/>
                <w:szCs w:val="18"/>
                <w:lang w:val="es-ES_tradnl"/>
              </w:rPr>
              <w:t>Riesgos en el logro de los resultados del programa</w:t>
            </w:r>
          </w:p>
        </w:tc>
        <w:tc>
          <w:tcPr>
            <w:tcW w:w="5011" w:type="dxa"/>
            <w:shd w:val="clear" w:color="auto" w:fill="CCFFFF"/>
            <w:tcMar>
              <w:top w:w="113" w:type="dxa"/>
            </w:tcMar>
            <w:vAlign w:val="center"/>
          </w:tcPr>
          <w:p w:rsidR="00B16400" w:rsidRPr="00C75C7E" w:rsidRDefault="00B16400" w:rsidP="008A3ABA">
            <w:pPr>
              <w:keepNext/>
              <w:keepLines/>
              <w:widowControl w:val="0"/>
              <w:autoSpaceDE w:val="0"/>
              <w:autoSpaceDN w:val="0"/>
              <w:adjustRightInd w:val="0"/>
              <w:ind w:right="-59"/>
              <w:rPr>
                <w:b/>
                <w:bCs/>
                <w:iCs/>
                <w:sz w:val="18"/>
                <w:szCs w:val="18"/>
                <w:lang w:val="es-ES_tradnl"/>
              </w:rPr>
            </w:pPr>
            <w:r w:rsidRPr="00C75C7E">
              <w:rPr>
                <w:b/>
                <w:bCs/>
                <w:iCs/>
                <w:sz w:val="18"/>
                <w:szCs w:val="18"/>
                <w:lang w:val="es-ES_tradnl"/>
              </w:rPr>
              <w:t xml:space="preserve">Planes de mitigación ejecutados o en ejecución </w:t>
            </w:r>
          </w:p>
        </w:tc>
      </w:tr>
      <w:tr w:rsidR="00B16400" w:rsidRPr="00C75C7E" w:rsidTr="001D4249">
        <w:trPr>
          <w:cantSplit/>
          <w:trHeight w:val="785"/>
        </w:trPr>
        <w:tc>
          <w:tcPr>
            <w:tcW w:w="4537" w:type="dxa"/>
            <w:shd w:val="clear" w:color="auto" w:fill="auto"/>
            <w:tcMar>
              <w:top w:w="113" w:type="dxa"/>
            </w:tcMar>
          </w:tcPr>
          <w:p w:rsidR="00B16400" w:rsidRPr="00C75C7E" w:rsidRDefault="00B16400" w:rsidP="008A3ABA">
            <w:pPr>
              <w:keepNext/>
              <w:keepLines/>
              <w:widowControl w:val="0"/>
              <w:autoSpaceDE w:val="0"/>
              <w:autoSpaceDN w:val="0"/>
              <w:adjustRightInd w:val="0"/>
              <w:ind w:right="-59"/>
              <w:rPr>
                <w:sz w:val="16"/>
                <w:szCs w:val="16"/>
                <w:lang w:val="es-ES_tradnl"/>
              </w:rPr>
            </w:pPr>
            <w:r w:rsidRPr="00C75C7E">
              <w:rPr>
                <w:sz w:val="16"/>
                <w:szCs w:val="16"/>
                <w:lang w:val="es-ES_tradnl"/>
              </w:rPr>
              <w:t xml:space="preserve">Los cambios económicos y políticos podrían obstaculizar o enlentecer la aplicación de estrategias </w:t>
            </w:r>
            <w:r w:rsidR="001D4249">
              <w:rPr>
                <w:sz w:val="16"/>
                <w:szCs w:val="16"/>
                <w:lang w:val="es-ES_tradnl"/>
              </w:rPr>
              <w:t>nacionales en materia de P.I.</w:t>
            </w:r>
          </w:p>
        </w:tc>
        <w:tc>
          <w:tcPr>
            <w:tcW w:w="5011" w:type="dxa"/>
            <w:shd w:val="clear" w:color="auto" w:fill="auto"/>
            <w:tcMar>
              <w:top w:w="113" w:type="dxa"/>
            </w:tcMar>
          </w:tcPr>
          <w:p w:rsidR="00B16400" w:rsidRPr="00C75C7E" w:rsidRDefault="00B16400" w:rsidP="008A3ABA">
            <w:pPr>
              <w:keepNext/>
              <w:keepLines/>
              <w:widowControl w:val="0"/>
              <w:autoSpaceDE w:val="0"/>
              <w:autoSpaceDN w:val="0"/>
              <w:adjustRightInd w:val="0"/>
              <w:ind w:right="-59"/>
              <w:rPr>
                <w:sz w:val="16"/>
                <w:szCs w:val="16"/>
                <w:lang w:val="es-ES_tradnl"/>
              </w:rPr>
            </w:pPr>
            <w:r w:rsidRPr="00C75C7E">
              <w:rPr>
                <w:sz w:val="16"/>
                <w:szCs w:val="16"/>
                <w:lang w:val="es-ES_tradnl"/>
              </w:rPr>
              <w:t xml:space="preserve">Mantenimiento de relaciones con todas las partes interesadas en los países y planificación anticipada en todos los niveles.  Los planes de cooperación ofrecerán flexibilidad. </w:t>
            </w:r>
          </w:p>
        </w:tc>
      </w:tr>
    </w:tbl>
    <w:p w:rsidR="00B16400" w:rsidRPr="00C75C7E" w:rsidRDefault="00B16400" w:rsidP="00B16400">
      <w:pPr>
        <w:widowControl w:val="0"/>
        <w:tabs>
          <w:tab w:val="left" w:pos="567"/>
          <w:tab w:val="left" w:pos="1985"/>
        </w:tabs>
        <w:jc w:val="both"/>
        <w:rPr>
          <w:bCs/>
          <w:sz w:val="20"/>
          <w:lang w:val="es-ES_tradnl"/>
        </w:rPr>
      </w:pPr>
    </w:p>
    <w:p w:rsidR="00B16400" w:rsidRPr="00C75C7E" w:rsidRDefault="00B16400" w:rsidP="00B16400">
      <w:pPr>
        <w:widowControl w:val="0"/>
        <w:tabs>
          <w:tab w:val="left" w:pos="567"/>
          <w:tab w:val="left" w:pos="1985"/>
        </w:tabs>
        <w:jc w:val="both"/>
        <w:rPr>
          <w:bCs/>
          <w:sz w:val="20"/>
          <w:lang w:val="es-ES_tradnl"/>
        </w:rPr>
      </w:pPr>
    </w:p>
    <w:p w:rsidR="00B16400" w:rsidRPr="00C75C7E" w:rsidRDefault="00B16400" w:rsidP="008541BE">
      <w:pPr>
        <w:keepNext/>
        <w:widowControl w:val="0"/>
        <w:tabs>
          <w:tab w:val="left" w:pos="567"/>
          <w:tab w:val="left" w:pos="1985"/>
        </w:tabs>
        <w:jc w:val="both"/>
        <w:rPr>
          <w:bCs/>
          <w:sz w:val="20"/>
          <w:lang w:val="es-ES_tradnl"/>
        </w:rPr>
      </w:pPr>
      <w:r w:rsidRPr="00C75C7E">
        <w:rPr>
          <w:bCs/>
          <w:szCs w:val="22"/>
          <w:lang w:val="es-ES_tradnl"/>
        </w:rPr>
        <w:t>MARCO DE RESULTADOS</w:t>
      </w:r>
    </w:p>
    <w:p w:rsidR="00B16400" w:rsidRPr="00C75C7E" w:rsidRDefault="00B16400" w:rsidP="008541BE">
      <w:pPr>
        <w:keepNext/>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49"/>
        <w:gridCol w:w="2848"/>
        <w:gridCol w:w="2175"/>
        <w:gridCol w:w="2034"/>
      </w:tblGrid>
      <w:tr w:rsidR="00B16400" w:rsidRPr="00C75C7E" w:rsidTr="004341A3">
        <w:trPr>
          <w:cantSplit/>
          <w:trHeight w:val="425"/>
          <w:tblHeader/>
        </w:trPr>
        <w:tc>
          <w:tcPr>
            <w:tcW w:w="1249" w:type="pct"/>
            <w:tcBorders>
              <w:top w:val="single" w:sz="4" w:space="0" w:color="auto"/>
              <w:bottom w:val="single" w:sz="4" w:space="0" w:color="auto"/>
            </w:tcBorders>
            <w:shd w:val="clear" w:color="auto" w:fill="CCFFFF"/>
            <w:vAlign w:val="center"/>
          </w:tcPr>
          <w:p w:rsidR="00B16400" w:rsidRPr="00C75C7E" w:rsidRDefault="00B16400" w:rsidP="004341A3">
            <w:pPr>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jc w:val="center"/>
              <w:rPr>
                <w:b/>
                <w:bCs/>
                <w:sz w:val="18"/>
                <w:szCs w:val="18"/>
                <w:lang w:val="es-ES_tradnl"/>
              </w:rPr>
            </w:pPr>
            <w:r w:rsidRPr="00C75C7E">
              <w:rPr>
                <w:b/>
                <w:bCs/>
                <w:sz w:val="18"/>
                <w:szCs w:val="18"/>
                <w:lang w:val="es-ES_tradnl"/>
              </w:rPr>
              <w:t>Indicadores de rendimiento</w:t>
            </w:r>
          </w:p>
        </w:tc>
        <w:tc>
          <w:tcPr>
            <w:tcW w:w="1156"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ind w:left="85"/>
              <w:jc w:val="center"/>
              <w:rPr>
                <w:b/>
                <w:bCs/>
                <w:sz w:val="18"/>
                <w:szCs w:val="18"/>
                <w:lang w:val="es-ES_tradnl"/>
              </w:rPr>
            </w:pPr>
            <w:r w:rsidRPr="00C75C7E">
              <w:rPr>
                <w:b/>
                <w:bCs/>
                <w:sz w:val="18"/>
                <w:szCs w:val="18"/>
                <w:lang w:val="es-ES_tradnl"/>
              </w:rPr>
              <w:t>Referencia</w:t>
            </w:r>
          </w:p>
        </w:tc>
        <w:tc>
          <w:tcPr>
            <w:tcW w:w="1081"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ind w:right="51"/>
              <w:jc w:val="center"/>
              <w:rPr>
                <w:b/>
                <w:bCs/>
                <w:sz w:val="18"/>
                <w:szCs w:val="18"/>
                <w:lang w:val="es-ES_tradnl"/>
              </w:rPr>
            </w:pPr>
            <w:r w:rsidRPr="00C75C7E">
              <w:rPr>
                <w:b/>
                <w:bCs/>
                <w:sz w:val="18"/>
                <w:szCs w:val="18"/>
                <w:lang w:val="es-ES_tradnl"/>
              </w:rPr>
              <w:t>Objetivos</w:t>
            </w:r>
          </w:p>
        </w:tc>
      </w:tr>
      <w:tr w:rsidR="00B16400" w:rsidRPr="00C75C7E" w:rsidTr="004341A3">
        <w:trPr>
          <w:cantSplit/>
          <w:trHeight w:val="596"/>
        </w:trPr>
        <w:tc>
          <w:tcPr>
            <w:tcW w:w="1249" w:type="pct"/>
            <w:tcBorders>
              <w:top w:val="single" w:sz="4" w:space="0" w:color="auto"/>
            </w:tcBorders>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I.2</w:t>
            </w:r>
            <w:r w:rsidR="001D4249">
              <w:rPr>
                <w:sz w:val="16"/>
                <w:szCs w:val="16"/>
                <w:lang w:val="es-ES_tradnl"/>
              </w:rPr>
              <w:t xml:space="preserve"> </w:t>
            </w:r>
            <w:r w:rsidRPr="00C75C7E">
              <w:rPr>
                <w:sz w:val="16"/>
                <w:szCs w:val="16"/>
                <w:lang w:val="es-ES_tradnl"/>
              </w:rPr>
              <w:t xml:space="preserve"> Marcos de P.I. adaptados y equilibrados en el ámbito legislativo, reglamentario y de política.</w:t>
            </w:r>
          </w:p>
        </w:tc>
        <w:tc>
          <w:tcPr>
            <w:tcW w:w="1514" w:type="pct"/>
            <w:tcBorders>
              <w:top w:val="single" w:sz="4" w:space="0" w:color="auto"/>
            </w:tcBorders>
            <w:shd w:val="clear" w:color="auto" w:fill="auto"/>
            <w:tcMar>
              <w:top w:w="113" w:type="dxa"/>
              <w:bottom w:w="85" w:type="dxa"/>
            </w:tcMar>
          </w:tcPr>
          <w:p w:rsidR="00B16400" w:rsidRPr="00C75C7E" w:rsidRDefault="00B16400" w:rsidP="004341A3">
            <w:pPr>
              <w:widowControl w:val="0"/>
              <w:rPr>
                <w:sz w:val="16"/>
                <w:szCs w:val="16"/>
                <w:lang w:val="es-ES_tradnl"/>
              </w:rPr>
            </w:pPr>
            <w:r w:rsidRPr="00C75C7E">
              <w:rPr>
                <w:sz w:val="16"/>
                <w:szCs w:val="16"/>
                <w:lang w:val="es-ES_tradnl"/>
              </w:rPr>
              <w:t>Número de países que han actualizado su legislación o sus reglamentos.</w:t>
            </w:r>
          </w:p>
        </w:tc>
        <w:tc>
          <w:tcPr>
            <w:tcW w:w="1156" w:type="pct"/>
            <w:tcBorders>
              <w:top w:val="single" w:sz="4" w:space="0" w:color="auto"/>
            </w:tcBorders>
            <w:shd w:val="clear" w:color="auto" w:fill="FFFFFF"/>
            <w:tcMar>
              <w:top w:w="113" w:type="dxa"/>
              <w:bottom w:w="85" w:type="dxa"/>
            </w:tcMar>
          </w:tcPr>
          <w:p w:rsidR="00B16400" w:rsidRPr="00C75C7E" w:rsidRDefault="00B16400" w:rsidP="004341A3">
            <w:pPr>
              <w:widowControl w:val="0"/>
              <w:rPr>
                <w:sz w:val="16"/>
                <w:szCs w:val="16"/>
                <w:lang w:val="es-ES_tradnl" w:bidi="th-TH"/>
              </w:rPr>
            </w:pPr>
            <w:r w:rsidRPr="00C75C7E">
              <w:rPr>
                <w:sz w:val="16"/>
                <w:szCs w:val="16"/>
                <w:lang w:val="es-ES_tradnl" w:bidi="th-TH"/>
              </w:rPr>
              <w:t>18 a fines de 2013.</w:t>
            </w:r>
          </w:p>
          <w:p w:rsidR="00B16400" w:rsidRPr="00C75C7E" w:rsidRDefault="00B16400" w:rsidP="004341A3">
            <w:pPr>
              <w:widowControl w:val="0"/>
              <w:rPr>
                <w:sz w:val="16"/>
                <w:szCs w:val="16"/>
                <w:lang w:val="es-ES_tradnl" w:bidi="th-TH"/>
              </w:rPr>
            </w:pPr>
          </w:p>
          <w:p w:rsidR="00B16400" w:rsidRPr="00C75C7E" w:rsidRDefault="00B16400" w:rsidP="004341A3">
            <w:pPr>
              <w:widowControl w:val="0"/>
              <w:rPr>
                <w:sz w:val="16"/>
                <w:szCs w:val="16"/>
                <w:lang w:val="es-ES_tradnl"/>
              </w:rPr>
            </w:pPr>
          </w:p>
        </w:tc>
        <w:tc>
          <w:tcPr>
            <w:tcW w:w="1081" w:type="pct"/>
            <w:tcBorders>
              <w:top w:val="single" w:sz="4" w:space="0" w:color="auto"/>
            </w:tcBorders>
            <w:shd w:val="clear" w:color="auto" w:fill="auto"/>
            <w:tcMar>
              <w:top w:w="113" w:type="dxa"/>
              <w:bottom w:w="85" w:type="dxa"/>
            </w:tcMar>
          </w:tcPr>
          <w:p w:rsidR="00B16400" w:rsidRPr="00C75C7E" w:rsidRDefault="00B16400" w:rsidP="004341A3">
            <w:pPr>
              <w:widowControl w:val="0"/>
              <w:ind w:right="381"/>
              <w:rPr>
                <w:bCs/>
                <w:sz w:val="16"/>
                <w:szCs w:val="16"/>
                <w:lang w:val="es-ES_tradnl"/>
              </w:rPr>
            </w:pPr>
            <w:r w:rsidRPr="00C75C7E">
              <w:rPr>
                <w:bCs/>
                <w:sz w:val="16"/>
                <w:szCs w:val="16"/>
                <w:lang w:val="es-ES_tradnl"/>
              </w:rPr>
              <w:t>Otros cuatro países.</w:t>
            </w:r>
          </w:p>
        </w:tc>
      </w:tr>
      <w:tr w:rsidR="00B16400" w:rsidRPr="00C75C7E" w:rsidTr="004341A3">
        <w:trPr>
          <w:cantSplit/>
        </w:trPr>
        <w:tc>
          <w:tcPr>
            <w:tcW w:w="1249"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II.1</w:t>
            </w:r>
            <w:r w:rsidR="001D4249">
              <w:rPr>
                <w:sz w:val="16"/>
                <w:szCs w:val="16"/>
                <w:lang w:val="es-ES_tradnl"/>
              </w:rPr>
              <w:t xml:space="preserve"> </w:t>
            </w:r>
            <w:r w:rsidRPr="00C75C7E">
              <w:rPr>
                <w:sz w:val="16"/>
                <w:szCs w:val="16"/>
                <w:lang w:val="es-ES_tradnl"/>
              </w:rPr>
              <w:t xml:space="preserve"> Fomento del uso de la vía del PCT para la presentación de solicitudes </w:t>
            </w:r>
            <w:r w:rsidR="005C32FC">
              <w:rPr>
                <w:sz w:val="16"/>
                <w:szCs w:val="16"/>
                <w:lang w:val="es-ES_tradnl"/>
              </w:rPr>
              <w:t xml:space="preserve">internacionales </w:t>
            </w:r>
            <w:r w:rsidRPr="00C75C7E">
              <w:rPr>
                <w:sz w:val="16"/>
                <w:szCs w:val="16"/>
                <w:lang w:val="es-ES_tradnl"/>
              </w:rPr>
              <w:t xml:space="preserve">de patente. </w:t>
            </w:r>
          </w:p>
        </w:tc>
        <w:tc>
          <w:tcPr>
            <w:tcW w:w="1514"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Número de solicit</w:t>
            </w:r>
            <w:r w:rsidR="001D4249">
              <w:rPr>
                <w:sz w:val="16"/>
                <w:szCs w:val="16"/>
                <w:lang w:val="es-ES_tradnl"/>
              </w:rPr>
              <w:t>udes PCT</w:t>
            </w:r>
            <w:r w:rsidRPr="00C75C7E">
              <w:rPr>
                <w:sz w:val="16"/>
                <w:szCs w:val="16"/>
                <w:lang w:val="es-ES_tradnl"/>
              </w:rPr>
              <w:t xml:space="preserve"> procedentes de países con economías en transición y países desarrollados.</w:t>
            </w:r>
          </w:p>
        </w:tc>
        <w:tc>
          <w:tcPr>
            <w:tcW w:w="1156" w:type="pct"/>
            <w:shd w:val="clear" w:color="auto" w:fill="FFFFFF"/>
            <w:tcMar>
              <w:top w:w="113" w:type="dxa"/>
              <w:bottom w:w="85" w:type="dxa"/>
            </w:tcMar>
          </w:tcPr>
          <w:p w:rsidR="00B16400" w:rsidRPr="00C75C7E" w:rsidRDefault="00B16400" w:rsidP="004341A3">
            <w:pPr>
              <w:widowControl w:val="0"/>
              <w:rPr>
                <w:lang w:val="es-ES_tradnl"/>
              </w:rPr>
            </w:pPr>
            <w:r w:rsidRPr="00C75C7E">
              <w:rPr>
                <w:sz w:val="16"/>
                <w:szCs w:val="16"/>
                <w:lang w:val="es-ES_tradnl" w:bidi="th-TH"/>
              </w:rPr>
              <w:t>Por determinar.</w:t>
            </w:r>
          </w:p>
        </w:tc>
        <w:tc>
          <w:tcPr>
            <w:tcW w:w="1081" w:type="pct"/>
            <w:shd w:val="clear" w:color="auto" w:fill="auto"/>
            <w:tcMar>
              <w:top w:w="113" w:type="dxa"/>
              <w:bottom w:w="85" w:type="dxa"/>
            </w:tcMar>
          </w:tcPr>
          <w:p w:rsidR="00B16400" w:rsidRPr="00C75C7E" w:rsidRDefault="00B16400" w:rsidP="004341A3">
            <w:pPr>
              <w:widowControl w:val="0"/>
              <w:ind w:right="51"/>
              <w:rPr>
                <w:bCs/>
                <w:sz w:val="16"/>
                <w:szCs w:val="16"/>
                <w:lang w:val="es-ES_tradnl"/>
              </w:rPr>
            </w:pPr>
            <w:r w:rsidRPr="00C75C7E">
              <w:rPr>
                <w:bCs/>
                <w:sz w:val="16"/>
                <w:szCs w:val="16"/>
                <w:lang w:val="es-ES_tradnl"/>
              </w:rPr>
              <w:t>Aumento del 2%.</w:t>
            </w:r>
          </w:p>
        </w:tc>
      </w:tr>
      <w:tr w:rsidR="00B16400" w:rsidRPr="00C75C7E" w:rsidTr="004341A3">
        <w:trPr>
          <w:cantSplit/>
          <w:trHeight w:val="653"/>
        </w:trPr>
        <w:tc>
          <w:tcPr>
            <w:tcW w:w="1249"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II.4</w:t>
            </w:r>
            <w:r w:rsidR="001D4249">
              <w:rPr>
                <w:sz w:val="16"/>
                <w:szCs w:val="16"/>
                <w:lang w:val="es-ES_tradnl"/>
              </w:rPr>
              <w:t xml:space="preserve"> </w:t>
            </w:r>
            <w:r w:rsidRPr="00C75C7E">
              <w:rPr>
                <w:sz w:val="16"/>
                <w:szCs w:val="16"/>
                <w:lang w:val="es-ES_tradnl"/>
              </w:rPr>
              <w:t xml:space="preserve"> Ampliación y mejora del uso del sistema de La Haya por los países en desarrollo y los PMA, entre otros.</w:t>
            </w:r>
          </w:p>
        </w:tc>
        <w:tc>
          <w:tcPr>
            <w:tcW w:w="1514" w:type="pct"/>
            <w:shd w:val="clear" w:color="auto" w:fill="auto"/>
            <w:tcMar>
              <w:top w:w="113" w:type="dxa"/>
              <w:bottom w:w="85" w:type="dxa"/>
            </w:tcMar>
          </w:tcPr>
          <w:p w:rsidR="00B16400" w:rsidRPr="00C75C7E" w:rsidRDefault="00B16400" w:rsidP="008A3ABA">
            <w:pPr>
              <w:widowControl w:val="0"/>
              <w:rPr>
                <w:sz w:val="16"/>
                <w:szCs w:val="16"/>
                <w:lang w:val="es-ES_tradnl"/>
              </w:rPr>
            </w:pPr>
            <w:r w:rsidRPr="00C75C7E">
              <w:rPr>
                <w:sz w:val="16"/>
                <w:szCs w:val="16"/>
                <w:lang w:val="es-ES_tradnl"/>
              </w:rPr>
              <w:t>Número de solicit</w:t>
            </w:r>
            <w:r w:rsidR="008A3ABA">
              <w:rPr>
                <w:sz w:val="16"/>
                <w:szCs w:val="16"/>
                <w:lang w:val="es-ES_tradnl"/>
              </w:rPr>
              <w:t>ud</w:t>
            </w:r>
            <w:r w:rsidRPr="00C75C7E">
              <w:rPr>
                <w:sz w:val="16"/>
                <w:szCs w:val="16"/>
                <w:lang w:val="es-ES_tradnl"/>
              </w:rPr>
              <w:t xml:space="preserve">es </w:t>
            </w:r>
            <w:r w:rsidR="008A3ABA">
              <w:rPr>
                <w:sz w:val="16"/>
                <w:szCs w:val="16"/>
                <w:lang w:val="es-ES_tradnl"/>
              </w:rPr>
              <w:t xml:space="preserve">en virtud </w:t>
            </w:r>
            <w:r w:rsidRPr="00C75C7E">
              <w:rPr>
                <w:sz w:val="16"/>
                <w:szCs w:val="16"/>
                <w:lang w:val="es-ES_tradnl"/>
              </w:rPr>
              <w:t>del sistema de La Haya procedentes de países con economías en transición y países desarrollados.</w:t>
            </w:r>
          </w:p>
        </w:tc>
        <w:tc>
          <w:tcPr>
            <w:tcW w:w="1156" w:type="pct"/>
            <w:shd w:val="clear" w:color="auto" w:fill="FFFFFF"/>
            <w:tcMar>
              <w:top w:w="113" w:type="dxa"/>
              <w:bottom w:w="85" w:type="dxa"/>
            </w:tcMar>
          </w:tcPr>
          <w:p w:rsidR="00B16400" w:rsidRPr="00C75C7E" w:rsidRDefault="00B16400" w:rsidP="004341A3">
            <w:pPr>
              <w:widowControl w:val="0"/>
              <w:rPr>
                <w:lang w:val="es-ES_tradnl"/>
              </w:rPr>
            </w:pPr>
            <w:r w:rsidRPr="00C75C7E">
              <w:rPr>
                <w:sz w:val="16"/>
                <w:szCs w:val="16"/>
                <w:lang w:val="es-ES_tradnl" w:bidi="th-TH"/>
              </w:rPr>
              <w:t>Por determinar.</w:t>
            </w: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Aumento del 2%.</w:t>
            </w:r>
          </w:p>
        </w:tc>
      </w:tr>
      <w:tr w:rsidR="00B16400" w:rsidRPr="00C75C7E" w:rsidTr="004341A3">
        <w:trPr>
          <w:cantSplit/>
          <w:trHeight w:val="983"/>
        </w:trPr>
        <w:tc>
          <w:tcPr>
            <w:tcW w:w="1249"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II.6</w:t>
            </w:r>
            <w:r w:rsidR="001D4249">
              <w:rPr>
                <w:sz w:val="16"/>
                <w:szCs w:val="16"/>
                <w:lang w:val="es-ES_tradnl"/>
              </w:rPr>
              <w:t xml:space="preserve"> </w:t>
            </w:r>
            <w:r w:rsidRPr="00C75C7E">
              <w:rPr>
                <w:sz w:val="16"/>
                <w:szCs w:val="16"/>
                <w:lang w:val="es-ES_tradnl"/>
              </w:rPr>
              <w:t xml:space="preserve"> Ampliación y mejora del uso de los sistemas de Madrid y de Lisboa por los países en desarrollo y los PMA, entre otros.</w:t>
            </w:r>
          </w:p>
        </w:tc>
        <w:tc>
          <w:tcPr>
            <w:tcW w:w="1514" w:type="pct"/>
            <w:shd w:val="clear" w:color="auto" w:fill="auto"/>
            <w:tcMar>
              <w:top w:w="113" w:type="dxa"/>
              <w:bottom w:w="85" w:type="dxa"/>
            </w:tcMar>
          </w:tcPr>
          <w:p w:rsidR="00B16400" w:rsidRPr="00C75C7E" w:rsidRDefault="00B16400" w:rsidP="008A3ABA">
            <w:pPr>
              <w:widowControl w:val="0"/>
              <w:rPr>
                <w:sz w:val="16"/>
                <w:szCs w:val="16"/>
                <w:lang w:val="es-ES_tradnl"/>
              </w:rPr>
            </w:pPr>
            <w:r w:rsidRPr="00C75C7E">
              <w:rPr>
                <w:sz w:val="16"/>
                <w:szCs w:val="16"/>
                <w:lang w:val="es-ES_tradnl"/>
              </w:rPr>
              <w:t>Número de solicit</w:t>
            </w:r>
            <w:r w:rsidR="008A3ABA">
              <w:rPr>
                <w:sz w:val="16"/>
                <w:szCs w:val="16"/>
                <w:lang w:val="es-ES_tradnl"/>
              </w:rPr>
              <w:t>ud</w:t>
            </w:r>
            <w:r w:rsidRPr="00C75C7E">
              <w:rPr>
                <w:sz w:val="16"/>
                <w:szCs w:val="16"/>
                <w:lang w:val="es-ES_tradnl"/>
              </w:rPr>
              <w:t xml:space="preserve">es </w:t>
            </w:r>
            <w:r w:rsidR="008A3ABA">
              <w:rPr>
                <w:sz w:val="16"/>
                <w:szCs w:val="16"/>
                <w:lang w:val="es-ES_tradnl"/>
              </w:rPr>
              <w:t xml:space="preserve">en virtud </w:t>
            </w:r>
            <w:r w:rsidRPr="00C75C7E">
              <w:rPr>
                <w:sz w:val="16"/>
                <w:szCs w:val="16"/>
                <w:lang w:val="es-ES_tradnl"/>
              </w:rPr>
              <w:t>de los sistemas de Madrid y de Lisboa procedentes de países con economías en transición y países desarrollados.</w:t>
            </w:r>
          </w:p>
        </w:tc>
        <w:tc>
          <w:tcPr>
            <w:tcW w:w="1156" w:type="pct"/>
            <w:shd w:val="clear" w:color="auto" w:fill="FFFFFF"/>
            <w:tcMar>
              <w:top w:w="113" w:type="dxa"/>
              <w:bottom w:w="85" w:type="dxa"/>
            </w:tcMar>
          </w:tcPr>
          <w:p w:rsidR="00B16400" w:rsidRPr="00C75C7E" w:rsidRDefault="00B16400" w:rsidP="004341A3">
            <w:pPr>
              <w:widowControl w:val="0"/>
              <w:rPr>
                <w:lang w:val="es-ES_tradnl"/>
              </w:rPr>
            </w:pPr>
            <w:r w:rsidRPr="00C75C7E">
              <w:rPr>
                <w:sz w:val="16"/>
                <w:szCs w:val="16"/>
                <w:lang w:val="es-ES_tradnl" w:bidi="th-TH"/>
              </w:rPr>
              <w:t>Por determinar.</w:t>
            </w: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Aumento del 2%.</w:t>
            </w:r>
          </w:p>
        </w:tc>
      </w:tr>
      <w:tr w:rsidR="00B16400" w:rsidRPr="00C75C7E" w:rsidTr="004341A3">
        <w:trPr>
          <w:cantSplit/>
          <w:trHeight w:val="1417"/>
        </w:trPr>
        <w:tc>
          <w:tcPr>
            <w:tcW w:w="1249"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II.8</w:t>
            </w:r>
            <w:r w:rsidR="001D4249">
              <w:rPr>
                <w:sz w:val="16"/>
                <w:szCs w:val="16"/>
                <w:lang w:val="es-ES_tradnl"/>
              </w:rPr>
              <w:t xml:space="preserve"> </w:t>
            </w:r>
            <w:r w:rsidRPr="00C75C7E">
              <w:rPr>
                <w:sz w:val="16"/>
                <w:szCs w:val="16"/>
                <w:lang w:val="es-ES_tradnl"/>
              </w:rPr>
              <w:t xml:space="preserve"> Las controversias nacionales e internacionales en materia de P.I. se evitan o resuelven cada vez con más frecuencia mediante procedimientos de mediación, arbitraje y demás métodos de solución extrajudicial de controversias.</w:t>
            </w:r>
          </w:p>
        </w:tc>
        <w:tc>
          <w:tcPr>
            <w:tcW w:w="1514" w:type="pct"/>
            <w:shd w:val="clear" w:color="auto" w:fill="auto"/>
            <w:tcMar>
              <w:top w:w="113" w:type="dxa"/>
              <w:bottom w:w="85" w:type="dxa"/>
            </w:tcMar>
          </w:tcPr>
          <w:p w:rsidR="00B16400" w:rsidRPr="00C75C7E" w:rsidRDefault="00B16400" w:rsidP="004341A3">
            <w:pPr>
              <w:widowControl w:val="0"/>
              <w:rPr>
                <w:sz w:val="16"/>
                <w:szCs w:val="16"/>
                <w:lang w:val="es-ES_tradnl"/>
              </w:rPr>
            </w:pPr>
            <w:r w:rsidRPr="00C75C7E">
              <w:rPr>
                <w:sz w:val="16"/>
                <w:szCs w:val="16"/>
                <w:lang w:val="es-ES_tradnl"/>
              </w:rPr>
              <w:t>Número de usuarios de países con economías en transición y países desarrollados que utilizan los servicios del Centro de Arbitraje y Mediación.</w:t>
            </w:r>
          </w:p>
        </w:tc>
        <w:tc>
          <w:tcPr>
            <w:tcW w:w="1156" w:type="pct"/>
            <w:shd w:val="clear" w:color="auto" w:fill="FFFFFF"/>
            <w:tcMar>
              <w:top w:w="113" w:type="dxa"/>
              <w:bottom w:w="85" w:type="dxa"/>
            </w:tcMar>
          </w:tcPr>
          <w:p w:rsidR="00B16400" w:rsidRPr="00C75C7E" w:rsidRDefault="00B16400" w:rsidP="004341A3">
            <w:pPr>
              <w:widowControl w:val="0"/>
              <w:rPr>
                <w:lang w:val="es-ES_tradnl"/>
              </w:rPr>
            </w:pPr>
            <w:r w:rsidRPr="00C75C7E">
              <w:rPr>
                <w:sz w:val="16"/>
                <w:szCs w:val="16"/>
                <w:lang w:val="es-ES_tradnl" w:bidi="th-TH"/>
              </w:rPr>
              <w:t>Por determinar.</w:t>
            </w: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Aumento del 2%.</w:t>
            </w:r>
          </w:p>
        </w:tc>
      </w:tr>
      <w:tr w:rsidR="00B16400" w:rsidRPr="00C75C7E" w:rsidTr="004341A3">
        <w:trPr>
          <w:cantSplit/>
          <w:trHeight w:val="638"/>
        </w:trPr>
        <w:tc>
          <w:tcPr>
            <w:tcW w:w="1249"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III.1</w:t>
            </w:r>
            <w:r w:rsidR="001D4249">
              <w:rPr>
                <w:sz w:val="16"/>
                <w:szCs w:val="16"/>
                <w:lang w:val="es-ES_tradnl"/>
              </w:rPr>
              <w:t xml:space="preserve"> </w:t>
            </w:r>
            <w:r w:rsidRPr="00C75C7E">
              <w:rPr>
                <w:sz w:val="16"/>
                <w:szCs w:val="16"/>
                <w:lang w:val="es-ES_tradnl"/>
              </w:rPr>
              <w:t xml:space="preserve"> Estrategias y planes nacionales de innovación y de P.I. que estén en sintonía con los objetivos nacionales de desarrollo.</w:t>
            </w:r>
          </w:p>
        </w:tc>
        <w:tc>
          <w:tcPr>
            <w:tcW w:w="1514" w:type="pct"/>
            <w:shd w:val="clear" w:color="auto" w:fill="auto"/>
            <w:tcMar>
              <w:top w:w="113" w:type="dxa"/>
              <w:bottom w:w="85" w:type="dxa"/>
            </w:tcMar>
          </w:tcPr>
          <w:p w:rsidR="00B16400" w:rsidRPr="00C75C7E" w:rsidRDefault="00B16400" w:rsidP="004341A3">
            <w:pPr>
              <w:widowControl w:val="0"/>
              <w:rPr>
                <w:sz w:val="16"/>
                <w:szCs w:val="16"/>
                <w:lang w:val="es-ES_tradnl"/>
              </w:rPr>
            </w:pPr>
            <w:r w:rsidRPr="00C75C7E">
              <w:rPr>
                <w:sz w:val="16"/>
                <w:szCs w:val="16"/>
                <w:lang w:val="es-ES_tradnl"/>
              </w:rPr>
              <w:t>Número de universidades que han elaborado políticas de P.I.</w:t>
            </w:r>
          </w:p>
        </w:tc>
        <w:tc>
          <w:tcPr>
            <w:tcW w:w="1156" w:type="pct"/>
            <w:shd w:val="clear" w:color="auto" w:fill="FFFFFF"/>
            <w:tcMar>
              <w:top w:w="113" w:type="dxa"/>
              <w:bottom w:w="85" w:type="dxa"/>
            </w:tcMar>
          </w:tcPr>
          <w:p w:rsidR="00B16400" w:rsidRPr="00C75C7E" w:rsidRDefault="00B16400" w:rsidP="004341A3">
            <w:pPr>
              <w:widowControl w:val="0"/>
              <w:rPr>
                <w:lang w:val="es-ES_tradnl"/>
              </w:rPr>
            </w:pPr>
            <w:r w:rsidRPr="00C75C7E">
              <w:rPr>
                <w:sz w:val="16"/>
                <w:szCs w:val="16"/>
                <w:lang w:val="es-ES_tradnl" w:bidi="th-TH"/>
              </w:rPr>
              <w:t>Por determinar.</w:t>
            </w: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Otras 30 universidades.</w:t>
            </w:r>
          </w:p>
        </w:tc>
      </w:tr>
      <w:tr w:rsidR="00B16400" w:rsidRPr="00C75C7E" w:rsidTr="004341A3">
        <w:trPr>
          <w:cantSplit/>
          <w:trHeight w:val="517"/>
        </w:trPr>
        <w:tc>
          <w:tcPr>
            <w:tcW w:w="1249" w:type="pct"/>
            <w:shd w:val="clear" w:color="auto" w:fill="auto"/>
            <w:tcMar>
              <w:top w:w="113" w:type="dxa"/>
              <w:bottom w:w="85"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bottom w:w="85" w:type="dxa"/>
            </w:tcMar>
          </w:tcPr>
          <w:p w:rsidR="00B16400" w:rsidRPr="00C75C7E" w:rsidRDefault="00B16400" w:rsidP="004341A3">
            <w:pPr>
              <w:widowControl w:val="0"/>
              <w:rPr>
                <w:sz w:val="16"/>
                <w:szCs w:val="16"/>
                <w:lang w:val="es-ES_tradnl"/>
              </w:rPr>
            </w:pPr>
            <w:r w:rsidRPr="00C75C7E">
              <w:rPr>
                <w:sz w:val="16"/>
                <w:szCs w:val="16"/>
                <w:lang w:val="es-ES_tradnl"/>
              </w:rPr>
              <w:t>Número de países que han elaborado estrategias/planes nacionales de P.I.</w:t>
            </w:r>
          </w:p>
        </w:tc>
        <w:tc>
          <w:tcPr>
            <w:tcW w:w="1156" w:type="pct"/>
            <w:shd w:val="clear" w:color="auto" w:fill="FFFFFF"/>
            <w:tcMar>
              <w:top w:w="113" w:type="dxa"/>
              <w:bottom w:w="85" w:type="dxa"/>
            </w:tcMar>
          </w:tcPr>
          <w:p w:rsidR="00B16400" w:rsidRPr="00872D10" w:rsidRDefault="00B16400" w:rsidP="004341A3">
            <w:pPr>
              <w:widowControl w:val="0"/>
              <w:rPr>
                <w:sz w:val="16"/>
                <w:szCs w:val="16"/>
                <w:lang w:val="es-ES_tradnl" w:bidi="th-TH"/>
              </w:rPr>
            </w:pPr>
            <w:r w:rsidRPr="00872D10">
              <w:rPr>
                <w:sz w:val="16"/>
                <w:szCs w:val="16"/>
                <w:lang w:val="es-ES_tradnl" w:bidi="th-TH"/>
              </w:rPr>
              <w:t>14 (en total al final de 2013).</w:t>
            </w:r>
          </w:p>
          <w:p w:rsidR="00B16400" w:rsidRPr="00872D10" w:rsidRDefault="00B16400" w:rsidP="004341A3">
            <w:pPr>
              <w:widowControl w:val="0"/>
              <w:rPr>
                <w:sz w:val="16"/>
                <w:szCs w:val="16"/>
                <w:lang w:val="es-ES_tradnl" w:bidi="th-TH"/>
              </w:rPr>
            </w:pP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Otros seis países.</w:t>
            </w:r>
          </w:p>
        </w:tc>
      </w:tr>
      <w:tr w:rsidR="00B16400" w:rsidRPr="00C75C7E" w:rsidTr="004341A3">
        <w:trPr>
          <w:cantSplit/>
          <w:trHeight w:val="1689"/>
        </w:trPr>
        <w:tc>
          <w:tcPr>
            <w:tcW w:w="1249" w:type="pct"/>
            <w:shd w:val="clear" w:color="auto" w:fill="auto"/>
            <w:tcMar>
              <w:top w:w="113" w:type="dxa"/>
              <w:bottom w:w="85" w:type="dxa"/>
            </w:tcMar>
          </w:tcPr>
          <w:p w:rsidR="00B16400" w:rsidRPr="00C75C7E" w:rsidRDefault="00B16400" w:rsidP="004341A3">
            <w:pPr>
              <w:widowControl w:val="0"/>
              <w:rPr>
                <w:sz w:val="16"/>
                <w:szCs w:val="16"/>
                <w:lang w:val="es-ES_tradnl"/>
              </w:rPr>
            </w:pPr>
            <w:r w:rsidRPr="00C75C7E">
              <w:rPr>
                <w:sz w:val="16"/>
                <w:szCs w:val="16"/>
                <w:lang w:val="es-ES_tradnl"/>
              </w:rPr>
              <w:t xml:space="preserve">III.2 </w:t>
            </w:r>
            <w:r w:rsidR="001D4249">
              <w:rPr>
                <w:sz w:val="16"/>
                <w:szCs w:val="16"/>
                <w:lang w:val="es-ES_tradnl"/>
              </w:rPr>
              <w:t xml:space="preserve"> </w:t>
            </w:r>
            <w:r w:rsidRPr="00C75C7E">
              <w:rPr>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1514"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Número de países con economías en transición que han establecido programas o cursos anuales de formación en P.I. para los profesionales de la P.I.</w:t>
            </w:r>
          </w:p>
        </w:tc>
        <w:tc>
          <w:tcPr>
            <w:tcW w:w="1156" w:type="pct"/>
            <w:shd w:val="clear" w:color="auto" w:fill="FFFFFF"/>
            <w:tcMar>
              <w:top w:w="113" w:type="dxa"/>
              <w:bottom w:w="85" w:type="dxa"/>
            </w:tcMar>
          </w:tcPr>
          <w:p w:rsidR="00B16400" w:rsidRPr="00872D10" w:rsidRDefault="00B16400" w:rsidP="004341A3">
            <w:pPr>
              <w:widowControl w:val="0"/>
              <w:rPr>
                <w:sz w:val="16"/>
                <w:szCs w:val="16"/>
                <w:lang w:val="es-ES_tradnl" w:bidi="th-TH"/>
              </w:rPr>
            </w:pPr>
            <w:r w:rsidRPr="00872D10">
              <w:rPr>
                <w:sz w:val="16"/>
                <w:szCs w:val="16"/>
                <w:lang w:val="es-ES_tradnl" w:bidi="th-TH"/>
              </w:rPr>
              <w:t>Por determinar.</w:t>
            </w: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10</w:t>
            </w:r>
          </w:p>
        </w:tc>
      </w:tr>
      <w:tr w:rsidR="00B16400" w:rsidRPr="00C75C7E" w:rsidTr="004341A3">
        <w:trPr>
          <w:cantSplit/>
          <w:trHeight w:val="489"/>
        </w:trPr>
        <w:tc>
          <w:tcPr>
            <w:tcW w:w="1249" w:type="pct"/>
            <w:shd w:val="clear" w:color="auto" w:fill="auto"/>
            <w:tcMar>
              <w:top w:w="113" w:type="dxa"/>
              <w:bottom w:w="85"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bottom w:w="85" w:type="dxa"/>
            </w:tcMar>
          </w:tcPr>
          <w:p w:rsidR="00B16400" w:rsidRPr="00C75C7E" w:rsidRDefault="00B16400" w:rsidP="004341A3">
            <w:pPr>
              <w:widowControl w:val="0"/>
              <w:rPr>
                <w:sz w:val="16"/>
                <w:szCs w:val="16"/>
                <w:lang w:val="es-ES_tradnl"/>
              </w:rPr>
            </w:pPr>
            <w:r w:rsidRPr="00C75C7E">
              <w:rPr>
                <w:sz w:val="16"/>
                <w:szCs w:val="16"/>
                <w:lang w:val="es-ES_tradnl"/>
              </w:rPr>
              <w:t>Porcentaje de profesionales de P.I. y funcionarios de oficinas de P.I. que han recibido formación y utilizan en su trabajo las nuevas aptitudes adquiridas.</w:t>
            </w:r>
          </w:p>
        </w:tc>
        <w:tc>
          <w:tcPr>
            <w:tcW w:w="1156" w:type="pct"/>
            <w:shd w:val="clear" w:color="auto" w:fill="FFFFFF"/>
            <w:tcMar>
              <w:top w:w="113" w:type="dxa"/>
              <w:bottom w:w="85" w:type="dxa"/>
            </w:tcMar>
          </w:tcPr>
          <w:p w:rsidR="00B16400" w:rsidRPr="00C75C7E" w:rsidRDefault="00B16400" w:rsidP="004341A3">
            <w:pPr>
              <w:widowControl w:val="0"/>
              <w:rPr>
                <w:sz w:val="16"/>
                <w:szCs w:val="16"/>
                <w:lang w:val="es-ES_tradnl" w:bidi="th-TH"/>
              </w:rPr>
            </w:pPr>
            <w:r w:rsidRPr="00C75C7E">
              <w:rPr>
                <w:sz w:val="16"/>
                <w:szCs w:val="16"/>
                <w:lang w:val="es-ES_tradnl" w:bidi="th-TH"/>
              </w:rPr>
              <w:t>40%</w:t>
            </w:r>
          </w:p>
          <w:p w:rsidR="00B16400" w:rsidRPr="00C75C7E" w:rsidRDefault="00B16400" w:rsidP="004341A3">
            <w:pPr>
              <w:widowControl w:val="0"/>
              <w:rPr>
                <w:sz w:val="16"/>
                <w:szCs w:val="16"/>
                <w:lang w:val="es-ES_tradnl" w:bidi="th-TH"/>
              </w:rPr>
            </w:pP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50%</w:t>
            </w:r>
          </w:p>
        </w:tc>
      </w:tr>
      <w:tr w:rsidR="00B16400" w:rsidRPr="00C75C7E" w:rsidTr="004341A3">
        <w:trPr>
          <w:cantSplit/>
          <w:trHeight w:val="948"/>
        </w:trPr>
        <w:tc>
          <w:tcPr>
            <w:tcW w:w="1249"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III.4</w:t>
            </w:r>
            <w:r w:rsidR="001D4249">
              <w:rPr>
                <w:sz w:val="16"/>
                <w:szCs w:val="16"/>
                <w:lang w:val="es-ES_tradnl"/>
              </w:rPr>
              <w:t xml:space="preserve"> </w:t>
            </w:r>
            <w:r w:rsidRPr="00C75C7E">
              <w:rPr>
                <w:sz w:val="16"/>
                <w:szCs w:val="16"/>
                <w:lang w:val="es-ES_tradnl"/>
              </w:rPr>
              <w:t xml:space="preserve"> Fortalecimiento de los mecanismos de cooperación y de los programas adaptados a las necesidades de los países en desarrollo y los PMA.</w:t>
            </w:r>
          </w:p>
        </w:tc>
        <w:tc>
          <w:tcPr>
            <w:tcW w:w="1514" w:type="pct"/>
            <w:shd w:val="clear" w:color="auto" w:fill="auto"/>
            <w:tcMar>
              <w:top w:w="113" w:type="dxa"/>
              <w:bottom w:w="85" w:type="dxa"/>
            </w:tcMar>
          </w:tcPr>
          <w:p w:rsidR="00B16400" w:rsidRPr="00C75C7E" w:rsidRDefault="00B16400" w:rsidP="004341A3">
            <w:pPr>
              <w:widowControl w:val="0"/>
              <w:rPr>
                <w:sz w:val="16"/>
                <w:szCs w:val="16"/>
                <w:lang w:val="es-ES_tradnl"/>
              </w:rPr>
            </w:pPr>
            <w:r w:rsidRPr="00C75C7E">
              <w:rPr>
                <w:sz w:val="16"/>
                <w:szCs w:val="16"/>
                <w:lang w:val="es-ES_tradnl"/>
              </w:rPr>
              <w:t>Número de asociaciones establecidas en las que la parte que ofrece asistencia procede de un país desarrollado.</w:t>
            </w:r>
          </w:p>
        </w:tc>
        <w:tc>
          <w:tcPr>
            <w:tcW w:w="1156" w:type="pct"/>
            <w:shd w:val="clear" w:color="auto" w:fill="FFFFFF"/>
            <w:tcMar>
              <w:top w:w="113" w:type="dxa"/>
              <w:bottom w:w="85" w:type="dxa"/>
            </w:tcMar>
          </w:tcPr>
          <w:p w:rsidR="00B16400" w:rsidRPr="00C75C7E" w:rsidRDefault="00B16400" w:rsidP="004341A3">
            <w:pPr>
              <w:widowControl w:val="0"/>
              <w:rPr>
                <w:sz w:val="16"/>
                <w:szCs w:val="16"/>
                <w:lang w:val="es-ES_tradnl" w:bidi="th-TH"/>
              </w:rPr>
            </w:pPr>
            <w:r w:rsidRPr="00C75C7E">
              <w:rPr>
                <w:sz w:val="16"/>
                <w:szCs w:val="16"/>
                <w:lang w:val="es-ES_tradnl" w:bidi="th-TH"/>
              </w:rPr>
              <w:t>Por determinar.</w:t>
            </w: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Otros 4 memorandos de entendimiento; otros 10 emparejamientos en la Base de datos de vinculación para atender las necesidades de desarrollo en materia de P.I.</w:t>
            </w:r>
          </w:p>
        </w:tc>
      </w:tr>
      <w:tr w:rsidR="001D4249" w:rsidRPr="00C75C7E" w:rsidTr="004341A3">
        <w:trPr>
          <w:cantSplit/>
          <w:trHeight w:val="1283"/>
        </w:trPr>
        <w:tc>
          <w:tcPr>
            <w:tcW w:w="1249" w:type="pct"/>
            <w:shd w:val="clear" w:color="auto" w:fill="auto"/>
            <w:tcMar>
              <w:top w:w="113" w:type="dxa"/>
              <w:bottom w:w="85" w:type="dxa"/>
            </w:tcMar>
          </w:tcPr>
          <w:p w:rsidR="001D4249" w:rsidRPr="00C75C7E" w:rsidRDefault="001D4249" w:rsidP="001D4249">
            <w:pPr>
              <w:widowControl w:val="0"/>
              <w:rPr>
                <w:sz w:val="16"/>
                <w:szCs w:val="16"/>
                <w:lang w:val="es-ES_tradnl"/>
              </w:rPr>
            </w:pPr>
            <w:r>
              <w:rPr>
                <w:sz w:val="16"/>
                <w:szCs w:val="16"/>
                <w:lang w:val="es-ES_tradnl"/>
              </w:rPr>
              <w:t xml:space="preserve">III.6  </w:t>
            </w:r>
            <w:r w:rsidRPr="00DB4C60">
              <w:rPr>
                <w:sz w:val="16"/>
                <w:szCs w:val="16"/>
                <w:lang w:val="es-ES_tradnl"/>
              </w:rPr>
              <w:t>Mejor capacidad de las pymes para utilizar con éxito la P.I. con el fin de apoyar la innovación</w:t>
            </w:r>
          </w:p>
        </w:tc>
        <w:tc>
          <w:tcPr>
            <w:tcW w:w="1514" w:type="pct"/>
            <w:shd w:val="clear" w:color="auto" w:fill="auto"/>
            <w:tcMar>
              <w:top w:w="113" w:type="dxa"/>
              <w:bottom w:w="85" w:type="dxa"/>
            </w:tcMar>
          </w:tcPr>
          <w:p w:rsidR="001D4249" w:rsidRPr="00C75C7E" w:rsidRDefault="001D4249" w:rsidP="004341A3">
            <w:pPr>
              <w:widowControl w:val="0"/>
              <w:rPr>
                <w:sz w:val="16"/>
                <w:szCs w:val="16"/>
                <w:lang w:val="es-ES_tradnl"/>
              </w:rPr>
            </w:pPr>
            <w:r>
              <w:rPr>
                <w:sz w:val="16"/>
                <w:szCs w:val="16"/>
                <w:lang w:val="es-ES_tradnl"/>
              </w:rPr>
              <w:t>Porcentaje de participantes en programas de formación destinados a instituciones de apoyo a las pymes que manifiestan satisfacción con el contenido y la organización de esos eventos.</w:t>
            </w:r>
          </w:p>
        </w:tc>
        <w:tc>
          <w:tcPr>
            <w:tcW w:w="1156" w:type="pct"/>
            <w:shd w:val="clear" w:color="auto" w:fill="FFFFFF"/>
            <w:tcMar>
              <w:top w:w="113" w:type="dxa"/>
              <w:bottom w:w="85" w:type="dxa"/>
            </w:tcMar>
          </w:tcPr>
          <w:p w:rsidR="001D4249" w:rsidRPr="00C75C7E" w:rsidRDefault="001D4249" w:rsidP="004341A3">
            <w:pPr>
              <w:widowControl w:val="0"/>
              <w:rPr>
                <w:sz w:val="16"/>
                <w:szCs w:val="16"/>
                <w:lang w:val="es-ES_tradnl" w:bidi="th-TH"/>
              </w:rPr>
            </w:pPr>
            <w:r>
              <w:rPr>
                <w:sz w:val="16"/>
                <w:szCs w:val="16"/>
                <w:lang w:val="es-ES_tradnl" w:bidi="th-TH"/>
              </w:rPr>
              <w:t>Por determinar.</w:t>
            </w:r>
          </w:p>
        </w:tc>
        <w:tc>
          <w:tcPr>
            <w:tcW w:w="1081" w:type="pct"/>
            <w:shd w:val="clear" w:color="auto" w:fill="auto"/>
            <w:tcMar>
              <w:top w:w="113" w:type="dxa"/>
              <w:bottom w:w="85" w:type="dxa"/>
            </w:tcMar>
          </w:tcPr>
          <w:p w:rsidR="001D4249" w:rsidRPr="00C75C7E" w:rsidRDefault="001D4249" w:rsidP="004341A3">
            <w:pPr>
              <w:widowControl w:val="0"/>
              <w:ind w:right="161"/>
              <w:rPr>
                <w:bCs/>
                <w:sz w:val="16"/>
                <w:szCs w:val="16"/>
                <w:lang w:val="es-ES_tradnl"/>
              </w:rPr>
            </w:pPr>
            <w:r>
              <w:rPr>
                <w:bCs/>
                <w:sz w:val="16"/>
                <w:szCs w:val="16"/>
                <w:lang w:val="es-ES_tradnl"/>
              </w:rPr>
              <w:t>Por determinar.</w:t>
            </w:r>
          </w:p>
        </w:tc>
      </w:tr>
      <w:tr w:rsidR="001D4249" w:rsidRPr="00C75C7E" w:rsidTr="00460232">
        <w:trPr>
          <w:cantSplit/>
          <w:trHeight w:val="1221"/>
        </w:trPr>
        <w:tc>
          <w:tcPr>
            <w:tcW w:w="1249" w:type="pct"/>
            <w:shd w:val="clear" w:color="auto" w:fill="auto"/>
            <w:tcMar>
              <w:top w:w="113" w:type="dxa"/>
              <w:bottom w:w="85" w:type="dxa"/>
            </w:tcMar>
          </w:tcPr>
          <w:p w:rsidR="001D4249" w:rsidRPr="00C75C7E" w:rsidRDefault="001D4249" w:rsidP="001D4249">
            <w:pPr>
              <w:widowControl w:val="0"/>
              <w:rPr>
                <w:sz w:val="16"/>
                <w:szCs w:val="16"/>
                <w:lang w:val="es-ES_tradnl"/>
              </w:rPr>
            </w:pPr>
          </w:p>
        </w:tc>
        <w:tc>
          <w:tcPr>
            <w:tcW w:w="1514" w:type="pct"/>
            <w:shd w:val="clear" w:color="auto" w:fill="auto"/>
            <w:tcMar>
              <w:top w:w="113" w:type="dxa"/>
              <w:bottom w:w="85" w:type="dxa"/>
            </w:tcMar>
          </w:tcPr>
          <w:p w:rsidR="001D4249" w:rsidRPr="00C75C7E" w:rsidRDefault="00460232" w:rsidP="004341A3">
            <w:pPr>
              <w:widowControl w:val="0"/>
              <w:rPr>
                <w:sz w:val="16"/>
                <w:szCs w:val="16"/>
                <w:lang w:val="es-ES_tradnl"/>
              </w:rPr>
            </w:pPr>
            <w:r w:rsidRPr="00A602DB">
              <w:rPr>
                <w:sz w:val="16"/>
                <w:szCs w:val="16"/>
                <w:lang w:val="es-ES_tradnl"/>
              </w:rPr>
              <w:t xml:space="preserve">Porcentaje de instituciones de apoyo a las pymes </w:t>
            </w:r>
            <w:r>
              <w:rPr>
                <w:sz w:val="16"/>
                <w:szCs w:val="16"/>
                <w:lang w:val="es-ES_tradnl"/>
              </w:rPr>
              <w:t>que han recibido formación, que a su vez brindan información, apoyo y servicios de consultoría/asesoramiento en gestión de activos de P.I.</w:t>
            </w:r>
          </w:p>
        </w:tc>
        <w:tc>
          <w:tcPr>
            <w:tcW w:w="1156" w:type="pct"/>
            <w:shd w:val="clear" w:color="auto" w:fill="FFFFFF"/>
            <w:tcMar>
              <w:top w:w="113" w:type="dxa"/>
              <w:bottom w:w="85" w:type="dxa"/>
            </w:tcMar>
          </w:tcPr>
          <w:p w:rsidR="001D4249" w:rsidRPr="00C75C7E" w:rsidRDefault="001D4249" w:rsidP="004341A3">
            <w:pPr>
              <w:widowControl w:val="0"/>
              <w:rPr>
                <w:sz w:val="16"/>
                <w:szCs w:val="16"/>
                <w:lang w:val="es-ES_tradnl" w:bidi="th-TH"/>
              </w:rPr>
            </w:pPr>
            <w:r>
              <w:rPr>
                <w:sz w:val="16"/>
                <w:szCs w:val="16"/>
                <w:lang w:val="es-ES_tradnl" w:bidi="th-TH"/>
              </w:rPr>
              <w:t>Por determinar.</w:t>
            </w:r>
          </w:p>
        </w:tc>
        <w:tc>
          <w:tcPr>
            <w:tcW w:w="1081" w:type="pct"/>
            <w:shd w:val="clear" w:color="auto" w:fill="auto"/>
            <w:tcMar>
              <w:top w:w="113" w:type="dxa"/>
              <w:bottom w:w="85" w:type="dxa"/>
            </w:tcMar>
          </w:tcPr>
          <w:p w:rsidR="001D4249" w:rsidRPr="00C75C7E" w:rsidRDefault="001D4249" w:rsidP="004341A3">
            <w:pPr>
              <w:widowControl w:val="0"/>
              <w:ind w:right="161"/>
              <w:rPr>
                <w:bCs/>
                <w:sz w:val="16"/>
                <w:szCs w:val="16"/>
                <w:lang w:val="es-ES_tradnl"/>
              </w:rPr>
            </w:pPr>
            <w:r>
              <w:rPr>
                <w:sz w:val="16"/>
                <w:szCs w:val="16"/>
                <w:lang w:val="es-ES_tradnl" w:bidi="th-TH"/>
              </w:rPr>
              <w:t>Por determinar.</w:t>
            </w:r>
          </w:p>
        </w:tc>
      </w:tr>
      <w:tr w:rsidR="001D4249" w:rsidRPr="00C75C7E" w:rsidTr="00460232">
        <w:trPr>
          <w:cantSplit/>
          <w:trHeight w:val="731"/>
        </w:trPr>
        <w:tc>
          <w:tcPr>
            <w:tcW w:w="1249" w:type="pct"/>
            <w:shd w:val="clear" w:color="auto" w:fill="auto"/>
            <w:tcMar>
              <w:top w:w="113" w:type="dxa"/>
              <w:bottom w:w="85" w:type="dxa"/>
            </w:tcMar>
          </w:tcPr>
          <w:p w:rsidR="001D4249" w:rsidRPr="00C75C7E" w:rsidRDefault="001D4249" w:rsidP="001D4249">
            <w:pPr>
              <w:widowControl w:val="0"/>
              <w:rPr>
                <w:sz w:val="16"/>
                <w:szCs w:val="16"/>
                <w:lang w:val="es-ES_tradnl"/>
              </w:rPr>
            </w:pPr>
          </w:p>
        </w:tc>
        <w:tc>
          <w:tcPr>
            <w:tcW w:w="1514" w:type="pct"/>
            <w:shd w:val="clear" w:color="auto" w:fill="auto"/>
            <w:tcMar>
              <w:top w:w="113" w:type="dxa"/>
              <w:bottom w:w="85" w:type="dxa"/>
            </w:tcMar>
          </w:tcPr>
          <w:p w:rsidR="001D4249" w:rsidRPr="00C75C7E" w:rsidRDefault="00460232" w:rsidP="004341A3">
            <w:pPr>
              <w:widowControl w:val="0"/>
              <w:rPr>
                <w:sz w:val="16"/>
                <w:szCs w:val="16"/>
                <w:lang w:val="es-ES_tradnl"/>
              </w:rPr>
            </w:pPr>
            <w:r>
              <w:rPr>
                <w:sz w:val="16"/>
                <w:szCs w:val="16"/>
                <w:lang w:val="es-ES_tradnl"/>
              </w:rPr>
              <w:t>Número de países que han establecido programas de formación en P.I. destinados a las pymes.</w:t>
            </w:r>
          </w:p>
        </w:tc>
        <w:tc>
          <w:tcPr>
            <w:tcW w:w="1156" w:type="pct"/>
            <w:shd w:val="clear" w:color="auto" w:fill="FFFFFF"/>
            <w:tcMar>
              <w:top w:w="113" w:type="dxa"/>
              <w:bottom w:w="85" w:type="dxa"/>
            </w:tcMar>
          </w:tcPr>
          <w:p w:rsidR="001D4249" w:rsidRPr="00C75C7E" w:rsidRDefault="001D4249" w:rsidP="004341A3">
            <w:pPr>
              <w:widowControl w:val="0"/>
              <w:rPr>
                <w:sz w:val="16"/>
                <w:szCs w:val="16"/>
                <w:lang w:val="es-ES_tradnl" w:bidi="th-TH"/>
              </w:rPr>
            </w:pPr>
            <w:r>
              <w:rPr>
                <w:sz w:val="16"/>
                <w:szCs w:val="16"/>
                <w:lang w:val="es-ES_tradnl" w:bidi="th-TH"/>
              </w:rPr>
              <w:t>Por determinar.</w:t>
            </w:r>
          </w:p>
        </w:tc>
        <w:tc>
          <w:tcPr>
            <w:tcW w:w="1081" w:type="pct"/>
            <w:shd w:val="clear" w:color="auto" w:fill="auto"/>
            <w:tcMar>
              <w:top w:w="113" w:type="dxa"/>
              <w:bottom w:w="85" w:type="dxa"/>
            </w:tcMar>
          </w:tcPr>
          <w:p w:rsidR="001D4249" w:rsidRPr="00C75C7E" w:rsidRDefault="001D4249" w:rsidP="004341A3">
            <w:pPr>
              <w:widowControl w:val="0"/>
              <w:ind w:right="161"/>
              <w:rPr>
                <w:bCs/>
                <w:sz w:val="16"/>
                <w:szCs w:val="16"/>
                <w:lang w:val="es-ES_tradnl"/>
              </w:rPr>
            </w:pPr>
            <w:r>
              <w:rPr>
                <w:sz w:val="16"/>
                <w:szCs w:val="16"/>
                <w:lang w:val="es-ES_tradnl" w:bidi="th-TH"/>
              </w:rPr>
              <w:t>Por determinar.</w:t>
            </w:r>
          </w:p>
        </w:tc>
      </w:tr>
      <w:tr w:rsidR="001D4249" w:rsidRPr="00C75C7E" w:rsidTr="004341A3">
        <w:trPr>
          <w:cantSplit/>
          <w:trHeight w:val="1283"/>
        </w:trPr>
        <w:tc>
          <w:tcPr>
            <w:tcW w:w="1249" w:type="pct"/>
            <w:shd w:val="clear" w:color="auto" w:fill="auto"/>
            <w:tcMar>
              <w:top w:w="113" w:type="dxa"/>
              <w:bottom w:w="85" w:type="dxa"/>
            </w:tcMar>
          </w:tcPr>
          <w:p w:rsidR="001D4249" w:rsidRPr="00C75C7E" w:rsidRDefault="00460232" w:rsidP="001D4249">
            <w:pPr>
              <w:widowControl w:val="0"/>
              <w:rPr>
                <w:sz w:val="16"/>
                <w:szCs w:val="16"/>
                <w:lang w:val="es-ES_tradnl"/>
              </w:rPr>
            </w:pPr>
            <w:r w:rsidRPr="00C75C7E">
              <w:rPr>
                <w:sz w:val="16"/>
                <w:szCs w:val="16"/>
                <w:lang w:val="es-ES_tradnl"/>
              </w:rPr>
              <w:t>IV.2</w:t>
            </w:r>
            <w:r>
              <w:rPr>
                <w:sz w:val="16"/>
                <w:szCs w:val="16"/>
                <w:lang w:val="es-ES_tradnl"/>
              </w:rPr>
              <w:t xml:space="preserve"> </w:t>
            </w:r>
            <w:r w:rsidRPr="00C75C7E">
              <w:rPr>
                <w:sz w:val="16"/>
                <w:szCs w:val="16"/>
                <w:lang w:val="es-ES_tradnl"/>
              </w:rPr>
              <w:t xml:space="preserve"> Mejora del acceso y uso de información y </w:t>
            </w:r>
            <w:proofErr w:type="spellStart"/>
            <w:r w:rsidRPr="00C75C7E">
              <w:rPr>
                <w:sz w:val="16"/>
                <w:szCs w:val="16"/>
                <w:lang w:val="es-ES_tradnl"/>
              </w:rPr>
              <w:t>conocimien</w:t>
            </w:r>
            <w:proofErr w:type="spellEnd"/>
            <w:r>
              <w:rPr>
                <w:sz w:val="16"/>
                <w:szCs w:val="16"/>
                <w:lang w:val="es-ES_tradnl"/>
              </w:rPr>
              <w:t>-</w:t>
            </w:r>
            <w:r w:rsidRPr="00C75C7E">
              <w:rPr>
                <w:sz w:val="16"/>
                <w:szCs w:val="16"/>
                <w:lang w:val="es-ES_tradnl"/>
              </w:rPr>
              <w:t>tos de P.I. por parte de instituciones de P.I. y el público para fomentar la innovación y la creatividad.</w:t>
            </w:r>
          </w:p>
        </w:tc>
        <w:tc>
          <w:tcPr>
            <w:tcW w:w="1514" w:type="pct"/>
            <w:shd w:val="clear" w:color="auto" w:fill="auto"/>
            <w:tcMar>
              <w:top w:w="113" w:type="dxa"/>
              <w:bottom w:w="85" w:type="dxa"/>
            </w:tcMar>
          </w:tcPr>
          <w:p w:rsidR="001D4249" w:rsidRDefault="00460232" w:rsidP="00460232">
            <w:pPr>
              <w:widowControl w:val="0"/>
              <w:rPr>
                <w:sz w:val="16"/>
                <w:szCs w:val="16"/>
                <w:lang w:val="es-ES_tradnl"/>
              </w:rPr>
            </w:pPr>
            <w:r w:rsidRPr="001F769A">
              <w:rPr>
                <w:sz w:val="16"/>
                <w:szCs w:val="16"/>
                <w:lang w:val="es-ES_tradnl"/>
              </w:rPr>
              <w:t xml:space="preserve">Número de </w:t>
            </w:r>
            <w:r>
              <w:rPr>
                <w:sz w:val="16"/>
                <w:szCs w:val="16"/>
                <w:lang w:val="es-ES_tradnl"/>
              </w:rPr>
              <w:t>OTT</w:t>
            </w:r>
            <w:r w:rsidRPr="001F769A">
              <w:rPr>
                <w:sz w:val="16"/>
                <w:szCs w:val="16"/>
                <w:lang w:val="es-ES_tradnl"/>
              </w:rPr>
              <w:t xml:space="preserve"> </w:t>
            </w:r>
            <w:r>
              <w:rPr>
                <w:sz w:val="16"/>
                <w:szCs w:val="16"/>
                <w:lang w:val="es-ES_tradnl"/>
              </w:rPr>
              <w:t>o de centros de información establecidos.</w:t>
            </w:r>
          </w:p>
          <w:p w:rsidR="00460232" w:rsidRDefault="00460232" w:rsidP="00460232">
            <w:pPr>
              <w:widowControl w:val="0"/>
              <w:rPr>
                <w:sz w:val="16"/>
                <w:szCs w:val="16"/>
                <w:lang w:val="es-ES_tradnl"/>
              </w:rPr>
            </w:pPr>
          </w:p>
          <w:p w:rsidR="00460232" w:rsidRDefault="00460232" w:rsidP="00460232">
            <w:pPr>
              <w:widowControl w:val="0"/>
              <w:rPr>
                <w:sz w:val="16"/>
                <w:szCs w:val="16"/>
                <w:lang w:val="es-ES_tradnl"/>
              </w:rPr>
            </w:pPr>
          </w:p>
          <w:p w:rsidR="00460232" w:rsidRPr="00C75C7E" w:rsidRDefault="00460232" w:rsidP="00460232">
            <w:pPr>
              <w:widowControl w:val="0"/>
              <w:rPr>
                <w:sz w:val="16"/>
                <w:szCs w:val="16"/>
                <w:lang w:val="es-ES_tradnl"/>
              </w:rPr>
            </w:pPr>
            <w:r>
              <w:rPr>
                <w:sz w:val="16"/>
                <w:szCs w:val="16"/>
                <w:lang w:val="es-ES_tradnl"/>
              </w:rPr>
              <w:t>Número de redes sostenibles de CATI nacionales.</w:t>
            </w:r>
          </w:p>
        </w:tc>
        <w:tc>
          <w:tcPr>
            <w:tcW w:w="1156" w:type="pct"/>
            <w:shd w:val="clear" w:color="auto" w:fill="FFFFFF"/>
            <w:tcMar>
              <w:top w:w="113" w:type="dxa"/>
              <w:bottom w:w="85" w:type="dxa"/>
            </w:tcMar>
          </w:tcPr>
          <w:p w:rsidR="001D4249" w:rsidRDefault="00460232" w:rsidP="004341A3">
            <w:pPr>
              <w:widowControl w:val="0"/>
              <w:rPr>
                <w:sz w:val="16"/>
                <w:szCs w:val="16"/>
                <w:lang w:val="es-ES_tradnl" w:bidi="th-TH"/>
              </w:rPr>
            </w:pPr>
            <w:r>
              <w:rPr>
                <w:sz w:val="16"/>
                <w:szCs w:val="16"/>
                <w:lang w:val="es-ES_tradnl" w:bidi="th-TH"/>
              </w:rPr>
              <w:t>Por confirmar.</w:t>
            </w:r>
          </w:p>
          <w:p w:rsidR="00460232" w:rsidRDefault="00460232" w:rsidP="004341A3">
            <w:pPr>
              <w:widowControl w:val="0"/>
              <w:rPr>
                <w:sz w:val="16"/>
                <w:szCs w:val="16"/>
                <w:lang w:val="es-ES_tradnl" w:bidi="th-TH"/>
              </w:rPr>
            </w:pPr>
          </w:p>
          <w:p w:rsidR="00460232" w:rsidRDefault="00460232" w:rsidP="004341A3">
            <w:pPr>
              <w:widowControl w:val="0"/>
              <w:rPr>
                <w:sz w:val="16"/>
                <w:szCs w:val="16"/>
                <w:lang w:val="es-ES_tradnl" w:bidi="th-TH"/>
              </w:rPr>
            </w:pPr>
          </w:p>
          <w:p w:rsidR="00460232" w:rsidRDefault="00460232" w:rsidP="004341A3">
            <w:pPr>
              <w:widowControl w:val="0"/>
              <w:rPr>
                <w:sz w:val="16"/>
                <w:szCs w:val="16"/>
                <w:lang w:val="es-ES_tradnl" w:bidi="th-TH"/>
              </w:rPr>
            </w:pPr>
          </w:p>
          <w:p w:rsidR="00460232" w:rsidRPr="00C75C7E" w:rsidRDefault="00460232" w:rsidP="004341A3">
            <w:pPr>
              <w:widowControl w:val="0"/>
              <w:rPr>
                <w:sz w:val="16"/>
                <w:szCs w:val="16"/>
                <w:lang w:val="es-ES_tradnl" w:bidi="th-TH"/>
              </w:rPr>
            </w:pPr>
            <w:r>
              <w:rPr>
                <w:sz w:val="16"/>
                <w:szCs w:val="16"/>
                <w:lang w:val="es-ES_tradnl" w:bidi="th-TH"/>
              </w:rPr>
              <w:t>1 red nacional de CATI (en total al final del primer trimestre de 2013): Determinados países de Europa y Asia (1)</w:t>
            </w:r>
          </w:p>
        </w:tc>
        <w:tc>
          <w:tcPr>
            <w:tcW w:w="1081" w:type="pct"/>
            <w:shd w:val="clear" w:color="auto" w:fill="auto"/>
            <w:tcMar>
              <w:top w:w="113" w:type="dxa"/>
              <w:bottom w:w="85" w:type="dxa"/>
            </w:tcMar>
          </w:tcPr>
          <w:p w:rsidR="001D4249" w:rsidRDefault="00460232" w:rsidP="004341A3">
            <w:pPr>
              <w:widowControl w:val="0"/>
              <w:ind w:right="161"/>
              <w:rPr>
                <w:bCs/>
                <w:sz w:val="16"/>
                <w:szCs w:val="16"/>
                <w:lang w:val="es-ES_tradnl"/>
              </w:rPr>
            </w:pPr>
            <w:r>
              <w:rPr>
                <w:bCs/>
                <w:sz w:val="16"/>
                <w:szCs w:val="16"/>
                <w:lang w:val="es-ES_tradnl"/>
              </w:rPr>
              <w:t>Seis OTT o centros de información adicionales.</w:t>
            </w:r>
          </w:p>
          <w:p w:rsidR="00460232" w:rsidRDefault="00460232" w:rsidP="004341A3">
            <w:pPr>
              <w:widowControl w:val="0"/>
              <w:ind w:right="161"/>
              <w:rPr>
                <w:bCs/>
                <w:sz w:val="16"/>
                <w:szCs w:val="16"/>
                <w:lang w:val="es-ES_tradnl"/>
              </w:rPr>
            </w:pPr>
          </w:p>
          <w:p w:rsidR="00460232" w:rsidRPr="00C75C7E" w:rsidRDefault="00460232" w:rsidP="004341A3">
            <w:pPr>
              <w:widowControl w:val="0"/>
              <w:ind w:right="161"/>
              <w:rPr>
                <w:bCs/>
                <w:sz w:val="16"/>
                <w:szCs w:val="16"/>
                <w:lang w:val="es-ES_tradnl"/>
              </w:rPr>
            </w:pPr>
            <w:r>
              <w:rPr>
                <w:bCs/>
                <w:sz w:val="16"/>
                <w:szCs w:val="16"/>
                <w:lang w:val="es-ES_tradnl"/>
              </w:rPr>
              <w:t>2 redes nacionales de CATI (en total): Determinados países de Europa y Asia (2).</w:t>
            </w:r>
          </w:p>
        </w:tc>
      </w:tr>
      <w:tr w:rsidR="001D4249" w:rsidRPr="00C75C7E" w:rsidTr="00460232">
        <w:trPr>
          <w:cantSplit/>
          <w:trHeight w:val="620"/>
        </w:trPr>
        <w:tc>
          <w:tcPr>
            <w:tcW w:w="1249" w:type="pct"/>
            <w:shd w:val="clear" w:color="auto" w:fill="auto"/>
            <w:tcMar>
              <w:top w:w="113" w:type="dxa"/>
              <w:bottom w:w="85" w:type="dxa"/>
            </w:tcMar>
          </w:tcPr>
          <w:p w:rsidR="001D4249" w:rsidRPr="00C75C7E" w:rsidRDefault="001D4249" w:rsidP="001D4249">
            <w:pPr>
              <w:widowControl w:val="0"/>
              <w:rPr>
                <w:sz w:val="16"/>
                <w:szCs w:val="16"/>
                <w:lang w:val="es-ES_tradnl"/>
              </w:rPr>
            </w:pPr>
          </w:p>
        </w:tc>
        <w:tc>
          <w:tcPr>
            <w:tcW w:w="1514" w:type="pct"/>
            <w:shd w:val="clear" w:color="auto" w:fill="auto"/>
            <w:tcMar>
              <w:top w:w="113" w:type="dxa"/>
              <w:bottom w:w="85" w:type="dxa"/>
            </w:tcMar>
          </w:tcPr>
          <w:p w:rsidR="001D4249" w:rsidRPr="00C75C7E" w:rsidRDefault="00460232" w:rsidP="004341A3">
            <w:pPr>
              <w:widowControl w:val="0"/>
              <w:rPr>
                <w:sz w:val="16"/>
                <w:szCs w:val="16"/>
                <w:lang w:val="es-ES_tradnl"/>
              </w:rPr>
            </w:pPr>
            <w:r>
              <w:rPr>
                <w:sz w:val="16"/>
                <w:szCs w:val="16"/>
                <w:lang w:val="es-ES_tradnl"/>
              </w:rPr>
              <w:t>Número promedio de usuarios atendidos por CATI, por trimestre y país.</w:t>
            </w:r>
          </w:p>
        </w:tc>
        <w:tc>
          <w:tcPr>
            <w:tcW w:w="1156" w:type="pct"/>
            <w:shd w:val="clear" w:color="auto" w:fill="FFFFFF"/>
            <w:tcMar>
              <w:top w:w="113" w:type="dxa"/>
              <w:bottom w:w="85" w:type="dxa"/>
            </w:tcMar>
          </w:tcPr>
          <w:p w:rsidR="001D4249" w:rsidRPr="00C75C7E" w:rsidRDefault="00460232" w:rsidP="004341A3">
            <w:pPr>
              <w:widowControl w:val="0"/>
              <w:rPr>
                <w:sz w:val="16"/>
                <w:szCs w:val="16"/>
                <w:lang w:val="es-ES_tradnl" w:bidi="th-TH"/>
              </w:rPr>
            </w:pPr>
            <w:r>
              <w:rPr>
                <w:sz w:val="16"/>
                <w:szCs w:val="16"/>
                <w:lang w:val="es-ES_tradnl" w:bidi="th-TH"/>
              </w:rPr>
              <w:t xml:space="preserve">200 </w:t>
            </w:r>
            <w:r w:rsidR="00231ABD">
              <w:rPr>
                <w:sz w:val="16"/>
                <w:szCs w:val="16"/>
                <w:lang w:val="es-ES_tradnl" w:bidi="th-TH"/>
              </w:rPr>
              <w:t>(mín.)</w:t>
            </w:r>
            <w:r>
              <w:rPr>
                <w:sz w:val="16"/>
                <w:szCs w:val="16"/>
                <w:lang w:val="es-ES_tradnl" w:bidi="th-TH"/>
              </w:rPr>
              <w:t xml:space="preserve"> – 630 </w:t>
            </w:r>
            <w:r w:rsidR="00231ABD">
              <w:rPr>
                <w:sz w:val="16"/>
                <w:szCs w:val="16"/>
                <w:lang w:val="es-ES_tradnl" w:bidi="th-TH"/>
              </w:rPr>
              <w:t>(máx.)</w:t>
            </w:r>
          </w:p>
        </w:tc>
        <w:tc>
          <w:tcPr>
            <w:tcW w:w="1081" w:type="pct"/>
            <w:shd w:val="clear" w:color="auto" w:fill="auto"/>
            <w:tcMar>
              <w:top w:w="113" w:type="dxa"/>
              <w:bottom w:w="85" w:type="dxa"/>
            </w:tcMar>
          </w:tcPr>
          <w:p w:rsidR="001D4249" w:rsidRPr="00C75C7E" w:rsidRDefault="00460232" w:rsidP="004341A3">
            <w:pPr>
              <w:widowControl w:val="0"/>
              <w:ind w:right="161"/>
              <w:rPr>
                <w:bCs/>
                <w:sz w:val="16"/>
                <w:szCs w:val="16"/>
                <w:lang w:val="es-ES_tradnl"/>
              </w:rPr>
            </w:pPr>
            <w:r>
              <w:rPr>
                <w:bCs/>
                <w:sz w:val="16"/>
                <w:szCs w:val="16"/>
                <w:lang w:val="es-ES_tradnl"/>
              </w:rPr>
              <w:t xml:space="preserve">300 </w:t>
            </w:r>
            <w:r w:rsidR="00231ABD">
              <w:rPr>
                <w:bCs/>
                <w:sz w:val="16"/>
                <w:szCs w:val="16"/>
                <w:lang w:val="es-ES_tradnl"/>
              </w:rPr>
              <w:t>(mín.)</w:t>
            </w:r>
            <w:r>
              <w:rPr>
                <w:bCs/>
                <w:sz w:val="16"/>
                <w:szCs w:val="16"/>
                <w:lang w:val="es-ES_tradnl"/>
              </w:rPr>
              <w:t xml:space="preserve"> – 750 </w:t>
            </w:r>
            <w:r w:rsidR="00231ABD">
              <w:rPr>
                <w:bCs/>
                <w:sz w:val="16"/>
                <w:szCs w:val="16"/>
                <w:lang w:val="es-ES_tradnl"/>
              </w:rPr>
              <w:t>(máx.)</w:t>
            </w:r>
          </w:p>
        </w:tc>
      </w:tr>
      <w:tr w:rsidR="00B16400" w:rsidRPr="00C75C7E" w:rsidTr="004341A3">
        <w:trPr>
          <w:cantSplit/>
          <w:trHeight w:val="1283"/>
        </w:trPr>
        <w:tc>
          <w:tcPr>
            <w:tcW w:w="1249" w:type="pct"/>
            <w:shd w:val="clear" w:color="auto" w:fill="auto"/>
            <w:tcMar>
              <w:top w:w="113" w:type="dxa"/>
              <w:bottom w:w="85" w:type="dxa"/>
            </w:tcMar>
          </w:tcPr>
          <w:p w:rsidR="00B16400" w:rsidRPr="00C75C7E" w:rsidRDefault="00B16400" w:rsidP="001D4249">
            <w:pPr>
              <w:widowControl w:val="0"/>
              <w:rPr>
                <w:sz w:val="16"/>
                <w:szCs w:val="16"/>
                <w:lang w:val="es-ES_tradnl"/>
              </w:rPr>
            </w:pPr>
            <w:r w:rsidRPr="00C75C7E">
              <w:rPr>
                <w:sz w:val="16"/>
                <w:szCs w:val="16"/>
                <w:lang w:val="es-ES_tradnl"/>
              </w:rPr>
              <w:t>IV.4</w:t>
            </w:r>
            <w:r w:rsidR="001D4249">
              <w:rPr>
                <w:sz w:val="16"/>
                <w:szCs w:val="16"/>
                <w:lang w:val="es-ES_tradnl"/>
              </w:rPr>
              <w:t xml:space="preserve"> </w:t>
            </w:r>
            <w:r w:rsidRPr="00C75C7E">
              <w:rPr>
                <w:sz w:val="16"/>
                <w:szCs w:val="16"/>
                <w:lang w:val="es-ES_tradnl"/>
              </w:rPr>
              <w:t xml:space="preserve"> Mejora en la infraestructura técnica y de conocimientos de las oficinas y demás instituciones de P.I. </w:t>
            </w:r>
            <w:r w:rsidR="00177006">
              <w:rPr>
                <w:sz w:val="16"/>
                <w:szCs w:val="16"/>
                <w:lang w:val="es-ES_tradnl"/>
              </w:rPr>
              <w:t>que les permita prestar mejores servicios</w:t>
            </w:r>
            <w:r w:rsidRPr="00C75C7E">
              <w:rPr>
                <w:sz w:val="16"/>
                <w:szCs w:val="16"/>
                <w:lang w:val="es-ES_tradnl"/>
              </w:rPr>
              <w:t xml:space="preserve"> (más económicos, más rápidos y de mejor calidad) a sus partes interesadas.</w:t>
            </w:r>
          </w:p>
        </w:tc>
        <w:tc>
          <w:tcPr>
            <w:tcW w:w="1514" w:type="pct"/>
            <w:shd w:val="clear" w:color="auto" w:fill="auto"/>
            <w:tcMar>
              <w:top w:w="113" w:type="dxa"/>
              <w:bottom w:w="85" w:type="dxa"/>
            </w:tcMar>
          </w:tcPr>
          <w:p w:rsidR="00B16400" w:rsidRPr="00C75C7E" w:rsidRDefault="00B16400" w:rsidP="004341A3">
            <w:pPr>
              <w:widowControl w:val="0"/>
              <w:rPr>
                <w:sz w:val="16"/>
                <w:szCs w:val="16"/>
                <w:lang w:val="es-ES_tradnl"/>
              </w:rPr>
            </w:pPr>
            <w:r w:rsidRPr="00C75C7E">
              <w:rPr>
                <w:sz w:val="16"/>
                <w:szCs w:val="16"/>
                <w:lang w:val="es-ES_tradnl"/>
              </w:rPr>
              <w:t>Media del nivel de los servicios prestados por las Oficinas de P.I. que reciben asistencia (en una escala del 1 al 5).</w:t>
            </w:r>
          </w:p>
        </w:tc>
        <w:tc>
          <w:tcPr>
            <w:tcW w:w="1156" w:type="pct"/>
            <w:shd w:val="clear" w:color="auto" w:fill="FFFFFF"/>
            <w:tcMar>
              <w:top w:w="113" w:type="dxa"/>
              <w:bottom w:w="85" w:type="dxa"/>
            </w:tcMar>
          </w:tcPr>
          <w:p w:rsidR="00B16400" w:rsidRPr="00C75C7E" w:rsidRDefault="00B16400" w:rsidP="004341A3">
            <w:pPr>
              <w:widowControl w:val="0"/>
              <w:rPr>
                <w:sz w:val="16"/>
                <w:szCs w:val="16"/>
                <w:lang w:val="es-ES_tradnl" w:bidi="th-TH"/>
              </w:rPr>
            </w:pPr>
            <w:r w:rsidRPr="00C75C7E">
              <w:rPr>
                <w:sz w:val="16"/>
                <w:szCs w:val="16"/>
                <w:lang w:val="es-ES_tradnl" w:bidi="th-TH"/>
              </w:rPr>
              <w:t>Por determinar.</w:t>
            </w:r>
          </w:p>
        </w:tc>
        <w:tc>
          <w:tcPr>
            <w:tcW w:w="1081" w:type="pct"/>
            <w:shd w:val="clear" w:color="auto" w:fill="auto"/>
            <w:tcMar>
              <w:top w:w="113" w:type="dxa"/>
              <w:bottom w:w="85"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Por determinar.</w:t>
            </w:r>
          </w:p>
        </w:tc>
      </w:tr>
    </w:tbl>
    <w:p w:rsidR="00B16400" w:rsidRPr="008A3ABA" w:rsidRDefault="00B16400" w:rsidP="00B16400">
      <w:pPr>
        <w:widowControl w:val="0"/>
        <w:tabs>
          <w:tab w:val="left" w:pos="567"/>
          <w:tab w:val="left" w:pos="1985"/>
        </w:tabs>
        <w:rPr>
          <w:bCs/>
          <w:sz w:val="20"/>
          <w:lang w:val="es-ES_tradnl"/>
        </w:rPr>
      </w:pPr>
    </w:p>
    <w:p w:rsidR="002E7DC3" w:rsidRPr="008A3ABA" w:rsidRDefault="002E7DC3" w:rsidP="002E7DC3">
      <w:pPr>
        <w:widowControl w:val="0"/>
        <w:rPr>
          <w:sz w:val="20"/>
        </w:rPr>
      </w:pPr>
    </w:p>
    <w:p w:rsidR="002E7DC3" w:rsidRPr="009F406F" w:rsidRDefault="002E7DC3" w:rsidP="008A3ABA">
      <w:pPr>
        <w:keepNext/>
        <w:keepLines/>
        <w:widowControl w:val="0"/>
        <w:autoSpaceDE w:val="0"/>
        <w:autoSpaceDN w:val="0"/>
        <w:adjustRightInd w:val="0"/>
        <w:jc w:val="both"/>
        <w:rPr>
          <w:szCs w:val="22"/>
        </w:rPr>
      </w:pPr>
      <w:r w:rsidRPr="00F039C2">
        <w:rPr>
          <w:szCs w:val="22"/>
        </w:rPr>
        <w:lastRenderedPageBreak/>
        <w:t xml:space="preserve">RECURSOS PARA EL PROGRAMA </w:t>
      </w:r>
      <w:r w:rsidRPr="009F406F">
        <w:rPr>
          <w:szCs w:val="22"/>
        </w:rPr>
        <w:t>10</w:t>
      </w:r>
    </w:p>
    <w:p w:rsidR="002E7DC3" w:rsidRPr="009F406F" w:rsidRDefault="002E7DC3" w:rsidP="008A3ABA">
      <w:pPr>
        <w:keepNext/>
        <w:keepLines/>
        <w:widowControl w:val="0"/>
        <w:autoSpaceDE w:val="0"/>
        <w:autoSpaceDN w:val="0"/>
        <w:adjustRightInd w:val="0"/>
        <w:jc w:val="both"/>
        <w:rPr>
          <w:sz w:val="20"/>
        </w:rPr>
      </w:pPr>
    </w:p>
    <w:p w:rsidR="002E7DC3" w:rsidRPr="009F406F" w:rsidRDefault="002E7DC3" w:rsidP="008A3ABA">
      <w:pPr>
        <w:keepNext/>
        <w:keepLines/>
        <w:widowControl w:val="0"/>
        <w:numPr>
          <w:ilvl w:val="0"/>
          <w:numId w:val="32"/>
        </w:numPr>
        <w:ind w:left="0"/>
        <w:jc w:val="both"/>
        <w:rPr>
          <w:sz w:val="20"/>
        </w:rPr>
      </w:pPr>
      <w:r w:rsidRPr="009F406F">
        <w:rPr>
          <w:sz w:val="20"/>
        </w:rPr>
        <w:t>Los cambios en los recursos para los resultados establecidos en este programa se deben principalmente a lo siguiente:  i) la aplicación continuada del modelo de ejecución para las actividades orientadas al desarrollo (resultados I.2 (</w:t>
      </w:r>
      <w:r w:rsidRPr="00CA3895">
        <w:rPr>
          <w:sz w:val="20"/>
        </w:rPr>
        <w:t>Asesoramiento legislativ</w:t>
      </w:r>
      <w:r>
        <w:rPr>
          <w:sz w:val="20"/>
        </w:rPr>
        <w:t>o</w:t>
      </w:r>
      <w:r w:rsidRPr="00CA3895">
        <w:rPr>
          <w:sz w:val="20"/>
        </w:rPr>
        <w:t>)</w:t>
      </w:r>
      <w:r w:rsidRPr="009F406F">
        <w:rPr>
          <w:sz w:val="20"/>
        </w:rPr>
        <w:t xml:space="preserve"> y III.1 (Estrategias nacionales de P.I.));  y ii) la redistribución interna de los recursos a fin de garantizar que se aborden las características</w:t>
      </w:r>
      <w:r w:rsidR="004E3B39">
        <w:rPr>
          <w:sz w:val="20"/>
        </w:rPr>
        <w:t xml:space="preserve"> específicas regionales de las p</w:t>
      </w:r>
      <w:r w:rsidRPr="009F406F">
        <w:rPr>
          <w:sz w:val="20"/>
        </w:rPr>
        <w:t>ymes en consonancia con las estrategias y planes nacionales de P.I. y de dar cabida a las actividades para los países desarrollados.</w:t>
      </w:r>
    </w:p>
    <w:p w:rsidR="002E7DC3" w:rsidRPr="009F406F" w:rsidRDefault="002E7DC3" w:rsidP="002E7DC3">
      <w:pPr>
        <w:widowControl w:val="0"/>
        <w:jc w:val="both"/>
        <w:rPr>
          <w:sz w:val="20"/>
        </w:rPr>
      </w:pPr>
    </w:p>
    <w:p w:rsidR="00B16400" w:rsidRPr="00C75C7E" w:rsidRDefault="00460232" w:rsidP="002E7DC3">
      <w:pPr>
        <w:keepNext/>
        <w:widowControl w:val="0"/>
        <w:autoSpaceDE w:val="0"/>
        <w:autoSpaceDN w:val="0"/>
        <w:adjustRightInd w:val="0"/>
        <w:jc w:val="center"/>
        <w:rPr>
          <w:b/>
          <w:bCs/>
          <w:iCs/>
          <w:sz w:val="20"/>
          <w:lang w:val="es-ES_tradnl"/>
        </w:rPr>
      </w:pPr>
      <w:r>
        <w:rPr>
          <w:b/>
          <w:bCs/>
          <w:iCs/>
          <w:sz w:val="20"/>
          <w:lang w:val="es-ES_tradnl"/>
        </w:rPr>
        <w:t>Programa 10</w:t>
      </w:r>
      <w:proofErr w:type="gramStart"/>
      <w:r>
        <w:rPr>
          <w:b/>
          <w:bCs/>
          <w:iCs/>
          <w:sz w:val="20"/>
          <w:lang w:val="es-ES_tradnl"/>
        </w:rPr>
        <w:t xml:space="preserve">:  </w:t>
      </w:r>
      <w:r w:rsidR="00B16400" w:rsidRPr="00C75C7E">
        <w:rPr>
          <w:b/>
          <w:bCs/>
          <w:iCs/>
          <w:sz w:val="20"/>
          <w:lang w:val="es-ES_tradnl"/>
        </w:rPr>
        <w:t>Recursos</w:t>
      </w:r>
      <w:proofErr w:type="gramEnd"/>
      <w:r w:rsidR="00B16400" w:rsidRPr="00C75C7E">
        <w:rPr>
          <w:b/>
          <w:bCs/>
          <w:iCs/>
          <w:sz w:val="20"/>
          <w:lang w:val="es-ES_tradnl"/>
        </w:rPr>
        <w:t xml:space="preserve"> por resultado</w:t>
      </w:r>
    </w:p>
    <w:p w:rsidR="00B16400" w:rsidRPr="00C75C7E" w:rsidRDefault="00B16400" w:rsidP="002E7DC3">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16400" w:rsidRDefault="00B16400" w:rsidP="002E7DC3">
      <w:pPr>
        <w:keepNext/>
        <w:widowControl w:val="0"/>
        <w:autoSpaceDE w:val="0"/>
        <w:autoSpaceDN w:val="0"/>
        <w:adjustRightInd w:val="0"/>
        <w:jc w:val="center"/>
        <w:rPr>
          <w:bCs/>
          <w:i/>
          <w:sz w:val="20"/>
          <w:lang w:val="es-ES_tradnl"/>
        </w:rPr>
      </w:pPr>
    </w:p>
    <w:p w:rsidR="006265DC" w:rsidRPr="00C75C7E" w:rsidRDefault="00460232" w:rsidP="002E7DC3">
      <w:pPr>
        <w:keepNext/>
        <w:widowControl w:val="0"/>
        <w:autoSpaceDE w:val="0"/>
        <w:autoSpaceDN w:val="0"/>
        <w:adjustRightInd w:val="0"/>
        <w:jc w:val="center"/>
        <w:rPr>
          <w:bCs/>
          <w:i/>
          <w:sz w:val="20"/>
          <w:lang w:val="es-ES_tradnl"/>
        </w:rPr>
      </w:pPr>
      <w:r w:rsidRPr="00460232">
        <w:rPr>
          <w:noProof/>
          <w:lang w:val="en-US" w:eastAsia="en-US"/>
        </w:rPr>
        <w:drawing>
          <wp:inline distT="0" distB="0" distL="0" distR="0" wp14:anchorId="52227B00" wp14:editId="0FD59D5F">
            <wp:extent cx="5762625" cy="6191250"/>
            <wp:effectExtent l="0" t="0" r="9525"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62625" cy="6191250"/>
                    </a:xfrm>
                    <a:prstGeom prst="rect">
                      <a:avLst/>
                    </a:prstGeom>
                    <a:noFill/>
                    <a:ln>
                      <a:noFill/>
                    </a:ln>
                  </pic:spPr>
                </pic:pic>
              </a:graphicData>
            </a:graphic>
          </wp:inline>
        </w:drawing>
      </w:r>
    </w:p>
    <w:p w:rsidR="00B16400" w:rsidRPr="00C75C7E" w:rsidRDefault="00B16400" w:rsidP="00B16400">
      <w:pPr>
        <w:widowControl w:val="0"/>
        <w:autoSpaceDE w:val="0"/>
        <w:autoSpaceDN w:val="0"/>
        <w:adjustRightInd w:val="0"/>
        <w:rPr>
          <w:sz w:val="20"/>
          <w:lang w:val="es-ES_tradnl"/>
        </w:rPr>
      </w:pPr>
    </w:p>
    <w:p w:rsidR="00B16400" w:rsidRPr="00C75C7E" w:rsidRDefault="00B16400" w:rsidP="00B16400">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506923">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B16400" w:rsidRPr="00C75C7E" w:rsidRDefault="00B16400" w:rsidP="00B16400">
      <w:pPr>
        <w:widowControl w:val="0"/>
        <w:autoSpaceDE w:val="0"/>
        <w:autoSpaceDN w:val="0"/>
        <w:adjustRightInd w:val="0"/>
        <w:rPr>
          <w:sz w:val="20"/>
          <w:lang w:val="es-ES_tradnl"/>
        </w:rPr>
      </w:pPr>
    </w:p>
    <w:p w:rsidR="00B16400" w:rsidRPr="00C75C7E" w:rsidRDefault="00B16400" w:rsidP="00B16400">
      <w:pPr>
        <w:widowControl w:val="0"/>
        <w:autoSpaceDE w:val="0"/>
        <w:autoSpaceDN w:val="0"/>
        <w:adjustRightInd w:val="0"/>
        <w:rPr>
          <w:sz w:val="20"/>
          <w:lang w:val="es-ES_tradnl"/>
        </w:rPr>
      </w:pPr>
    </w:p>
    <w:p w:rsidR="00B16400" w:rsidRPr="00C75C7E" w:rsidRDefault="001144DA" w:rsidP="002E7DC3">
      <w:pPr>
        <w:keepNext/>
        <w:widowControl w:val="0"/>
        <w:autoSpaceDE w:val="0"/>
        <w:autoSpaceDN w:val="0"/>
        <w:adjustRightInd w:val="0"/>
        <w:ind w:firstLine="567"/>
        <w:jc w:val="center"/>
        <w:rPr>
          <w:b/>
          <w:bCs/>
          <w:iCs/>
          <w:sz w:val="20"/>
          <w:lang w:val="es-ES_tradnl"/>
        </w:rPr>
      </w:pPr>
      <w:r>
        <w:rPr>
          <w:b/>
          <w:bCs/>
          <w:iCs/>
          <w:sz w:val="20"/>
          <w:lang w:val="es-ES_tradnl"/>
        </w:rPr>
        <w:lastRenderedPageBreak/>
        <w:t>Programa 10</w:t>
      </w:r>
      <w:proofErr w:type="gramStart"/>
      <w:r>
        <w:rPr>
          <w:b/>
          <w:bCs/>
          <w:iCs/>
          <w:sz w:val="20"/>
          <w:lang w:val="es-ES_tradnl"/>
        </w:rPr>
        <w:t xml:space="preserve">:  </w:t>
      </w:r>
      <w:r w:rsidR="00B16400" w:rsidRPr="00C75C7E">
        <w:rPr>
          <w:b/>
          <w:bCs/>
          <w:iCs/>
          <w:sz w:val="20"/>
          <w:lang w:val="es-ES_tradnl"/>
        </w:rPr>
        <w:t>Recursos</w:t>
      </w:r>
      <w:proofErr w:type="gramEnd"/>
      <w:r w:rsidR="00B16400" w:rsidRPr="00C75C7E">
        <w:rPr>
          <w:b/>
          <w:bCs/>
          <w:iCs/>
          <w:sz w:val="20"/>
          <w:lang w:val="es-ES_tradnl"/>
        </w:rPr>
        <w:t xml:space="preserve"> por objeto de gasto</w:t>
      </w:r>
    </w:p>
    <w:p w:rsidR="00B16400" w:rsidRPr="00C75C7E" w:rsidRDefault="00B16400" w:rsidP="002E7DC3">
      <w:pPr>
        <w:keepNext/>
        <w:widowControl w:val="0"/>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16400" w:rsidRDefault="00B16400" w:rsidP="002E7DC3">
      <w:pPr>
        <w:keepNext/>
        <w:widowControl w:val="0"/>
        <w:jc w:val="center"/>
        <w:rPr>
          <w:sz w:val="18"/>
          <w:szCs w:val="18"/>
          <w:lang w:val="es-ES_tradnl"/>
        </w:rPr>
      </w:pPr>
    </w:p>
    <w:p w:rsidR="00723CAF" w:rsidRPr="00C75C7E" w:rsidRDefault="00C40A11" w:rsidP="002E7DC3">
      <w:pPr>
        <w:keepNext/>
        <w:widowControl w:val="0"/>
        <w:jc w:val="center"/>
        <w:rPr>
          <w:sz w:val="18"/>
          <w:szCs w:val="18"/>
          <w:lang w:val="es-ES_tradnl"/>
        </w:rPr>
      </w:pPr>
      <w:r>
        <w:rPr>
          <w:noProof/>
          <w:lang w:val="en-US" w:eastAsia="en-US"/>
        </w:rPr>
        <w:drawing>
          <wp:inline distT="0" distB="0" distL="0" distR="0" wp14:anchorId="11030E58" wp14:editId="3D4A0EBA">
            <wp:extent cx="5936615" cy="5732145"/>
            <wp:effectExtent l="0" t="0" r="6985" b="190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36615" cy="5732145"/>
                    </a:xfrm>
                    <a:prstGeom prst="rect">
                      <a:avLst/>
                    </a:prstGeom>
                    <a:noFill/>
                    <a:ln>
                      <a:noFill/>
                    </a:ln>
                  </pic:spPr>
                </pic:pic>
              </a:graphicData>
            </a:graphic>
          </wp:inline>
        </w:drawing>
      </w:r>
    </w:p>
    <w:p w:rsidR="00723CAF" w:rsidRDefault="00723CAF" w:rsidP="00B16400">
      <w:pPr>
        <w:widowControl w:val="0"/>
        <w:rPr>
          <w:sz w:val="18"/>
          <w:szCs w:val="18"/>
          <w:lang w:val="es-ES_tradnl"/>
        </w:rPr>
      </w:pPr>
    </w:p>
    <w:p w:rsidR="00B16400" w:rsidRPr="00C75C7E" w:rsidRDefault="00B16400" w:rsidP="00B16400">
      <w:pPr>
        <w:widowControl w:val="0"/>
        <w:rPr>
          <w:sz w:val="16"/>
          <w:szCs w:val="16"/>
          <w:lang w:val="es-ES_tradnl"/>
        </w:rPr>
      </w:pPr>
      <w:r w:rsidRPr="00C75C7E">
        <w:rPr>
          <w:sz w:val="16"/>
          <w:szCs w:val="16"/>
          <w:lang w:val="es-ES_tradnl"/>
        </w:rPr>
        <w:t>Notas:</w:t>
      </w:r>
    </w:p>
    <w:p w:rsidR="00B16400" w:rsidRPr="00C75C7E" w:rsidRDefault="00B16400" w:rsidP="00B16400">
      <w:pPr>
        <w:widowControl w:val="0"/>
        <w:rPr>
          <w:sz w:val="16"/>
          <w:szCs w:val="16"/>
          <w:u w:val="single"/>
          <w:lang w:val="es-ES_tradnl"/>
        </w:rPr>
      </w:pPr>
    </w:p>
    <w:p w:rsidR="00B16400" w:rsidRDefault="00B16400" w:rsidP="00B16400">
      <w:pPr>
        <w:widowControl w:val="0"/>
        <w:tabs>
          <w:tab w:val="left" w:pos="567"/>
        </w:tabs>
        <w:rPr>
          <w:sz w:val="16"/>
          <w:szCs w:val="16"/>
          <w:lang w:val="es-ES_tradnl"/>
        </w:rPr>
      </w:pPr>
      <w:r w:rsidRPr="00C75C7E">
        <w:rPr>
          <w:sz w:val="16"/>
          <w:szCs w:val="16"/>
          <w:lang w:val="es-ES_tradnl"/>
        </w:rPr>
        <w:t xml:space="preserve">1)  El presupuesto aprobado de 2012/13 y el presupuesto de dicho bienio después de las transferencias se </w:t>
      </w:r>
      <w:proofErr w:type="spellStart"/>
      <w:r w:rsidRPr="00C75C7E">
        <w:rPr>
          <w:sz w:val="16"/>
          <w:szCs w:val="16"/>
          <w:lang w:val="es-ES_tradnl"/>
        </w:rPr>
        <w:t>reexpresan</w:t>
      </w:r>
      <w:proofErr w:type="spellEnd"/>
      <w:r w:rsidRPr="00C75C7E">
        <w:rPr>
          <w:sz w:val="16"/>
          <w:szCs w:val="16"/>
          <w:lang w:val="es-ES_tradnl"/>
        </w:rPr>
        <w:t xml:space="preserve"> sobre la base de la estructura de categorías de costos propuesta para 2014/15.</w:t>
      </w:r>
    </w:p>
    <w:p w:rsidR="00B16400" w:rsidRPr="00C75C7E" w:rsidRDefault="00B16400" w:rsidP="00B16400">
      <w:pPr>
        <w:widowControl w:val="0"/>
        <w:tabs>
          <w:tab w:val="left" w:pos="567"/>
        </w:tabs>
        <w:rPr>
          <w:sz w:val="16"/>
          <w:szCs w:val="16"/>
          <w:lang w:val="es-ES_tradnl"/>
        </w:rPr>
      </w:pPr>
    </w:p>
    <w:p w:rsidR="00B16400" w:rsidRDefault="00506923" w:rsidP="00B16400">
      <w:pPr>
        <w:widowControl w:val="0"/>
        <w:rPr>
          <w:rFonts w:cs="ArialMT"/>
          <w:sz w:val="16"/>
          <w:szCs w:val="16"/>
          <w:lang w:val="es-ES_tradnl"/>
        </w:rPr>
      </w:pPr>
      <w:r>
        <w:rPr>
          <w:sz w:val="16"/>
          <w:szCs w:val="16"/>
          <w:lang w:val="es-ES_tradnl"/>
        </w:rPr>
        <w:t xml:space="preserve">2)  </w:t>
      </w:r>
      <w:r w:rsidR="00B16400"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00B16400"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B16400" w:rsidRPr="00C75C7E" w:rsidRDefault="00B16400" w:rsidP="00B16400">
      <w:pPr>
        <w:widowControl w:val="0"/>
        <w:rPr>
          <w:sz w:val="16"/>
          <w:szCs w:val="16"/>
          <w:lang w:val="es-ES_tradnl"/>
        </w:rPr>
      </w:pPr>
    </w:p>
    <w:p w:rsidR="00B16400" w:rsidRPr="00C75C7E" w:rsidRDefault="00B16400" w:rsidP="00B16400">
      <w:pPr>
        <w:widowControl w:val="0"/>
        <w:rPr>
          <w:sz w:val="16"/>
          <w:szCs w:val="16"/>
          <w:lang w:val="es-ES_tradnl"/>
        </w:rPr>
      </w:pPr>
      <w:r>
        <w:rPr>
          <w:sz w:val="16"/>
          <w:szCs w:val="16"/>
          <w:lang w:val="es-ES_tradnl"/>
        </w:rPr>
        <w:t>3)</w:t>
      </w:r>
      <w:r w:rsidR="00506923">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2E7DC3" w:rsidRPr="008541BE" w:rsidRDefault="00B16400" w:rsidP="008541BE">
      <w:pPr>
        <w:pStyle w:val="Heading3"/>
        <w:tabs>
          <w:tab w:val="left" w:pos="1985"/>
        </w:tabs>
        <w:rPr>
          <w:b/>
          <w:iCs/>
          <w:caps/>
          <w:u w:val="none"/>
        </w:rPr>
      </w:pPr>
      <w:r w:rsidRPr="00C75C7E">
        <w:rPr>
          <w:sz w:val="16"/>
          <w:szCs w:val="16"/>
          <w:lang w:val="es-ES_tradnl"/>
        </w:rPr>
        <w:br w:type="page"/>
      </w:r>
      <w:bookmarkStart w:id="47" w:name="_Toc356567760"/>
      <w:bookmarkStart w:id="48" w:name="_Toc366078722"/>
      <w:r w:rsidR="006A15F5" w:rsidRPr="008541BE">
        <w:rPr>
          <w:b/>
          <w:iCs/>
          <w:u w:val="none"/>
        </w:rPr>
        <w:lastRenderedPageBreak/>
        <w:t>PROGRAMA 11</w:t>
      </w:r>
      <w:r w:rsidR="006A15F5" w:rsidRPr="008541BE">
        <w:rPr>
          <w:b/>
          <w:iCs/>
          <w:u w:val="none"/>
        </w:rPr>
        <w:tab/>
      </w:r>
      <w:r w:rsidR="001144DA">
        <w:rPr>
          <w:b/>
          <w:iCs/>
          <w:u w:val="none"/>
        </w:rPr>
        <w:t xml:space="preserve">ACADEMIA </w:t>
      </w:r>
      <w:r w:rsidR="006A15F5" w:rsidRPr="008541BE">
        <w:rPr>
          <w:b/>
          <w:iCs/>
          <w:u w:val="none"/>
        </w:rPr>
        <w:t>DE LA OMPI</w:t>
      </w:r>
      <w:bookmarkEnd w:id="47"/>
      <w:bookmarkEnd w:id="48"/>
      <w:r w:rsidR="006A15F5" w:rsidRPr="008541BE">
        <w:rPr>
          <w:b/>
          <w:iCs/>
          <w:u w:val="none"/>
        </w:rPr>
        <w:t xml:space="preserve"> </w:t>
      </w:r>
    </w:p>
    <w:p w:rsidR="002E7DC3" w:rsidRPr="002E7DC3" w:rsidRDefault="002E7DC3" w:rsidP="006A15F5">
      <w:pPr>
        <w:rPr>
          <w:lang w:eastAsia="en-US"/>
        </w:rPr>
      </w:pPr>
    </w:p>
    <w:p w:rsidR="002E7DC3" w:rsidRPr="002E7DC3" w:rsidRDefault="002E7DC3" w:rsidP="006A15F5">
      <w:pPr>
        <w:rPr>
          <w:rFonts w:cs="Times New Roman"/>
          <w:lang w:eastAsia="en-US"/>
        </w:rPr>
      </w:pPr>
    </w:p>
    <w:p w:rsidR="002E7DC3" w:rsidRPr="002E7DC3" w:rsidRDefault="002E7DC3" w:rsidP="002E7DC3">
      <w:pPr>
        <w:widowControl w:val="0"/>
        <w:ind w:left="1985" w:hanging="1985"/>
        <w:jc w:val="both"/>
        <w:rPr>
          <w:rFonts w:eastAsia="Times New Roman"/>
          <w:szCs w:val="22"/>
          <w:lang w:eastAsia="en-US"/>
        </w:rPr>
      </w:pPr>
      <w:r w:rsidRPr="002E7DC3">
        <w:rPr>
          <w:rFonts w:eastAsia="Times New Roman"/>
          <w:szCs w:val="22"/>
          <w:lang w:eastAsia="en-US"/>
        </w:rPr>
        <w:t xml:space="preserve">CONTEXTO DE PLANIFICACIÓN  </w:t>
      </w:r>
    </w:p>
    <w:p w:rsidR="002E7DC3" w:rsidRPr="002E7DC3" w:rsidRDefault="002E7DC3" w:rsidP="002E7DC3">
      <w:pPr>
        <w:widowControl w:val="0"/>
        <w:autoSpaceDE w:val="0"/>
        <w:autoSpaceDN w:val="0"/>
        <w:adjustRightInd w:val="0"/>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En el momento en que se constituyó, en 1998, la Academia de la OMPI era el principal proveedor de formación y educación para el desarrollo.  En la actualidad, son varios los programas de la OMPI que incluyen un componente de formación y los recursos de la Academia son tan solo una fracción de los recursos generales que la Organización dedica al fortalecimiento de las capacidades.</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 xml:space="preserve">En un examen independiente de la Academia de la OMPI que se realizó en 2012 para  la dirección se concluyó que la OMPI tiene un ámbito de actuación claro en la formación orientada al desarrollo y una ventaja comparativa respecto de otros proveedores de formación en P.I.  En el examen se recomendaba que a fin de lograr una planificación más integrada de las actividades de formación y fortalecimiento de capacidades que realiza la OMPI y aprovechar al máximo los recursos disponibles, a medio plazo, todas las actividades de esa índole debían agruparse en una sola dependencia.  </w:t>
      </w:r>
      <w:r w:rsidR="001144DA">
        <w:rPr>
          <w:rFonts w:eastAsia="Times New Roman"/>
          <w:sz w:val="20"/>
          <w:lang w:eastAsia="en-US"/>
        </w:rPr>
        <w:t>La Academia</w:t>
      </w:r>
      <w:r w:rsidRPr="002E7DC3">
        <w:rPr>
          <w:rFonts w:eastAsia="Times New Roman"/>
          <w:sz w:val="20"/>
          <w:lang w:eastAsia="en-US"/>
        </w:rPr>
        <w:t xml:space="preserve"> pasaría a ser el principal vehículo de la Organización para la formación y el fortalecimiento de las capacidades y desempeñaría cinco funciones principales:  órgano ejecutor para la prestación directa de servicios de formación profesional;  catalizador de redes y asociaciones para ampliar la diversidad de las oportunidades de formación en los países y su repercusión;  centro propio de excelencia en la formación;  centro de información en Internet de acceso abierto sobre todas las actividades, herramientas y servicios de formación de la OMPI;  y una plataforma que agrupe las redes virtuales de asociados, expertos y docentes en el ámbito de la formación en P.I. orientada al desarrollo. </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Sin dejar de reconocer los esfuerzos que lleva a cabo actualmente la Academia y los excelentes resultados de su programa de enseñanza a distancia, en el examen se critica la falta de políticas explícitas sobre asociaciones y de un mecanismo transparente para examinar, actualizar y orientar hacia el desarrollo los contenidos, el conjunto de competencias que fomenta actualmente y las sinergias insuficientes con otros ámbitos de la Organización.  Finalmente, en el examen se esbozaba un plan quinquenal para la transición desde el formato actual hasta el establecimiento de un</w:t>
      </w:r>
      <w:r w:rsidR="001144DA">
        <w:rPr>
          <w:rFonts w:eastAsia="Times New Roman"/>
          <w:sz w:val="20"/>
          <w:lang w:eastAsia="en-US"/>
        </w:rPr>
        <w:t>a Academia</w:t>
      </w:r>
      <w:r w:rsidRPr="002E7DC3">
        <w:rPr>
          <w:rFonts w:eastAsia="Times New Roman"/>
          <w:sz w:val="20"/>
          <w:lang w:eastAsia="en-US"/>
        </w:rPr>
        <w:t xml:space="preserve"> de la OMPI plenamente desarrollad</w:t>
      </w:r>
      <w:r w:rsidR="001144DA">
        <w:rPr>
          <w:rFonts w:eastAsia="Times New Roman"/>
          <w:sz w:val="20"/>
          <w:lang w:eastAsia="en-US"/>
        </w:rPr>
        <w:t>a</w:t>
      </w:r>
      <w:r w:rsidRPr="002E7DC3">
        <w:rPr>
          <w:rFonts w:eastAsia="Times New Roman"/>
          <w:sz w:val="20"/>
          <w:lang w:eastAsia="en-US"/>
        </w:rPr>
        <w:t xml:space="preserve"> y se formulaban recomendaciones pormenorizadas sobre el mandato, las políticas, el ámbito de aplicación y el modo de funcionar de</w:t>
      </w:r>
      <w:r w:rsidR="001144DA">
        <w:rPr>
          <w:rFonts w:eastAsia="Times New Roman"/>
          <w:sz w:val="20"/>
          <w:lang w:eastAsia="en-US"/>
        </w:rPr>
        <w:t xml:space="preserve"> la </w:t>
      </w:r>
      <w:r w:rsidR="001144DA" w:rsidRPr="001144DA">
        <w:rPr>
          <w:rFonts w:eastAsia="Times New Roman"/>
          <w:sz w:val="20"/>
          <w:lang w:eastAsia="en-US"/>
        </w:rPr>
        <w:t>A</w:t>
      </w:r>
      <w:r w:rsidR="001144DA">
        <w:rPr>
          <w:rFonts w:eastAsia="Times New Roman"/>
          <w:sz w:val="20"/>
          <w:lang w:eastAsia="en-US"/>
        </w:rPr>
        <w:t>cademia</w:t>
      </w:r>
      <w:r w:rsidRPr="002E7DC3">
        <w:rPr>
          <w:rFonts w:eastAsia="Times New Roman"/>
          <w:sz w:val="20"/>
          <w:lang w:eastAsia="en-US"/>
        </w:rPr>
        <w:t xml:space="preserve">.  </w:t>
      </w:r>
    </w:p>
    <w:p w:rsidR="002E7DC3" w:rsidRDefault="002E7DC3" w:rsidP="002E7DC3">
      <w:pPr>
        <w:widowControl w:val="0"/>
        <w:autoSpaceDE w:val="0"/>
        <w:autoSpaceDN w:val="0"/>
        <w:adjustRightInd w:val="0"/>
        <w:jc w:val="both"/>
        <w:rPr>
          <w:rFonts w:eastAsia="Times New Roman"/>
          <w:bCs/>
          <w:sz w:val="20"/>
          <w:lang w:eastAsia="en-US"/>
        </w:rPr>
      </w:pPr>
    </w:p>
    <w:p w:rsidR="002E7DC3" w:rsidRPr="002E7DC3" w:rsidRDefault="002E7DC3" w:rsidP="002E7DC3">
      <w:pPr>
        <w:widowControl w:val="0"/>
        <w:autoSpaceDE w:val="0"/>
        <w:autoSpaceDN w:val="0"/>
        <w:adjustRightInd w:val="0"/>
        <w:jc w:val="both"/>
        <w:rPr>
          <w:rFonts w:eastAsia="Times New Roman"/>
          <w:bCs/>
          <w:sz w:val="20"/>
          <w:lang w:eastAsia="en-US"/>
        </w:rPr>
      </w:pPr>
    </w:p>
    <w:p w:rsidR="002E7DC3" w:rsidRPr="002E7DC3" w:rsidRDefault="002E7DC3" w:rsidP="002E7DC3">
      <w:pPr>
        <w:widowControl w:val="0"/>
        <w:ind w:right="363"/>
        <w:rPr>
          <w:rFonts w:eastAsia="Times New Roman"/>
          <w:szCs w:val="22"/>
          <w:lang w:eastAsia="en-US"/>
        </w:rPr>
      </w:pPr>
      <w:r w:rsidRPr="002E7DC3">
        <w:rPr>
          <w:rFonts w:eastAsia="Times New Roman"/>
          <w:szCs w:val="22"/>
          <w:lang w:eastAsia="en-US"/>
        </w:rPr>
        <w:t xml:space="preserve">ESTRATEGIAS DE EJECUCIÓN </w:t>
      </w:r>
    </w:p>
    <w:p w:rsidR="002E7DC3" w:rsidRPr="002E7DC3" w:rsidRDefault="002E7DC3" w:rsidP="002E7DC3">
      <w:pPr>
        <w:widowControl w:val="0"/>
        <w:autoSpaceDE w:val="0"/>
        <w:autoSpaceDN w:val="0"/>
        <w:adjustRightInd w:val="0"/>
        <w:jc w:val="both"/>
        <w:rPr>
          <w:rFonts w:eastAsia="Times New Roman"/>
          <w:bCs/>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A raíz de lo anterior, el desafío principal del programa para el próximo bienio es la puesta en marcha de la ejecución de dicha visión sin dejar de ofrecer a los Estados miembros servicios de formación y educación de gran calidad en consonancia con las recomendaciones 1, 3, 6 y 12 de la A.D.</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 xml:space="preserve">En el próximo bienio, la OMPI sentará las bases para que la Academia vuelva a ser la dependencia principal de la OMPI en formación y fortalecimiento de las capacidades para los países en desarrollo, los PMA y los países con economías en transición.  Ello incluirá la publicación de directrices de política sobre las respectivas funciones y responsabilidades </w:t>
      </w:r>
      <w:r w:rsidR="001144DA">
        <w:rPr>
          <w:rFonts w:eastAsia="Times New Roman"/>
          <w:sz w:val="20"/>
          <w:lang w:eastAsia="en-US"/>
        </w:rPr>
        <w:t>de la Academia</w:t>
      </w:r>
      <w:r w:rsidRPr="002E7DC3">
        <w:rPr>
          <w:rFonts w:eastAsia="Times New Roman"/>
          <w:sz w:val="20"/>
          <w:lang w:eastAsia="en-US"/>
        </w:rPr>
        <w:t>, las Oficinas Regionales</w:t>
      </w:r>
      <w:r w:rsidR="001144DA">
        <w:rPr>
          <w:rFonts w:eastAsia="Times New Roman"/>
          <w:sz w:val="20"/>
          <w:lang w:eastAsia="en-US"/>
        </w:rPr>
        <w:t xml:space="preserve"> en la Sede</w:t>
      </w:r>
      <w:r w:rsidRPr="002E7DC3">
        <w:rPr>
          <w:rFonts w:eastAsia="Times New Roman"/>
          <w:sz w:val="20"/>
          <w:lang w:eastAsia="en-US"/>
        </w:rPr>
        <w:t>, la División de PMA, el programa 10 (Cooperación con determinados países de Europa y Asia), las oficinas en el exterior y los sectores especializados que tienen un componente de formación.  Además, se establecerá un mecanismo que permita coordinar mejor la formación con las evaluaciones de necesidades de los países y los planes nacionales, elaborar planes anuales de trabajo integrados, establecer procesos explícitos para aprovechar las evaluaciones de países que lleva a cabo la DASI y servirse de las reuniones regionales y subregionales sobre P.I. y de los grupos regionales para solicitar información sobre las necesidades de formación de una región concreta.</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 xml:space="preserve">En una segunda etapa, la OMPI llevará a cabo una revisión general de la cartera de formación profesional que ofrece actualmente la Academia con objeto de alinearla con una declaración de política sobre su ámbito de actuación estratégico, los beneficiarios específicos y los temas prioritarios.  Se propone que debe concederse prioridad a los funcionarios gubernamentales y a los empleados del sector público de los Estados miembros (incluidos los encargados de la adopción de políticas y los administradores procedentes de cualquier organismo o ministerio gubernamental del que emerjan cuestiones de P.I., jueces y diplomáticos), así como a las organizaciones que participan en procesos consultivos nacionales sobre adopción de políticas de P.I. y asociaciones de partes interesadas con un </w:t>
      </w:r>
      <w:r w:rsidRPr="002E7DC3">
        <w:rPr>
          <w:rFonts w:eastAsia="Times New Roman"/>
          <w:sz w:val="20"/>
          <w:lang w:eastAsia="en-US"/>
        </w:rPr>
        <w:lastRenderedPageBreak/>
        <w:t>potencial demostrado para multiplicar la formación entre los sectores que las conforman.  Por lo que respecta a los temas, se propone que la cartera revisada gire en torno a cuatro ejes</w:t>
      </w:r>
      <w:proofErr w:type="gramStart"/>
      <w:r w:rsidRPr="002E7DC3">
        <w:rPr>
          <w:rFonts w:eastAsia="Times New Roman"/>
          <w:sz w:val="20"/>
          <w:lang w:eastAsia="en-US"/>
        </w:rPr>
        <w:t>:  política</w:t>
      </w:r>
      <w:proofErr w:type="gramEnd"/>
      <w:r w:rsidRPr="002E7DC3">
        <w:rPr>
          <w:rFonts w:eastAsia="Times New Roman"/>
          <w:sz w:val="20"/>
          <w:lang w:eastAsia="en-US"/>
        </w:rPr>
        <w:t xml:space="preserve"> y derecho nacional e internacional sobre P.I., administración de la P.I., uso de la P.I. en aras del desarrollo, y creatividad e innovación.</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Las modalidades de ejecución seguirán siendo una combinación de cursos periódicos integrados y de módulos de formación práctica, según sea pertinente;  una serie de módulos de formación de corta duración "según la demanda";  un número limitado de visitas de estudio predefinidas por año;  enseñanza a distancia (a través del programa de enseñanza a distancia);  becas para estudios de posgrado y provisión de herramientas y redes para el fortalecimiento de las capacidades en una país concreto;  y un número limitado de cursos de verano con carácter rotativo.</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 xml:space="preserve">Si bien la OMPI no puede competir con las facultades de derecho, se estima que tiene una importante función que desempeñar para facilitar el acceso a los estudios superiores en P.I.  </w:t>
      </w:r>
      <w:r w:rsidR="00747620">
        <w:rPr>
          <w:rFonts w:eastAsia="Times New Roman"/>
          <w:sz w:val="20"/>
          <w:lang w:eastAsia="en-US"/>
        </w:rPr>
        <w:t>L</w:t>
      </w:r>
      <w:r w:rsidRPr="002E7DC3">
        <w:rPr>
          <w:rFonts w:eastAsia="Times New Roman"/>
          <w:sz w:val="20"/>
          <w:lang w:eastAsia="en-US"/>
        </w:rPr>
        <w:t xml:space="preserve">a OMPI debe seguir apoyando la educación de posgrado en P.I. a través de programas de máster conjuntos.  En última instancia, el papel de la OMPI </w:t>
      </w:r>
      <w:r w:rsidR="00747620">
        <w:rPr>
          <w:rFonts w:eastAsia="Times New Roman"/>
          <w:sz w:val="20"/>
          <w:lang w:eastAsia="en-US"/>
        </w:rPr>
        <w:t>pod</w:t>
      </w:r>
      <w:r w:rsidRPr="002E7DC3">
        <w:rPr>
          <w:rFonts w:eastAsia="Times New Roman"/>
          <w:sz w:val="20"/>
          <w:lang w:eastAsia="en-US"/>
        </w:rPr>
        <w:t>ría evolucionar desde el de proveedor conjunto de diplomas, a un papel de intermediario, catalizador y asesor.</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 xml:space="preserve">En el próximo bienio, </w:t>
      </w:r>
      <w:r w:rsidR="001144DA">
        <w:rPr>
          <w:rFonts w:eastAsia="Times New Roman"/>
          <w:sz w:val="20"/>
          <w:lang w:eastAsia="en-US"/>
        </w:rPr>
        <w:t>la Academia</w:t>
      </w:r>
      <w:r w:rsidRPr="002E7DC3">
        <w:rPr>
          <w:rFonts w:eastAsia="Times New Roman"/>
          <w:sz w:val="20"/>
          <w:lang w:eastAsia="en-US"/>
        </w:rPr>
        <w:t xml:space="preserve"> comenzará a ejercer su función de catalizador a través del establecimiento de una red virtual de universidades destacadas que imparten formación en P.I. y en cuestiones conexas (tecnología, innovación, industrias culturales, estrategia industrial, desarrollo), negociando tasas reducidas en másteres en derecho ofrecidos en países desarrollados para participantes procedentes de países en desarrollo;  ofreciendo becas para que los mejores estudiantes de los países en desarrollo participen en sus programas, servicios de asesoramiento sobre la creación de nuevos programas de máster y asesoramiento sobre la integración de la formación en P.I. en cursos de derecho para estudiantes universitarios y posgraduados y en otros cursos pertinentes, incluido el uso de los módulos de enseñanza a distancia de la OMPI para la concesión de créditos. </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A finales de 2012, más de 275.000 personas procedentes de 183 países se habían matriculado en la plataforma de enseñanza a distancia de la OMPI para utilizar una cartera conjunta de unos 15 módulos en 11 idiomas diferentes.  A fin de seguir reforzando los logros en ese ámbito durante el próximo bienio, la OMPI seguirá mejorando la diversidad plurilingüe de los cursos de enseñanza a distancia, alineará la cartera de enseñanza a distancia con su declaración de política sobre temas prioritarios y beneficiarios y establecerá un mecanismo para el examen periódico por parte de expertos de la calidad y orientación hacia el desarrollo de los contenidos, así como tutores que reciban las aportaciones de los expertos externos.  Además, el programa de enseñanza a distancia seguirá asociándose con oficinas nacionales de P.I. para organizar cursos de enseñanza a distancia en los respectivos idiomas y sistemas nacionales (proyectos de adaptación), así como con universidades, instituciones de investigación y desarrollo y CATI.</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 xml:space="preserve">Finalmente, </w:t>
      </w:r>
      <w:r w:rsidR="001144DA">
        <w:rPr>
          <w:rFonts w:eastAsia="Times New Roman"/>
          <w:sz w:val="20"/>
          <w:lang w:eastAsia="en-US"/>
        </w:rPr>
        <w:t>la Academia</w:t>
      </w:r>
      <w:r w:rsidRPr="002E7DC3">
        <w:rPr>
          <w:rFonts w:eastAsia="Times New Roman"/>
          <w:sz w:val="20"/>
          <w:lang w:eastAsia="en-US"/>
        </w:rPr>
        <w:t xml:space="preserve"> seguirá manteniendo relaciones estrechas con la </w:t>
      </w:r>
      <w:r w:rsidRPr="002E7DC3">
        <w:rPr>
          <w:rFonts w:eastAsia="Times New Roman"/>
          <w:i/>
          <w:sz w:val="20"/>
          <w:lang w:eastAsia="es-ES"/>
        </w:rPr>
        <w:t xml:space="preserve">Global Network of IP </w:t>
      </w:r>
      <w:proofErr w:type="spellStart"/>
      <w:r w:rsidRPr="002E7DC3">
        <w:rPr>
          <w:rFonts w:eastAsia="Times New Roman"/>
          <w:i/>
          <w:sz w:val="20"/>
          <w:lang w:eastAsia="es-ES"/>
        </w:rPr>
        <w:t>Academies</w:t>
      </w:r>
      <w:proofErr w:type="spellEnd"/>
      <w:r w:rsidRPr="002E7DC3">
        <w:rPr>
          <w:rFonts w:eastAsia="Times New Roman"/>
          <w:sz w:val="20"/>
          <w:lang w:eastAsia="en-US"/>
        </w:rPr>
        <w:t xml:space="preserve"> (GNIPA) y buscando oportunidades para integrar la GNIPA en una red virtual más amplia de educadores, formadores y antiguos alumnos en el ámbito de la P.I.</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BA276E">
      <w:pPr>
        <w:widowControl w:val="0"/>
        <w:numPr>
          <w:ilvl w:val="0"/>
          <w:numId w:val="33"/>
        </w:numPr>
        <w:ind w:right="44"/>
        <w:jc w:val="both"/>
        <w:rPr>
          <w:rFonts w:eastAsia="Times New Roman"/>
          <w:sz w:val="20"/>
          <w:lang w:eastAsia="en-US"/>
        </w:rPr>
      </w:pPr>
      <w:r w:rsidRPr="002E7DC3">
        <w:rPr>
          <w:rFonts w:eastAsia="Times New Roman"/>
          <w:sz w:val="20"/>
          <w:lang w:eastAsia="en-US"/>
        </w:rPr>
        <w:t xml:space="preserve">Mediante el programa se seguirá prestando asistencia a los Estados miembros para el establecimiento de academias nacionales de P.I. a partir de las experiencias y las lecciones adquiridas en las dos fases del proyecto piloto de la A.D. para la creación de academias nacionales de P.I., ejecutado en los bienios 2010/11 y 2012/13. </w:t>
      </w:r>
    </w:p>
    <w:p w:rsidR="002E7DC3" w:rsidRPr="002E7DC3" w:rsidRDefault="002E7DC3" w:rsidP="002E7DC3">
      <w:pPr>
        <w:widowControl w:val="0"/>
        <w:ind w:right="44"/>
        <w:jc w:val="both"/>
        <w:rPr>
          <w:rFonts w:eastAsia="Times New Roman"/>
          <w:sz w:val="20"/>
          <w:lang w:eastAsia="en-US"/>
        </w:rPr>
      </w:pPr>
    </w:p>
    <w:p w:rsidR="002E7DC3" w:rsidRPr="002E7DC3" w:rsidRDefault="002E7DC3" w:rsidP="002E7DC3">
      <w:pPr>
        <w:widowControl w:val="0"/>
        <w:ind w:right="44"/>
        <w:jc w:val="both"/>
        <w:rPr>
          <w:rFonts w:eastAsia="Times New Roman"/>
          <w:sz w:val="20"/>
          <w:lang w:eastAsia="en-US"/>
        </w:rPr>
      </w:pPr>
    </w:p>
    <w:p w:rsidR="00B16400" w:rsidRPr="00C75C7E" w:rsidRDefault="00B16400" w:rsidP="008541BE">
      <w:pPr>
        <w:keepNext/>
        <w:widowControl w:val="0"/>
        <w:ind w:right="363"/>
        <w:rPr>
          <w:szCs w:val="22"/>
          <w:lang w:val="es-ES_tradnl"/>
        </w:rPr>
      </w:pPr>
      <w:r w:rsidRPr="00C75C7E">
        <w:rPr>
          <w:szCs w:val="22"/>
          <w:lang w:val="es-ES_tradnl"/>
        </w:rPr>
        <w:t>PRINCIPALES RIESGOS Y ESTRATEGIAS DE MITIGACIÓN</w:t>
      </w:r>
    </w:p>
    <w:p w:rsidR="00B16400" w:rsidRPr="00C75C7E" w:rsidRDefault="00B16400" w:rsidP="008541BE">
      <w:pPr>
        <w:keepNext/>
        <w:widowControl w:val="0"/>
        <w:autoSpaceDE w:val="0"/>
        <w:autoSpaceDN w:val="0"/>
        <w:adjustRightInd w:val="0"/>
        <w:jc w:val="both"/>
        <w:rPr>
          <w:bCs/>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5103"/>
        <w:gridCol w:w="4253"/>
      </w:tblGrid>
      <w:tr w:rsidR="00B16400" w:rsidRPr="00C75C7E" w:rsidTr="00747620">
        <w:trPr>
          <w:trHeight w:val="488"/>
        </w:trPr>
        <w:tc>
          <w:tcPr>
            <w:tcW w:w="5103" w:type="dxa"/>
            <w:tcBorders>
              <w:top w:val="single" w:sz="4" w:space="0" w:color="auto"/>
              <w:bottom w:val="single" w:sz="4" w:space="0" w:color="auto"/>
            </w:tcBorders>
            <w:shd w:val="clear" w:color="auto" w:fill="CCFFFF"/>
            <w:tcMar>
              <w:top w:w="113" w:type="dxa"/>
              <w:bottom w:w="113" w:type="dxa"/>
            </w:tcMar>
            <w:vAlign w:val="center"/>
          </w:tcPr>
          <w:p w:rsidR="00B16400" w:rsidRPr="00C75C7E" w:rsidRDefault="00B16400" w:rsidP="008541BE">
            <w:pPr>
              <w:keepNext/>
              <w:widowControl w:val="0"/>
              <w:autoSpaceDE w:val="0"/>
              <w:autoSpaceDN w:val="0"/>
              <w:adjustRightInd w:val="0"/>
              <w:ind w:right="-59"/>
              <w:jc w:val="center"/>
              <w:rPr>
                <w:b/>
                <w:sz w:val="18"/>
                <w:szCs w:val="18"/>
                <w:lang w:val="es-ES_tradnl"/>
              </w:rPr>
            </w:pPr>
            <w:r w:rsidRPr="00C75C7E">
              <w:rPr>
                <w:b/>
                <w:iCs/>
                <w:sz w:val="18"/>
                <w:szCs w:val="18"/>
                <w:lang w:val="es-ES_tradnl"/>
              </w:rPr>
              <w:t>Riesgos en el logro de los resultados del programa</w:t>
            </w:r>
          </w:p>
        </w:tc>
        <w:tc>
          <w:tcPr>
            <w:tcW w:w="4253" w:type="dxa"/>
            <w:tcBorders>
              <w:top w:val="single" w:sz="4" w:space="0" w:color="auto"/>
              <w:bottom w:val="single" w:sz="4" w:space="0" w:color="auto"/>
            </w:tcBorders>
            <w:shd w:val="clear" w:color="auto" w:fill="CCFFFF"/>
            <w:tcMar>
              <w:top w:w="113" w:type="dxa"/>
              <w:bottom w:w="113" w:type="dxa"/>
            </w:tcMar>
            <w:vAlign w:val="center"/>
          </w:tcPr>
          <w:p w:rsidR="00B16400" w:rsidRPr="00C75C7E" w:rsidRDefault="00B16400" w:rsidP="008541BE">
            <w:pPr>
              <w:keepNext/>
              <w:widowControl w:val="0"/>
              <w:autoSpaceDE w:val="0"/>
              <w:autoSpaceDN w:val="0"/>
              <w:adjustRightInd w:val="0"/>
              <w:ind w:right="-59"/>
              <w:jc w:val="center"/>
              <w:rPr>
                <w:b/>
                <w:sz w:val="18"/>
                <w:szCs w:val="18"/>
                <w:lang w:val="es-ES_tradnl"/>
              </w:rPr>
            </w:pPr>
            <w:r w:rsidRPr="00C75C7E">
              <w:rPr>
                <w:b/>
                <w:iCs/>
                <w:sz w:val="18"/>
                <w:szCs w:val="18"/>
                <w:lang w:val="es-ES_tradnl"/>
              </w:rPr>
              <w:t>Planes de mitigación ejecutados o en ejecución</w:t>
            </w:r>
          </w:p>
        </w:tc>
      </w:tr>
      <w:tr w:rsidR="00B16400" w:rsidRPr="00C75C7E" w:rsidTr="00747620">
        <w:trPr>
          <w:trHeight w:val="1197"/>
        </w:trPr>
        <w:tc>
          <w:tcPr>
            <w:tcW w:w="5103" w:type="dxa"/>
            <w:tcBorders>
              <w:top w:val="single" w:sz="4" w:space="0" w:color="auto"/>
            </w:tcBorders>
            <w:shd w:val="clear" w:color="auto" w:fill="auto"/>
            <w:tcMar>
              <w:top w:w="113" w:type="dxa"/>
              <w:bottom w:w="113" w:type="dxa"/>
            </w:tcMar>
          </w:tcPr>
          <w:p w:rsidR="00B16400" w:rsidRPr="00C75C7E" w:rsidRDefault="00B16400" w:rsidP="00747620">
            <w:pPr>
              <w:widowControl w:val="0"/>
              <w:tabs>
                <w:tab w:val="left" w:pos="1170"/>
              </w:tabs>
              <w:rPr>
                <w:sz w:val="16"/>
                <w:szCs w:val="16"/>
                <w:lang w:val="es-ES_tradnl"/>
              </w:rPr>
            </w:pPr>
            <w:r w:rsidRPr="00C75C7E">
              <w:rPr>
                <w:sz w:val="16"/>
                <w:szCs w:val="16"/>
                <w:lang w:val="es-ES_tradnl"/>
              </w:rPr>
              <w:t>En un entorno tecnológico y de P.I. que cambia con gran rapidez, las expectativas y preferencias de los usuarios también evolucionan rápidamente.  Por consiguiente, la interfaz, la presentación gráfica y la plataforma informática de cursos de enseñanza a distancia y el contenido sobre P.I. de los distintos programas de formación de la Academia podrían dejar de corresponderse con los retos y los cambios mundiales que empiezan a aparecer.</w:t>
            </w:r>
          </w:p>
        </w:tc>
        <w:tc>
          <w:tcPr>
            <w:tcW w:w="4253" w:type="dxa"/>
            <w:tcBorders>
              <w:top w:val="single" w:sz="4" w:space="0" w:color="auto"/>
            </w:tcBorders>
            <w:shd w:val="clear" w:color="auto" w:fill="auto"/>
            <w:tcMar>
              <w:top w:w="113" w:type="dxa"/>
              <w:bottom w:w="113" w:type="dxa"/>
            </w:tcMar>
          </w:tcPr>
          <w:p w:rsidR="00B16400" w:rsidRPr="00C75C7E" w:rsidRDefault="00B16400" w:rsidP="004341A3">
            <w:pPr>
              <w:widowControl w:val="0"/>
              <w:autoSpaceDE w:val="0"/>
              <w:autoSpaceDN w:val="0"/>
              <w:adjustRightInd w:val="0"/>
              <w:ind w:right="-59"/>
              <w:rPr>
                <w:sz w:val="16"/>
                <w:szCs w:val="16"/>
                <w:lang w:val="es-ES_tradnl"/>
              </w:rPr>
            </w:pPr>
            <w:r w:rsidRPr="00C75C7E">
              <w:rPr>
                <w:sz w:val="16"/>
                <w:szCs w:val="16"/>
                <w:lang w:val="es-ES_tradnl"/>
              </w:rPr>
              <w:t>Se seguirán recabando las opiniones de los estudiantes y los tutores de los cursos de enseñanza a distancia y, tras un asesoramiento sustantivo de expertos en P.I., se actualizarán las plataformas a las que se presta apoyo y/o los contenidos s</w:t>
            </w:r>
            <w:r w:rsidR="00747620">
              <w:rPr>
                <w:sz w:val="16"/>
                <w:szCs w:val="16"/>
                <w:lang w:val="es-ES_tradnl"/>
              </w:rPr>
              <w:t>obre P.I.</w:t>
            </w:r>
          </w:p>
        </w:tc>
      </w:tr>
    </w:tbl>
    <w:p w:rsidR="00B16400" w:rsidRPr="00C75C7E" w:rsidRDefault="00B16400" w:rsidP="006A15F5">
      <w:pPr>
        <w:rPr>
          <w:lang w:val="es-ES_tradnl"/>
        </w:rPr>
      </w:pPr>
    </w:p>
    <w:p w:rsidR="00B16400" w:rsidRPr="00C75C7E" w:rsidRDefault="00B16400" w:rsidP="006A15F5">
      <w:pPr>
        <w:rPr>
          <w:bCs/>
          <w:lang w:val="es-ES_tradnl"/>
        </w:rPr>
      </w:pPr>
    </w:p>
    <w:p w:rsidR="00B16400" w:rsidRPr="00C75C7E" w:rsidRDefault="00B16400" w:rsidP="00B16400">
      <w:pPr>
        <w:widowControl w:val="0"/>
        <w:tabs>
          <w:tab w:val="left" w:pos="567"/>
          <w:tab w:val="left" w:pos="1985"/>
        </w:tabs>
        <w:jc w:val="both"/>
        <w:rPr>
          <w:bCs/>
          <w:sz w:val="20"/>
          <w:lang w:val="es-ES_tradnl"/>
        </w:rPr>
      </w:pPr>
      <w:r w:rsidRPr="00C75C7E">
        <w:rPr>
          <w:bCs/>
          <w:szCs w:val="22"/>
          <w:lang w:val="es-ES_tradnl"/>
        </w:rPr>
        <w:t>MARCO DE RESULTADOS</w:t>
      </w:r>
    </w:p>
    <w:p w:rsidR="00B16400" w:rsidRPr="00C75C7E" w:rsidRDefault="00B16400" w:rsidP="00B16400">
      <w:pPr>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848"/>
        <w:gridCol w:w="2175"/>
        <w:gridCol w:w="2034"/>
      </w:tblGrid>
      <w:tr w:rsidR="00B16400" w:rsidRPr="00C75C7E" w:rsidTr="004341A3">
        <w:trPr>
          <w:cantSplit/>
          <w:trHeight w:val="428"/>
        </w:trPr>
        <w:tc>
          <w:tcPr>
            <w:tcW w:w="1249" w:type="pct"/>
            <w:tcBorders>
              <w:top w:val="single" w:sz="4" w:space="0" w:color="auto"/>
              <w:bottom w:val="single" w:sz="4" w:space="0" w:color="auto"/>
            </w:tcBorders>
            <w:shd w:val="clear" w:color="auto" w:fill="CCFFFF"/>
            <w:vAlign w:val="center"/>
          </w:tcPr>
          <w:p w:rsidR="00B16400" w:rsidRPr="00C75C7E" w:rsidRDefault="00B16400" w:rsidP="004341A3">
            <w:pPr>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jc w:val="center"/>
              <w:rPr>
                <w:b/>
                <w:sz w:val="18"/>
                <w:szCs w:val="18"/>
                <w:lang w:val="es-ES_tradnl"/>
              </w:rPr>
            </w:pPr>
            <w:r w:rsidRPr="00C75C7E">
              <w:rPr>
                <w:b/>
                <w:sz w:val="18"/>
                <w:szCs w:val="18"/>
                <w:lang w:val="es-ES_tradnl"/>
              </w:rPr>
              <w:t>Indicador de rendimiento</w:t>
            </w:r>
          </w:p>
        </w:tc>
        <w:tc>
          <w:tcPr>
            <w:tcW w:w="1156"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spacing w:after="120"/>
              <w:ind w:left="85"/>
              <w:jc w:val="center"/>
              <w:rPr>
                <w:sz w:val="18"/>
                <w:szCs w:val="18"/>
                <w:lang w:val="es-ES_tradnl"/>
              </w:rPr>
            </w:pPr>
            <w:r w:rsidRPr="00C75C7E">
              <w:rPr>
                <w:b/>
                <w:bCs/>
                <w:sz w:val="18"/>
                <w:szCs w:val="18"/>
                <w:lang w:val="es-ES_tradnl"/>
              </w:rPr>
              <w:t>Referencia</w:t>
            </w:r>
          </w:p>
        </w:tc>
        <w:tc>
          <w:tcPr>
            <w:tcW w:w="1082" w:type="pct"/>
            <w:tcBorders>
              <w:top w:val="single" w:sz="4" w:space="0" w:color="auto"/>
              <w:bottom w:val="single" w:sz="4" w:space="0" w:color="auto"/>
            </w:tcBorders>
            <w:shd w:val="clear" w:color="auto" w:fill="CCFFFF"/>
            <w:tcMar>
              <w:top w:w="110" w:type="dxa"/>
            </w:tcMar>
            <w:vAlign w:val="center"/>
          </w:tcPr>
          <w:p w:rsidR="00B16400" w:rsidRPr="00C75C7E" w:rsidRDefault="00B16400" w:rsidP="004341A3">
            <w:pPr>
              <w:widowControl w:val="0"/>
              <w:tabs>
                <w:tab w:val="left" w:pos="0"/>
              </w:tabs>
              <w:spacing w:after="120"/>
              <w:ind w:right="1"/>
              <w:jc w:val="center"/>
              <w:rPr>
                <w:b/>
                <w:bCs/>
                <w:sz w:val="18"/>
                <w:szCs w:val="18"/>
                <w:lang w:val="es-ES_tradnl"/>
              </w:rPr>
            </w:pPr>
            <w:r w:rsidRPr="00C75C7E">
              <w:rPr>
                <w:b/>
                <w:bCs/>
                <w:sz w:val="18"/>
                <w:szCs w:val="18"/>
                <w:lang w:val="es-ES_tradnl"/>
              </w:rPr>
              <w:t>Objetivos</w:t>
            </w:r>
          </w:p>
        </w:tc>
      </w:tr>
      <w:tr w:rsidR="00B16400" w:rsidRPr="00C75C7E" w:rsidTr="004341A3">
        <w:trPr>
          <w:cantSplit/>
          <w:trHeight w:val="1403"/>
        </w:trPr>
        <w:tc>
          <w:tcPr>
            <w:tcW w:w="1249" w:type="pct"/>
            <w:vMerge w:val="restart"/>
            <w:tcBorders>
              <w:top w:val="single" w:sz="4" w:space="0" w:color="auto"/>
            </w:tcBorders>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 xml:space="preserve">III.2 </w:t>
            </w:r>
            <w:r w:rsidR="001144DA">
              <w:rPr>
                <w:sz w:val="16"/>
                <w:szCs w:val="16"/>
                <w:lang w:val="es-ES_tradnl"/>
              </w:rPr>
              <w:t xml:space="preserve"> </w:t>
            </w:r>
            <w:r w:rsidRPr="00C75C7E">
              <w:rPr>
                <w:sz w:val="16"/>
                <w:szCs w:val="16"/>
                <w:lang w:val="es-ES_tradnl"/>
              </w:rPr>
              <w:t>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1514" w:type="pct"/>
            <w:tcBorders>
              <w:top w:val="single" w:sz="4" w:space="0" w:color="auto"/>
            </w:tcBorders>
            <w:shd w:val="clear" w:color="auto" w:fill="auto"/>
            <w:tcMar>
              <w:top w:w="113" w:type="dxa"/>
            </w:tcMar>
          </w:tcPr>
          <w:p w:rsidR="00B16400" w:rsidRPr="00C75C7E" w:rsidRDefault="00B16400" w:rsidP="00E6555D">
            <w:pPr>
              <w:widowControl w:val="0"/>
              <w:rPr>
                <w:sz w:val="16"/>
                <w:szCs w:val="16"/>
                <w:lang w:val="es-ES_tradnl"/>
              </w:rPr>
            </w:pPr>
            <w:r w:rsidRPr="00C75C7E">
              <w:rPr>
                <w:sz w:val="16"/>
                <w:szCs w:val="16"/>
                <w:lang w:val="es-ES_tradnl"/>
              </w:rPr>
              <w:t>Cartera revisada de cursos de formación en P.I. para los países en desarrollo, PMA y países con economías en transición/ pertinencia del contenido de los cursos de formación para las necesidades de fortalecimiento de capacidades de los países en desarrollo, PMA y países con economías en transición.</w:t>
            </w:r>
          </w:p>
        </w:tc>
        <w:tc>
          <w:tcPr>
            <w:tcW w:w="1156" w:type="pct"/>
            <w:tcBorders>
              <w:top w:val="single" w:sz="4" w:space="0" w:color="auto"/>
            </w:tcBorders>
            <w:shd w:val="clear" w:color="auto" w:fill="FFFFFF"/>
            <w:tcMar>
              <w:top w:w="113" w:type="dxa"/>
            </w:tcMar>
          </w:tcPr>
          <w:p w:rsidR="00B16400" w:rsidRPr="00C75C7E" w:rsidRDefault="00B16400" w:rsidP="004341A3">
            <w:pPr>
              <w:widowControl w:val="0"/>
              <w:rPr>
                <w:sz w:val="16"/>
                <w:szCs w:val="16"/>
                <w:lang w:val="es-ES_tradnl"/>
              </w:rPr>
            </w:pPr>
            <w:r w:rsidRPr="00C75C7E">
              <w:rPr>
                <w:sz w:val="16"/>
                <w:szCs w:val="16"/>
                <w:lang w:val="es-ES_tradnl" w:bidi="th-TH"/>
              </w:rPr>
              <w:t>No se ha revisado la cartera de manera global desde la creación de la Academia.</w:t>
            </w:r>
          </w:p>
        </w:tc>
        <w:tc>
          <w:tcPr>
            <w:tcW w:w="1082" w:type="pct"/>
            <w:tcBorders>
              <w:top w:val="single" w:sz="4" w:space="0" w:color="auto"/>
            </w:tcBorders>
            <w:shd w:val="clear" w:color="auto" w:fill="auto"/>
            <w:tcMar>
              <w:top w:w="113" w:type="dxa"/>
            </w:tcMar>
          </w:tcPr>
          <w:p w:rsidR="00B16400" w:rsidRPr="00C75C7E" w:rsidRDefault="00B16400" w:rsidP="004341A3">
            <w:pPr>
              <w:widowControl w:val="0"/>
              <w:ind w:right="381"/>
              <w:rPr>
                <w:bCs/>
                <w:sz w:val="16"/>
                <w:szCs w:val="16"/>
                <w:lang w:val="es-ES_tradnl"/>
              </w:rPr>
            </w:pPr>
            <w:r w:rsidRPr="00C75C7E">
              <w:rPr>
                <w:bCs/>
                <w:sz w:val="16"/>
                <w:szCs w:val="16"/>
                <w:lang w:val="es-ES_tradnl"/>
              </w:rPr>
              <w:t>Cartera revisada disponible a fines del bienio.</w:t>
            </w:r>
          </w:p>
        </w:tc>
      </w:tr>
      <w:tr w:rsidR="00B16400" w:rsidRPr="00C75C7E" w:rsidTr="004341A3">
        <w:trPr>
          <w:cantSplit/>
          <w:trHeight w:val="1576"/>
        </w:trPr>
        <w:tc>
          <w:tcPr>
            <w:tcW w:w="1249" w:type="pct"/>
            <w:vMerge/>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E6555D">
            <w:pPr>
              <w:widowControl w:val="0"/>
              <w:rPr>
                <w:sz w:val="16"/>
                <w:szCs w:val="16"/>
                <w:lang w:val="es-ES_tradnl"/>
              </w:rPr>
            </w:pPr>
            <w:r w:rsidRPr="00C75C7E">
              <w:rPr>
                <w:sz w:val="16"/>
                <w:szCs w:val="16"/>
                <w:lang w:val="es-ES_tradnl"/>
              </w:rPr>
              <w:t xml:space="preserve">Acceso ampliado y plurilingüe a la enseñanza a distancia de diversos aspectos de la P.I. para los países en desarrollo, PMA y países con economías en transición / </w:t>
            </w:r>
            <w:proofErr w:type="spellStart"/>
            <w:r w:rsidRPr="00C75C7E">
              <w:rPr>
                <w:sz w:val="16"/>
                <w:szCs w:val="16"/>
                <w:lang w:val="es-ES_tradnl"/>
              </w:rPr>
              <w:t>pertinen</w:t>
            </w:r>
            <w:r w:rsidR="00E6555D">
              <w:rPr>
                <w:sz w:val="16"/>
                <w:szCs w:val="16"/>
                <w:lang w:val="es-ES_tradnl"/>
              </w:rPr>
              <w:t>-</w:t>
            </w:r>
            <w:r w:rsidRPr="00C75C7E">
              <w:rPr>
                <w:sz w:val="16"/>
                <w:szCs w:val="16"/>
                <w:lang w:val="es-ES_tradnl"/>
              </w:rPr>
              <w:t>cia</w:t>
            </w:r>
            <w:proofErr w:type="spellEnd"/>
            <w:r w:rsidRPr="00C75C7E">
              <w:rPr>
                <w:sz w:val="16"/>
                <w:szCs w:val="16"/>
                <w:lang w:val="es-ES_tradnl"/>
              </w:rPr>
              <w:t xml:space="preserve"> del contenido de la cartera de cursos de enseñanza a distancia para las necesidades de fortalecimiento de capacidades de los países en desarrollo, PMA y países con economías en transición.</w:t>
            </w:r>
          </w:p>
        </w:tc>
        <w:tc>
          <w:tcPr>
            <w:tcW w:w="1156" w:type="pct"/>
            <w:shd w:val="clear" w:color="auto" w:fill="FFFFFF"/>
            <w:tcMar>
              <w:top w:w="113" w:type="dxa"/>
            </w:tcMar>
          </w:tcPr>
          <w:p w:rsidR="00B16400" w:rsidRPr="00C75C7E" w:rsidRDefault="00B16400" w:rsidP="004341A3">
            <w:pPr>
              <w:widowControl w:val="0"/>
              <w:rPr>
                <w:sz w:val="16"/>
                <w:szCs w:val="16"/>
                <w:lang w:val="es-ES_tradnl"/>
              </w:rPr>
            </w:pPr>
            <w:r w:rsidRPr="00C75C7E">
              <w:rPr>
                <w:sz w:val="16"/>
                <w:szCs w:val="16"/>
                <w:lang w:val="es-ES_tradnl" w:bidi="th-TH"/>
              </w:rPr>
              <w:t>No todos los cursos están disponibles en todos los idiomas;  el personal de la Academia es el único encargado de revisar el contenido de los cursos de manera ocasional.</w:t>
            </w:r>
          </w:p>
          <w:p w:rsidR="00B16400" w:rsidRPr="00C75C7E" w:rsidRDefault="00B16400" w:rsidP="004341A3">
            <w:pPr>
              <w:widowControl w:val="0"/>
              <w:rPr>
                <w:sz w:val="16"/>
                <w:szCs w:val="16"/>
                <w:lang w:val="es-ES_tradnl"/>
              </w:rPr>
            </w:pPr>
          </w:p>
        </w:tc>
        <w:tc>
          <w:tcPr>
            <w:tcW w:w="1082" w:type="pct"/>
            <w:shd w:val="clear" w:color="auto" w:fill="auto"/>
            <w:tcMar>
              <w:top w:w="113" w:type="dxa"/>
            </w:tcMar>
          </w:tcPr>
          <w:p w:rsidR="00B16400" w:rsidRPr="00C75C7E" w:rsidRDefault="00B16400" w:rsidP="004341A3">
            <w:pPr>
              <w:widowControl w:val="0"/>
              <w:tabs>
                <w:tab w:val="left" w:pos="2051"/>
              </w:tabs>
              <w:ind w:right="381"/>
              <w:rPr>
                <w:bCs/>
                <w:sz w:val="16"/>
                <w:szCs w:val="16"/>
                <w:lang w:val="es-ES_tradnl"/>
              </w:rPr>
            </w:pPr>
            <w:r w:rsidRPr="00C75C7E">
              <w:rPr>
                <w:bCs/>
                <w:sz w:val="16"/>
                <w:szCs w:val="16"/>
                <w:lang w:val="es-ES_tradnl"/>
              </w:rPr>
              <w:t>Todos los cursos disponibles en los idiomas de NN.UU.</w:t>
            </w:r>
          </w:p>
        </w:tc>
      </w:tr>
      <w:tr w:rsidR="00B16400" w:rsidRPr="00C75C7E" w:rsidTr="004341A3">
        <w:trPr>
          <w:cantSplit/>
          <w:trHeight w:val="1868"/>
        </w:trPr>
        <w:tc>
          <w:tcPr>
            <w:tcW w:w="1249" w:type="pct"/>
            <w:vMerge/>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Fomento del acceso a los estudios superiores en P.I. para los países en desarrollo, los PMA y los países con economías en transición / número de universidades de países en desarrollo, PMA y países con economías en transición que ofrecen nuevos programas docentes de P.I.</w:t>
            </w:r>
          </w:p>
        </w:tc>
        <w:tc>
          <w:tcPr>
            <w:tcW w:w="1156"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 xml:space="preserve">La enseñanza universitaria de la P.I. está disponible únicamente en un número limitado de países en desarrollo, PMA y países con economías en transición;  la OMPI ofrece un programa conjunto de máster en P.I. con siete universidades, dos de ellas en África y una en América Latina. </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Al final del bienio habrá cinco universidades de países en desarrollo, PMA y países con economías en transición que ofrecen nuevos programas docentes en P.I.</w:t>
            </w:r>
          </w:p>
        </w:tc>
      </w:tr>
      <w:tr w:rsidR="00B16400" w:rsidRPr="00C75C7E" w:rsidTr="004341A3">
        <w:trPr>
          <w:cantSplit/>
          <w:trHeight w:val="962"/>
        </w:trPr>
        <w:tc>
          <w:tcPr>
            <w:tcW w:w="1249" w:type="pct"/>
            <w:vMerge/>
            <w:shd w:val="clear" w:color="auto" w:fill="auto"/>
            <w:tcMar>
              <w:top w:w="113" w:type="dxa"/>
            </w:tcMar>
          </w:tcPr>
          <w:p w:rsidR="00B16400" w:rsidRPr="00C75C7E" w:rsidRDefault="00B16400" w:rsidP="004341A3">
            <w:pPr>
              <w:widowControl w:val="0"/>
              <w:rPr>
                <w:sz w:val="16"/>
                <w:szCs w:val="16"/>
                <w:lang w:val="es-ES_tradnl"/>
              </w:rPr>
            </w:pPr>
          </w:p>
        </w:tc>
        <w:tc>
          <w:tcPr>
            <w:tcW w:w="1514" w:type="pct"/>
            <w:shd w:val="clear" w:color="auto" w:fill="auto"/>
            <w:tcMar>
              <w:top w:w="113" w:type="dxa"/>
            </w:tcMar>
          </w:tcPr>
          <w:p w:rsidR="00B16400" w:rsidRPr="00C75C7E" w:rsidRDefault="00B16400" w:rsidP="004341A3">
            <w:pPr>
              <w:widowControl w:val="0"/>
              <w:rPr>
                <w:sz w:val="16"/>
                <w:szCs w:val="16"/>
                <w:lang w:val="es-ES_tradnl"/>
              </w:rPr>
            </w:pPr>
            <w:r w:rsidRPr="00C75C7E">
              <w:rPr>
                <w:sz w:val="16"/>
                <w:szCs w:val="16"/>
                <w:lang w:val="es-ES_tradnl"/>
              </w:rPr>
              <w:t>Establecimiento progresivo de una red de expertos en P.I. en los países en desarrollo, PMA y países con economías en transición.</w:t>
            </w:r>
          </w:p>
        </w:tc>
        <w:tc>
          <w:tcPr>
            <w:tcW w:w="1156" w:type="pct"/>
            <w:shd w:val="clear" w:color="auto" w:fill="FFFFFF"/>
            <w:tcMar>
              <w:top w:w="113" w:type="dxa"/>
            </w:tcMar>
          </w:tcPr>
          <w:p w:rsidR="00B16400" w:rsidRPr="00C75C7E" w:rsidRDefault="00B16400" w:rsidP="004341A3">
            <w:pPr>
              <w:widowControl w:val="0"/>
              <w:rPr>
                <w:sz w:val="16"/>
                <w:szCs w:val="16"/>
                <w:lang w:val="es-ES_tradnl" w:bidi="th-TH"/>
              </w:rPr>
            </w:pPr>
            <w:r w:rsidRPr="00C75C7E">
              <w:rPr>
                <w:sz w:val="16"/>
                <w:szCs w:val="16"/>
                <w:lang w:val="es-ES_tradnl" w:bidi="th-TH"/>
              </w:rPr>
              <w:t>Número de académicos procedentes de países en desarrollo, PMA y países con economías en transición miembros de la ATRIP.</w:t>
            </w:r>
          </w:p>
        </w:tc>
        <w:tc>
          <w:tcPr>
            <w:tcW w:w="1082" w:type="pct"/>
            <w:shd w:val="clear" w:color="auto" w:fill="auto"/>
            <w:tcMar>
              <w:top w:w="113" w:type="dxa"/>
            </w:tcMar>
          </w:tcPr>
          <w:p w:rsidR="00B16400" w:rsidRPr="00C75C7E" w:rsidRDefault="00B16400" w:rsidP="004341A3">
            <w:pPr>
              <w:widowControl w:val="0"/>
              <w:ind w:right="161"/>
              <w:rPr>
                <w:bCs/>
                <w:sz w:val="16"/>
                <w:szCs w:val="16"/>
                <w:lang w:val="es-ES_tradnl"/>
              </w:rPr>
            </w:pPr>
            <w:r w:rsidRPr="00C75C7E">
              <w:rPr>
                <w:bCs/>
                <w:sz w:val="16"/>
                <w:szCs w:val="16"/>
                <w:lang w:val="es-ES_tradnl"/>
              </w:rPr>
              <w:t>Aumento del 15% en relación con la referencia.</w:t>
            </w:r>
          </w:p>
        </w:tc>
      </w:tr>
      <w:tr w:rsidR="001144DA" w:rsidRPr="00C75C7E" w:rsidTr="00E6555D">
        <w:trPr>
          <w:cantSplit/>
          <w:trHeight w:val="658"/>
        </w:trPr>
        <w:tc>
          <w:tcPr>
            <w:tcW w:w="1249" w:type="pct"/>
            <w:shd w:val="clear" w:color="auto" w:fill="auto"/>
            <w:tcMar>
              <w:top w:w="113" w:type="dxa"/>
            </w:tcMar>
          </w:tcPr>
          <w:p w:rsidR="001144DA" w:rsidRPr="00C75C7E" w:rsidRDefault="001144DA" w:rsidP="004341A3">
            <w:pPr>
              <w:widowControl w:val="0"/>
              <w:rPr>
                <w:sz w:val="16"/>
                <w:szCs w:val="16"/>
                <w:lang w:val="es-ES_tradnl"/>
              </w:rPr>
            </w:pPr>
          </w:p>
        </w:tc>
        <w:tc>
          <w:tcPr>
            <w:tcW w:w="1514" w:type="pct"/>
            <w:shd w:val="clear" w:color="auto" w:fill="auto"/>
            <w:tcMar>
              <w:top w:w="113" w:type="dxa"/>
            </w:tcMar>
          </w:tcPr>
          <w:p w:rsidR="001144DA" w:rsidRPr="00C75C7E" w:rsidRDefault="001144DA" w:rsidP="004341A3">
            <w:pPr>
              <w:widowControl w:val="0"/>
              <w:rPr>
                <w:sz w:val="16"/>
                <w:szCs w:val="16"/>
                <w:lang w:val="es-ES_tradnl"/>
              </w:rPr>
            </w:pPr>
            <w:r>
              <w:rPr>
                <w:sz w:val="16"/>
                <w:szCs w:val="16"/>
                <w:lang w:val="es-ES_tradnl"/>
              </w:rPr>
              <w:t>Número de nuevas academias nacionales establecidas tras la finalización de la fase piloto.</w:t>
            </w:r>
          </w:p>
        </w:tc>
        <w:tc>
          <w:tcPr>
            <w:tcW w:w="1156" w:type="pct"/>
            <w:shd w:val="clear" w:color="auto" w:fill="FFFFFF"/>
            <w:tcMar>
              <w:top w:w="113" w:type="dxa"/>
            </w:tcMar>
          </w:tcPr>
          <w:p w:rsidR="001144DA" w:rsidRPr="00C75C7E" w:rsidRDefault="001144DA" w:rsidP="004341A3">
            <w:pPr>
              <w:widowControl w:val="0"/>
              <w:rPr>
                <w:sz w:val="16"/>
                <w:szCs w:val="16"/>
                <w:lang w:val="es-ES_tradnl" w:bidi="th-TH"/>
              </w:rPr>
            </w:pPr>
            <w:r>
              <w:rPr>
                <w:sz w:val="16"/>
                <w:szCs w:val="16"/>
                <w:lang w:val="es-ES_tradnl" w:bidi="th-TH"/>
              </w:rPr>
              <w:t>0</w:t>
            </w:r>
          </w:p>
        </w:tc>
        <w:tc>
          <w:tcPr>
            <w:tcW w:w="1082" w:type="pct"/>
            <w:shd w:val="clear" w:color="auto" w:fill="auto"/>
            <w:tcMar>
              <w:top w:w="113" w:type="dxa"/>
            </w:tcMar>
          </w:tcPr>
          <w:p w:rsidR="001144DA" w:rsidRPr="00C75C7E" w:rsidRDefault="001144DA" w:rsidP="004341A3">
            <w:pPr>
              <w:widowControl w:val="0"/>
              <w:ind w:right="161"/>
              <w:rPr>
                <w:bCs/>
                <w:sz w:val="16"/>
                <w:szCs w:val="16"/>
                <w:lang w:val="es-ES_tradnl"/>
              </w:rPr>
            </w:pPr>
            <w:r>
              <w:rPr>
                <w:bCs/>
                <w:sz w:val="16"/>
                <w:szCs w:val="16"/>
                <w:lang w:val="es-ES_tradnl"/>
              </w:rPr>
              <w:t>4</w:t>
            </w:r>
          </w:p>
        </w:tc>
      </w:tr>
    </w:tbl>
    <w:p w:rsidR="00B16400" w:rsidRDefault="00B16400" w:rsidP="00B16400">
      <w:pPr>
        <w:widowControl w:val="0"/>
        <w:rPr>
          <w:lang w:val="es-ES_tradnl"/>
        </w:rPr>
      </w:pPr>
    </w:p>
    <w:p w:rsidR="002E7DC3" w:rsidRPr="002E7DC3" w:rsidRDefault="002E7DC3" w:rsidP="002E7DC3">
      <w:pPr>
        <w:widowControl w:val="0"/>
        <w:rPr>
          <w:rFonts w:eastAsia="Times New Roman" w:cs="Times New Roman"/>
          <w:sz w:val="20"/>
          <w:lang w:eastAsia="en-US"/>
        </w:rPr>
      </w:pPr>
    </w:p>
    <w:p w:rsidR="002E7DC3" w:rsidRPr="002E7DC3" w:rsidRDefault="002E7DC3" w:rsidP="00E6555D">
      <w:pPr>
        <w:widowControl w:val="0"/>
        <w:rPr>
          <w:rFonts w:eastAsia="Times New Roman"/>
          <w:szCs w:val="22"/>
          <w:lang w:eastAsia="en-US"/>
        </w:rPr>
      </w:pPr>
      <w:r w:rsidRPr="002E7DC3">
        <w:rPr>
          <w:rFonts w:eastAsia="Times New Roman"/>
          <w:szCs w:val="22"/>
          <w:lang w:eastAsia="en-US"/>
        </w:rPr>
        <w:t>RECURSOS PARA EL PROGRAMA 11</w:t>
      </w:r>
    </w:p>
    <w:p w:rsidR="002E7DC3" w:rsidRPr="002E7DC3" w:rsidRDefault="002E7DC3" w:rsidP="00E6555D">
      <w:pPr>
        <w:widowControl w:val="0"/>
        <w:autoSpaceDE w:val="0"/>
        <w:autoSpaceDN w:val="0"/>
        <w:adjustRightInd w:val="0"/>
        <w:rPr>
          <w:rFonts w:eastAsia="Times New Roman"/>
          <w:sz w:val="20"/>
          <w:lang w:eastAsia="en-US"/>
        </w:rPr>
      </w:pPr>
    </w:p>
    <w:p w:rsidR="002E7DC3" w:rsidRPr="002E7DC3" w:rsidRDefault="002E7DC3" w:rsidP="00E6555D">
      <w:pPr>
        <w:widowControl w:val="0"/>
        <w:numPr>
          <w:ilvl w:val="0"/>
          <w:numId w:val="33"/>
        </w:numPr>
        <w:ind w:right="44"/>
        <w:jc w:val="both"/>
        <w:rPr>
          <w:rFonts w:eastAsia="Times New Roman"/>
          <w:bCs/>
          <w:sz w:val="20"/>
          <w:lang w:eastAsia="en-US"/>
        </w:rPr>
      </w:pPr>
      <w:r w:rsidRPr="002E7DC3">
        <w:rPr>
          <w:rFonts w:eastAsia="Times New Roman"/>
          <w:bCs/>
          <w:sz w:val="20"/>
          <w:lang w:eastAsia="en-US"/>
        </w:rPr>
        <w:t>El muy leve aumento en los recursos para el resultado III.2 (Mejora de las capacidades en el ámbito de los recursos humanos) se debe a los aumentos reglamentarios en los costos de personal.</w:t>
      </w:r>
    </w:p>
    <w:p w:rsidR="002E7DC3" w:rsidRPr="002E7DC3" w:rsidRDefault="002E7DC3" w:rsidP="00B16400">
      <w:pPr>
        <w:widowControl w:val="0"/>
      </w:pPr>
    </w:p>
    <w:p w:rsidR="00B16400" w:rsidRPr="00C75C7E" w:rsidRDefault="001144DA" w:rsidP="002E7DC3">
      <w:pPr>
        <w:keepNext/>
        <w:widowControl w:val="0"/>
        <w:autoSpaceDE w:val="0"/>
        <w:autoSpaceDN w:val="0"/>
        <w:adjustRightInd w:val="0"/>
        <w:jc w:val="center"/>
        <w:rPr>
          <w:b/>
          <w:bCs/>
          <w:iCs/>
          <w:sz w:val="20"/>
          <w:lang w:val="es-ES_tradnl"/>
        </w:rPr>
      </w:pPr>
      <w:r>
        <w:rPr>
          <w:b/>
          <w:bCs/>
          <w:iCs/>
          <w:sz w:val="20"/>
          <w:lang w:val="es-ES_tradnl"/>
        </w:rPr>
        <w:lastRenderedPageBreak/>
        <w:t>Programa 11</w:t>
      </w:r>
      <w:proofErr w:type="gramStart"/>
      <w:r>
        <w:rPr>
          <w:b/>
          <w:bCs/>
          <w:iCs/>
          <w:sz w:val="20"/>
          <w:lang w:val="es-ES_tradnl"/>
        </w:rPr>
        <w:t xml:space="preserve">:  </w:t>
      </w:r>
      <w:r w:rsidR="00B16400" w:rsidRPr="00C75C7E">
        <w:rPr>
          <w:b/>
          <w:bCs/>
          <w:iCs/>
          <w:sz w:val="20"/>
          <w:lang w:val="es-ES_tradnl"/>
        </w:rPr>
        <w:t>Recursos</w:t>
      </w:r>
      <w:proofErr w:type="gramEnd"/>
      <w:r w:rsidR="00B16400" w:rsidRPr="00C75C7E">
        <w:rPr>
          <w:b/>
          <w:bCs/>
          <w:iCs/>
          <w:sz w:val="20"/>
          <w:lang w:val="es-ES_tradnl"/>
        </w:rPr>
        <w:t xml:space="preserve"> por resultado</w:t>
      </w:r>
    </w:p>
    <w:p w:rsidR="00B16400" w:rsidRPr="00C75C7E" w:rsidRDefault="00B16400" w:rsidP="002E7DC3">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16400" w:rsidRPr="00C75C7E" w:rsidRDefault="00B16400" w:rsidP="002E7DC3">
      <w:pPr>
        <w:keepNext/>
        <w:widowControl w:val="0"/>
        <w:autoSpaceDE w:val="0"/>
        <w:autoSpaceDN w:val="0"/>
        <w:adjustRightInd w:val="0"/>
        <w:rPr>
          <w:sz w:val="20"/>
          <w:lang w:val="es-ES_tradnl"/>
        </w:rPr>
      </w:pPr>
    </w:p>
    <w:p w:rsidR="00B16400" w:rsidRPr="00C75C7E" w:rsidRDefault="00C40A11" w:rsidP="002E7DC3">
      <w:pPr>
        <w:keepNext/>
        <w:widowControl w:val="0"/>
        <w:autoSpaceDE w:val="0"/>
        <w:autoSpaceDN w:val="0"/>
        <w:adjustRightInd w:val="0"/>
        <w:rPr>
          <w:sz w:val="20"/>
          <w:lang w:val="es-ES_tradnl"/>
        </w:rPr>
      </w:pPr>
      <w:r>
        <w:rPr>
          <w:noProof/>
          <w:lang w:val="en-US" w:eastAsia="en-US"/>
        </w:rPr>
        <w:drawing>
          <wp:inline distT="0" distB="0" distL="0" distR="0" wp14:anchorId="5D23B75B" wp14:editId="3E3E0A55">
            <wp:extent cx="5752465" cy="1466850"/>
            <wp:effectExtent l="0" t="0" r="635" b="0"/>
            <wp:docPr id="44"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52465" cy="1466850"/>
                    </a:xfrm>
                    <a:prstGeom prst="rect">
                      <a:avLst/>
                    </a:prstGeom>
                    <a:noFill/>
                    <a:ln>
                      <a:noFill/>
                    </a:ln>
                  </pic:spPr>
                </pic:pic>
              </a:graphicData>
            </a:graphic>
          </wp:inline>
        </w:drawing>
      </w:r>
    </w:p>
    <w:p w:rsidR="00B16400" w:rsidRPr="00C75C7E" w:rsidRDefault="00B16400" w:rsidP="00B16400">
      <w:pPr>
        <w:widowControl w:val="0"/>
        <w:autoSpaceDE w:val="0"/>
        <w:autoSpaceDN w:val="0"/>
        <w:adjustRightInd w:val="0"/>
        <w:rPr>
          <w:sz w:val="20"/>
          <w:lang w:val="es-ES_tradnl"/>
        </w:rPr>
      </w:pPr>
    </w:p>
    <w:p w:rsidR="00B16400" w:rsidRPr="00C75C7E" w:rsidRDefault="00B16400" w:rsidP="00B16400">
      <w:pPr>
        <w:widowControl w:val="0"/>
        <w:autoSpaceDE w:val="0"/>
        <w:autoSpaceDN w:val="0"/>
        <w:adjustRightInd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B16400" w:rsidRPr="00C75C7E" w:rsidRDefault="00B16400" w:rsidP="00B16400">
      <w:pPr>
        <w:widowControl w:val="0"/>
        <w:autoSpaceDE w:val="0"/>
        <w:autoSpaceDN w:val="0"/>
        <w:adjustRightInd w:val="0"/>
        <w:rPr>
          <w:sz w:val="20"/>
          <w:lang w:val="es-ES_tradnl"/>
        </w:rPr>
      </w:pPr>
    </w:p>
    <w:p w:rsidR="00B16400" w:rsidRPr="00C75C7E" w:rsidRDefault="00B16400" w:rsidP="00B16400">
      <w:pPr>
        <w:widowControl w:val="0"/>
        <w:autoSpaceDE w:val="0"/>
        <w:autoSpaceDN w:val="0"/>
        <w:adjustRightInd w:val="0"/>
        <w:jc w:val="both"/>
        <w:rPr>
          <w:sz w:val="20"/>
          <w:lang w:val="es-ES_tradnl"/>
        </w:rPr>
      </w:pPr>
    </w:p>
    <w:p w:rsidR="00B16400" w:rsidRPr="00C75C7E" w:rsidRDefault="001144DA" w:rsidP="00B16400">
      <w:pPr>
        <w:widowControl w:val="0"/>
        <w:autoSpaceDE w:val="0"/>
        <w:autoSpaceDN w:val="0"/>
        <w:adjustRightInd w:val="0"/>
        <w:ind w:firstLine="567"/>
        <w:jc w:val="center"/>
        <w:rPr>
          <w:b/>
          <w:bCs/>
          <w:iCs/>
          <w:sz w:val="20"/>
          <w:lang w:val="es-ES_tradnl"/>
        </w:rPr>
      </w:pPr>
      <w:r>
        <w:rPr>
          <w:b/>
          <w:bCs/>
          <w:iCs/>
          <w:sz w:val="20"/>
          <w:lang w:val="es-ES_tradnl"/>
        </w:rPr>
        <w:t>Programa 11</w:t>
      </w:r>
      <w:proofErr w:type="gramStart"/>
      <w:r>
        <w:rPr>
          <w:b/>
          <w:bCs/>
          <w:iCs/>
          <w:sz w:val="20"/>
          <w:lang w:val="es-ES_tradnl"/>
        </w:rPr>
        <w:t xml:space="preserve">:  </w:t>
      </w:r>
      <w:r w:rsidR="00B16400" w:rsidRPr="00C75C7E">
        <w:rPr>
          <w:b/>
          <w:bCs/>
          <w:iCs/>
          <w:sz w:val="20"/>
          <w:lang w:val="es-ES_tradnl"/>
        </w:rPr>
        <w:t>Recursos</w:t>
      </w:r>
      <w:proofErr w:type="gramEnd"/>
      <w:r w:rsidR="00B16400" w:rsidRPr="00C75C7E">
        <w:rPr>
          <w:b/>
          <w:bCs/>
          <w:iCs/>
          <w:sz w:val="20"/>
          <w:lang w:val="es-ES_tradnl"/>
        </w:rPr>
        <w:t xml:space="preserve"> por objeto de gasto</w:t>
      </w:r>
    </w:p>
    <w:p w:rsidR="00B16400" w:rsidRPr="00C75C7E" w:rsidRDefault="00B16400" w:rsidP="00B16400">
      <w:pPr>
        <w:widowControl w:val="0"/>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16400" w:rsidRDefault="00B16400" w:rsidP="00B16400">
      <w:pPr>
        <w:widowControl w:val="0"/>
        <w:jc w:val="center"/>
        <w:rPr>
          <w:i/>
          <w:sz w:val="20"/>
          <w:lang w:val="es-ES_tradnl"/>
        </w:rPr>
      </w:pPr>
    </w:p>
    <w:p w:rsidR="00723CAF" w:rsidRPr="00C75C7E" w:rsidRDefault="00C40A11" w:rsidP="00B16400">
      <w:pPr>
        <w:widowControl w:val="0"/>
        <w:jc w:val="center"/>
        <w:rPr>
          <w:i/>
          <w:sz w:val="20"/>
          <w:lang w:val="es-ES_tradnl"/>
        </w:rPr>
      </w:pPr>
      <w:r>
        <w:rPr>
          <w:noProof/>
          <w:lang w:val="en-US" w:eastAsia="en-US"/>
        </w:rPr>
        <w:drawing>
          <wp:inline distT="0" distB="0" distL="0" distR="0" wp14:anchorId="6D1F2469" wp14:editId="5EC4BF90">
            <wp:extent cx="5936615" cy="5739130"/>
            <wp:effectExtent l="0" t="0" r="698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B16400" w:rsidRPr="00C75C7E" w:rsidRDefault="00B16400" w:rsidP="00E6555D">
      <w:pPr>
        <w:keepNext/>
        <w:keepLines/>
        <w:widowControl w:val="0"/>
        <w:rPr>
          <w:sz w:val="16"/>
          <w:szCs w:val="16"/>
          <w:lang w:val="es-ES_tradnl"/>
        </w:rPr>
      </w:pPr>
      <w:r w:rsidRPr="00C75C7E">
        <w:rPr>
          <w:sz w:val="16"/>
          <w:szCs w:val="16"/>
          <w:lang w:val="es-ES_tradnl"/>
        </w:rPr>
        <w:lastRenderedPageBreak/>
        <w:t>Notas:</w:t>
      </w:r>
    </w:p>
    <w:p w:rsidR="00B16400" w:rsidRPr="00C75C7E" w:rsidRDefault="00B16400" w:rsidP="00E6555D">
      <w:pPr>
        <w:keepNext/>
        <w:keepLines/>
        <w:widowControl w:val="0"/>
        <w:rPr>
          <w:sz w:val="16"/>
          <w:szCs w:val="16"/>
          <w:u w:val="single"/>
          <w:lang w:val="es-ES_tradnl"/>
        </w:rPr>
      </w:pPr>
    </w:p>
    <w:p w:rsidR="00B16400" w:rsidRDefault="008F1386" w:rsidP="00E6555D">
      <w:pPr>
        <w:keepNext/>
        <w:keepLines/>
        <w:widowControl w:val="0"/>
        <w:tabs>
          <w:tab w:val="left" w:pos="567"/>
        </w:tabs>
        <w:rPr>
          <w:sz w:val="16"/>
          <w:szCs w:val="16"/>
          <w:lang w:val="es-ES_tradnl"/>
        </w:rPr>
      </w:pPr>
      <w:r>
        <w:rPr>
          <w:sz w:val="16"/>
          <w:szCs w:val="16"/>
          <w:lang w:val="es-ES_tradnl"/>
        </w:rPr>
        <w:t xml:space="preserve">1)  </w:t>
      </w:r>
      <w:r w:rsidR="00B16400" w:rsidRPr="00C75C7E">
        <w:rPr>
          <w:sz w:val="16"/>
          <w:szCs w:val="16"/>
          <w:lang w:val="es-ES_tradnl"/>
        </w:rPr>
        <w:t xml:space="preserve">El presupuesto aprobado de 2012/13 y el presupuesto de dicho bienio después de las transferencias se </w:t>
      </w:r>
      <w:proofErr w:type="spellStart"/>
      <w:r w:rsidR="00B16400" w:rsidRPr="00C75C7E">
        <w:rPr>
          <w:sz w:val="16"/>
          <w:szCs w:val="16"/>
          <w:lang w:val="es-ES_tradnl"/>
        </w:rPr>
        <w:t>reexpresan</w:t>
      </w:r>
      <w:proofErr w:type="spellEnd"/>
      <w:r w:rsidR="00B16400" w:rsidRPr="00C75C7E">
        <w:rPr>
          <w:sz w:val="16"/>
          <w:szCs w:val="16"/>
          <w:lang w:val="es-ES_tradnl"/>
        </w:rPr>
        <w:t xml:space="preserve"> sobre la base de la estructura de categorías de costos propuesta para 2014/15.</w:t>
      </w:r>
    </w:p>
    <w:p w:rsidR="00B16400" w:rsidRPr="00C75C7E" w:rsidRDefault="00B16400" w:rsidP="00B16400">
      <w:pPr>
        <w:widowControl w:val="0"/>
        <w:tabs>
          <w:tab w:val="left" w:pos="567"/>
        </w:tabs>
        <w:rPr>
          <w:sz w:val="16"/>
          <w:szCs w:val="16"/>
          <w:lang w:val="es-ES_tradnl"/>
        </w:rPr>
      </w:pPr>
    </w:p>
    <w:p w:rsidR="00B16400" w:rsidRDefault="00B16400" w:rsidP="00B16400">
      <w:pPr>
        <w:widowControl w:val="0"/>
        <w:tabs>
          <w:tab w:val="left" w:pos="567"/>
        </w:tabs>
        <w:rPr>
          <w:rFonts w:cs="ArialMT"/>
          <w:sz w:val="16"/>
          <w:szCs w:val="16"/>
          <w:lang w:val="es-ES_tradnl"/>
        </w:rPr>
      </w:pPr>
      <w:r>
        <w:rPr>
          <w:sz w:val="16"/>
          <w:szCs w:val="16"/>
          <w:lang w:val="es-ES_tradnl"/>
        </w:rPr>
        <w:t>2)</w:t>
      </w:r>
      <w:r w:rsidR="008F1386">
        <w:rPr>
          <w:sz w:val="16"/>
          <w:szCs w:val="16"/>
          <w:lang w:val="es-ES_tradnl"/>
        </w:rPr>
        <w:t xml:space="preserve">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B16400" w:rsidRPr="00C75C7E" w:rsidRDefault="00B16400" w:rsidP="00B16400">
      <w:pPr>
        <w:widowControl w:val="0"/>
        <w:tabs>
          <w:tab w:val="left" w:pos="567"/>
        </w:tabs>
        <w:rPr>
          <w:sz w:val="16"/>
          <w:szCs w:val="16"/>
          <w:lang w:val="es-ES_tradnl"/>
        </w:rPr>
      </w:pPr>
    </w:p>
    <w:p w:rsidR="00B16400" w:rsidRPr="00C75C7E" w:rsidRDefault="00B16400" w:rsidP="00B16400">
      <w:pPr>
        <w:widowControl w:val="0"/>
        <w:spacing w:after="120"/>
        <w:rPr>
          <w:sz w:val="16"/>
          <w:szCs w:val="16"/>
          <w:lang w:val="es-ES_tradnl"/>
        </w:rPr>
      </w:pPr>
      <w:r>
        <w:rPr>
          <w:sz w:val="16"/>
          <w:szCs w:val="16"/>
          <w:lang w:val="es-ES_tradnl"/>
        </w:rPr>
        <w:t>3)</w:t>
      </w:r>
      <w:r w:rsidR="008F1386">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8541BE" w:rsidRDefault="008541BE" w:rsidP="00B16400">
      <w:pPr>
        <w:widowControl w:val="0"/>
        <w:jc w:val="center"/>
        <w:rPr>
          <w:sz w:val="18"/>
          <w:szCs w:val="18"/>
          <w:lang w:val="es-ES_tradnl"/>
        </w:rPr>
      </w:pPr>
    </w:p>
    <w:p w:rsidR="008541BE" w:rsidRDefault="008541BE" w:rsidP="00B16400">
      <w:pPr>
        <w:widowControl w:val="0"/>
        <w:jc w:val="center"/>
        <w:rPr>
          <w:sz w:val="18"/>
          <w:szCs w:val="18"/>
          <w:lang w:val="es-ES_tradnl"/>
        </w:rPr>
      </w:pPr>
    </w:p>
    <w:p w:rsidR="00B16400" w:rsidRPr="00C75C7E" w:rsidRDefault="00B16400" w:rsidP="00B16400">
      <w:pPr>
        <w:widowControl w:val="0"/>
        <w:jc w:val="center"/>
        <w:rPr>
          <w:sz w:val="20"/>
          <w:lang w:val="es-ES_tradnl"/>
        </w:rPr>
      </w:pPr>
      <w:r w:rsidRPr="00C75C7E">
        <w:rPr>
          <w:sz w:val="18"/>
          <w:szCs w:val="18"/>
          <w:lang w:val="es-ES_tradnl"/>
        </w:rPr>
        <w:t>Fondos fiduciarios disponibles potencialmente para su utilización en 2014/15*</w:t>
      </w:r>
    </w:p>
    <w:p w:rsidR="00B16400" w:rsidRPr="00C75C7E" w:rsidRDefault="00B16400" w:rsidP="00B16400">
      <w:pPr>
        <w:widowControl w:val="0"/>
        <w:jc w:val="center"/>
        <w:rPr>
          <w:sz w:val="18"/>
          <w:szCs w:val="18"/>
          <w:lang w:val="es-ES_tradnl"/>
        </w:rPr>
      </w:pPr>
      <w:r w:rsidRPr="00C75C7E">
        <w:rPr>
          <w:iCs/>
          <w:sz w:val="18"/>
          <w:szCs w:val="18"/>
          <w:lang w:val="es-ES_tradnl"/>
        </w:rPr>
        <w:t>(</w:t>
      </w:r>
      <w:proofErr w:type="gramStart"/>
      <w:r w:rsidRPr="00C75C7E">
        <w:rPr>
          <w:iCs/>
          <w:sz w:val="18"/>
          <w:szCs w:val="18"/>
          <w:lang w:val="es-ES_tradnl"/>
        </w:rPr>
        <w:t>en</w:t>
      </w:r>
      <w:proofErr w:type="gramEnd"/>
      <w:r w:rsidRPr="00C75C7E">
        <w:rPr>
          <w:iCs/>
          <w:sz w:val="18"/>
          <w:szCs w:val="18"/>
          <w:lang w:val="es-ES_tradnl"/>
        </w:rPr>
        <w:t xml:space="preserve"> miles de francos suizos)</w:t>
      </w:r>
    </w:p>
    <w:p w:rsidR="00B16400" w:rsidRPr="00C75C7E" w:rsidRDefault="00B16400" w:rsidP="00B16400">
      <w:pPr>
        <w:widowControl w:val="0"/>
        <w:jc w:val="center"/>
        <w:rPr>
          <w:sz w:val="18"/>
          <w:szCs w:val="18"/>
          <w:lang w:val="es-ES_tradnl"/>
        </w:rPr>
      </w:pPr>
    </w:p>
    <w:p w:rsidR="00B16400" w:rsidRPr="00C75C7E" w:rsidRDefault="00C40A11" w:rsidP="00B16400">
      <w:pPr>
        <w:widowControl w:val="0"/>
        <w:jc w:val="center"/>
        <w:rPr>
          <w:sz w:val="18"/>
          <w:szCs w:val="18"/>
          <w:lang w:val="es-ES_tradnl"/>
        </w:rPr>
      </w:pPr>
      <w:r>
        <w:rPr>
          <w:noProof/>
          <w:lang w:val="en-US" w:eastAsia="en-US"/>
        </w:rPr>
        <w:drawing>
          <wp:inline distT="0" distB="0" distL="0" distR="0" wp14:anchorId="3CF5D50C" wp14:editId="3DFB101E">
            <wp:extent cx="4217035" cy="873760"/>
            <wp:effectExtent l="0" t="0" r="0" b="2540"/>
            <wp:docPr id="4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217035" cy="873760"/>
                    </a:xfrm>
                    <a:prstGeom prst="rect">
                      <a:avLst/>
                    </a:prstGeom>
                    <a:noFill/>
                    <a:ln>
                      <a:noFill/>
                    </a:ln>
                  </pic:spPr>
                </pic:pic>
              </a:graphicData>
            </a:graphic>
          </wp:inline>
        </w:drawing>
      </w:r>
    </w:p>
    <w:p w:rsidR="00B16400" w:rsidRPr="00C75C7E" w:rsidRDefault="00B16400" w:rsidP="00B16400">
      <w:pPr>
        <w:widowControl w:val="0"/>
        <w:ind w:left="1134"/>
        <w:rPr>
          <w:sz w:val="16"/>
          <w:szCs w:val="16"/>
          <w:lang w:val="es-ES_tradnl"/>
        </w:rPr>
      </w:pPr>
    </w:p>
    <w:p w:rsidR="00B16400" w:rsidRPr="00C75C7E" w:rsidRDefault="00B16400" w:rsidP="00B16400">
      <w:pPr>
        <w:widowControl w:val="0"/>
        <w:ind w:left="1134"/>
        <w:jc w:val="both"/>
        <w:rPr>
          <w:sz w:val="16"/>
          <w:szCs w:val="16"/>
          <w:lang w:val="es-ES_tradnl"/>
        </w:rPr>
      </w:pPr>
      <w:r w:rsidRPr="00C75C7E">
        <w:rPr>
          <w:sz w:val="16"/>
          <w:szCs w:val="16"/>
          <w:lang w:val="es-ES_tradnl"/>
        </w:rPr>
        <w:t>*  A título informativo únicamente.  Cabe observar que en algunos acuerdos de fondos fiduciarios se contemplan recursos para actividades que van más allá de la región/programa.  Para más información cabe remitirse al Anexo VIII.</w:t>
      </w:r>
    </w:p>
    <w:p w:rsidR="00B16400" w:rsidRPr="00C75C7E" w:rsidRDefault="00B16400" w:rsidP="00B16400">
      <w:pPr>
        <w:widowControl w:val="0"/>
        <w:ind w:left="1134"/>
        <w:jc w:val="both"/>
        <w:rPr>
          <w:sz w:val="16"/>
          <w:szCs w:val="16"/>
          <w:lang w:val="es-ES_tradnl"/>
        </w:rPr>
      </w:pPr>
    </w:p>
    <w:p w:rsidR="00B16400" w:rsidRPr="00C75C7E" w:rsidRDefault="00B16400" w:rsidP="00B16400">
      <w:pPr>
        <w:widowControl w:val="0"/>
        <w:ind w:left="1134"/>
        <w:jc w:val="both"/>
        <w:rPr>
          <w:sz w:val="16"/>
          <w:szCs w:val="16"/>
          <w:lang w:val="es-ES_tradnl"/>
        </w:rPr>
      </w:pPr>
      <w:r w:rsidRPr="00C75C7E">
        <w:rPr>
          <w:sz w:val="16"/>
          <w:szCs w:val="16"/>
          <w:lang w:val="es-ES_tradnl"/>
        </w:rPr>
        <w:t>**  En las cifras no se han incluido los intereses ni los ajustes cambiarios.  Cabe observar asimismo que estos fondos se destinan generalmente a actividades que cubren un período que va más allá de un solo bienio, a medida que se reciben los ingresos y se incurre en gastos.</w:t>
      </w:r>
    </w:p>
    <w:p w:rsidR="00B16400" w:rsidRPr="00C75C7E" w:rsidRDefault="00B16400" w:rsidP="00B16400">
      <w:pPr>
        <w:widowControl w:val="0"/>
        <w:ind w:left="1134"/>
        <w:jc w:val="both"/>
        <w:rPr>
          <w:sz w:val="16"/>
          <w:szCs w:val="16"/>
          <w:lang w:val="es-ES_tradnl"/>
        </w:rPr>
      </w:pPr>
    </w:p>
    <w:p w:rsidR="00B16400" w:rsidRPr="00C75C7E" w:rsidRDefault="00B16400" w:rsidP="00B16400">
      <w:pPr>
        <w:widowControl w:val="0"/>
        <w:ind w:left="1134"/>
        <w:jc w:val="both"/>
        <w:rPr>
          <w:sz w:val="16"/>
          <w:szCs w:val="16"/>
          <w:lang w:val="es-ES_tradnl"/>
        </w:rPr>
      </w:pPr>
      <w:r w:rsidRPr="00C75C7E">
        <w:rPr>
          <w:sz w:val="16"/>
          <w:szCs w:val="16"/>
          <w:lang w:val="es-ES_tradnl"/>
        </w:rPr>
        <w:t>***  Las contribuciones anuales varían y se han observado fluctuaciones de un año a otro.</w:t>
      </w:r>
    </w:p>
    <w:p w:rsidR="00B16400" w:rsidRPr="00C75C7E" w:rsidRDefault="00B16400" w:rsidP="00B16400">
      <w:pPr>
        <w:widowControl w:val="0"/>
        <w:ind w:left="1134"/>
        <w:jc w:val="both"/>
        <w:rPr>
          <w:sz w:val="16"/>
          <w:szCs w:val="16"/>
          <w:lang w:val="es-ES_tradnl"/>
        </w:rPr>
      </w:pPr>
    </w:p>
    <w:p w:rsidR="00B16400" w:rsidRDefault="00B16400" w:rsidP="00B16400">
      <w:pPr>
        <w:widowControl w:val="0"/>
        <w:ind w:left="1134"/>
        <w:jc w:val="both"/>
        <w:rPr>
          <w:sz w:val="16"/>
          <w:szCs w:val="16"/>
          <w:lang w:val="es-ES_tradnl"/>
        </w:rPr>
      </w:pPr>
      <w:r w:rsidRPr="00C75C7E">
        <w:rPr>
          <w:sz w:val="16"/>
          <w:szCs w:val="16"/>
          <w:lang w:val="es-ES_tradnl"/>
        </w:rPr>
        <w:t>****  Las cifras expuestas en esta columna son puramente indicativas y se basan en patrones de financiación anteriores.  Además, no representan los compromisos de los Estados miembros salvo cuando quedan incluidos en el acuerdo de fondos fiduciarios.</w:t>
      </w:r>
    </w:p>
    <w:p w:rsidR="008541BE" w:rsidRDefault="008541BE" w:rsidP="00B16400">
      <w:pPr>
        <w:widowControl w:val="0"/>
        <w:ind w:left="1134"/>
        <w:jc w:val="both"/>
        <w:rPr>
          <w:sz w:val="16"/>
          <w:szCs w:val="16"/>
          <w:lang w:val="es-ES_tradnl"/>
        </w:rPr>
      </w:pPr>
    </w:p>
    <w:p w:rsidR="008541BE" w:rsidRDefault="008541BE" w:rsidP="00B16400">
      <w:pPr>
        <w:widowControl w:val="0"/>
        <w:ind w:left="1134"/>
        <w:jc w:val="both"/>
        <w:rPr>
          <w:sz w:val="16"/>
          <w:szCs w:val="16"/>
          <w:lang w:val="es-ES_tradnl"/>
        </w:rPr>
      </w:pPr>
    </w:p>
    <w:p w:rsidR="008541BE" w:rsidRDefault="008541BE" w:rsidP="004F4F85">
      <w:pPr>
        <w:widowControl w:val="0"/>
        <w:jc w:val="both"/>
        <w:rPr>
          <w:sz w:val="16"/>
          <w:szCs w:val="16"/>
          <w:lang w:val="es-ES_tradnl"/>
        </w:rPr>
      </w:pPr>
    </w:p>
    <w:p w:rsidR="004F4F85" w:rsidRDefault="004F4F85">
      <w:pPr>
        <w:rPr>
          <w:sz w:val="16"/>
          <w:szCs w:val="16"/>
          <w:lang w:val="es-ES_tradnl"/>
        </w:rPr>
      </w:pPr>
      <w:r>
        <w:rPr>
          <w:sz w:val="16"/>
          <w:szCs w:val="16"/>
          <w:lang w:val="es-ES_tradnl"/>
        </w:rPr>
        <w:br w:type="page"/>
      </w:r>
    </w:p>
    <w:p w:rsidR="004F4F85" w:rsidRPr="008541BE" w:rsidRDefault="004F4F85" w:rsidP="004F4F85">
      <w:pPr>
        <w:pStyle w:val="Heading3"/>
        <w:tabs>
          <w:tab w:val="left" w:pos="1985"/>
        </w:tabs>
        <w:rPr>
          <w:b/>
          <w:iCs/>
          <w:caps/>
          <w:u w:val="none"/>
        </w:rPr>
      </w:pPr>
      <w:bookmarkStart w:id="49" w:name="_Toc366078723"/>
      <w:r w:rsidRPr="008541BE">
        <w:rPr>
          <w:b/>
          <w:iCs/>
          <w:u w:val="none"/>
        </w:rPr>
        <w:lastRenderedPageBreak/>
        <w:t xml:space="preserve">PROGRAMA </w:t>
      </w:r>
      <w:r>
        <w:rPr>
          <w:b/>
          <w:iCs/>
          <w:u w:val="none"/>
        </w:rPr>
        <w:t>30</w:t>
      </w:r>
      <w:r w:rsidRPr="008541BE">
        <w:rPr>
          <w:b/>
          <w:iCs/>
          <w:u w:val="none"/>
        </w:rPr>
        <w:tab/>
      </w:r>
      <w:r>
        <w:rPr>
          <w:b/>
          <w:iCs/>
          <w:u w:val="none"/>
        </w:rPr>
        <w:t>PEQUEÑAS Y MEDIANAS EMPRESAS (</w:t>
      </w:r>
      <w:r w:rsidR="003C6E3F">
        <w:rPr>
          <w:b/>
          <w:iCs/>
          <w:u w:val="none"/>
        </w:rPr>
        <w:t>PYMES</w:t>
      </w:r>
      <w:r>
        <w:rPr>
          <w:b/>
          <w:iCs/>
          <w:u w:val="none"/>
        </w:rPr>
        <w:t>)</w:t>
      </w:r>
      <w:bookmarkEnd w:id="49"/>
      <w:r w:rsidR="000C095D">
        <w:rPr>
          <w:b/>
          <w:iCs/>
          <w:u w:val="none"/>
        </w:rPr>
        <w:t xml:space="preserve"> </w:t>
      </w:r>
    </w:p>
    <w:p w:rsidR="004F4F85" w:rsidRPr="001917DB" w:rsidRDefault="004F4F85" w:rsidP="004F4F85">
      <w:pPr>
        <w:rPr>
          <w:sz w:val="20"/>
          <w:lang w:eastAsia="en-US"/>
        </w:rPr>
      </w:pPr>
    </w:p>
    <w:p w:rsidR="004F4F85" w:rsidRPr="001917DB" w:rsidRDefault="004F4F85" w:rsidP="004F4F85">
      <w:pPr>
        <w:rPr>
          <w:rFonts w:cs="Times New Roman"/>
          <w:sz w:val="20"/>
          <w:lang w:eastAsia="en-US"/>
        </w:rPr>
      </w:pPr>
    </w:p>
    <w:p w:rsidR="004F4F85" w:rsidRPr="002E7DC3" w:rsidRDefault="00813EFA" w:rsidP="004F4F85">
      <w:pPr>
        <w:widowControl w:val="0"/>
        <w:ind w:left="1985" w:hanging="1985"/>
        <w:jc w:val="both"/>
        <w:rPr>
          <w:rFonts w:eastAsia="Times New Roman"/>
          <w:szCs w:val="22"/>
          <w:lang w:eastAsia="en-US"/>
        </w:rPr>
      </w:pPr>
      <w:r>
        <w:rPr>
          <w:rFonts w:eastAsia="Times New Roman"/>
          <w:szCs w:val="22"/>
          <w:lang w:eastAsia="en-US"/>
        </w:rPr>
        <w:t>CONTEXTO DE PLANIFICACIÓN</w:t>
      </w:r>
    </w:p>
    <w:p w:rsidR="004F4F85" w:rsidRPr="002E7DC3" w:rsidRDefault="004F4F85" w:rsidP="004F4F85">
      <w:pPr>
        <w:widowControl w:val="0"/>
        <w:autoSpaceDE w:val="0"/>
        <w:autoSpaceDN w:val="0"/>
        <w:adjustRightInd w:val="0"/>
        <w:jc w:val="both"/>
        <w:rPr>
          <w:rFonts w:eastAsia="Times New Roman"/>
          <w:sz w:val="20"/>
          <w:lang w:eastAsia="en-US"/>
        </w:rPr>
      </w:pPr>
    </w:p>
    <w:p w:rsidR="00C01F5F" w:rsidRDefault="00C01F5F" w:rsidP="00C01F5F">
      <w:pPr>
        <w:widowControl w:val="0"/>
        <w:numPr>
          <w:ilvl w:val="0"/>
          <w:numId w:val="66"/>
        </w:numPr>
        <w:ind w:right="44"/>
        <w:jc w:val="both"/>
        <w:rPr>
          <w:rFonts w:eastAsia="Times New Roman"/>
          <w:sz w:val="20"/>
          <w:lang w:eastAsia="en-US"/>
        </w:rPr>
      </w:pPr>
      <w:r>
        <w:rPr>
          <w:rFonts w:eastAsia="Times New Roman"/>
          <w:sz w:val="20"/>
          <w:lang w:eastAsia="en-US"/>
        </w:rPr>
        <w:t>La intensa globalización y el crecimiento de una economía basada en el conocimiento exigen de todas las empresas esfuerzos de innovación y una gestión eficaz de la P.I., sea cual sea su tamaño o ubicación geográfica, para seguir siendo competitivas.  Actualmente, las empresas más grandes han comenzado a considerar a la P.I. como un arma estratégica, mientras que la mayoría de las microempresas y pequeñas y medianas empresas (a las que en lo sucesivo se denominará conjuntamente “pymes”) no ni gestionan ni explotan sus activos de P.I.  Ello supone no solo la gestión propiamente dicha de esos activos, sino también la integración de la P.I. en sus estrategias de innovación y modelos de negocios.</w:t>
      </w:r>
    </w:p>
    <w:p w:rsidR="00C01F5F" w:rsidRDefault="00C01F5F" w:rsidP="00C01F5F">
      <w:pPr>
        <w:widowControl w:val="0"/>
        <w:ind w:right="44"/>
        <w:jc w:val="both"/>
        <w:rPr>
          <w:rFonts w:eastAsia="Times New Roman"/>
          <w:sz w:val="20"/>
          <w:lang w:eastAsia="en-US"/>
        </w:rPr>
      </w:pPr>
    </w:p>
    <w:p w:rsidR="00C01F5F" w:rsidRPr="00C01F5F" w:rsidRDefault="00C01F5F" w:rsidP="00C01F5F">
      <w:pPr>
        <w:widowControl w:val="0"/>
        <w:numPr>
          <w:ilvl w:val="0"/>
          <w:numId w:val="66"/>
        </w:numPr>
        <w:ind w:right="44"/>
        <w:jc w:val="both"/>
        <w:rPr>
          <w:rFonts w:eastAsia="Times New Roman"/>
          <w:sz w:val="20"/>
          <w:lang w:eastAsia="en-US"/>
        </w:rPr>
      </w:pPr>
      <w:r w:rsidRPr="00C01F5F">
        <w:rPr>
          <w:rFonts w:eastAsia="Times New Roman"/>
          <w:sz w:val="20"/>
          <w:lang w:eastAsia="en-US"/>
        </w:rPr>
        <w:t>La contribución de las pymes al desarrollo socioeconómico es considerable puesto que representan casi el 70% de los puestos de trabajo, y más del 90% de las empresas de la mayoría de los países que generan entre el 40 y el 50% del PIB mundial.  Pero pese a su importancia económica solo una pequeña proporción de las solicitudes de derechos de P.I. que se presentan en el mundo se originan en pymes.  Un segundo ámbito al que se refiere este programa es el de las universidades y las instituciones públicas de investigación que tienen diferentes capacidades y conocimiento en lo que atañe a sus oportunidades de comercializar tecnología.</w:t>
      </w:r>
    </w:p>
    <w:p w:rsidR="00C01F5F" w:rsidRPr="002E7DC3" w:rsidRDefault="00C01F5F" w:rsidP="00C01F5F">
      <w:pPr>
        <w:widowControl w:val="0"/>
        <w:ind w:right="44"/>
        <w:jc w:val="both"/>
        <w:rPr>
          <w:rFonts w:eastAsia="Times New Roman"/>
          <w:sz w:val="20"/>
          <w:lang w:eastAsia="en-US"/>
        </w:rPr>
      </w:pPr>
    </w:p>
    <w:p w:rsidR="00C01F5F" w:rsidRPr="002E7DC3" w:rsidRDefault="00C01F5F" w:rsidP="00C01F5F">
      <w:pPr>
        <w:widowControl w:val="0"/>
        <w:numPr>
          <w:ilvl w:val="0"/>
          <w:numId w:val="66"/>
        </w:numPr>
        <w:ind w:right="44"/>
        <w:jc w:val="both"/>
        <w:rPr>
          <w:rFonts w:eastAsia="Times New Roman"/>
          <w:sz w:val="20"/>
          <w:lang w:eastAsia="en-US"/>
        </w:rPr>
      </w:pPr>
      <w:r>
        <w:rPr>
          <w:rFonts w:eastAsia="Times New Roman"/>
          <w:sz w:val="20"/>
          <w:lang w:eastAsia="en-US"/>
        </w:rPr>
        <w:t>Siguen siendo varios los motivos por los que las pymes, las universidades y las instituciones públicas de investigación poco utilizan el sistema de P.I.</w:t>
      </w:r>
      <w:proofErr w:type="gramStart"/>
      <w:r>
        <w:rPr>
          <w:rFonts w:eastAsia="Times New Roman"/>
          <w:sz w:val="20"/>
          <w:lang w:eastAsia="en-US"/>
        </w:rPr>
        <w:t>:  falta</w:t>
      </w:r>
      <w:proofErr w:type="gramEnd"/>
      <w:r>
        <w:rPr>
          <w:rFonts w:eastAsia="Times New Roman"/>
          <w:sz w:val="20"/>
          <w:lang w:eastAsia="en-US"/>
        </w:rPr>
        <w:t xml:space="preserve"> de comprensión de la importancia de la I+D y sus resultados innovadores;  capacidad insuficiente para administrar estratégicamente sus activos de P.I.;  poca comprensión del sistema de P.I.;  y la percepción de que el uso del sistema de P.I. es complejo y oneroso.  Además, la escasez en varios países de información sobre P.I. de fácil acceso y de instituciones de apoyo a las pymes son factores que plantean problemas a la hora de llegar individualmente al número cada vez mayor de pymes en un país determinado.</w:t>
      </w:r>
    </w:p>
    <w:p w:rsidR="00C01F5F" w:rsidRDefault="00C01F5F" w:rsidP="00C01F5F">
      <w:pPr>
        <w:widowControl w:val="0"/>
        <w:autoSpaceDE w:val="0"/>
        <w:autoSpaceDN w:val="0"/>
        <w:adjustRightInd w:val="0"/>
        <w:jc w:val="both"/>
        <w:rPr>
          <w:rFonts w:eastAsia="Times New Roman"/>
          <w:bCs/>
          <w:sz w:val="20"/>
          <w:lang w:eastAsia="en-US"/>
        </w:rPr>
      </w:pPr>
    </w:p>
    <w:p w:rsidR="00C01F5F" w:rsidRPr="002E7DC3" w:rsidRDefault="00C01F5F" w:rsidP="00C01F5F">
      <w:pPr>
        <w:widowControl w:val="0"/>
        <w:autoSpaceDE w:val="0"/>
        <w:autoSpaceDN w:val="0"/>
        <w:adjustRightInd w:val="0"/>
        <w:jc w:val="both"/>
        <w:rPr>
          <w:rFonts w:eastAsia="Times New Roman"/>
          <w:bCs/>
          <w:sz w:val="20"/>
          <w:lang w:eastAsia="en-US"/>
        </w:rPr>
      </w:pPr>
    </w:p>
    <w:p w:rsidR="00C01F5F" w:rsidRPr="002E7DC3" w:rsidRDefault="00C01F5F" w:rsidP="00C01F5F">
      <w:pPr>
        <w:widowControl w:val="0"/>
        <w:ind w:right="363"/>
        <w:rPr>
          <w:rFonts w:eastAsia="Times New Roman"/>
          <w:szCs w:val="22"/>
          <w:lang w:eastAsia="en-US"/>
        </w:rPr>
      </w:pPr>
      <w:r>
        <w:rPr>
          <w:rFonts w:eastAsia="Times New Roman"/>
          <w:szCs w:val="22"/>
          <w:lang w:eastAsia="en-US"/>
        </w:rPr>
        <w:t>ESTRATEGIAS DE EJECUCIÓN</w:t>
      </w:r>
    </w:p>
    <w:p w:rsidR="00C01F5F" w:rsidRPr="002E7DC3" w:rsidRDefault="00C01F5F" w:rsidP="00C01F5F">
      <w:pPr>
        <w:widowControl w:val="0"/>
        <w:autoSpaceDE w:val="0"/>
        <w:autoSpaceDN w:val="0"/>
        <w:adjustRightInd w:val="0"/>
        <w:jc w:val="both"/>
        <w:rPr>
          <w:rFonts w:eastAsia="Times New Roman"/>
          <w:bCs/>
          <w:sz w:val="20"/>
          <w:lang w:eastAsia="en-US"/>
        </w:rPr>
      </w:pPr>
    </w:p>
    <w:p w:rsidR="00C01F5F" w:rsidRDefault="00C01F5F" w:rsidP="00C01F5F">
      <w:pPr>
        <w:widowControl w:val="0"/>
        <w:numPr>
          <w:ilvl w:val="0"/>
          <w:numId w:val="66"/>
        </w:numPr>
        <w:ind w:right="44"/>
        <w:jc w:val="both"/>
        <w:rPr>
          <w:rFonts w:eastAsia="Times New Roman"/>
          <w:sz w:val="20"/>
          <w:lang w:eastAsia="en-US"/>
        </w:rPr>
      </w:pPr>
      <w:r>
        <w:rPr>
          <w:rFonts w:eastAsia="Times New Roman"/>
          <w:sz w:val="20"/>
          <w:lang w:eastAsia="en-US"/>
        </w:rPr>
        <w:t xml:space="preserve">Este programa constituirá el punto central de referencia en la OMPI para todas las cuestiones relacionadas con las pymes y la P.I., y fijará su accionar a tenor de las recomendaciones 1 y 11 de la Agenda para el Desarrollo.  Velará por el establecimiento de una sólida plataforma de contenidos relacionados con las pymes que sirva, por una parte, para orientar las actividades de formación y fortalecimiento de capacidad destinadas principalmente a las instituciones de apoyo a las pymes y demás intermediarios y realizadas en el marco del propio programa, el programa 10 (Determinados países de Europa y Asia) y los programas de enseñanza a distancia de la Academia de la OMPI (programa 11) y, por la otra, para que esas actividades de formación y fortalecimiento de capacidad se realicen en cooperación con el programa 9.  Ello comprenderá la creación de material hecho a medida para atender las necesidades de las pymes, susceptible de ser adaptado en función del lugar, y la determinación de las mejoras prácticas (que deberán figurar, entre otros, en la base de datos </w:t>
      </w:r>
      <w:r w:rsidRPr="006E6899">
        <w:rPr>
          <w:rFonts w:eastAsia="Times New Roman"/>
          <w:i/>
          <w:sz w:val="20"/>
          <w:lang w:eastAsia="en-US"/>
        </w:rPr>
        <w:t xml:space="preserve">IP </w:t>
      </w:r>
      <w:proofErr w:type="spellStart"/>
      <w:r w:rsidRPr="006E6899">
        <w:rPr>
          <w:rFonts w:eastAsia="Times New Roman"/>
          <w:i/>
          <w:sz w:val="20"/>
          <w:lang w:eastAsia="en-US"/>
        </w:rPr>
        <w:t>Advantage</w:t>
      </w:r>
      <w:proofErr w:type="spellEnd"/>
      <w:r>
        <w:rPr>
          <w:rFonts w:eastAsia="Times New Roman"/>
          <w:sz w:val="20"/>
          <w:lang w:eastAsia="en-US"/>
        </w:rPr>
        <w:t>) en lo relativo al uso de la P.I. por las pymes con el fin de demostrar que inciden positivamente en la economía, la generación de empleo y la competitividad.  Para que la creación de contenido se vea reforzada, deberán estudiarse las posibilidades de colaboración con otras organizaciones internacionales que tengan programas de apoyo a las pymes. Las actividades de formación y fortalecimiento de capacidad se basarán en el material elaborado en el marco de este programa.</w:t>
      </w:r>
    </w:p>
    <w:p w:rsidR="00C01F5F" w:rsidRDefault="00C01F5F" w:rsidP="00C01F5F">
      <w:pPr>
        <w:widowControl w:val="0"/>
        <w:ind w:right="44"/>
        <w:jc w:val="both"/>
        <w:rPr>
          <w:rFonts w:eastAsia="Times New Roman"/>
          <w:sz w:val="20"/>
          <w:lang w:eastAsia="en-US"/>
        </w:rPr>
      </w:pPr>
    </w:p>
    <w:p w:rsidR="00C01F5F" w:rsidRDefault="00C01F5F" w:rsidP="00C01F5F">
      <w:pPr>
        <w:widowControl w:val="0"/>
        <w:numPr>
          <w:ilvl w:val="0"/>
          <w:numId w:val="66"/>
        </w:numPr>
        <w:ind w:right="44"/>
        <w:jc w:val="both"/>
        <w:rPr>
          <w:rFonts w:eastAsia="Times New Roman"/>
          <w:sz w:val="20"/>
          <w:lang w:eastAsia="en-US"/>
        </w:rPr>
      </w:pPr>
      <w:r>
        <w:rPr>
          <w:rFonts w:eastAsia="Times New Roman"/>
          <w:sz w:val="20"/>
          <w:lang w:eastAsia="en-US"/>
        </w:rPr>
        <w:t>Además, y con el fin de potenciar la divulgación de información directamente a las pymes, el programa continuará actualizando las páginas sobre pymes del sitio web de la OMPI, y publicando su Boletín para las pymes.</w:t>
      </w:r>
    </w:p>
    <w:p w:rsidR="00C01F5F" w:rsidRDefault="00C01F5F" w:rsidP="00C01F5F">
      <w:pPr>
        <w:widowControl w:val="0"/>
        <w:ind w:right="44"/>
        <w:jc w:val="both"/>
        <w:rPr>
          <w:rFonts w:eastAsia="Times New Roman"/>
          <w:sz w:val="20"/>
          <w:lang w:eastAsia="en-US"/>
        </w:rPr>
      </w:pPr>
    </w:p>
    <w:p w:rsidR="00C01F5F" w:rsidRDefault="00C01F5F" w:rsidP="00C01F5F">
      <w:pPr>
        <w:widowControl w:val="0"/>
        <w:numPr>
          <w:ilvl w:val="0"/>
          <w:numId w:val="66"/>
        </w:numPr>
        <w:ind w:right="44"/>
        <w:jc w:val="both"/>
        <w:rPr>
          <w:rFonts w:eastAsia="Times New Roman"/>
          <w:sz w:val="20"/>
          <w:lang w:eastAsia="en-US"/>
        </w:rPr>
      </w:pPr>
      <w:r>
        <w:rPr>
          <w:rFonts w:eastAsia="Times New Roman"/>
          <w:sz w:val="20"/>
          <w:lang w:eastAsia="en-US"/>
        </w:rPr>
        <w:t xml:space="preserve">El control y la evaluación de la labor que realice la OMPI en relación con las pymes será objeto de particular atención en el bienio 2014/15, en el contexto del marco de la OMPI de gestión por resultados.  Se crearán herramientas eficaces para compilar datos sobre los indicadores del rendimiento de los programas pertinentes (10 y 30) en estrecha colaboración con esos programas.  Con ese fin, entre otras cosas, se llevarán a cabo encuestas para medir la satisfacción de las instituciones de apoyo a las pymes respecto de las actividades de fortalecimiento de capacidades, y para seguir el rastro de los </w:t>
      </w:r>
      <w:r>
        <w:rPr>
          <w:rFonts w:eastAsia="Times New Roman"/>
          <w:sz w:val="20"/>
          <w:lang w:eastAsia="en-US"/>
        </w:rPr>
        <w:lastRenderedPageBreak/>
        <w:t>servicios que esas instituciones presten a las pymes y la información sobre P.I. que les</w:t>
      </w:r>
      <w:r w:rsidRPr="007D3A9D">
        <w:rPr>
          <w:rFonts w:eastAsia="Times New Roman"/>
          <w:sz w:val="20"/>
          <w:lang w:eastAsia="en-US"/>
        </w:rPr>
        <w:t xml:space="preserve"> </w:t>
      </w:r>
      <w:r>
        <w:rPr>
          <w:rFonts w:eastAsia="Times New Roman"/>
          <w:sz w:val="20"/>
          <w:lang w:eastAsia="en-US"/>
        </w:rPr>
        <w:t>proporcionen.</w:t>
      </w:r>
    </w:p>
    <w:p w:rsidR="00C01F5F" w:rsidRDefault="00C01F5F" w:rsidP="00C01F5F">
      <w:pPr>
        <w:widowControl w:val="0"/>
        <w:ind w:right="44"/>
        <w:jc w:val="both"/>
        <w:rPr>
          <w:rFonts w:eastAsia="Times New Roman"/>
          <w:sz w:val="20"/>
          <w:lang w:eastAsia="en-US"/>
        </w:rPr>
      </w:pPr>
    </w:p>
    <w:p w:rsidR="00C01F5F" w:rsidRDefault="00C01F5F" w:rsidP="00C01F5F">
      <w:pPr>
        <w:widowControl w:val="0"/>
        <w:numPr>
          <w:ilvl w:val="0"/>
          <w:numId w:val="66"/>
        </w:numPr>
        <w:ind w:right="44"/>
        <w:jc w:val="both"/>
        <w:rPr>
          <w:rFonts w:eastAsia="Times New Roman"/>
          <w:sz w:val="20"/>
          <w:lang w:eastAsia="en-US"/>
        </w:rPr>
      </w:pPr>
      <w:r>
        <w:rPr>
          <w:rFonts w:eastAsia="Times New Roman"/>
          <w:sz w:val="20"/>
          <w:lang w:eastAsia="en-US"/>
        </w:rPr>
        <w:t xml:space="preserve">Durante el bienio 2012/13, y aplicando un enfoque de prueba piloto, se inició en determinadas regiones la iniciativa de </w:t>
      </w:r>
      <w:r w:rsidRPr="005265DE">
        <w:rPr>
          <w:rFonts w:eastAsia="Times New Roman"/>
          <w:sz w:val="20"/>
          <w:lang w:eastAsia="en-US"/>
        </w:rPr>
        <w:t xml:space="preserve">apoyo a la infraestructura de la innovación </w:t>
      </w:r>
      <w:r>
        <w:rPr>
          <w:rFonts w:eastAsia="Times New Roman"/>
          <w:sz w:val="20"/>
          <w:lang w:eastAsia="en-US"/>
        </w:rPr>
        <w:t xml:space="preserve">mediante </w:t>
      </w:r>
      <w:r w:rsidRPr="005265DE">
        <w:rPr>
          <w:rFonts w:eastAsia="Times New Roman"/>
          <w:sz w:val="20"/>
          <w:lang w:eastAsia="en-US"/>
        </w:rPr>
        <w:t>el establecimiento de oficinas de transferencia de tecnología (OTT)</w:t>
      </w:r>
      <w:r>
        <w:rPr>
          <w:rFonts w:eastAsia="Times New Roman"/>
          <w:sz w:val="20"/>
          <w:lang w:eastAsia="en-US"/>
        </w:rPr>
        <w:t xml:space="preserve">.  </w:t>
      </w:r>
      <w:r w:rsidRPr="005265DE">
        <w:rPr>
          <w:rFonts w:eastAsia="Times New Roman"/>
          <w:sz w:val="20"/>
          <w:lang w:eastAsia="en-US"/>
        </w:rPr>
        <w:t xml:space="preserve">La finalidad de las OTT es aumentar la capacidad nacional de gestionar de forma independiente la P.I. desde la etapa temprana de obtención de resultados a partir de investigaciones </w:t>
      </w:r>
      <w:r>
        <w:rPr>
          <w:rFonts w:eastAsia="Times New Roman"/>
          <w:sz w:val="20"/>
          <w:lang w:eastAsia="en-US"/>
        </w:rPr>
        <w:t>hast</w:t>
      </w:r>
      <w:r w:rsidRPr="005265DE">
        <w:rPr>
          <w:rFonts w:eastAsia="Times New Roman"/>
          <w:sz w:val="20"/>
          <w:lang w:eastAsia="en-US"/>
        </w:rPr>
        <w:t>a la comercialización, negociación de licencias o creación de una empresa (</w:t>
      </w:r>
      <w:proofErr w:type="spellStart"/>
      <w:r w:rsidRPr="005265DE">
        <w:rPr>
          <w:rFonts w:eastAsia="Times New Roman"/>
          <w:i/>
          <w:sz w:val="20"/>
          <w:lang w:eastAsia="en-US"/>
        </w:rPr>
        <w:t>start</w:t>
      </w:r>
      <w:proofErr w:type="spellEnd"/>
      <w:r w:rsidRPr="005265DE">
        <w:rPr>
          <w:rFonts w:eastAsia="Times New Roman"/>
          <w:i/>
          <w:sz w:val="20"/>
          <w:lang w:eastAsia="en-US"/>
        </w:rPr>
        <w:t>-up</w:t>
      </w:r>
      <w:r w:rsidRPr="005265DE">
        <w:rPr>
          <w:rFonts w:eastAsia="Times New Roman"/>
          <w:sz w:val="20"/>
          <w:lang w:eastAsia="en-US"/>
        </w:rPr>
        <w:t>).</w:t>
      </w:r>
    </w:p>
    <w:p w:rsidR="00C01F5F" w:rsidRDefault="00C01F5F" w:rsidP="00C01F5F">
      <w:pPr>
        <w:widowControl w:val="0"/>
        <w:ind w:right="44"/>
        <w:jc w:val="both"/>
        <w:rPr>
          <w:rFonts w:eastAsia="Times New Roman"/>
          <w:sz w:val="20"/>
          <w:lang w:eastAsia="en-US"/>
        </w:rPr>
      </w:pPr>
    </w:p>
    <w:p w:rsidR="00C01F5F" w:rsidRDefault="00C01F5F" w:rsidP="00C01F5F">
      <w:pPr>
        <w:widowControl w:val="0"/>
        <w:numPr>
          <w:ilvl w:val="0"/>
          <w:numId w:val="66"/>
        </w:numPr>
        <w:ind w:right="44"/>
        <w:jc w:val="both"/>
        <w:rPr>
          <w:rFonts w:eastAsia="Times New Roman"/>
          <w:sz w:val="20"/>
          <w:lang w:eastAsia="en-US"/>
        </w:rPr>
      </w:pPr>
      <w:r w:rsidRPr="00187ED5">
        <w:rPr>
          <w:rFonts w:eastAsia="Times New Roman"/>
          <w:sz w:val="20"/>
          <w:lang w:eastAsia="en-US"/>
        </w:rPr>
        <w:t>Sobre la base de una evaluación de las necesidades realizada en varios países en el bienio en curso, la labor que se realice en 2014/15 se centrará en definir y poner en práctica planes de acción para la creación de OTT plenamente operativas</w:t>
      </w:r>
      <w:r>
        <w:rPr>
          <w:rFonts w:eastAsia="Times New Roman"/>
          <w:sz w:val="20"/>
          <w:lang w:eastAsia="en-US"/>
        </w:rPr>
        <w:t xml:space="preserve">.  </w:t>
      </w:r>
      <w:r w:rsidRPr="00187ED5">
        <w:rPr>
          <w:rFonts w:eastAsia="Times New Roman"/>
          <w:sz w:val="20"/>
          <w:lang w:eastAsia="en-US"/>
        </w:rPr>
        <w:t>Parte integrante del plan de ejecución es fomentar la sostenibilidad de dichas oficinas</w:t>
      </w:r>
      <w:r w:rsidRPr="007D3A9D">
        <w:rPr>
          <w:rFonts w:eastAsia="Times New Roman"/>
          <w:sz w:val="20"/>
          <w:lang w:eastAsia="en-US"/>
        </w:rPr>
        <w:t xml:space="preserve"> </w:t>
      </w:r>
      <w:r w:rsidRPr="00187ED5">
        <w:rPr>
          <w:rFonts w:eastAsia="Times New Roman"/>
          <w:sz w:val="20"/>
          <w:lang w:eastAsia="en-US"/>
        </w:rPr>
        <w:t>a más largo plazo</w:t>
      </w:r>
      <w:r>
        <w:rPr>
          <w:rFonts w:eastAsia="Times New Roman"/>
          <w:sz w:val="20"/>
          <w:lang w:eastAsia="en-US"/>
        </w:rPr>
        <w:t xml:space="preserve">.  </w:t>
      </w:r>
      <w:r w:rsidRPr="00187ED5">
        <w:rPr>
          <w:rFonts w:eastAsia="Times New Roman"/>
          <w:sz w:val="20"/>
          <w:lang w:eastAsia="en-US"/>
        </w:rPr>
        <w:t xml:space="preserve">La fase de ejecución relativa a las OTT se llevará a cabo en </w:t>
      </w:r>
      <w:r>
        <w:rPr>
          <w:rFonts w:eastAsia="Times New Roman"/>
          <w:sz w:val="20"/>
          <w:lang w:eastAsia="en-US"/>
        </w:rPr>
        <w:t>estrecha coordinación con</w:t>
      </w:r>
      <w:r w:rsidRPr="00187ED5">
        <w:rPr>
          <w:rFonts w:eastAsia="Times New Roman"/>
          <w:sz w:val="20"/>
          <w:lang w:eastAsia="en-US"/>
        </w:rPr>
        <w:t xml:space="preserve"> los programas 9 y 10.</w:t>
      </w:r>
    </w:p>
    <w:p w:rsidR="00C01F5F" w:rsidRDefault="00C01F5F" w:rsidP="00C01F5F">
      <w:pPr>
        <w:widowControl w:val="0"/>
        <w:ind w:right="44"/>
        <w:jc w:val="both"/>
        <w:rPr>
          <w:rFonts w:eastAsia="Times New Roman"/>
          <w:sz w:val="20"/>
          <w:lang w:eastAsia="en-US"/>
        </w:rPr>
      </w:pPr>
    </w:p>
    <w:p w:rsidR="00C01F5F" w:rsidRDefault="00C01F5F" w:rsidP="00C01F5F">
      <w:pPr>
        <w:widowControl w:val="0"/>
        <w:numPr>
          <w:ilvl w:val="0"/>
          <w:numId w:val="66"/>
        </w:numPr>
        <w:ind w:right="44"/>
        <w:jc w:val="both"/>
        <w:rPr>
          <w:rFonts w:eastAsia="Times New Roman"/>
          <w:sz w:val="20"/>
          <w:lang w:eastAsia="en-US"/>
        </w:rPr>
      </w:pPr>
      <w:r>
        <w:rPr>
          <w:rFonts w:eastAsia="Times New Roman"/>
          <w:sz w:val="20"/>
          <w:lang w:eastAsia="en-US"/>
        </w:rPr>
        <w:t>En el marco de este programa seguirán perfeccionándose los conocimientos especializados y las herramientas de amplio alcance destinados a los encargados de la adopción de políticas y los sectores de investigación (universidades e instituciones públicas de investigación).  En lo que atañe a los encargados de la adopción de políticas, el programa girará en torno a mejorar la capacidad nacional y regional de integrar sistemas de P.I. en la formulación de políticas sobre innovación.  Los sectores de investigación recibirán asistencia para aplicar modelos adaptados de estructuras de innovación y para desarrollar un capital humano calificado que pueda comercializar de modo estratégico la P.I. con miras al crecimiento económico.</w:t>
      </w:r>
    </w:p>
    <w:p w:rsidR="00C01F5F" w:rsidRDefault="00C01F5F" w:rsidP="00C01F5F">
      <w:pPr>
        <w:widowControl w:val="0"/>
        <w:ind w:right="44"/>
        <w:jc w:val="both"/>
        <w:rPr>
          <w:rFonts w:eastAsia="Times New Roman"/>
          <w:sz w:val="20"/>
          <w:lang w:eastAsia="en-US"/>
        </w:rPr>
      </w:pPr>
    </w:p>
    <w:p w:rsidR="00C01F5F" w:rsidRDefault="00C01F5F" w:rsidP="00C01F5F">
      <w:pPr>
        <w:widowControl w:val="0"/>
        <w:numPr>
          <w:ilvl w:val="0"/>
          <w:numId w:val="66"/>
        </w:numPr>
        <w:ind w:right="44"/>
        <w:jc w:val="both"/>
        <w:rPr>
          <w:rFonts w:eastAsia="Times New Roman"/>
          <w:sz w:val="20"/>
          <w:lang w:eastAsia="en-US"/>
        </w:rPr>
      </w:pPr>
      <w:r>
        <w:rPr>
          <w:rFonts w:eastAsia="Times New Roman"/>
          <w:sz w:val="20"/>
          <w:lang w:eastAsia="en-US"/>
        </w:rPr>
        <w:t xml:space="preserve">Al aplicar esas estrategias, y con miras a velar por la eficiencia y evitar la duplicación del trabajo, </w:t>
      </w:r>
      <w:r w:rsidRPr="006B0DE9">
        <w:rPr>
          <w:rFonts w:eastAsia="Batang"/>
          <w:color w:val="000000"/>
          <w:sz w:val="20"/>
          <w:lang w:eastAsia="ko-KR" w:bidi="ta-IN"/>
        </w:rPr>
        <w:t>en el marco de este programa se</w:t>
      </w:r>
      <w:r>
        <w:rPr>
          <w:rFonts w:eastAsia="Batang"/>
          <w:color w:val="000000"/>
          <w:sz w:val="20"/>
          <w:lang w:eastAsia="ko-KR" w:bidi="ta-IN"/>
        </w:rPr>
        <w:t>guirá coordinándose la labor</w:t>
      </w:r>
      <w:r w:rsidRPr="006B0DE9">
        <w:rPr>
          <w:rFonts w:eastAsia="Batang"/>
          <w:color w:val="000000"/>
          <w:sz w:val="20"/>
          <w:lang w:eastAsia="ko-KR" w:bidi="ta-IN"/>
        </w:rPr>
        <w:t xml:space="preserve"> con</w:t>
      </w:r>
      <w:r>
        <w:rPr>
          <w:rFonts w:eastAsia="Batang"/>
          <w:color w:val="000000"/>
          <w:sz w:val="20"/>
          <w:lang w:eastAsia="ko-KR" w:bidi="ta-IN"/>
        </w:rPr>
        <w:t xml:space="preserve"> los programas 1, 2, 3, 5, 6, 7, 9, 10, 11, 16, 18, 20 y 31 en las cuestiones que sean pertinentes.</w:t>
      </w:r>
    </w:p>
    <w:p w:rsidR="003619B7" w:rsidRDefault="003619B7" w:rsidP="004F4F85">
      <w:pPr>
        <w:rPr>
          <w:rFonts w:eastAsia="Times New Roman"/>
          <w:sz w:val="20"/>
          <w:lang w:eastAsia="en-US"/>
        </w:rPr>
      </w:pPr>
    </w:p>
    <w:p w:rsidR="00E062A1" w:rsidRDefault="00E062A1" w:rsidP="004F4F85">
      <w:pPr>
        <w:rPr>
          <w:rFonts w:eastAsia="Times New Roman"/>
          <w:sz w:val="20"/>
          <w:lang w:eastAsia="en-US"/>
        </w:rPr>
      </w:pPr>
    </w:p>
    <w:p w:rsidR="000B0B3A" w:rsidRPr="00C75C7E" w:rsidRDefault="000B0B3A" w:rsidP="000B0B3A">
      <w:pPr>
        <w:keepNext/>
        <w:widowControl w:val="0"/>
        <w:ind w:right="363"/>
        <w:rPr>
          <w:szCs w:val="22"/>
          <w:lang w:val="es-ES_tradnl"/>
        </w:rPr>
      </w:pPr>
      <w:r w:rsidRPr="00C75C7E">
        <w:rPr>
          <w:szCs w:val="22"/>
          <w:lang w:val="es-ES_tradnl"/>
        </w:rPr>
        <w:t>PRINCIPALES RIESGOS Y ESTRATEGIAS DE MITIGACIÓN</w:t>
      </w:r>
    </w:p>
    <w:p w:rsidR="000B0B3A" w:rsidRPr="00C75C7E" w:rsidRDefault="000B0B3A" w:rsidP="000B0B3A">
      <w:pPr>
        <w:keepNext/>
        <w:widowControl w:val="0"/>
        <w:autoSpaceDE w:val="0"/>
        <w:autoSpaceDN w:val="0"/>
        <w:adjustRightInd w:val="0"/>
        <w:jc w:val="both"/>
        <w:rPr>
          <w:bCs/>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78"/>
        <w:gridCol w:w="4678"/>
      </w:tblGrid>
      <w:tr w:rsidR="000B0B3A" w:rsidRPr="00C75C7E" w:rsidTr="00A76237">
        <w:trPr>
          <w:trHeight w:val="488"/>
        </w:trPr>
        <w:tc>
          <w:tcPr>
            <w:tcW w:w="4678" w:type="dxa"/>
            <w:tcBorders>
              <w:top w:val="single" w:sz="4" w:space="0" w:color="auto"/>
              <w:bottom w:val="single" w:sz="4" w:space="0" w:color="auto"/>
            </w:tcBorders>
            <w:shd w:val="clear" w:color="auto" w:fill="CCFFFF"/>
            <w:tcMar>
              <w:top w:w="113" w:type="dxa"/>
              <w:bottom w:w="113" w:type="dxa"/>
            </w:tcMar>
            <w:vAlign w:val="center"/>
          </w:tcPr>
          <w:p w:rsidR="000B0B3A" w:rsidRPr="00C75C7E" w:rsidRDefault="000B0B3A" w:rsidP="00A76237">
            <w:pPr>
              <w:keepNext/>
              <w:widowControl w:val="0"/>
              <w:autoSpaceDE w:val="0"/>
              <w:autoSpaceDN w:val="0"/>
              <w:adjustRightInd w:val="0"/>
              <w:ind w:right="-59"/>
              <w:jc w:val="center"/>
              <w:rPr>
                <w:b/>
                <w:sz w:val="18"/>
                <w:szCs w:val="18"/>
                <w:lang w:val="es-ES_tradnl"/>
              </w:rPr>
            </w:pPr>
            <w:r w:rsidRPr="00C75C7E">
              <w:rPr>
                <w:b/>
                <w:iCs/>
                <w:sz w:val="18"/>
                <w:szCs w:val="18"/>
                <w:lang w:val="es-ES_tradnl"/>
              </w:rPr>
              <w:t>Riesgos en el logro de los resultados del programa</w:t>
            </w:r>
          </w:p>
        </w:tc>
        <w:tc>
          <w:tcPr>
            <w:tcW w:w="4678" w:type="dxa"/>
            <w:tcBorders>
              <w:top w:val="single" w:sz="4" w:space="0" w:color="auto"/>
              <w:bottom w:val="single" w:sz="4" w:space="0" w:color="auto"/>
            </w:tcBorders>
            <w:shd w:val="clear" w:color="auto" w:fill="CCFFFF"/>
            <w:tcMar>
              <w:top w:w="113" w:type="dxa"/>
              <w:bottom w:w="113" w:type="dxa"/>
            </w:tcMar>
            <w:vAlign w:val="center"/>
          </w:tcPr>
          <w:p w:rsidR="000B0B3A" w:rsidRPr="00C75C7E" w:rsidRDefault="000B0B3A" w:rsidP="00A76237">
            <w:pPr>
              <w:keepNext/>
              <w:widowControl w:val="0"/>
              <w:autoSpaceDE w:val="0"/>
              <w:autoSpaceDN w:val="0"/>
              <w:adjustRightInd w:val="0"/>
              <w:ind w:right="-59"/>
              <w:jc w:val="center"/>
              <w:rPr>
                <w:b/>
                <w:sz w:val="18"/>
                <w:szCs w:val="18"/>
                <w:lang w:val="es-ES_tradnl"/>
              </w:rPr>
            </w:pPr>
            <w:r w:rsidRPr="00C75C7E">
              <w:rPr>
                <w:b/>
                <w:iCs/>
                <w:sz w:val="18"/>
                <w:szCs w:val="18"/>
                <w:lang w:val="es-ES_tradnl"/>
              </w:rPr>
              <w:t>Planes de mitigación ejecutados o en ejecución</w:t>
            </w:r>
          </w:p>
        </w:tc>
      </w:tr>
      <w:tr w:rsidR="000B0B3A" w:rsidRPr="00C75C7E" w:rsidTr="00A76237">
        <w:trPr>
          <w:trHeight w:val="1197"/>
        </w:trPr>
        <w:tc>
          <w:tcPr>
            <w:tcW w:w="4678" w:type="dxa"/>
            <w:tcBorders>
              <w:top w:val="single" w:sz="4" w:space="0" w:color="auto"/>
            </w:tcBorders>
            <w:shd w:val="clear" w:color="auto" w:fill="auto"/>
            <w:tcMar>
              <w:top w:w="113" w:type="dxa"/>
              <w:bottom w:w="113" w:type="dxa"/>
            </w:tcMar>
          </w:tcPr>
          <w:p w:rsidR="000B0B3A" w:rsidRDefault="000B0B3A" w:rsidP="00A76237">
            <w:pPr>
              <w:widowControl w:val="0"/>
              <w:tabs>
                <w:tab w:val="left" w:pos="1170"/>
              </w:tabs>
              <w:rPr>
                <w:sz w:val="16"/>
                <w:szCs w:val="16"/>
                <w:lang w:val="es-ES_tradnl"/>
              </w:rPr>
            </w:pPr>
            <w:r w:rsidRPr="00C75C7E">
              <w:rPr>
                <w:sz w:val="16"/>
                <w:szCs w:val="16"/>
                <w:lang w:val="es-ES_tradnl"/>
              </w:rPr>
              <w:t>En</w:t>
            </w:r>
            <w:r>
              <w:rPr>
                <w:sz w:val="16"/>
                <w:szCs w:val="16"/>
                <w:lang w:val="es-ES_tradnl"/>
              </w:rPr>
              <w:t xml:space="preserve"> tanto que riesgo a largo plazo, las necesidades de apoyo a las pymes en las regiones emergentes y en desarrollo pueden cambiar en función de que vayan madurando los sistemas nacionales de P.I.  Si no se adapta la creación de contenido a ese cambio, poco provecho sacarán los beneficiarios de las actividades de fortalecimiento de capacidades.</w:t>
            </w:r>
          </w:p>
          <w:p w:rsidR="000B0B3A" w:rsidRDefault="000B0B3A" w:rsidP="00A76237">
            <w:pPr>
              <w:widowControl w:val="0"/>
              <w:tabs>
                <w:tab w:val="left" w:pos="1170"/>
              </w:tabs>
              <w:rPr>
                <w:sz w:val="16"/>
                <w:szCs w:val="16"/>
                <w:lang w:val="es-ES_tradnl"/>
              </w:rPr>
            </w:pPr>
          </w:p>
          <w:p w:rsidR="000B0B3A" w:rsidRPr="00C75C7E" w:rsidRDefault="000B0B3A" w:rsidP="00A76237">
            <w:pPr>
              <w:widowControl w:val="0"/>
              <w:tabs>
                <w:tab w:val="left" w:pos="1170"/>
              </w:tabs>
              <w:rPr>
                <w:sz w:val="16"/>
                <w:szCs w:val="16"/>
                <w:lang w:val="es-ES_tradnl"/>
              </w:rPr>
            </w:pPr>
            <w:r>
              <w:rPr>
                <w:sz w:val="16"/>
                <w:szCs w:val="16"/>
                <w:lang w:val="es-ES_tradnl"/>
              </w:rPr>
              <w:t>Las pymes de algunos países podrán seguir en total desconocimiento de las ventajas que supone la utilización del sistema de P.I., perdiendo así toda posibilidad de mejorar su competitividad y de generar mayores ingresos.</w:t>
            </w:r>
          </w:p>
        </w:tc>
        <w:tc>
          <w:tcPr>
            <w:tcW w:w="4678" w:type="dxa"/>
            <w:tcBorders>
              <w:top w:val="single" w:sz="4" w:space="0" w:color="auto"/>
            </w:tcBorders>
            <w:shd w:val="clear" w:color="auto" w:fill="auto"/>
            <w:tcMar>
              <w:top w:w="113" w:type="dxa"/>
              <w:bottom w:w="113" w:type="dxa"/>
            </w:tcMar>
          </w:tcPr>
          <w:p w:rsidR="000B0B3A" w:rsidRDefault="000B0B3A" w:rsidP="00A76237">
            <w:pPr>
              <w:widowControl w:val="0"/>
              <w:autoSpaceDE w:val="0"/>
              <w:autoSpaceDN w:val="0"/>
              <w:adjustRightInd w:val="0"/>
              <w:ind w:right="-59"/>
              <w:rPr>
                <w:sz w:val="16"/>
                <w:szCs w:val="16"/>
                <w:lang w:val="es-ES_tradnl"/>
              </w:rPr>
            </w:pPr>
            <w:r>
              <w:rPr>
                <w:sz w:val="16"/>
                <w:szCs w:val="16"/>
                <w:lang w:val="es-ES_tradnl"/>
              </w:rPr>
              <w:t>La estrecha colaboración con los programas 9 y 10, conocedores de las especificidades de sus regiones, con el fin de crear contenidos, sigue siendo pertinente para las necesidades específicas de las regiones.</w:t>
            </w:r>
          </w:p>
          <w:p w:rsidR="000B0B3A" w:rsidRDefault="000B0B3A" w:rsidP="00A76237">
            <w:pPr>
              <w:widowControl w:val="0"/>
              <w:autoSpaceDE w:val="0"/>
              <w:autoSpaceDN w:val="0"/>
              <w:adjustRightInd w:val="0"/>
              <w:ind w:right="-59"/>
              <w:rPr>
                <w:sz w:val="16"/>
                <w:szCs w:val="16"/>
                <w:lang w:val="es-ES_tradnl"/>
              </w:rPr>
            </w:pPr>
          </w:p>
          <w:p w:rsidR="000B0B3A" w:rsidRDefault="000B0B3A" w:rsidP="00A76237">
            <w:pPr>
              <w:widowControl w:val="0"/>
              <w:autoSpaceDE w:val="0"/>
              <w:autoSpaceDN w:val="0"/>
              <w:adjustRightInd w:val="0"/>
              <w:ind w:right="-59"/>
              <w:rPr>
                <w:sz w:val="16"/>
                <w:szCs w:val="16"/>
                <w:lang w:val="es-ES_tradnl"/>
              </w:rPr>
            </w:pPr>
          </w:p>
          <w:p w:rsidR="000B0B3A" w:rsidRDefault="000B0B3A" w:rsidP="00A76237">
            <w:pPr>
              <w:widowControl w:val="0"/>
              <w:autoSpaceDE w:val="0"/>
              <w:autoSpaceDN w:val="0"/>
              <w:adjustRightInd w:val="0"/>
              <w:ind w:right="-59"/>
              <w:rPr>
                <w:sz w:val="16"/>
                <w:szCs w:val="16"/>
                <w:lang w:val="es-ES_tradnl"/>
              </w:rPr>
            </w:pPr>
          </w:p>
          <w:p w:rsidR="000B0B3A" w:rsidRPr="00C75C7E" w:rsidRDefault="000B0B3A" w:rsidP="00A76237">
            <w:pPr>
              <w:widowControl w:val="0"/>
              <w:autoSpaceDE w:val="0"/>
              <w:autoSpaceDN w:val="0"/>
              <w:adjustRightInd w:val="0"/>
              <w:ind w:right="-59"/>
              <w:rPr>
                <w:sz w:val="16"/>
                <w:szCs w:val="16"/>
                <w:lang w:val="es-ES_tradnl"/>
              </w:rPr>
            </w:pPr>
            <w:r>
              <w:rPr>
                <w:sz w:val="16"/>
                <w:szCs w:val="16"/>
                <w:lang w:val="es-ES_tradnl"/>
              </w:rPr>
              <w:t>Trabajar en dos corrientes paralelas:  por un lado, haciendo hincapié en sensibilizar a las pymes en torno a las ventajas que la utilización del sistema de P.I. supone para obtener mayores beneficios económicos, gracias a una elevada competitividad, y, por otro, fomentando a los gobiernos nacionales a crear estructuras de apoyo a las pymes o mejorar las ya existentes.</w:t>
            </w:r>
          </w:p>
        </w:tc>
      </w:tr>
    </w:tbl>
    <w:p w:rsidR="000B0B3A" w:rsidRPr="001917DB" w:rsidRDefault="000B0B3A" w:rsidP="000B0B3A">
      <w:pPr>
        <w:rPr>
          <w:sz w:val="20"/>
          <w:lang w:val="es-ES_tradnl"/>
        </w:rPr>
      </w:pPr>
    </w:p>
    <w:p w:rsidR="000B0B3A" w:rsidRPr="001917DB" w:rsidRDefault="000B0B3A" w:rsidP="000B0B3A">
      <w:pPr>
        <w:rPr>
          <w:bCs/>
          <w:sz w:val="20"/>
          <w:lang w:val="es-ES_tradnl"/>
        </w:rPr>
      </w:pPr>
    </w:p>
    <w:p w:rsidR="000B0B3A" w:rsidRPr="00C75C7E" w:rsidRDefault="000B0B3A" w:rsidP="000B0B3A">
      <w:pPr>
        <w:widowControl w:val="0"/>
        <w:tabs>
          <w:tab w:val="left" w:pos="567"/>
          <w:tab w:val="left" w:pos="1985"/>
        </w:tabs>
        <w:jc w:val="both"/>
        <w:rPr>
          <w:bCs/>
          <w:sz w:val="20"/>
          <w:lang w:val="es-ES_tradnl"/>
        </w:rPr>
      </w:pPr>
      <w:r w:rsidRPr="00C75C7E">
        <w:rPr>
          <w:bCs/>
          <w:szCs w:val="22"/>
          <w:lang w:val="es-ES_tradnl"/>
        </w:rPr>
        <w:t>MARCO DE RESULTADOS</w:t>
      </w:r>
    </w:p>
    <w:p w:rsidR="000B0B3A" w:rsidRPr="00C75C7E" w:rsidRDefault="000B0B3A" w:rsidP="000B0B3A">
      <w:pPr>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848"/>
        <w:gridCol w:w="2175"/>
        <w:gridCol w:w="2034"/>
      </w:tblGrid>
      <w:tr w:rsidR="000B0B3A" w:rsidRPr="00C75C7E" w:rsidTr="00A76237">
        <w:trPr>
          <w:cantSplit/>
          <w:trHeight w:val="428"/>
        </w:trPr>
        <w:tc>
          <w:tcPr>
            <w:tcW w:w="1249" w:type="pct"/>
            <w:tcBorders>
              <w:top w:val="single" w:sz="4" w:space="0" w:color="auto"/>
              <w:bottom w:val="single" w:sz="4" w:space="0" w:color="auto"/>
            </w:tcBorders>
            <w:shd w:val="clear" w:color="auto" w:fill="CCFFFF"/>
            <w:vAlign w:val="center"/>
          </w:tcPr>
          <w:p w:rsidR="000B0B3A" w:rsidRPr="00C75C7E" w:rsidRDefault="000B0B3A" w:rsidP="00A76237">
            <w:pPr>
              <w:widowControl w:val="0"/>
              <w:spacing w:after="120"/>
              <w:jc w:val="center"/>
              <w:rPr>
                <w:b/>
                <w:bCs/>
                <w:sz w:val="18"/>
                <w:szCs w:val="18"/>
                <w:lang w:val="es-ES_tradnl"/>
              </w:rPr>
            </w:pPr>
            <w:r w:rsidRPr="00C75C7E">
              <w:rPr>
                <w:b/>
                <w:bCs/>
                <w:sz w:val="18"/>
                <w:szCs w:val="18"/>
                <w:lang w:val="es-ES_tradnl"/>
              </w:rPr>
              <w:t>Resultado previsto</w:t>
            </w:r>
          </w:p>
        </w:tc>
        <w:tc>
          <w:tcPr>
            <w:tcW w:w="1514" w:type="pct"/>
            <w:tcBorders>
              <w:top w:val="single" w:sz="4" w:space="0" w:color="auto"/>
              <w:bottom w:val="single" w:sz="4" w:space="0" w:color="auto"/>
            </w:tcBorders>
            <w:shd w:val="clear" w:color="auto" w:fill="CCFFFF"/>
            <w:tcMar>
              <w:top w:w="110" w:type="dxa"/>
            </w:tcMar>
            <w:vAlign w:val="center"/>
          </w:tcPr>
          <w:p w:rsidR="000B0B3A" w:rsidRPr="00C75C7E" w:rsidRDefault="000B0B3A" w:rsidP="00A76237">
            <w:pPr>
              <w:widowControl w:val="0"/>
              <w:spacing w:after="120"/>
              <w:rPr>
                <w:b/>
                <w:sz w:val="18"/>
                <w:szCs w:val="18"/>
                <w:lang w:val="es-ES_tradnl"/>
              </w:rPr>
            </w:pPr>
            <w:r w:rsidRPr="00C75C7E">
              <w:rPr>
                <w:b/>
                <w:sz w:val="18"/>
                <w:szCs w:val="18"/>
                <w:lang w:val="es-ES_tradnl"/>
              </w:rPr>
              <w:t>Indicador de rendimiento</w:t>
            </w:r>
          </w:p>
        </w:tc>
        <w:tc>
          <w:tcPr>
            <w:tcW w:w="1156" w:type="pct"/>
            <w:tcBorders>
              <w:top w:val="single" w:sz="4" w:space="0" w:color="auto"/>
              <w:bottom w:val="single" w:sz="4" w:space="0" w:color="auto"/>
            </w:tcBorders>
            <w:shd w:val="clear" w:color="auto" w:fill="CCFFFF"/>
            <w:tcMar>
              <w:top w:w="110" w:type="dxa"/>
            </w:tcMar>
            <w:vAlign w:val="center"/>
          </w:tcPr>
          <w:p w:rsidR="000B0B3A" w:rsidRPr="00C75C7E" w:rsidRDefault="000B0B3A" w:rsidP="00A76237">
            <w:pPr>
              <w:widowControl w:val="0"/>
              <w:spacing w:after="120"/>
              <w:ind w:left="85"/>
              <w:rPr>
                <w:sz w:val="18"/>
                <w:szCs w:val="18"/>
                <w:lang w:val="es-ES_tradnl"/>
              </w:rPr>
            </w:pPr>
            <w:r w:rsidRPr="00C75C7E">
              <w:rPr>
                <w:b/>
                <w:bCs/>
                <w:sz w:val="18"/>
                <w:szCs w:val="18"/>
                <w:lang w:val="es-ES_tradnl"/>
              </w:rPr>
              <w:t>Referencia</w:t>
            </w:r>
          </w:p>
        </w:tc>
        <w:tc>
          <w:tcPr>
            <w:tcW w:w="1081" w:type="pct"/>
            <w:tcBorders>
              <w:top w:val="single" w:sz="4" w:space="0" w:color="auto"/>
              <w:bottom w:val="single" w:sz="4" w:space="0" w:color="auto"/>
            </w:tcBorders>
            <w:shd w:val="clear" w:color="auto" w:fill="CCFFFF"/>
            <w:tcMar>
              <w:top w:w="110" w:type="dxa"/>
            </w:tcMar>
            <w:vAlign w:val="center"/>
          </w:tcPr>
          <w:p w:rsidR="000B0B3A" w:rsidRPr="00C75C7E" w:rsidRDefault="000B0B3A" w:rsidP="00A76237">
            <w:pPr>
              <w:widowControl w:val="0"/>
              <w:tabs>
                <w:tab w:val="left" w:pos="0"/>
              </w:tabs>
              <w:spacing w:after="120"/>
              <w:ind w:right="1"/>
              <w:rPr>
                <w:b/>
                <w:bCs/>
                <w:sz w:val="18"/>
                <w:szCs w:val="18"/>
                <w:lang w:val="es-ES_tradnl"/>
              </w:rPr>
            </w:pPr>
            <w:r w:rsidRPr="00C75C7E">
              <w:rPr>
                <w:b/>
                <w:bCs/>
                <w:sz w:val="18"/>
                <w:szCs w:val="18"/>
                <w:lang w:val="es-ES_tradnl"/>
              </w:rPr>
              <w:t>Objetivos</w:t>
            </w:r>
          </w:p>
        </w:tc>
      </w:tr>
      <w:tr w:rsidR="000B0B3A" w:rsidRPr="00C75C7E" w:rsidTr="00A76237">
        <w:trPr>
          <w:cantSplit/>
          <w:trHeight w:val="1403"/>
        </w:trPr>
        <w:tc>
          <w:tcPr>
            <w:tcW w:w="1249" w:type="pct"/>
            <w:vMerge w:val="restart"/>
            <w:tcBorders>
              <w:top w:val="single" w:sz="4" w:space="0" w:color="auto"/>
            </w:tcBorders>
            <w:shd w:val="clear" w:color="auto" w:fill="auto"/>
            <w:tcMar>
              <w:top w:w="113" w:type="dxa"/>
            </w:tcMar>
          </w:tcPr>
          <w:p w:rsidR="000B0B3A" w:rsidRDefault="000B0B3A" w:rsidP="00A76237">
            <w:pPr>
              <w:widowControl w:val="0"/>
              <w:rPr>
                <w:sz w:val="16"/>
                <w:szCs w:val="16"/>
              </w:rPr>
            </w:pPr>
            <w:r>
              <w:rPr>
                <w:sz w:val="16"/>
                <w:szCs w:val="16"/>
              </w:rPr>
              <w:lastRenderedPageBreak/>
              <w:t xml:space="preserve">III.1  </w:t>
            </w:r>
            <w:r w:rsidRPr="007D3A9D">
              <w:rPr>
                <w:sz w:val="16"/>
                <w:szCs w:val="16"/>
              </w:rPr>
              <w:t>Estrategias y planes nacionales de innovación y de P.I. que estén en sintonía con los objetivos nacionales de desarrollo.</w:t>
            </w:r>
          </w:p>
          <w:p w:rsidR="000B0B3A" w:rsidRDefault="000B0B3A" w:rsidP="00A76237">
            <w:pPr>
              <w:widowControl w:val="0"/>
              <w:rPr>
                <w:sz w:val="16"/>
                <w:szCs w:val="16"/>
              </w:rPr>
            </w:pPr>
          </w:p>
          <w:p w:rsidR="000B0B3A" w:rsidRDefault="000B0B3A" w:rsidP="00A76237">
            <w:pPr>
              <w:widowControl w:val="0"/>
              <w:rPr>
                <w:sz w:val="16"/>
                <w:szCs w:val="16"/>
              </w:rPr>
            </w:pPr>
            <w:r>
              <w:rPr>
                <w:sz w:val="16"/>
                <w:szCs w:val="16"/>
              </w:rPr>
              <w:t xml:space="preserve">III.2  </w:t>
            </w:r>
            <w:r w:rsidRPr="007D3A9D">
              <w:rPr>
                <w:sz w:val="16"/>
                <w:szCs w:val="16"/>
              </w:rPr>
              <w:t>Mejora de las capacidades en el ámbito de los recursos humanos para hacer frente al amplio espectro de exigencias que supone la utilización eficaz de la P.I. en aras del desarrollo en los países en desarrollo, PMA y países con economías en transición.</w:t>
            </w:r>
          </w:p>
          <w:p w:rsidR="000B0B3A" w:rsidRDefault="000B0B3A" w:rsidP="00A76237">
            <w:pPr>
              <w:widowControl w:val="0"/>
              <w:rPr>
                <w:sz w:val="16"/>
                <w:szCs w:val="16"/>
              </w:rPr>
            </w:pPr>
          </w:p>
          <w:p w:rsidR="000B0B3A" w:rsidRDefault="000B0B3A" w:rsidP="00A76237">
            <w:pPr>
              <w:widowControl w:val="0"/>
              <w:rPr>
                <w:sz w:val="16"/>
                <w:szCs w:val="16"/>
                <w:lang w:val="es-ES_tradnl"/>
              </w:rPr>
            </w:pPr>
            <w:r>
              <w:rPr>
                <w:sz w:val="16"/>
                <w:szCs w:val="16"/>
                <w:lang w:val="es-ES_tradnl"/>
              </w:rPr>
              <w:t xml:space="preserve">III.6  </w:t>
            </w:r>
            <w:r w:rsidRPr="007D3A9D">
              <w:rPr>
                <w:sz w:val="16"/>
                <w:szCs w:val="16"/>
                <w:lang w:val="es-ES_tradnl"/>
              </w:rPr>
              <w:t>Mejor capacidad de las pymes para utilizar con éxito la P.I. con el fin de apoyar la innovación</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Pr="007D3A9D" w:rsidRDefault="000B0B3A" w:rsidP="00A76237">
            <w:pPr>
              <w:widowControl w:val="0"/>
              <w:rPr>
                <w:sz w:val="16"/>
                <w:szCs w:val="16"/>
                <w:lang w:val="es-ES_tradnl"/>
              </w:rPr>
            </w:pPr>
          </w:p>
          <w:p w:rsidR="000B0B3A" w:rsidRPr="00C75C7E" w:rsidRDefault="000B0B3A" w:rsidP="00A76237">
            <w:pPr>
              <w:widowControl w:val="0"/>
              <w:rPr>
                <w:sz w:val="16"/>
                <w:szCs w:val="16"/>
                <w:lang w:val="es-ES_tradnl"/>
              </w:rPr>
            </w:pPr>
            <w:r w:rsidRPr="007D3A9D">
              <w:rPr>
                <w:sz w:val="16"/>
                <w:szCs w:val="16"/>
                <w:lang w:val="es-ES_tradnl"/>
              </w:rPr>
              <w:t>IV.2. Mejora del acceso y uso de información y conocimientos de P.I. por parte de instituciones de P.I. y el público para fomentar la innovación y la creatividad.</w:t>
            </w:r>
          </w:p>
        </w:tc>
        <w:tc>
          <w:tcPr>
            <w:tcW w:w="1514" w:type="pct"/>
            <w:tcBorders>
              <w:top w:val="single" w:sz="4" w:space="0" w:color="auto"/>
            </w:tcBorders>
            <w:shd w:val="clear" w:color="auto" w:fill="auto"/>
            <w:tcMar>
              <w:top w:w="113" w:type="dxa"/>
            </w:tcMar>
          </w:tcPr>
          <w:p w:rsidR="000B0B3A" w:rsidRDefault="000B0B3A" w:rsidP="00A76237">
            <w:pPr>
              <w:widowControl w:val="0"/>
              <w:rPr>
                <w:sz w:val="16"/>
                <w:szCs w:val="16"/>
                <w:lang w:val="es-ES_tradnl"/>
              </w:rPr>
            </w:pPr>
            <w:r>
              <w:rPr>
                <w:sz w:val="16"/>
                <w:szCs w:val="16"/>
                <w:lang w:val="es-ES_tradnl"/>
              </w:rPr>
              <w:t>Número de países que han iniciado, están perfeccionando o han adoptado políticas nacionales de innovación.</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 xml:space="preserve">Porcentaje de profesionales de la P.I. formados que utilizan </w:t>
            </w:r>
            <w:r w:rsidRPr="00031268">
              <w:rPr>
                <w:sz w:val="16"/>
                <w:szCs w:val="16"/>
                <w:lang w:val="es-ES_tradnl"/>
              </w:rPr>
              <w:t>en su trabajo las nuevas aptitudes adquiridas.</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Número de suscripciones al Boletín para las pymes.</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Número de directrices y material sobre pymes descargado del sitio web.</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 xml:space="preserve">Número de estudios de caso relacionados con las pymes que han sido consultados por intermedio de la base de datos </w:t>
            </w:r>
            <w:r w:rsidRPr="00A602DB">
              <w:rPr>
                <w:i/>
                <w:sz w:val="16"/>
                <w:szCs w:val="16"/>
                <w:lang w:val="es-ES_tradnl"/>
              </w:rPr>
              <w:t xml:space="preserve">IP </w:t>
            </w:r>
            <w:proofErr w:type="spellStart"/>
            <w:r w:rsidRPr="00A602DB">
              <w:rPr>
                <w:i/>
                <w:sz w:val="16"/>
                <w:szCs w:val="16"/>
                <w:lang w:val="es-ES_tradnl"/>
              </w:rPr>
              <w:t>Advantage</w:t>
            </w:r>
            <w:proofErr w:type="spellEnd"/>
            <w:r>
              <w:rPr>
                <w:sz w:val="16"/>
                <w:szCs w:val="16"/>
                <w:lang w:val="es-ES_tradnl"/>
              </w:rPr>
              <w:t xml:space="preserve"> u otras bases de datos</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Porcentaje de participantes en los programas de formación destinados a las instituciones de apoyo a las pymes que están satisfechos con el contenido y la organización de las reuniones de formación.</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Porcentaje de instituciones de apoyo a las pymes que, tras haber recibido formación, suministran información, dan apoyo y prestan servicios de asesoramiento/consultoría sobre gestión de activos de P.I.</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Número de países que han establecido programas de formación en P.I. para las pymes.</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Número de OTT sostenibles establecidas y/o consolidadas en las universidades o las instituciones de I+D.</w:t>
            </w:r>
          </w:p>
          <w:p w:rsidR="000B0B3A" w:rsidRDefault="000B0B3A" w:rsidP="00A76237">
            <w:pPr>
              <w:widowControl w:val="0"/>
              <w:rPr>
                <w:sz w:val="16"/>
                <w:szCs w:val="16"/>
                <w:lang w:val="es-ES_tradnl"/>
              </w:rPr>
            </w:pPr>
          </w:p>
          <w:p w:rsidR="000B0B3A" w:rsidRDefault="000B0B3A" w:rsidP="00A76237">
            <w:pPr>
              <w:widowControl w:val="0"/>
              <w:rPr>
                <w:sz w:val="16"/>
                <w:szCs w:val="16"/>
                <w:lang w:val="es-ES_tradnl"/>
              </w:rPr>
            </w:pPr>
            <w:r>
              <w:rPr>
                <w:sz w:val="16"/>
                <w:szCs w:val="16"/>
                <w:lang w:val="es-ES_tradnl"/>
              </w:rPr>
              <w:t>Número de universidades y/o institutos de investigación que han establecido políticas de P.I.</w:t>
            </w:r>
          </w:p>
          <w:p w:rsidR="000B0B3A" w:rsidRPr="00C75C7E" w:rsidRDefault="000B0B3A" w:rsidP="00A76237">
            <w:pPr>
              <w:widowControl w:val="0"/>
              <w:rPr>
                <w:sz w:val="16"/>
                <w:szCs w:val="16"/>
                <w:lang w:val="es-ES_tradnl"/>
              </w:rPr>
            </w:pPr>
          </w:p>
        </w:tc>
        <w:tc>
          <w:tcPr>
            <w:tcW w:w="1156" w:type="pct"/>
            <w:tcBorders>
              <w:top w:val="single" w:sz="4" w:space="0" w:color="auto"/>
            </w:tcBorders>
            <w:shd w:val="clear" w:color="auto" w:fill="FFFFFF"/>
            <w:tcMar>
              <w:top w:w="113" w:type="dxa"/>
            </w:tcMar>
          </w:tcPr>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r>
              <w:rPr>
                <w:sz w:val="16"/>
                <w:szCs w:val="16"/>
                <w:lang w:val="es-ES_tradnl" w:bidi="th-TH"/>
              </w:rPr>
              <w:t>Por determinar.</w:t>
            </w: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Default="000B0B3A" w:rsidP="00A76237">
            <w:pPr>
              <w:widowControl w:val="0"/>
              <w:rPr>
                <w:sz w:val="16"/>
                <w:szCs w:val="16"/>
                <w:lang w:val="es-ES_tradnl" w:bidi="th-TH"/>
              </w:rPr>
            </w:pPr>
          </w:p>
          <w:p w:rsidR="000B0B3A" w:rsidRPr="007D3A9D" w:rsidRDefault="000B0B3A" w:rsidP="00A76237">
            <w:pPr>
              <w:widowControl w:val="0"/>
              <w:rPr>
                <w:sz w:val="16"/>
                <w:szCs w:val="16"/>
                <w:lang w:val="es-ES_tradnl"/>
              </w:rPr>
            </w:pPr>
            <w:r>
              <w:rPr>
                <w:sz w:val="16"/>
                <w:szCs w:val="16"/>
                <w:lang w:val="es-ES_tradnl" w:bidi="th-TH"/>
              </w:rPr>
              <w:t>Por determinar.</w:t>
            </w:r>
          </w:p>
        </w:tc>
        <w:tc>
          <w:tcPr>
            <w:tcW w:w="1081" w:type="pct"/>
            <w:tcBorders>
              <w:top w:val="single" w:sz="4" w:space="0" w:color="auto"/>
            </w:tcBorders>
            <w:shd w:val="clear" w:color="auto" w:fill="auto"/>
            <w:tcMar>
              <w:top w:w="113" w:type="dxa"/>
            </w:tcMar>
          </w:tcPr>
          <w:p w:rsidR="000B0B3A" w:rsidRDefault="000B0B3A" w:rsidP="00A76237">
            <w:pPr>
              <w:widowControl w:val="0"/>
              <w:ind w:right="381"/>
              <w:rPr>
                <w:bCs/>
                <w:sz w:val="16"/>
                <w:szCs w:val="16"/>
                <w:lang w:val="es-ES_tradnl"/>
              </w:rPr>
            </w:pPr>
            <w:r>
              <w:rPr>
                <w:bCs/>
                <w:sz w:val="16"/>
                <w:szCs w:val="16"/>
                <w:lang w:val="es-ES_tradnl"/>
              </w:rPr>
              <w:t>Cinco países.</w:t>
            </w: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r>
              <w:rPr>
                <w:bCs/>
                <w:sz w:val="16"/>
                <w:szCs w:val="16"/>
                <w:lang w:val="es-ES_tradnl"/>
              </w:rPr>
              <w:t>El 50%.</w:t>
            </w: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r>
              <w:rPr>
                <w:bCs/>
                <w:sz w:val="16"/>
                <w:szCs w:val="16"/>
                <w:lang w:val="es-ES_tradnl"/>
              </w:rPr>
              <w:t>Por determinar.</w:t>
            </w: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r>
              <w:rPr>
                <w:bCs/>
                <w:sz w:val="16"/>
                <w:szCs w:val="16"/>
                <w:lang w:val="es-ES_tradnl"/>
              </w:rPr>
              <w:t>Por determinar.</w:t>
            </w: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r>
              <w:rPr>
                <w:bCs/>
                <w:sz w:val="16"/>
                <w:szCs w:val="16"/>
                <w:lang w:val="es-ES_tradnl"/>
              </w:rPr>
              <w:t>Por determinar.</w:t>
            </w: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bCs/>
                <w:sz w:val="16"/>
                <w:szCs w:val="16"/>
                <w:lang w:val="es-ES_tradnl"/>
              </w:rPr>
            </w:pPr>
          </w:p>
          <w:p w:rsidR="000B0B3A" w:rsidRDefault="000B0B3A" w:rsidP="00A76237">
            <w:pPr>
              <w:widowControl w:val="0"/>
              <w:ind w:right="381"/>
              <w:rPr>
                <w:sz w:val="16"/>
                <w:szCs w:val="16"/>
                <w:lang w:val="es-ES_tradnl" w:bidi="th-TH"/>
              </w:rPr>
            </w:pPr>
            <w:r>
              <w:rPr>
                <w:sz w:val="16"/>
                <w:szCs w:val="16"/>
                <w:lang w:val="es-ES_tradnl" w:bidi="th-TH"/>
              </w:rPr>
              <w:t>Por determinar.</w:t>
            </w: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r>
              <w:rPr>
                <w:sz w:val="16"/>
                <w:szCs w:val="16"/>
                <w:lang w:val="es-ES_tradnl" w:bidi="th-TH"/>
              </w:rPr>
              <w:t>Por determinar.</w:t>
            </w: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r>
              <w:rPr>
                <w:sz w:val="16"/>
                <w:szCs w:val="16"/>
                <w:lang w:val="es-ES_tradnl" w:bidi="th-TH"/>
              </w:rPr>
              <w:t>Por determinar.</w:t>
            </w: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r>
              <w:rPr>
                <w:sz w:val="16"/>
                <w:szCs w:val="16"/>
                <w:lang w:val="es-ES_tradnl" w:bidi="th-TH"/>
              </w:rPr>
              <w:t>5 OTT establecidas en la región de los países árabes.</w:t>
            </w:r>
          </w:p>
          <w:p w:rsidR="000B0B3A" w:rsidRDefault="000B0B3A" w:rsidP="00A76237">
            <w:pPr>
              <w:widowControl w:val="0"/>
              <w:ind w:right="381"/>
              <w:rPr>
                <w:sz w:val="16"/>
                <w:szCs w:val="16"/>
                <w:lang w:val="es-ES_tradnl" w:bidi="th-TH"/>
              </w:rPr>
            </w:pPr>
          </w:p>
          <w:p w:rsidR="000B0B3A" w:rsidRDefault="000B0B3A" w:rsidP="00A76237">
            <w:pPr>
              <w:widowControl w:val="0"/>
              <w:ind w:right="381"/>
              <w:rPr>
                <w:sz w:val="16"/>
                <w:szCs w:val="16"/>
                <w:lang w:val="es-ES_tradnl" w:bidi="th-TH"/>
              </w:rPr>
            </w:pPr>
          </w:p>
          <w:p w:rsidR="000B0B3A" w:rsidRPr="00C75C7E" w:rsidRDefault="000B0B3A" w:rsidP="00A76237">
            <w:pPr>
              <w:widowControl w:val="0"/>
              <w:ind w:right="381"/>
              <w:rPr>
                <w:bCs/>
                <w:sz w:val="16"/>
                <w:szCs w:val="16"/>
                <w:lang w:val="es-ES_tradnl"/>
              </w:rPr>
            </w:pPr>
            <w:r>
              <w:rPr>
                <w:sz w:val="16"/>
                <w:szCs w:val="16"/>
                <w:lang w:val="es-ES_tradnl" w:bidi="th-TH"/>
              </w:rPr>
              <w:t>Otras 20 universidades.</w:t>
            </w:r>
          </w:p>
        </w:tc>
      </w:tr>
    </w:tbl>
    <w:p w:rsidR="000B0B3A" w:rsidRPr="001917DB" w:rsidRDefault="000B0B3A" w:rsidP="000B0B3A">
      <w:pPr>
        <w:widowControl w:val="0"/>
        <w:rPr>
          <w:sz w:val="20"/>
          <w:lang w:val="es-ES_tradnl"/>
        </w:rPr>
      </w:pPr>
    </w:p>
    <w:p w:rsidR="000B0B3A" w:rsidRPr="001917DB" w:rsidRDefault="000B0B3A" w:rsidP="000B0B3A">
      <w:pPr>
        <w:widowControl w:val="0"/>
        <w:rPr>
          <w:sz w:val="20"/>
          <w:lang w:val="es-ES_tradnl"/>
        </w:rPr>
      </w:pPr>
    </w:p>
    <w:p w:rsidR="000B0B3A" w:rsidRPr="002E7DC3" w:rsidRDefault="000B0B3A" w:rsidP="000B0B3A">
      <w:pPr>
        <w:widowControl w:val="0"/>
        <w:rPr>
          <w:rFonts w:eastAsia="Times New Roman"/>
          <w:szCs w:val="22"/>
          <w:lang w:eastAsia="en-US"/>
        </w:rPr>
      </w:pPr>
      <w:r w:rsidRPr="002E7DC3">
        <w:rPr>
          <w:rFonts w:eastAsia="Times New Roman"/>
          <w:szCs w:val="22"/>
          <w:lang w:eastAsia="en-US"/>
        </w:rPr>
        <w:t xml:space="preserve">RECURSOS PARA EL PROGRAMA </w:t>
      </w:r>
      <w:r>
        <w:rPr>
          <w:rFonts w:eastAsia="Times New Roman"/>
          <w:szCs w:val="22"/>
          <w:lang w:eastAsia="en-US"/>
        </w:rPr>
        <w:t>30</w:t>
      </w:r>
    </w:p>
    <w:p w:rsidR="000B0B3A" w:rsidRPr="002E7DC3" w:rsidRDefault="000B0B3A" w:rsidP="000B0B3A">
      <w:pPr>
        <w:widowControl w:val="0"/>
        <w:autoSpaceDE w:val="0"/>
        <w:autoSpaceDN w:val="0"/>
        <w:adjustRightInd w:val="0"/>
        <w:rPr>
          <w:rFonts w:eastAsia="Times New Roman"/>
          <w:sz w:val="20"/>
          <w:lang w:eastAsia="en-US"/>
        </w:rPr>
      </w:pPr>
    </w:p>
    <w:p w:rsidR="000B0B3A" w:rsidRPr="00554274" w:rsidRDefault="000B0B3A" w:rsidP="000B0B3A">
      <w:pPr>
        <w:widowControl w:val="0"/>
        <w:numPr>
          <w:ilvl w:val="0"/>
          <w:numId w:val="66"/>
        </w:numPr>
        <w:ind w:right="44"/>
        <w:jc w:val="both"/>
        <w:rPr>
          <w:rFonts w:eastAsia="Times New Roman"/>
          <w:sz w:val="20"/>
          <w:lang w:eastAsia="en-US"/>
        </w:rPr>
      </w:pPr>
      <w:r w:rsidRPr="00554274">
        <w:rPr>
          <w:rFonts w:eastAsia="Times New Roman"/>
          <w:sz w:val="20"/>
          <w:lang w:eastAsia="en-US"/>
        </w:rPr>
        <w:t xml:space="preserve">La disminución de los recursos de este programa se debe a i) la finalización </w:t>
      </w:r>
      <w:r>
        <w:rPr>
          <w:rFonts w:eastAsia="Times New Roman"/>
          <w:sz w:val="20"/>
          <w:lang w:eastAsia="en-US"/>
        </w:rPr>
        <w:t>programada</w:t>
      </w:r>
      <w:r w:rsidRPr="00554274">
        <w:rPr>
          <w:rFonts w:eastAsia="Times New Roman"/>
          <w:sz w:val="20"/>
          <w:lang w:eastAsia="en-US"/>
        </w:rPr>
        <w:t xml:space="preserve"> de los proyectos de la Agenda para el Desarrollo en el bienio 2012/13;  ii) las medidas destinadas a fomentar la eficacia en función de los costos;  y III) la descentralización </w:t>
      </w:r>
      <w:r>
        <w:rPr>
          <w:rFonts w:eastAsia="Times New Roman"/>
          <w:sz w:val="20"/>
          <w:lang w:eastAsia="en-US"/>
        </w:rPr>
        <w:t>hacia e</w:t>
      </w:r>
      <w:r w:rsidRPr="00554274">
        <w:rPr>
          <w:rFonts w:eastAsia="Times New Roman"/>
          <w:sz w:val="20"/>
          <w:lang w:eastAsia="en-US"/>
        </w:rPr>
        <w:t xml:space="preserve">l programa 10 (resultados III.6: </w:t>
      </w:r>
      <w:r>
        <w:rPr>
          <w:rFonts w:eastAsia="Times New Roman"/>
          <w:sz w:val="20"/>
          <w:lang w:eastAsia="en-US"/>
        </w:rPr>
        <w:t xml:space="preserve"> </w:t>
      </w:r>
      <w:r w:rsidRPr="00554274">
        <w:rPr>
          <w:rFonts w:eastAsia="Times New Roman"/>
          <w:sz w:val="20"/>
          <w:lang w:eastAsia="en-US"/>
        </w:rPr>
        <w:t>Mejor capacidad de las pymes y IV.2:  Mejora del acceso y uso de la información en materia de P.I.)</w:t>
      </w:r>
      <w:r>
        <w:rPr>
          <w:rFonts w:eastAsia="Times New Roman"/>
          <w:sz w:val="20"/>
          <w:lang w:eastAsia="en-US"/>
        </w:rPr>
        <w:t xml:space="preserve"> </w:t>
      </w:r>
      <w:r w:rsidRPr="00554274">
        <w:rPr>
          <w:rFonts w:eastAsia="Times New Roman"/>
          <w:sz w:val="20"/>
          <w:lang w:eastAsia="en-US"/>
        </w:rPr>
        <w:t xml:space="preserve">de las actividades de fortalecimiento de capacidades </w:t>
      </w:r>
      <w:r>
        <w:rPr>
          <w:rFonts w:eastAsia="Times New Roman"/>
          <w:sz w:val="20"/>
          <w:lang w:eastAsia="en-US"/>
        </w:rPr>
        <w:t>destinadas a las</w:t>
      </w:r>
      <w:r w:rsidRPr="00554274">
        <w:rPr>
          <w:rFonts w:eastAsia="Times New Roman"/>
          <w:sz w:val="20"/>
          <w:lang w:eastAsia="en-US"/>
        </w:rPr>
        <w:t xml:space="preserve"> pymes </w:t>
      </w:r>
      <w:r>
        <w:rPr>
          <w:rFonts w:eastAsia="Times New Roman"/>
          <w:sz w:val="20"/>
          <w:lang w:eastAsia="en-US"/>
        </w:rPr>
        <w:t>y el establecimiento de OTT en determinados países de Europa y Asia</w:t>
      </w:r>
      <w:r w:rsidRPr="00554274">
        <w:rPr>
          <w:rFonts w:eastAsia="Times New Roman"/>
          <w:sz w:val="20"/>
          <w:lang w:eastAsia="en-US"/>
        </w:rPr>
        <w:t>.</w:t>
      </w:r>
    </w:p>
    <w:p w:rsidR="00CD41AE" w:rsidRPr="001917DB" w:rsidRDefault="00CD41AE" w:rsidP="00CD41AE">
      <w:pPr>
        <w:widowControl w:val="0"/>
        <w:ind w:right="44"/>
        <w:jc w:val="both"/>
        <w:rPr>
          <w:rFonts w:eastAsia="Times New Roman"/>
          <w:sz w:val="20"/>
          <w:lang w:eastAsia="en-US"/>
        </w:rPr>
      </w:pPr>
    </w:p>
    <w:p w:rsidR="00E062A1" w:rsidRPr="001917DB" w:rsidRDefault="00E062A1" w:rsidP="00E062A1">
      <w:pPr>
        <w:rPr>
          <w:bCs/>
          <w:sz w:val="20"/>
        </w:rPr>
      </w:pPr>
    </w:p>
    <w:p w:rsidR="00C932AD" w:rsidRPr="00C932AD" w:rsidRDefault="00C932AD" w:rsidP="00C932AD">
      <w:pPr>
        <w:keepNext/>
        <w:keepLines/>
        <w:jc w:val="center"/>
        <w:rPr>
          <w:b/>
          <w:bCs/>
          <w:sz w:val="20"/>
          <w:lang w:val="es-ES_tradnl"/>
        </w:rPr>
      </w:pPr>
      <w:r w:rsidRPr="00C932AD">
        <w:rPr>
          <w:b/>
          <w:bCs/>
          <w:sz w:val="20"/>
          <w:lang w:val="es-ES_tradnl"/>
        </w:rPr>
        <w:lastRenderedPageBreak/>
        <w:t>Programa 30</w:t>
      </w:r>
      <w:proofErr w:type="gramStart"/>
      <w:r w:rsidRPr="00C932AD">
        <w:rPr>
          <w:b/>
          <w:bCs/>
          <w:sz w:val="20"/>
          <w:lang w:val="es-ES_tradnl"/>
        </w:rPr>
        <w:t>:  Recursos</w:t>
      </w:r>
      <w:proofErr w:type="gramEnd"/>
      <w:r w:rsidRPr="00C932AD">
        <w:rPr>
          <w:b/>
          <w:bCs/>
          <w:sz w:val="20"/>
          <w:lang w:val="es-ES_tradnl"/>
        </w:rPr>
        <w:t xml:space="preserve"> por resultado</w:t>
      </w:r>
    </w:p>
    <w:p w:rsidR="00C932AD" w:rsidRPr="00C932AD" w:rsidRDefault="00C932AD" w:rsidP="00C932AD">
      <w:pPr>
        <w:keepNext/>
        <w:keepLines/>
        <w:jc w:val="center"/>
        <w:rPr>
          <w:bCs/>
          <w:i/>
          <w:sz w:val="20"/>
          <w:lang w:val="es-ES_tradnl"/>
        </w:rPr>
      </w:pPr>
      <w:r w:rsidRPr="00C932AD">
        <w:rPr>
          <w:bCs/>
          <w:i/>
          <w:sz w:val="20"/>
          <w:lang w:val="es-ES_tradnl"/>
        </w:rPr>
        <w:t>(</w:t>
      </w:r>
      <w:proofErr w:type="gramStart"/>
      <w:r w:rsidRPr="00C932AD">
        <w:rPr>
          <w:bCs/>
          <w:i/>
          <w:sz w:val="20"/>
          <w:lang w:val="es-ES_tradnl"/>
        </w:rPr>
        <w:t>en</w:t>
      </w:r>
      <w:proofErr w:type="gramEnd"/>
      <w:r w:rsidRPr="00C932AD">
        <w:rPr>
          <w:bCs/>
          <w:i/>
          <w:sz w:val="20"/>
          <w:lang w:val="es-ES_tradnl"/>
        </w:rPr>
        <w:t xml:space="preserve"> miles de francos suizos)</w:t>
      </w:r>
    </w:p>
    <w:p w:rsidR="00C932AD" w:rsidRPr="00C932AD" w:rsidRDefault="00C932AD" w:rsidP="00C932AD">
      <w:pPr>
        <w:keepNext/>
        <w:keepLines/>
        <w:rPr>
          <w:bCs/>
          <w:sz w:val="18"/>
          <w:szCs w:val="18"/>
          <w:lang w:val="es-ES_tradnl"/>
        </w:rPr>
      </w:pPr>
    </w:p>
    <w:p w:rsidR="00C932AD" w:rsidRDefault="000041BA" w:rsidP="00C932AD">
      <w:pPr>
        <w:keepNext/>
        <w:keepLines/>
        <w:rPr>
          <w:bCs/>
          <w:lang w:val="es-ES_tradnl"/>
        </w:rPr>
      </w:pPr>
      <w:r w:rsidRPr="000041BA">
        <w:rPr>
          <w:noProof/>
          <w:lang w:val="en-US" w:eastAsia="en-US"/>
        </w:rPr>
        <w:drawing>
          <wp:inline distT="0" distB="0" distL="0" distR="0" wp14:anchorId="63A611CF" wp14:editId="750613E7">
            <wp:extent cx="5815965" cy="3774440"/>
            <wp:effectExtent l="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815965" cy="3774440"/>
                    </a:xfrm>
                    <a:prstGeom prst="rect">
                      <a:avLst/>
                    </a:prstGeom>
                    <a:noFill/>
                    <a:ln>
                      <a:noFill/>
                    </a:ln>
                  </pic:spPr>
                </pic:pic>
              </a:graphicData>
            </a:graphic>
          </wp:inline>
        </w:drawing>
      </w:r>
    </w:p>
    <w:p w:rsidR="00C932AD" w:rsidRPr="00C932AD" w:rsidRDefault="00C932AD" w:rsidP="00C932AD">
      <w:pPr>
        <w:widowControl w:val="0"/>
        <w:autoSpaceDE w:val="0"/>
        <w:autoSpaceDN w:val="0"/>
        <w:adjustRightInd w:val="0"/>
        <w:rPr>
          <w:sz w:val="12"/>
          <w:szCs w:val="12"/>
          <w:lang w:val="es-ES_tradnl"/>
        </w:rPr>
      </w:pPr>
    </w:p>
    <w:p w:rsidR="00C932AD" w:rsidRPr="00C75C7E" w:rsidRDefault="00C932AD" w:rsidP="00C932AD">
      <w:pPr>
        <w:widowControl w:val="0"/>
        <w:autoSpaceDE w:val="0"/>
        <w:autoSpaceDN w:val="0"/>
        <w:adjustRightInd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C932AD" w:rsidRDefault="00C932AD" w:rsidP="00E062A1">
      <w:pPr>
        <w:rPr>
          <w:bCs/>
          <w:sz w:val="20"/>
          <w:lang w:val="es-ES_tradnl"/>
        </w:rPr>
      </w:pPr>
    </w:p>
    <w:p w:rsidR="001917DB" w:rsidRPr="001917DB" w:rsidRDefault="001917DB" w:rsidP="00E062A1">
      <w:pPr>
        <w:rPr>
          <w:bCs/>
          <w:sz w:val="20"/>
          <w:lang w:val="es-ES_tradnl"/>
        </w:rPr>
      </w:pPr>
    </w:p>
    <w:p w:rsidR="00C932AD" w:rsidRPr="00C75C7E" w:rsidRDefault="00C932AD" w:rsidP="001917DB">
      <w:pPr>
        <w:keepNext/>
        <w:keepLines/>
        <w:widowControl w:val="0"/>
        <w:autoSpaceDE w:val="0"/>
        <w:autoSpaceDN w:val="0"/>
        <w:adjustRightInd w:val="0"/>
        <w:ind w:firstLine="567"/>
        <w:jc w:val="center"/>
        <w:rPr>
          <w:b/>
          <w:bCs/>
          <w:iCs/>
          <w:sz w:val="20"/>
          <w:lang w:val="es-ES_tradnl"/>
        </w:rPr>
      </w:pPr>
      <w:r>
        <w:rPr>
          <w:b/>
          <w:bCs/>
          <w:iCs/>
          <w:sz w:val="20"/>
          <w:lang w:val="es-ES_tradnl"/>
        </w:rPr>
        <w:lastRenderedPageBreak/>
        <w:t>Programa 30</w:t>
      </w:r>
      <w:proofErr w:type="gramStart"/>
      <w:r>
        <w:rPr>
          <w:b/>
          <w:bCs/>
          <w:iCs/>
          <w:sz w:val="20"/>
          <w:lang w:val="es-ES_tradnl"/>
        </w:rPr>
        <w:t xml:space="preserve">:  </w:t>
      </w:r>
      <w:r w:rsidRPr="00C75C7E">
        <w:rPr>
          <w:b/>
          <w:bCs/>
          <w:iCs/>
          <w:sz w:val="20"/>
          <w:lang w:val="es-ES_tradnl"/>
        </w:rPr>
        <w:t>Recursos</w:t>
      </w:r>
      <w:proofErr w:type="gramEnd"/>
      <w:r w:rsidRPr="00C75C7E">
        <w:rPr>
          <w:b/>
          <w:bCs/>
          <w:iCs/>
          <w:sz w:val="20"/>
          <w:lang w:val="es-ES_tradnl"/>
        </w:rPr>
        <w:t xml:space="preserve"> por objeto de gasto</w:t>
      </w:r>
    </w:p>
    <w:p w:rsidR="00C932AD" w:rsidRPr="00C75C7E" w:rsidRDefault="00C932AD" w:rsidP="001917DB">
      <w:pPr>
        <w:keepNext/>
        <w:keepLines/>
        <w:widowControl w:val="0"/>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C932AD" w:rsidRPr="00C932AD" w:rsidRDefault="00C932AD" w:rsidP="001917DB">
      <w:pPr>
        <w:keepNext/>
        <w:keepLines/>
        <w:widowControl w:val="0"/>
        <w:jc w:val="center"/>
        <w:rPr>
          <w:sz w:val="20"/>
          <w:lang w:val="es-ES_tradnl"/>
        </w:rPr>
      </w:pPr>
    </w:p>
    <w:p w:rsidR="00C932AD" w:rsidRPr="00C932AD" w:rsidRDefault="008560A2" w:rsidP="001917DB">
      <w:pPr>
        <w:keepNext/>
        <w:keepLines/>
        <w:rPr>
          <w:bCs/>
          <w:sz w:val="20"/>
          <w:lang w:val="es-ES_tradnl"/>
        </w:rPr>
      </w:pPr>
      <w:r w:rsidRPr="008560A2">
        <w:rPr>
          <w:noProof/>
          <w:lang w:val="en-US" w:eastAsia="en-US"/>
        </w:rPr>
        <w:drawing>
          <wp:inline distT="0" distB="0" distL="0" distR="0" wp14:anchorId="05367FBB" wp14:editId="16CED153">
            <wp:extent cx="5940425" cy="5940425"/>
            <wp:effectExtent l="0" t="0" r="3175" b="317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940425" cy="5940425"/>
                    </a:xfrm>
                    <a:prstGeom prst="rect">
                      <a:avLst/>
                    </a:prstGeom>
                    <a:noFill/>
                    <a:ln>
                      <a:noFill/>
                    </a:ln>
                  </pic:spPr>
                </pic:pic>
              </a:graphicData>
            </a:graphic>
          </wp:inline>
        </w:drawing>
      </w:r>
    </w:p>
    <w:p w:rsidR="00C932AD" w:rsidRDefault="00C932AD" w:rsidP="00E062A1">
      <w:pPr>
        <w:rPr>
          <w:bCs/>
          <w:sz w:val="20"/>
          <w:lang w:val="es-ES_tradnl"/>
        </w:rPr>
      </w:pPr>
    </w:p>
    <w:p w:rsidR="001917DB" w:rsidRPr="00C75C7E" w:rsidRDefault="001917DB" w:rsidP="001917DB">
      <w:pPr>
        <w:keepNext/>
        <w:keepLines/>
        <w:widowControl w:val="0"/>
        <w:rPr>
          <w:sz w:val="16"/>
          <w:szCs w:val="16"/>
          <w:lang w:val="es-ES_tradnl"/>
        </w:rPr>
      </w:pPr>
      <w:r w:rsidRPr="00C75C7E">
        <w:rPr>
          <w:sz w:val="16"/>
          <w:szCs w:val="16"/>
          <w:lang w:val="es-ES_tradnl"/>
        </w:rPr>
        <w:t>Notas:</w:t>
      </w:r>
    </w:p>
    <w:p w:rsidR="001917DB" w:rsidRPr="00C75C7E" w:rsidRDefault="001917DB" w:rsidP="001917DB">
      <w:pPr>
        <w:keepNext/>
        <w:keepLines/>
        <w:widowControl w:val="0"/>
        <w:rPr>
          <w:sz w:val="16"/>
          <w:szCs w:val="16"/>
          <w:u w:val="single"/>
          <w:lang w:val="es-ES_tradnl"/>
        </w:rPr>
      </w:pPr>
    </w:p>
    <w:p w:rsidR="001917DB" w:rsidRDefault="001917DB" w:rsidP="001917DB">
      <w:pPr>
        <w:keepNext/>
        <w:keepLines/>
        <w:widowControl w:val="0"/>
        <w:tabs>
          <w:tab w:val="left" w:pos="567"/>
        </w:tabs>
        <w:rPr>
          <w:sz w:val="16"/>
          <w:szCs w:val="16"/>
          <w:lang w:val="es-ES_tradnl"/>
        </w:rPr>
      </w:pPr>
      <w:r>
        <w:rPr>
          <w:sz w:val="16"/>
          <w:szCs w:val="16"/>
          <w:lang w:val="es-ES_tradnl"/>
        </w:rPr>
        <w:t xml:space="preserve">1)  </w:t>
      </w:r>
      <w:r w:rsidRPr="00C75C7E">
        <w:rPr>
          <w:sz w:val="16"/>
          <w:szCs w:val="16"/>
          <w:lang w:val="es-ES_tradnl"/>
        </w:rPr>
        <w:t xml:space="preserve">El presupuesto aprobado de 2012/13 y el presupuesto de dicho bienio después de las transferencias se </w:t>
      </w:r>
      <w:proofErr w:type="spellStart"/>
      <w:r w:rsidRPr="00C75C7E">
        <w:rPr>
          <w:sz w:val="16"/>
          <w:szCs w:val="16"/>
          <w:lang w:val="es-ES_tradnl"/>
        </w:rPr>
        <w:t>reexpresan</w:t>
      </w:r>
      <w:proofErr w:type="spellEnd"/>
      <w:r w:rsidRPr="00C75C7E">
        <w:rPr>
          <w:sz w:val="16"/>
          <w:szCs w:val="16"/>
          <w:lang w:val="es-ES_tradnl"/>
        </w:rPr>
        <w:t xml:space="preserve"> sobre la base de la estructura de categorías de costos propuesta para 2014/15.</w:t>
      </w:r>
    </w:p>
    <w:p w:rsidR="001917DB" w:rsidRPr="00C75C7E" w:rsidRDefault="001917DB" w:rsidP="001917DB">
      <w:pPr>
        <w:widowControl w:val="0"/>
        <w:tabs>
          <w:tab w:val="left" w:pos="567"/>
        </w:tabs>
        <w:rPr>
          <w:sz w:val="16"/>
          <w:szCs w:val="16"/>
          <w:lang w:val="es-ES_tradnl"/>
        </w:rPr>
      </w:pPr>
    </w:p>
    <w:p w:rsidR="001917DB" w:rsidRDefault="001917DB" w:rsidP="001917DB">
      <w:pPr>
        <w:widowControl w:val="0"/>
        <w:tabs>
          <w:tab w:val="left" w:pos="567"/>
        </w:tabs>
        <w:rPr>
          <w:rFonts w:cs="ArialMT"/>
          <w:sz w:val="16"/>
          <w:szCs w:val="16"/>
          <w:lang w:val="es-ES_tradnl"/>
        </w:rPr>
      </w:pPr>
      <w:r>
        <w:rPr>
          <w:sz w:val="16"/>
          <w:szCs w:val="16"/>
          <w:lang w:val="es-ES_tradnl"/>
        </w:rPr>
        <w:t xml:space="preserve">2)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1917DB" w:rsidRPr="00C75C7E" w:rsidRDefault="001917DB" w:rsidP="001917DB">
      <w:pPr>
        <w:widowControl w:val="0"/>
        <w:tabs>
          <w:tab w:val="left" w:pos="567"/>
        </w:tabs>
        <w:rPr>
          <w:sz w:val="16"/>
          <w:szCs w:val="16"/>
          <w:lang w:val="es-ES_tradnl"/>
        </w:rPr>
      </w:pPr>
    </w:p>
    <w:p w:rsidR="001917DB" w:rsidRPr="00C75C7E" w:rsidRDefault="001917DB" w:rsidP="001917DB">
      <w:pPr>
        <w:widowControl w:val="0"/>
        <w:spacing w:after="120"/>
        <w:rPr>
          <w:sz w:val="16"/>
          <w:szCs w:val="16"/>
          <w:lang w:val="es-ES_tradnl"/>
        </w:rPr>
      </w:pPr>
      <w:r>
        <w:rPr>
          <w:sz w:val="16"/>
          <w:szCs w:val="16"/>
          <w:lang w:val="es-ES_tradnl"/>
        </w:rPr>
        <w:t xml:space="preserve">3)  </w:t>
      </w:r>
      <w:r w:rsidRPr="00C75C7E">
        <w:rPr>
          <w:sz w:val="16"/>
          <w:szCs w:val="16"/>
          <w:lang w:val="es-ES_tradnl"/>
        </w:rPr>
        <w:t>Para más información sobre los puestos del programa cabe remitirse al cuadro que figura en el Anexo II.</w:t>
      </w:r>
    </w:p>
    <w:p w:rsidR="001917DB" w:rsidRPr="00C932AD" w:rsidRDefault="001917DB" w:rsidP="00E062A1">
      <w:pPr>
        <w:rPr>
          <w:bCs/>
          <w:sz w:val="20"/>
          <w:lang w:val="es-ES_tradnl"/>
        </w:rPr>
      </w:pPr>
    </w:p>
    <w:p w:rsidR="00E062A1" w:rsidRPr="00E062A1" w:rsidRDefault="00E062A1" w:rsidP="00E062A1">
      <w:pPr>
        <w:rPr>
          <w:bCs/>
          <w:lang w:val="es-ES_tradnl"/>
        </w:rPr>
      </w:pPr>
    </w:p>
    <w:p w:rsidR="004F4F85" w:rsidRDefault="004F4F85">
      <w:pPr>
        <w:rPr>
          <w:sz w:val="16"/>
          <w:szCs w:val="16"/>
          <w:lang w:val="es-ES_tradnl"/>
        </w:rPr>
      </w:pPr>
    </w:p>
    <w:p w:rsidR="004F4F85" w:rsidRDefault="004F4F85" w:rsidP="004F4F85">
      <w:pPr>
        <w:widowControl w:val="0"/>
        <w:jc w:val="both"/>
        <w:rPr>
          <w:sz w:val="16"/>
          <w:szCs w:val="16"/>
          <w:lang w:val="es-ES_tradnl"/>
        </w:rPr>
        <w:sectPr w:rsidR="004F4F85" w:rsidSect="00FF362A">
          <w:headerReference w:type="even" r:id="rId79"/>
          <w:headerReference w:type="default" r:id="rId80"/>
          <w:headerReference w:type="first" r:id="rId81"/>
          <w:pgSz w:w="11907" w:h="16840" w:code="9"/>
          <w:pgMar w:top="567" w:right="1134" w:bottom="1418" w:left="1418" w:header="510" w:footer="1021" w:gutter="0"/>
          <w:cols w:space="720"/>
          <w:titlePg/>
        </w:sectPr>
      </w:pPr>
    </w:p>
    <w:p w:rsidR="004F4F85" w:rsidRDefault="008541BE" w:rsidP="008541BE">
      <w:pPr>
        <w:pStyle w:val="Heading2"/>
        <w:jc w:val="center"/>
        <w:rPr>
          <w:b/>
          <w:caps w:val="0"/>
          <w:sz w:val="24"/>
          <w:szCs w:val="24"/>
          <w:lang w:val="es-ES_tradnl" w:eastAsia="da-DK"/>
        </w:rPr>
      </w:pPr>
      <w:bookmarkStart w:id="50" w:name="_Toc366078724"/>
      <w:bookmarkStart w:id="51" w:name="_Toc356567761"/>
      <w:r w:rsidRPr="008F43DB">
        <w:rPr>
          <w:b/>
          <w:caps w:val="0"/>
          <w:sz w:val="24"/>
          <w:szCs w:val="24"/>
          <w:lang w:val="es-ES_tradnl" w:eastAsia="da-DK"/>
        </w:rPr>
        <w:lastRenderedPageBreak/>
        <w:t>META ESTRATÉGICA IV</w:t>
      </w:r>
      <w:bookmarkEnd w:id="50"/>
      <w:r w:rsidRPr="008F43DB">
        <w:rPr>
          <w:b/>
          <w:caps w:val="0"/>
          <w:sz w:val="24"/>
          <w:szCs w:val="24"/>
          <w:lang w:val="es-ES_tradnl" w:eastAsia="da-DK"/>
        </w:rPr>
        <w:t xml:space="preserve"> </w:t>
      </w:r>
    </w:p>
    <w:p w:rsidR="002E7DC3" w:rsidRPr="008F43DB" w:rsidRDefault="008541BE" w:rsidP="008541BE">
      <w:pPr>
        <w:pStyle w:val="Heading2"/>
        <w:jc w:val="center"/>
        <w:rPr>
          <w:b/>
          <w:caps w:val="0"/>
          <w:sz w:val="24"/>
          <w:szCs w:val="24"/>
          <w:lang w:val="es-ES_tradnl" w:eastAsia="da-DK"/>
        </w:rPr>
      </w:pPr>
      <w:bookmarkStart w:id="52" w:name="_Toc366078725"/>
      <w:r w:rsidRPr="008F43DB">
        <w:rPr>
          <w:b/>
          <w:caps w:val="0"/>
          <w:sz w:val="24"/>
          <w:szCs w:val="24"/>
          <w:lang w:val="es-ES_tradnl" w:eastAsia="da-DK"/>
        </w:rPr>
        <w:t>COORDINACIÓN Y DESARROLLO DE LA INFRAESTRUCTURA MUNDIAL DE LA P.I.</w:t>
      </w:r>
      <w:bookmarkEnd w:id="52"/>
    </w:p>
    <w:bookmarkEnd w:id="51"/>
    <w:p w:rsidR="002E7DC3" w:rsidRPr="008541BE" w:rsidRDefault="002E7DC3" w:rsidP="002E7DC3">
      <w:pPr>
        <w:widowControl w:val="0"/>
        <w:tabs>
          <w:tab w:val="left" w:pos="1701"/>
        </w:tabs>
        <w:ind w:left="1701" w:hanging="1701"/>
        <w:jc w:val="center"/>
        <w:rPr>
          <w:rFonts w:eastAsia="Times New Roman"/>
          <w:bCs/>
          <w:caps/>
          <w:sz w:val="24"/>
          <w:szCs w:val="24"/>
          <w:lang w:eastAsia="en-US"/>
        </w:rPr>
      </w:pPr>
    </w:p>
    <w:p w:rsidR="002E7DC3" w:rsidRPr="008541BE" w:rsidRDefault="002E7DC3" w:rsidP="002E7DC3">
      <w:pPr>
        <w:widowControl w:val="0"/>
        <w:tabs>
          <w:tab w:val="left" w:pos="1701"/>
        </w:tabs>
        <w:ind w:left="1701" w:hanging="1701"/>
        <w:jc w:val="center"/>
        <w:rPr>
          <w:rFonts w:eastAsia="Times New Roman"/>
          <w:bCs/>
          <w:caps/>
          <w:sz w:val="24"/>
          <w:szCs w:val="24"/>
          <w:lang w:eastAsia="en-US"/>
        </w:rPr>
      </w:pPr>
    </w:p>
    <w:p w:rsidR="002E7DC3" w:rsidRPr="002E7DC3" w:rsidRDefault="002E7DC3" w:rsidP="002E7DC3">
      <w:pPr>
        <w:widowControl w:val="0"/>
        <w:autoSpaceDE w:val="0"/>
        <w:autoSpaceDN w:val="0"/>
        <w:adjustRightInd w:val="0"/>
        <w:jc w:val="both"/>
        <w:rPr>
          <w:rFonts w:eastAsia="Times New Roman"/>
          <w:sz w:val="20"/>
          <w:lang w:eastAsia="en-US"/>
        </w:rPr>
      </w:pPr>
      <w:r w:rsidRPr="002E7DC3">
        <w:rPr>
          <w:rFonts w:eastAsia="Times New Roman"/>
          <w:sz w:val="20"/>
          <w:lang w:eastAsia="en-US"/>
        </w:rPr>
        <w:t>Las tecnologías de la información y la comunicación (TIC) han permitido incrementar la eficiencia en el sistema internacional de P.I., facilitar el acceso a las ventajas que se derivan del sistema e intensificar la participación de los países menos adelantados, países en desarrollo y países con economías en transición.</w:t>
      </w:r>
      <w:r w:rsidRPr="002E7DC3">
        <w:rPr>
          <w:rFonts w:eastAsia="Times New Roman"/>
          <w:color w:val="00B050"/>
          <w:sz w:val="20"/>
          <w:lang w:eastAsia="en-US"/>
        </w:rPr>
        <w:t xml:space="preserve">  </w:t>
      </w:r>
      <w:r w:rsidRPr="002E7DC3">
        <w:rPr>
          <w:rFonts w:eastAsia="Times New Roman"/>
          <w:sz w:val="20"/>
          <w:lang w:eastAsia="en-US"/>
        </w:rPr>
        <w:t xml:space="preserve">El propósito de esta meta estratégica es fortalecer la infraestructura de los Estados miembros, en particular los países citados, intensificar la cooperación internacional para mejorar la infraestructura y el flujo de datos en el sistema y establecer bases de datos mundiales de P.I. y plataformas de participación voluntaria para incrementar la cooperación técnica. </w:t>
      </w:r>
    </w:p>
    <w:p w:rsidR="002E7DC3" w:rsidRPr="002E7DC3" w:rsidRDefault="002E7DC3" w:rsidP="002E7DC3">
      <w:pPr>
        <w:widowControl w:val="0"/>
        <w:autoSpaceDE w:val="0"/>
        <w:autoSpaceDN w:val="0"/>
        <w:adjustRightInd w:val="0"/>
        <w:jc w:val="both"/>
        <w:rPr>
          <w:rFonts w:eastAsia="Times New Roman"/>
          <w:sz w:val="20"/>
          <w:lang w:eastAsia="en-US"/>
        </w:rPr>
      </w:pPr>
    </w:p>
    <w:p w:rsidR="002E7DC3" w:rsidRPr="002E7DC3" w:rsidRDefault="002E7DC3" w:rsidP="002E7DC3">
      <w:pPr>
        <w:widowControl w:val="0"/>
        <w:autoSpaceDE w:val="0"/>
        <w:autoSpaceDN w:val="0"/>
        <w:adjustRightInd w:val="0"/>
        <w:jc w:val="both"/>
        <w:rPr>
          <w:rFonts w:eastAsia="Times New Roman"/>
          <w:i/>
          <w:iCs/>
          <w:szCs w:val="22"/>
          <w:lang w:eastAsia="en-US"/>
        </w:rPr>
      </w:pPr>
      <w:r w:rsidRPr="002E7DC3">
        <w:rPr>
          <w:rFonts w:eastAsia="Times New Roman"/>
          <w:sz w:val="20"/>
          <w:lang w:eastAsia="en-US"/>
        </w:rPr>
        <w:t>La coordinación y desarrollo de la infraestructura mundial de P.I. también contribuye al logro de la meta estratégica III (Facilitar el uso de la P.I. en aras del desarrollo), la meta estratégica II (Prestación de servicios mundiales de P.I. de calidad.) y la meta estratégica V (Fuente de referencia en el mundo de información y análisis en materia de P.I.).  Abarca también la aplicación de varias recomendaciones  de la Agenda para el Desarrollo.</w:t>
      </w:r>
    </w:p>
    <w:p w:rsidR="002E7DC3" w:rsidRPr="002E7DC3" w:rsidRDefault="002E7DC3" w:rsidP="002E7DC3">
      <w:pPr>
        <w:widowControl w:val="0"/>
        <w:rPr>
          <w:rFonts w:eastAsia="Times New Roman"/>
          <w:sz w:val="20"/>
          <w:lang w:eastAsia="en-US"/>
        </w:rPr>
      </w:pPr>
    </w:p>
    <w:p w:rsidR="00A80F8D" w:rsidRPr="002E7DC3" w:rsidRDefault="00A80F8D" w:rsidP="008F691D">
      <w:pPr>
        <w:rPr>
          <w:sz w:val="20"/>
        </w:rPr>
      </w:pPr>
    </w:p>
    <w:tbl>
      <w:tblPr>
        <w:tblW w:w="4856"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5"/>
        <w:gridCol w:w="2722"/>
        <w:gridCol w:w="3058"/>
      </w:tblGrid>
      <w:tr w:rsidR="00A80F8D" w:rsidRPr="00C75C7E" w:rsidTr="008F4F69">
        <w:trPr>
          <w:cantSplit/>
          <w:trHeight w:val="401"/>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A80F8D" w:rsidRPr="00C75C7E" w:rsidRDefault="00A80F8D"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1464" w:type="pct"/>
            <w:tcBorders>
              <w:top w:val="single" w:sz="4" w:space="0" w:color="auto"/>
              <w:bottom w:val="single" w:sz="4" w:space="0" w:color="auto"/>
            </w:tcBorders>
            <w:shd w:val="clear" w:color="auto" w:fill="CCFFFF"/>
            <w:tcMar>
              <w:top w:w="113" w:type="dxa"/>
              <w:bottom w:w="85" w:type="dxa"/>
            </w:tcMar>
            <w:vAlign w:val="center"/>
          </w:tcPr>
          <w:p w:rsidR="00A80F8D" w:rsidRPr="00C75C7E" w:rsidRDefault="00A80F8D" w:rsidP="008F4F69">
            <w:pPr>
              <w:widowControl w:val="0"/>
              <w:spacing w:after="120"/>
              <w:jc w:val="center"/>
              <w:rPr>
                <w:b/>
                <w:sz w:val="18"/>
                <w:szCs w:val="18"/>
                <w:lang w:val="es-ES_tradnl"/>
              </w:rPr>
            </w:pPr>
            <w:r w:rsidRPr="00C75C7E">
              <w:rPr>
                <w:b/>
                <w:sz w:val="18"/>
                <w:szCs w:val="18"/>
                <w:lang w:val="es-ES_tradnl"/>
              </w:rPr>
              <w:t>Indicadores de rendimiento</w:t>
            </w:r>
          </w:p>
        </w:tc>
        <w:tc>
          <w:tcPr>
            <w:tcW w:w="1645" w:type="pct"/>
            <w:tcBorders>
              <w:top w:val="single" w:sz="4" w:space="0" w:color="auto"/>
              <w:bottom w:val="single" w:sz="4" w:space="0" w:color="auto"/>
            </w:tcBorders>
            <w:shd w:val="clear" w:color="auto" w:fill="CCFFFF"/>
            <w:tcMar>
              <w:top w:w="113" w:type="dxa"/>
              <w:bottom w:w="85" w:type="dxa"/>
            </w:tcMar>
            <w:vAlign w:val="center"/>
          </w:tcPr>
          <w:p w:rsidR="00A80F8D" w:rsidRPr="00C75C7E" w:rsidRDefault="00A80F8D" w:rsidP="008F4F69">
            <w:pPr>
              <w:widowControl w:val="0"/>
              <w:spacing w:after="120"/>
              <w:ind w:left="85"/>
              <w:jc w:val="center"/>
              <w:rPr>
                <w:sz w:val="18"/>
                <w:szCs w:val="18"/>
                <w:lang w:val="es-ES_tradnl"/>
              </w:rPr>
            </w:pPr>
            <w:r w:rsidRPr="00C75C7E">
              <w:rPr>
                <w:b/>
                <w:bCs/>
                <w:sz w:val="18"/>
                <w:szCs w:val="18"/>
                <w:lang w:val="es-ES_tradnl"/>
              </w:rPr>
              <w:t>Programas responsables</w:t>
            </w:r>
          </w:p>
        </w:tc>
      </w:tr>
      <w:tr w:rsidR="00A80F8D" w:rsidRPr="00C75C7E" w:rsidTr="008F4F69">
        <w:trPr>
          <w:cantSplit/>
          <w:trHeight w:val="949"/>
        </w:trPr>
        <w:tc>
          <w:tcPr>
            <w:tcW w:w="1891" w:type="pct"/>
            <w:tcBorders>
              <w:top w:val="single" w:sz="4" w:space="0" w:color="auto"/>
            </w:tcBorders>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IV.1. Sistema actualizado y aceptado mundialmente de clasificaciones internacionales y normas técnicas de la OMPI para facilitar el acceso, el uso y la difusión de información de P.I. entre las partes interesadas de todo el mundo.</w:t>
            </w:r>
          </w:p>
        </w:tc>
        <w:tc>
          <w:tcPr>
            <w:tcW w:w="1464" w:type="pct"/>
            <w:tcBorders>
              <w:top w:val="single" w:sz="4" w:space="0" w:color="auto"/>
            </w:tcBorders>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modificaciones y ficheros de información introducidos en la Clasificación de Niza.</w:t>
            </w:r>
          </w:p>
        </w:tc>
        <w:tc>
          <w:tcPr>
            <w:tcW w:w="1645" w:type="pct"/>
            <w:tcBorders>
              <w:top w:val="single" w:sz="4" w:space="0" w:color="auto"/>
            </w:tcBorders>
            <w:shd w:val="clear" w:color="auto" w:fill="FFFFFF"/>
            <w:tcMar>
              <w:top w:w="113" w:type="dxa"/>
              <w:bottom w:w="85" w:type="dxa"/>
            </w:tcMar>
          </w:tcPr>
          <w:p w:rsidR="00A80F8D" w:rsidRPr="00C75C7E" w:rsidRDefault="00A80F8D" w:rsidP="008F4F69">
            <w:pPr>
              <w:widowControl w:val="0"/>
              <w:ind w:left="660"/>
              <w:rPr>
                <w:sz w:val="16"/>
                <w:szCs w:val="16"/>
                <w:lang w:val="es-ES_tradnl"/>
              </w:rPr>
            </w:pPr>
            <w:r w:rsidRPr="00C75C7E">
              <w:rPr>
                <w:sz w:val="16"/>
                <w:szCs w:val="16"/>
                <w:lang w:val="es-ES_tradnl" w:bidi="th-TH"/>
              </w:rPr>
              <w:t>Programa  12</w:t>
            </w:r>
          </w:p>
        </w:tc>
      </w:tr>
      <w:tr w:rsidR="00A80F8D" w:rsidRPr="00C75C7E" w:rsidTr="008F4F69">
        <w:trPr>
          <w:cantSplit/>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nuevas subdivisiones introducidas anualmente en la CIP.</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rPr>
            </w:pPr>
            <w:r w:rsidRPr="00C75C7E">
              <w:rPr>
                <w:sz w:val="16"/>
                <w:szCs w:val="16"/>
                <w:lang w:val="es-ES_tradnl" w:bidi="th-TH"/>
              </w:rPr>
              <w:t>Programa  12</w:t>
            </w:r>
          </w:p>
        </w:tc>
      </w:tr>
      <w:tr w:rsidR="00A80F8D" w:rsidRPr="00C75C7E" w:rsidTr="008F4F69">
        <w:trPr>
          <w:cantSplit/>
          <w:trHeight w:val="454"/>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normas técnicas modificadas y nuevas normas técnicas adoptadas.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rPr>
            </w:pPr>
            <w:r w:rsidRPr="00C75C7E">
              <w:rPr>
                <w:sz w:val="16"/>
                <w:szCs w:val="16"/>
                <w:lang w:val="es-ES_tradnl" w:bidi="th-TH"/>
              </w:rPr>
              <w:t>Programa  12</w:t>
            </w:r>
          </w:p>
        </w:tc>
      </w:tr>
      <w:tr w:rsidR="00A80F8D" w:rsidRPr="00C75C7E" w:rsidTr="008F4F69">
        <w:trPr>
          <w:cantSplit/>
          <w:trHeight w:val="883"/>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 xml:space="preserve">Número de usuarios que acceden a las publicaciones en Internet de las clasificaciones y normas internacionales, especialmente de países en desarrollo. </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rPr>
            </w:pPr>
            <w:r w:rsidRPr="00C75C7E">
              <w:rPr>
                <w:sz w:val="16"/>
                <w:szCs w:val="16"/>
                <w:lang w:val="es-ES_tradnl" w:bidi="th-TH"/>
              </w:rPr>
              <w:t>Programa  12</w:t>
            </w:r>
          </w:p>
        </w:tc>
      </w:tr>
      <w:tr w:rsidR="00A80F8D" w:rsidRPr="00C75C7E" w:rsidTr="008F4F69">
        <w:trPr>
          <w:cantSplit/>
          <w:trHeight w:val="879"/>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IV.2. Mejora del acceso y uso de información y conocimientos de P.I. por parte de instituciones de P.I. y el público para fomentar la innovación y la creatividad.</w:t>
            </w: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 xml:space="preserve">Número de intermediarios de confianza y titulares de </w:t>
            </w:r>
            <w:r w:rsidR="00F73403">
              <w:rPr>
                <w:sz w:val="16"/>
                <w:szCs w:val="16"/>
                <w:lang w:val="es-ES_tradnl"/>
              </w:rPr>
              <w:t>derechos que se han adherido a l</w:t>
            </w:r>
            <w:r w:rsidRPr="00C75C7E">
              <w:rPr>
                <w:sz w:val="16"/>
                <w:szCs w:val="16"/>
                <w:lang w:val="es-ES_tradnl"/>
              </w:rPr>
              <w:t>a red de sistemas TIGAR, incluidos los procedentes de países en desarrollo y PMA.</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tc>
      </w:tr>
      <w:tr w:rsidR="00A80F8D" w:rsidRPr="00C75C7E" w:rsidTr="008F4F69">
        <w:trPr>
          <w:cantSplit/>
          <w:trHeight w:val="82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obras protegidas por derecho de autor distribuidas entre intermediarios de confianza y puestas a disposición de las personas con discapacidad visual a escala internacional por medio de la red de sistemas TIGAR.</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tc>
      </w:tr>
      <w:tr w:rsidR="00A80F8D" w:rsidRPr="00C75C7E" w:rsidTr="008F4F69">
        <w:trPr>
          <w:cantSplit/>
          <w:trHeight w:val="620"/>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Porcentaje de personas satisfechas con el apoyo al fortalecimiento de capacidades en infraestructura de derecho de autor.</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tc>
      </w:tr>
      <w:tr w:rsidR="00A80F8D" w:rsidRPr="00C75C7E" w:rsidTr="008F4F69">
        <w:trPr>
          <w:cantSplit/>
          <w:trHeight w:val="154"/>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instituciones que utilizan el sistema GDA.</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tc>
      </w:tr>
      <w:tr w:rsidR="00A80F8D" w:rsidRPr="00C75C7E" w:rsidTr="008F4F69">
        <w:trPr>
          <w:cantSplit/>
          <w:trHeight w:val="496"/>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Uso de la base de datos de la OMPI sobre gestión colectiva de los derechos.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tc>
      </w:tr>
      <w:tr w:rsidR="00A80F8D" w:rsidRPr="00C75C7E" w:rsidTr="008F4F69">
        <w:trPr>
          <w:cantSplit/>
          <w:trHeight w:val="1358"/>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instrumentos jurídicos, directrices, declaraciones de principios distintas de tratados acordados o suscritos por las partes interesadas en ámbitos como los de la P.I. y el deporte y el derecho de autor en el entorno digital.</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tc>
      </w:tr>
      <w:tr w:rsidR="00A80F8D" w:rsidRPr="00C75C7E" w:rsidTr="008F4F69">
        <w:trPr>
          <w:cantSplit/>
          <w:trHeight w:val="426"/>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Promedio de usuarios que utilizan los servicios de los CATI por trimestre y por país.</w:t>
            </w:r>
          </w:p>
        </w:tc>
        <w:tc>
          <w:tcPr>
            <w:tcW w:w="1645" w:type="pct"/>
            <w:shd w:val="clear" w:color="auto" w:fill="FFFFFF"/>
            <w:tcMar>
              <w:top w:w="113" w:type="dxa"/>
              <w:bottom w:w="85" w:type="dxa"/>
            </w:tcMar>
          </w:tcPr>
          <w:p w:rsidR="00A80F8D" w:rsidRDefault="00A80F8D" w:rsidP="008F4F69">
            <w:pPr>
              <w:widowControl w:val="0"/>
              <w:ind w:left="660"/>
              <w:rPr>
                <w:sz w:val="16"/>
                <w:szCs w:val="16"/>
                <w:lang w:val="es-ES_tradnl" w:bidi="th-TH"/>
              </w:rPr>
            </w:pPr>
            <w:r w:rsidRPr="00C75C7E">
              <w:rPr>
                <w:sz w:val="16"/>
                <w:szCs w:val="16"/>
                <w:lang w:val="es-ES_tradnl" w:bidi="th-TH"/>
              </w:rPr>
              <w:t>Programa  9</w:t>
            </w:r>
          </w:p>
          <w:p w:rsidR="001917DB" w:rsidRPr="00C75C7E" w:rsidRDefault="001917DB" w:rsidP="008F4F69">
            <w:pPr>
              <w:widowControl w:val="0"/>
              <w:ind w:left="660"/>
              <w:rPr>
                <w:sz w:val="16"/>
                <w:szCs w:val="16"/>
                <w:lang w:val="es-ES_tradnl" w:bidi="th-TH"/>
              </w:rPr>
            </w:pPr>
            <w:r>
              <w:rPr>
                <w:sz w:val="16"/>
                <w:szCs w:val="16"/>
                <w:lang w:val="es-ES_tradnl" w:bidi="th-TH"/>
              </w:rPr>
              <w:t>Programa  10</w:t>
            </w:r>
          </w:p>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14</w:t>
            </w:r>
          </w:p>
        </w:tc>
      </w:tr>
      <w:tr w:rsidR="00A80F8D" w:rsidRPr="00C75C7E" w:rsidTr="008F4F69">
        <w:trPr>
          <w:cantSplit/>
          <w:trHeight w:val="437"/>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redes nacionales sostenibles de CATI.</w:t>
            </w:r>
          </w:p>
        </w:tc>
        <w:tc>
          <w:tcPr>
            <w:tcW w:w="1645" w:type="pct"/>
            <w:shd w:val="clear" w:color="auto" w:fill="FFFFFF"/>
            <w:tcMar>
              <w:top w:w="113" w:type="dxa"/>
              <w:bottom w:w="85" w:type="dxa"/>
            </w:tcMar>
          </w:tcPr>
          <w:p w:rsidR="00A80F8D" w:rsidRDefault="00A80F8D" w:rsidP="008F4F69">
            <w:pPr>
              <w:widowControl w:val="0"/>
              <w:ind w:left="660"/>
              <w:rPr>
                <w:sz w:val="16"/>
                <w:szCs w:val="16"/>
                <w:lang w:val="es-ES_tradnl" w:bidi="th-TH"/>
              </w:rPr>
            </w:pPr>
            <w:r w:rsidRPr="00C75C7E">
              <w:rPr>
                <w:sz w:val="16"/>
                <w:szCs w:val="16"/>
                <w:lang w:val="es-ES_tradnl" w:bidi="th-TH"/>
              </w:rPr>
              <w:t>Programa  9</w:t>
            </w:r>
          </w:p>
          <w:p w:rsidR="001917DB" w:rsidRPr="00C75C7E" w:rsidRDefault="001917DB" w:rsidP="008F4F69">
            <w:pPr>
              <w:widowControl w:val="0"/>
              <w:ind w:left="660"/>
              <w:rPr>
                <w:sz w:val="16"/>
                <w:szCs w:val="16"/>
                <w:lang w:val="es-ES_tradnl" w:bidi="th-TH"/>
              </w:rPr>
            </w:pPr>
            <w:r>
              <w:rPr>
                <w:sz w:val="16"/>
                <w:szCs w:val="16"/>
                <w:lang w:val="es-ES_tradnl" w:bidi="th-TH"/>
              </w:rPr>
              <w:t>Programa  10</w:t>
            </w:r>
          </w:p>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14</w:t>
            </w:r>
          </w:p>
        </w:tc>
      </w:tr>
      <w:tr w:rsidR="00A80F8D" w:rsidRPr="00C75C7E" w:rsidTr="008F4F69">
        <w:trPr>
          <w:cantSplit/>
          <w:trHeight w:val="799"/>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países que utilizan la base de datos de asistencia técnica en P.I. (IP-TAD) y la lista de consultores (IP_ROC).</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9</w:t>
            </w:r>
          </w:p>
        </w:tc>
      </w:tr>
      <w:tr w:rsidR="001917DB" w:rsidRPr="00C75C7E" w:rsidTr="004F371F">
        <w:trPr>
          <w:cantSplit/>
          <w:trHeight w:val="550"/>
        </w:trPr>
        <w:tc>
          <w:tcPr>
            <w:tcW w:w="1891" w:type="pct"/>
            <w:shd w:val="clear" w:color="auto" w:fill="auto"/>
            <w:tcMar>
              <w:top w:w="113" w:type="dxa"/>
              <w:bottom w:w="85" w:type="dxa"/>
            </w:tcMar>
          </w:tcPr>
          <w:p w:rsidR="001917DB" w:rsidRPr="00C75C7E" w:rsidRDefault="001917DB" w:rsidP="008F4F69">
            <w:pPr>
              <w:widowControl w:val="0"/>
              <w:rPr>
                <w:sz w:val="16"/>
                <w:szCs w:val="16"/>
                <w:lang w:val="es-ES_tradnl"/>
              </w:rPr>
            </w:pPr>
          </w:p>
        </w:tc>
        <w:tc>
          <w:tcPr>
            <w:tcW w:w="1464" w:type="pct"/>
            <w:shd w:val="clear" w:color="auto" w:fill="auto"/>
            <w:tcMar>
              <w:top w:w="113" w:type="dxa"/>
              <w:bottom w:w="85" w:type="dxa"/>
            </w:tcMar>
          </w:tcPr>
          <w:p w:rsidR="001917DB" w:rsidRPr="00C75C7E" w:rsidRDefault="004F371F" w:rsidP="008F4F69">
            <w:pPr>
              <w:widowControl w:val="0"/>
              <w:rPr>
                <w:sz w:val="16"/>
                <w:szCs w:val="16"/>
                <w:lang w:val="es-ES_tradnl"/>
              </w:rPr>
            </w:pPr>
            <w:r w:rsidRPr="001F769A">
              <w:rPr>
                <w:sz w:val="16"/>
                <w:szCs w:val="16"/>
                <w:lang w:val="es-ES_tradnl"/>
              </w:rPr>
              <w:t xml:space="preserve">Número de </w:t>
            </w:r>
            <w:r>
              <w:rPr>
                <w:sz w:val="16"/>
                <w:szCs w:val="16"/>
                <w:lang w:val="es-ES_tradnl"/>
              </w:rPr>
              <w:t>OTT</w:t>
            </w:r>
            <w:r w:rsidRPr="001F769A">
              <w:rPr>
                <w:sz w:val="16"/>
                <w:szCs w:val="16"/>
                <w:lang w:val="es-ES_tradnl"/>
              </w:rPr>
              <w:t xml:space="preserve"> </w:t>
            </w:r>
            <w:r>
              <w:rPr>
                <w:sz w:val="16"/>
                <w:szCs w:val="16"/>
                <w:lang w:val="es-ES_tradnl"/>
              </w:rPr>
              <w:t>o de centros de información establecidos</w:t>
            </w:r>
          </w:p>
        </w:tc>
        <w:tc>
          <w:tcPr>
            <w:tcW w:w="1645" w:type="pct"/>
            <w:shd w:val="clear" w:color="auto" w:fill="FFFFFF"/>
            <w:tcMar>
              <w:top w:w="113" w:type="dxa"/>
              <w:bottom w:w="85" w:type="dxa"/>
            </w:tcMar>
          </w:tcPr>
          <w:p w:rsidR="004F371F" w:rsidRPr="00C75C7E" w:rsidRDefault="004F371F" w:rsidP="008F4F69">
            <w:pPr>
              <w:widowControl w:val="0"/>
              <w:ind w:left="660"/>
              <w:rPr>
                <w:sz w:val="16"/>
                <w:szCs w:val="16"/>
                <w:lang w:val="es-ES_tradnl" w:bidi="th-TH"/>
              </w:rPr>
            </w:pPr>
            <w:r>
              <w:rPr>
                <w:sz w:val="16"/>
                <w:szCs w:val="16"/>
                <w:lang w:val="es-ES_tradnl" w:bidi="th-TH"/>
              </w:rPr>
              <w:t>Programa  10</w:t>
            </w:r>
          </w:p>
        </w:tc>
      </w:tr>
      <w:tr w:rsidR="00A80F8D" w:rsidRPr="00C75C7E" w:rsidTr="008F4F69">
        <w:trPr>
          <w:cantSplit/>
          <w:trHeight w:val="79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usuarios por trimestre en todos los sistemas (PATENTSCOPE/Base Mundial de Datos sobre Marcas).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13</w:t>
            </w:r>
          </w:p>
        </w:tc>
      </w:tr>
      <w:tr w:rsidR="00A80F8D" w:rsidRPr="00C75C7E" w:rsidTr="008F4F69">
        <w:trPr>
          <w:cantSplit/>
          <w:trHeight w:val="399"/>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idiomas en los que se pueden efectuar búsquedas plurilingües.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13</w:t>
            </w:r>
          </w:p>
        </w:tc>
      </w:tr>
      <w:tr w:rsidR="00A80F8D" w:rsidRPr="00C75C7E" w:rsidTr="008F4F69">
        <w:trPr>
          <w:cantSplit/>
          <w:trHeight w:val="61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pares de idiomas disponibles para la traducción automática de títulos y resúmenes.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13</w:t>
            </w:r>
          </w:p>
        </w:tc>
      </w:tr>
      <w:tr w:rsidR="00A80F8D" w:rsidRPr="00C75C7E" w:rsidTr="008F4F69">
        <w:trPr>
          <w:cantSplit/>
          <w:trHeight w:val="389"/>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usuarios inscritos en ARDI y ASPI que utilizan dichos instrumentos.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14</w:t>
            </w:r>
          </w:p>
        </w:tc>
      </w:tr>
      <w:tr w:rsidR="00A80F8D" w:rsidRPr="00C75C7E" w:rsidTr="008F4F69">
        <w:trPr>
          <w:cantSplit/>
          <w:trHeight w:val="98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Porcentaje de usuarios satisfechos con la prestación de servicios de información sobre patentes con valor añadido (WPIS, cooperación internacional en el examen, familias de patentes  y servicio de consulta sobre la situación jurídica).</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14</w:t>
            </w:r>
          </w:p>
        </w:tc>
      </w:tr>
      <w:tr w:rsidR="00A80F8D" w:rsidRPr="00C75C7E" w:rsidTr="008F4F69">
        <w:trPr>
          <w:cantSplit/>
          <w:trHeight w:val="36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 xml:space="preserve">Porcentaje de usuarios satisfechos con los informes sobre la actividad de </w:t>
            </w:r>
            <w:proofErr w:type="spellStart"/>
            <w:r w:rsidRPr="00C75C7E">
              <w:rPr>
                <w:sz w:val="16"/>
                <w:szCs w:val="16"/>
                <w:lang w:val="es-ES_tradnl"/>
              </w:rPr>
              <w:t>patentamiento</w:t>
            </w:r>
            <w:proofErr w:type="spellEnd"/>
            <w:r w:rsidRPr="00C75C7E">
              <w:rPr>
                <w:sz w:val="16"/>
                <w:szCs w:val="16"/>
                <w:lang w:val="es-ES_tradnl"/>
              </w:rPr>
              <w:t>.</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14</w:t>
            </w:r>
          </w:p>
        </w:tc>
      </w:tr>
      <w:tr w:rsidR="00A80F8D" w:rsidRPr="00C75C7E" w:rsidTr="008F4F69">
        <w:trPr>
          <w:cantSplit/>
          <w:trHeight w:val="583"/>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 xml:space="preserve">Número de países que han verificado los datos e incluido medicamentos esenciales nacionales en </w:t>
            </w:r>
            <w:r w:rsidRPr="00C75C7E">
              <w:rPr>
                <w:i/>
                <w:sz w:val="16"/>
                <w:szCs w:val="16"/>
                <w:lang w:val="es-ES_tradnl"/>
              </w:rPr>
              <w:t xml:space="preserve">WIPO </w:t>
            </w:r>
            <w:proofErr w:type="spellStart"/>
            <w:r w:rsidRPr="00C75C7E">
              <w:rPr>
                <w:i/>
                <w:sz w:val="16"/>
                <w:szCs w:val="16"/>
                <w:lang w:val="es-ES_tradnl"/>
              </w:rPr>
              <w:t>Essential</w:t>
            </w:r>
            <w:proofErr w:type="spellEnd"/>
            <w:r w:rsidRPr="00C75C7E">
              <w:rPr>
                <w:i/>
                <w:sz w:val="16"/>
                <w:szCs w:val="16"/>
                <w:lang w:val="es-ES_tradnl"/>
              </w:rPr>
              <w:t>.</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18</w:t>
            </w:r>
          </w:p>
        </w:tc>
      </w:tr>
      <w:tr w:rsidR="00A80F8D" w:rsidRPr="00C75C7E" w:rsidTr="008F4F69">
        <w:trPr>
          <w:cantSplit/>
          <w:trHeight w:val="583"/>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usuarios de las bases de datos mundiales de la OMPI:</w:t>
            </w:r>
          </w:p>
          <w:p w:rsidR="00A80F8D" w:rsidRPr="00C75C7E" w:rsidRDefault="00A80F8D" w:rsidP="008F4F69">
            <w:pPr>
              <w:widowControl w:val="0"/>
              <w:rPr>
                <w:sz w:val="16"/>
                <w:szCs w:val="16"/>
                <w:lang w:val="es-ES_tradnl"/>
              </w:rPr>
            </w:pPr>
            <w:r w:rsidRPr="00C75C7E">
              <w:rPr>
                <w:sz w:val="16"/>
                <w:szCs w:val="16"/>
                <w:lang w:val="es-ES_tradnl"/>
              </w:rPr>
              <w:t>PATENTSCOPE y Base Mundial de Datos sobre Marcas.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20</w:t>
            </w:r>
          </w:p>
        </w:tc>
      </w:tr>
      <w:tr w:rsidR="00A80F8D" w:rsidRPr="00C75C7E" w:rsidTr="008F4F69">
        <w:trPr>
          <w:cantSplit/>
          <w:trHeight w:val="412"/>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 xml:space="preserve">Aumento del número de usuarios de WIPO </w:t>
            </w:r>
            <w:proofErr w:type="spellStart"/>
            <w:r w:rsidRPr="00C75C7E">
              <w:rPr>
                <w:sz w:val="16"/>
                <w:szCs w:val="16"/>
                <w:lang w:val="es-ES_tradnl"/>
              </w:rPr>
              <w:t>Lex</w:t>
            </w:r>
            <w:proofErr w:type="spellEnd"/>
            <w:r w:rsidRPr="00C75C7E">
              <w:rPr>
                <w:sz w:val="16"/>
                <w:szCs w:val="16"/>
                <w:lang w:val="es-ES_tradnl"/>
              </w:rPr>
              <w:t xml:space="preserve">. </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21</w:t>
            </w:r>
          </w:p>
        </w:tc>
      </w:tr>
      <w:tr w:rsidR="00560B8E" w:rsidRPr="00C75C7E" w:rsidTr="008F4F69">
        <w:trPr>
          <w:cantSplit/>
          <w:trHeight w:val="495"/>
        </w:trPr>
        <w:tc>
          <w:tcPr>
            <w:tcW w:w="1891" w:type="pct"/>
            <w:shd w:val="clear" w:color="auto" w:fill="auto"/>
            <w:tcMar>
              <w:top w:w="113" w:type="dxa"/>
              <w:bottom w:w="85" w:type="dxa"/>
            </w:tcMar>
          </w:tcPr>
          <w:p w:rsidR="00560B8E" w:rsidRPr="00C75C7E" w:rsidRDefault="00560B8E" w:rsidP="008F4F69">
            <w:pPr>
              <w:widowControl w:val="0"/>
              <w:rPr>
                <w:sz w:val="16"/>
                <w:szCs w:val="16"/>
                <w:lang w:val="es-ES_tradnl"/>
              </w:rPr>
            </w:pPr>
          </w:p>
        </w:tc>
        <w:tc>
          <w:tcPr>
            <w:tcW w:w="1464" w:type="pct"/>
            <w:shd w:val="clear" w:color="auto" w:fill="auto"/>
            <w:tcMar>
              <w:top w:w="113" w:type="dxa"/>
              <w:bottom w:w="85" w:type="dxa"/>
            </w:tcMar>
          </w:tcPr>
          <w:p w:rsidR="00560B8E" w:rsidRPr="00C75C7E" w:rsidRDefault="00560B8E" w:rsidP="008F4F69">
            <w:pPr>
              <w:widowControl w:val="0"/>
              <w:rPr>
                <w:sz w:val="16"/>
                <w:szCs w:val="16"/>
                <w:lang w:val="es-ES_tradnl"/>
              </w:rPr>
            </w:pPr>
            <w:r>
              <w:rPr>
                <w:sz w:val="16"/>
                <w:szCs w:val="16"/>
                <w:lang w:val="es-ES_tradnl"/>
              </w:rPr>
              <w:t>Número de OTT sostenibles establecidas y/o consolidadas en las universidades o las instituciones de I+D.</w:t>
            </w:r>
          </w:p>
        </w:tc>
        <w:tc>
          <w:tcPr>
            <w:tcW w:w="1645" w:type="pct"/>
            <w:shd w:val="clear" w:color="auto" w:fill="FFFFFF"/>
            <w:tcMar>
              <w:top w:w="113" w:type="dxa"/>
              <w:bottom w:w="85" w:type="dxa"/>
            </w:tcMar>
          </w:tcPr>
          <w:p w:rsidR="00560B8E" w:rsidRPr="00C75C7E" w:rsidRDefault="00560B8E" w:rsidP="008F4F69">
            <w:pPr>
              <w:widowControl w:val="0"/>
              <w:ind w:left="660"/>
              <w:rPr>
                <w:sz w:val="16"/>
                <w:szCs w:val="16"/>
                <w:lang w:val="es-ES_tradnl" w:bidi="th-TH"/>
              </w:rPr>
            </w:pPr>
            <w:r>
              <w:rPr>
                <w:sz w:val="16"/>
                <w:szCs w:val="16"/>
                <w:lang w:val="es-ES_tradnl" w:bidi="th-TH"/>
              </w:rPr>
              <w:t>Programa  30</w:t>
            </w:r>
          </w:p>
        </w:tc>
      </w:tr>
      <w:tr w:rsidR="00560B8E" w:rsidRPr="00C75C7E" w:rsidTr="008F4F69">
        <w:trPr>
          <w:cantSplit/>
          <w:trHeight w:val="495"/>
        </w:trPr>
        <w:tc>
          <w:tcPr>
            <w:tcW w:w="1891" w:type="pct"/>
            <w:shd w:val="clear" w:color="auto" w:fill="auto"/>
            <w:tcMar>
              <w:top w:w="113" w:type="dxa"/>
              <w:bottom w:w="85" w:type="dxa"/>
            </w:tcMar>
          </w:tcPr>
          <w:p w:rsidR="00560B8E" w:rsidRPr="00C75C7E" w:rsidRDefault="00560B8E" w:rsidP="008F4F69">
            <w:pPr>
              <w:widowControl w:val="0"/>
              <w:rPr>
                <w:sz w:val="16"/>
                <w:szCs w:val="16"/>
                <w:lang w:val="es-ES_tradnl"/>
              </w:rPr>
            </w:pPr>
          </w:p>
        </w:tc>
        <w:tc>
          <w:tcPr>
            <w:tcW w:w="1464" w:type="pct"/>
            <w:shd w:val="clear" w:color="auto" w:fill="auto"/>
            <w:tcMar>
              <w:top w:w="113" w:type="dxa"/>
              <w:bottom w:w="85" w:type="dxa"/>
            </w:tcMar>
          </w:tcPr>
          <w:p w:rsidR="00560B8E" w:rsidRPr="00C75C7E" w:rsidRDefault="00560B8E" w:rsidP="008F4F69">
            <w:pPr>
              <w:widowControl w:val="0"/>
              <w:rPr>
                <w:sz w:val="16"/>
                <w:szCs w:val="16"/>
                <w:lang w:val="es-ES_tradnl"/>
              </w:rPr>
            </w:pPr>
            <w:r>
              <w:rPr>
                <w:sz w:val="16"/>
                <w:szCs w:val="16"/>
                <w:lang w:val="es-ES_tradnl"/>
              </w:rPr>
              <w:t>Número de universidades y/o institutos de investigación que han establecido políticas de P.I.</w:t>
            </w:r>
          </w:p>
        </w:tc>
        <w:tc>
          <w:tcPr>
            <w:tcW w:w="1645" w:type="pct"/>
            <w:shd w:val="clear" w:color="auto" w:fill="FFFFFF"/>
            <w:tcMar>
              <w:top w:w="113" w:type="dxa"/>
              <w:bottom w:w="85" w:type="dxa"/>
            </w:tcMar>
          </w:tcPr>
          <w:p w:rsidR="00560B8E" w:rsidRPr="00C75C7E" w:rsidRDefault="00560B8E" w:rsidP="008F4F69">
            <w:pPr>
              <w:widowControl w:val="0"/>
              <w:ind w:left="660"/>
              <w:rPr>
                <w:sz w:val="16"/>
                <w:szCs w:val="16"/>
                <w:lang w:val="es-ES_tradnl" w:bidi="th-TH"/>
              </w:rPr>
            </w:pPr>
            <w:r>
              <w:rPr>
                <w:sz w:val="16"/>
                <w:szCs w:val="16"/>
                <w:lang w:val="es-ES_tradnl" w:bidi="th-TH"/>
              </w:rPr>
              <w:t>Programa  30</w:t>
            </w:r>
          </w:p>
        </w:tc>
      </w:tr>
      <w:tr w:rsidR="00A80F8D" w:rsidRPr="00C75C7E" w:rsidTr="008F4F69">
        <w:trPr>
          <w:cantSplit/>
          <w:trHeight w:val="49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IV.3. Amplia cobertura geográfica en cuanto al contenido y al uso de las bases de datos mundiales de la OMPI en materia de P.I.</w:t>
            </w: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registros contenidos en PATENSCOPE.</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13</w:t>
            </w:r>
          </w:p>
        </w:tc>
      </w:tr>
      <w:tr w:rsidR="00A80F8D" w:rsidRPr="00C75C7E" w:rsidTr="008F4F69">
        <w:trPr>
          <w:cantSplit/>
          <w:trHeight w:val="483"/>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registros que figuran en la Base Mundial de Datos sobre Marcas.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13</w:t>
            </w:r>
          </w:p>
        </w:tc>
      </w:tr>
      <w:tr w:rsidR="00A80F8D" w:rsidRPr="00C75C7E" w:rsidTr="008F4F69">
        <w:trPr>
          <w:cantSplit/>
          <w:trHeight w:val="471"/>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colecciones nacionales en PATENTSCOPE.</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13</w:t>
            </w:r>
          </w:p>
        </w:tc>
      </w:tr>
      <w:tr w:rsidR="00A80F8D" w:rsidRPr="00C75C7E" w:rsidTr="008F4F69">
        <w:trPr>
          <w:cantSplit/>
          <w:trHeight w:val="44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colecciones nacionales en la Base Mundial de Datos sobre Marcas.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13</w:t>
            </w:r>
          </w:p>
        </w:tc>
      </w:tr>
      <w:tr w:rsidR="00A80F8D" w:rsidRPr="00C75C7E" w:rsidTr="008F4F69">
        <w:trPr>
          <w:cantSplit/>
          <w:trHeight w:val="98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 xml:space="preserve">IV.4. Mejora en la infraestructura técnica y de conocimientos de las oficinas y demás instituciones de P.I. </w:t>
            </w:r>
            <w:r w:rsidR="00177006">
              <w:rPr>
                <w:sz w:val="16"/>
                <w:szCs w:val="16"/>
                <w:lang w:val="es-ES_tradnl"/>
              </w:rPr>
              <w:t>que les permita prestar mejores servicios</w:t>
            </w:r>
            <w:r w:rsidRPr="00C75C7E">
              <w:rPr>
                <w:sz w:val="16"/>
                <w:szCs w:val="16"/>
                <w:lang w:val="es-ES_tradnl"/>
              </w:rPr>
              <w:t xml:space="preserve"> (más económicos, más rápidos y de mejor calidad) a sus partes interesadas.</w:t>
            </w: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gobiernos y OGC que firman acuerdos con la OMPI para reestructurar WIPOCOS.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tc>
      </w:tr>
      <w:tr w:rsidR="00A80F8D" w:rsidRPr="00C75C7E" w:rsidTr="008F4F69">
        <w:trPr>
          <w:cantSplit/>
          <w:trHeight w:val="985"/>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ind w:right="-151"/>
              <w:rPr>
                <w:sz w:val="16"/>
                <w:szCs w:val="16"/>
                <w:lang w:val="es-ES_tradnl"/>
              </w:rPr>
            </w:pPr>
            <w:r w:rsidRPr="00C75C7E">
              <w:rPr>
                <w:sz w:val="16"/>
                <w:szCs w:val="16"/>
                <w:lang w:val="es-ES_tradnl"/>
              </w:rPr>
              <w:t>Porcentaje de gobiernos que informan favorablemente acerca de la eficacia y la gobernanza de las oficinas de derecho de autor y otras instituciones en el país.</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tc>
      </w:tr>
      <w:tr w:rsidR="00A80F8D" w:rsidRPr="00C75C7E" w:rsidTr="008F4F69">
        <w:trPr>
          <w:cantSplit/>
          <w:trHeight w:val="818"/>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OGC de países en desarrollo y PMA que participan en las redes regionales y mundiales facilitadas por la OMPI.</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3</w:t>
            </w:r>
          </w:p>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15</w:t>
            </w:r>
          </w:p>
          <w:p w:rsidR="00A80F8D" w:rsidRPr="00C75C7E" w:rsidRDefault="00A80F8D" w:rsidP="008F4F69">
            <w:pPr>
              <w:widowControl w:val="0"/>
              <w:ind w:left="660"/>
              <w:rPr>
                <w:sz w:val="16"/>
                <w:szCs w:val="16"/>
                <w:lang w:val="es-ES_tradnl" w:bidi="th-TH"/>
              </w:rPr>
            </w:pPr>
          </w:p>
        </w:tc>
      </w:tr>
      <w:tr w:rsidR="00A80F8D" w:rsidRPr="00C75C7E" w:rsidTr="008F4F69">
        <w:trPr>
          <w:cantSplit/>
          <w:trHeight w:val="404"/>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Número de oficinas que utilizan las plataformas de infraestructura de la OMPI.</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15</w:t>
            </w:r>
          </w:p>
        </w:tc>
      </w:tr>
      <w:tr w:rsidR="00A80F8D" w:rsidRPr="00C75C7E" w:rsidTr="008F4F69">
        <w:trPr>
          <w:cantSplit/>
          <w:trHeight w:val="527"/>
        </w:trPr>
        <w:tc>
          <w:tcPr>
            <w:tcW w:w="1891" w:type="pct"/>
            <w:shd w:val="clear" w:color="auto" w:fill="auto"/>
            <w:tcMar>
              <w:top w:w="113" w:type="dxa"/>
              <w:bottom w:w="85" w:type="dxa"/>
            </w:tcMar>
          </w:tcPr>
          <w:p w:rsidR="00A80F8D" w:rsidRPr="00C75C7E" w:rsidRDefault="00A80F8D" w:rsidP="008F4F69">
            <w:pPr>
              <w:widowControl w:val="0"/>
              <w:rPr>
                <w:sz w:val="16"/>
                <w:szCs w:val="16"/>
                <w:lang w:val="es-ES_tradnl"/>
              </w:rPr>
            </w:pPr>
          </w:p>
        </w:tc>
        <w:tc>
          <w:tcPr>
            <w:tcW w:w="1464" w:type="pct"/>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Media del nivel de los servicios prestados por las Oficinas de P.I. que reciben asistencia (en una escala del 1 al 5).</w:t>
            </w:r>
          </w:p>
        </w:tc>
        <w:tc>
          <w:tcPr>
            <w:tcW w:w="1645" w:type="pct"/>
            <w:shd w:val="clear" w:color="auto" w:fill="FFFFFF"/>
            <w:tcMar>
              <w:top w:w="113" w:type="dxa"/>
              <w:bottom w:w="85" w:type="dxa"/>
            </w:tcMar>
          </w:tcPr>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9</w:t>
            </w:r>
          </w:p>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10</w:t>
            </w:r>
          </w:p>
          <w:p w:rsidR="00A80F8D" w:rsidRPr="00C75C7E" w:rsidRDefault="00A80F8D" w:rsidP="008F4F69">
            <w:pPr>
              <w:widowControl w:val="0"/>
              <w:ind w:left="660"/>
              <w:rPr>
                <w:sz w:val="16"/>
                <w:szCs w:val="16"/>
                <w:lang w:val="es-ES_tradnl" w:bidi="th-TH"/>
              </w:rPr>
            </w:pPr>
            <w:r w:rsidRPr="00C75C7E">
              <w:rPr>
                <w:sz w:val="16"/>
                <w:szCs w:val="16"/>
                <w:lang w:val="es-ES_tradnl" w:bidi="th-TH"/>
              </w:rPr>
              <w:t>Programa  15</w:t>
            </w:r>
          </w:p>
        </w:tc>
      </w:tr>
    </w:tbl>
    <w:p w:rsidR="00A80F8D" w:rsidRPr="00C75C7E" w:rsidRDefault="00A80F8D" w:rsidP="00A80F8D">
      <w:pPr>
        <w:widowControl w:val="0"/>
        <w:rPr>
          <w:sz w:val="20"/>
          <w:lang w:val="es-ES_tradnl"/>
        </w:rPr>
      </w:pPr>
    </w:p>
    <w:p w:rsidR="002E7DC3" w:rsidRPr="00400B23" w:rsidRDefault="00A80F8D" w:rsidP="00400B23">
      <w:pPr>
        <w:pStyle w:val="Heading3"/>
        <w:tabs>
          <w:tab w:val="left" w:pos="1985"/>
        </w:tabs>
        <w:ind w:left="1985" w:hanging="1985"/>
        <w:rPr>
          <w:b/>
          <w:iCs/>
          <w:caps/>
          <w:u w:val="none"/>
        </w:rPr>
      </w:pPr>
      <w:r w:rsidRPr="00C75C7E">
        <w:rPr>
          <w:sz w:val="24"/>
          <w:lang w:val="es-ES_tradnl"/>
        </w:rPr>
        <w:br w:type="page"/>
      </w:r>
      <w:bookmarkStart w:id="53" w:name="_Toc366078726"/>
      <w:bookmarkStart w:id="54" w:name="_Toc356567762"/>
      <w:r w:rsidR="006A15F5" w:rsidRPr="00400B23">
        <w:rPr>
          <w:b/>
          <w:iCs/>
          <w:u w:val="none"/>
        </w:rPr>
        <w:lastRenderedPageBreak/>
        <w:t>PROGRAMA 12</w:t>
      </w:r>
      <w:r w:rsidR="006A15F5" w:rsidRPr="00400B23">
        <w:rPr>
          <w:b/>
          <w:iCs/>
          <w:u w:val="none"/>
        </w:rPr>
        <w:tab/>
        <w:t>CLASIFICACIONES INTERNACIONALES Y NORMAS TÉCNICAS</w:t>
      </w:r>
      <w:bookmarkEnd w:id="53"/>
    </w:p>
    <w:bookmarkEnd w:id="54"/>
    <w:p w:rsidR="002E7DC3" w:rsidRPr="00F039C2" w:rsidRDefault="002E7DC3" w:rsidP="006A15F5"/>
    <w:p w:rsidR="002E7DC3" w:rsidRPr="00F039C2" w:rsidRDefault="002E7DC3" w:rsidP="006A15F5">
      <w:pPr>
        <w:rPr>
          <w:b/>
        </w:rPr>
      </w:pPr>
    </w:p>
    <w:p w:rsidR="002E7DC3" w:rsidRPr="00F039C2" w:rsidRDefault="002E7DC3" w:rsidP="002E7DC3">
      <w:pPr>
        <w:pStyle w:val="BodyTextIndent"/>
        <w:widowControl w:val="0"/>
        <w:ind w:left="1985" w:hanging="1985"/>
        <w:jc w:val="both"/>
        <w:rPr>
          <w:rFonts w:ascii="Arial" w:hAnsi="Arial" w:cs="Arial"/>
          <w:sz w:val="22"/>
          <w:szCs w:val="22"/>
          <w:lang w:val="es-ES"/>
        </w:rPr>
      </w:pPr>
      <w:r w:rsidRPr="00F039C2">
        <w:rPr>
          <w:rFonts w:ascii="Arial" w:hAnsi="Arial" w:cs="Arial"/>
          <w:sz w:val="22"/>
          <w:szCs w:val="22"/>
          <w:lang w:val="es-ES"/>
        </w:rPr>
        <w:t xml:space="preserve">CONTEXTO DE PLANIFICACIÓN </w:t>
      </w:r>
    </w:p>
    <w:p w:rsidR="002E7DC3" w:rsidRPr="00F039C2" w:rsidRDefault="002E7DC3" w:rsidP="002E7DC3">
      <w:pPr>
        <w:widowControl w:val="0"/>
        <w:rPr>
          <w:sz w:val="20"/>
        </w:rPr>
      </w:pPr>
    </w:p>
    <w:p w:rsidR="002E7DC3" w:rsidRPr="00BC4FF4" w:rsidRDefault="002E7DC3" w:rsidP="00BA276E">
      <w:pPr>
        <w:pStyle w:val="Body1"/>
        <w:widowControl w:val="0"/>
        <w:numPr>
          <w:ilvl w:val="0"/>
          <w:numId w:val="34"/>
        </w:numPr>
        <w:jc w:val="both"/>
        <w:rPr>
          <w:rFonts w:ascii="Arial" w:hAnsi="Arial" w:cs="Arial"/>
          <w:color w:val="auto"/>
          <w:sz w:val="20"/>
          <w:szCs w:val="16"/>
          <w:lang w:val="es-ES"/>
        </w:rPr>
      </w:pPr>
      <w:r w:rsidRPr="00F039C2">
        <w:rPr>
          <w:rFonts w:ascii="Arial" w:hAnsi="Arial" w:cs="Arial"/>
          <w:sz w:val="20"/>
          <w:szCs w:val="16"/>
          <w:lang w:val="es-ES"/>
        </w:rPr>
        <w:t xml:space="preserve">La infraestructura mundial de sistemas de P.I. precisa cada vez más de plataformas y bases de datos interconectadas y compatibles entre sí.  Las clasificaciones internacionales y las normas técnicas constituyen herramientas e instrumentos esenciales que permiten conectar distintas oficinas de P.I. que </w:t>
      </w:r>
      <w:r>
        <w:rPr>
          <w:rFonts w:ascii="Arial" w:hAnsi="Arial" w:cs="Arial"/>
          <w:sz w:val="20"/>
          <w:szCs w:val="16"/>
          <w:lang w:val="es-ES"/>
        </w:rPr>
        <w:t xml:space="preserve">utilizan </w:t>
      </w:r>
      <w:r w:rsidRPr="00F039C2">
        <w:rPr>
          <w:rFonts w:ascii="Arial" w:hAnsi="Arial" w:cs="Arial"/>
          <w:sz w:val="20"/>
          <w:szCs w:val="16"/>
          <w:lang w:val="es-ES"/>
        </w:rPr>
        <w:t xml:space="preserve">distintos sistemas e idiomas y hacen posible el flujo de datos compartiendo plataformas y bases de datos comunes. </w:t>
      </w:r>
      <w:r>
        <w:rPr>
          <w:rFonts w:ascii="Arial" w:hAnsi="Arial" w:cs="Arial"/>
          <w:sz w:val="20"/>
          <w:szCs w:val="16"/>
          <w:lang w:val="es-ES"/>
        </w:rPr>
        <w:t xml:space="preserve"> </w:t>
      </w:r>
      <w:r w:rsidRPr="00BC4FF4">
        <w:rPr>
          <w:rFonts w:ascii="Arial" w:hAnsi="Arial" w:cs="Arial"/>
          <w:color w:val="auto"/>
          <w:sz w:val="20"/>
          <w:szCs w:val="16"/>
          <w:lang w:val="es-ES"/>
        </w:rPr>
        <w:t>Dados los constantes cambios que se producen en las tecnologías, las soluciones operativas y los acuerdos de colaboración entre las oficinas de P.I., también es necesario que las clasificaciones internacionales y las normas técnicas se act</w:t>
      </w:r>
      <w:r w:rsidR="00425E19">
        <w:rPr>
          <w:rFonts w:ascii="Arial" w:hAnsi="Arial" w:cs="Arial"/>
          <w:color w:val="auto"/>
          <w:sz w:val="20"/>
          <w:szCs w:val="16"/>
          <w:lang w:val="es-ES"/>
        </w:rPr>
        <w:t>ualicen y se revisen de manera continua</w:t>
      </w:r>
      <w:r w:rsidRPr="00BC4FF4">
        <w:rPr>
          <w:rFonts w:ascii="Arial" w:hAnsi="Arial" w:cs="Arial"/>
          <w:color w:val="auto"/>
          <w:sz w:val="20"/>
          <w:szCs w:val="16"/>
          <w:lang w:val="es-ES"/>
        </w:rPr>
        <w:t xml:space="preserve">.  </w:t>
      </w:r>
    </w:p>
    <w:p w:rsidR="002E7DC3" w:rsidRPr="00F039C2" w:rsidRDefault="002E7DC3" w:rsidP="002E7DC3">
      <w:pPr>
        <w:pStyle w:val="Body1"/>
        <w:widowControl w:val="0"/>
        <w:jc w:val="both"/>
        <w:rPr>
          <w:rFonts w:ascii="Arial" w:hAnsi="Arial" w:cs="Arial"/>
          <w:sz w:val="20"/>
          <w:szCs w:val="16"/>
          <w:lang w:val="es-ES"/>
        </w:rPr>
      </w:pPr>
    </w:p>
    <w:p w:rsidR="002E7DC3" w:rsidRPr="00BC4FF4" w:rsidRDefault="002E7DC3" w:rsidP="00BA276E">
      <w:pPr>
        <w:pStyle w:val="Body1"/>
        <w:widowControl w:val="0"/>
        <w:numPr>
          <w:ilvl w:val="0"/>
          <w:numId w:val="34"/>
        </w:numPr>
        <w:jc w:val="both"/>
        <w:rPr>
          <w:rFonts w:ascii="Arial" w:hAnsi="Arial" w:cs="Arial"/>
          <w:color w:val="auto"/>
          <w:sz w:val="20"/>
          <w:lang w:val="es-ES"/>
        </w:rPr>
      </w:pPr>
      <w:r w:rsidRPr="00BC4FF4">
        <w:rPr>
          <w:rFonts w:ascii="Arial" w:hAnsi="Arial" w:cs="Arial"/>
          <w:color w:val="auto"/>
          <w:sz w:val="20"/>
          <w:szCs w:val="16"/>
          <w:lang w:val="es-ES"/>
        </w:rPr>
        <w:t xml:space="preserve">En ese contexto, la OMPI tiene como objetivo proporcionar a los Estados miembros el sistema más actualizado y aceptado mundialmente de clasificaciones internacionales y normas técnicas de la Organización para facilitar el acceso, el uso y la difusión de información sobre P.I. entre las distintas partes interesadas de todo el mundo. </w:t>
      </w:r>
      <w:r w:rsidR="005731F4">
        <w:rPr>
          <w:rFonts w:ascii="Arial" w:hAnsi="Arial" w:cs="Arial"/>
          <w:color w:val="auto"/>
          <w:sz w:val="20"/>
          <w:szCs w:val="16"/>
          <w:lang w:val="es-ES"/>
        </w:rPr>
        <w:t xml:space="preserve"> A este respecto, las actividades de este programa tienen una vinculación directa con las recomendaciones 30 y 31 de la Agenda para el Desarrollo.</w:t>
      </w:r>
    </w:p>
    <w:p w:rsidR="002E7DC3" w:rsidRPr="00F039C2" w:rsidRDefault="002E7DC3" w:rsidP="002E7DC3">
      <w:pPr>
        <w:pStyle w:val="Body1"/>
        <w:widowControl w:val="0"/>
        <w:jc w:val="both"/>
        <w:rPr>
          <w:rFonts w:ascii="Arial" w:hAnsi="Arial" w:cs="Arial"/>
          <w:sz w:val="20"/>
          <w:lang w:val="es-ES"/>
        </w:rPr>
      </w:pPr>
    </w:p>
    <w:p w:rsidR="002E7DC3" w:rsidRPr="00F039C2" w:rsidRDefault="002E7DC3" w:rsidP="002E7DC3">
      <w:pPr>
        <w:pStyle w:val="Body1"/>
        <w:widowControl w:val="0"/>
        <w:jc w:val="both"/>
        <w:rPr>
          <w:rFonts w:ascii="Arial" w:hAnsi="Arial" w:cs="Arial"/>
          <w:sz w:val="20"/>
          <w:lang w:val="es-ES"/>
        </w:rPr>
      </w:pPr>
    </w:p>
    <w:p w:rsidR="002E7DC3" w:rsidRPr="00F039C2" w:rsidRDefault="002E7DC3" w:rsidP="002E7DC3">
      <w:pPr>
        <w:pStyle w:val="Body1"/>
        <w:widowControl w:val="0"/>
        <w:jc w:val="both"/>
        <w:rPr>
          <w:rFonts w:ascii="Arial" w:hAnsi="Arial" w:cs="Arial"/>
          <w:sz w:val="20"/>
          <w:lang w:val="es-ES"/>
        </w:rPr>
      </w:pPr>
      <w:r w:rsidRPr="00F039C2">
        <w:rPr>
          <w:rFonts w:ascii="Arial" w:hAnsi="Arial" w:cs="Arial"/>
          <w:sz w:val="22"/>
          <w:szCs w:val="22"/>
          <w:lang w:val="es-ES"/>
        </w:rPr>
        <w:t xml:space="preserve">ESTRATEGIAS DE EJECUCIÓN </w:t>
      </w:r>
    </w:p>
    <w:p w:rsidR="002E7DC3" w:rsidRPr="00F039C2" w:rsidRDefault="002E7DC3" w:rsidP="002E7DC3">
      <w:pPr>
        <w:pStyle w:val="Body1"/>
        <w:widowControl w:val="0"/>
        <w:jc w:val="both"/>
        <w:rPr>
          <w:rFonts w:ascii="Arial" w:hAnsi="Arial" w:cs="Arial"/>
          <w:sz w:val="20"/>
          <w:lang w:val="es-ES"/>
        </w:rPr>
      </w:pPr>
    </w:p>
    <w:p w:rsidR="002E7DC3" w:rsidRPr="00BC4FF4" w:rsidRDefault="002E7DC3" w:rsidP="00BA276E">
      <w:pPr>
        <w:pStyle w:val="Body1"/>
        <w:widowControl w:val="0"/>
        <w:numPr>
          <w:ilvl w:val="0"/>
          <w:numId w:val="34"/>
        </w:numPr>
        <w:autoSpaceDE w:val="0"/>
        <w:autoSpaceDN w:val="0"/>
        <w:adjustRightInd w:val="0"/>
        <w:jc w:val="both"/>
        <w:rPr>
          <w:rFonts w:ascii="Arial" w:hAnsi="Arial" w:cs="Arial"/>
          <w:sz w:val="20"/>
          <w:lang w:val="es-ES" w:eastAsia="es-ES"/>
        </w:rPr>
      </w:pPr>
      <w:r w:rsidRPr="00BC4FF4">
        <w:rPr>
          <w:rFonts w:ascii="Arial" w:hAnsi="Arial" w:cs="Arial"/>
          <w:sz w:val="20"/>
          <w:lang w:val="es-ES" w:eastAsia="es-ES"/>
        </w:rPr>
        <w:t xml:space="preserve">En el bienio 2014/15 las estrategias se centrarán en seguir mejorando y desarrollando las clasificaciones internacionales y las normas técnicas de la OMPI haciendo un amplio uso de los foros electrónicos y de las reuniones de los Comités pertinentes. </w:t>
      </w:r>
      <w:r>
        <w:rPr>
          <w:rFonts w:ascii="Arial" w:hAnsi="Arial" w:cs="Arial"/>
          <w:sz w:val="20"/>
          <w:lang w:val="es-ES" w:eastAsia="es-ES"/>
        </w:rPr>
        <w:t xml:space="preserve"> </w:t>
      </w:r>
      <w:r w:rsidRPr="00BC4FF4">
        <w:rPr>
          <w:rFonts w:ascii="Arial" w:hAnsi="Arial" w:cs="Arial"/>
          <w:sz w:val="20"/>
          <w:lang w:val="es-ES" w:eastAsia="es-ES"/>
        </w:rPr>
        <w:t>Además, se proporcionará formación en función de la demanda para facilitar la utilización de las clasificaciones y las normas técnicas, especialmente en los países en desarrollo y los PMA.</w:t>
      </w:r>
    </w:p>
    <w:p w:rsidR="002E7DC3" w:rsidRPr="00F039C2" w:rsidRDefault="002E7DC3" w:rsidP="002E7DC3">
      <w:pPr>
        <w:autoSpaceDE w:val="0"/>
        <w:autoSpaceDN w:val="0"/>
        <w:adjustRightInd w:val="0"/>
        <w:rPr>
          <w:sz w:val="20"/>
          <w:lang w:eastAsia="es-ES"/>
        </w:rPr>
      </w:pPr>
    </w:p>
    <w:p w:rsidR="002E7DC3" w:rsidRPr="00F039C2" w:rsidRDefault="002E7DC3" w:rsidP="002E7DC3">
      <w:pPr>
        <w:pStyle w:val="Body1"/>
        <w:widowControl w:val="0"/>
        <w:jc w:val="both"/>
        <w:rPr>
          <w:rFonts w:ascii="Arial" w:hAnsi="Arial" w:cs="Arial"/>
          <w:color w:val="auto"/>
          <w:sz w:val="20"/>
          <w:u w:val="single"/>
          <w:lang w:val="es-ES"/>
        </w:rPr>
      </w:pPr>
      <w:r w:rsidRPr="00F039C2">
        <w:rPr>
          <w:rFonts w:ascii="Arial" w:hAnsi="Arial" w:cs="Arial"/>
          <w:color w:val="auto"/>
          <w:sz w:val="20"/>
          <w:u w:val="single"/>
          <w:lang w:val="es-ES"/>
        </w:rPr>
        <w:t>CIP (Clasificación Internacional de Patentes</w:t>
      </w:r>
      <w:r>
        <w:rPr>
          <w:rFonts w:ascii="Arial" w:hAnsi="Arial" w:cs="Arial"/>
          <w:color w:val="auto"/>
          <w:sz w:val="20"/>
          <w:u w:val="single"/>
          <w:lang w:val="es-ES"/>
        </w:rPr>
        <w:t>)</w:t>
      </w:r>
    </w:p>
    <w:p w:rsidR="002E7DC3" w:rsidRPr="00F039C2" w:rsidRDefault="002E7DC3" w:rsidP="002E7DC3">
      <w:pPr>
        <w:pStyle w:val="Body1"/>
        <w:widowControl w:val="0"/>
        <w:jc w:val="both"/>
        <w:rPr>
          <w:rFonts w:ascii="Arial" w:hAnsi="Arial" w:cs="Arial"/>
          <w:color w:val="auto"/>
          <w:sz w:val="20"/>
          <w:lang w:val="es-ES"/>
        </w:rPr>
      </w:pPr>
    </w:p>
    <w:p w:rsidR="002E7DC3" w:rsidRPr="00CA3895" w:rsidRDefault="002E7DC3" w:rsidP="00BA276E">
      <w:pPr>
        <w:pStyle w:val="Body1"/>
        <w:widowControl w:val="0"/>
        <w:numPr>
          <w:ilvl w:val="0"/>
          <w:numId w:val="34"/>
        </w:numPr>
        <w:jc w:val="both"/>
        <w:rPr>
          <w:rFonts w:ascii="Arial" w:hAnsi="Arial" w:cs="Arial"/>
          <w:color w:val="auto"/>
          <w:sz w:val="20"/>
          <w:lang w:val="es-ES"/>
        </w:rPr>
      </w:pPr>
      <w:r w:rsidRPr="00F039C2">
        <w:rPr>
          <w:rFonts w:ascii="Arial" w:hAnsi="Arial" w:cs="Arial"/>
          <w:color w:val="auto"/>
          <w:sz w:val="20"/>
          <w:lang w:val="es-ES"/>
        </w:rPr>
        <w:t xml:space="preserve">Se seguirán </w:t>
      </w:r>
      <w:r>
        <w:rPr>
          <w:rFonts w:ascii="Arial" w:hAnsi="Arial" w:cs="Arial"/>
          <w:color w:val="auto"/>
          <w:sz w:val="20"/>
          <w:lang w:val="es-ES"/>
        </w:rPr>
        <w:t xml:space="preserve">introduciendo </w:t>
      </w:r>
      <w:r w:rsidRPr="00F039C2">
        <w:rPr>
          <w:rFonts w:ascii="Arial" w:hAnsi="Arial" w:cs="Arial"/>
          <w:color w:val="auto"/>
          <w:sz w:val="20"/>
          <w:lang w:val="es-ES"/>
        </w:rPr>
        <w:t xml:space="preserve">mejoras en la CIP en el marco de la </w:t>
      </w:r>
      <w:r w:rsidRPr="00407484">
        <w:rPr>
          <w:rFonts w:ascii="Arial" w:hAnsi="Arial" w:cs="Arial"/>
          <w:color w:val="auto"/>
          <w:sz w:val="20"/>
          <w:lang w:val="es-ES"/>
        </w:rPr>
        <w:t>hoja de ruta de la revisión</w:t>
      </w:r>
      <w:r w:rsidRPr="00F039C2">
        <w:rPr>
          <w:rFonts w:ascii="Arial" w:hAnsi="Arial" w:cs="Arial"/>
          <w:color w:val="auto"/>
          <w:sz w:val="20"/>
          <w:lang w:val="es-ES"/>
        </w:rPr>
        <w:t xml:space="preserve"> de la CIP, adoptada por el Comité de Expertos de la CIP en 2013.  La hoja de ruta tiene por objeto </w:t>
      </w:r>
      <w:r>
        <w:rPr>
          <w:rFonts w:ascii="Arial" w:hAnsi="Arial" w:cs="Arial"/>
          <w:color w:val="auto"/>
          <w:sz w:val="20"/>
          <w:lang w:val="es-ES"/>
        </w:rPr>
        <w:t xml:space="preserve">potenciar </w:t>
      </w:r>
      <w:r w:rsidRPr="00F039C2">
        <w:rPr>
          <w:rFonts w:ascii="Arial" w:hAnsi="Arial" w:cs="Arial"/>
          <w:color w:val="auto"/>
          <w:sz w:val="20"/>
          <w:lang w:val="es-ES"/>
        </w:rPr>
        <w:t xml:space="preserve">la CIP en los ámbitos técnicos </w:t>
      </w:r>
      <w:r>
        <w:rPr>
          <w:rFonts w:ascii="Arial" w:hAnsi="Arial" w:cs="Arial"/>
          <w:color w:val="auto"/>
          <w:sz w:val="20"/>
          <w:lang w:val="es-ES"/>
        </w:rPr>
        <w:t xml:space="preserve">en los que </w:t>
      </w:r>
      <w:r w:rsidRPr="00F039C2">
        <w:rPr>
          <w:rFonts w:ascii="Arial" w:hAnsi="Arial" w:cs="Arial"/>
          <w:color w:val="auto"/>
          <w:sz w:val="20"/>
          <w:lang w:val="es-ES"/>
        </w:rPr>
        <w:t xml:space="preserve">se presenta una gran cantidad de solicitudes de patente, y con </w:t>
      </w:r>
      <w:r w:rsidRPr="009D1851">
        <w:rPr>
          <w:rFonts w:ascii="Arial" w:hAnsi="Arial" w:cs="Arial"/>
          <w:color w:val="auto"/>
          <w:sz w:val="20"/>
          <w:lang w:val="es-ES"/>
        </w:rPr>
        <w:t>un índice de crecimiento que va en aumento</w:t>
      </w:r>
      <w:r w:rsidRPr="00F039C2">
        <w:rPr>
          <w:rFonts w:ascii="Arial" w:hAnsi="Arial" w:cs="Arial"/>
          <w:color w:val="auto"/>
          <w:sz w:val="20"/>
          <w:lang w:val="es-ES"/>
        </w:rPr>
        <w:t xml:space="preserve">, en los países emergentes.  Bajo los auspicios del Comité de Expertos, la OMPI supervisará de cerca y facilitará la ejecución del plan y formará a los funcionarios de las oficinas de P.I. a fin de que haya una participación más amplia en la ejecución.  Además, se introducirán cambios necesarios en el sistema de </w:t>
      </w:r>
      <w:r>
        <w:rPr>
          <w:rFonts w:ascii="Arial" w:hAnsi="Arial" w:cs="Arial"/>
          <w:color w:val="auto"/>
          <w:sz w:val="20"/>
          <w:lang w:val="es-ES"/>
        </w:rPr>
        <w:t xml:space="preserve">la </w:t>
      </w:r>
      <w:r w:rsidRPr="00F039C2">
        <w:rPr>
          <w:rFonts w:ascii="Arial" w:hAnsi="Arial" w:cs="Arial"/>
          <w:color w:val="auto"/>
          <w:sz w:val="20"/>
          <w:lang w:val="es-ES"/>
        </w:rPr>
        <w:t xml:space="preserve">CIP en apoyo de una </w:t>
      </w:r>
      <w:r w:rsidRPr="00CA3895">
        <w:rPr>
          <w:rFonts w:ascii="Arial" w:hAnsi="Arial" w:cs="Arial"/>
          <w:color w:val="auto"/>
          <w:sz w:val="20"/>
          <w:lang w:val="es-ES"/>
        </w:rPr>
        <w:t>ejecución más eficiente de la hoja de ruta durante el período de transición, que culminará en 2016.</w:t>
      </w:r>
    </w:p>
    <w:p w:rsidR="002E7DC3" w:rsidRPr="00CA3895" w:rsidRDefault="002E7DC3" w:rsidP="002E7DC3">
      <w:pPr>
        <w:pStyle w:val="Body1"/>
        <w:widowControl w:val="0"/>
        <w:jc w:val="both"/>
        <w:rPr>
          <w:rFonts w:ascii="Arial" w:hAnsi="Arial" w:cs="Arial"/>
          <w:color w:val="auto"/>
          <w:sz w:val="20"/>
          <w:lang w:val="es-ES"/>
        </w:rPr>
      </w:pPr>
    </w:p>
    <w:p w:rsidR="002E7DC3" w:rsidRPr="00CA3895" w:rsidRDefault="002E7DC3" w:rsidP="002E7DC3">
      <w:pPr>
        <w:pStyle w:val="Body1"/>
        <w:widowControl w:val="0"/>
        <w:jc w:val="both"/>
        <w:rPr>
          <w:rFonts w:ascii="Arial" w:hAnsi="Arial" w:cs="Arial"/>
          <w:color w:val="auto"/>
          <w:sz w:val="20"/>
          <w:u w:val="single"/>
          <w:lang w:val="es-ES"/>
        </w:rPr>
      </w:pPr>
      <w:r w:rsidRPr="00CA3895">
        <w:rPr>
          <w:rFonts w:ascii="Arial" w:hAnsi="Arial" w:cs="Arial"/>
          <w:color w:val="auto"/>
          <w:sz w:val="20"/>
          <w:u w:val="single"/>
          <w:lang w:val="es-ES"/>
        </w:rPr>
        <w:t xml:space="preserve">Clasificación de Niza (lista de productos y servicios para el registro de marcas) </w:t>
      </w:r>
    </w:p>
    <w:p w:rsidR="002E7DC3" w:rsidRPr="00CA3895" w:rsidRDefault="002E7DC3" w:rsidP="002E7DC3">
      <w:pPr>
        <w:pStyle w:val="Body1"/>
        <w:widowControl w:val="0"/>
        <w:jc w:val="both"/>
        <w:rPr>
          <w:rFonts w:ascii="Arial" w:hAnsi="Arial" w:cs="Arial"/>
          <w:color w:val="auto"/>
          <w:sz w:val="20"/>
          <w:lang w:val="es-ES"/>
        </w:rPr>
      </w:pPr>
    </w:p>
    <w:p w:rsidR="002E7DC3" w:rsidRPr="00F039C2" w:rsidRDefault="002E7DC3" w:rsidP="00BA276E">
      <w:pPr>
        <w:widowControl w:val="0"/>
        <w:numPr>
          <w:ilvl w:val="0"/>
          <w:numId w:val="34"/>
        </w:numPr>
        <w:autoSpaceDE w:val="0"/>
        <w:autoSpaceDN w:val="0"/>
        <w:adjustRightInd w:val="0"/>
        <w:jc w:val="both"/>
        <w:rPr>
          <w:rFonts w:eastAsia="MS Mincho"/>
          <w:sz w:val="20"/>
          <w:lang w:eastAsia="ja-JP"/>
        </w:rPr>
      </w:pPr>
      <w:r w:rsidRPr="00F039C2">
        <w:rPr>
          <w:rFonts w:eastAsia="MS Mincho"/>
          <w:sz w:val="20"/>
          <w:lang w:eastAsia="ja-JP"/>
        </w:rPr>
        <w:t>A raíz de los satisfactorios resultados de la primera modernización de la Clasificación de Niza</w:t>
      </w:r>
      <w:r>
        <w:rPr>
          <w:rFonts w:eastAsia="MS Mincho"/>
          <w:sz w:val="20"/>
          <w:lang w:eastAsia="ja-JP"/>
        </w:rPr>
        <w:t xml:space="preserve">, </w:t>
      </w:r>
      <w:r w:rsidRPr="00F039C2">
        <w:rPr>
          <w:rFonts w:eastAsia="MS Mincho"/>
          <w:sz w:val="20"/>
          <w:lang w:eastAsia="ja-JP"/>
        </w:rPr>
        <w:t xml:space="preserve">realizada en 2013, que incluye </w:t>
      </w:r>
      <w:r>
        <w:rPr>
          <w:rFonts w:eastAsia="MS Mincho"/>
          <w:sz w:val="20"/>
          <w:lang w:eastAsia="ja-JP"/>
        </w:rPr>
        <w:t xml:space="preserve">elementos </w:t>
      </w:r>
      <w:r w:rsidRPr="00F039C2">
        <w:rPr>
          <w:rFonts w:eastAsia="MS Mincho"/>
          <w:sz w:val="20"/>
          <w:lang w:eastAsia="ja-JP"/>
        </w:rPr>
        <w:t>como un proceso de revisión acelerado, la publicación anual de la clasificación actualizada y una nueva plataforma tecnológica para la publicación que integra una taxonomía y definiciones de productos y servicios, la OMPI se adentrará en la segunda etapa de la modernización en 2014/15.  Se prestará atención en particular a la mejora continua de la plataforma, mediante</w:t>
      </w:r>
      <w:r w:rsidR="005731F4">
        <w:rPr>
          <w:rFonts w:eastAsia="MS Mincho"/>
          <w:sz w:val="20"/>
          <w:lang w:eastAsia="ja-JP"/>
        </w:rPr>
        <w:t xml:space="preserve"> la incorporación de otras versiones lingüísticas, como la española que se preparará en cooperación con las oficinas interesadas,</w:t>
      </w:r>
      <w:r w:rsidRPr="00F039C2">
        <w:rPr>
          <w:rFonts w:eastAsia="MS Mincho"/>
          <w:sz w:val="20"/>
          <w:lang w:eastAsia="ja-JP"/>
        </w:rPr>
        <w:t xml:space="preserve"> la creación de un enlace con la Base Mundial de Datos sobre Marcas y la inclusión de más archivos de información, </w:t>
      </w:r>
      <w:r>
        <w:rPr>
          <w:rFonts w:eastAsia="MS Mincho"/>
          <w:sz w:val="20"/>
          <w:lang w:eastAsia="ja-JP"/>
        </w:rPr>
        <w:t xml:space="preserve">además de </w:t>
      </w:r>
      <w:r w:rsidRPr="00F039C2">
        <w:rPr>
          <w:rFonts w:eastAsia="MS Mincho"/>
          <w:sz w:val="20"/>
          <w:lang w:eastAsia="ja-JP"/>
        </w:rPr>
        <w:t>la automatización de procedimientos, como un nuevo método de captación de datos para incorporar las propuestas de revisión en la Clasificación.</w:t>
      </w:r>
    </w:p>
    <w:p w:rsidR="002E7DC3" w:rsidRPr="00F039C2" w:rsidRDefault="002E7DC3" w:rsidP="002E7DC3">
      <w:pPr>
        <w:widowControl w:val="0"/>
        <w:autoSpaceDE w:val="0"/>
        <w:autoSpaceDN w:val="0"/>
        <w:adjustRightInd w:val="0"/>
        <w:jc w:val="both"/>
        <w:rPr>
          <w:rFonts w:eastAsia="MS Mincho"/>
          <w:sz w:val="20"/>
          <w:lang w:eastAsia="ja-JP"/>
        </w:rPr>
      </w:pPr>
    </w:p>
    <w:p w:rsidR="002E7DC3" w:rsidRPr="00F039C2" w:rsidRDefault="002E7DC3" w:rsidP="002E7DC3">
      <w:pPr>
        <w:pStyle w:val="Body1"/>
        <w:widowControl w:val="0"/>
        <w:spacing w:after="240"/>
        <w:jc w:val="both"/>
        <w:rPr>
          <w:rFonts w:ascii="Arial" w:hAnsi="Arial" w:cs="Arial"/>
          <w:color w:val="auto"/>
          <w:sz w:val="20"/>
          <w:u w:val="single"/>
          <w:lang w:val="es-ES"/>
        </w:rPr>
      </w:pPr>
      <w:r w:rsidRPr="00F039C2">
        <w:rPr>
          <w:rFonts w:ascii="Arial" w:hAnsi="Arial" w:cs="Arial"/>
          <w:color w:val="auto"/>
          <w:sz w:val="20"/>
          <w:u w:val="single"/>
          <w:lang w:val="es-ES"/>
        </w:rPr>
        <w:t xml:space="preserve">Clasificación de Viena (elementos figurativos de las marcas) </w:t>
      </w:r>
      <w:r>
        <w:rPr>
          <w:rFonts w:ascii="Arial" w:hAnsi="Arial" w:cs="Arial"/>
          <w:color w:val="auto"/>
          <w:sz w:val="20"/>
          <w:u w:val="single"/>
          <w:lang w:val="es-ES"/>
        </w:rPr>
        <w:t xml:space="preserve">y </w:t>
      </w:r>
      <w:r w:rsidRPr="00F039C2">
        <w:rPr>
          <w:rFonts w:ascii="Arial" w:hAnsi="Arial" w:cs="Arial"/>
          <w:color w:val="auto"/>
          <w:sz w:val="20"/>
          <w:u w:val="single"/>
          <w:lang w:val="es-ES"/>
        </w:rPr>
        <w:t xml:space="preserve">Clasificación de </w:t>
      </w:r>
      <w:proofErr w:type="spellStart"/>
      <w:r w:rsidRPr="00F039C2">
        <w:rPr>
          <w:rFonts w:ascii="Arial" w:hAnsi="Arial" w:cs="Arial"/>
          <w:color w:val="auto"/>
          <w:sz w:val="20"/>
          <w:u w:val="single"/>
          <w:lang w:val="es-ES"/>
        </w:rPr>
        <w:t>Locarno</w:t>
      </w:r>
      <w:proofErr w:type="spellEnd"/>
      <w:r w:rsidRPr="00F039C2">
        <w:rPr>
          <w:rFonts w:ascii="Arial" w:hAnsi="Arial" w:cs="Arial"/>
          <w:color w:val="auto"/>
          <w:sz w:val="20"/>
          <w:u w:val="single"/>
          <w:lang w:val="es-ES"/>
        </w:rPr>
        <w:t xml:space="preserve"> (dibujos y modelos industriales)</w:t>
      </w:r>
    </w:p>
    <w:p w:rsidR="002E7DC3" w:rsidRPr="00F039C2" w:rsidRDefault="002E7DC3" w:rsidP="00BA276E">
      <w:pPr>
        <w:pStyle w:val="Body1"/>
        <w:widowControl w:val="0"/>
        <w:numPr>
          <w:ilvl w:val="0"/>
          <w:numId w:val="34"/>
        </w:numPr>
        <w:jc w:val="both"/>
        <w:rPr>
          <w:rFonts w:ascii="Arial" w:hAnsi="Arial" w:cs="Arial"/>
          <w:color w:val="auto"/>
          <w:sz w:val="20"/>
          <w:lang w:val="es-ES"/>
        </w:rPr>
      </w:pPr>
      <w:r w:rsidRPr="00F039C2">
        <w:rPr>
          <w:rFonts w:ascii="Arial" w:hAnsi="Arial" w:cs="Arial"/>
          <w:color w:val="auto"/>
          <w:sz w:val="20"/>
          <w:lang w:val="es-ES"/>
        </w:rPr>
        <w:t xml:space="preserve">Se introducirán nuevas plataformas de publicación para las Clasificaciones de Viena y de </w:t>
      </w:r>
      <w:proofErr w:type="spellStart"/>
      <w:r w:rsidRPr="00F039C2">
        <w:rPr>
          <w:rFonts w:ascii="Arial" w:hAnsi="Arial" w:cs="Arial"/>
          <w:color w:val="auto"/>
          <w:sz w:val="20"/>
          <w:lang w:val="es-ES"/>
        </w:rPr>
        <w:t>Locarno</w:t>
      </w:r>
      <w:proofErr w:type="spellEnd"/>
      <w:r w:rsidRPr="00F039C2">
        <w:rPr>
          <w:rFonts w:ascii="Arial" w:hAnsi="Arial" w:cs="Arial"/>
          <w:color w:val="auto"/>
          <w:sz w:val="20"/>
          <w:lang w:val="es-ES"/>
        </w:rPr>
        <w:t xml:space="preserve">, que tomarán como ejemplo la Clasificación de Niza.  La integración de un esquema de indización de aspectos visuales en la Clasificación de </w:t>
      </w:r>
      <w:proofErr w:type="spellStart"/>
      <w:r w:rsidRPr="00F039C2">
        <w:rPr>
          <w:rFonts w:ascii="Arial" w:hAnsi="Arial" w:cs="Arial"/>
          <w:color w:val="auto"/>
          <w:sz w:val="20"/>
          <w:lang w:val="es-ES"/>
        </w:rPr>
        <w:t>Locarno</w:t>
      </w:r>
      <w:proofErr w:type="spellEnd"/>
      <w:r w:rsidRPr="00F039C2">
        <w:rPr>
          <w:rFonts w:ascii="Arial" w:hAnsi="Arial" w:cs="Arial"/>
          <w:color w:val="auto"/>
          <w:sz w:val="20"/>
          <w:lang w:val="es-ES"/>
        </w:rPr>
        <w:t xml:space="preserve"> se ha retrasado debido a la falta de consenso y apoyo de las Oficinas.  Tras el interés renovado de algunos Estados miembros, la OMPI respaldará las nuevas iniciativas para elaborar dicho esquema de indización durante el próximo bienio.</w:t>
      </w:r>
    </w:p>
    <w:p w:rsidR="002E7DC3" w:rsidRPr="00F039C2" w:rsidRDefault="002E7DC3" w:rsidP="002E7DC3">
      <w:pPr>
        <w:pStyle w:val="Body1"/>
        <w:widowControl w:val="0"/>
        <w:jc w:val="both"/>
        <w:rPr>
          <w:rFonts w:ascii="Arial" w:hAnsi="Arial" w:cs="Arial"/>
          <w:color w:val="auto"/>
          <w:sz w:val="20"/>
          <w:lang w:val="es-ES"/>
        </w:rPr>
      </w:pPr>
    </w:p>
    <w:p w:rsidR="002E7DC3" w:rsidRPr="00263762" w:rsidRDefault="002E7DC3" w:rsidP="00400B23">
      <w:pPr>
        <w:pStyle w:val="Body1"/>
        <w:keepNext/>
        <w:widowControl w:val="0"/>
        <w:jc w:val="both"/>
        <w:rPr>
          <w:rFonts w:ascii="Arial" w:hAnsi="Arial" w:cs="Arial"/>
          <w:color w:val="auto"/>
          <w:sz w:val="20"/>
          <w:u w:val="single"/>
          <w:lang w:val="es-ES"/>
        </w:rPr>
      </w:pPr>
      <w:r w:rsidRPr="00263762">
        <w:rPr>
          <w:rFonts w:ascii="Arial" w:hAnsi="Arial" w:cs="Arial"/>
          <w:color w:val="auto"/>
          <w:sz w:val="20"/>
          <w:u w:val="single"/>
          <w:lang w:val="es-ES"/>
        </w:rPr>
        <w:t>Normas técnicas de la OMPI</w:t>
      </w:r>
    </w:p>
    <w:p w:rsidR="002E7DC3" w:rsidRPr="00263762" w:rsidRDefault="002E7DC3" w:rsidP="002E7DC3">
      <w:pPr>
        <w:pStyle w:val="Body1"/>
        <w:widowControl w:val="0"/>
        <w:jc w:val="both"/>
        <w:rPr>
          <w:rFonts w:ascii="Arial" w:hAnsi="Arial" w:cs="Arial"/>
          <w:color w:val="auto"/>
          <w:sz w:val="20"/>
          <w:lang w:val="es-ES"/>
        </w:rPr>
      </w:pPr>
    </w:p>
    <w:p w:rsidR="002E7DC3" w:rsidRPr="00263762" w:rsidRDefault="002E7DC3" w:rsidP="00BA276E">
      <w:pPr>
        <w:pStyle w:val="Body1"/>
        <w:widowControl w:val="0"/>
        <w:numPr>
          <w:ilvl w:val="0"/>
          <w:numId w:val="34"/>
        </w:numPr>
        <w:jc w:val="both"/>
        <w:rPr>
          <w:rFonts w:ascii="Arial" w:hAnsi="Arial" w:cs="Arial"/>
          <w:color w:val="auto"/>
          <w:sz w:val="20"/>
          <w:lang w:val="es-ES" w:eastAsia="es-ES"/>
        </w:rPr>
      </w:pPr>
      <w:r w:rsidRPr="00263762">
        <w:rPr>
          <w:rFonts w:ascii="Arial" w:hAnsi="Arial" w:cs="Arial"/>
          <w:color w:val="auto"/>
          <w:sz w:val="20"/>
          <w:lang w:val="es-ES" w:eastAsia="es-ES"/>
        </w:rPr>
        <w:t xml:space="preserve">Mediante la elaboración de nuevas normas técnicas de la OMPI o la revisión de las existentes se sentarán las bases de la transmisión, el intercambio y la difusión de información y documentación en materia de P.I.  La revisión de las normas técnicas existentes incluirá la actualización de las normas sobre XML (a fin de disponer de un formato digital de datos estructurado más adecuadamente),  mientras que la elaboración de nuevas normas técnicas abordará la presentación de listas de secuencias de nucleótidos y aminoácidos, el intercambio de información sobre la situación jurídica de las patentes y de datos sobre nuevos tipos de marcas.  Ello exigirá una estrecha colaboración con los programas 5 (Sistema del PCT) y 6 (Sistemas de Madrid y de Lisboa).  El uso de la nueva base de datos y plataforma de publicación, WIPOSTAD, contribuirá a seguir </w:t>
      </w:r>
      <w:r>
        <w:rPr>
          <w:rFonts w:ascii="Arial" w:hAnsi="Arial" w:cs="Arial"/>
          <w:color w:val="auto"/>
          <w:sz w:val="20"/>
          <w:lang w:val="es-ES" w:eastAsia="es-ES"/>
        </w:rPr>
        <w:t xml:space="preserve">mejorando </w:t>
      </w:r>
      <w:r w:rsidRPr="00263762">
        <w:rPr>
          <w:rFonts w:ascii="Arial" w:hAnsi="Arial" w:cs="Arial"/>
          <w:color w:val="auto"/>
          <w:sz w:val="20"/>
          <w:lang w:val="es-ES" w:eastAsia="es-ES"/>
        </w:rPr>
        <w:t xml:space="preserve">la labor de elaboración y revisión de normas técnicas, recomendaciones y directrices de la OMPI, y </w:t>
      </w:r>
      <w:r>
        <w:rPr>
          <w:rFonts w:ascii="Arial" w:hAnsi="Arial" w:cs="Arial"/>
          <w:color w:val="auto"/>
          <w:sz w:val="20"/>
          <w:lang w:val="es-ES" w:eastAsia="es-ES"/>
        </w:rPr>
        <w:t xml:space="preserve">de </w:t>
      </w:r>
      <w:r w:rsidRPr="00263762">
        <w:rPr>
          <w:rFonts w:ascii="Arial" w:hAnsi="Arial" w:cs="Arial"/>
          <w:color w:val="auto"/>
          <w:sz w:val="20"/>
          <w:lang w:val="es-ES" w:eastAsia="es-ES"/>
        </w:rPr>
        <w:t xml:space="preserve"> intercambio de datos entre las oficinas en relación con las prácticas imperantes en el ámbito de la información sobre P.I.</w:t>
      </w:r>
    </w:p>
    <w:p w:rsidR="002E7DC3" w:rsidRPr="00263762" w:rsidRDefault="002E7DC3" w:rsidP="002E7DC3">
      <w:pPr>
        <w:pStyle w:val="Body1"/>
        <w:widowControl w:val="0"/>
        <w:jc w:val="both"/>
        <w:rPr>
          <w:rFonts w:ascii="Arial" w:hAnsi="Arial" w:cs="Arial"/>
          <w:color w:val="auto"/>
          <w:sz w:val="20"/>
          <w:lang w:val="es-ES"/>
        </w:rPr>
      </w:pPr>
    </w:p>
    <w:p w:rsidR="002E7DC3" w:rsidRPr="00263762" w:rsidRDefault="002E7DC3" w:rsidP="002E7DC3">
      <w:pPr>
        <w:pStyle w:val="Body1"/>
        <w:widowControl w:val="0"/>
        <w:jc w:val="both"/>
        <w:rPr>
          <w:rFonts w:ascii="Arial" w:hAnsi="Arial" w:cs="Arial"/>
          <w:color w:val="auto"/>
          <w:sz w:val="20"/>
          <w:u w:val="single"/>
          <w:lang w:val="es-ES"/>
        </w:rPr>
      </w:pPr>
      <w:r w:rsidRPr="00263762">
        <w:rPr>
          <w:rFonts w:ascii="Arial" w:hAnsi="Arial" w:cs="Arial"/>
          <w:color w:val="auto"/>
          <w:sz w:val="20"/>
          <w:u w:val="single"/>
          <w:lang w:val="es-ES"/>
        </w:rPr>
        <w:t xml:space="preserve">Sistemas de TIC para las clasificaciones internacionales y las normas técnicas </w:t>
      </w:r>
    </w:p>
    <w:p w:rsidR="002E7DC3" w:rsidRPr="00263762" w:rsidRDefault="002E7DC3" w:rsidP="002E7DC3">
      <w:pPr>
        <w:pStyle w:val="Body1"/>
        <w:widowControl w:val="0"/>
        <w:jc w:val="both"/>
        <w:rPr>
          <w:rFonts w:ascii="Arial" w:hAnsi="Arial" w:cs="Arial"/>
          <w:color w:val="auto"/>
          <w:sz w:val="20"/>
          <w:lang w:val="es-ES"/>
        </w:rPr>
      </w:pPr>
    </w:p>
    <w:p w:rsidR="002E7DC3" w:rsidRPr="00263762" w:rsidRDefault="002E7DC3" w:rsidP="00BA276E">
      <w:pPr>
        <w:pStyle w:val="Body1"/>
        <w:widowControl w:val="0"/>
        <w:numPr>
          <w:ilvl w:val="0"/>
          <w:numId w:val="34"/>
        </w:numPr>
        <w:autoSpaceDE w:val="0"/>
        <w:autoSpaceDN w:val="0"/>
        <w:adjustRightInd w:val="0"/>
        <w:jc w:val="both"/>
        <w:rPr>
          <w:rFonts w:ascii="Arial" w:hAnsi="Arial" w:cs="Arial"/>
          <w:color w:val="auto"/>
          <w:sz w:val="20"/>
          <w:lang w:val="es-ES" w:eastAsia="es-ES"/>
        </w:rPr>
      </w:pPr>
      <w:r w:rsidRPr="00263762">
        <w:rPr>
          <w:rFonts w:ascii="Arial" w:hAnsi="Arial" w:cs="Arial"/>
          <w:color w:val="auto"/>
          <w:sz w:val="20"/>
          <w:lang w:val="es-ES"/>
        </w:rPr>
        <w:t xml:space="preserve">Se renovarán y consolidarán los sistemas de TIC que sirven para administrar las clasificaciones internacionales y normas técnicas.  Es necesario modernizar y seguir perfeccionando el sistema de gestión de la CIP a fin de posibilitar una mayor participación de las oficinas en el proceso de revisión.  Ello contribuirá a un aumento en el número de grupos de la Clasificación, como se prevé en la hoja de ruta de la revisión de la </w:t>
      </w:r>
      <w:r w:rsidR="008921D7">
        <w:rPr>
          <w:rFonts w:ascii="Arial" w:hAnsi="Arial" w:cs="Arial"/>
          <w:color w:val="auto"/>
          <w:sz w:val="20"/>
          <w:lang w:val="es-ES"/>
        </w:rPr>
        <w:t>CIP</w:t>
      </w:r>
      <w:r w:rsidRPr="00263762">
        <w:rPr>
          <w:rFonts w:ascii="Arial" w:hAnsi="Arial" w:cs="Arial"/>
          <w:color w:val="auto"/>
          <w:sz w:val="20"/>
          <w:lang w:val="es-ES"/>
        </w:rPr>
        <w:t xml:space="preserve">.  </w:t>
      </w:r>
      <w:r w:rsidRPr="00263762">
        <w:rPr>
          <w:rFonts w:ascii="Arial" w:hAnsi="Arial" w:cs="Arial"/>
          <w:color w:val="auto"/>
          <w:sz w:val="20"/>
          <w:lang w:val="es-ES" w:eastAsia="es-ES"/>
        </w:rPr>
        <w:t xml:space="preserve">Se elaborará una nueva base de datos de revisión para la Clasificación de Niza a fin de que la Oficina Internacional ejerza el control absoluto de la revisión y publicación de dicha Clasificación.  Se aprovecharán al máximo las sinergias que se produzcan en relación con la revisión de la CIP y la infraestructura de publicación a fin de ahorrar costos y tiempo. </w:t>
      </w:r>
      <w:r>
        <w:rPr>
          <w:rFonts w:ascii="Arial" w:hAnsi="Arial" w:cs="Arial"/>
          <w:color w:val="auto"/>
          <w:sz w:val="20"/>
          <w:lang w:val="es-ES" w:eastAsia="es-ES"/>
        </w:rPr>
        <w:t xml:space="preserve"> </w:t>
      </w:r>
      <w:r w:rsidRPr="00263762">
        <w:rPr>
          <w:rFonts w:ascii="Arial" w:hAnsi="Arial" w:cs="Arial"/>
          <w:color w:val="auto"/>
          <w:sz w:val="20"/>
          <w:lang w:val="es-ES" w:eastAsia="es-ES"/>
        </w:rPr>
        <w:t>Se seguirán potenciando los foros electrónicos para facilitar la toma de decisiones sobre cuestiones ordinarias y la introducción de datos mundiales por parte de las oficinas, reduciendo de esa manera la necesidad de volver a capturar los datos.  Además, a fin de facilitar la integración de los datos se mejorará el sistema WIPOSTAD, que de ese modo pasará a ser la única plataforma de publicación para las normas técnicas y las encuestas.</w:t>
      </w:r>
    </w:p>
    <w:p w:rsidR="002E7DC3" w:rsidRPr="00263762" w:rsidRDefault="002E7DC3" w:rsidP="002E7DC3">
      <w:pPr>
        <w:pStyle w:val="Body1"/>
        <w:widowControl w:val="0"/>
        <w:jc w:val="both"/>
        <w:rPr>
          <w:rFonts w:ascii="Arial" w:hAnsi="Arial" w:cs="Arial"/>
          <w:color w:val="auto"/>
          <w:sz w:val="20"/>
          <w:lang w:val="es-ES"/>
        </w:rPr>
      </w:pPr>
    </w:p>
    <w:p w:rsidR="002E7DC3" w:rsidRPr="002E7DC3" w:rsidRDefault="002E7DC3" w:rsidP="00A80F8D">
      <w:pPr>
        <w:pStyle w:val="Body1"/>
        <w:widowControl w:val="0"/>
        <w:jc w:val="both"/>
        <w:rPr>
          <w:rFonts w:ascii="Arial" w:hAnsi="Arial" w:cs="Arial"/>
          <w:color w:val="auto"/>
          <w:sz w:val="22"/>
          <w:szCs w:val="22"/>
          <w:lang w:val="es-ES"/>
        </w:rPr>
      </w:pPr>
    </w:p>
    <w:p w:rsidR="00A80F8D" w:rsidRPr="00C75C7E" w:rsidRDefault="00A80F8D" w:rsidP="00A80F8D">
      <w:pPr>
        <w:pStyle w:val="Body1"/>
        <w:widowControl w:val="0"/>
        <w:jc w:val="both"/>
        <w:rPr>
          <w:rFonts w:ascii="Arial" w:eastAsia="Times New Roman" w:hAnsi="Arial" w:cs="Arial"/>
          <w:color w:val="auto"/>
          <w:sz w:val="20"/>
          <w:lang w:val="es-ES_tradnl" w:bidi="x-none"/>
        </w:rPr>
      </w:pPr>
      <w:r w:rsidRPr="00C75C7E">
        <w:rPr>
          <w:rFonts w:ascii="Arial" w:hAnsi="Arial" w:cs="Arial"/>
          <w:color w:val="auto"/>
          <w:sz w:val="22"/>
          <w:szCs w:val="22"/>
          <w:lang w:val="es-ES_tradnl"/>
        </w:rPr>
        <w:t>PRINCIPALES RIESGOS Y ESTRATEGIAS DE MITIGACIÓN</w:t>
      </w:r>
    </w:p>
    <w:p w:rsidR="00A80F8D" w:rsidRPr="00C75C7E" w:rsidRDefault="00A80F8D" w:rsidP="00A80F8D">
      <w:pPr>
        <w:pStyle w:val="Body1"/>
        <w:widowControl w:val="0"/>
        <w:rPr>
          <w:rFonts w:ascii="Arial" w:hAnsi="Arial" w:cs="Arial"/>
          <w:color w:val="auto"/>
          <w:sz w:val="20"/>
          <w:lang w:val="es-ES_tradnl"/>
        </w:rPr>
      </w:pPr>
    </w:p>
    <w:tbl>
      <w:tblPr>
        <w:tblW w:w="9425"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24"/>
        <w:gridCol w:w="4801"/>
      </w:tblGrid>
      <w:tr w:rsidR="00A80F8D" w:rsidRPr="00C75C7E" w:rsidTr="005731F4">
        <w:trPr>
          <w:trHeight w:val="709"/>
        </w:trPr>
        <w:tc>
          <w:tcPr>
            <w:tcW w:w="4624" w:type="dxa"/>
            <w:tcBorders>
              <w:top w:val="single" w:sz="4" w:space="0" w:color="auto"/>
              <w:bottom w:val="single" w:sz="4" w:space="0" w:color="auto"/>
            </w:tcBorders>
            <w:shd w:val="clear" w:color="auto" w:fill="CCFFFF"/>
            <w:vAlign w:val="center"/>
          </w:tcPr>
          <w:p w:rsidR="00A80F8D" w:rsidRPr="00C75C7E" w:rsidRDefault="00A80F8D"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Riesgos en el logro de los resultados del programa</w:t>
            </w:r>
          </w:p>
        </w:tc>
        <w:tc>
          <w:tcPr>
            <w:tcW w:w="4801" w:type="dxa"/>
            <w:tcBorders>
              <w:top w:val="single" w:sz="4" w:space="0" w:color="auto"/>
              <w:bottom w:val="single" w:sz="4" w:space="0" w:color="auto"/>
            </w:tcBorders>
            <w:shd w:val="clear" w:color="auto" w:fill="CCFFFF"/>
            <w:vAlign w:val="center"/>
          </w:tcPr>
          <w:p w:rsidR="00A80F8D" w:rsidRPr="00C75C7E" w:rsidRDefault="00A80F8D"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 xml:space="preserve">Planes de mitigación ejecutados o en ejecución </w:t>
            </w:r>
          </w:p>
        </w:tc>
      </w:tr>
      <w:tr w:rsidR="00A80F8D" w:rsidRPr="00C75C7E" w:rsidTr="005731F4">
        <w:trPr>
          <w:trHeight w:val="799"/>
        </w:trPr>
        <w:tc>
          <w:tcPr>
            <w:tcW w:w="4624" w:type="dxa"/>
            <w:tcBorders>
              <w:top w:val="single" w:sz="4" w:space="0" w:color="auto"/>
            </w:tcBorders>
            <w:shd w:val="clear" w:color="auto" w:fill="auto"/>
            <w:tcMar>
              <w:top w:w="113" w:type="dxa"/>
            </w:tcMar>
          </w:tcPr>
          <w:p w:rsidR="00A80F8D" w:rsidRPr="00C75C7E" w:rsidRDefault="005731F4" w:rsidP="005731F4">
            <w:pPr>
              <w:widowControl w:val="0"/>
              <w:autoSpaceDE w:val="0"/>
              <w:autoSpaceDN w:val="0"/>
              <w:adjustRightInd w:val="0"/>
              <w:ind w:right="-59"/>
              <w:rPr>
                <w:rFonts w:eastAsia="Arial Unicode MS"/>
                <w:sz w:val="16"/>
                <w:szCs w:val="16"/>
                <w:lang w:val="es-ES_tradnl"/>
              </w:rPr>
            </w:pPr>
            <w:r>
              <w:rPr>
                <w:rFonts w:eastAsia="Arial Unicode MS"/>
                <w:sz w:val="16"/>
                <w:szCs w:val="16"/>
              </w:rPr>
              <w:t>Las d</w:t>
            </w:r>
            <w:proofErr w:type="spellStart"/>
            <w:r w:rsidRPr="00C75C7E">
              <w:rPr>
                <w:rFonts w:eastAsia="Arial Unicode MS"/>
                <w:sz w:val="16"/>
                <w:szCs w:val="16"/>
                <w:lang w:val="es-ES_tradnl"/>
              </w:rPr>
              <w:t>iferencias</w:t>
            </w:r>
            <w:proofErr w:type="spellEnd"/>
            <w:r w:rsidRPr="00C75C7E">
              <w:rPr>
                <w:rFonts w:eastAsia="Arial Unicode MS"/>
                <w:sz w:val="16"/>
                <w:szCs w:val="16"/>
                <w:lang w:val="es-ES_tradnl"/>
              </w:rPr>
              <w:t xml:space="preserve"> </w:t>
            </w:r>
            <w:r w:rsidR="00A80F8D" w:rsidRPr="00C75C7E">
              <w:rPr>
                <w:rFonts w:eastAsia="Arial Unicode MS"/>
                <w:sz w:val="16"/>
                <w:szCs w:val="16"/>
                <w:lang w:val="es-ES_tradnl"/>
              </w:rPr>
              <w:t xml:space="preserve">entre los grupos de países </w:t>
            </w:r>
            <w:r>
              <w:rPr>
                <w:rFonts w:eastAsia="Arial Unicode MS"/>
                <w:sz w:val="16"/>
                <w:szCs w:val="16"/>
                <w:lang w:val="es-ES_tradnl"/>
              </w:rPr>
              <w:t>traen aparejada una limitación d</w:t>
            </w:r>
            <w:r w:rsidR="00A80F8D" w:rsidRPr="00C75C7E">
              <w:rPr>
                <w:rFonts w:eastAsia="Arial Unicode MS"/>
                <w:sz w:val="16"/>
                <w:szCs w:val="16"/>
                <w:lang w:val="es-ES_tradnl"/>
              </w:rPr>
              <w:t xml:space="preserve">el desarrollo técnico de las normas </w:t>
            </w:r>
            <w:r>
              <w:rPr>
                <w:rFonts w:eastAsia="Arial Unicode MS"/>
                <w:sz w:val="16"/>
                <w:szCs w:val="16"/>
                <w:lang w:val="es-ES_tradnl"/>
              </w:rPr>
              <w:t xml:space="preserve">técnicas </w:t>
            </w:r>
            <w:r w:rsidR="00A80F8D" w:rsidRPr="00C75C7E">
              <w:rPr>
                <w:rFonts w:eastAsia="Arial Unicode MS"/>
                <w:sz w:val="16"/>
                <w:szCs w:val="16"/>
                <w:lang w:val="es-ES_tradnl"/>
              </w:rPr>
              <w:t xml:space="preserve">y clasificaciones. </w:t>
            </w:r>
          </w:p>
        </w:tc>
        <w:tc>
          <w:tcPr>
            <w:tcW w:w="4801" w:type="dxa"/>
            <w:tcBorders>
              <w:top w:val="single" w:sz="4" w:space="0" w:color="auto"/>
            </w:tcBorders>
            <w:shd w:val="clear" w:color="auto" w:fill="auto"/>
            <w:tcMar>
              <w:top w:w="113" w:type="dxa"/>
            </w:tcMar>
          </w:tcPr>
          <w:p w:rsidR="00A80F8D" w:rsidRPr="00C75C7E" w:rsidRDefault="00A80F8D" w:rsidP="005731F4">
            <w:pPr>
              <w:widowControl w:val="0"/>
              <w:autoSpaceDE w:val="0"/>
              <w:autoSpaceDN w:val="0"/>
              <w:adjustRightInd w:val="0"/>
              <w:ind w:right="-59"/>
              <w:rPr>
                <w:rFonts w:eastAsia="Arial Unicode MS"/>
                <w:sz w:val="16"/>
                <w:szCs w:val="16"/>
                <w:lang w:val="es-ES_tradnl"/>
              </w:rPr>
            </w:pPr>
            <w:r w:rsidRPr="00C75C7E">
              <w:rPr>
                <w:rFonts w:eastAsia="Arial Unicode MS"/>
                <w:sz w:val="16"/>
                <w:szCs w:val="16"/>
                <w:lang w:val="es-ES_tradnl"/>
              </w:rPr>
              <w:t>Examen y solución de las cuestiones al margen de los comités</w:t>
            </w:r>
            <w:r w:rsidR="005731F4">
              <w:rPr>
                <w:rFonts w:eastAsia="Arial Unicode MS"/>
                <w:sz w:val="16"/>
                <w:szCs w:val="16"/>
                <w:lang w:val="es-ES_tradnl"/>
              </w:rPr>
              <w:t xml:space="preserve">. </w:t>
            </w:r>
            <w:r w:rsidRPr="00C75C7E">
              <w:rPr>
                <w:rFonts w:eastAsia="Arial Unicode MS"/>
                <w:sz w:val="16"/>
                <w:szCs w:val="16"/>
                <w:lang w:val="es-ES_tradnl"/>
              </w:rPr>
              <w:t xml:space="preserve"> </w:t>
            </w:r>
            <w:r w:rsidR="005731F4">
              <w:rPr>
                <w:rFonts w:eastAsia="Arial Unicode MS"/>
                <w:sz w:val="16"/>
                <w:szCs w:val="16"/>
                <w:lang w:val="es-ES_tradnl"/>
              </w:rPr>
              <w:t>F</w:t>
            </w:r>
            <w:r w:rsidRPr="00C75C7E">
              <w:rPr>
                <w:rFonts w:eastAsia="Arial Unicode MS"/>
                <w:sz w:val="16"/>
                <w:szCs w:val="16"/>
                <w:lang w:val="es-ES_tradnl"/>
              </w:rPr>
              <w:t xml:space="preserve">ortalecimiento de los debates técnicos en el seno de estos. </w:t>
            </w:r>
            <w:r w:rsidR="005731F4">
              <w:rPr>
                <w:rFonts w:eastAsia="Arial Unicode MS"/>
                <w:sz w:val="16"/>
                <w:szCs w:val="16"/>
                <w:lang w:val="es-ES_tradnl"/>
              </w:rPr>
              <w:t xml:space="preserve"> </w:t>
            </w:r>
            <w:r w:rsidRPr="00C75C7E">
              <w:rPr>
                <w:rFonts w:eastAsia="Arial Unicode MS"/>
                <w:sz w:val="16"/>
                <w:szCs w:val="16"/>
                <w:lang w:val="es-ES_tradnl"/>
              </w:rPr>
              <w:t xml:space="preserve">Supervisión de la aplicación de los planes a largo plazo. </w:t>
            </w:r>
          </w:p>
        </w:tc>
      </w:tr>
    </w:tbl>
    <w:p w:rsidR="00A80F8D" w:rsidRPr="00C75C7E" w:rsidRDefault="00A80F8D" w:rsidP="00A80F8D">
      <w:pPr>
        <w:pStyle w:val="Body1"/>
        <w:widowControl w:val="0"/>
        <w:rPr>
          <w:rFonts w:ascii="Arial" w:hAnsi="Arial" w:cs="Arial"/>
          <w:color w:val="auto"/>
          <w:sz w:val="20"/>
          <w:lang w:val="es-ES_tradnl"/>
        </w:rPr>
      </w:pPr>
    </w:p>
    <w:p w:rsidR="00A80F8D" w:rsidRPr="00C75C7E" w:rsidRDefault="00A80F8D" w:rsidP="00A80F8D">
      <w:pPr>
        <w:widowControl w:val="0"/>
        <w:rPr>
          <w:sz w:val="20"/>
          <w:lang w:val="es-ES_tradnl"/>
        </w:rPr>
      </w:pPr>
    </w:p>
    <w:p w:rsidR="00A80F8D" w:rsidRPr="00C75C7E" w:rsidRDefault="00A80F8D" w:rsidP="00A80F8D">
      <w:pPr>
        <w:widowControl w:val="0"/>
        <w:tabs>
          <w:tab w:val="left" w:pos="567"/>
          <w:tab w:val="left" w:pos="1985"/>
        </w:tabs>
        <w:jc w:val="both"/>
        <w:rPr>
          <w:bCs/>
          <w:sz w:val="20"/>
          <w:lang w:val="es-ES_tradnl"/>
        </w:rPr>
      </w:pPr>
      <w:r w:rsidRPr="00C75C7E">
        <w:rPr>
          <w:bCs/>
          <w:szCs w:val="22"/>
          <w:lang w:val="es-ES_tradnl"/>
        </w:rPr>
        <w:t>MARCO DE RESULTADOS</w:t>
      </w:r>
    </w:p>
    <w:p w:rsidR="00A80F8D" w:rsidRPr="00C75C7E" w:rsidRDefault="00A80F8D" w:rsidP="00A80F8D">
      <w:pPr>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49"/>
        <w:gridCol w:w="2848"/>
        <w:gridCol w:w="2175"/>
        <w:gridCol w:w="2034"/>
      </w:tblGrid>
      <w:tr w:rsidR="00A80F8D" w:rsidRPr="00C75C7E" w:rsidTr="005731F4">
        <w:trPr>
          <w:cantSplit/>
          <w:trHeight w:val="429"/>
          <w:tblHeader/>
        </w:trPr>
        <w:tc>
          <w:tcPr>
            <w:tcW w:w="1249" w:type="pct"/>
            <w:tcBorders>
              <w:top w:val="single" w:sz="4" w:space="0" w:color="auto"/>
              <w:bottom w:val="single" w:sz="4" w:space="0" w:color="auto"/>
            </w:tcBorders>
            <w:shd w:val="clear" w:color="auto" w:fill="CCFFFF"/>
            <w:vAlign w:val="center"/>
          </w:tcPr>
          <w:p w:rsidR="00A80F8D" w:rsidRPr="00C75C7E" w:rsidRDefault="00A80F8D"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0" w:type="dxa"/>
            </w:tcMar>
            <w:vAlign w:val="center"/>
          </w:tcPr>
          <w:p w:rsidR="00A80F8D" w:rsidRPr="00C75C7E" w:rsidRDefault="00A80F8D" w:rsidP="008F4F69">
            <w:pPr>
              <w:widowControl w:val="0"/>
              <w:spacing w:after="120"/>
              <w:jc w:val="center"/>
              <w:rPr>
                <w:b/>
                <w:sz w:val="18"/>
                <w:szCs w:val="18"/>
                <w:lang w:val="es-ES_tradnl"/>
              </w:rPr>
            </w:pPr>
            <w:r w:rsidRPr="00C75C7E">
              <w:rPr>
                <w:b/>
                <w:sz w:val="18"/>
                <w:szCs w:val="18"/>
                <w:lang w:val="es-ES_tradnl"/>
              </w:rPr>
              <w:t>Indicadores de rendimiento</w:t>
            </w:r>
          </w:p>
        </w:tc>
        <w:tc>
          <w:tcPr>
            <w:tcW w:w="1156" w:type="pct"/>
            <w:tcBorders>
              <w:top w:val="single" w:sz="4" w:space="0" w:color="auto"/>
              <w:bottom w:val="single" w:sz="4" w:space="0" w:color="auto"/>
            </w:tcBorders>
            <w:shd w:val="clear" w:color="auto" w:fill="CCFFFF"/>
            <w:tcMar>
              <w:top w:w="110" w:type="dxa"/>
            </w:tcMar>
            <w:vAlign w:val="center"/>
          </w:tcPr>
          <w:p w:rsidR="00A80F8D" w:rsidRPr="00C75C7E" w:rsidRDefault="00A80F8D" w:rsidP="008F4F69">
            <w:pPr>
              <w:widowControl w:val="0"/>
              <w:spacing w:after="120"/>
              <w:ind w:left="85"/>
              <w:jc w:val="center"/>
              <w:rPr>
                <w:sz w:val="18"/>
                <w:szCs w:val="18"/>
                <w:lang w:val="es-ES_tradnl"/>
              </w:rPr>
            </w:pPr>
            <w:r w:rsidRPr="00C75C7E">
              <w:rPr>
                <w:b/>
                <w:bCs/>
                <w:sz w:val="18"/>
                <w:szCs w:val="18"/>
                <w:lang w:val="es-ES_tradnl"/>
              </w:rPr>
              <w:t>Referencia</w:t>
            </w:r>
          </w:p>
        </w:tc>
        <w:tc>
          <w:tcPr>
            <w:tcW w:w="1082" w:type="pct"/>
            <w:tcBorders>
              <w:top w:val="single" w:sz="4" w:space="0" w:color="auto"/>
              <w:bottom w:val="single" w:sz="4" w:space="0" w:color="auto"/>
            </w:tcBorders>
            <w:shd w:val="clear" w:color="auto" w:fill="CCFFFF"/>
            <w:tcMar>
              <w:top w:w="110" w:type="dxa"/>
            </w:tcMar>
            <w:vAlign w:val="center"/>
          </w:tcPr>
          <w:p w:rsidR="00A80F8D" w:rsidRPr="00C75C7E" w:rsidRDefault="00A80F8D" w:rsidP="008F4F69">
            <w:pPr>
              <w:widowControl w:val="0"/>
              <w:tabs>
                <w:tab w:val="left" w:pos="1757"/>
              </w:tabs>
              <w:spacing w:after="120"/>
              <w:ind w:right="1"/>
              <w:jc w:val="center"/>
              <w:rPr>
                <w:b/>
                <w:bCs/>
                <w:sz w:val="18"/>
                <w:szCs w:val="18"/>
                <w:lang w:val="es-ES_tradnl"/>
              </w:rPr>
            </w:pPr>
            <w:r w:rsidRPr="00C75C7E">
              <w:rPr>
                <w:b/>
                <w:bCs/>
                <w:sz w:val="18"/>
                <w:szCs w:val="18"/>
                <w:lang w:val="es-ES_tradnl"/>
              </w:rPr>
              <w:t>Objetivos</w:t>
            </w:r>
          </w:p>
        </w:tc>
      </w:tr>
      <w:tr w:rsidR="00A80F8D" w:rsidRPr="00C75C7E" w:rsidTr="008F4F69">
        <w:trPr>
          <w:cantSplit/>
        </w:trPr>
        <w:tc>
          <w:tcPr>
            <w:tcW w:w="1249" w:type="pct"/>
            <w:tcBorders>
              <w:top w:val="single" w:sz="4" w:space="0" w:color="auto"/>
            </w:tcBorders>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IV.1. Sistema actualizado y aceptado mundialmente de clasificaciones internacionales y normas técnicas de la OMPI para facilitar el acceso, el uso y la difusión de información de P.I. entre las partes interesadas de todo el mundo.</w:t>
            </w:r>
          </w:p>
        </w:tc>
        <w:tc>
          <w:tcPr>
            <w:tcW w:w="1514" w:type="pct"/>
            <w:tcBorders>
              <w:top w:val="single" w:sz="4" w:space="0" w:color="auto"/>
            </w:tcBorders>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Número de modificaciones y ficheros de información introducidos en la Clasificación de Niza.</w:t>
            </w:r>
          </w:p>
        </w:tc>
        <w:tc>
          <w:tcPr>
            <w:tcW w:w="1156" w:type="pct"/>
            <w:tcBorders>
              <w:top w:val="single" w:sz="4" w:space="0" w:color="auto"/>
            </w:tcBorders>
            <w:shd w:val="clear" w:color="auto" w:fill="FFFFFF"/>
            <w:tcMar>
              <w:top w:w="113" w:type="dxa"/>
            </w:tcMar>
          </w:tcPr>
          <w:p w:rsidR="00A80F8D" w:rsidRPr="00C75C7E" w:rsidRDefault="00A80F8D" w:rsidP="008F4F69">
            <w:pPr>
              <w:widowControl w:val="0"/>
              <w:rPr>
                <w:sz w:val="16"/>
                <w:szCs w:val="16"/>
                <w:lang w:val="es-ES_tradnl" w:bidi="th-TH"/>
              </w:rPr>
            </w:pPr>
            <w:r w:rsidRPr="00C75C7E">
              <w:rPr>
                <w:sz w:val="16"/>
                <w:szCs w:val="16"/>
                <w:lang w:val="es-ES_tradnl" w:bidi="th-TH"/>
              </w:rPr>
              <w:t>Número de modificaciones y ficheros de información introducidos en 2013.</w:t>
            </w:r>
          </w:p>
          <w:p w:rsidR="00A80F8D" w:rsidRPr="00C75C7E" w:rsidRDefault="00A80F8D" w:rsidP="008F4F69">
            <w:pPr>
              <w:widowControl w:val="0"/>
              <w:rPr>
                <w:sz w:val="16"/>
                <w:szCs w:val="16"/>
                <w:lang w:val="es-ES_tradnl"/>
              </w:rPr>
            </w:pPr>
          </w:p>
        </w:tc>
        <w:tc>
          <w:tcPr>
            <w:tcW w:w="1082" w:type="pct"/>
            <w:tcBorders>
              <w:top w:val="single" w:sz="4" w:space="0" w:color="auto"/>
            </w:tcBorders>
            <w:shd w:val="clear" w:color="auto" w:fill="auto"/>
            <w:tcMar>
              <w:top w:w="113" w:type="dxa"/>
            </w:tcMar>
          </w:tcPr>
          <w:p w:rsidR="00A80F8D" w:rsidRPr="00C75C7E" w:rsidRDefault="00A80F8D" w:rsidP="008F4F69">
            <w:pPr>
              <w:widowControl w:val="0"/>
              <w:ind w:right="381"/>
              <w:rPr>
                <w:bCs/>
                <w:sz w:val="16"/>
                <w:szCs w:val="16"/>
                <w:lang w:val="es-ES_tradnl"/>
              </w:rPr>
            </w:pPr>
            <w:r w:rsidRPr="00C75C7E">
              <w:rPr>
                <w:bCs/>
                <w:sz w:val="16"/>
                <w:szCs w:val="16"/>
                <w:lang w:val="es-ES_tradnl"/>
              </w:rPr>
              <w:t>Aumento en comparación con la referencia.</w:t>
            </w:r>
          </w:p>
        </w:tc>
      </w:tr>
      <w:tr w:rsidR="00A80F8D" w:rsidRPr="00C75C7E" w:rsidTr="008F4F69">
        <w:trPr>
          <w:cantSplit/>
        </w:trPr>
        <w:tc>
          <w:tcPr>
            <w:tcW w:w="1249" w:type="pct"/>
            <w:shd w:val="clear" w:color="auto" w:fill="auto"/>
            <w:tcMar>
              <w:top w:w="113" w:type="dxa"/>
            </w:tcMar>
          </w:tcPr>
          <w:p w:rsidR="00A80F8D" w:rsidRPr="00C75C7E" w:rsidRDefault="00A80F8D" w:rsidP="008F4F69">
            <w:pPr>
              <w:widowControl w:val="0"/>
              <w:rPr>
                <w:sz w:val="16"/>
                <w:szCs w:val="16"/>
                <w:lang w:val="es-ES_tradnl"/>
              </w:rPr>
            </w:pPr>
          </w:p>
        </w:tc>
        <w:tc>
          <w:tcPr>
            <w:tcW w:w="1514" w:type="pct"/>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Número de nuevas subdivisiones introducidas anualmente en la CIP.</w:t>
            </w:r>
          </w:p>
        </w:tc>
        <w:tc>
          <w:tcPr>
            <w:tcW w:w="1156" w:type="pct"/>
            <w:shd w:val="clear" w:color="auto" w:fill="FFFFFF"/>
            <w:tcMar>
              <w:top w:w="113" w:type="dxa"/>
            </w:tcMar>
          </w:tcPr>
          <w:p w:rsidR="00A80F8D" w:rsidRPr="00C75C7E" w:rsidRDefault="00A80F8D" w:rsidP="008F4F69">
            <w:pPr>
              <w:widowControl w:val="0"/>
              <w:rPr>
                <w:sz w:val="16"/>
                <w:szCs w:val="16"/>
                <w:lang w:val="es-ES_tradnl" w:bidi="th-TH"/>
              </w:rPr>
            </w:pPr>
            <w:r w:rsidRPr="00C75C7E">
              <w:rPr>
                <w:sz w:val="16"/>
                <w:szCs w:val="16"/>
                <w:lang w:val="es-ES_tradnl" w:bidi="th-TH"/>
              </w:rPr>
              <w:t>500 nuevos grupos (media 2009-13).</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rPr>
            </w:pPr>
          </w:p>
        </w:tc>
        <w:tc>
          <w:tcPr>
            <w:tcW w:w="1082" w:type="pct"/>
            <w:shd w:val="clear" w:color="auto" w:fill="auto"/>
            <w:tcMar>
              <w:top w:w="113" w:type="dxa"/>
            </w:tcMar>
          </w:tcPr>
          <w:p w:rsidR="00A80F8D" w:rsidRPr="00C75C7E" w:rsidRDefault="00A80F8D" w:rsidP="008F4F69">
            <w:pPr>
              <w:widowControl w:val="0"/>
              <w:tabs>
                <w:tab w:val="left" w:pos="2051"/>
              </w:tabs>
              <w:ind w:right="381"/>
              <w:rPr>
                <w:bCs/>
                <w:sz w:val="16"/>
                <w:szCs w:val="16"/>
                <w:lang w:val="es-ES_tradnl"/>
              </w:rPr>
            </w:pPr>
            <w:r w:rsidRPr="00C75C7E">
              <w:rPr>
                <w:bCs/>
                <w:sz w:val="16"/>
                <w:szCs w:val="16"/>
                <w:lang w:val="es-ES_tradnl"/>
              </w:rPr>
              <w:t>800 nuevos grupos por año.</w:t>
            </w:r>
          </w:p>
        </w:tc>
      </w:tr>
      <w:tr w:rsidR="00A80F8D" w:rsidRPr="00C75C7E" w:rsidTr="008F4F69">
        <w:trPr>
          <w:cantSplit/>
        </w:trPr>
        <w:tc>
          <w:tcPr>
            <w:tcW w:w="1249" w:type="pct"/>
            <w:shd w:val="clear" w:color="auto" w:fill="auto"/>
            <w:tcMar>
              <w:top w:w="113" w:type="dxa"/>
            </w:tcMar>
          </w:tcPr>
          <w:p w:rsidR="00A80F8D" w:rsidRPr="00C75C7E" w:rsidRDefault="00A80F8D" w:rsidP="008F4F69">
            <w:pPr>
              <w:widowControl w:val="0"/>
              <w:rPr>
                <w:sz w:val="16"/>
                <w:szCs w:val="16"/>
                <w:lang w:val="es-ES_tradnl"/>
              </w:rPr>
            </w:pPr>
          </w:p>
        </w:tc>
        <w:tc>
          <w:tcPr>
            <w:tcW w:w="1514" w:type="pct"/>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Número de normas técnicas modificadas y nuevas normas técnicas adoptadas.</w:t>
            </w:r>
          </w:p>
        </w:tc>
        <w:tc>
          <w:tcPr>
            <w:tcW w:w="1156" w:type="pct"/>
            <w:shd w:val="clear" w:color="auto" w:fill="FFFFFF"/>
            <w:tcMar>
              <w:top w:w="113" w:type="dxa"/>
            </w:tcMar>
          </w:tcPr>
          <w:p w:rsidR="00A80F8D" w:rsidRPr="00C75C7E" w:rsidRDefault="00A80F8D" w:rsidP="008F4F69">
            <w:pPr>
              <w:widowControl w:val="0"/>
              <w:rPr>
                <w:sz w:val="16"/>
                <w:szCs w:val="16"/>
                <w:lang w:val="es-ES_tradnl" w:bidi="th-TH"/>
              </w:rPr>
            </w:pPr>
            <w:r w:rsidRPr="00C75C7E">
              <w:rPr>
                <w:sz w:val="16"/>
                <w:szCs w:val="16"/>
                <w:lang w:val="es-ES_tradnl" w:bidi="th-TH"/>
              </w:rPr>
              <w:t xml:space="preserve">Media </w:t>
            </w:r>
            <w:r w:rsidRPr="002919E0">
              <w:rPr>
                <w:sz w:val="16"/>
                <w:szCs w:val="16"/>
                <w:lang w:val="es-ES_tradnl" w:bidi="th-TH"/>
              </w:rPr>
              <w:t>de 2012/13</w:t>
            </w:r>
            <w:r w:rsidRPr="00C75C7E">
              <w:rPr>
                <w:sz w:val="16"/>
                <w:szCs w:val="16"/>
                <w:lang w:val="es-ES_tradnl" w:bidi="th-TH"/>
              </w:rPr>
              <w:t xml:space="preserve"> </w:t>
            </w:r>
            <w:r w:rsidR="005731F4">
              <w:rPr>
                <w:sz w:val="16"/>
                <w:szCs w:val="16"/>
                <w:lang w:val="es-ES_tradnl" w:bidi="th-TH"/>
              </w:rPr>
              <w:t>(</w:t>
            </w:r>
            <w:r w:rsidRPr="00C75C7E">
              <w:rPr>
                <w:sz w:val="16"/>
                <w:szCs w:val="16"/>
                <w:lang w:val="es-ES_tradnl" w:bidi="th-TH"/>
              </w:rPr>
              <w:t>por determinar</w:t>
            </w:r>
            <w:r w:rsidR="005731F4">
              <w:rPr>
                <w:sz w:val="16"/>
                <w:szCs w:val="16"/>
                <w:lang w:val="es-ES_tradnl" w:bidi="th-TH"/>
              </w:rPr>
              <w:t>)</w:t>
            </w:r>
            <w:r w:rsidRPr="00C75C7E">
              <w:rPr>
                <w:sz w:val="16"/>
                <w:szCs w:val="16"/>
                <w:lang w:val="es-ES_tradnl" w:bidi="th-TH"/>
              </w:rPr>
              <w:t>.</w:t>
            </w:r>
          </w:p>
          <w:p w:rsidR="00A80F8D" w:rsidRPr="00C75C7E" w:rsidRDefault="00A80F8D" w:rsidP="008F4F69">
            <w:pPr>
              <w:widowControl w:val="0"/>
              <w:rPr>
                <w:sz w:val="16"/>
                <w:szCs w:val="16"/>
                <w:lang w:val="es-ES_tradnl"/>
              </w:rPr>
            </w:pPr>
          </w:p>
        </w:tc>
        <w:tc>
          <w:tcPr>
            <w:tcW w:w="1082" w:type="pct"/>
            <w:shd w:val="clear" w:color="auto" w:fill="auto"/>
            <w:tcMar>
              <w:top w:w="113" w:type="dxa"/>
            </w:tcMar>
          </w:tcPr>
          <w:p w:rsidR="00A80F8D" w:rsidRPr="00C75C7E" w:rsidRDefault="00A80F8D" w:rsidP="008F4F69">
            <w:pPr>
              <w:widowControl w:val="0"/>
              <w:ind w:right="51"/>
              <w:rPr>
                <w:bCs/>
                <w:sz w:val="16"/>
                <w:szCs w:val="16"/>
                <w:lang w:val="es-ES_tradnl"/>
              </w:rPr>
            </w:pPr>
            <w:r w:rsidRPr="00C75C7E">
              <w:rPr>
                <w:bCs/>
                <w:sz w:val="16"/>
                <w:szCs w:val="16"/>
                <w:lang w:val="es-ES_tradnl"/>
              </w:rPr>
              <w:t>Aumento en comparación con la referencia.</w:t>
            </w:r>
          </w:p>
        </w:tc>
      </w:tr>
      <w:tr w:rsidR="00A80F8D" w:rsidRPr="00C75C7E" w:rsidTr="008F4F69">
        <w:trPr>
          <w:cantSplit/>
          <w:trHeight w:val="879"/>
        </w:trPr>
        <w:tc>
          <w:tcPr>
            <w:tcW w:w="1249" w:type="pct"/>
            <w:shd w:val="clear" w:color="auto" w:fill="auto"/>
            <w:tcMar>
              <w:top w:w="113" w:type="dxa"/>
            </w:tcMar>
          </w:tcPr>
          <w:p w:rsidR="00A80F8D" w:rsidRPr="00C75C7E" w:rsidRDefault="00A80F8D" w:rsidP="008F4F69">
            <w:pPr>
              <w:widowControl w:val="0"/>
              <w:rPr>
                <w:sz w:val="16"/>
                <w:szCs w:val="16"/>
                <w:lang w:val="es-ES_tradnl"/>
              </w:rPr>
            </w:pPr>
          </w:p>
        </w:tc>
        <w:tc>
          <w:tcPr>
            <w:tcW w:w="1514" w:type="pct"/>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Número de usuarios que acceden a las publicaciones en Internet de las clasificaciones y normas internacionales, especialmente de países en desarrollo.</w:t>
            </w:r>
          </w:p>
        </w:tc>
        <w:tc>
          <w:tcPr>
            <w:tcW w:w="1156" w:type="pct"/>
            <w:shd w:val="clear" w:color="auto" w:fill="FFFFFF"/>
            <w:tcMar>
              <w:top w:w="113" w:type="dxa"/>
            </w:tcMar>
          </w:tcPr>
          <w:p w:rsidR="00A80F8D" w:rsidRPr="00C75C7E" w:rsidRDefault="00A80F8D" w:rsidP="008F4F69">
            <w:pPr>
              <w:widowControl w:val="0"/>
              <w:rPr>
                <w:sz w:val="16"/>
                <w:szCs w:val="16"/>
                <w:lang w:val="es-ES_tradnl" w:bidi="th-TH"/>
              </w:rPr>
            </w:pPr>
            <w:r w:rsidRPr="00C75C7E">
              <w:rPr>
                <w:sz w:val="16"/>
                <w:szCs w:val="16"/>
                <w:lang w:val="es-ES_tradnl" w:bidi="th-TH"/>
              </w:rPr>
              <w:t>Por determinar al final de 2013.</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rPr>
            </w:pPr>
          </w:p>
        </w:tc>
        <w:tc>
          <w:tcPr>
            <w:tcW w:w="1082" w:type="pct"/>
            <w:shd w:val="clear" w:color="auto" w:fill="auto"/>
            <w:tcMar>
              <w:top w:w="113" w:type="dxa"/>
            </w:tcMar>
          </w:tcPr>
          <w:p w:rsidR="00A80F8D" w:rsidRPr="00C75C7E" w:rsidRDefault="00A80F8D" w:rsidP="008F4F69">
            <w:pPr>
              <w:widowControl w:val="0"/>
              <w:ind w:right="161"/>
              <w:rPr>
                <w:bCs/>
                <w:sz w:val="16"/>
                <w:szCs w:val="16"/>
                <w:lang w:val="es-ES_tradnl"/>
              </w:rPr>
            </w:pPr>
            <w:r w:rsidRPr="00C75C7E">
              <w:rPr>
                <w:bCs/>
                <w:sz w:val="16"/>
                <w:szCs w:val="16"/>
                <w:lang w:val="es-ES_tradnl"/>
              </w:rPr>
              <w:t>Aumento en comparación con la referencia.</w:t>
            </w:r>
          </w:p>
        </w:tc>
      </w:tr>
    </w:tbl>
    <w:p w:rsidR="00A80F8D" w:rsidRDefault="00A80F8D" w:rsidP="00C739DE">
      <w:pPr>
        <w:widowControl w:val="0"/>
        <w:tabs>
          <w:tab w:val="left" w:pos="567"/>
          <w:tab w:val="left" w:pos="1985"/>
        </w:tabs>
        <w:rPr>
          <w:bCs/>
          <w:sz w:val="20"/>
          <w:lang w:val="es-ES_tradnl"/>
        </w:rPr>
      </w:pPr>
    </w:p>
    <w:p w:rsidR="00C739DE" w:rsidRPr="00C75C7E" w:rsidRDefault="00C739DE" w:rsidP="00C739DE">
      <w:pPr>
        <w:widowControl w:val="0"/>
        <w:tabs>
          <w:tab w:val="left" w:pos="567"/>
          <w:tab w:val="left" w:pos="1985"/>
        </w:tabs>
        <w:rPr>
          <w:bCs/>
          <w:sz w:val="20"/>
          <w:lang w:val="es-ES_tradnl"/>
        </w:rPr>
      </w:pPr>
    </w:p>
    <w:p w:rsidR="00C739DE" w:rsidRPr="00F039C2" w:rsidRDefault="00C739DE" w:rsidP="00C739DE">
      <w:pPr>
        <w:widowControl w:val="0"/>
        <w:autoSpaceDE w:val="0"/>
        <w:autoSpaceDN w:val="0"/>
        <w:adjustRightInd w:val="0"/>
        <w:jc w:val="both"/>
        <w:rPr>
          <w:szCs w:val="22"/>
        </w:rPr>
      </w:pPr>
      <w:r w:rsidRPr="00F039C2">
        <w:rPr>
          <w:szCs w:val="22"/>
        </w:rPr>
        <w:t>RECURSOS PARA EL PROGRAMA 12</w:t>
      </w:r>
    </w:p>
    <w:p w:rsidR="00C739DE" w:rsidRPr="00CA3895" w:rsidRDefault="00C739DE" w:rsidP="00C739DE">
      <w:pPr>
        <w:widowControl w:val="0"/>
        <w:jc w:val="both"/>
        <w:rPr>
          <w:sz w:val="20"/>
        </w:rPr>
      </w:pPr>
    </w:p>
    <w:p w:rsidR="00C739DE" w:rsidRPr="00F039C2" w:rsidRDefault="00C739DE" w:rsidP="00BA276E">
      <w:pPr>
        <w:widowControl w:val="0"/>
        <w:numPr>
          <w:ilvl w:val="0"/>
          <w:numId w:val="34"/>
        </w:numPr>
        <w:jc w:val="both"/>
        <w:rPr>
          <w:sz w:val="20"/>
        </w:rPr>
      </w:pPr>
      <w:r w:rsidRPr="00F039C2">
        <w:rPr>
          <w:sz w:val="20"/>
        </w:rPr>
        <w:t xml:space="preserve">El aumento en los recursos para el resultado IV.1 (Clasificaciones internacionales y normas técnicas de la OMPI) se debe a los aumentos reglamentarios en los costos de personal. </w:t>
      </w:r>
      <w:r>
        <w:rPr>
          <w:sz w:val="20"/>
        </w:rPr>
        <w:t xml:space="preserve"> </w:t>
      </w:r>
      <w:r w:rsidRPr="00F039C2">
        <w:rPr>
          <w:sz w:val="20"/>
        </w:rPr>
        <w:t>Los recursos no relativos al personal disminuirán ligeramente como resultado de los ahorros previstos en los costos de viaje y las reducciones en los servicios contractuales.</w:t>
      </w:r>
    </w:p>
    <w:p w:rsidR="00A80F8D" w:rsidRDefault="00A80F8D" w:rsidP="00A80F8D">
      <w:pPr>
        <w:widowControl w:val="0"/>
        <w:autoSpaceDE w:val="0"/>
        <w:autoSpaceDN w:val="0"/>
        <w:adjustRightInd w:val="0"/>
        <w:jc w:val="center"/>
        <w:rPr>
          <w:b/>
          <w:bCs/>
          <w:iCs/>
          <w:sz w:val="20"/>
        </w:rPr>
      </w:pPr>
    </w:p>
    <w:p w:rsidR="00400B23" w:rsidRPr="00C739DE" w:rsidRDefault="00400B23" w:rsidP="00A80F8D">
      <w:pPr>
        <w:widowControl w:val="0"/>
        <w:autoSpaceDE w:val="0"/>
        <w:autoSpaceDN w:val="0"/>
        <w:adjustRightInd w:val="0"/>
        <w:jc w:val="center"/>
        <w:rPr>
          <w:b/>
          <w:bCs/>
          <w:iCs/>
          <w:sz w:val="20"/>
        </w:rPr>
      </w:pPr>
    </w:p>
    <w:p w:rsidR="00A80F8D" w:rsidRPr="00C75C7E" w:rsidRDefault="005731F4" w:rsidP="00A80F8D">
      <w:pPr>
        <w:widowControl w:val="0"/>
        <w:autoSpaceDE w:val="0"/>
        <w:autoSpaceDN w:val="0"/>
        <w:adjustRightInd w:val="0"/>
        <w:jc w:val="center"/>
        <w:rPr>
          <w:b/>
          <w:bCs/>
          <w:iCs/>
          <w:sz w:val="20"/>
          <w:lang w:val="es-ES_tradnl"/>
        </w:rPr>
      </w:pPr>
      <w:r>
        <w:rPr>
          <w:b/>
          <w:bCs/>
          <w:iCs/>
          <w:sz w:val="20"/>
          <w:lang w:val="es-ES_tradnl"/>
        </w:rPr>
        <w:t>Programa 12</w:t>
      </w:r>
      <w:proofErr w:type="gramStart"/>
      <w:r>
        <w:rPr>
          <w:b/>
          <w:bCs/>
          <w:iCs/>
          <w:sz w:val="20"/>
          <w:lang w:val="es-ES_tradnl"/>
        </w:rPr>
        <w:t xml:space="preserve">:  </w:t>
      </w:r>
      <w:r w:rsidR="00A80F8D" w:rsidRPr="00C75C7E">
        <w:rPr>
          <w:b/>
          <w:bCs/>
          <w:iCs/>
          <w:sz w:val="20"/>
          <w:lang w:val="es-ES_tradnl"/>
        </w:rPr>
        <w:t>Recursos</w:t>
      </w:r>
      <w:proofErr w:type="gramEnd"/>
      <w:r w:rsidR="00A80F8D" w:rsidRPr="00C75C7E">
        <w:rPr>
          <w:b/>
          <w:bCs/>
          <w:iCs/>
          <w:sz w:val="20"/>
          <w:lang w:val="es-ES_tradnl"/>
        </w:rPr>
        <w:t xml:space="preserve"> por resultado</w:t>
      </w:r>
    </w:p>
    <w:p w:rsidR="00A80F8D" w:rsidRPr="00C75C7E" w:rsidRDefault="00A80F8D" w:rsidP="00A80F8D">
      <w:pPr>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A80F8D" w:rsidRPr="00C75C7E" w:rsidRDefault="00A80F8D" w:rsidP="00A80F8D">
      <w:pPr>
        <w:widowControl w:val="0"/>
        <w:autoSpaceDE w:val="0"/>
        <w:autoSpaceDN w:val="0"/>
        <w:adjustRightInd w:val="0"/>
        <w:jc w:val="center"/>
        <w:rPr>
          <w:sz w:val="20"/>
          <w:lang w:val="es-ES_tradnl"/>
        </w:rPr>
      </w:pPr>
    </w:p>
    <w:p w:rsidR="00A80F8D" w:rsidRPr="00C75C7E" w:rsidRDefault="00C40A11" w:rsidP="00A80F8D">
      <w:pPr>
        <w:widowControl w:val="0"/>
        <w:jc w:val="center"/>
        <w:rPr>
          <w:lang w:val="es-ES_tradnl"/>
        </w:rPr>
      </w:pPr>
      <w:r>
        <w:rPr>
          <w:noProof/>
          <w:lang w:val="en-US" w:eastAsia="en-US"/>
        </w:rPr>
        <w:drawing>
          <wp:inline distT="0" distB="0" distL="0" distR="0" wp14:anchorId="17410CF6" wp14:editId="359AE880">
            <wp:extent cx="5886450" cy="1466850"/>
            <wp:effectExtent l="0" t="0" r="0" b="0"/>
            <wp:docPr id="47"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886450" cy="1466850"/>
                    </a:xfrm>
                    <a:prstGeom prst="rect">
                      <a:avLst/>
                    </a:prstGeom>
                    <a:noFill/>
                    <a:ln>
                      <a:noFill/>
                    </a:ln>
                  </pic:spPr>
                </pic:pic>
              </a:graphicData>
            </a:graphic>
          </wp:inline>
        </w:drawing>
      </w:r>
    </w:p>
    <w:p w:rsidR="00A80F8D" w:rsidRPr="00C75C7E" w:rsidRDefault="00A80F8D" w:rsidP="00A80F8D">
      <w:pPr>
        <w:widowControl w:val="0"/>
        <w:jc w:val="center"/>
        <w:rPr>
          <w:sz w:val="20"/>
          <w:lang w:val="es-ES_tradnl"/>
        </w:rPr>
      </w:pPr>
    </w:p>
    <w:p w:rsidR="00A80F8D" w:rsidRPr="00C75C7E" w:rsidRDefault="00A80F8D" w:rsidP="00A80F8D">
      <w:pPr>
        <w:widowControl w:val="0"/>
        <w:autoSpaceDE w:val="0"/>
        <w:autoSpaceDN w:val="0"/>
        <w:adjustRightInd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A80F8D" w:rsidRPr="00C75C7E" w:rsidRDefault="00A80F8D" w:rsidP="00A80F8D">
      <w:pPr>
        <w:widowControl w:val="0"/>
        <w:jc w:val="both"/>
        <w:rPr>
          <w:sz w:val="20"/>
          <w:lang w:val="es-ES_tradnl"/>
        </w:rPr>
      </w:pPr>
    </w:p>
    <w:p w:rsidR="00A80F8D" w:rsidRPr="00C75C7E" w:rsidRDefault="005731F4" w:rsidP="00C739DE">
      <w:pPr>
        <w:keepNext/>
        <w:widowControl w:val="0"/>
        <w:autoSpaceDE w:val="0"/>
        <w:autoSpaceDN w:val="0"/>
        <w:adjustRightInd w:val="0"/>
        <w:jc w:val="center"/>
        <w:rPr>
          <w:b/>
          <w:bCs/>
          <w:iCs/>
          <w:sz w:val="20"/>
          <w:lang w:val="es-ES_tradnl"/>
        </w:rPr>
      </w:pPr>
      <w:r>
        <w:rPr>
          <w:b/>
          <w:bCs/>
          <w:iCs/>
          <w:sz w:val="20"/>
          <w:lang w:val="es-ES_tradnl"/>
        </w:rPr>
        <w:lastRenderedPageBreak/>
        <w:t>Programa 12</w:t>
      </w:r>
      <w:proofErr w:type="gramStart"/>
      <w:r>
        <w:rPr>
          <w:b/>
          <w:bCs/>
          <w:iCs/>
          <w:sz w:val="20"/>
          <w:lang w:val="es-ES_tradnl"/>
        </w:rPr>
        <w:t xml:space="preserve">:  </w:t>
      </w:r>
      <w:r w:rsidR="00A80F8D" w:rsidRPr="00C75C7E">
        <w:rPr>
          <w:b/>
          <w:bCs/>
          <w:iCs/>
          <w:sz w:val="20"/>
          <w:lang w:val="es-ES_tradnl"/>
        </w:rPr>
        <w:t>Recursos</w:t>
      </w:r>
      <w:proofErr w:type="gramEnd"/>
      <w:r w:rsidR="00A80F8D" w:rsidRPr="00C75C7E">
        <w:rPr>
          <w:b/>
          <w:bCs/>
          <w:iCs/>
          <w:sz w:val="20"/>
          <w:lang w:val="es-ES_tradnl"/>
        </w:rPr>
        <w:t xml:space="preserve"> por objeto de gasto</w:t>
      </w:r>
    </w:p>
    <w:p w:rsidR="00A80F8D" w:rsidRPr="00C75C7E" w:rsidRDefault="00A80F8D" w:rsidP="00C739DE">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A80F8D" w:rsidRDefault="00A80F8D" w:rsidP="00C739DE">
      <w:pPr>
        <w:keepNext/>
        <w:widowControl w:val="0"/>
        <w:jc w:val="center"/>
        <w:rPr>
          <w:sz w:val="20"/>
          <w:lang w:val="es-ES_tradnl"/>
        </w:rPr>
      </w:pPr>
    </w:p>
    <w:p w:rsidR="001E5683" w:rsidRPr="00C75C7E" w:rsidRDefault="00C40A11" w:rsidP="00C739DE">
      <w:pPr>
        <w:keepNext/>
        <w:widowControl w:val="0"/>
        <w:jc w:val="center"/>
        <w:rPr>
          <w:sz w:val="20"/>
          <w:lang w:val="es-ES_tradnl"/>
        </w:rPr>
      </w:pPr>
      <w:r>
        <w:rPr>
          <w:noProof/>
          <w:lang w:val="en-US" w:eastAsia="en-US"/>
        </w:rPr>
        <w:drawing>
          <wp:inline distT="0" distB="0" distL="0" distR="0" wp14:anchorId="12D633A5" wp14:editId="3E87FCCF">
            <wp:extent cx="5936615" cy="5739130"/>
            <wp:effectExtent l="0" t="0" r="698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A80F8D" w:rsidRPr="00C75C7E" w:rsidRDefault="00A80F8D" w:rsidP="00A80F8D">
      <w:pPr>
        <w:widowControl w:val="0"/>
        <w:rPr>
          <w:sz w:val="20"/>
          <w:lang w:val="es-ES_tradnl"/>
        </w:rPr>
      </w:pPr>
    </w:p>
    <w:p w:rsidR="00A80F8D" w:rsidRPr="00C75C7E" w:rsidRDefault="00A80F8D" w:rsidP="00A80F8D">
      <w:pPr>
        <w:widowControl w:val="0"/>
        <w:rPr>
          <w:sz w:val="16"/>
          <w:szCs w:val="16"/>
          <w:lang w:val="es-ES_tradnl"/>
        </w:rPr>
      </w:pPr>
      <w:r w:rsidRPr="00C75C7E">
        <w:rPr>
          <w:sz w:val="16"/>
          <w:szCs w:val="16"/>
          <w:lang w:val="es-ES_tradnl"/>
        </w:rPr>
        <w:t>Notas:</w:t>
      </w:r>
    </w:p>
    <w:p w:rsidR="00A80F8D" w:rsidRPr="00C75C7E" w:rsidRDefault="00A80F8D" w:rsidP="00A80F8D">
      <w:pPr>
        <w:widowControl w:val="0"/>
        <w:rPr>
          <w:sz w:val="16"/>
          <w:szCs w:val="16"/>
          <w:u w:val="single"/>
          <w:lang w:val="es-ES_tradnl"/>
        </w:rPr>
      </w:pPr>
    </w:p>
    <w:p w:rsidR="00A80F8D" w:rsidRDefault="003C4E55" w:rsidP="00A80F8D">
      <w:pPr>
        <w:widowControl w:val="0"/>
        <w:tabs>
          <w:tab w:val="left" w:pos="567"/>
        </w:tabs>
        <w:rPr>
          <w:sz w:val="16"/>
          <w:szCs w:val="16"/>
          <w:lang w:val="es-ES_tradnl"/>
        </w:rPr>
      </w:pPr>
      <w:r>
        <w:rPr>
          <w:sz w:val="16"/>
          <w:szCs w:val="16"/>
          <w:lang w:val="es-ES_tradnl"/>
        </w:rPr>
        <w:t xml:space="preserve">1)  </w:t>
      </w:r>
      <w:r w:rsidR="00A80F8D" w:rsidRPr="00C75C7E">
        <w:rPr>
          <w:sz w:val="16"/>
          <w:szCs w:val="16"/>
          <w:lang w:val="es-ES_tradnl"/>
        </w:rPr>
        <w:t xml:space="preserve">El presupuesto aprobado de 2012/13 y el presupuesto de dicho bienio después de las transferencias se </w:t>
      </w:r>
      <w:proofErr w:type="spellStart"/>
      <w:r w:rsidR="00A80F8D" w:rsidRPr="00C75C7E">
        <w:rPr>
          <w:sz w:val="16"/>
          <w:szCs w:val="16"/>
          <w:lang w:val="es-ES_tradnl"/>
        </w:rPr>
        <w:t>reexpresan</w:t>
      </w:r>
      <w:proofErr w:type="spellEnd"/>
      <w:r w:rsidR="00A80F8D" w:rsidRPr="00C75C7E">
        <w:rPr>
          <w:sz w:val="16"/>
          <w:szCs w:val="16"/>
          <w:lang w:val="es-ES_tradnl"/>
        </w:rPr>
        <w:t xml:space="preserve"> sobre la base de la estructura de categorías de costos propuesta para 2014/15.</w:t>
      </w:r>
    </w:p>
    <w:p w:rsidR="00A80F8D" w:rsidRPr="00C75C7E" w:rsidRDefault="00A80F8D" w:rsidP="00A80F8D">
      <w:pPr>
        <w:widowControl w:val="0"/>
        <w:tabs>
          <w:tab w:val="left" w:pos="567"/>
        </w:tabs>
        <w:rPr>
          <w:sz w:val="16"/>
          <w:szCs w:val="16"/>
          <w:lang w:val="es-ES_tradnl"/>
        </w:rPr>
      </w:pPr>
    </w:p>
    <w:p w:rsidR="00A80F8D" w:rsidRDefault="00A80F8D" w:rsidP="00A80F8D">
      <w:pPr>
        <w:widowControl w:val="0"/>
        <w:tabs>
          <w:tab w:val="left" w:pos="567"/>
        </w:tabs>
        <w:rPr>
          <w:rFonts w:cs="ArialMT"/>
          <w:sz w:val="16"/>
          <w:szCs w:val="16"/>
          <w:lang w:val="es-ES_tradnl"/>
        </w:rPr>
      </w:pPr>
      <w:r>
        <w:rPr>
          <w:sz w:val="16"/>
          <w:szCs w:val="16"/>
          <w:lang w:val="es-ES_tradnl"/>
        </w:rPr>
        <w:t>2)</w:t>
      </w:r>
      <w:r w:rsidR="003C4E55">
        <w:rPr>
          <w:sz w:val="16"/>
          <w:szCs w:val="16"/>
          <w:lang w:val="es-ES_tradnl"/>
        </w:rPr>
        <w:t xml:space="preserve">  </w:t>
      </w:r>
      <w:r w:rsidRPr="00C75C7E">
        <w:rPr>
          <w:sz w:val="16"/>
          <w:szCs w:val="16"/>
          <w:lang w:val="es-ES_tradnl"/>
        </w:rPr>
        <w:t xml:space="preserve">El presupuesto después de las transferencias refleja el presupuesto de los programas ajustado tras las transferencias efectuadas en 2012/13 en virtud del artículo 5.5 del Reglamento Financiero. Para más información sobre el presupuesto de 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w:t>
      </w:r>
      <w:r w:rsidRPr="007045EB">
        <w:rPr>
          <w:sz w:val="16"/>
          <w:szCs w:val="16"/>
          <w:lang w:val="es-ES_tradnl"/>
        </w:rPr>
        <w:t>costos</w:t>
      </w:r>
      <w:r w:rsidRPr="00C75C7E">
        <w:rPr>
          <w:rFonts w:cs="ArialMT"/>
          <w:sz w:val="16"/>
          <w:szCs w:val="16"/>
          <w:lang w:val="es-ES_tradnl"/>
        </w:rPr>
        <w:t xml:space="preserve"> estándar.</w:t>
      </w:r>
    </w:p>
    <w:p w:rsidR="00A80F8D" w:rsidRPr="00C75C7E" w:rsidRDefault="00A80F8D" w:rsidP="00A80F8D">
      <w:pPr>
        <w:widowControl w:val="0"/>
        <w:tabs>
          <w:tab w:val="left" w:pos="567"/>
        </w:tabs>
        <w:rPr>
          <w:sz w:val="16"/>
          <w:szCs w:val="16"/>
          <w:lang w:val="es-ES_tradnl"/>
        </w:rPr>
      </w:pPr>
    </w:p>
    <w:p w:rsidR="00A80F8D" w:rsidRPr="00C75C7E" w:rsidRDefault="00A80F8D" w:rsidP="00A80F8D">
      <w:pPr>
        <w:widowControl w:val="0"/>
        <w:spacing w:after="120"/>
        <w:rPr>
          <w:sz w:val="20"/>
          <w:lang w:val="es-ES_tradnl"/>
        </w:rPr>
      </w:pPr>
      <w:r>
        <w:rPr>
          <w:sz w:val="16"/>
          <w:szCs w:val="16"/>
          <w:lang w:val="es-ES_tradnl"/>
        </w:rPr>
        <w:t>3)</w:t>
      </w:r>
      <w:r w:rsidR="003C4E55">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C739DE" w:rsidRPr="00400B23" w:rsidRDefault="00A80F8D" w:rsidP="00400B23">
      <w:pPr>
        <w:pStyle w:val="Heading3"/>
        <w:tabs>
          <w:tab w:val="left" w:pos="1985"/>
        </w:tabs>
        <w:rPr>
          <w:b/>
          <w:iCs/>
          <w:caps/>
          <w:u w:val="none"/>
        </w:rPr>
      </w:pPr>
      <w:r w:rsidRPr="00C75C7E">
        <w:rPr>
          <w:sz w:val="20"/>
          <w:lang w:val="es-ES_tradnl"/>
        </w:rPr>
        <w:br w:type="page"/>
      </w:r>
      <w:bookmarkStart w:id="55" w:name="_Toc366078727"/>
      <w:bookmarkStart w:id="56" w:name="_Toc356567763"/>
      <w:r w:rsidR="006A15F5" w:rsidRPr="00400B23">
        <w:rPr>
          <w:b/>
          <w:iCs/>
          <w:u w:val="none"/>
        </w:rPr>
        <w:lastRenderedPageBreak/>
        <w:t>PROGRAMA 13</w:t>
      </w:r>
      <w:r w:rsidR="006A15F5" w:rsidRPr="00400B23">
        <w:rPr>
          <w:b/>
          <w:iCs/>
          <w:u w:val="none"/>
        </w:rPr>
        <w:tab/>
        <w:t>BASES DE DATOS MUNDIALES</w:t>
      </w:r>
      <w:bookmarkEnd w:id="55"/>
      <w:r w:rsidR="006A15F5" w:rsidRPr="00400B23">
        <w:rPr>
          <w:b/>
          <w:iCs/>
          <w:u w:val="none"/>
        </w:rPr>
        <w:t xml:space="preserve"> </w:t>
      </w:r>
      <w:bookmarkEnd w:id="56"/>
    </w:p>
    <w:p w:rsidR="00C739DE" w:rsidRPr="005731F4" w:rsidRDefault="00C739DE" w:rsidP="006A15F5">
      <w:pPr>
        <w:rPr>
          <w:sz w:val="20"/>
          <w:lang w:eastAsia="en-US"/>
        </w:rPr>
      </w:pPr>
    </w:p>
    <w:p w:rsidR="00C739DE" w:rsidRPr="005731F4" w:rsidRDefault="00C739DE" w:rsidP="006A15F5">
      <w:pPr>
        <w:rPr>
          <w:rFonts w:cs="Times New Roman"/>
          <w:sz w:val="20"/>
          <w:lang w:eastAsia="en-US"/>
        </w:rPr>
      </w:pPr>
    </w:p>
    <w:p w:rsidR="00C739DE" w:rsidRPr="00C739DE" w:rsidRDefault="00C739DE" w:rsidP="00C739DE">
      <w:pPr>
        <w:widowControl w:val="0"/>
        <w:ind w:left="1985" w:hanging="1985"/>
        <w:jc w:val="both"/>
        <w:rPr>
          <w:rFonts w:eastAsia="Times New Roman"/>
          <w:szCs w:val="22"/>
          <w:lang w:eastAsia="en-US"/>
        </w:rPr>
      </w:pPr>
      <w:r w:rsidRPr="00C739DE">
        <w:rPr>
          <w:rFonts w:eastAsia="Times New Roman"/>
          <w:szCs w:val="22"/>
          <w:lang w:eastAsia="en-US"/>
        </w:rPr>
        <w:t xml:space="preserve">CONTEXTO DE PLANIFICACIÓN </w:t>
      </w:r>
    </w:p>
    <w:p w:rsidR="00C739DE" w:rsidRPr="00C739DE" w:rsidRDefault="00C739DE" w:rsidP="00C739DE">
      <w:pPr>
        <w:widowControl w:val="0"/>
        <w:rPr>
          <w:rFonts w:eastAsia="Times New Roman" w:cs="Times New Roman"/>
          <w:sz w:val="20"/>
          <w:lang w:eastAsia="en-US"/>
        </w:rPr>
      </w:pPr>
    </w:p>
    <w:p w:rsidR="00C739DE" w:rsidRPr="00C739DE" w:rsidRDefault="00C739DE" w:rsidP="00BA276E">
      <w:pPr>
        <w:widowControl w:val="0"/>
        <w:numPr>
          <w:ilvl w:val="0"/>
          <w:numId w:val="35"/>
        </w:numPr>
        <w:autoSpaceDE w:val="0"/>
        <w:autoSpaceDN w:val="0"/>
        <w:adjustRightInd w:val="0"/>
        <w:jc w:val="both"/>
        <w:rPr>
          <w:rFonts w:eastAsia="Times New Roman"/>
          <w:sz w:val="20"/>
          <w:lang w:eastAsia="en-US"/>
        </w:rPr>
      </w:pPr>
      <w:r w:rsidRPr="00C739DE">
        <w:rPr>
          <w:rFonts w:eastAsia="Times New Roman"/>
          <w:sz w:val="20"/>
          <w:lang w:eastAsia="en-US"/>
        </w:rPr>
        <w:t>La OMPI contribuye a la creación de la infraestructura mundial de P.I. proporcionando conocimientos de P.I. en forma de bienes públicos, disponibles por medio de las bases de datos mundiales.  En las bases de datos mundiales de la OMPI, como PATENTSCOPE y la Base Mundial de Datos sobre Marcas</w:t>
      </w:r>
      <w:r w:rsidR="000C095D">
        <w:rPr>
          <w:rFonts w:eastAsia="Times New Roman"/>
          <w:sz w:val="20"/>
          <w:lang w:eastAsia="en-US"/>
        </w:rPr>
        <w:t xml:space="preserve"> (</w:t>
      </w:r>
      <w:proofErr w:type="spellStart"/>
      <w:r w:rsidR="000C095D">
        <w:rPr>
          <w:rFonts w:eastAsia="Times New Roman"/>
          <w:i/>
          <w:sz w:val="20"/>
          <w:lang w:eastAsia="en-US"/>
        </w:rPr>
        <w:t>brand</w:t>
      </w:r>
      <w:r w:rsidR="009B068C">
        <w:rPr>
          <w:rFonts w:eastAsia="Times New Roman"/>
          <w:i/>
          <w:sz w:val="20"/>
          <w:lang w:eastAsia="en-US"/>
        </w:rPr>
        <w:t>s</w:t>
      </w:r>
      <w:proofErr w:type="spellEnd"/>
      <w:r w:rsidR="000C095D">
        <w:rPr>
          <w:rFonts w:eastAsia="Times New Roman"/>
          <w:sz w:val="20"/>
          <w:lang w:eastAsia="en-US"/>
        </w:rPr>
        <w:t>)</w:t>
      </w:r>
      <w:r w:rsidR="00FE4D55" w:rsidRPr="00FE4D55">
        <w:rPr>
          <w:rStyle w:val="FootnoteReference"/>
          <w:rFonts w:eastAsia="Times New Roman"/>
          <w:sz w:val="20"/>
          <w:lang w:eastAsia="en-US"/>
        </w:rPr>
        <w:footnoteReference w:customMarkFollows="1" w:id="10"/>
        <w:sym w:font="Symbol" w:char="F02A"/>
      </w:r>
      <w:r w:rsidRPr="00C739DE">
        <w:rPr>
          <w:rFonts w:eastAsia="Times New Roman"/>
          <w:sz w:val="20"/>
          <w:lang w:eastAsia="en-US"/>
        </w:rPr>
        <w:t xml:space="preserve">, figuran datos de las colecciones del PCT, Madrid, Lisboa y de emblemas protegidos en virtud del artículo 6ter del Convenio de París.  Asimismo, las bases de datos contienen solicitudes y registros nacionales y regionales aportados por las oficinas de P.I., que han acordado cooperar a la expansión de la cobertura de la base de datos.  </w:t>
      </w:r>
      <w:r w:rsidRPr="00C739DE">
        <w:rPr>
          <w:rFonts w:eastAsia="Times New Roman"/>
          <w:sz w:val="20"/>
          <w:lang w:eastAsia="es-ES"/>
        </w:rPr>
        <w:t>Dos desafíos</w:t>
      </w:r>
      <w:r w:rsidRPr="00C739DE">
        <w:rPr>
          <w:rFonts w:eastAsia="Times New Roman"/>
          <w:sz w:val="20"/>
          <w:lang w:eastAsia="en-US"/>
        </w:rPr>
        <w:t xml:space="preserve"> </w:t>
      </w:r>
      <w:r w:rsidRPr="00C739DE">
        <w:rPr>
          <w:rFonts w:eastAsia="Times New Roman"/>
          <w:sz w:val="20"/>
          <w:lang w:eastAsia="es-ES"/>
        </w:rPr>
        <w:t>fundamentales tienen que ver con el tratamiento, a los fines de la captura, de las fuentes de datos originales, que a menudo</w:t>
      </w:r>
      <w:r w:rsidRPr="00C739DE">
        <w:rPr>
          <w:rFonts w:eastAsia="Times New Roman"/>
          <w:sz w:val="20"/>
          <w:lang w:eastAsia="en-US"/>
        </w:rPr>
        <w:t xml:space="preserve"> </w:t>
      </w:r>
      <w:r w:rsidRPr="00C739DE">
        <w:rPr>
          <w:rFonts w:eastAsia="Times New Roman"/>
          <w:sz w:val="20"/>
          <w:lang w:eastAsia="es-ES"/>
        </w:rPr>
        <w:t>existen en distintos formatos y son de diversa calidad, y la elaboración de</w:t>
      </w:r>
      <w:r w:rsidRPr="00C739DE">
        <w:rPr>
          <w:rFonts w:eastAsia="Times New Roman"/>
          <w:sz w:val="20"/>
          <w:lang w:eastAsia="en-US"/>
        </w:rPr>
        <w:t xml:space="preserve"> </w:t>
      </w:r>
      <w:r w:rsidRPr="00C739DE">
        <w:rPr>
          <w:rFonts w:eastAsia="Times New Roman"/>
          <w:sz w:val="20"/>
          <w:lang w:eastAsia="es-ES"/>
        </w:rPr>
        <w:t>herramientas eficaces para efectuar búsquedas plurilingües y de imágenes.</w:t>
      </w:r>
      <w:r w:rsidRPr="00C739DE">
        <w:rPr>
          <w:rFonts w:eastAsia="Times New Roman"/>
          <w:sz w:val="20"/>
          <w:lang w:eastAsia="en-US"/>
        </w:rPr>
        <w:t xml:space="preserve">  </w:t>
      </w:r>
      <w:r w:rsidRPr="00C739DE">
        <w:rPr>
          <w:rFonts w:eastAsia="Times New Roman"/>
          <w:sz w:val="20"/>
          <w:lang w:eastAsia="es-ES"/>
        </w:rPr>
        <w:t>El programa</w:t>
      </w:r>
      <w:r w:rsidRPr="00C739DE">
        <w:rPr>
          <w:rFonts w:eastAsia="Times New Roman"/>
          <w:sz w:val="20"/>
          <w:lang w:eastAsia="en-US"/>
        </w:rPr>
        <w:t xml:space="preserve"> </w:t>
      </w:r>
      <w:r w:rsidRPr="00C739DE">
        <w:rPr>
          <w:rFonts w:eastAsia="Times New Roman"/>
          <w:sz w:val="20"/>
          <w:lang w:eastAsia="es-ES"/>
        </w:rPr>
        <w:t>proporciona apoyo a la aplicación de las recomendaciones 24 y 31 de la A.D., creando la oportunidad de fomentar la transferencia de tecnología y salvar la brecha</w:t>
      </w:r>
      <w:r w:rsidRPr="00C739DE">
        <w:rPr>
          <w:rFonts w:eastAsia="Times New Roman"/>
          <w:sz w:val="20"/>
          <w:lang w:eastAsia="en-US"/>
        </w:rPr>
        <w:t xml:space="preserve"> </w:t>
      </w:r>
      <w:r w:rsidRPr="00C739DE">
        <w:rPr>
          <w:rFonts w:eastAsia="Times New Roman"/>
          <w:sz w:val="20"/>
          <w:lang w:eastAsia="es-ES"/>
        </w:rPr>
        <w:t>digital al facilitar el acceso plurilingüe a los documentos y ampliar la gama de los documentos en los</w:t>
      </w:r>
      <w:r w:rsidRPr="00C739DE">
        <w:rPr>
          <w:rFonts w:eastAsia="Times New Roman"/>
          <w:sz w:val="20"/>
          <w:lang w:eastAsia="en-US"/>
        </w:rPr>
        <w:t xml:space="preserve"> </w:t>
      </w:r>
      <w:r w:rsidRPr="00C739DE">
        <w:rPr>
          <w:rFonts w:eastAsia="Times New Roman"/>
          <w:sz w:val="20"/>
          <w:lang w:eastAsia="es-ES"/>
        </w:rPr>
        <w:t>que es posible efectuar búsquedas, así como su alcance.  Las bases de datos contribuyen a reducir la brecha de los conocimientos mediante el fomento de la utilización de información sobre P.I., también en los países en desarrollo y en los PMA, y a proporcionar datos para promover la innovación.  Igualmente, el programa vela por la publicación de las solicitudes internacionales PCT.  Los servicios de las bases de datos mundiales de la OMPI sirven de base y de apoyo a la ejecución de los programas 14 (Servicios de acceso a la información y a los conocimientos) y 15 (Soluciones operativas para las oficinas de P.I.).</w:t>
      </w:r>
    </w:p>
    <w:p w:rsidR="00C739DE" w:rsidRDefault="00C739DE" w:rsidP="00C739DE">
      <w:pPr>
        <w:widowControl w:val="0"/>
        <w:autoSpaceDE w:val="0"/>
        <w:autoSpaceDN w:val="0"/>
        <w:adjustRightInd w:val="0"/>
        <w:jc w:val="both"/>
        <w:rPr>
          <w:rFonts w:eastAsia="Times New Roman"/>
          <w:sz w:val="20"/>
          <w:lang w:eastAsia="en-US"/>
        </w:rPr>
      </w:pPr>
    </w:p>
    <w:p w:rsidR="00400B23" w:rsidRPr="00C739DE" w:rsidRDefault="00400B23" w:rsidP="00C739DE">
      <w:pPr>
        <w:widowControl w:val="0"/>
        <w:autoSpaceDE w:val="0"/>
        <w:autoSpaceDN w:val="0"/>
        <w:adjustRightInd w:val="0"/>
        <w:jc w:val="both"/>
        <w:rPr>
          <w:rFonts w:eastAsia="Times New Roman"/>
          <w:sz w:val="20"/>
          <w:lang w:eastAsia="en-US"/>
        </w:rPr>
      </w:pPr>
    </w:p>
    <w:p w:rsidR="00C739DE" w:rsidRPr="00C739DE" w:rsidRDefault="00C739DE" w:rsidP="00C739DE">
      <w:pPr>
        <w:widowControl w:val="0"/>
        <w:jc w:val="both"/>
        <w:rPr>
          <w:rFonts w:eastAsia="Times New Roman"/>
          <w:szCs w:val="22"/>
          <w:lang w:eastAsia="en-US"/>
        </w:rPr>
      </w:pPr>
      <w:r w:rsidRPr="00C739DE">
        <w:rPr>
          <w:rFonts w:eastAsia="Times New Roman"/>
          <w:szCs w:val="22"/>
          <w:lang w:eastAsia="en-US"/>
        </w:rPr>
        <w:t xml:space="preserve">ESTRATEGIAS DE EJECUCIÓN </w:t>
      </w:r>
    </w:p>
    <w:p w:rsidR="00C739DE" w:rsidRPr="00C739DE" w:rsidRDefault="00C739DE" w:rsidP="00C739DE">
      <w:pPr>
        <w:widowControl w:val="0"/>
        <w:jc w:val="both"/>
        <w:rPr>
          <w:rFonts w:eastAsia="Times New Roman"/>
          <w:b/>
          <w:bCs/>
          <w:sz w:val="20"/>
          <w:lang w:eastAsia="en-US"/>
        </w:rPr>
      </w:pPr>
    </w:p>
    <w:p w:rsidR="00C739DE" w:rsidRPr="00C739DE" w:rsidRDefault="00C739DE" w:rsidP="00BA276E">
      <w:pPr>
        <w:widowControl w:val="0"/>
        <w:numPr>
          <w:ilvl w:val="0"/>
          <w:numId w:val="35"/>
        </w:numPr>
        <w:autoSpaceDE w:val="0"/>
        <w:autoSpaceDN w:val="0"/>
        <w:adjustRightInd w:val="0"/>
        <w:jc w:val="both"/>
        <w:rPr>
          <w:rFonts w:eastAsia="Times New Roman"/>
          <w:sz w:val="20"/>
          <w:lang w:eastAsia="en-US"/>
        </w:rPr>
      </w:pPr>
      <w:r w:rsidRPr="00C739DE">
        <w:rPr>
          <w:rFonts w:eastAsia="Times New Roman"/>
          <w:sz w:val="20"/>
          <w:lang w:eastAsia="en-US"/>
        </w:rPr>
        <w:t>Con su contribución a las recomendaciones de la A.D. destinadas a facilitar el acceso a la información sobre tecnología, la OMPI seguirá ampliando las bases de datos mundiales en cuanto a la cobertura geográfica de las colecciones de datos nacionales y mejorando la calidad de los datos en colaboración con las oficinas de P.I. interesadas que estén de acuerdo con los formatos de datos normalizados y las políticas coordinadas de intercambio y uso de los datos.  Se seguirán perfeccionado las herramientas de búsqueda de la OMPI para ayudar a los innovadores y a otros usuarios a efectuar mejor las búsquedas y el análisis de los datos de P.I.  En particular, se mejorará la búsqueda plurilingüe de patentes (la herramienta CLIR) y se ampliará la herramienta de traducción automática TAPTA para analizar los resultados a fin de incluir más combinaciones de idiomas y mejorar la calidad de la traducción.  Se investigará también la posibilidad de un sistema de recuperación de imágenes a partir de los contenidos para marcas</w:t>
      </w:r>
      <w:r w:rsidR="009B068C">
        <w:rPr>
          <w:rFonts w:eastAsia="Times New Roman"/>
          <w:sz w:val="20"/>
          <w:lang w:eastAsia="en-US"/>
        </w:rPr>
        <w:t>*</w:t>
      </w:r>
      <w:r w:rsidRPr="00C739DE">
        <w:rPr>
          <w:rFonts w:eastAsia="Times New Roman"/>
          <w:sz w:val="20"/>
          <w:lang w:eastAsia="en-US"/>
        </w:rPr>
        <w:t xml:space="preserve"> visualmente similares.  Durante el bienio se creará también una base de datos mundial para diseños que completará todos los tipos principales de datos sobre propiedad industrial.</w:t>
      </w:r>
    </w:p>
    <w:p w:rsidR="00C739DE" w:rsidRPr="00C739DE" w:rsidRDefault="00C739DE" w:rsidP="00C739DE">
      <w:pPr>
        <w:widowControl w:val="0"/>
        <w:autoSpaceDE w:val="0"/>
        <w:autoSpaceDN w:val="0"/>
        <w:adjustRightInd w:val="0"/>
        <w:jc w:val="both"/>
        <w:rPr>
          <w:rFonts w:eastAsia="Times New Roman"/>
          <w:sz w:val="20"/>
          <w:lang w:eastAsia="en-US"/>
        </w:rPr>
      </w:pPr>
    </w:p>
    <w:p w:rsidR="00C739DE" w:rsidRPr="00C739DE" w:rsidRDefault="00C739DE" w:rsidP="00BA276E">
      <w:pPr>
        <w:widowControl w:val="0"/>
        <w:numPr>
          <w:ilvl w:val="0"/>
          <w:numId w:val="35"/>
        </w:numPr>
        <w:autoSpaceDE w:val="0"/>
        <w:autoSpaceDN w:val="0"/>
        <w:adjustRightInd w:val="0"/>
        <w:jc w:val="both"/>
        <w:rPr>
          <w:rFonts w:eastAsia="Times New Roman"/>
          <w:sz w:val="20"/>
          <w:lang w:eastAsia="en-US"/>
        </w:rPr>
      </w:pPr>
      <w:r w:rsidRPr="00C739DE">
        <w:rPr>
          <w:rFonts w:eastAsia="Times New Roman"/>
          <w:b/>
          <w:bCs/>
          <w:sz w:val="20"/>
          <w:lang w:eastAsia="en-US"/>
        </w:rPr>
        <w:t>PATENTSCOPE</w:t>
      </w:r>
      <w:r w:rsidRPr="00C739DE">
        <w:rPr>
          <w:rFonts w:eastAsia="Times New Roman"/>
          <w:sz w:val="20"/>
          <w:lang w:eastAsia="en-US"/>
        </w:rPr>
        <w:t>:  PATENTSCOPE no es solamente la base de datos mundial sobre patentes que abarca las colecciones nacionales y regionales de datos sobre patentes, sino también el mecanismo jurídico para cumplir la obligación convencional en virtud del PCT, a saber, la publicación internacional de solicitudes PCT.  Se utilizarán los procesos de conversión de la OMPI para el reconocimiento óptico de caracteres a fin de convertir en texto íntegro las colecciones nacionales de datos.  El sistema continuará ampliándose para que abarque unos 40 millones de documentos sobre patentes a finales del bienio.  Entre los desafíos principales figuran los de tramitar ese elevado volumen de datos y mejorar la calidad de los datos recibidos, velar por la puntualidad y la integridad de los datos difundidos, superar los obstáculos lingüísticos y aprovechar al máximo el número de colecciones nacionales</w:t>
      </w:r>
    </w:p>
    <w:p w:rsidR="00C739DE" w:rsidRPr="00C739DE" w:rsidRDefault="00C739DE" w:rsidP="00C739DE">
      <w:pPr>
        <w:widowControl w:val="0"/>
        <w:autoSpaceDE w:val="0"/>
        <w:autoSpaceDN w:val="0"/>
        <w:adjustRightInd w:val="0"/>
        <w:jc w:val="both"/>
        <w:rPr>
          <w:rFonts w:eastAsia="Times New Roman"/>
          <w:sz w:val="20"/>
          <w:lang w:eastAsia="en-US"/>
        </w:rPr>
      </w:pPr>
    </w:p>
    <w:p w:rsidR="00C739DE" w:rsidRPr="00C739DE" w:rsidRDefault="00C739DE" w:rsidP="00560B8E">
      <w:pPr>
        <w:keepNext/>
        <w:keepLines/>
        <w:widowControl w:val="0"/>
        <w:numPr>
          <w:ilvl w:val="0"/>
          <w:numId w:val="35"/>
        </w:numPr>
        <w:autoSpaceDE w:val="0"/>
        <w:autoSpaceDN w:val="0"/>
        <w:adjustRightInd w:val="0"/>
        <w:jc w:val="both"/>
        <w:rPr>
          <w:rFonts w:eastAsia="Times New Roman"/>
          <w:sz w:val="20"/>
          <w:lang w:eastAsia="es-ES"/>
        </w:rPr>
      </w:pPr>
      <w:r w:rsidRPr="00C739DE">
        <w:rPr>
          <w:rFonts w:eastAsia="Times New Roman"/>
          <w:b/>
          <w:bCs/>
          <w:sz w:val="20"/>
          <w:lang w:eastAsia="en-US"/>
        </w:rPr>
        <w:lastRenderedPageBreak/>
        <w:t>BASE MUNDIAL DE LA OMPI DE DATOS SOBRE MARCAS</w:t>
      </w:r>
      <w:r w:rsidRPr="00C739DE">
        <w:rPr>
          <w:rFonts w:eastAsia="Times New Roman"/>
          <w:sz w:val="20"/>
          <w:lang w:eastAsia="en-US"/>
        </w:rPr>
        <w:t xml:space="preserve">: </w:t>
      </w:r>
      <w:r w:rsidRPr="00C739DE">
        <w:rPr>
          <w:rFonts w:eastAsia="Times New Roman"/>
          <w:sz w:val="20"/>
          <w:lang w:eastAsia="es-ES"/>
        </w:rPr>
        <w:t>La base de datos que contiene los registros internacionales en virtud de los sistemas de Madrid y Lisboa, varias colecciones nacionales y regionales de datos sobre marcas y los emblemas protegidos en virtud del artículo 6ter del Convenio de París, se perfeccionarán para dar cabida a unas 20 colecciones nacionales de datos durante el bienio.  Entre los desafíos principales figuran la carga de más datos en distintos formatos y la aplicación de un sistema de búsqueda eficaz que permita encontrar marcas similares en función de su imagen.</w:t>
      </w:r>
      <w:r w:rsidRPr="00C739DE">
        <w:rPr>
          <w:rFonts w:eastAsia="Times New Roman"/>
          <w:sz w:val="20"/>
          <w:lang w:eastAsia="en-US"/>
        </w:rPr>
        <w:t xml:space="preserve"> </w:t>
      </w:r>
    </w:p>
    <w:p w:rsidR="00C739DE" w:rsidRPr="00C739DE" w:rsidRDefault="00C739DE" w:rsidP="00C739DE">
      <w:pPr>
        <w:widowControl w:val="0"/>
        <w:autoSpaceDE w:val="0"/>
        <w:autoSpaceDN w:val="0"/>
        <w:adjustRightInd w:val="0"/>
        <w:jc w:val="both"/>
        <w:rPr>
          <w:rFonts w:eastAsia="Times New Roman"/>
          <w:szCs w:val="22"/>
          <w:lang w:eastAsia="en-US"/>
        </w:rPr>
      </w:pPr>
    </w:p>
    <w:p w:rsidR="00C739DE" w:rsidRPr="00C739DE" w:rsidRDefault="00C739DE" w:rsidP="005731F4">
      <w:pPr>
        <w:keepLines/>
        <w:widowControl w:val="0"/>
        <w:numPr>
          <w:ilvl w:val="0"/>
          <w:numId w:val="35"/>
        </w:numPr>
        <w:autoSpaceDE w:val="0"/>
        <w:autoSpaceDN w:val="0"/>
        <w:adjustRightInd w:val="0"/>
        <w:jc w:val="both"/>
        <w:rPr>
          <w:rFonts w:eastAsia="Times New Roman"/>
          <w:sz w:val="20"/>
          <w:lang w:eastAsia="es-ES"/>
        </w:rPr>
      </w:pPr>
      <w:r w:rsidRPr="00C739DE">
        <w:rPr>
          <w:rFonts w:eastAsia="Times New Roman"/>
          <w:b/>
          <w:bCs/>
          <w:sz w:val="20"/>
          <w:lang w:eastAsia="en-US"/>
        </w:rPr>
        <w:t>BASE MUNDIAL DE LA OMPI DE DATOS SOBRE DISEÑOS</w:t>
      </w:r>
      <w:proofErr w:type="gramStart"/>
      <w:r w:rsidRPr="00C739DE">
        <w:rPr>
          <w:rFonts w:eastAsia="Times New Roman"/>
          <w:sz w:val="20"/>
          <w:lang w:eastAsia="en-US"/>
        </w:rPr>
        <w:t>:  La</w:t>
      </w:r>
      <w:proofErr w:type="gramEnd"/>
      <w:r w:rsidRPr="00C739DE">
        <w:rPr>
          <w:rFonts w:eastAsia="Times New Roman"/>
          <w:sz w:val="20"/>
          <w:lang w:eastAsia="en-US"/>
        </w:rPr>
        <w:t xml:space="preserve"> OMPI creará un prototipo de la base mundial de datos sobre diseños utilizando plataformas similares a las dos bases </w:t>
      </w:r>
      <w:r w:rsidR="00733234">
        <w:rPr>
          <w:rFonts w:eastAsia="Times New Roman"/>
          <w:sz w:val="20"/>
          <w:lang w:eastAsia="en-US"/>
        </w:rPr>
        <w:t xml:space="preserve">de datos </w:t>
      </w:r>
      <w:r w:rsidRPr="00C739DE">
        <w:rPr>
          <w:rFonts w:eastAsia="Times New Roman"/>
          <w:sz w:val="20"/>
          <w:lang w:eastAsia="en-US"/>
        </w:rPr>
        <w:t xml:space="preserve">mundiales anteriormente mencionadas.  La base de datos contendrá los datos de los registros internacionales en virtud del Acuerdo de La Haya y determinadas colecciones nacionales de datos de registros de dibujos y modelos industriales.  </w:t>
      </w:r>
      <w:r w:rsidRPr="00C739DE">
        <w:rPr>
          <w:rFonts w:eastAsia="Times New Roman"/>
          <w:sz w:val="20"/>
          <w:lang w:eastAsia="es-ES"/>
        </w:rPr>
        <w:t>Entre los desafíos principales figuran la carga de imágenes en distintos formatos y la aplicación de un sistema de búsqueda eficaz que permita encontrar marcas similares en función de su imagen.</w:t>
      </w:r>
      <w:r w:rsidRPr="00C739DE">
        <w:rPr>
          <w:rFonts w:eastAsia="Times New Roman"/>
          <w:color w:val="FF0000"/>
          <w:sz w:val="20"/>
          <w:lang w:eastAsia="en-US"/>
        </w:rPr>
        <w:t xml:space="preserve"> </w:t>
      </w:r>
    </w:p>
    <w:p w:rsidR="00C739DE" w:rsidRPr="00C739DE" w:rsidRDefault="00C739DE" w:rsidP="00C739DE">
      <w:pPr>
        <w:widowControl w:val="0"/>
        <w:autoSpaceDE w:val="0"/>
        <w:autoSpaceDN w:val="0"/>
        <w:adjustRightInd w:val="0"/>
        <w:jc w:val="both"/>
        <w:rPr>
          <w:rFonts w:eastAsia="Times New Roman"/>
          <w:szCs w:val="22"/>
          <w:lang w:eastAsia="en-US"/>
        </w:rPr>
      </w:pPr>
    </w:p>
    <w:p w:rsidR="00C739DE" w:rsidRPr="00C739DE" w:rsidRDefault="00C739DE" w:rsidP="00BA276E">
      <w:pPr>
        <w:widowControl w:val="0"/>
        <w:numPr>
          <w:ilvl w:val="0"/>
          <w:numId w:val="35"/>
        </w:numPr>
        <w:autoSpaceDE w:val="0"/>
        <w:autoSpaceDN w:val="0"/>
        <w:adjustRightInd w:val="0"/>
        <w:jc w:val="both"/>
        <w:rPr>
          <w:rFonts w:eastAsia="Times New Roman"/>
          <w:sz w:val="20"/>
          <w:lang w:eastAsia="en-US"/>
        </w:rPr>
      </w:pPr>
      <w:r w:rsidRPr="00C739DE">
        <w:rPr>
          <w:rFonts w:eastAsia="Times New Roman"/>
          <w:b/>
          <w:bCs/>
          <w:caps/>
          <w:sz w:val="20"/>
          <w:lang w:eastAsia="en-US"/>
        </w:rPr>
        <w:t>Desarrollo de nuevos servicios</w:t>
      </w:r>
      <w:proofErr w:type="gramStart"/>
      <w:r w:rsidRPr="00C739DE">
        <w:rPr>
          <w:rFonts w:eastAsia="Times New Roman"/>
          <w:sz w:val="20"/>
          <w:lang w:eastAsia="en-US"/>
        </w:rPr>
        <w:t>:  Se</w:t>
      </w:r>
      <w:proofErr w:type="gramEnd"/>
      <w:r w:rsidRPr="00C739DE">
        <w:rPr>
          <w:rFonts w:eastAsia="Times New Roman"/>
          <w:sz w:val="20"/>
          <w:lang w:eastAsia="en-US"/>
        </w:rPr>
        <w:t xml:space="preserve"> mejorarán las funciones de búsqueda de todas las bases de datos mediante el uso de herramientas que permitan efectuar búsquedas en varios idiomas, como </w:t>
      </w:r>
      <w:r w:rsidRPr="00C739DE">
        <w:rPr>
          <w:rFonts w:eastAsia="Times New Roman"/>
          <w:i/>
          <w:sz w:val="20"/>
          <w:lang w:eastAsia="en-US"/>
        </w:rPr>
        <w:t xml:space="preserve">Cross Lingual </w:t>
      </w:r>
      <w:proofErr w:type="spellStart"/>
      <w:r w:rsidRPr="00C739DE">
        <w:rPr>
          <w:rFonts w:eastAsia="Times New Roman"/>
          <w:i/>
          <w:sz w:val="20"/>
          <w:lang w:eastAsia="en-US"/>
        </w:rPr>
        <w:t>Information</w:t>
      </w:r>
      <w:proofErr w:type="spellEnd"/>
      <w:r w:rsidRPr="00C739DE">
        <w:rPr>
          <w:rFonts w:eastAsia="Times New Roman"/>
          <w:i/>
          <w:sz w:val="20"/>
          <w:lang w:eastAsia="en-US"/>
        </w:rPr>
        <w:t xml:space="preserve"> </w:t>
      </w:r>
      <w:proofErr w:type="spellStart"/>
      <w:r w:rsidRPr="00C739DE">
        <w:rPr>
          <w:rFonts w:eastAsia="Times New Roman"/>
          <w:i/>
          <w:sz w:val="20"/>
          <w:lang w:eastAsia="en-US"/>
        </w:rPr>
        <w:t>Retrieval</w:t>
      </w:r>
      <w:proofErr w:type="spellEnd"/>
      <w:r w:rsidRPr="00C739DE">
        <w:rPr>
          <w:rFonts w:eastAsia="Times New Roman"/>
          <w:sz w:val="20"/>
          <w:lang w:eastAsia="en-US"/>
        </w:rPr>
        <w:t xml:space="preserve"> (CLIR), y herramientas de traducción automática, como TAPTA, que se perfeccionará durante el bienio para ofrecer una mejor calidad en la traducción y un mayor número de pares de idiomas.  Asimismo, se estudiará la posibilidad de introducir otras funciones, como las de extracción de citas, búsquedas por similitud de imágenes y agrupamiento de familias de patentes.</w:t>
      </w:r>
    </w:p>
    <w:p w:rsidR="00C739DE" w:rsidRPr="00C739DE" w:rsidRDefault="00C739DE" w:rsidP="00C739DE">
      <w:pPr>
        <w:widowControl w:val="0"/>
        <w:autoSpaceDE w:val="0"/>
        <w:autoSpaceDN w:val="0"/>
        <w:adjustRightInd w:val="0"/>
        <w:jc w:val="both"/>
        <w:rPr>
          <w:rFonts w:eastAsia="Times New Roman"/>
          <w:sz w:val="20"/>
          <w:lang w:eastAsia="en-US"/>
        </w:rPr>
      </w:pPr>
    </w:p>
    <w:p w:rsidR="00C739DE" w:rsidRPr="00C739DE" w:rsidRDefault="00C739DE" w:rsidP="00BA276E">
      <w:pPr>
        <w:widowControl w:val="0"/>
        <w:numPr>
          <w:ilvl w:val="0"/>
          <w:numId w:val="35"/>
        </w:numPr>
        <w:autoSpaceDE w:val="0"/>
        <w:autoSpaceDN w:val="0"/>
        <w:adjustRightInd w:val="0"/>
        <w:jc w:val="both"/>
        <w:rPr>
          <w:rFonts w:eastAsia="Times New Roman"/>
          <w:sz w:val="20"/>
          <w:lang w:eastAsia="en-US"/>
        </w:rPr>
      </w:pPr>
      <w:r w:rsidRPr="00C739DE">
        <w:rPr>
          <w:rFonts w:eastAsia="Times New Roman"/>
          <w:sz w:val="20"/>
          <w:lang w:eastAsia="en-US"/>
        </w:rPr>
        <w:t xml:space="preserve">Durante el bienio continuará la coordinación estrecha con el programa 15 (Soluciones operativas para las oficinas de P.I.) sobre los proyectos de digitalización que podrían ampliar los datos en las bases de datos mundiales.  Seguirá racionalizándose la depuración y la introducción de los datos mediante enfoques sistemáticos basados en normas técnicas, en cooperación con el programa 12 (Clasificaciones internacionales y normas técnicas de la OMPI).  La coordinación con el programa 14 (Servicios de acceso a la información y a los conocimientos) contribuirá a una mejora en la sensibilización sobre las bases de datos y en su uso. </w:t>
      </w:r>
    </w:p>
    <w:p w:rsidR="00C739DE" w:rsidRDefault="00C739DE" w:rsidP="00A80F8D">
      <w:pPr>
        <w:widowControl w:val="0"/>
        <w:jc w:val="both"/>
        <w:rPr>
          <w:szCs w:val="22"/>
        </w:rPr>
      </w:pPr>
    </w:p>
    <w:p w:rsidR="00C739DE" w:rsidRPr="00C739DE" w:rsidRDefault="00C739DE" w:rsidP="00A80F8D">
      <w:pPr>
        <w:widowControl w:val="0"/>
        <w:jc w:val="both"/>
        <w:rPr>
          <w:szCs w:val="22"/>
        </w:rPr>
      </w:pPr>
    </w:p>
    <w:p w:rsidR="00A80F8D" w:rsidRPr="00C75C7E" w:rsidRDefault="00A80F8D" w:rsidP="00A80F8D">
      <w:pPr>
        <w:widowControl w:val="0"/>
        <w:jc w:val="both"/>
        <w:rPr>
          <w:szCs w:val="22"/>
          <w:lang w:val="es-ES_tradnl"/>
        </w:rPr>
      </w:pPr>
      <w:r w:rsidRPr="00C75C7E">
        <w:rPr>
          <w:szCs w:val="22"/>
          <w:lang w:val="es-ES_tradnl"/>
        </w:rPr>
        <w:t>PRINCIPALES RIESGOS Y ESTRATEGIAS DE MITIGACIÓN</w:t>
      </w:r>
    </w:p>
    <w:p w:rsidR="00A80F8D" w:rsidRPr="00C75C7E" w:rsidRDefault="00A80F8D" w:rsidP="00A80F8D">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955"/>
      </w:tblGrid>
      <w:tr w:rsidR="00A80F8D" w:rsidRPr="00C75C7E" w:rsidTr="005731F4">
        <w:trPr>
          <w:trHeight w:val="638"/>
        </w:trPr>
        <w:tc>
          <w:tcPr>
            <w:tcW w:w="4400" w:type="dxa"/>
            <w:tcBorders>
              <w:top w:val="single" w:sz="4" w:space="0" w:color="auto"/>
              <w:bottom w:val="single" w:sz="4" w:space="0" w:color="auto"/>
            </w:tcBorders>
            <w:shd w:val="clear" w:color="auto" w:fill="CCFFFF"/>
            <w:vAlign w:val="center"/>
          </w:tcPr>
          <w:p w:rsidR="00A80F8D" w:rsidRPr="00C75C7E" w:rsidRDefault="00A80F8D"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Riesgos en el logro de los resultados del programa</w:t>
            </w:r>
          </w:p>
        </w:tc>
        <w:tc>
          <w:tcPr>
            <w:tcW w:w="4955" w:type="dxa"/>
            <w:tcBorders>
              <w:top w:val="single" w:sz="4" w:space="0" w:color="auto"/>
              <w:bottom w:val="single" w:sz="4" w:space="0" w:color="auto"/>
            </w:tcBorders>
            <w:shd w:val="clear" w:color="auto" w:fill="CCFFFF"/>
            <w:vAlign w:val="center"/>
          </w:tcPr>
          <w:p w:rsidR="00A80F8D" w:rsidRPr="00C75C7E" w:rsidRDefault="00A80F8D"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Planes de mitigación ejecutados o en ejecución</w:t>
            </w:r>
          </w:p>
        </w:tc>
      </w:tr>
      <w:tr w:rsidR="00A80F8D" w:rsidRPr="00C75C7E" w:rsidTr="005731F4">
        <w:trPr>
          <w:trHeight w:val="735"/>
        </w:trPr>
        <w:tc>
          <w:tcPr>
            <w:tcW w:w="4400" w:type="dxa"/>
            <w:tcBorders>
              <w:top w:val="single" w:sz="4" w:space="0" w:color="auto"/>
            </w:tcBorders>
            <w:shd w:val="clear" w:color="auto" w:fill="auto"/>
            <w:tcMar>
              <w:top w:w="113" w:type="dxa"/>
              <w:bottom w:w="113" w:type="dxa"/>
            </w:tcMar>
          </w:tcPr>
          <w:p w:rsidR="00A80F8D" w:rsidRPr="00C75C7E" w:rsidRDefault="00A80F8D" w:rsidP="008F4F69">
            <w:pPr>
              <w:widowControl w:val="0"/>
              <w:rPr>
                <w:sz w:val="16"/>
                <w:szCs w:val="16"/>
                <w:lang w:val="es-ES_tradnl"/>
              </w:rPr>
            </w:pPr>
            <w:r w:rsidRPr="00C75C7E">
              <w:rPr>
                <w:sz w:val="16"/>
                <w:szCs w:val="16"/>
                <w:lang w:val="es-ES_tradnl"/>
              </w:rPr>
              <w:t xml:space="preserve">La imposibilidad temporal o permanente de acceder a las bases de datos mundiales a consecuencia de trastornos en el servicio de Internet o fallos técnicos en la sede de la OMPI en Ginebra. </w:t>
            </w:r>
          </w:p>
          <w:p w:rsidR="00A80F8D" w:rsidRPr="00C75C7E" w:rsidRDefault="00A80F8D" w:rsidP="008F4F69">
            <w:pPr>
              <w:widowControl w:val="0"/>
              <w:autoSpaceDE w:val="0"/>
              <w:autoSpaceDN w:val="0"/>
              <w:adjustRightInd w:val="0"/>
              <w:ind w:right="-59"/>
              <w:rPr>
                <w:sz w:val="16"/>
                <w:szCs w:val="16"/>
                <w:lang w:val="es-ES_tradnl"/>
              </w:rPr>
            </w:pPr>
          </w:p>
        </w:tc>
        <w:tc>
          <w:tcPr>
            <w:tcW w:w="4955" w:type="dxa"/>
            <w:tcBorders>
              <w:top w:val="single" w:sz="4" w:space="0" w:color="auto"/>
            </w:tcBorders>
            <w:shd w:val="clear" w:color="auto" w:fill="auto"/>
            <w:tcMar>
              <w:top w:w="113" w:type="dxa"/>
              <w:bottom w:w="113" w:type="dxa"/>
            </w:tcMar>
          </w:tcPr>
          <w:p w:rsidR="00A80F8D" w:rsidRPr="00C75C7E" w:rsidRDefault="00A80F8D" w:rsidP="008F4F69">
            <w:pPr>
              <w:widowControl w:val="0"/>
              <w:rPr>
                <w:sz w:val="16"/>
                <w:szCs w:val="16"/>
                <w:lang w:val="es-ES_tradnl"/>
              </w:rPr>
            </w:pPr>
            <w:r w:rsidRPr="00C75C7E">
              <w:rPr>
                <w:sz w:val="16"/>
                <w:szCs w:val="16"/>
                <w:lang w:val="es-ES_tradnl"/>
              </w:rPr>
              <w:t>La búsqueda de posibles ubicaciones para el alojamiento de datos en las que se creen duplicados de los datos que permitan su recuperación en caso de desastres y su consulta con arreglo a criterios geográficos.  Una indagación sobre la posibilidad de disponer de un sitio espejo para mantener el acceso a los datos durante perturbaciones puntuales de las actividades.</w:t>
            </w:r>
          </w:p>
        </w:tc>
      </w:tr>
    </w:tbl>
    <w:p w:rsidR="00A80F8D" w:rsidRDefault="00A80F8D" w:rsidP="00A80F8D">
      <w:pPr>
        <w:widowControl w:val="0"/>
        <w:tabs>
          <w:tab w:val="num" w:pos="709"/>
        </w:tabs>
        <w:jc w:val="both"/>
        <w:rPr>
          <w:bCs/>
          <w:sz w:val="20"/>
          <w:lang w:val="es-ES_tradnl"/>
        </w:rPr>
      </w:pPr>
    </w:p>
    <w:p w:rsidR="00C739DE" w:rsidRPr="00C75C7E" w:rsidRDefault="00C739DE" w:rsidP="00A80F8D">
      <w:pPr>
        <w:widowControl w:val="0"/>
        <w:tabs>
          <w:tab w:val="num" w:pos="709"/>
        </w:tabs>
        <w:jc w:val="both"/>
        <w:rPr>
          <w:bCs/>
          <w:sz w:val="20"/>
          <w:lang w:val="es-ES_tradnl"/>
        </w:rPr>
      </w:pPr>
    </w:p>
    <w:p w:rsidR="00A80F8D" w:rsidRPr="00C75C7E" w:rsidRDefault="00A80F8D" w:rsidP="00C739DE">
      <w:pPr>
        <w:keepNext/>
        <w:widowControl w:val="0"/>
        <w:tabs>
          <w:tab w:val="left" w:pos="567"/>
          <w:tab w:val="left" w:pos="1985"/>
        </w:tabs>
        <w:jc w:val="both"/>
        <w:rPr>
          <w:bCs/>
          <w:sz w:val="20"/>
          <w:lang w:val="es-ES_tradnl"/>
        </w:rPr>
      </w:pPr>
      <w:r w:rsidRPr="00C75C7E">
        <w:rPr>
          <w:bCs/>
          <w:szCs w:val="22"/>
          <w:lang w:val="es-ES_tradnl"/>
        </w:rPr>
        <w:t>MARCO DE RESULTADOS</w:t>
      </w:r>
    </w:p>
    <w:p w:rsidR="00A80F8D" w:rsidRPr="00C75C7E" w:rsidRDefault="00A80F8D" w:rsidP="00C739DE">
      <w:pPr>
        <w:keepNext/>
        <w:widowControl w:val="0"/>
        <w:tabs>
          <w:tab w:val="left" w:pos="567"/>
          <w:tab w:val="left" w:pos="1985"/>
        </w:tabs>
        <w:jc w:val="both"/>
        <w:rPr>
          <w:bCs/>
          <w:sz w:val="20"/>
          <w:lang w:val="es-ES_tradnl"/>
        </w:rPr>
      </w:pPr>
    </w:p>
    <w:tbl>
      <w:tblPr>
        <w:tblW w:w="4871"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50"/>
        <w:gridCol w:w="2848"/>
        <w:gridCol w:w="2174"/>
        <w:gridCol w:w="1952"/>
      </w:tblGrid>
      <w:tr w:rsidR="00A80F8D" w:rsidRPr="00C75C7E" w:rsidTr="00C76500">
        <w:trPr>
          <w:cantSplit/>
          <w:trHeight w:val="428"/>
          <w:tblHeader/>
        </w:trPr>
        <w:tc>
          <w:tcPr>
            <w:tcW w:w="1260" w:type="pct"/>
            <w:tcBorders>
              <w:top w:val="single" w:sz="4" w:space="0" w:color="auto"/>
              <w:bottom w:val="single" w:sz="4" w:space="0" w:color="auto"/>
            </w:tcBorders>
            <w:shd w:val="clear" w:color="auto" w:fill="CCFFFF"/>
            <w:vAlign w:val="center"/>
          </w:tcPr>
          <w:p w:rsidR="00A80F8D" w:rsidRPr="00C75C7E" w:rsidRDefault="00A80F8D" w:rsidP="00C739DE">
            <w:pPr>
              <w:keepNext/>
              <w:widowControl w:val="0"/>
              <w:spacing w:after="120"/>
              <w:jc w:val="center"/>
              <w:rPr>
                <w:b/>
                <w:bCs/>
                <w:sz w:val="18"/>
                <w:szCs w:val="18"/>
                <w:lang w:val="es-ES_tradnl"/>
              </w:rPr>
            </w:pPr>
            <w:r w:rsidRPr="00C75C7E">
              <w:rPr>
                <w:b/>
                <w:bCs/>
                <w:sz w:val="18"/>
                <w:szCs w:val="18"/>
                <w:lang w:val="es-ES_tradnl"/>
              </w:rPr>
              <w:t>Resultados previstos</w:t>
            </w:r>
          </w:p>
        </w:tc>
        <w:tc>
          <w:tcPr>
            <w:tcW w:w="1527" w:type="pct"/>
            <w:tcBorders>
              <w:top w:val="single" w:sz="4" w:space="0" w:color="auto"/>
              <w:bottom w:val="single" w:sz="4" w:space="0" w:color="auto"/>
            </w:tcBorders>
            <w:shd w:val="clear" w:color="auto" w:fill="CCFFFF"/>
            <w:tcMar>
              <w:top w:w="110" w:type="dxa"/>
            </w:tcMar>
            <w:vAlign w:val="center"/>
          </w:tcPr>
          <w:p w:rsidR="00A80F8D" w:rsidRPr="00C75C7E" w:rsidRDefault="00A80F8D" w:rsidP="00C739DE">
            <w:pPr>
              <w:keepNext/>
              <w:widowControl w:val="0"/>
              <w:spacing w:after="120"/>
              <w:jc w:val="center"/>
              <w:rPr>
                <w:b/>
                <w:sz w:val="18"/>
                <w:szCs w:val="18"/>
                <w:lang w:val="es-ES_tradnl"/>
              </w:rPr>
            </w:pPr>
            <w:r w:rsidRPr="00C75C7E">
              <w:rPr>
                <w:b/>
                <w:sz w:val="18"/>
                <w:szCs w:val="18"/>
                <w:lang w:val="es-ES_tradnl"/>
              </w:rPr>
              <w:t>Indicador de rendimiento</w:t>
            </w:r>
          </w:p>
        </w:tc>
        <w:tc>
          <w:tcPr>
            <w:tcW w:w="1166" w:type="pct"/>
            <w:tcBorders>
              <w:top w:val="single" w:sz="4" w:space="0" w:color="auto"/>
              <w:bottom w:val="single" w:sz="4" w:space="0" w:color="auto"/>
            </w:tcBorders>
            <w:shd w:val="clear" w:color="auto" w:fill="CCFFFF"/>
            <w:tcMar>
              <w:top w:w="110" w:type="dxa"/>
            </w:tcMar>
            <w:vAlign w:val="center"/>
          </w:tcPr>
          <w:p w:rsidR="00A80F8D" w:rsidRPr="00C75C7E" w:rsidRDefault="00A80F8D" w:rsidP="00C76500">
            <w:pPr>
              <w:keepNext/>
              <w:widowControl w:val="0"/>
              <w:spacing w:after="120"/>
              <w:ind w:left="85"/>
              <w:rPr>
                <w:sz w:val="18"/>
                <w:szCs w:val="18"/>
                <w:lang w:val="es-ES_tradnl"/>
              </w:rPr>
            </w:pPr>
            <w:r w:rsidRPr="00C75C7E">
              <w:rPr>
                <w:b/>
                <w:bCs/>
                <w:sz w:val="18"/>
                <w:szCs w:val="18"/>
                <w:lang w:val="es-ES_tradnl"/>
              </w:rPr>
              <w:t>Referencia</w:t>
            </w:r>
          </w:p>
        </w:tc>
        <w:tc>
          <w:tcPr>
            <w:tcW w:w="1047" w:type="pct"/>
            <w:tcBorders>
              <w:top w:val="single" w:sz="4" w:space="0" w:color="auto"/>
              <w:bottom w:val="single" w:sz="4" w:space="0" w:color="auto"/>
            </w:tcBorders>
            <w:shd w:val="clear" w:color="auto" w:fill="CCFFFF"/>
            <w:tcMar>
              <w:top w:w="110" w:type="dxa"/>
            </w:tcMar>
            <w:vAlign w:val="center"/>
          </w:tcPr>
          <w:p w:rsidR="00A80F8D" w:rsidRPr="00C75C7E" w:rsidRDefault="00A80F8D" w:rsidP="00C76500">
            <w:pPr>
              <w:keepNext/>
              <w:widowControl w:val="0"/>
              <w:tabs>
                <w:tab w:val="left" w:pos="1919"/>
              </w:tabs>
              <w:spacing w:after="120"/>
              <w:ind w:right="51"/>
              <w:rPr>
                <w:b/>
                <w:bCs/>
                <w:sz w:val="18"/>
                <w:szCs w:val="18"/>
                <w:lang w:val="es-ES_tradnl"/>
              </w:rPr>
            </w:pPr>
            <w:r w:rsidRPr="00C75C7E">
              <w:rPr>
                <w:b/>
                <w:bCs/>
                <w:sz w:val="18"/>
                <w:szCs w:val="18"/>
                <w:lang w:val="es-ES_tradnl"/>
              </w:rPr>
              <w:t>Objetivos</w:t>
            </w:r>
          </w:p>
        </w:tc>
      </w:tr>
      <w:tr w:rsidR="00A80F8D" w:rsidRPr="00C75C7E" w:rsidTr="008F4F69">
        <w:trPr>
          <w:cantSplit/>
        </w:trPr>
        <w:tc>
          <w:tcPr>
            <w:tcW w:w="1260" w:type="pct"/>
            <w:tcBorders>
              <w:top w:val="single" w:sz="4" w:space="0" w:color="auto"/>
            </w:tcBorders>
            <w:shd w:val="clear" w:color="auto" w:fill="auto"/>
          </w:tcPr>
          <w:p w:rsidR="00A80F8D" w:rsidRPr="00C75C7E" w:rsidRDefault="00A80F8D" w:rsidP="008F4F69">
            <w:pPr>
              <w:widowControl w:val="0"/>
              <w:rPr>
                <w:sz w:val="16"/>
                <w:szCs w:val="16"/>
                <w:lang w:val="es-ES_tradnl"/>
              </w:rPr>
            </w:pPr>
            <w:r w:rsidRPr="00C75C7E">
              <w:rPr>
                <w:sz w:val="16"/>
                <w:szCs w:val="16"/>
                <w:lang w:val="es-ES_tradnl"/>
              </w:rPr>
              <w:t>IV.2. Mejora del acceso y uso de información y conocimientos de P.I. por parte de instituciones de P.I. y el público para fomentar la innovación y la creatividad.</w:t>
            </w:r>
          </w:p>
        </w:tc>
        <w:tc>
          <w:tcPr>
            <w:tcW w:w="1527" w:type="pct"/>
            <w:tcBorders>
              <w:top w:val="single" w:sz="4" w:space="0" w:color="auto"/>
            </w:tcBorders>
            <w:shd w:val="clear" w:color="auto" w:fill="auto"/>
            <w:tcMar>
              <w:top w:w="110" w:type="dxa"/>
            </w:tcMar>
          </w:tcPr>
          <w:p w:rsidR="00A80F8D" w:rsidRPr="00C75C7E" w:rsidRDefault="00A80F8D" w:rsidP="008F4F69">
            <w:pPr>
              <w:widowControl w:val="0"/>
              <w:rPr>
                <w:sz w:val="16"/>
                <w:szCs w:val="16"/>
                <w:lang w:val="es-ES_tradnl"/>
              </w:rPr>
            </w:pPr>
            <w:r w:rsidRPr="00C75C7E">
              <w:rPr>
                <w:sz w:val="16"/>
                <w:szCs w:val="16"/>
                <w:lang w:val="es-ES_tradnl"/>
              </w:rPr>
              <w:t>Número de usuarios por trimestre en todos los sistemas (PATENTSCOPE/Base Mundial de Datos sobre Marcas).</w:t>
            </w:r>
          </w:p>
        </w:tc>
        <w:tc>
          <w:tcPr>
            <w:tcW w:w="1166" w:type="pct"/>
            <w:tcBorders>
              <w:top w:val="single" w:sz="4" w:space="0" w:color="auto"/>
            </w:tcBorders>
            <w:shd w:val="clear" w:color="auto" w:fill="FFFFFF"/>
            <w:tcMar>
              <w:top w:w="110" w:type="dxa"/>
            </w:tcMar>
          </w:tcPr>
          <w:p w:rsidR="00A80F8D" w:rsidRPr="00C75C7E" w:rsidRDefault="00A80F8D" w:rsidP="008F4F69">
            <w:pPr>
              <w:widowControl w:val="0"/>
              <w:rPr>
                <w:sz w:val="16"/>
                <w:szCs w:val="16"/>
                <w:lang w:val="es-ES_tradnl" w:bidi="th-TH"/>
              </w:rPr>
            </w:pPr>
            <w:r w:rsidRPr="00C75C7E">
              <w:rPr>
                <w:sz w:val="16"/>
                <w:szCs w:val="16"/>
                <w:lang w:val="es-ES_tradnl" w:bidi="th-TH"/>
              </w:rPr>
              <w:t>PATENTSCOPE</w:t>
            </w:r>
            <w:r w:rsidR="00F73403">
              <w:rPr>
                <w:sz w:val="16"/>
                <w:szCs w:val="16"/>
                <w:lang w:val="es-ES_tradnl" w:bidi="th-TH"/>
              </w:rPr>
              <w:t>:</w:t>
            </w:r>
            <w:r w:rsidRPr="00C75C7E">
              <w:rPr>
                <w:sz w:val="16"/>
                <w:szCs w:val="16"/>
                <w:lang w:val="es-ES_tradnl" w:bidi="th-TH"/>
              </w:rPr>
              <w:t xml:space="preserve"> 566.782 Base Mundial de Datos sobre Marcas</w:t>
            </w:r>
            <w:r w:rsidR="00F73403">
              <w:rPr>
                <w:sz w:val="16"/>
                <w:szCs w:val="16"/>
                <w:lang w:val="es-ES_tradnl" w:bidi="th-TH"/>
              </w:rPr>
              <w:t>:</w:t>
            </w:r>
            <w:r w:rsidRPr="00C75C7E">
              <w:rPr>
                <w:sz w:val="16"/>
                <w:szCs w:val="16"/>
                <w:lang w:val="es-ES_tradnl" w:bidi="th-TH"/>
              </w:rPr>
              <w:t xml:space="preserve"> 13.339 usuarios distintos (cuarto trimestre de  2012)</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rPr>
            </w:pPr>
          </w:p>
        </w:tc>
        <w:tc>
          <w:tcPr>
            <w:tcW w:w="1047" w:type="pct"/>
            <w:tcBorders>
              <w:top w:val="single" w:sz="4" w:space="0" w:color="auto"/>
            </w:tcBorders>
            <w:shd w:val="clear" w:color="auto" w:fill="auto"/>
            <w:tcMar>
              <w:top w:w="110" w:type="dxa"/>
            </w:tcMar>
          </w:tcPr>
          <w:p w:rsidR="00A80F8D" w:rsidRPr="00C75C7E" w:rsidRDefault="00A80F8D" w:rsidP="008F4F69">
            <w:pPr>
              <w:widowControl w:val="0"/>
              <w:ind w:right="381"/>
              <w:rPr>
                <w:bCs/>
                <w:sz w:val="16"/>
                <w:szCs w:val="16"/>
                <w:lang w:val="es-ES_tradnl"/>
              </w:rPr>
            </w:pPr>
            <w:r w:rsidRPr="00C75C7E">
              <w:rPr>
                <w:bCs/>
                <w:sz w:val="16"/>
                <w:szCs w:val="16"/>
                <w:lang w:val="es-ES_tradnl"/>
              </w:rPr>
              <w:t>PATENTSCOPE</w:t>
            </w:r>
            <w:r w:rsidR="00F73403">
              <w:rPr>
                <w:bCs/>
                <w:sz w:val="16"/>
                <w:szCs w:val="16"/>
                <w:lang w:val="es-ES_tradnl"/>
              </w:rPr>
              <w:t>:</w:t>
            </w:r>
            <w:r w:rsidRPr="00C75C7E">
              <w:rPr>
                <w:bCs/>
                <w:sz w:val="16"/>
                <w:szCs w:val="16"/>
                <w:lang w:val="es-ES_tradnl"/>
              </w:rPr>
              <w:t xml:space="preserve"> 650.000 </w:t>
            </w:r>
          </w:p>
          <w:p w:rsidR="00A80F8D" w:rsidRPr="00C75C7E" w:rsidRDefault="00A80F8D" w:rsidP="008F4F69">
            <w:pPr>
              <w:widowControl w:val="0"/>
              <w:ind w:right="381"/>
              <w:rPr>
                <w:bCs/>
                <w:sz w:val="16"/>
                <w:szCs w:val="16"/>
                <w:lang w:val="es-ES_tradnl"/>
              </w:rPr>
            </w:pPr>
            <w:r w:rsidRPr="00C75C7E">
              <w:rPr>
                <w:bCs/>
                <w:sz w:val="16"/>
                <w:szCs w:val="16"/>
                <w:lang w:val="es-ES_tradnl"/>
              </w:rPr>
              <w:t>Base Mundial de Datos sobre Marcas</w:t>
            </w:r>
            <w:r w:rsidR="00F73403">
              <w:rPr>
                <w:bCs/>
                <w:sz w:val="16"/>
                <w:szCs w:val="16"/>
                <w:lang w:val="es-ES_tradnl"/>
              </w:rPr>
              <w:t>:</w:t>
            </w:r>
            <w:r w:rsidRPr="00C75C7E">
              <w:rPr>
                <w:bCs/>
                <w:sz w:val="16"/>
                <w:szCs w:val="16"/>
                <w:lang w:val="es-ES_tradnl"/>
              </w:rPr>
              <w:t xml:space="preserve"> 20.000 usuarios distintos por trimestre</w:t>
            </w:r>
          </w:p>
        </w:tc>
      </w:tr>
      <w:tr w:rsidR="00A80F8D" w:rsidRPr="00C75C7E" w:rsidTr="008F4F69">
        <w:trPr>
          <w:cantSplit/>
        </w:trPr>
        <w:tc>
          <w:tcPr>
            <w:tcW w:w="1260" w:type="pct"/>
            <w:shd w:val="clear" w:color="auto" w:fill="auto"/>
          </w:tcPr>
          <w:p w:rsidR="00A80F8D" w:rsidRPr="00C75C7E" w:rsidRDefault="00A80F8D" w:rsidP="008F4F69">
            <w:pPr>
              <w:widowControl w:val="0"/>
              <w:rPr>
                <w:sz w:val="16"/>
                <w:szCs w:val="16"/>
                <w:lang w:val="es-ES_tradnl"/>
              </w:rPr>
            </w:pPr>
          </w:p>
        </w:tc>
        <w:tc>
          <w:tcPr>
            <w:tcW w:w="1527" w:type="pct"/>
            <w:shd w:val="clear" w:color="auto" w:fill="auto"/>
            <w:tcMar>
              <w:top w:w="110" w:type="dxa"/>
            </w:tcMar>
          </w:tcPr>
          <w:p w:rsidR="00A80F8D" w:rsidRPr="00C75C7E" w:rsidRDefault="00A80F8D" w:rsidP="008F4F69">
            <w:pPr>
              <w:widowControl w:val="0"/>
              <w:rPr>
                <w:sz w:val="16"/>
                <w:szCs w:val="16"/>
                <w:lang w:val="es-ES_tradnl"/>
              </w:rPr>
            </w:pPr>
            <w:r w:rsidRPr="00C75C7E">
              <w:rPr>
                <w:sz w:val="16"/>
                <w:szCs w:val="16"/>
                <w:lang w:val="es-ES_tradnl"/>
              </w:rPr>
              <w:t>Número de idiomas en los que se pueden efectuar búsquedas plurilingües.</w:t>
            </w:r>
          </w:p>
        </w:tc>
        <w:tc>
          <w:tcPr>
            <w:tcW w:w="1166" w:type="pct"/>
            <w:shd w:val="clear" w:color="auto" w:fill="FFFFFF"/>
            <w:tcMar>
              <w:top w:w="110" w:type="dxa"/>
            </w:tcMar>
          </w:tcPr>
          <w:p w:rsidR="00A80F8D" w:rsidRPr="00C75C7E" w:rsidRDefault="00A80F8D" w:rsidP="008F4F69">
            <w:pPr>
              <w:widowControl w:val="0"/>
              <w:rPr>
                <w:sz w:val="16"/>
                <w:szCs w:val="16"/>
                <w:lang w:val="es-ES_tradnl" w:bidi="th-TH"/>
              </w:rPr>
            </w:pPr>
            <w:r w:rsidRPr="00C75C7E">
              <w:rPr>
                <w:sz w:val="16"/>
                <w:szCs w:val="16"/>
                <w:lang w:val="es-ES_tradnl" w:bidi="th-TH"/>
              </w:rPr>
              <w:t>12 (febrero de 2013).</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rPr>
            </w:pPr>
          </w:p>
        </w:tc>
        <w:tc>
          <w:tcPr>
            <w:tcW w:w="1047" w:type="pct"/>
            <w:shd w:val="clear" w:color="auto" w:fill="auto"/>
            <w:tcMar>
              <w:top w:w="110" w:type="dxa"/>
            </w:tcMar>
          </w:tcPr>
          <w:p w:rsidR="00A80F8D" w:rsidRPr="00C75C7E" w:rsidRDefault="00A80F8D" w:rsidP="008F4F69">
            <w:pPr>
              <w:widowControl w:val="0"/>
              <w:tabs>
                <w:tab w:val="left" w:pos="2051"/>
              </w:tabs>
              <w:ind w:right="381"/>
              <w:rPr>
                <w:bCs/>
                <w:sz w:val="16"/>
                <w:szCs w:val="16"/>
                <w:lang w:val="es-ES_tradnl"/>
              </w:rPr>
            </w:pPr>
            <w:r w:rsidRPr="00C75C7E">
              <w:rPr>
                <w:bCs/>
                <w:sz w:val="16"/>
                <w:szCs w:val="16"/>
                <w:lang w:val="es-ES_tradnl"/>
              </w:rPr>
              <w:t>13</w:t>
            </w:r>
          </w:p>
        </w:tc>
      </w:tr>
      <w:tr w:rsidR="00A80F8D" w:rsidRPr="00C75C7E" w:rsidTr="008F4F69">
        <w:trPr>
          <w:cantSplit/>
        </w:trPr>
        <w:tc>
          <w:tcPr>
            <w:tcW w:w="1260" w:type="pct"/>
            <w:shd w:val="clear" w:color="auto" w:fill="auto"/>
          </w:tcPr>
          <w:p w:rsidR="00A80F8D" w:rsidRPr="00C75C7E" w:rsidRDefault="00A80F8D" w:rsidP="008F4F69">
            <w:pPr>
              <w:widowControl w:val="0"/>
              <w:rPr>
                <w:sz w:val="16"/>
                <w:szCs w:val="16"/>
                <w:lang w:val="es-ES_tradnl"/>
              </w:rPr>
            </w:pPr>
          </w:p>
        </w:tc>
        <w:tc>
          <w:tcPr>
            <w:tcW w:w="1527" w:type="pct"/>
            <w:shd w:val="clear" w:color="auto" w:fill="auto"/>
            <w:tcMar>
              <w:top w:w="110" w:type="dxa"/>
            </w:tcMar>
          </w:tcPr>
          <w:p w:rsidR="00A80F8D" w:rsidRPr="00C75C7E" w:rsidRDefault="00A80F8D" w:rsidP="008F4F69">
            <w:pPr>
              <w:widowControl w:val="0"/>
              <w:rPr>
                <w:sz w:val="16"/>
                <w:szCs w:val="16"/>
                <w:lang w:val="es-ES_tradnl"/>
              </w:rPr>
            </w:pPr>
            <w:r w:rsidRPr="00C75C7E">
              <w:rPr>
                <w:sz w:val="16"/>
                <w:szCs w:val="16"/>
                <w:lang w:val="es-ES_tradnl"/>
              </w:rPr>
              <w:t>Número de pares de idiomas disponibles para la traducción automática de títulos y resúmenes.</w:t>
            </w:r>
          </w:p>
          <w:p w:rsidR="00A80F8D" w:rsidRPr="00C75C7E" w:rsidRDefault="00A80F8D" w:rsidP="008F4F69">
            <w:pPr>
              <w:widowControl w:val="0"/>
              <w:rPr>
                <w:sz w:val="16"/>
                <w:szCs w:val="16"/>
                <w:lang w:val="es-ES_tradnl"/>
              </w:rPr>
            </w:pPr>
          </w:p>
        </w:tc>
        <w:tc>
          <w:tcPr>
            <w:tcW w:w="1166" w:type="pct"/>
            <w:shd w:val="clear" w:color="auto" w:fill="FFFFFF"/>
            <w:tcMar>
              <w:top w:w="110" w:type="dxa"/>
            </w:tcMar>
          </w:tcPr>
          <w:p w:rsidR="00A80F8D" w:rsidRPr="00C75C7E" w:rsidRDefault="00A80F8D" w:rsidP="008F4F69">
            <w:pPr>
              <w:widowControl w:val="0"/>
              <w:rPr>
                <w:sz w:val="16"/>
                <w:szCs w:val="16"/>
                <w:lang w:val="es-ES_tradnl" w:bidi="th-TH"/>
              </w:rPr>
            </w:pPr>
            <w:r w:rsidRPr="00C75C7E">
              <w:rPr>
                <w:sz w:val="16"/>
                <w:szCs w:val="16"/>
                <w:lang w:val="es-ES_tradnl" w:bidi="th-TH"/>
              </w:rPr>
              <w:t>2 (febrero de 2013).</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rPr>
            </w:pPr>
          </w:p>
        </w:tc>
        <w:tc>
          <w:tcPr>
            <w:tcW w:w="1047" w:type="pct"/>
            <w:shd w:val="clear" w:color="auto" w:fill="auto"/>
            <w:tcMar>
              <w:top w:w="110" w:type="dxa"/>
            </w:tcMar>
          </w:tcPr>
          <w:p w:rsidR="00A80F8D" w:rsidRPr="00C75C7E" w:rsidRDefault="00A80F8D" w:rsidP="008F4F69">
            <w:pPr>
              <w:widowControl w:val="0"/>
              <w:ind w:right="51"/>
              <w:rPr>
                <w:bCs/>
                <w:sz w:val="16"/>
                <w:szCs w:val="16"/>
                <w:lang w:val="es-ES_tradnl"/>
              </w:rPr>
            </w:pPr>
            <w:r w:rsidRPr="00C75C7E">
              <w:rPr>
                <w:bCs/>
                <w:sz w:val="16"/>
                <w:szCs w:val="16"/>
                <w:lang w:val="es-ES_tradnl"/>
              </w:rPr>
              <w:t>5</w:t>
            </w:r>
          </w:p>
        </w:tc>
      </w:tr>
      <w:tr w:rsidR="00A80F8D" w:rsidRPr="00C75C7E" w:rsidTr="008F4F69">
        <w:trPr>
          <w:cantSplit/>
          <w:trHeight w:val="618"/>
        </w:trPr>
        <w:tc>
          <w:tcPr>
            <w:tcW w:w="1260" w:type="pct"/>
            <w:shd w:val="clear" w:color="auto" w:fill="auto"/>
          </w:tcPr>
          <w:p w:rsidR="00A80F8D" w:rsidRPr="00C75C7E" w:rsidRDefault="00A80F8D" w:rsidP="008F4F69">
            <w:pPr>
              <w:widowControl w:val="0"/>
              <w:rPr>
                <w:sz w:val="16"/>
                <w:szCs w:val="16"/>
                <w:lang w:val="es-ES_tradnl"/>
              </w:rPr>
            </w:pPr>
            <w:r w:rsidRPr="00C75C7E">
              <w:rPr>
                <w:sz w:val="16"/>
                <w:szCs w:val="16"/>
                <w:lang w:val="es-ES_tradnl"/>
              </w:rPr>
              <w:t>IV.3. Amplia cobertura geográfica en cuanto al contenido y al uso de las bases de datos mundiales de la OMPI en materia de P.I.</w:t>
            </w:r>
          </w:p>
        </w:tc>
        <w:tc>
          <w:tcPr>
            <w:tcW w:w="1527" w:type="pct"/>
            <w:shd w:val="clear" w:color="auto" w:fill="auto"/>
            <w:tcMar>
              <w:top w:w="110" w:type="dxa"/>
            </w:tcMar>
          </w:tcPr>
          <w:p w:rsidR="00A80F8D" w:rsidRPr="00C75C7E" w:rsidRDefault="00A80F8D" w:rsidP="008F4F69">
            <w:pPr>
              <w:widowControl w:val="0"/>
              <w:rPr>
                <w:sz w:val="16"/>
                <w:szCs w:val="16"/>
                <w:lang w:val="es-ES_tradnl"/>
              </w:rPr>
            </w:pPr>
            <w:r w:rsidRPr="00C75C7E">
              <w:rPr>
                <w:sz w:val="16"/>
                <w:szCs w:val="16"/>
                <w:lang w:val="es-ES_tradnl"/>
              </w:rPr>
              <w:t>Número de registros contenidos en PATENSCOPE.</w:t>
            </w:r>
          </w:p>
        </w:tc>
        <w:tc>
          <w:tcPr>
            <w:tcW w:w="1166" w:type="pct"/>
            <w:shd w:val="clear" w:color="auto" w:fill="FFFFFF"/>
            <w:tcMar>
              <w:top w:w="110" w:type="dxa"/>
            </w:tcMar>
          </w:tcPr>
          <w:p w:rsidR="00A80F8D" w:rsidRPr="00C75C7E" w:rsidRDefault="00A80F8D" w:rsidP="008F4F69">
            <w:pPr>
              <w:widowControl w:val="0"/>
              <w:rPr>
                <w:sz w:val="16"/>
                <w:szCs w:val="16"/>
                <w:lang w:val="es-ES_tradnl" w:bidi="th-TH"/>
              </w:rPr>
            </w:pPr>
            <w:r w:rsidRPr="00C75C7E">
              <w:rPr>
                <w:sz w:val="16"/>
                <w:szCs w:val="16"/>
                <w:lang w:val="es-ES_tradnl" w:bidi="th-TH"/>
              </w:rPr>
              <w:t>18.733.406 (febrero de 2013).</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rPr>
            </w:pPr>
          </w:p>
        </w:tc>
        <w:tc>
          <w:tcPr>
            <w:tcW w:w="1047" w:type="pct"/>
            <w:shd w:val="clear" w:color="auto" w:fill="auto"/>
            <w:tcMar>
              <w:top w:w="110" w:type="dxa"/>
            </w:tcMar>
          </w:tcPr>
          <w:p w:rsidR="00A80F8D" w:rsidRPr="00C75C7E" w:rsidRDefault="00A80F8D" w:rsidP="008F4F69">
            <w:pPr>
              <w:widowControl w:val="0"/>
              <w:ind w:right="161"/>
              <w:rPr>
                <w:bCs/>
                <w:sz w:val="16"/>
                <w:szCs w:val="16"/>
                <w:lang w:val="es-ES_tradnl"/>
              </w:rPr>
            </w:pPr>
            <w:r w:rsidRPr="00C75C7E">
              <w:rPr>
                <w:bCs/>
                <w:sz w:val="16"/>
                <w:szCs w:val="16"/>
                <w:lang w:val="es-ES_tradnl"/>
              </w:rPr>
              <w:t>40.000.000</w:t>
            </w:r>
          </w:p>
        </w:tc>
      </w:tr>
      <w:tr w:rsidR="00A80F8D" w:rsidRPr="00C75C7E" w:rsidTr="008F4F69">
        <w:trPr>
          <w:cantSplit/>
          <w:trHeight w:val="623"/>
        </w:trPr>
        <w:tc>
          <w:tcPr>
            <w:tcW w:w="1260" w:type="pct"/>
            <w:shd w:val="clear" w:color="auto" w:fill="auto"/>
          </w:tcPr>
          <w:p w:rsidR="00A80F8D" w:rsidRPr="00C75C7E" w:rsidRDefault="00A80F8D" w:rsidP="008F4F69">
            <w:pPr>
              <w:widowControl w:val="0"/>
              <w:rPr>
                <w:sz w:val="16"/>
                <w:szCs w:val="16"/>
                <w:lang w:val="es-ES_tradnl"/>
              </w:rPr>
            </w:pPr>
          </w:p>
        </w:tc>
        <w:tc>
          <w:tcPr>
            <w:tcW w:w="1527" w:type="pct"/>
            <w:shd w:val="clear" w:color="auto" w:fill="auto"/>
            <w:tcMar>
              <w:top w:w="110" w:type="dxa"/>
            </w:tcMar>
          </w:tcPr>
          <w:p w:rsidR="00A80F8D" w:rsidRPr="00C75C7E" w:rsidRDefault="00A80F8D" w:rsidP="008F4F69">
            <w:pPr>
              <w:widowControl w:val="0"/>
              <w:rPr>
                <w:sz w:val="16"/>
                <w:szCs w:val="16"/>
                <w:lang w:val="es-ES_tradnl"/>
              </w:rPr>
            </w:pPr>
            <w:r w:rsidRPr="00C75C7E">
              <w:rPr>
                <w:sz w:val="16"/>
                <w:szCs w:val="16"/>
                <w:lang w:val="es-ES_tradnl"/>
              </w:rPr>
              <w:t>Número de registros que figuran en la Base Mundial de Datos sobre Marcas.</w:t>
            </w:r>
          </w:p>
        </w:tc>
        <w:tc>
          <w:tcPr>
            <w:tcW w:w="1166" w:type="pct"/>
            <w:shd w:val="clear" w:color="auto" w:fill="FFFFFF"/>
            <w:tcMar>
              <w:top w:w="110" w:type="dxa"/>
            </w:tcMar>
          </w:tcPr>
          <w:p w:rsidR="00A80F8D" w:rsidRPr="00C75C7E" w:rsidRDefault="00A80F8D" w:rsidP="008F4F69">
            <w:pPr>
              <w:widowControl w:val="0"/>
              <w:rPr>
                <w:sz w:val="16"/>
                <w:szCs w:val="16"/>
                <w:lang w:val="es-ES_tradnl" w:bidi="th-TH"/>
              </w:rPr>
            </w:pPr>
            <w:r w:rsidRPr="00C75C7E">
              <w:rPr>
                <w:sz w:val="16"/>
                <w:szCs w:val="16"/>
                <w:lang w:val="es-ES_tradnl" w:bidi="th-TH"/>
              </w:rPr>
              <w:t>10.928.326 (febrero de 2013).</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bidi="th-TH"/>
              </w:rPr>
            </w:pPr>
          </w:p>
        </w:tc>
        <w:tc>
          <w:tcPr>
            <w:tcW w:w="1047" w:type="pct"/>
            <w:shd w:val="clear" w:color="auto" w:fill="auto"/>
            <w:tcMar>
              <w:top w:w="110" w:type="dxa"/>
            </w:tcMar>
          </w:tcPr>
          <w:p w:rsidR="00A80F8D" w:rsidRPr="00C75C7E" w:rsidRDefault="00A80F8D" w:rsidP="008F4F69">
            <w:pPr>
              <w:widowControl w:val="0"/>
              <w:ind w:right="161"/>
              <w:rPr>
                <w:bCs/>
                <w:sz w:val="16"/>
                <w:szCs w:val="16"/>
                <w:lang w:val="es-ES_tradnl"/>
              </w:rPr>
            </w:pPr>
            <w:r w:rsidRPr="00C75C7E">
              <w:rPr>
                <w:bCs/>
                <w:sz w:val="16"/>
                <w:szCs w:val="16"/>
                <w:lang w:val="es-ES_tradnl"/>
              </w:rPr>
              <w:t>20.000.000</w:t>
            </w:r>
          </w:p>
        </w:tc>
      </w:tr>
      <w:tr w:rsidR="00A80F8D" w:rsidRPr="00C75C7E" w:rsidTr="008F4F69">
        <w:trPr>
          <w:cantSplit/>
          <w:trHeight w:val="421"/>
        </w:trPr>
        <w:tc>
          <w:tcPr>
            <w:tcW w:w="1260" w:type="pct"/>
            <w:shd w:val="clear" w:color="auto" w:fill="auto"/>
          </w:tcPr>
          <w:p w:rsidR="00A80F8D" w:rsidRPr="00C75C7E" w:rsidRDefault="00A80F8D" w:rsidP="008F4F69">
            <w:pPr>
              <w:widowControl w:val="0"/>
              <w:rPr>
                <w:sz w:val="16"/>
                <w:szCs w:val="16"/>
                <w:lang w:val="es-ES_tradnl"/>
              </w:rPr>
            </w:pPr>
          </w:p>
        </w:tc>
        <w:tc>
          <w:tcPr>
            <w:tcW w:w="1527" w:type="pct"/>
            <w:shd w:val="clear" w:color="auto" w:fill="auto"/>
            <w:tcMar>
              <w:top w:w="110" w:type="dxa"/>
            </w:tcMar>
          </w:tcPr>
          <w:p w:rsidR="00A80F8D" w:rsidRPr="00C75C7E" w:rsidRDefault="00A80F8D" w:rsidP="008F4F69">
            <w:pPr>
              <w:widowControl w:val="0"/>
              <w:rPr>
                <w:sz w:val="16"/>
                <w:szCs w:val="16"/>
                <w:lang w:val="es-ES_tradnl"/>
              </w:rPr>
            </w:pPr>
            <w:r w:rsidRPr="00C75C7E">
              <w:rPr>
                <w:sz w:val="16"/>
                <w:szCs w:val="16"/>
                <w:lang w:val="es-ES_tradnl"/>
              </w:rPr>
              <w:t>Número de colecciones nacionales en PATENTSCOPE.</w:t>
            </w:r>
          </w:p>
        </w:tc>
        <w:tc>
          <w:tcPr>
            <w:tcW w:w="1166" w:type="pct"/>
            <w:shd w:val="clear" w:color="auto" w:fill="FFFFFF"/>
            <w:tcMar>
              <w:top w:w="110" w:type="dxa"/>
            </w:tcMar>
          </w:tcPr>
          <w:p w:rsidR="00A80F8D" w:rsidRPr="00C75C7E" w:rsidRDefault="00A80F8D" w:rsidP="008F4F69">
            <w:pPr>
              <w:widowControl w:val="0"/>
              <w:rPr>
                <w:sz w:val="16"/>
                <w:szCs w:val="16"/>
                <w:lang w:val="es-ES_tradnl" w:bidi="th-TH"/>
              </w:rPr>
            </w:pPr>
            <w:r w:rsidRPr="00C75C7E">
              <w:rPr>
                <w:sz w:val="16"/>
                <w:szCs w:val="16"/>
                <w:lang w:val="es-ES_tradnl" w:bidi="th-TH"/>
              </w:rPr>
              <w:t>27 (febrero de 2013).</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bidi="th-TH"/>
              </w:rPr>
            </w:pPr>
          </w:p>
        </w:tc>
        <w:tc>
          <w:tcPr>
            <w:tcW w:w="1047" w:type="pct"/>
            <w:shd w:val="clear" w:color="auto" w:fill="auto"/>
            <w:tcMar>
              <w:top w:w="110" w:type="dxa"/>
            </w:tcMar>
          </w:tcPr>
          <w:p w:rsidR="00A80F8D" w:rsidRPr="00C75C7E" w:rsidRDefault="00A80F8D" w:rsidP="008F4F69">
            <w:pPr>
              <w:widowControl w:val="0"/>
              <w:ind w:right="161"/>
              <w:rPr>
                <w:bCs/>
                <w:sz w:val="16"/>
                <w:szCs w:val="16"/>
                <w:lang w:val="es-ES_tradnl"/>
              </w:rPr>
            </w:pPr>
            <w:r w:rsidRPr="00C75C7E">
              <w:rPr>
                <w:bCs/>
                <w:sz w:val="16"/>
                <w:szCs w:val="16"/>
                <w:lang w:val="es-ES_tradnl"/>
              </w:rPr>
              <w:t>35</w:t>
            </w:r>
          </w:p>
        </w:tc>
      </w:tr>
      <w:tr w:rsidR="00A80F8D" w:rsidRPr="00C75C7E" w:rsidTr="008F4F69">
        <w:trPr>
          <w:cantSplit/>
          <w:trHeight w:val="483"/>
        </w:trPr>
        <w:tc>
          <w:tcPr>
            <w:tcW w:w="1260" w:type="pct"/>
            <w:shd w:val="clear" w:color="auto" w:fill="auto"/>
          </w:tcPr>
          <w:p w:rsidR="00A80F8D" w:rsidRPr="00C75C7E" w:rsidRDefault="00A80F8D" w:rsidP="008F4F69">
            <w:pPr>
              <w:widowControl w:val="0"/>
              <w:rPr>
                <w:sz w:val="16"/>
                <w:szCs w:val="16"/>
                <w:lang w:val="es-ES_tradnl"/>
              </w:rPr>
            </w:pPr>
          </w:p>
        </w:tc>
        <w:tc>
          <w:tcPr>
            <w:tcW w:w="1527" w:type="pct"/>
            <w:shd w:val="clear" w:color="auto" w:fill="auto"/>
            <w:tcMar>
              <w:top w:w="110" w:type="dxa"/>
            </w:tcMar>
          </w:tcPr>
          <w:p w:rsidR="00A80F8D" w:rsidRPr="00C75C7E" w:rsidRDefault="00A80F8D" w:rsidP="008F4F69">
            <w:pPr>
              <w:widowControl w:val="0"/>
              <w:rPr>
                <w:sz w:val="16"/>
                <w:szCs w:val="16"/>
                <w:lang w:val="es-ES_tradnl"/>
              </w:rPr>
            </w:pPr>
            <w:r w:rsidRPr="00C75C7E">
              <w:rPr>
                <w:sz w:val="16"/>
                <w:szCs w:val="16"/>
                <w:lang w:val="es-ES_tradnl"/>
              </w:rPr>
              <w:t>Número de colecciones nacionales en la Base Mundial de Datos sobre Marcas.</w:t>
            </w:r>
          </w:p>
        </w:tc>
        <w:tc>
          <w:tcPr>
            <w:tcW w:w="1166" w:type="pct"/>
            <w:shd w:val="clear" w:color="auto" w:fill="FFFFFF"/>
            <w:tcMar>
              <w:top w:w="110" w:type="dxa"/>
            </w:tcMar>
          </w:tcPr>
          <w:p w:rsidR="00A80F8D" w:rsidRPr="00C75C7E" w:rsidRDefault="00A80F8D" w:rsidP="008F4F69">
            <w:pPr>
              <w:widowControl w:val="0"/>
              <w:rPr>
                <w:sz w:val="16"/>
                <w:szCs w:val="16"/>
                <w:lang w:val="es-ES_tradnl" w:bidi="th-TH"/>
              </w:rPr>
            </w:pPr>
            <w:r w:rsidRPr="00C75C7E">
              <w:rPr>
                <w:sz w:val="16"/>
                <w:szCs w:val="16"/>
                <w:lang w:val="es-ES_tradnl" w:bidi="th-TH"/>
              </w:rPr>
              <w:t>9 (febrero de 2013).</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bidi="th-TH"/>
              </w:rPr>
            </w:pPr>
          </w:p>
        </w:tc>
        <w:tc>
          <w:tcPr>
            <w:tcW w:w="1047" w:type="pct"/>
            <w:shd w:val="clear" w:color="auto" w:fill="auto"/>
            <w:tcMar>
              <w:top w:w="110" w:type="dxa"/>
            </w:tcMar>
          </w:tcPr>
          <w:p w:rsidR="00A80F8D" w:rsidRPr="00C75C7E" w:rsidRDefault="00A80F8D" w:rsidP="008F4F69">
            <w:pPr>
              <w:widowControl w:val="0"/>
              <w:ind w:right="161"/>
              <w:rPr>
                <w:bCs/>
                <w:sz w:val="16"/>
                <w:szCs w:val="16"/>
                <w:lang w:val="es-ES_tradnl"/>
              </w:rPr>
            </w:pPr>
            <w:r w:rsidRPr="00C75C7E">
              <w:rPr>
                <w:bCs/>
                <w:sz w:val="16"/>
                <w:szCs w:val="16"/>
                <w:lang w:val="es-ES_tradnl"/>
              </w:rPr>
              <w:t>18</w:t>
            </w:r>
          </w:p>
        </w:tc>
      </w:tr>
    </w:tbl>
    <w:p w:rsidR="00A80F8D" w:rsidRDefault="00A80F8D" w:rsidP="00A80F8D">
      <w:pPr>
        <w:widowControl w:val="0"/>
        <w:rPr>
          <w:sz w:val="20"/>
          <w:lang w:val="es-ES_tradnl"/>
        </w:rPr>
      </w:pPr>
    </w:p>
    <w:p w:rsidR="00C76500" w:rsidRDefault="00C76500" w:rsidP="00A80F8D">
      <w:pPr>
        <w:widowControl w:val="0"/>
        <w:rPr>
          <w:sz w:val="20"/>
          <w:lang w:val="es-ES_tradnl"/>
        </w:rPr>
      </w:pPr>
    </w:p>
    <w:p w:rsidR="00C76500" w:rsidRPr="00CA3895" w:rsidRDefault="00C76500" w:rsidP="00C76500">
      <w:pPr>
        <w:widowControl w:val="0"/>
        <w:autoSpaceDE w:val="0"/>
        <w:autoSpaceDN w:val="0"/>
        <w:adjustRightInd w:val="0"/>
        <w:jc w:val="both"/>
        <w:rPr>
          <w:szCs w:val="22"/>
        </w:rPr>
      </w:pPr>
      <w:r w:rsidRPr="00CA3895">
        <w:rPr>
          <w:szCs w:val="22"/>
        </w:rPr>
        <w:t>RECURSOS PARA EL PROGRAMA 13</w:t>
      </w:r>
    </w:p>
    <w:p w:rsidR="00C76500" w:rsidRPr="00CA3895" w:rsidRDefault="00C76500" w:rsidP="00C76500">
      <w:pPr>
        <w:widowControl w:val="0"/>
        <w:autoSpaceDE w:val="0"/>
        <w:autoSpaceDN w:val="0"/>
        <w:adjustRightInd w:val="0"/>
        <w:rPr>
          <w:sz w:val="20"/>
        </w:rPr>
      </w:pPr>
    </w:p>
    <w:p w:rsidR="00C76500" w:rsidRPr="005731F4" w:rsidRDefault="00C76500" w:rsidP="00C76500">
      <w:pPr>
        <w:widowControl w:val="0"/>
        <w:numPr>
          <w:ilvl w:val="0"/>
          <w:numId w:val="35"/>
        </w:numPr>
        <w:autoSpaceDE w:val="0"/>
        <w:autoSpaceDN w:val="0"/>
        <w:adjustRightInd w:val="0"/>
        <w:jc w:val="both"/>
        <w:rPr>
          <w:rFonts w:eastAsia="Times New Roman"/>
          <w:sz w:val="20"/>
          <w:lang w:eastAsia="en-US"/>
        </w:rPr>
      </w:pPr>
      <w:r w:rsidRPr="005731F4">
        <w:rPr>
          <w:rFonts w:eastAsia="Times New Roman"/>
          <w:sz w:val="20"/>
          <w:lang w:eastAsia="en-US"/>
        </w:rPr>
        <w:t xml:space="preserve">Los aumentos en los recursos totales </w:t>
      </w:r>
      <w:r w:rsidR="00560B8E">
        <w:rPr>
          <w:rFonts w:eastAsia="Times New Roman"/>
          <w:sz w:val="20"/>
          <w:lang w:eastAsia="en-US"/>
        </w:rPr>
        <w:t>del programa, respecto de</w:t>
      </w:r>
      <w:r w:rsidRPr="005731F4">
        <w:rPr>
          <w:rFonts w:eastAsia="Times New Roman"/>
          <w:sz w:val="20"/>
          <w:lang w:eastAsia="en-US"/>
        </w:rPr>
        <w:t xml:space="preserve"> los resultados IV.2 (Mejora del acceso y uso de información y conocimientos de P.I.) y IV.3 (Amplia cobertura geográfica de las bases de datos mundiales de la OMPI en materia de P.I.) se deben principalmente a la redistribución interna de los recursos para apoyar la elaboración de la Base Mundial de Datos sobre Marcas, así como a un aumento en los recursos no relativos al personal en la línea "Locales y mantenimiento" que guardan relación con el perfeccionamiento del motor de búsqueda de la base de datos PATENTSCOPE.</w:t>
      </w:r>
    </w:p>
    <w:p w:rsidR="00C76500" w:rsidRPr="00F039C2" w:rsidRDefault="00C76500" w:rsidP="00C76500">
      <w:pPr>
        <w:widowControl w:val="0"/>
        <w:jc w:val="both"/>
        <w:rPr>
          <w:sz w:val="20"/>
        </w:rPr>
      </w:pPr>
    </w:p>
    <w:p w:rsidR="00C76500" w:rsidRPr="00C76500" w:rsidRDefault="00C76500" w:rsidP="00A80F8D">
      <w:pPr>
        <w:widowControl w:val="0"/>
        <w:rPr>
          <w:sz w:val="20"/>
        </w:rPr>
      </w:pPr>
    </w:p>
    <w:p w:rsidR="00A80F8D" w:rsidRPr="00C75C7E" w:rsidRDefault="00C76500" w:rsidP="00A80F8D">
      <w:pPr>
        <w:widowControl w:val="0"/>
        <w:autoSpaceDE w:val="0"/>
        <w:autoSpaceDN w:val="0"/>
        <w:adjustRightInd w:val="0"/>
        <w:ind w:firstLine="567"/>
        <w:jc w:val="center"/>
        <w:rPr>
          <w:b/>
          <w:bCs/>
          <w:iCs/>
          <w:sz w:val="20"/>
          <w:lang w:val="es-ES_tradnl"/>
        </w:rPr>
      </w:pPr>
      <w:r>
        <w:rPr>
          <w:b/>
          <w:bCs/>
          <w:iCs/>
          <w:sz w:val="20"/>
          <w:lang w:val="es-ES_tradnl"/>
        </w:rPr>
        <w:t>Programa 13</w:t>
      </w:r>
      <w:proofErr w:type="gramStart"/>
      <w:r>
        <w:rPr>
          <w:b/>
          <w:bCs/>
          <w:iCs/>
          <w:sz w:val="20"/>
          <w:lang w:val="es-ES_tradnl"/>
        </w:rPr>
        <w:t xml:space="preserve">:  </w:t>
      </w:r>
      <w:r w:rsidR="00A80F8D" w:rsidRPr="00C75C7E">
        <w:rPr>
          <w:b/>
          <w:bCs/>
          <w:iCs/>
          <w:sz w:val="20"/>
          <w:lang w:val="es-ES_tradnl"/>
        </w:rPr>
        <w:t>Recursos</w:t>
      </w:r>
      <w:proofErr w:type="gramEnd"/>
      <w:r w:rsidR="00A80F8D" w:rsidRPr="00C75C7E">
        <w:rPr>
          <w:b/>
          <w:bCs/>
          <w:iCs/>
          <w:sz w:val="20"/>
          <w:lang w:val="es-ES_tradnl"/>
        </w:rPr>
        <w:t xml:space="preserve"> por resultado</w:t>
      </w:r>
    </w:p>
    <w:p w:rsidR="00A80F8D" w:rsidRPr="00C75C7E" w:rsidRDefault="00A80F8D" w:rsidP="00A80F8D">
      <w:pPr>
        <w:widowControl w:val="0"/>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A80F8D" w:rsidRPr="00C75C7E" w:rsidRDefault="00A80F8D" w:rsidP="00A80F8D">
      <w:pPr>
        <w:widowControl w:val="0"/>
        <w:autoSpaceDE w:val="0"/>
        <w:autoSpaceDN w:val="0"/>
        <w:adjustRightInd w:val="0"/>
        <w:jc w:val="center"/>
        <w:rPr>
          <w:sz w:val="20"/>
          <w:lang w:val="es-ES_tradnl"/>
        </w:rPr>
      </w:pPr>
    </w:p>
    <w:p w:rsidR="00A80F8D" w:rsidRPr="00C75C7E" w:rsidRDefault="00C40A11" w:rsidP="00A80F8D">
      <w:pPr>
        <w:widowControl w:val="0"/>
        <w:autoSpaceDE w:val="0"/>
        <w:autoSpaceDN w:val="0"/>
        <w:adjustRightInd w:val="0"/>
        <w:jc w:val="center"/>
        <w:rPr>
          <w:sz w:val="20"/>
          <w:lang w:val="es-ES_tradnl"/>
        </w:rPr>
      </w:pPr>
      <w:r>
        <w:rPr>
          <w:noProof/>
          <w:lang w:val="en-US" w:eastAsia="en-US"/>
        </w:rPr>
        <w:drawing>
          <wp:inline distT="0" distB="0" distL="0" distR="0" wp14:anchorId="01FA7010" wp14:editId="7FA9C7A3">
            <wp:extent cx="5905500" cy="1609725"/>
            <wp:effectExtent l="0" t="0" r="0" b="9525"/>
            <wp:docPr id="49"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907830" cy="1610360"/>
                    </a:xfrm>
                    <a:prstGeom prst="rect">
                      <a:avLst/>
                    </a:prstGeom>
                    <a:noFill/>
                    <a:ln>
                      <a:noFill/>
                    </a:ln>
                  </pic:spPr>
                </pic:pic>
              </a:graphicData>
            </a:graphic>
          </wp:inline>
        </w:drawing>
      </w:r>
    </w:p>
    <w:p w:rsidR="00A80F8D" w:rsidRPr="00C75C7E" w:rsidRDefault="00A80F8D" w:rsidP="00A80F8D">
      <w:pPr>
        <w:widowControl w:val="0"/>
        <w:autoSpaceDE w:val="0"/>
        <w:autoSpaceDN w:val="0"/>
        <w:adjustRightInd w:val="0"/>
        <w:jc w:val="center"/>
        <w:rPr>
          <w:sz w:val="20"/>
          <w:lang w:val="es-ES_tradnl"/>
        </w:rPr>
      </w:pPr>
    </w:p>
    <w:p w:rsidR="00A80F8D" w:rsidRPr="00C75C7E" w:rsidRDefault="00A80F8D" w:rsidP="00A80F8D">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w:t>
      </w:r>
      <w:r>
        <w:rPr>
          <w:sz w:val="16"/>
          <w:szCs w:val="16"/>
          <w:lang w:val="es-ES_tradnl"/>
        </w:rPr>
        <w:t xml:space="preserve"> </w:t>
      </w:r>
      <w:r w:rsidRPr="00C75C7E">
        <w:rPr>
          <w:sz w:val="16"/>
          <w:szCs w:val="16"/>
          <w:lang w:val="es-ES_tradnl"/>
        </w:rPr>
        <w:t xml:space="preserve"> 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A80F8D" w:rsidRPr="00C75C7E" w:rsidRDefault="00A80F8D" w:rsidP="00A80F8D">
      <w:pPr>
        <w:widowControl w:val="0"/>
        <w:autoSpaceDE w:val="0"/>
        <w:autoSpaceDN w:val="0"/>
        <w:adjustRightInd w:val="0"/>
        <w:rPr>
          <w:sz w:val="20"/>
          <w:lang w:val="es-ES_tradnl"/>
        </w:rPr>
      </w:pPr>
    </w:p>
    <w:p w:rsidR="00A80F8D" w:rsidRPr="00C75C7E" w:rsidRDefault="00A80F8D" w:rsidP="00A80F8D">
      <w:pPr>
        <w:widowControl w:val="0"/>
        <w:jc w:val="both"/>
        <w:rPr>
          <w:sz w:val="20"/>
          <w:lang w:val="es-ES_tradnl"/>
        </w:rPr>
      </w:pPr>
    </w:p>
    <w:p w:rsidR="00A80F8D" w:rsidRPr="00C75C7E" w:rsidRDefault="00C76500" w:rsidP="00400B23">
      <w:pPr>
        <w:keepNext/>
        <w:widowControl w:val="0"/>
        <w:autoSpaceDE w:val="0"/>
        <w:autoSpaceDN w:val="0"/>
        <w:adjustRightInd w:val="0"/>
        <w:jc w:val="center"/>
        <w:rPr>
          <w:b/>
          <w:bCs/>
          <w:iCs/>
          <w:sz w:val="20"/>
          <w:lang w:val="es-ES_tradnl"/>
        </w:rPr>
      </w:pPr>
      <w:r>
        <w:rPr>
          <w:b/>
          <w:bCs/>
          <w:iCs/>
          <w:sz w:val="20"/>
          <w:lang w:val="es-ES_tradnl"/>
        </w:rPr>
        <w:lastRenderedPageBreak/>
        <w:t>Programa 13</w:t>
      </w:r>
      <w:proofErr w:type="gramStart"/>
      <w:r>
        <w:rPr>
          <w:b/>
          <w:bCs/>
          <w:iCs/>
          <w:sz w:val="20"/>
          <w:lang w:val="es-ES_tradnl"/>
        </w:rPr>
        <w:t xml:space="preserve">:  </w:t>
      </w:r>
      <w:r w:rsidR="00A80F8D" w:rsidRPr="00C75C7E">
        <w:rPr>
          <w:b/>
          <w:bCs/>
          <w:iCs/>
          <w:sz w:val="20"/>
          <w:lang w:val="es-ES_tradnl"/>
        </w:rPr>
        <w:t>Recursos</w:t>
      </w:r>
      <w:proofErr w:type="gramEnd"/>
      <w:r w:rsidR="00A80F8D" w:rsidRPr="00C75C7E">
        <w:rPr>
          <w:b/>
          <w:bCs/>
          <w:iCs/>
          <w:sz w:val="20"/>
          <w:lang w:val="es-ES_tradnl"/>
        </w:rPr>
        <w:t xml:space="preserve"> por objeto de gasto</w:t>
      </w:r>
    </w:p>
    <w:p w:rsidR="00A80F8D" w:rsidRDefault="00A80F8D" w:rsidP="00400B23">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1E5683" w:rsidRDefault="001E5683" w:rsidP="00400B23">
      <w:pPr>
        <w:keepNext/>
        <w:widowControl w:val="0"/>
        <w:autoSpaceDE w:val="0"/>
        <w:autoSpaceDN w:val="0"/>
        <w:adjustRightInd w:val="0"/>
        <w:jc w:val="center"/>
        <w:rPr>
          <w:bCs/>
          <w:i/>
          <w:sz w:val="20"/>
          <w:lang w:val="es-ES_tradnl"/>
        </w:rPr>
      </w:pPr>
    </w:p>
    <w:p w:rsidR="001E5683" w:rsidRPr="00C75C7E" w:rsidRDefault="00C40A11" w:rsidP="00400B23">
      <w:pPr>
        <w:keepNext/>
        <w:widowControl w:val="0"/>
        <w:autoSpaceDE w:val="0"/>
        <w:autoSpaceDN w:val="0"/>
        <w:adjustRightInd w:val="0"/>
        <w:jc w:val="center"/>
        <w:rPr>
          <w:bCs/>
          <w:i/>
          <w:sz w:val="20"/>
          <w:lang w:val="es-ES_tradnl"/>
        </w:rPr>
      </w:pPr>
      <w:r>
        <w:rPr>
          <w:noProof/>
          <w:lang w:val="en-US" w:eastAsia="en-US"/>
        </w:rPr>
        <w:drawing>
          <wp:inline distT="0" distB="0" distL="0" distR="0" wp14:anchorId="2F5CB067" wp14:editId="11E83750">
            <wp:extent cx="5936615" cy="5739130"/>
            <wp:effectExtent l="0" t="0" r="698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A80F8D" w:rsidRPr="00C75C7E" w:rsidRDefault="00A80F8D" w:rsidP="00400B23">
      <w:pPr>
        <w:keepNext/>
        <w:widowControl w:val="0"/>
        <w:rPr>
          <w:sz w:val="20"/>
          <w:lang w:val="es-ES_tradnl"/>
        </w:rPr>
      </w:pPr>
    </w:p>
    <w:p w:rsidR="00A80F8D" w:rsidRPr="00C75C7E" w:rsidRDefault="00A80F8D" w:rsidP="00A80F8D">
      <w:pPr>
        <w:widowControl w:val="0"/>
        <w:rPr>
          <w:sz w:val="16"/>
          <w:szCs w:val="16"/>
          <w:lang w:val="es-ES_tradnl"/>
        </w:rPr>
      </w:pPr>
      <w:r w:rsidRPr="00C75C7E">
        <w:rPr>
          <w:sz w:val="16"/>
          <w:szCs w:val="16"/>
          <w:lang w:val="es-ES_tradnl"/>
        </w:rPr>
        <w:t>Notas:</w:t>
      </w:r>
    </w:p>
    <w:p w:rsidR="00A80F8D" w:rsidRPr="00C75C7E" w:rsidRDefault="00A80F8D" w:rsidP="00A80F8D">
      <w:pPr>
        <w:widowControl w:val="0"/>
        <w:rPr>
          <w:sz w:val="16"/>
          <w:szCs w:val="16"/>
          <w:u w:val="single"/>
          <w:lang w:val="es-ES_tradnl"/>
        </w:rPr>
      </w:pPr>
    </w:p>
    <w:p w:rsidR="00A80F8D" w:rsidRDefault="00387962" w:rsidP="00A80F8D">
      <w:pPr>
        <w:widowControl w:val="0"/>
        <w:rPr>
          <w:sz w:val="16"/>
          <w:szCs w:val="16"/>
          <w:lang w:val="es-ES_tradnl"/>
        </w:rPr>
      </w:pPr>
      <w:r>
        <w:rPr>
          <w:sz w:val="16"/>
          <w:szCs w:val="16"/>
          <w:lang w:val="es-ES_tradnl"/>
        </w:rPr>
        <w:t xml:space="preserve">1)  </w:t>
      </w:r>
      <w:r w:rsidR="00A80F8D" w:rsidRPr="00C75C7E">
        <w:rPr>
          <w:sz w:val="16"/>
          <w:szCs w:val="16"/>
          <w:lang w:val="es-ES_tradnl"/>
        </w:rPr>
        <w:t xml:space="preserve">El presupuesto aprobado de 2012/13 y el presupuesto de dicho bienio después de las transferencias se </w:t>
      </w:r>
      <w:proofErr w:type="spellStart"/>
      <w:r w:rsidR="00A80F8D" w:rsidRPr="00C75C7E">
        <w:rPr>
          <w:sz w:val="16"/>
          <w:szCs w:val="16"/>
          <w:lang w:val="es-ES_tradnl"/>
        </w:rPr>
        <w:t>reexpresan</w:t>
      </w:r>
      <w:proofErr w:type="spellEnd"/>
      <w:r w:rsidR="00A80F8D" w:rsidRPr="00C75C7E">
        <w:rPr>
          <w:sz w:val="16"/>
          <w:szCs w:val="16"/>
          <w:lang w:val="es-ES_tradnl"/>
        </w:rPr>
        <w:t xml:space="preserve"> sobre la base de la estructura de categorías de costos propuesta para 2014/15.</w:t>
      </w:r>
    </w:p>
    <w:p w:rsidR="00D86F03" w:rsidRPr="00C75C7E" w:rsidRDefault="00D86F03" w:rsidP="00A80F8D">
      <w:pPr>
        <w:widowControl w:val="0"/>
        <w:rPr>
          <w:sz w:val="16"/>
          <w:szCs w:val="16"/>
          <w:lang w:val="es-ES_tradnl"/>
        </w:rPr>
      </w:pPr>
    </w:p>
    <w:p w:rsidR="00A80F8D" w:rsidRDefault="00A80F8D" w:rsidP="00A80F8D">
      <w:pPr>
        <w:widowControl w:val="0"/>
        <w:rPr>
          <w:rFonts w:cs="ArialMT"/>
          <w:sz w:val="16"/>
          <w:szCs w:val="16"/>
          <w:lang w:val="es-ES_tradnl"/>
        </w:rPr>
      </w:pPr>
      <w:r>
        <w:rPr>
          <w:sz w:val="16"/>
          <w:szCs w:val="16"/>
          <w:lang w:val="es-ES_tradnl"/>
        </w:rPr>
        <w:t>2)</w:t>
      </w:r>
      <w:r w:rsidR="00387962">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w:t>
      </w:r>
      <w:r w:rsidR="00D86F03">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Los costos de personal del presupuesto de 2012/13 después de las transferencias representan los gastos reales efectuados hasta el 31 de marzo de 2013 y los importes presupuestados para los nueve meses restantes de 2013, sobre la base de costos estándar.</w:t>
      </w:r>
    </w:p>
    <w:p w:rsidR="00A80F8D" w:rsidRPr="00C75C7E" w:rsidRDefault="00A80F8D" w:rsidP="00A80F8D">
      <w:pPr>
        <w:widowControl w:val="0"/>
        <w:rPr>
          <w:sz w:val="16"/>
          <w:szCs w:val="16"/>
          <w:lang w:val="es-ES_tradnl"/>
        </w:rPr>
      </w:pPr>
    </w:p>
    <w:p w:rsidR="00A80F8D" w:rsidRPr="00C75C7E" w:rsidRDefault="00A80F8D" w:rsidP="00A80F8D">
      <w:pPr>
        <w:widowControl w:val="0"/>
        <w:rPr>
          <w:sz w:val="16"/>
          <w:szCs w:val="16"/>
          <w:lang w:val="es-ES_tradnl"/>
        </w:rPr>
      </w:pPr>
      <w:r w:rsidRPr="00C75C7E">
        <w:rPr>
          <w:sz w:val="16"/>
          <w:szCs w:val="16"/>
          <w:lang w:val="es-ES_tradnl"/>
        </w:rPr>
        <w:t>3)  Para más información sobre los puestos del programa cabe remitirse al cuadro que figura en el Anexo II.</w:t>
      </w:r>
    </w:p>
    <w:p w:rsidR="00C739DE" w:rsidRPr="008F43DB" w:rsidRDefault="00A80F8D" w:rsidP="008F43DB">
      <w:pPr>
        <w:pStyle w:val="Heading3"/>
        <w:tabs>
          <w:tab w:val="left" w:pos="1985"/>
        </w:tabs>
        <w:ind w:left="1985" w:hanging="1985"/>
        <w:rPr>
          <w:b/>
          <w:iCs/>
          <w:caps/>
          <w:u w:val="none"/>
        </w:rPr>
      </w:pPr>
      <w:r w:rsidRPr="00C75C7E">
        <w:rPr>
          <w:sz w:val="20"/>
          <w:lang w:val="es-ES_tradnl"/>
        </w:rPr>
        <w:br w:type="page"/>
      </w:r>
      <w:bookmarkStart w:id="57" w:name="_Toc366078728"/>
      <w:bookmarkStart w:id="58" w:name="_Toc356567764"/>
      <w:r w:rsidR="006A15F5" w:rsidRPr="008F43DB">
        <w:rPr>
          <w:b/>
          <w:iCs/>
          <w:u w:val="none"/>
        </w:rPr>
        <w:lastRenderedPageBreak/>
        <w:t>PROGRAMA 14</w:t>
      </w:r>
      <w:r w:rsidR="006A15F5" w:rsidRPr="008F43DB">
        <w:rPr>
          <w:b/>
          <w:iCs/>
          <w:u w:val="none"/>
        </w:rPr>
        <w:tab/>
        <w:t>SERVICIOS DE ACCESO A LA INFORMACIÓN Y A LOS CONOCIMIENTOS</w:t>
      </w:r>
      <w:bookmarkEnd w:id="57"/>
      <w:r w:rsidR="006A15F5" w:rsidRPr="008F43DB">
        <w:rPr>
          <w:b/>
          <w:iCs/>
          <w:u w:val="none"/>
        </w:rPr>
        <w:t xml:space="preserve"> </w:t>
      </w:r>
      <w:bookmarkEnd w:id="58"/>
    </w:p>
    <w:p w:rsidR="00C739DE" w:rsidRPr="00F039C2" w:rsidRDefault="00C739DE" w:rsidP="00C739DE">
      <w:pPr>
        <w:widowControl w:val="0"/>
        <w:rPr>
          <w:sz w:val="20"/>
        </w:rPr>
      </w:pPr>
    </w:p>
    <w:p w:rsidR="00C739DE" w:rsidRPr="00F039C2" w:rsidRDefault="00C739DE" w:rsidP="00C739DE">
      <w:pPr>
        <w:widowControl w:val="0"/>
        <w:rPr>
          <w:sz w:val="20"/>
        </w:rPr>
      </w:pPr>
    </w:p>
    <w:p w:rsidR="00C739DE" w:rsidRPr="00CA3895" w:rsidRDefault="00C739DE" w:rsidP="00C739DE">
      <w:pPr>
        <w:pStyle w:val="BodyTextIndent"/>
        <w:widowControl w:val="0"/>
        <w:ind w:left="1985" w:hanging="1985"/>
        <w:jc w:val="both"/>
        <w:rPr>
          <w:rFonts w:ascii="Arial" w:hAnsi="Arial" w:cs="Arial"/>
          <w:sz w:val="22"/>
          <w:szCs w:val="22"/>
          <w:lang w:val="es-ES"/>
        </w:rPr>
      </w:pPr>
      <w:r w:rsidRPr="00CA3895">
        <w:rPr>
          <w:rFonts w:ascii="Arial" w:hAnsi="Arial" w:cs="Arial"/>
          <w:sz w:val="22"/>
          <w:szCs w:val="22"/>
          <w:lang w:val="es-ES"/>
        </w:rPr>
        <w:t xml:space="preserve">CONTEXTO DE PLANIFICACIÓN </w:t>
      </w:r>
    </w:p>
    <w:p w:rsidR="00C739DE" w:rsidRPr="00CA3895" w:rsidRDefault="00C739DE" w:rsidP="00C739DE">
      <w:pPr>
        <w:widowControl w:val="0"/>
        <w:rPr>
          <w:sz w:val="20"/>
        </w:rPr>
      </w:pPr>
    </w:p>
    <w:p w:rsidR="00C739DE" w:rsidRPr="00F039C2" w:rsidRDefault="00C739DE" w:rsidP="00BA276E">
      <w:pPr>
        <w:widowControl w:val="0"/>
        <w:numPr>
          <w:ilvl w:val="0"/>
          <w:numId w:val="37"/>
        </w:numPr>
        <w:jc w:val="both"/>
        <w:rPr>
          <w:bCs/>
          <w:sz w:val="20"/>
        </w:rPr>
      </w:pPr>
      <w:r>
        <w:rPr>
          <w:bCs/>
          <w:sz w:val="20"/>
        </w:rPr>
        <w:t xml:space="preserve">Al reconocer </w:t>
      </w:r>
      <w:r w:rsidRPr="00F039C2">
        <w:rPr>
          <w:bCs/>
          <w:sz w:val="20"/>
        </w:rPr>
        <w:t xml:space="preserve">la vital importancia del acceso a la información sobre tecnología en aras del desarrollo, así como las necesidades de los países en desarrollo y los países menos adelantados de fortalecer la capacidad nacional para la protección de las innovaciones a través de instituciones de P.I. eficaces, el programa tiene por objeto:  i) facilitar el acceso a herramientas de búsqueda y bases de datos de patentes y de otro tipo;  ii) fomentar la competencia </w:t>
      </w:r>
      <w:r>
        <w:rPr>
          <w:bCs/>
          <w:sz w:val="20"/>
        </w:rPr>
        <w:t xml:space="preserve">de cada país </w:t>
      </w:r>
      <w:r w:rsidRPr="00F039C2">
        <w:rPr>
          <w:bCs/>
          <w:sz w:val="20"/>
        </w:rPr>
        <w:t>para buscar y aprovechar con eficacia la información sobre tecnología con el objetivo concreto de reducir la brecha de los conocimientos y asistir a los países en desarrollo y los menos adelantados a participar más plenamente en la economía mundial de los conocimientos;  iii) prestar servicios que ofrecen información básica y con valor añadido sobre patentes que no es fácil de conseguir o cuya obtención, análisis y evaluación se necesitan conocimientos especializados;  y iv) facilitar el acceso a los resultados del examen en otras  instituciones de P.I.</w:t>
      </w:r>
    </w:p>
    <w:p w:rsidR="00C739DE" w:rsidRPr="00F039C2" w:rsidRDefault="00C739DE" w:rsidP="00C739DE">
      <w:pPr>
        <w:widowControl w:val="0"/>
        <w:jc w:val="both"/>
        <w:rPr>
          <w:bCs/>
          <w:sz w:val="20"/>
        </w:rPr>
      </w:pPr>
    </w:p>
    <w:p w:rsidR="00C739DE" w:rsidRPr="00F039C2" w:rsidRDefault="00C739DE" w:rsidP="00BA276E">
      <w:pPr>
        <w:widowControl w:val="0"/>
        <w:numPr>
          <w:ilvl w:val="0"/>
          <w:numId w:val="37"/>
        </w:numPr>
        <w:jc w:val="both"/>
        <w:rPr>
          <w:bCs/>
          <w:sz w:val="20"/>
        </w:rPr>
      </w:pPr>
      <w:r w:rsidRPr="00F039C2">
        <w:rPr>
          <w:bCs/>
          <w:sz w:val="20"/>
        </w:rPr>
        <w:t xml:space="preserve">Se ha efectuado una importante contribución a la mejora del acceso a servicios de bases de datos de patentes y de otro tipo en los países </w:t>
      </w:r>
      <w:r>
        <w:rPr>
          <w:bCs/>
          <w:sz w:val="20"/>
        </w:rPr>
        <w:t>en d</w:t>
      </w:r>
      <w:r w:rsidRPr="00F039C2">
        <w:rPr>
          <w:bCs/>
          <w:sz w:val="20"/>
        </w:rPr>
        <w:t>esarroll</w:t>
      </w:r>
      <w:r>
        <w:rPr>
          <w:bCs/>
          <w:sz w:val="20"/>
        </w:rPr>
        <w:t>o</w:t>
      </w:r>
      <w:r w:rsidRPr="00F039C2">
        <w:rPr>
          <w:bCs/>
          <w:sz w:val="20"/>
        </w:rPr>
        <w:t xml:space="preserve"> y los menos adelantados a través de los programas de </w:t>
      </w:r>
      <w:r w:rsidRPr="00633A34">
        <w:rPr>
          <w:bCs/>
          <w:sz w:val="20"/>
        </w:rPr>
        <w:t>Acceso a la Investigación para el Desarrollo y la Innovación</w:t>
      </w:r>
      <w:r w:rsidRPr="00F039C2">
        <w:rPr>
          <w:bCs/>
          <w:sz w:val="20"/>
        </w:rPr>
        <w:t xml:space="preserve"> (ARDI) y de Acceso a la Información Especializada sobre Patentes (ASPI), que </w:t>
      </w:r>
      <w:r>
        <w:rPr>
          <w:bCs/>
          <w:sz w:val="20"/>
        </w:rPr>
        <w:t xml:space="preserve">permiten a </w:t>
      </w:r>
      <w:r w:rsidRPr="00F039C2">
        <w:rPr>
          <w:bCs/>
          <w:sz w:val="20"/>
        </w:rPr>
        <w:t>las oficinas e instituciones de patentes en el ámbito nacional</w:t>
      </w:r>
      <w:r>
        <w:rPr>
          <w:bCs/>
          <w:sz w:val="20"/>
        </w:rPr>
        <w:t xml:space="preserve"> </w:t>
      </w:r>
      <w:r w:rsidRPr="00F039C2">
        <w:rPr>
          <w:bCs/>
          <w:sz w:val="20"/>
        </w:rPr>
        <w:t>tener acceso a importantes publicaciones científicas y técnicas y a sofisticadas herramientas de búsqueda y análisis de patentes, respectivamente, de manera gratuita o a precios módicos.</w:t>
      </w:r>
    </w:p>
    <w:p w:rsidR="00C739DE" w:rsidRPr="00F039C2" w:rsidRDefault="00C739DE" w:rsidP="00C739DE">
      <w:pPr>
        <w:widowControl w:val="0"/>
        <w:jc w:val="both"/>
        <w:rPr>
          <w:bCs/>
          <w:sz w:val="20"/>
        </w:rPr>
      </w:pPr>
    </w:p>
    <w:p w:rsidR="00C739DE" w:rsidRPr="00F039C2" w:rsidRDefault="00C739DE" w:rsidP="00BA276E">
      <w:pPr>
        <w:widowControl w:val="0"/>
        <w:numPr>
          <w:ilvl w:val="0"/>
          <w:numId w:val="37"/>
        </w:numPr>
        <w:jc w:val="both"/>
        <w:rPr>
          <w:bCs/>
          <w:sz w:val="20"/>
        </w:rPr>
      </w:pPr>
      <w:r w:rsidRPr="00F039C2">
        <w:rPr>
          <w:bCs/>
          <w:sz w:val="20"/>
        </w:rPr>
        <w:t xml:space="preserve">  El establecimiento de redes nacionales de centros de apoyo a la tecnología y la innovación (CATI) ha sentado las bases, además, para ofrecer servicios de información sobre tecnología a escala local dirigidos a inventores particulares, pequeñas y medianas empresas y otras partes interesadas pertinentes.  Un programa estructurado de capacitación para el personal de los CATI y la </w:t>
      </w:r>
      <w:r>
        <w:rPr>
          <w:bCs/>
          <w:sz w:val="20"/>
        </w:rPr>
        <w:t xml:space="preserve">habilitación </w:t>
      </w:r>
      <w:r w:rsidRPr="00F039C2">
        <w:rPr>
          <w:bCs/>
          <w:sz w:val="20"/>
        </w:rPr>
        <w:t>de recursos complementarios, entre los que cabe mencionar los cursos de enseñanza a distancia de</w:t>
      </w:r>
      <w:r w:rsidR="00C76500">
        <w:rPr>
          <w:bCs/>
          <w:sz w:val="20"/>
        </w:rPr>
        <w:t xml:space="preserve"> la Academia </w:t>
      </w:r>
      <w:r w:rsidRPr="00F039C2">
        <w:rPr>
          <w:bCs/>
          <w:sz w:val="20"/>
        </w:rPr>
        <w:t xml:space="preserve">de la OMPI, así como distintos materiales de sensibilización, han contribuido a la eficaz prestación de servicios principales por parte de los CATI. </w:t>
      </w:r>
    </w:p>
    <w:p w:rsidR="00C739DE" w:rsidRPr="00F039C2" w:rsidRDefault="00C739DE" w:rsidP="00C739DE">
      <w:pPr>
        <w:widowControl w:val="0"/>
        <w:jc w:val="both"/>
        <w:rPr>
          <w:bCs/>
          <w:sz w:val="20"/>
        </w:rPr>
      </w:pPr>
    </w:p>
    <w:p w:rsidR="00C739DE" w:rsidRPr="00F039C2" w:rsidRDefault="00C739DE" w:rsidP="00BA276E">
      <w:pPr>
        <w:widowControl w:val="0"/>
        <w:numPr>
          <w:ilvl w:val="0"/>
          <w:numId w:val="37"/>
        </w:numPr>
        <w:jc w:val="both"/>
        <w:rPr>
          <w:bCs/>
          <w:sz w:val="20"/>
        </w:rPr>
      </w:pPr>
      <w:r w:rsidRPr="00F039C2">
        <w:rPr>
          <w:bCs/>
          <w:sz w:val="20"/>
        </w:rPr>
        <w:t xml:space="preserve">Los </w:t>
      </w:r>
      <w:r>
        <w:rPr>
          <w:bCs/>
          <w:sz w:val="20"/>
        </w:rPr>
        <w:t xml:space="preserve">amplios </w:t>
      </w:r>
      <w:r w:rsidRPr="00F039C2">
        <w:rPr>
          <w:bCs/>
          <w:sz w:val="20"/>
        </w:rPr>
        <w:t xml:space="preserve">avances logrados hasta la fecha reflejan una sólida demanda impulsada por los Estados miembros que se acentuará y se remodelará a lo largo del próximo bienio a fin de consolidar y garantizar la sostenibilidad a largo plazo de los servicios de apoyo a la innovación principales y secundarios que prestan los CATI. </w:t>
      </w:r>
    </w:p>
    <w:p w:rsidR="00C739DE" w:rsidRPr="00F039C2" w:rsidRDefault="00C739DE" w:rsidP="00C739DE">
      <w:pPr>
        <w:widowControl w:val="0"/>
        <w:jc w:val="both"/>
        <w:rPr>
          <w:bCs/>
          <w:sz w:val="20"/>
        </w:rPr>
      </w:pPr>
    </w:p>
    <w:p w:rsidR="00C739DE" w:rsidRPr="00CA3895" w:rsidRDefault="00C739DE" w:rsidP="00BA276E">
      <w:pPr>
        <w:widowControl w:val="0"/>
        <w:numPr>
          <w:ilvl w:val="0"/>
          <w:numId w:val="37"/>
        </w:numPr>
        <w:jc w:val="both"/>
        <w:rPr>
          <w:bCs/>
          <w:sz w:val="20"/>
        </w:rPr>
      </w:pPr>
      <w:r w:rsidRPr="00F039C2">
        <w:rPr>
          <w:bCs/>
          <w:sz w:val="20"/>
        </w:rPr>
        <w:t>La labor del programa guarda relación con las recomendaciones de la A.D. destinadas a mejorar el acceso a la información sobre tecnología y su utilización, así como el fortalecimiento de las instituciones de P.I., a saber, las recomendaciones 1, 8, 10, 11, 19, 30 y 31, y se ejecutará de manera coordinada con los programas 1 (Derecho de patentes), 5 (Sistema del PCT), 8 (Coordinación de la Agenda para el Desarrollo), 9 (Países africanos, árabes, de América Latina y el Caribe, de Asia y el Pacífico y países menos adelantados), 10 (Cooperación con determinados países de Europa y Asia), 11 (</w:t>
      </w:r>
      <w:r w:rsidR="00C76500">
        <w:rPr>
          <w:bCs/>
          <w:sz w:val="20"/>
        </w:rPr>
        <w:t>Academia</w:t>
      </w:r>
      <w:r w:rsidRPr="00F039C2">
        <w:rPr>
          <w:bCs/>
          <w:sz w:val="20"/>
        </w:rPr>
        <w:t xml:space="preserve"> de la OMPI), 13 (Bases de datos</w:t>
      </w:r>
      <w:r>
        <w:rPr>
          <w:bCs/>
          <w:sz w:val="20"/>
        </w:rPr>
        <w:t xml:space="preserve"> mundiales</w:t>
      </w:r>
      <w:r w:rsidRPr="00F039C2">
        <w:rPr>
          <w:bCs/>
          <w:sz w:val="20"/>
        </w:rPr>
        <w:t xml:space="preserve">), 18 (La P.I. y los desafíos mundiales) y 20 (Relaciones exteriores, alianzas y oficinas </w:t>
      </w:r>
      <w:r>
        <w:rPr>
          <w:bCs/>
          <w:sz w:val="20"/>
        </w:rPr>
        <w:t>en el exterior</w:t>
      </w:r>
      <w:r w:rsidRPr="00F039C2">
        <w:rPr>
          <w:bCs/>
          <w:sz w:val="20"/>
        </w:rPr>
        <w:t xml:space="preserve">).  Además, </w:t>
      </w:r>
      <w:r>
        <w:rPr>
          <w:bCs/>
          <w:sz w:val="20"/>
        </w:rPr>
        <w:t xml:space="preserve">mediante </w:t>
      </w:r>
      <w:r w:rsidRPr="00F039C2">
        <w:rPr>
          <w:bCs/>
          <w:sz w:val="20"/>
        </w:rPr>
        <w:t xml:space="preserve">el programa </w:t>
      </w:r>
      <w:r>
        <w:rPr>
          <w:bCs/>
          <w:sz w:val="20"/>
        </w:rPr>
        <w:t xml:space="preserve">se establecerá una </w:t>
      </w:r>
      <w:r w:rsidRPr="00F039C2">
        <w:rPr>
          <w:bCs/>
          <w:sz w:val="20"/>
        </w:rPr>
        <w:t>coordina</w:t>
      </w:r>
      <w:r>
        <w:rPr>
          <w:bCs/>
          <w:sz w:val="20"/>
        </w:rPr>
        <w:t xml:space="preserve">ción </w:t>
      </w:r>
      <w:r w:rsidRPr="00F039C2">
        <w:rPr>
          <w:bCs/>
          <w:sz w:val="20"/>
        </w:rPr>
        <w:t xml:space="preserve">estrecha con los Estados miembros, las OIG y las ONG en </w:t>
      </w:r>
      <w:r w:rsidRPr="00CA3895">
        <w:rPr>
          <w:bCs/>
          <w:sz w:val="20"/>
        </w:rPr>
        <w:t>aras del desarrollo de plataformas e infraestructuras de la P.I. compatibles.</w:t>
      </w:r>
    </w:p>
    <w:p w:rsidR="00C739DE" w:rsidRPr="00CA3895" w:rsidRDefault="00C739DE" w:rsidP="00C739DE">
      <w:pPr>
        <w:widowControl w:val="0"/>
        <w:jc w:val="both"/>
        <w:rPr>
          <w:bCs/>
          <w:sz w:val="20"/>
        </w:rPr>
      </w:pPr>
    </w:p>
    <w:p w:rsidR="00C739DE" w:rsidRPr="00CA3895" w:rsidRDefault="00C739DE" w:rsidP="00C739DE">
      <w:pPr>
        <w:widowControl w:val="0"/>
        <w:tabs>
          <w:tab w:val="num" w:pos="709"/>
        </w:tabs>
        <w:jc w:val="both"/>
        <w:rPr>
          <w:sz w:val="20"/>
        </w:rPr>
      </w:pPr>
    </w:p>
    <w:p w:rsidR="00C739DE" w:rsidRPr="00F039C2" w:rsidRDefault="00C739DE" w:rsidP="00C739DE">
      <w:pPr>
        <w:widowControl w:val="0"/>
        <w:tabs>
          <w:tab w:val="num" w:pos="709"/>
        </w:tabs>
        <w:jc w:val="both"/>
        <w:rPr>
          <w:bCs/>
          <w:szCs w:val="22"/>
        </w:rPr>
      </w:pPr>
      <w:r w:rsidRPr="00CA3895">
        <w:rPr>
          <w:bCs/>
          <w:szCs w:val="22"/>
        </w:rPr>
        <w:t>ESTRATEGIAS</w:t>
      </w:r>
      <w:r w:rsidRPr="00F039C2">
        <w:rPr>
          <w:bCs/>
          <w:szCs w:val="22"/>
        </w:rPr>
        <w:t xml:space="preserve"> DE EJECUCIÓN  </w:t>
      </w:r>
    </w:p>
    <w:p w:rsidR="00C739DE" w:rsidRPr="00F039C2" w:rsidRDefault="00C739DE" w:rsidP="00C739DE">
      <w:pPr>
        <w:widowControl w:val="0"/>
        <w:rPr>
          <w:sz w:val="20"/>
        </w:rPr>
      </w:pPr>
    </w:p>
    <w:p w:rsidR="00C739DE" w:rsidRPr="00F039C2" w:rsidRDefault="00C739DE" w:rsidP="00C739DE">
      <w:pPr>
        <w:widowControl w:val="0"/>
        <w:rPr>
          <w:sz w:val="20"/>
          <w:u w:val="single"/>
        </w:rPr>
      </w:pPr>
      <w:r>
        <w:rPr>
          <w:sz w:val="20"/>
          <w:u w:val="single"/>
        </w:rPr>
        <w:t xml:space="preserve">Mejora de </w:t>
      </w:r>
      <w:r w:rsidRPr="00F039C2">
        <w:rPr>
          <w:sz w:val="20"/>
          <w:u w:val="single"/>
        </w:rPr>
        <w:t>la sostenibilidad de la red de CATI</w:t>
      </w:r>
    </w:p>
    <w:p w:rsidR="00C739DE" w:rsidRPr="00F039C2" w:rsidRDefault="00C739DE" w:rsidP="00C739DE">
      <w:pPr>
        <w:widowControl w:val="0"/>
        <w:rPr>
          <w:sz w:val="20"/>
        </w:rPr>
      </w:pPr>
    </w:p>
    <w:p w:rsidR="00C739DE" w:rsidRPr="00F039C2" w:rsidRDefault="00C739DE" w:rsidP="00BA276E">
      <w:pPr>
        <w:widowControl w:val="0"/>
        <w:numPr>
          <w:ilvl w:val="0"/>
          <w:numId w:val="37"/>
        </w:numPr>
        <w:jc w:val="both"/>
        <w:rPr>
          <w:bCs/>
          <w:sz w:val="20"/>
        </w:rPr>
      </w:pPr>
      <w:r w:rsidRPr="00F039C2">
        <w:rPr>
          <w:bCs/>
          <w:sz w:val="20"/>
        </w:rPr>
        <w:t xml:space="preserve">Con objeto de reforzar los programas ARDI y ASPI, se intensificará la cooperación con los asociados existentes, por ejemplo los editores  y proveedores de bases de datos que ya son participantes, así como los programas similares de otros organismos especializados de las NN.UU., en particular por lo que respecta a la planificación y la realización de actividades conjuntas de formación y de </w:t>
      </w:r>
      <w:r>
        <w:rPr>
          <w:bCs/>
          <w:sz w:val="20"/>
        </w:rPr>
        <w:t>fomento de la sensibilidad</w:t>
      </w:r>
      <w:r w:rsidRPr="00F039C2">
        <w:rPr>
          <w:bCs/>
          <w:sz w:val="20"/>
        </w:rPr>
        <w:t>.</w:t>
      </w:r>
    </w:p>
    <w:p w:rsidR="00C739DE" w:rsidRPr="00F039C2" w:rsidRDefault="00C739DE" w:rsidP="00C739DE">
      <w:pPr>
        <w:widowControl w:val="0"/>
        <w:jc w:val="both"/>
        <w:rPr>
          <w:bCs/>
          <w:sz w:val="20"/>
        </w:rPr>
      </w:pPr>
    </w:p>
    <w:p w:rsidR="00C739DE" w:rsidRPr="00F039C2" w:rsidRDefault="00C739DE" w:rsidP="00BA276E">
      <w:pPr>
        <w:widowControl w:val="0"/>
        <w:numPr>
          <w:ilvl w:val="0"/>
          <w:numId w:val="37"/>
        </w:numPr>
        <w:jc w:val="both"/>
        <w:rPr>
          <w:bCs/>
          <w:sz w:val="20"/>
        </w:rPr>
      </w:pPr>
      <w:r w:rsidRPr="00F039C2">
        <w:rPr>
          <w:bCs/>
          <w:sz w:val="20"/>
        </w:rPr>
        <w:t xml:space="preserve"> A fin de aprovechar la experiencia y las lecciones extraídas durante la fase inicial del programa de los CATI, se reforzará el objetivo central, a saber, velar por la sostenibilidad a largo placo de los  CATI.  Ello incluirá el refuerzo de la planificación de proyectos, también en el ámbito nacional, a fin de garantizar que en el país </w:t>
      </w:r>
      <w:r w:rsidRPr="005D1922">
        <w:rPr>
          <w:bCs/>
          <w:sz w:val="20"/>
        </w:rPr>
        <w:t>se asumen como propios</w:t>
      </w:r>
      <w:r w:rsidRPr="00F039C2">
        <w:rPr>
          <w:bCs/>
          <w:sz w:val="20"/>
        </w:rPr>
        <w:t xml:space="preserve"> los CATI, un mayor uso de los programas de formación de formadores con objeto de aprovechar el efecto multiplicador en el ámbito local y un apoyo continuado a los CATI existentes a fin de reforzar los cimientos de la red nacional de CATI.</w:t>
      </w:r>
    </w:p>
    <w:p w:rsidR="00C739DE" w:rsidRPr="00F039C2" w:rsidRDefault="00C739DE" w:rsidP="00C739DE">
      <w:pPr>
        <w:widowControl w:val="0"/>
        <w:jc w:val="both"/>
        <w:rPr>
          <w:bCs/>
          <w:sz w:val="20"/>
        </w:rPr>
      </w:pPr>
    </w:p>
    <w:p w:rsidR="00C739DE" w:rsidRPr="00F039C2" w:rsidRDefault="00C739DE" w:rsidP="00BA276E">
      <w:pPr>
        <w:widowControl w:val="0"/>
        <w:numPr>
          <w:ilvl w:val="0"/>
          <w:numId w:val="37"/>
        </w:numPr>
        <w:jc w:val="both"/>
        <w:rPr>
          <w:bCs/>
          <w:sz w:val="20"/>
        </w:rPr>
      </w:pPr>
      <w:r w:rsidRPr="00F039C2">
        <w:rPr>
          <w:bCs/>
          <w:sz w:val="20"/>
        </w:rPr>
        <w:t xml:space="preserve">Se hará también un hincapié especial en la prestación eficaz de nuevos servicios </w:t>
      </w:r>
      <w:r>
        <w:rPr>
          <w:bCs/>
          <w:sz w:val="20"/>
        </w:rPr>
        <w:t xml:space="preserve">por Internet </w:t>
      </w:r>
      <w:r w:rsidRPr="00F039C2">
        <w:rPr>
          <w:bCs/>
          <w:sz w:val="20"/>
        </w:rPr>
        <w:t>de enseñanza electrónica y de creación de vínculos con objeto de ofrecer con periodicidad apoyo accesible a las redes nacionales de CATI a largo plazo.  Los cursos de enseñanza a distancia de</w:t>
      </w:r>
      <w:r w:rsidR="00C76500">
        <w:rPr>
          <w:bCs/>
          <w:sz w:val="20"/>
        </w:rPr>
        <w:t xml:space="preserve"> la Academia</w:t>
      </w:r>
      <w:r w:rsidRPr="00F039C2">
        <w:rPr>
          <w:bCs/>
          <w:sz w:val="20"/>
        </w:rPr>
        <w:t xml:space="preserve"> de la OMPI seguirán utilizándose como complemento de la formación in situ con un acceso y funcionalidad mejorados para el personal de los CATI.  Seguirán elaborándose y fomentándose los recursos </w:t>
      </w:r>
      <w:r>
        <w:rPr>
          <w:bCs/>
          <w:sz w:val="20"/>
        </w:rPr>
        <w:t xml:space="preserve">por Internet </w:t>
      </w:r>
      <w:r w:rsidRPr="00F039C2">
        <w:rPr>
          <w:bCs/>
          <w:sz w:val="20"/>
        </w:rPr>
        <w:t xml:space="preserve">que se han puesto en marcha recientemente, como la plataforma e-TISC para el intercambio de información y de prácticas óptimas y la </w:t>
      </w:r>
      <w:r>
        <w:rPr>
          <w:bCs/>
          <w:sz w:val="20"/>
        </w:rPr>
        <w:t xml:space="preserve">impartición </w:t>
      </w:r>
      <w:r w:rsidRPr="00F039C2">
        <w:rPr>
          <w:bCs/>
          <w:sz w:val="20"/>
        </w:rPr>
        <w:t xml:space="preserve">de enseñanza electrónica en el ámbito de los servicios de información sobre tecnología y una guía electrónica interactiva sobre el uso y </w:t>
      </w:r>
      <w:r>
        <w:rPr>
          <w:bCs/>
          <w:sz w:val="20"/>
        </w:rPr>
        <w:t xml:space="preserve">el aprovechamiento </w:t>
      </w:r>
      <w:r w:rsidRPr="00F039C2">
        <w:rPr>
          <w:bCs/>
          <w:sz w:val="20"/>
        </w:rPr>
        <w:t xml:space="preserve">de la información </w:t>
      </w:r>
      <w:r>
        <w:rPr>
          <w:bCs/>
          <w:sz w:val="20"/>
        </w:rPr>
        <w:t xml:space="preserve">sobre </w:t>
      </w:r>
      <w:r w:rsidRPr="00F039C2">
        <w:rPr>
          <w:bCs/>
          <w:sz w:val="20"/>
        </w:rPr>
        <w:t xml:space="preserve">patentes a través de ejemplos prácticos y teóricos, con objeto de promover y solicitar aportaciones e información a los CATI y sus correspondientes redes, tanto en el plano nacional como en el internacional.  </w:t>
      </w:r>
    </w:p>
    <w:p w:rsidR="00C739DE" w:rsidRPr="00F039C2" w:rsidRDefault="00C739DE" w:rsidP="00C739DE">
      <w:pPr>
        <w:widowControl w:val="0"/>
        <w:jc w:val="both"/>
        <w:rPr>
          <w:bCs/>
          <w:sz w:val="20"/>
        </w:rPr>
      </w:pPr>
    </w:p>
    <w:p w:rsidR="00C739DE" w:rsidRPr="00F039C2" w:rsidRDefault="00C739DE" w:rsidP="00BA276E">
      <w:pPr>
        <w:widowControl w:val="0"/>
        <w:numPr>
          <w:ilvl w:val="0"/>
          <w:numId w:val="37"/>
        </w:numPr>
        <w:jc w:val="both"/>
        <w:rPr>
          <w:bCs/>
          <w:sz w:val="20"/>
        </w:rPr>
      </w:pPr>
      <w:r w:rsidRPr="00F039C2">
        <w:rPr>
          <w:bCs/>
          <w:sz w:val="20"/>
        </w:rPr>
        <w:t xml:space="preserve">Con objeto de </w:t>
      </w:r>
      <w:r>
        <w:rPr>
          <w:bCs/>
          <w:sz w:val="20"/>
        </w:rPr>
        <w:t xml:space="preserve">reforzar </w:t>
      </w:r>
      <w:r w:rsidRPr="00F039C2">
        <w:rPr>
          <w:bCs/>
          <w:sz w:val="20"/>
        </w:rPr>
        <w:t>la sensibilización con respecto a los programas ARDI y ASPI entre posibles beneficiarios, durante el bienio se pondrá en marcha una activa campaña de fomento, dirigida en particular a los PMA, en la que las instituciones que cumplen los requisitos correspondientes podrán recibir acceso gratuito a los contenidos y servicios disponibles en el marco de los programas.</w:t>
      </w:r>
    </w:p>
    <w:p w:rsidR="00C739DE" w:rsidRPr="00CA3895" w:rsidRDefault="00C739DE" w:rsidP="00C739DE">
      <w:pPr>
        <w:widowControl w:val="0"/>
        <w:jc w:val="both"/>
        <w:rPr>
          <w:bCs/>
          <w:sz w:val="20"/>
        </w:rPr>
      </w:pPr>
    </w:p>
    <w:p w:rsidR="00C739DE" w:rsidRPr="00CA3895" w:rsidRDefault="00C739DE" w:rsidP="00C739DE">
      <w:pPr>
        <w:widowControl w:val="0"/>
        <w:tabs>
          <w:tab w:val="num" w:pos="709"/>
        </w:tabs>
        <w:jc w:val="both"/>
        <w:rPr>
          <w:sz w:val="20"/>
          <w:u w:val="single"/>
        </w:rPr>
      </w:pPr>
      <w:r w:rsidRPr="00CA3895">
        <w:rPr>
          <w:sz w:val="20"/>
          <w:u w:val="single"/>
        </w:rPr>
        <w:t xml:space="preserve">Servicios de información sobre patentes de valor añadido </w:t>
      </w:r>
    </w:p>
    <w:p w:rsidR="00C739DE" w:rsidRPr="00CA3895" w:rsidRDefault="00C739DE" w:rsidP="00C739DE">
      <w:pPr>
        <w:widowControl w:val="0"/>
        <w:tabs>
          <w:tab w:val="num" w:pos="709"/>
        </w:tabs>
        <w:jc w:val="both"/>
        <w:rPr>
          <w:rFonts w:eastAsia="MS Mincho" w:cs="ArialMT"/>
          <w:sz w:val="20"/>
          <w:lang w:eastAsia="ja-JP" w:bidi="th-TH"/>
        </w:rPr>
      </w:pPr>
    </w:p>
    <w:p w:rsidR="00C739DE" w:rsidRPr="00CA3895" w:rsidRDefault="00C739DE" w:rsidP="00BA276E">
      <w:pPr>
        <w:widowControl w:val="0"/>
        <w:numPr>
          <w:ilvl w:val="0"/>
          <w:numId w:val="37"/>
        </w:numPr>
        <w:jc w:val="both"/>
        <w:rPr>
          <w:rFonts w:eastAsia="MS Mincho" w:cs="ArialMT"/>
          <w:sz w:val="20"/>
          <w:lang w:eastAsia="ja-JP" w:bidi="th-TH"/>
        </w:rPr>
      </w:pPr>
      <w:r w:rsidRPr="00CA3895">
        <w:rPr>
          <w:rFonts w:eastAsia="MS Mincho" w:cs="ArialMT"/>
          <w:sz w:val="20"/>
          <w:lang w:eastAsia="ja-JP" w:bidi="th-TH"/>
        </w:rPr>
        <w:t>La prestación de servicios de información sobre patentes de valor añadido comprenderá lo siguiente:</w:t>
      </w:r>
    </w:p>
    <w:p w:rsidR="00C739DE" w:rsidRPr="00CA3895" w:rsidRDefault="00C739DE" w:rsidP="00C739DE">
      <w:pPr>
        <w:widowControl w:val="0"/>
        <w:tabs>
          <w:tab w:val="num" w:pos="709"/>
        </w:tabs>
        <w:jc w:val="both"/>
        <w:rPr>
          <w:rFonts w:eastAsia="MS Mincho" w:cs="ArialMT"/>
          <w:sz w:val="20"/>
          <w:lang w:eastAsia="ja-JP" w:bidi="th-TH"/>
        </w:rPr>
      </w:pPr>
    </w:p>
    <w:p w:rsidR="00C739DE" w:rsidRPr="00F039C2" w:rsidRDefault="00C739DE" w:rsidP="00BA276E">
      <w:pPr>
        <w:widowControl w:val="0"/>
        <w:numPr>
          <w:ilvl w:val="1"/>
          <w:numId w:val="37"/>
        </w:numPr>
        <w:tabs>
          <w:tab w:val="clear" w:pos="1250"/>
          <w:tab w:val="num" w:pos="709"/>
          <w:tab w:val="left" w:pos="1276"/>
        </w:tabs>
        <w:autoSpaceDE w:val="0"/>
        <w:autoSpaceDN w:val="0"/>
        <w:adjustRightInd w:val="0"/>
        <w:ind w:left="709"/>
        <w:jc w:val="both"/>
        <w:rPr>
          <w:rFonts w:eastAsia="MS Mincho" w:cs="ArialMT"/>
          <w:sz w:val="20"/>
          <w:lang w:eastAsia="ja-JP" w:bidi="th-TH"/>
        </w:rPr>
      </w:pPr>
      <w:r w:rsidRPr="00F039C2">
        <w:rPr>
          <w:rFonts w:eastAsia="MS Mincho" w:cs="ArialMT"/>
          <w:sz w:val="20"/>
          <w:lang w:eastAsia="ja-JP" w:bidi="th-TH"/>
        </w:rPr>
        <w:t xml:space="preserve">Informes </w:t>
      </w:r>
      <w:r w:rsidRPr="00B30B3F">
        <w:rPr>
          <w:rFonts w:eastAsia="MS Mincho" w:cs="ArialMT"/>
          <w:sz w:val="20"/>
          <w:lang w:eastAsia="ja-JP" w:bidi="th-TH"/>
        </w:rPr>
        <w:t xml:space="preserve">de búsqueda de tecnología en el estado de la técnica </w:t>
      </w:r>
      <w:r w:rsidRPr="00F039C2">
        <w:rPr>
          <w:rFonts w:eastAsia="MS Mincho" w:cs="ArialMT"/>
          <w:sz w:val="20"/>
          <w:lang w:eastAsia="ja-JP" w:bidi="th-TH"/>
        </w:rPr>
        <w:t xml:space="preserve">realizados por expertos de oficinas de P.I. </w:t>
      </w:r>
      <w:r>
        <w:rPr>
          <w:rFonts w:eastAsia="MS Mincho" w:cs="ArialMT"/>
          <w:sz w:val="20"/>
          <w:lang w:eastAsia="ja-JP" w:bidi="th-TH"/>
        </w:rPr>
        <w:t xml:space="preserve">donantes </w:t>
      </w:r>
      <w:r w:rsidRPr="00F039C2">
        <w:rPr>
          <w:rFonts w:eastAsia="MS Mincho" w:cs="ArialMT"/>
          <w:sz w:val="20"/>
          <w:lang w:eastAsia="ja-JP" w:bidi="th-TH"/>
        </w:rPr>
        <w:t>en beneficio de los países en desarrollo.  Ese servicio de búsqueda complementa los servicios ofrecidos a través de los CATI, por ejemplo cuando los CATI no están en funcionamiento o se requieren conocimientos especializados sobre búsquedas.</w:t>
      </w:r>
    </w:p>
    <w:p w:rsidR="00C739DE" w:rsidRPr="00F039C2" w:rsidRDefault="00C739DE" w:rsidP="00C739DE">
      <w:pPr>
        <w:widowControl w:val="0"/>
        <w:tabs>
          <w:tab w:val="left" w:pos="1276"/>
        </w:tabs>
        <w:autoSpaceDE w:val="0"/>
        <w:autoSpaceDN w:val="0"/>
        <w:adjustRightInd w:val="0"/>
        <w:ind w:left="709"/>
        <w:jc w:val="both"/>
        <w:rPr>
          <w:rFonts w:eastAsia="MS Mincho" w:cs="ArialMT"/>
          <w:sz w:val="20"/>
          <w:lang w:eastAsia="ja-JP" w:bidi="th-TH"/>
        </w:rPr>
      </w:pPr>
    </w:p>
    <w:p w:rsidR="00C739DE" w:rsidRPr="00F039C2" w:rsidRDefault="00C739DE" w:rsidP="00BA276E">
      <w:pPr>
        <w:widowControl w:val="0"/>
        <w:numPr>
          <w:ilvl w:val="1"/>
          <w:numId w:val="37"/>
        </w:numPr>
        <w:tabs>
          <w:tab w:val="clear" w:pos="1250"/>
          <w:tab w:val="num" w:pos="709"/>
          <w:tab w:val="left" w:pos="1276"/>
        </w:tabs>
        <w:autoSpaceDE w:val="0"/>
        <w:autoSpaceDN w:val="0"/>
        <w:adjustRightInd w:val="0"/>
        <w:ind w:left="709"/>
        <w:jc w:val="both"/>
        <w:rPr>
          <w:rFonts w:eastAsia="MS Mincho" w:cs="ArialMT"/>
          <w:sz w:val="20"/>
          <w:lang w:eastAsia="ja-JP" w:bidi="th-TH"/>
        </w:rPr>
      </w:pPr>
      <w:r w:rsidRPr="00F039C2">
        <w:rPr>
          <w:rFonts w:eastAsia="MS Mincho" w:cs="ArialMT"/>
          <w:sz w:val="20"/>
          <w:lang w:eastAsia="ja-JP" w:bidi="th-TH"/>
        </w:rPr>
        <w:t xml:space="preserve">Informes </w:t>
      </w:r>
      <w:r>
        <w:rPr>
          <w:rFonts w:eastAsia="MS Mincho" w:cs="ArialMT"/>
          <w:sz w:val="20"/>
          <w:lang w:eastAsia="ja-JP" w:bidi="th-TH"/>
        </w:rPr>
        <w:t>de</w:t>
      </w:r>
      <w:r w:rsidRPr="00F039C2">
        <w:rPr>
          <w:rFonts w:eastAsia="MS Mincho" w:cs="ArialMT"/>
          <w:sz w:val="20"/>
          <w:lang w:eastAsia="ja-JP" w:bidi="th-TH"/>
        </w:rPr>
        <w:t xml:space="preserve"> análisis de la actividad de </w:t>
      </w:r>
      <w:proofErr w:type="spellStart"/>
      <w:r w:rsidRPr="00F039C2">
        <w:rPr>
          <w:rFonts w:eastAsia="MS Mincho" w:cs="ArialMT"/>
          <w:sz w:val="20"/>
          <w:lang w:eastAsia="ja-JP" w:bidi="th-TH"/>
        </w:rPr>
        <w:t>patentamiento</w:t>
      </w:r>
      <w:proofErr w:type="spellEnd"/>
      <w:r w:rsidRPr="00F039C2">
        <w:rPr>
          <w:rStyle w:val="FootnoteReference"/>
          <w:rFonts w:eastAsia="MS Mincho" w:cs="ArialMT"/>
          <w:sz w:val="20"/>
          <w:lang w:eastAsia="ja-JP" w:bidi="th-TH"/>
        </w:rPr>
        <w:footnoteReference w:id="11"/>
      </w:r>
      <w:r w:rsidRPr="00F039C2">
        <w:rPr>
          <w:rFonts w:eastAsia="MS Mincho" w:cs="ArialMT"/>
          <w:sz w:val="20"/>
          <w:lang w:eastAsia="ja-JP" w:bidi="th-TH"/>
        </w:rPr>
        <w:t xml:space="preserve">, que ofrecen información sobre las pautas y tendencias de la actividad de innovación en ámbitos amplios de las tecnologías mediante la investigación y la contextualización de la respectiva actividad de </w:t>
      </w:r>
      <w:proofErr w:type="spellStart"/>
      <w:r w:rsidRPr="00F039C2">
        <w:rPr>
          <w:rFonts w:eastAsia="MS Mincho" w:cs="ArialMT"/>
          <w:sz w:val="20"/>
          <w:lang w:eastAsia="ja-JP" w:bidi="th-TH"/>
        </w:rPr>
        <w:t>patentamiento</w:t>
      </w:r>
      <w:proofErr w:type="spellEnd"/>
      <w:r w:rsidRPr="00F039C2">
        <w:rPr>
          <w:rFonts w:eastAsia="MS Mincho" w:cs="ArialMT"/>
          <w:sz w:val="20"/>
          <w:lang w:eastAsia="ja-JP" w:bidi="th-TH"/>
        </w:rPr>
        <w:t>.  Los informes se preparan en colaboración con instituciones públicas de países en desarrollo, OIG y ONG, y responden a una determinada demanda definida por tales socios.</w:t>
      </w:r>
    </w:p>
    <w:p w:rsidR="00C739DE" w:rsidRPr="00F039C2" w:rsidRDefault="00C739DE" w:rsidP="00C739DE">
      <w:pPr>
        <w:widowControl w:val="0"/>
        <w:tabs>
          <w:tab w:val="left" w:pos="1276"/>
        </w:tabs>
        <w:autoSpaceDE w:val="0"/>
        <w:autoSpaceDN w:val="0"/>
        <w:adjustRightInd w:val="0"/>
        <w:ind w:left="709"/>
        <w:jc w:val="both"/>
        <w:rPr>
          <w:rFonts w:eastAsia="MS Mincho" w:cs="ArialMT"/>
          <w:sz w:val="20"/>
          <w:lang w:eastAsia="ja-JP" w:bidi="th-TH"/>
        </w:rPr>
      </w:pPr>
    </w:p>
    <w:p w:rsidR="00C739DE" w:rsidRPr="00F039C2" w:rsidRDefault="00C739DE" w:rsidP="00BA276E">
      <w:pPr>
        <w:widowControl w:val="0"/>
        <w:numPr>
          <w:ilvl w:val="1"/>
          <w:numId w:val="37"/>
        </w:numPr>
        <w:tabs>
          <w:tab w:val="clear" w:pos="1250"/>
          <w:tab w:val="num" w:pos="709"/>
          <w:tab w:val="left" w:pos="1276"/>
        </w:tabs>
        <w:autoSpaceDE w:val="0"/>
        <w:autoSpaceDN w:val="0"/>
        <w:adjustRightInd w:val="0"/>
        <w:ind w:left="709"/>
        <w:jc w:val="both"/>
        <w:rPr>
          <w:rFonts w:eastAsia="MS Mincho" w:cs="ArialMT"/>
          <w:sz w:val="20"/>
          <w:lang w:eastAsia="ja-JP" w:bidi="th-TH"/>
        </w:rPr>
      </w:pPr>
      <w:r w:rsidRPr="00F039C2">
        <w:rPr>
          <w:rFonts w:eastAsia="MS Mincho" w:cs="ArialMT"/>
          <w:sz w:val="20"/>
          <w:lang w:eastAsia="ja-JP" w:bidi="th-TH"/>
        </w:rPr>
        <w:t>Servicio de consulta sobre la familia y la situación jurídica de las patentes para los Estados miembros y la</w:t>
      </w:r>
      <w:r>
        <w:rPr>
          <w:rFonts w:eastAsia="MS Mincho" w:cs="ArialMT"/>
          <w:sz w:val="20"/>
          <w:lang w:eastAsia="ja-JP" w:bidi="th-TH"/>
        </w:rPr>
        <w:t>s</w:t>
      </w:r>
      <w:r w:rsidRPr="00F039C2">
        <w:rPr>
          <w:rFonts w:eastAsia="MS Mincho" w:cs="ArialMT"/>
          <w:sz w:val="20"/>
          <w:lang w:eastAsia="ja-JP" w:bidi="th-TH"/>
        </w:rPr>
        <w:t xml:space="preserve"> OIG, </w:t>
      </w:r>
      <w:r>
        <w:rPr>
          <w:rFonts w:eastAsia="MS Mincho" w:cs="ArialMT"/>
          <w:sz w:val="20"/>
          <w:lang w:eastAsia="ja-JP" w:bidi="th-TH"/>
        </w:rPr>
        <w:t xml:space="preserve">prestando </w:t>
      </w:r>
      <w:r w:rsidRPr="00F039C2">
        <w:rPr>
          <w:rFonts w:eastAsia="MS Mincho" w:cs="ArialMT"/>
          <w:sz w:val="20"/>
          <w:lang w:eastAsia="ja-JP" w:bidi="th-TH"/>
        </w:rPr>
        <w:t>una atención especial a las patentes relacionadas con la salud, que se exploran como nuevos servicios tras las recomendaciones del estudio de viabilidad</w:t>
      </w:r>
      <w:r w:rsidRPr="00F039C2">
        <w:rPr>
          <w:rFonts w:eastAsia="MS Mincho" w:cs="ArialMT"/>
          <w:sz w:val="20"/>
          <w:vertAlign w:val="superscript"/>
          <w:lang w:eastAsia="ja-JP" w:bidi="th-TH"/>
        </w:rPr>
        <w:footnoteReference w:id="12"/>
      </w:r>
      <w:r w:rsidRPr="00F039C2">
        <w:rPr>
          <w:rFonts w:eastAsia="MS Mincho" w:cs="ArialMT"/>
          <w:sz w:val="20"/>
          <w:lang w:eastAsia="ja-JP" w:bidi="th-TH"/>
        </w:rPr>
        <w:t xml:space="preserve"> de la OMPI sobre la disponibilidad de bases de datos nacionales sobre la situación jurídica de las patentes, establecidas en el marco del proyecto de la A.D. relativo a la "Propiedad intelectual y dominio público".  Tales servicios exigirán la colaboración con los Estados miembros para investigar datos de registros de patentes nacionales sin que medie remuneración alguna.</w:t>
      </w:r>
    </w:p>
    <w:p w:rsidR="00C739DE" w:rsidRPr="00F039C2" w:rsidRDefault="00C739DE" w:rsidP="00C739DE">
      <w:pPr>
        <w:widowControl w:val="0"/>
        <w:tabs>
          <w:tab w:val="left" w:pos="1276"/>
        </w:tabs>
        <w:autoSpaceDE w:val="0"/>
        <w:autoSpaceDN w:val="0"/>
        <w:adjustRightInd w:val="0"/>
        <w:ind w:left="709"/>
        <w:jc w:val="both"/>
        <w:rPr>
          <w:rFonts w:eastAsia="MS Mincho" w:cs="ArialMT"/>
          <w:sz w:val="20"/>
          <w:lang w:eastAsia="ja-JP" w:bidi="th-TH"/>
        </w:rPr>
      </w:pPr>
    </w:p>
    <w:p w:rsidR="00C739DE" w:rsidRPr="00F039C2" w:rsidRDefault="00C739DE" w:rsidP="00BA276E">
      <w:pPr>
        <w:widowControl w:val="0"/>
        <w:numPr>
          <w:ilvl w:val="1"/>
          <w:numId w:val="37"/>
        </w:numPr>
        <w:tabs>
          <w:tab w:val="clear" w:pos="1250"/>
          <w:tab w:val="num" w:pos="709"/>
          <w:tab w:val="left" w:pos="1276"/>
        </w:tabs>
        <w:autoSpaceDE w:val="0"/>
        <w:autoSpaceDN w:val="0"/>
        <w:adjustRightInd w:val="0"/>
        <w:ind w:left="709"/>
        <w:jc w:val="both"/>
        <w:rPr>
          <w:rFonts w:eastAsia="MS Mincho" w:cs="ArialMT"/>
          <w:sz w:val="20"/>
          <w:lang w:eastAsia="ja-JP" w:bidi="th-TH"/>
        </w:rPr>
      </w:pPr>
      <w:r w:rsidRPr="00F039C2">
        <w:rPr>
          <w:rFonts w:eastAsia="MS Mincho" w:cs="ArialMT"/>
          <w:sz w:val="20"/>
          <w:lang w:eastAsia="ja-JP" w:bidi="th-TH"/>
        </w:rPr>
        <w:t xml:space="preserve">Los informes de búsqueda y examen </w:t>
      </w:r>
      <w:r>
        <w:rPr>
          <w:rFonts w:eastAsia="MS Mincho" w:cs="ArialMT"/>
          <w:sz w:val="20"/>
          <w:lang w:eastAsia="ja-JP" w:bidi="th-TH"/>
        </w:rPr>
        <w:t>de</w:t>
      </w:r>
      <w:r w:rsidRPr="00F039C2">
        <w:rPr>
          <w:rFonts w:eastAsia="MS Mincho" w:cs="ArialMT"/>
          <w:sz w:val="20"/>
          <w:lang w:eastAsia="ja-JP" w:bidi="th-TH"/>
        </w:rPr>
        <w:t xml:space="preserve"> las solicitudes de patente pendientes en las oficinas de P.I. de países en desarrollo </w:t>
      </w:r>
      <w:r>
        <w:rPr>
          <w:rFonts w:eastAsia="MS Mincho" w:cs="ArialMT"/>
          <w:sz w:val="20"/>
          <w:lang w:eastAsia="ja-JP" w:bidi="th-TH"/>
        </w:rPr>
        <w:t xml:space="preserve">para </w:t>
      </w:r>
      <w:r w:rsidRPr="00F039C2">
        <w:rPr>
          <w:rFonts w:eastAsia="MS Mincho" w:cs="ArialMT"/>
          <w:sz w:val="20"/>
          <w:lang w:eastAsia="ja-JP" w:bidi="th-TH"/>
        </w:rPr>
        <w:t xml:space="preserve">las cuales la oficina de P.I. carece de recursos o conocimientos especializados </w:t>
      </w:r>
      <w:r>
        <w:rPr>
          <w:rFonts w:eastAsia="MS Mincho" w:cs="ArialMT"/>
          <w:sz w:val="20"/>
          <w:lang w:eastAsia="ja-JP" w:bidi="th-TH"/>
        </w:rPr>
        <w:t xml:space="preserve">que permitan </w:t>
      </w:r>
      <w:r w:rsidRPr="00F039C2">
        <w:rPr>
          <w:rFonts w:eastAsia="MS Mincho" w:cs="ArialMT"/>
          <w:sz w:val="20"/>
          <w:lang w:eastAsia="ja-JP" w:bidi="th-TH"/>
        </w:rPr>
        <w:t xml:space="preserve">establecer un informe de examen sustantivo y </w:t>
      </w:r>
      <w:r>
        <w:rPr>
          <w:rFonts w:eastAsia="MS Mincho" w:cs="ArialMT"/>
          <w:sz w:val="20"/>
          <w:lang w:eastAsia="ja-JP" w:bidi="th-TH"/>
        </w:rPr>
        <w:t xml:space="preserve">que </w:t>
      </w:r>
      <w:r w:rsidRPr="00F039C2">
        <w:rPr>
          <w:rFonts w:eastAsia="MS Mincho" w:cs="ArialMT"/>
          <w:sz w:val="20"/>
          <w:lang w:eastAsia="ja-JP" w:bidi="th-TH"/>
        </w:rPr>
        <w:t>no dispone</w:t>
      </w:r>
      <w:r>
        <w:rPr>
          <w:rFonts w:eastAsia="MS Mincho" w:cs="ArialMT"/>
          <w:sz w:val="20"/>
          <w:lang w:eastAsia="ja-JP" w:bidi="th-TH"/>
        </w:rPr>
        <w:t>n</w:t>
      </w:r>
      <w:r w:rsidRPr="00F039C2">
        <w:rPr>
          <w:rFonts w:eastAsia="MS Mincho" w:cs="ArialMT"/>
          <w:sz w:val="20"/>
          <w:lang w:eastAsia="ja-JP" w:bidi="th-TH"/>
        </w:rPr>
        <w:t xml:space="preserve"> de tales informes para miembros de la misma familia de patentes. </w:t>
      </w:r>
      <w:r>
        <w:rPr>
          <w:rFonts w:eastAsia="MS Mincho" w:cs="ArialMT"/>
          <w:sz w:val="20"/>
          <w:lang w:eastAsia="ja-JP" w:bidi="th-TH"/>
        </w:rPr>
        <w:t xml:space="preserve"> </w:t>
      </w:r>
      <w:r w:rsidRPr="00F039C2">
        <w:rPr>
          <w:rFonts w:eastAsia="MS Mincho" w:cs="ArialMT"/>
          <w:sz w:val="20"/>
          <w:lang w:eastAsia="ja-JP" w:bidi="th-TH"/>
        </w:rPr>
        <w:t>Por lo tanto</w:t>
      </w:r>
      <w:r>
        <w:rPr>
          <w:rFonts w:eastAsia="MS Mincho" w:cs="ArialMT"/>
          <w:sz w:val="20"/>
          <w:lang w:eastAsia="ja-JP" w:bidi="th-TH"/>
        </w:rPr>
        <w:t>,</w:t>
      </w:r>
      <w:r w:rsidRPr="00F039C2">
        <w:rPr>
          <w:rFonts w:eastAsia="MS Mincho" w:cs="ArialMT"/>
          <w:sz w:val="20"/>
          <w:lang w:eastAsia="ja-JP" w:bidi="th-TH"/>
        </w:rPr>
        <w:t xml:space="preserve"> el servicio complementa el sistema del PCT.  Los informes son elaborados sin remuneración alguna por examinadores de </w:t>
      </w:r>
      <w:r>
        <w:rPr>
          <w:rFonts w:eastAsia="MS Mincho" w:cs="ArialMT"/>
          <w:sz w:val="20"/>
          <w:lang w:eastAsia="ja-JP" w:bidi="th-TH"/>
        </w:rPr>
        <w:t xml:space="preserve">determinadas </w:t>
      </w:r>
      <w:r w:rsidRPr="00F039C2">
        <w:rPr>
          <w:rFonts w:eastAsia="MS Mincho" w:cs="ArialMT"/>
          <w:sz w:val="20"/>
          <w:lang w:eastAsia="ja-JP" w:bidi="th-TH"/>
        </w:rPr>
        <w:t xml:space="preserve">oficinas de P.I. </w:t>
      </w:r>
      <w:r>
        <w:rPr>
          <w:rFonts w:eastAsia="MS Mincho" w:cs="ArialMT"/>
          <w:sz w:val="20"/>
          <w:lang w:eastAsia="ja-JP" w:bidi="th-TH"/>
        </w:rPr>
        <w:t>donantes</w:t>
      </w:r>
      <w:r w:rsidRPr="00F039C2">
        <w:rPr>
          <w:rFonts w:eastAsia="MS Mincho" w:cs="ArialMT"/>
          <w:sz w:val="20"/>
          <w:lang w:eastAsia="ja-JP" w:bidi="th-TH"/>
        </w:rPr>
        <w:t>.</w:t>
      </w:r>
    </w:p>
    <w:p w:rsidR="00C739DE" w:rsidRPr="00F039C2" w:rsidRDefault="00C739DE" w:rsidP="00C739DE">
      <w:pPr>
        <w:widowControl w:val="0"/>
        <w:tabs>
          <w:tab w:val="left" w:pos="1276"/>
        </w:tabs>
        <w:autoSpaceDE w:val="0"/>
        <w:autoSpaceDN w:val="0"/>
        <w:adjustRightInd w:val="0"/>
        <w:ind w:left="709"/>
        <w:jc w:val="both"/>
        <w:rPr>
          <w:rFonts w:eastAsia="MS Mincho" w:cs="ArialMT"/>
          <w:sz w:val="20"/>
          <w:lang w:eastAsia="ja-JP" w:bidi="th-TH"/>
        </w:rPr>
      </w:pPr>
    </w:p>
    <w:p w:rsidR="00C739DE" w:rsidRPr="00F039C2" w:rsidRDefault="00C739DE" w:rsidP="00BA276E">
      <w:pPr>
        <w:widowControl w:val="0"/>
        <w:numPr>
          <w:ilvl w:val="1"/>
          <w:numId w:val="37"/>
        </w:numPr>
        <w:tabs>
          <w:tab w:val="clear" w:pos="1250"/>
          <w:tab w:val="num" w:pos="709"/>
          <w:tab w:val="left" w:pos="1276"/>
        </w:tabs>
        <w:autoSpaceDE w:val="0"/>
        <w:autoSpaceDN w:val="0"/>
        <w:adjustRightInd w:val="0"/>
        <w:ind w:left="709"/>
        <w:jc w:val="both"/>
        <w:rPr>
          <w:rFonts w:eastAsia="MS Mincho" w:cs="ArialMT"/>
          <w:sz w:val="20"/>
          <w:lang w:eastAsia="ja-JP" w:bidi="th-TH"/>
        </w:rPr>
      </w:pPr>
      <w:r w:rsidRPr="00F039C2">
        <w:rPr>
          <w:rFonts w:eastAsia="MS Mincho" w:cs="ArialMT"/>
          <w:sz w:val="20"/>
          <w:lang w:eastAsia="ja-JP" w:bidi="th-TH"/>
        </w:rPr>
        <w:t xml:space="preserve">Servicios de asesoramiento y coordinación y participación en programas de fortalecimiento de capacidades para las oficinas de P.I. en relación con la recuperación y </w:t>
      </w:r>
      <w:r>
        <w:rPr>
          <w:rFonts w:eastAsia="MS Mincho" w:cs="ArialMT"/>
          <w:sz w:val="20"/>
          <w:lang w:eastAsia="ja-JP" w:bidi="th-TH"/>
        </w:rPr>
        <w:t xml:space="preserve">aprovechamiento </w:t>
      </w:r>
      <w:r w:rsidRPr="00F039C2">
        <w:rPr>
          <w:rFonts w:eastAsia="MS Mincho" w:cs="ArialMT"/>
          <w:sz w:val="20"/>
          <w:lang w:eastAsia="ja-JP" w:bidi="th-TH"/>
        </w:rPr>
        <w:t xml:space="preserve">de </w:t>
      </w:r>
      <w:r w:rsidRPr="00F039C2">
        <w:rPr>
          <w:rFonts w:eastAsia="MS Mincho" w:cs="ArialMT"/>
          <w:sz w:val="20"/>
          <w:lang w:eastAsia="ja-JP" w:bidi="th-TH"/>
        </w:rPr>
        <w:lastRenderedPageBreak/>
        <w:t>resultados de exámenes sustantivos disponibles para miembros de la misma familia de patentes, con objeto de dar apoyo, en particular, a oficinas pequeñas con recursos limitados para establecer y mantener procedimientos de examen eficaces.</w:t>
      </w:r>
    </w:p>
    <w:p w:rsidR="00C739DE" w:rsidRPr="00F039C2" w:rsidRDefault="00C739DE" w:rsidP="00DC4C0C">
      <w:pPr>
        <w:widowControl w:val="0"/>
        <w:tabs>
          <w:tab w:val="left" w:pos="567"/>
        </w:tabs>
        <w:autoSpaceDE w:val="0"/>
        <w:autoSpaceDN w:val="0"/>
        <w:adjustRightInd w:val="0"/>
        <w:jc w:val="both"/>
        <w:rPr>
          <w:rFonts w:eastAsia="MS Mincho" w:cs="ArialMT"/>
          <w:sz w:val="20"/>
          <w:lang w:eastAsia="ja-JP" w:bidi="th-TH"/>
        </w:rPr>
      </w:pPr>
    </w:p>
    <w:p w:rsidR="00C739DE" w:rsidRPr="00F039C2" w:rsidRDefault="00C739DE" w:rsidP="00C739DE">
      <w:pPr>
        <w:widowControl w:val="0"/>
        <w:autoSpaceDE w:val="0"/>
        <w:autoSpaceDN w:val="0"/>
        <w:adjustRightInd w:val="0"/>
        <w:jc w:val="both"/>
        <w:rPr>
          <w:sz w:val="20"/>
          <w:u w:val="single"/>
        </w:rPr>
      </w:pPr>
      <w:r w:rsidRPr="00F039C2">
        <w:rPr>
          <w:sz w:val="20"/>
          <w:u w:val="single"/>
        </w:rPr>
        <w:t xml:space="preserve">Coordinación de diversas partes interesadas para la infraestructura de P.I. </w:t>
      </w:r>
    </w:p>
    <w:p w:rsidR="00C739DE" w:rsidRPr="00CA3895" w:rsidRDefault="00C739DE" w:rsidP="00C739DE">
      <w:pPr>
        <w:widowControl w:val="0"/>
        <w:autoSpaceDE w:val="0"/>
        <w:autoSpaceDN w:val="0"/>
        <w:adjustRightInd w:val="0"/>
        <w:jc w:val="both"/>
        <w:rPr>
          <w:rFonts w:eastAsia="MS Mincho" w:cs="ArialMT"/>
          <w:sz w:val="20"/>
          <w:lang w:eastAsia="ja-JP" w:bidi="th-TH"/>
        </w:rPr>
      </w:pPr>
    </w:p>
    <w:p w:rsidR="00C739DE" w:rsidRPr="00CA3895" w:rsidRDefault="00C739DE" w:rsidP="00BA276E">
      <w:pPr>
        <w:widowControl w:val="0"/>
        <w:numPr>
          <w:ilvl w:val="0"/>
          <w:numId w:val="37"/>
        </w:numPr>
        <w:jc w:val="both"/>
        <w:rPr>
          <w:rFonts w:eastAsia="MS Mincho" w:cs="ArialMT"/>
          <w:sz w:val="20"/>
          <w:lang w:eastAsia="ja-JP" w:bidi="th-TH"/>
        </w:rPr>
      </w:pPr>
      <w:r w:rsidRPr="00CA3895">
        <w:rPr>
          <w:rFonts w:eastAsia="MS Mincho" w:cs="ArialMT"/>
          <w:sz w:val="20"/>
          <w:lang w:eastAsia="ja-JP" w:bidi="th-TH"/>
        </w:rPr>
        <w:t xml:space="preserve">Se proveerá asistencia técnica para proyectos especiales destinada a los talleres de los usuarios de LATIPAT, ARABPAT, PATENTSCOPE y la Base Mundial de Datos sobre Marcas.  Durante el próximo bienio, la OMPI organizará un seminario mundial sobre administraciones de P.I. que se celebrará inmediatamente antes de las Asambleas Generales de la OMPI,  con objeto de intercambiar opiniones y compartir experiencias sobre una serie de cuestiones prácticas en relación con la infraestructura mundial, herramientas, bases de datos y plataformas comunes. </w:t>
      </w:r>
    </w:p>
    <w:p w:rsidR="00C739DE" w:rsidRPr="00CA3895" w:rsidRDefault="00C739DE" w:rsidP="00C739DE">
      <w:pPr>
        <w:widowControl w:val="0"/>
        <w:tabs>
          <w:tab w:val="num" w:pos="709"/>
        </w:tabs>
        <w:jc w:val="both"/>
        <w:rPr>
          <w:bCs/>
          <w:sz w:val="20"/>
        </w:rPr>
      </w:pPr>
    </w:p>
    <w:p w:rsidR="00382C3E" w:rsidRPr="00C739DE" w:rsidRDefault="00382C3E" w:rsidP="00A80F8D">
      <w:pPr>
        <w:widowControl w:val="0"/>
        <w:jc w:val="both"/>
        <w:rPr>
          <w:bCs/>
          <w:szCs w:val="22"/>
        </w:rPr>
      </w:pPr>
    </w:p>
    <w:p w:rsidR="00A80F8D" w:rsidRPr="00C75C7E" w:rsidRDefault="00A80F8D" w:rsidP="00A80F8D">
      <w:pPr>
        <w:widowControl w:val="0"/>
        <w:jc w:val="both"/>
        <w:rPr>
          <w:bCs/>
          <w:szCs w:val="22"/>
          <w:lang w:val="es-ES_tradnl"/>
        </w:rPr>
      </w:pPr>
      <w:r w:rsidRPr="00C75C7E">
        <w:rPr>
          <w:bCs/>
          <w:szCs w:val="22"/>
          <w:lang w:val="es-ES_tradnl"/>
        </w:rPr>
        <w:t>PRINCIPALES RIESGOS Y ESTRATEGIAS DE MITIGACIÓN</w:t>
      </w:r>
    </w:p>
    <w:p w:rsidR="00A80F8D" w:rsidRPr="00C75C7E" w:rsidRDefault="00A80F8D" w:rsidP="00A80F8D">
      <w:pPr>
        <w:widowControl w:val="0"/>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858"/>
      </w:tblGrid>
      <w:tr w:rsidR="00A80F8D" w:rsidRPr="00C75C7E" w:rsidTr="00C76500">
        <w:trPr>
          <w:trHeight w:val="462"/>
          <w:tblHeader/>
        </w:trPr>
        <w:tc>
          <w:tcPr>
            <w:tcW w:w="4535" w:type="dxa"/>
            <w:tcBorders>
              <w:top w:val="single" w:sz="4" w:space="0" w:color="auto"/>
              <w:bottom w:val="single" w:sz="4" w:space="0" w:color="auto"/>
            </w:tcBorders>
            <w:shd w:val="clear" w:color="auto" w:fill="CCFFFF"/>
            <w:tcMar>
              <w:top w:w="113" w:type="dxa"/>
              <w:bottom w:w="113" w:type="dxa"/>
            </w:tcMar>
            <w:vAlign w:val="center"/>
          </w:tcPr>
          <w:p w:rsidR="00A80F8D" w:rsidRPr="00C75C7E" w:rsidRDefault="00A80F8D"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Riesgos en el logro de los resultados del programa</w:t>
            </w:r>
          </w:p>
        </w:tc>
        <w:tc>
          <w:tcPr>
            <w:tcW w:w="4858" w:type="dxa"/>
            <w:tcBorders>
              <w:top w:val="single" w:sz="4" w:space="0" w:color="auto"/>
              <w:bottom w:val="single" w:sz="4" w:space="0" w:color="auto"/>
            </w:tcBorders>
            <w:shd w:val="clear" w:color="auto" w:fill="CCFFFF"/>
            <w:tcMar>
              <w:top w:w="113" w:type="dxa"/>
              <w:bottom w:w="113" w:type="dxa"/>
            </w:tcMar>
            <w:vAlign w:val="center"/>
          </w:tcPr>
          <w:p w:rsidR="00A80F8D" w:rsidRPr="00C75C7E" w:rsidRDefault="00A80F8D"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 xml:space="preserve">Planes de mitigación ejecutados o en ejecución </w:t>
            </w:r>
          </w:p>
        </w:tc>
      </w:tr>
      <w:tr w:rsidR="00A80F8D" w:rsidRPr="00C75C7E" w:rsidTr="00C76500">
        <w:trPr>
          <w:trHeight w:val="785"/>
        </w:trPr>
        <w:tc>
          <w:tcPr>
            <w:tcW w:w="4535" w:type="dxa"/>
            <w:tcBorders>
              <w:top w:val="single" w:sz="4" w:space="0" w:color="auto"/>
            </w:tcBorders>
            <w:shd w:val="clear" w:color="auto" w:fill="auto"/>
            <w:tcMar>
              <w:top w:w="113" w:type="dxa"/>
              <w:bottom w:w="113" w:type="dxa"/>
            </w:tcMar>
          </w:tcPr>
          <w:p w:rsidR="00A80F8D" w:rsidRPr="00C75C7E" w:rsidRDefault="00A80F8D" w:rsidP="008F4F69">
            <w:pPr>
              <w:widowControl w:val="0"/>
              <w:rPr>
                <w:sz w:val="16"/>
                <w:szCs w:val="16"/>
                <w:lang w:val="es-ES_tradnl"/>
              </w:rPr>
            </w:pPr>
            <w:r w:rsidRPr="00C75C7E">
              <w:rPr>
                <w:sz w:val="16"/>
                <w:szCs w:val="16"/>
                <w:lang w:val="es-ES_tradnl"/>
              </w:rPr>
              <w:t>La incapacidad para mantener y continuar apoyando el funcionamiento autónomo de la red de CATI.  Esta incapacidad podría tener como consecuencia el cierre de ciertas redes de CATI, lo que privaría de acceso a servicios de información sobre tecnología a ciertos inversores, pymes y otras partes interesadas pertinentes.</w:t>
            </w:r>
          </w:p>
        </w:tc>
        <w:tc>
          <w:tcPr>
            <w:tcW w:w="4858" w:type="dxa"/>
            <w:tcBorders>
              <w:top w:val="single" w:sz="4" w:space="0" w:color="auto"/>
            </w:tcBorders>
            <w:shd w:val="clear" w:color="auto" w:fill="auto"/>
            <w:tcMar>
              <w:top w:w="113" w:type="dxa"/>
              <w:bottom w:w="113" w:type="dxa"/>
            </w:tcMar>
          </w:tcPr>
          <w:p w:rsidR="00A80F8D" w:rsidRPr="00C75C7E" w:rsidRDefault="00A80F8D" w:rsidP="008F4F69">
            <w:pPr>
              <w:widowControl w:val="0"/>
              <w:autoSpaceDE w:val="0"/>
              <w:autoSpaceDN w:val="0"/>
              <w:adjustRightInd w:val="0"/>
              <w:ind w:right="-59"/>
              <w:rPr>
                <w:sz w:val="16"/>
                <w:szCs w:val="16"/>
                <w:lang w:val="es-ES_tradnl"/>
              </w:rPr>
            </w:pPr>
            <w:r w:rsidRPr="00C75C7E">
              <w:rPr>
                <w:sz w:val="16"/>
                <w:szCs w:val="16"/>
                <w:lang w:val="es-ES_tradnl"/>
              </w:rPr>
              <w:t>Una mayor colaboración con los países en los que se han establecido CATI en lo relativo a la planificación y ejecución del proyecto de CATI.</w:t>
            </w:r>
          </w:p>
          <w:p w:rsidR="00A80F8D" w:rsidRPr="00C75C7E" w:rsidRDefault="00A80F8D" w:rsidP="008F4F69">
            <w:pPr>
              <w:widowControl w:val="0"/>
              <w:autoSpaceDE w:val="0"/>
              <w:autoSpaceDN w:val="0"/>
              <w:adjustRightInd w:val="0"/>
              <w:ind w:right="-59"/>
              <w:rPr>
                <w:sz w:val="16"/>
                <w:szCs w:val="16"/>
                <w:lang w:val="es-ES_tradnl"/>
              </w:rPr>
            </w:pPr>
          </w:p>
        </w:tc>
      </w:tr>
      <w:tr w:rsidR="00A80F8D" w:rsidRPr="00C75C7E" w:rsidTr="00C76500">
        <w:trPr>
          <w:trHeight w:val="182"/>
        </w:trPr>
        <w:tc>
          <w:tcPr>
            <w:tcW w:w="4535" w:type="dxa"/>
            <w:shd w:val="clear" w:color="auto" w:fill="auto"/>
            <w:tcMar>
              <w:top w:w="113" w:type="dxa"/>
              <w:bottom w:w="113" w:type="dxa"/>
            </w:tcMar>
          </w:tcPr>
          <w:p w:rsidR="00A80F8D" w:rsidRPr="00C75C7E" w:rsidRDefault="00A80F8D" w:rsidP="00771A0D">
            <w:pPr>
              <w:widowControl w:val="0"/>
              <w:rPr>
                <w:sz w:val="16"/>
                <w:szCs w:val="16"/>
                <w:lang w:val="es-ES_tradnl"/>
              </w:rPr>
            </w:pPr>
            <w:r w:rsidRPr="00C75C7E">
              <w:rPr>
                <w:sz w:val="16"/>
                <w:szCs w:val="16"/>
                <w:lang w:val="es-ES_tradnl"/>
              </w:rPr>
              <w:t xml:space="preserve">La falta de utilización de los informes publicados sobre la actividad de </w:t>
            </w:r>
            <w:proofErr w:type="spellStart"/>
            <w:r w:rsidRPr="00C75C7E">
              <w:rPr>
                <w:sz w:val="16"/>
                <w:szCs w:val="16"/>
                <w:lang w:val="es-ES_tradnl"/>
              </w:rPr>
              <w:t>patentamiento</w:t>
            </w:r>
            <w:proofErr w:type="spellEnd"/>
            <w:r w:rsidRPr="00C75C7E">
              <w:rPr>
                <w:sz w:val="16"/>
                <w:szCs w:val="16"/>
                <w:lang w:val="es-ES_tradnl"/>
              </w:rPr>
              <w:t xml:space="preserve"> por el público al que están dirigidos (inventores, investigadores, el sector de la P.I., los círculos académicos y los responsables de la formulación de políticas y de la toma de decisiones en la esfera de la I+D).  </w:t>
            </w:r>
          </w:p>
        </w:tc>
        <w:tc>
          <w:tcPr>
            <w:tcW w:w="4858" w:type="dxa"/>
            <w:shd w:val="clear" w:color="auto" w:fill="auto"/>
            <w:tcMar>
              <w:top w:w="113" w:type="dxa"/>
              <w:bottom w:w="113" w:type="dxa"/>
            </w:tcMar>
          </w:tcPr>
          <w:p w:rsidR="00A80F8D" w:rsidRPr="00EA39DF" w:rsidRDefault="00A80F8D" w:rsidP="008F4F69">
            <w:pPr>
              <w:widowControl w:val="0"/>
              <w:autoSpaceDE w:val="0"/>
              <w:autoSpaceDN w:val="0"/>
              <w:adjustRightInd w:val="0"/>
              <w:ind w:right="-59"/>
              <w:rPr>
                <w:sz w:val="16"/>
                <w:szCs w:val="16"/>
                <w:lang w:val="es-ES_tradnl"/>
              </w:rPr>
            </w:pPr>
            <w:r w:rsidRPr="00EA39DF">
              <w:rPr>
                <w:sz w:val="16"/>
                <w:szCs w:val="16"/>
                <w:lang w:val="es-ES_tradnl"/>
              </w:rPr>
              <w:t xml:space="preserve">Una elección cuidadosa de los temas de los </w:t>
            </w:r>
            <w:r w:rsidRPr="00EA39DF">
              <w:rPr>
                <w:bCs/>
                <w:sz w:val="16"/>
                <w:szCs w:val="16"/>
                <w:lang w:val="es-ES_tradnl"/>
              </w:rPr>
              <w:t xml:space="preserve">informes sobre la actividad de </w:t>
            </w:r>
            <w:proofErr w:type="spellStart"/>
            <w:r w:rsidRPr="00EA39DF">
              <w:rPr>
                <w:bCs/>
                <w:sz w:val="16"/>
                <w:szCs w:val="16"/>
                <w:lang w:val="es-ES_tradnl"/>
              </w:rPr>
              <w:t>patentamiento</w:t>
            </w:r>
            <w:proofErr w:type="spellEnd"/>
            <w:r w:rsidRPr="00EA39DF">
              <w:rPr>
                <w:bCs/>
                <w:sz w:val="16"/>
                <w:szCs w:val="16"/>
                <w:lang w:val="es-ES_tradnl"/>
              </w:rPr>
              <w:t xml:space="preserve"> y mejora de su difusión, así como una mejor coordinación con las partes interesadas a las que van dirigidos.</w:t>
            </w:r>
          </w:p>
          <w:p w:rsidR="00A80F8D" w:rsidRPr="00C75C7E" w:rsidRDefault="00A80F8D" w:rsidP="008F4F69">
            <w:pPr>
              <w:widowControl w:val="0"/>
              <w:autoSpaceDE w:val="0"/>
              <w:autoSpaceDN w:val="0"/>
              <w:adjustRightInd w:val="0"/>
              <w:ind w:right="-59"/>
              <w:rPr>
                <w:sz w:val="16"/>
                <w:szCs w:val="16"/>
                <w:lang w:val="es-ES_tradnl"/>
              </w:rPr>
            </w:pPr>
          </w:p>
        </w:tc>
      </w:tr>
      <w:tr w:rsidR="00A80F8D" w:rsidRPr="00C75C7E" w:rsidTr="00C76500">
        <w:trPr>
          <w:trHeight w:val="1347"/>
        </w:trPr>
        <w:tc>
          <w:tcPr>
            <w:tcW w:w="4535" w:type="dxa"/>
            <w:shd w:val="clear" w:color="auto" w:fill="auto"/>
            <w:tcMar>
              <w:top w:w="113" w:type="dxa"/>
              <w:bottom w:w="113" w:type="dxa"/>
            </w:tcMar>
          </w:tcPr>
          <w:p w:rsidR="00A80F8D" w:rsidRPr="00C75C7E" w:rsidRDefault="00A80F8D" w:rsidP="008F4F69">
            <w:pPr>
              <w:widowControl w:val="0"/>
              <w:rPr>
                <w:sz w:val="16"/>
                <w:szCs w:val="16"/>
                <w:lang w:val="es-ES_tradnl"/>
              </w:rPr>
            </w:pPr>
            <w:r w:rsidRPr="00C75C7E">
              <w:rPr>
                <w:sz w:val="16"/>
                <w:szCs w:val="16"/>
                <w:lang w:val="es-ES_tradnl"/>
              </w:rPr>
              <w:t xml:space="preserve">En la prestación de servicios de información sobre patentes puede producirse un desajuste entre la oferta y la demanda, sobre todo entre la calidad y la cantidad esperadas y efectivas de esos servicios, así como la rapidez con que se prestan cuando los recursos disponibles son escasos, y habida cuenta de que la participación de las oficinas que proporcionan esos servicios es voluntaria y gratuita. </w:t>
            </w:r>
          </w:p>
        </w:tc>
        <w:tc>
          <w:tcPr>
            <w:tcW w:w="4858" w:type="dxa"/>
            <w:shd w:val="clear" w:color="auto" w:fill="auto"/>
            <w:tcMar>
              <w:top w:w="113" w:type="dxa"/>
              <w:bottom w:w="113" w:type="dxa"/>
            </w:tcMar>
          </w:tcPr>
          <w:p w:rsidR="00A80F8D" w:rsidRPr="00C75C7E" w:rsidRDefault="00A80F8D" w:rsidP="004E3B39">
            <w:pPr>
              <w:widowControl w:val="0"/>
              <w:autoSpaceDE w:val="0"/>
              <w:autoSpaceDN w:val="0"/>
              <w:adjustRightInd w:val="0"/>
              <w:ind w:right="-59"/>
              <w:rPr>
                <w:sz w:val="16"/>
                <w:szCs w:val="16"/>
                <w:lang w:val="es-ES_tradnl"/>
              </w:rPr>
            </w:pPr>
            <w:r w:rsidRPr="00C75C7E">
              <w:rPr>
                <w:sz w:val="16"/>
                <w:szCs w:val="16"/>
                <w:lang w:val="es-ES_tradnl"/>
              </w:rPr>
              <w:t xml:space="preserve">La OMPI mitigará los riesgos por medio de la supervisión de la puntualidad y la calidad de los servicios prestados por las oficinas participantes, la colaboración en la preparación de informes sobre análisis de la actividad de </w:t>
            </w:r>
            <w:proofErr w:type="spellStart"/>
            <w:r w:rsidRPr="00C75C7E">
              <w:rPr>
                <w:sz w:val="16"/>
                <w:szCs w:val="16"/>
                <w:lang w:val="es-ES_tradnl"/>
              </w:rPr>
              <w:t>patentamiento</w:t>
            </w:r>
            <w:proofErr w:type="spellEnd"/>
            <w:r w:rsidRPr="00C75C7E">
              <w:rPr>
                <w:sz w:val="16"/>
                <w:szCs w:val="16"/>
                <w:lang w:val="es-ES_tradnl"/>
              </w:rPr>
              <w:t xml:space="preserve"> con instituciones asociadas externas que han expresado un interés especial y han demostrado unas necesidades particulares, la petición y evaluación de comentarios de los usuarios de los servicios, el establecimiento de prioridades respecto de las peticiones en caso de que se reciba un volumen excesivo, y la promoción de los servicios si esa demanda fuera escasa.</w:t>
            </w:r>
          </w:p>
        </w:tc>
      </w:tr>
    </w:tbl>
    <w:p w:rsidR="00A80F8D" w:rsidRPr="00C75C7E" w:rsidRDefault="00A80F8D" w:rsidP="00A80F8D">
      <w:pPr>
        <w:widowControl w:val="0"/>
        <w:tabs>
          <w:tab w:val="num" w:pos="709"/>
        </w:tabs>
        <w:rPr>
          <w:i/>
          <w:sz w:val="20"/>
          <w:lang w:val="es-ES_tradnl"/>
        </w:rPr>
      </w:pPr>
    </w:p>
    <w:p w:rsidR="00A80F8D" w:rsidRPr="00C75C7E" w:rsidRDefault="00A80F8D" w:rsidP="00A80F8D">
      <w:pPr>
        <w:widowControl w:val="0"/>
        <w:tabs>
          <w:tab w:val="left" w:pos="567"/>
          <w:tab w:val="left" w:pos="1985"/>
        </w:tabs>
        <w:jc w:val="both"/>
        <w:rPr>
          <w:bCs/>
          <w:szCs w:val="22"/>
          <w:lang w:val="es-ES_tradnl"/>
        </w:rPr>
      </w:pPr>
    </w:p>
    <w:p w:rsidR="00A80F8D" w:rsidRPr="00C75C7E" w:rsidRDefault="00A80F8D" w:rsidP="00A80F8D">
      <w:pPr>
        <w:widowControl w:val="0"/>
        <w:tabs>
          <w:tab w:val="left" w:pos="567"/>
          <w:tab w:val="left" w:pos="1985"/>
        </w:tabs>
        <w:jc w:val="both"/>
        <w:rPr>
          <w:bCs/>
          <w:sz w:val="20"/>
          <w:lang w:val="es-ES_tradnl"/>
        </w:rPr>
      </w:pPr>
      <w:r w:rsidRPr="00C75C7E">
        <w:rPr>
          <w:bCs/>
          <w:szCs w:val="22"/>
          <w:lang w:val="es-ES_tradnl"/>
        </w:rPr>
        <w:t>MARCO DE RESULTADOS</w:t>
      </w:r>
    </w:p>
    <w:p w:rsidR="00A80F8D" w:rsidRPr="00C75C7E" w:rsidRDefault="00A80F8D" w:rsidP="00A80F8D">
      <w:pPr>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50"/>
        <w:gridCol w:w="2637"/>
        <w:gridCol w:w="2039"/>
        <w:gridCol w:w="2380"/>
      </w:tblGrid>
      <w:tr w:rsidR="00A80F8D" w:rsidRPr="00C75C7E" w:rsidTr="00C76500">
        <w:trPr>
          <w:cantSplit/>
          <w:trHeight w:val="428"/>
          <w:tblHeader/>
        </w:trPr>
        <w:tc>
          <w:tcPr>
            <w:tcW w:w="1249" w:type="pct"/>
            <w:tcBorders>
              <w:top w:val="single" w:sz="4" w:space="0" w:color="auto"/>
              <w:bottom w:val="single" w:sz="4" w:space="0" w:color="auto"/>
            </w:tcBorders>
            <w:shd w:val="clear" w:color="auto" w:fill="CCFFFF"/>
            <w:vAlign w:val="center"/>
          </w:tcPr>
          <w:p w:rsidR="00A80F8D" w:rsidRPr="00C75C7E" w:rsidRDefault="00A80F8D"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1402" w:type="pct"/>
            <w:tcBorders>
              <w:top w:val="single" w:sz="4" w:space="0" w:color="auto"/>
              <w:bottom w:val="single" w:sz="4" w:space="0" w:color="auto"/>
            </w:tcBorders>
            <w:shd w:val="clear" w:color="auto" w:fill="CCFFFF"/>
            <w:tcMar>
              <w:top w:w="110" w:type="dxa"/>
            </w:tcMar>
            <w:vAlign w:val="center"/>
          </w:tcPr>
          <w:p w:rsidR="00A80F8D" w:rsidRPr="00C75C7E" w:rsidRDefault="00A80F8D" w:rsidP="008F4F69">
            <w:pPr>
              <w:widowControl w:val="0"/>
              <w:spacing w:after="120"/>
              <w:jc w:val="center"/>
              <w:rPr>
                <w:b/>
                <w:sz w:val="18"/>
                <w:szCs w:val="18"/>
                <w:lang w:val="es-ES_tradnl"/>
              </w:rPr>
            </w:pPr>
            <w:r w:rsidRPr="00C75C7E">
              <w:rPr>
                <w:b/>
                <w:sz w:val="18"/>
                <w:szCs w:val="18"/>
                <w:lang w:val="es-ES_tradnl"/>
              </w:rPr>
              <w:t>Indicadores de rendimiento</w:t>
            </w:r>
          </w:p>
        </w:tc>
        <w:tc>
          <w:tcPr>
            <w:tcW w:w="1084" w:type="pct"/>
            <w:tcBorders>
              <w:top w:val="single" w:sz="4" w:space="0" w:color="auto"/>
              <w:bottom w:val="single" w:sz="4" w:space="0" w:color="auto"/>
            </w:tcBorders>
            <w:shd w:val="clear" w:color="auto" w:fill="CCFFFF"/>
            <w:tcMar>
              <w:top w:w="110" w:type="dxa"/>
            </w:tcMar>
            <w:vAlign w:val="center"/>
          </w:tcPr>
          <w:p w:rsidR="00A80F8D" w:rsidRPr="00C75C7E" w:rsidRDefault="00A80F8D" w:rsidP="00C76500">
            <w:pPr>
              <w:widowControl w:val="0"/>
              <w:spacing w:after="120"/>
              <w:ind w:left="85"/>
              <w:rPr>
                <w:sz w:val="18"/>
                <w:szCs w:val="18"/>
                <w:lang w:val="es-ES_tradnl"/>
              </w:rPr>
            </w:pPr>
            <w:r w:rsidRPr="00C75C7E">
              <w:rPr>
                <w:b/>
                <w:bCs/>
                <w:sz w:val="18"/>
                <w:szCs w:val="18"/>
                <w:lang w:val="es-ES_tradnl"/>
              </w:rPr>
              <w:t>Referencia</w:t>
            </w:r>
          </w:p>
        </w:tc>
        <w:tc>
          <w:tcPr>
            <w:tcW w:w="1265" w:type="pct"/>
            <w:tcBorders>
              <w:top w:val="single" w:sz="4" w:space="0" w:color="auto"/>
              <w:bottom w:val="single" w:sz="4" w:space="0" w:color="auto"/>
            </w:tcBorders>
            <w:shd w:val="clear" w:color="auto" w:fill="CCFFFF"/>
            <w:tcMar>
              <w:top w:w="110" w:type="dxa"/>
            </w:tcMar>
            <w:vAlign w:val="center"/>
          </w:tcPr>
          <w:p w:rsidR="00A80F8D" w:rsidRPr="00C75C7E" w:rsidRDefault="00A80F8D" w:rsidP="00C76500">
            <w:pPr>
              <w:widowControl w:val="0"/>
              <w:spacing w:after="120"/>
              <w:ind w:right="1"/>
              <w:rPr>
                <w:b/>
                <w:bCs/>
                <w:sz w:val="18"/>
                <w:szCs w:val="18"/>
                <w:lang w:val="es-ES_tradnl"/>
              </w:rPr>
            </w:pPr>
            <w:r w:rsidRPr="00C75C7E">
              <w:rPr>
                <w:b/>
                <w:bCs/>
                <w:sz w:val="18"/>
                <w:szCs w:val="18"/>
                <w:lang w:val="es-ES_tradnl"/>
              </w:rPr>
              <w:t>Objetivos</w:t>
            </w:r>
          </w:p>
        </w:tc>
      </w:tr>
      <w:tr w:rsidR="00A80F8D" w:rsidRPr="00C75C7E" w:rsidTr="008F4F69">
        <w:trPr>
          <w:cantSplit/>
        </w:trPr>
        <w:tc>
          <w:tcPr>
            <w:tcW w:w="1249" w:type="pct"/>
            <w:tcBorders>
              <w:top w:val="single" w:sz="4" w:space="0" w:color="auto"/>
            </w:tcBorders>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IV.2. Mejora del acceso y uso de información y conocimientos de P.I. por parte de instituciones de P.I. y el público para fomentar la innovación y la creatividad.</w:t>
            </w:r>
          </w:p>
        </w:tc>
        <w:tc>
          <w:tcPr>
            <w:tcW w:w="1402" w:type="pct"/>
            <w:tcBorders>
              <w:top w:val="single" w:sz="4" w:space="0" w:color="auto"/>
            </w:tcBorders>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Número de redes nacionales sostenibles de CATI.</w:t>
            </w:r>
          </w:p>
        </w:tc>
        <w:tc>
          <w:tcPr>
            <w:tcW w:w="1084" w:type="pct"/>
            <w:tcBorders>
              <w:top w:val="single" w:sz="4" w:space="0" w:color="auto"/>
            </w:tcBorders>
            <w:shd w:val="clear" w:color="auto" w:fill="FFFFFF"/>
            <w:tcMar>
              <w:top w:w="113" w:type="dxa"/>
            </w:tcMar>
          </w:tcPr>
          <w:p w:rsidR="00A80F8D" w:rsidRPr="00C75C7E" w:rsidRDefault="00A80F8D" w:rsidP="008F4F69">
            <w:pPr>
              <w:widowControl w:val="0"/>
              <w:rPr>
                <w:sz w:val="16"/>
                <w:szCs w:val="16"/>
                <w:lang w:val="es-ES_tradnl" w:bidi="th-TH"/>
              </w:rPr>
            </w:pPr>
            <w:r w:rsidRPr="00C75C7E">
              <w:rPr>
                <w:sz w:val="16"/>
                <w:szCs w:val="16"/>
                <w:lang w:val="es-ES_tradnl" w:bidi="th-TH"/>
              </w:rPr>
              <w:t xml:space="preserve">15 redes nacionales de CATI: (en total al final del primer trimestre de 2013):  África (6);  </w:t>
            </w:r>
            <w:r w:rsidRPr="00C75C7E">
              <w:rPr>
                <w:sz w:val="16"/>
                <w:szCs w:val="16"/>
                <w:lang w:val="es-ES_tradnl" w:bidi="th-TH"/>
              </w:rPr>
              <w:br/>
              <w:t xml:space="preserve">Región de los Países Árabes (2); </w:t>
            </w:r>
            <w:r w:rsidRPr="00C75C7E">
              <w:rPr>
                <w:sz w:val="16"/>
                <w:szCs w:val="16"/>
                <w:lang w:val="es-ES_tradnl" w:bidi="th-TH"/>
              </w:rPr>
              <w:br/>
              <w:t xml:space="preserve"> Asia y el Pacífico (2);  América Latina y el Caribe (4);  </w:t>
            </w:r>
            <w:r w:rsidRPr="00C75C7E">
              <w:rPr>
                <w:sz w:val="16"/>
                <w:szCs w:val="16"/>
                <w:lang w:val="es-ES_tradnl" w:bidi="th-TH"/>
              </w:rPr>
              <w:br/>
              <w:t>Determinados Países de Europa y Asia (1)</w:t>
            </w:r>
          </w:p>
          <w:p w:rsidR="00A80F8D" w:rsidRPr="00C75C7E" w:rsidRDefault="00A80F8D" w:rsidP="008F4F69">
            <w:pPr>
              <w:widowControl w:val="0"/>
              <w:rPr>
                <w:sz w:val="16"/>
                <w:szCs w:val="16"/>
                <w:lang w:val="es-ES_tradnl"/>
              </w:rPr>
            </w:pPr>
          </w:p>
        </w:tc>
        <w:tc>
          <w:tcPr>
            <w:tcW w:w="1265" w:type="pct"/>
            <w:tcBorders>
              <w:top w:val="single" w:sz="4" w:space="0" w:color="auto"/>
            </w:tcBorders>
            <w:shd w:val="clear" w:color="auto" w:fill="auto"/>
            <w:tcMar>
              <w:top w:w="113" w:type="dxa"/>
            </w:tcMar>
          </w:tcPr>
          <w:p w:rsidR="00A80F8D" w:rsidRPr="00C75C7E" w:rsidRDefault="00A80F8D" w:rsidP="008F4F69">
            <w:pPr>
              <w:widowControl w:val="0"/>
              <w:ind w:right="381"/>
              <w:rPr>
                <w:bCs/>
                <w:sz w:val="16"/>
                <w:szCs w:val="16"/>
                <w:lang w:val="es-ES_tradnl"/>
              </w:rPr>
            </w:pPr>
            <w:r w:rsidRPr="00C75C7E">
              <w:rPr>
                <w:bCs/>
                <w:sz w:val="16"/>
                <w:szCs w:val="16"/>
                <w:lang w:val="es-ES_tradnl"/>
              </w:rPr>
              <w:t xml:space="preserve">25 redes nacionales de CATI (en total): África (10 de los que 8 son PMA);  </w:t>
            </w:r>
            <w:r w:rsidRPr="00C75C7E">
              <w:rPr>
                <w:bCs/>
                <w:sz w:val="16"/>
                <w:szCs w:val="16"/>
                <w:lang w:val="es-ES_tradnl"/>
              </w:rPr>
              <w:br/>
              <w:t xml:space="preserve">Región de los Países Árabes (3);  </w:t>
            </w:r>
            <w:r w:rsidRPr="00C75C7E">
              <w:rPr>
                <w:bCs/>
                <w:sz w:val="16"/>
                <w:szCs w:val="16"/>
                <w:lang w:val="es-ES_tradnl"/>
              </w:rPr>
              <w:br/>
              <w:t xml:space="preserve">Asia y el Pacífico (4 de los que 2 son PMA);  </w:t>
            </w:r>
            <w:r w:rsidRPr="00C75C7E">
              <w:rPr>
                <w:bCs/>
                <w:sz w:val="16"/>
                <w:szCs w:val="16"/>
                <w:lang w:val="es-ES_tradnl"/>
              </w:rPr>
              <w:br/>
              <w:t xml:space="preserve">América Latina y el Caribe (6);  </w:t>
            </w:r>
            <w:r w:rsidRPr="00C75C7E">
              <w:rPr>
                <w:bCs/>
                <w:sz w:val="16"/>
                <w:szCs w:val="16"/>
                <w:lang w:val="es-ES_tradnl"/>
              </w:rPr>
              <w:br/>
              <w:t>Determinados Países de Europa y Asia (2)</w:t>
            </w:r>
          </w:p>
          <w:p w:rsidR="00A80F8D" w:rsidRPr="00C75C7E" w:rsidRDefault="00A80F8D" w:rsidP="008F4F69">
            <w:pPr>
              <w:widowControl w:val="0"/>
              <w:ind w:right="381"/>
              <w:rPr>
                <w:bCs/>
                <w:sz w:val="16"/>
                <w:szCs w:val="16"/>
                <w:lang w:val="es-ES_tradnl"/>
              </w:rPr>
            </w:pPr>
          </w:p>
        </w:tc>
      </w:tr>
      <w:tr w:rsidR="00A80F8D" w:rsidRPr="00C75C7E" w:rsidTr="008F4F69">
        <w:trPr>
          <w:cantSplit/>
        </w:trPr>
        <w:tc>
          <w:tcPr>
            <w:tcW w:w="1249" w:type="pct"/>
            <w:shd w:val="clear" w:color="auto" w:fill="auto"/>
            <w:tcMar>
              <w:top w:w="113" w:type="dxa"/>
            </w:tcMar>
          </w:tcPr>
          <w:p w:rsidR="00A80F8D" w:rsidRPr="00C75C7E" w:rsidRDefault="00A80F8D" w:rsidP="008F4F69">
            <w:pPr>
              <w:widowControl w:val="0"/>
              <w:rPr>
                <w:sz w:val="16"/>
                <w:szCs w:val="16"/>
                <w:lang w:val="es-ES_tradnl"/>
              </w:rPr>
            </w:pPr>
          </w:p>
        </w:tc>
        <w:tc>
          <w:tcPr>
            <w:tcW w:w="1402" w:type="pct"/>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Promedio de usuarios que utilizan los servicios de los CATI por trimestre y por país.</w:t>
            </w:r>
          </w:p>
        </w:tc>
        <w:tc>
          <w:tcPr>
            <w:tcW w:w="1084" w:type="pct"/>
            <w:shd w:val="clear" w:color="auto" w:fill="FFFFFF"/>
            <w:tcMar>
              <w:top w:w="113" w:type="dxa"/>
            </w:tcMar>
          </w:tcPr>
          <w:p w:rsidR="00A80F8D" w:rsidRPr="00C75C7E" w:rsidRDefault="00CD1207" w:rsidP="008F4F69">
            <w:pPr>
              <w:widowControl w:val="0"/>
              <w:rPr>
                <w:sz w:val="16"/>
                <w:szCs w:val="16"/>
                <w:lang w:val="es-ES_tradnl" w:bidi="th-TH"/>
              </w:rPr>
            </w:pPr>
            <w:r>
              <w:rPr>
                <w:sz w:val="16"/>
                <w:szCs w:val="16"/>
                <w:lang w:val="es-ES_tradnl" w:bidi="th-TH"/>
              </w:rPr>
              <w:t xml:space="preserve">200 </w:t>
            </w:r>
            <w:r w:rsidR="00231ABD">
              <w:rPr>
                <w:sz w:val="16"/>
                <w:szCs w:val="16"/>
                <w:lang w:val="es-ES_tradnl" w:bidi="th-TH"/>
              </w:rPr>
              <w:t>(mín.)</w:t>
            </w:r>
            <w:r>
              <w:rPr>
                <w:sz w:val="16"/>
                <w:szCs w:val="16"/>
                <w:lang w:val="es-ES_tradnl" w:bidi="th-TH"/>
              </w:rPr>
              <w:t xml:space="preserve"> – 630 (má</w:t>
            </w:r>
            <w:r w:rsidR="00A80F8D" w:rsidRPr="00C75C7E">
              <w:rPr>
                <w:sz w:val="16"/>
                <w:szCs w:val="16"/>
                <w:lang w:val="es-ES_tradnl" w:bidi="th-TH"/>
              </w:rPr>
              <w:t>x.).</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rPr>
            </w:pPr>
          </w:p>
        </w:tc>
        <w:tc>
          <w:tcPr>
            <w:tcW w:w="1265" w:type="pct"/>
            <w:shd w:val="clear" w:color="auto" w:fill="auto"/>
            <w:tcMar>
              <w:top w:w="113" w:type="dxa"/>
            </w:tcMar>
          </w:tcPr>
          <w:p w:rsidR="00A80F8D" w:rsidRPr="00C75C7E" w:rsidRDefault="00CD1207" w:rsidP="008F4F69">
            <w:pPr>
              <w:widowControl w:val="0"/>
              <w:tabs>
                <w:tab w:val="left" w:pos="2051"/>
              </w:tabs>
              <w:ind w:right="381"/>
              <w:rPr>
                <w:bCs/>
                <w:sz w:val="16"/>
                <w:szCs w:val="16"/>
                <w:lang w:val="es-ES_tradnl"/>
              </w:rPr>
            </w:pPr>
            <w:r>
              <w:rPr>
                <w:bCs/>
                <w:sz w:val="16"/>
                <w:szCs w:val="16"/>
                <w:lang w:val="es-ES_tradnl"/>
              </w:rPr>
              <w:t xml:space="preserve">300 </w:t>
            </w:r>
            <w:r w:rsidR="00231ABD">
              <w:rPr>
                <w:bCs/>
                <w:sz w:val="16"/>
                <w:szCs w:val="16"/>
                <w:lang w:val="es-ES_tradnl"/>
              </w:rPr>
              <w:t>(mín.)</w:t>
            </w:r>
            <w:r>
              <w:rPr>
                <w:bCs/>
                <w:sz w:val="16"/>
                <w:szCs w:val="16"/>
                <w:lang w:val="es-ES_tradnl"/>
              </w:rPr>
              <w:t xml:space="preserve"> – 750 (má</w:t>
            </w:r>
            <w:r w:rsidR="00A80F8D" w:rsidRPr="00C75C7E">
              <w:rPr>
                <w:bCs/>
                <w:sz w:val="16"/>
                <w:szCs w:val="16"/>
                <w:lang w:val="es-ES_tradnl"/>
              </w:rPr>
              <w:t>x.).</w:t>
            </w:r>
          </w:p>
          <w:p w:rsidR="00A80F8D" w:rsidRPr="00C75C7E" w:rsidRDefault="00A80F8D" w:rsidP="008F4F69">
            <w:pPr>
              <w:widowControl w:val="0"/>
              <w:tabs>
                <w:tab w:val="left" w:pos="2051"/>
              </w:tabs>
              <w:ind w:right="381"/>
              <w:rPr>
                <w:bCs/>
                <w:sz w:val="16"/>
                <w:szCs w:val="16"/>
                <w:lang w:val="es-ES_tradnl"/>
              </w:rPr>
            </w:pPr>
          </w:p>
        </w:tc>
      </w:tr>
      <w:tr w:rsidR="00A80F8D" w:rsidRPr="00C75C7E" w:rsidTr="008F4F69">
        <w:trPr>
          <w:cantSplit/>
          <w:trHeight w:val="607"/>
        </w:trPr>
        <w:tc>
          <w:tcPr>
            <w:tcW w:w="1249" w:type="pct"/>
            <w:shd w:val="clear" w:color="auto" w:fill="auto"/>
            <w:tcMar>
              <w:top w:w="113" w:type="dxa"/>
            </w:tcMar>
          </w:tcPr>
          <w:p w:rsidR="00A80F8D" w:rsidRPr="00C75C7E" w:rsidRDefault="00A80F8D" w:rsidP="008F4F69">
            <w:pPr>
              <w:widowControl w:val="0"/>
              <w:rPr>
                <w:sz w:val="16"/>
                <w:szCs w:val="16"/>
                <w:lang w:val="es-ES_tradnl"/>
              </w:rPr>
            </w:pPr>
          </w:p>
        </w:tc>
        <w:tc>
          <w:tcPr>
            <w:tcW w:w="1402" w:type="pct"/>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Número de usuarios inscritos en ARDI y ASPI que utilizan dichos instrumentos.</w:t>
            </w:r>
          </w:p>
        </w:tc>
        <w:tc>
          <w:tcPr>
            <w:tcW w:w="1084" w:type="pct"/>
            <w:shd w:val="clear" w:color="auto" w:fill="FFFFFF"/>
            <w:tcMar>
              <w:top w:w="113" w:type="dxa"/>
            </w:tcMar>
          </w:tcPr>
          <w:p w:rsidR="00A80F8D" w:rsidRPr="00C75C7E" w:rsidRDefault="00A80F8D" w:rsidP="008F4F69">
            <w:pPr>
              <w:widowControl w:val="0"/>
              <w:rPr>
                <w:sz w:val="16"/>
                <w:szCs w:val="16"/>
                <w:lang w:val="es-ES_tradnl" w:bidi="th-TH"/>
              </w:rPr>
            </w:pPr>
            <w:r w:rsidRPr="00C75C7E">
              <w:rPr>
                <w:sz w:val="16"/>
                <w:szCs w:val="16"/>
                <w:lang w:val="es-ES_tradnl" w:bidi="th-TH"/>
              </w:rPr>
              <w:t xml:space="preserve">ARDI: 50. </w:t>
            </w:r>
          </w:p>
          <w:p w:rsidR="00A80F8D" w:rsidRPr="00C75C7E" w:rsidRDefault="00A80F8D" w:rsidP="008F4F69">
            <w:pPr>
              <w:widowControl w:val="0"/>
              <w:rPr>
                <w:sz w:val="16"/>
                <w:szCs w:val="16"/>
                <w:lang w:val="es-ES_tradnl" w:bidi="th-TH"/>
              </w:rPr>
            </w:pPr>
            <w:r w:rsidRPr="00C75C7E">
              <w:rPr>
                <w:sz w:val="16"/>
                <w:szCs w:val="16"/>
                <w:lang w:val="es-ES_tradnl" w:bidi="th-TH"/>
              </w:rPr>
              <w:t>ASPI</w:t>
            </w:r>
            <w:proofErr w:type="gramStart"/>
            <w:r w:rsidRPr="00C75C7E">
              <w:rPr>
                <w:sz w:val="16"/>
                <w:szCs w:val="16"/>
                <w:lang w:val="es-ES_tradnl" w:bidi="th-TH"/>
              </w:rPr>
              <w:t>:  20</w:t>
            </w:r>
            <w:proofErr w:type="gramEnd"/>
            <w:r w:rsidRPr="00C75C7E">
              <w:rPr>
                <w:sz w:val="16"/>
                <w:szCs w:val="16"/>
                <w:lang w:val="es-ES_tradnl" w:bidi="th-TH"/>
              </w:rPr>
              <w:t>.</w:t>
            </w:r>
          </w:p>
          <w:p w:rsidR="00A80F8D" w:rsidRPr="00C75C7E" w:rsidRDefault="00A80F8D" w:rsidP="008F4F69">
            <w:pPr>
              <w:widowControl w:val="0"/>
              <w:rPr>
                <w:sz w:val="16"/>
                <w:szCs w:val="16"/>
                <w:lang w:val="es-ES_tradnl"/>
              </w:rPr>
            </w:pPr>
          </w:p>
        </w:tc>
        <w:tc>
          <w:tcPr>
            <w:tcW w:w="1265" w:type="pct"/>
            <w:shd w:val="clear" w:color="auto" w:fill="auto"/>
            <w:tcMar>
              <w:top w:w="113" w:type="dxa"/>
            </w:tcMar>
          </w:tcPr>
          <w:p w:rsidR="00A80F8D" w:rsidRPr="00C75C7E" w:rsidRDefault="00A80F8D" w:rsidP="008F4F69">
            <w:pPr>
              <w:widowControl w:val="0"/>
              <w:ind w:right="51"/>
              <w:rPr>
                <w:bCs/>
                <w:sz w:val="16"/>
                <w:szCs w:val="16"/>
                <w:lang w:val="es-ES_tradnl"/>
              </w:rPr>
            </w:pPr>
            <w:r w:rsidRPr="00C75C7E">
              <w:rPr>
                <w:bCs/>
                <w:sz w:val="16"/>
                <w:szCs w:val="16"/>
                <w:lang w:val="es-ES_tradnl"/>
              </w:rPr>
              <w:t xml:space="preserve">ARDI: 300. </w:t>
            </w:r>
          </w:p>
          <w:p w:rsidR="00A80F8D" w:rsidRPr="00C75C7E" w:rsidRDefault="00A80F8D" w:rsidP="008F4F69">
            <w:pPr>
              <w:widowControl w:val="0"/>
              <w:ind w:right="51"/>
              <w:rPr>
                <w:bCs/>
                <w:sz w:val="16"/>
                <w:szCs w:val="16"/>
                <w:lang w:val="es-ES_tradnl"/>
              </w:rPr>
            </w:pPr>
            <w:r w:rsidRPr="00C75C7E">
              <w:rPr>
                <w:bCs/>
                <w:sz w:val="16"/>
                <w:szCs w:val="16"/>
                <w:lang w:val="es-ES_tradnl"/>
              </w:rPr>
              <w:t>ASPI</w:t>
            </w:r>
            <w:proofErr w:type="gramStart"/>
            <w:r w:rsidRPr="00C75C7E">
              <w:rPr>
                <w:bCs/>
                <w:sz w:val="16"/>
                <w:szCs w:val="16"/>
                <w:lang w:val="es-ES_tradnl"/>
              </w:rPr>
              <w:t>:  30</w:t>
            </w:r>
            <w:proofErr w:type="gramEnd"/>
            <w:r w:rsidRPr="00C75C7E">
              <w:rPr>
                <w:bCs/>
                <w:sz w:val="16"/>
                <w:szCs w:val="16"/>
                <w:lang w:val="es-ES_tradnl"/>
              </w:rPr>
              <w:t>.</w:t>
            </w:r>
          </w:p>
        </w:tc>
      </w:tr>
      <w:tr w:rsidR="00A80F8D" w:rsidRPr="00C75C7E" w:rsidTr="008F4F69">
        <w:trPr>
          <w:cantSplit/>
          <w:trHeight w:val="1005"/>
        </w:trPr>
        <w:tc>
          <w:tcPr>
            <w:tcW w:w="1249" w:type="pct"/>
            <w:shd w:val="clear" w:color="auto" w:fill="auto"/>
            <w:tcMar>
              <w:top w:w="113" w:type="dxa"/>
            </w:tcMar>
          </w:tcPr>
          <w:p w:rsidR="00A80F8D" w:rsidRPr="00C75C7E" w:rsidRDefault="00A80F8D" w:rsidP="008F4F69">
            <w:pPr>
              <w:widowControl w:val="0"/>
              <w:rPr>
                <w:sz w:val="16"/>
                <w:szCs w:val="16"/>
                <w:lang w:val="es-ES_tradnl"/>
              </w:rPr>
            </w:pPr>
          </w:p>
        </w:tc>
        <w:tc>
          <w:tcPr>
            <w:tcW w:w="1402" w:type="pct"/>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Porcentaje de usuarios satisfechos con la prestación de servicios de información sobre patentes con valor añadido (WPIS, cooperación internacional en el examen, familias de patentes  y servicio de consulta sobre la situación jurídica).</w:t>
            </w:r>
          </w:p>
        </w:tc>
        <w:tc>
          <w:tcPr>
            <w:tcW w:w="1084" w:type="pct"/>
            <w:shd w:val="clear" w:color="auto" w:fill="FFFFFF"/>
            <w:tcMar>
              <w:top w:w="113" w:type="dxa"/>
            </w:tcMar>
          </w:tcPr>
          <w:p w:rsidR="00A80F8D" w:rsidRPr="00C75C7E" w:rsidRDefault="00A80F8D" w:rsidP="008F4F69">
            <w:pPr>
              <w:widowControl w:val="0"/>
              <w:rPr>
                <w:sz w:val="16"/>
                <w:szCs w:val="16"/>
                <w:lang w:val="es-ES_tradnl" w:bidi="th-TH"/>
              </w:rPr>
            </w:pPr>
            <w:r w:rsidRPr="00C75C7E">
              <w:rPr>
                <w:sz w:val="16"/>
                <w:szCs w:val="16"/>
                <w:lang w:val="es-ES_tradnl" w:bidi="th-TH"/>
              </w:rPr>
              <w:t>No se dispone de datos.</w:t>
            </w: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bidi="th-TH"/>
              </w:rPr>
            </w:pPr>
          </w:p>
          <w:p w:rsidR="00A80F8D" w:rsidRPr="00C75C7E" w:rsidRDefault="00A80F8D" w:rsidP="008F4F69">
            <w:pPr>
              <w:widowControl w:val="0"/>
              <w:rPr>
                <w:sz w:val="16"/>
                <w:szCs w:val="16"/>
                <w:lang w:val="es-ES_tradnl"/>
              </w:rPr>
            </w:pPr>
          </w:p>
        </w:tc>
        <w:tc>
          <w:tcPr>
            <w:tcW w:w="1265" w:type="pct"/>
            <w:shd w:val="clear" w:color="auto" w:fill="auto"/>
            <w:tcMar>
              <w:top w:w="113" w:type="dxa"/>
            </w:tcMar>
          </w:tcPr>
          <w:p w:rsidR="00A80F8D" w:rsidRPr="00C75C7E" w:rsidRDefault="00A80F8D" w:rsidP="008F4F69">
            <w:pPr>
              <w:widowControl w:val="0"/>
              <w:ind w:right="161"/>
              <w:rPr>
                <w:bCs/>
                <w:sz w:val="16"/>
                <w:szCs w:val="16"/>
                <w:lang w:val="es-ES_tradnl"/>
              </w:rPr>
            </w:pPr>
            <w:r w:rsidRPr="00C75C7E">
              <w:rPr>
                <w:bCs/>
                <w:sz w:val="16"/>
                <w:szCs w:val="16"/>
                <w:lang w:val="es-ES_tradnl"/>
              </w:rPr>
              <w:t>75%</w:t>
            </w:r>
          </w:p>
        </w:tc>
      </w:tr>
      <w:tr w:rsidR="00A80F8D" w:rsidRPr="00C75C7E" w:rsidTr="008F4F69">
        <w:trPr>
          <w:cantSplit/>
          <w:trHeight w:val="430"/>
        </w:trPr>
        <w:tc>
          <w:tcPr>
            <w:tcW w:w="1249" w:type="pct"/>
            <w:shd w:val="clear" w:color="auto" w:fill="auto"/>
            <w:tcMar>
              <w:top w:w="113" w:type="dxa"/>
            </w:tcMar>
          </w:tcPr>
          <w:p w:rsidR="00A80F8D" w:rsidRPr="00C75C7E" w:rsidRDefault="00A80F8D" w:rsidP="008F4F69">
            <w:pPr>
              <w:widowControl w:val="0"/>
              <w:rPr>
                <w:sz w:val="16"/>
                <w:szCs w:val="16"/>
                <w:lang w:val="es-ES_tradnl"/>
              </w:rPr>
            </w:pPr>
          </w:p>
        </w:tc>
        <w:tc>
          <w:tcPr>
            <w:tcW w:w="1402" w:type="pct"/>
            <w:shd w:val="clear" w:color="auto" w:fill="auto"/>
            <w:tcMar>
              <w:top w:w="113" w:type="dxa"/>
            </w:tcMar>
          </w:tcPr>
          <w:p w:rsidR="00A80F8D" w:rsidRPr="00C75C7E" w:rsidRDefault="00A80F8D" w:rsidP="008F4F69">
            <w:pPr>
              <w:widowControl w:val="0"/>
              <w:rPr>
                <w:sz w:val="16"/>
                <w:szCs w:val="16"/>
                <w:lang w:val="es-ES_tradnl"/>
              </w:rPr>
            </w:pPr>
            <w:r w:rsidRPr="00C75C7E">
              <w:rPr>
                <w:sz w:val="16"/>
                <w:szCs w:val="16"/>
                <w:lang w:val="es-ES_tradnl"/>
              </w:rPr>
              <w:t xml:space="preserve">Porcentaje de usuarios satisfechos con los informes sobre la actividad de </w:t>
            </w:r>
            <w:proofErr w:type="spellStart"/>
            <w:r w:rsidRPr="00C75C7E">
              <w:rPr>
                <w:sz w:val="16"/>
                <w:szCs w:val="16"/>
                <w:lang w:val="es-ES_tradnl"/>
              </w:rPr>
              <w:t>patentamiento</w:t>
            </w:r>
            <w:proofErr w:type="spellEnd"/>
            <w:r w:rsidRPr="00C75C7E">
              <w:rPr>
                <w:sz w:val="16"/>
                <w:szCs w:val="16"/>
                <w:lang w:val="es-ES_tradnl"/>
              </w:rPr>
              <w:t>.</w:t>
            </w:r>
          </w:p>
        </w:tc>
        <w:tc>
          <w:tcPr>
            <w:tcW w:w="1084" w:type="pct"/>
            <w:shd w:val="clear" w:color="auto" w:fill="FFFFFF"/>
            <w:tcMar>
              <w:top w:w="113" w:type="dxa"/>
            </w:tcMar>
          </w:tcPr>
          <w:p w:rsidR="00A80F8D" w:rsidRPr="00C75C7E" w:rsidRDefault="00A80F8D" w:rsidP="008F4F69">
            <w:pPr>
              <w:widowControl w:val="0"/>
              <w:rPr>
                <w:sz w:val="16"/>
                <w:szCs w:val="16"/>
                <w:lang w:val="es-ES_tradnl" w:bidi="th-TH"/>
              </w:rPr>
            </w:pPr>
            <w:r w:rsidRPr="00C75C7E">
              <w:rPr>
                <w:sz w:val="16"/>
                <w:szCs w:val="16"/>
                <w:lang w:val="es-ES_tradnl" w:bidi="th-TH"/>
              </w:rPr>
              <w:t>No se dispone de datos.</w:t>
            </w:r>
          </w:p>
          <w:p w:rsidR="00A80F8D" w:rsidRPr="00C75C7E" w:rsidRDefault="00A80F8D" w:rsidP="008F4F69">
            <w:pPr>
              <w:widowControl w:val="0"/>
              <w:rPr>
                <w:sz w:val="16"/>
                <w:szCs w:val="16"/>
                <w:lang w:val="es-ES_tradnl" w:bidi="th-TH"/>
              </w:rPr>
            </w:pPr>
          </w:p>
        </w:tc>
        <w:tc>
          <w:tcPr>
            <w:tcW w:w="1265" w:type="pct"/>
            <w:shd w:val="clear" w:color="auto" w:fill="auto"/>
            <w:tcMar>
              <w:top w:w="113" w:type="dxa"/>
            </w:tcMar>
          </w:tcPr>
          <w:p w:rsidR="00A80F8D" w:rsidRPr="00C75C7E" w:rsidRDefault="00A80F8D" w:rsidP="008F4F69">
            <w:pPr>
              <w:widowControl w:val="0"/>
              <w:ind w:right="161"/>
              <w:rPr>
                <w:bCs/>
                <w:sz w:val="16"/>
                <w:szCs w:val="16"/>
                <w:lang w:val="es-ES_tradnl"/>
              </w:rPr>
            </w:pPr>
            <w:r w:rsidRPr="00C75C7E">
              <w:rPr>
                <w:bCs/>
                <w:sz w:val="16"/>
                <w:szCs w:val="16"/>
                <w:lang w:val="es-ES_tradnl"/>
              </w:rPr>
              <w:t>75%</w:t>
            </w:r>
          </w:p>
        </w:tc>
      </w:tr>
    </w:tbl>
    <w:p w:rsidR="00A80F8D" w:rsidRPr="00C75C7E" w:rsidRDefault="00A80F8D" w:rsidP="00A80F8D">
      <w:pPr>
        <w:widowControl w:val="0"/>
        <w:autoSpaceDE w:val="0"/>
        <w:autoSpaceDN w:val="0"/>
        <w:adjustRightInd w:val="0"/>
        <w:jc w:val="both"/>
        <w:rPr>
          <w:sz w:val="20"/>
          <w:lang w:val="es-ES_tradnl"/>
        </w:rPr>
      </w:pPr>
    </w:p>
    <w:p w:rsidR="00A80F8D" w:rsidRDefault="00A80F8D" w:rsidP="00A80F8D">
      <w:pPr>
        <w:widowControl w:val="0"/>
        <w:autoSpaceDE w:val="0"/>
        <w:autoSpaceDN w:val="0"/>
        <w:adjustRightInd w:val="0"/>
        <w:jc w:val="both"/>
        <w:rPr>
          <w:sz w:val="20"/>
          <w:lang w:val="es-ES_tradnl"/>
        </w:rPr>
      </w:pPr>
    </w:p>
    <w:p w:rsidR="00C739DE" w:rsidRPr="00F039C2" w:rsidRDefault="00C739DE" w:rsidP="00C739DE">
      <w:pPr>
        <w:widowControl w:val="0"/>
        <w:autoSpaceDE w:val="0"/>
        <w:autoSpaceDN w:val="0"/>
        <w:adjustRightInd w:val="0"/>
        <w:jc w:val="both"/>
        <w:rPr>
          <w:szCs w:val="22"/>
        </w:rPr>
      </w:pPr>
      <w:r w:rsidRPr="00CA3895">
        <w:rPr>
          <w:szCs w:val="22"/>
        </w:rPr>
        <w:t>RECURSOS</w:t>
      </w:r>
      <w:r w:rsidRPr="00F039C2">
        <w:rPr>
          <w:szCs w:val="22"/>
        </w:rPr>
        <w:t xml:space="preserve"> PARA EL PROGRAMA 14</w:t>
      </w:r>
    </w:p>
    <w:p w:rsidR="00C739DE" w:rsidRPr="00F039C2" w:rsidRDefault="00C739DE" w:rsidP="00C739DE">
      <w:pPr>
        <w:widowControl w:val="0"/>
        <w:autoSpaceDE w:val="0"/>
        <w:autoSpaceDN w:val="0"/>
        <w:adjustRightInd w:val="0"/>
        <w:jc w:val="both"/>
        <w:rPr>
          <w:sz w:val="20"/>
        </w:rPr>
      </w:pPr>
    </w:p>
    <w:p w:rsidR="00C739DE" w:rsidRPr="00F039C2" w:rsidRDefault="00C739DE" w:rsidP="00BA276E">
      <w:pPr>
        <w:widowControl w:val="0"/>
        <w:numPr>
          <w:ilvl w:val="0"/>
          <w:numId w:val="37"/>
        </w:numPr>
        <w:jc w:val="both"/>
        <w:rPr>
          <w:rFonts w:eastAsia="MS Mincho" w:cs="ArialMT"/>
          <w:sz w:val="20"/>
          <w:lang w:eastAsia="ja-JP" w:bidi="th-TH"/>
        </w:rPr>
      </w:pPr>
      <w:r w:rsidRPr="00F039C2">
        <w:rPr>
          <w:rFonts w:eastAsia="MS Mincho" w:cs="ArialMT"/>
          <w:sz w:val="20"/>
          <w:lang w:eastAsia="ja-JP" w:bidi="th-TH"/>
        </w:rPr>
        <w:t>Los recursos para el resultado IV.2 (Mejora del acceso y uso de información de P.I.) en virtud de este programa reflejan principalmente la in</w:t>
      </w:r>
      <w:r>
        <w:rPr>
          <w:rFonts w:eastAsia="MS Mincho" w:cs="ArialMT"/>
          <w:sz w:val="20"/>
          <w:lang w:eastAsia="ja-JP" w:bidi="th-TH"/>
        </w:rPr>
        <w:t xml:space="preserve">corporación </w:t>
      </w:r>
      <w:r w:rsidRPr="00F039C2">
        <w:rPr>
          <w:rFonts w:eastAsia="MS Mincho" w:cs="ArialMT"/>
          <w:sz w:val="20"/>
          <w:lang w:eastAsia="ja-JP" w:bidi="th-TH"/>
        </w:rPr>
        <w:t xml:space="preserve">de los proyectos de la A.D. relativos a i) la creación de instrumentos de acceso a la información sobre patentes y ii) al acceso a bases de datos especializadas. </w:t>
      </w:r>
    </w:p>
    <w:p w:rsidR="00C739DE" w:rsidRDefault="00C739DE" w:rsidP="00A80F8D">
      <w:pPr>
        <w:widowControl w:val="0"/>
        <w:autoSpaceDE w:val="0"/>
        <w:autoSpaceDN w:val="0"/>
        <w:adjustRightInd w:val="0"/>
        <w:jc w:val="both"/>
        <w:rPr>
          <w:sz w:val="20"/>
        </w:rPr>
      </w:pPr>
    </w:p>
    <w:p w:rsidR="00DC4C0C" w:rsidRPr="00C739DE" w:rsidRDefault="00DC4C0C" w:rsidP="00A80F8D">
      <w:pPr>
        <w:widowControl w:val="0"/>
        <w:autoSpaceDE w:val="0"/>
        <w:autoSpaceDN w:val="0"/>
        <w:adjustRightInd w:val="0"/>
        <w:jc w:val="both"/>
        <w:rPr>
          <w:sz w:val="20"/>
        </w:rPr>
      </w:pPr>
    </w:p>
    <w:p w:rsidR="00A80F8D" w:rsidRPr="00C75C7E" w:rsidRDefault="00C76500" w:rsidP="00A80F8D">
      <w:pPr>
        <w:widowControl w:val="0"/>
        <w:autoSpaceDE w:val="0"/>
        <w:autoSpaceDN w:val="0"/>
        <w:adjustRightInd w:val="0"/>
        <w:jc w:val="center"/>
        <w:rPr>
          <w:b/>
          <w:bCs/>
          <w:iCs/>
          <w:sz w:val="20"/>
          <w:lang w:val="es-ES_tradnl"/>
        </w:rPr>
      </w:pPr>
      <w:r>
        <w:rPr>
          <w:b/>
          <w:bCs/>
          <w:iCs/>
          <w:sz w:val="20"/>
          <w:lang w:val="es-ES_tradnl"/>
        </w:rPr>
        <w:t>Programa 14</w:t>
      </w:r>
      <w:proofErr w:type="gramStart"/>
      <w:r>
        <w:rPr>
          <w:b/>
          <w:bCs/>
          <w:iCs/>
          <w:sz w:val="20"/>
          <w:lang w:val="es-ES_tradnl"/>
        </w:rPr>
        <w:t xml:space="preserve">:  </w:t>
      </w:r>
      <w:r w:rsidR="00A80F8D" w:rsidRPr="00C75C7E">
        <w:rPr>
          <w:b/>
          <w:bCs/>
          <w:iCs/>
          <w:sz w:val="20"/>
          <w:lang w:val="es-ES_tradnl"/>
        </w:rPr>
        <w:t>Recursos</w:t>
      </w:r>
      <w:proofErr w:type="gramEnd"/>
      <w:r w:rsidR="00A80F8D" w:rsidRPr="00C75C7E">
        <w:rPr>
          <w:b/>
          <w:bCs/>
          <w:iCs/>
          <w:sz w:val="20"/>
          <w:lang w:val="es-ES_tradnl"/>
        </w:rPr>
        <w:t xml:space="preserve"> por resultado</w:t>
      </w:r>
    </w:p>
    <w:p w:rsidR="00A80F8D" w:rsidRPr="00C75C7E" w:rsidRDefault="00A80F8D" w:rsidP="00A80F8D">
      <w:pPr>
        <w:widowControl w:val="0"/>
        <w:autoSpaceDE w:val="0"/>
        <w:autoSpaceDN w:val="0"/>
        <w:adjustRightInd w:val="0"/>
        <w:jc w:val="center"/>
        <w:rPr>
          <w:b/>
          <w:i/>
          <w:sz w:val="18"/>
          <w:szCs w:val="18"/>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A80F8D" w:rsidRPr="00C75C7E" w:rsidRDefault="00A80F8D" w:rsidP="00A80F8D">
      <w:pPr>
        <w:widowControl w:val="0"/>
        <w:jc w:val="both"/>
        <w:rPr>
          <w:sz w:val="20"/>
          <w:lang w:val="es-ES_tradnl"/>
        </w:rPr>
      </w:pPr>
    </w:p>
    <w:p w:rsidR="00A80F8D" w:rsidRPr="00C75C7E" w:rsidRDefault="00C76500" w:rsidP="00A80F8D">
      <w:pPr>
        <w:widowControl w:val="0"/>
        <w:jc w:val="center"/>
        <w:rPr>
          <w:sz w:val="20"/>
          <w:lang w:val="es-ES_tradnl"/>
        </w:rPr>
      </w:pPr>
      <w:r w:rsidRPr="00C76500">
        <w:rPr>
          <w:noProof/>
          <w:lang w:val="en-US" w:eastAsia="en-US"/>
        </w:rPr>
        <w:drawing>
          <wp:inline distT="0" distB="0" distL="0" distR="0" wp14:anchorId="149EAE04" wp14:editId="26867A8A">
            <wp:extent cx="5867400" cy="12192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867400" cy="1219200"/>
                    </a:xfrm>
                    <a:prstGeom prst="rect">
                      <a:avLst/>
                    </a:prstGeom>
                    <a:noFill/>
                    <a:ln>
                      <a:noFill/>
                    </a:ln>
                  </pic:spPr>
                </pic:pic>
              </a:graphicData>
            </a:graphic>
          </wp:inline>
        </w:drawing>
      </w:r>
    </w:p>
    <w:p w:rsidR="00A80F8D" w:rsidRPr="00C75C7E" w:rsidRDefault="00A80F8D" w:rsidP="00A80F8D">
      <w:pPr>
        <w:widowControl w:val="0"/>
        <w:jc w:val="both"/>
        <w:rPr>
          <w:sz w:val="20"/>
          <w:lang w:val="es-ES_tradnl"/>
        </w:rPr>
      </w:pPr>
    </w:p>
    <w:p w:rsidR="00A80F8D" w:rsidRPr="00C75C7E" w:rsidRDefault="00A80F8D" w:rsidP="00A80F8D">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A80F8D" w:rsidRPr="00C75C7E" w:rsidRDefault="00A80F8D" w:rsidP="00A80F8D">
      <w:pPr>
        <w:widowControl w:val="0"/>
        <w:jc w:val="both"/>
        <w:rPr>
          <w:sz w:val="20"/>
          <w:lang w:val="es-ES_tradnl"/>
        </w:rPr>
      </w:pPr>
    </w:p>
    <w:p w:rsidR="00A80F8D" w:rsidRPr="00C75C7E" w:rsidRDefault="00A80F8D" w:rsidP="00A80F8D">
      <w:pPr>
        <w:widowControl w:val="0"/>
        <w:jc w:val="both"/>
        <w:rPr>
          <w:sz w:val="20"/>
          <w:lang w:val="es-ES_tradnl"/>
        </w:rPr>
      </w:pPr>
    </w:p>
    <w:p w:rsidR="00A80F8D" w:rsidRPr="00C75C7E" w:rsidRDefault="00C76500" w:rsidP="00C739DE">
      <w:pPr>
        <w:keepNext/>
        <w:widowControl w:val="0"/>
        <w:autoSpaceDE w:val="0"/>
        <w:autoSpaceDN w:val="0"/>
        <w:adjustRightInd w:val="0"/>
        <w:ind w:firstLine="567"/>
        <w:jc w:val="center"/>
        <w:rPr>
          <w:b/>
          <w:bCs/>
          <w:iCs/>
          <w:sz w:val="20"/>
          <w:lang w:val="es-ES_tradnl"/>
        </w:rPr>
      </w:pPr>
      <w:r>
        <w:rPr>
          <w:b/>
          <w:bCs/>
          <w:iCs/>
          <w:sz w:val="20"/>
          <w:lang w:val="es-ES_tradnl"/>
        </w:rPr>
        <w:lastRenderedPageBreak/>
        <w:t>Programa 14</w:t>
      </w:r>
      <w:proofErr w:type="gramStart"/>
      <w:r>
        <w:rPr>
          <w:b/>
          <w:bCs/>
          <w:iCs/>
          <w:sz w:val="20"/>
          <w:lang w:val="es-ES_tradnl"/>
        </w:rPr>
        <w:t xml:space="preserve">:  </w:t>
      </w:r>
      <w:r w:rsidR="00A80F8D" w:rsidRPr="00C75C7E">
        <w:rPr>
          <w:b/>
          <w:bCs/>
          <w:iCs/>
          <w:sz w:val="20"/>
          <w:lang w:val="es-ES_tradnl"/>
        </w:rPr>
        <w:t>Recursos</w:t>
      </w:r>
      <w:proofErr w:type="gramEnd"/>
      <w:r w:rsidR="00A80F8D" w:rsidRPr="00C75C7E">
        <w:rPr>
          <w:b/>
          <w:bCs/>
          <w:iCs/>
          <w:sz w:val="20"/>
          <w:lang w:val="es-ES_tradnl"/>
        </w:rPr>
        <w:t xml:space="preserve"> por objeto de gasto</w:t>
      </w:r>
    </w:p>
    <w:p w:rsidR="00A80F8D" w:rsidRDefault="00A80F8D" w:rsidP="00C739DE">
      <w:pPr>
        <w:keepNext/>
        <w:widowControl w:val="0"/>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1E5683" w:rsidRPr="00C76500" w:rsidRDefault="001E5683" w:rsidP="00C739DE">
      <w:pPr>
        <w:keepNext/>
        <w:widowControl w:val="0"/>
        <w:autoSpaceDE w:val="0"/>
        <w:autoSpaceDN w:val="0"/>
        <w:adjustRightInd w:val="0"/>
        <w:ind w:firstLine="567"/>
        <w:jc w:val="center"/>
        <w:rPr>
          <w:bCs/>
          <w:sz w:val="20"/>
          <w:lang w:val="es-ES_tradnl"/>
        </w:rPr>
      </w:pPr>
    </w:p>
    <w:p w:rsidR="001E5683" w:rsidRPr="00C75C7E" w:rsidRDefault="00C76500" w:rsidP="00C76500">
      <w:pPr>
        <w:keepNext/>
        <w:widowControl w:val="0"/>
        <w:autoSpaceDE w:val="0"/>
        <w:autoSpaceDN w:val="0"/>
        <w:adjustRightInd w:val="0"/>
        <w:jc w:val="center"/>
        <w:rPr>
          <w:bCs/>
          <w:i/>
          <w:sz w:val="20"/>
          <w:lang w:val="es-ES_tradnl"/>
        </w:rPr>
      </w:pPr>
      <w:r w:rsidRPr="00C76500">
        <w:rPr>
          <w:noProof/>
          <w:lang w:val="en-US" w:eastAsia="en-US"/>
        </w:rPr>
        <w:drawing>
          <wp:inline distT="0" distB="0" distL="0" distR="0" wp14:anchorId="1017C49F" wp14:editId="7ADEBBFC">
            <wp:extent cx="6010275" cy="5635308"/>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16491" cy="5641136"/>
                    </a:xfrm>
                    <a:prstGeom prst="rect">
                      <a:avLst/>
                    </a:prstGeom>
                    <a:noFill/>
                    <a:ln>
                      <a:noFill/>
                    </a:ln>
                  </pic:spPr>
                </pic:pic>
              </a:graphicData>
            </a:graphic>
          </wp:inline>
        </w:drawing>
      </w:r>
    </w:p>
    <w:p w:rsidR="00A80F8D" w:rsidRPr="00C75C7E" w:rsidRDefault="00A80F8D" w:rsidP="00C739DE">
      <w:pPr>
        <w:keepNext/>
        <w:widowControl w:val="0"/>
        <w:jc w:val="both"/>
        <w:rPr>
          <w:sz w:val="20"/>
          <w:lang w:val="es-ES_tradnl"/>
        </w:rPr>
      </w:pPr>
    </w:p>
    <w:p w:rsidR="00A80F8D" w:rsidRPr="00C75C7E" w:rsidRDefault="00A80F8D" w:rsidP="00A80F8D">
      <w:pPr>
        <w:widowControl w:val="0"/>
        <w:rPr>
          <w:sz w:val="16"/>
          <w:szCs w:val="16"/>
          <w:lang w:val="es-ES_tradnl"/>
        </w:rPr>
      </w:pPr>
      <w:r w:rsidRPr="00C75C7E">
        <w:rPr>
          <w:sz w:val="16"/>
          <w:szCs w:val="16"/>
          <w:lang w:val="es-ES_tradnl"/>
        </w:rPr>
        <w:t>Notas:</w:t>
      </w:r>
    </w:p>
    <w:p w:rsidR="00A80F8D" w:rsidRPr="00C75C7E" w:rsidRDefault="00A80F8D" w:rsidP="00A80F8D">
      <w:pPr>
        <w:widowControl w:val="0"/>
        <w:rPr>
          <w:sz w:val="16"/>
          <w:szCs w:val="16"/>
          <w:u w:val="single"/>
          <w:lang w:val="es-ES_tradnl"/>
        </w:rPr>
      </w:pPr>
    </w:p>
    <w:p w:rsidR="00A80F8D" w:rsidRDefault="006D3D8D" w:rsidP="00A80F8D">
      <w:pPr>
        <w:widowControl w:val="0"/>
        <w:rPr>
          <w:sz w:val="16"/>
          <w:szCs w:val="16"/>
          <w:lang w:val="es-ES_tradnl"/>
        </w:rPr>
      </w:pPr>
      <w:r>
        <w:rPr>
          <w:sz w:val="16"/>
          <w:szCs w:val="16"/>
          <w:lang w:val="es-ES_tradnl"/>
        </w:rPr>
        <w:t xml:space="preserve">1)  </w:t>
      </w:r>
      <w:r w:rsidR="00A80F8D" w:rsidRPr="00C75C7E">
        <w:rPr>
          <w:sz w:val="16"/>
          <w:szCs w:val="16"/>
          <w:lang w:val="es-ES_tradnl"/>
        </w:rPr>
        <w:t xml:space="preserve">El presupuesto aprobado de 2012/13 y el presupuesto de dicho bienio después de las transferencias se </w:t>
      </w:r>
      <w:proofErr w:type="spellStart"/>
      <w:r w:rsidR="00A80F8D" w:rsidRPr="00C75C7E">
        <w:rPr>
          <w:sz w:val="16"/>
          <w:szCs w:val="16"/>
          <w:lang w:val="es-ES_tradnl"/>
        </w:rPr>
        <w:t>reexpresan</w:t>
      </w:r>
      <w:proofErr w:type="spellEnd"/>
      <w:r w:rsidR="00A80F8D" w:rsidRPr="00C75C7E">
        <w:rPr>
          <w:sz w:val="16"/>
          <w:szCs w:val="16"/>
          <w:lang w:val="es-ES_tradnl"/>
        </w:rPr>
        <w:t xml:space="preserve"> sobre la base de la estructura de categorías de costos propuesta para 2014/15.</w:t>
      </w:r>
    </w:p>
    <w:p w:rsidR="00A80F8D" w:rsidRPr="00C75C7E" w:rsidRDefault="00A80F8D" w:rsidP="00A80F8D">
      <w:pPr>
        <w:widowControl w:val="0"/>
        <w:rPr>
          <w:sz w:val="16"/>
          <w:szCs w:val="16"/>
          <w:lang w:val="es-ES_tradnl"/>
        </w:rPr>
      </w:pPr>
    </w:p>
    <w:p w:rsidR="00A80F8D" w:rsidRDefault="00A80F8D" w:rsidP="00A80F8D">
      <w:pPr>
        <w:widowControl w:val="0"/>
        <w:rPr>
          <w:rFonts w:cs="ArialMT"/>
          <w:sz w:val="16"/>
          <w:szCs w:val="16"/>
          <w:lang w:val="es-ES_tradnl"/>
        </w:rPr>
      </w:pPr>
      <w:r>
        <w:rPr>
          <w:sz w:val="16"/>
          <w:szCs w:val="16"/>
          <w:lang w:val="es-ES_tradnl"/>
        </w:rPr>
        <w:t>2)</w:t>
      </w:r>
      <w:r w:rsidR="006D3D8D">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presupuesto de</w:t>
      </w:r>
      <w:r w:rsidR="00D86F03">
        <w:rPr>
          <w:sz w:val="16"/>
          <w:szCs w:val="16"/>
          <w:lang w:val="es-ES_tradnl"/>
        </w:rPr>
        <w:t>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A80F8D" w:rsidRPr="00C75C7E" w:rsidRDefault="00A80F8D" w:rsidP="00A80F8D">
      <w:pPr>
        <w:widowControl w:val="0"/>
        <w:rPr>
          <w:sz w:val="16"/>
          <w:szCs w:val="16"/>
          <w:lang w:val="es-ES_tradnl"/>
        </w:rPr>
      </w:pPr>
    </w:p>
    <w:p w:rsidR="00A80F8D" w:rsidRPr="00C75C7E" w:rsidRDefault="00A80F8D" w:rsidP="00A80F8D">
      <w:pPr>
        <w:widowControl w:val="0"/>
        <w:rPr>
          <w:rStyle w:val="StyleStyleHeading3ComplexItalicLatin12ptChar"/>
          <w:lang w:val="es-ES_tradnl"/>
        </w:rPr>
      </w:pPr>
      <w:r>
        <w:rPr>
          <w:sz w:val="16"/>
          <w:szCs w:val="16"/>
          <w:lang w:val="es-ES_tradnl"/>
        </w:rPr>
        <w:t>3)</w:t>
      </w:r>
      <w:r w:rsidR="006D3D8D">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C739DE" w:rsidRPr="00DC4C0C" w:rsidRDefault="00A80F8D" w:rsidP="00DC4C0C">
      <w:pPr>
        <w:pStyle w:val="Heading3"/>
        <w:tabs>
          <w:tab w:val="left" w:pos="1985"/>
        </w:tabs>
        <w:rPr>
          <w:b/>
          <w:iCs/>
          <w:caps/>
          <w:u w:val="none"/>
        </w:rPr>
      </w:pPr>
      <w:r w:rsidRPr="00C75C7E">
        <w:rPr>
          <w:rStyle w:val="StyleStyleHeading3ComplexItalicLatin12ptChar"/>
          <w:lang w:val="es-ES_tradnl"/>
        </w:rPr>
        <w:br w:type="page"/>
      </w:r>
      <w:bookmarkStart w:id="59" w:name="_Toc366078729"/>
      <w:bookmarkStart w:id="60" w:name="_Toc356567765"/>
      <w:r w:rsidR="00DC4C0C" w:rsidRPr="00DC4C0C">
        <w:rPr>
          <w:b/>
          <w:iCs/>
          <w:caps/>
          <w:u w:val="none"/>
        </w:rPr>
        <w:lastRenderedPageBreak/>
        <w:t>PROGRAMA 15</w:t>
      </w:r>
      <w:r w:rsidR="00DC4C0C" w:rsidRPr="00DC4C0C">
        <w:rPr>
          <w:b/>
          <w:iCs/>
          <w:caps/>
          <w:u w:val="none"/>
        </w:rPr>
        <w:tab/>
        <w:t>SOLUCIONES OPERATIVAS PARA LAS OFICINAS DE P.I.</w:t>
      </w:r>
      <w:bookmarkEnd w:id="59"/>
    </w:p>
    <w:bookmarkEnd w:id="60"/>
    <w:p w:rsidR="00C739DE" w:rsidRPr="00DC4C0C" w:rsidRDefault="00C739DE" w:rsidP="00DC4C0C">
      <w:pPr>
        <w:pStyle w:val="BodyTextIndent"/>
        <w:widowControl w:val="0"/>
        <w:ind w:left="1985" w:hanging="1985"/>
        <w:jc w:val="both"/>
        <w:rPr>
          <w:rFonts w:ascii="Arial" w:hAnsi="Arial" w:cs="Arial"/>
          <w:sz w:val="22"/>
          <w:szCs w:val="22"/>
          <w:lang w:val="es-ES"/>
        </w:rPr>
      </w:pPr>
    </w:p>
    <w:p w:rsidR="00C739DE" w:rsidRPr="00F039C2" w:rsidRDefault="00C739DE" w:rsidP="00C739DE">
      <w:pPr>
        <w:widowControl w:val="0"/>
        <w:rPr>
          <w:b/>
          <w:sz w:val="20"/>
        </w:rPr>
      </w:pPr>
    </w:p>
    <w:p w:rsidR="00C739DE" w:rsidRPr="00757EA2" w:rsidRDefault="00C739DE" w:rsidP="00C739DE">
      <w:pPr>
        <w:pStyle w:val="BodyTextIndent"/>
        <w:widowControl w:val="0"/>
        <w:ind w:left="1985" w:hanging="1985"/>
        <w:jc w:val="both"/>
        <w:rPr>
          <w:rFonts w:ascii="Arial" w:hAnsi="Arial" w:cs="Arial"/>
          <w:sz w:val="22"/>
          <w:szCs w:val="22"/>
          <w:lang w:val="es-ES"/>
        </w:rPr>
      </w:pPr>
      <w:r w:rsidRPr="00757EA2">
        <w:rPr>
          <w:rFonts w:ascii="Arial" w:hAnsi="Arial" w:cs="Arial"/>
          <w:sz w:val="22"/>
          <w:szCs w:val="22"/>
          <w:lang w:val="es-ES"/>
        </w:rPr>
        <w:t xml:space="preserve">CONTEXTO DE PLANIFICACIÓN </w:t>
      </w:r>
    </w:p>
    <w:p w:rsidR="00C739DE" w:rsidRPr="00757EA2" w:rsidRDefault="00C739DE" w:rsidP="00C739DE">
      <w:pPr>
        <w:widowControl w:val="0"/>
        <w:rPr>
          <w:sz w:val="20"/>
        </w:rPr>
      </w:pPr>
    </w:p>
    <w:p w:rsidR="00C739DE" w:rsidRPr="00F039C2" w:rsidRDefault="00C739DE" w:rsidP="00BA276E">
      <w:pPr>
        <w:widowControl w:val="0"/>
        <w:numPr>
          <w:ilvl w:val="0"/>
          <w:numId w:val="38"/>
        </w:numPr>
        <w:shd w:val="clear" w:color="auto" w:fill="FFFFFF"/>
        <w:jc w:val="both"/>
        <w:rPr>
          <w:sz w:val="20"/>
        </w:rPr>
      </w:pPr>
      <w:r w:rsidRPr="00F039C2">
        <w:rPr>
          <w:sz w:val="20"/>
        </w:rPr>
        <w:t xml:space="preserve">Este programa constituye la base de la infraestructura mundial, en la que la arquitectura técnica del sistema de P.I. complementa la arquitectura jurídica y operativa.  Con el desarrollo de las tecnologías de la información y las comunicaciones (TIC) y la extensión de la conectividad a Internet por banda ancha a la mayoría de los países, se hace posible que todas las oficinas de P.I. ofrezcan niveles similares de servicios, </w:t>
      </w:r>
      <w:r>
        <w:rPr>
          <w:sz w:val="20"/>
        </w:rPr>
        <w:t xml:space="preserve">así como </w:t>
      </w:r>
      <w:r w:rsidRPr="00F039C2">
        <w:rPr>
          <w:sz w:val="20"/>
        </w:rPr>
        <w:t xml:space="preserve">una administración interna eficaz, tramitación de documentos por medios electrónicos y servicios </w:t>
      </w:r>
      <w:r>
        <w:rPr>
          <w:sz w:val="20"/>
        </w:rPr>
        <w:t xml:space="preserve">en Internet </w:t>
      </w:r>
      <w:r w:rsidRPr="00F039C2">
        <w:rPr>
          <w:sz w:val="20"/>
        </w:rPr>
        <w:t xml:space="preserve">para solicitantes y el público en general.  Un elemento propicio fundamental de esta infraestructura son las plataformas informáticas que ofrecen soluciones operativas para la administración de </w:t>
      </w:r>
      <w:r>
        <w:rPr>
          <w:sz w:val="20"/>
        </w:rPr>
        <w:t xml:space="preserve">las </w:t>
      </w:r>
      <w:r w:rsidRPr="00F039C2">
        <w:rPr>
          <w:sz w:val="20"/>
        </w:rPr>
        <w:t xml:space="preserve">oficinas de P.I., creación de bases de datos, intercambio de información y servicios </w:t>
      </w:r>
      <w:r>
        <w:rPr>
          <w:sz w:val="20"/>
        </w:rPr>
        <w:t>en Internet</w:t>
      </w:r>
      <w:r w:rsidRPr="00F039C2">
        <w:rPr>
          <w:sz w:val="20"/>
        </w:rPr>
        <w:t>.</w:t>
      </w:r>
    </w:p>
    <w:p w:rsidR="00C739DE" w:rsidRPr="00F039C2" w:rsidRDefault="00C739DE" w:rsidP="00C739DE">
      <w:pPr>
        <w:widowControl w:val="0"/>
        <w:shd w:val="clear" w:color="auto" w:fill="FFFFFF"/>
        <w:jc w:val="both"/>
        <w:rPr>
          <w:sz w:val="20"/>
        </w:rPr>
      </w:pPr>
    </w:p>
    <w:p w:rsidR="00C739DE" w:rsidRPr="00872D10" w:rsidRDefault="00C739DE" w:rsidP="00BA276E">
      <w:pPr>
        <w:widowControl w:val="0"/>
        <w:numPr>
          <w:ilvl w:val="0"/>
          <w:numId w:val="38"/>
        </w:numPr>
        <w:shd w:val="clear" w:color="auto" w:fill="FFFFFF"/>
        <w:jc w:val="both"/>
        <w:rPr>
          <w:sz w:val="20"/>
        </w:rPr>
      </w:pPr>
      <w:r w:rsidRPr="00872D10">
        <w:rPr>
          <w:sz w:val="20"/>
        </w:rPr>
        <w:t>El programa desempeña un papel activo en la consolidación de los procesos operativos de las oficinas de P.I. mediante la prestación de herramientas y servicios que les capacitan para participar en el sistema mundial de P.I. de forma eficaz y eficiente, y abordar las necesidades de las oficinas para que colaboren en un entorno cada vez más internacional.</w:t>
      </w:r>
    </w:p>
    <w:p w:rsidR="00C739DE" w:rsidRPr="00872D10" w:rsidRDefault="00C739DE" w:rsidP="00C739DE">
      <w:pPr>
        <w:widowControl w:val="0"/>
        <w:shd w:val="clear" w:color="auto" w:fill="FFFFFF"/>
        <w:jc w:val="both"/>
        <w:rPr>
          <w:sz w:val="20"/>
        </w:rPr>
      </w:pPr>
    </w:p>
    <w:p w:rsidR="00C739DE" w:rsidRPr="00F039C2" w:rsidRDefault="00C739DE" w:rsidP="00BA276E">
      <w:pPr>
        <w:widowControl w:val="0"/>
        <w:numPr>
          <w:ilvl w:val="0"/>
          <w:numId w:val="38"/>
        </w:numPr>
        <w:shd w:val="clear" w:color="auto" w:fill="FFFFFF"/>
        <w:jc w:val="both"/>
        <w:rPr>
          <w:sz w:val="20"/>
        </w:rPr>
      </w:pPr>
      <w:r w:rsidRPr="00872D10">
        <w:rPr>
          <w:sz w:val="20"/>
        </w:rPr>
        <w:t>Alrededor de 62 oficinas utilizan en la actualidad al menos una de las plataformas informáticas que proporciona la OMPI con el apoyo correspondiente, entre las que cabe mencionar el Sistema</w:t>
      </w:r>
      <w:r w:rsidRPr="00F039C2">
        <w:rPr>
          <w:sz w:val="20"/>
        </w:rPr>
        <w:t xml:space="preserve"> de </w:t>
      </w:r>
      <w:r w:rsidRPr="00730BC0">
        <w:rPr>
          <w:sz w:val="20"/>
        </w:rPr>
        <w:t xml:space="preserve">Automatización de la Propiedad Intelectual </w:t>
      </w:r>
      <w:r w:rsidRPr="00F039C2">
        <w:rPr>
          <w:sz w:val="20"/>
        </w:rPr>
        <w:t xml:space="preserve">(IPAS), WIPO </w:t>
      </w:r>
      <w:proofErr w:type="spellStart"/>
      <w:r w:rsidRPr="00F039C2">
        <w:rPr>
          <w:sz w:val="20"/>
        </w:rPr>
        <w:t>Scan</w:t>
      </w:r>
      <w:proofErr w:type="spellEnd"/>
      <w:r w:rsidRPr="00F039C2">
        <w:rPr>
          <w:sz w:val="20"/>
        </w:rPr>
        <w:t xml:space="preserve">, </w:t>
      </w:r>
      <w:r>
        <w:rPr>
          <w:sz w:val="20"/>
        </w:rPr>
        <w:t xml:space="preserve">el Sistema de Gestión </w:t>
      </w:r>
      <w:r w:rsidRPr="00730BC0">
        <w:rPr>
          <w:sz w:val="20"/>
        </w:rPr>
        <w:t>Electrónica de Documentos</w:t>
      </w:r>
      <w:r>
        <w:rPr>
          <w:sz w:val="20"/>
        </w:rPr>
        <w:t xml:space="preserve"> de la OMPI</w:t>
      </w:r>
      <w:r w:rsidRPr="00F039C2">
        <w:rPr>
          <w:sz w:val="20"/>
        </w:rPr>
        <w:t xml:space="preserve"> y el Sistema de Gestión de la Propiedad Intelectual en Árabe.  </w:t>
      </w:r>
      <w:r>
        <w:rPr>
          <w:sz w:val="20"/>
        </w:rPr>
        <w:t xml:space="preserve">Cada vez hay más peticiones de </w:t>
      </w:r>
      <w:r w:rsidRPr="00F039C2">
        <w:rPr>
          <w:sz w:val="20"/>
        </w:rPr>
        <w:t xml:space="preserve">asistencia </w:t>
      </w:r>
      <w:r>
        <w:rPr>
          <w:sz w:val="20"/>
        </w:rPr>
        <w:t xml:space="preserve">de las </w:t>
      </w:r>
      <w:r w:rsidRPr="00F039C2">
        <w:rPr>
          <w:sz w:val="20"/>
        </w:rPr>
        <w:t>oficinas de P.I</w:t>
      </w:r>
      <w:r>
        <w:rPr>
          <w:sz w:val="20"/>
        </w:rPr>
        <w:t>.</w:t>
      </w:r>
      <w:r w:rsidRPr="00F039C2">
        <w:rPr>
          <w:sz w:val="20"/>
        </w:rPr>
        <w:t xml:space="preserve"> </w:t>
      </w:r>
      <w:r>
        <w:rPr>
          <w:sz w:val="20"/>
        </w:rPr>
        <w:t xml:space="preserve">en relación con sus </w:t>
      </w:r>
      <w:r w:rsidRPr="00F039C2">
        <w:rPr>
          <w:sz w:val="20"/>
        </w:rPr>
        <w:t xml:space="preserve">sistemas operativos, tanto por lo que respecta al número de oficinas como al tipo de asistencia solicitada, por ejemplo la gestión electrónica de documentos, </w:t>
      </w:r>
      <w:r w:rsidRPr="00EA1F5A">
        <w:rPr>
          <w:sz w:val="20"/>
        </w:rPr>
        <w:t xml:space="preserve">la presentación de solicitudes </w:t>
      </w:r>
      <w:r>
        <w:rPr>
          <w:sz w:val="20"/>
        </w:rPr>
        <w:t>por Internet</w:t>
      </w:r>
      <w:r w:rsidRPr="00EA1F5A">
        <w:rPr>
          <w:sz w:val="20"/>
        </w:rPr>
        <w:t xml:space="preserve"> y</w:t>
      </w:r>
      <w:r w:rsidRPr="00F039C2">
        <w:rPr>
          <w:sz w:val="20"/>
        </w:rPr>
        <w:t xml:space="preserve"> la publicación en</w:t>
      </w:r>
      <w:r>
        <w:rPr>
          <w:sz w:val="20"/>
        </w:rPr>
        <w:t xml:space="preserve"> Internet</w:t>
      </w:r>
      <w:r w:rsidRPr="00F039C2">
        <w:rPr>
          <w:sz w:val="20"/>
        </w:rPr>
        <w:t>.</w:t>
      </w:r>
    </w:p>
    <w:p w:rsidR="00C739DE" w:rsidRPr="00F039C2" w:rsidRDefault="00C739DE" w:rsidP="00C739DE">
      <w:pPr>
        <w:widowControl w:val="0"/>
        <w:shd w:val="clear" w:color="auto" w:fill="FFFFFF"/>
        <w:jc w:val="both"/>
        <w:rPr>
          <w:sz w:val="20"/>
        </w:rPr>
      </w:pPr>
    </w:p>
    <w:p w:rsidR="00C739DE" w:rsidRPr="00F039C2" w:rsidRDefault="00C739DE" w:rsidP="00BA276E">
      <w:pPr>
        <w:widowControl w:val="0"/>
        <w:numPr>
          <w:ilvl w:val="0"/>
          <w:numId w:val="38"/>
        </w:numPr>
        <w:shd w:val="clear" w:color="auto" w:fill="FFFFFF"/>
        <w:jc w:val="both"/>
        <w:rPr>
          <w:sz w:val="20"/>
        </w:rPr>
      </w:pPr>
      <w:r>
        <w:rPr>
          <w:sz w:val="20"/>
        </w:rPr>
        <w:t xml:space="preserve">El uso </w:t>
      </w:r>
      <w:r w:rsidRPr="00F039C2">
        <w:rPr>
          <w:sz w:val="20"/>
        </w:rPr>
        <w:t xml:space="preserve">de los </w:t>
      </w:r>
      <w:r w:rsidRPr="00331B3A">
        <w:rPr>
          <w:sz w:val="20"/>
        </w:rPr>
        <w:t>sistemas informáticos de la OMPI,</w:t>
      </w:r>
      <w:r w:rsidRPr="00F039C2">
        <w:rPr>
          <w:sz w:val="20"/>
        </w:rPr>
        <w:t xml:space="preserve"> incluido el desglose por región y por PMA, se muestra en el gráfico y el cuadro que figuran a continuación.</w:t>
      </w:r>
    </w:p>
    <w:p w:rsidR="00C739DE" w:rsidRPr="00F039C2" w:rsidRDefault="00C739DE" w:rsidP="00C739DE">
      <w:pPr>
        <w:widowControl w:val="0"/>
        <w:shd w:val="clear" w:color="auto" w:fill="FFFFFF"/>
        <w:jc w:val="both"/>
        <w:rPr>
          <w:sz w:val="20"/>
        </w:rPr>
      </w:pPr>
    </w:p>
    <w:p w:rsidR="001B1F22" w:rsidRDefault="00C40A11" w:rsidP="00A80F8D">
      <w:pPr>
        <w:widowControl w:val="0"/>
        <w:rPr>
          <w:bCs/>
          <w:szCs w:val="22"/>
          <w:lang w:val="es-ES_tradnl"/>
        </w:rPr>
      </w:pPr>
      <w:r>
        <w:rPr>
          <w:noProof/>
          <w:lang w:val="en-US" w:eastAsia="en-US"/>
        </w:rPr>
        <w:drawing>
          <wp:inline distT="0" distB="0" distL="0" distR="0" wp14:anchorId="4DDEA38A" wp14:editId="7134BBAC">
            <wp:extent cx="5752465" cy="3336925"/>
            <wp:effectExtent l="0" t="0" r="635" b="0"/>
            <wp:docPr id="53"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5752465" cy="3336925"/>
                    </a:xfrm>
                    <a:prstGeom prst="rect">
                      <a:avLst/>
                    </a:prstGeom>
                    <a:noFill/>
                    <a:ln>
                      <a:noFill/>
                    </a:ln>
                  </pic:spPr>
                </pic:pic>
              </a:graphicData>
            </a:graphic>
          </wp:inline>
        </w:drawing>
      </w:r>
    </w:p>
    <w:p w:rsidR="001B1F22" w:rsidRDefault="001B1F22" w:rsidP="00A80F8D">
      <w:pPr>
        <w:widowControl w:val="0"/>
        <w:rPr>
          <w:bCs/>
          <w:szCs w:val="22"/>
          <w:lang w:val="es-ES_tradnl"/>
        </w:rPr>
      </w:pPr>
    </w:p>
    <w:p w:rsidR="00EA39DF" w:rsidRPr="00F039C2" w:rsidRDefault="00EA39DF" w:rsidP="00BA276E">
      <w:pPr>
        <w:widowControl w:val="0"/>
        <w:numPr>
          <w:ilvl w:val="0"/>
          <w:numId w:val="38"/>
        </w:numPr>
        <w:shd w:val="clear" w:color="auto" w:fill="FFFFFF"/>
        <w:jc w:val="both"/>
        <w:rPr>
          <w:sz w:val="20"/>
        </w:rPr>
      </w:pPr>
      <w:r w:rsidRPr="00F039C2">
        <w:rPr>
          <w:sz w:val="20"/>
        </w:rPr>
        <w:t xml:space="preserve">El Servicio de </w:t>
      </w:r>
      <w:r>
        <w:rPr>
          <w:sz w:val="20"/>
        </w:rPr>
        <w:t>A</w:t>
      </w:r>
      <w:r w:rsidRPr="00F039C2">
        <w:rPr>
          <w:sz w:val="20"/>
        </w:rPr>
        <w:t xml:space="preserve">cceso </w:t>
      </w:r>
      <w:r>
        <w:rPr>
          <w:sz w:val="20"/>
        </w:rPr>
        <w:t>D</w:t>
      </w:r>
      <w:r w:rsidRPr="00F039C2">
        <w:rPr>
          <w:sz w:val="20"/>
        </w:rPr>
        <w:t xml:space="preserve">igital (DAS) de la OMPI, creado inicialmente en 2009, se utiliza en la actualidad en 11 oficinas participantes (véase </w:t>
      </w:r>
      <w:hyperlink r:id="rId89" w:history="1">
        <w:r w:rsidR="0031376C">
          <w:rPr>
            <w:rStyle w:val="Hyperlink"/>
            <w:sz w:val="20"/>
          </w:rPr>
          <w:t>http://www.wipo.int/das</w:t>
        </w:r>
      </w:hyperlink>
      <w:r w:rsidRPr="00F039C2">
        <w:rPr>
          <w:sz w:val="20"/>
        </w:rPr>
        <w:t xml:space="preserve">). </w:t>
      </w:r>
      <w:r>
        <w:rPr>
          <w:sz w:val="20"/>
        </w:rPr>
        <w:t xml:space="preserve"> </w:t>
      </w:r>
      <w:r w:rsidRPr="00F039C2">
        <w:rPr>
          <w:sz w:val="20"/>
        </w:rPr>
        <w:t>Durante el bienio 2012/1</w:t>
      </w:r>
      <w:r>
        <w:rPr>
          <w:sz w:val="20"/>
        </w:rPr>
        <w:t>3</w:t>
      </w:r>
      <w:r w:rsidRPr="00F039C2">
        <w:rPr>
          <w:sz w:val="20"/>
        </w:rPr>
        <w:t xml:space="preserve">, se modernizó el sistema con objeto de introducir un nuevo procedimiento simplificado para el intercambio de documentos de prioridad entre las oficinas participantes, y reforzar el intercambio seguro de documentos relativos a las marcas y los </w:t>
      </w:r>
      <w:r>
        <w:rPr>
          <w:sz w:val="20"/>
        </w:rPr>
        <w:t xml:space="preserve">diseños </w:t>
      </w:r>
      <w:r w:rsidRPr="00F039C2">
        <w:rPr>
          <w:sz w:val="20"/>
        </w:rPr>
        <w:t>industriales.</w:t>
      </w:r>
    </w:p>
    <w:p w:rsidR="00EA39DF" w:rsidRPr="00F039C2" w:rsidRDefault="00EA39DF" w:rsidP="00EA39DF">
      <w:pPr>
        <w:widowControl w:val="0"/>
        <w:shd w:val="clear" w:color="auto" w:fill="FFFFFF"/>
        <w:jc w:val="both"/>
        <w:rPr>
          <w:sz w:val="20"/>
        </w:rPr>
      </w:pPr>
    </w:p>
    <w:p w:rsidR="00EA39DF" w:rsidRPr="00F039C2" w:rsidRDefault="00EA39DF" w:rsidP="00BA276E">
      <w:pPr>
        <w:widowControl w:val="0"/>
        <w:numPr>
          <w:ilvl w:val="0"/>
          <w:numId w:val="38"/>
        </w:numPr>
        <w:shd w:val="clear" w:color="auto" w:fill="FFFFFF"/>
        <w:jc w:val="both"/>
        <w:rPr>
          <w:sz w:val="20"/>
        </w:rPr>
      </w:pPr>
      <w:r w:rsidRPr="00F039C2">
        <w:rPr>
          <w:sz w:val="20"/>
        </w:rPr>
        <w:t xml:space="preserve">El sistema WIPO CASE (Acceso </w:t>
      </w:r>
      <w:r>
        <w:rPr>
          <w:sz w:val="20"/>
        </w:rPr>
        <w:t>C</w:t>
      </w:r>
      <w:r w:rsidRPr="00F039C2">
        <w:rPr>
          <w:sz w:val="20"/>
        </w:rPr>
        <w:t xml:space="preserve">entralizado a la </w:t>
      </w:r>
      <w:r>
        <w:rPr>
          <w:sz w:val="20"/>
        </w:rPr>
        <w:t>B</w:t>
      </w:r>
      <w:r w:rsidRPr="00F039C2">
        <w:rPr>
          <w:sz w:val="20"/>
        </w:rPr>
        <w:t xml:space="preserve">úsqueda y el </w:t>
      </w:r>
      <w:r>
        <w:rPr>
          <w:sz w:val="20"/>
        </w:rPr>
        <w:t>E</w:t>
      </w:r>
      <w:r w:rsidR="00D86F03">
        <w:rPr>
          <w:sz w:val="20"/>
        </w:rPr>
        <w:t>xamen) se puso en marcha en </w:t>
      </w:r>
      <w:r w:rsidRPr="00F039C2">
        <w:rPr>
          <w:sz w:val="20"/>
        </w:rPr>
        <w:t>2011 y en la actualidad se utiliza en cuatro oficinas participantes.  El sistema permite a las oficinas compartir los resultados de las búsquedas y los exámenes de las solicitudes de patentes, a fin de facilitar la labor compartiendo programas.</w:t>
      </w:r>
    </w:p>
    <w:p w:rsidR="00EA39DF" w:rsidRPr="00F039C2" w:rsidRDefault="00EA39DF" w:rsidP="00EA39DF">
      <w:pPr>
        <w:widowControl w:val="0"/>
        <w:shd w:val="clear" w:color="auto" w:fill="FFFFFF"/>
        <w:jc w:val="both"/>
        <w:rPr>
          <w:sz w:val="20"/>
        </w:rPr>
      </w:pPr>
    </w:p>
    <w:p w:rsidR="00EA39DF" w:rsidRPr="00F039C2" w:rsidRDefault="00EA39DF" w:rsidP="00BA276E">
      <w:pPr>
        <w:widowControl w:val="0"/>
        <w:numPr>
          <w:ilvl w:val="0"/>
          <w:numId w:val="38"/>
        </w:numPr>
        <w:shd w:val="clear" w:color="auto" w:fill="FFFFFF"/>
        <w:jc w:val="both"/>
        <w:rPr>
          <w:sz w:val="20"/>
        </w:rPr>
      </w:pPr>
      <w:r w:rsidRPr="00F039C2">
        <w:rPr>
          <w:sz w:val="20"/>
        </w:rPr>
        <w:t xml:space="preserve"> En el futuro, </w:t>
      </w:r>
      <w:r>
        <w:rPr>
          <w:sz w:val="20"/>
        </w:rPr>
        <w:t>el desafío al que se enfrenta e</w:t>
      </w:r>
      <w:r w:rsidRPr="00F039C2">
        <w:rPr>
          <w:sz w:val="20"/>
        </w:rPr>
        <w:t xml:space="preserve">ste programa </w:t>
      </w:r>
      <w:r>
        <w:rPr>
          <w:sz w:val="20"/>
        </w:rPr>
        <w:t xml:space="preserve">es el </w:t>
      </w:r>
      <w:r w:rsidRPr="00F039C2">
        <w:rPr>
          <w:sz w:val="20"/>
        </w:rPr>
        <w:t xml:space="preserve">de desempeñar un papel activo en la prestación de asistencia a las oficinas de P.I. para construir sus servicios basados en el conocimiento.  Se consolidará el fortalecimiento de las capacidades con el aprovechamiento de sistemas de infraestructuras técnicas, como el ya instaurado WIPO CASE para ayudar a las oficinas de P.I. a compartir conocimientos y experiencia y aumentar el nivel de servicio que ofrecen. </w:t>
      </w:r>
    </w:p>
    <w:p w:rsidR="00EA39DF" w:rsidRDefault="00EA39DF" w:rsidP="00EA39DF">
      <w:pPr>
        <w:widowControl w:val="0"/>
        <w:shd w:val="clear" w:color="auto" w:fill="FFFFFF"/>
        <w:jc w:val="both"/>
        <w:rPr>
          <w:sz w:val="20"/>
        </w:rPr>
      </w:pPr>
    </w:p>
    <w:p w:rsidR="00EA39DF" w:rsidRPr="00F039C2" w:rsidRDefault="00EA39DF" w:rsidP="00EA39DF">
      <w:pPr>
        <w:widowControl w:val="0"/>
        <w:shd w:val="clear" w:color="auto" w:fill="FFFFFF"/>
        <w:jc w:val="both"/>
        <w:rPr>
          <w:sz w:val="20"/>
        </w:rPr>
      </w:pPr>
    </w:p>
    <w:p w:rsidR="00EA39DF" w:rsidRPr="00F039C2" w:rsidRDefault="00EA39DF" w:rsidP="00EA39DF">
      <w:pPr>
        <w:widowControl w:val="0"/>
        <w:shd w:val="clear" w:color="auto" w:fill="FFFFFF"/>
        <w:jc w:val="both"/>
        <w:rPr>
          <w:sz w:val="20"/>
        </w:rPr>
      </w:pPr>
      <w:r w:rsidRPr="00F039C2">
        <w:rPr>
          <w:sz w:val="20"/>
        </w:rPr>
        <w:t>ESTRATEGIAS DE EJECUCIÓN</w:t>
      </w:r>
    </w:p>
    <w:p w:rsidR="00EA39DF" w:rsidRPr="00F039C2" w:rsidRDefault="00EA39DF" w:rsidP="00EA39DF">
      <w:pPr>
        <w:widowControl w:val="0"/>
        <w:shd w:val="clear" w:color="auto" w:fill="FFFFFF"/>
        <w:jc w:val="both"/>
        <w:rPr>
          <w:sz w:val="20"/>
        </w:rPr>
      </w:pPr>
    </w:p>
    <w:p w:rsidR="00EA39DF" w:rsidRPr="00CA3895" w:rsidRDefault="00EA39DF" w:rsidP="00BA276E">
      <w:pPr>
        <w:widowControl w:val="0"/>
        <w:numPr>
          <w:ilvl w:val="0"/>
          <w:numId w:val="38"/>
        </w:numPr>
        <w:shd w:val="clear" w:color="auto" w:fill="FFFFFF"/>
        <w:jc w:val="both"/>
        <w:rPr>
          <w:sz w:val="20"/>
        </w:rPr>
      </w:pPr>
      <w:r w:rsidRPr="00F039C2">
        <w:rPr>
          <w:sz w:val="20"/>
        </w:rPr>
        <w:t xml:space="preserve">Para el bienio 2014/15, las principales estrategias de ejecución responderán a las recomendaciones de la A.D. sobre asistencia técnica y fortalecimiento de las capacidades, así como </w:t>
      </w:r>
      <w:r w:rsidRPr="00CA3895">
        <w:rPr>
          <w:sz w:val="20"/>
        </w:rPr>
        <w:t>el acceso a los conocimientos, y se centrarán en lo siguiente:</w:t>
      </w:r>
    </w:p>
    <w:p w:rsidR="00EA39DF" w:rsidRPr="00CA3895" w:rsidRDefault="00EA39DF" w:rsidP="00EA39DF">
      <w:pPr>
        <w:widowControl w:val="0"/>
        <w:shd w:val="clear" w:color="auto" w:fill="FFFFFF"/>
        <w:jc w:val="both"/>
        <w:rPr>
          <w:sz w:val="20"/>
        </w:rPr>
      </w:pPr>
    </w:p>
    <w:p w:rsidR="00EA39DF" w:rsidRPr="00F039C2" w:rsidRDefault="00EA39DF" w:rsidP="0031376C">
      <w:pPr>
        <w:widowControl w:val="0"/>
        <w:numPr>
          <w:ilvl w:val="0"/>
          <w:numId w:val="39"/>
        </w:numPr>
        <w:shd w:val="clear" w:color="auto" w:fill="FFFFFF"/>
        <w:tabs>
          <w:tab w:val="clear" w:pos="360"/>
          <w:tab w:val="left" w:pos="1100"/>
        </w:tabs>
        <w:spacing w:after="120"/>
        <w:ind w:left="1100" w:hanging="550"/>
        <w:jc w:val="both"/>
        <w:rPr>
          <w:sz w:val="20"/>
          <w:u w:val="single"/>
        </w:rPr>
      </w:pPr>
      <w:r w:rsidRPr="00F039C2">
        <w:rPr>
          <w:sz w:val="20"/>
          <w:u w:val="single"/>
        </w:rPr>
        <w:t xml:space="preserve">Modelo revisado de asistencia técnica – hacia un modelo de proveedor de servicios; </w:t>
      </w:r>
    </w:p>
    <w:p w:rsidR="00EA39DF" w:rsidRPr="00F039C2" w:rsidRDefault="00EA39DF" w:rsidP="0031376C">
      <w:pPr>
        <w:widowControl w:val="0"/>
        <w:shd w:val="clear" w:color="auto" w:fill="FFFFFF"/>
        <w:spacing w:after="120"/>
        <w:ind w:left="1100"/>
        <w:jc w:val="both"/>
        <w:rPr>
          <w:sz w:val="20"/>
        </w:rPr>
      </w:pPr>
      <w:r>
        <w:rPr>
          <w:sz w:val="20"/>
        </w:rPr>
        <w:t>E</w:t>
      </w:r>
      <w:r w:rsidRPr="00F039C2">
        <w:rPr>
          <w:sz w:val="20"/>
        </w:rPr>
        <w:t xml:space="preserve">l modelo operativo del programa </w:t>
      </w:r>
      <w:r>
        <w:rPr>
          <w:sz w:val="20"/>
        </w:rPr>
        <w:t xml:space="preserve">tendrá que adaptarse </w:t>
      </w:r>
      <w:r w:rsidRPr="00F039C2">
        <w:rPr>
          <w:sz w:val="20"/>
        </w:rPr>
        <w:t>para centr</w:t>
      </w:r>
      <w:r>
        <w:rPr>
          <w:sz w:val="20"/>
        </w:rPr>
        <w:t>ar su atención</w:t>
      </w:r>
      <w:r w:rsidRPr="00F039C2">
        <w:rPr>
          <w:sz w:val="20"/>
        </w:rPr>
        <w:t xml:space="preserve"> en la creación y el correspondiente apoyo de productos informáticos que se </w:t>
      </w:r>
      <w:r>
        <w:rPr>
          <w:sz w:val="20"/>
        </w:rPr>
        <w:t xml:space="preserve">utilizan </w:t>
      </w:r>
      <w:r w:rsidRPr="00F039C2">
        <w:rPr>
          <w:sz w:val="20"/>
        </w:rPr>
        <w:t xml:space="preserve">en las oficinas.  Al facilitar </w:t>
      </w:r>
      <w:r>
        <w:rPr>
          <w:sz w:val="20"/>
        </w:rPr>
        <w:t xml:space="preserve">paquetes </w:t>
      </w:r>
      <w:r w:rsidRPr="00F039C2">
        <w:rPr>
          <w:sz w:val="20"/>
        </w:rPr>
        <w:t xml:space="preserve">de programas informáticos normalizados en apoyo de los procesos operativos de las oficinas de P.I., el programa contribuye en gran manera a reducir los costos de la puesta en marcha de dichos sistemas.  A la vez, el hecho de que las oficinas dependan de estos </w:t>
      </w:r>
      <w:r>
        <w:rPr>
          <w:sz w:val="20"/>
        </w:rPr>
        <w:t xml:space="preserve">paquetes </w:t>
      </w:r>
      <w:r w:rsidRPr="00F039C2">
        <w:rPr>
          <w:sz w:val="20"/>
        </w:rPr>
        <w:t>informáticos exige un apoyo continuo y la prestación del servicio a los niveles previstos.  Tendrán que seguir mejorándose los procedimientos oficiales de apoyo y los niveles de servicio</w:t>
      </w:r>
      <w:r w:rsidR="0031376C">
        <w:rPr>
          <w:sz w:val="20"/>
        </w:rPr>
        <w:t>, mediante la creación de un coordinador o un centro de asistencia al usuario en cada región</w:t>
      </w:r>
      <w:r w:rsidRPr="00F039C2">
        <w:rPr>
          <w:sz w:val="20"/>
        </w:rPr>
        <w:t xml:space="preserve">. </w:t>
      </w:r>
    </w:p>
    <w:p w:rsidR="00EA39DF" w:rsidRPr="00F039C2" w:rsidRDefault="00EA39DF" w:rsidP="0031376C">
      <w:pPr>
        <w:widowControl w:val="0"/>
        <w:shd w:val="clear" w:color="auto" w:fill="FFFFFF"/>
        <w:spacing w:after="120"/>
        <w:ind w:left="1100"/>
        <w:jc w:val="both"/>
        <w:rPr>
          <w:sz w:val="20"/>
        </w:rPr>
      </w:pPr>
      <w:r w:rsidRPr="00F039C2">
        <w:rPr>
          <w:sz w:val="20"/>
        </w:rPr>
        <w:t xml:space="preserve">Además, el apoyo durante la puesta en marcha y el seguimiento posterior tiene que centrarse cada vez más en conseguir que las oficinas asuman como propios los sistemas con objeto de liberar recursos para concentrarse en la transferencia de conocimientos y en el apoyo efectivo continuado.  </w:t>
      </w:r>
      <w:r>
        <w:rPr>
          <w:sz w:val="20"/>
        </w:rPr>
        <w:t xml:space="preserve">Cuando sea </w:t>
      </w:r>
      <w:r w:rsidRPr="00F039C2">
        <w:rPr>
          <w:sz w:val="20"/>
        </w:rPr>
        <w:t xml:space="preserve">posible, se mejorará la transferencia de conocimientos a través de actividades regionales de formación. </w:t>
      </w:r>
    </w:p>
    <w:p w:rsidR="00EA39DF" w:rsidRPr="00F039C2" w:rsidRDefault="00EA39DF" w:rsidP="0031376C">
      <w:pPr>
        <w:widowControl w:val="0"/>
        <w:numPr>
          <w:ilvl w:val="0"/>
          <w:numId w:val="39"/>
        </w:numPr>
        <w:shd w:val="clear" w:color="auto" w:fill="FFFFFF"/>
        <w:tabs>
          <w:tab w:val="clear" w:pos="360"/>
          <w:tab w:val="left" w:pos="1100"/>
        </w:tabs>
        <w:spacing w:after="120"/>
        <w:ind w:left="1100" w:hanging="550"/>
        <w:jc w:val="both"/>
        <w:rPr>
          <w:sz w:val="20"/>
          <w:u w:val="single"/>
        </w:rPr>
      </w:pPr>
      <w:r w:rsidRPr="00F039C2">
        <w:rPr>
          <w:sz w:val="20"/>
          <w:u w:val="single"/>
        </w:rPr>
        <w:t>Mejora de la estructura de apoyo basada en las oficinas de la OMPI en el exterior:</w:t>
      </w:r>
    </w:p>
    <w:p w:rsidR="00EA39DF" w:rsidRPr="00F039C2" w:rsidRDefault="00EA39DF" w:rsidP="0031376C">
      <w:pPr>
        <w:widowControl w:val="0"/>
        <w:shd w:val="clear" w:color="auto" w:fill="FFFFFF"/>
        <w:spacing w:after="120"/>
        <w:ind w:left="1100"/>
        <w:jc w:val="both"/>
        <w:rPr>
          <w:sz w:val="20"/>
        </w:rPr>
      </w:pPr>
      <w:r w:rsidRPr="00F039C2">
        <w:rPr>
          <w:sz w:val="20"/>
        </w:rPr>
        <w:t xml:space="preserve">La puesta en marcha y </w:t>
      </w:r>
      <w:r>
        <w:rPr>
          <w:sz w:val="20"/>
        </w:rPr>
        <w:t xml:space="preserve">el </w:t>
      </w:r>
      <w:r w:rsidRPr="00F039C2">
        <w:rPr>
          <w:sz w:val="20"/>
        </w:rPr>
        <w:t xml:space="preserve">apoyo </w:t>
      </w:r>
      <w:r>
        <w:rPr>
          <w:sz w:val="20"/>
        </w:rPr>
        <w:t xml:space="preserve">corren a cargo </w:t>
      </w:r>
      <w:r w:rsidRPr="00F039C2">
        <w:rPr>
          <w:sz w:val="20"/>
        </w:rPr>
        <w:t xml:space="preserve">en la actualidad de </w:t>
      </w:r>
      <w:r>
        <w:rPr>
          <w:sz w:val="20"/>
        </w:rPr>
        <w:t xml:space="preserve">una combinación de </w:t>
      </w:r>
      <w:r w:rsidRPr="00F039C2">
        <w:rPr>
          <w:sz w:val="20"/>
        </w:rPr>
        <w:t>personal de Ginebra y de expertos regionales.  En el bienio 2014/15, las oficinas de la OMPI en el exterior pasarán a ser gradualmente el centro de las actividades de apoyo</w:t>
      </w:r>
      <w:r>
        <w:rPr>
          <w:sz w:val="20"/>
        </w:rPr>
        <w:t xml:space="preserve"> en sus respectivas regiones. </w:t>
      </w:r>
    </w:p>
    <w:p w:rsidR="00EA39DF" w:rsidRPr="00F039C2" w:rsidRDefault="00EA39DF" w:rsidP="0031376C">
      <w:pPr>
        <w:widowControl w:val="0"/>
        <w:numPr>
          <w:ilvl w:val="0"/>
          <w:numId w:val="39"/>
        </w:numPr>
        <w:shd w:val="clear" w:color="auto" w:fill="FFFFFF"/>
        <w:tabs>
          <w:tab w:val="clear" w:pos="360"/>
          <w:tab w:val="left" w:pos="1100"/>
        </w:tabs>
        <w:spacing w:after="120"/>
        <w:ind w:left="1100" w:hanging="550"/>
        <w:jc w:val="both"/>
        <w:rPr>
          <w:sz w:val="20"/>
          <w:u w:val="single"/>
        </w:rPr>
      </w:pPr>
      <w:r w:rsidRPr="00F039C2">
        <w:rPr>
          <w:sz w:val="20"/>
          <w:u w:val="single"/>
        </w:rPr>
        <w:t>Integración de las oficinas de P.I. en redes y bases de datos mundiales</w:t>
      </w:r>
    </w:p>
    <w:p w:rsidR="00EA39DF" w:rsidRPr="00F039C2" w:rsidRDefault="00EA39DF" w:rsidP="0031376C">
      <w:pPr>
        <w:widowControl w:val="0"/>
        <w:shd w:val="clear" w:color="auto" w:fill="FFFFFF"/>
        <w:spacing w:after="120"/>
        <w:ind w:left="1100"/>
        <w:jc w:val="both"/>
        <w:rPr>
          <w:sz w:val="20"/>
        </w:rPr>
      </w:pPr>
      <w:r w:rsidRPr="00F039C2">
        <w:rPr>
          <w:sz w:val="20"/>
        </w:rPr>
        <w:t xml:space="preserve">El proyecto WIPO CASE ha hecho posible un sistema de trabajo para el intercambio de resultados de búsquedas y exámenes de patentes en apoyo del intercambio de trabajo.  Otros sistemas de ese tipo, como el </w:t>
      </w:r>
      <w:r w:rsidRPr="000302BA">
        <w:rPr>
          <w:sz w:val="20"/>
        </w:rPr>
        <w:t xml:space="preserve">sistema </w:t>
      </w:r>
      <w:proofErr w:type="spellStart"/>
      <w:r w:rsidRPr="00797491">
        <w:rPr>
          <w:i/>
          <w:sz w:val="20"/>
        </w:rPr>
        <w:t>One</w:t>
      </w:r>
      <w:proofErr w:type="spellEnd"/>
      <w:r w:rsidRPr="00797491">
        <w:rPr>
          <w:i/>
          <w:sz w:val="20"/>
        </w:rPr>
        <w:t xml:space="preserve"> Portal Dossier</w:t>
      </w:r>
      <w:r>
        <w:rPr>
          <w:sz w:val="20"/>
        </w:rPr>
        <w:t xml:space="preserve"> </w:t>
      </w:r>
      <w:r w:rsidRPr="00F039C2">
        <w:rPr>
          <w:sz w:val="20"/>
        </w:rPr>
        <w:t xml:space="preserve">(OPD), elaborado por cinco oficinas de patentes, tienen objetivos similares.  Hay también iniciativas como el </w:t>
      </w:r>
      <w:r w:rsidRPr="00797491">
        <w:rPr>
          <w:i/>
          <w:sz w:val="20"/>
        </w:rPr>
        <w:t>Global Dossier</w:t>
      </w:r>
      <w:r w:rsidRPr="00F039C2">
        <w:rPr>
          <w:sz w:val="20"/>
        </w:rPr>
        <w:t xml:space="preserve">, que tiene por objeto integrar los sistemas de </w:t>
      </w:r>
      <w:r>
        <w:rPr>
          <w:sz w:val="20"/>
        </w:rPr>
        <w:t xml:space="preserve">varias </w:t>
      </w:r>
      <w:r w:rsidRPr="00F039C2">
        <w:rPr>
          <w:sz w:val="20"/>
        </w:rPr>
        <w:t xml:space="preserve">oficinas de P.I. para fomentar un mejor intercambio de información y servicios integrados para los solicitantes de patentes en </w:t>
      </w:r>
      <w:r>
        <w:rPr>
          <w:sz w:val="20"/>
        </w:rPr>
        <w:t>todo el mundo</w:t>
      </w:r>
      <w:r w:rsidRPr="00F039C2">
        <w:rPr>
          <w:sz w:val="20"/>
        </w:rPr>
        <w:t>.</w:t>
      </w:r>
    </w:p>
    <w:p w:rsidR="00EA39DF" w:rsidRPr="00F039C2" w:rsidRDefault="00347DCE" w:rsidP="0031376C">
      <w:pPr>
        <w:widowControl w:val="0"/>
        <w:shd w:val="clear" w:color="auto" w:fill="FFFFFF"/>
        <w:spacing w:after="120"/>
        <w:ind w:left="1100"/>
        <w:jc w:val="both"/>
        <w:rPr>
          <w:sz w:val="20"/>
        </w:rPr>
      </w:pPr>
      <w:r>
        <w:rPr>
          <w:sz w:val="20"/>
        </w:rPr>
        <w:t>Se llevará a cabo u</w:t>
      </w:r>
      <w:r w:rsidR="0031376C">
        <w:rPr>
          <w:sz w:val="20"/>
        </w:rPr>
        <w:t xml:space="preserve">n proyecto piloto para investigar la viabilidad técnica de vincular </w:t>
      </w:r>
      <w:r w:rsidR="00EA39DF" w:rsidRPr="00F039C2">
        <w:rPr>
          <w:sz w:val="20"/>
        </w:rPr>
        <w:t>el sistema WIPO CASE</w:t>
      </w:r>
      <w:r w:rsidR="0031376C">
        <w:rPr>
          <w:sz w:val="20"/>
        </w:rPr>
        <w:t xml:space="preserve"> con sistemas de esa índole de las Oficinas de P.I. interesadas</w:t>
      </w:r>
      <w:r>
        <w:rPr>
          <w:sz w:val="20"/>
        </w:rPr>
        <w:t xml:space="preserve">, como respuesta </w:t>
      </w:r>
      <w:r w:rsidR="0031376C">
        <w:rPr>
          <w:sz w:val="20"/>
        </w:rPr>
        <w:t>a las peticiones de más oficinas en</w:t>
      </w:r>
      <w:r w:rsidR="00EA39DF" w:rsidRPr="00F039C2">
        <w:rPr>
          <w:sz w:val="20"/>
        </w:rPr>
        <w:t xml:space="preserve"> más regiones, en particular oficinas pequeñas y medianas</w:t>
      </w:r>
      <w:r>
        <w:rPr>
          <w:sz w:val="20"/>
        </w:rPr>
        <w:t>, de disponer de una plataforma en línea, multilateral y compatible, para acceder e intercambiar documentación relativa a la búsqueda y al examen así como al expediente</w:t>
      </w:r>
      <w:r w:rsidR="00EA39DF" w:rsidRPr="00F039C2">
        <w:rPr>
          <w:sz w:val="20"/>
        </w:rPr>
        <w:t>.  Ello se llevará a cabo en colaboraci</w:t>
      </w:r>
      <w:r>
        <w:rPr>
          <w:sz w:val="20"/>
        </w:rPr>
        <w:t>ón con las oficinas que dirigen</w:t>
      </w:r>
      <w:r w:rsidR="00EA39DF" w:rsidRPr="00F039C2">
        <w:rPr>
          <w:sz w:val="20"/>
        </w:rPr>
        <w:t xml:space="preserve"> las iniciativas OPD y </w:t>
      </w:r>
      <w:r w:rsidR="00EA39DF" w:rsidRPr="00797491">
        <w:rPr>
          <w:i/>
          <w:sz w:val="20"/>
        </w:rPr>
        <w:t>Global Dossier</w:t>
      </w:r>
      <w:r>
        <w:rPr>
          <w:sz w:val="20"/>
        </w:rPr>
        <w:t xml:space="preserve"> así como cualquier otra oficina interesada en el proyecto piloto</w:t>
      </w:r>
      <w:r w:rsidR="00EA39DF" w:rsidRPr="00F039C2">
        <w:rPr>
          <w:sz w:val="20"/>
        </w:rPr>
        <w:t xml:space="preserve">.  Se elaborarán herramientas y servicios adicionales, que se pondrán a disposición de las oficinas pequeñas y medianas, lo que les permitirá participar con eficacia en la red </w:t>
      </w:r>
      <w:r w:rsidR="00EA39DF" w:rsidRPr="00797491">
        <w:rPr>
          <w:i/>
          <w:sz w:val="20"/>
        </w:rPr>
        <w:t>Global Dossier</w:t>
      </w:r>
      <w:r w:rsidR="00EA39DF" w:rsidRPr="00F039C2">
        <w:rPr>
          <w:sz w:val="20"/>
        </w:rPr>
        <w:t xml:space="preserve">.  </w:t>
      </w:r>
    </w:p>
    <w:p w:rsidR="00EA39DF" w:rsidRPr="00CA3895" w:rsidRDefault="00EA39DF" w:rsidP="0031376C">
      <w:pPr>
        <w:widowControl w:val="0"/>
        <w:numPr>
          <w:ilvl w:val="0"/>
          <w:numId w:val="39"/>
        </w:numPr>
        <w:shd w:val="clear" w:color="auto" w:fill="FFFFFF"/>
        <w:tabs>
          <w:tab w:val="clear" w:pos="360"/>
          <w:tab w:val="left" w:pos="1100"/>
        </w:tabs>
        <w:spacing w:after="120"/>
        <w:ind w:left="1100" w:hanging="550"/>
        <w:jc w:val="both"/>
        <w:rPr>
          <w:sz w:val="20"/>
          <w:u w:val="single"/>
        </w:rPr>
      </w:pPr>
      <w:r w:rsidRPr="00F039C2">
        <w:rPr>
          <w:sz w:val="20"/>
          <w:u w:val="single"/>
        </w:rPr>
        <w:lastRenderedPageBreak/>
        <w:t xml:space="preserve">Creación de plataformas regionales e internacionales </w:t>
      </w:r>
      <w:r>
        <w:rPr>
          <w:sz w:val="20"/>
          <w:u w:val="single"/>
        </w:rPr>
        <w:t xml:space="preserve">en apoyo de </w:t>
      </w:r>
      <w:r w:rsidRPr="00F039C2">
        <w:rPr>
          <w:sz w:val="20"/>
          <w:u w:val="single"/>
        </w:rPr>
        <w:t xml:space="preserve">los organismos de </w:t>
      </w:r>
      <w:r w:rsidRPr="00CA3895">
        <w:rPr>
          <w:sz w:val="20"/>
          <w:u w:val="single"/>
        </w:rPr>
        <w:t>gestión colectiva.</w:t>
      </w:r>
    </w:p>
    <w:p w:rsidR="00EA39DF" w:rsidRPr="00CA3895" w:rsidRDefault="00EA39DF" w:rsidP="00EA39DF">
      <w:pPr>
        <w:widowControl w:val="0"/>
        <w:shd w:val="clear" w:color="auto" w:fill="FFFFFF"/>
        <w:tabs>
          <w:tab w:val="left" w:pos="1100"/>
        </w:tabs>
        <w:jc w:val="both"/>
        <w:rPr>
          <w:sz w:val="20"/>
          <w:u w:val="single"/>
        </w:rPr>
      </w:pPr>
    </w:p>
    <w:p w:rsidR="00EA39DF" w:rsidRPr="00F039C2" w:rsidRDefault="00EA39DF" w:rsidP="0031376C">
      <w:pPr>
        <w:keepLines/>
        <w:widowControl w:val="0"/>
        <w:numPr>
          <w:ilvl w:val="0"/>
          <w:numId w:val="38"/>
        </w:numPr>
        <w:shd w:val="clear" w:color="auto" w:fill="FFFFFF"/>
        <w:jc w:val="both"/>
        <w:rPr>
          <w:sz w:val="20"/>
        </w:rPr>
      </w:pPr>
      <w:r w:rsidRPr="00F039C2">
        <w:rPr>
          <w:sz w:val="20"/>
        </w:rPr>
        <w:t>Una nueva estrategia para 2014/15 consistirá en aplicar los conocimientos y competencias acumulados del programa al funcionamiento de los organismos de gestión colectiva (OGC).  Los OGC, especialment</w:t>
      </w:r>
      <w:r>
        <w:rPr>
          <w:sz w:val="20"/>
        </w:rPr>
        <w:t>e</w:t>
      </w:r>
      <w:r w:rsidRPr="00F039C2">
        <w:rPr>
          <w:sz w:val="20"/>
        </w:rPr>
        <w:t xml:space="preserve"> en los PMA y en países con bajos ingresos, requieren asistencia para gestionar la recaudación y distribución de regalías a los compositores, músicos, intérpretes y otros titulares de derechos </w:t>
      </w:r>
      <w:r>
        <w:rPr>
          <w:sz w:val="20"/>
        </w:rPr>
        <w:t xml:space="preserve">del país </w:t>
      </w:r>
      <w:r w:rsidRPr="00F039C2">
        <w:rPr>
          <w:sz w:val="20"/>
        </w:rPr>
        <w:t xml:space="preserve">con objeto de garantizar ganancias justas por el uso de sus creaciones.  A tal fin, se elaborará y pondrá en marcha una nueva plataforma informática, integrada en las redes regionales y mundiales.  En la ejecución de este proyecto, </w:t>
      </w:r>
      <w:r>
        <w:rPr>
          <w:sz w:val="20"/>
        </w:rPr>
        <w:t>habrá una colaboración estrecha d</w:t>
      </w:r>
      <w:r w:rsidRPr="00F039C2">
        <w:rPr>
          <w:sz w:val="20"/>
        </w:rPr>
        <w:t xml:space="preserve">el programa con el programa 3 (Derecho de autor y derechos conexos), en el que se aborda plenamente la cuestión. </w:t>
      </w:r>
    </w:p>
    <w:p w:rsidR="00EA39DF" w:rsidRPr="00F039C2" w:rsidRDefault="00EA39DF" w:rsidP="00EA39DF">
      <w:pPr>
        <w:widowControl w:val="0"/>
        <w:shd w:val="clear" w:color="auto" w:fill="FFFFFF"/>
        <w:jc w:val="both"/>
        <w:rPr>
          <w:sz w:val="20"/>
        </w:rPr>
      </w:pPr>
    </w:p>
    <w:p w:rsidR="00EA39DF" w:rsidRPr="00F039C2" w:rsidRDefault="00EA39DF" w:rsidP="00BA276E">
      <w:pPr>
        <w:widowControl w:val="0"/>
        <w:numPr>
          <w:ilvl w:val="0"/>
          <w:numId w:val="38"/>
        </w:numPr>
        <w:shd w:val="clear" w:color="auto" w:fill="FFFFFF"/>
        <w:jc w:val="both"/>
        <w:rPr>
          <w:sz w:val="20"/>
        </w:rPr>
      </w:pPr>
      <w:r w:rsidRPr="00DC4C0C">
        <w:rPr>
          <w:sz w:val="20"/>
        </w:rPr>
        <w:t xml:space="preserve">Además, continuará la colaboración estrecha con el </w:t>
      </w:r>
      <w:r w:rsidR="00560B8E">
        <w:rPr>
          <w:sz w:val="20"/>
        </w:rPr>
        <w:t xml:space="preserve">programa 2 (Marcas, diseños industriales e indicaciones geográficas), el </w:t>
      </w:r>
      <w:r w:rsidRPr="00DC4C0C">
        <w:rPr>
          <w:sz w:val="20"/>
        </w:rPr>
        <w:t>programa 5 (Sistema del PCT), el programa</w:t>
      </w:r>
      <w:r w:rsidR="00D86F03">
        <w:rPr>
          <w:sz w:val="20"/>
        </w:rPr>
        <w:t> </w:t>
      </w:r>
      <w:r w:rsidRPr="00F039C2">
        <w:rPr>
          <w:sz w:val="20"/>
        </w:rPr>
        <w:t>6 (Sistemas de Madrid y de Lisboa), el programa 8 (Coordinación de la Agenda para el Desarrollo), el programa 9 (Países africanos, árabes, de América Latina y el Caribe, de Asia y el Pacífico y países menos adelantados), el programa 10 (Cooperación con determinados países de Europa y Asia), el programa 14 (Servicios de acceso a los conocimientos), el programa 25 (Tecnologías de la información y de las comunicaciones) y el programa 31 (Sistema de La Haya).  En el ámbito exterior, a través del programa se cooperará con organizaciones de P.I. pertinentes regionales y nacionales a los efectos de coordinar y compartir la información, organizar conjuntamente actividades y establecer posibles acuerdos de financiación.  Seguirá analizándose la posibilidad de colaborar con otras organizaciones pertinentes y posibles socios.</w:t>
      </w:r>
    </w:p>
    <w:p w:rsidR="00EA39DF" w:rsidRPr="00F039C2" w:rsidRDefault="00EA39DF" w:rsidP="00EA39DF">
      <w:pPr>
        <w:widowControl w:val="0"/>
        <w:shd w:val="clear" w:color="auto" w:fill="FFFFFF"/>
        <w:jc w:val="both"/>
        <w:rPr>
          <w:sz w:val="20"/>
        </w:rPr>
      </w:pPr>
    </w:p>
    <w:p w:rsidR="001B1F22" w:rsidRPr="00EA39DF" w:rsidRDefault="001B1F22" w:rsidP="00A80F8D">
      <w:pPr>
        <w:widowControl w:val="0"/>
        <w:rPr>
          <w:bCs/>
          <w:szCs w:val="22"/>
        </w:rPr>
      </w:pPr>
    </w:p>
    <w:p w:rsidR="00A80F8D" w:rsidRPr="00C75C7E" w:rsidRDefault="00A80F8D" w:rsidP="00A80F8D">
      <w:pPr>
        <w:widowControl w:val="0"/>
        <w:rPr>
          <w:bCs/>
          <w:szCs w:val="22"/>
          <w:lang w:val="es-ES_tradnl"/>
        </w:rPr>
      </w:pPr>
      <w:r w:rsidRPr="00C75C7E">
        <w:rPr>
          <w:bCs/>
          <w:szCs w:val="22"/>
          <w:lang w:val="es-ES_tradnl"/>
        </w:rPr>
        <w:t xml:space="preserve">PRINCIPALES RIESGOS Y ESTRATEGIAS DE MITIGACIÓN  </w:t>
      </w:r>
    </w:p>
    <w:p w:rsidR="001B1F22" w:rsidRPr="00C75C7E" w:rsidRDefault="001B1F22" w:rsidP="00A80F8D">
      <w:pPr>
        <w:widowControl w:val="0"/>
        <w:tabs>
          <w:tab w:val="num" w:pos="709"/>
        </w:tabs>
        <w:rPr>
          <w:bCs/>
          <w:szCs w:val="22"/>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00"/>
        <w:gridCol w:w="4969"/>
      </w:tblGrid>
      <w:tr w:rsidR="00A80F8D" w:rsidRPr="00C75C7E" w:rsidTr="00347DCE">
        <w:trPr>
          <w:trHeight w:val="437"/>
          <w:tblHeader/>
        </w:trPr>
        <w:tc>
          <w:tcPr>
            <w:tcW w:w="4400" w:type="dxa"/>
            <w:tcBorders>
              <w:top w:val="single" w:sz="4" w:space="0" w:color="auto"/>
              <w:bottom w:val="single" w:sz="4" w:space="0" w:color="auto"/>
            </w:tcBorders>
            <w:shd w:val="clear" w:color="auto" w:fill="CCFFFF"/>
            <w:tcMar>
              <w:top w:w="113" w:type="dxa"/>
              <w:bottom w:w="85" w:type="dxa"/>
            </w:tcMar>
            <w:vAlign w:val="center"/>
          </w:tcPr>
          <w:p w:rsidR="00A80F8D" w:rsidRPr="00C75C7E" w:rsidRDefault="00A80F8D"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Riesgos en el logro de los resultados del programa</w:t>
            </w:r>
          </w:p>
        </w:tc>
        <w:tc>
          <w:tcPr>
            <w:tcW w:w="4969" w:type="dxa"/>
            <w:tcBorders>
              <w:top w:val="single" w:sz="4" w:space="0" w:color="auto"/>
              <w:bottom w:val="single" w:sz="4" w:space="0" w:color="auto"/>
            </w:tcBorders>
            <w:shd w:val="clear" w:color="auto" w:fill="CCFFFF"/>
            <w:tcMar>
              <w:top w:w="113" w:type="dxa"/>
              <w:bottom w:w="85" w:type="dxa"/>
            </w:tcMar>
            <w:vAlign w:val="center"/>
          </w:tcPr>
          <w:p w:rsidR="00A80F8D" w:rsidRPr="00C75C7E" w:rsidRDefault="00A80F8D" w:rsidP="00347DCE">
            <w:pPr>
              <w:widowControl w:val="0"/>
              <w:autoSpaceDE w:val="0"/>
              <w:autoSpaceDN w:val="0"/>
              <w:adjustRightInd w:val="0"/>
              <w:ind w:right="-59"/>
              <w:rPr>
                <w:b/>
                <w:bCs/>
                <w:iCs/>
                <w:sz w:val="18"/>
                <w:szCs w:val="18"/>
                <w:lang w:val="es-ES_tradnl"/>
              </w:rPr>
            </w:pPr>
            <w:r w:rsidRPr="00C75C7E">
              <w:rPr>
                <w:b/>
                <w:bCs/>
                <w:iCs/>
                <w:sz w:val="18"/>
                <w:szCs w:val="18"/>
                <w:lang w:val="es-ES_tradnl"/>
              </w:rPr>
              <w:t>Planes de mitigación ejecutados o en ejecución</w:t>
            </w:r>
          </w:p>
        </w:tc>
      </w:tr>
      <w:tr w:rsidR="00A80F8D" w:rsidRPr="00C75C7E" w:rsidTr="00347DCE">
        <w:trPr>
          <w:trHeight w:val="1051"/>
        </w:trPr>
        <w:tc>
          <w:tcPr>
            <w:tcW w:w="4400" w:type="dxa"/>
            <w:tcBorders>
              <w:top w:val="single" w:sz="4" w:space="0" w:color="auto"/>
            </w:tcBorders>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Las peticiones de instalación de paquetes de programas informáticos de la OMPI</w:t>
            </w:r>
            <w:r w:rsidRPr="00C75C7E">
              <w:rPr>
                <w:lang w:val="es-ES_tradnl"/>
              </w:rPr>
              <w:t xml:space="preserve"> </w:t>
            </w:r>
            <w:r w:rsidRPr="00C75C7E">
              <w:rPr>
                <w:sz w:val="16"/>
                <w:szCs w:val="16"/>
                <w:lang w:val="es-ES_tradnl"/>
              </w:rPr>
              <w:t xml:space="preserve">recibidas de las oficinas de P.I. pueden ser distintas de los planes de trabajo.  Hay presiones para que comiencen los proyectos en oficinas en las que tal vez no haya las condiciones necesarias (en particular los recursos locales).  Esto puede dar lugar a que se comprometa un número excesivo de recursos de personal y de otra índole. </w:t>
            </w:r>
          </w:p>
        </w:tc>
        <w:tc>
          <w:tcPr>
            <w:tcW w:w="4969" w:type="dxa"/>
            <w:tcBorders>
              <w:top w:val="single" w:sz="4" w:space="0" w:color="auto"/>
            </w:tcBorders>
            <w:shd w:val="clear" w:color="auto" w:fill="auto"/>
            <w:tcMar>
              <w:top w:w="113" w:type="dxa"/>
              <w:bottom w:w="85" w:type="dxa"/>
            </w:tcMar>
          </w:tcPr>
          <w:p w:rsidR="00A80F8D" w:rsidRPr="00C75C7E" w:rsidRDefault="00A80F8D" w:rsidP="008F4F69">
            <w:pPr>
              <w:widowControl w:val="0"/>
              <w:autoSpaceDE w:val="0"/>
              <w:autoSpaceDN w:val="0"/>
              <w:adjustRightInd w:val="0"/>
              <w:ind w:right="-59"/>
              <w:rPr>
                <w:sz w:val="16"/>
                <w:szCs w:val="16"/>
                <w:lang w:val="es-ES_tradnl"/>
              </w:rPr>
            </w:pPr>
            <w:r w:rsidRPr="00C75C7E">
              <w:rPr>
                <w:sz w:val="16"/>
                <w:szCs w:val="16"/>
                <w:lang w:val="es-ES_tradnl"/>
              </w:rPr>
              <w:t>Evaluación de los proyectos antes de su puesta en marcha.  Se acordarán planes de proyecto claros, en los que se especifiquen las funciones, las responsabilidades y los compromisos de recursos de todas las partes.</w:t>
            </w:r>
          </w:p>
        </w:tc>
      </w:tr>
      <w:tr w:rsidR="00A80F8D" w:rsidRPr="00C75C7E" w:rsidTr="00347DCE">
        <w:trPr>
          <w:trHeight w:val="700"/>
        </w:trPr>
        <w:tc>
          <w:tcPr>
            <w:tcW w:w="4400" w:type="dxa"/>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Los paquetes de programas informáticos de la OMPI (suministrados a las oficinas de P.I.) son concebidos por contratistas externos y cuentan con el apoyo de estos.  Puede que esto acarree la pérdida de conocimientos con poco tiempo para reaccionar.</w:t>
            </w:r>
          </w:p>
        </w:tc>
        <w:tc>
          <w:tcPr>
            <w:tcW w:w="4969" w:type="dxa"/>
            <w:shd w:val="clear" w:color="auto" w:fill="auto"/>
            <w:tcMar>
              <w:top w:w="113" w:type="dxa"/>
              <w:bottom w:w="85" w:type="dxa"/>
            </w:tcMar>
          </w:tcPr>
          <w:p w:rsidR="00A80F8D" w:rsidRPr="00C75C7E" w:rsidRDefault="00A80F8D" w:rsidP="008F4F69">
            <w:pPr>
              <w:widowControl w:val="0"/>
              <w:autoSpaceDE w:val="0"/>
              <w:autoSpaceDN w:val="0"/>
              <w:adjustRightInd w:val="0"/>
              <w:ind w:right="-59"/>
              <w:rPr>
                <w:sz w:val="16"/>
                <w:szCs w:val="16"/>
                <w:lang w:val="es-ES_tradnl"/>
              </w:rPr>
            </w:pPr>
            <w:r w:rsidRPr="00C75C7E">
              <w:rPr>
                <w:sz w:val="16"/>
                <w:szCs w:val="16"/>
                <w:lang w:val="es-ES_tradnl"/>
              </w:rPr>
              <w:t>Siempre que sea posible, los conocimientos fundamentales deberán continuar estando en manos del personal de la OMPI.  Es necesario que los contratos con empresas externas incluyan una cláusula relativa a la transferencia de conocimientos en caso de recisión del contrato.</w:t>
            </w:r>
          </w:p>
        </w:tc>
      </w:tr>
      <w:tr w:rsidR="00A80F8D" w:rsidRPr="00C75C7E" w:rsidTr="00347DCE">
        <w:trPr>
          <w:trHeight w:val="843"/>
        </w:trPr>
        <w:tc>
          <w:tcPr>
            <w:tcW w:w="4400" w:type="dxa"/>
            <w:shd w:val="clear" w:color="auto" w:fill="auto"/>
            <w:tcMar>
              <w:top w:w="113" w:type="dxa"/>
              <w:bottom w:w="85" w:type="dxa"/>
            </w:tcMar>
          </w:tcPr>
          <w:p w:rsidR="00A80F8D" w:rsidRPr="00C75C7E" w:rsidRDefault="00A80F8D" w:rsidP="008F4F69">
            <w:pPr>
              <w:widowControl w:val="0"/>
              <w:rPr>
                <w:sz w:val="16"/>
                <w:szCs w:val="16"/>
                <w:lang w:val="es-ES_tradnl"/>
              </w:rPr>
            </w:pPr>
            <w:r w:rsidRPr="00C75C7E">
              <w:rPr>
                <w:sz w:val="16"/>
                <w:szCs w:val="16"/>
                <w:lang w:val="es-ES_tradnl"/>
              </w:rPr>
              <w:t>Las oficinas emplean los sistemas de programas informáticos de la OMPI para sus actividades principales.  Un fallo en uno de esos sistemas puede tener consecuencias graves para sus actividades diarias.  Por tanto, muchas oficinas esperan que la OMPI preste un apoyo continuo y suficiente.</w:t>
            </w:r>
          </w:p>
        </w:tc>
        <w:tc>
          <w:tcPr>
            <w:tcW w:w="4969" w:type="dxa"/>
            <w:shd w:val="clear" w:color="auto" w:fill="auto"/>
            <w:tcMar>
              <w:top w:w="113" w:type="dxa"/>
              <w:bottom w:w="85" w:type="dxa"/>
            </w:tcMar>
          </w:tcPr>
          <w:p w:rsidR="00A80F8D" w:rsidRPr="00C75C7E" w:rsidRDefault="00A80F8D" w:rsidP="008F4F69">
            <w:pPr>
              <w:widowControl w:val="0"/>
              <w:autoSpaceDE w:val="0"/>
              <w:autoSpaceDN w:val="0"/>
              <w:adjustRightInd w:val="0"/>
              <w:ind w:right="-59"/>
              <w:rPr>
                <w:sz w:val="16"/>
                <w:szCs w:val="16"/>
                <w:lang w:val="es-ES_tradnl"/>
              </w:rPr>
            </w:pPr>
            <w:r w:rsidRPr="00C75C7E">
              <w:rPr>
                <w:sz w:val="16"/>
                <w:szCs w:val="16"/>
                <w:lang w:val="es-ES_tradnl"/>
              </w:rPr>
              <w:t>Asignación de recursos</w:t>
            </w:r>
            <w:r w:rsidRPr="00C75C7E">
              <w:rPr>
                <w:lang w:val="es-ES_tradnl"/>
              </w:rPr>
              <w:t xml:space="preserve"> </w:t>
            </w:r>
            <w:r w:rsidRPr="00C75C7E">
              <w:rPr>
                <w:sz w:val="16"/>
                <w:szCs w:val="16"/>
                <w:lang w:val="es-ES_tradnl"/>
              </w:rPr>
              <w:t>suficientes para la prestación de asistencia relacionada con los programas informáticos.  Se velará por que se forme al personal de las oficinas de P.I. en actividades de apoyo de primer nivel.  Establecimiento de procedimientos formales relacionados con los programas informáticos y el apoyo que se presta a estos.</w:t>
            </w:r>
          </w:p>
        </w:tc>
      </w:tr>
    </w:tbl>
    <w:p w:rsidR="00A80F8D" w:rsidRPr="00C75C7E" w:rsidRDefault="00A80F8D" w:rsidP="00A80F8D">
      <w:pPr>
        <w:widowControl w:val="0"/>
        <w:rPr>
          <w:sz w:val="20"/>
          <w:lang w:val="es-ES_tradnl"/>
        </w:rPr>
      </w:pPr>
    </w:p>
    <w:p w:rsidR="00A80F8D" w:rsidRPr="00C75C7E" w:rsidRDefault="00A80F8D" w:rsidP="00A80F8D">
      <w:pPr>
        <w:widowControl w:val="0"/>
        <w:rPr>
          <w:sz w:val="20"/>
          <w:lang w:val="es-ES_tradnl"/>
        </w:rPr>
      </w:pPr>
    </w:p>
    <w:p w:rsidR="00A80F8D" w:rsidRPr="00C75C7E" w:rsidRDefault="00A80F8D" w:rsidP="00347DCE">
      <w:pPr>
        <w:keepNext/>
        <w:keepLines/>
        <w:widowControl w:val="0"/>
        <w:tabs>
          <w:tab w:val="left" w:pos="567"/>
          <w:tab w:val="left" w:pos="1985"/>
        </w:tabs>
        <w:jc w:val="both"/>
        <w:rPr>
          <w:bCs/>
          <w:sz w:val="20"/>
          <w:lang w:val="es-ES_tradnl"/>
        </w:rPr>
      </w:pPr>
      <w:r w:rsidRPr="00C75C7E">
        <w:rPr>
          <w:bCs/>
          <w:szCs w:val="22"/>
          <w:lang w:val="es-ES_tradnl"/>
        </w:rPr>
        <w:lastRenderedPageBreak/>
        <w:t>MARCO DE RESULTADOS</w:t>
      </w:r>
    </w:p>
    <w:p w:rsidR="00A80F8D" w:rsidRPr="00C75C7E" w:rsidRDefault="00A80F8D" w:rsidP="00347DCE">
      <w:pPr>
        <w:keepNext/>
        <w:keepLines/>
        <w:widowControl w:val="0"/>
        <w:tabs>
          <w:tab w:val="left" w:pos="567"/>
          <w:tab w:val="left" w:pos="1985"/>
        </w:tabs>
        <w:jc w:val="both"/>
        <w:rPr>
          <w:bCs/>
          <w:sz w:val="20"/>
          <w:lang w:val="es-ES_tradnl"/>
        </w:rPr>
      </w:pPr>
    </w:p>
    <w:tbl>
      <w:tblPr>
        <w:tblW w:w="4902"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349"/>
        <w:gridCol w:w="2847"/>
        <w:gridCol w:w="2175"/>
        <w:gridCol w:w="2012"/>
      </w:tblGrid>
      <w:tr w:rsidR="00A80F8D" w:rsidRPr="00C75C7E" w:rsidTr="00347DCE">
        <w:trPr>
          <w:cantSplit/>
          <w:trHeight w:val="608"/>
        </w:trPr>
        <w:tc>
          <w:tcPr>
            <w:tcW w:w="1252" w:type="pct"/>
            <w:tcBorders>
              <w:top w:val="single" w:sz="4" w:space="0" w:color="auto"/>
              <w:bottom w:val="single" w:sz="4" w:space="0" w:color="auto"/>
            </w:tcBorders>
            <w:shd w:val="clear" w:color="auto" w:fill="CCFFFF"/>
            <w:vAlign w:val="center"/>
          </w:tcPr>
          <w:p w:rsidR="00A80F8D" w:rsidRPr="00C75C7E" w:rsidRDefault="00A80F8D" w:rsidP="00347DCE">
            <w:pPr>
              <w:keepNext/>
              <w:keepLines/>
              <w:widowControl w:val="0"/>
              <w:spacing w:after="120"/>
              <w:jc w:val="center"/>
              <w:rPr>
                <w:b/>
                <w:bCs/>
                <w:sz w:val="18"/>
                <w:szCs w:val="18"/>
                <w:lang w:val="es-ES_tradnl"/>
              </w:rPr>
            </w:pPr>
            <w:r w:rsidRPr="00C75C7E">
              <w:rPr>
                <w:b/>
                <w:bCs/>
                <w:sz w:val="18"/>
                <w:szCs w:val="18"/>
                <w:lang w:val="es-ES_tradnl"/>
              </w:rPr>
              <w:t>Resultados previstos</w:t>
            </w:r>
          </w:p>
        </w:tc>
        <w:tc>
          <w:tcPr>
            <w:tcW w:w="1517" w:type="pct"/>
            <w:tcBorders>
              <w:top w:val="single" w:sz="4" w:space="0" w:color="auto"/>
              <w:bottom w:val="single" w:sz="4" w:space="0" w:color="auto"/>
            </w:tcBorders>
            <w:shd w:val="clear" w:color="auto" w:fill="CCFFFF"/>
            <w:tcMar>
              <w:top w:w="110" w:type="dxa"/>
            </w:tcMar>
            <w:vAlign w:val="center"/>
          </w:tcPr>
          <w:p w:rsidR="00A80F8D" w:rsidRPr="00C75C7E" w:rsidRDefault="00A80F8D" w:rsidP="00347DCE">
            <w:pPr>
              <w:keepNext/>
              <w:keepLines/>
              <w:widowControl w:val="0"/>
              <w:spacing w:after="120"/>
              <w:jc w:val="center"/>
              <w:rPr>
                <w:b/>
                <w:sz w:val="18"/>
                <w:szCs w:val="18"/>
                <w:lang w:val="es-ES_tradnl"/>
              </w:rPr>
            </w:pPr>
            <w:r w:rsidRPr="00C75C7E">
              <w:rPr>
                <w:b/>
                <w:sz w:val="18"/>
                <w:szCs w:val="18"/>
                <w:lang w:val="es-ES_tradnl"/>
              </w:rPr>
              <w:t>Indicadores de rendimiento</w:t>
            </w:r>
          </w:p>
        </w:tc>
        <w:tc>
          <w:tcPr>
            <w:tcW w:w="1159" w:type="pct"/>
            <w:tcBorders>
              <w:top w:val="single" w:sz="4" w:space="0" w:color="auto"/>
              <w:bottom w:val="single" w:sz="4" w:space="0" w:color="auto"/>
            </w:tcBorders>
            <w:shd w:val="clear" w:color="auto" w:fill="CCFFFF"/>
            <w:tcMar>
              <w:top w:w="110" w:type="dxa"/>
            </w:tcMar>
            <w:vAlign w:val="center"/>
          </w:tcPr>
          <w:p w:rsidR="00A80F8D" w:rsidRPr="00C75C7E" w:rsidRDefault="00A80F8D" w:rsidP="00347DCE">
            <w:pPr>
              <w:keepNext/>
              <w:keepLines/>
              <w:widowControl w:val="0"/>
              <w:spacing w:after="120"/>
              <w:ind w:left="85"/>
              <w:jc w:val="center"/>
              <w:rPr>
                <w:sz w:val="18"/>
                <w:szCs w:val="18"/>
                <w:lang w:val="es-ES_tradnl"/>
              </w:rPr>
            </w:pPr>
            <w:r w:rsidRPr="00C75C7E">
              <w:rPr>
                <w:b/>
                <w:bCs/>
                <w:sz w:val="18"/>
                <w:szCs w:val="18"/>
                <w:lang w:val="es-ES_tradnl"/>
              </w:rPr>
              <w:t>Referencia</w:t>
            </w:r>
          </w:p>
        </w:tc>
        <w:tc>
          <w:tcPr>
            <w:tcW w:w="1072" w:type="pct"/>
            <w:tcBorders>
              <w:top w:val="single" w:sz="4" w:space="0" w:color="auto"/>
              <w:bottom w:val="single" w:sz="4" w:space="0" w:color="auto"/>
            </w:tcBorders>
            <w:shd w:val="clear" w:color="auto" w:fill="CCFFFF"/>
            <w:tcMar>
              <w:top w:w="110" w:type="dxa"/>
            </w:tcMar>
            <w:vAlign w:val="center"/>
          </w:tcPr>
          <w:p w:rsidR="00A80F8D" w:rsidRPr="00C75C7E" w:rsidRDefault="00A80F8D" w:rsidP="00347DCE">
            <w:pPr>
              <w:keepNext/>
              <w:keepLines/>
              <w:widowControl w:val="0"/>
              <w:tabs>
                <w:tab w:val="left" w:pos="1647"/>
              </w:tabs>
              <w:spacing w:after="120"/>
              <w:ind w:right="2"/>
              <w:jc w:val="center"/>
              <w:rPr>
                <w:b/>
                <w:bCs/>
                <w:sz w:val="18"/>
                <w:szCs w:val="18"/>
                <w:lang w:val="es-ES_tradnl"/>
              </w:rPr>
            </w:pPr>
            <w:r w:rsidRPr="00C75C7E">
              <w:rPr>
                <w:b/>
                <w:bCs/>
                <w:sz w:val="18"/>
                <w:szCs w:val="18"/>
                <w:lang w:val="es-ES_tradnl"/>
              </w:rPr>
              <w:t>Objetivos</w:t>
            </w:r>
          </w:p>
        </w:tc>
      </w:tr>
      <w:tr w:rsidR="00A80F8D" w:rsidRPr="00C75C7E" w:rsidTr="00347DCE">
        <w:trPr>
          <w:cantSplit/>
          <w:trHeight w:val="586"/>
        </w:trPr>
        <w:tc>
          <w:tcPr>
            <w:tcW w:w="1252" w:type="pct"/>
            <w:vMerge w:val="restart"/>
            <w:tcBorders>
              <w:top w:val="single" w:sz="4" w:space="0" w:color="auto"/>
            </w:tcBorders>
            <w:shd w:val="clear" w:color="auto" w:fill="auto"/>
          </w:tcPr>
          <w:p w:rsidR="00A80F8D" w:rsidRPr="00C75C7E" w:rsidRDefault="00A80F8D" w:rsidP="00347DCE">
            <w:pPr>
              <w:keepNext/>
              <w:keepLines/>
              <w:widowControl w:val="0"/>
              <w:rPr>
                <w:sz w:val="16"/>
                <w:szCs w:val="16"/>
                <w:lang w:val="es-ES_tradnl"/>
              </w:rPr>
            </w:pPr>
            <w:r w:rsidRPr="00C75C7E">
              <w:rPr>
                <w:sz w:val="16"/>
                <w:szCs w:val="16"/>
                <w:lang w:val="es-ES_tradnl"/>
              </w:rPr>
              <w:t xml:space="preserve">IV.4. Mejora en la infraestructura técnica y de conocimientos de las oficinas y demás instituciones de P.I. </w:t>
            </w:r>
            <w:r w:rsidR="00177006">
              <w:rPr>
                <w:sz w:val="16"/>
                <w:szCs w:val="16"/>
                <w:lang w:val="es-ES_tradnl"/>
              </w:rPr>
              <w:t>que les permita prestar mejores servicios</w:t>
            </w:r>
            <w:r w:rsidRPr="00C75C7E">
              <w:rPr>
                <w:sz w:val="16"/>
                <w:szCs w:val="16"/>
                <w:lang w:val="es-ES_tradnl"/>
              </w:rPr>
              <w:t xml:space="preserve"> (más económicos, más rápidos y de mejor calidad) a sus partes interesadas.</w:t>
            </w:r>
          </w:p>
        </w:tc>
        <w:tc>
          <w:tcPr>
            <w:tcW w:w="1517" w:type="pct"/>
            <w:tcBorders>
              <w:top w:val="single" w:sz="4" w:space="0" w:color="auto"/>
            </w:tcBorders>
            <w:shd w:val="clear" w:color="auto" w:fill="auto"/>
            <w:tcMar>
              <w:top w:w="110" w:type="dxa"/>
            </w:tcMar>
          </w:tcPr>
          <w:p w:rsidR="00A80F8D" w:rsidRPr="00C75C7E" w:rsidRDefault="00A80F8D" w:rsidP="00347DCE">
            <w:pPr>
              <w:keepNext/>
              <w:keepLines/>
              <w:widowControl w:val="0"/>
              <w:rPr>
                <w:sz w:val="16"/>
                <w:szCs w:val="16"/>
                <w:lang w:val="es-ES_tradnl"/>
              </w:rPr>
            </w:pPr>
            <w:r w:rsidRPr="00C75C7E">
              <w:rPr>
                <w:sz w:val="16"/>
                <w:szCs w:val="16"/>
                <w:lang w:val="es-ES_tradnl"/>
              </w:rPr>
              <w:t>Número de oficinas que utilizan las plataformas de infraestructura de la OMPI.</w:t>
            </w:r>
          </w:p>
        </w:tc>
        <w:tc>
          <w:tcPr>
            <w:tcW w:w="1159" w:type="pct"/>
            <w:tcBorders>
              <w:top w:val="single" w:sz="4" w:space="0" w:color="auto"/>
            </w:tcBorders>
            <w:shd w:val="clear" w:color="auto" w:fill="FFFFFF"/>
            <w:tcMar>
              <w:top w:w="110" w:type="dxa"/>
            </w:tcMar>
          </w:tcPr>
          <w:p w:rsidR="00A80F8D" w:rsidRPr="00C75C7E" w:rsidRDefault="00A80F8D" w:rsidP="00347DCE">
            <w:pPr>
              <w:keepNext/>
              <w:keepLines/>
              <w:widowControl w:val="0"/>
              <w:rPr>
                <w:sz w:val="16"/>
                <w:szCs w:val="16"/>
                <w:lang w:val="es-ES_tradnl"/>
              </w:rPr>
            </w:pPr>
            <w:r w:rsidRPr="00C75C7E">
              <w:rPr>
                <w:sz w:val="16"/>
                <w:szCs w:val="16"/>
                <w:lang w:val="es-ES_tradnl"/>
              </w:rPr>
              <w:t>Norteamérica - 2</w:t>
            </w:r>
          </w:p>
          <w:p w:rsidR="00A80F8D" w:rsidRPr="00C75C7E" w:rsidRDefault="00A80F8D" w:rsidP="00347DCE">
            <w:pPr>
              <w:keepNext/>
              <w:keepLines/>
              <w:widowControl w:val="0"/>
              <w:rPr>
                <w:sz w:val="16"/>
                <w:szCs w:val="16"/>
                <w:lang w:val="es-ES_tradnl"/>
              </w:rPr>
            </w:pPr>
            <w:r w:rsidRPr="00C75C7E">
              <w:rPr>
                <w:sz w:val="16"/>
                <w:szCs w:val="16"/>
                <w:lang w:val="es-ES_tradnl"/>
              </w:rPr>
              <w:t>Europa Occidental - 7</w:t>
            </w:r>
          </w:p>
          <w:p w:rsidR="00A80F8D" w:rsidRPr="00C75C7E" w:rsidRDefault="00A80F8D" w:rsidP="00347DCE">
            <w:pPr>
              <w:keepNext/>
              <w:keepLines/>
              <w:widowControl w:val="0"/>
              <w:rPr>
                <w:sz w:val="16"/>
                <w:szCs w:val="16"/>
                <w:lang w:val="es-ES_tradnl"/>
              </w:rPr>
            </w:pPr>
            <w:r w:rsidRPr="00C75C7E">
              <w:rPr>
                <w:sz w:val="16"/>
                <w:szCs w:val="16"/>
                <w:lang w:val="es-ES_tradnl"/>
              </w:rPr>
              <w:t>Asia y el Pacífico (6).</w:t>
            </w:r>
          </w:p>
        </w:tc>
        <w:tc>
          <w:tcPr>
            <w:tcW w:w="1072" w:type="pct"/>
            <w:tcBorders>
              <w:top w:val="single" w:sz="4" w:space="0" w:color="auto"/>
            </w:tcBorders>
            <w:shd w:val="clear" w:color="auto" w:fill="auto"/>
            <w:tcMar>
              <w:top w:w="110" w:type="dxa"/>
            </w:tcMar>
          </w:tcPr>
          <w:p w:rsidR="00A80F8D" w:rsidRPr="0078621B" w:rsidRDefault="00A80F8D" w:rsidP="00347DCE">
            <w:pPr>
              <w:keepNext/>
              <w:keepLines/>
              <w:widowControl w:val="0"/>
              <w:rPr>
                <w:bCs/>
                <w:sz w:val="16"/>
                <w:szCs w:val="16"/>
                <w:lang w:val="es-ES_tradnl"/>
              </w:rPr>
            </w:pPr>
            <w:r w:rsidRPr="0078621B">
              <w:rPr>
                <w:bCs/>
                <w:sz w:val="16"/>
                <w:szCs w:val="16"/>
                <w:lang w:val="es-ES_tradnl"/>
              </w:rPr>
              <w:t>25 (desglose por región)</w:t>
            </w:r>
          </w:p>
        </w:tc>
      </w:tr>
      <w:tr w:rsidR="00A80F8D" w:rsidRPr="00C75C7E" w:rsidTr="00347DCE">
        <w:trPr>
          <w:cantSplit/>
          <w:trHeight w:val="609"/>
        </w:trPr>
        <w:tc>
          <w:tcPr>
            <w:tcW w:w="1252" w:type="pct"/>
            <w:vMerge/>
            <w:shd w:val="clear" w:color="auto" w:fill="auto"/>
          </w:tcPr>
          <w:p w:rsidR="00A80F8D" w:rsidRPr="00C75C7E" w:rsidRDefault="00A80F8D" w:rsidP="00347DCE">
            <w:pPr>
              <w:keepNext/>
              <w:keepLines/>
              <w:widowControl w:val="0"/>
              <w:rPr>
                <w:sz w:val="16"/>
                <w:szCs w:val="16"/>
                <w:lang w:val="es-ES_tradnl"/>
              </w:rPr>
            </w:pPr>
          </w:p>
        </w:tc>
        <w:tc>
          <w:tcPr>
            <w:tcW w:w="1517" w:type="pct"/>
            <w:shd w:val="clear" w:color="auto" w:fill="auto"/>
            <w:tcMar>
              <w:top w:w="110" w:type="dxa"/>
            </w:tcMar>
          </w:tcPr>
          <w:p w:rsidR="00A80F8D" w:rsidRPr="00C75C7E" w:rsidRDefault="00A80F8D" w:rsidP="00347DCE">
            <w:pPr>
              <w:keepNext/>
              <w:keepLines/>
              <w:widowControl w:val="0"/>
              <w:rPr>
                <w:sz w:val="16"/>
                <w:szCs w:val="16"/>
                <w:lang w:val="es-ES_tradnl"/>
              </w:rPr>
            </w:pPr>
            <w:r w:rsidRPr="00C75C7E">
              <w:rPr>
                <w:sz w:val="16"/>
                <w:szCs w:val="16"/>
                <w:lang w:val="es-ES_tradnl"/>
              </w:rPr>
              <w:t>Media del nivel de los servicios prestados por las Oficinas de P.I. que reciben asistencia (en una escala del 1 al 5).</w:t>
            </w:r>
          </w:p>
        </w:tc>
        <w:tc>
          <w:tcPr>
            <w:tcW w:w="1159" w:type="pct"/>
            <w:shd w:val="clear" w:color="auto" w:fill="FFFFFF"/>
            <w:tcMar>
              <w:top w:w="110" w:type="dxa"/>
            </w:tcMar>
          </w:tcPr>
          <w:p w:rsidR="00A80F8D" w:rsidRPr="00C75C7E" w:rsidRDefault="00A80F8D" w:rsidP="00347DCE">
            <w:pPr>
              <w:keepNext/>
              <w:keepLines/>
              <w:widowControl w:val="0"/>
              <w:rPr>
                <w:sz w:val="16"/>
                <w:szCs w:val="16"/>
                <w:lang w:val="es-ES_tradnl"/>
              </w:rPr>
            </w:pPr>
            <w:r w:rsidRPr="00C75C7E">
              <w:rPr>
                <w:sz w:val="16"/>
                <w:szCs w:val="16"/>
                <w:lang w:val="es-ES_tradnl" w:bidi="th-TH"/>
              </w:rPr>
              <w:t>Por determinar.</w:t>
            </w:r>
          </w:p>
        </w:tc>
        <w:tc>
          <w:tcPr>
            <w:tcW w:w="1072" w:type="pct"/>
            <w:shd w:val="clear" w:color="auto" w:fill="auto"/>
            <w:tcMar>
              <w:top w:w="110" w:type="dxa"/>
            </w:tcMar>
          </w:tcPr>
          <w:p w:rsidR="00A80F8D" w:rsidRPr="00C75C7E" w:rsidRDefault="00A80F8D" w:rsidP="00347DCE">
            <w:pPr>
              <w:keepNext/>
              <w:keepLines/>
              <w:widowControl w:val="0"/>
              <w:tabs>
                <w:tab w:val="left" w:pos="2051"/>
              </w:tabs>
              <w:ind w:right="381"/>
              <w:rPr>
                <w:bCs/>
                <w:sz w:val="16"/>
                <w:szCs w:val="16"/>
                <w:lang w:val="es-ES_tradnl"/>
              </w:rPr>
            </w:pPr>
            <w:r w:rsidRPr="00C75C7E">
              <w:rPr>
                <w:bCs/>
                <w:sz w:val="16"/>
                <w:szCs w:val="16"/>
                <w:lang w:val="es-ES_tradnl"/>
              </w:rPr>
              <w:t>Por determinar.</w:t>
            </w:r>
          </w:p>
        </w:tc>
      </w:tr>
      <w:tr w:rsidR="00A80F8D" w:rsidRPr="00C75C7E" w:rsidTr="00347DCE">
        <w:trPr>
          <w:cantSplit/>
          <w:trHeight w:val="1060"/>
        </w:trPr>
        <w:tc>
          <w:tcPr>
            <w:tcW w:w="1252" w:type="pct"/>
            <w:vMerge/>
            <w:shd w:val="clear" w:color="auto" w:fill="auto"/>
          </w:tcPr>
          <w:p w:rsidR="00A80F8D" w:rsidRPr="00C75C7E" w:rsidRDefault="00A80F8D" w:rsidP="00347DCE">
            <w:pPr>
              <w:keepNext/>
              <w:keepLines/>
              <w:widowControl w:val="0"/>
              <w:rPr>
                <w:sz w:val="16"/>
                <w:szCs w:val="16"/>
                <w:lang w:val="es-ES_tradnl"/>
              </w:rPr>
            </w:pPr>
          </w:p>
        </w:tc>
        <w:tc>
          <w:tcPr>
            <w:tcW w:w="1517" w:type="pct"/>
            <w:shd w:val="clear" w:color="auto" w:fill="auto"/>
            <w:tcMar>
              <w:top w:w="110" w:type="dxa"/>
            </w:tcMar>
          </w:tcPr>
          <w:p w:rsidR="00A80F8D" w:rsidRPr="00C75C7E" w:rsidRDefault="00A80F8D" w:rsidP="00347DCE">
            <w:pPr>
              <w:keepNext/>
              <w:keepLines/>
              <w:widowControl w:val="0"/>
              <w:rPr>
                <w:sz w:val="16"/>
                <w:szCs w:val="16"/>
                <w:lang w:val="es-ES_tradnl"/>
              </w:rPr>
            </w:pPr>
            <w:r w:rsidRPr="00C75C7E">
              <w:rPr>
                <w:sz w:val="16"/>
                <w:szCs w:val="16"/>
                <w:lang w:val="es-ES_tradnl"/>
              </w:rPr>
              <w:t>Número de OGC de países en desarrollo y PMA que participan en las redes regionales y mundiales facilitadas por la OMPI.</w:t>
            </w:r>
          </w:p>
        </w:tc>
        <w:tc>
          <w:tcPr>
            <w:tcW w:w="1159" w:type="pct"/>
            <w:shd w:val="clear" w:color="auto" w:fill="FFFFFF"/>
            <w:tcMar>
              <w:top w:w="110" w:type="dxa"/>
            </w:tcMar>
          </w:tcPr>
          <w:p w:rsidR="00A80F8D" w:rsidRPr="00C75C7E" w:rsidRDefault="00A80F8D" w:rsidP="00347DCE">
            <w:pPr>
              <w:keepNext/>
              <w:keepLines/>
              <w:widowControl w:val="0"/>
              <w:rPr>
                <w:sz w:val="16"/>
                <w:szCs w:val="16"/>
                <w:lang w:val="es-ES_tradnl"/>
              </w:rPr>
            </w:pPr>
            <w:r w:rsidRPr="00C75C7E">
              <w:rPr>
                <w:sz w:val="16"/>
                <w:szCs w:val="16"/>
                <w:lang w:val="es-ES_tradnl" w:bidi="th-TH"/>
              </w:rPr>
              <w:t>0 (cero).</w:t>
            </w:r>
          </w:p>
        </w:tc>
        <w:tc>
          <w:tcPr>
            <w:tcW w:w="1072" w:type="pct"/>
            <w:shd w:val="clear" w:color="auto" w:fill="auto"/>
            <w:tcMar>
              <w:top w:w="110" w:type="dxa"/>
            </w:tcMar>
          </w:tcPr>
          <w:p w:rsidR="00A80F8D" w:rsidRPr="00C75C7E" w:rsidRDefault="00A80F8D" w:rsidP="00347DCE">
            <w:pPr>
              <w:keepNext/>
              <w:keepLines/>
              <w:widowControl w:val="0"/>
              <w:ind w:right="51"/>
              <w:rPr>
                <w:bCs/>
                <w:sz w:val="16"/>
                <w:szCs w:val="16"/>
                <w:lang w:val="es-ES_tradnl"/>
              </w:rPr>
            </w:pPr>
            <w:r w:rsidRPr="00C75C7E">
              <w:rPr>
                <w:bCs/>
                <w:sz w:val="16"/>
                <w:szCs w:val="16"/>
                <w:lang w:val="es-ES_tradnl"/>
              </w:rPr>
              <w:t>10</w:t>
            </w:r>
          </w:p>
        </w:tc>
      </w:tr>
    </w:tbl>
    <w:p w:rsidR="00A80F8D" w:rsidRPr="00C75C7E" w:rsidRDefault="00A80F8D" w:rsidP="00A80F8D">
      <w:pPr>
        <w:widowControl w:val="0"/>
        <w:tabs>
          <w:tab w:val="left" w:pos="567"/>
          <w:tab w:val="left" w:pos="1985"/>
        </w:tabs>
        <w:rPr>
          <w:bCs/>
          <w:sz w:val="20"/>
          <w:lang w:val="es-ES_tradnl"/>
        </w:rPr>
      </w:pPr>
    </w:p>
    <w:p w:rsidR="00A80F8D" w:rsidRDefault="00A80F8D" w:rsidP="00A80F8D">
      <w:pPr>
        <w:widowControl w:val="0"/>
        <w:jc w:val="both"/>
        <w:rPr>
          <w:sz w:val="20"/>
          <w:lang w:val="es-ES_tradnl" w:bidi="th-TH"/>
        </w:rPr>
      </w:pPr>
    </w:p>
    <w:p w:rsidR="00EA39DF" w:rsidRPr="00F039C2" w:rsidRDefault="00EA39DF" w:rsidP="00EA39DF">
      <w:pPr>
        <w:widowControl w:val="0"/>
        <w:autoSpaceDE w:val="0"/>
        <w:autoSpaceDN w:val="0"/>
        <w:adjustRightInd w:val="0"/>
        <w:jc w:val="both"/>
        <w:rPr>
          <w:szCs w:val="22"/>
        </w:rPr>
      </w:pPr>
      <w:r w:rsidRPr="00F039C2">
        <w:rPr>
          <w:szCs w:val="22"/>
        </w:rPr>
        <w:t>RECURSOS PARA EL PROGRAMA 15</w:t>
      </w:r>
    </w:p>
    <w:p w:rsidR="00EA39DF" w:rsidRPr="00F039C2" w:rsidRDefault="00EA39DF" w:rsidP="00EA39DF">
      <w:pPr>
        <w:widowControl w:val="0"/>
        <w:autoSpaceDE w:val="0"/>
        <w:autoSpaceDN w:val="0"/>
        <w:adjustRightInd w:val="0"/>
        <w:jc w:val="both"/>
        <w:rPr>
          <w:sz w:val="20"/>
        </w:rPr>
      </w:pPr>
    </w:p>
    <w:p w:rsidR="00EA39DF" w:rsidRDefault="00EA39DF" w:rsidP="00BA276E">
      <w:pPr>
        <w:widowControl w:val="0"/>
        <w:numPr>
          <w:ilvl w:val="0"/>
          <w:numId w:val="38"/>
        </w:numPr>
        <w:jc w:val="both"/>
        <w:rPr>
          <w:sz w:val="20"/>
        </w:rPr>
      </w:pPr>
      <w:r w:rsidRPr="00872D10">
        <w:rPr>
          <w:sz w:val="20"/>
        </w:rPr>
        <w:t>El aumento en los recursos para el resultado IV.4 (Mejora en la infraestructura técnica y de conocimientos) refleja:   i) la propuesta de redistribución interna de los recursos en consonancia con el modelo normalizado para la ejecución de proyectos y actividades orientados hacia el exterior que contribuyen a la meta estratégica IV, por la que los programas especializados toman la iniciativa en el marco empresarial y los programas relacionados con la infraestructura mundial asumen la</w:t>
      </w:r>
      <w:r w:rsidRPr="00F039C2">
        <w:rPr>
          <w:sz w:val="20"/>
        </w:rPr>
        <w:t xml:space="preserve"> responsabilidad del desarrollo y la ejecución de los componentes técnicos </w:t>
      </w:r>
      <w:r>
        <w:rPr>
          <w:sz w:val="20"/>
        </w:rPr>
        <w:t xml:space="preserve">conexos </w:t>
      </w:r>
      <w:r w:rsidRPr="00F039C2">
        <w:rPr>
          <w:sz w:val="20"/>
        </w:rPr>
        <w:t>de la TI;  y ii) un aumento de 2 millones de francos suizos (otros servicios contractuales) respecto de</w:t>
      </w:r>
      <w:r>
        <w:rPr>
          <w:sz w:val="20"/>
        </w:rPr>
        <w:t xml:space="preserve"> la concepción de plataformas informáticas </w:t>
      </w:r>
      <w:r w:rsidRPr="00D80577">
        <w:rPr>
          <w:sz w:val="20"/>
        </w:rPr>
        <w:t xml:space="preserve">para los organismos de gestión colectiva del derecho de autor </w:t>
      </w:r>
      <w:r>
        <w:rPr>
          <w:sz w:val="20"/>
        </w:rPr>
        <w:t>y la prestación de asistencia a tales plataformas</w:t>
      </w:r>
      <w:r w:rsidRPr="00F039C2">
        <w:rPr>
          <w:sz w:val="20"/>
        </w:rPr>
        <w:t>.</w:t>
      </w:r>
    </w:p>
    <w:p w:rsidR="00EA39DF" w:rsidRDefault="00EA39DF" w:rsidP="00A80F8D">
      <w:pPr>
        <w:widowControl w:val="0"/>
        <w:jc w:val="both"/>
        <w:rPr>
          <w:sz w:val="20"/>
          <w:lang w:bidi="th-TH"/>
        </w:rPr>
      </w:pPr>
    </w:p>
    <w:p w:rsidR="00EA39DF" w:rsidRPr="00EA39DF" w:rsidRDefault="00EA39DF" w:rsidP="00A80F8D">
      <w:pPr>
        <w:widowControl w:val="0"/>
        <w:jc w:val="both"/>
        <w:rPr>
          <w:sz w:val="20"/>
          <w:lang w:bidi="th-TH"/>
        </w:rPr>
      </w:pPr>
    </w:p>
    <w:p w:rsidR="00A80F8D" w:rsidRPr="00C75C7E" w:rsidRDefault="00347DCE" w:rsidP="00A80F8D">
      <w:pPr>
        <w:widowControl w:val="0"/>
        <w:autoSpaceDE w:val="0"/>
        <w:autoSpaceDN w:val="0"/>
        <w:adjustRightInd w:val="0"/>
        <w:jc w:val="center"/>
        <w:rPr>
          <w:b/>
          <w:bCs/>
          <w:iCs/>
          <w:sz w:val="20"/>
          <w:lang w:val="es-ES_tradnl"/>
        </w:rPr>
      </w:pPr>
      <w:r>
        <w:rPr>
          <w:b/>
          <w:bCs/>
          <w:iCs/>
          <w:sz w:val="20"/>
          <w:lang w:val="es-ES_tradnl"/>
        </w:rPr>
        <w:t>Programa 15</w:t>
      </w:r>
      <w:proofErr w:type="gramStart"/>
      <w:r>
        <w:rPr>
          <w:b/>
          <w:bCs/>
          <w:iCs/>
          <w:sz w:val="20"/>
          <w:lang w:val="es-ES_tradnl"/>
        </w:rPr>
        <w:t xml:space="preserve">:  </w:t>
      </w:r>
      <w:r w:rsidR="00A80F8D" w:rsidRPr="00C75C7E">
        <w:rPr>
          <w:b/>
          <w:bCs/>
          <w:iCs/>
          <w:sz w:val="20"/>
          <w:lang w:val="es-ES_tradnl"/>
        </w:rPr>
        <w:t>Recursos</w:t>
      </w:r>
      <w:proofErr w:type="gramEnd"/>
      <w:r w:rsidR="00A80F8D" w:rsidRPr="00C75C7E">
        <w:rPr>
          <w:b/>
          <w:bCs/>
          <w:iCs/>
          <w:sz w:val="20"/>
          <w:lang w:val="es-ES_tradnl"/>
        </w:rPr>
        <w:t xml:space="preserve"> por resultado</w:t>
      </w:r>
    </w:p>
    <w:p w:rsidR="00A80F8D" w:rsidRPr="00C75C7E" w:rsidRDefault="00A80F8D" w:rsidP="00A80F8D">
      <w:pPr>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A80F8D" w:rsidRPr="00C75C7E" w:rsidRDefault="00A80F8D" w:rsidP="00A80F8D">
      <w:pPr>
        <w:widowControl w:val="0"/>
        <w:autoSpaceDE w:val="0"/>
        <w:autoSpaceDN w:val="0"/>
        <w:adjustRightInd w:val="0"/>
        <w:rPr>
          <w:sz w:val="20"/>
          <w:lang w:val="es-ES_tradnl"/>
        </w:rPr>
      </w:pPr>
    </w:p>
    <w:p w:rsidR="00A80F8D" w:rsidRPr="00C75C7E" w:rsidRDefault="006658E1" w:rsidP="00A80F8D">
      <w:pPr>
        <w:widowControl w:val="0"/>
        <w:autoSpaceDE w:val="0"/>
        <w:autoSpaceDN w:val="0"/>
        <w:adjustRightInd w:val="0"/>
        <w:jc w:val="center"/>
        <w:rPr>
          <w:sz w:val="20"/>
          <w:lang w:val="es-ES_tradnl"/>
        </w:rPr>
      </w:pPr>
      <w:r w:rsidRPr="006658E1">
        <w:rPr>
          <w:noProof/>
          <w:lang w:val="en-US" w:eastAsia="en-US"/>
        </w:rPr>
        <w:drawing>
          <wp:inline distT="0" distB="0" distL="0" distR="0" wp14:anchorId="0F10ADD3" wp14:editId="0DE92031">
            <wp:extent cx="5762625" cy="1350645"/>
            <wp:effectExtent l="0" t="0" r="9525" b="1905"/>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62625" cy="1350645"/>
                    </a:xfrm>
                    <a:prstGeom prst="rect">
                      <a:avLst/>
                    </a:prstGeom>
                    <a:noFill/>
                    <a:ln>
                      <a:noFill/>
                    </a:ln>
                  </pic:spPr>
                </pic:pic>
              </a:graphicData>
            </a:graphic>
          </wp:inline>
        </w:drawing>
      </w:r>
    </w:p>
    <w:p w:rsidR="00A80F8D" w:rsidRPr="00C75C7E" w:rsidRDefault="00A80F8D" w:rsidP="00A80F8D">
      <w:pPr>
        <w:widowControl w:val="0"/>
        <w:autoSpaceDE w:val="0"/>
        <w:autoSpaceDN w:val="0"/>
        <w:adjustRightInd w:val="0"/>
        <w:rPr>
          <w:sz w:val="20"/>
          <w:lang w:val="es-ES_tradnl"/>
        </w:rPr>
      </w:pPr>
    </w:p>
    <w:p w:rsidR="00A80F8D" w:rsidRPr="00C75C7E" w:rsidRDefault="00A80F8D" w:rsidP="00A80F8D">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w:t>
      </w:r>
      <w:r>
        <w:rPr>
          <w:sz w:val="16"/>
          <w:szCs w:val="16"/>
          <w:lang w:val="es-ES_tradnl"/>
        </w:rPr>
        <w:t xml:space="preserve"> </w:t>
      </w:r>
      <w:r w:rsidRPr="00C75C7E">
        <w:rPr>
          <w:sz w:val="16"/>
          <w:szCs w:val="16"/>
          <w:lang w:val="es-ES_tradnl"/>
        </w:rPr>
        <w:t xml:space="preserve"> 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A80F8D" w:rsidRPr="00C75C7E" w:rsidRDefault="00A80F8D" w:rsidP="00A80F8D">
      <w:pPr>
        <w:widowControl w:val="0"/>
        <w:autoSpaceDE w:val="0"/>
        <w:autoSpaceDN w:val="0"/>
        <w:adjustRightInd w:val="0"/>
        <w:rPr>
          <w:sz w:val="20"/>
          <w:lang w:val="es-ES_tradnl"/>
        </w:rPr>
      </w:pPr>
    </w:p>
    <w:p w:rsidR="00A80F8D" w:rsidRPr="00C75C7E" w:rsidRDefault="00A80F8D" w:rsidP="00A80F8D">
      <w:pPr>
        <w:widowControl w:val="0"/>
        <w:autoSpaceDE w:val="0"/>
        <w:autoSpaceDN w:val="0"/>
        <w:adjustRightInd w:val="0"/>
        <w:rPr>
          <w:sz w:val="20"/>
          <w:lang w:val="es-ES_tradnl"/>
        </w:rPr>
      </w:pPr>
    </w:p>
    <w:p w:rsidR="00A80F8D" w:rsidRPr="00C75C7E" w:rsidRDefault="006D7DA6" w:rsidP="00EA39DF">
      <w:pPr>
        <w:keepNext/>
        <w:widowControl w:val="0"/>
        <w:autoSpaceDE w:val="0"/>
        <w:autoSpaceDN w:val="0"/>
        <w:adjustRightInd w:val="0"/>
        <w:ind w:firstLine="567"/>
        <w:jc w:val="center"/>
        <w:rPr>
          <w:b/>
          <w:bCs/>
          <w:iCs/>
          <w:sz w:val="20"/>
          <w:lang w:val="es-ES_tradnl"/>
        </w:rPr>
      </w:pPr>
      <w:r>
        <w:rPr>
          <w:b/>
          <w:bCs/>
          <w:iCs/>
          <w:sz w:val="20"/>
          <w:lang w:val="es-ES_tradnl"/>
        </w:rPr>
        <w:lastRenderedPageBreak/>
        <w:t>Programa 15</w:t>
      </w:r>
      <w:proofErr w:type="gramStart"/>
      <w:r>
        <w:rPr>
          <w:b/>
          <w:bCs/>
          <w:iCs/>
          <w:sz w:val="20"/>
          <w:lang w:val="es-ES_tradnl"/>
        </w:rPr>
        <w:t xml:space="preserve">:  </w:t>
      </w:r>
      <w:r w:rsidR="00A80F8D" w:rsidRPr="00C75C7E">
        <w:rPr>
          <w:b/>
          <w:bCs/>
          <w:iCs/>
          <w:sz w:val="20"/>
          <w:lang w:val="es-ES_tradnl"/>
        </w:rPr>
        <w:t>Recursos</w:t>
      </w:r>
      <w:proofErr w:type="gramEnd"/>
      <w:r w:rsidR="00A80F8D" w:rsidRPr="00C75C7E">
        <w:rPr>
          <w:b/>
          <w:bCs/>
          <w:iCs/>
          <w:sz w:val="20"/>
          <w:lang w:val="es-ES_tradnl"/>
        </w:rPr>
        <w:t xml:space="preserve"> por objeto de gasto</w:t>
      </w:r>
    </w:p>
    <w:p w:rsidR="00A80F8D" w:rsidRDefault="00A80F8D" w:rsidP="00EA39DF">
      <w:pPr>
        <w:keepNext/>
        <w:widowControl w:val="0"/>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1E5683" w:rsidRDefault="001E5683" w:rsidP="00EA39DF">
      <w:pPr>
        <w:keepNext/>
        <w:widowControl w:val="0"/>
        <w:autoSpaceDE w:val="0"/>
        <w:autoSpaceDN w:val="0"/>
        <w:adjustRightInd w:val="0"/>
        <w:ind w:firstLine="567"/>
        <w:jc w:val="center"/>
        <w:rPr>
          <w:bCs/>
          <w:i/>
          <w:sz w:val="20"/>
          <w:lang w:val="es-ES_tradnl"/>
        </w:rPr>
      </w:pPr>
    </w:p>
    <w:p w:rsidR="001E5683" w:rsidRPr="00C75C7E" w:rsidRDefault="000826CC" w:rsidP="006D7DA6">
      <w:pPr>
        <w:keepNext/>
        <w:widowControl w:val="0"/>
        <w:autoSpaceDE w:val="0"/>
        <w:autoSpaceDN w:val="0"/>
        <w:adjustRightInd w:val="0"/>
        <w:jc w:val="center"/>
        <w:rPr>
          <w:bCs/>
          <w:i/>
          <w:sz w:val="20"/>
          <w:lang w:val="es-ES_tradnl"/>
        </w:rPr>
      </w:pPr>
      <w:r w:rsidRPr="000826CC">
        <w:rPr>
          <w:noProof/>
          <w:lang w:val="en-US" w:eastAsia="en-US"/>
        </w:rPr>
        <w:drawing>
          <wp:inline distT="0" distB="0" distL="0" distR="0" wp14:anchorId="4384B58B" wp14:editId="553562BF">
            <wp:extent cx="5940425" cy="5842786"/>
            <wp:effectExtent l="0" t="0" r="3175" b="571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40425" cy="5842786"/>
                    </a:xfrm>
                    <a:prstGeom prst="rect">
                      <a:avLst/>
                    </a:prstGeom>
                    <a:noFill/>
                    <a:ln>
                      <a:noFill/>
                    </a:ln>
                  </pic:spPr>
                </pic:pic>
              </a:graphicData>
            </a:graphic>
          </wp:inline>
        </w:drawing>
      </w:r>
    </w:p>
    <w:p w:rsidR="00A80F8D" w:rsidRPr="00C75C7E" w:rsidRDefault="00A80F8D" w:rsidP="00EA39DF">
      <w:pPr>
        <w:keepNext/>
        <w:widowControl w:val="0"/>
        <w:rPr>
          <w:sz w:val="20"/>
          <w:lang w:val="es-ES_tradnl"/>
        </w:rPr>
      </w:pPr>
    </w:p>
    <w:p w:rsidR="00A80F8D" w:rsidRPr="00C75C7E" w:rsidRDefault="00A80F8D" w:rsidP="00A80F8D">
      <w:pPr>
        <w:widowControl w:val="0"/>
        <w:rPr>
          <w:sz w:val="16"/>
          <w:szCs w:val="16"/>
          <w:lang w:val="es-ES_tradnl"/>
        </w:rPr>
      </w:pPr>
      <w:r w:rsidRPr="00C75C7E">
        <w:rPr>
          <w:sz w:val="16"/>
          <w:szCs w:val="16"/>
          <w:lang w:val="es-ES_tradnl"/>
        </w:rPr>
        <w:t>Notas:</w:t>
      </w:r>
    </w:p>
    <w:p w:rsidR="00A80F8D" w:rsidRPr="00C75C7E" w:rsidRDefault="00A80F8D" w:rsidP="00A80F8D">
      <w:pPr>
        <w:widowControl w:val="0"/>
        <w:rPr>
          <w:sz w:val="16"/>
          <w:szCs w:val="16"/>
          <w:u w:val="single"/>
          <w:lang w:val="es-ES_tradnl"/>
        </w:rPr>
      </w:pPr>
    </w:p>
    <w:p w:rsidR="00A80F8D" w:rsidRDefault="00583A1C" w:rsidP="00A80F8D">
      <w:pPr>
        <w:widowControl w:val="0"/>
        <w:tabs>
          <w:tab w:val="left" w:pos="567"/>
        </w:tabs>
        <w:rPr>
          <w:sz w:val="16"/>
          <w:szCs w:val="16"/>
          <w:lang w:val="es-ES_tradnl"/>
        </w:rPr>
      </w:pPr>
      <w:r>
        <w:rPr>
          <w:sz w:val="16"/>
          <w:szCs w:val="16"/>
          <w:lang w:val="es-ES_tradnl"/>
        </w:rPr>
        <w:t xml:space="preserve">1)  </w:t>
      </w:r>
      <w:r w:rsidR="00A80F8D" w:rsidRPr="00C75C7E">
        <w:rPr>
          <w:sz w:val="16"/>
          <w:szCs w:val="16"/>
          <w:lang w:val="es-ES_tradnl"/>
        </w:rPr>
        <w:t xml:space="preserve">El presupuesto aprobado de 2012/13 y el presupuesto de dicho bienio después de las transferencias se </w:t>
      </w:r>
      <w:proofErr w:type="spellStart"/>
      <w:r w:rsidR="00A80F8D" w:rsidRPr="00C75C7E">
        <w:rPr>
          <w:sz w:val="16"/>
          <w:szCs w:val="16"/>
          <w:lang w:val="es-ES_tradnl"/>
        </w:rPr>
        <w:t>reexpresan</w:t>
      </w:r>
      <w:proofErr w:type="spellEnd"/>
      <w:r w:rsidR="00A80F8D" w:rsidRPr="00C75C7E">
        <w:rPr>
          <w:sz w:val="16"/>
          <w:szCs w:val="16"/>
          <w:lang w:val="es-ES_tradnl"/>
        </w:rPr>
        <w:t xml:space="preserve"> sobre la base de la estructura de categorías de costos propuesta para 2014/15.</w:t>
      </w:r>
    </w:p>
    <w:p w:rsidR="00A80F8D" w:rsidRPr="00C75C7E" w:rsidRDefault="00A80F8D" w:rsidP="00A80F8D">
      <w:pPr>
        <w:widowControl w:val="0"/>
        <w:tabs>
          <w:tab w:val="left" w:pos="567"/>
        </w:tabs>
        <w:rPr>
          <w:sz w:val="16"/>
          <w:szCs w:val="16"/>
          <w:lang w:val="es-ES_tradnl"/>
        </w:rPr>
      </w:pPr>
    </w:p>
    <w:p w:rsidR="00A80F8D" w:rsidRDefault="00A80F8D" w:rsidP="00A80F8D">
      <w:pPr>
        <w:widowControl w:val="0"/>
        <w:tabs>
          <w:tab w:val="left" w:pos="567"/>
        </w:tabs>
        <w:rPr>
          <w:rFonts w:cs="ArialMT"/>
          <w:sz w:val="16"/>
          <w:szCs w:val="16"/>
          <w:lang w:val="es-ES_tradnl"/>
        </w:rPr>
      </w:pPr>
      <w:r>
        <w:rPr>
          <w:sz w:val="16"/>
          <w:szCs w:val="16"/>
          <w:lang w:val="es-ES_tradnl"/>
        </w:rPr>
        <w:t>2)</w:t>
      </w:r>
      <w:r w:rsidR="00583A1C">
        <w:rPr>
          <w:sz w:val="16"/>
          <w:szCs w:val="16"/>
          <w:lang w:val="es-ES_tradnl"/>
        </w:rPr>
        <w:t xml:space="preserve">  </w:t>
      </w:r>
      <w:r w:rsidRPr="00C75C7E">
        <w:rPr>
          <w:sz w:val="16"/>
          <w:szCs w:val="16"/>
          <w:lang w:val="es-ES_tradnl"/>
        </w:rPr>
        <w:t>El presupuesto después de las transferencias refleja el presupuesto de los programas ajustado tra</w:t>
      </w:r>
      <w:r w:rsidR="00D86F03">
        <w:rPr>
          <w:sz w:val="16"/>
          <w:szCs w:val="16"/>
          <w:lang w:val="es-ES_tradnl"/>
        </w:rPr>
        <w:t xml:space="preserve">s las transferencias efectuadas </w:t>
      </w:r>
      <w:r w:rsidRPr="00C75C7E">
        <w:rPr>
          <w:sz w:val="16"/>
          <w:szCs w:val="16"/>
          <w:lang w:val="es-ES_tradnl"/>
        </w:rPr>
        <w:t>en 2012/13 en virtud del artículo 5.5 del Reglamento Financiero. Para más info</w:t>
      </w:r>
      <w:r w:rsidR="00D86F03">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w:t>
      </w:r>
      <w:r w:rsidRPr="006569D5">
        <w:rPr>
          <w:sz w:val="16"/>
          <w:szCs w:val="16"/>
          <w:lang w:val="es-ES_tradnl"/>
        </w:rPr>
        <w:t>marzo</w:t>
      </w:r>
      <w:r w:rsidRPr="00C75C7E">
        <w:rPr>
          <w:rFonts w:cs="ArialMT"/>
          <w:sz w:val="16"/>
          <w:szCs w:val="16"/>
          <w:lang w:val="es-ES_tradnl"/>
        </w:rPr>
        <w:t xml:space="preserve"> de 2013 y los importes presupuestados para los nueve meses restantes de 2013, sobre la base de costos estándar.</w:t>
      </w:r>
    </w:p>
    <w:p w:rsidR="00A80F8D" w:rsidRPr="00C75C7E" w:rsidRDefault="00A80F8D" w:rsidP="00A80F8D">
      <w:pPr>
        <w:widowControl w:val="0"/>
        <w:tabs>
          <w:tab w:val="left" w:pos="567"/>
        </w:tabs>
        <w:rPr>
          <w:sz w:val="16"/>
          <w:szCs w:val="16"/>
          <w:lang w:val="es-ES_tradnl"/>
        </w:rPr>
      </w:pPr>
    </w:p>
    <w:p w:rsidR="00A80F8D" w:rsidRDefault="00A80F8D" w:rsidP="00A80F8D">
      <w:pPr>
        <w:rPr>
          <w:sz w:val="16"/>
          <w:szCs w:val="16"/>
          <w:lang w:val="es-ES_tradnl"/>
        </w:rPr>
      </w:pPr>
      <w:r>
        <w:rPr>
          <w:sz w:val="16"/>
          <w:szCs w:val="16"/>
          <w:lang w:val="es-ES_tradnl"/>
        </w:rPr>
        <w:t>3)</w:t>
      </w:r>
      <w:r w:rsidR="00583A1C">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6D7DA6" w:rsidRDefault="006D7DA6" w:rsidP="00A80F8D">
      <w:pPr>
        <w:rPr>
          <w:sz w:val="16"/>
          <w:szCs w:val="16"/>
          <w:lang w:val="es-ES_tradnl"/>
        </w:rPr>
      </w:pPr>
    </w:p>
    <w:p w:rsidR="00DC4C0C" w:rsidRDefault="00DC4C0C" w:rsidP="00A80F8D">
      <w:pPr>
        <w:rPr>
          <w:sz w:val="16"/>
          <w:szCs w:val="16"/>
          <w:lang w:val="es-ES_tradnl"/>
        </w:rPr>
      </w:pPr>
    </w:p>
    <w:p w:rsidR="00733D42" w:rsidRDefault="00733D42">
      <w:pPr>
        <w:rPr>
          <w:sz w:val="16"/>
          <w:szCs w:val="16"/>
          <w:lang w:val="es-ES_tradnl"/>
        </w:rPr>
      </w:pPr>
      <w:r>
        <w:rPr>
          <w:sz w:val="16"/>
          <w:szCs w:val="16"/>
          <w:lang w:val="es-ES_tradnl"/>
        </w:rPr>
        <w:br w:type="page"/>
      </w:r>
    </w:p>
    <w:p w:rsidR="00DC4C0C" w:rsidRDefault="00DC4C0C" w:rsidP="00A80F8D">
      <w:pPr>
        <w:rPr>
          <w:sz w:val="16"/>
          <w:szCs w:val="16"/>
          <w:lang w:val="es-ES_tradnl"/>
        </w:rPr>
      </w:pPr>
    </w:p>
    <w:p w:rsidR="00733D42" w:rsidRDefault="00733D42" w:rsidP="00A80F8D">
      <w:pPr>
        <w:rPr>
          <w:sz w:val="16"/>
          <w:szCs w:val="16"/>
          <w:lang w:val="es-ES_tradnl"/>
        </w:rPr>
        <w:sectPr w:rsidR="00733D42" w:rsidSect="00FF362A">
          <w:headerReference w:type="even" r:id="rId92"/>
          <w:headerReference w:type="default" r:id="rId93"/>
          <w:headerReference w:type="first" r:id="rId94"/>
          <w:pgSz w:w="11907" w:h="16840" w:code="9"/>
          <w:pgMar w:top="567" w:right="1134" w:bottom="1418" w:left="1418" w:header="510" w:footer="1021" w:gutter="0"/>
          <w:cols w:space="720"/>
          <w:titlePg/>
        </w:sectPr>
      </w:pPr>
    </w:p>
    <w:p w:rsidR="006D7DA6" w:rsidRDefault="00DC4C0C" w:rsidP="00C2064F">
      <w:pPr>
        <w:pStyle w:val="Heading2"/>
        <w:jc w:val="center"/>
        <w:rPr>
          <w:b/>
          <w:caps w:val="0"/>
          <w:sz w:val="24"/>
          <w:szCs w:val="24"/>
          <w:lang w:val="es-ES_tradnl" w:eastAsia="da-DK"/>
        </w:rPr>
      </w:pPr>
      <w:bookmarkStart w:id="61" w:name="_Toc366078730"/>
      <w:bookmarkStart w:id="62" w:name="_Toc356567766"/>
      <w:r w:rsidRPr="00DC4C0C">
        <w:rPr>
          <w:b/>
          <w:caps w:val="0"/>
          <w:sz w:val="24"/>
          <w:szCs w:val="24"/>
          <w:lang w:val="es-ES_tradnl" w:eastAsia="da-DK"/>
        </w:rPr>
        <w:lastRenderedPageBreak/>
        <w:t>META ESTRATÉGICA V</w:t>
      </w:r>
      <w:bookmarkEnd w:id="61"/>
    </w:p>
    <w:p w:rsidR="00C2064F" w:rsidRPr="00DC4C0C" w:rsidRDefault="00DC4C0C" w:rsidP="00C2064F">
      <w:pPr>
        <w:pStyle w:val="Heading2"/>
        <w:jc w:val="center"/>
        <w:rPr>
          <w:b/>
          <w:caps w:val="0"/>
          <w:sz w:val="24"/>
          <w:szCs w:val="24"/>
          <w:lang w:val="es-ES_tradnl" w:eastAsia="da-DK"/>
        </w:rPr>
      </w:pPr>
      <w:bookmarkStart w:id="63" w:name="_Toc366078731"/>
      <w:r w:rsidRPr="00DC4C0C">
        <w:rPr>
          <w:b/>
          <w:caps w:val="0"/>
          <w:sz w:val="24"/>
          <w:szCs w:val="24"/>
          <w:lang w:val="es-ES_tradnl" w:eastAsia="da-DK"/>
        </w:rPr>
        <w:t>FUENTE DE REFERENCIA EN EL MUNDO</w:t>
      </w:r>
      <w:r w:rsidR="003B22A3">
        <w:rPr>
          <w:b/>
          <w:caps w:val="0"/>
          <w:sz w:val="24"/>
          <w:szCs w:val="24"/>
          <w:lang w:val="es-ES_tradnl" w:eastAsia="da-DK"/>
        </w:rPr>
        <w:t xml:space="preserve"> </w:t>
      </w:r>
      <w:r w:rsidRPr="00DC4C0C">
        <w:rPr>
          <w:b/>
          <w:caps w:val="0"/>
          <w:sz w:val="24"/>
          <w:szCs w:val="24"/>
          <w:lang w:val="es-ES_tradnl" w:eastAsia="da-DK"/>
        </w:rPr>
        <w:t xml:space="preserve">DE INFORMACIÓN </w:t>
      </w:r>
      <w:r w:rsidR="003B22A3">
        <w:rPr>
          <w:b/>
          <w:caps w:val="0"/>
          <w:sz w:val="24"/>
          <w:szCs w:val="24"/>
          <w:lang w:val="es-ES_tradnl" w:eastAsia="da-DK"/>
        </w:rPr>
        <w:br/>
      </w:r>
      <w:r w:rsidRPr="00DC4C0C">
        <w:rPr>
          <w:b/>
          <w:caps w:val="0"/>
          <w:sz w:val="24"/>
          <w:szCs w:val="24"/>
          <w:lang w:val="es-ES_tradnl" w:eastAsia="da-DK"/>
        </w:rPr>
        <w:t xml:space="preserve">Y ANÁLISIS </w:t>
      </w:r>
      <w:r w:rsidR="003B22A3">
        <w:rPr>
          <w:b/>
          <w:caps w:val="0"/>
          <w:sz w:val="24"/>
          <w:szCs w:val="24"/>
          <w:lang w:val="es-ES_tradnl" w:eastAsia="da-DK"/>
        </w:rPr>
        <w:t xml:space="preserve">EN MATERIA </w:t>
      </w:r>
      <w:r w:rsidRPr="00DC4C0C">
        <w:rPr>
          <w:b/>
          <w:caps w:val="0"/>
          <w:sz w:val="24"/>
          <w:szCs w:val="24"/>
          <w:lang w:val="es-ES_tradnl" w:eastAsia="da-DK"/>
        </w:rPr>
        <w:t>DE P.I.</w:t>
      </w:r>
      <w:bookmarkEnd w:id="62"/>
      <w:bookmarkEnd w:id="63"/>
    </w:p>
    <w:p w:rsidR="00C2064F" w:rsidRPr="00450C3A" w:rsidRDefault="00C2064F" w:rsidP="00C2064F">
      <w:pPr>
        <w:widowControl w:val="0"/>
        <w:tabs>
          <w:tab w:val="left" w:pos="1701"/>
        </w:tabs>
        <w:ind w:left="1701" w:hanging="1701"/>
        <w:jc w:val="center"/>
        <w:rPr>
          <w:rFonts w:eastAsia="Times New Roman"/>
          <w:bCs/>
          <w:caps/>
          <w:sz w:val="24"/>
          <w:szCs w:val="24"/>
          <w:lang w:eastAsia="en-US"/>
        </w:rPr>
      </w:pPr>
    </w:p>
    <w:p w:rsidR="00C2064F" w:rsidRPr="00450C3A" w:rsidRDefault="00C2064F" w:rsidP="00C2064F">
      <w:pPr>
        <w:widowControl w:val="0"/>
        <w:tabs>
          <w:tab w:val="left" w:pos="1701"/>
        </w:tabs>
        <w:ind w:left="1701" w:hanging="1701"/>
        <w:jc w:val="center"/>
        <w:rPr>
          <w:rFonts w:eastAsia="Times New Roman"/>
          <w:bCs/>
          <w:caps/>
          <w:sz w:val="24"/>
          <w:szCs w:val="24"/>
          <w:lang w:eastAsia="en-US"/>
        </w:rPr>
      </w:pPr>
    </w:p>
    <w:p w:rsidR="00C2064F" w:rsidRPr="00C2064F" w:rsidRDefault="00C2064F" w:rsidP="00C2064F">
      <w:pPr>
        <w:widowControl w:val="0"/>
        <w:jc w:val="both"/>
        <w:rPr>
          <w:rFonts w:eastAsia="Times New Roman"/>
          <w:sz w:val="20"/>
          <w:lang w:val="es-ES_tradnl" w:eastAsia="en-US"/>
        </w:rPr>
      </w:pPr>
      <w:r w:rsidRPr="00C2064F">
        <w:rPr>
          <w:rFonts w:eastAsia="Times New Roman"/>
          <w:sz w:val="20"/>
          <w:lang w:val="es-ES_tradnl" w:eastAsia="en-US"/>
        </w:rPr>
        <w:t>En la OMPI se crean y se mantienen destacadas colecciones de información sobre tecnología divulgada, datos sobre marcas</w:t>
      </w:r>
      <w:r w:rsidR="00776E90">
        <w:rPr>
          <w:rFonts w:eastAsia="Times New Roman"/>
          <w:sz w:val="20"/>
          <w:lang w:val="es-ES_tradnl" w:eastAsia="en-US"/>
        </w:rPr>
        <w:t xml:space="preserve"> (</w:t>
      </w:r>
      <w:proofErr w:type="spellStart"/>
      <w:r w:rsidR="00776E90" w:rsidRPr="00776E90">
        <w:rPr>
          <w:rFonts w:eastAsia="Times New Roman"/>
          <w:i/>
          <w:sz w:val="20"/>
          <w:lang w:val="es-ES_tradnl" w:eastAsia="en-US"/>
        </w:rPr>
        <w:t>brand</w:t>
      </w:r>
      <w:proofErr w:type="spellEnd"/>
      <w:r w:rsidR="00776E90">
        <w:rPr>
          <w:rFonts w:eastAsia="Times New Roman"/>
          <w:sz w:val="20"/>
          <w:lang w:val="es-ES_tradnl" w:eastAsia="en-US"/>
        </w:rPr>
        <w:t>)</w:t>
      </w:r>
      <w:r w:rsidR="00FE4D55" w:rsidRPr="00FE4D55">
        <w:rPr>
          <w:rStyle w:val="FootnoteReference"/>
          <w:rFonts w:eastAsia="Times New Roman"/>
          <w:sz w:val="20"/>
          <w:lang w:val="es-ES_tradnl" w:eastAsia="en-US"/>
        </w:rPr>
        <w:footnoteReference w:customMarkFollows="1" w:id="13"/>
        <w:sym w:font="Symbol" w:char="F02A"/>
      </w:r>
      <w:r w:rsidRPr="00C2064F">
        <w:rPr>
          <w:rFonts w:eastAsia="Times New Roman"/>
          <w:sz w:val="20"/>
          <w:lang w:val="es-ES_tradnl" w:eastAsia="en-US"/>
        </w:rPr>
        <w:t xml:space="preserve"> e información técnica y jurídica del ámbito de la P.I.  Esas colecciones reflejan lo que sucede en sectores importantes de la economía y en el sistema de P.I.;  su valor es inmenso para los encargados de la adopción de políticas, el sector industrial, las empresas y otros usuarios del sistema de P.I., además del público interesado.  Ese valor ha sido reconocido también por la Agenda para el Desarrollo (A.D.), en cuyo marco se insta a la OMPI a que produzca análisis y estudios económicos de base empírica.  </w:t>
      </w:r>
    </w:p>
    <w:p w:rsidR="00C2064F" w:rsidRPr="00C2064F" w:rsidRDefault="00C2064F" w:rsidP="00C2064F">
      <w:pPr>
        <w:widowControl w:val="0"/>
        <w:autoSpaceDE w:val="0"/>
        <w:autoSpaceDN w:val="0"/>
        <w:adjustRightInd w:val="0"/>
        <w:spacing w:before="120"/>
        <w:jc w:val="both"/>
        <w:rPr>
          <w:rFonts w:eastAsia="Times New Roman"/>
          <w:sz w:val="20"/>
          <w:lang w:val="es-ES_tradnl" w:eastAsia="en-US"/>
        </w:rPr>
      </w:pPr>
      <w:r w:rsidRPr="00C2064F">
        <w:rPr>
          <w:rFonts w:eastAsia="Times New Roman"/>
          <w:sz w:val="20"/>
          <w:lang w:val="es-ES_tradnl" w:eastAsia="en-US"/>
        </w:rPr>
        <w:t>Sin embargo, el valor referencial de las colecciones de datos de la OMPI depende de que esas colecciones sean exactas, estén actualizadas y respondan a las necesidades de los sectores interesados, además de ser de acceso libre y universal.  La OMPI se encuentra en una posición de privilegio para servir de anfitrión de las colecciones de información sobre P.I. más vastas y valiosas del mundo y crear un portal de acceso a ellas.  En el marco de esta meta estratégica, la OMPI procurará aprovechar el potencial que le da esa posición de privilegio.</w:t>
      </w:r>
    </w:p>
    <w:p w:rsidR="003E638B" w:rsidRPr="00C2064F" w:rsidRDefault="003E638B" w:rsidP="003E638B">
      <w:pPr>
        <w:tabs>
          <w:tab w:val="left" w:pos="1701"/>
        </w:tabs>
        <w:ind w:left="1701" w:hanging="1701"/>
        <w:rPr>
          <w:b/>
          <w:bCs/>
          <w:caps/>
          <w:sz w:val="20"/>
          <w:lang w:val="es-ES_tradnl"/>
        </w:rPr>
      </w:pPr>
    </w:p>
    <w:p w:rsidR="00602A7C" w:rsidRPr="00C2064F" w:rsidRDefault="00602A7C" w:rsidP="00A80F8D">
      <w:pPr>
        <w:rPr>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5"/>
        <w:gridCol w:w="3148"/>
        <w:gridCol w:w="2630"/>
      </w:tblGrid>
      <w:tr w:rsidR="003E638B" w:rsidRPr="00C75C7E" w:rsidTr="009B068C">
        <w:trPr>
          <w:cantSplit/>
          <w:trHeight w:val="338"/>
        </w:trPr>
        <w:tc>
          <w:tcPr>
            <w:tcW w:w="1891" w:type="pct"/>
            <w:tcBorders>
              <w:top w:val="single" w:sz="4" w:space="0" w:color="auto"/>
              <w:bottom w:val="single" w:sz="4" w:space="0" w:color="auto"/>
            </w:tcBorders>
            <w:shd w:val="clear" w:color="auto" w:fill="CCFFFF"/>
            <w:tcMar>
              <w:top w:w="113" w:type="dxa"/>
              <w:bottom w:w="85" w:type="dxa"/>
            </w:tcMar>
            <w:vAlign w:val="center"/>
          </w:tcPr>
          <w:p w:rsidR="003E638B" w:rsidRPr="00C75C7E" w:rsidRDefault="003E638B"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1694" w:type="pct"/>
            <w:tcBorders>
              <w:top w:val="single" w:sz="4" w:space="0" w:color="auto"/>
              <w:bottom w:val="single" w:sz="4" w:space="0" w:color="auto"/>
            </w:tcBorders>
            <w:shd w:val="clear" w:color="auto" w:fill="CCFFFF"/>
            <w:tcMar>
              <w:top w:w="113" w:type="dxa"/>
              <w:bottom w:w="85" w:type="dxa"/>
            </w:tcMar>
            <w:vAlign w:val="center"/>
          </w:tcPr>
          <w:p w:rsidR="003E638B" w:rsidRPr="00C75C7E" w:rsidRDefault="003E638B" w:rsidP="008F4F69">
            <w:pPr>
              <w:widowControl w:val="0"/>
              <w:spacing w:after="120"/>
              <w:jc w:val="center"/>
              <w:rPr>
                <w:b/>
                <w:bCs/>
                <w:sz w:val="18"/>
                <w:szCs w:val="18"/>
                <w:lang w:val="es-ES_tradnl"/>
              </w:rPr>
            </w:pPr>
            <w:r w:rsidRPr="00C75C7E">
              <w:rPr>
                <w:b/>
                <w:bCs/>
                <w:sz w:val="18"/>
                <w:szCs w:val="18"/>
                <w:lang w:val="es-ES_tradnl"/>
              </w:rPr>
              <w:t>Indicadores de rendimiento</w:t>
            </w:r>
          </w:p>
        </w:tc>
        <w:tc>
          <w:tcPr>
            <w:tcW w:w="1415" w:type="pct"/>
            <w:tcBorders>
              <w:top w:val="single" w:sz="4" w:space="0" w:color="auto"/>
              <w:bottom w:val="single" w:sz="4" w:space="0" w:color="auto"/>
            </w:tcBorders>
            <w:shd w:val="clear" w:color="auto" w:fill="CCFFFF"/>
            <w:tcMar>
              <w:top w:w="113" w:type="dxa"/>
              <w:bottom w:w="85" w:type="dxa"/>
            </w:tcMar>
            <w:vAlign w:val="center"/>
          </w:tcPr>
          <w:p w:rsidR="003E638B" w:rsidRPr="00C75C7E" w:rsidRDefault="003E638B" w:rsidP="008F4F69">
            <w:pPr>
              <w:widowControl w:val="0"/>
              <w:spacing w:after="120"/>
              <w:ind w:left="85"/>
              <w:jc w:val="center"/>
              <w:rPr>
                <w:b/>
                <w:bCs/>
                <w:sz w:val="18"/>
                <w:szCs w:val="18"/>
                <w:lang w:val="es-ES_tradnl"/>
              </w:rPr>
            </w:pPr>
            <w:r w:rsidRPr="00C75C7E">
              <w:rPr>
                <w:b/>
                <w:bCs/>
                <w:sz w:val="18"/>
                <w:szCs w:val="18"/>
                <w:lang w:val="es-ES_tradnl"/>
              </w:rPr>
              <w:t>Programas responsables</w:t>
            </w:r>
          </w:p>
        </w:tc>
      </w:tr>
      <w:tr w:rsidR="003E638B" w:rsidRPr="00C75C7E" w:rsidTr="009B068C">
        <w:trPr>
          <w:cantSplit/>
        </w:trPr>
        <w:tc>
          <w:tcPr>
            <w:tcW w:w="1891" w:type="pct"/>
            <w:tcBorders>
              <w:top w:val="single" w:sz="4" w:space="0" w:color="auto"/>
            </w:tcBorders>
            <w:shd w:val="clear" w:color="auto" w:fill="auto"/>
            <w:tcMar>
              <w:top w:w="113" w:type="dxa"/>
              <w:bottom w:w="85" w:type="dxa"/>
            </w:tcMar>
          </w:tcPr>
          <w:p w:rsidR="003E638B" w:rsidRPr="00C75C7E" w:rsidRDefault="003E638B" w:rsidP="008F4F69">
            <w:pPr>
              <w:widowControl w:val="0"/>
              <w:rPr>
                <w:sz w:val="16"/>
                <w:szCs w:val="16"/>
                <w:lang w:val="es-ES_tradnl"/>
              </w:rPr>
            </w:pPr>
            <w:r w:rsidRPr="00C75C7E">
              <w:rPr>
                <w:sz w:val="16"/>
                <w:szCs w:val="16"/>
                <w:lang w:val="es-ES_tradnl"/>
              </w:rPr>
              <w:t>V.1. Ampliación y mejora del uso de la información estadística de la OMPI en materia de P.I.</w:t>
            </w:r>
          </w:p>
        </w:tc>
        <w:tc>
          <w:tcPr>
            <w:tcW w:w="1694" w:type="pct"/>
            <w:tcBorders>
              <w:top w:val="single" w:sz="4" w:space="0" w:color="auto"/>
            </w:tcBorders>
            <w:shd w:val="clear" w:color="auto" w:fill="auto"/>
            <w:tcMar>
              <w:top w:w="113" w:type="dxa"/>
              <w:bottom w:w="85" w:type="dxa"/>
            </w:tcMar>
          </w:tcPr>
          <w:p w:rsidR="003E638B" w:rsidRPr="00C75C7E" w:rsidRDefault="003E638B" w:rsidP="008F4F69">
            <w:pPr>
              <w:widowControl w:val="0"/>
              <w:rPr>
                <w:sz w:val="16"/>
                <w:szCs w:val="16"/>
                <w:lang w:val="es-ES_tradnl"/>
              </w:rPr>
            </w:pPr>
            <w:r w:rsidRPr="00C75C7E">
              <w:rPr>
                <w:sz w:val="16"/>
                <w:szCs w:val="16"/>
                <w:lang w:val="es-ES_tradnl"/>
              </w:rPr>
              <w:t>Número de descargas de los cuatro principales informes estadísticos (Indicadores mundiales de propiedad intelectual, reseñas anuales del PCT, La Haya y Madrid).</w:t>
            </w:r>
          </w:p>
        </w:tc>
        <w:tc>
          <w:tcPr>
            <w:tcW w:w="1415" w:type="pct"/>
            <w:tcBorders>
              <w:top w:val="single" w:sz="4" w:space="0" w:color="auto"/>
            </w:tcBorders>
            <w:shd w:val="clear" w:color="auto" w:fill="FFFFFF"/>
            <w:tcMar>
              <w:top w:w="113" w:type="dxa"/>
              <w:bottom w:w="85" w:type="dxa"/>
            </w:tcMar>
          </w:tcPr>
          <w:p w:rsidR="003E638B" w:rsidRPr="00C75C7E" w:rsidRDefault="003E638B" w:rsidP="008F4F69">
            <w:pPr>
              <w:widowControl w:val="0"/>
              <w:ind w:left="768"/>
              <w:rPr>
                <w:sz w:val="16"/>
                <w:szCs w:val="16"/>
                <w:lang w:val="es-ES_tradnl"/>
              </w:rPr>
            </w:pPr>
            <w:r w:rsidRPr="00C75C7E">
              <w:rPr>
                <w:sz w:val="16"/>
                <w:szCs w:val="16"/>
                <w:lang w:val="es-ES_tradnl" w:bidi="th-TH"/>
              </w:rPr>
              <w:t>Programa  16</w:t>
            </w:r>
          </w:p>
        </w:tc>
      </w:tr>
      <w:tr w:rsidR="003E638B" w:rsidRPr="00C75C7E" w:rsidTr="009B068C">
        <w:trPr>
          <w:cantSplit/>
          <w:trHeight w:val="500"/>
        </w:trPr>
        <w:tc>
          <w:tcPr>
            <w:tcW w:w="1891" w:type="pct"/>
            <w:shd w:val="clear" w:color="auto" w:fill="auto"/>
            <w:tcMar>
              <w:top w:w="113" w:type="dxa"/>
              <w:bottom w:w="85" w:type="dxa"/>
            </w:tcMar>
          </w:tcPr>
          <w:p w:rsidR="003E638B" w:rsidRPr="00C75C7E" w:rsidRDefault="003E638B" w:rsidP="008F4F69">
            <w:pPr>
              <w:widowControl w:val="0"/>
              <w:rPr>
                <w:sz w:val="16"/>
                <w:szCs w:val="16"/>
                <w:lang w:val="es-ES_tradnl"/>
              </w:rPr>
            </w:pPr>
          </w:p>
        </w:tc>
        <w:tc>
          <w:tcPr>
            <w:tcW w:w="1694" w:type="pct"/>
            <w:shd w:val="clear" w:color="auto" w:fill="auto"/>
            <w:tcMar>
              <w:top w:w="113" w:type="dxa"/>
              <w:bottom w:w="85" w:type="dxa"/>
            </w:tcMar>
          </w:tcPr>
          <w:p w:rsidR="003E638B" w:rsidRPr="00C75C7E" w:rsidRDefault="003E638B" w:rsidP="008F4F69">
            <w:pPr>
              <w:widowControl w:val="0"/>
              <w:rPr>
                <w:sz w:val="16"/>
                <w:szCs w:val="16"/>
                <w:lang w:val="es-ES_tradnl"/>
              </w:rPr>
            </w:pPr>
            <w:r w:rsidRPr="00C75C7E">
              <w:rPr>
                <w:sz w:val="16"/>
                <w:szCs w:val="16"/>
                <w:lang w:val="es-ES_tradnl"/>
              </w:rPr>
              <w:t xml:space="preserve">Número de visitantes que utilizan el Centro de datos de estadísticas de P.I. </w:t>
            </w:r>
          </w:p>
        </w:tc>
        <w:tc>
          <w:tcPr>
            <w:tcW w:w="1415" w:type="pct"/>
            <w:shd w:val="clear" w:color="auto" w:fill="FFFFFF"/>
            <w:tcMar>
              <w:top w:w="113" w:type="dxa"/>
              <w:bottom w:w="85" w:type="dxa"/>
            </w:tcMar>
          </w:tcPr>
          <w:p w:rsidR="003E638B" w:rsidRPr="00C75C7E" w:rsidRDefault="003E638B" w:rsidP="008F4F69">
            <w:pPr>
              <w:widowControl w:val="0"/>
              <w:ind w:left="768"/>
              <w:rPr>
                <w:sz w:val="16"/>
                <w:szCs w:val="16"/>
                <w:lang w:val="es-ES_tradnl"/>
              </w:rPr>
            </w:pPr>
            <w:r w:rsidRPr="00C75C7E">
              <w:rPr>
                <w:sz w:val="16"/>
                <w:szCs w:val="16"/>
                <w:lang w:val="es-ES_tradnl" w:bidi="th-TH"/>
              </w:rPr>
              <w:t>Programa  16</w:t>
            </w:r>
          </w:p>
        </w:tc>
      </w:tr>
      <w:tr w:rsidR="003E638B" w:rsidRPr="00C75C7E" w:rsidTr="009B068C">
        <w:trPr>
          <w:cantSplit/>
          <w:trHeight w:val="507"/>
        </w:trPr>
        <w:tc>
          <w:tcPr>
            <w:tcW w:w="1891" w:type="pct"/>
            <w:shd w:val="clear" w:color="auto" w:fill="auto"/>
            <w:tcMar>
              <w:top w:w="113" w:type="dxa"/>
              <w:bottom w:w="85" w:type="dxa"/>
            </w:tcMar>
          </w:tcPr>
          <w:p w:rsidR="003E638B" w:rsidRPr="00C75C7E" w:rsidRDefault="003E638B" w:rsidP="008F4F69">
            <w:pPr>
              <w:widowControl w:val="0"/>
              <w:tabs>
                <w:tab w:val="right" w:pos="2835"/>
              </w:tabs>
              <w:spacing w:after="60"/>
              <w:rPr>
                <w:sz w:val="15"/>
                <w:szCs w:val="15"/>
                <w:lang w:val="es-ES_tradnl"/>
              </w:rPr>
            </w:pPr>
            <w:r w:rsidRPr="00C75C7E">
              <w:rPr>
                <w:sz w:val="16"/>
                <w:szCs w:val="16"/>
                <w:lang w:val="es-ES_tradnl"/>
              </w:rPr>
              <w:t>V.2. Ampliación y mejora del uso de los análisis económicos de la OMPI en la formulación de políticas.</w:t>
            </w:r>
            <w:r w:rsidRPr="00C75C7E">
              <w:rPr>
                <w:sz w:val="15"/>
                <w:szCs w:val="15"/>
                <w:lang w:val="es-ES_tradnl"/>
              </w:rPr>
              <w:t xml:space="preserve"> </w:t>
            </w:r>
          </w:p>
          <w:p w:rsidR="003E638B" w:rsidRPr="00C75C7E" w:rsidRDefault="003E638B" w:rsidP="008F4F69">
            <w:pPr>
              <w:widowControl w:val="0"/>
              <w:rPr>
                <w:sz w:val="16"/>
                <w:szCs w:val="16"/>
                <w:lang w:val="es-ES_tradnl"/>
              </w:rPr>
            </w:pPr>
          </w:p>
        </w:tc>
        <w:tc>
          <w:tcPr>
            <w:tcW w:w="1694" w:type="pct"/>
            <w:shd w:val="clear" w:color="auto" w:fill="auto"/>
            <w:tcMar>
              <w:top w:w="113" w:type="dxa"/>
              <w:bottom w:w="85" w:type="dxa"/>
            </w:tcMar>
          </w:tcPr>
          <w:p w:rsidR="003E638B" w:rsidRPr="00C75C7E" w:rsidRDefault="003E638B" w:rsidP="008F4F69">
            <w:pPr>
              <w:widowControl w:val="0"/>
              <w:rPr>
                <w:sz w:val="16"/>
                <w:szCs w:val="16"/>
                <w:lang w:val="es-ES_tradnl"/>
              </w:rPr>
            </w:pPr>
            <w:r w:rsidRPr="00C75C7E">
              <w:rPr>
                <w:sz w:val="16"/>
                <w:szCs w:val="16"/>
                <w:lang w:val="es-ES_tradnl"/>
              </w:rPr>
              <w:t>Uso de estudios económicos de la OMPI sobre derecho de autor en la toma de decisiones de gobiernos y ONG.</w:t>
            </w:r>
          </w:p>
        </w:tc>
        <w:tc>
          <w:tcPr>
            <w:tcW w:w="1415" w:type="pct"/>
            <w:shd w:val="clear" w:color="auto" w:fill="FFFFFF"/>
            <w:tcMar>
              <w:top w:w="113" w:type="dxa"/>
              <w:bottom w:w="85" w:type="dxa"/>
            </w:tcMar>
          </w:tcPr>
          <w:p w:rsidR="003E638B" w:rsidRPr="00C75C7E" w:rsidRDefault="003E638B" w:rsidP="008F4F69">
            <w:pPr>
              <w:widowControl w:val="0"/>
              <w:ind w:left="768"/>
              <w:rPr>
                <w:sz w:val="16"/>
                <w:szCs w:val="16"/>
                <w:lang w:val="es-ES_tradnl"/>
              </w:rPr>
            </w:pPr>
            <w:r w:rsidRPr="00C75C7E">
              <w:rPr>
                <w:sz w:val="16"/>
                <w:szCs w:val="16"/>
                <w:lang w:val="es-ES_tradnl" w:bidi="th-TH"/>
              </w:rPr>
              <w:t>Programa  3</w:t>
            </w:r>
          </w:p>
        </w:tc>
      </w:tr>
      <w:tr w:rsidR="003E638B" w:rsidRPr="00C75C7E" w:rsidTr="009B068C">
        <w:trPr>
          <w:cantSplit/>
          <w:trHeight w:val="842"/>
        </w:trPr>
        <w:tc>
          <w:tcPr>
            <w:tcW w:w="1891" w:type="pct"/>
            <w:shd w:val="clear" w:color="auto" w:fill="auto"/>
            <w:tcMar>
              <w:top w:w="113" w:type="dxa"/>
              <w:bottom w:w="85" w:type="dxa"/>
            </w:tcMar>
          </w:tcPr>
          <w:p w:rsidR="003E638B" w:rsidRPr="00C75C7E" w:rsidRDefault="003E638B" w:rsidP="008F4F69">
            <w:pPr>
              <w:widowControl w:val="0"/>
              <w:rPr>
                <w:sz w:val="16"/>
                <w:szCs w:val="16"/>
                <w:lang w:val="es-ES_tradnl"/>
              </w:rPr>
            </w:pPr>
          </w:p>
        </w:tc>
        <w:tc>
          <w:tcPr>
            <w:tcW w:w="1694" w:type="pct"/>
            <w:shd w:val="clear" w:color="auto" w:fill="auto"/>
            <w:tcMar>
              <w:top w:w="113" w:type="dxa"/>
              <w:bottom w:w="85" w:type="dxa"/>
            </w:tcMar>
          </w:tcPr>
          <w:p w:rsidR="003E638B" w:rsidRPr="00C75C7E" w:rsidRDefault="003E638B" w:rsidP="008F4F69">
            <w:pPr>
              <w:widowControl w:val="0"/>
              <w:rPr>
                <w:sz w:val="16"/>
                <w:szCs w:val="16"/>
                <w:lang w:val="es-ES_tradnl"/>
              </w:rPr>
            </w:pPr>
            <w:r w:rsidRPr="00C75C7E">
              <w:rPr>
                <w:sz w:val="16"/>
                <w:szCs w:val="16"/>
                <w:lang w:val="es-ES_tradnl"/>
              </w:rPr>
              <w:t>Iniciativas nacionales para elaborar nuevas estadísticas sobre las industrias creativas teniendo en cuenta la labor de la OMPI en ese ámbito.</w:t>
            </w:r>
          </w:p>
        </w:tc>
        <w:tc>
          <w:tcPr>
            <w:tcW w:w="1415" w:type="pct"/>
            <w:shd w:val="clear" w:color="auto" w:fill="FFFFFF"/>
            <w:tcMar>
              <w:top w:w="113" w:type="dxa"/>
              <w:bottom w:w="85" w:type="dxa"/>
            </w:tcMar>
          </w:tcPr>
          <w:p w:rsidR="003E638B" w:rsidRPr="00C75C7E" w:rsidRDefault="003E638B" w:rsidP="008F4F69">
            <w:pPr>
              <w:widowControl w:val="0"/>
              <w:ind w:left="768"/>
              <w:rPr>
                <w:sz w:val="16"/>
                <w:szCs w:val="16"/>
                <w:lang w:val="es-ES_tradnl"/>
              </w:rPr>
            </w:pPr>
            <w:r w:rsidRPr="00C75C7E">
              <w:rPr>
                <w:sz w:val="16"/>
                <w:szCs w:val="16"/>
                <w:lang w:val="es-ES_tradnl" w:bidi="th-TH"/>
              </w:rPr>
              <w:t>Programa  3</w:t>
            </w:r>
          </w:p>
        </w:tc>
      </w:tr>
      <w:tr w:rsidR="003E638B" w:rsidRPr="00C75C7E" w:rsidTr="009B068C">
        <w:trPr>
          <w:cantSplit/>
          <w:trHeight w:val="512"/>
        </w:trPr>
        <w:tc>
          <w:tcPr>
            <w:tcW w:w="1891" w:type="pct"/>
            <w:shd w:val="clear" w:color="auto" w:fill="auto"/>
            <w:tcMar>
              <w:top w:w="113" w:type="dxa"/>
              <w:bottom w:w="85" w:type="dxa"/>
            </w:tcMar>
          </w:tcPr>
          <w:p w:rsidR="003E638B" w:rsidRPr="00C75C7E" w:rsidRDefault="003E638B" w:rsidP="008F4F69">
            <w:pPr>
              <w:widowControl w:val="0"/>
              <w:rPr>
                <w:sz w:val="16"/>
                <w:szCs w:val="16"/>
                <w:lang w:val="es-ES_tradnl"/>
              </w:rPr>
            </w:pPr>
          </w:p>
        </w:tc>
        <w:tc>
          <w:tcPr>
            <w:tcW w:w="1694" w:type="pct"/>
            <w:shd w:val="clear" w:color="auto" w:fill="auto"/>
            <w:tcMar>
              <w:top w:w="113" w:type="dxa"/>
              <w:bottom w:w="85" w:type="dxa"/>
            </w:tcMar>
          </w:tcPr>
          <w:p w:rsidR="003E638B" w:rsidRPr="00C75C7E" w:rsidRDefault="003E638B" w:rsidP="008F4F69">
            <w:pPr>
              <w:widowControl w:val="0"/>
              <w:rPr>
                <w:sz w:val="16"/>
                <w:szCs w:val="16"/>
                <w:lang w:val="es-ES_tradnl"/>
              </w:rPr>
            </w:pPr>
            <w:r w:rsidRPr="00C75C7E">
              <w:rPr>
                <w:sz w:val="16"/>
                <w:szCs w:val="16"/>
                <w:lang w:val="es-ES_tradnl"/>
              </w:rPr>
              <w:t>Número de descargas de las principales publicaciones económicas.</w:t>
            </w:r>
          </w:p>
        </w:tc>
        <w:tc>
          <w:tcPr>
            <w:tcW w:w="1415" w:type="pct"/>
            <w:shd w:val="clear" w:color="auto" w:fill="FFFFFF"/>
            <w:tcMar>
              <w:top w:w="113" w:type="dxa"/>
              <w:bottom w:w="85" w:type="dxa"/>
            </w:tcMar>
          </w:tcPr>
          <w:p w:rsidR="003E638B" w:rsidRPr="00C75C7E" w:rsidRDefault="003E638B" w:rsidP="008F4F69">
            <w:pPr>
              <w:widowControl w:val="0"/>
              <w:ind w:left="768"/>
              <w:rPr>
                <w:sz w:val="16"/>
                <w:szCs w:val="16"/>
                <w:lang w:val="es-ES_tradnl" w:bidi="th-TH"/>
              </w:rPr>
            </w:pPr>
            <w:r w:rsidRPr="00C75C7E">
              <w:rPr>
                <w:sz w:val="16"/>
                <w:szCs w:val="16"/>
                <w:lang w:val="es-ES_tradnl" w:bidi="th-TH"/>
              </w:rPr>
              <w:t>Programa  16</w:t>
            </w:r>
          </w:p>
        </w:tc>
      </w:tr>
      <w:tr w:rsidR="003E638B" w:rsidRPr="00C75C7E" w:rsidTr="009B068C">
        <w:trPr>
          <w:cantSplit/>
          <w:trHeight w:val="532"/>
        </w:trPr>
        <w:tc>
          <w:tcPr>
            <w:tcW w:w="1891" w:type="pct"/>
            <w:shd w:val="clear" w:color="auto" w:fill="auto"/>
            <w:tcMar>
              <w:top w:w="113" w:type="dxa"/>
              <w:bottom w:w="85" w:type="dxa"/>
            </w:tcMar>
          </w:tcPr>
          <w:p w:rsidR="003E638B" w:rsidRPr="00C75C7E" w:rsidRDefault="003E638B" w:rsidP="008F4F69">
            <w:pPr>
              <w:widowControl w:val="0"/>
              <w:rPr>
                <w:sz w:val="16"/>
                <w:szCs w:val="16"/>
                <w:lang w:val="es-ES_tradnl"/>
              </w:rPr>
            </w:pPr>
          </w:p>
        </w:tc>
        <w:tc>
          <w:tcPr>
            <w:tcW w:w="1694" w:type="pct"/>
            <w:shd w:val="clear" w:color="auto" w:fill="auto"/>
            <w:tcMar>
              <w:top w:w="113" w:type="dxa"/>
              <w:bottom w:w="85" w:type="dxa"/>
            </w:tcMar>
          </w:tcPr>
          <w:p w:rsidR="003E638B" w:rsidRPr="00C75C7E" w:rsidRDefault="003E638B" w:rsidP="008F4F69">
            <w:pPr>
              <w:widowControl w:val="0"/>
              <w:rPr>
                <w:sz w:val="16"/>
                <w:szCs w:val="16"/>
                <w:lang w:val="es-ES_tradnl"/>
              </w:rPr>
            </w:pPr>
            <w:r w:rsidRPr="00C75C7E">
              <w:rPr>
                <w:sz w:val="16"/>
                <w:szCs w:val="16"/>
                <w:lang w:val="es-ES_tradnl"/>
              </w:rPr>
              <w:t>Número de descargas de estudios</w:t>
            </w:r>
          </w:p>
        </w:tc>
        <w:tc>
          <w:tcPr>
            <w:tcW w:w="1415" w:type="pct"/>
            <w:shd w:val="clear" w:color="auto" w:fill="FFFFFF"/>
            <w:tcMar>
              <w:top w:w="113" w:type="dxa"/>
              <w:bottom w:w="85" w:type="dxa"/>
            </w:tcMar>
          </w:tcPr>
          <w:p w:rsidR="003E638B" w:rsidRPr="00C75C7E" w:rsidRDefault="003E638B" w:rsidP="008F4F69">
            <w:pPr>
              <w:widowControl w:val="0"/>
              <w:ind w:left="768"/>
              <w:rPr>
                <w:sz w:val="16"/>
                <w:szCs w:val="16"/>
                <w:lang w:val="es-ES_tradnl" w:bidi="th-TH"/>
              </w:rPr>
            </w:pPr>
            <w:r w:rsidRPr="00C75C7E">
              <w:rPr>
                <w:sz w:val="16"/>
                <w:szCs w:val="16"/>
                <w:lang w:val="es-ES_tradnl" w:bidi="th-TH"/>
              </w:rPr>
              <w:t>Programa  16</w:t>
            </w:r>
          </w:p>
        </w:tc>
      </w:tr>
      <w:tr w:rsidR="003E638B" w:rsidRPr="00C75C7E" w:rsidTr="009B068C">
        <w:trPr>
          <w:cantSplit/>
          <w:trHeight w:val="381"/>
        </w:trPr>
        <w:tc>
          <w:tcPr>
            <w:tcW w:w="1891" w:type="pct"/>
            <w:shd w:val="clear" w:color="auto" w:fill="auto"/>
            <w:tcMar>
              <w:top w:w="113" w:type="dxa"/>
              <w:bottom w:w="85" w:type="dxa"/>
            </w:tcMar>
          </w:tcPr>
          <w:p w:rsidR="003E638B" w:rsidRPr="00C75C7E" w:rsidRDefault="003E638B" w:rsidP="008F4F69">
            <w:pPr>
              <w:widowControl w:val="0"/>
              <w:rPr>
                <w:sz w:val="16"/>
                <w:szCs w:val="16"/>
                <w:lang w:val="es-ES_tradnl"/>
              </w:rPr>
            </w:pPr>
          </w:p>
        </w:tc>
        <w:tc>
          <w:tcPr>
            <w:tcW w:w="1694" w:type="pct"/>
            <w:shd w:val="clear" w:color="auto" w:fill="auto"/>
            <w:tcMar>
              <w:top w:w="113" w:type="dxa"/>
              <w:bottom w:w="85" w:type="dxa"/>
            </w:tcMar>
          </w:tcPr>
          <w:p w:rsidR="003E638B" w:rsidRPr="00C75C7E" w:rsidRDefault="003E638B" w:rsidP="008F4F69">
            <w:pPr>
              <w:widowControl w:val="0"/>
              <w:rPr>
                <w:sz w:val="16"/>
                <w:szCs w:val="16"/>
                <w:lang w:val="es-ES_tradnl"/>
              </w:rPr>
            </w:pPr>
            <w:r w:rsidRPr="00C75C7E">
              <w:rPr>
                <w:sz w:val="16"/>
                <w:szCs w:val="16"/>
                <w:lang w:val="es-ES_tradnl"/>
              </w:rPr>
              <w:t>Número de descargas de seminarios</w:t>
            </w:r>
          </w:p>
        </w:tc>
        <w:tc>
          <w:tcPr>
            <w:tcW w:w="1415" w:type="pct"/>
            <w:shd w:val="clear" w:color="auto" w:fill="FFFFFF"/>
            <w:tcMar>
              <w:top w:w="113" w:type="dxa"/>
              <w:bottom w:w="85" w:type="dxa"/>
            </w:tcMar>
          </w:tcPr>
          <w:p w:rsidR="003E638B" w:rsidRPr="00C75C7E" w:rsidRDefault="003E638B" w:rsidP="008F4F69">
            <w:pPr>
              <w:widowControl w:val="0"/>
              <w:ind w:left="768"/>
              <w:rPr>
                <w:sz w:val="16"/>
                <w:szCs w:val="16"/>
                <w:lang w:val="es-ES_tradnl" w:bidi="th-TH"/>
              </w:rPr>
            </w:pPr>
            <w:r w:rsidRPr="00C75C7E">
              <w:rPr>
                <w:sz w:val="16"/>
                <w:szCs w:val="16"/>
                <w:lang w:val="es-ES_tradnl" w:bidi="th-TH"/>
              </w:rPr>
              <w:t>Programa  16</w:t>
            </w:r>
          </w:p>
        </w:tc>
      </w:tr>
    </w:tbl>
    <w:p w:rsidR="003E638B" w:rsidRPr="00C75C7E" w:rsidRDefault="003E638B" w:rsidP="003E638B">
      <w:pPr>
        <w:widowControl w:val="0"/>
        <w:tabs>
          <w:tab w:val="left" w:pos="0"/>
        </w:tabs>
        <w:rPr>
          <w:sz w:val="20"/>
          <w:lang w:val="es-ES_tradnl"/>
        </w:rPr>
      </w:pPr>
    </w:p>
    <w:p w:rsidR="00C2064F" w:rsidRPr="00D46726" w:rsidRDefault="003E638B" w:rsidP="00D46726">
      <w:pPr>
        <w:pStyle w:val="Heading3"/>
        <w:tabs>
          <w:tab w:val="left" w:pos="1985"/>
        </w:tabs>
        <w:rPr>
          <w:b/>
          <w:u w:val="none"/>
          <w:lang w:val="es-ES_tradnl"/>
        </w:rPr>
      </w:pPr>
      <w:r w:rsidRPr="00C75C7E">
        <w:rPr>
          <w:rStyle w:val="StyleStyleHeading3ComplexItalicLatin12ptChar"/>
          <w:lang w:val="es-ES_tradnl"/>
        </w:rPr>
        <w:br w:type="page"/>
      </w:r>
      <w:bookmarkStart w:id="64" w:name="_Toc356567767"/>
      <w:bookmarkStart w:id="65" w:name="_Toc366078732"/>
      <w:r w:rsidR="006A15F5" w:rsidRPr="00D46726">
        <w:rPr>
          <w:b/>
          <w:iCs/>
          <w:u w:val="none"/>
        </w:rPr>
        <w:lastRenderedPageBreak/>
        <w:t>PROGRAMA 16</w:t>
      </w:r>
      <w:r w:rsidR="006A15F5" w:rsidRPr="00D46726">
        <w:rPr>
          <w:b/>
          <w:iCs/>
          <w:u w:val="none"/>
        </w:rPr>
        <w:tab/>
        <w:t>ECONOMÍA Y ESTADÍSTICA</w:t>
      </w:r>
      <w:bookmarkEnd w:id="64"/>
      <w:bookmarkEnd w:id="65"/>
      <w:r w:rsidR="006A15F5" w:rsidRPr="00D46726">
        <w:rPr>
          <w:b/>
          <w:iCs/>
          <w:u w:val="none"/>
        </w:rPr>
        <w:t xml:space="preserve"> </w:t>
      </w:r>
    </w:p>
    <w:p w:rsidR="00C2064F" w:rsidRPr="00AD1E8B" w:rsidRDefault="00C2064F" w:rsidP="00C2064F">
      <w:pPr>
        <w:widowControl w:val="0"/>
        <w:rPr>
          <w:sz w:val="20"/>
          <w:lang w:val="es-ES_tradnl"/>
        </w:rPr>
      </w:pPr>
    </w:p>
    <w:p w:rsidR="00C2064F" w:rsidRPr="00AD1E8B" w:rsidRDefault="00C2064F" w:rsidP="00C2064F">
      <w:pPr>
        <w:widowControl w:val="0"/>
        <w:rPr>
          <w:sz w:val="20"/>
          <w:lang w:val="es-ES_tradnl"/>
        </w:rPr>
      </w:pPr>
    </w:p>
    <w:p w:rsidR="00C2064F" w:rsidRPr="00D46726" w:rsidRDefault="00C2064F" w:rsidP="00D46726">
      <w:pPr>
        <w:widowControl w:val="0"/>
        <w:rPr>
          <w:sz w:val="20"/>
          <w:lang w:val="es-ES_tradnl"/>
        </w:rPr>
      </w:pPr>
      <w:r w:rsidRPr="00D46726">
        <w:rPr>
          <w:sz w:val="20"/>
          <w:lang w:val="es-ES_tradnl"/>
        </w:rPr>
        <w:t>CONTEXTO DE PLANIFICACIÓN</w:t>
      </w:r>
    </w:p>
    <w:p w:rsidR="00C2064F" w:rsidRPr="00AD1E8B" w:rsidRDefault="00C2064F" w:rsidP="00C2064F">
      <w:pPr>
        <w:widowControl w:val="0"/>
        <w:rPr>
          <w:sz w:val="20"/>
          <w:lang w:val="es-ES_tradnl"/>
        </w:rPr>
      </w:pPr>
    </w:p>
    <w:p w:rsidR="00C2064F" w:rsidRPr="00AD1E8B" w:rsidRDefault="00C2064F" w:rsidP="00E17471">
      <w:pPr>
        <w:widowControl w:val="0"/>
        <w:numPr>
          <w:ilvl w:val="0"/>
          <w:numId w:val="10"/>
        </w:numPr>
        <w:jc w:val="both"/>
        <w:rPr>
          <w:bCs/>
          <w:sz w:val="20"/>
          <w:lang w:val="es-ES_tradnl"/>
        </w:rPr>
      </w:pPr>
      <w:r w:rsidRPr="00AD1E8B">
        <w:rPr>
          <w:bCs/>
          <w:sz w:val="20"/>
          <w:lang w:val="es-ES_tradnl"/>
        </w:rPr>
        <w:t>A medida que la economía mundial vaya recuperándose de la reciente crisis financiera, la innovación continuará siendo esencial para sustentar el crecimiento a largo plazo y fomentar el desarrollo humano.  El cambiante panorama de la innovación ofrece nuevas oportunidades para poner los conocimientos al servicio de las sociedades.  En particular, los países están invirtiendo más recursos que nunca en la economía del conocimiento y han surgido nuevas fuentes de innovación, especialmente en Asia.  Sin embargo y a pesar del rápido crecimiento registrado por algunos países en desarrollo, una parte importante de la población mundial sigue sumida en la pobreza y no ha podido aprovechar los conocimientos para crear prosperidad económica.</w:t>
      </w:r>
    </w:p>
    <w:p w:rsidR="00C2064F" w:rsidRPr="00AD1E8B" w:rsidRDefault="00C2064F" w:rsidP="00C2064F">
      <w:pPr>
        <w:widowControl w:val="0"/>
        <w:tabs>
          <w:tab w:val="num" w:pos="709"/>
        </w:tabs>
        <w:jc w:val="both"/>
        <w:rPr>
          <w:bCs/>
          <w:sz w:val="20"/>
          <w:lang w:val="es-ES_tradnl"/>
        </w:rPr>
      </w:pPr>
    </w:p>
    <w:p w:rsidR="00C2064F" w:rsidRPr="00AD1E8B" w:rsidRDefault="00C2064F" w:rsidP="00E17471">
      <w:pPr>
        <w:widowControl w:val="0"/>
        <w:numPr>
          <w:ilvl w:val="0"/>
          <w:numId w:val="10"/>
        </w:numPr>
        <w:jc w:val="both"/>
        <w:rPr>
          <w:bCs/>
          <w:sz w:val="20"/>
          <w:lang w:val="es-ES_tradnl"/>
        </w:rPr>
      </w:pPr>
      <w:r w:rsidRPr="00AD1E8B">
        <w:rPr>
          <w:bCs/>
          <w:sz w:val="20"/>
          <w:lang w:val="es-ES_tradnl"/>
        </w:rPr>
        <w:t>En este contexto, el sistema mundial de P.I. tiene planteados importantes retos.  Los responsables de la adopción de políticas se ven confrontados con una demanda continuamente creciente de derechos de P.I., nuevas tecnologías y nuevos modelos empresariales, así como la necesidad de promover un marco internacional conducente a una protección equilibrada de la P.I.  A los encargados de la adopción de políticas de los países en desarrollo incumbe además la tarea de adaptar la política de P.I. a las necesidades de sus economías, habida cuenta de sus diferentes dotaciones de recursos y estructuras industriales.</w:t>
      </w:r>
    </w:p>
    <w:p w:rsidR="00C2064F" w:rsidRPr="00AD1E8B" w:rsidRDefault="00C2064F" w:rsidP="00C2064F">
      <w:pPr>
        <w:widowControl w:val="0"/>
        <w:tabs>
          <w:tab w:val="num" w:pos="709"/>
        </w:tabs>
        <w:jc w:val="both"/>
        <w:rPr>
          <w:bCs/>
          <w:sz w:val="20"/>
          <w:lang w:val="es-ES_tradnl"/>
        </w:rPr>
      </w:pPr>
    </w:p>
    <w:p w:rsidR="00C2064F" w:rsidRPr="00AD1E8B" w:rsidRDefault="00C2064F" w:rsidP="00E17471">
      <w:pPr>
        <w:widowControl w:val="0"/>
        <w:numPr>
          <w:ilvl w:val="0"/>
          <w:numId w:val="10"/>
        </w:numPr>
        <w:jc w:val="both"/>
        <w:rPr>
          <w:bCs/>
          <w:sz w:val="20"/>
          <w:lang w:val="es-ES_tradnl"/>
        </w:rPr>
      </w:pPr>
      <w:r w:rsidRPr="00AD1E8B">
        <w:rPr>
          <w:bCs/>
          <w:sz w:val="20"/>
          <w:lang w:val="es-ES_tradnl"/>
        </w:rPr>
        <w:t>Habida cuenta de estos problemas, el programa 16 persigue dos objetivos:  en primer lugar recopilar una información estadística precisa, exhaustiva y puntual en torno a los resultados del sistema internacional de P.I. y en segundo lugar elaborar unos análisis empíricos de elevada calidad destinados a explicitar la manera en que la evolución económica repercute sobre el sistema internacional de P.I., así como a evaluar los efectos económicos de las distintas opciones disponibles para los países en desarrollo en materia de política de P.I.  En el aspecto estadístico, las principales prioridades para el bienio 2014/15 serán ampliar la gama de las informaciones estadísticas accesibles a los usuarios y perfeccionar las herramientas que permiten a diferentes tipos de usuarios acceder a dicha información.  En el aspecto económico, las principales prioridades serán incrementar la disponibilidad de análisis económicos a escala mundial y continuar los estudios económicos en los países en desarrollo.</w:t>
      </w:r>
    </w:p>
    <w:p w:rsidR="00C2064F" w:rsidRPr="00B40520" w:rsidRDefault="00C2064F" w:rsidP="00C2064F">
      <w:pPr>
        <w:widowControl w:val="0"/>
        <w:tabs>
          <w:tab w:val="num" w:pos="709"/>
        </w:tabs>
        <w:jc w:val="both"/>
        <w:rPr>
          <w:bCs/>
          <w:sz w:val="20"/>
        </w:rPr>
      </w:pPr>
    </w:p>
    <w:p w:rsidR="00C2064F" w:rsidRPr="00B40520" w:rsidRDefault="00C2064F" w:rsidP="00C2064F">
      <w:pPr>
        <w:widowControl w:val="0"/>
        <w:tabs>
          <w:tab w:val="num" w:pos="709"/>
        </w:tabs>
        <w:jc w:val="both"/>
        <w:rPr>
          <w:bCs/>
          <w:sz w:val="20"/>
        </w:rPr>
      </w:pPr>
    </w:p>
    <w:p w:rsidR="00C2064F" w:rsidRPr="00AD1E8B" w:rsidRDefault="00C2064F" w:rsidP="00C2064F">
      <w:pPr>
        <w:widowControl w:val="0"/>
        <w:jc w:val="both"/>
        <w:rPr>
          <w:bCs/>
          <w:szCs w:val="22"/>
          <w:lang w:val="es-ES_tradnl"/>
        </w:rPr>
      </w:pPr>
      <w:r w:rsidRPr="00AD1E8B">
        <w:rPr>
          <w:bCs/>
          <w:szCs w:val="22"/>
          <w:lang w:val="es-ES_tradnl"/>
        </w:rPr>
        <w:t xml:space="preserve">ESTRATEGIAS DE EJECUCIÓN  </w:t>
      </w:r>
    </w:p>
    <w:p w:rsidR="00C2064F" w:rsidRPr="00AD1E8B" w:rsidRDefault="00C2064F" w:rsidP="00C2064F">
      <w:pPr>
        <w:widowControl w:val="0"/>
        <w:tabs>
          <w:tab w:val="num" w:pos="709"/>
        </w:tabs>
        <w:jc w:val="both"/>
        <w:rPr>
          <w:bCs/>
          <w:sz w:val="20"/>
          <w:lang w:val="es-ES_tradnl"/>
        </w:rPr>
      </w:pPr>
    </w:p>
    <w:p w:rsidR="00C2064F" w:rsidRPr="00AD1E8B" w:rsidRDefault="00C2064F" w:rsidP="00E17471">
      <w:pPr>
        <w:widowControl w:val="0"/>
        <w:numPr>
          <w:ilvl w:val="0"/>
          <w:numId w:val="10"/>
        </w:numPr>
        <w:jc w:val="both"/>
        <w:rPr>
          <w:bCs/>
          <w:sz w:val="20"/>
          <w:lang w:val="es-ES_tradnl"/>
        </w:rPr>
      </w:pPr>
      <w:r w:rsidRPr="00AD1E8B">
        <w:rPr>
          <w:bCs/>
          <w:sz w:val="20"/>
          <w:lang w:val="es-ES_tradnl"/>
        </w:rPr>
        <w:t xml:space="preserve">En el ámbito de las estadísticas de P.I., la OMPI colabora con las oficinas nacionales y regionales de P.I. recopilando datos sobre la actividad de P.I. a escala mundial a través de su encuesta estadística anual.  Las estadísticas relativas a los tratados administrados por la OMPI en virtud de los cuales se presentan solicitudes de registro de derechos de P.I. se crean en el seno de la Organización.  La principal publicación estadística de la OMPI, los "Indicadores </w:t>
      </w:r>
      <w:r>
        <w:rPr>
          <w:bCs/>
          <w:sz w:val="20"/>
          <w:lang w:val="es-ES_tradnl"/>
        </w:rPr>
        <w:t>m</w:t>
      </w:r>
      <w:r w:rsidRPr="00AD1E8B">
        <w:rPr>
          <w:bCs/>
          <w:sz w:val="20"/>
          <w:lang w:val="es-ES_tradnl"/>
        </w:rPr>
        <w:t xml:space="preserve">undiales de </w:t>
      </w:r>
      <w:r>
        <w:rPr>
          <w:bCs/>
          <w:sz w:val="20"/>
          <w:lang w:val="es-ES_tradnl"/>
        </w:rPr>
        <w:t>p</w:t>
      </w:r>
      <w:r w:rsidRPr="00AD1E8B">
        <w:rPr>
          <w:bCs/>
          <w:sz w:val="20"/>
          <w:lang w:val="es-ES_tradnl"/>
        </w:rPr>
        <w:t xml:space="preserve">ropiedad </w:t>
      </w:r>
      <w:r>
        <w:rPr>
          <w:bCs/>
          <w:sz w:val="20"/>
          <w:lang w:val="es-ES_tradnl"/>
        </w:rPr>
        <w:t>i</w:t>
      </w:r>
      <w:r w:rsidRPr="00AD1E8B">
        <w:rPr>
          <w:bCs/>
          <w:sz w:val="20"/>
          <w:lang w:val="es-ES_tradnl"/>
        </w:rPr>
        <w:t xml:space="preserve">ntelectual", continuará resumiendo las grandes tendencias estadísticas en el ámbito de las patentes, los modelos de utilidad, las marcas y los diseños industriales.  Existen otras publicaciones estadísticas dedicadas a informar sobre los resultados de los sistemas del PCT, Madrid y La Haya.  El recientemente creado Centro de </w:t>
      </w:r>
      <w:r w:rsidR="003B22A3">
        <w:rPr>
          <w:bCs/>
          <w:sz w:val="20"/>
          <w:lang w:val="es-ES_tradnl"/>
        </w:rPr>
        <w:t>D</w:t>
      </w:r>
      <w:r w:rsidR="003B22A3" w:rsidRPr="00AD1E8B">
        <w:rPr>
          <w:bCs/>
          <w:sz w:val="20"/>
          <w:lang w:val="es-ES_tradnl"/>
        </w:rPr>
        <w:t xml:space="preserve">atos </w:t>
      </w:r>
      <w:r w:rsidR="003B22A3">
        <w:rPr>
          <w:bCs/>
          <w:sz w:val="20"/>
          <w:lang w:val="es-ES_tradnl"/>
        </w:rPr>
        <w:t>E</w:t>
      </w:r>
      <w:r w:rsidR="003B22A3" w:rsidRPr="00AD1E8B">
        <w:rPr>
          <w:bCs/>
          <w:sz w:val="20"/>
          <w:lang w:val="es-ES_tradnl"/>
        </w:rPr>
        <w:t>stadístic</w:t>
      </w:r>
      <w:r w:rsidR="003B22A3">
        <w:rPr>
          <w:bCs/>
          <w:sz w:val="20"/>
          <w:lang w:val="es-ES_tradnl"/>
        </w:rPr>
        <w:t>o</w:t>
      </w:r>
      <w:r w:rsidR="003B22A3" w:rsidRPr="00AD1E8B">
        <w:rPr>
          <w:bCs/>
          <w:sz w:val="20"/>
          <w:lang w:val="es-ES_tradnl"/>
        </w:rPr>
        <w:t xml:space="preserve">s </w:t>
      </w:r>
      <w:r w:rsidRPr="00AD1E8B">
        <w:rPr>
          <w:bCs/>
          <w:sz w:val="20"/>
          <w:lang w:val="es-ES_tradnl"/>
        </w:rPr>
        <w:t>de P.I. continuará facilitando todas las estadísticas a los usuarios de todo el mundo.  En consonancia con las antedichas prioridades, se desplegarán especiales esfuerzos para expandir la cobertura de datos y mejorar la accesibilidad y comodidad de uso de los productos estadísticos, siempre teniendo en cuenta las necesidades específicas de las distintas comunidades de usuarios.</w:t>
      </w:r>
    </w:p>
    <w:p w:rsidR="00C2064F" w:rsidRPr="00B40520" w:rsidRDefault="00C2064F" w:rsidP="00C2064F">
      <w:pPr>
        <w:widowControl w:val="0"/>
        <w:tabs>
          <w:tab w:val="num" w:pos="709"/>
        </w:tabs>
        <w:jc w:val="both"/>
        <w:rPr>
          <w:bCs/>
          <w:sz w:val="20"/>
        </w:rPr>
      </w:pPr>
    </w:p>
    <w:p w:rsidR="00C2064F" w:rsidRPr="00AD1E8B" w:rsidRDefault="00C2064F" w:rsidP="00E17471">
      <w:pPr>
        <w:widowControl w:val="0"/>
        <w:numPr>
          <w:ilvl w:val="0"/>
          <w:numId w:val="10"/>
        </w:numPr>
        <w:jc w:val="both"/>
        <w:rPr>
          <w:bCs/>
          <w:sz w:val="20"/>
          <w:lang w:val="es-ES_tradnl"/>
        </w:rPr>
      </w:pPr>
      <w:r w:rsidRPr="00AD1E8B">
        <w:rPr>
          <w:bCs/>
          <w:sz w:val="20"/>
          <w:lang w:val="es-ES_tradnl"/>
        </w:rPr>
        <w:t xml:space="preserve">En el ámbito del análisis económico, la OMPI continuará siendo </w:t>
      </w:r>
      <w:proofErr w:type="spellStart"/>
      <w:r w:rsidRPr="00AD1E8B">
        <w:rPr>
          <w:bCs/>
          <w:sz w:val="20"/>
          <w:lang w:val="es-ES_tradnl"/>
        </w:rPr>
        <w:t>co</w:t>
      </w:r>
      <w:proofErr w:type="spellEnd"/>
      <w:r w:rsidRPr="00AD1E8B">
        <w:rPr>
          <w:bCs/>
          <w:sz w:val="20"/>
          <w:lang w:val="es-ES_tradnl"/>
        </w:rPr>
        <w:t xml:space="preserve">-editor del Índice </w:t>
      </w:r>
      <w:r>
        <w:rPr>
          <w:bCs/>
          <w:sz w:val="20"/>
          <w:lang w:val="es-ES_tradnl"/>
        </w:rPr>
        <w:t>m</w:t>
      </w:r>
      <w:r w:rsidRPr="00AD1E8B">
        <w:rPr>
          <w:bCs/>
          <w:sz w:val="20"/>
          <w:lang w:val="es-ES_tradnl"/>
        </w:rPr>
        <w:t xml:space="preserve">undial de </w:t>
      </w:r>
      <w:r>
        <w:rPr>
          <w:bCs/>
          <w:sz w:val="20"/>
          <w:lang w:val="es-ES_tradnl"/>
        </w:rPr>
        <w:t>i</w:t>
      </w:r>
      <w:r w:rsidRPr="00AD1E8B">
        <w:rPr>
          <w:bCs/>
          <w:sz w:val="20"/>
          <w:lang w:val="es-ES_tradnl"/>
        </w:rPr>
        <w:t xml:space="preserve">nnovación en el empeño de coadyuvar a la medición de la innovación y proporcionar a los responsables de la adopción de políticas una herramienta apropiada para la evaluación comparativa de los resultados de la innovación.  La OMPI continuará asimismo publicando la serie "Informe </w:t>
      </w:r>
      <w:r>
        <w:rPr>
          <w:bCs/>
          <w:sz w:val="20"/>
          <w:lang w:val="es-ES_tradnl"/>
        </w:rPr>
        <w:t>m</w:t>
      </w:r>
      <w:r w:rsidRPr="00AD1E8B">
        <w:rPr>
          <w:bCs/>
          <w:sz w:val="20"/>
          <w:lang w:val="es-ES_tradnl"/>
        </w:rPr>
        <w:t xml:space="preserve">undial sobre la </w:t>
      </w:r>
      <w:r>
        <w:rPr>
          <w:bCs/>
          <w:sz w:val="20"/>
          <w:lang w:val="es-ES_tradnl"/>
        </w:rPr>
        <w:t>p</w:t>
      </w:r>
      <w:r w:rsidRPr="00AD1E8B">
        <w:rPr>
          <w:bCs/>
          <w:sz w:val="20"/>
          <w:lang w:val="es-ES_tradnl"/>
        </w:rPr>
        <w:t xml:space="preserve">ropiedad </w:t>
      </w:r>
      <w:r>
        <w:rPr>
          <w:bCs/>
          <w:sz w:val="20"/>
          <w:lang w:val="es-ES_tradnl"/>
        </w:rPr>
        <w:t>i</w:t>
      </w:r>
      <w:r w:rsidRPr="00AD1E8B">
        <w:rPr>
          <w:bCs/>
          <w:sz w:val="20"/>
          <w:lang w:val="es-ES_tradnl"/>
        </w:rPr>
        <w:t xml:space="preserve">ntelectual" con la voluntad de explorar nuevos temas y profundizar los  análisis realizados hasta la fecha en torno a la problemática mundial de P.I.  Además, el programa se mantendrá en todo momento dispuesto para atender las solicitudes de análisis económicos que puedan formular los comités de la OMPI.  Finalmente, se continuarán los estudios en los países en desarrollo en el marco de la </w:t>
      </w:r>
      <w:r>
        <w:rPr>
          <w:bCs/>
          <w:sz w:val="20"/>
          <w:lang w:val="es-ES_tradnl"/>
        </w:rPr>
        <w:t>f</w:t>
      </w:r>
      <w:r w:rsidRPr="00AD1E8B">
        <w:rPr>
          <w:bCs/>
          <w:sz w:val="20"/>
          <w:lang w:val="es-ES_tradnl"/>
        </w:rPr>
        <w:t xml:space="preserve">ase II del </w:t>
      </w:r>
      <w:r w:rsidRPr="00AD1E8B">
        <w:rPr>
          <w:bCs/>
          <w:sz w:val="20"/>
          <w:lang w:val="es-ES_tradnl"/>
        </w:rPr>
        <w:lastRenderedPageBreak/>
        <w:t xml:space="preserve">proyecto del CDIP que lleva por título "La P.I. y el </w:t>
      </w:r>
      <w:r>
        <w:rPr>
          <w:bCs/>
          <w:sz w:val="20"/>
          <w:lang w:val="es-ES_tradnl"/>
        </w:rPr>
        <w:t>d</w:t>
      </w:r>
      <w:r w:rsidRPr="00AD1E8B">
        <w:rPr>
          <w:bCs/>
          <w:sz w:val="20"/>
          <w:lang w:val="es-ES_tradnl"/>
        </w:rPr>
        <w:t xml:space="preserve">esarrollo </w:t>
      </w:r>
      <w:r>
        <w:rPr>
          <w:bCs/>
          <w:sz w:val="20"/>
          <w:lang w:val="es-ES_tradnl"/>
        </w:rPr>
        <w:t>s</w:t>
      </w:r>
      <w:r w:rsidR="003B22A3">
        <w:rPr>
          <w:bCs/>
          <w:sz w:val="20"/>
          <w:lang w:val="es-ES_tradnl"/>
        </w:rPr>
        <w:t>ocioeconómico".</w:t>
      </w:r>
      <w:r w:rsidRPr="00AD1E8B">
        <w:rPr>
          <w:rStyle w:val="FootnoteReference"/>
          <w:bCs/>
          <w:sz w:val="20"/>
          <w:lang w:val="es-ES_tradnl"/>
        </w:rPr>
        <w:footnoteReference w:id="14"/>
      </w:r>
      <w:r w:rsidR="003B22A3">
        <w:rPr>
          <w:bCs/>
          <w:sz w:val="20"/>
          <w:lang w:val="es-ES_tradnl"/>
        </w:rPr>
        <w:t xml:space="preserve"> </w:t>
      </w:r>
      <w:r w:rsidRPr="00AD1E8B">
        <w:rPr>
          <w:bCs/>
          <w:sz w:val="20"/>
          <w:lang w:val="es-ES_tradnl"/>
        </w:rPr>
        <w:t xml:space="preserve"> Dichos estudios seguirán ajustándose a las pertinentes recomendaciones de la A.D. (en especial las recomendaciones 35 y 37) y proporcionando datos empíricos que faciliten la comprensión de los efectos económicos de las diferentes opciones de política de P.I.  Los estudios harán uso de la capacidad investigadora creada durante el bienio 2012/13, pero al mismo tiempo se esforzarán por impartir mayor profundidad a la gama de temas analizados y expandir la cobertura de países/regiones a tenor de las necesidades de los Estados miembros.</w:t>
      </w:r>
    </w:p>
    <w:p w:rsidR="00C2064F" w:rsidRPr="00B40520" w:rsidRDefault="00C2064F" w:rsidP="00C2064F">
      <w:pPr>
        <w:widowControl w:val="0"/>
        <w:tabs>
          <w:tab w:val="num" w:pos="709"/>
        </w:tabs>
        <w:jc w:val="both"/>
        <w:rPr>
          <w:bCs/>
          <w:sz w:val="20"/>
        </w:rPr>
      </w:pPr>
    </w:p>
    <w:p w:rsidR="00C2064F" w:rsidRPr="00AD1E8B" w:rsidRDefault="00C2064F" w:rsidP="00E17471">
      <w:pPr>
        <w:widowControl w:val="0"/>
        <w:numPr>
          <w:ilvl w:val="0"/>
          <w:numId w:val="10"/>
        </w:numPr>
        <w:jc w:val="both"/>
        <w:rPr>
          <w:bCs/>
          <w:sz w:val="20"/>
          <w:lang w:val="es-ES_tradnl"/>
        </w:rPr>
      </w:pPr>
      <w:r w:rsidRPr="00AD1E8B">
        <w:rPr>
          <w:bCs/>
          <w:sz w:val="20"/>
          <w:lang w:val="es-ES_tradnl"/>
        </w:rPr>
        <w:t>Con la doble mira de fomentar análisis económicos de elevada calidad y maximizar las sinergias, la OMPI movilizará su extensa red internacional de economistas académicos y continuará coordinando la red mundial de economistas activos en las oficinas de P.I.</w:t>
      </w:r>
    </w:p>
    <w:p w:rsidR="00C2064F" w:rsidRPr="00AD1E8B" w:rsidRDefault="00C2064F" w:rsidP="00C2064F">
      <w:pPr>
        <w:widowControl w:val="0"/>
        <w:tabs>
          <w:tab w:val="num" w:pos="709"/>
        </w:tabs>
        <w:jc w:val="both"/>
        <w:rPr>
          <w:bCs/>
          <w:sz w:val="20"/>
          <w:lang w:val="es-ES_tradnl"/>
        </w:rPr>
      </w:pPr>
    </w:p>
    <w:p w:rsidR="000A0A76" w:rsidRDefault="000A0A76" w:rsidP="003E638B">
      <w:pPr>
        <w:widowControl w:val="0"/>
        <w:jc w:val="both"/>
        <w:rPr>
          <w:bCs/>
          <w:szCs w:val="22"/>
          <w:lang w:val="es-ES_tradnl"/>
        </w:rPr>
      </w:pPr>
    </w:p>
    <w:p w:rsidR="003E638B" w:rsidRPr="00C75C7E" w:rsidRDefault="003E638B" w:rsidP="003E638B">
      <w:pPr>
        <w:widowControl w:val="0"/>
        <w:jc w:val="both"/>
        <w:rPr>
          <w:bCs/>
          <w:sz w:val="20"/>
          <w:lang w:val="es-ES_tradnl"/>
        </w:rPr>
      </w:pPr>
      <w:r w:rsidRPr="00C75C7E">
        <w:rPr>
          <w:bCs/>
          <w:szCs w:val="22"/>
          <w:lang w:val="es-ES_tradnl"/>
        </w:rPr>
        <w:t>PRINCIPALES RIESGOS Y ESTRATEGIAS DE MITIGACIÓN</w:t>
      </w:r>
    </w:p>
    <w:p w:rsidR="003E638B" w:rsidRPr="00C75C7E" w:rsidRDefault="003E638B" w:rsidP="003E638B">
      <w:pPr>
        <w:widowControl w:val="0"/>
        <w:jc w:val="both"/>
        <w:rPr>
          <w:bCs/>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20"/>
        <w:gridCol w:w="4752"/>
      </w:tblGrid>
      <w:tr w:rsidR="003E638B" w:rsidRPr="00C75C7E" w:rsidTr="008F4F69">
        <w:trPr>
          <w:trHeight w:val="440"/>
        </w:trPr>
        <w:tc>
          <w:tcPr>
            <w:tcW w:w="4320" w:type="dxa"/>
            <w:tcBorders>
              <w:top w:val="single" w:sz="4" w:space="0" w:color="auto"/>
              <w:bottom w:val="single" w:sz="4" w:space="0" w:color="auto"/>
            </w:tcBorders>
            <w:shd w:val="clear" w:color="auto" w:fill="CCFFFF"/>
            <w:tcMar>
              <w:top w:w="113" w:type="dxa"/>
              <w:bottom w:w="85" w:type="dxa"/>
            </w:tcMar>
            <w:vAlign w:val="center"/>
          </w:tcPr>
          <w:p w:rsidR="003E638B" w:rsidRPr="00C75C7E" w:rsidRDefault="003E638B"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Riesgos en el logro de los resultados del programa</w:t>
            </w:r>
          </w:p>
        </w:tc>
        <w:tc>
          <w:tcPr>
            <w:tcW w:w="4752" w:type="dxa"/>
            <w:tcBorders>
              <w:top w:val="single" w:sz="4" w:space="0" w:color="auto"/>
              <w:bottom w:val="single" w:sz="4" w:space="0" w:color="auto"/>
            </w:tcBorders>
            <w:shd w:val="clear" w:color="auto" w:fill="CCFFFF"/>
            <w:tcMar>
              <w:top w:w="113" w:type="dxa"/>
              <w:bottom w:w="85" w:type="dxa"/>
            </w:tcMar>
            <w:vAlign w:val="center"/>
          </w:tcPr>
          <w:p w:rsidR="003E638B" w:rsidRPr="00C75C7E" w:rsidRDefault="003E638B"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 xml:space="preserve">Planes de mitigación ejecutados o en ejecución </w:t>
            </w:r>
          </w:p>
        </w:tc>
      </w:tr>
      <w:tr w:rsidR="003E638B" w:rsidRPr="00C75C7E" w:rsidTr="008F4F69">
        <w:trPr>
          <w:trHeight w:val="789"/>
        </w:trPr>
        <w:tc>
          <w:tcPr>
            <w:tcW w:w="4320" w:type="dxa"/>
            <w:tcBorders>
              <w:top w:val="single" w:sz="4" w:space="0" w:color="auto"/>
            </w:tcBorders>
            <w:shd w:val="clear" w:color="auto" w:fill="auto"/>
            <w:tcMar>
              <w:top w:w="113" w:type="dxa"/>
              <w:bottom w:w="85" w:type="dxa"/>
            </w:tcMar>
          </w:tcPr>
          <w:p w:rsidR="003E638B" w:rsidRPr="00C75C7E" w:rsidRDefault="003E638B" w:rsidP="008F4F69">
            <w:pPr>
              <w:widowControl w:val="0"/>
              <w:autoSpaceDE w:val="0"/>
              <w:autoSpaceDN w:val="0"/>
              <w:adjustRightInd w:val="0"/>
              <w:ind w:right="-59"/>
              <w:rPr>
                <w:sz w:val="16"/>
                <w:szCs w:val="16"/>
                <w:lang w:val="es-ES_tradnl"/>
              </w:rPr>
            </w:pPr>
            <w:r w:rsidRPr="00C75C7E">
              <w:rPr>
                <w:bCs/>
                <w:sz w:val="16"/>
                <w:szCs w:val="16"/>
                <w:lang w:val="es-ES_tradnl"/>
              </w:rPr>
              <w:t>Los Estados miembros no se encuentran en condiciones de responder o han respondido tarde a la encuesta sobre estadísticas de la OMPI.</w:t>
            </w:r>
          </w:p>
        </w:tc>
        <w:tc>
          <w:tcPr>
            <w:tcW w:w="4752" w:type="dxa"/>
            <w:tcBorders>
              <w:top w:val="single" w:sz="4" w:space="0" w:color="auto"/>
            </w:tcBorders>
            <w:shd w:val="clear" w:color="auto" w:fill="auto"/>
            <w:tcMar>
              <w:top w:w="113" w:type="dxa"/>
              <w:bottom w:w="85" w:type="dxa"/>
            </w:tcMar>
          </w:tcPr>
          <w:p w:rsidR="003E638B" w:rsidRPr="00C75C7E" w:rsidRDefault="003E638B" w:rsidP="008F4F69">
            <w:pPr>
              <w:widowControl w:val="0"/>
              <w:autoSpaceDE w:val="0"/>
              <w:autoSpaceDN w:val="0"/>
              <w:adjustRightInd w:val="0"/>
              <w:ind w:right="-59"/>
              <w:rPr>
                <w:bCs/>
                <w:sz w:val="16"/>
                <w:szCs w:val="16"/>
                <w:lang w:val="es-ES_tradnl"/>
              </w:rPr>
            </w:pPr>
            <w:r w:rsidRPr="00C75C7E">
              <w:rPr>
                <w:bCs/>
                <w:sz w:val="16"/>
                <w:szCs w:val="16"/>
                <w:lang w:val="es-ES_tradnl"/>
              </w:rPr>
              <w:t>Se enviarán cuestionarios sobre estadísticas a comienzos del año (no más tarde de febrero);  se mantendrá una lista de puntos de contacto para cuestiones estadísticas en las oficinas nacionales de P.I. con objeto de poder comunicarse para llevar a cabo un seguimiento;  se dedicarán recursos a esa comunicación.</w:t>
            </w:r>
          </w:p>
        </w:tc>
      </w:tr>
      <w:tr w:rsidR="003E638B" w:rsidRPr="00C75C7E" w:rsidTr="008F4F69">
        <w:trPr>
          <w:trHeight w:val="1059"/>
        </w:trPr>
        <w:tc>
          <w:tcPr>
            <w:tcW w:w="4320" w:type="dxa"/>
            <w:shd w:val="clear" w:color="auto" w:fill="auto"/>
            <w:tcMar>
              <w:top w:w="113" w:type="dxa"/>
              <w:bottom w:w="85" w:type="dxa"/>
            </w:tcMar>
          </w:tcPr>
          <w:p w:rsidR="003E638B" w:rsidRPr="00C75C7E" w:rsidRDefault="003E638B" w:rsidP="008F4F69">
            <w:pPr>
              <w:widowControl w:val="0"/>
              <w:autoSpaceDE w:val="0"/>
              <w:autoSpaceDN w:val="0"/>
              <w:adjustRightInd w:val="0"/>
              <w:ind w:right="-59"/>
              <w:rPr>
                <w:bCs/>
                <w:sz w:val="16"/>
                <w:szCs w:val="16"/>
                <w:lang w:val="es-ES_tradnl"/>
              </w:rPr>
            </w:pPr>
            <w:r w:rsidRPr="00C75C7E">
              <w:rPr>
                <w:bCs/>
                <w:sz w:val="16"/>
                <w:szCs w:val="16"/>
                <w:lang w:val="es-ES_tradnl"/>
              </w:rPr>
              <w:t>En las publicaciones de la OMPI se proporcionan datos estadísticos erróneos o se observan deficiencias analíticas.</w:t>
            </w:r>
          </w:p>
        </w:tc>
        <w:tc>
          <w:tcPr>
            <w:tcW w:w="4752" w:type="dxa"/>
            <w:shd w:val="clear" w:color="auto" w:fill="auto"/>
            <w:tcMar>
              <w:top w:w="113" w:type="dxa"/>
              <w:bottom w:w="85" w:type="dxa"/>
            </w:tcMar>
          </w:tcPr>
          <w:p w:rsidR="003E638B" w:rsidRPr="00C75C7E" w:rsidRDefault="003E638B" w:rsidP="008F4F69">
            <w:pPr>
              <w:widowControl w:val="0"/>
              <w:autoSpaceDE w:val="0"/>
              <w:autoSpaceDN w:val="0"/>
              <w:adjustRightInd w:val="0"/>
              <w:ind w:right="-59"/>
              <w:rPr>
                <w:bCs/>
                <w:sz w:val="16"/>
                <w:szCs w:val="16"/>
                <w:lang w:val="es-ES_tradnl"/>
              </w:rPr>
            </w:pPr>
            <w:r w:rsidRPr="00C75C7E">
              <w:rPr>
                <w:bCs/>
                <w:sz w:val="16"/>
                <w:szCs w:val="16"/>
                <w:lang w:val="es-ES_tradnl"/>
              </w:rPr>
              <w:t>Se cuenta con mecanismos de control que permiten detectar las incoherencias de los datos durante la compilación de estadísticas de P.I.;  todas las publicaciones estadísticas son objeto de una revisión cuidadosa a cargo de especialistas en estadística y los sectores pertinentes de la OMPI;  todas las publicaciones analíticas son examinadas por expertos externos.</w:t>
            </w:r>
          </w:p>
        </w:tc>
      </w:tr>
    </w:tbl>
    <w:p w:rsidR="003E638B" w:rsidRPr="00C75C7E" w:rsidRDefault="003E638B" w:rsidP="003E638B">
      <w:pPr>
        <w:widowControl w:val="0"/>
        <w:jc w:val="both"/>
        <w:rPr>
          <w:bCs/>
          <w:iCs/>
          <w:sz w:val="20"/>
          <w:lang w:val="es-ES_tradnl"/>
        </w:rPr>
      </w:pPr>
    </w:p>
    <w:p w:rsidR="003E638B" w:rsidRPr="00C75C7E" w:rsidRDefault="003E638B" w:rsidP="003E638B">
      <w:pPr>
        <w:widowControl w:val="0"/>
        <w:jc w:val="both"/>
        <w:rPr>
          <w:sz w:val="20"/>
          <w:lang w:val="es-ES_tradnl"/>
        </w:rPr>
      </w:pPr>
    </w:p>
    <w:p w:rsidR="003E638B" w:rsidRPr="00C75C7E" w:rsidRDefault="003E638B" w:rsidP="003E638B">
      <w:pPr>
        <w:widowControl w:val="0"/>
        <w:tabs>
          <w:tab w:val="left" w:pos="567"/>
          <w:tab w:val="left" w:pos="1985"/>
        </w:tabs>
        <w:jc w:val="both"/>
        <w:rPr>
          <w:bCs/>
          <w:sz w:val="20"/>
          <w:lang w:val="es-ES_tradnl"/>
        </w:rPr>
      </w:pPr>
      <w:r w:rsidRPr="00C75C7E">
        <w:rPr>
          <w:bCs/>
          <w:szCs w:val="22"/>
          <w:lang w:val="es-ES_tradnl"/>
        </w:rPr>
        <w:t>MARCO DE RESULTADOS</w:t>
      </w:r>
    </w:p>
    <w:p w:rsidR="003E638B" w:rsidRPr="00C75C7E" w:rsidRDefault="003E638B" w:rsidP="003E638B">
      <w:pPr>
        <w:widowControl w:val="0"/>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49"/>
        <w:gridCol w:w="2848"/>
        <w:gridCol w:w="2175"/>
        <w:gridCol w:w="2034"/>
      </w:tblGrid>
      <w:tr w:rsidR="003E638B" w:rsidRPr="00C75C7E" w:rsidTr="008F4F69">
        <w:trPr>
          <w:cantSplit/>
          <w:trHeight w:val="425"/>
        </w:trPr>
        <w:tc>
          <w:tcPr>
            <w:tcW w:w="1249" w:type="pct"/>
            <w:tcBorders>
              <w:top w:val="single" w:sz="4" w:space="0" w:color="auto"/>
              <w:bottom w:val="single" w:sz="4" w:space="0" w:color="auto"/>
            </w:tcBorders>
            <w:shd w:val="clear" w:color="auto" w:fill="CCFFFF"/>
            <w:tcMar>
              <w:top w:w="113" w:type="dxa"/>
            </w:tcMar>
            <w:vAlign w:val="center"/>
          </w:tcPr>
          <w:p w:rsidR="003E638B" w:rsidRPr="00C75C7E" w:rsidRDefault="003E638B"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3" w:type="dxa"/>
            </w:tcMar>
            <w:vAlign w:val="center"/>
          </w:tcPr>
          <w:p w:rsidR="003E638B" w:rsidRPr="00C75C7E" w:rsidRDefault="003E638B" w:rsidP="008F4F69">
            <w:pPr>
              <w:widowControl w:val="0"/>
              <w:spacing w:after="120"/>
              <w:jc w:val="center"/>
              <w:rPr>
                <w:b/>
                <w:sz w:val="18"/>
                <w:szCs w:val="18"/>
                <w:lang w:val="es-ES_tradnl"/>
              </w:rPr>
            </w:pPr>
            <w:r w:rsidRPr="00C75C7E">
              <w:rPr>
                <w:b/>
                <w:sz w:val="18"/>
                <w:szCs w:val="18"/>
                <w:lang w:val="es-ES_tradnl"/>
              </w:rPr>
              <w:t>Indicadores de rendimiento</w:t>
            </w:r>
          </w:p>
        </w:tc>
        <w:tc>
          <w:tcPr>
            <w:tcW w:w="1156" w:type="pct"/>
            <w:tcBorders>
              <w:top w:val="single" w:sz="4" w:space="0" w:color="auto"/>
              <w:bottom w:val="single" w:sz="4" w:space="0" w:color="auto"/>
            </w:tcBorders>
            <w:shd w:val="clear" w:color="auto" w:fill="CCFFFF"/>
            <w:tcMar>
              <w:top w:w="113" w:type="dxa"/>
            </w:tcMar>
            <w:vAlign w:val="center"/>
          </w:tcPr>
          <w:p w:rsidR="003E638B" w:rsidRPr="00C75C7E" w:rsidRDefault="003E638B" w:rsidP="008F4F69">
            <w:pPr>
              <w:widowControl w:val="0"/>
              <w:spacing w:after="120"/>
              <w:ind w:left="85" w:right="227"/>
              <w:jc w:val="center"/>
              <w:rPr>
                <w:sz w:val="18"/>
                <w:szCs w:val="18"/>
                <w:lang w:val="es-ES_tradnl"/>
              </w:rPr>
            </w:pPr>
            <w:r w:rsidRPr="00C75C7E">
              <w:rPr>
                <w:b/>
                <w:bCs/>
                <w:sz w:val="18"/>
                <w:szCs w:val="18"/>
                <w:lang w:val="es-ES_tradnl"/>
              </w:rPr>
              <w:t>Referencia</w:t>
            </w:r>
          </w:p>
        </w:tc>
        <w:tc>
          <w:tcPr>
            <w:tcW w:w="1082" w:type="pct"/>
            <w:tcBorders>
              <w:top w:val="single" w:sz="4" w:space="0" w:color="auto"/>
              <w:bottom w:val="single" w:sz="4" w:space="0" w:color="auto"/>
            </w:tcBorders>
            <w:shd w:val="clear" w:color="auto" w:fill="CCFFFF"/>
            <w:tcMar>
              <w:top w:w="113" w:type="dxa"/>
            </w:tcMar>
            <w:vAlign w:val="center"/>
          </w:tcPr>
          <w:p w:rsidR="003E638B" w:rsidRPr="00C75C7E" w:rsidRDefault="003E638B" w:rsidP="008F4F69">
            <w:pPr>
              <w:widowControl w:val="0"/>
              <w:spacing w:after="120"/>
              <w:ind w:left="-223" w:right="1"/>
              <w:jc w:val="center"/>
              <w:rPr>
                <w:b/>
                <w:bCs/>
                <w:sz w:val="18"/>
                <w:szCs w:val="18"/>
                <w:lang w:val="es-ES_tradnl"/>
              </w:rPr>
            </w:pPr>
            <w:r w:rsidRPr="00C75C7E">
              <w:rPr>
                <w:b/>
                <w:bCs/>
                <w:sz w:val="18"/>
                <w:szCs w:val="18"/>
                <w:lang w:val="es-ES_tradnl"/>
              </w:rPr>
              <w:t>Objetivos</w:t>
            </w:r>
          </w:p>
        </w:tc>
      </w:tr>
      <w:tr w:rsidR="003E638B" w:rsidRPr="00C75C7E" w:rsidTr="008F4F69">
        <w:trPr>
          <w:cantSplit/>
          <w:trHeight w:val="885"/>
        </w:trPr>
        <w:tc>
          <w:tcPr>
            <w:tcW w:w="1249" w:type="pct"/>
            <w:vMerge w:val="restart"/>
            <w:tcBorders>
              <w:top w:val="single" w:sz="4" w:space="0" w:color="auto"/>
            </w:tcBorders>
            <w:shd w:val="clear" w:color="auto" w:fill="auto"/>
            <w:tcMar>
              <w:top w:w="113" w:type="dxa"/>
            </w:tcMar>
          </w:tcPr>
          <w:p w:rsidR="003E638B" w:rsidRPr="00C75C7E" w:rsidRDefault="003E638B" w:rsidP="008F4F69">
            <w:pPr>
              <w:widowControl w:val="0"/>
              <w:rPr>
                <w:sz w:val="16"/>
                <w:szCs w:val="16"/>
                <w:lang w:val="es-ES_tradnl"/>
              </w:rPr>
            </w:pPr>
            <w:r w:rsidRPr="00C75C7E">
              <w:rPr>
                <w:sz w:val="16"/>
                <w:szCs w:val="16"/>
                <w:lang w:val="es-ES_tradnl"/>
              </w:rPr>
              <w:t>V.1. Ampliación y mejora del uso de la información estadística de la OMPI en materia de P.I.</w:t>
            </w:r>
          </w:p>
        </w:tc>
        <w:tc>
          <w:tcPr>
            <w:tcW w:w="1514" w:type="pct"/>
            <w:tcBorders>
              <w:top w:val="single" w:sz="4" w:space="0" w:color="auto"/>
            </w:tcBorders>
            <w:shd w:val="clear" w:color="auto" w:fill="auto"/>
            <w:tcMar>
              <w:top w:w="113" w:type="dxa"/>
            </w:tcMar>
          </w:tcPr>
          <w:p w:rsidR="003E638B" w:rsidRPr="00C75C7E" w:rsidRDefault="003E638B" w:rsidP="008F4F69">
            <w:pPr>
              <w:widowControl w:val="0"/>
              <w:rPr>
                <w:sz w:val="16"/>
                <w:szCs w:val="16"/>
                <w:lang w:val="es-ES_tradnl"/>
              </w:rPr>
            </w:pPr>
            <w:r w:rsidRPr="00C75C7E">
              <w:rPr>
                <w:sz w:val="16"/>
                <w:szCs w:val="16"/>
                <w:lang w:val="es-ES_tradnl"/>
              </w:rPr>
              <w:t>Número de descargas de los cuatro principales informes estadísticos (Indicadores mundiales de propiedad intelectual, reseñas anuales del PCT, La Haya y Madrid).</w:t>
            </w:r>
          </w:p>
        </w:tc>
        <w:tc>
          <w:tcPr>
            <w:tcW w:w="1156" w:type="pct"/>
            <w:tcBorders>
              <w:top w:val="single" w:sz="4" w:space="0" w:color="auto"/>
            </w:tcBorders>
            <w:shd w:val="clear" w:color="auto" w:fill="FFFFFF"/>
            <w:tcMar>
              <w:top w:w="113" w:type="dxa"/>
            </w:tcMar>
          </w:tcPr>
          <w:p w:rsidR="003E638B" w:rsidRPr="00C75C7E" w:rsidRDefault="003E638B" w:rsidP="008F4F69">
            <w:pPr>
              <w:widowControl w:val="0"/>
              <w:rPr>
                <w:sz w:val="16"/>
                <w:szCs w:val="16"/>
                <w:lang w:val="es-ES_tradnl" w:bidi="th-TH"/>
              </w:rPr>
            </w:pPr>
            <w:r w:rsidRPr="00C75C7E">
              <w:rPr>
                <w:sz w:val="16"/>
                <w:szCs w:val="16"/>
                <w:lang w:val="es-ES_tradnl" w:bidi="th-TH"/>
              </w:rPr>
              <w:t>Por determinar al final de 2013.</w:t>
            </w:r>
          </w:p>
          <w:p w:rsidR="003E638B" w:rsidRPr="00C75C7E" w:rsidRDefault="003E638B" w:rsidP="008F4F69">
            <w:pPr>
              <w:widowControl w:val="0"/>
              <w:rPr>
                <w:sz w:val="16"/>
                <w:szCs w:val="16"/>
                <w:lang w:val="es-ES_tradnl" w:bidi="th-TH"/>
              </w:rPr>
            </w:pPr>
          </w:p>
          <w:p w:rsidR="003E638B" w:rsidRPr="00C75C7E" w:rsidRDefault="003E638B" w:rsidP="008F4F69">
            <w:pPr>
              <w:widowControl w:val="0"/>
              <w:rPr>
                <w:sz w:val="16"/>
                <w:szCs w:val="16"/>
                <w:lang w:val="es-ES_tradnl"/>
              </w:rPr>
            </w:pPr>
          </w:p>
        </w:tc>
        <w:tc>
          <w:tcPr>
            <w:tcW w:w="1082" w:type="pct"/>
            <w:tcBorders>
              <w:top w:val="single" w:sz="4" w:space="0" w:color="auto"/>
            </w:tcBorders>
            <w:shd w:val="clear" w:color="auto" w:fill="auto"/>
            <w:tcMar>
              <w:top w:w="113" w:type="dxa"/>
            </w:tcMar>
          </w:tcPr>
          <w:p w:rsidR="003E638B" w:rsidRPr="00C75C7E" w:rsidRDefault="003E638B" w:rsidP="008F4F69">
            <w:pPr>
              <w:widowControl w:val="0"/>
              <w:ind w:right="381"/>
              <w:rPr>
                <w:bCs/>
                <w:sz w:val="16"/>
                <w:szCs w:val="16"/>
                <w:lang w:val="es-ES_tradnl"/>
              </w:rPr>
            </w:pPr>
            <w:r w:rsidRPr="00C75C7E">
              <w:rPr>
                <w:bCs/>
                <w:sz w:val="16"/>
                <w:szCs w:val="16"/>
                <w:lang w:val="es-ES_tradnl"/>
              </w:rPr>
              <w:t>Aumento del 10% respecto de 2012/13 en el número de descargas y usuarios.</w:t>
            </w:r>
          </w:p>
        </w:tc>
      </w:tr>
      <w:tr w:rsidR="003E638B" w:rsidRPr="00C75C7E" w:rsidTr="008F4F69">
        <w:trPr>
          <w:cantSplit/>
          <w:trHeight w:val="793"/>
        </w:trPr>
        <w:tc>
          <w:tcPr>
            <w:tcW w:w="1249" w:type="pct"/>
            <w:vMerge/>
            <w:shd w:val="clear" w:color="auto" w:fill="auto"/>
            <w:tcMar>
              <w:top w:w="113" w:type="dxa"/>
            </w:tcMar>
          </w:tcPr>
          <w:p w:rsidR="003E638B" w:rsidRPr="00C75C7E" w:rsidRDefault="003E638B" w:rsidP="008F4F69">
            <w:pPr>
              <w:widowControl w:val="0"/>
              <w:rPr>
                <w:sz w:val="16"/>
                <w:szCs w:val="16"/>
                <w:lang w:val="es-ES_tradnl"/>
              </w:rPr>
            </w:pPr>
          </w:p>
        </w:tc>
        <w:tc>
          <w:tcPr>
            <w:tcW w:w="1514" w:type="pct"/>
            <w:shd w:val="clear" w:color="auto" w:fill="auto"/>
            <w:tcMar>
              <w:top w:w="113" w:type="dxa"/>
            </w:tcMar>
          </w:tcPr>
          <w:p w:rsidR="003E638B" w:rsidRPr="00C75C7E" w:rsidRDefault="003E638B" w:rsidP="008F4F69">
            <w:pPr>
              <w:widowControl w:val="0"/>
              <w:rPr>
                <w:sz w:val="16"/>
                <w:szCs w:val="16"/>
                <w:lang w:val="es-ES_tradnl"/>
              </w:rPr>
            </w:pPr>
            <w:r w:rsidRPr="00C75C7E">
              <w:rPr>
                <w:sz w:val="16"/>
                <w:szCs w:val="16"/>
                <w:lang w:val="es-ES_tradnl"/>
              </w:rPr>
              <w:t>Número de visitantes que utilizan el Centro de datos de estadísticas de P.I.</w:t>
            </w:r>
          </w:p>
        </w:tc>
        <w:tc>
          <w:tcPr>
            <w:tcW w:w="1156" w:type="pct"/>
            <w:shd w:val="clear" w:color="auto" w:fill="FFFFFF"/>
            <w:tcMar>
              <w:top w:w="113" w:type="dxa"/>
            </w:tcMar>
          </w:tcPr>
          <w:p w:rsidR="003E638B" w:rsidRPr="00C75C7E" w:rsidRDefault="003E638B" w:rsidP="008F4F69">
            <w:pPr>
              <w:widowControl w:val="0"/>
              <w:rPr>
                <w:sz w:val="16"/>
                <w:szCs w:val="16"/>
                <w:lang w:val="es-ES_tradnl" w:bidi="th-TH"/>
              </w:rPr>
            </w:pPr>
            <w:r w:rsidRPr="00C75C7E">
              <w:rPr>
                <w:sz w:val="16"/>
                <w:szCs w:val="16"/>
                <w:lang w:val="es-ES_tradnl" w:bidi="th-TH"/>
              </w:rPr>
              <w:t>Por determinar al final de 2013.</w:t>
            </w:r>
          </w:p>
          <w:p w:rsidR="003E638B" w:rsidRPr="00C75C7E" w:rsidRDefault="003E638B" w:rsidP="008F4F69">
            <w:pPr>
              <w:widowControl w:val="0"/>
              <w:rPr>
                <w:sz w:val="16"/>
                <w:szCs w:val="16"/>
                <w:lang w:val="es-ES_tradnl" w:bidi="th-TH"/>
              </w:rPr>
            </w:pPr>
          </w:p>
          <w:p w:rsidR="003E638B" w:rsidRPr="00C75C7E" w:rsidRDefault="003E638B" w:rsidP="008F4F69">
            <w:pPr>
              <w:widowControl w:val="0"/>
              <w:rPr>
                <w:sz w:val="16"/>
                <w:szCs w:val="16"/>
                <w:lang w:val="es-ES_tradnl" w:bidi="th-TH"/>
              </w:rPr>
            </w:pPr>
          </w:p>
          <w:p w:rsidR="003E638B" w:rsidRPr="00C75C7E" w:rsidRDefault="003E638B" w:rsidP="008F4F69">
            <w:pPr>
              <w:widowControl w:val="0"/>
              <w:rPr>
                <w:sz w:val="16"/>
                <w:szCs w:val="16"/>
                <w:lang w:val="es-ES_tradnl"/>
              </w:rPr>
            </w:pPr>
          </w:p>
        </w:tc>
        <w:tc>
          <w:tcPr>
            <w:tcW w:w="1082" w:type="pct"/>
            <w:shd w:val="clear" w:color="auto" w:fill="auto"/>
            <w:tcMar>
              <w:top w:w="113" w:type="dxa"/>
            </w:tcMar>
          </w:tcPr>
          <w:p w:rsidR="003E638B" w:rsidRPr="00C75C7E" w:rsidRDefault="003E638B" w:rsidP="008F4F69">
            <w:pPr>
              <w:widowControl w:val="0"/>
              <w:tabs>
                <w:tab w:val="left" w:pos="2051"/>
              </w:tabs>
              <w:ind w:right="381"/>
              <w:rPr>
                <w:bCs/>
                <w:sz w:val="16"/>
                <w:szCs w:val="16"/>
                <w:lang w:val="es-ES_tradnl"/>
              </w:rPr>
            </w:pPr>
            <w:r w:rsidRPr="00C75C7E">
              <w:rPr>
                <w:bCs/>
                <w:sz w:val="16"/>
                <w:szCs w:val="16"/>
                <w:lang w:val="es-ES_tradnl"/>
              </w:rPr>
              <w:t xml:space="preserve">Aumento del 10% respecto de 2012/13 en el número </w:t>
            </w:r>
            <w:r w:rsidR="00A117FF">
              <w:rPr>
                <w:bCs/>
                <w:sz w:val="16"/>
                <w:szCs w:val="16"/>
                <w:lang w:val="es-ES_tradnl"/>
              </w:rPr>
              <w:t xml:space="preserve">de </w:t>
            </w:r>
            <w:r w:rsidRPr="00C75C7E">
              <w:rPr>
                <w:bCs/>
                <w:sz w:val="16"/>
                <w:szCs w:val="16"/>
                <w:lang w:val="es-ES_tradnl"/>
              </w:rPr>
              <w:t>usuarios.</w:t>
            </w:r>
          </w:p>
        </w:tc>
      </w:tr>
      <w:tr w:rsidR="003E638B" w:rsidRPr="00C75C7E" w:rsidTr="008F4F69">
        <w:trPr>
          <w:cantSplit/>
        </w:trPr>
        <w:tc>
          <w:tcPr>
            <w:tcW w:w="1249" w:type="pct"/>
            <w:vMerge w:val="restart"/>
            <w:shd w:val="clear" w:color="auto" w:fill="auto"/>
            <w:tcMar>
              <w:top w:w="113" w:type="dxa"/>
            </w:tcMar>
          </w:tcPr>
          <w:p w:rsidR="003E638B" w:rsidRPr="00C75C7E" w:rsidRDefault="003E638B" w:rsidP="008F4F69">
            <w:pPr>
              <w:widowControl w:val="0"/>
              <w:rPr>
                <w:sz w:val="16"/>
                <w:szCs w:val="16"/>
                <w:lang w:val="es-ES_tradnl"/>
              </w:rPr>
            </w:pPr>
            <w:r w:rsidRPr="00C75C7E">
              <w:rPr>
                <w:sz w:val="16"/>
                <w:szCs w:val="16"/>
                <w:lang w:val="es-ES_tradnl"/>
              </w:rPr>
              <w:t>V.2. Ampliación y mejora del uso de los análisis económicos de la OMPI en la formulación de políticas.</w:t>
            </w:r>
          </w:p>
          <w:p w:rsidR="003E638B" w:rsidRPr="00C75C7E" w:rsidRDefault="003E638B" w:rsidP="008F4F69">
            <w:pPr>
              <w:widowControl w:val="0"/>
              <w:rPr>
                <w:sz w:val="16"/>
                <w:szCs w:val="16"/>
                <w:lang w:val="es-ES_tradnl"/>
              </w:rPr>
            </w:pPr>
          </w:p>
        </w:tc>
        <w:tc>
          <w:tcPr>
            <w:tcW w:w="1514" w:type="pct"/>
            <w:shd w:val="clear" w:color="auto" w:fill="auto"/>
            <w:tcMar>
              <w:top w:w="113" w:type="dxa"/>
            </w:tcMar>
          </w:tcPr>
          <w:p w:rsidR="003E638B" w:rsidRPr="00C75C7E" w:rsidRDefault="003E638B" w:rsidP="008F4F69">
            <w:pPr>
              <w:widowControl w:val="0"/>
              <w:rPr>
                <w:sz w:val="16"/>
                <w:szCs w:val="16"/>
                <w:lang w:val="es-ES_tradnl"/>
              </w:rPr>
            </w:pPr>
            <w:r w:rsidRPr="00C75C7E">
              <w:rPr>
                <w:sz w:val="16"/>
                <w:szCs w:val="16"/>
                <w:lang w:val="es-ES_tradnl"/>
              </w:rPr>
              <w:t>Número de descargas de las principales publicaciones económicas.</w:t>
            </w:r>
          </w:p>
        </w:tc>
        <w:tc>
          <w:tcPr>
            <w:tcW w:w="1156" w:type="pct"/>
            <w:shd w:val="clear" w:color="auto" w:fill="FFFFFF"/>
            <w:tcMar>
              <w:top w:w="113" w:type="dxa"/>
            </w:tcMar>
          </w:tcPr>
          <w:p w:rsidR="003E638B" w:rsidRPr="00C75C7E" w:rsidRDefault="003E638B" w:rsidP="008F4F69">
            <w:pPr>
              <w:widowControl w:val="0"/>
              <w:rPr>
                <w:sz w:val="16"/>
                <w:szCs w:val="16"/>
                <w:lang w:val="es-ES_tradnl" w:bidi="th-TH"/>
              </w:rPr>
            </w:pPr>
            <w:r w:rsidRPr="00C75C7E">
              <w:rPr>
                <w:sz w:val="16"/>
                <w:szCs w:val="16"/>
                <w:lang w:val="es-ES_tradnl" w:bidi="th-TH"/>
              </w:rPr>
              <w:t>Por determinar al final de 2013.</w:t>
            </w:r>
          </w:p>
          <w:p w:rsidR="003E638B" w:rsidRPr="00C75C7E" w:rsidRDefault="003E638B" w:rsidP="008F4F69">
            <w:pPr>
              <w:widowControl w:val="0"/>
              <w:rPr>
                <w:sz w:val="16"/>
                <w:szCs w:val="16"/>
                <w:lang w:val="es-ES_tradnl" w:bidi="th-TH"/>
              </w:rPr>
            </w:pPr>
          </w:p>
          <w:p w:rsidR="003E638B" w:rsidRPr="00C75C7E" w:rsidRDefault="003E638B" w:rsidP="008F4F69">
            <w:pPr>
              <w:widowControl w:val="0"/>
              <w:rPr>
                <w:sz w:val="16"/>
                <w:szCs w:val="16"/>
                <w:lang w:val="es-ES_tradnl"/>
              </w:rPr>
            </w:pPr>
          </w:p>
        </w:tc>
        <w:tc>
          <w:tcPr>
            <w:tcW w:w="1082" w:type="pct"/>
            <w:shd w:val="clear" w:color="auto" w:fill="auto"/>
            <w:tcMar>
              <w:top w:w="113" w:type="dxa"/>
            </w:tcMar>
          </w:tcPr>
          <w:p w:rsidR="003E638B" w:rsidRPr="00C75C7E" w:rsidRDefault="003E638B" w:rsidP="008F4F69">
            <w:pPr>
              <w:widowControl w:val="0"/>
              <w:ind w:right="51"/>
              <w:rPr>
                <w:bCs/>
                <w:sz w:val="16"/>
                <w:szCs w:val="16"/>
                <w:lang w:val="es-ES_tradnl"/>
              </w:rPr>
            </w:pPr>
            <w:r w:rsidRPr="00C75C7E">
              <w:rPr>
                <w:bCs/>
                <w:sz w:val="16"/>
                <w:szCs w:val="16"/>
                <w:lang w:val="es-ES_tradnl"/>
              </w:rPr>
              <w:t>Aumento del 20% respecto de 2012/13.</w:t>
            </w:r>
          </w:p>
        </w:tc>
      </w:tr>
      <w:tr w:rsidR="003E638B" w:rsidRPr="00C75C7E" w:rsidTr="008F4F69">
        <w:trPr>
          <w:cantSplit/>
          <w:trHeight w:val="500"/>
        </w:trPr>
        <w:tc>
          <w:tcPr>
            <w:tcW w:w="1249" w:type="pct"/>
            <w:vMerge/>
            <w:shd w:val="clear" w:color="auto" w:fill="auto"/>
            <w:tcMar>
              <w:top w:w="113" w:type="dxa"/>
            </w:tcMar>
          </w:tcPr>
          <w:p w:rsidR="003E638B" w:rsidRPr="00C75C7E" w:rsidRDefault="003E638B" w:rsidP="008F4F69">
            <w:pPr>
              <w:widowControl w:val="0"/>
              <w:rPr>
                <w:sz w:val="16"/>
                <w:szCs w:val="16"/>
                <w:lang w:val="es-ES_tradnl"/>
              </w:rPr>
            </w:pPr>
          </w:p>
        </w:tc>
        <w:tc>
          <w:tcPr>
            <w:tcW w:w="1514" w:type="pct"/>
            <w:shd w:val="clear" w:color="auto" w:fill="auto"/>
            <w:tcMar>
              <w:top w:w="113" w:type="dxa"/>
            </w:tcMar>
          </w:tcPr>
          <w:p w:rsidR="003E638B" w:rsidRPr="00C75C7E" w:rsidRDefault="003E638B" w:rsidP="008F4F69">
            <w:pPr>
              <w:widowControl w:val="0"/>
              <w:rPr>
                <w:sz w:val="16"/>
                <w:szCs w:val="16"/>
                <w:lang w:val="es-ES_tradnl"/>
              </w:rPr>
            </w:pPr>
            <w:r w:rsidRPr="00C75C7E">
              <w:rPr>
                <w:sz w:val="16"/>
                <w:szCs w:val="16"/>
                <w:lang w:val="es-ES_tradnl"/>
              </w:rPr>
              <w:t>Número de descargas de estudios.</w:t>
            </w:r>
          </w:p>
        </w:tc>
        <w:tc>
          <w:tcPr>
            <w:tcW w:w="1156" w:type="pct"/>
            <w:shd w:val="clear" w:color="auto" w:fill="FFFFFF"/>
            <w:tcMar>
              <w:top w:w="113" w:type="dxa"/>
            </w:tcMar>
          </w:tcPr>
          <w:p w:rsidR="003E638B" w:rsidRPr="00C75C7E" w:rsidRDefault="003E638B" w:rsidP="008F4F69">
            <w:pPr>
              <w:widowControl w:val="0"/>
              <w:rPr>
                <w:sz w:val="16"/>
                <w:szCs w:val="16"/>
                <w:lang w:val="es-ES_tradnl" w:bidi="th-TH"/>
              </w:rPr>
            </w:pPr>
            <w:r w:rsidRPr="00C75C7E">
              <w:rPr>
                <w:sz w:val="16"/>
                <w:szCs w:val="16"/>
                <w:lang w:val="es-ES_tradnl" w:bidi="th-TH"/>
              </w:rPr>
              <w:t>Por determinar al final de 2013.</w:t>
            </w:r>
          </w:p>
          <w:p w:rsidR="003E638B" w:rsidRPr="00C75C7E" w:rsidRDefault="003E638B" w:rsidP="008F4F69">
            <w:pPr>
              <w:widowControl w:val="0"/>
              <w:rPr>
                <w:sz w:val="16"/>
                <w:szCs w:val="16"/>
                <w:lang w:val="es-ES_tradnl" w:bidi="th-TH"/>
              </w:rPr>
            </w:pPr>
          </w:p>
          <w:p w:rsidR="003E638B" w:rsidRPr="00C75C7E" w:rsidRDefault="003E638B" w:rsidP="008F4F69">
            <w:pPr>
              <w:widowControl w:val="0"/>
              <w:rPr>
                <w:sz w:val="16"/>
                <w:szCs w:val="16"/>
                <w:lang w:val="es-ES_tradnl"/>
              </w:rPr>
            </w:pPr>
          </w:p>
        </w:tc>
        <w:tc>
          <w:tcPr>
            <w:tcW w:w="1082" w:type="pct"/>
            <w:shd w:val="clear" w:color="auto" w:fill="auto"/>
            <w:tcMar>
              <w:top w:w="113" w:type="dxa"/>
            </w:tcMar>
          </w:tcPr>
          <w:p w:rsidR="003E638B" w:rsidRPr="00C75C7E" w:rsidRDefault="003E638B" w:rsidP="008F4F69">
            <w:pPr>
              <w:widowControl w:val="0"/>
              <w:ind w:right="161"/>
              <w:rPr>
                <w:bCs/>
                <w:sz w:val="16"/>
                <w:szCs w:val="16"/>
                <w:lang w:val="es-ES_tradnl"/>
              </w:rPr>
            </w:pPr>
            <w:r w:rsidRPr="00C75C7E">
              <w:rPr>
                <w:bCs/>
                <w:sz w:val="16"/>
                <w:szCs w:val="16"/>
                <w:lang w:val="es-ES_tradnl"/>
              </w:rPr>
              <w:t>Ocho nuevos documentos de trabajo.</w:t>
            </w:r>
          </w:p>
        </w:tc>
      </w:tr>
      <w:tr w:rsidR="003E638B" w:rsidRPr="00C75C7E" w:rsidTr="008F4F69">
        <w:trPr>
          <w:cantSplit/>
          <w:trHeight w:val="592"/>
        </w:trPr>
        <w:tc>
          <w:tcPr>
            <w:tcW w:w="1249" w:type="pct"/>
            <w:vMerge/>
            <w:shd w:val="clear" w:color="auto" w:fill="auto"/>
            <w:tcMar>
              <w:top w:w="113" w:type="dxa"/>
            </w:tcMar>
          </w:tcPr>
          <w:p w:rsidR="003E638B" w:rsidRPr="00C75C7E" w:rsidRDefault="003E638B" w:rsidP="008F4F69">
            <w:pPr>
              <w:widowControl w:val="0"/>
              <w:rPr>
                <w:sz w:val="16"/>
                <w:szCs w:val="16"/>
                <w:lang w:val="es-ES_tradnl"/>
              </w:rPr>
            </w:pPr>
          </w:p>
        </w:tc>
        <w:tc>
          <w:tcPr>
            <w:tcW w:w="1514" w:type="pct"/>
            <w:shd w:val="clear" w:color="auto" w:fill="auto"/>
            <w:tcMar>
              <w:top w:w="113" w:type="dxa"/>
            </w:tcMar>
          </w:tcPr>
          <w:p w:rsidR="003E638B" w:rsidRPr="00C75C7E" w:rsidRDefault="003E638B" w:rsidP="008F4F69">
            <w:pPr>
              <w:widowControl w:val="0"/>
              <w:rPr>
                <w:sz w:val="16"/>
                <w:szCs w:val="16"/>
                <w:lang w:val="es-ES_tradnl"/>
              </w:rPr>
            </w:pPr>
            <w:r w:rsidRPr="00C75C7E">
              <w:rPr>
                <w:sz w:val="16"/>
                <w:szCs w:val="16"/>
                <w:lang w:val="es-ES_tradnl"/>
              </w:rPr>
              <w:t>Número de descargas de seminarios.</w:t>
            </w:r>
          </w:p>
        </w:tc>
        <w:tc>
          <w:tcPr>
            <w:tcW w:w="1156" w:type="pct"/>
            <w:shd w:val="clear" w:color="auto" w:fill="FFFFFF"/>
            <w:tcMar>
              <w:top w:w="113" w:type="dxa"/>
            </w:tcMar>
          </w:tcPr>
          <w:p w:rsidR="003E638B" w:rsidRPr="00C75C7E" w:rsidRDefault="003E638B" w:rsidP="008F4F69">
            <w:pPr>
              <w:widowControl w:val="0"/>
              <w:rPr>
                <w:sz w:val="16"/>
                <w:szCs w:val="16"/>
                <w:lang w:val="es-ES_tradnl" w:bidi="th-TH"/>
              </w:rPr>
            </w:pPr>
            <w:r w:rsidRPr="00C75C7E">
              <w:rPr>
                <w:sz w:val="16"/>
                <w:szCs w:val="16"/>
                <w:lang w:val="es-ES_tradnl" w:bidi="th-TH"/>
              </w:rPr>
              <w:t>Por determinar al final de 2013.</w:t>
            </w:r>
          </w:p>
        </w:tc>
        <w:tc>
          <w:tcPr>
            <w:tcW w:w="1082" w:type="pct"/>
            <w:shd w:val="clear" w:color="auto" w:fill="auto"/>
            <w:tcMar>
              <w:top w:w="113" w:type="dxa"/>
            </w:tcMar>
          </w:tcPr>
          <w:p w:rsidR="003E638B" w:rsidRPr="00C75C7E" w:rsidRDefault="003E638B" w:rsidP="008F4F69">
            <w:pPr>
              <w:widowControl w:val="0"/>
              <w:ind w:right="161"/>
              <w:rPr>
                <w:bCs/>
                <w:sz w:val="16"/>
                <w:szCs w:val="16"/>
                <w:lang w:val="es-ES_tradnl"/>
              </w:rPr>
            </w:pPr>
            <w:r w:rsidRPr="00C75C7E">
              <w:rPr>
                <w:bCs/>
                <w:sz w:val="16"/>
                <w:szCs w:val="16"/>
                <w:lang w:val="es-ES_tradnl"/>
              </w:rPr>
              <w:t>Mantenimiento del rendimiento del bienio anterior.</w:t>
            </w:r>
          </w:p>
        </w:tc>
      </w:tr>
    </w:tbl>
    <w:p w:rsidR="003E638B" w:rsidRDefault="003E638B" w:rsidP="003E638B">
      <w:pPr>
        <w:widowControl w:val="0"/>
        <w:tabs>
          <w:tab w:val="left" w:pos="567"/>
          <w:tab w:val="left" w:pos="1985"/>
        </w:tabs>
        <w:jc w:val="both"/>
        <w:rPr>
          <w:bCs/>
          <w:sz w:val="20"/>
          <w:lang w:val="es-ES_tradnl"/>
        </w:rPr>
      </w:pPr>
    </w:p>
    <w:p w:rsidR="00D46726" w:rsidRPr="00AD1E8B" w:rsidRDefault="00D46726" w:rsidP="00D46726">
      <w:pPr>
        <w:keepNext/>
        <w:widowControl w:val="0"/>
        <w:autoSpaceDE w:val="0"/>
        <w:autoSpaceDN w:val="0"/>
        <w:adjustRightInd w:val="0"/>
        <w:rPr>
          <w:szCs w:val="22"/>
          <w:lang w:val="es-ES_tradnl"/>
        </w:rPr>
      </w:pPr>
      <w:r w:rsidRPr="00AD1E8B">
        <w:rPr>
          <w:szCs w:val="22"/>
          <w:lang w:val="es-ES_tradnl"/>
        </w:rPr>
        <w:lastRenderedPageBreak/>
        <w:t>RECURSOS PARA EL PROGRAMA 16</w:t>
      </w:r>
    </w:p>
    <w:p w:rsidR="00D46726" w:rsidRPr="00AD1E8B" w:rsidRDefault="00D46726" w:rsidP="00D46726">
      <w:pPr>
        <w:widowControl w:val="0"/>
        <w:autoSpaceDE w:val="0"/>
        <w:autoSpaceDN w:val="0"/>
        <w:adjustRightInd w:val="0"/>
        <w:rPr>
          <w:sz w:val="20"/>
          <w:lang w:val="es-ES_tradnl"/>
        </w:rPr>
      </w:pPr>
    </w:p>
    <w:p w:rsidR="00D46726" w:rsidRPr="00AD1E8B" w:rsidRDefault="00D46726" w:rsidP="00E17471">
      <w:pPr>
        <w:widowControl w:val="0"/>
        <w:numPr>
          <w:ilvl w:val="0"/>
          <w:numId w:val="10"/>
        </w:numPr>
        <w:jc w:val="both"/>
        <w:rPr>
          <w:sz w:val="20"/>
          <w:lang w:val="es-ES_tradnl"/>
        </w:rPr>
      </w:pPr>
      <w:r w:rsidRPr="00AD1E8B">
        <w:rPr>
          <w:sz w:val="20"/>
          <w:lang w:val="es-ES_tradnl"/>
        </w:rPr>
        <w:t xml:space="preserve">Los recursos asignados al resultado V.1 (Ampliación y mejora del uso de la información estadística de la OMPI en materia de P.I.) reflejan el incremento de la asignación de recursos humanos a la producción de información estadística sobre los resultados del sistema de P.I. a escala mundial, mientras que el modesto crecimiento neto de los recursos correspondientes al </w:t>
      </w:r>
      <w:r>
        <w:rPr>
          <w:sz w:val="20"/>
          <w:lang w:val="es-ES_tradnl"/>
        </w:rPr>
        <w:t>r</w:t>
      </w:r>
      <w:r w:rsidRPr="00AD1E8B">
        <w:rPr>
          <w:sz w:val="20"/>
          <w:lang w:val="es-ES_tradnl"/>
        </w:rPr>
        <w:t xml:space="preserve">esultado V.2 (Ampliación y mejora del uso de los análisis económicos de la OMPI en la formulación de políticas) refleja el decremento de los recursos a raíz de la culminación de dos proyectos de la A.D. (La P.I. y el desarrollo socioeconómico y La P.I. y la economía informal), decremento que se ha visto compensado por el incremento destinado a la proyectada </w:t>
      </w:r>
      <w:r>
        <w:rPr>
          <w:sz w:val="20"/>
          <w:lang w:val="es-ES_tradnl"/>
        </w:rPr>
        <w:t>f</w:t>
      </w:r>
      <w:r w:rsidRPr="00AD1E8B">
        <w:rPr>
          <w:sz w:val="20"/>
          <w:lang w:val="es-ES_tradnl"/>
        </w:rPr>
        <w:t xml:space="preserve">ase II del proyecto de la A.D. sobre La P.I. y el desarrollo socioeconómico. </w:t>
      </w:r>
    </w:p>
    <w:p w:rsidR="00D46726" w:rsidRPr="00AD1E8B" w:rsidRDefault="00D46726" w:rsidP="00D46726">
      <w:pPr>
        <w:widowControl w:val="0"/>
        <w:jc w:val="both"/>
        <w:rPr>
          <w:sz w:val="20"/>
          <w:lang w:val="es-ES_tradnl"/>
        </w:rPr>
      </w:pPr>
    </w:p>
    <w:p w:rsidR="00D46726" w:rsidRPr="00AD1E8B" w:rsidRDefault="00D46726" w:rsidP="00E17471">
      <w:pPr>
        <w:widowControl w:val="0"/>
        <w:numPr>
          <w:ilvl w:val="0"/>
          <w:numId w:val="10"/>
        </w:numPr>
        <w:jc w:val="both"/>
        <w:rPr>
          <w:sz w:val="20"/>
          <w:lang w:val="es-ES_tradnl"/>
        </w:rPr>
      </w:pPr>
      <w:r w:rsidRPr="00AD1E8B">
        <w:rPr>
          <w:sz w:val="20"/>
          <w:lang w:val="es-ES_tradnl"/>
        </w:rPr>
        <w:t>No se han asignado recursos al resultado III.3 (Integración de las recomendaciones de la A.D. en la actividad de la OMPI) en 2014/15 como consecuencia de la culminación del proyecto de la A.D. sobre la P.I. y la fuga de cerebros;  análogamente, tampoco se han asignado recursos al resultado VII.2 (Adopción generalizada de plataformas que fomenten la cooperación al abordar problemas de orden mundial) como consecuencia de la culminación del proyecto de la A.D. sobre los Proyectos de colaboración abierta.</w:t>
      </w:r>
    </w:p>
    <w:p w:rsidR="00D46726" w:rsidRPr="00AD1E8B" w:rsidRDefault="00D46726" w:rsidP="00D46726">
      <w:pPr>
        <w:widowControl w:val="0"/>
        <w:rPr>
          <w:sz w:val="20"/>
          <w:lang w:val="es-ES_tradnl"/>
        </w:rPr>
      </w:pPr>
    </w:p>
    <w:p w:rsidR="003E638B" w:rsidRPr="00C75C7E" w:rsidRDefault="003E638B" w:rsidP="003E638B">
      <w:pPr>
        <w:widowControl w:val="0"/>
        <w:rPr>
          <w:sz w:val="20"/>
          <w:lang w:val="es-ES_tradnl"/>
        </w:rPr>
      </w:pPr>
    </w:p>
    <w:p w:rsidR="003E638B" w:rsidRPr="00C75C7E" w:rsidRDefault="00033E8A" w:rsidP="00F21127">
      <w:pPr>
        <w:keepNext/>
        <w:widowControl w:val="0"/>
        <w:autoSpaceDE w:val="0"/>
        <w:autoSpaceDN w:val="0"/>
        <w:adjustRightInd w:val="0"/>
        <w:jc w:val="center"/>
        <w:rPr>
          <w:b/>
          <w:bCs/>
          <w:iCs/>
          <w:sz w:val="20"/>
          <w:lang w:val="es-ES_tradnl"/>
        </w:rPr>
      </w:pPr>
      <w:r>
        <w:rPr>
          <w:b/>
          <w:bCs/>
          <w:iCs/>
          <w:sz w:val="20"/>
          <w:lang w:val="es-ES_tradnl"/>
        </w:rPr>
        <w:t>Programa 16</w:t>
      </w:r>
      <w:proofErr w:type="gramStart"/>
      <w:r>
        <w:rPr>
          <w:b/>
          <w:bCs/>
          <w:iCs/>
          <w:sz w:val="20"/>
          <w:lang w:val="es-ES_tradnl"/>
        </w:rPr>
        <w:t xml:space="preserve">:  </w:t>
      </w:r>
      <w:r w:rsidR="003E638B" w:rsidRPr="00C75C7E">
        <w:rPr>
          <w:b/>
          <w:bCs/>
          <w:iCs/>
          <w:sz w:val="20"/>
          <w:lang w:val="es-ES_tradnl"/>
        </w:rPr>
        <w:t>Recursos</w:t>
      </w:r>
      <w:proofErr w:type="gramEnd"/>
      <w:r w:rsidR="003E638B" w:rsidRPr="00C75C7E">
        <w:rPr>
          <w:b/>
          <w:bCs/>
          <w:iCs/>
          <w:sz w:val="20"/>
          <w:lang w:val="es-ES_tradnl"/>
        </w:rPr>
        <w:t xml:space="preserve"> por resultado</w:t>
      </w:r>
    </w:p>
    <w:p w:rsidR="003E638B" w:rsidRPr="00C75C7E" w:rsidRDefault="003E638B" w:rsidP="00F21127">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3E638B" w:rsidRPr="00C75C7E" w:rsidRDefault="003E638B" w:rsidP="00F21127">
      <w:pPr>
        <w:keepNext/>
        <w:widowControl w:val="0"/>
        <w:autoSpaceDE w:val="0"/>
        <w:autoSpaceDN w:val="0"/>
        <w:adjustRightInd w:val="0"/>
        <w:jc w:val="center"/>
        <w:rPr>
          <w:sz w:val="20"/>
          <w:lang w:val="es-ES_tradnl"/>
        </w:rPr>
      </w:pPr>
    </w:p>
    <w:p w:rsidR="003E638B" w:rsidRPr="00C75C7E" w:rsidRDefault="00C40A11" w:rsidP="00F21127">
      <w:pPr>
        <w:keepNext/>
        <w:widowControl w:val="0"/>
        <w:jc w:val="center"/>
        <w:rPr>
          <w:sz w:val="20"/>
          <w:lang w:val="es-ES_tradnl"/>
        </w:rPr>
      </w:pPr>
      <w:r>
        <w:rPr>
          <w:noProof/>
          <w:lang w:val="en-US" w:eastAsia="en-US"/>
        </w:rPr>
        <w:drawing>
          <wp:inline distT="0" distB="0" distL="0" distR="0" wp14:anchorId="7C1A1DA3" wp14:editId="10EFF7C5">
            <wp:extent cx="5752465" cy="2702560"/>
            <wp:effectExtent l="0" t="0" r="635" b="2540"/>
            <wp:docPr id="56"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752465" cy="2702560"/>
                    </a:xfrm>
                    <a:prstGeom prst="rect">
                      <a:avLst/>
                    </a:prstGeom>
                    <a:noFill/>
                    <a:ln>
                      <a:noFill/>
                    </a:ln>
                  </pic:spPr>
                </pic:pic>
              </a:graphicData>
            </a:graphic>
          </wp:inline>
        </w:drawing>
      </w:r>
    </w:p>
    <w:p w:rsidR="003E638B" w:rsidRPr="00C75C7E" w:rsidRDefault="003E638B" w:rsidP="00F21127">
      <w:pPr>
        <w:keepNext/>
        <w:widowControl w:val="0"/>
        <w:jc w:val="both"/>
        <w:rPr>
          <w:sz w:val="20"/>
          <w:lang w:val="es-ES_tradnl"/>
        </w:rPr>
      </w:pPr>
    </w:p>
    <w:p w:rsidR="003E638B" w:rsidRPr="00C75C7E" w:rsidRDefault="003E638B" w:rsidP="00F21127">
      <w:pPr>
        <w:keepNext/>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8920C1">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3E638B" w:rsidRPr="00C75C7E" w:rsidRDefault="003E638B" w:rsidP="003E638B">
      <w:pPr>
        <w:widowControl w:val="0"/>
        <w:jc w:val="both"/>
        <w:rPr>
          <w:sz w:val="20"/>
          <w:lang w:val="es-ES_tradnl"/>
        </w:rPr>
      </w:pPr>
    </w:p>
    <w:p w:rsidR="003E638B" w:rsidRPr="00C75C7E" w:rsidRDefault="00033E8A" w:rsidP="00D46726">
      <w:pPr>
        <w:keepNext/>
        <w:widowControl w:val="0"/>
        <w:autoSpaceDE w:val="0"/>
        <w:autoSpaceDN w:val="0"/>
        <w:adjustRightInd w:val="0"/>
        <w:ind w:firstLine="567"/>
        <w:jc w:val="center"/>
        <w:rPr>
          <w:b/>
          <w:bCs/>
          <w:iCs/>
          <w:sz w:val="20"/>
          <w:lang w:val="es-ES_tradnl"/>
        </w:rPr>
      </w:pPr>
      <w:r>
        <w:rPr>
          <w:b/>
          <w:bCs/>
          <w:iCs/>
          <w:sz w:val="20"/>
          <w:lang w:val="es-ES_tradnl"/>
        </w:rPr>
        <w:lastRenderedPageBreak/>
        <w:t>Programa 16</w:t>
      </w:r>
      <w:proofErr w:type="gramStart"/>
      <w:r>
        <w:rPr>
          <w:b/>
          <w:bCs/>
          <w:iCs/>
          <w:sz w:val="20"/>
          <w:lang w:val="es-ES_tradnl"/>
        </w:rPr>
        <w:t xml:space="preserve">:  </w:t>
      </w:r>
      <w:r w:rsidR="003E638B" w:rsidRPr="00C75C7E">
        <w:rPr>
          <w:b/>
          <w:bCs/>
          <w:iCs/>
          <w:sz w:val="20"/>
          <w:lang w:val="es-ES_tradnl"/>
        </w:rPr>
        <w:t>Recursos</w:t>
      </w:r>
      <w:proofErr w:type="gramEnd"/>
      <w:r w:rsidR="003E638B" w:rsidRPr="00C75C7E">
        <w:rPr>
          <w:b/>
          <w:bCs/>
          <w:iCs/>
          <w:sz w:val="20"/>
          <w:lang w:val="es-ES_tradnl"/>
        </w:rPr>
        <w:t xml:space="preserve"> por objeto de gasto</w:t>
      </w:r>
    </w:p>
    <w:p w:rsidR="003E638B" w:rsidRPr="00C75C7E" w:rsidRDefault="003E638B" w:rsidP="00D46726">
      <w:pPr>
        <w:keepNext/>
        <w:widowControl w:val="0"/>
        <w:jc w:val="center"/>
        <w:rPr>
          <w:i/>
          <w:sz w:val="18"/>
          <w:szCs w:val="18"/>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3E638B" w:rsidRDefault="003E638B" w:rsidP="00D46726">
      <w:pPr>
        <w:keepNext/>
        <w:widowControl w:val="0"/>
        <w:jc w:val="center"/>
        <w:rPr>
          <w:i/>
          <w:sz w:val="16"/>
          <w:szCs w:val="16"/>
          <w:lang w:val="es-ES_tradnl"/>
        </w:rPr>
      </w:pPr>
    </w:p>
    <w:p w:rsidR="001E5683" w:rsidRPr="00C75C7E" w:rsidRDefault="00C40A11" w:rsidP="00D46726">
      <w:pPr>
        <w:keepNext/>
        <w:widowControl w:val="0"/>
        <w:jc w:val="center"/>
        <w:rPr>
          <w:i/>
          <w:sz w:val="16"/>
          <w:szCs w:val="16"/>
          <w:lang w:val="es-ES_tradnl"/>
        </w:rPr>
      </w:pPr>
      <w:r>
        <w:rPr>
          <w:noProof/>
          <w:lang w:val="en-US" w:eastAsia="en-US"/>
        </w:rPr>
        <w:drawing>
          <wp:inline distT="0" distB="0" distL="0" distR="0" wp14:anchorId="6100F64A" wp14:editId="7CF557C9">
            <wp:extent cx="5936615" cy="6209665"/>
            <wp:effectExtent l="0" t="0" r="6985"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36615" cy="6209665"/>
                    </a:xfrm>
                    <a:prstGeom prst="rect">
                      <a:avLst/>
                    </a:prstGeom>
                    <a:noFill/>
                    <a:ln>
                      <a:noFill/>
                    </a:ln>
                  </pic:spPr>
                </pic:pic>
              </a:graphicData>
            </a:graphic>
          </wp:inline>
        </w:drawing>
      </w:r>
    </w:p>
    <w:p w:rsidR="001E5683" w:rsidRDefault="001E5683" w:rsidP="003E638B">
      <w:pPr>
        <w:widowControl w:val="0"/>
        <w:rPr>
          <w:lang w:val="es-ES_tradnl"/>
        </w:rPr>
      </w:pPr>
    </w:p>
    <w:p w:rsidR="003E638B" w:rsidRPr="00C75C7E" w:rsidRDefault="003E638B" w:rsidP="003E638B">
      <w:pPr>
        <w:widowControl w:val="0"/>
        <w:rPr>
          <w:sz w:val="16"/>
          <w:szCs w:val="16"/>
          <w:lang w:val="es-ES_tradnl"/>
        </w:rPr>
      </w:pPr>
      <w:r w:rsidRPr="00C75C7E">
        <w:rPr>
          <w:sz w:val="16"/>
          <w:szCs w:val="16"/>
          <w:lang w:val="es-ES_tradnl"/>
        </w:rPr>
        <w:t>Notas:</w:t>
      </w:r>
    </w:p>
    <w:p w:rsidR="003E638B" w:rsidRPr="00C75C7E" w:rsidRDefault="003E638B" w:rsidP="003E638B">
      <w:pPr>
        <w:widowControl w:val="0"/>
        <w:rPr>
          <w:sz w:val="16"/>
          <w:szCs w:val="16"/>
          <w:u w:val="single"/>
          <w:lang w:val="es-ES_tradnl"/>
        </w:rPr>
      </w:pPr>
    </w:p>
    <w:p w:rsidR="003E638B" w:rsidRDefault="008920C1" w:rsidP="003E638B">
      <w:pPr>
        <w:widowControl w:val="0"/>
        <w:tabs>
          <w:tab w:val="left" w:pos="567"/>
        </w:tabs>
        <w:rPr>
          <w:sz w:val="16"/>
          <w:szCs w:val="16"/>
          <w:lang w:val="es-ES_tradnl"/>
        </w:rPr>
      </w:pPr>
      <w:r>
        <w:rPr>
          <w:sz w:val="16"/>
          <w:szCs w:val="16"/>
          <w:lang w:val="es-ES_tradnl"/>
        </w:rPr>
        <w:t xml:space="preserve">1)  </w:t>
      </w:r>
      <w:r w:rsidR="003E638B" w:rsidRPr="00C75C7E">
        <w:rPr>
          <w:sz w:val="16"/>
          <w:szCs w:val="16"/>
          <w:lang w:val="es-ES_tradnl"/>
        </w:rPr>
        <w:t xml:space="preserve">El presupuesto aprobado de 2012/13 y el presupuesto de dicho bienio después de las transferencias se </w:t>
      </w:r>
      <w:proofErr w:type="spellStart"/>
      <w:r w:rsidR="003E638B" w:rsidRPr="00C75C7E">
        <w:rPr>
          <w:sz w:val="16"/>
          <w:szCs w:val="16"/>
          <w:lang w:val="es-ES_tradnl"/>
        </w:rPr>
        <w:t>reexpresan</w:t>
      </w:r>
      <w:proofErr w:type="spellEnd"/>
      <w:r w:rsidR="003E638B" w:rsidRPr="00C75C7E">
        <w:rPr>
          <w:sz w:val="16"/>
          <w:szCs w:val="16"/>
          <w:lang w:val="es-ES_tradnl"/>
        </w:rPr>
        <w:t xml:space="preserve"> sobre la base de la estructura de categorías de costos propuesta para 2014/15.</w:t>
      </w:r>
    </w:p>
    <w:p w:rsidR="003E638B" w:rsidRPr="00C75C7E" w:rsidRDefault="003E638B" w:rsidP="003E638B">
      <w:pPr>
        <w:widowControl w:val="0"/>
        <w:tabs>
          <w:tab w:val="left" w:pos="567"/>
        </w:tabs>
        <w:rPr>
          <w:sz w:val="16"/>
          <w:szCs w:val="16"/>
          <w:lang w:val="es-ES_tradnl"/>
        </w:rPr>
      </w:pPr>
    </w:p>
    <w:p w:rsidR="003E638B" w:rsidRDefault="003E638B" w:rsidP="003E638B">
      <w:pPr>
        <w:widowControl w:val="0"/>
        <w:rPr>
          <w:rFonts w:cs="ArialMT"/>
          <w:sz w:val="16"/>
          <w:szCs w:val="16"/>
          <w:lang w:val="es-ES_tradnl"/>
        </w:rPr>
      </w:pPr>
      <w:r>
        <w:rPr>
          <w:sz w:val="16"/>
          <w:szCs w:val="16"/>
          <w:lang w:val="es-ES_tradnl"/>
        </w:rPr>
        <w:t>2)</w:t>
      </w:r>
      <w:r w:rsidR="008920C1">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presupuesto de</w:t>
      </w:r>
      <w:r w:rsidR="00D86F03">
        <w:rPr>
          <w:sz w:val="16"/>
          <w:szCs w:val="16"/>
          <w:lang w:val="es-ES_tradnl"/>
        </w:rPr>
        <w:t>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Los costos de personal del presupuesto de 2012/13 después de las transferencias representan los gastos reales efectuados hasta el 31 de marzo de 2013 y los importes presupuestados para los nueve meses restantes de 2013, sobre la base de costos estándar.</w:t>
      </w:r>
    </w:p>
    <w:p w:rsidR="003E638B" w:rsidRPr="00C75C7E" w:rsidRDefault="003E638B" w:rsidP="003E638B">
      <w:pPr>
        <w:widowControl w:val="0"/>
        <w:rPr>
          <w:sz w:val="16"/>
          <w:szCs w:val="16"/>
          <w:lang w:val="es-ES_tradnl"/>
        </w:rPr>
      </w:pPr>
    </w:p>
    <w:p w:rsidR="003E638B" w:rsidRDefault="003E638B" w:rsidP="003E638B">
      <w:pPr>
        <w:widowControl w:val="0"/>
        <w:rPr>
          <w:sz w:val="16"/>
          <w:szCs w:val="16"/>
          <w:lang w:val="es-ES_tradnl"/>
        </w:rPr>
      </w:pPr>
      <w:r>
        <w:rPr>
          <w:sz w:val="16"/>
          <w:szCs w:val="16"/>
          <w:lang w:val="es-ES_tradnl"/>
        </w:rPr>
        <w:t>3)</w:t>
      </w:r>
      <w:r w:rsidR="008920C1">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3E638B" w:rsidRPr="00C75C7E" w:rsidRDefault="003E638B" w:rsidP="003E638B">
      <w:pPr>
        <w:widowControl w:val="0"/>
        <w:rPr>
          <w:sz w:val="16"/>
          <w:szCs w:val="16"/>
          <w:lang w:val="es-ES_tradnl"/>
        </w:rPr>
      </w:pPr>
    </w:p>
    <w:p w:rsidR="003E638B" w:rsidRDefault="003E638B" w:rsidP="003E638B">
      <w:pPr>
        <w:rPr>
          <w:sz w:val="16"/>
          <w:szCs w:val="16"/>
          <w:lang w:val="es-ES_tradnl"/>
        </w:rPr>
      </w:pPr>
      <w:r>
        <w:rPr>
          <w:sz w:val="16"/>
          <w:szCs w:val="16"/>
          <w:lang w:val="es-ES_tradnl"/>
        </w:rPr>
        <w:t>4)</w:t>
      </w:r>
      <w:r w:rsidR="008920C1">
        <w:rPr>
          <w:sz w:val="16"/>
          <w:szCs w:val="16"/>
          <w:lang w:val="es-ES_tradnl"/>
        </w:rPr>
        <w:t xml:space="preserve">  </w:t>
      </w:r>
      <w:r w:rsidRPr="00C75C7E">
        <w:rPr>
          <w:sz w:val="16"/>
          <w:szCs w:val="16"/>
          <w:lang w:val="es-ES_tradnl"/>
        </w:rPr>
        <w:t>Incluye el proyecto de la A.D. sobre “La propiedad intelectual y e</w:t>
      </w:r>
      <w:r w:rsidR="007176C1">
        <w:rPr>
          <w:sz w:val="16"/>
          <w:szCs w:val="16"/>
          <w:lang w:val="es-ES_tradnl"/>
        </w:rPr>
        <w:t>l desarrollo socioeconómico”.</w:t>
      </w:r>
    </w:p>
    <w:p w:rsidR="007176C1" w:rsidRDefault="007176C1" w:rsidP="003E638B">
      <w:pPr>
        <w:rPr>
          <w:sz w:val="16"/>
          <w:szCs w:val="16"/>
          <w:lang w:val="es-ES_tradnl"/>
        </w:rPr>
      </w:pPr>
    </w:p>
    <w:p w:rsidR="007176C1" w:rsidRDefault="007176C1" w:rsidP="003E638B">
      <w:pPr>
        <w:rPr>
          <w:sz w:val="16"/>
          <w:szCs w:val="16"/>
          <w:lang w:val="es-ES_tradnl"/>
        </w:rPr>
      </w:pPr>
    </w:p>
    <w:p w:rsidR="00733D42" w:rsidRDefault="00733D42">
      <w:pPr>
        <w:rPr>
          <w:sz w:val="20"/>
        </w:rPr>
      </w:pPr>
      <w:r>
        <w:rPr>
          <w:sz w:val="20"/>
        </w:rPr>
        <w:br w:type="page"/>
      </w:r>
    </w:p>
    <w:p w:rsidR="00D000E5" w:rsidRDefault="00D000E5" w:rsidP="003E638B">
      <w:pPr>
        <w:rPr>
          <w:sz w:val="20"/>
        </w:rPr>
      </w:pPr>
    </w:p>
    <w:p w:rsidR="00733D42" w:rsidRDefault="00733D42" w:rsidP="003E638B">
      <w:pPr>
        <w:rPr>
          <w:sz w:val="20"/>
        </w:rPr>
        <w:sectPr w:rsidR="00733D42" w:rsidSect="00FF362A">
          <w:headerReference w:type="default" r:id="rId97"/>
          <w:headerReference w:type="first" r:id="rId98"/>
          <w:pgSz w:w="11907" w:h="16840" w:code="9"/>
          <w:pgMar w:top="567" w:right="1134" w:bottom="1418" w:left="1418" w:header="510" w:footer="1021" w:gutter="0"/>
          <w:cols w:space="720"/>
          <w:titlePg/>
        </w:sectPr>
      </w:pPr>
    </w:p>
    <w:p w:rsidR="00033E8A" w:rsidRDefault="006A15F5" w:rsidP="00D46726">
      <w:pPr>
        <w:pStyle w:val="Heading2"/>
        <w:jc w:val="center"/>
        <w:rPr>
          <w:b/>
          <w:caps w:val="0"/>
          <w:lang w:val="es-ES_tradnl" w:eastAsia="da-DK"/>
        </w:rPr>
      </w:pPr>
      <w:bookmarkStart w:id="66" w:name="_Toc366078733"/>
      <w:bookmarkStart w:id="67" w:name="_Toc356567768"/>
      <w:r w:rsidRPr="00D46726">
        <w:rPr>
          <w:b/>
          <w:caps w:val="0"/>
          <w:lang w:val="es-ES_tradnl" w:eastAsia="da-DK"/>
        </w:rPr>
        <w:lastRenderedPageBreak/>
        <w:t>META ESTRATÉGICA VI</w:t>
      </w:r>
      <w:bookmarkEnd w:id="66"/>
    </w:p>
    <w:p w:rsidR="00C2064F" w:rsidRPr="00D46726" w:rsidRDefault="006A15F5" w:rsidP="00D46726">
      <w:pPr>
        <w:pStyle w:val="Heading2"/>
        <w:jc w:val="center"/>
        <w:rPr>
          <w:b/>
          <w:lang w:val="es-ES_tradnl" w:eastAsia="da-DK"/>
        </w:rPr>
      </w:pPr>
      <w:bookmarkStart w:id="68" w:name="_Toc366078734"/>
      <w:r w:rsidRPr="00D46726">
        <w:rPr>
          <w:b/>
          <w:caps w:val="0"/>
          <w:lang w:val="es-ES_tradnl" w:eastAsia="da-DK"/>
        </w:rPr>
        <w:t xml:space="preserve">COOPERACIÓN INTERNACIONAL PARA </w:t>
      </w:r>
      <w:r w:rsidR="00776E90">
        <w:rPr>
          <w:b/>
          <w:caps w:val="0"/>
          <w:lang w:val="es-ES_tradnl" w:eastAsia="da-DK"/>
        </w:rPr>
        <w:t>CULTIV</w:t>
      </w:r>
      <w:r w:rsidR="000F09EB">
        <w:rPr>
          <w:b/>
          <w:caps w:val="0"/>
          <w:lang w:val="es-ES_tradnl" w:eastAsia="da-DK"/>
        </w:rPr>
        <w:t>AR</w:t>
      </w:r>
      <w:r>
        <w:rPr>
          <w:b/>
          <w:caps w:val="0"/>
          <w:lang w:val="es-ES_tradnl" w:eastAsia="da-DK"/>
        </w:rPr>
        <w:br/>
      </w:r>
      <w:r w:rsidRPr="00D46726">
        <w:rPr>
          <w:b/>
          <w:caps w:val="0"/>
          <w:lang w:val="es-ES_tradnl" w:eastAsia="da-DK"/>
        </w:rPr>
        <w:t>EL RESPETO POR LA P.I.</w:t>
      </w:r>
      <w:bookmarkEnd w:id="67"/>
      <w:bookmarkEnd w:id="68"/>
    </w:p>
    <w:p w:rsidR="00C2064F" w:rsidRPr="00C2064F" w:rsidRDefault="00C2064F" w:rsidP="00C2064F">
      <w:pPr>
        <w:widowControl w:val="0"/>
        <w:tabs>
          <w:tab w:val="left" w:pos="1701"/>
        </w:tabs>
        <w:ind w:left="1701" w:hanging="1701"/>
        <w:jc w:val="center"/>
        <w:rPr>
          <w:rFonts w:eastAsia="Times New Roman"/>
          <w:b/>
          <w:bCs/>
          <w:caps/>
          <w:sz w:val="24"/>
          <w:szCs w:val="24"/>
          <w:lang w:val="es-ES_tradnl" w:eastAsia="en-US"/>
        </w:rPr>
      </w:pPr>
    </w:p>
    <w:p w:rsidR="00C2064F" w:rsidRPr="00C2064F" w:rsidRDefault="00C2064F" w:rsidP="00C2064F">
      <w:pPr>
        <w:widowControl w:val="0"/>
        <w:tabs>
          <w:tab w:val="left" w:pos="1701"/>
        </w:tabs>
        <w:ind w:left="1701" w:hanging="1701"/>
        <w:jc w:val="center"/>
        <w:rPr>
          <w:rFonts w:eastAsia="Times New Roman"/>
          <w:b/>
          <w:bCs/>
          <w:caps/>
          <w:sz w:val="24"/>
          <w:szCs w:val="24"/>
          <w:lang w:val="es-ES_tradnl" w:eastAsia="en-US"/>
        </w:rPr>
      </w:pPr>
    </w:p>
    <w:p w:rsidR="00C2064F" w:rsidRPr="00C2064F" w:rsidRDefault="009C708A" w:rsidP="00C2064F">
      <w:pPr>
        <w:widowControl w:val="0"/>
        <w:jc w:val="both"/>
        <w:rPr>
          <w:rFonts w:eastAsia="Times New Roman"/>
          <w:sz w:val="20"/>
          <w:lang w:val="es-ES_tradnl" w:eastAsia="en-US"/>
        </w:rPr>
      </w:pPr>
      <w:r>
        <w:rPr>
          <w:rFonts w:eastAsia="Times New Roman"/>
          <w:sz w:val="20"/>
          <w:lang w:val="es-ES_tradnl" w:eastAsia="en-US"/>
        </w:rPr>
        <w:t xml:space="preserve">Cultivar </w:t>
      </w:r>
      <w:r w:rsidR="00C2064F" w:rsidRPr="00C2064F">
        <w:rPr>
          <w:rFonts w:eastAsia="Times New Roman"/>
          <w:sz w:val="20"/>
          <w:lang w:val="es-ES_tradnl" w:eastAsia="en-US"/>
        </w:rPr>
        <w:t>el respeto por la P.I. entraña adoptar un enfoque más amplio que va más allá de la mera observancia de los derechos.  Exige dar prioridad a la cooperación internacional, ámbito en el que la OMPI puede lograr resultados tangibles.  Se trata de un amplio objetivo que atañe a distintos sectores y constituye el eje de muchas de las actividades de la Organización.  El Comité Asesor de la OMPI sobre Observancia (ACE) es un mecanismo del que se sirven los Estados miembros para coordinar la labor que se realiza en aras de ese objetivo.  Las actividades realizadas en el marco de esta meta estratégica se rigen por la recomendación 45 de la A.D.</w:t>
      </w:r>
    </w:p>
    <w:p w:rsidR="005B4A50" w:rsidRPr="00C2064F" w:rsidRDefault="005B4A50" w:rsidP="003E638B">
      <w:pPr>
        <w:rPr>
          <w:sz w:val="20"/>
          <w:lang w:val="es-ES_tradnl"/>
        </w:rPr>
      </w:pPr>
    </w:p>
    <w:tbl>
      <w:tblPr>
        <w:tblW w:w="4856"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3"/>
        <w:gridCol w:w="2722"/>
        <w:gridCol w:w="3060"/>
      </w:tblGrid>
      <w:tr w:rsidR="00B55718" w:rsidRPr="00C75C7E" w:rsidTr="008F4F69">
        <w:trPr>
          <w:cantSplit/>
          <w:trHeight w:val="455"/>
        </w:trPr>
        <w:tc>
          <w:tcPr>
            <w:tcW w:w="1890" w:type="pct"/>
            <w:tcBorders>
              <w:top w:val="single" w:sz="4" w:space="0" w:color="auto"/>
              <w:bottom w:val="single" w:sz="4" w:space="0" w:color="auto"/>
            </w:tcBorders>
            <w:shd w:val="clear" w:color="auto" w:fill="CCFFFF"/>
            <w:vAlign w:val="center"/>
          </w:tcPr>
          <w:p w:rsidR="00B55718" w:rsidRPr="00C75C7E" w:rsidRDefault="00B55718"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1464" w:type="pct"/>
            <w:tcBorders>
              <w:top w:val="single" w:sz="4" w:space="0" w:color="auto"/>
              <w:bottom w:val="single" w:sz="4" w:space="0" w:color="auto"/>
            </w:tcBorders>
            <w:shd w:val="clear" w:color="auto" w:fill="CCFFFF"/>
            <w:tcMar>
              <w:top w:w="110" w:type="dxa"/>
            </w:tcMar>
            <w:vAlign w:val="center"/>
          </w:tcPr>
          <w:p w:rsidR="00B55718" w:rsidRPr="00C75C7E" w:rsidRDefault="00B55718" w:rsidP="008F4F69">
            <w:pPr>
              <w:widowControl w:val="0"/>
              <w:spacing w:after="120"/>
              <w:jc w:val="center"/>
              <w:rPr>
                <w:b/>
                <w:bCs/>
                <w:sz w:val="18"/>
                <w:szCs w:val="18"/>
                <w:lang w:val="es-ES_tradnl"/>
              </w:rPr>
            </w:pPr>
            <w:r w:rsidRPr="00C75C7E">
              <w:rPr>
                <w:b/>
                <w:bCs/>
                <w:sz w:val="18"/>
                <w:szCs w:val="18"/>
                <w:lang w:val="es-ES_tradnl"/>
              </w:rPr>
              <w:t>Indicadores de rendimiento</w:t>
            </w:r>
          </w:p>
        </w:tc>
        <w:tc>
          <w:tcPr>
            <w:tcW w:w="1646" w:type="pct"/>
            <w:tcBorders>
              <w:top w:val="single" w:sz="4" w:space="0" w:color="auto"/>
              <w:bottom w:val="single" w:sz="4" w:space="0" w:color="auto"/>
            </w:tcBorders>
            <w:shd w:val="clear" w:color="auto" w:fill="CCFFFF"/>
            <w:tcMar>
              <w:top w:w="110" w:type="dxa"/>
            </w:tcMar>
            <w:vAlign w:val="center"/>
          </w:tcPr>
          <w:p w:rsidR="00B55718" w:rsidRPr="00C75C7E" w:rsidRDefault="00B55718" w:rsidP="008F4F69">
            <w:pPr>
              <w:widowControl w:val="0"/>
              <w:spacing w:after="120"/>
              <w:ind w:left="85"/>
              <w:jc w:val="center"/>
              <w:rPr>
                <w:b/>
                <w:bCs/>
                <w:sz w:val="18"/>
                <w:szCs w:val="18"/>
                <w:lang w:val="es-ES_tradnl"/>
              </w:rPr>
            </w:pPr>
            <w:r w:rsidRPr="00C75C7E">
              <w:rPr>
                <w:b/>
                <w:bCs/>
                <w:sz w:val="18"/>
                <w:szCs w:val="18"/>
                <w:lang w:val="es-ES_tradnl"/>
              </w:rPr>
              <w:t>Programas responsables</w:t>
            </w:r>
          </w:p>
        </w:tc>
      </w:tr>
      <w:tr w:rsidR="00B55718" w:rsidRPr="00C75C7E" w:rsidTr="008F4F69">
        <w:trPr>
          <w:cantSplit/>
          <w:trHeight w:val="944"/>
        </w:trPr>
        <w:tc>
          <w:tcPr>
            <w:tcW w:w="1890" w:type="pct"/>
            <w:tcBorders>
              <w:top w:val="single" w:sz="4" w:space="0" w:color="auto"/>
            </w:tcBorders>
            <w:shd w:val="clear" w:color="auto" w:fill="auto"/>
            <w:tcMar>
              <w:top w:w="113" w:type="dxa"/>
              <w:bottom w:w="85" w:type="dxa"/>
            </w:tcMar>
          </w:tcPr>
          <w:p w:rsidR="00B55718" w:rsidRPr="00C75C7E" w:rsidRDefault="00B55718" w:rsidP="008F4F69">
            <w:pPr>
              <w:widowControl w:val="0"/>
              <w:rPr>
                <w:sz w:val="16"/>
                <w:szCs w:val="16"/>
                <w:lang w:val="es-ES_tradnl"/>
              </w:rPr>
            </w:pPr>
            <w:r w:rsidRPr="00C75C7E">
              <w:rPr>
                <w:sz w:val="16"/>
                <w:szCs w:val="16"/>
                <w:lang w:val="es-ES_tradnl"/>
              </w:rPr>
              <w:t xml:space="preserve">VI.1. </w:t>
            </w:r>
            <w:r w:rsidR="009C708A">
              <w:rPr>
                <w:sz w:val="16"/>
                <w:szCs w:val="16"/>
                <w:lang w:val="es-ES_tradnl"/>
              </w:rPr>
              <w:t>Avances en el diálogo internacional sobre políticas entre los Estados miembros de la OMPI para cultivar el respeto por la P.I. sobre la base de la recomendación 45 de la Agenda de la OMPI para el Desarrollo</w:t>
            </w:r>
            <w:r w:rsidR="00BA2F25">
              <w:rPr>
                <w:sz w:val="16"/>
                <w:szCs w:val="16"/>
                <w:lang w:val="es-ES_tradnl"/>
              </w:rPr>
              <w:t>.</w:t>
            </w:r>
          </w:p>
        </w:tc>
        <w:tc>
          <w:tcPr>
            <w:tcW w:w="1464" w:type="pct"/>
            <w:tcBorders>
              <w:top w:val="single" w:sz="4" w:space="0" w:color="auto"/>
            </w:tcBorders>
            <w:shd w:val="clear" w:color="auto" w:fill="auto"/>
            <w:tcMar>
              <w:top w:w="113" w:type="dxa"/>
              <w:bottom w:w="85" w:type="dxa"/>
            </w:tcMar>
          </w:tcPr>
          <w:p w:rsidR="00B55718" w:rsidRPr="00C75C7E" w:rsidRDefault="00B55718" w:rsidP="008F4F69">
            <w:pPr>
              <w:widowControl w:val="0"/>
              <w:rPr>
                <w:sz w:val="16"/>
                <w:szCs w:val="16"/>
                <w:lang w:val="es-ES_tradnl"/>
              </w:rPr>
            </w:pPr>
            <w:r w:rsidRPr="00C75C7E">
              <w:rPr>
                <w:sz w:val="16"/>
                <w:szCs w:val="16"/>
                <w:lang w:val="es-ES_tradnl"/>
              </w:rPr>
              <w:t>Acuerdo constante entre los Estados miembros sobre la labor sustantiva del Comité Asesor de la OMPI sobre Observancia (ACE), al incorporar elementos orientados al desarrollo.</w:t>
            </w:r>
          </w:p>
        </w:tc>
        <w:tc>
          <w:tcPr>
            <w:tcW w:w="1646" w:type="pct"/>
            <w:tcBorders>
              <w:top w:val="single" w:sz="4" w:space="0" w:color="auto"/>
            </w:tcBorders>
            <w:shd w:val="clear" w:color="auto" w:fill="FFFFFF"/>
            <w:tcMar>
              <w:top w:w="113" w:type="dxa"/>
              <w:bottom w:w="85" w:type="dxa"/>
            </w:tcMar>
          </w:tcPr>
          <w:p w:rsidR="00B55718" w:rsidRPr="00C75C7E" w:rsidRDefault="00B55718" w:rsidP="008F4F69">
            <w:pPr>
              <w:widowControl w:val="0"/>
              <w:ind w:left="769"/>
              <w:rPr>
                <w:sz w:val="16"/>
                <w:szCs w:val="16"/>
                <w:lang w:val="es-ES_tradnl"/>
              </w:rPr>
            </w:pPr>
            <w:r w:rsidRPr="00C75C7E">
              <w:rPr>
                <w:sz w:val="16"/>
                <w:szCs w:val="16"/>
                <w:lang w:val="es-ES_tradnl" w:bidi="th-TH"/>
              </w:rPr>
              <w:t>Programa  17</w:t>
            </w:r>
          </w:p>
        </w:tc>
      </w:tr>
      <w:tr w:rsidR="00B55718" w:rsidRPr="00C75C7E" w:rsidTr="008F4F69">
        <w:trPr>
          <w:cantSplit/>
          <w:trHeight w:val="704"/>
        </w:trPr>
        <w:tc>
          <w:tcPr>
            <w:tcW w:w="1890" w:type="pct"/>
            <w:shd w:val="clear" w:color="auto" w:fill="auto"/>
            <w:tcMar>
              <w:top w:w="113" w:type="dxa"/>
              <w:bottom w:w="85" w:type="dxa"/>
            </w:tcMar>
          </w:tcPr>
          <w:p w:rsidR="00B55718" w:rsidRPr="00C75C7E" w:rsidRDefault="00B55718" w:rsidP="00033E8A">
            <w:pPr>
              <w:widowControl w:val="0"/>
              <w:rPr>
                <w:sz w:val="16"/>
                <w:szCs w:val="16"/>
                <w:lang w:val="es-ES_tradnl"/>
              </w:rPr>
            </w:pPr>
            <w:r w:rsidRPr="00C75C7E">
              <w:rPr>
                <w:sz w:val="16"/>
                <w:szCs w:val="16"/>
                <w:lang w:val="es-ES_tradnl"/>
              </w:rPr>
              <w:t>VI.2. Cooperación sistemática</w:t>
            </w:r>
            <w:r w:rsidR="00033E8A">
              <w:rPr>
                <w:sz w:val="16"/>
                <w:szCs w:val="16"/>
                <w:lang w:val="es-ES_tradnl"/>
              </w:rPr>
              <w:t>, eficaz y transparente</w:t>
            </w:r>
            <w:r w:rsidRPr="00C75C7E">
              <w:rPr>
                <w:sz w:val="16"/>
                <w:szCs w:val="16"/>
                <w:lang w:val="es-ES_tradnl"/>
              </w:rPr>
              <w:t xml:space="preserve"> entre la labor de la OMPI y otras </w:t>
            </w:r>
            <w:r w:rsidR="000D7DB1">
              <w:rPr>
                <w:sz w:val="16"/>
                <w:szCs w:val="16"/>
                <w:lang w:val="es-ES_tradnl"/>
              </w:rPr>
              <w:t xml:space="preserve">organizaciones internacionales en el </w:t>
            </w:r>
            <w:r w:rsidR="00990B95">
              <w:rPr>
                <w:sz w:val="16"/>
                <w:szCs w:val="16"/>
                <w:lang w:val="es-ES_tradnl"/>
              </w:rPr>
              <w:t>ámbito del cultivo del respeto</w:t>
            </w:r>
            <w:r w:rsidR="000D7DB1">
              <w:rPr>
                <w:sz w:val="16"/>
                <w:szCs w:val="16"/>
                <w:lang w:val="es-ES_tradnl"/>
              </w:rPr>
              <w:t xml:space="preserve"> por la P.I.</w:t>
            </w:r>
          </w:p>
        </w:tc>
        <w:tc>
          <w:tcPr>
            <w:tcW w:w="1464" w:type="pct"/>
            <w:shd w:val="clear" w:color="auto" w:fill="auto"/>
            <w:tcMar>
              <w:top w:w="113" w:type="dxa"/>
              <w:bottom w:w="85" w:type="dxa"/>
            </w:tcMar>
          </w:tcPr>
          <w:p w:rsidR="00B55718" w:rsidRPr="00C75C7E" w:rsidRDefault="00B55718" w:rsidP="000D7DB1">
            <w:pPr>
              <w:widowControl w:val="0"/>
              <w:rPr>
                <w:sz w:val="16"/>
                <w:szCs w:val="16"/>
                <w:lang w:val="es-ES_tradnl"/>
              </w:rPr>
            </w:pPr>
            <w:r w:rsidRPr="00C75C7E">
              <w:rPr>
                <w:sz w:val="16"/>
                <w:szCs w:val="16"/>
                <w:lang w:val="es-ES_tradnl"/>
              </w:rPr>
              <w:t xml:space="preserve">Número de actividades conjuntas de </w:t>
            </w:r>
            <w:r w:rsidR="00990B95">
              <w:rPr>
                <w:sz w:val="16"/>
                <w:szCs w:val="16"/>
                <w:lang w:val="es-ES_tradnl"/>
              </w:rPr>
              <w:t>cultivo del respeto</w:t>
            </w:r>
            <w:r w:rsidRPr="00C75C7E">
              <w:rPr>
                <w:sz w:val="16"/>
                <w:szCs w:val="16"/>
                <w:lang w:val="es-ES_tradnl"/>
              </w:rPr>
              <w:t xml:space="preserve"> por la P.I.</w:t>
            </w:r>
          </w:p>
        </w:tc>
        <w:tc>
          <w:tcPr>
            <w:tcW w:w="1646" w:type="pct"/>
            <w:shd w:val="clear" w:color="auto" w:fill="FFFFFF"/>
            <w:tcMar>
              <w:top w:w="113" w:type="dxa"/>
              <w:bottom w:w="85" w:type="dxa"/>
            </w:tcMar>
          </w:tcPr>
          <w:p w:rsidR="00B55718" w:rsidRPr="00C75C7E" w:rsidRDefault="00B55718" w:rsidP="008F4F69">
            <w:pPr>
              <w:widowControl w:val="0"/>
              <w:ind w:left="769"/>
              <w:rPr>
                <w:sz w:val="16"/>
                <w:szCs w:val="16"/>
                <w:lang w:val="es-ES_tradnl"/>
              </w:rPr>
            </w:pPr>
            <w:r w:rsidRPr="00C75C7E">
              <w:rPr>
                <w:sz w:val="16"/>
                <w:szCs w:val="16"/>
                <w:lang w:val="es-ES_tradnl" w:bidi="th-TH"/>
              </w:rPr>
              <w:t>Programa  17</w:t>
            </w:r>
          </w:p>
        </w:tc>
      </w:tr>
    </w:tbl>
    <w:p w:rsidR="00B55718" w:rsidRPr="00C75C7E" w:rsidRDefault="00B55718" w:rsidP="00B55718">
      <w:pPr>
        <w:widowControl w:val="0"/>
        <w:tabs>
          <w:tab w:val="left" w:pos="0"/>
        </w:tabs>
        <w:rPr>
          <w:sz w:val="20"/>
          <w:lang w:val="es-ES_tradnl"/>
        </w:rPr>
      </w:pPr>
    </w:p>
    <w:p w:rsidR="00B55718" w:rsidRPr="00C75C7E" w:rsidRDefault="00B55718" w:rsidP="00B55718">
      <w:pPr>
        <w:widowControl w:val="0"/>
        <w:tabs>
          <w:tab w:val="left" w:pos="0"/>
        </w:tabs>
        <w:rPr>
          <w:iCs/>
          <w:sz w:val="20"/>
          <w:lang w:val="es-ES_tradnl"/>
        </w:rPr>
      </w:pPr>
    </w:p>
    <w:p w:rsidR="00C2064F" w:rsidRPr="00F21127" w:rsidRDefault="00B55718" w:rsidP="00F21127">
      <w:pPr>
        <w:pStyle w:val="Heading3"/>
        <w:tabs>
          <w:tab w:val="left" w:pos="1985"/>
        </w:tabs>
        <w:rPr>
          <w:b/>
          <w:iCs/>
          <w:caps/>
          <w:u w:val="none"/>
        </w:rPr>
      </w:pPr>
      <w:r w:rsidRPr="00C75C7E">
        <w:rPr>
          <w:sz w:val="20"/>
          <w:lang w:val="es-ES_tradnl"/>
        </w:rPr>
        <w:br w:type="page"/>
      </w:r>
      <w:bookmarkStart w:id="69" w:name="_Toc356567769"/>
      <w:bookmarkStart w:id="70" w:name="_Toc366078735"/>
      <w:r w:rsidR="006A15F5" w:rsidRPr="00F21127">
        <w:rPr>
          <w:b/>
          <w:iCs/>
          <w:u w:val="none"/>
        </w:rPr>
        <w:lastRenderedPageBreak/>
        <w:t>PROGRAMA 17</w:t>
      </w:r>
      <w:r w:rsidR="006A15F5" w:rsidRPr="00F21127">
        <w:rPr>
          <w:b/>
          <w:iCs/>
          <w:u w:val="none"/>
        </w:rPr>
        <w:tab/>
      </w:r>
      <w:r w:rsidR="00990B95">
        <w:rPr>
          <w:b/>
          <w:iCs/>
          <w:u w:val="none"/>
        </w:rPr>
        <w:t>CULTIVAR</w:t>
      </w:r>
      <w:r w:rsidR="000D7DB1">
        <w:rPr>
          <w:b/>
          <w:iCs/>
          <w:u w:val="none"/>
        </w:rPr>
        <w:t xml:space="preserve"> EL RESPETO POR LA P.I.</w:t>
      </w:r>
      <w:bookmarkEnd w:id="69"/>
      <w:bookmarkEnd w:id="70"/>
    </w:p>
    <w:p w:rsidR="00C2064F" w:rsidRPr="00AD1E8B" w:rsidRDefault="00C2064F" w:rsidP="00C2064F">
      <w:pPr>
        <w:widowControl w:val="0"/>
        <w:tabs>
          <w:tab w:val="left" w:pos="2268"/>
        </w:tabs>
        <w:ind w:left="2268" w:hanging="2268"/>
        <w:rPr>
          <w:sz w:val="20"/>
          <w:lang w:val="es-ES_tradnl"/>
        </w:rPr>
      </w:pPr>
    </w:p>
    <w:p w:rsidR="00C2064F" w:rsidRPr="00AD1E8B" w:rsidRDefault="00C2064F" w:rsidP="00C2064F">
      <w:pPr>
        <w:widowControl w:val="0"/>
        <w:tabs>
          <w:tab w:val="left" w:pos="2268"/>
        </w:tabs>
        <w:ind w:left="2268" w:hanging="2268"/>
        <w:rPr>
          <w:sz w:val="20"/>
          <w:lang w:val="es-ES_tradnl"/>
        </w:rPr>
      </w:pPr>
    </w:p>
    <w:p w:rsidR="00C2064F" w:rsidRPr="00AD1E8B" w:rsidRDefault="00C2064F" w:rsidP="00C2064F">
      <w:pPr>
        <w:pStyle w:val="BodyTextIndent"/>
        <w:widowControl w:val="0"/>
        <w:ind w:left="1985" w:hanging="1985"/>
        <w:jc w:val="both"/>
        <w:rPr>
          <w:rFonts w:ascii="Arial" w:hAnsi="Arial" w:cs="Arial"/>
          <w:sz w:val="22"/>
          <w:szCs w:val="22"/>
          <w:lang w:val="es-ES_tradnl"/>
        </w:rPr>
      </w:pPr>
      <w:r w:rsidRPr="00AD1E8B">
        <w:rPr>
          <w:rFonts w:ascii="Arial" w:hAnsi="Arial" w:cs="Arial"/>
          <w:sz w:val="22"/>
          <w:szCs w:val="22"/>
          <w:lang w:val="es-ES_tradnl"/>
        </w:rPr>
        <w:t>CONTEXTO DE PLANIFICACIÓN</w:t>
      </w:r>
    </w:p>
    <w:p w:rsidR="00C2064F" w:rsidRPr="00AD1E8B" w:rsidRDefault="00C2064F" w:rsidP="00C2064F">
      <w:pPr>
        <w:widowControl w:val="0"/>
        <w:tabs>
          <w:tab w:val="left" w:pos="567"/>
          <w:tab w:val="left" w:pos="1985"/>
        </w:tabs>
        <w:jc w:val="both"/>
        <w:rPr>
          <w:bCs/>
          <w:sz w:val="20"/>
          <w:lang w:val="es-ES_tradnl"/>
        </w:rPr>
      </w:pPr>
    </w:p>
    <w:p w:rsidR="00C2064F" w:rsidRPr="00AD1E8B" w:rsidRDefault="00C2064F" w:rsidP="00E17471">
      <w:pPr>
        <w:widowControl w:val="0"/>
        <w:numPr>
          <w:ilvl w:val="0"/>
          <w:numId w:val="11"/>
        </w:numPr>
        <w:jc w:val="both"/>
        <w:rPr>
          <w:bCs/>
          <w:iCs/>
          <w:sz w:val="20"/>
          <w:lang w:val="es-ES_tradnl"/>
        </w:rPr>
      </w:pPr>
      <w:r w:rsidRPr="00AD1E8B">
        <w:rPr>
          <w:bCs/>
          <w:iCs/>
          <w:sz w:val="20"/>
          <w:lang w:val="es-ES_tradnl"/>
        </w:rPr>
        <w:t xml:space="preserve">En el contexto de la meta estratégica VI y de conformidad con la recomendación 45 de la A.D., </w:t>
      </w:r>
      <w:r w:rsidR="009C708A">
        <w:rPr>
          <w:bCs/>
          <w:iCs/>
          <w:sz w:val="20"/>
          <w:lang w:val="es-ES_tradnl"/>
        </w:rPr>
        <w:t>el programa va encaminado a promover la cooperación internacional entre los Estados miembros y otras partes interesadas con el fin de cultivar el respeto por la P.I</w:t>
      </w:r>
      <w:r w:rsidRPr="00AD1E8B">
        <w:rPr>
          <w:bCs/>
          <w:iCs/>
          <w:sz w:val="20"/>
          <w:lang w:val="es-ES_tradnl"/>
        </w:rPr>
        <w:t xml:space="preserve">. y fortalecer la observancia de los derechos de P.I. en aras del desarrollo socioeconómico y la protección de los consumidores.  </w:t>
      </w:r>
    </w:p>
    <w:p w:rsidR="00C2064F" w:rsidRPr="00AD1E8B" w:rsidRDefault="00C2064F" w:rsidP="00C2064F">
      <w:pPr>
        <w:widowControl w:val="0"/>
        <w:jc w:val="both"/>
        <w:rPr>
          <w:bCs/>
          <w:iCs/>
          <w:sz w:val="20"/>
          <w:lang w:val="es-ES_tradnl"/>
        </w:rPr>
      </w:pPr>
    </w:p>
    <w:p w:rsidR="00C2064F" w:rsidRPr="00AD1E8B" w:rsidRDefault="00C2064F" w:rsidP="00E17471">
      <w:pPr>
        <w:widowControl w:val="0"/>
        <w:numPr>
          <w:ilvl w:val="0"/>
          <w:numId w:val="11"/>
        </w:numPr>
        <w:jc w:val="both"/>
        <w:rPr>
          <w:bCs/>
          <w:iCs/>
          <w:sz w:val="20"/>
          <w:lang w:val="es-ES_tradnl"/>
        </w:rPr>
      </w:pPr>
      <w:r w:rsidRPr="00AD1E8B">
        <w:rPr>
          <w:bCs/>
          <w:iCs/>
          <w:sz w:val="20"/>
          <w:lang w:val="es-ES_tradnl"/>
        </w:rPr>
        <w:t xml:space="preserve">Diversas variables económicas como la pobreza, la indisponibilidad de los productos originales, el progresivo perfeccionamiento de los productos falsificados, la fácil accesibilidad de las ofertas en el entorno virtual, las actitudes ambivalentes de los consumidores frente a los derechos de P.I., la incidencia de actividades delictivas, etc. son algunos de los elementos que impulsan el tráfico mundial de productos falsificados y resuenan con frecuencia en el diálogo estratégico mantenido en el seno del Comité Asesor sobre Observancia (ACE).  Dicho diálogo ha puesto de relieve la necesidad de investigar las prácticas y la aplicabilidad de sistemas de solución </w:t>
      </w:r>
      <w:r w:rsidR="00733234">
        <w:rPr>
          <w:bCs/>
          <w:iCs/>
          <w:sz w:val="20"/>
          <w:lang w:val="es-ES_tradnl"/>
        </w:rPr>
        <w:t xml:space="preserve">extrajudicial </w:t>
      </w:r>
      <w:r w:rsidRPr="00AD1E8B">
        <w:rPr>
          <w:bCs/>
          <w:iCs/>
          <w:sz w:val="20"/>
          <w:lang w:val="es-ES_tradnl"/>
        </w:rPr>
        <w:t>de controversias en los diversos ámbitos de la P.I. y la necesidad de seguir adelante con el estudio de actuaciones preventivas, medidas correctoras o experiencias que hayan dado resultados positivos a fin de complementar las medidas de observancia que ya están siendo aplicadas para reducir la dimensión del mercado de productos falsificados o pirateados.</w:t>
      </w:r>
    </w:p>
    <w:p w:rsidR="00C2064F" w:rsidRPr="00B40520" w:rsidRDefault="00C2064F" w:rsidP="00C2064F">
      <w:pPr>
        <w:widowControl w:val="0"/>
        <w:jc w:val="both"/>
        <w:rPr>
          <w:bCs/>
          <w:iCs/>
          <w:sz w:val="20"/>
        </w:rPr>
      </w:pPr>
    </w:p>
    <w:p w:rsidR="00C2064F" w:rsidRPr="00B40520" w:rsidRDefault="00C2064F" w:rsidP="00E17471">
      <w:pPr>
        <w:widowControl w:val="0"/>
        <w:numPr>
          <w:ilvl w:val="0"/>
          <w:numId w:val="11"/>
        </w:numPr>
        <w:jc w:val="both"/>
        <w:rPr>
          <w:bCs/>
          <w:iCs/>
          <w:sz w:val="20"/>
        </w:rPr>
      </w:pPr>
      <w:r w:rsidRPr="00AD1E8B">
        <w:rPr>
          <w:bCs/>
          <w:iCs/>
          <w:sz w:val="20"/>
          <w:lang w:val="es-ES_tradnl"/>
        </w:rPr>
        <w:t xml:space="preserve">Estos condicionantes, unidos a las iniciativas de observancia multilaterales, plurilaterales y bilaterales provenientes del exterior de la OMPI, exigen calibrar cuidadosamente </w:t>
      </w:r>
      <w:r w:rsidR="00776E90">
        <w:rPr>
          <w:bCs/>
          <w:iCs/>
          <w:sz w:val="20"/>
          <w:lang w:val="es-ES_tradnl"/>
        </w:rPr>
        <w:t>el papel</w:t>
      </w:r>
      <w:r w:rsidRPr="00AD1E8B">
        <w:rPr>
          <w:bCs/>
          <w:iCs/>
          <w:sz w:val="20"/>
          <w:lang w:val="es-ES_tradnl"/>
        </w:rPr>
        <w:t xml:space="preserve"> de este programa.  Al mismo tiempo, los Estados miembros siguen reclamando ayuda en orden al fortalecimiento de la capacidad nacional para imponer la observancia de los derechos de P.I., promover una cultura de P.I. e instituir marcos legales e institucionales capaces de sustentar unos sistemas equilibrados y eficaces.  Estas consideraciones inspiran las actividades desplegadas por la OMPI en orden al incremento de la educación y la sensibilización del público en general (y más particularmente de los jóvenes) respecto de la P.I.;  se trata en efecto de medidas no punitivas que animan a los consumidores a participar en la creación de un entorno que respete los derechos de P.I.  Los propios Estados miembros han solicitado repetidamente la expansión del programa al objeto de fomentar la sensibilización y la educación públicas, inculcando el respeto hacia la P.I. a través de actividades específicas</w:t>
      </w:r>
      <w:r w:rsidRPr="00AD1E8B">
        <w:rPr>
          <w:bCs/>
          <w:i/>
          <w:iCs/>
          <w:sz w:val="20"/>
          <w:lang w:val="es-ES_tradnl"/>
        </w:rPr>
        <w:t xml:space="preserve"> </w:t>
      </w:r>
      <w:r w:rsidRPr="00AD1E8B">
        <w:rPr>
          <w:bCs/>
          <w:iCs/>
          <w:sz w:val="20"/>
          <w:lang w:val="es-ES_tradnl"/>
        </w:rPr>
        <w:t>como el programa de Premios de la OMPI.</w:t>
      </w:r>
      <w:r w:rsidRPr="00B40520">
        <w:rPr>
          <w:bCs/>
          <w:iCs/>
          <w:sz w:val="20"/>
        </w:rPr>
        <w:t xml:space="preserve"> </w:t>
      </w:r>
    </w:p>
    <w:p w:rsidR="00C2064F" w:rsidRPr="00B40520" w:rsidRDefault="00C2064F" w:rsidP="00C2064F">
      <w:pPr>
        <w:widowControl w:val="0"/>
        <w:jc w:val="both"/>
        <w:rPr>
          <w:bCs/>
          <w:iCs/>
          <w:sz w:val="20"/>
        </w:rPr>
      </w:pPr>
    </w:p>
    <w:p w:rsidR="00C2064F" w:rsidRPr="00AD1E8B" w:rsidRDefault="00C2064F" w:rsidP="00E17471">
      <w:pPr>
        <w:widowControl w:val="0"/>
        <w:numPr>
          <w:ilvl w:val="0"/>
          <w:numId w:val="11"/>
        </w:numPr>
        <w:jc w:val="both"/>
        <w:rPr>
          <w:bCs/>
          <w:iCs/>
          <w:sz w:val="20"/>
          <w:lang w:val="es-ES_tradnl"/>
        </w:rPr>
      </w:pPr>
      <w:r w:rsidRPr="00AD1E8B">
        <w:rPr>
          <w:sz w:val="20"/>
          <w:lang w:val="es-ES_tradnl"/>
        </w:rPr>
        <w:t xml:space="preserve">La cooperación con las organizaciones pertinentes y con las </w:t>
      </w:r>
      <w:r w:rsidR="009C708A">
        <w:rPr>
          <w:sz w:val="20"/>
          <w:lang w:val="es-ES_tradnl"/>
        </w:rPr>
        <w:t>partes interesadas en cultivar el respeto</w:t>
      </w:r>
      <w:r w:rsidRPr="00AD1E8B">
        <w:rPr>
          <w:sz w:val="20"/>
          <w:lang w:val="es-ES_tradnl"/>
        </w:rPr>
        <w:t xml:space="preserve"> por la P.I. resulta imprescindible por cuanto el modesto nivel de los recursos disponibles impone la cohesión estratégica y el uso de sinergias.  La OMPI continuará colaborando estrechamente con dichos aliados de manera transparente y sistemática, asumiendo un papel de liderazgo en los ámbitos propios de la P.I. e impulsando la ulterior integración de la </w:t>
      </w:r>
      <w:r>
        <w:rPr>
          <w:sz w:val="20"/>
          <w:lang w:val="es-ES_tradnl"/>
        </w:rPr>
        <w:t>m</w:t>
      </w:r>
      <w:r w:rsidRPr="00AD1E8B">
        <w:rPr>
          <w:sz w:val="20"/>
          <w:lang w:val="es-ES_tradnl"/>
        </w:rPr>
        <w:t xml:space="preserve">eta </w:t>
      </w:r>
      <w:r>
        <w:rPr>
          <w:sz w:val="20"/>
          <w:lang w:val="es-ES_tradnl"/>
        </w:rPr>
        <w:t>e</w:t>
      </w:r>
      <w:r w:rsidRPr="00AD1E8B">
        <w:rPr>
          <w:sz w:val="20"/>
          <w:lang w:val="es-ES_tradnl"/>
        </w:rPr>
        <w:t xml:space="preserve">stratégica VI en proyectos colaborativos.  </w:t>
      </w:r>
    </w:p>
    <w:p w:rsidR="00C2064F" w:rsidRPr="00B40520" w:rsidRDefault="00C2064F" w:rsidP="00C2064F">
      <w:pPr>
        <w:widowControl w:val="0"/>
        <w:rPr>
          <w:szCs w:val="22"/>
        </w:rPr>
      </w:pPr>
    </w:p>
    <w:p w:rsidR="00C2064F" w:rsidRPr="00B40520" w:rsidRDefault="00C2064F" w:rsidP="00C2064F">
      <w:pPr>
        <w:widowControl w:val="0"/>
        <w:rPr>
          <w:szCs w:val="22"/>
        </w:rPr>
      </w:pPr>
    </w:p>
    <w:p w:rsidR="00C2064F" w:rsidRPr="00AD1E8B" w:rsidRDefault="00C2064F" w:rsidP="00C2064F">
      <w:pPr>
        <w:widowControl w:val="0"/>
        <w:rPr>
          <w:szCs w:val="22"/>
          <w:lang w:val="es-ES_tradnl"/>
        </w:rPr>
      </w:pPr>
      <w:r w:rsidRPr="00AD1E8B">
        <w:rPr>
          <w:szCs w:val="22"/>
          <w:lang w:val="es-ES_tradnl"/>
        </w:rPr>
        <w:t xml:space="preserve">ESTRATEGIAS DE EJECUCIÓN  </w:t>
      </w:r>
    </w:p>
    <w:p w:rsidR="00C2064F" w:rsidRPr="00AD1E8B" w:rsidRDefault="00C2064F" w:rsidP="00C2064F">
      <w:pPr>
        <w:widowControl w:val="0"/>
        <w:jc w:val="both"/>
        <w:rPr>
          <w:bCs/>
          <w:iCs/>
          <w:sz w:val="20"/>
          <w:lang w:val="es-ES_tradnl"/>
        </w:rPr>
      </w:pPr>
    </w:p>
    <w:p w:rsidR="00C2064F" w:rsidRPr="00AD1E8B" w:rsidRDefault="00C2064F" w:rsidP="00E17471">
      <w:pPr>
        <w:widowControl w:val="0"/>
        <w:numPr>
          <w:ilvl w:val="0"/>
          <w:numId w:val="11"/>
        </w:numPr>
        <w:jc w:val="both"/>
        <w:rPr>
          <w:bCs/>
          <w:iCs/>
          <w:sz w:val="20"/>
          <w:lang w:val="es-ES_tradnl"/>
        </w:rPr>
      </w:pPr>
      <w:r w:rsidRPr="00AD1E8B">
        <w:rPr>
          <w:bCs/>
          <w:iCs/>
          <w:sz w:val="20"/>
          <w:lang w:val="es-ES_tradnl"/>
        </w:rPr>
        <w:t xml:space="preserve">Este programa obedece a la recomendación 45 de la A.D. y contribuye directamente a su aplicación.  En el contexto del ACE (un foro muy apreciado para el intercambio de experiencias nacionales), este programa continuará facilitando y fomentando el diálogo entre los Estados miembros acerca de la eficaz protección y ejecución de los derechos de P.I. que promueven los intereses generales de la sociedad, particularmente en el entorno digital y tomando en cuenta las variables sociales, económicas y tecnológicas.  El resultado previsto es la creación de un consenso entre los Estados miembros en torno a programas de trabajo temáticos conducentes al desarrollo y aplicación de estrategias nacionales que permitan poner coto a las infracciones de los derechos de P.I. en todas sus complejidades, tanto por vía preventiva como a través de medidas correctoras.  Habida cuenta de los diversos problemas actualmente planteados en los planos político y económico, se explorarán opciones innovadoras (incluyendo modelos alternativos) en estrecha cooperación con los programas 2 (Marcas, diseños industriales e indicaciones geográficas), 3 (Derecho de autor y derechos conexos) y 7 (Centro de </w:t>
      </w:r>
      <w:r w:rsidR="003B22A3" w:rsidRPr="00AD1E8B">
        <w:rPr>
          <w:bCs/>
          <w:iCs/>
          <w:sz w:val="20"/>
          <w:lang w:val="es-ES_tradnl"/>
        </w:rPr>
        <w:t xml:space="preserve">Arbitraje </w:t>
      </w:r>
      <w:r w:rsidRPr="00AD1E8B">
        <w:rPr>
          <w:bCs/>
          <w:iCs/>
          <w:sz w:val="20"/>
          <w:lang w:val="es-ES_tradnl"/>
        </w:rPr>
        <w:t xml:space="preserve">y </w:t>
      </w:r>
      <w:r w:rsidR="003B22A3" w:rsidRPr="00AD1E8B">
        <w:rPr>
          <w:bCs/>
          <w:iCs/>
          <w:sz w:val="20"/>
          <w:lang w:val="es-ES_tradnl"/>
        </w:rPr>
        <w:t xml:space="preserve">Mediación </w:t>
      </w:r>
      <w:r w:rsidRPr="00AD1E8B">
        <w:rPr>
          <w:bCs/>
          <w:iCs/>
          <w:sz w:val="20"/>
          <w:lang w:val="es-ES_tradnl"/>
        </w:rPr>
        <w:t xml:space="preserve">de la OMPI).  </w:t>
      </w:r>
    </w:p>
    <w:p w:rsidR="00C2064F" w:rsidRPr="00AD1E8B" w:rsidRDefault="00C2064F" w:rsidP="00C2064F">
      <w:pPr>
        <w:widowControl w:val="0"/>
        <w:jc w:val="both"/>
        <w:rPr>
          <w:bCs/>
          <w:iCs/>
          <w:sz w:val="20"/>
          <w:lang w:val="es-ES_tradnl"/>
        </w:rPr>
      </w:pPr>
    </w:p>
    <w:p w:rsidR="00C2064F" w:rsidRPr="00AD1E8B" w:rsidRDefault="00C2064F" w:rsidP="00776E90">
      <w:pPr>
        <w:keepNext/>
        <w:keepLines/>
        <w:widowControl w:val="0"/>
        <w:numPr>
          <w:ilvl w:val="0"/>
          <w:numId w:val="11"/>
        </w:numPr>
        <w:jc w:val="both"/>
        <w:rPr>
          <w:bCs/>
          <w:iCs/>
          <w:sz w:val="20"/>
          <w:lang w:val="es-ES_tradnl"/>
        </w:rPr>
      </w:pPr>
      <w:r w:rsidRPr="00AD1E8B">
        <w:rPr>
          <w:bCs/>
          <w:iCs/>
          <w:sz w:val="20"/>
          <w:lang w:val="es-ES_tradnl"/>
        </w:rPr>
        <w:lastRenderedPageBreak/>
        <w:t xml:space="preserve">Siempre guiándose por los debates celebrados en el seno del ACE a fin de mantener un adecuado equilibrio entre los derechos privados y el interés público, el programa 17 continuará estructurando sus actividades de asistencia previa solicitud y adaptándolas a las necesidades de los diferentes países según las mismas han sido identificadas en el contexto de sus respectivas estrategias nacionales de P.I.  Empeñado en la tarea de </w:t>
      </w:r>
      <w:r w:rsidR="00990B95">
        <w:rPr>
          <w:bCs/>
          <w:iCs/>
          <w:sz w:val="20"/>
          <w:lang w:val="es-ES_tradnl"/>
        </w:rPr>
        <w:t>cultivar</w:t>
      </w:r>
      <w:r w:rsidRPr="00AD1E8B">
        <w:rPr>
          <w:bCs/>
          <w:iCs/>
          <w:sz w:val="20"/>
          <w:lang w:val="es-ES_tradnl"/>
        </w:rPr>
        <w:t xml:space="preserve"> el respeto por la P.I. desde un espíritu de cooperación internacional, el programa 17 fortalecerá las alianzas existentes y buscará aliados nuevos (como por ejemplo otras organizaciones internacionales, organizaciones del sector privado y de derechos del consumidor u otras organizaciones de la sociedad civil) en el contexto de los intereses generales de la sociedad, a fin de evitar duplicaciones de esfuerzos y maximizar la repercusión de su quehacer gracias a la puesta en común de recursos.</w:t>
      </w:r>
    </w:p>
    <w:p w:rsidR="00C2064F" w:rsidRPr="00AD1E8B" w:rsidRDefault="00C2064F" w:rsidP="00C2064F">
      <w:pPr>
        <w:widowControl w:val="0"/>
        <w:tabs>
          <w:tab w:val="left" w:pos="6273"/>
        </w:tabs>
        <w:jc w:val="both"/>
        <w:rPr>
          <w:bCs/>
          <w:iCs/>
          <w:sz w:val="20"/>
          <w:lang w:val="es-ES_tradnl" w:eastAsia="ko-KR"/>
        </w:rPr>
      </w:pPr>
    </w:p>
    <w:p w:rsidR="00C2064F" w:rsidRPr="00AD1E8B" w:rsidRDefault="00C2064F" w:rsidP="00E17471">
      <w:pPr>
        <w:widowControl w:val="0"/>
        <w:numPr>
          <w:ilvl w:val="0"/>
          <w:numId w:val="11"/>
        </w:numPr>
        <w:jc w:val="both"/>
        <w:rPr>
          <w:bCs/>
          <w:iCs/>
          <w:sz w:val="20"/>
          <w:lang w:val="es-ES_tradnl"/>
        </w:rPr>
      </w:pPr>
      <w:r w:rsidRPr="00AD1E8B">
        <w:rPr>
          <w:bCs/>
          <w:iCs/>
          <w:sz w:val="20"/>
          <w:lang w:val="es-ES_tradnl"/>
        </w:rPr>
        <w:t>Al prestar s</w:t>
      </w:r>
      <w:r w:rsidR="000F09EB">
        <w:rPr>
          <w:bCs/>
          <w:iCs/>
          <w:sz w:val="20"/>
          <w:lang w:val="es-ES_tradnl"/>
        </w:rPr>
        <w:t>ervicios a los Estados miembros fomentando</w:t>
      </w:r>
      <w:r w:rsidRPr="00AD1E8B">
        <w:rPr>
          <w:bCs/>
          <w:iCs/>
          <w:sz w:val="20"/>
          <w:lang w:val="es-ES_tradnl"/>
        </w:rPr>
        <w:t xml:space="preserve"> el respeto por la P.I., el programa 17 velará por que su asistencia técnica sea transparente, vaya orientada hacia el desarrollo y otorgue la debida consideración a las prioridades y necesidades especiales de los países solicitantes (recomendaciones 1, 6, 12 y 13 de la A.D.).  A solicitud de un Estado miembro, la OMPI apoyará la aplicación en el plano nacional de los acuerdos internacionales de P.I., tomando plenamente en cuenta las correspondientes flexibilidades y opciones (recomendaciones 14 y 17 de la A.D.). La OMPI continuará asimismo fomentando una cultura de P.I. orientada hacia el desarrollo, coadyuvando al surgimiento de estrategias nacionales de sensibilización en materia de P.I., incluida en particular la divulgación de la P.I. entre los grupos de edad más jóvenes y la organización de campañas eficaces de sensibilización pública (recomendación 3 de la A.D.).  Esta labor se llevará a cabo en estrecha cooperación con los programas 9 (Países africanos, árabes, de América Latina y el Caribe, de Asia y el Pacífico y </w:t>
      </w:r>
      <w:r w:rsidR="00733234">
        <w:rPr>
          <w:bCs/>
          <w:iCs/>
          <w:sz w:val="20"/>
          <w:lang w:val="es-ES_tradnl"/>
        </w:rPr>
        <w:t>p</w:t>
      </w:r>
      <w:r w:rsidR="00733234">
        <w:rPr>
          <w:iCs/>
          <w:sz w:val="20"/>
          <w:lang w:val="es-ES_tradnl"/>
        </w:rPr>
        <w:t>aíses menos adelantados</w:t>
      </w:r>
      <w:r w:rsidRPr="00AD1E8B">
        <w:rPr>
          <w:iCs/>
          <w:sz w:val="20"/>
          <w:lang w:val="es-ES_tradnl"/>
        </w:rPr>
        <w:t>)</w:t>
      </w:r>
      <w:r w:rsidRPr="00AD1E8B">
        <w:rPr>
          <w:bCs/>
          <w:iCs/>
          <w:sz w:val="20"/>
          <w:lang w:val="es-ES_tradnl"/>
        </w:rPr>
        <w:t>, 10 (</w:t>
      </w:r>
      <w:r w:rsidRPr="00AD1E8B">
        <w:rPr>
          <w:iCs/>
          <w:sz w:val="20"/>
          <w:lang w:val="es-ES_tradnl"/>
        </w:rPr>
        <w:t>Cooperación con determinados países de Europa y Asia),</w:t>
      </w:r>
      <w:r w:rsidRPr="00AD1E8B">
        <w:rPr>
          <w:bCs/>
          <w:iCs/>
          <w:sz w:val="20"/>
          <w:lang w:val="es-ES_tradnl"/>
        </w:rPr>
        <w:t xml:space="preserve"> 11 </w:t>
      </w:r>
      <w:r w:rsidR="003B22A3">
        <w:rPr>
          <w:bCs/>
          <w:iCs/>
          <w:sz w:val="20"/>
          <w:lang w:val="es-ES_tradnl"/>
        </w:rPr>
        <w:t>(</w:t>
      </w:r>
      <w:r w:rsidR="00033E8A">
        <w:rPr>
          <w:bCs/>
          <w:iCs/>
          <w:sz w:val="20"/>
          <w:lang w:val="es-ES_tradnl"/>
        </w:rPr>
        <w:t xml:space="preserve">Academia </w:t>
      </w:r>
      <w:r w:rsidRPr="00AD1E8B">
        <w:rPr>
          <w:bCs/>
          <w:iCs/>
          <w:sz w:val="20"/>
          <w:lang w:val="es-ES_tradnl"/>
        </w:rPr>
        <w:t xml:space="preserve">de la OMPI) y 19 (Comunicaciones) y se coordinará con diversas organizaciones asociadas, algunas de ellas pertenecientes al sector privado.  Se ha previsto practicar una estrecha cooperación con los países en desarrollo y los PMA que soliciten el apoyo de la OMPI, así como con diversas autoridades nacionales y sectores interesados al objeto de fortalecer la capacidad de los funcionarios de administración de la justicia, estimular la creatividad y la innovación e incorporar la P.I. al lenguaje coloquial a través de concursos, el programa de Premios de la OMPI y las celebraciones del Día de la </w:t>
      </w:r>
      <w:r>
        <w:rPr>
          <w:bCs/>
          <w:iCs/>
          <w:sz w:val="20"/>
          <w:lang w:val="es-ES_tradnl"/>
        </w:rPr>
        <w:t>p</w:t>
      </w:r>
      <w:r w:rsidRPr="00AD1E8B">
        <w:rPr>
          <w:bCs/>
          <w:iCs/>
          <w:sz w:val="20"/>
          <w:lang w:val="es-ES_tradnl"/>
        </w:rPr>
        <w:t xml:space="preserve">ropiedad </w:t>
      </w:r>
      <w:r>
        <w:rPr>
          <w:bCs/>
          <w:iCs/>
          <w:sz w:val="20"/>
          <w:lang w:val="es-ES_tradnl"/>
        </w:rPr>
        <w:t>i</w:t>
      </w:r>
      <w:r w:rsidRPr="00AD1E8B">
        <w:rPr>
          <w:bCs/>
          <w:iCs/>
          <w:sz w:val="20"/>
          <w:lang w:val="es-ES_tradnl"/>
        </w:rPr>
        <w:t>ntelectual.</w:t>
      </w:r>
    </w:p>
    <w:p w:rsidR="00C2064F" w:rsidRPr="00AD1E8B" w:rsidRDefault="00C2064F" w:rsidP="00C2064F">
      <w:pPr>
        <w:widowControl w:val="0"/>
        <w:jc w:val="both"/>
        <w:rPr>
          <w:bCs/>
          <w:iCs/>
          <w:sz w:val="20"/>
          <w:lang w:val="es-ES_tradnl"/>
        </w:rPr>
      </w:pPr>
    </w:p>
    <w:p w:rsidR="00B55718" w:rsidRPr="00C2064F" w:rsidRDefault="00B55718" w:rsidP="00B55718">
      <w:pPr>
        <w:widowControl w:val="0"/>
        <w:rPr>
          <w:szCs w:val="22"/>
          <w:lang w:val="es-ES_tradnl"/>
        </w:rPr>
      </w:pPr>
    </w:p>
    <w:p w:rsidR="00B55718" w:rsidRPr="00C75C7E" w:rsidRDefault="00B55718" w:rsidP="00B55718">
      <w:pPr>
        <w:widowControl w:val="0"/>
        <w:rPr>
          <w:szCs w:val="22"/>
          <w:lang w:val="es-ES_tradnl"/>
        </w:rPr>
      </w:pPr>
      <w:r w:rsidRPr="00C75C7E">
        <w:rPr>
          <w:bCs/>
          <w:szCs w:val="22"/>
          <w:lang w:val="es-ES_tradnl"/>
        </w:rPr>
        <w:t>PRINCIPALES RIESGOS Y ESTRATEGIAS DE MITIGACIÓN</w:t>
      </w:r>
    </w:p>
    <w:p w:rsidR="00B55718" w:rsidRPr="00C75C7E" w:rsidRDefault="00B55718" w:rsidP="00B55718">
      <w:pPr>
        <w:widowControl w:val="0"/>
        <w:jc w:val="both"/>
        <w:rPr>
          <w:sz w:val="20"/>
          <w:lang w:val="es-ES_tradnl"/>
        </w:rPr>
      </w:pPr>
    </w:p>
    <w:tbl>
      <w:tblPr>
        <w:tblW w:w="9356"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79"/>
        <w:gridCol w:w="283"/>
        <w:gridCol w:w="4394"/>
      </w:tblGrid>
      <w:tr w:rsidR="00B55718" w:rsidRPr="00C75C7E" w:rsidTr="00A74F33">
        <w:trPr>
          <w:trHeight w:val="378"/>
        </w:trPr>
        <w:tc>
          <w:tcPr>
            <w:tcW w:w="4679" w:type="dxa"/>
            <w:tcBorders>
              <w:top w:val="single" w:sz="4" w:space="0" w:color="auto"/>
              <w:bottom w:val="single" w:sz="4" w:space="0" w:color="auto"/>
            </w:tcBorders>
            <w:shd w:val="clear" w:color="auto" w:fill="CCFFFF"/>
            <w:tcMar>
              <w:top w:w="113" w:type="dxa"/>
              <w:bottom w:w="85" w:type="dxa"/>
            </w:tcMar>
            <w:vAlign w:val="center"/>
          </w:tcPr>
          <w:p w:rsidR="00B55718" w:rsidRPr="00C75C7E" w:rsidRDefault="00B55718" w:rsidP="008F4F69">
            <w:pPr>
              <w:widowControl w:val="0"/>
              <w:autoSpaceDE w:val="0"/>
              <w:autoSpaceDN w:val="0"/>
              <w:adjustRightInd w:val="0"/>
              <w:ind w:right="-59"/>
              <w:jc w:val="center"/>
              <w:rPr>
                <w:b/>
                <w:bCs/>
                <w:iCs/>
                <w:sz w:val="18"/>
                <w:szCs w:val="18"/>
                <w:lang w:val="es-ES_tradnl"/>
              </w:rPr>
            </w:pPr>
            <w:r w:rsidRPr="00C75C7E">
              <w:rPr>
                <w:b/>
                <w:bCs/>
                <w:iCs/>
                <w:sz w:val="18"/>
                <w:szCs w:val="18"/>
                <w:lang w:val="es-ES_tradnl"/>
              </w:rPr>
              <w:t>Riesgos en el logro de los resultados del programa</w:t>
            </w:r>
          </w:p>
        </w:tc>
        <w:tc>
          <w:tcPr>
            <w:tcW w:w="4677" w:type="dxa"/>
            <w:gridSpan w:val="2"/>
            <w:tcBorders>
              <w:top w:val="single" w:sz="4" w:space="0" w:color="auto"/>
              <w:bottom w:val="single" w:sz="4" w:space="0" w:color="auto"/>
            </w:tcBorders>
            <w:shd w:val="clear" w:color="auto" w:fill="CCFFFF"/>
            <w:tcMar>
              <w:top w:w="113" w:type="dxa"/>
              <w:bottom w:w="85" w:type="dxa"/>
            </w:tcMar>
            <w:vAlign w:val="center"/>
          </w:tcPr>
          <w:p w:rsidR="00B55718" w:rsidRPr="00C75C7E" w:rsidRDefault="00B55718" w:rsidP="00542C2B">
            <w:pPr>
              <w:widowControl w:val="0"/>
              <w:autoSpaceDE w:val="0"/>
              <w:autoSpaceDN w:val="0"/>
              <w:adjustRightInd w:val="0"/>
              <w:ind w:left="175" w:right="-59"/>
              <w:jc w:val="center"/>
              <w:rPr>
                <w:b/>
                <w:bCs/>
                <w:iCs/>
                <w:sz w:val="18"/>
                <w:szCs w:val="18"/>
                <w:lang w:val="es-ES_tradnl"/>
              </w:rPr>
            </w:pPr>
            <w:r w:rsidRPr="00C75C7E">
              <w:rPr>
                <w:b/>
                <w:bCs/>
                <w:iCs/>
                <w:sz w:val="18"/>
                <w:szCs w:val="18"/>
                <w:lang w:val="es-ES_tradnl"/>
              </w:rPr>
              <w:t xml:space="preserve">Planes de mitigación ejecutados o en ejecución </w:t>
            </w:r>
          </w:p>
        </w:tc>
      </w:tr>
      <w:tr w:rsidR="00B55718" w:rsidRPr="00C75C7E" w:rsidTr="00A74F33">
        <w:trPr>
          <w:trHeight w:val="1219"/>
        </w:trPr>
        <w:tc>
          <w:tcPr>
            <w:tcW w:w="4962" w:type="dxa"/>
            <w:gridSpan w:val="2"/>
            <w:tcBorders>
              <w:top w:val="single" w:sz="4" w:space="0" w:color="auto"/>
            </w:tcBorders>
            <w:shd w:val="clear" w:color="auto" w:fill="auto"/>
            <w:tcMar>
              <w:top w:w="113" w:type="dxa"/>
              <w:bottom w:w="85" w:type="dxa"/>
            </w:tcMar>
          </w:tcPr>
          <w:p w:rsidR="00B55718" w:rsidRPr="00C75C7E" w:rsidRDefault="00B55718" w:rsidP="00990B95">
            <w:pPr>
              <w:widowControl w:val="0"/>
              <w:autoSpaceDE w:val="0"/>
              <w:autoSpaceDN w:val="0"/>
              <w:adjustRightInd w:val="0"/>
              <w:ind w:right="-59"/>
              <w:rPr>
                <w:sz w:val="16"/>
                <w:szCs w:val="16"/>
                <w:lang w:val="es-ES_tradnl"/>
              </w:rPr>
            </w:pPr>
            <w:r w:rsidRPr="00C75C7E">
              <w:rPr>
                <w:sz w:val="16"/>
                <w:szCs w:val="16"/>
                <w:lang w:val="es-ES_tradnl"/>
              </w:rPr>
              <w:t xml:space="preserve">La falta de consenso entre los Estados miembros y de apoyo político por parte de estos a la labor de la OMPI en favor del </w:t>
            </w:r>
            <w:r w:rsidR="00990B95">
              <w:rPr>
                <w:sz w:val="16"/>
                <w:szCs w:val="16"/>
                <w:lang w:val="es-ES_tradnl"/>
              </w:rPr>
              <w:t xml:space="preserve">cultivo del </w:t>
            </w:r>
            <w:r w:rsidRPr="00C75C7E">
              <w:rPr>
                <w:sz w:val="16"/>
                <w:szCs w:val="16"/>
                <w:lang w:val="es-ES_tradnl"/>
              </w:rPr>
              <w:t xml:space="preserve">respeto por la P.I.  Es posible que se ponga en peligro la función de la OMPI en materia de </w:t>
            </w:r>
            <w:r w:rsidR="00990B95">
              <w:rPr>
                <w:sz w:val="16"/>
                <w:szCs w:val="16"/>
                <w:lang w:val="es-ES_tradnl"/>
              </w:rPr>
              <w:t>cultivo</w:t>
            </w:r>
            <w:r w:rsidRPr="00C75C7E">
              <w:rPr>
                <w:sz w:val="16"/>
                <w:szCs w:val="16"/>
                <w:lang w:val="es-ES_tradnl"/>
              </w:rPr>
              <w:t xml:space="preserve"> del respeto por la P.I.  </w:t>
            </w:r>
          </w:p>
        </w:tc>
        <w:tc>
          <w:tcPr>
            <w:tcW w:w="4394" w:type="dxa"/>
            <w:tcBorders>
              <w:top w:val="single" w:sz="4" w:space="0" w:color="auto"/>
            </w:tcBorders>
            <w:shd w:val="clear" w:color="auto" w:fill="auto"/>
            <w:tcMar>
              <w:top w:w="113" w:type="dxa"/>
              <w:bottom w:w="85" w:type="dxa"/>
            </w:tcMar>
          </w:tcPr>
          <w:p w:rsidR="00B55718" w:rsidRPr="00C75C7E" w:rsidRDefault="00B55718" w:rsidP="008F4F69">
            <w:pPr>
              <w:widowControl w:val="0"/>
              <w:autoSpaceDE w:val="0"/>
              <w:autoSpaceDN w:val="0"/>
              <w:adjustRightInd w:val="0"/>
              <w:ind w:right="-59"/>
              <w:rPr>
                <w:sz w:val="16"/>
                <w:szCs w:val="16"/>
                <w:lang w:val="es-ES_tradnl"/>
              </w:rPr>
            </w:pPr>
            <w:r w:rsidRPr="00C75C7E">
              <w:rPr>
                <w:sz w:val="16"/>
                <w:szCs w:val="16"/>
                <w:lang w:val="es-ES_tradnl"/>
              </w:rPr>
              <w:t>Este programa comporta consultas periódicas con los Estados miembros a fin de favorecer la convergencia de sus puntos de vista sobre la pertinencia, la labor y la función del Comité Asesor sobre Observancia (ACE) en materia de políticas, así como las actividades de creación de capacidad conexas.  Se aplican normas rigurosas en todas las actividades con objeto de velar por la buena calidad, la transparencia, la neutralidad y un enfoque equilibrado.</w:t>
            </w:r>
          </w:p>
        </w:tc>
      </w:tr>
    </w:tbl>
    <w:p w:rsidR="00B55718" w:rsidRPr="00C75C7E" w:rsidRDefault="00B55718" w:rsidP="00B55718">
      <w:pPr>
        <w:widowControl w:val="0"/>
        <w:tabs>
          <w:tab w:val="left" w:pos="567"/>
          <w:tab w:val="left" w:pos="1985"/>
        </w:tabs>
        <w:jc w:val="both"/>
        <w:rPr>
          <w:bCs/>
          <w:sz w:val="20"/>
          <w:lang w:val="es-ES_tradnl"/>
        </w:rPr>
      </w:pPr>
    </w:p>
    <w:p w:rsidR="00B55718" w:rsidRPr="00C75C7E" w:rsidRDefault="00B55718" w:rsidP="00B55718">
      <w:pPr>
        <w:widowControl w:val="0"/>
        <w:tabs>
          <w:tab w:val="left" w:pos="567"/>
          <w:tab w:val="left" w:pos="1985"/>
        </w:tabs>
        <w:jc w:val="both"/>
        <w:rPr>
          <w:bCs/>
          <w:sz w:val="20"/>
          <w:lang w:val="es-ES_tradnl"/>
        </w:rPr>
      </w:pPr>
    </w:p>
    <w:p w:rsidR="00B55718" w:rsidRPr="00C75C7E" w:rsidRDefault="00B55718" w:rsidP="00B55718">
      <w:pPr>
        <w:widowControl w:val="0"/>
        <w:tabs>
          <w:tab w:val="left" w:pos="567"/>
          <w:tab w:val="left" w:pos="1985"/>
        </w:tabs>
        <w:jc w:val="both"/>
        <w:rPr>
          <w:bCs/>
          <w:sz w:val="20"/>
          <w:lang w:val="es-ES_tradnl"/>
        </w:rPr>
      </w:pPr>
      <w:r w:rsidRPr="00C75C7E">
        <w:rPr>
          <w:bCs/>
          <w:szCs w:val="22"/>
          <w:lang w:val="es-ES_tradnl"/>
        </w:rPr>
        <w:t>MARCO DE RESULTADOS</w:t>
      </w:r>
    </w:p>
    <w:p w:rsidR="00B55718" w:rsidRPr="00C75C7E" w:rsidRDefault="00B55718" w:rsidP="00B55718">
      <w:pPr>
        <w:widowControl w:val="0"/>
        <w:tabs>
          <w:tab w:val="left" w:pos="567"/>
          <w:tab w:val="left" w:pos="1985"/>
        </w:tabs>
        <w:jc w:val="both"/>
        <w:rPr>
          <w:bCs/>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970"/>
        <w:gridCol w:w="2750"/>
        <w:gridCol w:w="1540"/>
        <w:gridCol w:w="2096"/>
      </w:tblGrid>
      <w:tr w:rsidR="00B55718" w:rsidRPr="00C75C7E" w:rsidTr="00A74F33">
        <w:trPr>
          <w:cantSplit/>
          <w:trHeight w:val="232"/>
          <w:tblHeader/>
        </w:trPr>
        <w:tc>
          <w:tcPr>
            <w:tcW w:w="2970" w:type="dxa"/>
            <w:tcBorders>
              <w:top w:val="single" w:sz="4" w:space="0" w:color="auto"/>
              <w:bottom w:val="single" w:sz="4" w:space="0" w:color="auto"/>
            </w:tcBorders>
            <w:shd w:val="clear" w:color="auto" w:fill="CCFFFF"/>
            <w:tcMar>
              <w:top w:w="113" w:type="dxa"/>
              <w:bottom w:w="85" w:type="dxa"/>
            </w:tcMar>
            <w:vAlign w:val="center"/>
          </w:tcPr>
          <w:p w:rsidR="00B55718" w:rsidRPr="00C75C7E" w:rsidRDefault="00B55718"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2750" w:type="dxa"/>
            <w:tcBorders>
              <w:top w:val="single" w:sz="4" w:space="0" w:color="auto"/>
              <w:bottom w:val="single" w:sz="4" w:space="0" w:color="auto"/>
            </w:tcBorders>
            <w:shd w:val="clear" w:color="auto" w:fill="CCFFFF"/>
            <w:tcMar>
              <w:top w:w="113" w:type="dxa"/>
              <w:bottom w:w="85" w:type="dxa"/>
            </w:tcMar>
            <w:vAlign w:val="center"/>
          </w:tcPr>
          <w:p w:rsidR="00B55718" w:rsidRPr="00C75C7E" w:rsidRDefault="00B55718" w:rsidP="008F4F69">
            <w:pPr>
              <w:widowControl w:val="0"/>
              <w:spacing w:after="120"/>
              <w:jc w:val="center"/>
              <w:rPr>
                <w:b/>
                <w:bCs/>
                <w:sz w:val="18"/>
                <w:szCs w:val="18"/>
                <w:lang w:val="es-ES_tradnl"/>
              </w:rPr>
            </w:pPr>
            <w:r w:rsidRPr="00C75C7E">
              <w:rPr>
                <w:b/>
                <w:bCs/>
                <w:sz w:val="18"/>
                <w:szCs w:val="18"/>
                <w:lang w:val="es-ES_tradnl"/>
              </w:rPr>
              <w:t>Indicadores de rendimiento</w:t>
            </w:r>
          </w:p>
        </w:tc>
        <w:tc>
          <w:tcPr>
            <w:tcW w:w="1540" w:type="dxa"/>
            <w:tcBorders>
              <w:top w:val="single" w:sz="4" w:space="0" w:color="auto"/>
              <w:bottom w:val="single" w:sz="4" w:space="0" w:color="auto"/>
            </w:tcBorders>
            <w:shd w:val="clear" w:color="auto" w:fill="CCFFFF"/>
            <w:tcMar>
              <w:top w:w="113" w:type="dxa"/>
              <w:bottom w:w="85" w:type="dxa"/>
            </w:tcMar>
            <w:vAlign w:val="center"/>
          </w:tcPr>
          <w:p w:rsidR="00B55718" w:rsidRPr="00C75C7E" w:rsidRDefault="00B55718" w:rsidP="008F4F69">
            <w:pPr>
              <w:widowControl w:val="0"/>
              <w:spacing w:after="120"/>
              <w:ind w:left="85"/>
              <w:jc w:val="center"/>
              <w:rPr>
                <w:b/>
                <w:bCs/>
                <w:sz w:val="18"/>
                <w:szCs w:val="18"/>
                <w:lang w:val="es-ES_tradnl"/>
              </w:rPr>
            </w:pPr>
            <w:r w:rsidRPr="00C75C7E">
              <w:rPr>
                <w:b/>
                <w:bCs/>
                <w:sz w:val="18"/>
                <w:szCs w:val="18"/>
                <w:lang w:val="es-ES_tradnl"/>
              </w:rPr>
              <w:t>Referencia</w:t>
            </w:r>
          </w:p>
        </w:tc>
        <w:tc>
          <w:tcPr>
            <w:tcW w:w="2096" w:type="dxa"/>
            <w:tcBorders>
              <w:top w:val="single" w:sz="4" w:space="0" w:color="auto"/>
              <w:bottom w:val="single" w:sz="4" w:space="0" w:color="auto"/>
            </w:tcBorders>
            <w:shd w:val="clear" w:color="auto" w:fill="CCFFFF"/>
            <w:tcMar>
              <w:top w:w="113" w:type="dxa"/>
              <w:bottom w:w="85" w:type="dxa"/>
            </w:tcMar>
            <w:vAlign w:val="center"/>
          </w:tcPr>
          <w:p w:rsidR="00B55718" w:rsidRPr="00C75C7E" w:rsidRDefault="00B55718" w:rsidP="008F4F69">
            <w:pPr>
              <w:widowControl w:val="0"/>
              <w:spacing w:after="120"/>
              <w:ind w:right="493"/>
              <w:jc w:val="center"/>
              <w:rPr>
                <w:b/>
                <w:bCs/>
                <w:sz w:val="18"/>
                <w:szCs w:val="18"/>
                <w:lang w:val="es-ES_tradnl"/>
              </w:rPr>
            </w:pPr>
            <w:r w:rsidRPr="00C75C7E">
              <w:rPr>
                <w:b/>
                <w:bCs/>
                <w:sz w:val="18"/>
                <w:szCs w:val="18"/>
                <w:lang w:val="es-ES_tradnl"/>
              </w:rPr>
              <w:t>Objetivos</w:t>
            </w:r>
          </w:p>
        </w:tc>
      </w:tr>
      <w:tr w:rsidR="00B55718" w:rsidRPr="00C75C7E" w:rsidTr="00A74F33">
        <w:trPr>
          <w:cantSplit/>
          <w:trHeight w:val="849"/>
        </w:trPr>
        <w:tc>
          <w:tcPr>
            <w:tcW w:w="2970" w:type="dxa"/>
            <w:tcBorders>
              <w:top w:val="single" w:sz="4" w:space="0" w:color="auto"/>
            </w:tcBorders>
            <w:shd w:val="clear" w:color="auto" w:fill="auto"/>
            <w:tcMar>
              <w:top w:w="113" w:type="dxa"/>
              <w:bottom w:w="85" w:type="dxa"/>
            </w:tcMar>
          </w:tcPr>
          <w:p w:rsidR="00B55718" w:rsidRPr="00C75C7E" w:rsidRDefault="00B55718" w:rsidP="008F4F69">
            <w:pPr>
              <w:widowControl w:val="0"/>
              <w:rPr>
                <w:sz w:val="16"/>
                <w:szCs w:val="16"/>
                <w:lang w:val="es-ES_tradnl"/>
              </w:rPr>
            </w:pPr>
            <w:r w:rsidRPr="00C75C7E">
              <w:rPr>
                <w:sz w:val="16"/>
                <w:szCs w:val="16"/>
                <w:lang w:val="es-ES_tradnl"/>
              </w:rPr>
              <w:t>I.2. Marcos de P.I. adaptados y equilibrados en el ámbito legislativo, reglamentario y de política.</w:t>
            </w:r>
          </w:p>
        </w:tc>
        <w:tc>
          <w:tcPr>
            <w:tcW w:w="2750" w:type="dxa"/>
            <w:tcBorders>
              <w:top w:val="single" w:sz="4" w:space="0" w:color="auto"/>
            </w:tcBorders>
            <w:shd w:val="clear" w:color="auto" w:fill="auto"/>
            <w:tcMar>
              <w:top w:w="113" w:type="dxa"/>
              <w:bottom w:w="85" w:type="dxa"/>
            </w:tcMar>
          </w:tcPr>
          <w:p w:rsidR="00B55718" w:rsidRPr="00C75C7E" w:rsidRDefault="00B55718" w:rsidP="008F4F69">
            <w:pPr>
              <w:widowControl w:val="0"/>
              <w:rPr>
                <w:sz w:val="16"/>
                <w:szCs w:val="16"/>
                <w:lang w:val="es-ES_tradnl"/>
              </w:rPr>
            </w:pPr>
            <w:r w:rsidRPr="00C75C7E">
              <w:rPr>
                <w:sz w:val="16"/>
                <w:szCs w:val="16"/>
                <w:lang w:val="es-ES_tradnl"/>
              </w:rPr>
              <w:t>Número de países que han aprobado o modificado los marcos pertinentes (o lo están haciendo actualmente) tras recibir asistencia de la OMPI.</w:t>
            </w:r>
          </w:p>
        </w:tc>
        <w:tc>
          <w:tcPr>
            <w:tcW w:w="1540" w:type="dxa"/>
            <w:tcBorders>
              <w:top w:val="single" w:sz="4" w:space="0" w:color="auto"/>
            </w:tcBorders>
            <w:shd w:val="clear" w:color="auto" w:fill="FFFFFF"/>
            <w:tcMar>
              <w:top w:w="113" w:type="dxa"/>
              <w:bottom w:w="85" w:type="dxa"/>
            </w:tcMar>
          </w:tcPr>
          <w:p w:rsidR="00B55718" w:rsidRPr="00C75C7E" w:rsidRDefault="00B55718" w:rsidP="008F4F69">
            <w:pPr>
              <w:widowControl w:val="0"/>
              <w:rPr>
                <w:sz w:val="16"/>
                <w:szCs w:val="16"/>
                <w:lang w:val="es-ES_tradnl" w:bidi="th-TH"/>
              </w:rPr>
            </w:pPr>
            <w:r w:rsidRPr="00C75C7E">
              <w:rPr>
                <w:sz w:val="16"/>
                <w:szCs w:val="16"/>
                <w:lang w:val="es-ES_tradnl" w:bidi="th-TH"/>
              </w:rPr>
              <w:t>Por determinar.</w:t>
            </w:r>
          </w:p>
          <w:p w:rsidR="00B55718" w:rsidRPr="00C75C7E" w:rsidRDefault="00B55718" w:rsidP="008F4F69">
            <w:pPr>
              <w:widowControl w:val="0"/>
              <w:rPr>
                <w:sz w:val="16"/>
                <w:szCs w:val="16"/>
                <w:lang w:val="es-ES_tradnl" w:bidi="th-TH"/>
              </w:rPr>
            </w:pPr>
          </w:p>
          <w:p w:rsidR="00B55718" w:rsidRPr="00C75C7E" w:rsidRDefault="00B55718" w:rsidP="008F4F69">
            <w:pPr>
              <w:widowControl w:val="0"/>
              <w:rPr>
                <w:sz w:val="16"/>
                <w:szCs w:val="16"/>
                <w:lang w:val="es-ES_tradnl"/>
              </w:rPr>
            </w:pPr>
          </w:p>
        </w:tc>
        <w:tc>
          <w:tcPr>
            <w:tcW w:w="2096" w:type="dxa"/>
            <w:tcBorders>
              <w:top w:val="single" w:sz="4" w:space="0" w:color="auto"/>
            </w:tcBorders>
            <w:shd w:val="clear" w:color="auto" w:fill="auto"/>
            <w:tcMar>
              <w:top w:w="113" w:type="dxa"/>
              <w:bottom w:w="85" w:type="dxa"/>
            </w:tcMar>
          </w:tcPr>
          <w:p w:rsidR="00B55718" w:rsidRPr="00C75C7E" w:rsidRDefault="00B55718" w:rsidP="008F4F69">
            <w:pPr>
              <w:widowControl w:val="0"/>
              <w:ind w:right="381"/>
              <w:rPr>
                <w:bCs/>
                <w:sz w:val="16"/>
                <w:szCs w:val="16"/>
                <w:lang w:val="es-ES_tradnl"/>
              </w:rPr>
            </w:pPr>
            <w:r w:rsidRPr="00C75C7E">
              <w:rPr>
                <w:bCs/>
                <w:sz w:val="16"/>
                <w:szCs w:val="16"/>
                <w:lang w:val="es-ES_tradnl"/>
              </w:rPr>
              <w:t>6</w:t>
            </w:r>
          </w:p>
        </w:tc>
      </w:tr>
      <w:tr w:rsidR="00B55718" w:rsidRPr="00C75C7E" w:rsidTr="00A74F33">
        <w:trPr>
          <w:cantSplit/>
          <w:trHeight w:val="818"/>
        </w:trPr>
        <w:tc>
          <w:tcPr>
            <w:tcW w:w="2970" w:type="dxa"/>
            <w:vMerge w:val="restart"/>
            <w:shd w:val="clear" w:color="auto" w:fill="auto"/>
            <w:tcMar>
              <w:top w:w="113" w:type="dxa"/>
              <w:bottom w:w="85" w:type="dxa"/>
            </w:tcMar>
          </w:tcPr>
          <w:p w:rsidR="00B55718" w:rsidRPr="00C75C7E" w:rsidRDefault="00B55718" w:rsidP="001E5683">
            <w:pPr>
              <w:keepNext/>
              <w:widowControl w:val="0"/>
              <w:rPr>
                <w:sz w:val="16"/>
                <w:szCs w:val="16"/>
                <w:lang w:val="es-ES_tradnl"/>
              </w:rPr>
            </w:pPr>
            <w:r w:rsidRPr="00C75C7E">
              <w:rPr>
                <w:sz w:val="16"/>
                <w:szCs w:val="16"/>
                <w:lang w:val="es-ES_tradnl"/>
              </w:rPr>
              <w:lastRenderedPageBreak/>
              <w:t>III.2 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2750" w:type="dxa"/>
            <w:shd w:val="clear" w:color="auto" w:fill="auto"/>
            <w:tcMar>
              <w:top w:w="113" w:type="dxa"/>
              <w:bottom w:w="85" w:type="dxa"/>
            </w:tcMar>
          </w:tcPr>
          <w:p w:rsidR="00B55718" w:rsidRPr="00C75C7E" w:rsidRDefault="00B55718" w:rsidP="001E5683">
            <w:pPr>
              <w:keepNext/>
              <w:widowControl w:val="0"/>
              <w:rPr>
                <w:sz w:val="16"/>
                <w:szCs w:val="16"/>
                <w:lang w:val="es-ES_tradnl"/>
              </w:rPr>
            </w:pPr>
            <w:r w:rsidRPr="00C75C7E">
              <w:rPr>
                <w:sz w:val="16"/>
                <w:szCs w:val="16"/>
                <w:lang w:val="es-ES_tradnl"/>
              </w:rPr>
              <w:t>Porcentaje de participantes que han recibido formación y que están satisfechos de la utilidad y pertinencia de la formación recibida para su vida profesional.</w:t>
            </w:r>
          </w:p>
        </w:tc>
        <w:tc>
          <w:tcPr>
            <w:tcW w:w="1540" w:type="dxa"/>
            <w:shd w:val="clear" w:color="auto" w:fill="FFFFFF"/>
            <w:tcMar>
              <w:top w:w="113" w:type="dxa"/>
              <w:bottom w:w="85" w:type="dxa"/>
            </w:tcMar>
          </w:tcPr>
          <w:p w:rsidR="00B55718" w:rsidRPr="00C75C7E" w:rsidRDefault="00B55718" w:rsidP="001E5683">
            <w:pPr>
              <w:keepNext/>
              <w:widowControl w:val="0"/>
              <w:rPr>
                <w:sz w:val="16"/>
                <w:szCs w:val="16"/>
                <w:lang w:val="es-ES_tradnl" w:bidi="th-TH"/>
              </w:rPr>
            </w:pPr>
            <w:r w:rsidRPr="00C75C7E">
              <w:rPr>
                <w:sz w:val="16"/>
                <w:szCs w:val="16"/>
                <w:lang w:val="es-ES_tradnl" w:bidi="th-TH"/>
              </w:rPr>
              <w:t>75%</w:t>
            </w:r>
          </w:p>
          <w:p w:rsidR="00B55718" w:rsidRPr="00C75C7E" w:rsidRDefault="00B55718" w:rsidP="001E5683">
            <w:pPr>
              <w:keepNext/>
              <w:widowControl w:val="0"/>
              <w:rPr>
                <w:sz w:val="16"/>
                <w:szCs w:val="16"/>
                <w:lang w:val="es-ES_tradnl" w:bidi="th-TH"/>
              </w:rPr>
            </w:pPr>
          </w:p>
          <w:p w:rsidR="00B55718" w:rsidRPr="00C75C7E" w:rsidRDefault="00B55718" w:rsidP="001E5683">
            <w:pPr>
              <w:keepNext/>
              <w:widowControl w:val="0"/>
              <w:rPr>
                <w:sz w:val="16"/>
                <w:szCs w:val="16"/>
                <w:lang w:val="es-ES_tradnl" w:bidi="th-TH"/>
              </w:rPr>
            </w:pPr>
          </w:p>
          <w:p w:rsidR="00B55718" w:rsidRPr="00C75C7E" w:rsidRDefault="00B55718" w:rsidP="001E5683">
            <w:pPr>
              <w:keepNext/>
              <w:widowControl w:val="0"/>
              <w:rPr>
                <w:sz w:val="16"/>
                <w:szCs w:val="16"/>
                <w:lang w:val="es-ES_tradnl"/>
              </w:rPr>
            </w:pPr>
          </w:p>
        </w:tc>
        <w:tc>
          <w:tcPr>
            <w:tcW w:w="2096" w:type="dxa"/>
            <w:shd w:val="clear" w:color="auto" w:fill="auto"/>
            <w:tcMar>
              <w:top w:w="113" w:type="dxa"/>
              <w:bottom w:w="85" w:type="dxa"/>
            </w:tcMar>
          </w:tcPr>
          <w:p w:rsidR="00B55718" w:rsidRPr="00C75C7E" w:rsidRDefault="00B55718" w:rsidP="001E5683">
            <w:pPr>
              <w:keepNext/>
              <w:widowControl w:val="0"/>
              <w:tabs>
                <w:tab w:val="left" w:pos="2051"/>
              </w:tabs>
              <w:ind w:right="381"/>
              <w:rPr>
                <w:bCs/>
                <w:sz w:val="16"/>
                <w:szCs w:val="16"/>
                <w:lang w:val="es-ES_tradnl"/>
              </w:rPr>
            </w:pPr>
            <w:r w:rsidRPr="00C75C7E">
              <w:rPr>
                <w:bCs/>
                <w:sz w:val="16"/>
                <w:szCs w:val="16"/>
                <w:lang w:val="es-ES_tradnl"/>
              </w:rPr>
              <w:t>75%</w:t>
            </w:r>
          </w:p>
        </w:tc>
      </w:tr>
      <w:tr w:rsidR="00B55718" w:rsidRPr="00C75C7E" w:rsidTr="00A74F33">
        <w:trPr>
          <w:cantSplit/>
          <w:trHeight w:val="635"/>
        </w:trPr>
        <w:tc>
          <w:tcPr>
            <w:tcW w:w="2970" w:type="dxa"/>
            <w:vMerge/>
            <w:shd w:val="clear" w:color="auto" w:fill="auto"/>
            <w:tcMar>
              <w:top w:w="113" w:type="dxa"/>
              <w:bottom w:w="85" w:type="dxa"/>
            </w:tcMar>
          </w:tcPr>
          <w:p w:rsidR="00B55718" w:rsidRPr="00C75C7E" w:rsidRDefault="00B55718" w:rsidP="008F4F69">
            <w:pPr>
              <w:widowControl w:val="0"/>
              <w:rPr>
                <w:sz w:val="16"/>
                <w:szCs w:val="16"/>
                <w:lang w:val="es-ES_tradnl"/>
              </w:rPr>
            </w:pPr>
          </w:p>
        </w:tc>
        <w:tc>
          <w:tcPr>
            <w:tcW w:w="2750" w:type="dxa"/>
            <w:shd w:val="clear" w:color="auto" w:fill="auto"/>
            <w:tcMar>
              <w:top w:w="113" w:type="dxa"/>
              <w:bottom w:w="85" w:type="dxa"/>
            </w:tcMar>
          </w:tcPr>
          <w:p w:rsidR="00B55718" w:rsidRPr="00C75C7E" w:rsidRDefault="00033E8A" w:rsidP="008F4F69">
            <w:pPr>
              <w:widowControl w:val="0"/>
              <w:rPr>
                <w:sz w:val="16"/>
                <w:szCs w:val="16"/>
                <w:lang w:val="es-ES_tradnl"/>
              </w:rPr>
            </w:pPr>
            <w:r w:rsidRPr="00C75C7E">
              <w:rPr>
                <w:sz w:val="16"/>
                <w:szCs w:val="16"/>
                <w:lang w:val="es-ES_tradnl"/>
              </w:rPr>
              <w:t>Porcentaje de destinatarios que han demostrado conocimientos básicos de</w:t>
            </w:r>
            <w:r>
              <w:rPr>
                <w:sz w:val="16"/>
                <w:szCs w:val="16"/>
                <w:lang w:val="es-ES_tradnl"/>
              </w:rPr>
              <w:t xml:space="preserve"> un sistema equilibrado </w:t>
            </w:r>
            <w:r w:rsidRPr="00C75C7E">
              <w:rPr>
                <w:sz w:val="16"/>
                <w:szCs w:val="16"/>
                <w:lang w:val="es-ES_tradnl"/>
              </w:rPr>
              <w:t>de P.I. tras las actividades de la OMPI</w:t>
            </w:r>
            <w:r w:rsidR="00B55718" w:rsidRPr="00C75C7E">
              <w:rPr>
                <w:sz w:val="16"/>
                <w:szCs w:val="16"/>
                <w:lang w:val="es-ES_tradnl"/>
              </w:rPr>
              <w:t>.</w:t>
            </w:r>
          </w:p>
        </w:tc>
        <w:tc>
          <w:tcPr>
            <w:tcW w:w="1540" w:type="dxa"/>
            <w:shd w:val="clear" w:color="auto" w:fill="FFFFFF"/>
            <w:tcMar>
              <w:top w:w="113" w:type="dxa"/>
              <w:bottom w:w="85" w:type="dxa"/>
            </w:tcMar>
          </w:tcPr>
          <w:p w:rsidR="00B55718" w:rsidRPr="00C75C7E" w:rsidRDefault="005C037B" w:rsidP="008F4F69">
            <w:pPr>
              <w:widowControl w:val="0"/>
              <w:rPr>
                <w:sz w:val="16"/>
                <w:szCs w:val="16"/>
                <w:lang w:val="es-ES_tradnl" w:bidi="th-TH"/>
              </w:rPr>
            </w:pPr>
            <w:proofErr w:type="spellStart"/>
            <w:r>
              <w:rPr>
                <w:sz w:val="16"/>
                <w:szCs w:val="16"/>
                <w:lang w:val="es-ES_tradnl" w:bidi="th-TH"/>
              </w:rPr>
              <w:t>N.d</w:t>
            </w:r>
            <w:proofErr w:type="spellEnd"/>
            <w:r>
              <w:rPr>
                <w:sz w:val="16"/>
                <w:szCs w:val="16"/>
                <w:lang w:val="es-ES_tradnl" w:bidi="th-TH"/>
              </w:rPr>
              <w:t>.</w:t>
            </w:r>
          </w:p>
          <w:p w:rsidR="00B55718" w:rsidRPr="00C75C7E" w:rsidRDefault="00B55718" w:rsidP="008F4F69">
            <w:pPr>
              <w:widowControl w:val="0"/>
              <w:rPr>
                <w:sz w:val="16"/>
                <w:szCs w:val="16"/>
                <w:lang w:val="es-ES_tradnl" w:bidi="th-TH"/>
              </w:rPr>
            </w:pPr>
          </w:p>
          <w:p w:rsidR="00B55718" w:rsidRPr="00C75C7E" w:rsidRDefault="00B55718" w:rsidP="008F4F69">
            <w:pPr>
              <w:widowControl w:val="0"/>
              <w:rPr>
                <w:sz w:val="16"/>
                <w:szCs w:val="16"/>
                <w:lang w:val="es-ES_tradnl"/>
              </w:rPr>
            </w:pPr>
          </w:p>
        </w:tc>
        <w:tc>
          <w:tcPr>
            <w:tcW w:w="2096" w:type="dxa"/>
            <w:shd w:val="clear" w:color="auto" w:fill="auto"/>
            <w:tcMar>
              <w:top w:w="113" w:type="dxa"/>
              <w:bottom w:w="85" w:type="dxa"/>
            </w:tcMar>
          </w:tcPr>
          <w:p w:rsidR="00B55718" w:rsidRPr="00C75C7E" w:rsidRDefault="00B55718" w:rsidP="008F4F69">
            <w:pPr>
              <w:widowControl w:val="0"/>
              <w:ind w:right="51"/>
              <w:rPr>
                <w:bCs/>
                <w:sz w:val="16"/>
                <w:szCs w:val="16"/>
                <w:lang w:val="es-ES_tradnl"/>
              </w:rPr>
            </w:pPr>
            <w:r w:rsidRPr="00C75C7E">
              <w:rPr>
                <w:bCs/>
                <w:sz w:val="16"/>
                <w:szCs w:val="16"/>
                <w:lang w:val="es-ES_tradnl"/>
              </w:rPr>
              <w:t>75%</w:t>
            </w:r>
          </w:p>
        </w:tc>
      </w:tr>
      <w:tr w:rsidR="00B55718" w:rsidRPr="00C75C7E" w:rsidTr="00A74F33">
        <w:trPr>
          <w:cantSplit/>
          <w:trHeight w:val="517"/>
        </w:trPr>
        <w:tc>
          <w:tcPr>
            <w:tcW w:w="2970" w:type="dxa"/>
            <w:vMerge/>
            <w:shd w:val="clear" w:color="auto" w:fill="auto"/>
            <w:tcMar>
              <w:top w:w="113" w:type="dxa"/>
              <w:bottom w:w="85" w:type="dxa"/>
            </w:tcMar>
          </w:tcPr>
          <w:p w:rsidR="00B55718" w:rsidRPr="00C75C7E" w:rsidRDefault="00B55718" w:rsidP="008F4F69">
            <w:pPr>
              <w:widowControl w:val="0"/>
              <w:rPr>
                <w:sz w:val="16"/>
                <w:szCs w:val="16"/>
                <w:lang w:val="es-ES_tradnl"/>
              </w:rPr>
            </w:pPr>
          </w:p>
        </w:tc>
        <w:tc>
          <w:tcPr>
            <w:tcW w:w="2750" w:type="dxa"/>
            <w:shd w:val="clear" w:color="auto" w:fill="auto"/>
            <w:tcMar>
              <w:top w:w="113" w:type="dxa"/>
              <w:bottom w:w="85" w:type="dxa"/>
            </w:tcMar>
          </w:tcPr>
          <w:p w:rsidR="00B55718" w:rsidRPr="00C75C7E" w:rsidRDefault="00B55718" w:rsidP="008F4F69">
            <w:pPr>
              <w:widowControl w:val="0"/>
              <w:rPr>
                <w:sz w:val="16"/>
                <w:szCs w:val="16"/>
                <w:lang w:val="es-ES_tradnl"/>
              </w:rPr>
            </w:pPr>
            <w:r w:rsidRPr="00C75C7E">
              <w:rPr>
                <w:sz w:val="16"/>
                <w:szCs w:val="16"/>
                <w:lang w:val="es-ES_tradnl"/>
              </w:rPr>
              <w:t>Número de países participantes en el programa de Premios de la OMPI.</w:t>
            </w:r>
          </w:p>
        </w:tc>
        <w:tc>
          <w:tcPr>
            <w:tcW w:w="1540" w:type="dxa"/>
            <w:shd w:val="clear" w:color="auto" w:fill="FFFFFF"/>
            <w:tcMar>
              <w:top w:w="113" w:type="dxa"/>
              <w:bottom w:w="85" w:type="dxa"/>
            </w:tcMar>
          </w:tcPr>
          <w:p w:rsidR="00B55718" w:rsidRPr="00C75C7E" w:rsidRDefault="00B55718" w:rsidP="008F4F69">
            <w:pPr>
              <w:widowControl w:val="0"/>
              <w:rPr>
                <w:sz w:val="16"/>
                <w:szCs w:val="16"/>
                <w:lang w:val="es-ES_tradnl" w:bidi="th-TH"/>
              </w:rPr>
            </w:pPr>
            <w:r w:rsidRPr="00C75C7E">
              <w:rPr>
                <w:sz w:val="16"/>
                <w:szCs w:val="16"/>
                <w:lang w:val="es-ES_tradnl" w:bidi="th-TH"/>
              </w:rPr>
              <w:t>40 por año.</w:t>
            </w:r>
          </w:p>
          <w:p w:rsidR="00B55718" w:rsidRPr="00C75C7E" w:rsidRDefault="00B55718" w:rsidP="008F4F69">
            <w:pPr>
              <w:widowControl w:val="0"/>
              <w:rPr>
                <w:sz w:val="16"/>
                <w:szCs w:val="16"/>
                <w:lang w:val="es-ES_tradnl"/>
              </w:rPr>
            </w:pPr>
          </w:p>
        </w:tc>
        <w:tc>
          <w:tcPr>
            <w:tcW w:w="2096" w:type="dxa"/>
            <w:shd w:val="clear" w:color="auto" w:fill="auto"/>
            <w:tcMar>
              <w:top w:w="113" w:type="dxa"/>
              <w:bottom w:w="85" w:type="dxa"/>
            </w:tcMar>
          </w:tcPr>
          <w:p w:rsidR="00B55718" w:rsidRPr="00C75C7E" w:rsidRDefault="00B55718" w:rsidP="008F4F69">
            <w:pPr>
              <w:widowControl w:val="0"/>
              <w:ind w:right="161"/>
              <w:rPr>
                <w:bCs/>
                <w:sz w:val="16"/>
                <w:szCs w:val="16"/>
                <w:lang w:val="es-ES_tradnl"/>
              </w:rPr>
            </w:pPr>
            <w:r w:rsidRPr="00C75C7E">
              <w:rPr>
                <w:bCs/>
                <w:sz w:val="16"/>
                <w:szCs w:val="16"/>
                <w:lang w:val="es-ES_tradnl"/>
              </w:rPr>
              <w:t>40 por año.</w:t>
            </w:r>
          </w:p>
        </w:tc>
      </w:tr>
      <w:tr w:rsidR="00B55718" w:rsidRPr="00C75C7E" w:rsidTr="00A74F33">
        <w:trPr>
          <w:cantSplit/>
          <w:trHeight w:val="1061"/>
        </w:trPr>
        <w:tc>
          <w:tcPr>
            <w:tcW w:w="2970" w:type="dxa"/>
            <w:shd w:val="clear" w:color="auto" w:fill="auto"/>
            <w:tcMar>
              <w:top w:w="113" w:type="dxa"/>
              <w:bottom w:w="85" w:type="dxa"/>
            </w:tcMar>
          </w:tcPr>
          <w:p w:rsidR="00B55718" w:rsidRPr="00C75C7E" w:rsidRDefault="00B55718" w:rsidP="008F4F69">
            <w:pPr>
              <w:widowControl w:val="0"/>
              <w:rPr>
                <w:sz w:val="16"/>
                <w:szCs w:val="16"/>
                <w:lang w:val="es-ES_tradnl"/>
              </w:rPr>
            </w:pPr>
            <w:r w:rsidRPr="00C75C7E">
              <w:rPr>
                <w:sz w:val="16"/>
                <w:szCs w:val="16"/>
                <w:lang w:val="es-ES_tradnl"/>
              </w:rPr>
              <w:t xml:space="preserve">VI.1. </w:t>
            </w:r>
            <w:r w:rsidR="009C708A">
              <w:rPr>
                <w:sz w:val="16"/>
                <w:szCs w:val="16"/>
                <w:lang w:val="es-ES_tradnl"/>
              </w:rPr>
              <w:t>Avances en el diálogo internacional sobre políticas entre los Estados miembros de la OMPI para cultivar el respeto por la P.I. sobre la base de la recomendación 45 de la Agenda de la OMPI para el Desarrollo</w:t>
            </w:r>
            <w:r w:rsidR="00BA2F25">
              <w:rPr>
                <w:sz w:val="16"/>
                <w:szCs w:val="16"/>
                <w:lang w:val="es-ES_tradnl"/>
              </w:rPr>
              <w:t>.</w:t>
            </w:r>
          </w:p>
        </w:tc>
        <w:tc>
          <w:tcPr>
            <w:tcW w:w="2750" w:type="dxa"/>
            <w:shd w:val="clear" w:color="auto" w:fill="auto"/>
            <w:tcMar>
              <w:top w:w="113" w:type="dxa"/>
              <w:bottom w:w="85" w:type="dxa"/>
            </w:tcMar>
          </w:tcPr>
          <w:p w:rsidR="00B55718" w:rsidRPr="00C75C7E" w:rsidRDefault="00B55718" w:rsidP="008F4F69">
            <w:pPr>
              <w:widowControl w:val="0"/>
              <w:rPr>
                <w:sz w:val="16"/>
                <w:szCs w:val="16"/>
                <w:lang w:val="es-ES_tradnl"/>
              </w:rPr>
            </w:pPr>
            <w:r w:rsidRPr="00C75C7E">
              <w:rPr>
                <w:sz w:val="16"/>
                <w:szCs w:val="16"/>
                <w:lang w:val="es-ES_tradnl"/>
              </w:rPr>
              <w:t>Acuerdo constante entre los Estados miembros sobre la labor sustantiva del Comité Asesor de la OMPI sobre Observancia (ACE), al incorporar elementos orientados al desarrollo.</w:t>
            </w:r>
          </w:p>
        </w:tc>
        <w:tc>
          <w:tcPr>
            <w:tcW w:w="1540" w:type="dxa"/>
            <w:shd w:val="clear" w:color="auto" w:fill="FFFFFF"/>
            <w:tcMar>
              <w:top w:w="113" w:type="dxa"/>
              <w:bottom w:w="85" w:type="dxa"/>
            </w:tcMar>
          </w:tcPr>
          <w:p w:rsidR="00B55718" w:rsidRPr="00C75C7E" w:rsidRDefault="00B55718" w:rsidP="008F4F69">
            <w:pPr>
              <w:widowControl w:val="0"/>
              <w:rPr>
                <w:sz w:val="16"/>
                <w:szCs w:val="16"/>
                <w:lang w:val="es-ES_tradnl" w:bidi="th-TH"/>
              </w:rPr>
            </w:pPr>
            <w:r w:rsidRPr="00C75C7E">
              <w:rPr>
                <w:sz w:val="16"/>
                <w:szCs w:val="16"/>
                <w:lang w:val="es-ES_tradnl" w:bidi="th-TH"/>
              </w:rPr>
              <w:t>Acuerdo sobre el programa de trabajo de la octava sesión del ACE</w:t>
            </w:r>
          </w:p>
          <w:p w:rsidR="00B55718" w:rsidRPr="00C75C7E" w:rsidRDefault="00B55718" w:rsidP="008F4F69">
            <w:pPr>
              <w:widowControl w:val="0"/>
              <w:rPr>
                <w:sz w:val="16"/>
                <w:szCs w:val="16"/>
                <w:lang w:val="es-ES_tradnl" w:bidi="th-TH"/>
              </w:rPr>
            </w:pPr>
          </w:p>
          <w:p w:rsidR="00B55718" w:rsidRPr="00C75C7E" w:rsidRDefault="00B55718" w:rsidP="008F4F69">
            <w:pPr>
              <w:widowControl w:val="0"/>
              <w:rPr>
                <w:sz w:val="16"/>
                <w:szCs w:val="16"/>
                <w:lang w:val="es-ES_tradnl" w:bidi="th-TH"/>
              </w:rPr>
            </w:pPr>
          </w:p>
        </w:tc>
        <w:tc>
          <w:tcPr>
            <w:tcW w:w="2096" w:type="dxa"/>
            <w:shd w:val="clear" w:color="auto" w:fill="auto"/>
            <w:tcMar>
              <w:top w:w="113" w:type="dxa"/>
              <w:bottom w:w="85" w:type="dxa"/>
            </w:tcMar>
          </w:tcPr>
          <w:p w:rsidR="00B55718" w:rsidRPr="00C75C7E" w:rsidRDefault="00B55718" w:rsidP="008F4F69">
            <w:pPr>
              <w:widowControl w:val="0"/>
              <w:ind w:right="161"/>
              <w:rPr>
                <w:bCs/>
                <w:sz w:val="16"/>
                <w:szCs w:val="16"/>
                <w:lang w:val="es-ES_tradnl"/>
              </w:rPr>
            </w:pPr>
            <w:r w:rsidRPr="00C75C7E">
              <w:rPr>
                <w:bCs/>
                <w:sz w:val="16"/>
                <w:szCs w:val="16"/>
                <w:lang w:val="es-ES_tradnl"/>
              </w:rPr>
              <w:t>Acuerdo sobre el programa de trabajo de la siguiente sesión del ACE</w:t>
            </w:r>
          </w:p>
        </w:tc>
      </w:tr>
      <w:tr w:rsidR="00B55718" w:rsidRPr="00C75C7E" w:rsidTr="00A74F33">
        <w:trPr>
          <w:cantSplit/>
          <w:trHeight w:val="965"/>
        </w:trPr>
        <w:tc>
          <w:tcPr>
            <w:tcW w:w="2970" w:type="dxa"/>
            <w:shd w:val="clear" w:color="auto" w:fill="auto"/>
            <w:tcMar>
              <w:top w:w="113" w:type="dxa"/>
              <w:bottom w:w="85" w:type="dxa"/>
            </w:tcMar>
          </w:tcPr>
          <w:p w:rsidR="00B55718" w:rsidRPr="00C75C7E" w:rsidRDefault="00B55718" w:rsidP="00033E8A">
            <w:pPr>
              <w:widowControl w:val="0"/>
              <w:rPr>
                <w:sz w:val="16"/>
                <w:szCs w:val="16"/>
                <w:lang w:val="es-ES_tradnl"/>
              </w:rPr>
            </w:pPr>
            <w:r w:rsidRPr="00C75C7E">
              <w:rPr>
                <w:sz w:val="16"/>
                <w:szCs w:val="16"/>
                <w:lang w:val="es-ES_tradnl"/>
              </w:rPr>
              <w:t>VI.2. Cooperación sistemática</w:t>
            </w:r>
            <w:r w:rsidR="00033E8A">
              <w:rPr>
                <w:sz w:val="16"/>
                <w:szCs w:val="16"/>
                <w:lang w:val="es-ES_tradnl"/>
              </w:rPr>
              <w:t>, eficaz</w:t>
            </w:r>
            <w:r w:rsidRPr="00C75C7E">
              <w:rPr>
                <w:sz w:val="16"/>
                <w:szCs w:val="16"/>
                <w:lang w:val="es-ES_tradnl"/>
              </w:rPr>
              <w:t xml:space="preserve"> y </w:t>
            </w:r>
            <w:r w:rsidR="00033E8A">
              <w:rPr>
                <w:sz w:val="16"/>
                <w:szCs w:val="16"/>
                <w:lang w:val="es-ES_tradnl"/>
              </w:rPr>
              <w:t>transparente</w:t>
            </w:r>
            <w:r w:rsidRPr="00C75C7E">
              <w:rPr>
                <w:sz w:val="16"/>
                <w:szCs w:val="16"/>
                <w:lang w:val="es-ES_tradnl"/>
              </w:rPr>
              <w:t xml:space="preserve"> entre la labor de la OMPI y otras </w:t>
            </w:r>
            <w:r w:rsidR="000D7DB1">
              <w:rPr>
                <w:sz w:val="16"/>
                <w:szCs w:val="16"/>
                <w:lang w:val="es-ES_tradnl"/>
              </w:rPr>
              <w:t xml:space="preserve">organizaciones internacionales en el </w:t>
            </w:r>
            <w:r w:rsidR="00990B95">
              <w:rPr>
                <w:sz w:val="16"/>
                <w:szCs w:val="16"/>
                <w:lang w:val="es-ES_tradnl"/>
              </w:rPr>
              <w:t>ámbito del cultivo del respeto</w:t>
            </w:r>
            <w:r w:rsidR="000D7DB1">
              <w:rPr>
                <w:sz w:val="16"/>
                <w:szCs w:val="16"/>
                <w:lang w:val="es-ES_tradnl"/>
              </w:rPr>
              <w:t xml:space="preserve"> por la P.I.</w:t>
            </w:r>
          </w:p>
        </w:tc>
        <w:tc>
          <w:tcPr>
            <w:tcW w:w="2750" w:type="dxa"/>
            <w:shd w:val="clear" w:color="auto" w:fill="auto"/>
            <w:tcMar>
              <w:top w:w="113" w:type="dxa"/>
              <w:bottom w:w="85" w:type="dxa"/>
            </w:tcMar>
          </w:tcPr>
          <w:p w:rsidR="00B55718" w:rsidRPr="00C75C7E" w:rsidRDefault="00B55718" w:rsidP="000D7DB1">
            <w:pPr>
              <w:widowControl w:val="0"/>
              <w:rPr>
                <w:sz w:val="16"/>
                <w:szCs w:val="16"/>
                <w:lang w:val="es-ES_tradnl"/>
              </w:rPr>
            </w:pPr>
            <w:r w:rsidRPr="00C75C7E">
              <w:rPr>
                <w:sz w:val="16"/>
                <w:szCs w:val="16"/>
                <w:lang w:val="es-ES_tradnl"/>
              </w:rPr>
              <w:t xml:space="preserve">Número de actividades conjuntas de </w:t>
            </w:r>
            <w:r w:rsidR="00990B95">
              <w:rPr>
                <w:sz w:val="16"/>
                <w:szCs w:val="16"/>
                <w:lang w:val="es-ES_tradnl"/>
              </w:rPr>
              <w:t>cultivo del respeto</w:t>
            </w:r>
            <w:r w:rsidRPr="00C75C7E">
              <w:rPr>
                <w:sz w:val="16"/>
                <w:szCs w:val="16"/>
                <w:lang w:val="es-ES_tradnl"/>
              </w:rPr>
              <w:t xml:space="preserve"> por la P.I.</w:t>
            </w:r>
          </w:p>
        </w:tc>
        <w:tc>
          <w:tcPr>
            <w:tcW w:w="1540" w:type="dxa"/>
            <w:shd w:val="clear" w:color="auto" w:fill="FFFFFF"/>
            <w:tcMar>
              <w:top w:w="113" w:type="dxa"/>
              <w:bottom w:w="85" w:type="dxa"/>
            </w:tcMar>
          </w:tcPr>
          <w:p w:rsidR="00B55718" w:rsidRPr="00C75C7E" w:rsidRDefault="00B55718" w:rsidP="008F4F69">
            <w:pPr>
              <w:widowControl w:val="0"/>
              <w:rPr>
                <w:sz w:val="16"/>
                <w:szCs w:val="16"/>
                <w:lang w:val="es-ES_tradnl" w:bidi="th-TH"/>
              </w:rPr>
            </w:pPr>
            <w:r w:rsidRPr="00C75C7E">
              <w:rPr>
                <w:sz w:val="16"/>
                <w:szCs w:val="16"/>
                <w:lang w:val="es-ES_tradnl" w:bidi="th-TH"/>
              </w:rPr>
              <w:t>30</w:t>
            </w:r>
          </w:p>
          <w:p w:rsidR="00B55718" w:rsidRPr="00C75C7E" w:rsidRDefault="00B55718" w:rsidP="008F4F69">
            <w:pPr>
              <w:widowControl w:val="0"/>
              <w:rPr>
                <w:sz w:val="16"/>
                <w:szCs w:val="16"/>
                <w:lang w:val="es-ES_tradnl" w:bidi="th-TH"/>
              </w:rPr>
            </w:pPr>
          </w:p>
          <w:p w:rsidR="00B55718" w:rsidRPr="00C75C7E" w:rsidRDefault="00B55718" w:rsidP="008F4F69">
            <w:pPr>
              <w:widowControl w:val="0"/>
              <w:rPr>
                <w:sz w:val="16"/>
                <w:szCs w:val="16"/>
                <w:lang w:val="es-ES_tradnl" w:bidi="th-TH"/>
              </w:rPr>
            </w:pPr>
          </w:p>
        </w:tc>
        <w:tc>
          <w:tcPr>
            <w:tcW w:w="2096" w:type="dxa"/>
            <w:shd w:val="clear" w:color="auto" w:fill="auto"/>
            <w:tcMar>
              <w:top w:w="113" w:type="dxa"/>
              <w:bottom w:w="85" w:type="dxa"/>
            </w:tcMar>
          </w:tcPr>
          <w:p w:rsidR="00B55718" w:rsidRPr="00C75C7E" w:rsidRDefault="00B55718" w:rsidP="008F4F69">
            <w:pPr>
              <w:widowControl w:val="0"/>
              <w:ind w:right="161"/>
              <w:rPr>
                <w:bCs/>
                <w:sz w:val="16"/>
                <w:szCs w:val="16"/>
                <w:lang w:val="es-ES_tradnl"/>
              </w:rPr>
            </w:pPr>
            <w:r w:rsidRPr="00C75C7E">
              <w:rPr>
                <w:bCs/>
                <w:sz w:val="16"/>
                <w:szCs w:val="16"/>
                <w:lang w:val="es-ES_tradnl"/>
              </w:rPr>
              <w:t>30</w:t>
            </w:r>
          </w:p>
        </w:tc>
      </w:tr>
    </w:tbl>
    <w:p w:rsidR="00B55718" w:rsidRDefault="00B55718" w:rsidP="00B55718">
      <w:pPr>
        <w:widowControl w:val="0"/>
        <w:tabs>
          <w:tab w:val="left" w:pos="567"/>
          <w:tab w:val="left" w:pos="1985"/>
        </w:tabs>
        <w:rPr>
          <w:bCs/>
          <w:sz w:val="20"/>
          <w:lang w:val="es-ES_tradnl"/>
        </w:rPr>
      </w:pPr>
    </w:p>
    <w:p w:rsidR="00F21127" w:rsidRDefault="00F21127" w:rsidP="00B55718">
      <w:pPr>
        <w:widowControl w:val="0"/>
        <w:tabs>
          <w:tab w:val="left" w:pos="567"/>
          <w:tab w:val="left" w:pos="1985"/>
        </w:tabs>
        <w:rPr>
          <w:bCs/>
          <w:sz w:val="20"/>
          <w:lang w:val="es-ES_tradnl"/>
        </w:rPr>
      </w:pPr>
    </w:p>
    <w:p w:rsidR="009E7719" w:rsidRPr="00AD1E8B" w:rsidRDefault="009E7719" w:rsidP="009E7719">
      <w:pPr>
        <w:widowControl w:val="0"/>
        <w:autoSpaceDE w:val="0"/>
        <w:autoSpaceDN w:val="0"/>
        <w:adjustRightInd w:val="0"/>
        <w:jc w:val="both"/>
        <w:rPr>
          <w:szCs w:val="22"/>
          <w:lang w:val="es-ES_tradnl"/>
        </w:rPr>
      </w:pPr>
      <w:r w:rsidRPr="00AD1E8B">
        <w:rPr>
          <w:szCs w:val="22"/>
          <w:lang w:val="es-ES_tradnl"/>
        </w:rPr>
        <w:t>RECURSOS PARA EL PROGRAMA 17</w:t>
      </w:r>
    </w:p>
    <w:p w:rsidR="009E7719" w:rsidRPr="00AD1E8B" w:rsidRDefault="009E7719" w:rsidP="009E7719">
      <w:pPr>
        <w:widowControl w:val="0"/>
        <w:autoSpaceDE w:val="0"/>
        <w:autoSpaceDN w:val="0"/>
        <w:adjustRightInd w:val="0"/>
        <w:rPr>
          <w:bCs/>
          <w:iCs/>
          <w:szCs w:val="22"/>
          <w:lang w:val="es-ES_tradnl"/>
        </w:rPr>
      </w:pPr>
    </w:p>
    <w:p w:rsidR="009E7719" w:rsidRPr="00AD1E8B" w:rsidRDefault="009E7719" w:rsidP="000D7DB1">
      <w:pPr>
        <w:widowControl w:val="0"/>
        <w:numPr>
          <w:ilvl w:val="0"/>
          <w:numId w:val="11"/>
        </w:numPr>
        <w:jc w:val="both"/>
        <w:rPr>
          <w:bCs/>
          <w:iCs/>
          <w:sz w:val="20"/>
          <w:lang w:val="es-ES_tradnl"/>
        </w:rPr>
      </w:pPr>
      <w:r w:rsidRPr="00AD1E8B">
        <w:rPr>
          <w:bCs/>
          <w:iCs/>
          <w:sz w:val="20"/>
          <w:lang w:val="es-ES_tradnl"/>
        </w:rPr>
        <w:t xml:space="preserve">Los recursos no </w:t>
      </w:r>
      <w:r w:rsidR="00733234">
        <w:rPr>
          <w:bCs/>
          <w:iCs/>
          <w:sz w:val="20"/>
          <w:lang w:val="es-ES_tradnl"/>
        </w:rPr>
        <w:t>relativos al personal,</w:t>
      </w:r>
      <w:r w:rsidRPr="00AD1E8B">
        <w:rPr>
          <w:bCs/>
          <w:iCs/>
          <w:sz w:val="20"/>
          <w:lang w:val="es-ES_tradnl"/>
        </w:rPr>
        <w:t xml:space="preserve"> asignados a la consecución de los resultados previstos en el marco del programa</w:t>
      </w:r>
      <w:r w:rsidR="00733234">
        <w:rPr>
          <w:bCs/>
          <w:iCs/>
          <w:sz w:val="20"/>
          <w:lang w:val="es-ES_tradnl"/>
        </w:rPr>
        <w:t>,</w:t>
      </w:r>
      <w:r w:rsidRPr="00AD1E8B">
        <w:rPr>
          <w:bCs/>
          <w:iCs/>
          <w:sz w:val="20"/>
          <w:lang w:val="es-ES_tradnl"/>
        </w:rPr>
        <w:t xml:space="preserve"> se mantienen fundamentalmente al mismo nivel que en el presupuesto 2012/13 después de transferencias, habiéndose logrado algunas economías gracias a las medidas adoptadas en favor de la eficiencia de costos (se trata básicamente de costos de viaje).  El incremento de los recursos </w:t>
      </w:r>
      <w:r w:rsidR="00733234">
        <w:rPr>
          <w:bCs/>
          <w:iCs/>
          <w:sz w:val="20"/>
          <w:lang w:val="es-ES_tradnl"/>
        </w:rPr>
        <w:t>de personal</w:t>
      </w:r>
      <w:r w:rsidRPr="00AD1E8B">
        <w:rPr>
          <w:bCs/>
          <w:iCs/>
          <w:sz w:val="20"/>
          <w:lang w:val="es-ES_tradnl"/>
        </w:rPr>
        <w:t xml:space="preserve"> se ha asignado a los resultados III.2 (Mejora de las capacidades en el ámbito de los recursos humanos) y VI.2 (Cooperación para </w:t>
      </w:r>
      <w:r w:rsidR="00990B95">
        <w:rPr>
          <w:bCs/>
          <w:iCs/>
          <w:sz w:val="20"/>
          <w:lang w:val="es-ES_tradnl"/>
        </w:rPr>
        <w:t>cultivar el respeto</w:t>
      </w:r>
      <w:r w:rsidRPr="00AD1E8B">
        <w:rPr>
          <w:bCs/>
          <w:iCs/>
          <w:sz w:val="20"/>
          <w:lang w:val="es-ES_tradnl"/>
        </w:rPr>
        <w:t xml:space="preserve"> por la P.I.) con la mira de (i) seguir fortaleciendo y </w:t>
      </w:r>
      <w:r w:rsidR="00BA2F25">
        <w:rPr>
          <w:bCs/>
          <w:iCs/>
          <w:sz w:val="20"/>
          <w:lang w:val="es-ES_tradnl"/>
        </w:rPr>
        <w:t>promoviendo</w:t>
      </w:r>
      <w:r w:rsidRPr="00AD1E8B">
        <w:rPr>
          <w:bCs/>
          <w:iCs/>
          <w:sz w:val="20"/>
          <w:lang w:val="es-ES_tradnl"/>
        </w:rPr>
        <w:t xml:space="preserve"> la sensibilizaci</w:t>
      </w:r>
      <w:r w:rsidR="00733234">
        <w:rPr>
          <w:bCs/>
          <w:iCs/>
          <w:sz w:val="20"/>
          <w:lang w:val="es-ES_tradnl"/>
        </w:rPr>
        <w:t xml:space="preserve">ón y la educación públicas y </w:t>
      </w:r>
      <w:r w:rsidR="00990B95">
        <w:rPr>
          <w:bCs/>
          <w:iCs/>
          <w:sz w:val="20"/>
          <w:lang w:val="es-ES_tradnl"/>
        </w:rPr>
        <w:t>cultivar el respeto</w:t>
      </w:r>
      <w:r w:rsidRPr="00AD1E8B">
        <w:rPr>
          <w:bCs/>
          <w:iCs/>
          <w:sz w:val="20"/>
          <w:lang w:val="es-ES_tradnl"/>
        </w:rPr>
        <w:t xml:space="preserve"> por la P.I. a través de actividades específicas como el programa de Premios de la OMPI, y (ii) reflejar la importancia de la colaboración y la cooperación con las organizaciones pertinentes y con los sectores interesados en </w:t>
      </w:r>
      <w:r w:rsidR="00990B95">
        <w:rPr>
          <w:bCs/>
          <w:iCs/>
          <w:sz w:val="20"/>
          <w:lang w:val="es-ES_tradnl"/>
        </w:rPr>
        <w:t>cultivar el respeto</w:t>
      </w:r>
      <w:r w:rsidRPr="00AD1E8B">
        <w:rPr>
          <w:bCs/>
          <w:iCs/>
          <w:sz w:val="20"/>
          <w:lang w:val="es-ES_tradnl"/>
        </w:rPr>
        <w:t xml:space="preserve"> por la P.I.</w:t>
      </w:r>
    </w:p>
    <w:p w:rsidR="009E7719" w:rsidRPr="00AD1E8B" w:rsidRDefault="009E7719" w:rsidP="009E7719">
      <w:pPr>
        <w:widowControl w:val="0"/>
        <w:autoSpaceDE w:val="0"/>
        <w:autoSpaceDN w:val="0"/>
        <w:adjustRightInd w:val="0"/>
        <w:rPr>
          <w:bCs/>
          <w:iCs/>
          <w:szCs w:val="22"/>
          <w:lang w:val="es-ES_tradnl"/>
        </w:rPr>
      </w:pPr>
    </w:p>
    <w:p w:rsidR="009E7719" w:rsidRPr="00C75C7E" w:rsidRDefault="009E7719" w:rsidP="00B55718">
      <w:pPr>
        <w:widowControl w:val="0"/>
        <w:tabs>
          <w:tab w:val="left" w:pos="567"/>
          <w:tab w:val="left" w:pos="1985"/>
        </w:tabs>
        <w:rPr>
          <w:bCs/>
          <w:sz w:val="20"/>
          <w:lang w:val="es-ES_tradnl"/>
        </w:rPr>
      </w:pPr>
    </w:p>
    <w:p w:rsidR="00B55718" w:rsidRPr="00C75C7E" w:rsidRDefault="00033E8A" w:rsidP="001E5683">
      <w:pPr>
        <w:keepNext/>
        <w:widowControl w:val="0"/>
        <w:autoSpaceDE w:val="0"/>
        <w:autoSpaceDN w:val="0"/>
        <w:adjustRightInd w:val="0"/>
        <w:jc w:val="center"/>
        <w:rPr>
          <w:b/>
          <w:bCs/>
          <w:iCs/>
          <w:sz w:val="20"/>
          <w:lang w:val="es-ES_tradnl"/>
        </w:rPr>
      </w:pPr>
      <w:r>
        <w:rPr>
          <w:b/>
          <w:sz w:val="18"/>
          <w:szCs w:val="18"/>
          <w:lang w:val="es-ES_tradnl"/>
        </w:rPr>
        <w:lastRenderedPageBreak/>
        <w:t>Programa 17</w:t>
      </w:r>
      <w:proofErr w:type="gramStart"/>
      <w:r>
        <w:rPr>
          <w:b/>
          <w:sz w:val="18"/>
          <w:szCs w:val="18"/>
          <w:lang w:val="es-ES_tradnl"/>
        </w:rPr>
        <w:t xml:space="preserve">: </w:t>
      </w:r>
      <w:r w:rsidR="00B55718" w:rsidRPr="00C75C7E">
        <w:rPr>
          <w:b/>
          <w:i/>
          <w:sz w:val="18"/>
          <w:szCs w:val="18"/>
          <w:lang w:val="es-ES_tradnl"/>
        </w:rPr>
        <w:t xml:space="preserve"> </w:t>
      </w:r>
      <w:r w:rsidR="00B55718" w:rsidRPr="00C75C7E">
        <w:rPr>
          <w:b/>
          <w:bCs/>
          <w:iCs/>
          <w:sz w:val="20"/>
          <w:lang w:val="es-ES_tradnl"/>
        </w:rPr>
        <w:t>Recursos</w:t>
      </w:r>
      <w:proofErr w:type="gramEnd"/>
      <w:r w:rsidR="00B55718" w:rsidRPr="00C75C7E">
        <w:rPr>
          <w:b/>
          <w:bCs/>
          <w:iCs/>
          <w:sz w:val="20"/>
          <w:lang w:val="es-ES_tradnl"/>
        </w:rPr>
        <w:t xml:space="preserve"> por resultado</w:t>
      </w:r>
    </w:p>
    <w:p w:rsidR="00B55718" w:rsidRPr="00C75C7E" w:rsidRDefault="00B55718" w:rsidP="001E5683">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55718" w:rsidRPr="00C75C7E" w:rsidRDefault="00B55718" w:rsidP="001E5683">
      <w:pPr>
        <w:keepNext/>
        <w:widowControl w:val="0"/>
        <w:autoSpaceDE w:val="0"/>
        <w:autoSpaceDN w:val="0"/>
        <w:adjustRightInd w:val="0"/>
        <w:jc w:val="center"/>
        <w:rPr>
          <w:i/>
          <w:sz w:val="18"/>
          <w:szCs w:val="18"/>
          <w:lang w:val="es-ES_tradnl"/>
        </w:rPr>
      </w:pPr>
    </w:p>
    <w:p w:rsidR="00B55718" w:rsidRPr="00C75C7E" w:rsidRDefault="00033E8A" w:rsidP="001E5683">
      <w:pPr>
        <w:keepNext/>
        <w:widowControl w:val="0"/>
        <w:autoSpaceDE w:val="0"/>
        <w:autoSpaceDN w:val="0"/>
        <w:adjustRightInd w:val="0"/>
        <w:rPr>
          <w:sz w:val="18"/>
          <w:szCs w:val="18"/>
          <w:lang w:val="es-ES_tradnl"/>
        </w:rPr>
      </w:pPr>
      <w:r w:rsidRPr="00033E8A">
        <w:rPr>
          <w:noProof/>
          <w:lang w:val="en-US" w:eastAsia="en-US"/>
        </w:rPr>
        <w:drawing>
          <wp:inline distT="0" distB="0" distL="0" distR="0" wp14:anchorId="6B35B13A" wp14:editId="05DCFDFA">
            <wp:extent cx="6019800" cy="292417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6019800" cy="2924175"/>
                    </a:xfrm>
                    <a:prstGeom prst="rect">
                      <a:avLst/>
                    </a:prstGeom>
                    <a:noFill/>
                    <a:ln>
                      <a:noFill/>
                    </a:ln>
                  </pic:spPr>
                </pic:pic>
              </a:graphicData>
            </a:graphic>
          </wp:inline>
        </w:drawing>
      </w:r>
    </w:p>
    <w:p w:rsidR="00B55718" w:rsidRPr="00C75C7E" w:rsidRDefault="00B55718" w:rsidP="00B55718">
      <w:pPr>
        <w:widowControl w:val="0"/>
        <w:autoSpaceDE w:val="0"/>
        <w:autoSpaceDN w:val="0"/>
        <w:adjustRightInd w:val="0"/>
        <w:rPr>
          <w:sz w:val="20"/>
          <w:lang w:val="es-ES_tradnl"/>
        </w:rPr>
      </w:pPr>
    </w:p>
    <w:p w:rsidR="00B55718" w:rsidRPr="00C75C7E" w:rsidRDefault="00B55718" w:rsidP="00B55718">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B55718" w:rsidRDefault="00B55718" w:rsidP="00F21127">
      <w:pPr>
        <w:keepNext/>
        <w:widowControl w:val="0"/>
        <w:autoSpaceDE w:val="0"/>
        <w:autoSpaceDN w:val="0"/>
        <w:adjustRightInd w:val="0"/>
        <w:jc w:val="center"/>
        <w:rPr>
          <w:sz w:val="20"/>
          <w:lang w:val="es-ES_tradnl"/>
        </w:rPr>
      </w:pPr>
    </w:p>
    <w:p w:rsidR="00F21127" w:rsidRPr="00C75C7E" w:rsidRDefault="00F21127" w:rsidP="00F21127">
      <w:pPr>
        <w:keepNext/>
        <w:widowControl w:val="0"/>
        <w:autoSpaceDE w:val="0"/>
        <w:autoSpaceDN w:val="0"/>
        <w:adjustRightInd w:val="0"/>
        <w:jc w:val="center"/>
        <w:rPr>
          <w:sz w:val="20"/>
          <w:lang w:val="es-ES_tradnl"/>
        </w:rPr>
      </w:pPr>
    </w:p>
    <w:p w:rsidR="00B55718" w:rsidRPr="00C75C7E" w:rsidRDefault="00033E8A" w:rsidP="00F21127">
      <w:pPr>
        <w:keepNext/>
        <w:widowControl w:val="0"/>
        <w:autoSpaceDE w:val="0"/>
        <w:autoSpaceDN w:val="0"/>
        <w:adjustRightInd w:val="0"/>
        <w:jc w:val="center"/>
        <w:rPr>
          <w:b/>
          <w:bCs/>
          <w:iCs/>
          <w:sz w:val="20"/>
          <w:lang w:val="es-ES_tradnl"/>
        </w:rPr>
      </w:pPr>
      <w:r>
        <w:rPr>
          <w:b/>
          <w:bCs/>
          <w:iCs/>
          <w:sz w:val="20"/>
          <w:lang w:val="es-ES_tradnl"/>
        </w:rPr>
        <w:t>Programa 17</w:t>
      </w:r>
      <w:proofErr w:type="gramStart"/>
      <w:r>
        <w:rPr>
          <w:b/>
          <w:bCs/>
          <w:iCs/>
          <w:sz w:val="20"/>
          <w:lang w:val="es-ES_tradnl"/>
        </w:rPr>
        <w:t xml:space="preserve">:  </w:t>
      </w:r>
      <w:r w:rsidR="00B55718" w:rsidRPr="00C75C7E">
        <w:rPr>
          <w:b/>
          <w:bCs/>
          <w:iCs/>
          <w:sz w:val="20"/>
          <w:lang w:val="es-ES_tradnl"/>
        </w:rPr>
        <w:t>Recursos</w:t>
      </w:r>
      <w:proofErr w:type="gramEnd"/>
      <w:r w:rsidR="00B55718" w:rsidRPr="00C75C7E">
        <w:rPr>
          <w:b/>
          <w:bCs/>
          <w:iCs/>
          <w:sz w:val="20"/>
          <w:lang w:val="es-ES_tradnl"/>
        </w:rPr>
        <w:t xml:space="preserve"> por objeto de gasto</w:t>
      </w:r>
    </w:p>
    <w:p w:rsidR="00B55718" w:rsidRPr="00C75C7E" w:rsidRDefault="00B55718" w:rsidP="00F21127">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B55718" w:rsidRDefault="00B55718" w:rsidP="00F21127">
      <w:pPr>
        <w:keepNext/>
        <w:widowControl w:val="0"/>
        <w:jc w:val="center"/>
        <w:rPr>
          <w:i/>
          <w:sz w:val="18"/>
          <w:szCs w:val="18"/>
          <w:lang w:val="es-ES_tradnl"/>
        </w:rPr>
      </w:pPr>
    </w:p>
    <w:p w:rsidR="001E5683" w:rsidRPr="00C75C7E" w:rsidRDefault="00C40A11" w:rsidP="00F21127">
      <w:pPr>
        <w:keepNext/>
        <w:widowControl w:val="0"/>
        <w:jc w:val="center"/>
        <w:rPr>
          <w:i/>
          <w:sz w:val="18"/>
          <w:szCs w:val="18"/>
          <w:lang w:val="es-ES_tradnl"/>
        </w:rPr>
      </w:pPr>
      <w:r>
        <w:rPr>
          <w:noProof/>
          <w:lang w:val="en-US" w:eastAsia="en-US"/>
        </w:rPr>
        <w:drawing>
          <wp:inline distT="0" distB="0" distL="0" distR="0" wp14:anchorId="0A0815B3" wp14:editId="73351824">
            <wp:extent cx="5936615" cy="5739130"/>
            <wp:effectExtent l="0" t="0" r="698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B55718" w:rsidRPr="00C75C7E" w:rsidRDefault="00B55718" w:rsidP="00B55718">
      <w:pPr>
        <w:widowControl w:val="0"/>
        <w:rPr>
          <w:sz w:val="16"/>
          <w:szCs w:val="16"/>
          <w:lang w:val="es-ES_tradnl"/>
        </w:rPr>
      </w:pPr>
    </w:p>
    <w:p w:rsidR="00B55718" w:rsidRPr="00C75C7E" w:rsidRDefault="00B55718" w:rsidP="00B55718">
      <w:pPr>
        <w:widowControl w:val="0"/>
        <w:rPr>
          <w:sz w:val="16"/>
          <w:szCs w:val="16"/>
          <w:lang w:val="es-ES_tradnl"/>
        </w:rPr>
      </w:pPr>
      <w:r w:rsidRPr="00C75C7E">
        <w:rPr>
          <w:sz w:val="16"/>
          <w:szCs w:val="16"/>
          <w:lang w:val="es-ES_tradnl"/>
        </w:rPr>
        <w:t>Notas:</w:t>
      </w:r>
    </w:p>
    <w:p w:rsidR="00B55718" w:rsidRPr="00C75C7E" w:rsidRDefault="00B55718" w:rsidP="00B55718">
      <w:pPr>
        <w:widowControl w:val="0"/>
        <w:rPr>
          <w:sz w:val="16"/>
          <w:szCs w:val="16"/>
          <w:u w:val="single"/>
          <w:lang w:val="es-ES_tradnl"/>
        </w:rPr>
      </w:pPr>
    </w:p>
    <w:p w:rsidR="00B55718" w:rsidRDefault="00245B46" w:rsidP="00B55718">
      <w:pPr>
        <w:widowControl w:val="0"/>
        <w:tabs>
          <w:tab w:val="left" w:pos="567"/>
        </w:tabs>
        <w:rPr>
          <w:sz w:val="16"/>
          <w:szCs w:val="16"/>
          <w:lang w:val="es-ES_tradnl"/>
        </w:rPr>
      </w:pPr>
      <w:r>
        <w:rPr>
          <w:sz w:val="16"/>
          <w:szCs w:val="16"/>
          <w:lang w:val="es-ES_tradnl"/>
        </w:rPr>
        <w:t xml:space="preserve">1)  </w:t>
      </w:r>
      <w:r w:rsidR="00B55718" w:rsidRPr="00C75C7E">
        <w:rPr>
          <w:sz w:val="16"/>
          <w:szCs w:val="16"/>
          <w:lang w:val="es-ES_tradnl"/>
        </w:rPr>
        <w:t xml:space="preserve">El presupuesto aprobado de 2012/13 y el presupuesto de dicho bienio después de las transferencias se </w:t>
      </w:r>
      <w:proofErr w:type="spellStart"/>
      <w:r w:rsidR="00B55718" w:rsidRPr="00C75C7E">
        <w:rPr>
          <w:sz w:val="16"/>
          <w:szCs w:val="16"/>
          <w:lang w:val="es-ES_tradnl"/>
        </w:rPr>
        <w:t>reexpresan</w:t>
      </w:r>
      <w:proofErr w:type="spellEnd"/>
      <w:r w:rsidR="00B55718" w:rsidRPr="00C75C7E">
        <w:rPr>
          <w:sz w:val="16"/>
          <w:szCs w:val="16"/>
          <w:lang w:val="es-ES_tradnl"/>
        </w:rPr>
        <w:t xml:space="preserve"> sobre la base de la estructura de categorías de costos propuesta para 2014/15.</w:t>
      </w:r>
    </w:p>
    <w:p w:rsidR="00B55718" w:rsidRPr="00C75C7E" w:rsidRDefault="00B55718" w:rsidP="00B55718">
      <w:pPr>
        <w:widowControl w:val="0"/>
        <w:tabs>
          <w:tab w:val="left" w:pos="567"/>
        </w:tabs>
        <w:rPr>
          <w:sz w:val="16"/>
          <w:szCs w:val="16"/>
          <w:lang w:val="es-ES_tradnl"/>
        </w:rPr>
      </w:pPr>
    </w:p>
    <w:p w:rsidR="00B55718" w:rsidRDefault="00B55718" w:rsidP="00B55718">
      <w:pPr>
        <w:widowControl w:val="0"/>
        <w:tabs>
          <w:tab w:val="left" w:pos="567"/>
        </w:tabs>
        <w:rPr>
          <w:rFonts w:cs="ArialMT"/>
          <w:sz w:val="16"/>
          <w:szCs w:val="16"/>
          <w:lang w:val="es-ES_tradnl"/>
        </w:rPr>
      </w:pPr>
      <w:r>
        <w:rPr>
          <w:sz w:val="16"/>
          <w:szCs w:val="16"/>
          <w:lang w:val="es-ES_tradnl"/>
        </w:rPr>
        <w:t>2)</w:t>
      </w:r>
      <w:r w:rsidR="00245B46">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presupuesto de</w:t>
      </w:r>
      <w:r w:rsidR="00D86F03">
        <w:rPr>
          <w:sz w:val="16"/>
          <w:szCs w:val="16"/>
          <w:lang w:val="es-ES_tradnl"/>
        </w:rPr>
        <w:t>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B55718" w:rsidRPr="00C75C7E" w:rsidRDefault="00B55718" w:rsidP="00B55718">
      <w:pPr>
        <w:widowControl w:val="0"/>
        <w:tabs>
          <w:tab w:val="left" w:pos="567"/>
        </w:tabs>
        <w:rPr>
          <w:sz w:val="16"/>
          <w:szCs w:val="16"/>
          <w:lang w:val="es-ES_tradnl"/>
        </w:rPr>
      </w:pPr>
    </w:p>
    <w:p w:rsidR="00B55718" w:rsidRPr="00C75C7E" w:rsidRDefault="00B55718" w:rsidP="00B55718">
      <w:pPr>
        <w:widowControl w:val="0"/>
        <w:tabs>
          <w:tab w:val="left" w:pos="567"/>
        </w:tabs>
        <w:rPr>
          <w:sz w:val="16"/>
          <w:szCs w:val="16"/>
          <w:lang w:val="es-ES_tradnl"/>
        </w:rPr>
      </w:pPr>
      <w:r>
        <w:rPr>
          <w:sz w:val="16"/>
          <w:szCs w:val="16"/>
          <w:lang w:val="es-ES_tradnl"/>
        </w:rPr>
        <w:t>3)</w:t>
      </w:r>
      <w:r w:rsidR="00245B46">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5B4A50" w:rsidRPr="00B55718" w:rsidRDefault="005B4A50">
      <w:pPr>
        <w:rPr>
          <w:sz w:val="20"/>
          <w:lang w:val="es-ES_tradnl"/>
        </w:rPr>
      </w:pPr>
    </w:p>
    <w:p w:rsidR="005B4A50" w:rsidRDefault="005B4A50" w:rsidP="003E638B">
      <w:pPr>
        <w:rPr>
          <w:sz w:val="20"/>
        </w:rPr>
      </w:pPr>
    </w:p>
    <w:p w:rsidR="003221FD" w:rsidRDefault="003221FD" w:rsidP="003E638B">
      <w:pPr>
        <w:rPr>
          <w:sz w:val="20"/>
        </w:rPr>
      </w:pPr>
    </w:p>
    <w:p w:rsidR="003221FD" w:rsidRDefault="003221FD" w:rsidP="003E638B">
      <w:pPr>
        <w:rPr>
          <w:sz w:val="20"/>
        </w:rPr>
        <w:sectPr w:rsidR="003221FD" w:rsidSect="00FF362A">
          <w:headerReference w:type="even" r:id="rId101"/>
          <w:headerReference w:type="default" r:id="rId102"/>
          <w:headerReference w:type="first" r:id="rId103"/>
          <w:pgSz w:w="11907" w:h="16840" w:code="9"/>
          <w:pgMar w:top="567" w:right="1134" w:bottom="1418" w:left="1418" w:header="510" w:footer="1021" w:gutter="0"/>
          <w:cols w:space="720"/>
          <w:titlePg/>
        </w:sectPr>
      </w:pPr>
    </w:p>
    <w:p w:rsidR="00033E8A" w:rsidRDefault="006A15F5" w:rsidP="00F21127">
      <w:pPr>
        <w:pStyle w:val="Heading2"/>
        <w:jc w:val="center"/>
        <w:rPr>
          <w:b/>
          <w:caps w:val="0"/>
          <w:sz w:val="24"/>
          <w:szCs w:val="24"/>
          <w:lang w:val="es-ES_tradnl" w:eastAsia="da-DK"/>
        </w:rPr>
      </w:pPr>
      <w:bookmarkStart w:id="71" w:name="_Toc366078736"/>
      <w:bookmarkStart w:id="72" w:name="_Toc356567770"/>
      <w:r w:rsidRPr="002709AA">
        <w:rPr>
          <w:b/>
          <w:caps w:val="0"/>
          <w:sz w:val="24"/>
          <w:szCs w:val="24"/>
          <w:lang w:val="es-ES_tradnl" w:eastAsia="da-DK"/>
        </w:rPr>
        <w:lastRenderedPageBreak/>
        <w:t>META ESTRATÉGICA VII</w:t>
      </w:r>
      <w:bookmarkEnd w:id="71"/>
    </w:p>
    <w:p w:rsidR="009E7719" w:rsidRPr="002709AA" w:rsidRDefault="006A15F5" w:rsidP="00F21127">
      <w:pPr>
        <w:pStyle w:val="Heading2"/>
        <w:jc w:val="center"/>
        <w:rPr>
          <w:b/>
          <w:sz w:val="24"/>
          <w:szCs w:val="24"/>
          <w:lang w:val="es-ES_tradnl" w:eastAsia="da-DK"/>
        </w:rPr>
      </w:pPr>
      <w:bookmarkStart w:id="73" w:name="_Toc366078737"/>
      <w:r w:rsidRPr="002709AA">
        <w:rPr>
          <w:b/>
          <w:caps w:val="0"/>
          <w:sz w:val="24"/>
          <w:szCs w:val="24"/>
          <w:lang w:val="es-ES_tradnl" w:eastAsia="da-DK"/>
        </w:rPr>
        <w:t>VÍNCULOS ENTRE L</w:t>
      </w:r>
      <w:r>
        <w:rPr>
          <w:b/>
          <w:caps w:val="0"/>
          <w:sz w:val="24"/>
          <w:szCs w:val="24"/>
          <w:lang w:val="es-ES_tradnl" w:eastAsia="da-DK"/>
        </w:rPr>
        <w:t>A P.I. Y LOS PROBLEMAS</w:t>
      </w:r>
      <w:r w:rsidRPr="002709AA">
        <w:rPr>
          <w:b/>
          <w:caps w:val="0"/>
          <w:sz w:val="24"/>
          <w:szCs w:val="24"/>
          <w:lang w:val="es-ES_tradnl" w:eastAsia="da-DK"/>
        </w:rPr>
        <w:t xml:space="preserve"> MUNDIALES</w:t>
      </w:r>
      <w:r w:rsidRPr="002709AA">
        <w:rPr>
          <w:b/>
          <w:caps w:val="0"/>
          <w:sz w:val="24"/>
          <w:szCs w:val="24"/>
          <w:lang w:val="es-ES_tradnl" w:eastAsia="da-DK"/>
        </w:rPr>
        <w:br/>
        <w:t>DE POLÍTICA PÚBLICA</w:t>
      </w:r>
      <w:bookmarkEnd w:id="72"/>
      <w:bookmarkEnd w:id="73"/>
      <w:r w:rsidRPr="002709AA">
        <w:rPr>
          <w:b/>
          <w:caps w:val="0"/>
          <w:sz w:val="24"/>
          <w:szCs w:val="24"/>
          <w:lang w:val="es-ES_tradnl" w:eastAsia="da-DK"/>
        </w:rPr>
        <w:t xml:space="preserve"> </w:t>
      </w:r>
    </w:p>
    <w:p w:rsidR="009E7719" w:rsidRPr="00E70227" w:rsidRDefault="009E7719" w:rsidP="006A15F5">
      <w:pPr>
        <w:rPr>
          <w:sz w:val="20"/>
          <w:lang w:val="es-ES_tradnl"/>
        </w:rPr>
      </w:pPr>
    </w:p>
    <w:p w:rsidR="009E7719" w:rsidRPr="00E70227" w:rsidRDefault="009E7719" w:rsidP="006A15F5">
      <w:pPr>
        <w:rPr>
          <w:b/>
          <w:bCs/>
          <w:sz w:val="20"/>
          <w:lang w:val="es-ES_tradnl"/>
        </w:rPr>
      </w:pPr>
    </w:p>
    <w:p w:rsidR="009E7719" w:rsidRPr="00AD1E8B" w:rsidRDefault="009E7719" w:rsidP="009E7719">
      <w:pPr>
        <w:widowControl w:val="0"/>
        <w:jc w:val="both"/>
        <w:rPr>
          <w:bCs/>
          <w:i/>
          <w:iCs/>
          <w:caps/>
          <w:szCs w:val="24"/>
          <w:lang w:val="es-ES_tradnl"/>
        </w:rPr>
      </w:pPr>
      <w:r w:rsidRPr="00AD1E8B">
        <w:rPr>
          <w:sz w:val="20"/>
          <w:lang w:val="es-ES_tradnl"/>
        </w:rPr>
        <w:t xml:space="preserve">Esta meta estratégica es reflejo del potencial de la OMPI para convertirse en el principal foro intergubernamental de debate acerca de la interrelación de la P.I., la innovación y las cuestiones mundiales de política pública.  En ella está implícito un compromiso firme y fundamental con otros organismos de las NN.UU., organismos intergubernamentales y no gubernamentales con el fin de contribuir a una búsqueda compartida de soluciones para los principales problemas con que se enfrenta la </w:t>
      </w:r>
      <w:r w:rsidR="00D86F03" w:rsidRPr="00AD1E8B">
        <w:rPr>
          <w:sz w:val="20"/>
          <w:lang w:val="es-ES_tradnl"/>
        </w:rPr>
        <w:t>humanidad</w:t>
      </w:r>
      <w:r w:rsidRPr="00AD1E8B">
        <w:rPr>
          <w:sz w:val="20"/>
          <w:lang w:val="es-ES_tradnl"/>
        </w:rPr>
        <w:t xml:space="preserve">, como el cambio climático, la seguridad alimentaria, la salud pública, la protección de la biodiversidad y el cumplimiento de los Objetivos de </w:t>
      </w:r>
      <w:r>
        <w:rPr>
          <w:sz w:val="20"/>
          <w:lang w:val="es-ES_tradnl"/>
        </w:rPr>
        <w:t>desa</w:t>
      </w:r>
      <w:r w:rsidRPr="00AD1E8B">
        <w:rPr>
          <w:sz w:val="20"/>
          <w:lang w:val="es-ES_tradnl"/>
        </w:rPr>
        <w:t xml:space="preserve">rrollo del </w:t>
      </w:r>
      <w:r>
        <w:rPr>
          <w:sz w:val="20"/>
          <w:lang w:val="es-ES_tradnl"/>
        </w:rPr>
        <w:t>m</w:t>
      </w:r>
      <w:r w:rsidRPr="00AD1E8B">
        <w:rPr>
          <w:sz w:val="20"/>
          <w:lang w:val="es-ES_tradnl"/>
        </w:rPr>
        <w:t>ilenio.  Gran número de esos problemas mundiales afectan muy particularmente a los países en desarrollo y a los países menos adelantados (PMA), por lo que los programas que se lleven a cabo en el marco de esta meta estratégica estarán particularmente centrados en la consecución de determinados objetivos y recomendaciones de la Agenda para el  Desarrollo.</w:t>
      </w:r>
    </w:p>
    <w:p w:rsidR="009E7719" w:rsidRPr="00AD1E8B" w:rsidRDefault="009E7719" w:rsidP="009E7719">
      <w:pPr>
        <w:widowControl w:val="0"/>
        <w:tabs>
          <w:tab w:val="left" w:pos="0"/>
        </w:tabs>
        <w:rPr>
          <w:sz w:val="20"/>
          <w:lang w:val="es-ES_tradnl"/>
        </w:rPr>
      </w:pPr>
    </w:p>
    <w:tbl>
      <w:tblPr>
        <w:tblW w:w="4888"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51"/>
        <w:gridCol w:w="3230"/>
        <w:gridCol w:w="2676"/>
      </w:tblGrid>
      <w:tr w:rsidR="00573458" w:rsidRPr="00C75C7E" w:rsidTr="00E70227">
        <w:trPr>
          <w:cantSplit/>
          <w:tblHeader/>
        </w:trPr>
        <w:tc>
          <w:tcPr>
            <w:tcW w:w="1844" w:type="pct"/>
            <w:tcBorders>
              <w:top w:val="single" w:sz="4" w:space="0" w:color="auto"/>
              <w:bottom w:val="single" w:sz="4" w:space="0" w:color="auto"/>
            </w:tcBorders>
            <w:shd w:val="clear" w:color="auto" w:fill="CCFFFF"/>
            <w:tcMar>
              <w:top w:w="113" w:type="dxa"/>
              <w:bottom w:w="85" w:type="dxa"/>
            </w:tcMar>
            <w:vAlign w:val="center"/>
          </w:tcPr>
          <w:p w:rsidR="00573458" w:rsidRPr="00C75C7E" w:rsidRDefault="00573458"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1726" w:type="pct"/>
            <w:tcBorders>
              <w:top w:val="single" w:sz="4" w:space="0" w:color="auto"/>
              <w:bottom w:val="single" w:sz="4" w:space="0" w:color="auto"/>
            </w:tcBorders>
            <w:shd w:val="clear" w:color="auto" w:fill="CCFFFF"/>
            <w:tcMar>
              <w:top w:w="113" w:type="dxa"/>
              <w:bottom w:w="85" w:type="dxa"/>
            </w:tcMar>
            <w:vAlign w:val="center"/>
          </w:tcPr>
          <w:p w:rsidR="00573458" w:rsidRPr="00C75C7E" w:rsidRDefault="00573458" w:rsidP="008F4F69">
            <w:pPr>
              <w:widowControl w:val="0"/>
              <w:spacing w:after="120"/>
              <w:jc w:val="center"/>
              <w:rPr>
                <w:b/>
                <w:sz w:val="18"/>
                <w:szCs w:val="18"/>
                <w:lang w:val="es-ES_tradnl"/>
              </w:rPr>
            </w:pPr>
            <w:r w:rsidRPr="00C75C7E">
              <w:rPr>
                <w:b/>
                <w:sz w:val="18"/>
                <w:szCs w:val="18"/>
                <w:lang w:val="es-ES_tradnl"/>
              </w:rPr>
              <w:t>Indicadores de rendimiento</w:t>
            </w:r>
          </w:p>
        </w:tc>
        <w:tc>
          <w:tcPr>
            <w:tcW w:w="1431" w:type="pct"/>
            <w:tcBorders>
              <w:top w:val="single" w:sz="4" w:space="0" w:color="auto"/>
              <w:bottom w:val="single" w:sz="4" w:space="0" w:color="auto"/>
            </w:tcBorders>
            <w:shd w:val="clear" w:color="auto" w:fill="CCFFFF"/>
            <w:tcMar>
              <w:top w:w="113" w:type="dxa"/>
              <w:bottom w:w="85" w:type="dxa"/>
            </w:tcMar>
            <w:vAlign w:val="center"/>
          </w:tcPr>
          <w:p w:rsidR="00573458" w:rsidRPr="00C75C7E" w:rsidRDefault="00573458" w:rsidP="008F4F69">
            <w:pPr>
              <w:widowControl w:val="0"/>
              <w:spacing w:after="120"/>
              <w:ind w:left="85"/>
              <w:jc w:val="center"/>
              <w:rPr>
                <w:sz w:val="18"/>
                <w:szCs w:val="18"/>
                <w:lang w:val="es-ES_tradnl"/>
              </w:rPr>
            </w:pPr>
            <w:r w:rsidRPr="00C75C7E">
              <w:rPr>
                <w:b/>
                <w:bCs/>
                <w:sz w:val="18"/>
                <w:szCs w:val="18"/>
                <w:lang w:val="es-ES_tradnl"/>
              </w:rPr>
              <w:t>Programas responsables</w:t>
            </w:r>
          </w:p>
        </w:tc>
      </w:tr>
      <w:tr w:rsidR="00573458" w:rsidRPr="00C75C7E" w:rsidTr="00E70227">
        <w:trPr>
          <w:cantSplit/>
        </w:trPr>
        <w:tc>
          <w:tcPr>
            <w:tcW w:w="1844" w:type="pct"/>
            <w:tcBorders>
              <w:top w:val="nil"/>
            </w:tcBorders>
            <w:shd w:val="clear" w:color="auto" w:fill="auto"/>
            <w:tcMar>
              <w:top w:w="113" w:type="dxa"/>
              <w:bottom w:w="85" w:type="dxa"/>
            </w:tcMar>
          </w:tcPr>
          <w:p w:rsidR="00573458" w:rsidRPr="00C75C7E" w:rsidRDefault="00573458" w:rsidP="00033E8A">
            <w:pPr>
              <w:widowControl w:val="0"/>
              <w:rPr>
                <w:sz w:val="16"/>
                <w:szCs w:val="16"/>
                <w:lang w:val="es-ES_tradnl"/>
              </w:rPr>
            </w:pPr>
            <w:r w:rsidRPr="00C75C7E">
              <w:rPr>
                <w:sz w:val="16"/>
                <w:szCs w:val="16"/>
                <w:lang w:val="es-ES_tradnl"/>
              </w:rPr>
              <w:t>VII.2</w:t>
            </w:r>
            <w:r w:rsidR="00033E8A">
              <w:rPr>
                <w:sz w:val="16"/>
                <w:szCs w:val="16"/>
                <w:lang w:val="es-ES_tradnl"/>
              </w:rPr>
              <w:t xml:space="preserve"> </w:t>
            </w:r>
            <w:r w:rsidRPr="00C75C7E">
              <w:rPr>
                <w:sz w:val="16"/>
                <w:szCs w:val="16"/>
                <w:lang w:val="es-ES_tradnl"/>
              </w:rPr>
              <w:t xml:space="preserve"> </w:t>
            </w:r>
            <w:r w:rsidR="00033E8A" w:rsidRPr="00033E8A">
              <w:rPr>
                <w:sz w:val="16"/>
                <w:szCs w:val="16"/>
                <w:lang w:val="es-ES_tradnl"/>
              </w:rPr>
              <w:t>Plataformas y herramientas de P.I. utilizadas para la transferencia de conocimiento y la difusión y adaptación de tecnología de los países desarrollados en los países en desarrollo, en particular en los menos adelantados, con el fin de atender los desafíos mundiales</w:t>
            </w:r>
            <w:r w:rsidR="00033E8A">
              <w:rPr>
                <w:sz w:val="16"/>
                <w:szCs w:val="16"/>
                <w:lang w:val="es-ES_tradnl"/>
              </w:rPr>
              <w:t>.</w:t>
            </w:r>
          </w:p>
        </w:tc>
        <w:tc>
          <w:tcPr>
            <w:tcW w:w="1726" w:type="pct"/>
            <w:tcBorders>
              <w:top w:val="nil"/>
            </w:tcBorders>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 xml:space="preserve">Aumento del número de miembros de WIPO </w:t>
            </w:r>
            <w:proofErr w:type="spellStart"/>
            <w:r w:rsidRPr="00C75C7E">
              <w:rPr>
                <w:sz w:val="16"/>
                <w:szCs w:val="16"/>
                <w:lang w:val="es-ES_tradnl"/>
              </w:rPr>
              <w:t>Re</w:t>
            </w:r>
            <w:proofErr w:type="gramStart"/>
            <w:r w:rsidRPr="00C75C7E">
              <w:rPr>
                <w:sz w:val="16"/>
                <w:szCs w:val="16"/>
                <w:lang w:val="es-ES_tradnl"/>
              </w:rPr>
              <w:t>:Search</w:t>
            </w:r>
            <w:proofErr w:type="spellEnd"/>
            <w:proofErr w:type="gramEnd"/>
            <w:r w:rsidRPr="00C75C7E">
              <w:rPr>
                <w:sz w:val="16"/>
                <w:szCs w:val="16"/>
                <w:lang w:val="es-ES_tradnl"/>
              </w:rPr>
              <w:t>, incluidos los procedentes de países en desarrollo y PMA.</w:t>
            </w:r>
          </w:p>
        </w:tc>
        <w:tc>
          <w:tcPr>
            <w:tcW w:w="1431" w:type="pct"/>
            <w:tcBorders>
              <w:top w:val="nil"/>
            </w:tcBorders>
            <w:shd w:val="clear" w:color="auto" w:fill="FFFFFF"/>
            <w:tcMar>
              <w:top w:w="113" w:type="dxa"/>
              <w:bottom w:w="85" w:type="dxa"/>
            </w:tcMar>
          </w:tcPr>
          <w:p w:rsidR="00573458" w:rsidRPr="00C75C7E" w:rsidRDefault="00573458" w:rsidP="008F4F69">
            <w:pPr>
              <w:widowControl w:val="0"/>
              <w:ind w:left="661"/>
              <w:rPr>
                <w:sz w:val="16"/>
                <w:szCs w:val="16"/>
                <w:lang w:val="es-ES_tradnl"/>
              </w:rPr>
            </w:pPr>
            <w:r w:rsidRPr="00C75C7E">
              <w:rPr>
                <w:sz w:val="16"/>
                <w:szCs w:val="16"/>
                <w:lang w:val="es-ES_tradnl" w:bidi="th-TH"/>
              </w:rPr>
              <w:t>Programa  18</w:t>
            </w:r>
          </w:p>
        </w:tc>
      </w:tr>
      <w:tr w:rsidR="00573458" w:rsidRPr="00C75C7E" w:rsidTr="00E70227">
        <w:trPr>
          <w:cantSplit/>
          <w:trHeight w:val="357"/>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p>
        </w:tc>
        <w:tc>
          <w:tcPr>
            <w:tcW w:w="1726" w:type="pct"/>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 xml:space="preserve">Aumento de las contribuciones a la base de datos de WIPO </w:t>
            </w:r>
            <w:proofErr w:type="spellStart"/>
            <w:r w:rsidRPr="00C75C7E">
              <w:rPr>
                <w:sz w:val="16"/>
                <w:szCs w:val="16"/>
                <w:lang w:val="es-ES_tradnl"/>
              </w:rPr>
              <w:t>Re</w:t>
            </w:r>
            <w:proofErr w:type="gramStart"/>
            <w:r w:rsidRPr="00C75C7E">
              <w:rPr>
                <w:sz w:val="16"/>
                <w:szCs w:val="16"/>
                <w:lang w:val="es-ES_tradnl"/>
              </w:rPr>
              <w:t>:Search</w:t>
            </w:r>
            <w:proofErr w:type="spellEnd"/>
            <w:proofErr w:type="gramEnd"/>
            <w:r w:rsidRPr="00C75C7E">
              <w:rPr>
                <w:sz w:val="16"/>
                <w:szCs w:val="16"/>
                <w:lang w:val="es-ES_tradnl"/>
              </w:rPr>
              <w:t>.</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rPr>
            </w:pPr>
            <w:r w:rsidRPr="00C75C7E">
              <w:rPr>
                <w:sz w:val="16"/>
                <w:szCs w:val="16"/>
                <w:lang w:val="es-ES_tradnl" w:bidi="th-TH"/>
              </w:rPr>
              <w:t>Programa  18</w:t>
            </w:r>
          </w:p>
        </w:tc>
      </w:tr>
      <w:tr w:rsidR="00573458" w:rsidRPr="00C75C7E" w:rsidTr="00E70227">
        <w:trPr>
          <w:cantSplit/>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p>
        </w:tc>
        <w:tc>
          <w:tcPr>
            <w:tcW w:w="1726" w:type="pct"/>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Aumento del número de acuerdos suscrito</w:t>
            </w:r>
            <w:r w:rsidR="00E774FD">
              <w:rPr>
                <w:sz w:val="16"/>
                <w:szCs w:val="16"/>
                <w:lang w:val="es-ES_tradnl"/>
              </w:rPr>
              <w:t xml:space="preserve">s en el marco de WIPO </w:t>
            </w:r>
            <w:proofErr w:type="spellStart"/>
            <w:r w:rsidR="00E774FD">
              <w:rPr>
                <w:sz w:val="16"/>
                <w:szCs w:val="16"/>
                <w:lang w:val="es-ES_tradnl"/>
              </w:rPr>
              <w:t>Re</w:t>
            </w:r>
            <w:proofErr w:type="gramStart"/>
            <w:r w:rsidR="00E774FD">
              <w:rPr>
                <w:sz w:val="16"/>
                <w:szCs w:val="16"/>
                <w:lang w:val="es-ES_tradnl"/>
              </w:rPr>
              <w:t>:Search</w:t>
            </w:r>
            <w:proofErr w:type="spellEnd"/>
            <w:proofErr w:type="gramEnd"/>
            <w:r w:rsidR="00E774FD">
              <w:rPr>
                <w:sz w:val="16"/>
                <w:szCs w:val="16"/>
                <w:lang w:val="es-ES_tradnl"/>
              </w:rPr>
              <w:t xml:space="preserve"> que conducen a nuevas </w:t>
            </w:r>
            <w:r w:rsidR="00E70227">
              <w:rPr>
                <w:sz w:val="16"/>
                <w:szCs w:val="16"/>
                <w:lang w:val="es-ES_tradnl"/>
              </w:rPr>
              <w:t>actividades de I+D, o a un aceleramiento de las mismas, en enfermedades tropicales desatendidas, paludismo y tuberculosis.</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rPr>
            </w:pPr>
            <w:r w:rsidRPr="00C75C7E">
              <w:rPr>
                <w:sz w:val="16"/>
                <w:szCs w:val="16"/>
                <w:lang w:val="es-ES_tradnl" w:bidi="th-TH"/>
              </w:rPr>
              <w:t>Programa  18</w:t>
            </w:r>
          </w:p>
        </w:tc>
      </w:tr>
      <w:tr w:rsidR="00573458" w:rsidRPr="00C75C7E" w:rsidTr="00E70227">
        <w:trPr>
          <w:cantSplit/>
          <w:trHeight w:val="303"/>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p>
        </w:tc>
        <w:tc>
          <w:tcPr>
            <w:tcW w:w="1726" w:type="pct"/>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Número de miembros de WIPO GREEN.</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rPr>
            </w:pPr>
            <w:r w:rsidRPr="00C75C7E">
              <w:rPr>
                <w:sz w:val="16"/>
                <w:szCs w:val="16"/>
                <w:lang w:val="es-ES_tradnl" w:bidi="th-TH"/>
              </w:rPr>
              <w:t>Programa  18</w:t>
            </w:r>
          </w:p>
        </w:tc>
      </w:tr>
      <w:tr w:rsidR="00573458" w:rsidRPr="00C75C7E" w:rsidTr="00E70227">
        <w:trPr>
          <w:cantSplit/>
          <w:trHeight w:val="706"/>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p>
        </w:tc>
        <w:tc>
          <w:tcPr>
            <w:tcW w:w="1726" w:type="pct"/>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Número de vínculos establecidos entre WIPO GREEN y los mecanismos pertinentes, como los centros y redes de tecnología del clima (CMNUCC) y los centros de innovación climática (</w:t>
            </w:r>
            <w:proofErr w:type="spellStart"/>
            <w:r w:rsidRPr="00C75C7E">
              <w:rPr>
                <w:sz w:val="16"/>
                <w:szCs w:val="16"/>
                <w:lang w:val="es-ES_tradnl"/>
              </w:rPr>
              <w:t>infoDev</w:t>
            </w:r>
            <w:proofErr w:type="spellEnd"/>
            <w:r w:rsidRPr="00C75C7E">
              <w:rPr>
                <w:sz w:val="16"/>
                <w:szCs w:val="16"/>
                <w:lang w:val="es-ES_tradnl"/>
              </w:rPr>
              <w:t>).</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bidi="th-TH"/>
              </w:rPr>
            </w:pPr>
            <w:r w:rsidRPr="00C75C7E">
              <w:rPr>
                <w:sz w:val="16"/>
                <w:szCs w:val="16"/>
                <w:lang w:val="es-ES_tradnl" w:bidi="th-TH"/>
              </w:rPr>
              <w:t>Programa  18</w:t>
            </w:r>
          </w:p>
        </w:tc>
      </w:tr>
      <w:tr w:rsidR="00573458" w:rsidRPr="00C75C7E" w:rsidTr="00E70227">
        <w:trPr>
          <w:cantSplit/>
          <w:trHeight w:val="296"/>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p>
        </w:tc>
        <w:tc>
          <w:tcPr>
            <w:tcW w:w="1726" w:type="pct"/>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Número de acuerdos cata</w:t>
            </w:r>
            <w:r w:rsidR="00E70227">
              <w:rPr>
                <w:sz w:val="16"/>
                <w:szCs w:val="16"/>
                <w:lang w:val="es-ES_tradnl"/>
              </w:rPr>
              <w:t>lizados por medio de WIPO GREEN que facilitan la transferencia de conocimiento así como la adaptación, transferencia o difusión de tecnología.</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bidi="th-TH"/>
              </w:rPr>
            </w:pPr>
            <w:r w:rsidRPr="00C75C7E">
              <w:rPr>
                <w:sz w:val="16"/>
                <w:szCs w:val="16"/>
                <w:lang w:val="es-ES_tradnl" w:bidi="th-TH"/>
              </w:rPr>
              <w:t>Programa  18</w:t>
            </w:r>
          </w:p>
        </w:tc>
      </w:tr>
      <w:tr w:rsidR="00573458" w:rsidRPr="00C75C7E" w:rsidTr="00E70227">
        <w:trPr>
          <w:cantSplit/>
          <w:trHeight w:val="344"/>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p>
        </w:tc>
        <w:tc>
          <w:tcPr>
            <w:tcW w:w="1726" w:type="pct"/>
            <w:shd w:val="clear" w:color="auto" w:fill="auto"/>
            <w:tcMar>
              <w:top w:w="113" w:type="dxa"/>
              <w:bottom w:w="85" w:type="dxa"/>
            </w:tcMar>
          </w:tcPr>
          <w:p w:rsidR="00573458" w:rsidRPr="00C75C7E" w:rsidRDefault="00573458" w:rsidP="00E70227">
            <w:pPr>
              <w:widowControl w:val="0"/>
              <w:rPr>
                <w:sz w:val="16"/>
                <w:szCs w:val="16"/>
                <w:lang w:val="es-ES_tradnl"/>
              </w:rPr>
            </w:pPr>
            <w:r w:rsidRPr="00C75C7E">
              <w:rPr>
                <w:sz w:val="16"/>
                <w:szCs w:val="16"/>
                <w:lang w:val="es-ES_tradnl"/>
              </w:rPr>
              <w:t xml:space="preserve">Número de visitas </w:t>
            </w:r>
            <w:r w:rsidR="00E70227">
              <w:rPr>
                <w:sz w:val="16"/>
                <w:szCs w:val="16"/>
                <w:lang w:val="es-ES_tradnl"/>
              </w:rPr>
              <w:t>a las páginas sobre</w:t>
            </w:r>
            <w:r w:rsidRPr="00C75C7E">
              <w:rPr>
                <w:sz w:val="16"/>
                <w:szCs w:val="16"/>
                <w:lang w:val="es-ES_tradnl"/>
              </w:rPr>
              <w:t xml:space="preserve"> desafíos mundiales del sitio web.</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bidi="th-TH"/>
              </w:rPr>
            </w:pPr>
            <w:r w:rsidRPr="00C75C7E">
              <w:rPr>
                <w:sz w:val="16"/>
                <w:szCs w:val="16"/>
                <w:lang w:val="es-ES_tradnl" w:bidi="th-TH"/>
              </w:rPr>
              <w:t>Programa  18</w:t>
            </w:r>
          </w:p>
        </w:tc>
      </w:tr>
      <w:tr w:rsidR="00573458" w:rsidRPr="00C75C7E" w:rsidTr="00E70227">
        <w:trPr>
          <w:cantSplit/>
          <w:trHeight w:val="602"/>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VII.3. Fomento de la credibilidad de la OMPI en tanto que foro para el análisis de cuestiones en el ámbito de la P.I. y la política de competencia.</w:t>
            </w:r>
          </w:p>
        </w:tc>
        <w:tc>
          <w:tcPr>
            <w:tcW w:w="1726" w:type="pct"/>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rFonts w:eastAsia="MS Mincho" w:cs="Courier New"/>
                <w:sz w:val="16"/>
                <w:szCs w:val="16"/>
                <w:lang w:val="es-ES_tradnl" w:bidi="th-TH"/>
              </w:rPr>
              <w:t>Número de países que solicitan la aportación específica de la OMPI en materia de P.I. en relación con la política de competencia.</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bidi="th-TH"/>
              </w:rPr>
            </w:pPr>
            <w:r w:rsidRPr="00C75C7E">
              <w:rPr>
                <w:sz w:val="16"/>
                <w:szCs w:val="16"/>
                <w:lang w:val="es-ES_tradnl" w:bidi="th-TH"/>
              </w:rPr>
              <w:t>Programa  18</w:t>
            </w:r>
          </w:p>
        </w:tc>
      </w:tr>
      <w:tr w:rsidR="00573458" w:rsidRPr="00C75C7E" w:rsidTr="00E70227">
        <w:trPr>
          <w:cantSplit/>
          <w:trHeight w:val="706"/>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p>
        </w:tc>
        <w:tc>
          <w:tcPr>
            <w:tcW w:w="1726" w:type="pct"/>
            <w:shd w:val="clear" w:color="auto" w:fill="auto"/>
            <w:tcMar>
              <w:top w:w="113" w:type="dxa"/>
              <w:bottom w:w="85" w:type="dxa"/>
            </w:tcMar>
          </w:tcPr>
          <w:p w:rsidR="00573458" w:rsidRPr="00C75C7E" w:rsidRDefault="00573458" w:rsidP="008F4F69">
            <w:pPr>
              <w:widowControl w:val="0"/>
              <w:rPr>
                <w:rFonts w:eastAsia="MS Mincho" w:cs="Courier New"/>
                <w:sz w:val="16"/>
                <w:szCs w:val="16"/>
                <w:lang w:val="es-ES_tradnl" w:bidi="th-TH"/>
              </w:rPr>
            </w:pPr>
            <w:r w:rsidRPr="00C75C7E">
              <w:rPr>
                <w:sz w:val="16"/>
                <w:szCs w:val="16"/>
                <w:lang w:val="es-ES_tradnl"/>
              </w:rPr>
              <w:t>Número y diversidad de partes interesadas (oficinas de P.I., autoridades encargadas de cuestiones de competencia, OIG y ONG) que entablan diálogo con la OMPI.</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bidi="th-TH"/>
              </w:rPr>
            </w:pPr>
            <w:r w:rsidRPr="00C75C7E">
              <w:rPr>
                <w:sz w:val="16"/>
                <w:szCs w:val="16"/>
                <w:lang w:val="es-ES_tradnl" w:bidi="th-TH"/>
              </w:rPr>
              <w:t>Programa  18</w:t>
            </w:r>
          </w:p>
        </w:tc>
      </w:tr>
      <w:tr w:rsidR="00573458" w:rsidRPr="00C75C7E" w:rsidTr="00E70227">
        <w:trPr>
          <w:cantSplit/>
          <w:trHeight w:val="706"/>
        </w:trPr>
        <w:tc>
          <w:tcPr>
            <w:tcW w:w="1844" w:type="pct"/>
            <w:shd w:val="clear" w:color="auto" w:fill="auto"/>
            <w:tcMar>
              <w:top w:w="113" w:type="dxa"/>
              <w:bottom w:w="85" w:type="dxa"/>
            </w:tcMar>
          </w:tcPr>
          <w:p w:rsidR="00573458" w:rsidRPr="00C75C7E" w:rsidRDefault="00573458" w:rsidP="008F4F69">
            <w:pPr>
              <w:widowControl w:val="0"/>
              <w:rPr>
                <w:sz w:val="16"/>
                <w:szCs w:val="16"/>
                <w:lang w:val="es-ES_tradnl"/>
              </w:rPr>
            </w:pPr>
          </w:p>
        </w:tc>
        <w:tc>
          <w:tcPr>
            <w:tcW w:w="1726" w:type="pct"/>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 xml:space="preserve">Participación de las partes interesadas en plataformas de la OMPI como WIPO GREEN y WIPO </w:t>
            </w:r>
            <w:proofErr w:type="spellStart"/>
            <w:r w:rsidRPr="00C75C7E">
              <w:rPr>
                <w:sz w:val="16"/>
                <w:szCs w:val="16"/>
                <w:lang w:val="es-ES_tradnl"/>
              </w:rPr>
              <w:t>Re</w:t>
            </w:r>
            <w:proofErr w:type="gramStart"/>
            <w:r w:rsidRPr="00C75C7E">
              <w:rPr>
                <w:sz w:val="16"/>
                <w:szCs w:val="16"/>
                <w:lang w:val="es-ES_tradnl"/>
              </w:rPr>
              <w:t>:Search</w:t>
            </w:r>
            <w:proofErr w:type="spellEnd"/>
            <w:proofErr w:type="gramEnd"/>
            <w:r w:rsidRPr="00C75C7E">
              <w:rPr>
                <w:sz w:val="16"/>
                <w:szCs w:val="16"/>
                <w:lang w:val="es-ES_tradnl"/>
              </w:rPr>
              <w:t>.</w:t>
            </w:r>
          </w:p>
        </w:tc>
        <w:tc>
          <w:tcPr>
            <w:tcW w:w="1431" w:type="pct"/>
            <w:shd w:val="clear" w:color="auto" w:fill="FFFFFF"/>
            <w:tcMar>
              <w:top w:w="113" w:type="dxa"/>
              <w:bottom w:w="85" w:type="dxa"/>
            </w:tcMar>
          </w:tcPr>
          <w:p w:rsidR="00573458" w:rsidRPr="00C75C7E" w:rsidRDefault="00573458" w:rsidP="008F4F69">
            <w:pPr>
              <w:widowControl w:val="0"/>
              <w:ind w:left="661"/>
              <w:rPr>
                <w:sz w:val="16"/>
                <w:szCs w:val="16"/>
                <w:lang w:val="es-ES_tradnl" w:bidi="th-TH"/>
              </w:rPr>
            </w:pPr>
            <w:r w:rsidRPr="00C75C7E">
              <w:rPr>
                <w:sz w:val="16"/>
                <w:szCs w:val="16"/>
                <w:lang w:val="es-ES_tradnl" w:bidi="th-TH"/>
              </w:rPr>
              <w:t>Programa  20</w:t>
            </w:r>
          </w:p>
        </w:tc>
      </w:tr>
    </w:tbl>
    <w:p w:rsidR="00E70227" w:rsidRDefault="00E70227" w:rsidP="009E7719">
      <w:pPr>
        <w:pStyle w:val="Heading3"/>
        <w:tabs>
          <w:tab w:val="left" w:pos="1985"/>
        </w:tabs>
        <w:rPr>
          <w:b/>
          <w:u w:val="none"/>
          <w:lang w:val="es-ES_tradnl"/>
        </w:rPr>
      </w:pPr>
      <w:bookmarkStart w:id="74" w:name="_Toc356567771"/>
    </w:p>
    <w:p w:rsidR="00E70227" w:rsidRDefault="00E70227">
      <w:pPr>
        <w:rPr>
          <w:b/>
          <w:bCs/>
          <w:szCs w:val="26"/>
          <w:lang w:val="es-ES_tradnl"/>
        </w:rPr>
      </w:pPr>
      <w:r>
        <w:rPr>
          <w:b/>
          <w:lang w:val="es-ES_tradnl"/>
        </w:rPr>
        <w:br w:type="page"/>
      </w:r>
    </w:p>
    <w:p w:rsidR="009E7719" w:rsidRPr="009E7719" w:rsidRDefault="009E7719" w:rsidP="009E7719">
      <w:pPr>
        <w:pStyle w:val="Heading3"/>
        <w:tabs>
          <w:tab w:val="left" w:pos="1985"/>
        </w:tabs>
        <w:rPr>
          <w:b/>
          <w:u w:val="none"/>
          <w:lang w:val="es-ES_tradnl"/>
        </w:rPr>
      </w:pPr>
      <w:bookmarkStart w:id="75" w:name="_Toc366078738"/>
      <w:r w:rsidRPr="009E7719">
        <w:rPr>
          <w:b/>
          <w:u w:val="none"/>
          <w:lang w:val="es-ES_tradnl"/>
        </w:rPr>
        <w:lastRenderedPageBreak/>
        <w:t>PROGRAMA 18</w:t>
      </w:r>
      <w:r w:rsidRPr="009E7719">
        <w:rPr>
          <w:b/>
          <w:u w:val="none"/>
          <w:lang w:val="es-ES_tradnl"/>
        </w:rPr>
        <w:tab/>
        <w:t>LA P.I. Y LOS DESAFÍOS MUNDIALES</w:t>
      </w:r>
      <w:bookmarkEnd w:id="74"/>
      <w:bookmarkEnd w:id="75"/>
    </w:p>
    <w:p w:rsidR="009E7719" w:rsidRPr="00AD1E8B" w:rsidRDefault="009E7719" w:rsidP="009E7719">
      <w:pPr>
        <w:widowControl w:val="0"/>
        <w:rPr>
          <w:sz w:val="20"/>
          <w:lang w:val="es-ES_tradnl"/>
        </w:rPr>
      </w:pPr>
    </w:p>
    <w:p w:rsidR="009E7719" w:rsidRPr="00AD1E8B" w:rsidRDefault="009E7719" w:rsidP="009E7719">
      <w:pPr>
        <w:widowControl w:val="0"/>
        <w:rPr>
          <w:b/>
          <w:sz w:val="20"/>
          <w:lang w:val="es-ES_tradnl"/>
        </w:rPr>
      </w:pPr>
    </w:p>
    <w:p w:rsidR="009E7719" w:rsidRPr="00AD1E8B" w:rsidRDefault="009E7719" w:rsidP="009E7719">
      <w:pPr>
        <w:pStyle w:val="BodyTextIndent"/>
        <w:widowControl w:val="0"/>
        <w:ind w:left="1985" w:hanging="1985"/>
        <w:jc w:val="both"/>
        <w:rPr>
          <w:rFonts w:ascii="Arial" w:hAnsi="Arial" w:cs="Arial"/>
          <w:sz w:val="22"/>
          <w:szCs w:val="22"/>
          <w:lang w:val="es-ES_tradnl"/>
        </w:rPr>
      </w:pPr>
      <w:r w:rsidRPr="00AD1E8B">
        <w:rPr>
          <w:rFonts w:ascii="Arial" w:hAnsi="Arial" w:cs="Arial"/>
          <w:sz w:val="22"/>
          <w:szCs w:val="22"/>
          <w:lang w:val="es-ES_tradnl"/>
        </w:rPr>
        <w:t>CONTEXTO DE PLANIFICACIÓN</w:t>
      </w:r>
    </w:p>
    <w:p w:rsidR="009E7719" w:rsidRPr="00AD1E8B" w:rsidRDefault="009E7719" w:rsidP="009E7719">
      <w:pPr>
        <w:pStyle w:val="BodyTextIndent"/>
        <w:widowControl w:val="0"/>
        <w:ind w:left="1985" w:hanging="1985"/>
        <w:jc w:val="both"/>
        <w:rPr>
          <w:rFonts w:ascii="Arial" w:hAnsi="Arial" w:cs="Arial"/>
          <w:sz w:val="22"/>
          <w:szCs w:val="22"/>
          <w:lang w:val="es-ES_tradnl"/>
        </w:rPr>
      </w:pPr>
    </w:p>
    <w:p w:rsidR="009E7719" w:rsidRPr="00AD1E8B" w:rsidRDefault="009E7719" w:rsidP="00E17471">
      <w:pPr>
        <w:widowControl w:val="0"/>
        <w:numPr>
          <w:ilvl w:val="0"/>
          <w:numId w:val="12"/>
        </w:numPr>
        <w:jc w:val="both"/>
        <w:rPr>
          <w:spacing w:val="2"/>
          <w:sz w:val="20"/>
          <w:lang w:val="es-ES_tradnl"/>
        </w:rPr>
      </w:pPr>
      <w:r w:rsidRPr="00AD1E8B">
        <w:rPr>
          <w:spacing w:val="2"/>
          <w:sz w:val="20"/>
          <w:lang w:val="es-ES_tradnl"/>
        </w:rPr>
        <w:t xml:space="preserve">Este programa concierne a la innovación y la P.I. en la confluencia de varios desafíos mundiales interrelacionados, en particular la </w:t>
      </w:r>
      <w:r>
        <w:rPr>
          <w:spacing w:val="2"/>
          <w:sz w:val="20"/>
          <w:lang w:val="es-ES_tradnl"/>
        </w:rPr>
        <w:t>s</w:t>
      </w:r>
      <w:r w:rsidRPr="00AD1E8B">
        <w:rPr>
          <w:spacing w:val="2"/>
          <w:sz w:val="20"/>
          <w:lang w:val="es-ES_tradnl"/>
        </w:rPr>
        <w:t xml:space="preserve">alud </w:t>
      </w:r>
      <w:r>
        <w:rPr>
          <w:spacing w:val="2"/>
          <w:sz w:val="20"/>
          <w:lang w:val="es-ES_tradnl"/>
        </w:rPr>
        <w:t>m</w:t>
      </w:r>
      <w:r w:rsidRPr="00AD1E8B">
        <w:rPr>
          <w:spacing w:val="2"/>
          <w:sz w:val="20"/>
          <w:lang w:val="es-ES_tradnl"/>
        </w:rPr>
        <w:t xml:space="preserve">undial, el </w:t>
      </w:r>
      <w:r>
        <w:rPr>
          <w:spacing w:val="2"/>
          <w:sz w:val="20"/>
          <w:lang w:val="es-ES_tradnl"/>
        </w:rPr>
        <w:t>c</w:t>
      </w:r>
      <w:r w:rsidRPr="00AD1E8B">
        <w:rPr>
          <w:spacing w:val="2"/>
          <w:sz w:val="20"/>
          <w:lang w:val="es-ES_tradnl"/>
        </w:rPr>
        <w:t xml:space="preserve">ambio </w:t>
      </w:r>
      <w:r>
        <w:rPr>
          <w:spacing w:val="2"/>
          <w:sz w:val="20"/>
          <w:lang w:val="es-ES_tradnl"/>
        </w:rPr>
        <w:t>c</w:t>
      </w:r>
      <w:r w:rsidRPr="00AD1E8B">
        <w:rPr>
          <w:spacing w:val="2"/>
          <w:sz w:val="20"/>
          <w:lang w:val="es-ES_tradnl"/>
        </w:rPr>
        <w:t xml:space="preserve">limático y la </w:t>
      </w:r>
      <w:r>
        <w:rPr>
          <w:spacing w:val="2"/>
          <w:sz w:val="20"/>
          <w:lang w:val="es-ES_tradnl"/>
        </w:rPr>
        <w:t>s</w:t>
      </w:r>
      <w:r w:rsidRPr="00AD1E8B">
        <w:rPr>
          <w:spacing w:val="2"/>
          <w:sz w:val="20"/>
          <w:lang w:val="es-ES_tradnl"/>
        </w:rPr>
        <w:t xml:space="preserve">eguridad </w:t>
      </w:r>
      <w:r>
        <w:rPr>
          <w:spacing w:val="2"/>
          <w:sz w:val="20"/>
          <w:lang w:val="es-ES_tradnl"/>
        </w:rPr>
        <w:t>a</w:t>
      </w:r>
      <w:r w:rsidRPr="00AD1E8B">
        <w:rPr>
          <w:spacing w:val="2"/>
          <w:sz w:val="20"/>
          <w:lang w:val="es-ES_tradnl"/>
        </w:rPr>
        <w:t xml:space="preserve">limentaria.  La atención dedicada a esta intersección obedece en buena medida a la voluntad de los Estados </w:t>
      </w:r>
      <w:r>
        <w:rPr>
          <w:spacing w:val="2"/>
          <w:sz w:val="20"/>
          <w:lang w:val="es-ES_tradnl"/>
        </w:rPr>
        <w:t>m</w:t>
      </w:r>
      <w:r w:rsidRPr="00AD1E8B">
        <w:rPr>
          <w:spacing w:val="2"/>
          <w:sz w:val="20"/>
          <w:lang w:val="es-ES_tradnl"/>
        </w:rPr>
        <w:t xml:space="preserve">iembros, como hace notar en particular la A.D.  Se han escogido estos tres temas por cuanto los países en desarrollo afrontan desafíos de especial gravedad en estos ámbitos y porque diversas iniciativas innovadoras ofrecen soluciones viables a tales desafíos.  </w:t>
      </w:r>
    </w:p>
    <w:p w:rsidR="009E7719" w:rsidRPr="00AD1E8B" w:rsidRDefault="009E7719" w:rsidP="00E17471">
      <w:pPr>
        <w:widowControl w:val="0"/>
        <w:numPr>
          <w:ilvl w:val="0"/>
          <w:numId w:val="12"/>
        </w:numPr>
        <w:spacing w:before="216"/>
        <w:jc w:val="both"/>
        <w:rPr>
          <w:spacing w:val="2"/>
          <w:sz w:val="20"/>
          <w:lang w:val="es-ES_tradnl"/>
        </w:rPr>
      </w:pPr>
      <w:r w:rsidRPr="00AD1E8B">
        <w:rPr>
          <w:spacing w:val="2"/>
          <w:sz w:val="20"/>
          <w:lang w:val="es-ES_tradnl"/>
        </w:rPr>
        <w:t>En su calidad de organismo de las NN.UU. especializado en la P.I., la OMPI se esfuerza por facilitar el diálogo estratégico internacional sobre la relación entre la innovación y la P.I., reconociendo que la P.I. no representa una finalidad en sí misma,  sino una herramienta para la consecución de objetivos socioeconómicos y de desarrollo.  Es por ello que la OMPI coopera activamente con diversos aliados a escala mundial, dentro y fuera del sistema de las NN.UU.</w:t>
      </w:r>
      <w:r w:rsidRPr="00AD1E8B">
        <w:rPr>
          <w:spacing w:val="4"/>
          <w:sz w:val="20"/>
          <w:lang w:val="es-ES_tradnl"/>
        </w:rPr>
        <w:t xml:space="preserve">  Las soluciones a los problemas mundiales exigen en particular desbloquear el potencial de innovación en beneficio de todos los países, sea cual fuere su nivel de desarrollo. El fortalecimiento de capacidades, la transferencia de tecnologías y la difusión de herramientas prácticas se realizan cada vez más a través de nuevas formas de colaboración que involucran a una amplia gama de partes interesadas.</w:t>
      </w:r>
      <w:r w:rsidRPr="00AD1E8B">
        <w:rPr>
          <w:spacing w:val="2"/>
          <w:sz w:val="20"/>
          <w:lang w:val="es-ES_tradnl"/>
        </w:rPr>
        <w:t xml:space="preserve">  </w:t>
      </w:r>
    </w:p>
    <w:p w:rsidR="009E7719" w:rsidRPr="00AD1E8B" w:rsidRDefault="009E7719" w:rsidP="00E17471">
      <w:pPr>
        <w:widowControl w:val="0"/>
        <w:numPr>
          <w:ilvl w:val="0"/>
          <w:numId w:val="12"/>
        </w:numPr>
        <w:spacing w:before="216"/>
        <w:jc w:val="both"/>
        <w:rPr>
          <w:bCs/>
          <w:sz w:val="20"/>
          <w:lang w:val="es-ES_tradnl"/>
        </w:rPr>
      </w:pPr>
      <w:r w:rsidRPr="00AD1E8B">
        <w:rPr>
          <w:sz w:val="20"/>
          <w:lang w:val="es-ES_tradnl"/>
        </w:rPr>
        <w:t xml:space="preserve">El programa continuará durante este bienio manteniendo diálogos estratégicos en torno a la P.I. y los desafíos </w:t>
      </w:r>
      <w:r w:rsidR="00733234">
        <w:rPr>
          <w:sz w:val="20"/>
          <w:lang w:val="es-ES_tradnl"/>
        </w:rPr>
        <w:t>mundiales</w:t>
      </w:r>
      <w:r w:rsidRPr="00AD1E8B">
        <w:rPr>
          <w:sz w:val="20"/>
          <w:lang w:val="es-ES_tradnl"/>
        </w:rPr>
        <w:t xml:space="preserve"> con el fin de reforzar el protagonismo de la OMPI como fuente creíble de información y análisis basados en datos empíricos y también como foro para el debate internacional.  Sin embargo, se depositará un énfasis creciente sobre el desarrollo y culminación de proyectos tangibles y eficaces que pongan la innovación y la P.I. al servicio del desarrollo.  Dichos proyectos requieren la participación y el apoyo directos y activos de entidades de todos los sectores, con inclusión del gobierno, las empresas, la sociedad civil y los organismos multilaterales.  El trabajo realizado se rige por la A.D. y por los Objetivos de </w:t>
      </w:r>
      <w:r>
        <w:rPr>
          <w:sz w:val="20"/>
          <w:lang w:val="es-ES_tradnl"/>
        </w:rPr>
        <w:t>d</w:t>
      </w:r>
      <w:r w:rsidRPr="00AD1E8B">
        <w:rPr>
          <w:sz w:val="20"/>
          <w:lang w:val="es-ES_tradnl"/>
        </w:rPr>
        <w:t xml:space="preserve">esarrollo del </w:t>
      </w:r>
      <w:r>
        <w:rPr>
          <w:sz w:val="20"/>
          <w:lang w:val="es-ES_tradnl"/>
        </w:rPr>
        <w:t>m</w:t>
      </w:r>
      <w:r w:rsidRPr="00AD1E8B">
        <w:rPr>
          <w:sz w:val="20"/>
          <w:lang w:val="es-ES_tradnl"/>
        </w:rPr>
        <w:t xml:space="preserve">ilenio.  </w:t>
      </w:r>
    </w:p>
    <w:p w:rsidR="009E7719" w:rsidRPr="00AD1E8B" w:rsidRDefault="009E7719" w:rsidP="009E7719">
      <w:pPr>
        <w:widowControl w:val="0"/>
        <w:tabs>
          <w:tab w:val="left" w:pos="567"/>
          <w:tab w:val="left" w:pos="1985"/>
        </w:tabs>
        <w:jc w:val="both"/>
        <w:rPr>
          <w:bCs/>
          <w:sz w:val="20"/>
          <w:lang w:val="es-ES_tradnl"/>
        </w:rPr>
      </w:pPr>
    </w:p>
    <w:p w:rsidR="009E7719" w:rsidRPr="00AD1E8B" w:rsidRDefault="009E7719" w:rsidP="009E7719">
      <w:pPr>
        <w:widowControl w:val="0"/>
        <w:tabs>
          <w:tab w:val="left" w:pos="567"/>
          <w:tab w:val="left" w:pos="1985"/>
        </w:tabs>
        <w:jc w:val="both"/>
        <w:rPr>
          <w:bCs/>
          <w:sz w:val="20"/>
          <w:lang w:val="es-ES_tradnl"/>
        </w:rPr>
      </w:pPr>
    </w:p>
    <w:p w:rsidR="009E7719" w:rsidRPr="00AD1E8B" w:rsidRDefault="009E7719" w:rsidP="009E7719">
      <w:pPr>
        <w:widowControl w:val="0"/>
        <w:tabs>
          <w:tab w:val="left" w:pos="567"/>
          <w:tab w:val="left" w:pos="1985"/>
        </w:tabs>
        <w:jc w:val="both"/>
        <w:rPr>
          <w:bCs/>
          <w:szCs w:val="22"/>
          <w:lang w:val="es-ES_tradnl"/>
        </w:rPr>
      </w:pPr>
      <w:r w:rsidRPr="00AD1E8B">
        <w:rPr>
          <w:bCs/>
          <w:szCs w:val="22"/>
          <w:lang w:val="es-ES_tradnl"/>
        </w:rPr>
        <w:t>ESTRATEGIAS DE EJECUCIÓN</w:t>
      </w:r>
    </w:p>
    <w:p w:rsidR="009E7719" w:rsidRPr="00AD1E8B" w:rsidRDefault="009E7719" w:rsidP="009E7719">
      <w:pPr>
        <w:widowControl w:val="0"/>
        <w:tabs>
          <w:tab w:val="left" w:pos="567"/>
          <w:tab w:val="left" w:pos="1985"/>
        </w:tabs>
        <w:jc w:val="both"/>
        <w:rPr>
          <w:bCs/>
          <w:sz w:val="20"/>
          <w:lang w:val="es-ES_tradnl"/>
        </w:rPr>
      </w:pPr>
    </w:p>
    <w:p w:rsidR="009E7719" w:rsidRPr="00AD1E8B" w:rsidRDefault="009E7719" w:rsidP="00E17471">
      <w:pPr>
        <w:widowControl w:val="0"/>
        <w:numPr>
          <w:ilvl w:val="0"/>
          <w:numId w:val="12"/>
        </w:numPr>
        <w:jc w:val="both"/>
        <w:rPr>
          <w:sz w:val="20"/>
          <w:lang w:val="es-ES_tradnl"/>
        </w:rPr>
      </w:pPr>
      <w:r w:rsidRPr="00AD1E8B">
        <w:rPr>
          <w:spacing w:val="1"/>
          <w:sz w:val="20"/>
          <w:lang w:val="es-ES_tradnl"/>
        </w:rPr>
        <w:t>El programa continuará realizando una contribución eficaz y constructiva a la búsqueda de soluciones basadas en la innovación y al diálogo mundial sobre políticas a través de una estrategia de ejecución dotada de tres vertientes</w:t>
      </w:r>
      <w:r w:rsidRPr="00AD1E8B">
        <w:rPr>
          <w:sz w:val="20"/>
          <w:lang w:val="es-ES_tradnl"/>
        </w:rPr>
        <w:t>:</w:t>
      </w:r>
    </w:p>
    <w:p w:rsidR="009E7719" w:rsidRPr="00AD1E8B" w:rsidRDefault="009E7719" w:rsidP="009E7719">
      <w:pPr>
        <w:widowControl w:val="0"/>
        <w:jc w:val="both"/>
        <w:rPr>
          <w:sz w:val="20"/>
          <w:lang w:val="es-ES_tradnl"/>
        </w:rPr>
      </w:pPr>
    </w:p>
    <w:p w:rsidR="009E7719" w:rsidRPr="0062198E" w:rsidRDefault="009E7719" w:rsidP="009E7719">
      <w:pPr>
        <w:widowControl w:val="0"/>
        <w:rPr>
          <w:sz w:val="20"/>
          <w:u w:val="single"/>
          <w:lang w:val="es-ES_tradnl"/>
        </w:rPr>
      </w:pPr>
      <w:r w:rsidRPr="0062198E">
        <w:rPr>
          <w:sz w:val="20"/>
          <w:u w:val="single"/>
          <w:lang w:val="es-ES_tradnl"/>
        </w:rPr>
        <w:t>Elaborar y mantener mecanismos y herramientas prácticos basados en la P.I. para responder a los desafíos mundiales</w:t>
      </w:r>
    </w:p>
    <w:p w:rsidR="009E7719" w:rsidRPr="00AD1E8B" w:rsidRDefault="009E7719" w:rsidP="009E7719">
      <w:pPr>
        <w:widowControl w:val="0"/>
        <w:rPr>
          <w:sz w:val="20"/>
          <w:u w:val="single"/>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El elemento esencial de la estrategia del programa consiste en la elaboración, aplicación y sostenibilidad de plataformas en que participen diferentes sectores interesados con el fin de propiciar la creación de redes de colaboración eficaces y la realización de transferencias de tecnología en materia de salud y cambio climático. Las iniciativas se basarán en alianzas y colaboraciones, con utilización de estructuras de innovación colectiva, innovación en red y otras formas de cooperación para acelerar su repercusión.  Se atenderá asimismo a fomentar colaboraciones y alianzas Sur-Sur que faciliten la conectividad global de los innovadores de los países en desarrollo.  </w:t>
      </w:r>
    </w:p>
    <w:p w:rsidR="009E7719" w:rsidRPr="00AD1E8B" w:rsidRDefault="009E7719" w:rsidP="009E7719">
      <w:pPr>
        <w:widowControl w:val="0"/>
        <w:jc w:val="both"/>
        <w:rPr>
          <w:sz w:val="20"/>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Se explorarán, de consuno con aliados exteriores, herramientas para el intercambio de conocimientos que faciliten la difusión y transferencia de tecnologías en materia de sanidad y medio ambiente acordes con los objetivos de la A.D. y más particularmente con las recomendaciones 19 (Acceso a los conocimientos y la tecnología) y 25 (Transferencia de tecnología), así como 30, 40 y 42 (Cooperación con otras OIG y ONG). </w:t>
      </w:r>
    </w:p>
    <w:p w:rsidR="009E7719" w:rsidRPr="00AD1E8B" w:rsidRDefault="009E7719" w:rsidP="009E7719">
      <w:pPr>
        <w:widowControl w:val="0"/>
        <w:jc w:val="both"/>
        <w:rPr>
          <w:sz w:val="20"/>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Numerosos programas brindan apoyo y cooperación a efectos de la puesta en práctica de esta estrategia, por ejemplo los programas 1 (Derecho de patentes), 9 (Países africanos, árabes, de Asia y el Pacífico, de América Latina y el Caribe y PMA), 10 (Cooperación con determinados países de Europa y Asia), 13 (Bases de datos mundiales), 14 (Servicios de acceso a la información y </w:t>
      </w:r>
      <w:r w:rsidR="00733234">
        <w:rPr>
          <w:sz w:val="20"/>
          <w:lang w:val="es-ES_tradnl"/>
        </w:rPr>
        <w:t xml:space="preserve">a </w:t>
      </w:r>
      <w:r w:rsidRPr="00AD1E8B">
        <w:rPr>
          <w:sz w:val="20"/>
          <w:lang w:val="es-ES_tradnl"/>
        </w:rPr>
        <w:t xml:space="preserve">los conocimientos), 19 (Comunicaciones) y 20 (Relaciones exteriores). </w:t>
      </w:r>
    </w:p>
    <w:p w:rsidR="009E7719" w:rsidRPr="00AD1E8B" w:rsidRDefault="009E7719" w:rsidP="009E7719">
      <w:pPr>
        <w:widowControl w:val="0"/>
        <w:jc w:val="both"/>
        <w:rPr>
          <w:sz w:val="20"/>
          <w:lang w:val="es-ES_tradnl"/>
        </w:rPr>
      </w:pPr>
    </w:p>
    <w:p w:rsidR="009E7719" w:rsidRPr="00927A04" w:rsidRDefault="009E7719" w:rsidP="009E7719">
      <w:pPr>
        <w:widowControl w:val="0"/>
        <w:rPr>
          <w:sz w:val="20"/>
          <w:u w:val="single"/>
          <w:lang w:val="es-ES_tradnl"/>
        </w:rPr>
      </w:pPr>
      <w:r w:rsidRPr="00927A04">
        <w:rPr>
          <w:sz w:val="20"/>
          <w:u w:val="single"/>
          <w:lang w:val="es-ES_tradnl"/>
        </w:rPr>
        <w:lastRenderedPageBreak/>
        <w:t xml:space="preserve">Proporcionar apoyo a los Estados miembros, las OIG, la sociedad civil y otras partes interesadas y prestarles asistencia para determinar los enfoques viables </w:t>
      </w:r>
    </w:p>
    <w:p w:rsidR="009E7719" w:rsidRPr="00AD1E8B" w:rsidRDefault="009E7719" w:rsidP="009E7719">
      <w:pPr>
        <w:widowControl w:val="0"/>
        <w:rPr>
          <w:sz w:val="20"/>
          <w:u w:val="single"/>
          <w:lang w:val="es-ES_tradnl"/>
        </w:rPr>
      </w:pPr>
    </w:p>
    <w:p w:rsidR="009E7719" w:rsidRPr="00AD1E8B" w:rsidRDefault="009E7719" w:rsidP="00E17471">
      <w:pPr>
        <w:widowControl w:val="0"/>
        <w:numPr>
          <w:ilvl w:val="0"/>
          <w:numId w:val="12"/>
        </w:numPr>
        <w:jc w:val="both"/>
        <w:rPr>
          <w:sz w:val="20"/>
          <w:lang w:val="es-ES_tradnl"/>
        </w:rPr>
      </w:pPr>
      <w:r w:rsidRPr="00AD1E8B">
        <w:rPr>
          <w:spacing w:val="1"/>
          <w:sz w:val="20"/>
          <w:lang w:val="es-ES_tradnl"/>
        </w:rPr>
        <w:t>Las antedichas actividades irán dirigidas a suministrar asistencia específica en respuesta a las solicitudes de los Estados miembros, las OIG, la sociedad civil y demás partes interesadas.  Con tal fin, se elaborarán herramientas de información sobre cuestiones importantes en el contexto de la P.I., la salud, el medio ambiente y la seguridad alimentaria a fin de proporcionar análisis neutrales y objetivos en beneficio de los Estados miembros y otras partes interesadas.</w:t>
      </w:r>
      <w:r w:rsidRPr="00AD1E8B">
        <w:rPr>
          <w:spacing w:val="2"/>
          <w:sz w:val="20"/>
          <w:lang w:val="es-ES_tradnl"/>
        </w:rPr>
        <w:t xml:space="preserve">  Asimismo, en respuesta a las solicitudes de los Estados miembros, las OIG, la sociedad civil y demás partes interesadas, el programa realizará aportaciones, cuando proceda, en los foros en que se trate de la innovación y la P.I. en el contexto de la salud, el cambio climático y la seguridad alimentaria.</w:t>
      </w:r>
      <w:r w:rsidRPr="00AD1E8B">
        <w:rPr>
          <w:sz w:val="20"/>
          <w:lang w:val="es-ES_tradnl"/>
        </w:rPr>
        <w:t xml:space="preserve">  Velando por la participación constructiva de la OMPI en los procesos pertinentes de política pública se presta apoyo a otros interesados y se contribuye a que la OMPI sea la instancia y el punto de referencia en materia de P.I. al examinar las cuestiones mundiales de política pública.</w:t>
      </w:r>
    </w:p>
    <w:p w:rsidR="009E7719" w:rsidRPr="00AD1E8B" w:rsidRDefault="009E7719" w:rsidP="009E7719">
      <w:pPr>
        <w:widowControl w:val="0"/>
        <w:jc w:val="both"/>
        <w:rPr>
          <w:sz w:val="20"/>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Un aspecto fundamental de esta labor será la exploración de sinergias con otras áreas de la OMPI.  Por ejemplo, a medida que las plataformas sustantivas vayan desarrollándose podrán servir como puntos de entrada que permitan a las instituciones de los países en desarrollo acceder a toda una gama de servicios y programas de formación de la OMPI y por ende a informaciones técnicas sobre la P.I. (p. ej. bases de datos sobre patentes).  </w:t>
      </w:r>
    </w:p>
    <w:p w:rsidR="009E7719" w:rsidRPr="00AD1E8B" w:rsidRDefault="009E7719" w:rsidP="009E7719">
      <w:pPr>
        <w:widowControl w:val="0"/>
        <w:jc w:val="both"/>
        <w:rPr>
          <w:sz w:val="20"/>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Las actividades se llevarán a cabo en estrecha cooperación con el programa 20 (Relaciones exteriores, alianzas y oficinas</w:t>
      </w:r>
      <w:r w:rsidR="008921D7">
        <w:rPr>
          <w:sz w:val="20"/>
          <w:lang w:val="es-ES_tradnl"/>
        </w:rPr>
        <w:t xml:space="preserve"> en el exterior</w:t>
      </w:r>
      <w:r w:rsidRPr="00AD1E8B">
        <w:rPr>
          <w:sz w:val="20"/>
          <w:lang w:val="es-ES_tradnl"/>
        </w:rPr>
        <w:t xml:space="preserve">)  para garantizar su sistemática coordinación con el conjunto de los temas de P.I. que son actualmente objeto de debate en los foros internacionales y nacionales, así como una cooperación reforzada con los demás organismos de las NN.UU. en consonancia con la recomendación 40 de la A.D.  Mediante la cooperación con el programa 9 (Países africanos, árabes, de América Latina y el Caribe, de Asia y el Pacífico y </w:t>
      </w:r>
      <w:r w:rsidR="00733234">
        <w:rPr>
          <w:sz w:val="20"/>
          <w:lang w:val="es-ES_tradnl"/>
        </w:rPr>
        <w:t>países menos adelantados</w:t>
      </w:r>
      <w:r w:rsidRPr="00AD1E8B">
        <w:rPr>
          <w:sz w:val="20"/>
          <w:lang w:val="es-ES_tradnl"/>
        </w:rPr>
        <w:t xml:space="preserve">) y el programa 10 (Cooperación con determinados países de Europa y Asia) se velará por que las actividades vayan destinadas a satisfacer las necesidades de los países en desarrollo, los PMA y los países con economías en transición.  </w:t>
      </w:r>
    </w:p>
    <w:p w:rsidR="009E7719" w:rsidRPr="00AD1E8B" w:rsidRDefault="009E7719" w:rsidP="009E7719">
      <w:pPr>
        <w:widowControl w:val="0"/>
        <w:rPr>
          <w:sz w:val="20"/>
          <w:lang w:val="es-ES_tradnl"/>
        </w:rPr>
      </w:pPr>
    </w:p>
    <w:p w:rsidR="009E7719" w:rsidRPr="00927A04" w:rsidRDefault="009E7719" w:rsidP="009E7719">
      <w:pPr>
        <w:widowControl w:val="0"/>
        <w:rPr>
          <w:sz w:val="20"/>
          <w:u w:val="single"/>
          <w:lang w:val="es-ES_tradnl"/>
        </w:rPr>
      </w:pPr>
      <w:r w:rsidRPr="00927A04">
        <w:rPr>
          <w:sz w:val="20"/>
          <w:u w:val="single"/>
          <w:lang w:val="es-ES_tradnl"/>
        </w:rPr>
        <w:t xml:space="preserve">Poner a punto una información objetiva y equilibrada en torno a las relaciones entre los desafíos mundiales, la innovación y la transferencia de tecnología </w:t>
      </w:r>
    </w:p>
    <w:p w:rsidR="009E7719" w:rsidRPr="00AD1E8B" w:rsidRDefault="009E7719" w:rsidP="009E7719">
      <w:pPr>
        <w:widowControl w:val="0"/>
        <w:rPr>
          <w:sz w:val="20"/>
          <w:u w:val="single"/>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Con arreglo a esta estrategia podrán elaborarse estudios sobre políticas en torno a temas  como la función de la P.I. y la gestión de la P.I. en la transferencia de tecnología para hacer frente a los desafíos mundiales.  Además se llevarán a cabo análisis sustantivos en forma de informes y documentos que permitan conocer más adecuadamente cuáles son los factores estratégicos y las políticas de innovación; demuestren de manera dinámica el uso de las herramientas de P.I.; y proporcionen a los Estados miembros una mejor comprensión de las transferencias de tecnología.  </w:t>
      </w:r>
    </w:p>
    <w:p w:rsidR="009E7719" w:rsidRPr="00AD1E8B" w:rsidRDefault="009E7719" w:rsidP="009E7719">
      <w:pPr>
        <w:widowControl w:val="0"/>
        <w:jc w:val="both"/>
        <w:rPr>
          <w:sz w:val="20"/>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A fin de que la OMPI pueda explotar plenamente las posibilidades que brinda el examen de la relación existente entre la P.I. y las cuestiones mundiales de política, deberá ganarse la confianza de los posibles asociados mediante aportaciones importantes que no solamente hagan avanzar los debates al dar a conocer más adecuadamente las cuestiones, sino que asimismo generen confianza en cuanto a su imparcialidad.  Además, la OMPI aportará valor en este ámbito a los Estados miembros colaborando estrechamente con otras OIG según las necesidades.  El </w:t>
      </w:r>
      <w:r>
        <w:rPr>
          <w:sz w:val="20"/>
          <w:lang w:val="es-ES_tradnl"/>
        </w:rPr>
        <w:t>p</w:t>
      </w:r>
      <w:r w:rsidRPr="00AD1E8B">
        <w:rPr>
          <w:sz w:val="20"/>
          <w:lang w:val="es-ES_tradnl"/>
        </w:rPr>
        <w:t>rograma proseguirá la fructífera cooperación trilateral con la Organización Mundial de la Salud y la Organización Mundial del Comercio.</w:t>
      </w:r>
    </w:p>
    <w:p w:rsidR="009E7719" w:rsidRPr="00AD1E8B" w:rsidRDefault="009E7719" w:rsidP="009E7719">
      <w:pPr>
        <w:widowControl w:val="0"/>
        <w:jc w:val="both"/>
        <w:rPr>
          <w:sz w:val="20"/>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Esta parte de la estrategia se ejecutará en estrecha cooperación con los programas 1 (Derecho de patentes), 14 (Servicios de acceso a la información y a los conocimientos), 19 (Comunicaciones), y 20 (Relaciones exteriores, alianzas y oficinas </w:t>
      </w:r>
      <w:r w:rsidR="003B22A3">
        <w:rPr>
          <w:sz w:val="20"/>
          <w:lang w:val="es-ES_tradnl"/>
        </w:rPr>
        <w:t>en el exterior</w:t>
      </w:r>
      <w:r w:rsidRPr="00AD1E8B">
        <w:rPr>
          <w:sz w:val="20"/>
          <w:lang w:val="es-ES_tradnl"/>
        </w:rPr>
        <w:t xml:space="preserve">).  </w:t>
      </w:r>
    </w:p>
    <w:p w:rsidR="009E7719" w:rsidRDefault="009E7719" w:rsidP="009E7719">
      <w:pPr>
        <w:widowControl w:val="0"/>
        <w:tabs>
          <w:tab w:val="left" w:pos="567"/>
          <w:tab w:val="left" w:pos="1985"/>
        </w:tabs>
        <w:jc w:val="both"/>
        <w:rPr>
          <w:bCs/>
          <w:sz w:val="20"/>
          <w:lang w:val="es-ES_tradnl"/>
        </w:rPr>
      </w:pPr>
    </w:p>
    <w:p w:rsidR="009E7719" w:rsidRDefault="009E7719" w:rsidP="009E7719">
      <w:pPr>
        <w:widowControl w:val="0"/>
        <w:tabs>
          <w:tab w:val="left" w:pos="567"/>
          <w:tab w:val="left" w:pos="1985"/>
        </w:tabs>
        <w:jc w:val="both"/>
        <w:rPr>
          <w:bCs/>
          <w:sz w:val="20"/>
          <w:lang w:val="es-ES_tradnl"/>
        </w:rPr>
      </w:pPr>
    </w:p>
    <w:p w:rsidR="009E7719" w:rsidRPr="00AD1E8B" w:rsidRDefault="009E7719" w:rsidP="00542C2B">
      <w:pPr>
        <w:keepNext/>
        <w:widowControl w:val="0"/>
        <w:tabs>
          <w:tab w:val="left" w:pos="567"/>
          <w:tab w:val="left" w:pos="1985"/>
        </w:tabs>
        <w:jc w:val="both"/>
        <w:rPr>
          <w:bCs/>
          <w:szCs w:val="22"/>
          <w:lang w:val="es-ES_tradnl"/>
        </w:rPr>
      </w:pPr>
      <w:r w:rsidRPr="00AD1E8B">
        <w:rPr>
          <w:bCs/>
          <w:szCs w:val="22"/>
          <w:lang w:val="es-ES_tradnl"/>
        </w:rPr>
        <w:lastRenderedPageBreak/>
        <w:t>PRINCIPALES RIESGOS Y ESTRATEGIAS DE MITIGACIÓN</w:t>
      </w:r>
    </w:p>
    <w:p w:rsidR="009E7719" w:rsidRPr="00AD1E8B" w:rsidRDefault="009E7719" w:rsidP="00542C2B">
      <w:pPr>
        <w:keepNext/>
        <w:widowControl w:val="0"/>
        <w:tabs>
          <w:tab w:val="left" w:pos="567"/>
          <w:tab w:val="left" w:pos="1985"/>
        </w:tabs>
        <w:jc w:val="both"/>
        <w:rPr>
          <w:bCs/>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6"/>
        <w:gridCol w:w="4820"/>
      </w:tblGrid>
      <w:tr w:rsidR="00573458" w:rsidRPr="00C75C7E" w:rsidTr="00A74F33">
        <w:trPr>
          <w:cantSplit/>
          <w:trHeight w:val="458"/>
          <w:tblHeader/>
        </w:trPr>
        <w:tc>
          <w:tcPr>
            <w:tcW w:w="4536" w:type="dxa"/>
            <w:tcBorders>
              <w:top w:val="single" w:sz="4" w:space="0" w:color="auto"/>
              <w:bottom w:val="single" w:sz="4" w:space="0" w:color="auto"/>
            </w:tcBorders>
            <w:shd w:val="clear" w:color="auto" w:fill="CCFFFF"/>
            <w:tcMar>
              <w:top w:w="113" w:type="dxa"/>
              <w:bottom w:w="85" w:type="dxa"/>
            </w:tcMar>
            <w:vAlign w:val="center"/>
          </w:tcPr>
          <w:p w:rsidR="00573458" w:rsidRPr="00C75C7E" w:rsidRDefault="00573458" w:rsidP="00542C2B">
            <w:pPr>
              <w:keepNext/>
              <w:widowControl w:val="0"/>
              <w:ind w:right="-108"/>
              <w:jc w:val="center"/>
              <w:rPr>
                <w:b/>
                <w:iCs/>
                <w:sz w:val="18"/>
                <w:szCs w:val="18"/>
                <w:lang w:val="es-ES_tradnl"/>
              </w:rPr>
            </w:pPr>
            <w:r w:rsidRPr="00C75C7E">
              <w:rPr>
                <w:b/>
                <w:bCs/>
                <w:iCs/>
                <w:sz w:val="18"/>
                <w:szCs w:val="18"/>
                <w:lang w:val="es-ES_tradnl"/>
              </w:rPr>
              <w:t>Riesgos en el logro de los resultados del programa</w:t>
            </w:r>
          </w:p>
        </w:tc>
        <w:tc>
          <w:tcPr>
            <w:tcW w:w="4820" w:type="dxa"/>
            <w:tcBorders>
              <w:top w:val="single" w:sz="4" w:space="0" w:color="auto"/>
              <w:bottom w:val="single" w:sz="4" w:space="0" w:color="auto"/>
            </w:tcBorders>
            <w:shd w:val="clear" w:color="auto" w:fill="CCFFFF"/>
            <w:tcMar>
              <w:top w:w="113" w:type="dxa"/>
              <w:bottom w:w="85" w:type="dxa"/>
            </w:tcMar>
            <w:vAlign w:val="center"/>
          </w:tcPr>
          <w:p w:rsidR="00573458" w:rsidRPr="00C75C7E" w:rsidRDefault="00573458" w:rsidP="00542C2B">
            <w:pPr>
              <w:keepNext/>
              <w:widowControl w:val="0"/>
              <w:jc w:val="center"/>
              <w:rPr>
                <w:b/>
                <w:bCs/>
                <w:iCs/>
                <w:sz w:val="18"/>
                <w:szCs w:val="18"/>
                <w:lang w:val="es-ES_tradnl"/>
              </w:rPr>
            </w:pPr>
            <w:r w:rsidRPr="00C75C7E">
              <w:rPr>
                <w:b/>
                <w:bCs/>
                <w:iCs/>
                <w:sz w:val="18"/>
                <w:szCs w:val="18"/>
                <w:lang w:val="es-ES_tradnl"/>
              </w:rPr>
              <w:t>Planes de mitigación ejecutados o en ejecución</w:t>
            </w:r>
          </w:p>
        </w:tc>
      </w:tr>
      <w:tr w:rsidR="00573458" w:rsidRPr="00C75C7E" w:rsidTr="00A74F33">
        <w:trPr>
          <w:cantSplit/>
          <w:trHeight w:val="1350"/>
        </w:trPr>
        <w:tc>
          <w:tcPr>
            <w:tcW w:w="4536" w:type="dxa"/>
            <w:tcBorders>
              <w:top w:val="single" w:sz="4" w:space="0" w:color="auto"/>
            </w:tcBorders>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La falta o la disminución del interés de las entidades participantes en las plataformas, el abandono de algunos miembros o la publicación insuficiente de información en una plataforma por parte de algunos miembros afectan directamente al funcionamiento de las plataformas y a la función que se espera que cumplan, así como a la credibilidad de los proyectos, por lo que las plataformas podrían acabar perdiendo su pertinencia al compararlas con proyectos de plataformas similares al margen de la OMPI.</w:t>
            </w:r>
          </w:p>
        </w:tc>
        <w:tc>
          <w:tcPr>
            <w:tcW w:w="4820" w:type="dxa"/>
            <w:tcBorders>
              <w:top w:val="single" w:sz="4" w:space="0" w:color="auto"/>
            </w:tcBorders>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 xml:space="preserve">Un examen </w:t>
            </w:r>
            <w:proofErr w:type="gramStart"/>
            <w:r w:rsidRPr="00C75C7E">
              <w:rPr>
                <w:sz w:val="16"/>
                <w:szCs w:val="16"/>
                <w:lang w:val="es-ES_tradnl"/>
              </w:rPr>
              <w:t>continuo</w:t>
            </w:r>
            <w:proofErr w:type="gramEnd"/>
            <w:r w:rsidRPr="00C75C7E">
              <w:rPr>
                <w:sz w:val="16"/>
                <w:szCs w:val="16"/>
                <w:lang w:val="es-ES_tradnl"/>
              </w:rPr>
              <w:t xml:space="preserve"> de la estrategia, el entorno y la planificación que permita una detección temprana de las tendencias y la toma de medidas adecuadas lo antes posible.</w:t>
            </w:r>
          </w:p>
          <w:p w:rsidR="00573458" w:rsidRPr="00C75C7E" w:rsidRDefault="00573458" w:rsidP="008F4F69">
            <w:pPr>
              <w:widowControl w:val="0"/>
              <w:rPr>
                <w:sz w:val="16"/>
                <w:szCs w:val="16"/>
                <w:lang w:val="es-ES_tradnl"/>
              </w:rPr>
            </w:pPr>
          </w:p>
          <w:p w:rsidR="00573458" w:rsidRPr="00C75C7E" w:rsidRDefault="00573458" w:rsidP="008F4F69">
            <w:pPr>
              <w:widowControl w:val="0"/>
              <w:rPr>
                <w:i/>
                <w:sz w:val="16"/>
                <w:szCs w:val="16"/>
                <w:lang w:val="es-ES_tradnl"/>
              </w:rPr>
            </w:pPr>
            <w:r w:rsidRPr="00C75C7E">
              <w:rPr>
                <w:sz w:val="16"/>
                <w:szCs w:val="16"/>
                <w:lang w:val="es-ES_tradnl"/>
              </w:rPr>
              <w:t xml:space="preserve"> </w:t>
            </w:r>
          </w:p>
        </w:tc>
      </w:tr>
      <w:tr w:rsidR="00573458" w:rsidRPr="00C75C7E" w:rsidTr="00A74F33">
        <w:trPr>
          <w:trHeight w:val="824"/>
        </w:trPr>
        <w:tc>
          <w:tcPr>
            <w:tcW w:w="4536" w:type="dxa"/>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La accesibilidad técnica de las bases de datos de P.I. y la continuidad del funcionamiento y la fiabilidad de la infraestructura de esas bases.  Los problemas recurrentes de disponibilidad de datos pueden afectar negativamente a la reputación y la credibilidad de la OMPI.</w:t>
            </w:r>
          </w:p>
        </w:tc>
        <w:tc>
          <w:tcPr>
            <w:tcW w:w="4820" w:type="dxa"/>
            <w:shd w:val="clear" w:color="auto" w:fill="auto"/>
            <w:tcMar>
              <w:top w:w="113" w:type="dxa"/>
              <w:bottom w:w="85" w:type="dxa"/>
            </w:tcMar>
          </w:tcPr>
          <w:p w:rsidR="00573458" w:rsidRPr="00C75C7E" w:rsidRDefault="00573458" w:rsidP="008F4F69">
            <w:pPr>
              <w:widowControl w:val="0"/>
              <w:rPr>
                <w:sz w:val="16"/>
                <w:szCs w:val="16"/>
                <w:lang w:val="es-ES_tradnl"/>
              </w:rPr>
            </w:pPr>
            <w:r w:rsidRPr="00C75C7E">
              <w:rPr>
                <w:sz w:val="16"/>
                <w:szCs w:val="16"/>
                <w:lang w:val="es-ES_tradnl"/>
              </w:rPr>
              <w:t xml:space="preserve">Velar por que se presten los servicios pertinentes, se comercialicen estos eficazmente y se mantenga un contacto estrecho con las principales partes interesadas. </w:t>
            </w:r>
          </w:p>
          <w:p w:rsidR="00573458" w:rsidRPr="00C75C7E" w:rsidRDefault="00573458" w:rsidP="008F4F69">
            <w:pPr>
              <w:widowControl w:val="0"/>
              <w:rPr>
                <w:sz w:val="16"/>
                <w:szCs w:val="16"/>
                <w:lang w:val="es-ES_tradnl"/>
              </w:rPr>
            </w:pPr>
          </w:p>
          <w:p w:rsidR="00573458" w:rsidRPr="00C75C7E" w:rsidRDefault="00573458" w:rsidP="008F4F69">
            <w:pPr>
              <w:widowControl w:val="0"/>
              <w:rPr>
                <w:sz w:val="16"/>
                <w:szCs w:val="16"/>
                <w:lang w:val="es-ES_tradnl"/>
              </w:rPr>
            </w:pPr>
            <w:r w:rsidRPr="00C75C7E">
              <w:rPr>
                <w:sz w:val="16"/>
                <w:szCs w:val="16"/>
                <w:lang w:val="es-ES_tradnl"/>
              </w:rPr>
              <w:t xml:space="preserve"> </w:t>
            </w:r>
          </w:p>
        </w:tc>
      </w:tr>
    </w:tbl>
    <w:p w:rsidR="009E7719" w:rsidRPr="00AD1E8B" w:rsidRDefault="009E7719" w:rsidP="009E7719">
      <w:pPr>
        <w:widowControl w:val="0"/>
        <w:tabs>
          <w:tab w:val="left" w:pos="567"/>
          <w:tab w:val="left" w:pos="1985"/>
        </w:tabs>
        <w:jc w:val="both"/>
        <w:rPr>
          <w:bCs/>
          <w:sz w:val="20"/>
          <w:lang w:val="es-ES_tradnl"/>
        </w:rPr>
      </w:pPr>
    </w:p>
    <w:p w:rsidR="009E7719" w:rsidRPr="00AD1E8B" w:rsidRDefault="009E7719" w:rsidP="009E7719">
      <w:pPr>
        <w:widowControl w:val="0"/>
        <w:tabs>
          <w:tab w:val="left" w:pos="567"/>
          <w:tab w:val="left" w:pos="1985"/>
        </w:tabs>
        <w:jc w:val="both"/>
        <w:rPr>
          <w:bCs/>
          <w:sz w:val="20"/>
          <w:lang w:val="es-ES_tradnl"/>
        </w:rPr>
      </w:pPr>
    </w:p>
    <w:p w:rsidR="009E7719" w:rsidRPr="00AD1E8B" w:rsidRDefault="009E7719" w:rsidP="009E7719">
      <w:pPr>
        <w:widowControl w:val="0"/>
        <w:rPr>
          <w:b/>
          <w:bCs/>
          <w:szCs w:val="22"/>
          <w:lang w:val="es-ES_tradnl"/>
        </w:rPr>
      </w:pPr>
      <w:r w:rsidRPr="00AD1E8B">
        <w:rPr>
          <w:b/>
          <w:bCs/>
          <w:szCs w:val="22"/>
          <w:lang w:val="es-ES_tradnl"/>
        </w:rPr>
        <w:t>LA P.I. Y LA POLÍTICA DE COMPETENCIA</w:t>
      </w:r>
    </w:p>
    <w:p w:rsidR="009E7719" w:rsidRPr="00AD1E8B" w:rsidRDefault="009E7719" w:rsidP="009E7719">
      <w:pPr>
        <w:widowControl w:val="0"/>
        <w:tabs>
          <w:tab w:val="left" w:pos="795"/>
        </w:tabs>
        <w:rPr>
          <w:bCs/>
          <w:sz w:val="20"/>
          <w:lang w:val="es-ES_tradnl"/>
        </w:rPr>
      </w:pPr>
    </w:p>
    <w:p w:rsidR="009E7719" w:rsidRPr="00AD1E8B" w:rsidRDefault="009E7719" w:rsidP="009E7719">
      <w:pPr>
        <w:pStyle w:val="BodyTextIndent"/>
        <w:widowControl w:val="0"/>
        <w:ind w:left="1985" w:hanging="1985"/>
        <w:jc w:val="both"/>
        <w:rPr>
          <w:rFonts w:ascii="Arial" w:hAnsi="Arial" w:cs="Arial"/>
          <w:sz w:val="22"/>
          <w:szCs w:val="22"/>
          <w:lang w:val="es-ES_tradnl"/>
        </w:rPr>
      </w:pPr>
      <w:r w:rsidRPr="00AD1E8B">
        <w:rPr>
          <w:rFonts w:ascii="Arial" w:hAnsi="Arial" w:cs="Arial"/>
          <w:sz w:val="22"/>
          <w:szCs w:val="22"/>
          <w:lang w:val="es-ES_tradnl"/>
        </w:rPr>
        <w:t>CONTEXTO DE PLANIFICACIÓN</w:t>
      </w:r>
    </w:p>
    <w:p w:rsidR="009E7719" w:rsidRPr="00AD1E8B" w:rsidRDefault="009E7719" w:rsidP="009E7719">
      <w:pPr>
        <w:widowControl w:val="0"/>
        <w:rPr>
          <w:bCs/>
          <w:sz w:val="20"/>
          <w:lang w:val="es-ES_tradnl"/>
        </w:rPr>
      </w:pPr>
    </w:p>
    <w:p w:rsidR="009E7719" w:rsidRPr="00AD1E8B" w:rsidRDefault="009E7719" w:rsidP="00E17471">
      <w:pPr>
        <w:widowControl w:val="0"/>
        <w:numPr>
          <w:ilvl w:val="0"/>
          <w:numId w:val="12"/>
        </w:numPr>
        <w:jc w:val="both"/>
        <w:rPr>
          <w:bCs/>
          <w:i/>
          <w:sz w:val="20"/>
          <w:lang w:val="es-ES_tradnl"/>
        </w:rPr>
      </w:pPr>
      <w:r w:rsidRPr="00AD1E8B">
        <w:rPr>
          <w:sz w:val="20"/>
          <w:lang w:val="es-ES_tradnl"/>
        </w:rPr>
        <w:t>El programa 18 contempla asimismo otras dos áreas</w:t>
      </w:r>
      <w:proofErr w:type="gramStart"/>
      <w:r w:rsidRPr="00AD1E8B">
        <w:rPr>
          <w:sz w:val="20"/>
          <w:lang w:val="es-ES_tradnl"/>
        </w:rPr>
        <w:t>:  la</w:t>
      </w:r>
      <w:proofErr w:type="gramEnd"/>
      <w:r w:rsidRPr="00AD1E8B">
        <w:rPr>
          <w:sz w:val="20"/>
          <w:lang w:val="es-ES_tradnl"/>
        </w:rPr>
        <w:t xml:space="preserve"> primera es la interfaz entre la P.I. por un lado y la legislación en materia de competencia / antimonopolio por el otro lado.  La legislación en materia de competencia se considera cada vez más como un importante componente de un sistema de P.I. equilibrado.</w:t>
      </w:r>
    </w:p>
    <w:p w:rsidR="009E7719" w:rsidRPr="00AD1E8B" w:rsidRDefault="009E7719" w:rsidP="009E7719">
      <w:pPr>
        <w:widowControl w:val="0"/>
        <w:tabs>
          <w:tab w:val="num" w:pos="709"/>
        </w:tabs>
        <w:rPr>
          <w:bCs/>
          <w:sz w:val="20"/>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Las actividades de la OMPI en el ámbito de la P.I. y la legislación en materia de competencia se rigen por las </w:t>
      </w:r>
      <w:r>
        <w:rPr>
          <w:sz w:val="20"/>
          <w:lang w:val="es-ES_tradnl"/>
        </w:rPr>
        <w:t>r</w:t>
      </w:r>
      <w:r w:rsidRPr="00AD1E8B">
        <w:rPr>
          <w:sz w:val="20"/>
          <w:lang w:val="es-ES_tradnl"/>
        </w:rPr>
        <w:t xml:space="preserve">ecomendaciones 7, 23 y 32 de la A.D.  </w:t>
      </w:r>
      <w:r w:rsidR="00776E90">
        <w:rPr>
          <w:sz w:val="20"/>
          <w:lang w:val="es-ES_tradnl"/>
        </w:rPr>
        <w:t>L</w:t>
      </w:r>
      <w:r w:rsidRPr="00AD1E8B">
        <w:rPr>
          <w:sz w:val="20"/>
          <w:lang w:val="es-ES_tradnl"/>
        </w:rPr>
        <w:t>as actividades emprendidas en los últimos años serán mantenidas y ampliadas</w:t>
      </w:r>
      <w:r w:rsidR="00776E90">
        <w:rPr>
          <w:sz w:val="20"/>
          <w:lang w:val="es-ES_tradnl"/>
        </w:rPr>
        <w:t xml:space="preserve"> con la aprobación de los Estados miembros y por conducto de los mecanismos del PBC</w:t>
      </w:r>
      <w:r w:rsidRPr="00AD1E8B">
        <w:rPr>
          <w:sz w:val="20"/>
          <w:lang w:val="es-ES_tradnl"/>
        </w:rPr>
        <w:t xml:space="preserve">.  En particular y tratándose de países poco experimentados en el campo de la P.I. y la competencia, la OMPI continuará promoviendo la sensibilización y el intercambio de información difundiendo los resultados de los estudios elaborados hasta la fecha o durante el presente bienio. </w:t>
      </w:r>
    </w:p>
    <w:p w:rsidR="009E7719" w:rsidRPr="00AD1E8B" w:rsidRDefault="009E7719" w:rsidP="009E7719">
      <w:pPr>
        <w:widowControl w:val="0"/>
        <w:jc w:val="both"/>
        <w:rPr>
          <w:spacing w:val="8"/>
          <w:sz w:val="20"/>
          <w:lang w:val="es-ES_tradnl"/>
        </w:rPr>
      </w:pPr>
    </w:p>
    <w:p w:rsidR="009E7719" w:rsidRPr="00AD1E8B" w:rsidRDefault="009E7719" w:rsidP="00E17471">
      <w:pPr>
        <w:widowControl w:val="0"/>
        <w:numPr>
          <w:ilvl w:val="0"/>
          <w:numId w:val="12"/>
        </w:numPr>
        <w:jc w:val="both"/>
        <w:rPr>
          <w:bCs/>
          <w:sz w:val="20"/>
          <w:lang w:val="es-ES_tradnl"/>
        </w:rPr>
      </w:pPr>
      <w:r w:rsidRPr="00AD1E8B">
        <w:rPr>
          <w:sz w:val="20"/>
          <w:lang w:val="es-ES_tradnl"/>
        </w:rPr>
        <w:t xml:space="preserve">En el marco de la </w:t>
      </w:r>
      <w:r>
        <w:rPr>
          <w:sz w:val="20"/>
          <w:lang w:val="es-ES_tradnl"/>
        </w:rPr>
        <w:t>m</w:t>
      </w:r>
      <w:r w:rsidRPr="00AD1E8B">
        <w:rPr>
          <w:sz w:val="20"/>
          <w:lang w:val="es-ES_tradnl"/>
        </w:rPr>
        <w:t xml:space="preserve">eta </w:t>
      </w:r>
      <w:r>
        <w:rPr>
          <w:sz w:val="20"/>
          <w:lang w:val="es-ES_tradnl"/>
        </w:rPr>
        <w:t>e</w:t>
      </w:r>
      <w:r w:rsidRPr="00AD1E8B">
        <w:rPr>
          <w:sz w:val="20"/>
          <w:lang w:val="es-ES_tradnl"/>
        </w:rPr>
        <w:t xml:space="preserve">stratégica VII, la OMPI se esforzará por consolidar su posición como foro idóneo para la discusión de temas y el intercambio de experiencias pertinentes a la P.I. y la política de competencia.  Además, los trabajos realizados en el ámbito de la P.I. y la política de competencia presentan una clara conexión con la </w:t>
      </w:r>
      <w:r>
        <w:rPr>
          <w:sz w:val="20"/>
          <w:lang w:val="es-ES_tradnl"/>
        </w:rPr>
        <w:t>m</w:t>
      </w:r>
      <w:r w:rsidRPr="00AD1E8B">
        <w:rPr>
          <w:sz w:val="20"/>
          <w:lang w:val="es-ES_tradnl"/>
        </w:rPr>
        <w:t xml:space="preserve">eta </w:t>
      </w:r>
      <w:r>
        <w:rPr>
          <w:sz w:val="20"/>
          <w:lang w:val="es-ES_tradnl"/>
        </w:rPr>
        <w:t>e</w:t>
      </w:r>
      <w:r w:rsidRPr="00AD1E8B">
        <w:rPr>
          <w:sz w:val="20"/>
          <w:lang w:val="es-ES_tradnl"/>
        </w:rPr>
        <w:t xml:space="preserve">stratégica III a causa de la referencia específica contenida en las </w:t>
      </w:r>
      <w:r>
        <w:rPr>
          <w:sz w:val="20"/>
          <w:lang w:val="es-ES_tradnl"/>
        </w:rPr>
        <w:t>r</w:t>
      </w:r>
      <w:r w:rsidRPr="00AD1E8B">
        <w:rPr>
          <w:sz w:val="20"/>
          <w:lang w:val="es-ES_tradnl"/>
        </w:rPr>
        <w:t>ecomendaciones 7, 23 y 32 de la A.D.  Garantizar la libertad de mercado es un importante catalizador del desarrollo, y la P.I. es un elemento de peso en ese empeño.</w:t>
      </w:r>
      <w:r w:rsidRPr="00AD1E8B">
        <w:rPr>
          <w:spacing w:val="8"/>
          <w:sz w:val="20"/>
          <w:lang w:val="es-ES_tradnl"/>
        </w:rPr>
        <w:t xml:space="preserve">  </w:t>
      </w:r>
    </w:p>
    <w:p w:rsidR="009E7719" w:rsidRPr="00AD1E8B" w:rsidRDefault="009E7719" w:rsidP="009E7719">
      <w:pPr>
        <w:widowControl w:val="0"/>
        <w:jc w:val="both"/>
        <w:rPr>
          <w:bCs/>
          <w:sz w:val="20"/>
          <w:lang w:val="es-ES_tradnl"/>
        </w:rPr>
      </w:pPr>
    </w:p>
    <w:p w:rsidR="009E7719" w:rsidRPr="00AD1E8B" w:rsidRDefault="009E7719" w:rsidP="009E7719">
      <w:pPr>
        <w:widowControl w:val="0"/>
        <w:jc w:val="both"/>
        <w:rPr>
          <w:bCs/>
          <w:sz w:val="20"/>
          <w:lang w:val="es-ES_tradnl"/>
        </w:rPr>
      </w:pPr>
    </w:p>
    <w:p w:rsidR="009E7719" w:rsidRPr="00AD1E8B" w:rsidRDefault="009E7719" w:rsidP="009E7719">
      <w:pPr>
        <w:widowControl w:val="0"/>
        <w:jc w:val="both"/>
        <w:rPr>
          <w:bCs/>
          <w:szCs w:val="22"/>
          <w:lang w:val="es-ES_tradnl"/>
        </w:rPr>
      </w:pPr>
      <w:r w:rsidRPr="00AD1E8B">
        <w:rPr>
          <w:bCs/>
          <w:szCs w:val="22"/>
          <w:lang w:val="es-ES_tradnl"/>
        </w:rPr>
        <w:t>ESTRATEGIAS DE EJECUCIÓN</w:t>
      </w:r>
    </w:p>
    <w:p w:rsidR="009E7719" w:rsidRPr="00AD1E8B" w:rsidRDefault="009E7719" w:rsidP="009E7719">
      <w:pPr>
        <w:widowControl w:val="0"/>
        <w:jc w:val="both"/>
        <w:rPr>
          <w:bCs/>
          <w:sz w:val="20"/>
          <w:lang w:val="es-ES_tradnl"/>
        </w:rPr>
      </w:pPr>
    </w:p>
    <w:p w:rsidR="009E7719" w:rsidRPr="00AD1E8B" w:rsidRDefault="009E7719" w:rsidP="00E17471">
      <w:pPr>
        <w:widowControl w:val="0"/>
        <w:numPr>
          <w:ilvl w:val="0"/>
          <w:numId w:val="12"/>
        </w:numPr>
        <w:jc w:val="both"/>
        <w:rPr>
          <w:sz w:val="20"/>
          <w:lang w:val="es-ES_tradnl"/>
        </w:rPr>
      </w:pPr>
      <w:r w:rsidRPr="00AD1E8B">
        <w:rPr>
          <w:sz w:val="20"/>
          <w:lang w:val="es-ES_tradnl"/>
        </w:rPr>
        <w:t xml:space="preserve">Algunas actividades, concretamente las referentes al intercambio de experiencias y la asistencia a los Estados miembros en lo tocante a la interacción entre la P.I. y la política de competencia (mediante estudios y encuestas), se continuarán en 2014/15.  El principal objetivo es recopilar y difundir información en torno a los asuntos de competencia en los que interviene la P.I., así como sensibilizar al público acerca de la interfaz entre la P.I. y la política de competencia entre los Estados </w:t>
      </w:r>
      <w:r>
        <w:rPr>
          <w:sz w:val="20"/>
          <w:lang w:val="es-ES_tradnl"/>
        </w:rPr>
        <w:t>mi</w:t>
      </w:r>
      <w:r w:rsidRPr="00AD1E8B">
        <w:rPr>
          <w:sz w:val="20"/>
          <w:lang w:val="es-ES_tradnl"/>
        </w:rPr>
        <w:t xml:space="preserve">embros, con especial énfasis sobre las economías incipientes.  Esto concuerda con las </w:t>
      </w:r>
      <w:r>
        <w:rPr>
          <w:sz w:val="20"/>
          <w:lang w:val="es-ES_tradnl"/>
        </w:rPr>
        <w:t>r</w:t>
      </w:r>
      <w:r w:rsidRPr="00AD1E8B">
        <w:rPr>
          <w:sz w:val="20"/>
          <w:lang w:val="es-ES_tradnl"/>
        </w:rPr>
        <w:t>ecomendaciones 7, 23 y 32 de la A.D.  También se dedicará la debida atención a la interfaz entre la P.I. y la política de competencia en relación con la transferencia de tecnología en determinadas industrias y países.</w:t>
      </w:r>
    </w:p>
    <w:p w:rsidR="009E7719" w:rsidRPr="00AD1E8B" w:rsidRDefault="009E7719" w:rsidP="009E7719">
      <w:pPr>
        <w:widowControl w:val="0"/>
        <w:jc w:val="both"/>
        <w:rPr>
          <w:bCs/>
          <w:sz w:val="20"/>
          <w:lang w:val="es-ES_tradnl"/>
        </w:rPr>
      </w:pPr>
    </w:p>
    <w:p w:rsidR="009E7719" w:rsidRPr="00AD1E8B" w:rsidRDefault="009E7719" w:rsidP="009E7719">
      <w:pPr>
        <w:widowControl w:val="0"/>
        <w:jc w:val="both"/>
        <w:rPr>
          <w:bCs/>
          <w:sz w:val="20"/>
          <w:lang w:val="es-ES_tradnl"/>
        </w:rPr>
      </w:pPr>
    </w:p>
    <w:p w:rsidR="00573458" w:rsidRPr="00C75C7E" w:rsidRDefault="00573458" w:rsidP="00542C2B">
      <w:pPr>
        <w:keepNext/>
        <w:widowControl w:val="0"/>
        <w:jc w:val="both"/>
        <w:rPr>
          <w:bCs/>
          <w:szCs w:val="22"/>
          <w:lang w:val="es-ES_tradnl"/>
        </w:rPr>
      </w:pPr>
      <w:r w:rsidRPr="00C75C7E">
        <w:rPr>
          <w:bCs/>
          <w:szCs w:val="22"/>
          <w:lang w:val="es-ES_tradnl"/>
        </w:rPr>
        <w:lastRenderedPageBreak/>
        <w:t>PRINCIPALES RIESGOS Y ESTRATEGIAS DE MITIGACIÓN</w:t>
      </w:r>
    </w:p>
    <w:p w:rsidR="00573458" w:rsidRPr="00C75C7E" w:rsidRDefault="00573458" w:rsidP="00542C2B">
      <w:pPr>
        <w:keepNext/>
        <w:widowControl w:val="0"/>
        <w:jc w:val="both"/>
        <w:rPr>
          <w:bCs/>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6"/>
        <w:gridCol w:w="4677"/>
      </w:tblGrid>
      <w:tr w:rsidR="00573458" w:rsidRPr="00C75C7E" w:rsidTr="00542C2B">
        <w:trPr>
          <w:trHeight w:val="645"/>
        </w:trPr>
        <w:tc>
          <w:tcPr>
            <w:tcW w:w="4536" w:type="dxa"/>
            <w:tcBorders>
              <w:top w:val="single" w:sz="4" w:space="0" w:color="auto"/>
              <w:bottom w:val="single" w:sz="4" w:space="0" w:color="auto"/>
            </w:tcBorders>
            <w:shd w:val="clear" w:color="auto" w:fill="CCFFFF"/>
            <w:vAlign w:val="center"/>
          </w:tcPr>
          <w:p w:rsidR="00573458" w:rsidRPr="00C75C7E" w:rsidRDefault="00573458" w:rsidP="00542C2B">
            <w:pPr>
              <w:keepNext/>
              <w:widowControl w:val="0"/>
              <w:ind w:right="-108"/>
              <w:jc w:val="center"/>
              <w:rPr>
                <w:b/>
                <w:iCs/>
                <w:sz w:val="18"/>
                <w:szCs w:val="18"/>
                <w:lang w:val="es-ES_tradnl"/>
              </w:rPr>
            </w:pPr>
            <w:r w:rsidRPr="00C75C7E">
              <w:rPr>
                <w:b/>
                <w:bCs/>
                <w:iCs/>
                <w:sz w:val="18"/>
                <w:szCs w:val="18"/>
                <w:lang w:val="es-ES_tradnl"/>
              </w:rPr>
              <w:t>Riesgos en el logro de los resultados del programa</w:t>
            </w:r>
          </w:p>
        </w:tc>
        <w:tc>
          <w:tcPr>
            <w:tcW w:w="4677" w:type="dxa"/>
            <w:tcBorders>
              <w:top w:val="single" w:sz="4" w:space="0" w:color="auto"/>
              <w:bottom w:val="single" w:sz="4" w:space="0" w:color="auto"/>
            </w:tcBorders>
            <w:shd w:val="clear" w:color="auto" w:fill="CCFFFF"/>
            <w:vAlign w:val="center"/>
          </w:tcPr>
          <w:p w:rsidR="00573458" w:rsidRPr="00C75C7E" w:rsidRDefault="00573458" w:rsidP="00542C2B">
            <w:pPr>
              <w:keepNext/>
              <w:widowControl w:val="0"/>
              <w:jc w:val="center"/>
              <w:rPr>
                <w:b/>
                <w:bCs/>
                <w:iCs/>
                <w:sz w:val="18"/>
                <w:szCs w:val="18"/>
                <w:lang w:val="es-ES_tradnl"/>
              </w:rPr>
            </w:pPr>
            <w:r w:rsidRPr="00C75C7E">
              <w:rPr>
                <w:b/>
                <w:bCs/>
                <w:iCs/>
                <w:sz w:val="18"/>
                <w:szCs w:val="18"/>
                <w:lang w:val="es-ES_tradnl"/>
              </w:rPr>
              <w:t>Planes de mitigación ejecutados o en ejecución</w:t>
            </w:r>
          </w:p>
        </w:tc>
      </w:tr>
      <w:tr w:rsidR="00573458" w:rsidRPr="00C75C7E" w:rsidTr="00542C2B">
        <w:tc>
          <w:tcPr>
            <w:tcW w:w="4536" w:type="dxa"/>
            <w:tcBorders>
              <w:top w:val="single" w:sz="4" w:space="0" w:color="auto"/>
            </w:tcBorders>
            <w:shd w:val="clear" w:color="auto" w:fill="auto"/>
            <w:tcMar>
              <w:top w:w="113" w:type="dxa"/>
              <w:bottom w:w="85" w:type="dxa"/>
            </w:tcMar>
          </w:tcPr>
          <w:p w:rsidR="00573458" w:rsidRPr="00C75C7E" w:rsidRDefault="00573458" w:rsidP="008F4F69">
            <w:pPr>
              <w:widowControl w:val="0"/>
              <w:jc w:val="both"/>
              <w:rPr>
                <w:sz w:val="16"/>
                <w:szCs w:val="16"/>
                <w:lang w:val="es-ES_tradnl"/>
              </w:rPr>
            </w:pPr>
            <w:r w:rsidRPr="00C75C7E">
              <w:rPr>
                <w:sz w:val="16"/>
                <w:szCs w:val="16"/>
                <w:lang w:val="es-ES_tradnl"/>
              </w:rPr>
              <w:t>El grado de participación de los organismos nacionales en la labor de la OMPI en materia de P.I. y competencia es menor del previsto.</w:t>
            </w:r>
          </w:p>
        </w:tc>
        <w:tc>
          <w:tcPr>
            <w:tcW w:w="4677" w:type="dxa"/>
            <w:tcBorders>
              <w:top w:val="single" w:sz="4" w:space="0" w:color="auto"/>
            </w:tcBorders>
            <w:shd w:val="clear" w:color="auto" w:fill="auto"/>
            <w:tcMar>
              <w:top w:w="113" w:type="dxa"/>
              <w:bottom w:w="85" w:type="dxa"/>
            </w:tcMar>
          </w:tcPr>
          <w:p w:rsidR="00573458" w:rsidRPr="00C75C7E" w:rsidRDefault="00573458" w:rsidP="008F4F69">
            <w:pPr>
              <w:widowControl w:val="0"/>
              <w:jc w:val="both"/>
              <w:rPr>
                <w:sz w:val="16"/>
                <w:szCs w:val="16"/>
                <w:lang w:val="es-ES_tradnl"/>
              </w:rPr>
            </w:pPr>
            <w:r w:rsidRPr="00C75C7E">
              <w:rPr>
                <w:sz w:val="16"/>
                <w:szCs w:val="16"/>
                <w:lang w:val="es-ES_tradnl"/>
              </w:rPr>
              <w:t xml:space="preserve">Fortalecimiento de la sensibilización sistemática de los Estados miembros, difusión de ejemplos de cooperación fructífera entre las autoridades de P.I. y las encargadas de la competencia, y entre las organizaciones intergubernamentales y las ONG. </w:t>
            </w:r>
          </w:p>
        </w:tc>
      </w:tr>
    </w:tbl>
    <w:p w:rsidR="00573458" w:rsidRPr="00C75C7E" w:rsidRDefault="00573458" w:rsidP="00573458">
      <w:pPr>
        <w:widowControl w:val="0"/>
        <w:jc w:val="both"/>
        <w:rPr>
          <w:bCs/>
          <w:sz w:val="20"/>
          <w:lang w:val="es-ES_tradnl"/>
        </w:rPr>
      </w:pPr>
    </w:p>
    <w:p w:rsidR="00573458" w:rsidRPr="00C75C7E" w:rsidRDefault="00573458" w:rsidP="00573458">
      <w:pPr>
        <w:widowControl w:val="0"/>
        <w:jc w:val="both"/>
        <w:rPr>
          <w:bCs/>
          <w:sz w:val="20"/>
          <w:lang w:val="es-ES_tradnl"/>
        </w:rPr>
      </w:pPr>
    </w:p>
    <w:p w:rsidR="00573458" w:rsidRPr="00C75C7E" w:rsidRDefault="00573458" w:rsidP="00573458">
      <w:pPr>
        <w:widowControl w:val="0"/>
        <w:tabs>
          <w:tab w:val="left" w:pos="567"/>
          <w:tab w:val="left" w:pos="1985"/>
        </w:tabs>
        <w:jc w:val="both"/>
        <w:rPr>
          <w:bCs/>
          <w:sz w:val="20"/>
          <w:lang w:val="es-ES_tradnl"/>
        </w:rPr>
      </w:pPr>
      <w:r w:rsidRPr="00C75C7E">
        <w:rPr>
          <w:bCs/>
          <w:szCs w:val="22"/>
          <w:lang w:val="es-ES_tradnl"/>
        </w:rPr>
        <w:t>MARCO DE RESULTADOS</w:t>
      </w:r>
    </w:p>
    <w:p w:rsidR="00573458" w:rsidRPr="00C75C7E" w:rsidRDefault="00573458" w:rsidP="00573458">
      <w:pPr>
        <w:widowControl w:val="0"/>
        <w:tabs>
          <w:tab w:val="left" w:pos="567"/>
          <w:tab w:val="left" w:pos="1985"/>
        </w:tabs>
        <w:jc w:val="both"/>
        <w:rPr>
          <w:bCs/>
          <w:sz w:val="20"/>
          <w:lang w:val="es-ES_tradnl"/>
        </w:rPr>
      </w:pPr>
    </w:p>
    <w:tbl>
      <w:tblPr>
        <w:tblW w:w="48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50"/>
        <w:gridCol w:w="2471"/>
        <w:gridCol w:w="2177"/>
        <w:gridCol w:w="2217"/>
      </w:tblGrid>
      <w:tr w:rsidR="00573458" w:rsidRPr="00C75C7E" w:rsidTr="00A40666">
        <w:trPr>
          <w:cantSplit/>
          <w:trHeight w:val="496"/>
          <w:tblHeader/>
        </w:trPr>
        <w:tc>
          <w:tcPr>
            <w:tcW w:w="1275" w:type="pct"/>
            <w:tcBorders>
              <w:top w:val="single" w:sz="4" w:space="0" w:color="auto"/>
              <w:bottom w:val="single" w:sz="4" w:space="0" w:color="auto"/>
            </w:tcBorders>
            <w:shd w:val="clear" w:color="auto" w:fill="CCFFFF"/>
            <w:tcMar>
              <w:top w:w="113" w:type="dxa"/>
            </w:tcMar>
            <w:vAlign w:val="center"/>
          </w:tcPr>
          <w:p w:rsidR="00573458" w:rsidRPr="00C75C7E" w:rsidRDefault="00573458" w:rsidP="008F4F69">
            <w:pPr>
              <w:widowControl w:val="0"/>
              <w:spacing w:after="120"/>
              <w:jc w:val="center"/>
              <w:rPr>
                <w:b/>
                <w:bCs/>
                <w:sz w:val="18"/>
                <w:szCs w:val="18"/>
                <w:lang w:val="es-ES_tradnl"/>
              </w:rPr>
            </w:pPr>
            <w:r w:rsidRPr="00C75C7E">
              <w:rPr>
                <w:b/>
                <w:bCs/>
                <w:sz w:val="18"/>
                <w:szCs w:val="18"/>
                <w:lang w:val="es-ES_tradnl"/>
              </w:rPr>
              <w:t>Resultados previstos</w:t>
            </w:r>
          </w:p>
        </w:tc>
        <w:tc>
          <w:tcPr>
            <w:tcW w:w="1341" w:type="pct"/>
            <w:tcBorders>
              <w:top w:val="single" w:sz="4" w:space="0" w:color="auto"/>
              <w:bottom w:val="single" w:sz="4" w:space="0" w:color="auto"/>
            </w:tcBorders>
            <w:shd w:val="clear" w:color="auto" w:fill="CCFFFF"/>
            <w:tcMar>
              <w:top w:w="113" w:type="dxa"/>
            </w:tcMar>
            <w:vAlign w:val="center"/>
          </w:tcPr>
          <w:p w:rsidR="00573458" w:rsidRPr="00C75C7E" w:rsidRDefault="00573458" w:rsidP="008F4F69">
            <w:pPr>
              <w:widowControl w:val="0"/>
              <w:spacing w:after="120"/>
              <w:jc w:val="center"/>
              <w:rPr>
                <w:b/>
                <w:sz w:val="18"/>
                <w:szCs w:val="18"/>
                <w:lang w:val="es-ES_tradnl"/>
              </w:rPr>
            </w:pPr>
            <w:r w:rsidRPr="00C75C7E">
              <w:rPr>
                <w:b/>
                <w:sz w:val="18"/>
                <w:szCs w:val="18"/>
                <w:lang w:val="es-ES_tradnl"/>
              </w:rPr>
              <w:t>Indicadores de rendimiento</w:t>
            </w:r>
          </w:p>
        </w:tc>
        <w:tc>
          <w:tcPr>
            <w:tcW w:w="1181" w:type="pct"/>
            <w:tcBorders>
              <w:top w:val="single" w:sz="4" w:space="0" w:color="auto"/>
              <w:bottom w:val="single" w:sz="4" w:space="0" w:color="auto"/>
            </w:tcBorders>
            <w:shd w:val="clear" w:color="auto" w:fill="CCFFFF"/>
            <w:tcMar>
              <w:top w:w="113" w:type="dxa"/>
            </w:tcMar>
            <w:vAlign w:val="center"/>
          </w:tcPr>
          <w:p w:rsidR="00573458" w:rsidRPr="00C75C7E" w:rsidRDefault="00573458" w:rsidP="008F4F69">
            <w:pPr>
              <w:widowControl w:val="0"/>
              <w:spacing w:after="120"/>
              <w:ind w:left="85"/>
              <w:jc w:val="center"/>
              <w:rPr>
                <w:sz w:val="18"/>
                <w:szCs w:val="18"/>
                <w:lang w:val="es-ES_tradnl"/>
              </w:rPr>
            </w:pPr>
            <w:r w:rsidRPr="00C75C7E">
              <w:rPr>
                <w:b/>
                <w:bCs/>
                <w:sz w:val="18"/>
                <w:szCs w:val="18"/>
                <w:lang w:val="es-ES_tradnl"/>
              </w:rPr>
              <w:t>Referencia</w:t>
            </w:r>
          </w:p>
        </w:tc>
        <w:tc>
          <w:tcPr>
            <w:tcW w:w="1203" w:type="pct"/>
            <w:tcBorders>
              <w:top w:val="single" w:sz="4" w:space="0" w:color="auto"/>
              <w:bottom w:val="single" w:sz="4" w:space="0" w:color="auto"/>
            </w:tcBorders>
            <w:shd w:val="clear" w:color="auto" w:fill="CCFFFF"/>
            <w:tcMar>
              <w:top w:w="113" w:type="dxa"/>
            </w:tcMar>
            <w:vAlign w:val="center"/>
          </w:tcPr>
          <w:p w:rsidR="00573458" w:rsidRPr="00C75C7E" w:rsidRDefault="00573458" w:rsidP="008F4F69">
            <w:pPr>
              <w:widowControl w:val="0"/>
              <w:spacing w:after="120"/>
              <w:ind w:right="271"/>
              <w:jc w:val="center"/>
              <w:rPr>
                <w:b/>
                <w:bCs/>
                <w:sz w:val="18"/>
                <w:szCs w:val="18"/>
                <w:lang w:val="es-ES_tradnl"/>
              </w:rPr>
            </w:pPr>
            <w:r w:rsidRPr="00C75C7E">
              <w:rPr>
                <w:b/>
                <w:bCs/>
                <w:sz w:val="18"/>
                <w:szCs w:val="18"/>
                <w:lang w:val="es-ES_tradnl"/>
              </w:rPr>
              <w:t>Objetivos</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III.2 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Número de acuerdos de acogida de científicos de países en desarrollo.</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5</w:t>
            </w:r>
          </w:p>
        </w:tc>
        <w:tc>
          <w:tcPr>
            <w:tcW w:w="1203" w:type="pct"/>
            <w:shd w:val="clear" w:color="auto" w:fill="auto"/>
            <w:tcMar>
              <w:top w:w="113" w:type="dxa"/>
            </w:tcMar>
          </w:tcPr>
          <w:p w:rsidR="00573458" w:rsidRPr="00C75C7E" w:rsidDel="00500D44" w:rsidRDefault="00573458" w:rsidP="008F4F69">
            <w:pPr>
              <w:widowControl w:val="0"/>
              <w:ind w:right="161"/>
              <w:rPr>
                <w:bCs/>
                <w:sz w:val="16"/>
                <w:szCs w:val="16"/>
                <w:lang w:val="es-ES_tradnl"/>
              </w:rPr>
            </w:pPr>
            <w:r w:rsidRPr="00C75C7E">
              <w:rPr>
                <w:bCs/>
                <w:sz w:val="16"/>
                <w:szCs w:val="16"/>
                <w:lang w:val="es-ES_tradnl"/>
              </w:rPr>
              <w:t>4</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tabs>
                <w:tab w:val="right" w:pos="2835"/>
              </w:tabs>
              <w:spacing w:after="60"/>
              <w:rPr>
                <w:sz w:val="16"/>
                <w:szCs w:val="16"/>
                <w:lang w:val="es-ES_tradnl"/>
              </w:rPr>
            </w:pPr>
            <w:r w:rsidRPr="00C75C7E">
              <w:rPr>
                <w:sz w:val="16"/>
                <w:szCs w:val="16"/>
                <w:lang w:val="es-ES_tradnl"/>
              </w:rPr>
              <w:t xml:space="preserve">IV.2. Mejora del acceso y uso de información y conocimientos de P.I. por parte de instituciones de P.I. y el público para fomentar la innovación y la creatividad. </w:t>
            </w: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 xml:space="preserve">Número de países que han verificado los datos e incluido medicamentos esenciales nacionales en </w:t>
            </w:r>
            <w:r w:rsidRPr="00C75C7E">
              <w:rPr>
                <w:i/>
                <w:sz w:val="16"/>
                <w:szCs w:val="16"/>
                <w:lang w:val="es-ES_tradnl"/>
              </w:rPr>
              <w:t xml:space="preserve">WIPO </w:t>
            </w:r>
            <w:proofErr w:type="spellStart"/>
            <w:r w:rsidRPr="00C75C7E">
              <w:rPr>
                <w:i/>
                <w:sz w:val="16"/>
                <w:szCs w:val="16"/>
                <w:lang w:val="es-ES_tradnl"/>
              </w:rPr>
              <w:t>Essential</w:t>
            </w:r>
            <w:proofErr w:type="spellEnd"/>
            <w:r w:rsidRPr="00C75C7E">
              <w:rPr>
                <w:i/>
                <w:sz w:val="16"/>
                <w:szCs w:val="16"/>
                <w:lang w:val="es-ES_tradnl"/>
              </w:rPr>
              <w:t>.</w:t>
            </w:r>
            <w:r w:rsidRPr="00C75C7E">
              <w:rPr>
                <w:sz w:val="16"/>
                <w:szCs w:val="16"/>
                <w:lang w:val="es-ES_tradnl"/>
              </w:rPr>
              <w:t xml:space="preserve"> </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0 (cero).</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1 país por región (África, Asia</w:t>
            </w:r>
            <w:r w:rsidRPr="00C42F2A">
              <w:rPr>
                <w:bCs/>
                <w:sz w:val="16"/>
                <w:szCs w:val="16"/>
                <w:lang w:val="es-ES_tradnl"/>
              </w:rPr>
              <w:t>, América Latina y el Caribe)</w:t>
            </w:r>
            <w:r w:rsidRPr="00C75C7E">
              <w:rPr>
                <w:bCs/>
                <w:sz w:val="16"/>
                <w:szCs w:val="16"/>
                <w:lang w:val="es-ES_tradnl"/>
              </w:rPr>
              <w:t xml:space="preserve">. </w:t>
            </w:r>
          </w:p>
        </w:tc>
      </w:tr>
      <w:tr w:rsidR="00573458" w:rsidRPr="00C75C7E" w:rsidTr="00A40666">
        <w:trPr>
          <w:cantSplit/>
          <w:trHeight w:val="608"/>
        </w:trPr>
        <w:tc>
          <w:tcPr>
            <w:tcW w:w="1275" w:type="pct"/>
            <w:shd w:val="clear" w:color="auto" w:fill="auto"/>
            <w:tcMar>
              <w:top w:w="113" w:type="dxa"/>
            </w:tcMar>
          </w:tcPr>
          <w:p w:rsidR="00573458" w:rsidRPr="00C75C7E" w:rsidRDefault="00A40666" w:rsidP="008F4F69">
            <w:pPr>
              <w:widowControl w:val="0"/>
              <w:tabs>
                <w:tab w:val="right" w:pos="2835"/>
              </w:tabs>
              <w:spacing w:after="60"/>
              <w:rPr>
                <w:sz w:val="16"/>
                <w:szCs w:val="16"/>
                <w:lang w:val="es-ES_tradnl"/>
              </w:rPr>
            </w:pPr>
            <w:r>
              <w:rPr>
                <w:sz w:val="16"/>
                <w:szCs w:val="16"/>
                <w:lang w:val="es-ES_tradnl"/>
              </w:rPr>
              <w:t xml:space="preserve">VII.2 </w:t>
            </w:r>
            <w:r w:rsidRPr="00C75C7E">
              <w:rPr>
                <w:sz w:val="16"/>
                <w:szCs w:val="16"/>
                <w:lang w:val="es-ES_tradnl"/>
              </w:rPr>
              <w:t xml:space="preserve"> </w:t>
            </w:r>
            <w:r w:rsidRPr="00033E8A">
              <w:rPr>
                <w:sz w:val="16"/>
                <w:szCs w:val="16"/>
                <w:lang w:val="es-ES_tradnl"/>
              </w:rPr>
              <w:t>Plataformas y herramientas de P.I. utilizadas para la transferencia de conocimiento y la difusión y adaptación de tecnología de los países desarrollados en los países en desarrollo, en particular en los menos adelantados, con el fin de atender los desafíos mundiales</w:t>
            </w:r>
            <w:r>
              <w:rPr>
                <w:sz w:val="16"/>
                <w:szCs w:val="16"/>
                <w:lang w:val="es-ES_tradnl"/>
              </w:rPr>
              <w:t>.</w:t>
            </w: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 xml:space="preserve">Aumento del número de miembros de WIPO </w:t>
            </w:r>
            <w:proofErr w:type="spellStart"/>
            <w:r w:rsidRPr="00C75C7E">
              <w:rPr>
                <w:sz w:val="16"/>
                <w:szCs w:val="16"/>
                <w:lang w:val="es-ES_tradnl"/>
              </w:rPr>
              <w:t>Re</w:t>
            </w:r>
            <w:proofErr w:type="gramStart"/>
            <w:r w:rsidRPr="00C75C7E">
              <w:rPr>
                <w:sz w:val="16"/>
                <w:szCs w:val="16"/>
                <w:lang w:val="es-ES_tradnl"/>
              </w:rPr>
              <w:t>:Search</w:t>
            </w:r>
            <w:proofErr w:type="spellEnd"/>
            <w:proofErr w:type="gramEnd"/>
            <w:r w:rsidRPr="00C75C7E">
              <w:rPr>
                <w:sz w:val="16"/>
                <w:szCs w:val="16"/>
                <w:lang w:val="es-ES_tradnl"/>
              </w:rPr>
              <w:t xml:space="preserve">, incluidos los procedentes de países en desarrollo y PMA. </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67 miembros; 16 de países en desarrollo.</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15 (de los que al menos 5 proceden de países en desarrollo y PMA).</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tabs>
                <w:tab w:val="right" w:pos="2835"/>
              </w:tabs>
              <w:spacing w:after="60"/>
              <w:rPr>
                <w:sz w:val="16"/>
                <w:szCs w:val="16"/>
                <w:lang w:val="es-ES_tradnl"/>
              </w:rPr>
            </w:pP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 xml:space="preserve">Aumento de las contribuciones a la base de datos de WIPO </w:t>
            </w:r>
            <w:proofErr w:type="spellStart"/>
            <w:r w:rsidRPr="00C75C7E">
              <w:rPr>
                <w:sz w:val="16"/>
                <w:szCs w:val="16"/>
                <w:lang w:val="es-ES_tradnl"/>
              </w:rPr>
              <w:t>Re</w:t>
            </w:r>
            <w:proofErr w:type="gramStart"/>
            <w:r w:rsidRPr="00C75C7E">
              <w:rPr>
                <w:sz w:val="16"/>
                <w:szCs w:val="16"/>
                <w:lang w:val="es-ES_tradnl"/>
              </w:rPr>
              <w:t>:Search</w:t>
            </w:r>
            <w:proofErr w:type="spellEnd"/>
            <w:proofErr w:type="gramEnd"/>
            <w:r w:rsidRPr="00C75C7E">
              <w:rPr>
                <w:sz w:val="16"/>
                <w:szCs w:val="16"/>
                <w:lang w:val="es-ES_tradnl"/>
              </w:rPr>
              <w:t xml:space="preserve">. </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200</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50%</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tabs>
                <w:tab w:val="right" w:pos="2835"/>
              </w:tabs>
              <w:spacing w:after="60"/>
              <w:rPr>
                <w:sz w:val="16"/>
                <w:szCs w:val="16"/>
                <w:lang w:val="es-ES_tradnl"/>
              </w:rPr>
            </w:pP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 xml:space="preserve">Aumento del número de acuerdos suscritos en el marco de WIPO </w:t>
            </w:r>
            <w:proofErr w:type="spellStart"/>
            <w:r w:rsidRPr="00C75C7E">
              <w:rPr>
                <w:sz w:val="16"/>
                <w:szCs w:val="16"/>
                <w:lang w:val="es-ES_tradnl"/>
              </w:rPr>
              <w:t>Re</w:t>
            </w:r>
            <w:proofErr w:type="gramStart"/>
            <w:r w:rsidRPr="00C75C7E">
              <w:rPr>
                <w:sz w:val="16"/>
                <w:szCs w:val="16"/>
                <w:lang w:val="es-ES_tradnl"/>
              </w:rPr>
              <w:t>:Search</w:t>
            </w:r>
            <w:proofErr w:type="spellEnd"/>
            <w:proofErr w:type="gramEnd"/>
            <w:r w:rsidR="00A40666">
              <w:rPr>
                <w:sz w:val="16"/>
                <w:szCs w:val="16"/>
                <w:lang w:val="es-ES_tradnl"/>
              </w:rPr>
              <w:t xml:space="preserve"> que conducen a nuevas actividades de I+D, o a un aceleramiento de las mismas, en enfermedades tropicales desatendidas, paludismo y tuberculosis</w:t>
            </w:r>
            <w:r w:rsidRPr="00C75C7E">
              <w:rPr>
                <w:sz w:val="16"/>
                <w:szCs w:val="16"/>
                <w:lang w:val="es-ES_tradnl"/>
              </w:rPr>
              <w:t>.</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16</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20</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tabs>
                <w:tab w:val="right" w:pos="2835"/>
              </w:tabs>
              <w:spacing w:after="60"/>
              <w:rPr>
                <w:sz w:val="16"/>
                <w:szCs w:val="16"/>
                <w:lang w:val="es-ES_tradnl"/>
              </w:rPr>
            </w:pP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 xml:space="preserve">Número de miembros de WIPO GREEN. </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1 asociado;  48 aportaciones.</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10 nuevos asociados;  400 aportaciones.</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tabs>
                <w:tab w:val="right" w:pos="2835"/>
              </w:tabs>
              <w:spacing w:after="60"/>
              <w:rPr>
                <w:sz w:val="16"/>
                <w:szCs w:val="16"/>
                <w:lang w:val="es-ES_tradnl"/>
              </w:rPr>
            </w:pP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Número de vínculos establecidos entre WIPO GREEN y los mecanismos pertinentes, como los centros y redes de tecnología del clima (CMNUCC) y los centros de innovación climática (</w:t>
            </w:r>
            <w:proofErr w:type="spellStart"/>
            <w:r w:rsidRPr="00C75C7E">
              <w:rPr>
                <w:sz w:val="16"/>
                <w:szCs w:val="16"/>
                <w:lang w:val="es-ES_tradnl"/>
              </w:rPr>
              <w:t>infoDev</w:t>
            </w:r>
            <w:proofErr w:type="spellEnd"/>
            <w:r w:rsidRPr="00C75C7E">
              <w:rPr>
                <w:sz w:val="16"/>
                <w:szCs w:val="16"/>
                <w:lang w:val="es-ES_tradnl"/>
              </w:rPr>
              <w:t>).</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0 (cero).</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3</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tabs>
                <w:tab w:val="right" w:pos="2835"/>
              </w:tabs>
              <w:spacing w:after="60"/>
              <w:rPr>
                <w:sz w:val="16"/>
                <w:szCs w:val="16"/>
                <w:lang w:val="es-ES_tradnl"/>
              </w:rPr>
            </w:pP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Número de acuerdos cata</w:t>
            </w:r>
            <w:r w:rsidR="004E6B21">
              <w:rPr>
                <w:sz w:val="16"/>
                <w:szCs w:val="16"/>
                <w:lang w:val="es-ES_tradnl"/>
              </w:rPr>
              <w:t>lizados por medio de WIPO GREEN que facilitan la transferencia de conocimiento así como la adaptación, transferencia o difusión de tecnología.</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0 (cero).</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250</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tabs>
                <w:tab w:val="right" w:pos="2835"/>
              </w:tabs>
              <w:spacing w:after="60"/>
              <w:rPr>
                <w:sz w:val="16"/>
                <w:szCs w:val="16"/>
                <w:lang w:val="es-ES_tradnl"/>
              </w:rPr>
            </w:pP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sz w:val="16"/>
                <w:szCs w:val="16"/>
                <w:lang w:val="es-ES_tradnl"/>
              </w:rPr>
              <w:t>Número de visitas de la sección de desafíos mundiales del sitio web de la OMPI.</w:t>
            </w:r>
          </w:p>
        </w:tc>
        <w:tc>
          <w:tcPr>
            <w:tcW w:w="1181" w:type="pct"/>
            <w:shd w:val="clear" w:color="auto" w:fill="FFFFFF"/>
            <w:tcMar>
              <w:top w:w="113" w:type="dxa"/>
            </w:tcMar>
          </w:tcPr>
          <w:p w:rsidR="00573458" w:rsidRPr="00C75C7E" w:rsidRDefault="005C037B" w:rsidP="008F4F69">
            <w:pPr>
              <w:widowControl w:val="0"/>
              <w:rPr>
                <w:sz w:val="16"/>
                <w:szCs w:val="16"/>
                <w:lang w:val="es-ES_tradnl" w:bidi="th-TH"/>
              </w:rPr>
            </w:pPr>
            <w:proofErr w:type="spellStart"/>
            <w:r>
              <w:rPr>
                <w:sz w:val="16"/>
                <w:szCs w:val="16"/>
                <w:lang w:val="es-ES_tradnl" w:bidi="th-TH"/>
              </w:rPr>
              <w:t>N.d</w:t>
            </w:r>
            <w:proofErr w:type="spellEnd"/>
            <w:r>
              <w:rPr>
                <w:sz w:val="16"/>
                <w:szCs w:val="16"/>
                <w:lang w:val="es-ES_tradnl" w:bidi="th-TH"/>
              </w:rPr>
              <w:t>.</w:t>
            </w:r>
          </w:p>
        </w:tc>
        <w:tc>
          <w:tcPr>
            <w:tcW w:w="1203" w:type="pct"/>
            <w:shd w:val="clear" w:color="auto" w:fill="auto"/>
            <w:tcMar>
              <w:top w:w="113" w:type="dxa"/>
            </w:tcMar>
          </w:tcPr>
          <w:p w:rsidR="00573458" w:rsidRPr="00C75C7E" w:rsidRDefault="00A40666" w:rsidP="00A40666">
            <w:pPr>
              <w:widowControl w:val="0"/>
              <w:ind w:right="161"/>
              <w:rPr>
                <w:bCs/>
                <w:sz w:val="16"/>
                <w:szCs w:val="16"/>
                <w:lang w:val="es-ES_tradnl"/>
              </w:rPr>
            </w:pPr>
            <w:r>
              <w:rPr>
                <w:bCs/>
                <w:sz w:val="16"/>
                <w:szCs w:val="16"/>
                <w:lang w:val="es-ES_tradnl"/>
              </w:rPr>
              <w:t>50% de a</w:t>
            </w:r>
            <w:r w:rsidR="00573458" w:rsidRPr="00C75C7E">
              <w:rPr>
                <w:bCs/>
                <w:sz w:val="16"/>
                <w:szCs w:val="16"/>
                <w:lang w:val="es-ES_tradnl"/>
              </w:rPr>
              <w:t>umento</w:t>
            </w:r>
          </w:p>
        </w:tc>
      </w:tr>
      <w:tr w:rsidR="00573458" w:rsidRPr="00C75C7E" w:rsidTr="00A40666">
        <w:trPr>
          <w:cantSplit/>
          <w:trHeight w:val="608"/>
        </w:trPr>
        <w:tc>
          <w:tcPr>
            <w:tcW w:w="1275" w:type="pct"/>
            <w:shd w:val="clear" w:color="auto" w:fill="auto"/>
            <w:tcMar>
              <w:top w:w="113" w:type="dxa"/>
            </w:tcMar>
          </w:tcPr>
          <w:p w:rsidR="00573458" w:rsidRPr="00C75C7E" w:rsidRDefault="00573458" w:rsidP="008F4F69">
            <w:pPr>
              <w:widowControl w:val="0"/>
              <w:tabs>
                <w:tab w:val="right" w:pos="2835"/>
              </w:tabs>
              <w:spacing w:after="60"/>
              <w:rPr>
                <w:sz w:val="15"/>
                <w:szCs w:val="15"/>
                <w:lang w:val="es-ES_tradnl"/>
              </w:rPr>
            </w:pPr>
            <w:r w:rsidRPr="00C75C7E">
              <w:rPr>
                <w:sz w:val="16"/>
                <w:szCs w:val="16"/>
                <w:lang w:val="es-ES_tradnl"/>
              </w:rPr>
              <w:t>VII.3. Fomento de la credibilidad de la OMPI en tanto que foro para el análisis de cuestiones en el ámbito de la P.I. y la política de competencia.</w:t>
            </w:r>
          </w:p>
          <w:p w:rsidR="00573458" w:rsidRPr="00C75C7E" w:rsidRDefault="00573458" w:rsidP="008F4F69">
            <w:pPr>
              <w:widowControl w:val="0"/>
              <w:tabs>
                <w:tab w:val="right" w:pos="2835"/>
              </w:tabs>
              <w:spacing w:after="60"/>
              <w:rPr>
                <w:sz w:val="16"/>
                <w:szCs w:val="16"/>
                <w:lang w:val="es-ES_tradnl"/>
              </w:rPr>
            </w:pPr>
          </w:p>
        </w:tc>
        <w:tc>
          <w:tcPr>
            <w:tcW w:w="1341" w:type="pct"/>
            <w:shd w:val="clear" w:color="auto" w:fill="auto"/>
            <w:tcMar>
              <w:top w:w="113" w:type="dxa"/>
            </w:tcMar>
          </w:tcPr>
          <w:p w:rsidR="00573458" w:rsidRPr="00C75C7E" w:rsidRDefault="00573458" w:rsidP="008F4F69">
            <w:pPr>
              <w:widowControl w:val="0"/>
              <w:rPr>
                <w:sz w:val="16"/>
                <w:szCs w:val="16"/>
                <w:lang w:val="es-ES_tradnl"/>
              </w:rPr>
            </w:pPr>
            <w:r w:rsidRPr="00C75C7E">
              <w:rPr>
                <w:rFonts w:eastAsia="MS Mincho" w:cs="Courier New"/>
                <w:sz w:val="16"/>
                <w:szCs w:val="16"/>
                <w:lang w:val="es-ES_tradnl" w:bidi="th-TH"/>
              </w:rPr>
              <w:t>Número de países que solicitan la aportación específica de la OMPI en materia de P.I. en relación con la política de competencia.</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 xml:space="preserve">12 </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15</w:t>
            </w:r>
          </w:p>
        </w:tc>
      </w:tr>
      <w:tr w:rsidR="00573458" w:rsidRPr="00C75C7E" w:rsidTr="00A40666">
        <w:trPr>
          <w:cantSplit/>
          <w:trHeight w:val="997"/>
        </w:trPr>
        <w:tc>
          <w:tcPr>
            <w:tcW w:w="1275" w:type="pct"/>
            <w:shd w:val="clear" w:color="auto" w:fill="auto"/>
            <w:tcMar>
              <w:top w:w="113" w:type="dxa"/>
            </w:tcMar>
          </w:tcPr>
          <w:p w:rsidR="00573458" w:rsidRPr="00C75C7E" w:rsidRDefault="00573458" w:rsidP="008F4F69">
            <w:pPr>
              <w:widowControl w:val="0"/>
              <w:tabs>
                <w:tab w:val="right" w:pos="2835"/>
              </w:tabs>
              <w:spacing w:after="60"/>
              <w:rPr>
                <w:sz w:val="15"/>
                <w:szCs w:val="15"/>
                <w:lang w:val="es-ES_tradnl"/>
              </w:rPr>
            </w:pPr>
          </w:p>
        </w:tc>
        <w:tc>
          <w:tcPr>
            <w:tcW w:w="1341" w:type="pct"/>
            <w:shd w:val="clear" w:color="auto" w:fill="auto"/>
            <w:tcMar>
              <w:top w:w="113" w:type="dxa"/>
            </w:tcMar>
          </w:tcPr>
          <w:p w:rsidR="00573458" w:rsidRPr="00C75C7E" w:rsidRDefault="00573458" w:rsidP="008F4F69">
            <w:pPr>
              <w:widowControl w:val="0"/>
              <w:rPr>
                <w:rFonts w:eastAsia="MS Mincho" w:cs="Courier New"/>
                <w:sz w:val="16"/>
                <w:szCs w:val="16"/>
                <w:lang w:val="es-ES_tradnl" w:bidi="th-TH"/>
              </w:rPr>
            </w:pPr>
            <w:r w:rsidRPr="00C75C7E">
              <w:rPr>
                <w:sz w:val="16"/>
                <w:szCs w:val="16"/>
                <w:lang w:val="es-ES_tradnl"/>
              </w:rPr>
              <w:t>Número y diversidad de partes interesadas (oficinas de P.I., autoridades encargadas de cuestiones de competencia, OIG y ONG) que entablan diálogo con la OMPI.</w:t>
            </w:r>
          </w:p>
        </w:tc>
        <w:tc>
          <w:tcPr>
            <w:tcW w:w="1181" w:type="pct"/>
            <w:shd w:val="clear" w:color="auto" w:fill="FFFFFF"/>
            <w:tcMar>
              <w:top w:w="113" w:type="dxa"/>
            </w:tcMar>
          </w:tcPr>
          <w:p w:rsidR="00573458" w:rsidRPr="00C75C7E" w:rsidRDefault="00573458" w:rsidP="008F4F69">
            <w:pPr>
              <w:widowControl w:val="0"/>
              <w:rPr>
                <w:sz w:val="16"/>
                <w:szCs w:val="16"/>
                <w:lang w:val="es-ES_tradnl" w:bidi="th-TH"/>
              </w:rPr>
            </w:pPr>
            <w:r w:rsidRPr="00C75C7E">
              <w:rPr>
                <w:sz w:val="16"/>
                <w:szCs w:val="16"/>
                <w:lang w:val="es-ES_tradnl" w:bidi="th-TH"/>
              </w:rPr>
              <w:t>La OMPI ha entablado diálogo con 25 autoridades nacionales encargadas de cuestiones de competencia y con 3 OIG.</w:t>
            </w:r>
          </w:p>
        </w:tc>
        <w:tc>
          <w:tcPr>
            <w:tcW w:w="1203" w:type="pct"/>
            <w:shd w:val="clear" w:color="auto" w:fill="auto"/>
            <w:tcMar>
              <w:top w:w="113" w:type="dxa"/>
            </w:tcMar>
          </w:tcPr>
          <w:p w:rsidR="00573458" w:rsidRPr="00C75C7E" w:rsidRDefault="00573458" w:rsidP="008F4F69">
            <w:pPr>
              <w:widowControl w:val="0"/>
              <w:ind w:right="161"/>
              <w:rPr>
                <w:bCs/>
                <w:sz w:val="16"/>
                <w:szCs w:val="16"/>
                <w:lang w:val="es-ES_tradnl"/>
              </w:rPr>
            </w:pPr>
            <w:r w:rsidRPr="00C75C7E">
              <w:rPr>
                <w:bCs/>
                <w:sz w:val="16"/>
                <w:szCs w:val="16"/>
                <w:lang w:val="es-ES_tradnl"/>
              </w:rPr>
              <w:t>Mayor número las partes interesadas que participan en actividades de la OMPI</w:t>
            </w:r>
          </w:p>
          <w:p w:rsidR="00573458" w:rsidRPr="00C75C7E" w:rsidRDefault="00573458" w:rsidP="008F4F69">
            <w:pPr>
              <w:widowControl w:val="0"/>
              <w:ind w:right="161"/>
              <w:rPr>
                <w:bCs/>
                <w:sz w:val="16"/>
                <w:szCs w:val="16"/>
                <w:lang w:val="es-ES_tradnl"/>
              </w:rPr>
            </w:pPr>
            <w:r w:rsidRPr="00C75C7E">
              <w:rPr>
                <w:bCs/>
                <w:sz w:val="16"/>
                <w:szCs w:val="16"/>
                <w:lang w:val="es-ES_tradnl"/>
              </w:rPr>
              <w:t>35 autoridades nacionales y cinco OIG/ONG.</w:t>
            </w:r>
          </w:p>
        </w:tc>
      </w:tr>
    </w:tbl>
    <w:p w:rsidR="00573458" w:rsidRPr="00C75C7E" w:rsidRDefault="00573458" w:rsidP="00573458">
      <w:pPr>
        <w:widowControl w:val="0"/>
        <w:rPr>
          <w:sz w:val="20"/>
          <w:lang w:val="es-ES_tradnl"/>
        </w:rPr>
      </w:pPr>
    </w:p>
    <w:p w:rsidR="00573458" w:rsidRDefault="00573458" w:rsidP="00573458">
      <w:pPr>
        <w:widowControl w:val="0"/>
        <w:autoSpaceDE w:val="0"/>
        <w:autoSpaceDN w:val="0"/>
        <w:adjustRightInd w:val="0"/>
        <w:rPr>
          <w:iCs/>
          <w:szCs w:val="22"/>
          <w:lang w:val="es-ES_tradnl"/>
        </w:rPr>
      </w:pPr>
    </w:p>
    <w:p w:rsidR="000E3B25" w:rsidRPr="00AD1E8B" w:rsidRDefault="000E3B25" w:rsidP="000E3B25">
      <w:pPr>
        <w:widowControl w:val="0"/>
        <w:autoSpaceDE w:val="0"/>
        <w:autoSpaceDN w:val="0"/>
        <w:adjustRightInd w:val="0"/>
        <w:jc w:val="both"/>
        <w:rPr>
          <w:szCs w:val="22"/>
          <w:lang w:val="es-ES_tradnl"/>
        </w:rPr>
      </w:pPr>
      <w:r w:rsidRPr="00AD1E8B">
        <w:rPr>
          <w:szCs w:val="22"/>
          <w:lang w:val="es-ES_tradnl"/>
        </w:rPr>
        <w:t>RECURSOS PARA EL PROGRAMA 18</w:t>
      </w:r>
    </w:p>
    <w:p w:rsidR="000E3B25" w:rsidRPr="00AD1E8B" w:rsidRDefault="000E3B25" w:rsidP="000E3B25">
      <w:pPr>
        <w:widowControl w:val="0"/>
        <w:autoSpaceDE w:val="0"/>
        <w:autoSpaceDN w:val="0"/>
        <w:adjustRightInd w:val="0"/>
        <w:rPr>
          <w:iCs/>
          <w:szCs w:val="22"/>
          <w:lang w:val="es-ES_tradnl"/>
        </w:rPr>
      </w:pPr>
    </w:p>
    <w:p w:rsidR="000E3B25" w:rsidRPr="00AD1E8B" w:rsidRDefault="000E3B25" w:rsidP="00E17471">
      <w:pPr>
        <w:widowControl w:val="0"/>
        <w:numPr>
          <w:ilvl w:val="0"/>
          <w:numId w:val="12"/>
        </w:numPr>
        <w:jc w:val="both"/>
        <w:rPr>
          <w:sz w:val="20"/>
          <w:lang w:val="es-ES_tradnl"/>
        </w:rPr>
      </w:pPr>
      <w:r w:rsidRPr="00AD1E8B">
        <w:rPr>
          <w:sz w:val="20"/>
          <w:lang w:val="es-ES_tradnl"/>
        </w:rPr>
        <w:t>La dotación global de recursos para el programa se mantiene estable</w:t>
      </w:r>
      <w:r w:rsidR="004E6B21">
        <w:rPr>
          <w:sz w:val="20"/>
          <w:lang w:val="es-ES_tradnl"/>
        </w:rPr>
        <w:t xml:space="preserve">.  La disminución que acusan los recursos </w:t>
      </w:r>
      <w:r w:rsidRPr="00AD1E8B">
        <w:rPr>
          <w:sz w:val="20"/>
          <w:lang w:val="es-ES_tradnl"/>
        </w:rPr>
        <w:t xml:space="preserve">con respecto al </w:t>
      </w:r>
      <w:r>
        <w:rPr>
          <w:sz w:val="20"/>
          <w:lang w:val="es-ES_tradnl"/>
        </w:rPr>
        <w:t>r</w:t>
      </w:r>
      <w:r w:rsidRPr="00AD1E8B">
        <w:rPr>
          <w:sz w:val="20"/>
          <w:lang w:val="es-ES_tradnl"/>
        </w:rPr>
        <w:t>esultado VII.2 (</w:t>
      </w:r>
      <w:r w:rsidR="004E6B21" w:rsidRPr="004E6B21">
        <w:rPr>
          <w:sz w:val="20"/>
          <w:lang w:val="es-ES_tradnl"/>
        </w:rPr>
        <w:t xml:space="preserve">Plataformas y herramientas de P.I. utilizadas </w:t>
      </w:r>
      <w:r w:rsidR="004E6B21">
        <w:rPr>
          <w:sz w:val="20"/>
          <w:lang w:val="es-ES_tradnl"/>
        </w:rPr>
        <w:t>con el fin de atender los desafíos m</w:t>
      </w:r>
      <w:r w:rsidRPr="00AD1E8B">
        <w:rPr>
          <w:sz w:val="20"/>
          <w:lang w:val="es-ES_tradnl"/>
        </w:rPr>
        <w:t xml:space="preserve">undiales) </w:t>
      </w:r>
      <w:r w:rsidR="004E6B21">
        <w:rPr>
          <w:sz w:val="20"/>
          <w:lang w:val="es-ES_tradnl"/>
        </w:rPr>
        <w:t xml:space="preserve">queda compensada en gran parte por un </w:t>
      </w:r>
      <w:r w:rsidRPr="00AD1E8B">
        <w:rPr>
          <w:sz w:val="20"/>
          <w:lang w:val="es-ES_tradnl"/>
        </w:rPr>
        <w:t xml:space="preserve">incremento </w:t>
      </w:r>
      <w:r w:rsidR="004E6B21">
        <w:rPr>
          <w:sz w:val="20"/>
          <w:lang w:val="es-ES_tradnl"/>
        </w:rPr>
        <w:t>en los recursos con respecto a los resultados III.2 (Fortalecimiento de capacidades) y IV.2 (</w:t>
      </w:r>
      <w:r w:rsidR="004E6B21" w:rsidRPr="004E6B21">
        <w:rPr>
          <w:sz w:val="20"/>
          <w:lang w:val="es-ES_tradnl"/>
        </w:rPr>
        <w:t>Mejora del acceso y uso de información y conocimientos de P.I</w:t>
      </w:r>
      <w:r w:rsidR="004E6B21">
        <w:rPr>
          <w:sz w:val="20"/>
          <w:lang w:val="es-ES_tradnl"/>
        </w:rPr>
        <w:t xml:space="preserve">), resultados que han sido incorporados a este programa para que sea fiel reflejo de la naturaleza de las actividades que se emprendan.  El incremento </w:t>
      </w:r>
      <w:r w:rsidRPr="00AD1E8B">
        <w:rPr>
          <w:sz w:val="20"/>
          <w:lang w:val="es-ES_tradnl"/>
        </w:rPr>
        <w:t xml:space="preserve">con respecto al </w:t>
      </w:r>
      <w:r>
        <w:rPr>
          <w:sz w:val="20"/>
          <w:lang w:val="es-ES_tradnl"/>
        </w:rPr>
        <w:t>r</w:t>
      </w:r>
      <w:r w:rsidRPr="00AD1E8B">
        <w:rPr>
          <w:sz w:val="20"/>
          <w:lang w:val="es-ES_tradnl"/>
        </w:rPr>
        <w:t>esultado VII.3 (Fomento de la credibilidad de la OMPI en tanto que foro para el análisis de cuestiones en el ámbito de la P.I. y la política de competencia)</w:t>
      </w:r>
      <w:r w:rsidR="004E6B21">
        <w:rPr>
          <w:sz w:val="20"/>
          <w:lang w:val="es-ES_tradnl"/>
        </w:rPr>
        <w:t xml:space="preserve"> </w:t>
      </w:r>
      <w:r w:rsidR="00DD37B9">
        <w:rPr>
          <w:sz w:val="20"/>
          <w:lang w:val="es-ES_tradnl"/>
        </w:rPr>
        <w:t>corresponde a una asignación adicional de tiempo de gestión para este resultado</w:t>
      </w:r>
      <w:r w:rsidR="00776E90">
        <w:rPr>
          <w:sz w:val="20"/>
          <w:lang w:val="es-ES_tradnl"/>
        </w:rPr>
        <w:t>, pero no refleja un aumento en las actividades ni en los recursos</w:t>
      </w:r>
      <w:r w:rsidRPr="00AD1E8B">
        <w:rPr>
          <w:sz w:val="20"/>
          <w:lang w:val="es-ES_tradnl"/>
        </w:rPr>
        <w:t xml:space="preserve">. </w:t>
      </w:r>
    </w:p>
    <w:p w:rsidR="000E3B25" w:rsidRPr="00AD1E8B" w:rsidRDefault="000E3B25" w:rsidP="000E3B25">
      <w:pPr>
        <w:widowControl w:val="0"/>
        <w:rPr>
          <w:sz w:val="20"/>
          <w:lang w:val="es-ES_tradnl"/>
        </w:rPr>
      </w:pPr>
    </w:p>
    <w:p w:rsidR="000E3B25" w:rsidRPr="00C75C7E" w:rsidRDefault="000E3B25" w:rsidP="00573458">
      <w:pPr>
        <w:widowControl w:val="0"/>
        <w:autoSpaceDE w:val="0"/>
        <w:autoSpaceDN w:val="0"/>
        <w:adjustRightInd w:val="0"/>
        <w:rPr>
          <w:iCs/>
          <w:szCs w:val="22"/>
          <w:lang w:val="es-ES_tradnl"/>
        </w:rPr>
      </w:pPr>
    </w:p>
    <w:p w:rsidR="00573458" w:rsidRPr="00C75C7E" w:rsidRDefault="004E6B21" w:rsidP="00F50540">
      <w:pPr>
        <w:keepNext/>
        <w:widowControl w:val="0"/>
        <w:autoSpaceDE w:val="0"/>
        <w:autoSpaceDN w:val="0"/>
        <w:adjustRightInd w:val="0"/>
        <w:jc w:val="center"/>
        <w:rPr>
          <w:b/>
          <w:bCs/>
          <w:iCs/>
          <w:sz w:val="20"/>
          <w:lang w:val="es-ES_tradnl"/>
        </w:rPr>
      </w:pPr>
      <w:r>
        <w:rPr>
          <w:b/>
          <w:bCs/>
          <w:iCs/>
          <w:sz w:val="20"/>
          <w:lang w:val="es-ES_tradnl"/>
        </w:rPr>
        <w:lastRenderedPageBreak/>
        <w:t>Programa 18</w:t>
      </w:r>
      <w:proofErr w:type="gramStart"/>
      <w:r>
        <w:rPr>
          <w:b/>
          <w:bCs/>
          <w:iCs/>
          <w:sz w:val="20"/>
          <w:lang w:val="es-ES_tradnl"/>
        </w:rPr>
        <w:t xml:space="preserve">:  </w:t>
      </w:r>
      <w:r w:rsidR="00573458" w:rsidRPr="00C75C7E">
        <w:rPr>
          <w:b/>
          <w:bCs/>
          <w:iCs/>
          <w:sz w:val="20"/>
          <w:lang w:val="es-ES_tradnl"/>
        </w:rPr>
        <w:t>Recursos</w:t>
      </w:r>
      <w:proofErr w:type="gramEnd"/>
      <w:r w:rsidR="00573458" w:rsidRPr="00C75C7E">
        <w:rPr>
          <w:b/>
          <w:bCs/>
          <w:iCs/>
          <w:sz w:val="20"/>
          <w:lang w:val="es-ES_tradnl"/>
        </w:rPr>
        <w:t xml:space="preserve"> por resultado</w:t>
      </w:r>
    </w:p>
    <w:p w:rsidR="00573458" w:rsidRPr="00C75C7E" w:rsidRDefault="00573458" w:rsidP="00F50540">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573458" w:rsidRPr="00C75C7E" w:rsidRDefault="00573458" w:rsidP="00F50540">
      <w:pPr>
        <w:keepNext/>
        <w:widowControl w:val="0"/>
        <w:autoSpaceDE w:val="0"/>
        <w:autoSpaceDN w:val="0"/>
        <w:adjustRightInd w:val="0"/>
        <w:rPr>
          <w:sz w:val="20"/>
          <w:lang w:val="es-ES_tradnl"/>
        </w:rPr>
      </w:pPr>
    </w:p>
    <w:p w:rsidR="00573458" w:rsidRPr="00C75C7E" w:rsidRDefault="0038442C" w:rsidP="00F50540">
      <w:pPr>
        <w:keepNext/>
        <w:widowControl w:val="0"/>
        <w:autoSpaceDE w:val="0"/>
        <w:autoSpaceDN w:val="0"/>
        <w:adjustRightInd w:val="0"/>
        <w:rPr>
          <w:sz w:val="20"/>
          <w:lang w:val="es-ES_tradnl"/>
        </w:rPr>
      </w:pPr>
      <w:r w:rsidRPr="0038442C">
        <w:rPr>
          <w:noProof/>
          <w:lang w:val="en-US" w:eastAsia="en-US"/>
        </w:rPr>
        <w:drawing>
          <wp:inline distT="0" distB="0" distL="0" distR="0" wp14:anchorId="56EC0C0C" wp14:editId="389702A6">
            <wp:extent cx="5762625" cy="3200400"/>
            <wp:effectExtent l="0" t="0" r="9525"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762625" cy="3200400"/>
                    </a:xfrm>
                    <a:prstGeom prst="rect">
                      <a:avLst/>
                    </a:prstGeom>
                    <a:noFill/>
                    <a:ln>
                      <a:noFill/>
                    </a:ln>
                  </pic:spPr>
                </pic:pic>
              </a:graphicData>
            </a:graphic>
          </wp:inline>
        </w:drawing>
      </w:r>
    </w:p>
    <w:p w:rsidR="00573458" w:rsidRPr="00C75C7E" w:rsidRDefault="00573458" w:rsidP="00573458">
      <w:pPr>
        <w:widowControl w:val="0"/>
        <w:autoSpaceDE w:val="0"/>
        <w:autoSpaceDN w:val="0"/>
        <w:adjustRightInd w:val="0"/>
        <w:rPr>
          <w:sz w:val="20"/>
          <w:lang w:val="es-ES_tradnl"/>
        </w:rPr>
      </w:pPr>
    </w:p>
    <w:p w:rsidR="00573458" w:rsidRPr="00C75C7E" w:rsidRDefault="00573458" w:rsidP="00573458">
      <w:pPr>
        <w:widowControl w:val="0"/>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542138">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573458" w:rsidRPr="00C75C7E" w:rsidRDefault="000E3B25" w:rsidP="00542C2B">
      <w:pPr>
        <w:keepNext/>
        <w:widowControl w:val="0"/>
        <w:autoSpaceDE w:val="0"/>
        <w:autoSpaceDN w:val="0"/>
        <w:adjustRightInd w:val="0"/>
        <w:jc w:val="center"/>
        <w:rPr>
          <w:sz w:val="20"/>
          <w:lang w:val="es-ES_tradnl"/>
        </w:rPr>
      </w:pPr>
      <w:r>
        <w:rPr>
          <w:sz w:val="20"/>
          <w:lang w:val="es-ES_tradnl"/>
        </w:rPr>
        <w:br w:type="page"/>
      </w:r>
    </w:p>
    <w:p w:rsidR="00573458" w:rsidRPr="00C75C7E" w:rsidRDefault="00F50540" w:rsidP="00542C2B">
      <w:pPr>
        <w:keepNext/>
        <w:widowControl w:val="0"/>
        <w:autoSpaceDE w:val="0"/>
        <w:autoSpaceDN w:val="0"/>
        <w:adjustRightInd w:val="0"/>
        <w:jc w:val="center"/>
        <w:rPr>
          <w:b/>
          <w:bCs/>
          <w:iCs/>
          <w:sz w:val="20"/>
          <w:lang w:val="es-ES_tradnl"/>
        </w:rPr>
      </w:pPr>
      <w:r>
        <w:rPr>
          <w:b/>
          <w:bCs/>
          <w:iCs/>
          <w:sz w:val="20"/>
          <w:lang w:val="es-ES_tradnl"/>
        </w:rPr>
        <w:lastRenderedPageBreak/>
        <w:t>Programa 18</w:t>
      </w:r>
      <w:proofErr w:type="gramStart"/>
      <w:r>
        <w:rPr>
          <w:b/>
          <w:bCs/>
          <w:iCs/>
          <w:sz w:val="20"/>
          <w:lang w:val="es-ES_tradnl"/>
        </w:rPr>
        <w:t xml:space="preserve">:  </w:t>
      </w:r>
      <w:r w:rsidR="00573458" w:rsidRPr="00C75C7E">
        <w:rPr>
          <w:b/>
          <w:bCs/>
          <w:iCs/>
          <w:sz w:val="20"/>
          <w:lang w:val="es-ES_tradnl"/>
        </w:rPr>
        <w:t>Recursos</w:t>
      </w:r>
      <w:proofErr w:type="gramEnd"/>
      <w:r w:rsidR="00573458" w:rsidRPr="00C75C7E">
        <w:rPr>
          <w:b/>
          <w:bCs/>
          <w:iCs/>
          <w:sz w:val="20"/>
          <w:lang w:val="es-ES_tradnl"/>
        </w:rPr>
        <w:t xml:space="preserve"> por objeto de gasto</w:t>
      </w:r>
    </w:p>
    <w:p w:rsidR="00573458" w:rsidRPr="00C75C7E" w:rsidRDefault="00573458" w:rsidP="00542C2B">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573458" w:rsidRDefault="00573458" w:rsidP="00542C2B">
      <w:pPr>
        <w:keepNext/>
        <w:widowControl w:val="0"/>
        <w:jc w:val="center"/>
        <w:rPr>
          <w:i/>
          <w:sz w:val="18"/>
          <w:szCs w:val="18"/>
          <w:lang w:val="es-ES_tradnl"/>
        </w:rPr>
      </w:pPr>
    </w:p>
    <w:p w:rsidR="001E5683" w:rsidRPr="00C75C7E" w:rsidRDefault="00290162" w:rsidP="00542C2B">
      <w:pPr>
        <w:keepNext/>
        <w:widowControl w:val="0"/>
        <w:jc w:val="center"/>
        <w:rPr>
          <w:i/>
          <w:sz w:val="18"/>
          <w:szCs w:val="18"/>
          <w:lang w:val="es-ES_tradnl"/>
        </w:rPr>
      </w:pPr>
      <w:r w:rsidRPr="00290162">
        <w:rPr>
          <w:noProof/>
          <w:lang w:val="en-US" w:eastAsia="en-US"/>
        </w:rPr>
        <w:drawing>
          <wp:inline distT="0" distB="0" distL="0" distR="0" wp14:anchorId="144D6F6D" wp14:editId="79B86942">
            <wp:extent cx="5940425" cy="5712478"/>
            <wp:effectExtent l="0" t="0" r="3175" b="254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940425" cy="5712478"/>
                    </a:xfrm>
                    <a:prstGeom prst="rect">
                      <a:avLst/>
                    </a:prstGeom>
                    <a:noFill/>
                    <a:ln>
                      <a:noFill/>
                    </a:ln>
                  </pic:spPr>
                </pic:pic>
              </a:graphicData>
            </a:graphic>
          </wp:inline>
        </w:drawing>
      </w:r>
    </w:p>
    <w:p w:rsidR="001E5683" w:rsidRDefault="001E5683" w:rsidP="00573458">
      <w:pPr>
        <w:widowControl w:val="0"/>
        <w:rPr>
          <w:sz w:val="16"/>
          <w:szCs w:val="16"/>
          <w:lang w:val="es-ES_tradnl"/>
        </w:rPr>
      </w:pPr>
    </w:p>
    <w:p w:rsidR="00573458" w:rsidRPr="00C75C7E" w:rsidRDefault="00573458" w:rsidP="00573458">
      <w:pPr>
        <w:widowControl w:val="0"/>
        <w:rPr>
          <w:sz w:val="16"/>
          <w:szCs w:val="16"/>
          <w:lang w:val="es-ES_tradnl"/>
        </w:rPr>
      </w:pPr>
      <w:r w:rsidRPr="00C75C7E">
        <w:rPr>
          <w:sz w:val="16"/>
          <w:szCs w:val="16"/>
          <w:lang w:val="es-ES_tradnl"/>
        </w:rPr>
        <w:t>Notas:</w:t>
      </w:r>
    </w:p>
    <w:p w:rsidR="00573458" w:rsidRPr="00C75C7E" w:rsidRDefault="00573458" w:rsidP="00573458">
      <w:pPr>
        <w:widowControl w:val="0"/>
        <w:rPr>
          <w:sz w:val="16"/>
          <w:szCs w:val="16"/>
          <w:u w:val="single"/>
          <w:lang w:val="es-ES_tradnl"/>
        </w:rPr>
      </w:pPr>
    </w:p>
    <w:p w:rsidR="00573458" w:rsidRDefault="00542138" w:rsidP="00573458">
      <w:pPr>
        <w:widowControl w:val="0"/>
        <w:rPr>
          <w:sz w:val="16"/>
          <w:szCs w:val="16"/>
          <w:lang w:val="es-ES_tradnl"/>
        </w:rPr>
      </w:pPr>
      <w:r>
        <w:rPr>
          <w:sz w:val="16"/>
          <w:szCs w:val="16"/>
          <w:lang w:val="es-ES_tradnl"/>
        </w:rPr>
        <w:t xml:space="preserve">1)  </w:t>
      </w:r>
      <w:r w:rsidR="00573458" w:rsidRPr="00C75C7E">
        <w:rPr>
          <w:sz w:val="16"/>
          <w:szCs w:val="16"/>
          <w:lang w:val="es-ES_tradnl"/>
        </w:rPr>
        <w:t xml:space="preserve">El presupuesto aprobado de 2012/13 y el presupuesto de dicho bienio después de las transferencias se </w:t>
      </w:r>
      <w:proofErr w:type="spellStart"/>
      <w:r w:rsidR="00573458" w:rsidRPr="00C75C7E">
        <w:rPr>
          <w:sz w:val="16"/>
          <w:szCs w:val="16"/>
          <w:lang w:val="es-ES_tradnl"/>
        </w:rPr>
        <w:t>reexpresan</w:t>
      </w:r>
      <w:proofErr w:type="spellEnd"/>
      <w:r w:rsidR="00573458" w:rsidRPr="00C75C7E">
        <w:rPr>
          <w:sz w:val="16"/>
          <w:szCs w:val="16"/>
          <w:lang w:val="es-ES_tradnl"/>
        </w:rPr>
        <w:t xml:space="preserve"> sobre la base de la estructura de categorías de costos propuesta para 2014/15.</w:t>
      </w:r>
    </w:p>
    <w:p w:rsidR="00573458" w:rsidRPr="00C75C7E" w:rsidRDefault="00573458" w:rsidP="00573458">
      <w:pPr>
        <w:widowControl w:val="0"/>
        <w:rPr>
          <w:sz w:val="16"/>
          <w:szCs w:val="16"/>
          <w:lang w:val="es-ES_tradnl"/>
        </w:rPr>
      </w:pPr>
    </w:p>
    <w:p w:rsidR="00573458" w:rsidRDefault="00573458" w:rsidP="00573458">
      <w:pPr>
        <w:widowControl w:val="0"/>
        <w:rPr>
          <w:rFonts w:cs="ArialMT"/>
          <w:sz w:val="16"/>
          <w:szCs w:val="16"/>
          <w:lang w:val="es-ES_tradnl"/>
        </w:rPr>
      </w:pPr>
      <w:r>
        <w:rPr>
          <w:sz w:val="16"/>
          <w:szCs w:val="16"/>
          <w:lang w:val="es-ES_tradnl"/>
        </w:rPr>
        <w:t>2)</w:t>
      </w:r>
      <w:r w:rsidR="00542138">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presupuesto de</w:t>
      </w:r>
      <w:r w:rsidR="00D86F03">
        <w:rPr>
          <w:sz w:val="16"/>
          <w:szCs w:val="16"/>
          <w:lang w:val="es-ES_tradnl"/>
        </w:rPr>
        <w:t>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573458" w:rsidRPr="00C75C7E" w:rsidRDefault="00573458" w:rsidP="00573458">
      <w:pPr>
        <w:widowControl w:val="0"/>
        <w:rPr>
          <w:sz w:val="16"/>
          <w:szCs w:val="16"/>
          <w:lang w:val="es-ES_tradnl"/>
        </w:rPr>
      </w:pPr>
    </w:p>
    <w:p w:rsidR="00573458" w:rsidRPr="00C75C7E" w:rsidRDefault="00573458" w:rsidP="00573458">
      <w:pPr>
        <w:widowControl w:val="0"/>
        <w:rPr>
          <w:sz w:val="16"/>
          <w:szCs w:val="16"/>
          <w:lang w:val="es-ES_tradnl"/>
        </w:rPr>
      </w:pPr>
      <w:r>
        <w:rPr>
          <w:sz w:val="16"/>
          <w:szCs w:val="16"/>
          <w:lang w:val="es-ES_tradnl"/>
        </w:rPr>
        <w:t>3)</w:t>
      </w:r>
      <w:r w:rsidR="00542138">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573458" w:rsidRPr="00C75C7E" w:rsidRDefault="00573458" w:rsidP="00573458">
      <w:pPr>
        <w:widowControl w:val="0"/>
        <w:rPr>
          <w:sz w:val="20"/>
          <w:lang w:val="es-ES_tradnl"/>
        </w:rPr>
      </w:pPr>
    </w:p>
    <w:p w:rsidR="00573458" w:rsidRDefault="00573458" w:rsidP="003E638B">
      <w:pPr>
        <w:rPr>
          <w:sz w:val="20"/>
          <w:lang w:val="es-ES_tradnl"/>
        </w:rPr>
      </w:pPr>
    </w:p>
    <w:p w:rsidR="00A17952" w:rsidRDefault="00A17952" w:rsidP="003E638B">
      <w:pPr>
        <w:rPr>
          <w:sz w:val="20"/>
          <w:lang w:val="es-ES_tradnl"/>
        </w:rPr>
      </w:pPr>
    </w:p>
    <w:p w:rsidR="00A17952" w:rsidRDefault="00A17952" w:rsidP="003E638B">
      <w:pPr>
        <w:rPr>
          <w:sz w:val="20"/>
          <w:lang w:val="es-ES_tradnl"/>
        </w:rPr>
      </w:pPr>
    </w:p>
    <w:p w:rsidR="00733D42" w:rsidRDefault="00733D42">
      <w:pPr>
        <w:rPr>
          <w:sz w:val="20"/>
          <w:lang w:val="es-ES_tradnl"/>
        </w:rPr>
      </w:pPr>
      <w:r>
        <w:rPr>
          <w:sz w:val="20"/>
          <w:lang w:val="es-ES_tradnl"/>
        </w:rPr>
        <w:br w:type="page"/>
      </w:r>
    </w:p>
    <w:p w:rsidR="00E54CE4" w:rsidRDefault="00E54CE4" w:rsidP="003E638B">
      <w:pPr>
        <w:rPr>
          <w:sz w:val="20"/>
          <w:lang w:val="es-ES_tradnl"/>
        </w:rPr>
      </w:pPr>
    </w:p>
    <w:p w:rsidR="00733D42" w:rsidRDefault="00733D42" w:rsidP="003E638B">
      <w:pPr>
        <w:rPr>
          <w:sz w:val="20"/>
          <w:lang w:val="es-ES_tradnl"/>
        </w:rPr>
        <w:sectPr w:rsidR="00733D42" w:rsidSect="00FF362A">
          <w:headerReference w:type="even" r:id="rId106"/>
          <w:headerReference w:type="default" r:id="rId107"/>
          <w:headerReference w:type="first" r:id="rId108"/>
          <w:pgSz w:w="11907" w:h="16840" w:code="9"/>
          <w:pgMar w:top="567" w:right="1134" w:bottom="1418" w:left="1418" w:header="510" w:footer="1021" w:gutter="0"/>
          <w:cols w:space="720"/>
          <w:titlePg/>
        </w:sectPr>
      </w:pPr>
    </w:p>
    <w:p w:rsidR="00F50540" w:rsidRDefault="006A15F5" w:rsidP="000E3B25">
      <w:pPr>
        <w:pStyle w:val="Heading2"/>
        <w:jc w:val="center"/>
        <w:rPr>
          <w:b/>
          <w:caps w:val="0"/>
          <w:lang w:val="es-ES_tradnl"/>
        </w:rPr>
      </w:pPr>
      <w:bookmarkStart w:id="76" w:name="_Toc366078739"/>
      <w:r w:rsidRPr="000E3B25">
        <w:rPr>
          <w:b/>
          <w:caps w:val="0"/>
          <w:lang w:val="es-ES_tradnl"/>
        </w:rPr>
        <w:lastRenderedPageBreak/>
        <w:t>META ESTRATÉGICA VIII</w:t>
      </w:r>
      <w:bookmarkEnd w:id="76"/>
    </w:p>
    <w:p w:rsidR="000E3B25" w:rsidRPr="000E3B25" w:rsidRDefault="006A15F5" w:rsidP="000E3B25">
      <w:pPr>
        <w:pStyle w:val="Heading2"/>
        <w:jc w:val="center"/>
        <w:rPr>
          <w:b/>
          <w:lang w:val="es-ES_tradnl"/>
        </w:rPr>
      </w:pPr>
      <w:bookmarkStart w:id="77" w:name="_Toc366078740"/>
      <w:r w:rsidRPr="000E3B25">
        <w:rPr>
          <w:b/>
          <w:caps w:val="0"/>
          <w:lang w:val="es-ES_tradnl"/>
        </w:rPr>
        <w:t>COMUNICACIÓN EFICAZ ENTRE LA OMPI, SUS ESTADOS MIEMBROS</w:t>
      </w:r>
      <w:r>
        <w:rPr>
          <w:b/>
          <w:caps w:val="0"/>
          <w:lang w:val="es-ES_tradnl"/>
        </w:rPr>
        <w:br/>
      </w:r>
      <w:r w:rsidRPr="000E3B25">
        <w:rPr>
          <w:b/>
          <w:caps w:val="0"/>
          <w:lang w:val="es-ES_tradnl"/>
        </w:rPr>
        <w:t>Y TODAS LAS PARTES INTERESADAS</w:t>
      </w:r>
      <w:bookmarkEnd w:id="77"/>
    </w:p>
    <w:p w:rsidR="000E3B25" w:rsidRPr="0093141F" w:rsidRDefault="000E3B25" w:rsidP="00E10A93">
      <w:pPr>
        <w:autoSpaceDE w:val="0"/>
        <w:autoSpaceDN w:val="0"/>
        <w:adjustRightInd w:val="0"/>
        <w:jc w:val="both"/>
        <w:rPr>
          <w:sz w:val="20"/>
          <w:lang w:val="es-ES_tradnl"/>
        </w:rPr>
      </w:pPr>
    </w:p>
    <w:p w:rsidR="000E3B25" w:rsidRPr="0093141F" w:rsidRDefault="000E3B25" w:rsidP="00E10A93">
      <w:pPr>
        <w:autoSpaceDE w:val="0"/>
        <w:autoSpaceDN w:val="0"/>
        <w:adjustRightInd w:val="0"/>
        <w:jc w:val="both"/>
        <w:rPr>
          <w:sz w:val="20"/>
          <w:lang w:val="es-ES_tradnl"/>
        </w:rPr>
      </w:pPr>
    </w:p>
    <w:p w:rsidR="000E3B25" w:rsidRPr="00AD1E8B" w:rsidRDefault="000E3B25" w:rsidP="00E10A93">
      <w:pPr>
        <w:autoSpaceDE w:val="0"/>
        <w:autoSpaceDN w:val="0"/>
        <w:adjustRightInd w:val="0"/>
        <w:jc w:val="both"/>
        <w:rPr>
          <w:sz w:val="20"/>
          <w:lang w:val="es-ES_tradnl"/>
        </w:rPr>
      </w:pPr>
      <w:r w:rsidRPr="00AD1E8B">
        <w:rPr>
          <w:sz w:val="20"/>
          <w:lang w:val="es-ES_tradnl"/>
        </w:rPr>
        <w:t>Con esta meta estratégica se deja constancia de la gran prioridad que concede la Secretaría de la OMPI al fomento de una comunicación eficaz, en tanto que elemento esencial en el que reside el éxito de cada aspecto de su labor, así como para la prestación de servicios en tanto que prioridad central e institucional.  La OMPI presta servicios de muy distinta naturaleza a una amplia gama de partes interesadas y ante todo, en tanto que organismo especializado de las Naciones Unidas, a sus Estados miembros.  Entre dichos servicios están el apoyo a los comités en las actividades normativas que realizan, servicios de fortalecimiento de capacidades en los países en desarrollo, servicios de información y servicios técnicos así como servicios mundiales de registro, de presentación de solicitudes y de solución de controversias en el ámbito de la P.I.</w:t>
      </w:r>
    </w:p>
    <w:p w:rsidR="00D57E7A" w:rsidRPr="00406FE5" w:rsidRDefault="00D57E7A" w:rsidP="00E10A93">
      <w:pPr>
        <w:autoSpaceDE w:val="0"/>
        <w:autoSpaceDN w:val="0"/>
        <w:adjustRightInd w:val="0"/>
        <w:jc w:val="both"/>
        <w:rPr>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514"/>
        <w:gridCol w:w="2833"/>
        <w:gridCol w:w="2946"/>
      </w:tblGrid>
      <w:tr w:rsidR="006F7F41" w:rsidRPr="00C75C7E" w:rsidTr="008F4F69">
        <w:trPr>
          <w:cantSplit/>
          <w:trHeight w:val="383"/>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6F7F41" w:rsidRPr="00C75C7E" w:rsidRDefault="006F7F41" w:rsidP="008F4F69">
            <w:pPr>
              <w:spacing w:after="120"/>
              <w:jc w:val="center"/>
              <w:rPr>
                <w:b/>
                <w:bCs/>
                <w:sz w:val="18"/>
                <w:szCs w:val="18"/>
                <w:lang w:val="es-ES_tradnl"/>
              </w:rPr>
            </w:pPr>
            <w:r w:rsidRPr="00C75C7E">
              <w:rPr>
                <w:b/>
                <w:bCs/>
                <w:sz w:val="18"/>
                <w:szCs w:val="18"/>
                <w:lang w:val="es-ES_tradnl"/>
              </w:rPr>
              <w:t>Resultados previstos</w:t>
            </w:r>
          </w:p>
        </w:tc>
        <w:tc>
          <w:tcPr>
            <w:tcW w:w="1524" w:type="pct"/>
            <w:tcBorders>
              <w:top w:val="single" w:sz="4" w:space="0" w:color="auto"/>
              <w:bottom w:val="single" w:sz="4" w:space="0" w:color="auto"/>
            </w:tcBorders>
            <w:shd w:val="clear" w:color="auto" w:fill="CCFFFF"/>
            <w:tcMar>
              <w:top w:w="113" w:type="dxa"/>
              <w:bottom w:w="85" w:type="dxa"/>
            </w:tcMar>
            <w:vAlign w:val="center"/>
          </w:tcPr>
          <w:p w:rsidR="006F7F41" w:rsidRPr="00C75C7E" w:rsidRDefault="006F7F41" w:rsidP="008F4F69">
            <w:pPr>
              <w:spacing w:after="120"/>
              <w:jc w:val="center"/>
              <w:rPr>
                <w:b/>
                <w:sz w:val="18"/>
                <w:szCs w:val="18"/>
                <w:lang w:val="es-ES_tradnl"/>
              </w:rPr>
            </w:pPr>
            <w:r w:rsidRPr="00C75C7E">
              <w:rPr>
                <w:b/>
                <w:sz w:val="18"/>
                <w:szCs w:val="18"/>
                <w:lang w:val="es-ES_tradnl"/>
              </w:rPr>
              <w:t>Indicadores de rendimiento</w:t>
            </w:r>
          </w:p>
        </w:tc>
        <w:tc>
          <w:tcPr>
            <w:tcW w:w="1585" w:type="pct"/>
            <w:tcBorders>
              <w:top w:val="single" w:sz="4" w:space="0" w:color="auto"/>
              <w:bottom w:val="single" w:sz="4" w:space="0" w:color="auto"/>
            </w:tcBorders>
            <w:shd w:val="clear" w:color="auto" w:fill="CCFFFF"/>
            <w:tcMar>
              <w:top w:w="113" w:type="dxa"/>
              <w:bottom w:w="85" w:type="dxa"/>
            </w:tcMar>
            <w:vAlign w:val="center"/>
          </w:tcPr>
          <w:p w:rsidR="006F7F41" w:rsidRPr="00C75C7E" w:rsidRDefault="006F7F41" w:rsidP="008F4F69">
            <w:pPr>
              <w:spacing w:after="120"/>
              <w:ind w:left="85"/>
              <w:jc w:val="center"/>
              <w:rPr>
                <w:sz w:val="18"/>
                <w:szCs w:val="18"/>
                <w:lang w:val="es-ES_tradnl"/>
              </w:rPr>
            </w:pPr>
            <w:r w:rsidRPr="00C75C7E">
              <w:rPr>
                <w:b/>
                <w:bCs/>
                <w:sz w:val="18"/>
                <w:szCs w:val="18"/>
                <w:lang w:val="es-ES_tradnl"/>
              </w:rPr>
              <w:t>Programas responsables</w:t>
            </w:r>
          </w:p>
        </w:tc>
      </w:tr>
      <w:tr w:rsidR="006F7F41" w:rsidRPr="00C75C7E" w:rsidTr="008F4F69">
        <w:trPr>
          <w:cantSplit/>
          <w:trHeight w:val="501"/>
        </w:trPr>
        <w:tc>
          <w:tcPr>
            <w:tcW w:w="1891" w:type="pct"/>
            <w:tcBorders>
              <w:top w:val="single" w:sz="4" w:space="0" w:color="auto"/>
            </w:tcBorders>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VIII.1. Comunicación más eficaz con el público en general acerca de la P.I. y la función de la OMPI.</w:t>
            </w:r>
          </w:p>
        </w:tc>
        <w:tc>
          <w:tcPr>
            <w:tcW w:w="1524" w:type="pct"/>
            <w:tcBorders>
              <w:top w:val="single" w:sz="4" w:space="0" w:color="auto"/>
            </w:tcBorders>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Grado de interés público generado por importantes actividades/logros de la OMPI.</w:t>
            </w:r>
          </w:p>
        </w:tc>
        <w:tc>
          <w:tcPr>
            <w:tcW w:w="1585" w:type="pct"/>
            <w:tcBorders>
              <w:top w:val="single" w:sz="4" w:space="0" w:color="auto"/>
            </w:tcBorders>
            <w:shd w:val="clear" w:color="auto" w:fill="FFFFFF"/>
            <w:tcMar>
              <w:top w:w="113" w:type="dxa"/>
              <w:bottom w:w="85" w:type="dxa"/>
            </w:tcMar>
          </w:tcPr>
          <w:p w:rsidR="006F7F41" w:rsidRPr="00C75C7E" w:rsidRDefault="006F7F41" w:rsidP="008F4F69">
            <w:pPr>
              <w:ind w:left="768"/>
              <w:rPr>
                <w:sz w:val="16"/>
                <w:szCs w:val="16"/>
                <w:lang w:val="es-ES_tradnl"/>
              </w:rPr>
            </w:pPr>
            <w:r w:rsidRPr="00C75C7E">
              <w:rPr>
                <w:sz w:val="16"/>
                <w:szCs w:val="16"/>
                <w:lang w:val="es-ES_tradnl" w:bidi="th-TH"/>
              </w:rPr>
              <w:t>Programa  19</w:t>
            </w:r>
          </w:p>
        </w:tc>
      </w:tr>
      <w:tr w:rsidR="006F7F41" w:rsidRPr="00C75C7E" w:rsidTr="008F4F69">
        <w:trPr>
          <w:cantSplit/>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opiniones favorables de las partes interesadas sobre la misión, las actividades y la imagen institucional de la OMPI.</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 xml:space="preserve">Programa  19 </w:t>
            </w:r>
          </w:p>
          <w:p w:rsidR="006F7F41" w:rsidRPr="00C75C7E" w:rsidRDefault="006F7F41" w:rsidP="008F4F69">
            <w:pPr>
              <w:ind w:left="768"/>
              <w:rPr>
                <w:sz w:val="16"/>
                <w:szCs w:val="16"/>
                <w:lang w:val="es-ES_tradnl"/>
              </w:rPr>
            </w:pPr>
            <w:r w:rsidRPr="00C75C7E">
              <w:rPr>
                <w:sz w:val="16"/>
                <w:szCs w:val="16"/>
                <w:lang w:val="es-ES_tradnl" w:bidi="th-TH"/>
              </w:rPr>
              <w:t>Programa  20</w:t>
            </w:r>
          </w:p>
        </w:tc>
      </w:tr>
      <w:tr w:rsidR="006F7F41" w:rsidRPr="00C75C7E" w:rsidTr="008F4F69">
        <w:trPr>
          <w:cantSplit/>
          <w:trHeight w:val="472"/>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aumento del material de prensa, vídeos y fotografías de la OMPI vistos por el público.</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rPr>
            </w:pPr>
            <w:r w:rsidRPr="00C75C7E">
              <w:rPr>
                <w:sz w:val="16"/>
                <w:szCs w:val="16"/>
                <w:lang w:val="es-ES_tradnl" w:bidi="th-TH"/>
              </w:rPr>
              <w:t>Programa  19</w:t>
            </w:r>
          </w:p>
        </w:tc>
      </w:tr>
      <w:tr w:rsidR="006F7F41" w:rsidRPr="00C75C7E" w:rsidTr="008F4F69">
        <w:trPr>
          <w:cantSplit/>
          <w:trHeight w:val="429"/>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aumento de la participación global en el Día Mundial de la P.I. por medio de la página de Facebook (alcance global de la campaña).</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rPr>
            </w:pPr>
            <w:r w:rsidRPr="00C75C7E">
              <w:rPr>
                <w:sz w:val="16"/>
                <w:szCs w:val="16"/>
                <w:lang w:val="es-ES_tradnl" w:bidi="th-TH"/>
              </w:rPr>
              <w:t>Programa  19</w:t>
            </w:r>
          </w:p>
        </w:tc>
      </w:tr>
      <w:tr w:rsidR="006F7F41" w:rsidRPr="00C75C7E" w:rsidTr="008F4F69">
        <w:trPr>
          <w:cantSplit/>
          <w:trHeight w:val="353"/>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aumento del número de consultas de las publicaciones de Internet.</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19</w:t>
            </w:r>
          </w:p>
        </w:tc>
      </w:tr>
      <w:tr w:rsidR="006F7F41" w:rsidRPr="00C75C7E" w:rsidTr="008F4F69">
        <w:trPr>
          <w:cantSplit/>
          <w:trHeight w:val="330"/>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usuarios satisfechos con el sitio web de la OMPI.</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19</w:t>
            </w:r>
          </w:p>
        </w:tc>
      </w:tr>
      <w:tr w:rsidR="006F7F41" w:rsidRPr="00C75C7E" w:rsidTr="008F4F69">
        <w:trPr>
          <w:cantSplit/>
          <w:trHeight w:val="336"/>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Aumento de la influencia y la participación de la OMPI en los medios sociales.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19</w:t>
            </w:r>
          </w:p>
        </w:tc>
      </w:tr>
      <w:tr w:rsidR="006F7F41" w:rsidRPr="00C75C7E" w:rsidTr="008F4F69">
        <w:trPr>
          <w:cantSplit/>
          <w:trHeight w:val="335"/>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Aumento del tráfico en el sitio web de las Oficinas de la OMPI en el exterior.</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20</w:t>
            </w:r>
          </w:p>
        </w:tc>
      </w:tr>
      <w:tr w:rsidR="006F7F41" w:rsidRPr="00C75C7E" w:rsidTr="008F4F69">
        <w:trPr>
          <w:cantSplit/>
          <w:trHeight w:val="385"/>
        </w:trPr>
        <w:tc>
          <w:tcPr>
            <w:tcW w:w="1891"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VIII.2. Mejora en la prestación de servicios y la atención de consultas.</w:t>
            </w: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usuarios satisfechos con los servicios de la Biblioteca.</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19</w:t>
            </w:r>
          </w:p>
        </w:tc>
      </w:tr>
      <w:tr w:rsidR="006F7F41" w:rsidRPr="00C75C7E" w:rsidTr="008F4F69">
        <w:trPr>
          <w:cantSplit/>
          <w:trHeight w:val="337"/>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Índice de satisfacción de los clientes/partes interesadas.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19</w:t>
            </w:r>
          </w:p>
          <w:p w:rsidR="006F7F41" w:rsidRPr="00C75C7E" w:rsidRDefault="006F7F41" w:rsidP="008F4F69">
            <w:pPr>
              <w:ind w:left="768"/>
              <w:rPr>
                <w:sz w:val="16"/>
                <w:szCs w:val="16"/>
                <w:lang w:val="es-ES_tradnl" w:bidi="th-TH"/>
              </w:rPr>
            </w:pPr>
            <w:r w:rsidRPr="00C75C7E">
              <w:rPr>
                <w:sz w:val="16"/>
                <w:szCs w:val="16"/>
                <w:lang w:val="es-ES_tradnl" w:bidi="th-TH"/>
              </w:rPr>
              <w:t>Programa  20</w:t>
            </w:r>
          </w:p>
        </w:tc>
      </w:tr>
      <w:tr w:rsidR="006F7F41" w:rsidRPr="00C75C7E" w:rsidTr="008F4F69">
        <w:trPr>
          <w:cantSplit/>
          <w:trHeight w:val="317"/>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Se cumplen los objetivos definidos en el sitio web de la OMPI para la calidad del servicio.</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19</w:t>
            </w:r>
          </w:p>
        </w:tc>
      </w:tr>
      <w:tr w:rsidR="006F7F41" w:rsidRPr="00C75C7E" w:rsidTr="008F4F69">
        <w:trPr>
          <w:cantSplit/>
          <w:trHeight w:val="297"/>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Duración de la tramitación de las peticiones de información.</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20</w:t>
            </w:r>
          </w:p>
        </w:tc>
      </w:tr>
      <w:tr w:rsidR="006F7F41" w:rsidRPr="00C75C7E" w:rsidTr="008F4F69">
        <w:trPr>
          <w:cantSplit/>
          <w:trHeight w:val="622"/>
        </w:trPr>
        <w:tc>
          <w:tcPr>
            <w:tcW w:w="1891"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lastRenderedPageBreak/>
              <w:t>VIII.3 Atención eficaz a los Estados miembros.</w:t>
            </w: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sesiones de Comités precedidas de reuniones informativas para los Estados miembros.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21</w:t>
            </w:r>
          </w:p>
        </w:tc>
      </w:tr>
      <w:tr w:rsidR="006F7F41" w:rsidRPr="00C75C7E" w:rsidTr="008F4F69">
        <w:trPr>
          <w:cantSplit/>
          <w:trHeight w:val="584"/>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cartas dirigidas al Director General por los Estados miembros a las que se da respuesta en un plazo de dos semanas.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21</w:t>
            </w:r>
          </w:p>
        </w:tc>
      </w:tr>
      <w:tr w:rsidR="006F7F41" w:rsidRPr="00C75C7E" w:rsidTr="008F4F69">
        <w:trPr>
          <w:cantSplit/>
          <w:trHeight w:val="714"/>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 xml:space="preserve">Porcentaje de notificaciones de adhesión y otras medidas relacionadas con los tratados </w:t>
            </w:r>
            <w:proofErr w:type="gramStart"/>
            <w:r w:rsidRPr="00C75C7E">
              <w:rPr>
                <w:sz w:val="16"/>
                <w:szCs w:val="16"/>
                <w:lang w:val="es-ES_tradnl"/>
              </w:rPr>
              <w:t>tramitadas</w:t>
            </w:r>
            <w:proofErr w:type="gramEnd"/>
            <w:r w:rsidRPr="00C75C7E">
              <w:rPr>
                <w:sz w:val="16"/>
                <w:szCs w:val="16"/>
                <w:lang w:val="es-ES_tradnl"/>
              </w:rPr>
              <w:t xml:space="preserve"> de manera puntual.</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21</w:t>
            </w:r>
          </w:p>
        </w:tc>
      </w:tr>
      <w:tr w:rsidR="006F7F41" w:rsidRPr="00C75C7E" w:rsidTr="008F4F69">
        <w:trPr>
          <w:cantSplit/>
          <w:trHeight w:val="524"/>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Índice de satisfacción de los Estados miembros respecto de la preparación y funcionamiento de las Asambleas.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21</w:t>
            </w:r>
          </w:p>
        </w:tc>
      </w:tr>
      <w:tr w:rsidR="006F7F41" w:rsidRPr="00C75C7E" w:rsidTr="008F4F69">
        <w:trPr>
          <w:cantSplit/>
          <w:trHeight w:val="503"/>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Publicación puntual de los documentos de las Asambleas.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21</w:t>
            </w:r>
          </w:p>
        </w:tc>
      </w:tr>
      <w:tr w:rsidR="006F7F41" w:rsidRPr="00C75C7E" w:rsidTr="008F4F69">
        <w:trPr>
          <w:cantSplit/>
          <w:trHeight w:val="522"/>
        </w:trPr>
        <w:tc>
          <w:tcPr>
            <w:tcW w:w="1891"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VIII.4. Intercambios abiertos, transparentes y dinámicos con las partes interesadas no gubernamentales.</w:t>
            </w: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Participación  eficaz y en mayor grado de las partes interesadas no gubernamentales en las actividades de la OMPI y viceversa.</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20</w:t>
            </w:r>
          </w:p>
        </w:tc>
      </w:tr>
      <w:tr w:rsidR="006F7F41" w:rsidRPr="00C75C7E" w:rsidTr="008F4F69">
        <w:trPr>
          <w:cantSplit/>
          <w:trHeight w:val="537"/>
        </w:trPr>
        <w:tc>
          <w:tcPr>
            <w:tcW w:w="1891"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VIII.5. La OMPI participa y colabora eficazmente en los procesos y negociaciones de las NN.UU. y otras OIG.</w:t>
            </w: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Utilización de las aportaciones de la OMPI en informes, resoluciones y documentos de procesos de las partes interesadas.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20</w:t>
            </w:r>
          </w:p>
        </w:tc>
      </w:tr>
      <w:tr w:rsidR="006F7F41" w:rsidRPr="00C75C7E" w:rsidTr="008F4F69">
        <w:trPr>
          <w:cantSplit/>
          <w:trHeight w:val="514"/>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respuestas cursadas puntualmente atendiendo a peticiones externas de aportación por parte de las NN.UU., OIG, etc.</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20</w:t>
            </w:r>
          </w:p>
        </w:tc>
      </w:tr>
      <w:tr w:rsidR="006F7F41" w:rsidRPr="00C75C7E" w:rsidTr="008F4F69">
        <w:trPr>
          <w:cantSplit/>
          <w:trHeight w:val="478"/>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Número de programas de P.I. ejecutados conjuntamente con otros organismos de NN.UU. y otras OIG.</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20</w:t>
            </w:r>
          </w:p>
        </w:tc>
      </w:tr>
      <w:tr w:rsidR="006F7F41" w:rsidRPr="00C75C7E" w:rsidTr="008F4F69">
        <w:trPr>
          <w:cantSplit/>
          <w:trHeight w:val="356"/>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Nuevas iniciativas conjuntas con otros organismos de NN.UU.</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21</w:t>
            </w:r>
          </w:p>
        </w:tc>
      </w:tr>
      <w:tr w:rsidR="006F7F41" w:rsidRPr="00C75C7E" w:rsidTr="008F4F69">
        <w:trPr>
          <w:cantSplit/>
          <w:trHeight w:val="807"/>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peticiones de asesoramiento y servicios jurídicos que reciben respuestas rápidas, independientes y fiables de la Oficina del Consejero Jurídico.</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21</w:t>
            </w:r>
          </w:p>
        </w:tc>
      </w:tr>
      <w:tr w:rsidR="006F7F41" w:rsidRPr="00C75C7E" w:rsidTr="008F4F69">
        <w:trPr>
          <w:cantSplit/>
          <w:trHeight w:val="383"/>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bCs/>
                <w:sz w:val="16"/>
                <w:szCs w:val="16"/>
                <w:lang w:val="es-ES_tradnl"/>
              </w:rPr>
            </w:pPr>
            <w:r w:rsidRPr="00C75C7E">
              <w:rPr>
                <w:bCs/>
                <w:sz w:val="16"/>
                <w:szCs w:val="16"/>
                <w:lang w:val="es-ES_tradnl"/>
              </w:rPr>
              <w:t>Recomendaciones del Comité de Alto Nivel sobre Gestión y de las redes subsidiarias que se han dado por aplicadas.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24</w:t>
            </w:r>
          </w:p>
        </w:tc>
      </w:tr>
      <w:tr w:rsidR="006F7F41" w:rsidRPr="00C75C7E" w:rsidTr="008F4F69">
        <w:trPr>
          <w:cantSplit/>
          <w:trHeight w:val="515"/>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productos y servicios contratados y adquiridos a nivel local en comparación con el importe total de los adquiridos para actividades de desarrollo.</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24</w:t>
            </w:r>
          </w:p>
        </w:tc>
      </w:tr>
      <w:tr w:rsidR="006F7F41" w:rsidRPr="00C75C7E" w:rsidTr="008F4F69">
        <w:trPr>
          <w:cantSplit/>
          <w:trHeight w:val="518"/>
        </w:trPr>
        <w:tc>
          <w:tcPr>
            <w:tcW w:w="1891" w:type="pct"/>
            <w:shd w:val="clear" w:color="auto" w:fill="auto"/>
            <w:tcMar>
              <w:top w:w="113" w:type="dxa"/>
              <w:bottom w:w="85" w:type="dxa"/>
            </w:tcMar>
          </w:tcPr>
          <w:p w:rsidR="006F7F41" w:rsidRPr="00C75C7E" w:rsidRDefault="006F7F41" w:rsidP="008F4F69">
            <w:pPr>
              <w:rPr>
                <w:sz w:val="16"/>
                <w:szCs w:val="16"/>
                <w:lang w:val="es-ES_tradnl"/>
              </w:rPr>
            </w:pPr>
          </w:p>
        </w:tc>
        <w:tc>
          <w:tcPr>
            <w:tcW w:w="1524" w:type="pct"/>
            <w:shd w:val="clear" w:color="auto" w:fill="auto"/>
            <w:tcMar>
              <w:top w:w="113" w:type="dxa"/>
              <w:bottom w:w="85" w:type="dxa"/>
            </w:tcMar>
          </w:tcPr>
          <w:p w:rsidR="006F7F41" w:rsidRPr="00C75C7E" w:rsidRDefault="006F7F41" w:rsidP="008F4F69">
            <w:pPr>
              <w:rPr>
                <w:sz w:val="16"/>
                <w:szCs w:val="16"/>
                <w:lang w:val="es-ES_tradnl"/>
              </w:rPr>
            </w:pPr>
            <w:r w:rsidRPr="00C75C7E">
              <w:rPr>
                <w:sz w:val="16"/>
                <w:szCs w:val="16"/>
                <w:lang w:val="es-ES_tradnl"/>
              </w:rPr>
              <w:t>Porcentaje de gastos efectuados con arreglo a las prácticas vigentes en NN.UU. (licitaciones comunes o aprovechamiento de los contratos).</w:t>
            </w:r>
          </w:p>
        </w:tc>
        <w:tc>
          <w:tcPr>
            <w:tcW w:w="1585" w:type="pct"/>
            <w:shd w:val="clear" w:color="auto" w:fill="FFFFFF"/>
            <w:tcMar>
              <w:top w:w="113" w:type="dxa"/>
              <w:bottom w:w="85" w:type="dxa"/>
            </w:tcMar>
          </w:tcPr>
          <w:p w:rsidR="006F7F41" w:rsidRPr="00C75C7E" w:rsidRDefault="006F7F41" w:rsidP="008F4F69">
            <w:pPr>
              <w:ind w:left="768"/>
              <w:rPr>
                <w:sz w:val="16"/>
                <w:szCs w:val="16"/>
                <w:lang w:val="es-ES_tradnl" w:bidi="th-TH"/>
              </w:rPr>
            </w:pPr>
            <w:r w:rsidRPr="00C75C7E">
              <w:rPr>
                <w:sz w:val="16"/>
                <w:szCs w:val="16"/>
                <w:lang w:val="es-ES_tradnl" w:bidi="th-TH"/>
              </w:rPr>
              <w:t>Programa  24</w:t>
            </w:r>
          </w:p>
        </w:tc>
      </w:tr>
    </w:tbl>
    <w:p w:rsidR="006F7F41" w:rsidRPr="00C75C7E" w:rsidRDefault="006F7F41" w:rsidP="006F7F41">
      <w:pPr>
        <w:tabs>
          <w:tab w:val="left" w:pos="1701"/>
        </w:tabs>
        <w:ind w:left="1701" w:hanging="1701"/>
        <w:jc w:val="center"/>
        <w:rPr>
          <w:b/>
          <w:bCs/>
          <w:caps/>
          <w:sz w:val="20"/>
          <w:highlight w:val="yellow"/>
          <w:lang w:val="es-ES_tradnl"/>
        </w:rPr>
      </w:pPr>
    </w:p>
    <w:p w:rsidR="000E3B25" w:rsidRPr="000E3B25" w:rsidRDefault="006F7F41" w:rsidP="000E3B25">
      <w:pPr>
        <w:pStyle w:val="Heading3"/>
        <w:tabs>
          <w:tab w:val="left" w:pos="1985"/>
        </w:tabs>
        <w:rPr>
          <w:b/>
          <w:u w:val="none"/>
          <w:lang w:val="es-ES_tradnl"/>
        </w:rPr>
      </w:pPr>
      <w:r w:rsidRPr="00C75C7E">
        <w:rPr>
          <w:sz w:val="20"/>
          <w:lang w:val="es-ES_tradnl"/>
        </w:rPr>
        <w:br w:type="page"/>
      </w:r>
      <w:bookmarkStart w:id="78" w:name="_Toc356567773"/>
      <w:bookmarkStart w:id="79" w:name="_Toc366078741"/>
      <w:r w:rsidR="000E3B25" w:rsidRPr="000E3B25">
        <w:rPr>
          <w:b/>
          <w:u w:val="none"/>
          <w:lang w:val="es-ES_tradnl"/>
        </w:rPr>
        <w:lastRenderedPageBreak/>
        <w:t>PROGRAMA 19</w:t>
      </w:r>
      <w:r w:rsidR="000E3B25" w:rsidRPr="000E3B25">
        <w:rPr>
          <w:b/>
          <w:u w:val="none"/>
          <w:lang w:val="es-ES_tradnl"/>
        </w:rPr>
        <w:tab/>
        <w:t>COMUNICACIONES</w:t>
      </w:r>
      <w:bookmarkEnd w:id="78"/>
      <w:bookmarkEnd w:id="79"/>
    </w:p>
    <w:p w:rsidR="000E3B25" w:rsidRPr="00AD1E8B" w:rsidRDefault="000E3B25" w:rsidP="006A15F5">
      <w:pPr>
        <w:rPr>
          <w:lang w:val="es-ES_tradnl"/>
        </w:rPr>
      </w:pPr>
    </w:p>
    <w:p w:rsidR="000E3B25" w:rsidRPr="00AD1E8B" w:rsidRDefault="000E3B25" w:rsidP="006A15F5">
      <w:pPr>
        <w:rPr>
          <w:b/>
          <w:lang w:val="es-ES_tradnl"/>
        </w:rPr>
      </w:pPr>
    </w:p>
    <w:p w:rsidR="000E3B25" w:rsidRPr="00AD1E8B" w:rsidRDefault="000E3B25" w:rsidP="000E3B25">
      <w:pPr>
        <w:pStyle w:val="BodyTextIndent"/>
        <w:ind w:left="1985" w:hanging="1985"/>
        <w:jc w:val="both"/>
        <w:rPr>
          <w:rFonts w:ascii="Arial" w:hAnsi="Arial" w:cs="Arial"/>
          <w:sz w:val="22"/>
          <w:szCs w:val="22"/>
          <w:lang w:val="es-ES_tradnl"/>
        </w:rPr>
      </w:pPr>
      <w:r w:rsidRPr="00AD1E8B">
        <w:rPr>
          <w:rFonts w:ascii="Arial" w:hAnsi="Arial" w:cs="Arial"/>
          <w:sz w:val="22"/>
          <w:szCs w:val="22"/>
          <w:lang w:val="es-ES_tradnl"/>
        </w:rPr>
        <w:t>CONTEXTO DE PLANIFICACIÓN</w:t>
      </w:r>
    </w:p>
    <w:p w:rsidR="000E3B25" w:rsidRPr="00AD1E8B" w:rsidRDefault="000E3B25" w:rsidP="000E3B25">
      <w:pPr>
        <w:rPr>
          <w:sz w:val="20"/>
          <w:lang w:val="es-ES_tradnl"/>
        </w:rPr>
      </w:pPr>
    </w:p>
    <w:p w:rsidR="000E3B25" w:rsidRPr="00AD1E8B" w:rsidRDefault="000E3B25" w:rsidP="00E17471">
      <w:pPr>
        <w:numPr>
          <w:ilvl w:val="0"/>
          <w:numId w:val="13"/>
        </w:numPr>
        <w:jc w:val="both"/>
        <w:rPr>
          <w:sz w:val="20"/>
          <w:lang w:val="es-ES_tradnl"/>
        </w:rPr>
      </w:pPr>
      <w:r w:rsidRPr="00AD1E8B">
        <w:rPr>
          <w:sz w:val="20"/>
          <w:lang w:val="es-ES_tradnl"/>
        </w:rPr>
        <w:t xml:space="preserve">La importancia del conocimiento en la economía global ha puesto en el candelero a la propiedad intelectual, destacando el funcionamiento del sistema de P.I. y la función que desempeña respecto de la innovación, la cultura, el desarrollo y el acceso a los conocimientos.  La labor de la OMPI en el ámbito de las comunicaciones tiene como telón de fondo un elevado interés normativo, un debate público en que los pareceres se presentan con frecuencia polarizados y una fuerte demanda de información fiable y objetiva en torno a la P.I.  Más recientemente, el clima de comunicaciones a este respecto se ha caracterizado por la movilización masiva de la opinión pública a través de campañas desencadenadas en los medios sociales por grupos de interés contrapuestos en su pugna por la supremacía.  </w:t>
      </w:r>
    </w:p>
    <w:p w:rsidR="000E3B25" w:rsidRPr="00AD1E8B" w:rsidRDefault="000E3B25" w:rsidP="000E3B25">
      <w:pPr>
        <w:jc w:val="both"/>
        <w:rPr>
          <w:sz w:val="20"/>
          <w:lang w:val="es-ES_tradnl"/>
        </w:rPr>
      </w:pPr>
    </w:p>
    <w:p w:rsidR="000E3B25" w:rsidRPr="00AD1E8B" w:rsidRDefault="000E3B25" w:rsidP="00E17471">
      <w:pPr>
        <w:numPr>
          <w:ilvl w:val="0"/>
          <w:numId w:val="13"/>
        </w:numPr>
        <w:jc w:val="both"/>
        <w:rPr>
          <w:sz w:val="20"/>
          <w:lang w:val="es-ES_tradnl"/>
        </w:rPr>
      </w:pPr>
      <w:r w:rsidRPr="00AD1E8B">
        <w:rPr>
          <w:sz w:val="20"/>
          <w:lang w:val="es-ES_tradnl"/>
        </w:rPr>
        <w:t xml:space="preserve">En este contexto, la sensibilización pública hacia la misión, actividades e identidad de la OMPI va desde luego en aumento, pero se mantiene a un nivel relativamente modesto.  Para fortalecer la comprensión, adhesión y confianza que necesita para dar cumplimiento a su cometido, la OMPI debe comunicar más eficazmente su misión, los valores que representa, la función que desempeña y las aportaciones que realiza.  Ha de concitar una mayor comprensión y reconocimiento para la posición que ocupa como foro de referencia incluyente y global en materia de P.I. y como principal proveedor de servicios, pericias, información y asesoramiento en este ámbito a nivel internacional.  Debe articular más claramente lo que está haciendo para conseguir que la P.I. genere innovación y creatividad.  Para lograr estos fines, el programa 19 ha de seguir mejorando la claridad y la consistencia de sus mensajes fundamentales, el valor de los contenidos que produce para un público heterogéneo y la eficacia de la difusión de los mismos.  </w:t>
      </w:r>
    </w:p>
    <w:p w:rsidR="000E3B25" w:rsidRPr="00AD1E8B" w:rsidRDefault="000E3B25" w:rsidP="000E3B25">
      <w:pPr>
        <w:jc w:val="both"/>
        <w:rPr>
          <w:sz w:val="20"/>
          <w:lang w:val="es-ES_tradnl"/>
        </w:rPr>
      </w:pPr>
    </w:p>
    <w:p w:rsidR="000E3B25" w:rsidRPr="00AD1E8B" w:rsidRDefault="000E3B25" w:rsidP="00E17471">
      <w:pPr>
        <w:numPr>
          <w:ilvl w:val="0"/>
          <w:numId w:val="13"/>
        </w:numPr>
        <w:jc w:val="both"/>
        <w:rPr>
          <w:sz w:val="20"/>
          <w:lang w:val="es-ES_tradnl"/>
        </w:rPr>
      </w:pPr>
      <w:r w:rsidRPr="00AD1E8B">
        <w:rPr>
          <w:sz w:val="20"/>
          <w:lang w:val="es-ES_tradnl"/>
        </w:rPr>
        <w:t xml:space="preserve">La velocidad de reacción y la agilidad necesarias para seguir el ritmo de crecimiento exponencial de los nuevos medios de difusión representan un reto aún más apremiante.  Para responder con eficacia a las exigencias que plantea el actual entorno rápidamente cambiante de los medios de comunicación y explotar las oportunidades que presenta, la Secretaría habrá de desarrollar ulteriormente su base de recursos y competencias de comunicaciones, incluyendo las pericias multilingües en materia de creación de contenidos flexibles, gestión de medios sociales y productos multimedia en Internet y producción de medios. </w:t>
      </w:r>
    </w:p>
    <w:p w:rsidR="000E3B25" w:rsidRPr="00AD1E8B" w:rsidRDefault="000E3B25" w:rsidP="000E3B25">
      <w:pPr>
        <w:jc w:val="both"/>
        <w:rPr>
          <w:sz w:val="20"/>
          <w:lang w:val="es-ES_tradnl"/>
        </w:rPr>
      </w:pPr>
    </w:p>
    <w:p w:rsidR="000E3B25" w:rsidRPr="00AD1E8B" w:rsidRDefault="000E3B25" w:rsidP="00E17471">
      <w:pPr>
        <w:numPr>
          <w:ilvl w:val="0"/>
          <w:numId w:val="13"/>
        </w:numPr>
        <w:jc w:val="both"/>
        <w:rPr>
          <w:sz w:val="20"/>
          <w:lang w:val="es-ES_tradnl"/>
        </w:rPr>
      </w:pPr>
      <w:r w:rsidRPr="00AD1E8B">
        <w:rPr>
          <w:sz w:val="20"/>
          <w:lang w:val="es-ES_tradnl"/>
        </w:rPr>
        <w:t>El programa 19 atiende asimismo los crecientes llamamientos en favor de la elaboración y gestión de estrategias destinadas a mejorar la comercialización mundial de servicios y productos esenciales para los potenciales usuarios.  Ello requerirá competencias suplementarias en materia de comercialización y promoción para complementar las pericias y recursos ya existentes.</w:t>
      </w:r>
    </w:p>
    <w:p w:rsidR="000E3B25" w:rsidRPr="00AD1E8B" w:rsidRDefault="000E3B25" w:rsidP="000E3B25">
      <w:pPr>
        <w:jc w:val="both"/>
        <w:rPr>
          <w:sz w:val="20"/>
          <w:lang w:val="es-ES_tradnl"/>
        </w:rPr>
      </w:pPr>
    </w:p>
    <w:p w:rsidR="000E3B25" w:rsidRPr="00AD1E8B" w:rsidRDefault="000E3B25" w:rsidP="00E17471">
      <w:pPr>
        <w:numPr>
          <w:ilvl w:val="0"/>
          <w:numId w:val="13"/>
        </w:numPr>
        <w:jc w:val="both"/>
        <w:rPr>
          <w:sz w:val="20"/>
          <w:lang w:val="es-ES_tradnl"/>
        </w:rPr>
      </w:pPr>
      <w:r w:rsidRPr="00AD1E8B">
        <w:rPr>
          <w:sz w:val="20"/>
          <w:lang w:val="es-ES_tradnl"/>
        </w:rPr>
        <w:t>El programa 19 contribuye a los objetivos de la A.D. proporcionando asistencia técnica para "promover en particular</w:t>
      </w:r>
      <w:r w:rsidRPr="00AD1E8B">
        <w:rPr>
          <w:i/>
          <w:sz w:val="20"/>
          <w:lang w:val="es-ES_tradnl"/>
        </w:rPr>
        <w:t xml:space="preserve"> </w:t>
      </w:r>
      <w:r w:rsidRPr="00AD1E8B">
        <w:rPr>
          <w:sz w:val="20"/>
          <w:lang w:val="es-ES_tradnl"/>
        </w:rPr>
        <w:t xml:space="preserve">una cultura de P.I. orientada hacia el desarrollo, con especial énfasis sobre la presentación de la P.I. a diferentes niveles académicos y un mayor nivel de sensibilización pública hacia la P.I." (recomendación 3 de la A.D.).  Esto incluye la voluntad de atender la fuerte demanda de contenido público de información por parte de los países en desarrollo y los PMA. </w:t>
      </w:r>
    </w:p>
    <w:p w:rsidR="000E3B25" w:rsidRPr="00AD1E8B" w:rsidRDefault="000E3B25" w:rsidP="000E3B25">
      <w:pPr>
        <w:jc w:val="both"/>
        <w:rPr>
          <w:sz w:val="20"/>
          <w:lang w:val="es-ES_tradnl"/>
        </w:rPr>
      </w:pPr>
    </w:p>
    <w:p w:rsidR="000E3B25" w:rsidRPr="00AD1E8B" w:rsidRDefault="000E3B25" w:rsidP="00E17471">
      <w:pPr>
        <w:numPr>
          <w:ilvl w:val="0"/>
          <w:numId w:val="13"/>
        </w:numPr>
        <w:jc w:val="both"/>
        <w:rPr>
          <w:sz w:val="20"/>
          <w:lang w:val="es-ES_tradnl"/>
        </w:rPr>
      </w:pPr>
      <w:r w:rsidRPr="00AD1E8B">
        <w:rPr>
          <w:sz w:val="20"/>
          <w:lang w:val="es-ES_tradnl"/>
        </w:rPr>
        <w:t>La comunicación es un elemento esencial de la prestación de servicios internos y externos.  La OMPI debe esforzarse por comprender mejor las necesidades y expectativas de sus numerosas partes interesadas y continuar edificando sobre los cimientos asentados durante el pasado bienio para promover una cultura orientada hacia el servicio y sustentada por una infraestructura técnica perfeccionada.</w:t>
      </w:r>
    </w:p>
    <w:p w:rsidR="000E3B25" w:rsidRPr="00AD1E8B" w:rsidRDefault="000E3B25" w:rsidP="000E3B25">
      <w:pPr>
        <w:tabs>
          <w:tab w:val="num" w:pos="709"/>
        </w:tabs>
        <w:ind w:left="1140" w:hanging="1140"/>
        <w:jc w:val="both"/>
        <w:rPr>
          <w:bCs/>
          <w:sz w:val="20"/>
          <w:lang w:val="es-ES_tradnl"/>
        </w:rPr>
      </w:pPr>
    </w:p>
    <w:p w:rsidR="000E3B25" w:rsidRPr="00AD1E8B" w:rsidRDefault="000E3B25" w:rsidP="000E3B25">
      <w:pPr>
        <w:tabs>
          <w:tab w:val="num" w:pos="709"/>
        </w:tabs>
        <w:ind w:left="1140" w:hanging="1140"/>
        <w:jc w:val="both"/>
        <w:rPr>
          <w:sz w:val="20"/>
          <w:lang w:val="es-ES_tradnl"/>
        </w:rPr>
      </w:pPr>
    </w:p>
    <w:p w:rsidR="000E3B25" w:rsidRPr="00AD1E8B" w:rsidRDefault="00BC1471" w:rsidP="000E3B25">
      <w:pPr>
        <w:jc w:val="both"/>
        <w:rPr>
          <w:szCs w:val="24"/>
          <w:lang w:val="es-ES_tradnl"/>
        </w:rPr>
      </w:pPr>
      <w:r>
        <w:rPr>
          <w:lang w:val="es-ES_tradnl"/>
        </w:rPr>
        <w:t xml:space="preserve">ESTRATEGIAS </w:t>
      </w:r>
      <w:r w:rsidR="000E3B25" w:rsidRPr="00AD1E8B">
        <w:rPr>
          <w:lang w:val="es-ES_tradnl"/>
        </w:rPr>
        <w:t>DE EJECUCIÓN</w:t>
      </w:r>
    </w:p>
    <w:p w:rsidR="000E3B25" w:rsidRPr="00AD1E8B" w:rsidRDefault="000E3B25" w:rsidP="000E3B25">
      <w:pPr>
        <w:tabs>
          <w:tab w:val="num" w:pos="709"/>
        </w:tabs>
        <w:jc w:val="both"/>
        <w:rPr>
          <w:sz w:val="20"/>
          <w:szCs w:val="18"/>
          <w:lang w:val="es-ES_tradnl"/>
        </w:rPr>
      </w:pPr>
    </w:p>
    <w:p w:rsidR="000E3B25" w:rsidRPr="00AD1E8B" w:rsidRDefault="000E3B25" w:rsidP="00E17471">
      <w:pPr>
        <w:numPr>
          <w:ilvl w:val="0"/>
          <w:numId w:val="13"/>
        </w:numPr>
        <w:jc w:val="both"/>
        <w:rPr>
          <w:sz w:val="20"/>
          <w:lang w:val="es-ES_tradnl"/>
        </w:rPr>
      </w:pPr>
      <w:r w:rsidRPr="00AD1E8B">
        <w:rPr>
          <w:sz w:val="20"/>
          <w:lang w:val="es-ES_tradnl"/>
        </w:rPr>
        <w:t xml:space="preserve">La labor del programa 19 en 2014/15 debería dar lugar a una comunicación más eficaz en torno a la P.I. y a la función propia de la OMPI.  La calidad de la contribución realizada por el programa se reflejará en un consumo acrecentado de contenido público de información, incluyendo publicaciones, videos, imágenes, materiales de prensa y recursos basados en la Web, así como en una mayor participación de las partes interesadas en nuestras plataformas de medios sociales y en las actividades del Día </w:t>
      </w:r>
      <w:r>
        <w:rPr>
          <w:sz w:val="20"/>
          <w:lang w:val="es-ES_tradnl"/>
        </w:rPr>
        <w:t>m</w:t>
      </w:r>
      <w:r w:rsidRPr="00AD1E8B">
        <w:rPr>
          <w:sz w:val="20"/>
          <w:lang w:val="es-ES_tradnl"/>
        </w:rPr>
        <w:t xml:space="preserve">undial de la </w:t>
      </w:r>
      <w:r>
        <w:rPr>
          <w:sz w:val="20"/>
          <w:lang w:val="es-ES_tradnl"/>
        </w:rPr>
        <w:t>p</w:t>
      </w:r>
      <w:r w:rsidRPr="00AD1E8B">
        <w:rPr>
          <w:sz w:val="20"/>
          <w:lang w:val="es-ES_tradnl"/>
        </w:rPr>
        <w:t xml:space="preserve">ropiedad </w:t>
      </w:r>
      <w:r>
        <w:rPr>
          <w:sz w:val="20"/>
          <w:lang w:val="es-ES_tradnl"/>
        </w:rPr>
        <w:t>i</w:t>
      </w:r>
      <w:r w:rsidRPr="00AD1E8B">
        <w:rPr>
          <w:sz w:val="20"/>
          <w:lang w:val="es-ES_tradnl"/>
        </w:rPr>
        <w:t xml:space="preserve">ntelectual.  Una comunicación acertada repercutirá además en una </w:t>
      </w:r>
      <w:r w:rsidRPr="00AD1E8B">
        <w:rPr>
          <w:sz w:val="20"/>
          <w:lang w:val="es-ES_tradnl"/>
        </w:rPr>
        <w:lastRenderedPageBreak/>
        <w:t>mayor visibilidad en los medios internacionales y en una mejor aceptación por parte de las partes interesadas.  La mayor rapidez de la Secretaría de la OMPI para atender las consultas externas se reflejará en el aumento del índice de satisfacción de las partes interesadas.</w:t>
      </w:r>
    </w:p>
    <w:p w:rsidR="000E3B25" w:rsidRPr="00AD1E8B" w:rsidRDefault="000E3B25" w:rsidP="000E3B25">
      <w:pPr>
        <w:jc w:val="both"/>
        <w:rPr>
          <w:sz w:val="20"/>
          <w:lang w:val="es-ES_tradnl"/>
        </w:rPr>
      </w:pPr>
    </w:p>
    <w:p w:rsidR="000E3B25" w:rsidRPr="00AD1E8B" w:rsidRDefault="000E3B25" w:rsidP="00E17471">
      <w:pPr>
        <w:numPr>
          <w:ilvl w:val="0"/>
          <w:numId w:val="13"/>
        </w:numPr>
        <w:jc w:val="both"/>
        <w:rPr>
          <w:sz w:val="20"/>
          <w:lang w:val="es-ES_tradnl"/>
        </w:rPr>
      </w:pPr>
      <w:r w:rsidRPr="00AD1E8B">
        <w:rPr>
          <w:sz w:val="20"/>
          <w:lang w:val="es-ES_tradnl"/>
        </w:rPr>
        <w:t>En consonancia con la pauta señalada en el marco general del Plan Estratégico a Mediano Plazo (meta estratégica VIII), las estrategias aplicadas por el programa 19 en orden a la obtención de dichos resultados continuarán incluyendo los siguientes elementos:</w:t>
      </w:r>
    </w:p>
    <w:p w:rsidR="000E3B25" w:rsidRPr="00AD1E8B" w:rsidRDefault="000E3B25" w:rsidP="000E3B25">
      <w:pPr>
        <w:jc w:val="both"/>
        <w:rPr>
          <w:sz w:val="20"/>
          <w:lang w:val="es-ES_tradnl"/>
        </w:rPr>
      </w:pPr>
    </w:p>
    <w:p w:rsidR="000E3B25" w:rsidRPr="00AD1E8B" w:rsidRDefault="000E3B25" w:rsidP="000E3B25">
      <w:pPr>
        <w:tabs>
          <w:tab w:val="left" w:pos="1100"/>
        </w:tabs>
        <w:ind w:left="550"/>
        <w:jc w:val="both"/>
        <w:rPr>
          <w:sz w:val="20"/>
          <w:lang w:val="es-ES_tradnl"/>
        </w:rPr>
      </w:pPr>
      <w:r w:rsidRPr="00AD1E8B">
        <w:rPr>
          <w:iCs/>
          <w:sz w:val="20"/>
          <w:lang w:val="es-ES_tradnl"/>
        </w:rPr>
        <w:t>i)</w:t>
      </w:r>
      <w:r w:rsidRPr="00AD1E8B">
        <w:rPr>
          <w:i/>
          <w:iCs/>
          <w:sz w:val="20"/>
          <w:lang w:val="es-ES_tradnl"/>
        </w:rPr>
        <w:tab/>
        <w:t>Coordinación interna.</w:t>
      </w:r>
      <w:r w:rsidRPr="00AD1E8B">
        <w:rPr>
          <w:iCs/>
          <w:sz w:val="20"/>
          <w:lang w:val="es-ES_tradnl"/>
        </w:rPr>
        <w:t xml:space="preserve">  Se continuará fomentando en toda la Organización un enfoque estratégico de las comunicaciones, apoyado por una coordinación intersectorial más sistemática.  El programa </w:t>
      </w:r>
      <w:r w:rsidRPr="00AD1E8B">
        <w:rPr>
          <w:sz w:val="20"/>
          <w:lang w:val="es-ES_tradnl"/>
        </w:rPr>
        <w:t>19 lanzará iniciativas encaminadas a promover una mejor comunicación y secundará los esfuerzos tendentes a estimular más comunicación horizontal e intercambio de información en toda la Organización.  Esto es necesario para conseguir que el personal se identifique con las iniciativas destinadas a producir cambios culturales.</w:t>
      </w:r>
    </w:p>
    <w:p w:rsidR="000E3B25" w:rsidRPr="00AD1E8B" w:rsidRDefault="000E3B25" w:rsidP="000E3B25">
      <w:pPr>
        <w:jc w:val="both"/>
        <w:rPr>
          <w:sz w:val="20"/>
          <w:lang w:val="es-ES_tradnl"/>
        </w:rPr>
      </w:pPr>
    </w:p>
    <w:p w:rsidR="000E3B25" w:rsidRPr="00AD1E8B" w:rsidRDefault="000E3B25" w:rsidP="000E3B25">
      <w:pPr>
        <w:tabs>
          <w:tab w:val="left" w:pos="1100"/>
        </w:tabs>
        <w:ind w:left="550"/>
        <w:jc w:val="both"/>
        <w:rPr>
          <w:sz w:val="20"/>
          <w:lang w:val="es-ES_tradnl"/>
        </w:rPr>
      </w:pPr>
      <w:r w:rsidRPr="000E3B25">
        <w:rPr>
          <w:iCs/>
          <w:sz w:val="20"/>
          <w:lang w:val="es-ES_tradnl"/>
        </w:rPr>
        <w:t>ii)</w:t>
      </w:r>
      <w:r w:rsidRPr="000E3B25">
        <w:rPr>
          <w:iCs/>
          <w:sz w:val="20"/>
          <w:lang w:val="es-ES_tradnl"/>
        </w:rPr>
        <w:tab/>
      </w:r>
      <w:r w:rsidRPr="00AD1E8B">
        <w:rPr>
          <w:i/>
          <w:iCs/>
          <w:sz w:val="20"/>
          <w:lang w:val="es-ES_tradnl"/>
        </w:rPr>
        <w:t xml:space="preserve">Asignación de prioridades y diferenciación. </w:t>
      </w:r>
      <w:r w:rsidRPr="00AD1E8B">
        <w:rPr>
          <w:iCs/>
          <w:sz w:val="20"/>
          <w:lang w:val="es-ES_tradnl"/>
        </w:rPr>
        <w:t xml:space="preserve">Cada año, </w:t>
      </w:r>
      <w:r w:rsidRPr="00AD1E8B">
        <w:rPr>
          <w:i/>
          <w:iCs/>
          <w:sz w:val="20"/>
          <w:lang w:val="es-ES_tradnl"/>
        </w:rPr>
        <w:t xml:space="preserve"> </w:t>
      </w:r>
      <w:r w:rsidRPr="00AD1E8B">
        <w:rPr>
          <w:iCs/>
          <w:sz w:val="20"/>
          <w:lang w:val="es-ES_tradnl"/>
        </w:rPr>
        <w:t>un número limitado de eventos, productos y logros importantes de la OMPI serán identificados como las principales comunicaciones y prioridades de comercialización con la mira de movilizar e integrar los recursos disponibles para maximizar la repercusión en los grupos destinatarios.</w:t>
      </w:r>
    </w:p>
    <w:p w:rsidR="000E3B25" w:rsidRPr="00AD1E8B" w:rsidRDefault="000E3B25" w:rsidP="000E3B25">
      <w:pPr>
        <w:jc w:val="both"/>
        <w:rPr>
          <w:i/>
          <w:sz w:val="20"/>
          <w:lang w:val="es-ES_tradnl"/>
        </w:rPr>
      </w:pPr>
    </w:p>
    <w:p w:rsidR="000E3B25" w:rsidRPr="00AD1E8B" w:rsidRDefault="000E3B25" w:rsidP="000E3B25">
      <w:pPr>
        <w:tabs>
          <w:tab w:val="left" w:pos="1100"/>
        </w:tabs>
        <w:ind w:left="550"/>
        <w:jc w:val="both"/>
        <w:rPr>
          <w:sz w:val="20"/>
          <w:lang w:val="es-ES_tradnl"/>
        </w:rPr>
      </w:pPr>
      <w:r w:rsidRPr="00AD1E8B">
        <w:rPr>
          <w:sz w:val="20"/>
          <w:lang w:val="es-ES_tradnl"/>
        </w:rPr>
        <w:t>iii)</w:t>
      </w:r>
      <w:r w:rsidRPr="00AD1E8B">
        <w:rPr>
          <w:sz w:val="20"/>
          <w:lang w:val="es-ES_tradnl"/>
        </w:rPr>
        <w:tab/>
      </w:r>
      <w:r w:rsidRPr="00AD1E8B">
        <w:rPr>
          <w:i/>
          <w:sz w:val="20"/>
          <w:lang w:val="es-ES_tradnl"/>
        </w:rPr>
        <w:t xml:space="preserve"> Contenidos de calidad</w:t>
      </w:r>
      <w:r w:rsidRPr="00AD1E8B">
        <w:rPr>
          <w:i/>
          <w:iCs/>
          <w:sz w:val="20"/>
          <w:lang w:val="es-ES_tradnl"/>
        </w:rPr>
        <w:t xml:space="preserve">.  </w:t>
      </w:r>
      <w:r w:rsidRPr="00AD1E8B">
        <w:rPr>
          <w:iCs/>
          <w:sz w:val="20"/>
          <w:lang w:val="es-ES_tradnl"/>
        </w:rPr>
        <w:t>Los contenidos de elevado valor (p. ej. los prestigiosos análisis estadísticos y económicos de la OMPI)</w:t>
      </w:r>
      <w:r w:rsidRPr="00AD1E8B">
        <w:rPr>
          <w:sz w:val="20"/>
          <w:lang w:val="es-ES_tradnl"/>
        </w:rPr>
        <w:t xml:space="preserve"> – recibirán prioridad y serán vigorosamente promovidos para maximizar su repercusión, incluyendo un mayor uso de infografías de calidad destinadas a comunicar datos complejos mediante visualización.  La Junta de </w:t>
      </w:r>
      <w:r w:rsidR="003B22A3">
        <w:rPr>
          <w:sz w:val="20"/>
          <w:lang w:val="es-ES_tradnl"/>
        </w:rPr>
        <w:t>P</w:t>
      </w:r>
      <w:r w:rsidR="003B22A3" w:rsidRPr="00AD1E8B">
        <w:rPr>
          <w:sz w:val="20"/>
          <w:lang w:val="es-ES_tradnl"/>
        </w:rPr>
        <w:t xml:space="preserve">ublicaciones </w:t>
      </w:r>
      <w:r w:rsidRPr="00AD1E8B">
        <w:rPr>
          <w:sz w:val="20"/>
          <w:lang w:val="es-ES_tradnl"/>
        </w:rPr>
        <w:t xml:space="preserve">y el nuevo procedimiento de publicación velarán por que sea atribuida la primacía, no a la cantidad, sino a la calidad y a la satisfacción de las necesidades identificadas.  Los datos escuetos serán complementados mediante estudios de casos y experiencias positivas de amena lectura, por ejemplo en la Revista de la OMPI o en la base de datos </w:t>
      </w:r>
      <w:r w:rsidRPr="00F50540">
        <w:rPr>
          <w:i/>
          <w:iCs/>
          <w:sz w:val="20"/>
          <w:lang w:val="es-ES_tradnl"/>
        </w:rPr>
        <w:t xml:space="preserve">IP </w:t>
      </w:r>
      <w:proofErr w:type="spellStart"/>
      <w:r w:rsidRPr="00F50540">
        <w:rPr>
          <w:i/>
          <w:iCs/>
          <w:sz w:val="20"/>
          <w:lang w:val="es-ES_tradnl"/>
        </w:rPr>
        <w:t>Advantage</w:t>
      </w:r>
      <w:proofErr w:type="spellEnd"/>
      <w:r w:rsidRPr="00AD1E8B">
        <w:rPr>
          <w:iCs/>
          <w:sz w:val="20"/>
          <w:lang w:val="es-ES_tradnl"/>
        </w:rPr>
        <w:t>.  Se hará un uso más nutrido de imágenes fotográficas originales y de diseño gráfico para aumentar el impacto visual y la inmediatez de las comunicaciones de la OMPI.  También se explotará la avidez mundial de contenidos de video mediante la producción de entrevistas, noticiarios, documentales y otros videos explicativos de la labor y los productos de la OMPI.  Seguirán suministrándose materiales de información pública y herramientas a utilizar por los Estados miembros en actividades de sensibilización en coordinación con el programa 17 (</w:t>
      </w:r>
      <w:r w:rsidR="00990B95">
        <w:rPr>
          <w:iCs/>
          <w:sz w:val="20"/>
          <w:lang w:val="es-ES_tradnl"/>
        </w:rPr>
        <w:t>Cultivar</w:t>
      </w:r>
      <w:r w:rsidR="000D7DB1">
        <w:rPr>
          <w:iCs/>
          <w:sz w:val="20"/>
          <w:lang w:val="es-ES_tradnl"/>
        </w:rPr>
        <w:t xml:space="preserve"> el respeto por la P.I.</w:t>
      </w:r>
      <w:r w:rsidRPr="00AD1E8B">
        <w:rPr>
          <w:iCs/>
          <w:sz w:val="20"/>
          <w:lang w:val="es-ES_tradnl"/>
        </w:rPr>
        <w:t>), incluyendo la base de datos de las campañas de divulgación y el programa de Biblioteca Depositaria de la OMPI.</w:t>
      </w:r>
      <w:r w:rsidRPr="00AD1E8B">
        <w:rPr>
          <w:sz w:val="20"/>
          <w:lang w:val="es-ES_tradnl"/>
        </w:rPr>
        <w:t xml:space="preserve"> </w:t>
      </w:r>
    </w:p>
    <w:p w:rsidR="000E3B25" w:rsidRPr="00AD1E8B" w:rsidRDefault="000E3B25" w:rsidP="000E3B25">
      <w:pPr>
        <w:jc w:val="both"/>
        <w:rPr>
          <w:sz w:val="20"/>
          <w:lang w:val="es-ES_tradnl"/>
        </w:rPr>
      </w:pPr>
    </w:p>
    <w:p w:rsidR="000E3B25" w:rsidRPr="00AD1E8B" w:rsidRDefault="000E3B25" w:rsidP="000E3B25">
      <w:pPr>
        <w:tabs>
          <w:tab w:val="left" w:pos="1100"/>
        </w:tabs>
        <w:ind w:left="550"/>
        <w:jc w:val="both"/>
        <w:rPr>
          <w:sz w:val="20"/>
          <w:lang w:val="es-ES_tradnl"/>
        </w:rPr>
      </w:pPr>
      <w:r w:rsidRPr="00AD1E8B">
        <w:rPr>
          <w:sz w:val="20"/>
          <w:lang w:val="es-ES_tradnl"/>
        </w:rPr>
        <w:t>iv)</w:t>
      </w:r>
      <w:r w:rsidRPr="00AD1E8B">
        <w:rPr>
          <w:sz w:val="20"/>
          <w:lang w:val="es-ES_tradnl"/>
        </w:rPr>
        <w:tab/>
        <w:t xml:space="preserve"> </w:t>
      </w:r>
      <w:r w:rsidRPr="00AD1E8B">
        <w:rPr>
          <w:i/>
          <w:sz w:val="20"/>
          <w:lang w:val="es-ES_tradnl"/>
        </w:rPr>
        <w:t>Suministro y acceso mejorados</w:t>
      </w:r>
      <w:r w:rsidRPr="00AD1E8B">
        <w:rPr>
          <w:i/>
          <w:iCs/>
          <w:sz w:val="20"/>
          <w:lang w:val="es-ES_tradnl"/>
        </w:rPr>
        <w:t xml:space="preserve">.  </w:t>
      </w:r>
      <w:r w:rsidRPr="00AD1E8B">
        <w:rPr>
          <w:iCs/>
          <w:sz w:val="20"/>
          <w:lang w:val="es-ES_tradnl"/>
        </w:rPr>
        <w:t xml:space="preserve">El contenido será suministrado a través de canales de comunicaciones distintos y diferenciados al objeto de llegar a grupos destinatarios nuevos (y especializados).  La posibilidad, ofrecida a la OMPI por los medios sociales, de interactuar directamente con los sectores interesados se verá potenciada gracias a </w:t>
      </w:r>
      <w:proofErr w:type="spellStart"/>
      <w:r w:rsidRPr="00AD1E8B">
        <w:rPr>
          <w:sz w:val="20"/>
          <w:lang w:val="es-ES_tradnl"/>
        </w:rPr>
        <w:t>Twitter</w:t>
      </w:r>
      <w:proofErr w:type="spellEnd"/>
      <w:r w:rsidRPr="00AD1E8B">
        <w:rPr>
          <w:sz w:val="20"/>
          <w:lang w:val="es-ES_tradnl"/>
        </w:rPr>
        <w:t xml:space="preserve">, Facebook, </w:t>
      </w:r>
      <w:proofErr w:type="spellStart"/>
      <w:r w:rsidRPr="00AD1E8B">
        <w:rPr>
          <w:sz w:val="20"/>
          <w:lang w:val="es-ES_tradnl"/>
        </w:rPr>
        <w:t>Flickr</w:t>
      </w:r>
      <w:proofErr w:type="spellEnd"/>
      <w:r w:rsidRPr="00AD1E8B">
        <w:rPr>
          <w:sz w:val="20"/>
          <w:lang w:val="es-ES_tradnl"/>
        </w:rPr>
        <w:t xml:space="preserve">, YouTube, </w:t>
      </w:r>
      <w:proofErr w:type="spellStart"/>
      <w:r w:rsidRPr="00AD1E8B">
        <w:rPr>
          <w:sz w:val="20"/>
          <w:lang w:val="es-ES_tradnl"/>
        </w:rPr>
        <w:t>Scribd</w:t>
      </w:r>
      <w:proofErr w:type="spellEnd"/>
      <w:r w:rsidRPr="00AD1E8B">
        <w:rPr>
          <w:sz w:val="20"/>
          <w:lang w:val="es-ES_tradnl"/>
        </w:rPr>
        <w:t xml:space="preserve"> u otras plataformas, según los casos;  y continuará el desarrollo de la versión interactiva en línea de la Revista de la OMPI.  Tras la ambiciosa reestructuración y rediseño de la página Web de la OMPI en 2012/13 se continuará aplicando estrategias  destinadas a aumentar la satisfacción de los usuarios y la presentación de contenidos Web.  La decisión de política en favor del acceso abierto, en cuya virtud todas las publicaciones de la OMPI se ponen gratuitamente a disposición del público en línea, se complementará con el ulterior desarrollo de la manejable e-plataforma que permite la búsqueda de textos íntegros para publicaciones y estudios (la e-colección de la OMPI).  </w:t>
      </w:r>
    </w:p>
    <w:p w:rsidR="000E3B25" w:rsidRPr="00AD1E8B" w:rsidRDefault="000E3B25" w:rsidP="000E3B25">
      <w:pPr>
        <w:jc w:val="both"/>
        <w:rPr>
          <w:sz w:val="20"/>
          <w:lang w:val="es-ES_tradnl"/>
        </w:rPr>
      </w:pPr>
    </w:p>
    <w:p w:rsidR="000E3B25" w:rsidRPr="00AD1E8B" w:rsidRDefault="000E3B25" w:rsidP="000E3B25">
      <w:pPr>
        <w:tabs>
          <w:tab w:val="left" w:pos="1100"/>
        </w:tabs>
        <w:ind w:left="550"/>
        <w:jc w:val="both"/>
        <w:rPr>
          <w:i/>
          <w:sz w:val="20"/>
          <w:lang w:val="es-ES_tradnl"/>
        </w:rPr>
      </w:pPr>
      <w:r w:rsidRPr="00AD1E8B">
        <w:rPr>
          <w:sz w:val="20"/>
          <w:lang w:val="es-ES_tradnl"/>
        </w:rPr>
        <w:t>v)</w:t>
      </w:r>
      <w:r w:rsidRPr="00AD1E8B">
        <w:rPr>
          <w:sz w:val="20"/>
          <w:lang w:val="es-ES_tradnl"/>
        </w:rPr>
        <w:tab/>
      </w:r>
      <w:r w:rsidRPr="00AD1E8B">
        <w:rPr>
          <w:i/>
          <w:sz w:val="20"/>
          <w:lang w:val="es-ES_tradnl"/>
        </w:rPr>
        <w:t>Mayor visibilidad</w:t>
      </w:r>
      <w:r w:rsidRPr="00AD1E8B">
        <w:rPr>
          <w:i/>
          <w:iCs/>
          <w:sz w:val="20"/>
          <w:lang w:val="es-ES_tradnl"/>
        </w:rPr>
        <w:t xml:space="preserve">.  </w:t>
      </w:r>
      <w:r w:rsidRPr="00AD1E8B">
        <w:rPr>
          <w:iCs/>
          <w:sz w:val="20"/>
          <w:lang w:val="es-ES_tradnl"/>
        </w:rPr>
        <w:t xml:space="preserve">Además de la campaña del Día </w:t>
      </w:r>
      <w:r>
        <w:rPr>
          <w:iCs/>
          <w:sz w:val="20"/>
          <w:lang w:val="es-ES_tradnl"/>
        </w:rPr>
        <w:t>m</w:t>
      </w:r>
      <w:r w:rsidRPr="00AD1E8B">
        <w:rPr>
          <w:iCs/>
          <w:sz w:val="20"/>
          <w:lang w:val="es-ES_tradnl"/>
        </w:rPr>
        <w:t xml:space="preserve">undial de la </w:t>
      </w:r>
      <w:r>
        <w:rPr>
          <w:iCs/>
          <w:sz w:val="20"/>
          <w:lang w:val="es-ES_tradnl"/>
        </w:rPr>
        <w:t>p</w:t>
      </w:r>
      <w:r w:rsidRPr="00AD1E8B">
        <w:rPr>
          <w:iCs/>
          <w:sz w:val="20"/>
          <w:lang w:val="es-ES_tradnl"/>
        </w:rPr>
        <w:t xml:space="preserve">ropiedad </w:t>
      </w:r>
      <w:r>
        <w:rPr>
          <w:iCs/>
          <w:sz w:val="20"/>
          <w:lang w:val="es-ES_tradnl"/>
        </w:rPr>
        <w:t>i</w:t>
      </w:r>
      <w:r w:rsidRPr="00AD1E8B">
        <w:rPr>
          <w:iCs/>
          <w:sz w:val="20"/>
          <w:lang w:val="es-ES_tradnl"/>
        </w:rPr>
        <w:t xml:space="preserve">ntelectual, uno o dos nuevos eventos de gran visibilidad servirán como vehículo para comunicar con un amplio público acerca de la forma en que la OMPI pone la P.I. al servicio de la innovación.  Una corriente constante de divulgación a la prensa de opinión, los blogs y los medios en línea ayudará a posicionar a la OMPI en los medios como la fuente de referencia mundial  en cuestiones internacionales de propiedad intelectual.  Se desplegarán mayores esfuerzos para lograr la difusión de contenidos de video de la OMPI a través de las redes nacionales e internacionales de televisión.  A nivel local, la Organización interactuará también con la comunidad en el Día de </w:t>
      </w:r>
      <w:r>
        <w:rPr>
          <w:iCs/>
          <w:sz w:val="20"/>
          <w:lang w:val="es-ES_tradnl"/>
        </w:rPr>
        <w:t>p</w:t>
      </w:r>
      <w:r w:rsidRPr="00AD1E8B">
        <w:rPr>
          <w:iCs/>
          <w:sz w:val="20"/>
          <w:lang w:val="es-ES_tradnl"/>
        </w:rPr>
        <w:t xml:space="preserve">uertas </w:t>
      </w:r>
      <w:r>
        <w:rPr>
          <w:iCs/>
          <w:sz w:val="20"/>
          <w:lang w:val="es-ES_tradnl"/>
        </w:rPr>
        <w:t>a</w:t>
      </w:r>
      <w:r w:rsidRPr="00AD1E8B">
        <w:rPr>
          <w:iCs/>
          <w:sz w:val="20"/>
          <w:lang w:val="es-ES_tradnl"/>
        </w:rPr>
        <w:t>biertas y otras conmemoraciones institucionales.</w:t>
      </w:r>
    </w:p>
    <w:p w:rsidR="000E3B25" w:rsidRPr="00AD1E8B" w:rsidRDefault="000E3B25" w:rsidP="000E3B25">
      <w:pPr>
        <w:jc w:val="both"/>
        <w:rPr>
          <w:sz w:val="20"/>
          <w:lang w:val="es-ES_tradnl"/>
        </w:rPr>
      </w:pPr>
    </w:p>
    <w:p w:rsidR="000E3B25" w:rsidRPr="00AD1E8B" w:rsidRDefault="000E3B25" w:rsidP="000E3B25">
      <w:pPr>
        <w:tabs>
          <w:tab w:val="left" w:pos="1100"/>
        </w:tabs>
        <w:ind w:left="550"/>
        <w:jc w:val="both"/>
        <w:rPr>
          <w:sz w:val="20"/>
          <w:lang w:val="es-ES_tradnl"/>
        </w:rPr>
      </w:pPr>
      <w:proofErr w:type="gramStart"/>
      <w:r w:rsidRPr="00AD1E8B">
        <w:rPr>
          <w:sz w:val="20"/>
          <w:lang w:val="es-ES_tradnl"/>
        </w:rPr>
        <w:t>vi</w:t>
      </w:r>
      <w:proofErr w:type="gramEnd"/>
      <w:r w:rsidRPr="00AD1E8B">
        <w:rPr>
          <w:sz w:val="20"/>
          <w:lang w:val="es-ES_tradnl"/>
        </w:rPr>
        <w:t>)</w:t>
      </w:r>
      <w:r w:rsidRPr="00AD1E8B">
        <w:rPr>
          <w:sz w:val="20"/>
          <w:lang w:val="es-ES_tradnl"/>
        </w:rPr>
        <w:tab/>
      </w:r>
      <w:r w:rsidRPr="00AD1E8B">
        <w:rPr>
          <w:i/>
          <w:sz w:val="20"/>
          <w:lang w:val="es-ES_tradnl"/>
        </w:rPr>
        <w:t xml:space="preserve">Fortalecimiento de la identidad institucional. </w:t>
      </w:r>
      <w:r w:rsidRPr="00AD1E8B">
        <w:rPr>
          <w:i/>
          <w:iCs/>
          <w:sz w:val="20"/>
          <w:lang w:val="es-ES_tradnl"/>
        </w:rPr>
        <w:t xml:space="preserve"> </w:t>
      </w:r>
      <w:r w:rsidRPr="00AD1E8B">
        <w:rPr>
          <w:iCs/>
          <w:sz w:val="20"/>
          <w:lang w:val="es-ES_tradnl"/>
        </w:rPr>
        <w:t xml:space="preserve">Tomando como base los trabajos realizados en 2012/13, la misión, los valores, la función y las actividades de la OMPI serán expresados de </w:t>
      </w:r>
      <w:r w:rsidRPr="00AD1E8B">
        <w:rPr>
          <w:iCs/>
          <w:sz w:val="20"/>
          <w:lang w:val="es-ES_tradnl"/>
        </w:rPr>
        <w:lastRenderedPageBreak/>
        <w:t>manera más coherente y eficaz en toda la gama de las comunicaciones externas e internas, proyectándose una identidad visual coherente para conseguir el reconocimiento positivo de la Organización.  Los miembros del personal practicarán actividades destinadas a consolidar en el plano interno una percepción común de los valores "de marca"</w:t>
      </w:r>
      <w:r w:rsidR="009B068C">
        <w:rPr>
          <w:iCs/>
          <w:sz w:val="20"/>
          <w:lang w:val="es-ES_tradnl"/>
        </w:rPr>
        <w:t xml:space="preserve"> (</w:t>
      </w:r>
      <w:proofErr w:type="spellStart"/>
      <w:r w:rsidR="009B068C">
        <w:rPr>
          <w:i/>
          <w:iCs/>
          <w:sz w:val="20"/>
          <w:lang w:val="es-ES_tradnl"/>
        </w:rPr>
        <w:t>brand</w:t>
      </w:r>
      <w:proofErr w:type="spellEnd"/>
      <w:r w:rsidR="009B068C">
        <w:rPr>
          <w:iCs/>
          <w:sz w:val="20"/>
          <w:lang w:val="es-ES_tradnl"/>
        </w:rPr>
        <w:t>)</w:t>
      </w:r>
      <w:r w:rsidR="00685491" w:rsidRPr="00685491">
        <w:rPr>
          <w:rStyle w:val="FootnoteReference"/>
          <w:iCs/>
          <w:sz w:val="20"/>
          <w:lang w:val="es-ES_tradnl"/>
        </w:rPr>
        <w:footnoteReference w:customMarkFollows="1" w:id="15"/>
        <w:sym w:font="Symbol" w:char="F02A"/>
      </w:r>
      <w:r w:rsidRPr="00AD1E8B">
        <w:rPr>
          <w:iCs/>
          <w:sz w:val="20"/>
          <w:lang w:val="es-ES_tradnl"/>
        </w:rPr>
        <w:t xml:space="preserve"> de la OMPI.</w:t>
      </w:r>
    </w:p>
    <w:p w:rsidR="000E3B25" w:rsidRPr="00AD1E8B" w:rsidRDefault="000E3B25" w:rsidP="000E3B25">
      <w:pPr>
        <w:jc w:val="both"/>
        <w:rPr>
          <w:sz w:val="20"/>
          <w:lang w:val="es-ES_tradnl"/>
        </w:rPr>
      </w:pPr>
    </w:p>
    <w:p w:rsidR="000E3B25" w:rsidRPr="00AD1E8B" w:rsidRDefault="000E3B25" w:rsidP="000E3B25">
      <w:pPr>
        <w:tabs>
          <w:tab w:val="left" w:pos="1100"/>
        </w:tabs>
        <w:ind w:left="550"/>
        <w:jc w:val="both"/>
        <w:rPr>
          <w:sz w:val="20"/>
          <w:lang w:val="es-ES_tradnl"/>
        </w:rPr>
      </w:pPr>
      <w:r w:rsidRPr="00AD1E8B">
        <w:rPr>
          <w:sz w:val="20"/>
          <w:lang w:val="es-ES_tradnl"/>
        </w:rPr>
        <w:t>vii)</w:t>
      </w:r>
      <w:r w:rsidRPr="00AD1E8B">
        <w:rPr>
          <w:sz w:val="20"/>
          <w:lang w:val="es-ES_tradnl"/>
        </w:rPr>
        <w:tab/>
      </w:r>
      <w:r w:rsidRPr="00AD1E8B">
        <w:rPr>
          <w:i/>
          <w:sz w:val="20"/>
          <w:lang w:val="es-ES_tradnl"/>
        </w:rPr>
        <w:t>Cultura orientada hacia el servicio</w:t>
      </w:r>
      <w:r w:rsidRPr="00AD1E8B">
        <w:rPr>
          <w:sz w:val="20"/>
          <w:lang w:val="es-ES_tradnl"/>
        </w:rPr>
        <w:t>.  El programa</w:t>
      </w:r>
      <w:r w:rsidRPr="00AD1E8B">
        <w:rPr>
          <w:iCs/>
          <w:sz w:val="20"/>
          <w:lang w:val="es-ES_tradnl"/>
        </w:rPr>
        <w:t xml:space="preserve"> 19 continuará gestionando el proyecto de modo que fortalezca la cultura organizativa de servicio a los sectores interesados en la OMPI.  Esta orientación de servicio del personal será ulteriormente mejorada mediante actividades de formación y sensibilización más centradas en las expectativas exteriores.  Se supervisará la aplicación de los procedimientos operativos redefinidos y de las normas de calidad que rigen los plazos de respuesta y los servicios individuales.  Se promulgará la Carta de Servicio al Cliente y se instaurará un marco de gobernanza.</w:t>
      </w:r>
      <w:r w:rsidRPr="00AD1E8B">
        <w:rPr>
          <w:sz w:val="20"/>
          <w:lang w:val="es-ES_tradnl"/>
        </w:rPr>
        <w:t xml:space="preserve">  Se continuarán elaborando herramientas para agilizar el tratamiento de las demandas de información (base de datos central de contacto, sistemas de expedición de billetes, medición del volumen de las solicitudes de información.  El nivel de satisfacción de los sectores interesados será sistemáticamente supervisado mediante encuestas.</w:t>
      </w:r>
    </w:p>
    <w:p w:rsidR="000E3B25" w:rsidRPr="00AD1E8B" w:rsidRDefault="000E3B25" w:rsidP="000E3B25">
      <w:pPr>
        <w:tabs>
          <w:tab w:val="num" w:pos="709"/>
        </w:tabs>
        <w:jc w:val="both"/>
        <w:rPr>
          <w:bCs/>
          <w:sz w:val="20"/>
          <w:lang w:val="es-ES_tradnl"/>
        </w:rPr>
      </w:pPr>
    </w:p>
    <w:p w:rsidR="000E3B25" w:rsidRDefault="000E3B25" w:rsidP="006F7F41">
      <w:pPr>
        <w:jc w:val="both"/>
        <w:rPr>
          <w:lang w:val="es-ES_tradnl"/>
        </w:rPr>
      </w:pPr>
    </w:p>
    <w:p w:rsidR="006F7F41" w:rsidRPr="00C75C7E" w:rsidRDefault="006F7F41" w:rsidP="006F7F41">
      <w:pPr>
        <w:jc w:val="both"/>
        <w:rPr>
          <w:lang w:val="es-ES_tradnl"/>
        </w:rPr>
      </w:pPr>
      <w:r w:rsidRPr="00C75C7E">
        <w:rPr>
          <w:lang w:val="es-ES_tradnl"/>
        </w:rPr>
        <w:t>PRINCIPALES RIESGOS Y ESTRATEGIAS DE MITIGACIÓN</w:t>
      </w:r>
    </w:p>
    <w:p w:rsidR="006F7F41" w:rsidRPr="00C75C7E" w:rsidRDefault="006F7F41" w:rsidP="006F7F41">
      <w:pPr>
        <w:tabs>
          <w:tab w:val="num" w:pos="709"/>
        </w:tabs>
        <w:jc w:val="both"/>
        <w:rPr>
          <w:sz w:val="20"/>
          <w:lang w:val="es-ES_tradnl"/>
        </w:rPr>
      </w:pPr>
    </w:p>
    <w:tbl>
      <w:tblPr>
        <w:tblW w:w="9439" w:type="dxa"/>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820"/>
        <w:gridCol w:w="4619"/>
      </w:tblGrid>
      <w:tr w:rsidR="006F7F41" w:rsidRPr="00C75C7E" w:rsidTr="00542C2B">
        <w:trPr>
          <w:trHeight w:val="402"/>
          <w:tblHeader/>
        </w:trPr>
        <w:tc>
          <w:tcPr>
            <w:tcW w:w="4820" w:type="dxa"/>
            <w:tcBorders>
              <w:top w:val="single" w:sz="4" w:space="0" w:color="auto"/>
              <w:bottom w:val="single" w:sz="4" w:space="0" w:color="auto"/>
            </w:tcBorders>
            <w:shd w:val="clear" w:color="auto" w:fill="CCFFFF"/>
            <w:tcMar>
              <w:top w:w="113" w:type="dxa"/>
              <w:bottom w:w="85" w:type="dxa"/>
            </w:tcMar>
            <w:vAlign w:val="center"/>
          </w:tcPr>
          <w:p w:rsidR="006F7F41" w:rsidRPr="00C75C7E" w:rsidRDefault="006F7F41" w:rsidP="006F7F41">
            <w:pPr>
              <w:autoSpaceDE w:val="0"/>
              <w:autoSpaceDN w:val="0"/>
              <w:adjustRightInd w:val="0"/>
              <w:ind w:right="-59"/>
              <w:jc w:val="center"/>
              <w:rPr>
                <w:b/>
                <w:bCs/>
                <w:sz w:val="18"/>
                <w:szCs w:val="18"/>
                <w:lang w:val="es-ES_tradnl"/>
              </w:rPr>
            </w:pPr>
            <w:r w:rsidRPr="00C75C7E">
              <w:rPr>
                <w:b/>
                <w:bCs/>
                <w:sz w:val="18"/>
                <w:szCs w:val="18"/>
                <w:lang w:val="es-ES_tradnl"/>
              </w:rPr>
              <w:t>Riesgos en el logro de los resultados del programa</w:t>
            </w:r>
          </w:p>
        </w:tc>
        <w:tc>
          <w:tcPr>
            <w:tcW w:w="4619" w:type="dxa"/>
            <w:tcBorders>
              <w:top w:val="single" w:sz="4" w:space="0" w:color="auto"/>
              <w:bottom w:val="single" w:sz="4" w:space="0" w:color="auto"/>
            </w:tcBorders>
            <w:shd w:val="clear" w:color="auto" w:fill="CCFFFF"/>
            <w:tcMar>
              <w:top w:w="113" w:type="dxa"/>
              <w:bottom w:w="85" w:type="dxa"/>
            </w:tcMar>
            <w:vAlign w:val="center"/>
          </w:tcPr>
          <w:p w:rsidR="006F7F41" w:rsidRPr="00C75C7E" w:rsidRDefault="006F7F41" w:rsidP="006F7F41">
            <w:pPr>
              <w:autoSpaceDE w:val="0"/>
              <w:autoSpaceDN w:val="0"/>
              <w:adjustRightInd w:val="0"/>
              <w:ind w:right="-59"/>
              <w:jc w:val="center"/>
              <w:rPr>
                <w:b/>
                <w:bCs/>
                <w:sz w:val="18"/>
                <w:szCs w:val="18"/>
                <w:lang w:val="es-ES_tradnl"/>
              </w:rPr>
            </w:pPr>
            <w:r w:rsidRPr="00C75C7E">
              <w:rPr>
                <w:b/>
                <w:bCs/>
                <w:sz w:val="18"/>
                <w:szCs w:val="18"/>
                <w:lang w:val="es-ES_tradnl"/>
              </w:rPr>
              <w:t xml:space="preserve">Planes de mitigación ejecutados o en ejecución </w:t>
            </w:r>
          </w:p>
        </w:tc>
      </w:tr>
      <w:tr w:rsidR="006F7F41" w:rsidRPr="00C75C7E" w:rsidTr="00542C2B">
        <w:trPr>
          <w:trHeight w:val="782"/>
        </w:trPr>
        <w:tc>
          <w:tcPr>
            <w:tcW w:w="4820" w:type="dxa"/>
            <w:tcBorders>
              <w:top w:val="single" w:sz="4" w:space="0" w:color="auto"/>
            </w:tcBorders>
            <w:shd w:val="clear" w:color="auto" w:fill="auto"/>
            <w:tcMar>
              <w:top w:w="113" w:type="dxa"/>
              <w:bottom w:w="85" w:type="dxa"/>
            </w:tcMar>
          </w:tcPr>
          <w:p w:rsidR="006F7F41" w:rsidRPr="00C75C7E" w:rsidRDefault="006F7F41" w:rsidP="006F7F41">
            <w:pPr>
              <w:autoSpaceDE w:val="0"/>
              <w:autoSpaceDN w:val="0"/>
              <w:adjustRightInd w:val="0"/>
              <w:ind w:right="-59"/>
              <w:rPr>
                <w:sz w:val="16"/>
                <w:szCs w:val="16"/>
                <w:lang w:val="es-ES_tradnl"/>
              </w:rPr>
            </w:pPr>
            <w:r w:rsidRPr="00C75C7E">
              <w:rPr>
                <w:sz w:val="16"/>
                <w:szCs w:val="16"/>
                <w:lang w:val="es-ES_tradnl"/>
              </w:rPr>
              <w:t>La proliferación de nuevas demandas impide que el programa alcance el grado de especialización y los efectos necesarios para lograr una comunicación eficaz.</w:t>
            </w:r>
          </w:p>
        </w:tc>
        <w:tc>
          <w:tcPr>
            <w:tcW w:w="4619" w:type="dxa"/>
            <w:tcBorders>
              <w:top w:val="single" w:sz="4" w:space="0" w:color="auto"/>
            </w:tcBorders>
            <w:shd w:val="clear" w:color="auto" w:fill="auto"/>
            <w:tcMar>
              <w:top w:w="113" w:type="dxa"/>
              <w:bottom w:w="85" w:type="dxa"/>
            </w:tcMar>
          </w:tcPr>
          <w:p w:rsidR="006F7F41" w:rsidRPr="00C75C7E" w:rsidRDefault="006F7F41" w:rsidP="006F7F41">
            <w:pPr>
              <w:autoSpaceDE w:val="0"/>
              <w:autoSpaceDN w:val="0"/>
              <w:adjustRightInd w:val="0"/>
              <w:ind w:right="-59"/>
              <w:rPr>
                <w:sz w:val="16"/>
                <w:szCs w:val="16"/>
                <w:lang w:val="es-ES_tradnl"/>
              </w:rPr>
            </w:pPr>
            <w:r w:rsidRPr="00C75C7E">
              <w:rPr>
                <w:sz w:val="16"/>
                <w:szCs w:val="16"/>
                <w:lang w:val="es-ES_tradnl"/>
              </w:rPr>
              <w:t xml:space="preserve">Cada año se señalará un número limitado de grandes actos/productos/logros de la OMPI como prioridades máximas acordadas con miras a su promoción y comercialización.  </w:t>
            </w:r>
          </w:p>
        </w:tc>
      </w:tr>
      <w:tr w:rsidR="006F7F41" w:rsidRPr="00C75C7E" w:rsidTr="00542C2B">
        <w:trPr>
          <w:trHeight w:val="961"/>
        </w:trPr>
        <w:tc>
          <w:tcPr>
            <w:tcW w:w="4820" w:type="dxa"/>
            <w:shd w:val="clear" w:color="auto" w:fill="auto"/>
            <w:tcMar>
              <w:top w:w="113" w:type="dxa"/>
              <w:bottom w:w="85" w:type="dxa"/>
            </w:tcMar>
          </w:tcPr>
          <w:p w:rsidR="006F7F41" w:rsidRPr="00C75C7E" w:rsidRDefault="006F7F41" w:rsidP="006F7F41">
            <w:pPr>
              <w:autoSpaceDE w:val="0"/>
              <w:autoSpaceDN w:val="0"/>
              <w:adjustRightInd w:val="0"/>
              <w:ind w:right="-59"/>
              <w:rPr>
                <w:sz w:val="16"/>
                <w:szCs w:val="16"/>
                <w:lang w:val="es-ES_tradnl"/>
              </w:rPr>
            </w:pPr>
            <w:r w:rsidRPr="00C75C7E">
              <w:rPr>
                <w:sz w:val="16"/>
                <w:szCs w:val="16"/>
                <w:lang w:val="es-ES_tradnl"/>
              </w:rPr>
              <w:t xml:space="preserve">La OMPI no consigue evolucionar al ritmo de los cambios tecnológicos y, por tanto, pierde visibilidad e influencia en el entorno de la comunicación digital. </w:t>
            </w:r>
          </w:p>
        </w:tc>
        <w:tc>
          <w:tcPr>
            <w:tcW w:w="4619" w:type="dxa"/>
            <w:shd w:val="clear" w:color="auto" w:fill="auto"/>
            <w:tcMar>
              <w:top w:w="113" w:type="dxa"/>
              <w:bottom w:w="85" w:type="dxa"/>
            </w:tcMar>
          </w:tcPr>
          <w:p w:rsidR="006F7F41" w:rsidRPr="00C75C7E" w:rsidRDefault="006F7F41" w:rsidP="006F7F41">
            <w:pPr>
              <w:autoSpaceDE w:val="0"/>
              <w:autoSpaceDN w:val="0"/>
              <w:adjustRightInd w:val="0"/>
              <w:ind w:right="-59"/>
              <w:rPr>
                <w:sz w:val="16"/>
                <w:szCs w:val="16"/>
                <w:lang w:val="es-ES_tradnl"/>
              </w:rPr>
            </w:pPr>
            <w:r w:rsidRPr="00C75C7E">
              <w:rPr>
                <w:sz w:val="16"/>
                <w:szCs w:val="16"/>
                <w:lang w:val="es-ES_tradnl"/>
              </w:rPr>
              <w:t>Se alienta al personal que trabaja en este programa a que adquiera continuamente competencias nuevas y actualice sus conocimientos mediante la formación y el autoaprendizaje.  Las estructuras flexibles permiten compartir los nuevos conocimientos y competencias.  Se están usando las alianzas y los recursos externos con objeto de ampliar la capacidad interna de la OMPI.</w:t>
            </w:r>
          </w:p>
        </w:tc>
      </w:tr>
    </w:tbl>
    <w:p w:rsidR="006F7F41" w:rsidRPr="00C75C7E" w:rsidRDefault="006F7F41" w:rsidP="006F7F41">
      <w:pPr>
        <w:rPr>
          <w:lang w:val="es-ES_tradnl"/>
        </w:rPr>
      </w:pPr>
    </w:p>
    <w:p w:rsidR="006F7F41" w:rsidRPr="00C75C7E" w:rsidRDefault="006F7F41" w:rsidP="006F7F41">
      <w:pPr>
        <w:widowControl w:val="0"/>
        <w:jc w:val="both"/>
        <w:rPr>
          <w:sz w:val="20"/>
          <w:lang w:val="es-ES_tradnl"/>
        </w:rPr>
      </w:pPr>
    </w:p>
    <w:p w:rsidR="006F7F41" w:rsidRPr="00C75C7E" w:rsidRDefault="006F7F41" w:rsidP="006F7F41">
      <w:pPr>
        <w:rPr>
          <w:szCs w:val="22"/>
          <w:lang w:val="es-ES_tradnl"/>
        </w:rPr>
      </w:pPr>
      <w:r w:rsidRPr="00C75C7E">
        <w:rPr>
          <w:szCs w:val="22"/>
          <w:lang w:val="es-ES_tradnl"/>
        </w:rPr>
        <w:t>MARCO DE RESULTADOS</w:t>
      </w:r>
    </w:p>
    <w:p w:rsidR="006F7F41" w:rsidRPr="00C75C7E" w:rsidRDefault="006F7F41" w:rsidP="006F7F41">
      <w:pPr>
        <w:rPr>
          <w:szCs w:val="22"/>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49"/>
        <w:gridCol w:w="2848"/>
        <w:gridCol w:w="2175"/>
        <w:gridCol w:w="2034"/>
      </w:tblGrid>
      <w:tr w:rsidR="006F7F41" w:rsidRPr="00C75C7E" w:rsidTr="008F4F69">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6F7F41" w:rsidRPr="00C75C7E" w:rsidRDefault="006F7F41" w:rsidP="008F4F69">
            <w:pPr>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3" w:type="dxa"/>
            </w:tcMar>
            <w:vAlign w:val="center"/>
          </w:tcPr>
          <w:p w:rsidR="006F7F41" w:rsidRPr="00C75C7E" w:rsidRDefault="006F7F41" w:rsidP="008F4F69">
            <w:pPr>
              <w:spacing w:after="120"/>
              <w:jc w:val="center"/>
              <w:rPr>
                <w:b/>
                <w:sz w:val="18"/>
                <w:szCs w:val="18"/>
                <w:lang w:val="es-ES_tradnl"/>
              </w:rPr>
            </w:pPr>
            <w:r w:rsidRPr="00C75C7E">
              <w:rPr>
                <w:b/>
                <w:sz w:val="18"/>
                <w:szCs w:val="18"/>
                <w:lang w:val="es-ES_tradnl"/>
              </w:rPr>
              <w:t>Indicadores de rendimiento</w:t>
            </w:r>
          </w:p>
        </w:tc>
        <w:tc>
          <w:tcPr>
            <w:tcW w:w="1156" w:type="pct"/>
            <w:tcBorders>
              <w:top w:val="single" w:sz="4" w:space="0" w:color="auto"/>
              <w:bottom w:val="single" w:sz="4" w:space="0" w:color="auto"/>
            </w:tcBorders>
            <w:shd w:val="clear" w:color="auto" w:fill="CCFFFF"/>
            <w:tcMar>
              <w:top w:w="113" w:type="dxa"/>
            </w:tcMar>
            <w:vAlign w:val="center"/>
          </w:tcPr>
          <w:p w:rsidR="006F7F41" w:rsidRPr="00C75C7E" w:rsidRDefault="006F7F41" w:rsidP="008F4F69">
            <w:pPr>
              <w:spacing w:after="120"/>
              <w:ind w:left="85"/>
              <w:jc w:val="center"/>
              <w:rPr>
                <w:sz w:val="18"/>
                <w:szCs w:val="18"/>
                <w:lang w:val="es-ES_tradnl"/>
              </w:rPr>
            </w:pPr>
            <w:r w:rsidRPr="00C75C7E">
              <w:rPr>
                <w:b/>
                <w:bCs/>
                <w:sz w:val="18"/>
                <w:szCs w:val="18"/>
                <w:lang w:val="es-ES_tradnl"/>
              </w:rPr>
              <w:t>Referencia</w:t>
            </w:r>
          </w:p>
        </w:tc>
        <w:tc>
          <w:tcPr>
            <w:tcW w:w="1082" w:type="pct"/>
            <w:tcBorders>
              <w:top w:val="single" w:sz="4" w:space="0" w:color="auto"/>
              <w:bottom w:val="single" w:sz="4" w:space="0" w:color="auto"/>
            </w:tcBorders>
            <w:shd w:val="clear" w:color="auto" w:fill="CCFFFF"/>
            <w:tcMar>
              <w:top w:w="113" w:type="dxa"/>
            </w:tcMar>
            <w:vAlign w:val="center"/>
          </w:tcPr>
          <w:p w:rsidR="006F7F41" w:rsidRPr="00C75C7E" w:rsidRDefault="006F7F41" w:rsidP="008F4F69">
            <w:pPr>
              <w:keepNext/>
              <w:keepLines/>
              <w:spacing w:after="120"/>
              <w:ind w:right="271"/>
              <w:jc w:val="center"/>
              <w:rPr>
                <w:b/>
                <w:bCs/>
                <w:sz w:val="18"/>
                <w:szCs w:val="18"/>
                <w:lang w:val="es-ES_tradnl"/>
              </w:rPr>
            </w:pPr>
            <w:r w:rsidRPr="00C75C7E">
              <w:rPr>
                <w:b/>
                <w:bCs/>
                <w:sz w:val="18"/>
                <w:szCs w:val="18"/>
                <w:lang w:val="es-ES_tradnl"/>
              </w:rPr>
              <w:t>Objetivos</w:t>
            </w:r>
          </w:p>
        </w:tc>
      </w:tr>
      <w:tr w:rsidR="006F7F41" w:rsidRPr="00C75C7E" w:rsidTr="008F4F69">
        <w:trPr>
          <w:cantSplit/>
          <w:trHeight w:val="1084"/>
        </w:trPr>
        <w:tc>
          <w:tcPr>
            <w:tcW w:w="1249" w:type="pct"/>
            <w:vMerge w:val="restart"/>
            <w:tcBorders>
              <w:top w:val="single" w:sz="4" w:space="0" w:color="auto"/>
            </w:tcBorders>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VIII.1. Comunicación más eficaz con el público en general acerca de la P.I. y la función de la OMPI.</w:t>
            </w:r>
          </w:p>
        </w:tc>
        <w:tc>
          <w:tcPr>
            <w:tcW w:w="1514" w:type="pct"/>
            <w:tcBorders>
              <w:top w:val="single" w:sz="4" w:space="0" w:color="auto"/>
            </w:tcBorders>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Grado de interés público generado por importantes actividades/logros de la OMPI.</w:t>
            </w:r>
          </w:p>
        </w:tc>
        <w:tc>
          <w:tcPr>
            <w:tcW w:w="1156" w:type="pct"/>
            <w:tcBorders>
              <w:top w:val="single" w:sz="4" w:space="0" w:color="auto"/>
            </w:tcBorders>
            <w:shd w:val="clear" w:color="auto" w:fill="FFFFFF"/>
            <w:tcMar>
              <w:top w:w="113" w:type="dxa"/>
            </w:tcMar>
          </w:tcPr>
          <w:p w:rsidR="006F7F41" w:rsidRPr="00C75C7E" w:rsidRDefault="006F7F41" w:rsidP="008F4F69">
            <w:pPr>
              <w:rPr>
                <w:sz w:val="16"/>
                <w:szCs w:val="16"/>
                <w:lang w:val="es-ES_tradnl"/>
              </w:rPr>
            </w:pPr>
            <w:r w:rsidRPr="00C75C7E">
              <w:rPr>
                <w:sz w:val="16"/>
                <w:szCs w:val="16"/>
                <w:lang w:val="es-ES_tradnl"/>
              </w:rPr>
              <w:t>(Actividad de muestra) 12.111 visitantes únicos absolutos de la página de difusión del Índice Mundial de Innovación 2012 en el período de un mes.</w:t>
            </w:r>
          </w:p>
          <w:p w:rsidR="006F7F41" w:rsidRPr="00C75C7E" w:rsidRDefault="006F7F41" w:rsidP="008F4F69">
            <w:pPr>
              <w:rPr>
                <w:sz w:val="16"/>
                <w:szCs w:val="16"/>
                <w:lang w:val="es-ES_tradnl"/>
              </w:rPr>
            </w:pPr>
          </w:p>
        </w:tc>
        <w:tc>
          <w:tcPr>
            <w:tcW w:w="1082" w:type="pct"/>
            <w:tcBorders>
              <w:top w:val="single" w:sz="4" w:space="0" w:color="auto"/>
            </w:tcBorders>
            <w:shd w:val="clear" w:color="auto" w:fill="auto"/>
            <w:tcMar>
              <w:top w:w="113" w:type="dxa"/>
            </w:tcMar>
          </w:tcPr>
          <w:p w:rsidR="006F7F41" w:rsidRPr="00C75C7E" w:rsidRDefault="006F7F41" w:rsidP="008F4F69">
            <w:pPr>
              <w:keepNext/>
              <w:keepLines/>
              <w:ind w:right="381"/>
              <w:rPr>
                <w:bCs/>
                <w:sz w:val="16"/>
                <w:szCs w:val="16"/>
                <w:lang w:val="es-ES_tradnl"/>
              </w:rPr>
            </w:pPr>
            <w:r w:rsidRPr="00C75C7E">
              <w:rPr>
                <w:bCs/>
                <w:sz w:val="16"/>
                <w:szCs w:val="16"/>
                <w:lang w:val="es-ES_tradnl"/>
              </w:rPr>
              <w:t>Aumento del 10% en las visitas de las páginas pertinentes.</w:t>
            </w:r>
          </w:p>
        </w:tc>
      </w:tr>
      <w:tr w:rsidR="006F7F41" w:rsidRPr="00C75C7E" w:rsidTr="008F4F69">
        <w:trPr>
          <w:cantSplit/>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opiniones favorables de las partes interesadas sobre la misión, las actividades y la imagen institucional de la OMPI.</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 xml:space="preserve">El 65% de los encuestados consideran que la OMPI es el líder mundial de la protección y promoción de la P.I. </w:t>
            </w:r>
          </w:p>
          <w:p w:rsidR="006F7F41" w:rsidRPr="00C75C7E" w:rsidRDefault="006F7F41" w:rsidP="008F4F69">
            <w:pPr>
              <w:rPr>
                <w:sz w:val="16"/>
                <w:szCs w:val="16"/>
                <w:lang w:val="es-ES_tradnl" w:bidi="th-TH"/>
              </w:rPr>
            </w:pPr>
            <w:r w:rsidRPr="00C75C7E">
              <w:rPr>
                <w:sz w:val="16"/>
                <w:szCs w:val="16"/>
                <w:lang w:val="es-ES_tradnl" w:bidi="th-TH"/>
              </w:rPr>
              <w:t>(Encuesta sobre las impresiones acerca de la OMPI que tienen las partes interesadas, enero de 2012).</w:t>
            </w:r>
          </w:p>
          <w:p w:rsidR="006F7F41" w:rsidRPr="00C75C7E" w:rsidRDefault="006F7F41" w:rsidP="008F4F69">
            <w:pPr>
              <w:rPr>
                <w:sz w:val="16"/>
                <w:szCs w:val="16"/>
                <w:lang w:val="es-ES_tradnl"/>
              </w:rPr>
            </w:pPr>
          </w:p>
        </w:tc>
        <w:tc>
          <w:tcPr>
            <w:tcW w:w="1082" w:type="pct"/>
            <w:shd w:val="clear" w:color="auto" w:fill="auto"/>
            <w:tcMar>
              <w:top w:w="113" w:type="dxa"/>
            </w:tcMar>
          </w:tcPr>
          <w:p w:rsidR="006F7F41" w:rsidRPr="00C75C7E" w:rsidRDefault="006F7F41" w:rsidP="008F4F69">
            <w:pPr>
              <w:keepNext/>
              <w:keepLines/>
              <w:tabs>
                <w:tab w:val="left" w:pos="2051"/>
              </w:tabs>
              <w:ind w:right="381"/>
              <w:rPr>
                <w:bCs/>
                <w:sz w:val="16"/>
                <w:szCs w:val="16"/>
                <w:lang w:val="es-ES_tradnl"/>
              </w:rPr>
            </w:pPr>
            <w:r w:rsidRPr="00C75C7E">
              <w:rPr>
                <w:bCs/>
                <w:sz w:val="16"/>
                <w:szCs w:val="16"/>
                <w:lang w:val="es-ES_tradnl"/>
              </w:rPr>
              <w:t>75%</w:t>
            </w:r>
          </w:p>
        </w:tc>
      </w:tr>
      <w:tr w:rsidR="006F7F41" w:rsidRPr="00C75C7E" w:rsidTr="008F4F69">
        <w:trPr>
          <w:cantSplit/>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aumento del material de prensa, vídeos y fotografías de la OMPI vistos por el público.</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(i) En 2012, el promedio de visitantes únicos absolutos por comunicado de prensa era de 3.575. (92.958 para 26 artículos publicados en 2012).</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 xml:space="preserve">ii) En 2012, el promedio de visualizaciones por vídeo era de </w:t>
            </w:r>
          </w:p>
          <w:p w:rsidR="006F7F41" w:rsidRPr="00C75C7E" w:rsidRDefault="006F7F41" w:rsidP="008F4F69">
            <w:pPr>
              <w:rPr>
                <w:sz w:val="16"/>
                <w:szCs w:val="16"/>
                <w:lang w:val="es-ES_tradnl" w:bidi="th-TH"/>
              </w:rPr>
            </w:pPr>
            <w:r w:rsidRPr="00C75C7E">
              <w:rPr>
                <w:sz w:val="16"/>
                <w:szCs w:val="16"/>
                <w:lang w:val="es-ES_tradnl" w:bidi="th-TH"/>
              </w:rPr>
              <w:t>3.280 (478.888 visitas para un total de 146 vídeos).</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rPr>
            </w:pPr>
            <w:r w:rsidRPr="00C75C7E">
              <w:rPr>
                <w:sz w:val="16"/>
                <w:szCs w:val="16"/>
                <w:lang w:val="es-ES_tradnl" w:bidi="th-TH"/>
              </w:rPr>
              <w:t xml:space="preserve">iii) 155.000 visualizaciones de fotos en </w:t>
            </w:r>
            <w:proofErr w:type="spellStart"/>
            <w:r w:rsidRPr="00C75C7E">
              <w:rPr>
                <w:sz w:val="16"/>
                <w:szCs w:val="16"/>
                <w:lang w:val="es-ES_tradnl" w:bidi="th-TH"/>
              </w:rPr>
              <w:t>Flickr</w:t>
            </w:r>
            <w:proofErr w:type="spellEnd"/>
            <w:r w:rsidRPr="00C75C7E">
              <w:rPr>
                <w:sz w:val="16"/>
                <w:szCs w:val="16"/>
                <w:lang w:val="es-ES_tradnl" w:bidi="th-TH"/>
              </w:rPr>
              <w:t xml:space="preserve"> al final de 2012.</w:t>
            </w:r>
          </w:p>
        </w:tc>
        <w:tc>
          <w:tcPr>
            <w:tcW w:w="1082" w:type="pct"/>
            <w:shd w:val="clear" w:color="auto" w:fill="auto"/>
            <w:tcMar>
              <w:top w:w="113" w:type="dxa"/>
            </w:tcMar>
          </w:tcPr>
          <w:p w:rsidR="006F7F41" w:rsidRPr="00C75C7E" w:rsidRDefault="006F7F41" w:rsidP="008F4F69">
            <w:pPr>
              <w:keepNext/>
              <w:keepLines/>
              <w:ind w:right="51"/>
              <w:rPr>
                <w:bCs/>
                <w:sz w:val="16"/>
                <w:szCs w:val="16"/>
                <w:lang w:val="es-ES_tradnl"/>
              </w:rPr>
            </w:pPr>
            <w:r w:rsidRPr="00C75C7E">
              <w:rPr>
                <w:bCs/>
                <w:sz w:val="16"/>
                <w:szCs w:val="16"/>
                <w:lang w:val="es-ES_tradnl"/>
              </w:rPr>
              <w:t>(i) Aumento del 10 % en el promedio de visitantes por comunicado de prensa.</w:t>
            </w:r>
          </w:p>
          <w:p w:rsidR="006F7F41" w:rsidRPr="00C75C7E" w:rsidRDefault="006F7F41" w:rsidP="008F4F69">
            <w:pPr>
              <w:keepNext/>
              <w:keepLines/>
              <w:ind w:right="51"/>
              <w:rPr>
                <w:bCs/>
                <w:sz w:val="16"/>
                <w:szCs w:val="16"/>
                <w:lang w:val="es-ES_tradnl"/>
              </w:rPr>
            </w:pPr>
          </w:p>
          <w:p w:rsidR="006F7F41" w:rsidRPr="00C75C7E" w:rsidRDefault="006F7F41" w:rsidP="008F4F69">
            <w:pPr>
              <w:keepNext/>
              <w:keepLines/>
              <w:ind w:right="51"/>
              <w:rPr>
                <w:bCs/>
                <w:sz w:val="16"/>
                <w:szCs w:val="16"/>
                <w:lang w:val="es-ES_tradnl"/>
              </w:rPr>
            </w:pPr>
          </w:p>
          <w:p w:rsidR="006F7F41" w:rsidRPr="00C75C7E" w:rsidRDefault="006F7F41" w:rsidP="008F4F69">
            <w:pPr>
              <w:keepNext/>
              <w:keepLines/>
              <w:ind w:right="51"/>
              <w:rPr>
                <w:bCs/>
                <w:sz w:val="16"/>
                <w:szCs w:val="16"/>
                <w:lang w:val="es-ES_tradnl"/>
              </w:rPr>
            </w:pPr>
          </w:p>
          <w:p w:rsidR="006F7F41" w:rsidRPr="00C75C7E" w:rsidRDefault="006F7F41" w:rsidP="008F4F69">
            <w:pPr>
              <w:keepNext/>
              <w:keepLines/>
              <w:ind w:right="51"/>
              <w:rPr>
                <w:bCs/>
                <w:sz w:val="16"/>
                <w:szCs w:val="16"/>
                <w:lang w:val="es-ES_tradnl"/>
              </w:rPr>
            </w:pPr>
            <w:r w:rsidRPr="00C75C7E">
              <w:rPr>
                <w:bCs/>
                <w:sz w:val="16"/>
                <w:szCs w:val="16"/>
                <w:lang w:val="es-ES_tradnl"/>
              </w:rPr>
              <w:t>ii) Aumento del 10% en el promedio de visualizaciones por vídeo del canal de la OMPI en YouTube.</w:t>
            </w:r>
          </w:p>
          <w:p w:rsidR="006F7F41" w:rsidRPr="00C75C7E" w:rsidRDefault="006F7F41" w:rsidP="008F4F69">
            <w:pPr>
              <w:keepNext/>
              <w:keepLines/>
              <w:ind w:right="51"/>
              <w:rPr>
                <w:bCs/>
                <w:sz w:val="16"/>
                <w:szCs w:val="16"/>
                <w:lang w:val="es-ES_tradnl"/>
              </w:rPr>
            </w:pPr>
          </w:p>
          <w:p w:rsidR="006F7F41" w:rsidRPr="00C75C7E" w:rsidRDefault="006F7F41" w:rsidP="008F4F69">
            <w:pPr>
              <w:keepNext/>
              <w:keepLines/>
              <w:ind w:right="51"/>
              <w:rPr>
                <w:bCs/>
                <w:sz w:val="16"/>
                <w:szCs w:val="16"/>
                <w:lang w:val="es-ES_tradnl"/>
              </w:rPr>
            </w:pPr>
          </w:p>
          <w:p w:rsidR="006F7F41" w:rsidRPr="00C75C7E" w:rsidRDefault="006F7F41" w:rsidP="008F4F69">
            <w:pPr>
              <w:keepNext/>
              <w:keepLines/>
              <w:ind w:right="51"/>
              <w:rPr>
                <w:bCs/>
                <w:sz w:val="16"/>
                <w:szCs w:val="16"/>
                <w:lang w:val="es-ES_tradnl"/>
              </w:rPr>
            </w:pPr>
            <w:r w:rsidRPr="00C75C7E">
              <w:rPr>
                <w:bCs/>
                <w:sz w:val="16"/>
                <w:szCs w:val="16"/>
                <w:lang w:val="es-ES_tradnl"/>
              </w:rPr>
              <w:t>iii) Objetivo</w:t>
            </w:r>
            <w:proofErr w:type="gramStart"/>
            <w:r w:rsidRPr="00C75C7E">
              <w:rPr>
                <w:bCs/>
                <w:sz w:val="16"/>
                <w:szCs w:val="16"/>
                <w:lang w:val="es-ES_tradnl"/>
              </w:rPr>
              <w:t>:  Otras</w:t>
            </w:r>
            <w:proofErr w:type="gramEnd"/>
            <w:r w:rsidRPr="00C75C7E">
              <w:rPr>
                <w:bCs/>
                <w:sz w:val="16"/>
                <w:szCs w:val="16"/>
                <w:lang w:val="es-ES_tradnl"/>
              </w:rPr>
              <w:t xml:space="preserve"> 300.000 visualizaciones en </w:t>
            </w:r>
            <w:proofErr w:type="spellStart"/>
            <w:r w:rsidRPr="00C75C7E">
              <w:rPr>
                <w:bCs/>
                <w:sz w:val="16"/>
                <w:szCs w:val="16"/>
                <w:lang w:val="es-ES_tradnl"/>
              </w:rPr>
              <w:t>Flickr</w:t>
            </w:r>
            <w:proofErr w:type="spellEnd"/>
            <w:r w:rsidRPr="00C75C7E">
              <w:rPr>
                <w:bCs/>
                <w:sz w:val="16"/>
                <w:szCs w:val="16"/>
                <w:lang w:val="es-ES_tradnl"/>
              </w:rPr>
              <w:t>.</w:t>
            </w:r>
          </w:p>
          <w:p w:rsidR="006F7F41" w:rsidRPr="00C75C7E" w:rsidRDefault="006F7F41" w:rsidP="008F4F69">
            <w:pPr>
              <w:keepNext/>
              <w:keepLines/>
              <w:ind w:right="51"/>
              <w:rPr>
                <w:bCs/>
                <w:sz w:val="16"/>
                <w:szCs w:val="16"/>
                <w:lang w:val="es-ES_tradnl"/>
              </w:rPr>
            </w:pPr>
          </w:p>
        </w:tc>
      </w:tr>
      <w:tr w:rsidR="006F7F41" w:rsidRPr="00C75C7E" w:rsidTr="008F4F69">
        <w:trPr>
          <w:cantSplit/>
          <w:trHeight w:val="853"/>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aumento de la participación global en el Día Mundial de la P.I. por medio de la página de Facebook (alcance global de la campaña).</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379.600 personas accedieron a contenido sobre el Día Mundial de la P.I. mediante la campaña llevada a cabo en Facebook en 2012.</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rPr>
            </w:pPr>
          </w:p>
        </w:tc>
        <w:tc>
          <w:tcPr>
            <w:tcW w:w="1082" w:type="pct"/>
            <w:shd w:val="clear" w:color="auto" w:fill="auto"/>
            <w:tcMar>
              <w:top w:w="113" w:type="dxa"/>
            </w:tcMar>
          </w:tcPr>
          <w:p w:rsidR="006F7F41" w:rsidRPr="00C75C7E" w:rsidRDefault="006F7F41" w:rsidP="008F4F69">
            <w:pPr>
              <w:keepNext/>
              <w:keepLines/>
              <w:ind w:right="161"/>
              <w:rPr>
                <w:bCs/>
                <w:sz w:val="16"/>
                <w:szCs w:val="16"/>
                <w:lang w:val="es-ES_tradnl"/>
              </w:rPr>
            </w:pPr>
            <w:r w:rsidRPr="00C75C7E">
              <w:rPr>
                <w:bCs/>
                <w:sz w:val="16"/>
                <w:szCs w:val="16"/>
                <w:lang w:val="es-ES_tradnl"/>
              </w:rPr>
              <w:t>Aumento del 30% en el número de personas que acceden a contenido sobre el Día Mundial de la P.I. por medio de Facebook (alcance total).</w:t>
            </w:r>
          </w:p>
        </w:tc>
      </w:tr>
      <w:tr w:rsidR="006F7F41" w:rsidRPr="00C75C7E" w:rsidTr="008F4F69">
        <w:trPr>
          <w:cantSplit/>
          <w:trHeight w:val="698"/>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aumento del número de consultas de las publicaciones de Internet.</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 xml:space="preserve">i) por determinar (no se dispone de estadísticas comparables para </w:t>
            </w:r>
            <w:r w:rsidRPr="00C83A6A">
              <w:rPr>
                <w:sz w:val="16"/>
                <w:szCs w:val="16"/>
                <w:lang w:val="es-ES_tradnl" w:bidi="th-TH"/>
              </w:rPr>
              <w:t>2012)</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ii) 409.265 visitantes únicos absolutos de la sección del sitio web dedicada a la Revista de la OMPI en 2012.</w:t>
            </w:r>
          </w:p>
        </w:tc>
        <w:tc>
          <w:tcPr>
            <w:tcW w:w="1082" w:type="pct"/>
            <w:shd w:val="clear" w:color="auto" w:fill="auto"/>
            <w:tcMar>
              <w:top w:w="113" w:type="dxa"/>
            </w:tcMar>
          </w:tcPr>
          <w:p w:rsidR="006F7F41" w:rsidRPr="00C75C7E" w:rsidRDefault="006F7F41" w:rsidP="008F4F69">
            <w:pPr>
              <w:keepNext/>
              <w:keepLines/>
              <w:ind w:right="161"/>
              <w:rPr>
                <w:bCs/>
                <w:sz w:val="16"/>
                <w:szCs w:val="16"/>
                <w:lang w:val="es-ES_tradnl"/>
              </w:rPr>
            </w:pPr>
            <w:r w:rsidRPr="00C75C7E">
              <w:rPr>
                <w:bCs/>
                <w:sz w:val="16"/>
                <w:szCs w:val="16"/>
                <w:lang w:val="es-ES_tradnl"/>
              </w:rPr>
              <w:t>i) Aumento del 10% en el número total de consultas de las publicaciones de Internet.</w:t>
            </w:r>
          </w:p>
          <w:p w:rsidR="006F7F41" w:rsidRPr="00C75C7E" w:rsidRDefault="006F7F41" w:rsidP="008F4F69">
            <w:pPr>
              <w:keepNext/>
              <w:keepLines/>
              <w:ind w:right="161"/>
              <w:rPr>
                <w:bCs/>
                <w:sz w:val="16"/>
                <w:szCs w:val="16"/>
                <w:lang w:val="es-ES_tradnl"/>
              </w:rPr>
            </w:pPr>
          </w:p>
          <w:p w:rsidR="006F7F41" w:rsidRPr="00C75C7E" w:rsidRDefault="006F7F41" w:rsidP="008F4F69">
            <w:pPr>
              <w:keepNext/>
              <w:keepLines/>
              <w:ind w:right="161"/>
              <w:rPr>
                <w:bCs/>
                <w:sz w:val="16"/>
                <w:szCs w:val="16"/>
                <w:lang w:val="es-ES_tradnl"/>
              </w:rPr>
            </w:pPr>
            <w:r w:rsidRPr="00C75C7E">
              <w:rPr>
                <w:bCs/>
                <w:sz w:val="16"/>
                <w:szCs w:val="16"/>
                <w:lang w:val="es-ES_tradnl"/>
              </w:rPr>
              <w:t xml:space="preserve">ii) Aumento del 10% en el número de visitantes de la sección del sitio web dedicada a la Revista de la OMPI. </w:t>
            </w:r>
          </w:p>
        </w:tc>
      </w:tr>
      <w:tr w:rsidR="006F7F41" w:rsidRPr="00C75C7E" w:rsidTr="008F4F69">
        <w:trPr>
          <w:cantSplit/>
          <w:trHeight w:val="641"/>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usuarios satisfechos con el sitio web de la OMPI.</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Por determinar.</w:t>
            </w:r>
          </w:p>
          <w:p w:rsidR="006F7F41" w:rsidRPr="00C75C7E" w:rsidRDefault="006F7F41" w:rsidP="008F4F69">
            <w:pPr>
              <w:rPr>
                <w:sz w:val="16"/>
                <w:szCs w:val="16"/>
                <w:lang w:val="es-ES_tradnl" w:bidi="th-TH"/>
              </w:rPr>
            </w:pPr>
          </w:p>
        </w:tc>
        <w:tc>
          <w:tcPr>
            <w:tcW w:w="1082" w:type="pct"/>
            <w:shd w:val="clear" w:color="auto" w:fill="auto"/>
            <w:tcMar>
              <w:top w:w="113" w:type="dxa"/>
            </w:tcMar>
          </w:tcPr>
          <w:p w:rsidR="006F7F41" w:rsidRPr="00C75C7E" w:rsidRDefault="006F7F41" w:rsidP="008F4F69">
            <w:pPr>
              <w:keepNext/>
              <w:keepLines/>
              <w:ind w:right="161"/>
              <w:rPr>
                <w:bCs/>
                <w:sz w:val="16"/>
                <w:szCs w:val="16"/>
                <w:lang w:val="es-ES_tradnl"/>
              </w:rPr>
            </w:pPr>
            <w:r w:rsidRPr="00C75C7E">
              <w:rPr>
                <w:bCs/>
                <w:sz w:val="16"/>
                <w:szCs w:val="16"/>
                <w:lang w:val="es-ES_tradnl"/>
              </w:rPr>
              <w:t>≥ 60% están satisfechos.</w:t>
            </w:r>
          </w:p>
        </w:tc>
      </w:tr>
      <w:tr w:rsidR="006F7F41" w:rsidRPr="00C75C7E" w:rsidTr="008F4F69">
        <w:trPr>
          <w:cantSplit/>
          <w:trHeight w:val="1163"/>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Aumento de la influencia y la participación de la OMPI en los medios sociales.</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i) Índice de influencia “</w:t>
            </w:r>
            <w:proofErr w:type="spellStart"/>
            <w:r w:rsidRPr="00C75C7E">
              <w:rPr>
                <w:sz w:val="16"/>
                <w:szCs w:val="16"/>
                <w:lang w:val="es-ES_tradnl" w:bidi="th-TH"/>
              </w:rPr>
              <w:t>Klout</w:t>
            </w:r>
            <w:proofErr w:type="spellEnd"/>
            <w:r w:rsidRPr="00C75C7E">
              <w:rPr>
                <w:sz w:val="16"/>
                <w:szCs w:val="16"/>
                <w:lang w:val="es-ES_tradnl" w:bidi="th-TH"/>
              </w:rPr>
              <w:t>”  de 62 al 1 de enero de 2013.</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 xml:space="preserve">ii) 3.112 </w:t>
            </w:r>
            <w:proofErr w:type="spellStart"/>
            <w:r w:rsidRPr="00C75C7E">
              <w:rPr>
                <w:sz w:val="16"/>
                <w:szCs w:val="16"/>
                <w:lang w:val="es-ES_tradnl" w:bidi="th-TH"/>
              </w:rPr>
              <w:t>retuiteos</w:t>
            </w:r>
            <w:proofErr w:type="spellEnd"/>
            <w:r w:rsidRPr="00C75C7E">
              <w:rPr>
                <w:sz w:val="16"/>
                <w:szCs w:val="16"/>
                <w:lang w:val="es-ES_tradnl" w:bidi="th-TH"/>
              </w:rPr>
              <w:t xml:space="preserve"> en total en 2012.</w:t>
            </w:r>
          </w:p>
        </w:tc>
        <w:tc>
          <w:tcPr>
            <w:tcW w:w="1082" w:type="pct"/>
            <w:shd w:val="clear" w:color="auto" w:fill="auto"/>
            <w:tcMar>
              <w:top w:w="113" w:type="dxa"/>
            </w:tcMar>
          </w:tcPr>
          <w:p w:rsidR="006F7F41" w:rsidRPr="00C75C7E" w:rsidRDefault="006F7F41" w:rsidP="008F4F69">
            <w:pPr>
              <w:keepNext/>
              <w:keepLines/>
              <w:ind w:right="161"/>
              <w:rPr>
                <w:bCs/>
                <w:sz w:val="16"/>
                <w:szCs w:val="16"/>
                <w:lang w:val="es-ES_tradnl"/>
              </w:rPr>
            </w:pPr>
            <w:r w:rsidRPr="00C75C7E">
              <w:rPr>
                <w:bCs/>
                <w:sz w:val="16"/>
                <w:szCs w:val="16"/>
                <w:lang w:val="es-ES_tradnl"/>
              </w:rPr>
              <w:t>i) Índice de influencia “</w:t>
            </w:r>
            <w:proofErr w:type="spellStart"/>
            <w:r w:rsidRPr="00C75C7E">
              <w:rPr>
                <w:bCs/>
                <w:sz w:val="16"/>
                <w:szCs w:val="16"/>
                <w:lang w:val="es-ES_tradnl"/>
              </w:rPr>
              <w:t>Klout</w:t>
            </w:r>
            <w:proofErr w:type="spellEnd"/>
            <w:r w:rsidRPr="00C75C7E">
              <w:rPr>
                <w:bCs/>
                <w:sz w:val="16"/>
                <w:szCs w:val="16"/>
                <w:lang w:val="es-ES_tradnl"/>
              </w:rPr>
              <w:t>” de 73.</w:t>
            </w:r>
          </w:p>
          <w:p w:rsidR="006F7F41" w:rsidRPr="00C75C7E" w:rsidRDefault="006F7F41" w:rsidP="008F4F69">
            <w:pPr>
              <w:keepNext/>
              <w:keepLines/>
              <w:ind w:right="161"/>
              <w:rPr>
                <w:bCs/>
                <w:sz w:val="16"/>
                <w:szCs w:val="16"/>
                <w:lang w:val="es-ES_tradnl"/>
              </w:rPr>
            </w:pPr>
            <w:r w:rsidRPr="00C75C7E">
              <w:rPr>
                <w:bCs/>
                <w:sz w:val="16"/>
                <w:szCs w:val="16"/>
                <w:lang w:val="es-ES_tradnl"/>
              </w:rPr>
              <w:t xml:space="preserve"> </w:t>
            </w:r>
          </w:p>
          <w:p w:rsidR="006F7F41" w:rsidRPr="00C75C7E" w:rsidRDefault="006F7F41" w:rsidP="008F4F69">
            <w:pPr>
              <w:keepNext/>
              <w:keepLines/>
              <w:ind w:right="161"/>
              <w:rPr>
                <w:bCs/>
                <w:sz w:val="16"/>
                <w:szCs w:val="16"/>
                <w:lang w:val="es-ES_tradnl"/>
              </w:rPr>
            </w:pPr>
          </w:p>
          <w:p w:rsidR="006F7F41" w:rsidRPr="00C75C7E" w:rsidRDefault="006F7F41" w:rsidP="008F4F69">
            <w:pPr>
              <w:keepNext/>
              <w:keepLines/>
              <w:ind w:right="161"/>
              <w:rPr>
                <w:bCs/>
                <w:sz w:val="16"/>
                <w:szCs w:val="16"/>
                <w:lang w:val="es-ES_tradnl"/>
              </w:rPr>
            </w:pPr>
            <w:r w:rsidRPr="00C75C7E">
              <w:rPr>
                <w:bCs/>
                <w:sz w:val="16"/>
                <w:szCs w:val="16"/>
                <w:lang w:val="es-ES_tradnl"/>
              </w:rPr>
              <w:t xml:space="preserve">ii) Aumento del 30% en el número total de </w:t>
            </w:r>
            <w:proofErr w:type="spellStart"/>
            <w:r w:rsidRPr="00C75C7E">
              <w:rPr>
                <w:bCs/>
                <w:sz w:val="16"/>
                <w:szCs w:val="16"/>
                <w:lang w:val="es-ES_tradnl"/>
              </w:rPr>
              <w:t>retuiteos</w:t>
            </w:r>
            <w:proofErr w:type="spellEnd"/>
            <w:r w:rsidRPr="00C75C7E">
              <w:rPr>
                <w:bCs/>
                <w:sz w:val="16"/>
                <w:szCs w:val="16"/>
                <w:lang w:val="es-ES_tradnl"/>
              </w:rPr>
              <w:t xml:space="preserve"> anuales.</w:t>
            </w:r>
          </w:p>
        </w:tc>
      </w:tr>
      <w:tr w:rsidR="006F7F41" w:rsidRPr="00C75C7E" w:rsidTr="008F4F69">
        <w:trPr>
          <w:cantSplit/>
          <w:trHeight w:val="646"/>
        </w:trPr>
        <w:tc>
          <w:tcPr>
            <w:tcW w:w="1249"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VIII.2. Mejora en la prestación de servicios y la atención de consultas.</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usuarios satisfechos con los servicios de la Biblioteca.</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Por determinar.</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tc>
        <w:tc>
          <w:tcPr>
            <w:tcW w:w="1082" w:type="pct"/>
            <w:shd w:val="clear" w:color="auto" w:fill="auto"/>
            <w:tcMar>
              <w:top w:w="113" w:type="dxa"/>
            </w:tcMar>
          </w:tcPr>
          <w:p w:rsidR="006F7F41" w:rsidRPr="00C75C7E" w:rsidRDefault="006F7F41" w:rsidP="008F4F69">
            <w:pPr>
              <w:keepNext/>
              <w:keepLines/>
              <w:ind w:right="161"/>
              <w:rPr>
                <w:bCs/>
                <w:sz w:val="16"/>
                <w:szCs w:val="16"/>
                <w:lang w:val="es-ES_tradnl"/>
              </w:rPr>
            </w:pPr>
            <w:r w:rsidRPr="00C75C7E">
              <w:rPr>
                <w:bCs/>
                <w:sz w:val="16"/>
                <w:szCs w:val="16"/>
                <w:lang w:val="es-ES_tradnl"/>
              </w:rPr>
              <w:t>≥ 70 % visitantes y clientes de Internet satisfechos.</w:t>
            </w:r>
          </w:p>
        </w:tc>
      </w:tr>
      <w:tr w:rsidR="006F7F41" w:rsidRPr="00C75C7E" w:rsidTr="008F4F69">
        <w:trPr>
          <w:cantSplit/>
          <w:trHeight w:val="511"/>
        </w:trPr>
        <w:tc>
          <w:tcPr>
            <w:tcW w:w="1249" w:type="pct"/>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Índice de satisfacción de los clientes/partes interesadas.</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Resultados de la encuesta de 2012: el 86% de los usuarios de los sistemas de Madrid y de La Haya están satisfechos o muy satisfechos.</w:t>
            </w:r>
          </w:p>
        </w:tc>
        <w:tc>
          <w:tcPr>
            <w:tcW w:w="1082" w:type="pct"/>
            <w:shd w:val="clear" w:color="auto" w:fill="auto"/>
            <w:tcMar>
              <w:top w:w="113" w:type="dxa"/>
            </w:tcMar>
          </w:tcPr>
          <w:p w:rsidR="006F7F41" w:rsidRPr="00C75C7E" w:rsidRDefault="006F7F41" w:rsidP="008F4F69">
            <w:pPr>
              <w:keepNext/>
              <w:keepLines/>
              <w:ind w:right="161"/>
              <w:rPr>
                <w:bCs/>
                <w:sz w:val="16"/>
                <w:szCs w:val="16"/>
                <w:lang w:val="es-ES_tradnl"/>
              </w:rPr>
            </w:pPr>
            <w:r w:rsidRPr="00C75C7E">
              <w:rPr>
                <w:bCs/>
                <w:sz w:val="16"/>
                <w:szCs w:val="16"/>
                <w:lang w:val="es-ES_tradnl"/>
              </w:rPr>
              <w:t>≥ 86% satisfechos o muy satisfechos.</w:t>
            </w:r>
          </w:p>
        </w:tc>
      </w:tr>
      <w:tr w:rsidR="006F7F41" w:rsidRPr="00C75C7E" w:rsidTr="008F4F69">
        <w:trPr>
          <w:cantSplit/>
          <w:trHeight w:val="559"/>
        </w:trPr>
        <w:tc>
          <w:tcPr>
            <w:tcW w:w="1249" w:type="pct"/>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Se cumplen los objetivos definidos en el sitio web de la OMPI para la calidad del servicio.</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Por definir respecto de los ámbitos específicos.</w:t>
            </w:r>
          </w:p>
        </w:tc>
        <w:tc>
          <w:tcPr>
            <w:tcW w:w="1082" w:type="pct"/>
            <w:shd w:val="clear" w:color="auto" w:fill="auto"/>
            <w:tcMar>
              <w:top w:w="113" w:type="dxa"/>
            </w:tcMar>
          </w:tcPr>
          <w:p w:rsidR="006F7F41" w:rsidRPr="00C75C7E" w:rsidRDefault="006F7F41" w:rsidP="008F4F69">
            <w:pPr>
              <w:keepNext/>
              <w:keepLines/>
              <w:ind w:right="161"/>
              <w:rPr>
                <w:bCs/>
                <w:sz w:val="16"/>
                <w:szCs w:val="16"/>
                <w:lang w:val="es-ES_tradnl"/>
              </w:rPr>
            </w:pPr>
            <w:r w:rsidRPr="00C75C7E">
              <w:rPr>
                <w:bCs/>
                <w:sz w:val="16"/>
                <w:szCs w:val="16"/>
                <w:lang w:val="es-ES_tradnl"/>
              </w:rPr>
              <w:t>Por definir respecto de los ámbitos específicos.</w:t>
            </w:r>
          </w:p>
        </w:tc>
      </w:tr>
    </w:tbl>
    <w:p w:rsidR="006F7F41" w:rsidRDefault="006F7F41" w:rsidP="006F7F41">
      <w:pPr>
        <w:rPr>
          <w:szCs w:val="22"/>
          <w:highlight w:val="yellow"/>
          <w:lang w:val="es-ES_tradnl"/>
        </w:rPr>
      </w:pPr>
    </w:p>
    <w:p w:rsidR="00F21127" w:rsidRDefault="00F21127" w:rsidP="006F7F41">
      <w:pPr>
        <w:rPr>
          <w:szCs w:val="22"/>
          <w:highlight w:val="yellow"/>
          <w:lang w:val="es-ES_tradnl"/>
        </w:rPr>
      </w:pPr>
    </w:p>
    <w:p w:rsidR="000E3B25" w:rsidRPr="00AD1E8B" w:rsidRDefault="000E3B25" w:rsidP="000E3B25">
      <w:pPr>
        <w:widowControl w:val="0"/>
        <w:autoSpaceDE w:val="0"/>
        <w:autoSpaceDN w:val="0"/>
        <w:adjustRightInd w:val="0"/>
        <w:jc w:val="both"/>
        <w:rPr>
          <w:szCs w:val="22"/>
          <w:lang w:val="es-ES_tradnl"/>
        </w:rPr>
      </w:pPr>
      <w:r w:rsidRPr="00AD1E8B">
        <w:rPr>
          <w:szCs w:val="22"/>
          <w:lang w:val="es-ES_tradnl"/>
        </w:rPr>
        <w:t>RECURSOS PARA EL PROGRAMA 19</w:t>
      </w:r>
    </w:p>
    <w:p w:rsidR="000E3B25" w:rsidRPr="00AD1E8B" w:rsidRDefault="000E3B25" w:rsidP="000E3B25">
      <w:pPr>
        <w:widowControl w:val="0"/>
        <w:autoSpaceDE w:val="0"/>
        <w:autoSpaceDN w:val="0"/>
        <w:adjustRightInd w:val="0"/>
        <w:jc w:val="both"/>
        <w:rPr>
          <w:sz w:val="20"/>
          <w:lang w:val="es-ES_tradnl"/>
        </w:rPr>
      </w:pPr>
    </w:p>
    <w:p w:rsidR="000E3B25" w:rsidRPr="00AD1E8B" w:rsidRDefault="000E3B25" w:rsidP="00E17471">
      <w:pPr>
        <w:widowControl w:val="0"/>
        <w:numPr>
          <w:ilvl w:val="0"/>
          <w:numId w:val="13"/>
        </w:numPr>
        <w:jc w:val="both"/>
        <w:rPr>
          <w:sz w:val="20"/>
          <w:lang w:val="es-ES_tradnl"/>
        </w:rPr>
      </w:pPr>
      <w:r w:rsidRPr="00AD1E8B">
        <w:rPr>
          <w:sz w:val="20"/>
          <w:lang w:val="es-ES_tradnl"/>
        </w:rPr>
        <w:t>El decremento de los recursos asignados al resultado VIII.1 (Comunicación más eficaz con el público en general acerca de la P.I. y la función de la OMPI) representa una prestación más costo-eficaz de dichos servicios, lo que se refleja asimismo en el decremento registrado por la mayor parte de las categorías de costo no pertinentes al personal.  Dicho decremento compensa el incremento de los recursos de personal asignados a este resultado a raíz de la aplicación de la estrategia encaminada a fortalecer las competencias de TIC en determinados sectores de actividad.</w:t>
      </w:r>
    </w:p>
    <w:p w:rsidR="000E3B25" w:rsidRPr="00AD1E8B" w:rsidRDefault="000E3B25" w:rsidP="000E3B25">
      <w:pPr>
        <w:widowControl w:val="0"/>
        <w:jc w:val="both"/>
        <w:rPr>
          <w:sz w:val="20"/>
          <w:lang w:val="es-ES_tradnl"/>
        </w:rPr>
      </w:pPr>
    </w:p>
    <w:p w:rsidR="000E3B25" w:rsidRPr="00AD1E8B" w:rsidRDefault="000E3B25" w:rsidP="00E17471">
      <w:pPr>
        <w:widowControl w:val="0"/>
        <w:numPr>
          <w:ilvl w:val="0"/>
          <w:numId w:val="13"/>
        </w:numPr>
        <w:jc w:val="both"/>
        <w:rPr>
          <w:sz w:val="20"/>
          <w:lang w:val="es-ES_tradnl"/>
        </w:rPr>
      </w:pPr>
      <w:r w:rsidRPr="00AD1E8B">
        <w:rPr>
          <w:sz w:val="20"/>
          <w:lang w:val="es-ES_tradnl"/>
        </w:rPr>
        <w:t xml:space="preserve">El incremento de los recursos asignados al resultado VIII.2 (Mejora en la prestación de servicios y la atención de consultas) dimana de una actitud más orientada hacia el cliente y de una mayor voluntad de servicio, lo que se refleja tanto en el incremento propuesto de los servicios contractuales individuales como en el incremento de los costos de personal.  </w:t>
      </w:r>
    </w:p>
    <w:p w:rsidR="000E3B25" w:rsidRPr="00AD1E8B" w:rsidRDefault="000E3B25" w:rsidP="00542C2B">
      <w:pPr>
        <w:keepNext/>
        <w:widowControl w:val="0"/>
        <w:jc w:val="both"/>
        <w:rPr>
          <w:sz w:val="20"/>
          <w:lang w:val="es-ES_tradnl"/>
        </w:rPr>
      </w:pPr>
    </w:p>
    <w:p w:rsidR="000E3B25" w:rsidRPr="00C75C7E" w:rsidRDefault="000E3B25" w:rsidP="00542C2B">
      <w:pPr>
        <w:keepNext/>
        <w:rPr>
          <w:szCs w:val="22"/>
          <w:highlight w:val="yellow"/>
          <w:lang w:val="es-ES_tradnl"/>
        </w:rPr>
      </w:pPr>
    </w:p>
    <w:p w:rsidR="006F7F41" w:rsidRPr="00C75C7E" w:rsidRDefault="00F50540" w:rsidP="00542C2B">
      <w:pPr>
        <w:keepNext/>
        <w:widowControl w:val="0"/>
        <w:autoSpaceDE w:val="0"/>
        <w:autoSpaceDN w:val="0"/>
        <w:adjustRightInd w:val="0"/>
        <w:jc w:val="center"/>
        <w:rPr>
          <w:b/>
          <w:bCs/>
          <w:iCs/>
          <w:sz w:val="20"/>
          <w:lang w:val="es-ES_tradnl"/>
        </w:rPr>
      </w:pPr>
      <w:r>
        <w:rPr>
          <w:b/>
          <w:bCs/>
          <w:iCs/>
          <w:sz w:val="20"/>
          <w:lang w:val="es-ES_tradnl"/>
        </w:rPr>
        <w:t>Programa 19</w:t>
      </w:r>
      <w:proofErr w:type="gramStart"/>
      <w:r>
        <w:rPr>
          <w:b/>
          <w:bCs/>
          <w:iCs/>
          <w:sz w:val="20"/>
          <w:lang w:val="es-ES_tradnl"/>
        </w:rPr>
        <w:t xml:space="preserve">:  </w:t>
      </w:r>
      <w:r w:rsidR="006F7F41" w:rsidRPr="00C75C7E">
        <w:rPr>
          <w:b/>
          <w:bCs/>
          <w:iCs/>
          <w:sz w:val="20"/>
          <w:lang w:val="es-ES_tradnl"/>
        </w:rPr>
        <w:t>Recursos</w:t>
      </w:r>
      <w:proofErr w:type="gramEnd"/>
      <w:r w:rsidR="006F7F41" w:rsidRPr="00C75C7E">
        <w:rPr>
          <w:b/>
          <w:bCs/>
          <w:iCs/>
          <w:sz w:val="20"/>
          <w:lang w:val="es-ES_tradnl"/>
        </w:rPr>
        <w:t xml:space="preserve"> por resultado</w:t>
      </w:r>
    </w:p>
    <w:p w:rsidR="006F7F41" w:rsidRPr="00C75C7E" w:rsidRDefault="006F7F41" w:rsidP="00542C2B">
      <w:pPr>
        <w:keepNext/>
        <w:widowControl w:val="0"/>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F7F41" w:rsidRPr="00C75C7E" w:rsidRDefault="006F7F41" w:rsidP="00542C2B">
      <w:pPr>
        <w:keepNext/>
        <w:widowControl w:val="0"/>
        <w:jc w:val="both"/>
        <w:rPr>
          <w:sz w:val="20"/>
          <w:lang w:val="es-ES_tradnl"/>
        </w:rPr>
      </w:pPr>
    </w:p>
    <w:p w:rsidR="006F7F41" w:rsidRPr="00C75C7E" w:rsidRDefault="00EA2104" w:rsidP="00542C2B">
      <w:pPr>
        <w:keepNext/>
        <w:widowControl w:val="0"/>
        <w:jc w:val="both"/>
        <w:rPr>
          <w:sz w:val="20"/>
          <w:lang w:val="es-ES_tradnl"/>
        </w:rPr>
      </w:pPr>
      <w:r w:rsidRPr="00EA2104">
        <w:rPr>
          <w:noProof/>
          <w:lang w:val="en-US" w:eastAsia="en-US"/>
        </w:rPr>
        <w:drawing>
          <wp:inline distT="0" distB="0" distL="0" distR="0" wp14:anchorId="32AAFFD0" wp14:editId="6524AB8C">
            <wp:extent cx="5762625" cy="1488440"/>
            <wp:effectExtent l="0" t="0" r="9525"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762625" cy="1488440"/>
                    </a:xfrm>
                    <a:prstGeom prst="rect">
                      <a:avLst/>
                    </a:prstGeom>
                    <a:noFill/>
                    <a:ln>
                      <a:noFill/>
                    </a:ln>
                  </pic:spPr>
                </pic:pic>
              </a:graphicData>
            </a:graphic>
          </wp:inline>
        </w:drawing>
      </w:r>
    </w:p>
    <w:p w:rsidR="006F7F41" w:rsidRPr="00C75C7E" w:rsidRDefault="006F7F41" w:rsidP="006F7F41">
      <w:pPr>
        <w:widowControl w:val="0"/>
        <w:jc w:val="both"/>
        <w:rPr>
          <w:sz w:val="20"/>
          <w:lang w:val="es-ES_tradnl"/>
        </w:rPr>
      </w:pPr>
    </w:p>
    <w:p w:rsidR="006F7F41" w:rsidRPr="00C75C7E" w:rsidRDefault="006F7F41" w:rsidP="006F7F41">
      <w:pPr>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w:t>
      </w:r>
      <w:r w:rsidR="00F604EF">
        <w:rPr>
          <w:sz w:val="16"/>
          <w:szCs w:val="16"/>
          <w:lang w:val="es-ES_tradnl"/>
        </w:rPr>
        <w:t xml:space="preserve"> </w:t>
      </w:r>
      <w:r w:rsidRPr="00C75C7E">
        <w:rPr>
          <w:sz w:val="16"/>
          <w:szCs w:val="16"/>
          <w:lang w:val="es-ES_tradnl"/>
        </w:rPr>
        <w:t xml:space="preserve"> 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6F7F41" w:rsidRPr="00C75C7E" w:rsidRDefault="006F7F41" w:rsidP="006F7F41">
      <w:pPr>
        <w:widowControl w:val="0"/>
        <w:jc w:val="both"/>
        <w:rPr>
          <w:sz w:val="20"/>
          <w:highlight w:val="yellow"/>
          <w:lang w:val="es-ES_tradnl"/>
        </w:rPr>
      </w:pPr>
    </w:p>
    <w:p w:rsidR="006F7F41" w:rsidRPr="00C75C7E" w:rsidRDefault="00F50540" w:rsidP="00542C2B">
      <w:pPr>
        <w:keepNext/>
        <w:autoSpaceDE w:val="0"/>
        <w:autoSpaceDN w:val="0"/>
        <w:adjustRightInd w:val="0"/>
        <w:ind w:firstLine="567"/>
        <w:jc w:val="center"/>
        <w:rPr>
          <w:b/>
          <w:bCs/>
          <w:iCs/>
          <w:sz w:val="20"/>
          <w:lang w:val="es-ES_tradnl"/>
        </w:rPr>
      </w:pPr>
      <w:r>
        <w:rPr>
          <w:b/>
          <w:bCs/>
          <w:iCs/>
          <w:sz w:val="20"/>
          <w:lang w:val="es-ES_tradnl"/>
        </w:rPr>
        <w:lastRenderedPageBreak/>
        <w:t>Programa 19</w:t>
      </w:r>
      <w:proofErr w:type="gramStart"/>
      <w:r>
        <w:rPr>
          <w:b/>
          <w:bCs/>
          <w:iCs/>
          <w:sz w:val="20"/>
          <w:lang w:val="es-ES_tradnl"/>
        </w:rPr>
        <w:t xml:space="preserve">:  </w:t>
      </w:r>
      <w:r w:rsidR="006F7F41" w:rsidRPr="00C75C7E">
        <w:rPr>
          <w:b/>
          <w:bCs/>
          <w:iCs/>
          <w:sz w:val="20"/>
          <w:lang w:val="es-ES_tradnl"/>
        </w:rPr>
        <w:t>Recursos</w:t>
      </w:r>
      <w:proofErr w:type="gramEnd"/>
      <w:r w:rsidR="006F7F41" w:rsidRPr="00C75C7E">
        <w:rPr>
          <w:b/>
          <w:bCs/>
          <w:iCs/>
          <w:sz w:val="20"/>
          <w:lang w:val="es-ES_tradnl"/>
        </w:rPr>
        <w:t xml:space="preserve"> por objeto de gasto</w:t>
      </w:r>
    </w:p>
    <w:p w:rsidR="006F7F41" w:rsidRPr="00C75C7E" w:rsidRDefault="006F7F41" w:rsidP="00542C2B">
      <w:pPr>
        <w:keepNext/>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F7F41" w:rsidRDefault="006F7F41" w:rsidP="00542C2B">
      <w:pPr>
        <w:keepNext/>
        <w:jc w:val="center"/>
        <w:rPr>
          <w:sz w:val="20"/>
          <w:lang w:val="es-ES_tradnl"/>
        </w:rPr>
      </w:pPr>
    </w:p>
    <w:p w:rsidR="001E5683" w:rsidRPr="00C75C7E" w:rsidRDefault="00937B07" w:rsidP="00542C2B">
      <w:pPr>
        <w:keepNext/>
        <w:jc w:val="center"/>
        <w:rPr>
          <w:sz w:val="20"/>
          <w:lang w:val="es-ES_tradnl"/>
        </w:rPr>
      </w:pPr>
      <w:r w:rsidRPr="00937B07">
        <w:rPr>
          <w:noProof/>
          <w:lang w:val="en-US" w:eastAsia="en-US"/>
        </w:rPr>
        <w:drawing>
          <wp:inline distT="0" distB="0" distL="0" distR="0" wp14:anchorId="4AD603A8" wp14:editId="0F573028">
            <wp:extent cx="5940425" cy="5817719"/>
            <wp:effectExtent l="0" t="0" r="317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940425" cy="5817719"/>
                    </a:xfrm>
                    <a:prstGeom prst="rect">
                      <a:avLst/>
                    </a:prstGeom>
                    <a:noFill/>
                    <a:ln>
                      <a:noFill/>
                    </a:ln>
                  </pic:spPr>
                </pic:pic>
              </a:graphicData>
            </a:graphic>
          </wp:inline>
        </w:drawing>
      </w:r>
    </w:p>
    <w:p w:rsidR="006F7F41" w:rsidRPr="00C75C7E" w:rsidRDefault="006F7F41" w:rsidP="006F7F41">
      <w:pPr>
        <w:rPr>
          <w:sz w:val="16"/>
          <w:szCs w:val="16"/>
          <w:lang w:val="es-ES_tradnl"/>
        </w:rPr>
      </w:pPr>
    </w:p>
    <w:p w:rsidR="006F7F41" w:rsidRPr="00C75C7E" w:rsidRDefault="006F7F41" w:rsidP="006F7F41">
      <w:pPr>
        <w:widowControl w:val="0"/>
        <w:rPr>
          <w:sz w:val="16"/>
          <w:szCs w:val="16"/>
          <w:lang w:val="es-ES_tradnl"/>
        </w:rPr>
      </w:pPr>
      <w:r w:rsidRPr="00C75C7E">
        <w:rPr>
          <w:sz w:val="16"/>
          <w:szCs w:val="16"/>
          <w:lang w:val="es-ES_tradnl"/>
        </w:rPr>
        <w:t>Notas:</w:t>
      </w:r>
    </w:p>
    <w:p w:rsidR="006F7F41" w:rsidRPr="00C75C7E" w:rsidRDefault="006F7F41" w:rsidP="006F7F41">
      <w:pPr>
        <w:widowControl w:val="0"/>
        <w:rPr>
          <w:sz w:val="16"/>
          <w:szCs w:val="16"/>
          <w:u w:val="single"/>
          <w:lang w:val="es-ES_tradnl"/>
        </w:rPr>
      </w:pPr>
    </w:p>
    <w:p w:rsidR="006F7F41" w:rsidRPr="00C75C7E" w:rsidRDefault="00542C2B" w:rsidP="006F7F41">
      <w:pPr>
        <w:widowControl w:val="0"/>
        <w:spacing w:after="120"/>
        <w:rPr>
          <w:sz w:val="16"/>
          <w:szCs w:val="16"/>
          <w:lang w:val="es-ES_tradnl"/>
        </w:rPr>
      </w:pPr>
      <w:r>
        <w:rPr>
          <w:sz w:val="16"/>
          <w:szCs w:val="16"/>
          <w:lang w:val="es-ES_tradnl"/>
        </w:rPr>
        <w:t xml:space="preserve">1)  </w:t>
      </w:r>
      <w:r w:rsidR="006F7F41" w:rsidRPr="00C75C7E">
        <w:rPr>
          <w:sz w:val="16"/>
          <w:szCs w:val="16"/>
          <w:lang w:val="es-ES_tradnl"/>
        </w:rPr>
        <w:t xml:space="preserve">El presupuesto aprobado de 2012/13 y el presupuesto de dicho bienio después de las transferencias se </w:t>
      </w:r>
      <w:proofErr w:type="spellStart"/>
      <w:r w:rsidR="006F7F41" w:rsidRPr="00C75C7E">
        <w:rPr>
          <w:sz w:val="16"/>
          <w:szCs w:val="16"/>
          <w:lang w:val="es-ES_tradnl"/>
        </w:rPr>
        <w:t>reexpresan</w:t>
      </w:r>
      <w:proofErr w:type="spellEnd"/>
      <w:r w:rsidR="006F7F41" w:rsidRPr="00C75C7E">
        <w:rPr>
          <w:sz w:val="16"/>
          <w:szCs w:val="16"/>
          <w:lang w:val="es-ES_tradnl"/>
        </w:rPr>
        <w:t xml:space="preserve"> sobre la base de la estructura de categorías de costos propuesta para 2014/15.</w:t>
      </w:r>
    </w:p>
    <w:p w:rsidR="006F7F41" w:rsidRPr="00C75C7E" w:rsidRDefault="00542C2B" w:rsidP="006F7F41">
      <w:pPr>
        <w:widowControl w:val="0"/>
        <w:spacing w:after="120"/>
        <w:rPr>
          <w:sz w:val="16"/>
          <w:szCs w:val="16"/>
          <w:lang w:val="es-ES_tradnl"/>
        </w:rPr>
      </w:pPr>
      <w:r>
        <w:rPr>
          <w:sz w:val="16"/>
          <w:szCs w:val="16"/>
          <w:lang w:val="es-ES_tradnl"/>
        </w:rPr>
        <w:t xml:space="preserve">2)  </w:t>
      </w:r>
      <w:r w:rsidR="006F7F41"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presupuesto de</w:t>
      </w:r>
      <w:r w:rsidR="00D86F03">
        <w:rPr>
          <w:sz w:val="16"/>
          <w:szCs w:val="16"/>
          <w:lang w:val="es-ES_tradnl"/>
        </w:rPr>
        <w:t> </w:t>
      </w:r>
      <w:r w:rsidR="006F7F41"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006F7F41"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6F7F41" w:rsidRPr="00C75C7E" w:rsidRDefault="00542C2B" w:rsidP="006F7F41">
      <w:pPr>
        <w:widowControl w:val="0"/>
        <w:spacing w:after="120"/>
        <w:rPr>
          <w:sz w:val="20"/>
          <w:highlight w:val="yellow"/>
          <w:lang w:val="es-ES_tradnl"/>
        </w:rPr>
      </w:pPr>
      <w:r>
        <w:rPr>
          <w:sz w:val="16"/>
          <w:szCs w:val="16"/>
          <w:lang w:val="es-ES_tradnl"/>
        </w:rPr>
        <w:t xml:space="preserve">3)  </w:t>
      </w:r>
      <w:r w:rsidR="006F7F41" w:rsidRPr="00C75C7E">
        <w:rPr>
          <w:sz w:val="16"/>
          <w:szCs w:val="16"/>
          <w:lang w:val="es-ES_tradnl"/>
        </w:rPr>
        <w:t>Para más información sobre los puestos del programa cabe remitirse al cuadro que figura en el Anexo II.</w:t>
      </w:r>
    </w:p>
    <w:p w:rsidR="000E3B25" w:rsidRPr="000E3B25" w:rsidRDefault="006F7F41" w:rsidP="00C42F2A">
      <w:pPr>
        <w:pStyle w:val="Heading3"/>
        <w:tabs>
          <w:tab w:val="left" w:pos="1985"/>
        </w:tabs>
        <w:ind w:left="1985" w:hanging="1985"/>
        <w:rPr>
          <w:b/>
          <w:u w:val="none"/>
          <w:lang w:val="es-ES_tradnl"/>
        </w:rPr>
      </w:pPr>
      <w:r w:rsidRPr="00C75C7E">
        <w:rPr>
          <w:sz w:val="20"/>
          <w:lang w:val="es-ES_tradnl"/>
        </w:rPr>
        <w:br w:type="page"/>
      </w:r>
      <w:bookmarkStart w:id="80" w:name="_Toc356567774"/>
      <w:bookmarkStart w:id="81" w:name="_Toc366078742"/>
      <w:r w:rsidR="00BE322F" w:rsidRPr="00BE322F">
        <w:rPr>
          <w:b/>
          <w:u w:val="none"/>
          <w:lang w:val="es-ES_tradnl"/>
        </w:rPr>
        <w:lastRenderedPageBreak/>
        <w:t>PROGRAMA 20</w:t>
      </w:r>
      <w:r w:rsidR="00BE322F" w:rsidRPr="00BE322F">
        <w:rPr>
          <w:b/>
          <w:u w:val="none"/>
          <w:lang w:val="es-ES_tradnl"/>
        </w:rPr>
        <w:tab/>
      </w:r>
      <w:r w:rsidR="00BE322F" w:rsidRPr="00F21127">
        <w:rPr>
          <w:b/>
          <w:iCs/>
          <w:caps/>
          <w:u w:val="none"/>
        </w:rPr>
        <w:t>RELACIONES</w:t>
      </w:r>
      <w:r w:rsidR="00BE322F" w:rsidRPr="00BE322F">
        <w:rPr>
          <w:b/>
          <w:u w:val="none"/>
          <w:lang w:val="es-ES_tradnl"/>
        </w:rPr>
        <w:t xml:space="preserve"> EXTERIORES, ALIANZAS Y OFICINAS </w:t>
      </w:r>
      <w:r w:rsidR="00C42F2A">
        <w:rPr>
          <w:b/>
          <w:u w:val="none"/>
          <w:lang w:val="es-ES_tradnl"/>
        </w:rPr>
        <w:t>EN EL EXTERIOR</w:t>
      </w:r>
      <w:bookmarkEnd w:id="80"/>
      <w:bookmarkEnd w:id="81"/>
    </w:p>
    <w:p w:rsidR="000E3B25" w:rsidRPr="00AD1E8B" w:rsidRDefault="000E3B25" w:rsidP="000E3B25">
      <w:pPr>
        <w:tabs>
          <w:tab w:val="left" w:pos="2268"/>
        </w:tabs>
        <w:ind w:left="2268" w:hanging="2268"/>
        <w:rPr>
          <w:b/>
          <w:sz w:val="20"/>
          <w:lang w:val="es-ES_tradnl"/>
        </w:rPr>
      </w:pPr>
    </w:p>
    <w:p w:rsidR="000E3B25" w:rsidRPr="00AD1E8B" w:rsidRDefault="000E3B25" w:rsidP="000E3B25">
      <w:pPr>
        <w:tabs>
          <w:tab w:val="left" w:pos="2268"/>
        </w:tabs>
        <w:ind w:left="2268" w:hanging="2268"/>
        <w:rPr>
          <w:b/>
          <w:sz w:val="20"/>
          <w:lang w:val="es-ES_tradnl"/>
        </w:rPr>
      </w:pPr>
    </w:p>
    <w:p w:rsidR="000E3B25" w:rsidRPr="00AD1E8B" w:rsidRDefault="000E3B25" w:rsidP="000E3B25">
      <w:pPr>
        <w:rPr>
          <w:szCs w:val="22"/>
          <w:lang w:val="es-ES_tradnl"/>
        </w:rPr>
      </w:pPr>
      <w:r w:rsidRPr="00AD1E8B">
        <w:rPr>
          <w:szCs w:val="22"/>
          <w:lang w:val="es-ES_tradnl"/>
        </w:rPr>
        <w:t>CONTEXTO DE PLANIFICACIÓN</w:t>
      </w:r>
      <w:r w:rsidR="00F21127">
        <w:rPr>
          <w:szCs w:val="22"/>
          <w:lang w:val="es-ES_tradnl"/>
        </w:rPr>
        <w:t xml:space="preserve"> </w:t>
      </w:r>
    </w:p>
    <w:p w:rsidR="000E3B25" w:rsidRPr="00AD1E8B" w:rsidRDefault="000E3B25" w:rsidP="000E3B25">
      <w:pPr>
        <w:tabs>
          <w:tab w:val="num" w:pos="709"/>
        </w:tabs>
        <w:jc w:val="both"/>
        <w:rPr>
          <w:bCs/>
          <w:sz w:val="20"/>
          <w:lang w:val="es-ES_tradnl"/>
        </w:rPr>
      </w:pPr>
    </w:p>
    <w:p w:rsidR="000E3B25" w:rsidRPr="00AD1E8B" w:rsidRDefault="000E3B25" w:rsidP="00E17471">
      <w:pPr>
        <w:numPr>
          <w:ilvl w:val="0"/>
          <w:numId w:val="14"/>
        </w:numPr>
        <w:jc w:val="both"/>
        <w:rPr>
          <w:bCs/>
          <w:sz w:val="20"/>
          <w:lang w:val="es-ES_tradnl"/>
        </w:rPr>
      </w:pPr>
      <w:r w:rsidRPr="00AD1E8B">
        <w:rPr>
          <w:bCs/>
          <w:sz w:val="20"/>
          <w:lang w:val="es-ES_tradnl"/>
        </w:rPr>
        <w:t xml:space="preserve">En esta época caracterizada por la existencia de desafíos de política pública cada vez más interrelacionados y globalizados, el mundo ha presenciado un correspondiente incremento de la irrupción e influencia  de una multiplicidad de actores en los procesos internacionales de adopción de políticas.  En este contexto, la OMPI recurre a las competencias y la experiencia de una variada gama de instancias interesadas:  organismos de las NN.UU., organizaciones intergubernamentales (OIG) y entidades interesadas no gubernamentales, por ejemplo organizaciones no gubernamentales (ONG), empresas privadas y la sociedad civil en general, para dar cumplimiento a su misión de promover la innovación y la creatividad a través de un sistema internacional eficaz y equilibrado de P.I. en aras del desarrollo económico, social y cultural de todos los países.  El programa 20 procura establecer alianzas y fomentar una cooperación reforzada y receptiva con dichos actores al objeto de fomentar las sinergias, la colaboración y la cooperación necesarias para gestionar mejor la intersección entre la P.I. y los desafíos de política pública mundial.   </w:t>
      </w:r>
    </w:p>
    <w:p w:rsidR="000E3B25" w:rsidRPr="00AD1E8B" w:rsidRDefault="000E3B25" w:rsidP="000E3B25">
      <w:pPr>
        <w:tabs>
          <w:tab w:val="num" w:pos="709"/>
        </w:tabs>
        <w:jc w:val="both"/>
        <w:rPr>
          <w:bCs/>
          <w:sz w:val="20"/>
          <w:lang w:val="es-ES_tradnl"/>
        </w:rPr>
      </w:pPr>
    </w:p>
    <w:p w:rsidR="000E3B25" w:rsidRPr="00AD1E8B" w:rsidRDefault="000E3B25" w:rsidP="00E17471">
      <w:pPr>
        <w:numPr>
          <w:ilvl w:val="0"/>
          <w:numId w:val="14"/>
        </w:numPr>
        <w:jc w:val="both"/>
        <w:rPr>
          <w:bCs/>
          <w:sz w:val="20"/>
          <w:lang w:val="es-ES_tradnl"/>
        </w:rPr>
      </w:pPr>
      <w:r w:rsidRPr="00AD1E8B">
        <w:rPr>
          <w:bCs/>
          <w:sz w:val="20"/>
          <w:lang w:val="es-ES_tradnl"/>
        </w:rPr>
        <w:t xml:space="preserve">En el bienio 2014/15 la comunidad internacional habrá de afrontar una serie de importantes retos mundiales que afectan especialmente a la OMPI, a saber :  los esfuerzos de las NN.UU. para acelerar la consecución de los Objetivos de </w:t>
      </w:r>
      <w:r>
        <w:rPr>
          <w:bCs/>
          <w:sz w:val="20"/>
          <w:lang w:val="es-ES_tradnl"/>
        </w:rPr>
        <w:t>d</w:t>
      </w:r>
      <w:r w:rsidRPr="00AD1E8B">
        <w:rPr>
          <w:bCs/>
          <w:sz w:val="20"/>
          <w:lang w:val="es-ES_tradnl"/>
        </w:rPr>
        <w:t xml:space="preserve">esarrollo del </w:t>
      </w:r>
      <w:r>
        <w:rPr>
          <w:bCs/>
          <w:sz w:val="20"/>
          <w:lang w:val="es-ES_tradnl"/>
        </w:rPr>
        <w:t>m</w:t>
      </w:r>
      <w:r w:rsidRPr="00AD1E8B">
        <w:rPr>
          <w:bCs/>
          <w:sz w:val="20"/>
          <w:lang w:val="es-ES_tradnl"/>
        </w:rPr>
        <w:t xml:space="preserve">ilenio (ODM);  la elaboración del Marco de </w:t>
      </w:r>
      <w:r>
        <w:rPr>
          <w:bCs/>
          <w:sz w:val="20"/>
          <w:lang w:val="es-ES_tradnl"/>
        </w:rPr>
        <w:t>d</w:t>
      </w:r>
      <w:r w:rsidRPr="00AD1E8B">
        <w:rPr>
          <w:bCs/>
          <w:sz w:val="20"/>
          <w:lang w:val="es-ES_tradnl"/>
        </w:rPr>
        <w:t xml:space="preserve">esarrollo post-2015 y la aplicación de los resultados de la Conferencia de Río+20; las negociaciones tendentes a la adición de un nuevo resultado jurídico de la Convención Marco de las NN.UU sobre el </w:t>
      </w:r>
      <w:r>
        <w:rPr>
          <w:bCs/>
          <w:sz w:val="20"/>
          <w:lang w:val="es-ES_tradnl"/>
        </w:rPr>
        <w:t>c</w:t>
      </w:r>
      <w:r w:rsidRPr="00AD1E8B">
        <w:rPr>
          <w:bCs/>
          <w:sz w:val="20"/>
          <w:lang w:val="es-ES_tradnl"/>
        </w:rPr>
        <w:t xml:space="preserve">ambio </w:t>
      </w:r>
      <w:r>
        <w:rPr>
          <w:bCs/>
          <w:sz w:val="20"/>
          <w:lang w:val="es-ES_tradnl"/>
        </w:rPr>
        <w:t>c</w:t>
      </w:r>
      <w:r w:rsidRPr="00AD1E8B">
        <w:rPr>
          <w:bCs/>
          <w:sz w:val="20"/>
          <w:lang w:val="es-ES_tradnl"/>
        </w:rPr>
        <w:t xml:space="preserve">limático (CMNUCC), cuya firma se halla prevista para 2015 en París; la creación del Mecanismo de </w:t>
      </w:r>
      <w:r>
        <w:rPr>
          <w:bCs/>
          <w:sz w:val="20"/>
          <w:lang w:val="es-ES_tradnl"/>
        </w:rPr>
        <w:t>t</w:t>
      </w:r>
      <w:r w:rsidRPr="00AD1E8B">
        <w:rPr>
          <w:bCs/>
          <w:sz w:val="20"/>
          <w:lang w:val="es-ES_tradnl"/>
        </w:rPr>
        <w:t>ecnología de la CMNUCC;  y la revisión de la Cumbre Mundial sobre la Sociedad de la Información (CMSI).  Cada uno de estos procesos y desafíos presenta una vertiente relacionada con el funcionamiento del sistema de P.I.  La OMPI puede realizar una importante contribución suministrando información equilibrada de base empírica (una aportación que se le reclama cada vez más). El establecimiento de alianzas con organizaciones de las NN.UU., OIG y otras partes interesadas es fundamental a este respecto, ya que amplifica el efecto de la intervención de la OMPI y pone de relieve la pertinencia de la P.I. en cuanto instrumento de desarrollo.  En 2014/15 la OMPI aplicará los acuerdos y colaboraciones ya vigentes con organizaciones de las NN.UU. y otras OIG, además de concertar nuevas alianzas con vistas a una amplia cooperación entre numerosas partes interesadas. A este respecto es también importante que la OMPI coopere con asociados en el desarrollo para poder ayudar a los Estados miembros de la OMPI a obtener recursos y asesoramiento en materia de P.I. con destino a proyectos de desarrollo.</w:t>
      </w:r>
    </w:p>
    <w:p w:rsidR="000E3B25" w:rsidRPr="00AD1E8B" w:rsidRDefault="000E3B25" w:rsidP="000E3B25">
      <w:pPr>
        <w:tabs>
          <w:tab w:val="num" w:pos="709"/>
        </w:tabs>
        <w:jc w:val="both"/>
        <w:rPr>
          <w:bCs/>
          <w:sz w:val="20"/>
          <w:lang w:val="es-ES_tradnl"/>
        </w:rPr>
      </w:pPr>
    </w:p>
    <w:p w:rsidR="000E3B25" w:rsidRPr="00AD1E8B" w:rsidRDefault="000E3B25" w:rsidP="00E17471">
      <w:pPr>
        <w:numPr>
          <w:ilvl w:val="0"/>
          <w:numId w:val="14"/>
        </w:numPr>
        <w:jc w:val="both"/>
        <w:rPr>
          <w:bCs/>
          <w:sz w:val="20"/>
          <w:lang w:val="es-ES_tradnl"/>
        </w:rPr>
      </w:pPr>
      <w:r w:rsidRPr="00AD1E8B">
        <w:rPr>
          <w:bCs/>
          <w:sz w:val="20"/>
          <w:lang w:val="es-ES_tradnl"/>
        </w:rPr>
        <w:t>La OMPI cuenta asimismo en su labor con la acreditación y participación de un amplio abanico de organizaciones no gubernamentales de ámbito nacional o internacional que representan diferentes intereses y perspectivas.  Las partes interesadas no gubernamentales pueden contribuir a la constitución de un eficaz sistema internacional de P.I., no sólo gracias a sus conocimientos especializados, sino también a través de sus puntos de vista y de los de sus representados.  En este contexto, los representantes del sector empresarial que intervienen directamente en la creación y uso de obras innovadoras y creativas pueden aportar también una contribución insustituible al quehacer de la OMPI gracias a su experiencia de primera mano en el uso de la P.I. como herramienta de desarrollo económico, social y cultural.  El establecimiento de alianzas estratégicas y eficaces con dichas instancias no gubernamentales será un componente esencial de un diálogo sobre políticas que pueda contribuir auténticamente al uso de la P.I. como instrumento de desarrollo a través de la cooperación internacional con un gran número de partes interesadas.</w:t>
      </w:r>
    </w:p>
    <w:p w:rsidR="000E3B25" w:rsidRPr="00AD1E8B" w:rsidRDefault="000E3B25" w:rsidP="000E3B25">
      <w:pPr>
        <w:tabs>
          <w:tab w:val="num" w:pos="709"/>
        </w:tabs>
        <w:jc w:val="both"/>
        <w:rPr>
          <w:bCs/>
          <w:sz w:val="20"/>
          <w:lang w:val="es-ES_tradnl"/>
        </w:rPr>
      </w:pPr>
    </w:p>
    <w:p w:rsidR="000E3B25" w:rsidRPr="00AD1E8B" w:rsidRDefault="000E3B25" w:rsidP="000E3B25">
      <w:pPr>
        <w:tabs>
          <w:tab w:val="num" w:pos="709"/>
        </w:tabs>
        <w:jc w:val="both"/>
        <w:rPr>
          <w:bCs/>
          <w:szCs w:val="22"/>
          <w:lang w:val="es-ES_tradnl"/>
        </w:rPr>
      </w:pPr>
    </w:p>
    <w:p w:rsidR="000E3B25" w:rsidRPr="00AD1E8B" w:rsidRDefault="000E3B25" w:rsidP="000E3B25">
      <w:pPr>
        <w:tabs>
          <w:tab w:val="num" w:pos="709"/>
        </w:tabs>
        <w:jc w:val="both"/>
        <w:rPr>
          <w:szCs w:val="22"/>
          <w:lang w:val="es-ES_tradnl"/>
        </w:rPr>
      </w:pPr>
      <w:r w:rsidRPr="00AD1E8B">
        <w:rPr>
          <w:szCs w:val="22"/>
          <w:lang w:val="es-ES_tradnl"/>
        </w:rPr>
        <w:t>ESTRATEGIAS DE EJECUCIÓN</w:t>
      </w:r>
    </w:p>
    <w:p w:rsidR="000E3B25" w:rsidRPr="00AD1E8B" w:rsidRDefault="000E3B25" w:rsidP="000E3B25">
      <w:pPr>
        <w:tabs>
          <w:tab w:val="num" w:pos="709"/>
        </w:tabs>
        <w:jc w:val="both"/>
        <w:rPr>
          <w:b/>
          <w:bCs/>
          <w:sz w:val="20"/>
          <w:lang w:val="es-ES_tradnl"/>
        </w:rPr>
      </w:pPr>
    </w:p>
    <w:p w:rsidR="000E3B25" w:rsidRPr="00AD1E8B" w:rsidRDefault="000E3B25" w:rsidP="00E17471">
      <w:pPr>
        <w:numPr>
          <w:ilvl w:val="0"/>
          <w:numId w:val="14"/>
        </w:numPr>
        <w:jc w:val="both"/>
        <w:rPr>
          <w:bCs/>
          <w:sz w:val="20"/>
          <w:lang w:val="es-ES_tradnl"/>
        </w:rPr>
      </w:pPr>
      <w:r w:rsidRPr="00AD1E8B">
        <w:rPr>
          <w:bCs/>
          <w:sz w:val="20"/>
          <w:lang w:val="es-ES_tradnl"/>
        </w:rPr>
        <w:t>Dada su condición de foro global preeminente en materia de P.I. (dotado de plena credibilidad como fuente de apoyo, asistencia y referencia a efectos de información sobre temas de innovación, creatividad y P.I. en los correspondientes procesos de política pública), la OMPI debe realizar contribuciones diligentes, pertinentes, f</w:t>
      </w:r>
      <w:r>
        <w:rPr>
          <w:bCs/>
          <w:sz w:val="20"/>
          <w:lang w:val="es-ES_tradnl"/>
        </w:rPr>
        <w:t>ácticas</w:t>
      </w:r>
      <w:r w:rsidRPr="00AD1E8B">
        <w:rPr>
          <w:bCs/>
          <w:sz w:val="20"/>
          <w:lang w:val="es-ES_tradnl"/>
        </w:rPr>
        <w:t xml:space="preserve"> y equilibradas a los debates mantenidos en el exterior de la OMPI, en la intersección de la P.I. con los desafíos de política mundial.  Dichos debates tienen lugar en una amplia gama de foros y en ellos participan un sinnúmero de actores procedentes de las NN.UU., </w:t>
      </w:r>
      <w:r w:rsidRPr="00AD1E8B">
        <w:rPr>
          <w:bCs/>
          <w:sz w:val="20"/>
          <w:lang w:val="es-ES_tradnl"/>
        </w:rPr>
        <w:lastRenderedPageBreak/>
        <w:t>las OIG y las partes interesadas no gubernamentales.  La información que la OMPI aporte ha de ser equilibrada, realista y coherente con su mandato.  Por lo demás, la OMPI debe habilitar un espacio abierto y transparente en que sea posible oír, contestar e incorporar las voces de todos los interesados, bien a través de asociaciones que arrojen resultados tangibles, bien mediante la creación de foros que permitan mantener un diálogo constructivo en torno al uso de la P.I. como factor de innovación y desarrollo, en consonancia con las recomendaciones 30, 40 y 42 de la A.D.</w:t>
      </w:r>
    </w:p>
    <w:p w:rsidR="000E3B25" w:rsidRPr="00AD1E8B" w:rsidRDefault="000E3B25" w:rsidP="000E3B25">
      <w:pPr>
        <w:tabs>
          <w:tab w:val="num" w:pos="709"/>
        </w:tabs>
        <w:jc w:val="both"/>
        <w:rPr>
          <w:bCs/>
          <w:sz w:val="20"/>
          <w:lang w:val="es-ES_tradnl"/>
        </w:rPr>
      </w:pPr>
    </w:p>
    <w:p w:rsidR="000E3B25" w:rsidRPr="00AD1E8B" w:rsidRDefault="000E3B25" w:rsidP="00E17471">
      <w:pPr>
        <w:numPr>
          <w:ilvl w:val="0"/>
          <w:numId w:val="14"/>
        </w:numPr>
        <w:jc w:val="both"/>
        <w:rPr>
          <w:bCs/>
          <w:sz w:val="20"/>
          <w:lang w:val="es-ES_tradnl"/>
        </w:rPr>
      </w:pPr>
      <w:r w:rsidRPr="00AD1E8B">
        <w:rPr>
          <w:bCs/>
          <w:sz w:val="20"/>
          <w:lang w:val="es-ES_tradnl"/>
        </w:rPr>
        <w:t xml:space="preserve">En tal empeño, las estrategias durante el bienio 2014/15 atenderán sobre todo a fortalecer ulteriormente las alianzas existentes en busca de resultados sostenibles, al tiempo de elaborar esquemas nuevos e innovadores para la cooperación con una amplia gama de partes interesadas en el quehacer de la OMPI o con nuevos aliados potenciales.  Sobre esta base, los planteamientos estratégicos durante el bienio serán los siguientes:  </w:t>
      </w:r>
    </w:p>
    <w:p w:rsidR="000E3B25" w:rsidRPr="00AD1E8B" w:rsidRDefault="000E3B25" w:rsidP="000E3B25">
      <w:pPr>
        <w:tabs>
          <w:tab w:val="num" w:pos="709"/>
        </w:tabs>
        <w:jc w:val="both"/>
        <w:rPr>
          <w:bCs/>
          <w:sz w:val="20"/>
          <w:lang w:val="es-ES_tradnl"/>
        </w:rPr>
      </w:pPr>
    </w:p>
    <w:p w:rsidR="000E3B25" w:rsidRPr="00AD1E8B" w:rsidRDefault="000E3B25" w:rsidP="00E17471">
      <w:pPr>
        <w:numPr>
          <w:ilvl w:val="0"/>
          <w:numId w:val="15"/>
        </w:numPr>
        <w:jc w:val="both"/>
        <w:rPr>
          <w:bCs/>
          <w:sz w:val="20"/>
          <w:lang w:val="es-ES_tradnl"/>
        </w:rPr>
      </w:pPr>
      <w:r w:rsidRPr="00AD1E8B">
        <w:rPr>
          <w:bCs/>
          <w:sz w:val="20"/>
          <w:lang w:val="es-ES_tradnl"/>
        </w:rPr>
        <w:t xml:space="preserve">Facilitar asistencia y contribuciones a procesos de las NN.UU. como son:  los trabajos destinados a acelerar la consecución de los ODM (recomendación 22 de la A.D.);  la cooperación interinstitucional respecto del Marco de </w:t>
      </w:r>
      <w:r>
        <w:rPr>
          <w:bCs/>
          <w:sz w:val="20"/>
          <w:lang w:val="es-ES_tradnl"/>
        </w:rPr>
        <w:t>d</w:t>
      </w:r>
      <w:r w:rsidRPr="00AD1E8B">
        <w:rPr>
          <w:bCs/>
          <w:sz w:val="20"/>
          <w:lang w:val="es-ES_tradnl"/>
        </w:rPr>
        <w:t xml:space="preserve">esarrollo post 2015;  la aplicación de los resultados de la Conferencia de Río+20;  las negociaciones en torno a la adición de un nuevo resultado jurídico de la Convención Marco sobre el Cambio Climático;  la creación del Mecanismo de </w:t>
      </w:r>
      <w:r>
        <w:rPr>
          <w:bCs/>
          <w:sz w:val="20"/>
          <w:lang w:val="es-ES_tradnl"/>
        </w:rPr>
        <w:t>t</w:t>
      </w:r>
      <w:r w:rsidRPr="00AD1E8B">
        <w:rPr>
          <w:bCs/>
          <w:sz w:val="20"/>
          <w:lang w:val="es-ES_tradnl"/>
        </w:rPr>
        <w:t>ecnología de la CMNUCC;  y la revisión de la CMSI en 2015;</w:t>
      </w:r>
    </w:p>
    <w:p w:rsidR="000E3B25" w:rsidRPr="00AD1E8B" w:rsidRDefault="000E3B25" w:rsidP="000E3B25">
      <w:pPr>
        <w:jc w:val="both"/>
        <w:rPr>
          <w:bCs/>
          <w:sz w:val="20"/>
          <w:lang w:val="es-ES_tradnl"/>
        </w:rPr>
      </w:pPr>
    </w:p>
    <w:p w:rsidR="000E3B25" w:rsidRPr="00AD1E8B" w:rsidRDefault="000E3B25" w:rsidP="00E17471">
      <w:pPr>
        <w:numPr>
          <w:ilvl w:val="0"/>
          <w:numId w:val="15"/>
        </w:numPr>
        <w:jc w:val="both"/>
        <w:rPr>
          <w:bCs/>
          <w:sz w:val="20"/>
          <w:lang w:val="es-ES_tradnl"/>
        </w:rPr>
      </w:pPr>
      <w:r w:rsidRPr="00AD1E8B">
        <w:rPr>
          <w:bCs/>
          <w:sz w:val="20"/>
          <w:lang w:val="es-ES_tradnl"/>
        </w:rPr>
        <w:t>Supervisar y recoger en los correspondientes informes las negociaciones, procesos y debates celebrados en el seno de las NN.UU. u otros foros intergubernamentales que presenten gran pertinencia y elevada prioridad para la OMPI, identificando aquellas oportunidades en que la OMPI pueda efectuar una contribución valiosa y contribuir a que el sistema de P.I. sea mejor comprendido en tales debates;</w:t>
      </w:r>
    </w:p>
    <w:p w:rsidR="000E3B25" w:rsidRPr="00AD1E8B" w:rsidRDefault="000E3B25" w:rsidP="000E3B25">
      <w:pPr>
        <w:jc w:val="both"/>
        <w:rPr>
          <w:bCs/>
          <w:sz w:val="20"/>
          <w:lang w:val="es-ES_tradnl"/>
        </w:rPr>
      </w:pPr>
    </w:p>
    <w:p w:rsidR="000E3B25" w:rsidRPr="00AD1E8B" w:rsidRDefault="000E3B25" w:rsidP="00E17471">
      <w:pPr>
        <w:numPr>
          <w:ilvl w:val="0"/>
          <w:numId w:val="15"/>
        </w:numPr>
        <w:jc w:val="both"/>
        <w:rPr>
          <w:bCs/>
          <w:sz w:val="20"/>
          <w:lang w:val="es-ES_tradnl"/>
        </w:rPr>
      </w:pPr>
      <w:r w:rsidRPr="00AD1E8B">
        <w:rPr>
          <w:bCs/>
          <w:sz w:val="20"/>
          <w:lang w:val="es-ES_tradnl"/>
        </w:rPr>
        <w:t xml:space="preserve">Fomentar las relaciones con las NN.UU. y otros interlocutores esenciales como la Organización Mundial del Comercio (OMC), la Organización Mundial de la Salud (OMS), la Conferencia de las Naciones Unidas sobre Comercio y Desarrollo (UNCTAD), el Programa </w:t>
      </w:r>
      <w:r w:rsidR="00733234">
        <w:rPr>
          <w:bCs/>
          <w:sz w:val="20"/>
          <w:lang w:val="es-ES_tradnl"/>
        </w:rPr>
        <w:t xml:space="preserve">de </w:t>
      </w:r>
      <w:r w:rsidR="00BB5D51">
        <w:rPr>
          <w:bCs/>
          <w:sz w:val="20"/>
          <w:lang w:val="es-ES_tradnl"/>
        </w:rPr>
        <w:t>las Naciones Unidas</w:t>
      </w:r>
      <w:r w:rsidR="00733234">
        <w:rPr>
          <w:bCs/>
          <w:sz w:val="20"/>
          <w:lang w:val="es-ES_tradnl"/>
        </w:rPr>
        <w:t xml:space="preserve"> para el Medio Ambiente</w:t>
      </w:r>
      <w:r w:rsidR="00BB5D51">
        <w:rPr>
          <w:bCs/>
          <w:sz w:val="20"/>
          <w:lang w:val="es-ES_tradnl"/>
        </w:rPr>
        <w:t xml:space="preserve"> (</w:t>
      </w:r>
      <w:r w:rsidRPr="00AD1E8B">
        <w:rPr>
          <w:bCs/>
          <w:sz w:val="20"/>
          <w:lang w:val="es-ES_tradnl"/>
        </w:rPr>
        <w:t>P</w:t>
      </w:r>
      <w:r w:rsidR="00BB5D51">
        <w:rPr>
          <w:bCs/>
          <w:sz w:val="20"/>
          <w:lang w:val="es-ES_tradnl"/>
        </w:rPr>
        <w:t>NUMA</w:t>
      </w:r>
      <w:r w:rsidRPr="00AD1E8B">
        <w:rPr>
          <w:bCs/>
          <w:sz w:val="20"/>
          <w:lang w:val="es-ES_tradnl"/>
        </w:rPr>
        <w:t xml:space="preserve">), la Convención Marco de las Naciones Unidas sobre el Cambio Climático (CMNUCC), la Organización de las Naciones Unidas para el Desarrollo Industrial (ONUDI), la Organización de las Naciones Unidas para la Alimentación y la Agricultura (FAO), la Unión Internacional de Telecomunicaciones (UIT), la Organización de las Naciones Unidas para la Educación, la Ciencia y la Cultura (UNESCO) y el Departamento de Asuntos Económicos </w:t>
      </w:r>
      <w:r w:rsidR="00BB5D51">
        <w:rPr>
          <w:bCs/>
          <w:sz w:val="20"/>
          <w:lang w:val="es-ES_tradnl"/>
        </w:rPr>
        <w:t xml:space="preserve">y Sociales </w:t>
      </w:r>
      <w:r w:rsidRPr="00AD1E8B">
        <w:rPr>
          <w:bCs/>
          <w:sz w:val="20"/>
          <w:lang w:val="es-ES_tradnl"/>
        </w:rPr>
        <w:t xml:space="preserve">de las Naciones Unidas (DAES), así como la ejecución de proyectos y actividades conjuntos acordados con dichas organizaciones y otras OIG como la Organización Europea para la Investigación Nuclear (CERN) (recomendaciones 30 y 40 de la A.D.); </w:t>
      </w:r>
    </w:p>
    <w:p w:rsidR="000E3B25" w:rsidRPr="00AD1E8B" w:rsidRDefault="000E3B25" w:rsidP="000E3B25">
      <w:pPr>
        <w:jc w:val="both"/>
        <w:rPr>
          <w:bCs/>
          <w:sz w:val="20"/>
          <w:lang w:val="es-ES_tradnl"/>
        </w:rPr>
      </w:pPr>
    </w:p>
    <w:p w:rsidR="000E3B25" w:rsidRPr="00AD1E8B" w:rsidRDefault="000E3B25" w:rsidP="00E17471">
      <w:pPr>
        <w:numPr>
          <w:ilvl w:val="0"/>
          <w:numId w:val="15"/>
        </w:numPr>
        <w:jc w:val="both"/>
        <w:rPr>
          <w:bCs/>
          <w:sz w:val="20"/>
          <w:lang w:val="es-ES_tradnl"/>
        </w:rPr>
      </w:pPr>
      <w:r w:rsidRPr="00AD1E8B">
        <w:rPr>
          <w:bCs/>
          <w:sz w:val="20"/>
          <w:lang w:val="es-ES_tradnl"/>
        </w:rPr>
        <w:t>Suministrar respuestas diligentes y de elevada calidad a las demandas de información recibidas por la OMPI de organizaciones de las NN.UU. y otras OIG, o bien de ONG;</w:t>
      </w:r>
    </w:p>
    <w:p w:rsidR="000E3B25" w:rsidRPr="00AD1E8B" w:rsidRDefault="000E3B25" w:rsidP="000E3B25">
      <w:pPr>
        <w:jc w:val="both"/>
        <w:rPr>
          <w:bCs/>
          <w:sz w:val="20"/>
          <w:lang w:val="es-ES_tradnl"/>
        </w:rPr>
      </w:pPr>
    </w:p>
    <w:p w:rsidR="000E3B25" w:rsidRPr="00AD1E8B" w:rsidRDefault="000E3B25" w:rsidP="00E17471">
      <w:pPr>
        <w:numPr>
          <w:ilvl w:val="0"/>
          <w:numId w:val="15"/>
        </w:numPr>
        <w:jc w:val="both"/>
        <w:rPr>
          <w:bCs/>
          <w:sz w:val="20"/>
          <w:lang w:val="es-ES_tradnl"/>
        </w:rPr>
      </w:pPr>
      <w:r w:rsidRPr="00AD1E8B">
        <w:rPr>
          <w:bCs/>
          <w:sz w:val="20"/>
          <w:lang w:val="es-ES_tradnl"/>
        </w:rPr>
        <w:t>Elaborar estructuras institucionales y alianzas prácticas relativas a determinadas actividades conjuntas con ONG nacionales e internacionales y crear mecanismos que procuren a la OMPI una mejor comprensión de las posiciones y perspectivas de sus partes interesadas no gubernamentales;</w:t>
      </w:r>
    </w:p>
    <w:p w:rsidR="000E3B25" w:rsidRPr="00AD1E8B" w:rsidRDefault="000E3B25" w:rsidP="000E3B25">
      <w:pPr>
        <w:jc w:val="both"/>
        <w:rPr>
          <w:bCs/>
          <w:sz w:val="20"/>
          <w:lang w:val="es-ES_tradnl"/>
        </w:rPr>
      </w:pPr>
    </w:p>
    <w:p w:rsidR="000E3B25" w:rsidRPr="00AD1E8B" w:rsidRDefault="000E3B25" w:rsidP="00E17471">
      <w:pPr>
        <w:numPr>
          <w:ilvl w:val="0"/>
          <w:numId w:val="15"/>
        </w:numPr>
        <w:jc w:val="both"/>
        <w:rPr>
          <w:bCs/>
          <w:sz w:val="20"/>
          <w:lang w:val="es-ES_tradnl"/>
        </w:rPr>
      </w:pPr>
      <w:r w:rsidRPr="00AD1E8B">
        <w:rPr>
          <w:bCs/>
          <w:sz w:val="20"/>
          <w:lang w:val="es-ES_tradnl"/>
        </w:rPr>
        <w:t>Crear foros para el diálogo constructivo con una amplia gama de partes interesadas en la P.I. considerada como instrumento de innovación, crecimiento económico y desarrollo.  Esto podrá incluir un debate con la máxima participación posible de creadores y usuarios de la P.I. de los PMA, los países en desarrollo y los países desarrollados para articular la forma de crear, proteger y utilizar la P.I. a este respecto;</w:t>
      </w:r>
    </w:p>
    <w:p w:rsidR="000E3B25" w:rsidRPr="00AD1E8B" w:rsidRDefault="000E3B25" w:rsidP="000E3B25">
      <w:pPr>
        <w:jc w:val="both"/>
        <w:rPr>
          <w:bCs/>
          <w:sz w:val="20"/>
          <w:lang w:val="es-ES_tradnl"/>
        </w:rPr>
      </w:pPr>
    </w:p>
    <w:p w:rsidR="000E3B25" w:rsidRPr="00AD1E8B" w:rsidRDefault="000E3B25" w:rsidP="00E17471">
      <w:pPr>
        <w:numPr>
          <w:ilvl w:val="0"/>
          <w:numId w:val="15"/>
        </w:numPr>
        <w:jc w:val="both"/>
        <w:rPr>
          <w:bCs/>
          <w:sz w:val="20"/>
          <w:lang w:val="es-ES_tradnl"/>
        </w:rPr>
      </w:pPr>
      <w:r w:rsidRPr="00AD1E8B">
        <w:rPr>
          <w:bCs/>
          <w:sz w:val="20"/>
          <w:lang w:val="es-ES_tradnl"/>
        </w:rPr>
        <w:t>Divulgar información a los donantes y suministrar apoyo a los Estados miembros de la OMPI y a otros programas de la OMPI para impulsar los esfuerzos encaminados a la movilización de recursos;</w:t>
      </w:r>
    </w:p>
    <w:p w:rsidR="000E3B25" w:rsidRPr="00AD1E8B" w:rsidRDefault="000E3B25" w:rsidP="000E3B25">
      <w:pPr>
        <w:jc w:val="both"/>
        <w:rPr>
          <w:bCs/>
          <w:sz w:val="20"/>
          <w:lang w:val="es-ES_tradnl"/>
        </w:rPr>
      </w:pPr>
    </w:p>
    <w:p w:rsidR="000E3B25" w:rsidRPr="00AD1E8B" w:rsidRDefault="000E3B25" w:rsidP="00E17471">
      <w:pPr>
        <w:numPr>
          <w:ilvl w:val="0"/>
          <w:numId w:val="15"/>
        </w:numPr>
        <w:jc w:val="both"/>
        <w:rPr>
          <w:bCs/>
          <w:sz w:val="20"/>
          <w:lang w:val="es-ES_tradnl"/>
        </w:rPr>
      </w:pPr>
      <w:r w:rsidRPr="00AD1E8B">
        <w:rPr>
          <w:bCs/>
          <w:sz w:val="20"/>
          <w:lang w:val="es-ES_tradnl"/>
        </w:rPr>
        <w:t xml:space="preserve">Elaborar proyectos de P.I. para el Desarrollo que puedan ser propuestos a potenciales asociados con el fin de movilizar recursos financieros extrapresupuestarios con destino a los países en desarrollo y los PMA, siempre en estrecha cooperación con el programa 9 para </w:t>
      </w:r>
      <w:r w:rsidRPr="00AD1E8B">
        <w:rPr>
          <w:bCs/>
          <w:sz w:val="20"/>
          <w:lang w:val="es-ES_tradnl"/>
        </w:rPr>
        <w:lastRenderedPageBreak/>
        <w:t>garantizar la plena utilización de la base de datos destinada a subvenir con los recursos disponibles a las necesidades de desarrollo relacionadas con la P.I. (</w:t>
      </w:r>
      <w:r>
        <w:rPr>
          <w:bCs/>
          <w:sz w:val="20"/>
          <w:lang w:val="es-ES_tradnl"/>
        </w:rPr>
        <w:t>r</w:t>
      </w:r>
      <w:r w:rsidRPr="00AD1E8B">
        <w:rPr>
          <w:bCs/>
          <w:sz w:val="20"/>
          <w:lang w:val="es-ES_tradnl"/>
        </w:rPr>
        <w:t>ecomendaciones 2 y 9 de la A.D.).</w:t>
      </w:r>
    </w:p>
    <w:p w:rsidR="000E3B25" w:rsidRPr="00AD1E8B" w:rsidRDefault="000E3B25" w:rsidP="000E3B25">
      <w:pPr>
        <w:tabs>
          <w:tab w:val="num" w:pos="709"/>
        </w:tabs>
        <w:jc w:val="both"/>
        <w:rPr>
          <w:bCs/>
          <w:szCs w:val="22"/>
          <w:lang w:val="es-ES_tradnl"/>
        </w:rPr>
      </w:pPr>
    </w:p>
    <w:p w:rsidR="00D919EA" w:rsidRDefault="00D919EA" w:rsidP="00D919EA">
      <w:pPr>
        <w:tabs>
          <w:tab w:val="num" w:pos="709"/>
        </w:tabs>
        <w:rPr>
          <w:szCs w:val="22"/>
          <w:lang w:val="es-ES_tradnl"/>
        </w:rPr>
      </w:pPr>
    </w:p>
    <w:p w:rsidR="006F7F41" w:rsidRPr="00994766" w:rsidRDefault="006F7F41" w:rsidP="00D919EA">
      <w:pPr>
        <w:tabs>
          <w:tab w:val="num" w:pos="709"/>
        </w:tabs>
        <w:rPr>
          <w:szCs w:val="22"/>
          <w:lang w:val="es-ES_tradnl"/>
        </w:rPr>
      </w:pPr>
      <w:r w:rsidRPr="00994766">
        <w:rPr>
          <w:szCs w:val="22"/>
          <w:lang w:val="es-ES_tradnl"/>
        </w:rPr>
        <w:t xml:space="preserve">PRINCIPALES RIESGOS Y ESTRATEGIAS DE MITIGACIÓN  </w:t>
      </w:r>
    </w:p>
    <w:p w:rsidR="006F7F41" w:rsidRPr="00994766" w:rsidRDefault="006F7F41" w:rsidP="00D919EA">
      <w:pPr>
        <w:tabs>
          <w:tab w:val="num" w:pos="709"/>
        </w:tabs>
        <w:rPr>
          <w:b/>
          <w:bCs/>
          <w:szCs w:val="22"/>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5066"/>
      </w:tblGrid>
      <w:tr w:rsidR="006F7F41" w:rsidRPr="007C656B" w:rsidTr="00F50540">
        <w:trPr>
          <w:trHeight w:val="621"/>
        </w:trPr>
        <w:tc>
          <w:tcPr>
            <w:tcW w:w="4290" w:type="dxa"/>
            <w:tcBorders>
              <w:top w:val="single" w:sz="4" w:space="0" w:color="auto"/>
              <w:left w:val="single" w:sz="4" w:space="0" w:color="auto"/>
              <w:bottom w:val="single" w:sz="4" w:space="0" w:color="auto"/>
              <w:right w:val="nil"/>
            </w:tcBorders>
            <w:shd w:val="clear" w:color="auto" w:fill="CCFFFF"/>
            <w:vAlign w:val="center"/>
          </w:tcPr>
          <w:p w:rsidR="006F7F41" w:rsidRPr="007C656B" w:rsidRDefault="006F7F41" w:rsidP="00D919EA">
            <w:pPr>
              <w:autoSpaceDE w:val="0"/>
              <w:autoSpaceDN w:val="0"/>
              <w:adjustRightInd w:val="0"/>
              <w:ind w:right="-59"/>
              <w:jc w:val="center"/>
              <w:rPr>
                <w:b/>
                <w:bCs/>
                <w:iCs/>
                <w:sz w:val="18"/>
                <w:szCs w:val="14"/>
                <w:lang w:val="es-ES_tradnl"/>
              </w:rPr>
            </w:pPr>
            <w:r w:rsidRPr="007C656B">
              <w:rPr>
                <w:b/>
                <w:bCs/>
                <w:iCs/>
                <w:sz w:val="18"/>
                <w:szCs w:val="14"/>
                <w:lang w:val="es-ES_tradnl"/>
              </w:rPr>
              <w:t>Riesgos en el logro de los resultados del programa</w:t>
            </w:r>
          </w:p>
        </w:tc>
        <w:tc>
          <w:tcPr>
            <w:tcW w:w="5066" w:type="dxa"/>
            <w:tcBorders>
              <w:top w:val="single" w:sz="4" w:space="0" w:color="auto"/>
              <w:left w:val="nil"/>
              <w:bottom w:val="single" w:sz="4" w:space="0" w:color="auto"/>
              <w:right w:val="single" w:sz="4" w:space="0" w:color="auto"/>
            </w:tcBorders>
            <w:shd w:val="clear" w:color="auto" w:fill="CCFFFF"/>
            <w:vAlign w:val="center"/>
          </w:tcPr>
          <w:p w:rsidR="006F7F41" w:rsidRPr="007C656B" w:rsidRDefault="006F7F41" w:rsidP="00D919EA">
            <w:pPr>
              <w:autoSpaceDE w:val="0"/>
              <w:autoSpaceDN w:val="0"/>
              <w:adjustRightInd w:val="0"/>
              <w:ind w:right="-59"/>
              <w:jc w:val="center"/>
              <w:rPr>
                <w:b/>
                <w:bCs/>
                <w:iCs/>
                <w:sz w:val="18"/>
                <w:szCs w:val="14"/>
                <w:lang w:val="es-ES_tradnl"/>
              </w:rPr>
            </w:pPr>
            <w:r w:rsidRPr="007C656B">
              <w:rPr>
                <w:b/>
                <w:bCs/>
                <w:iCs/>
                <w:sz w:val="18"/>
                <w:szCs w:val="14"/>
                <w:lang w:val="es-ES_tradnl"/>
              </w:rPr>
              <w:t>Planes de mitigación ejecutados o en ejecución</w:t>
            </w:r>
          </w:p>
        </w:tc>
      </w:tr>
      <w:tr w:rsidR="006F7F41" w:rsidRPr="007C656B" w:rsidTr="00F50540">
        <w:trPr>
          <w:trHeight w:val="776"/>
        </w:trPr>
        <w:tc>
          <w:tcPr>
            <w:tcW w:w="4290" w:type="dxa"/>
            <w:tcBorders>
              <w:top w:val="single" w:sz="4" w:space="0" w:color="auto"/>
            </w:tcBorders>
            <w:shd w:val="clear" w:color="auto" w:fill="auto"/>
            <w:tcMar>
              <w:top w:w="113" w:type="dxa"/>
              <w:bottom w:w="85" w:type="dxa"/>
            </w:tcMar>
          </w:tcPr>
          <w:p w:rsidR="006F7F41" w:rsidRPr="007C656B" w:rsidRDefault="006F7F41" w:rsidP="00D919EA">
            <w:pPr>
              <w:tabs>
                <w:tab w:val="left" w:pos="3465"/>
              </w:tabs>
              <w:rPr>
                <w:sz w:val="16"/>
                <w:lang w:val="es-ES_tradnl"/>
              </w:rPr>
            </w:pPr>
            <w:r w:rsidRPr="007C656B">
              <w:rPr>
                <w:sz w:val="16"/>
                <w:lang w:val="es-ES_tradnl"/>
              </w:rPr>
              <w:t>La participación eficaz de la OMPI en los procesos de las NN.UU. y otras OIG y ONG, así como la utilidad que tiene en esos procesos, se basa en la aceptación de que es una fuente creíble y fiable de apoyo, asistencia e información.</w:t>
            </w:r>
          </w:p>
        </w:tc>
        <w:tc>
          <w:tcPr>
            <w:tcW w:w="5066" w:type="dxa"/>
            <w:tcBorders>
              <w:top w:val="single" w:sz="4" w:space="0" w:color="auto"/>
            </w:tcBorders>
            <w:shd w:val="clear" w:color="auto" w:fill="auto"/>
            <w:tcMar>
              <w:top w:w="113" w:type="dxa"/>
              <w:bottom w:w="85" w:type="dxa"/>
            </w:tcMar>
          </w:tcPr>
          <w:p w:rsidR="006F7F41" w:rsidRPr="007C656B" w:rsidRDefault="006F7F41" w:rsidP="00D919EA">
            <w:pPr>
              <w:autoSpaceDE w:val="0"/>
              <w:autoSpaceDN w:val="0"/>
              <w:adjustRightInd w:val="0"/>
              <w:ind w:right="-59"/>
              <w:rPr>
                <w:sz w:val="16"/>
                <w:lang w:val="es-ES_tradnl"/>
              </w:rPr>
            </w:pPr>
            <w:r w:rsidRPr="007C656B">
              <w:rPr>
                <w:sz w:val="16"/>
                <w:lang w:val="es-ES_tradnl"/>
              </w:rPr>
              <w:t>Velar por que las aportaciones de la OMPI se basen en hechos, tengan carácter empírico y equilibrado, reflejen las opiniones de todas las partes interesadas, sean puntuales y estén bien enfocadas.  Fomentar los vínculos de cooperación para incrementar la repercusión de las aportaciones de la OMPI.</w:t>
            </w:r>
          </w:p>
        </w:tc>
      </w:tr>
      <w:tr w:rsidR="006F7F41" w:rsidRPr="007C656B" w:rsidTr="00F50540">
        <w:trPr>
          <w:trHeight w:val="939"/>
        </w:trPr>
        <w:tc>
          <w:tcPr>
            <w:tcW w:w="4290" w:type="dxa"/>
            <w:shd w:val="clear" w:color="auto" w:fill="auto"/>
            <w:tcMar>
              <w:top w:w="113" w:type="dxa"/>
              <w:bottom w:w="85" w:type="dxa"/>
            </w:tcMar>
          </w:tcPr>
          <w:p w:rsidR="006F7F41" w:rsidRPr="007C656B" w:rsidRDefault="006F7F41" w:rsidP="00D919EA">
            <w:pPr>
              <w:tabs>
                <w:tab w:val="left" w:pos="3465"/>
              </w:tabs>
              <w:rPr>
                <w:sz w:val="16"/>
                <w:lang w:val="es-ES_tradnl"/>
              </w:rPr>
            </w:pPr>
            <w:r w:rsidRPr="007C656B">
              <w:rPr>
                <w:sz w:val="16"/>
                <w:lang w:val="es-ES_tradnl"/>
              </w:rPr>
              <w:t>Si no se cumplen los objetivos de movilización de recursos no se podrán iniciar determinados proyectos de P.I. al servicio del desarrollo.</w:t>
            </w:r>
          </w:p>
        </w:tc>
        <w:tc>
          <w:tcPr>
            <w:tcW w:w="5066" w:type="dxa"/>
            <w:shd w:val="clear" w:color="auto" w:fill="auto"/>
            <w:tcMar>
              <w:top w:w="113" w:type="dxa"/>
              <w:bottom w:w="85" w:type="dxa"/>
            </w:tcMar>
          </w:tcPr>
          <w:p w:rsidR="006F7F41" w:rsidRPr="007C656B" w:rsidRDefault="006F7F41" w:rsidP="00D919EA">
            <w:pPr>
              <w:rPr>
                <w:sz w:val="16"/>
                <w:lang w:val="es-ES_tradnl"/>
              </w:rPr>
            </w:pPr>
            <w:r w:rsidRPr="007C656B">
              <w:rPr>
                <w:sz w:val="16"/>
                <w:lang w:val="es-ES_tradnl"/>
              </w:rPr>
              <w:t xml:space="preserve">Velar por la ejecución de proyectos de alta calidad para la movilización de recursos que estén orientados específicamente a la obtención de financiación de los donantes.  Seguir desarrollando la capacidad de la </w:t>
            </w:r>
            <w:r w:rsidRPr="007C656B">
              <w:rPr>
                <w:sz w:val="16"/>
                <w:lang w:val="es-ES_tradnl" w:eastAsia="fr-FR"/>
              </w:rPr>
              <w:t>Organización</w:t>
            </w:r>
            <w:r w:rsidRPr="007C656B">
              <w:rPr>
                <w:sz w:val="16"/>
                <w:lang w:val="es-ES_tradnl"/>
              </w:rPr>
              <w:t xml:space="preserve"> para movilizar y administrar recursos extrapresupuestarios.  Fomentar el conocimiento de las prioridades de los donantes y los contactos con estos últimos.</w:t>
            </w:r>
          </w:p>
        </w:tc>
      </w:tr>
    </w:tbl>
    <w:p w:rsidR="006F7F41" w:rsidRDefault="006F7F41" w:rsidP="006F7F41">
      <w:pPr>
        <w:rPr>
          <w:bCs/>
          <w:szCs w:val="22"/>
          <w:lang w:val="es-ES_tradnl"/>
        </w:rPr>
      </w:pPr>
    </w:p>
    <w:p w:rsidR="00BE322F" w:rsidRDefault="00BE322F" w:rsidP="006F7F41">
      <w:pPr>
        <w:rPr>
          <w:bCs/>
          <w:szCs w:val="22"/>
          <w:lang w:val="es-ES_tradnl"/>
        </w:rPr>
      </w:pPr>
    </w:p>
    <w:p w:rsidR="00BE322F" w:rsidRPr="00AD1E8B" w:rsidRDefault="00BE322F" w:rsidP="00BE322F">
      <w:pPr>
        <w:jc w:val="both"/>
        <w:rPr>
          <w:b/>
          <w:bCs/>
          <w:szCs w:val="22"/>
          <w:lang w:val="es-ES_tradnl"/>
        </w:rPr>
      </w:pPr>
      <w:r w:rsidRPr="00AD1E8B">
        <w:rPr>
          <w:b/>
          <w:bCs/>
          <w:szCs w:val="22"/>
          <w:lang w:val="es-ES_tradnl"/>
        </w:rPr>
        <w:t xml:space="preserve">OFICINAS </w:t>
      </w:r>
      <w:r w:rsidR="00C42F2A">
        <w:rPr>
          <w:b/>
          <w:bCs/>
          <w:szCs w:val="22"/>
          <w:lang w:val="es-ES_tradnl"/>
        </w:rPr>
        <w:t xml:space="preserve">EN EL </w:t>
      </w:r>
      <w:r w:rsidRPr="00AD1E8B">
        <w:rPr>
          <w:b/>
          <w:bCs/>
          <w:szCs w:val="22"/>
          <w:lang w:val="es-ES_tradnl"/>
        </w:rPr>
        <w:t>EXTER</w:t>
      </w:r>
      <w:r w:rsidR="00C42F2A">
        <w:rPr>
          <w:b/>
          <w:bCs/>
          <w:szCs w:val="22"/>
          <w:lang w:val="es-ES_tradnl"/>
        </w:rPr>
        <w:t>IOR</w:t>
      </w:r>
    </w:p>
    <w:p w:rsidR="00BE322F" w:rsidRPr="00AD1E8B" w:rsidRDefault="00BE322F" w:rsidP="00BE322F">
      <w:pPr>
        <w:jc w:val="both"/>
        <w:rPr>
          <w:sz w:val="20"/>
          <w:lang w:val="es-ES_tradnl"/>
        </w:rPr>
      </w:pPr>
    </w:p>
    <w:p w:rsidR="00BE322F" w:rsidRPr="00AD1E8B" w:rsidRDefault="00BE322F" w:rsidP="00BE322F">
      <w:pPr>
        <w:tabs>
          <w:tab w:val="num" w:pos="709"/>
        </w:tabs>
        <w:jc w:val="both"/>
        <w:rPr>
          <w:bCs/>
          <w:szCs w:val="22"/>
          <w:lang w:val="es-ES_tradnl"/>
        </w:rPr>
      </w:pPr>
      <w:r w:rsidRPr="00AD1E8B">
        <w:rPr>
          <w:bCs/>
          <w:szCs w:val="22"/>
          <w:lang w:val="es-ES_tradnl"/>
        </w:rPr>
        <w:t>CONTEXTO  DE PLANIFICACIÓN</w:t>
      </w:r>
    </w:p>
    <w:p w:rsidR="00BE322F" w:rsidRPr="00AD1E8B" w:rsidRDefault="00BE322F" w:rsidP="00BE322F">
      <w:pPr>
        <w:tabs>
          <w:tab w:val="num" w:pos="709"/>
        </w:tabs>
        <w:jc w:val="both"/>
        <w:rPr>
          <w:bCs/>
          <w:sz w:val="20"/>
          <w:lang w:val="es-ES_tradnl"/>
        </w:rPr>
      </w:pPr>
    </w:p>
    <w:p w:rsidR="00BE322F" w:rsidRPr="00AD1E8B" w:rsidRDefault="00BE322F" w:rsidP="00E17471">
      <w:pPr>
        <w:numPr>
          <w:ilvl w:val="0"/>
          <w:numId w:val="14"/>
        </w:numPr>
        <w:jc w:val="both"/>
        <w:rPr>
          <w:sz w:val="20"/>
          <w:lang w:val="es-ES_tradnl" w:eastAsia="ja-JP"/>
        </w:rPr>
      </w:pPr>
      <w:r w:rsidRPr="00AD1E8B">
        <w:rPr>
          <w:sz w:val="20"/>
          <w:lang w:val="es-ES_tradnl" w:eastAsia="ja-JP"/>
        </w:rPr>
        <w:t xml:space="preserve">Las oficinas </w:t>
      </w:r>
      <w:r w:rsidR="00C42F2A">
        <w:rPr>
          <w:sz w:val="20"/>
          <w:lang w:val="es-ES_tradnl" w:eastAsia="ja-JP"/>
        </w:rPr>
        <w:t>en el exterior</w:t>
      </w:r>
      <w:r w:rsidRPr="00AD1E8B">
        <w:rPr>
          <w:sz w:val="20"/>
          <w:lang w:val="es-ES_tradnl" w:eastAsia="ja-JP"/>
        </w:rPr>
        <w:t xml:space="preserve"> desempeñan un papel cada vez más importante de cara al suministro efectivo de los productos y servicios de la OMPI (incluyendo los servicios orientados hacia el desarrollo) a los Estados miembros y demás partes interesadas.  Dichas oficinas ofrecen una plataforma para la evolución de la OMPI como Organización auténticamente mundial que suministra servicios coherentes de manera más eficiente y receptiva a través de una cooperación más inmediata con las partes interesadas y los beneficiarios.  Por ejemplo, la Oficina de la OMPI en Nueva York, establecida hace más de treinta años, ha desempeñado una función esencial consagrando a la OMPI como el punto de referencia dentro del sistema de las NN.UU. tratándose de temas relacionados con la P.I.  Las otras tres oficinas de la OMPI </w:t>
      </w:r>
      <w:r w:rsidR="003B22A3">
        <w:rPr>
          <w:sz w:val="20"/>
          <w:lang w:val="es-ES_tradnl" w:eastAsia="ja-JP"/>
        </w:rPr>
        <w:t xml:space="preserve">en el exterior, </w:t>
      </w:r>
      <w:r w:rsidRPr="00AD1E8B">
        <w:rPr>
          <w:sz w:val="20"/>
          <w:lang w:val="es-ES_tradnl" w:eastAsia="ja-JP"/>
        </w:rPr>
        <w:t>que se hallan actualmente en funcionamiento</w:t>
      </w:r>
      <w:r w:rsidR="003B22A3">
        <w:rPr>
          <w:sz w:val="20"/>
          <w:lang w:val="es-ES_tradnl" w:eastAsia="ja-JP"/>
        </w:rPr>
        <w:t>,</w:t>
      </w:r>
      <w:r w:rsidRPr="00AD1E8B">
        <w:rPr>
          <w:sz w:val="20"/>
          <w:lang w:val="es-ES_tradnl" w:eastAsia="ja-JP"/>
        </w:rPr>
        <w:t xml:space="preserve"> son la Oficina de Singapur (establecida en 2005), la Oficina del Japón (establecida en 2006) y la Oficina del Brasil (establecida en 2010).</w:t>
      </w:r>
    </w:p>
    <w:p w:rsidR="00BE322F" w:rsidRPr="00AD1E8B" w:rsidRDefault="00BE322F" w:rsidP="00BE322F">
      <w:pPr>
        <w:jc w:val="both"/>
        <w:rPr>
          <w:sz w:val="20"/>
          <w:lang w:val="es-ES_tradnl" w:eastAsia="ja-JP"/>
        </w:rPr>
      </w:pPr>
    </w:p>
    <w:p w:rsidR="00BE322F" w:rsidRPr="00AD1E8B" w:rsidRDefault="00BE322F" w:rsidP="00E17471">
      <w:pPr>
        <w:numPr>
          <w:ilvl w:val="0"/>
          <w:numId w:val="14"/>
        </w:numPr>
        <w:jc w:val="both"/>
        <w:rPr>
          <w:sz w:val="20"/>
          <w:lang w:val="es-ES_tradnl"/>
        </w:rPr>
      </w:pPr>
      <w:r w:rsidRPr="00AD1E8B">
        <w:rPr>
          <w:sz w:val="20"/>
          <w:lang w:val="es-ES_tradnl"/>
        </w:rPr>
        <w:t xml:space="preserve">En septiembre de 2010, la Asamblea General de la OMPI resolvió iniciar un proceso de consultas oficiosas entre los Estados miembros con vistas a la elaboración de una política sobre el establecimiento de oficinas </w:t>
      </w:r>
      <w:r w:rsidR="008921D7">
        <w:rPr>
          <w:sz w:val="20"/>
          <w:lang w:val="es-ES_tradnl"/>
        </w:rPr>
        <w:t>en el exterior</w:t>
      </w:r>
      <w:r w:rsidRPr="00AD1E8B">
        <w:rPr>
          <w:sz w:val="20"/>
          <w:lang w:val="es-ES_tradnl"/>
        </w:rPr>
        <w:t xml:space="preserve"> (docu</w:t>
      </w:r>
      <w:r w:rsidR="00C42F2A">
        <w:rPr>
          <w:sz w:val="20"/>
          <w:lang w:val="es-ES_tradnl"/>
        </w:rPr>
        <w:t xml:space="preserve">mentos A/48/12 Rev. y A/48/26, </w:t>
      </w:r>
      <w:r w:rsidRPr="00AD1E8B">
        <w:rPr>
          <w:sz w:val="20"/>
          <w:lang w:val="es-ES_tradnl"/>
        </w:rPr>
        <w:t>p</w:t>
      </w:r>
      <w:r w:rsidR="00C42F2A">
        <w:rPr>
          <w:sz w:val="20"/>
          <w:lang w:val="es-ES_tradnl"/>
        </w:rPr>
        <w:t>árraf</w:t>
      </w:r>
      <w:r w:rsidRPr="00AD1E8B">
        <w:rPr>
          <w:sz w:val="20"/>
          <w:lang w:val="es-ES_tradnl"/>
        </w:rPr>
        <w:t xml:space="preserve">o 262).  </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Las consultas oficiosas celebradas con los Estados miembros en 2011 y 2012 arrojaron como resultado la formulación de los siguientes princ</w:t>
      </w:r>
      <w:r w:rsidR="00BB5D51">
        <w:rPr>
          <w:sz w:val="20"/>
          <w:lang w:val="es-ES_tradnl"/>
        </w:rPr>
        <w:t xml:space="preserve">ipios: </w:t>
      </w:r>
      <w:r w:rsidR="00D86F03">
        <w:rPr>
          <w:sz w:val="20"/>
          <w:lang w:val="es-ES_tradnl"/>
        </w:rPr>
        <w:t xml:space="preserve"> </w:t>
      </w:r>
      <w:r w:rsidR="00BB5D51">
        <w:rPr>
          <w:sz w:val="20"/>
          <w:lang w:val="es-ES_tradnl"/>
        </w:rPr>
        <w:t>1) las oficinas en el exterior</w:t>
      </w:r>
      <w:r w:rsidRPr="00AD1E8B">
        <w:rPr>
          <w:sz w:val="20"/>
          <w:lang w:val="es-ES_tradnl"/>
        </w:rPr>
        <w:t xml:space="preserve"> deben generar valor añadido y emprender actividades que puedan llevar a cabo más eficientemente que la Sede de la Organ</w:t>
      </w:r>
      <w:r w:rsidR="00BB5D51">
        <w:rPr>
          <w:sz w:val="20"/>
          <w:lang w:val="es-ES_tradnl"/>
        </w:rPr>
        <w:t>ización;  2) las oficinas en el exterior</w:t>
      </w:r>
      <w:r w:rsidRPr="00AD1E8B">
        <w:rPr>
          <w:sz w:val="20"/>
          <w:lang w:val="es-ES_tradnl"/>
        </w:rPr>
        <w:t xml:space="preserve"> podrán desempeñar diferentes combinaciones de funciones según las prioridades y peculiaridades regionales;  3) una nueva oficina </w:t>
      </w:r>
      <w:r w:rsidR="00BB5D51">
        <w:rPr>
          <w:sz w:val="20"/>
          <w:lang w:val="es-ES_tradnl"/>
        </w:rPr>
        <w:t>en el exterior</w:t>
      </w:r>
      <w:r w:rsidRPr="00AD1E8B">
        <w:rPr>
          <w:sz w:val="20"/>
          <w:lang w:val="es-ES_tradnl"/>
        </w:rPr>
        <w:t xml:space="preserve"> sólo debe ser  establecida si ello resulta viable para la Organización desde el punto de vista financiero;  4) se adoptará un planteamiento gradual y prudente al determinar las funciones de las oficinas </w:t>
      </w:r>
      <w:r w:rsidR="00BB5D51">
        <w:rPr>
          <w:sz w:val="20"/>
          <w:lang w:val="es-ES_tradnl"/>
        </w:rPr>
        <w:t>en el exterior</w:t>
      </w:r>
      <w:r w:rsidRPr="00AD1E8B">
        <w:rPr>
          <w:sz w:val="20"/>
          <w:lang w:val="es-ES_tradnl"/>
        </w:rPr>
        <w:t xml:space="preserve"> y asignar los correspondientes recursos.</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En consonancia con la prioridad central atribuida por la OMPI a la "prestación óptima de servicios", una importante obligación de cada oficina será contribuir a la oferta de servicios "</w:t>
      </w:r>
      <w:r w:rsidR="00BB5D51">
        <w:rPr>
          <w:sz w:val="20"/>
          <w:lang w:val="es-ES_tradnl"/>
        </w:rPr>
        <w:t xml:space="preserve">las </w:t>
      </w:r>
      <w:r w:rsidRPr="00AD1E8B">
        <w:rPr>
          <w:sz w:val="20"/>
          <w:lang w:val="es-ES_tradnl"/>
        </w:rPr>
        <w:t>24 horas" para garantizar la disponibilidad de la OMPI al margen del horario comercial de Ginebra.</w:t>
      </w:r>
    </w:p>
    <w:p w:rsidR="00BE322F" w:rsidRPr="00AD1E8B" w:rsidRDefault="00BE322F" w:rsidP="00BE322F">
      <w:pPr>
        <w:jc w:val="both"/>
        <w:rPr>
          <w:sz w:val="20"/>
          <w:lang w:val="es-ES_tradnl"/>
        </w:rPr>
      </w:pPr>
    </w:p>
    <w:p w:rsidR="00BE322F" w:rsidRPr="00AD1E8B" w:rsidRDefault="00BE322F" w:rsidP="00BE322F">
      <w:pPr>
        <w:tabs>
          <w:tab w:val="num" w:pos="709"/>
        </w:tabs>
        <w:jc w:val="both"/>
        <w:rPr>
          <w:bCs/>
          <w:sz w:val="20"/>
          <w:lang w:val="es-ES_tradnl"/>
        </w:rPr>
      </w:pPr>
    </w:p>
    <w:p w:rsidR="00BE322F" w:rsidRPr="00AD1E8B" w:rsidRDefault="00BE322F" w:rsidP="00C83A6A">
      <w:pPr>
        <w:keepNext/>
        <w:keepLines/>
        <w:tabs>
          <w:tab w:val="num" w:pos="709"/>
        </w:tabs>
        <w:jc w:val="both"/>
        <w:rPr>
          <w:bCs/>
          <w:szCs w:val="22"/>
          <w:lang w:val="es-ES_tradnl"/>
        </w:rPr>
      </w:pPr>
      <w:r w:rsidRPr="00AD1E8B">
        <w:rPr>
          <w:bCs/>
          <w:szCs w:val="22"/>
          <w:lang w:val="es-ES_tradnl"/>
        </w:rPr>
        <w:lastRenderedPageBreak/>
        <w:t>ESTRATEGIAS DE EJECUCIÓN</w:t>
      </w:r>
    </w:p>
    <w:p w:rsidR="00BE322F" w:rsidRPr="00AD1E8B" w:rsidRDefault="00BE322F" w:rsidP="00C83A6A">
      <w:pPr>
        <w:keepNext/>
        <w:keepLines/>
        <w:tabs>
          <w:tab w:val="num" w:pos="709"/>
        </w:tabs>
        <w:jc w:val="both"/>
        <w:rPr>
          <w:bCs/>
          <w:sz w:val="20"/>
          <w:lang w:val="es-ES_tradnl"/>
        </w:rPr>
      </w:pPr>
    </w:p>
    <w:p w:rsidR="00BE322F" w:rsidRPr="00AD1E8B" w:rsidRDefault="00BE322F" w:rsidP="00C83A6A">
      <w:pPr>
        <w:keepNext/>
        <w:keepLines/>
        <w:numPr>
          <w:ilvl w:val="0"/>
          <w:numId w:val="14"/>
        </w:numPr>
        <w:jc w:val="both"/>
        <w:rPr>
          <w:sz w:val="20"/>
          <w:lang w:val="es-ES_tradnl"/>
        </w:rPr>
      </w:pPr>
      <w:r w:rsidRPr="00AD1E8B">
        <w:rPr>
          <w:sz w:val="20"/>
          <w:lang w:val="es-ES_tradnl"/>
        </w:rPr>
        <w:t>Cada una de las oficinas existentes de la OMPI</w:t>
      </w:r>
      <w:r w:rsidR="00BB5D51">
        <w:rPr>
          <w:sz w:val="20"/>
          <w:lang w:val="es-ES_tradnl"/>
        </w:rPr>
        <w:t xml:space="preserve"> en el exterior</w:t>
      </w:r>
      <w:r w:rsidRPr="00AD1E8B">
        <w:rPr>
          <w:sz w:val="20"/>
          <w:lang w:val="es-ES_tradnl"/>
        </w:rPr>
        <w:t xml:space="preserve"> contribuirá, en su respectivo país anfitrión y en la región circundante, a la consecución de todos los </w:t>
      </w:r>
      <w:r>
        <w:rPr>
          <w:sz w:val="20"/>
          <w:lang w:val="es-ES_tradnl"/>
        </w:rPr>
        <w:t>o</w:t>
      </w:r>
      <w:r w:rsidRPr="00AD1E8B">
        <w:rPr>
          <w:sz w:val="20"/>
          <w:lang w:val="es-ES_tradnl"/>
        </w:rPr>
        <w:t xml:space="preserve">bjetivos </w:t>
      </w:r>
      <w:r>
        <w:rPr>
          <w:sz w:val="20"/>
          <w:lang w:val="es-ES_tradnl"/>
        </w:rPr>
        <w:t>e</w:t>
      </w:r>
      <w:r w:rsidRPr="00AD1E8B">
        <w:rPr>
          <w:sz w:val="20"/>
          <w:lang w:val="es-ES_tradnl"/>
        </w:rPr>
        <w:t xml:space="preserve">stratégicos en coordinación con la Sede de la Organización.   </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En consonancia con el principio rector que preconiza la adición de valor y el suministro más eficaz y eficiente de resultados gracias a una situación geográfica más cercana a las partes interesadas, las oficinas atenderán particularmente a:  proporcionar apoyo a los </w:t>
      </w:r>
      <w:r>
        <w:rPr>
          <w:sz w:val="20"/>
          <w:lang w:val="es-ES_tradnl"/>
        </w:rPr>
        <w:t>s</w:t>
      </w:r>
      <w:r w:rsidRPr="00AD1E8B">
        <w:rPr>
          <w:sz w:val="20"/>
          <w:lang w:val="es-ES_tradnl"/>
        </w:rPr>
        <w:t xml:space="preserve">ervicios </w:t>
      </w:r>
      <w:r>
        <w:rPr>
          <w:sz w:val="20"/>
          <w:lang w:val="es-ES_tradnl"/>
        </w:rPr>
        <w:t>m</w:t>
      </w:r>
      <w:r w:rsidRPr="00AD1E8B">
        <w:rPr>
          <w:sz w:val="20"/>
          <w:lang w:val="es-ES_tradnl"/>
        </w:rPr>
        <w:t>undiales de P.I. de la OMPI (</w:t>
      </w:r>
      <w:r>
        <w:rPr>
          <w:sz w:val="20"/>
          <w:lang w:val="es-ES_tradnl"/>
        </w:rPr>
        <w:t>m</w:t>
      </w:r>
      <w:r w:rsidRPr="00AD1E8B">
        <w:rPr>
          <w:sz w:val="20"/>
          <w:lang w:val="es-ES_tradnl"/>
        </w:rPr>
        <w:t xml:space="preserve">eta </w:t>
      </w:r>
      <w:r>
        <w:rPr>
          <w:sz w:val="20"/>
          <w:lang w:val="es-ES_tradnl"/>
        </w:rPr>
        <w:t>e</w:t>
      </w:r>
      <w:r w:rsidR="00733234">
        <w:rPr>
          <w:sz w:val="20"/>
          <w:lang w:val="es-ES_tradnl"/>
        </w:rPr>
        <w:t>stratégica II), facilitar</w:t>
      </w:r>
      <w:r w:rsidRPr="00AD1E8B">
        <w:rPr>
          <w:sz w:val="20"/>
          <w:lang w:val="es-ES_tradnl"/>
        </w:rPr>
        <w:t xml:space="preserve"> el uso de la P.I. </w:t>
      </w:r>
      <w:r w:rsidR="00733234">
        <w:rPr>
          <w:sz w:val="20"/>
          <w:lang w:val="es-ES_tradnl"/>
        </w:rPr>
        <w:t>en aras del</w:t>
      </w:r>
      <w:r w:rsidRPr="00AD1E8B">
        <w:rPr>
          <w:sz w:val="20"/>
          <w:lang w:val="es-ES_tradnl"/>
        </w:rPr>
        <w:t xml:space="preserve"> desarrollo (</w:t>
      </w:r>
      <w:r>
        <w:rPr>
          <w:sz w:val="20"/>
          <w:lang w:val="es-ES_tradnl"/>
        </w:rPr>
        <w:t>m</w:t>
      </w:r>
      <w:r w:rsidRPr="00AD1E8B">
        <w:rPr>
          <w:sz w:val="20"/>
          <w:lang w:val="es-ES_tradnl"/>
        </w:rPr>
        <w:t xml:space="preserve">eta </w:t>
      </w:r>
      <w:r>
        <w:rPr>
          <w:sz w:val="20"/>
          <w:lang w:val="es-ES_tradnl"/>
        </w:rPr>
        <w:t>e</w:t>
      </w:r>
      <w:r w:rsidRPr="00AD1E8B">
        <w:rPr>
          <w:sz w:val="20"/>
          <w:lang w:val="es-ES_tradnl"/>
        </w:rPr>
        <w:t>stratégica III), mejorar la infraestructura mundial de P.I. (</w:t>
      </w:r>
      <w:r>
        <w:rPr>
          <w:sz w:val="20"/>
          <w:lang w:val="es-ES_tradnl"/>
        </w:rPr>
        <w:t>m</w:t>
      </w:r>
      <w:r w:rsidRPr="00AD1E8B">
        <w:rPr>
          <w:sz w:val="20"/>
          <w:lang w:val="es-ES_tradnl"/>
        </w:rPr>
        <w:t xml:space="preserve">eta </w:t>
      </w:r>
      <w:r>
        <w:rPr>
          <w:sz w:val="20"/>
          <w:lang w:val="es-ES_tradnl"/>
        </w:rPr>
        <w:t>e</w:t>
      </w:r>
      <w:r w:rsidRPr="00AD1E8B">
        <w:rPr>
          <w:sz w:val="20"/>
          <w:lang w:val="es-ES_tradnl"/>
        </w:rPr>
        <w:t>stratégica IV) e instituir unas comunicaciones más eficaces con el público en general y con las partes interesadas del país y la región respectivos (</w:t>
      </w:r>
      <w:r>
        <w:rPr>
          <w:sz w:val="20"/>
          <w:lang w:val="es-ES_tradnl"/>
        </w:rPr>
        <w:t>m</w:t>
      </w:r>
      <w:r w:rsidRPr="00AD1E8B">
        <w:rPr>
          <w:sz w:val="20"/>
          <w:lang w:val="es-ES_tradnl"/>
        </w:rPr>
        <w:t xml:space="preserve">eta </w:t>
      </w:r>
      <w:r>
        <w:rPr>
          <w:sz w:val="20"/>
          <w:lang w:val="es-ES_tradnl"/>
        </w:rPr>
        <w:t>e</w:t>
      </w:r>
      <w:r w:rsidRPr="00AD1E8B">
        <w:rPr>
          <w:sz w:val="20"/>
          <w:lang w:val="es-ES_tradnl"/>
        </w:rPr>
        <w:t xml:space="preserve">stratégica VIII).  </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Asimismo, las oficinas existentes </w:t>
      </w:r>
      <w:r w:rsidR="00BB5D51">
        <w:rPr>
          <w:sz w:val="20"/>
          <w:lang w:val="es-ES_tradnl"/>
        </w:rPr>
        <w:t xml:space="preserve">en el exterior </w:t>
      </w:r>
      <w:r w:rsidRPr="00AD1E8B">
        <w:rPr>
          <w:sz w:val="20"/>
          <w:lang w:val="es-ES_tradnl"/>
        </w:rPr>
        <w:t xml:space="preserve">aplicarán las estrategias específicas que a continuación se exponen: </w:t>
      </w:r>
    </w:p>
    <w:p w:rsidR="00BE322F" w:rsidRPr="00AD1E8B" w:rsidRDefault="00BE322F" w:rsidP="00BE322F">
      <w:pPr>
        <w:jc w:val="both"/>
        <w:rPr>
          <w:sz w:val="20"/>
          <w:lang w:val="es-ES_tradnl"/>
        </w:rPr>
      </w:pPr>
    </w:p>
    <w:p w:rsidR="00BE322F" w:rsidRPr="00AD1E8B" w:rsidRDefault="00BE322F" w:rsidP="00BE322F">
      <w:pPr>
        <w:tabs>
          <w:tab w:val="num" w:pos="709"/>
        </w:tabs>
        <w:jc w:val="both"/>
        <w:rPr>
          <w:sz w:val="20"/>
          <w:u w:val="single"/>
          <w:lang w:val="es-ES_tradnl"/>
        </w:rPr>
      </w:pPr>
      <w:r w:rsidRPr="00AD1E8B">
        <w:rPr>
          <w:sz w:val="20"/>
          <w:u w:val="single"/>
          <w:lang w:val="es-ES_tradnl"/>
        </w:rPr>
        <w:t>Oficina de Coordinación de la OMPI en Nueva York (</w:t>
      </w:r>
      <w:r w:rsidR="00BB5D51">
        <w:rPr>
          <w:sz w:val="20"/>
          <w:u w:val="single"/>
          <w:lang w:val="es-ES_tradnl"/>
        </w:rPr>
        <w:t>O</w:t>
      </w:r>
      <w:r w:rsidRPr="00AD1E8B">
        <w:rPr>
          <w:sz w:val="20"/>
          <w:u w:val="single"/>
          <w:lang w:val="es-ES_tradnl"/>
        </w:rPr>
        <w:t>NY)</w:t>
      </w:r>
    </w:p>
    <w:p w:rsidR="00BE322F" w:rsidRPr="00AD1E8B" w:rsidRDefault="00BE322F" w:rsidP="00BE322F">
      <w:pPr>
        <w:tabs>
          <w:tab w:val="num" w:pos="709"/>
        </w:tabs>
        <w:jc w:val="both"/>
        <w:rPr>
          <w:sz w:val="20"/>
          <w:u w:val="single"/>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La </w:t>
      </w:r>
      <w:r>
        <w:rPr>
          <w:sz w:val="20"/>
          <w:lang w:val="es-ES_tradnl"/>
        </w:rPr>
        <w:t>o</w:t>
      </w:r>
      <w:r w:rsidRPr="00AD1E8B">
        <w:rPr>
          <w:sz w:val="20"/>
          <w:lang w:val="es-ES_tradnl"/>
        </w:rPr>
        <w:t>ficina apoyará especialmente el estrechamiento de vínculos con las NN.UU. y sus programas.</w:t>
      </w:r>
    </w:p>
    <w:p w:rsidR="00BE322F" w:rsidRPr="00AD1E8B" w:rsidRDefault="00BE322F" w:rsidP="00BE322F">
      <w:pPr>
        <w:tabs>
          <w:tab w:val="left" w:pos="1134"/>
        </w:tabs>
        <w:ind w:left="6"/>
        <w:jc w:val="both"/>
        <w:rPr>
          <w:sz w:val="20"/>
          <w:lang w:val="es-ES_tradnl"/>
        </w:rPr>
      </w:pPr>
    </w:p>
    <w:p w:rsidR="00BE322F" w:rsidRPr="00AD1E8B" w:rsidRDefault="00BE322F" w:rsidP="00BE322F">
      <w:pPr>
        <w:tabs>
          <w:tab w:val="left" w:pos="1134"/>
        </w:tabs>
        <w:ind w:left="6"/>
        <w:jc w:val="both"/>
        <w:rPr>
          <w:sz w:val="20"/>
          <w:lang w:val="es-ES_tradnl"/>
        </w:rPr>
      </w:pPr>
    </w:p>
    <w:p w:rsidR="00BE322F" w:rsidRPr="00AD1E8B" w:rsidRDefault="00BE322F" w:rsidP="00BE322F">
      <w:pPr>
        <w:tabs>
          <w:tab w:val="left" w:pos="1134"/>
        </w:tabs>
        <w:ind w:left="6"/>
        <w:jc w:val="both"/>
        <w:rPr>
          <w:bCs/>
          <w:iCs/>
          <w:sz w:val="20"/>
          <w:u w:val="single"/>
          <w:lang w:val="es-ES_tradnl"/>
        </w:rPr>
      </w:pPr>
      <w:r w:rsidRPr="00AD1E8B">
        <w:rPr>
          <w:bCs/>
          <w:iCs/>
          <w:sz w:val="20"/>
          <w:u w:val="single"/>
          <w:lang w:val="es-ES_tradnl"/>
        </w:rPr>
        <w:t>Oficina de la OMPI e</w:t>
      </w:r>
      <w:r w:rsidR="00BB5D51">
        <w:rPr>
          <w:bCs/>
          <w:iCs/>
          <w:sz w:val="20"/>
          <w:u w:val="single"/>
          <w:lang w:val="es-ES_tradnl"/>
        </w:rPr>
        <w:t>n el Brasil, Río de Janeiro (OOB</w:t>
      </w:r>
      <w:r w:rsidRPr="00AD1E8B">
        <w:rPr>
          <w:bCs/>
          <w:iCs/>
          <w:sz w:val="20"/>
          <w:u w:val="single"/>
          <w:lang w:val="es-ES_tradnl"/>
        </w:rPr>
        <w:t>)</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La </w:t>
      </w:r>
      <w:r w:rsidR="00B877E6">
        <w:rPr>
          <w:sz w:val="20"/>
          <w:lang w:val="es-ES_tradnl"/>
        </w:rPr>
        <w:t>Oficina de la OMPI</w:t>
      </w:r>
      <w:r w:rsidR="00BB5D51">
        <w:rPr>
          <w:sz w:val="20"/>
          <w:lang w:val="es-ES_tradnl"/>
        </w:rPr>
        <w:t xml:space="preserve"> en el Brasil (</w:t>
      </w:r>
      <w:r w:rsidRPr="00AD1E8B">
        <w:rPr>
          <w:sz w:val="20"/>
          <w:lang w:val="es-ES_tradnl"/>
        </w:rPr>
        <w:t>O</w:t>
      </w:r>
      <w:r w:rsidR="00BB5D51">
        <w:rPr>
          <w:sz w:val="20"/>
          <w:lang w:val="es-ES_tradnl"/>
        </w:rPr>
        <w:t>OB</w:t>
      </w:r>
      <w:r w:rsidRPr="00AD1E8B">
        <w:rPr>
          <w:sz w:val="20"/>
          <w:lang w:val="es-ES_tradnl"/>
        </w:rPr>
        <w:t>) apoya la realización de actividades dirigidas primariamente a potenciar el uso del sistema de P.I. en general y de los servicios de la OMPI en particular, en el Brasil y en otros países en desarrollo que tienen programas de cooperación con el Brasil.</w:t>
      </w:r>
    </w:p>
    <w:p w:rsidR="00BE322F" w:rsidRPr="00AD1E8B" w:rsidRDefault="00BE322F" w:rsidP="00BE322F">
      <w:pPr>
        <w:jc w:val="both"/>
        <w:rPr>
          <w:sz w:val="20"/>
          <w:lang w:val="es-ES_tradnl"/>
        </w:rPr>
      </w:pPr>
    </w:p>
    <w:p w:rsidR="00BE322F" w:rsidRPr="00AD1E8B" w:rsidRDefault="00BB5D51" w:rsidP="00E17471">
      <w:pPr>
        <w:numPr>
          <w:ilvl w:val="0"/>
          <w:numId w:val="14"/>
        </w:numPr>
        <w:jc w:val="both"/>
        <w:rPr>
          <w:sz w:val="20"/>
          <w:lang w:val="es-ES_tradnl"/>
        </w:rPr>
      </w:pPr>
      <w:r>
        <w:rPr>
          <w:sz w:val="20"/>
          <w:lang w:val="es-ES_tradnl"/>
        </w:rPr>
        <w:t xml:space="preserve">La </w:t>
      </w:r>
      <w:r w:rsidR="00BE322F" w:rsidRPr="00AD1E8B">
        <w:rPr>
          <w:sz w:val="20"/>
          <w:lang w:val="es-ES_tradnl"/>
        </w:rPr>
        <w:t>O</w:t>
      </w:r>
      <w:r>
        <w:rPr>
          <w:sz w:val="20"/>
          <w:lang w:val="es-ES_tradnl"/>
        </w:rPr>
        <w:t>OB</w:t>
      </w:r>
      <w:r w:rsidR="00BE322F" w:rsidRPr="00AD1E8B">
        <w:rPr>
          <w:sz w:val="20"/>
          <w:lang w:val="es-ES_tradnl"/>
        </w:rPr>
        <w:t xml:space="preserve"> administra el Acuerdo de </w:t>
      </w:r>
      <w:r w:rsidR="00BE322F">
        <w:rPr>
          <w:sz w:val="20"/>
          <w:lang w:val="es-ES_tradnl"/>
        </w:rPr>
        <w:t>f</w:t>
      </w:r>
      <w:r w:rsidR="00BE322F" w:rsidRPr="00AD1E8B">
        <w:rPr>
          <w:sz w:val="20"/>
          <w:lang w:val="es-ES_tradnl"/>
        </w:rPr>
        <w:t xml:space="preserve">ondos </w:t>
      </w:r>
      <w:r w:rsidR="00BE322F">
        <w:rPr>
          <w:sz w:val="20"/>
          <w:lang w:val="es-ES_tradnl"/>
        </w:rPr>
        <w:t>f</w:t>
      </w:r>
      <w:r w:rsidR="00BE322F" w:rsidRPr="00AD1E8B">
        <w:rPr>
          <w:sz w:val="20"/>
          <w:lang w:val="es-ES_tradnl"/>
        </w:rPr>
        <w:t xml:space="preserve">iduciarios suscrito entre el Gobierno del Brasil y la OMPI, una de cuyas finalidades es promover una cultura de P.I. entre las instituciones y usuarios  nacionales e internacionales a través de la cooperación Sur-Sur entre países en desarrollo de dentro y fuera de la región latinoamericana, utilizando competencias brasileñas en el ámbito de la P.I. </w:t>
      </w:r>
    </w:p>
    <w:p w:rsidR="00BE322F" w:rsidRPr="00AD1E8B" w:rsidRDefault="00BE322F" w:rsidP="00BE322F">
      <w:pPr>
        <w:jc w:val="both"/>
        <w:rPr>
          <w:sz w:val="20"/>
          <w:lang w:val="es-ES_tradnl"/>
        </w:rPr>
      </w:pPr>
    </w:p>
    <w:p w:rsidR="00BE322F" w:rsidRPr="00AD1E8B" w:rsidRDefault="00BE322F" w:rsidP="00BE322F">
      <w:pPr>
        <w:jc w:val="both"/>
        <w:rPr>
          <w:sz w:val="20"/>
          <w:lang w:val="es-ES_tradnl"/>
        </w:rPr>
      </w:pPr>
    </w:p>
    <w:p w:rsidR="00BE322F" w:rsidRPr="00AD1E8B" w:rsidRDefault="00BE322F" w:rsidP="00BE322F">
      <w:pPr>
        <w:jc w:val="both"/>
        <w:rPr>
          <w:sz w:val="20"/>
          <w:u w:val="single"/>
          <w:lang w:val="es-ES_tradnl"/>
        </w:rPr>
      </w:pPr>
      <w:r w:rsidRPr="00AD1E8B">
        <w:rPr>
          <w:sz w:val="20"/>
          <w:u w:val="single"/>
          <w:lang w:val="es-ES_tradnl"/>
        </w:rPr>
        <w:t>Of</w:t>
      </w:r>
      <w:r w:rsidR="00BB5D51">
        <w:rPr>
          <w:sz w:val="20"/>
          <w:u w:val="single"/>
          <w:lang w:val="es-ES_tradnl"/>
        </w:rPr>
        <w:t>icina de la OMPI en Singapur (</w:t>
      </w:r>
      <w:r w:rsidRPr="00AD1E8B">
        <w:rPr>
          <w:sz w:val="20"/>
          <w:u w:val="single"/>
          <w:lang w:val="es-ES_tradnl"/>
        </w:rPr>
        <w:t>O</w:t>
      </w:r>
      <w:r w:rsidR="00BB5D51">
        <w:rPr>
          <w:sz w:val="20"/>
          <w:u w:val="single"/>
          <w:lang w:val="es-ES_tradnl"/>
        </w:rPr>
        <w:t>OS</w:t>
      </w:r>
      <w:r w:rsidRPr="00AD1E8B">
        <w:rPr>
          <w:sz w:val="20"/>
          <w:u w:val="single"/>
          <w:lang w:val="es-ES_tradnl"/>
        </w:rPr>
        <w:t>)</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La </w:t>
      </w:r>
      <w:r w:rsidR="00B877E6">
        <w:rPr>
          <w:sz w:val="20"/>
          <w:lang w:val="es-ES_tradnl"/>
        </w:rPr>
        <w:t>Oficina de la OMPI</w:t>
      </w:r>
      <w:r w:rsidR="00BB5D51">
        <w:rPr>
          <w:sz w:val="20"/>
          <w:lang w:val="es-ES_tradnl"/>
        </w:rPr>
        <w:t xml:space="preserve"> en Singapur (</w:t>
      </w:r>
      <w:r w:rsidRPr="00AD1E8B">
        <w:rPr>
          <w:sz w:val="20"/>
          <w:lang w:val="es-ES_tradnl"/>
        </w:rPr>
        <w:t>O</w:t>
      </w:r>
      <w:r w:rsidR="00BB5D51">
        <w:rPr>
          <w:sz w:val="20"/>
          <w:lang w:val="es-ES_tradnl"/>
        </w:rPr>
        <w:t>OS</w:t>
      </w:r>
      <w:r w:rsidRPr="00AD1E8B">
        <w:rPr>
          <w:sz w:val="20"/>
          <w:lang w:val="es-ES_tradnl"/>
        </w:rPr>
        <w:t xml:space="preserve">) actuará como un centro de servicios en la región, promoviendo en particular el uso de la P.I. con fines de desarrollo y facilitando apoyo a los servicios mundiales de P.I. de la OMPI, así como al Centro de Arbitraje y Mediación de la OMPI. </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Se depositará un especial énfasis sobre la sub-región de la Asociación de Naciones del Asia Sudoriental (ASEAN) contribuyendo a la puesta en práctica del Plan de Acción de la ASEAN en materia de P.I. (2011-2015) con sus diversas iniciativas, incluyendo en particular algunas áreas de posible colaboración con la OMPI propuestas por el Grupo de </w:t>
      </w:r>
      <w:r>
        <w:rPr>
          <w:sz w:val="20"/>
          <w:lang w:val="es-ES_tradnl"/>
        </w:rPr>
        <w:t>tr</w:t>
      </w:r>
      <w:r w:rsidRPr="00AD1E8B">
        <w:rPr>
          <w:sz w:val="20"/>
          <w:lang w:val="es-ES_tradnl"/>
        </w:rPr>
        <w:t>abajo de la</w:t>
      </w:r>
      <w:r>
        <w:rPr>
          <w:sz w:val="20"/>
          <w:lang w:val="es-ES_tradnl"/>
        </w:rPr>
        <w:t xml:space="preserve"> </w:t>
      </w:r>
      <w:r w:rsidRPr="00AD1E8B">
        <w:rPr>
          <w:sz w:val="20"/>
          <w:lang w:val="es-ES_tradnl"/>
        </w:rPr>
        <w:t>ASEAN sobre cooperación en materia de P.I.</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La </w:t>
      </w:r>
      <w:r w:rsidR="00BB5D51">
        <w:rPr>
          <w:sz w:val="20"/>
          <w:lang w:val="es-ES_tradnl"/>
        </w:rPr>
        <w:t>OOS</w:t>
      </w:r>
      <w:r w:rsidRPr="00AD1E8B">
        <w:rPr>
          <w:sz w:val="20"/>
          <w:lang w:val="es-ES_tradnl"/>
        </w:rPr>
        <w:t xml:space="preserve"> promoverá asimismo los productos emblemáticos de la OMPI y sus servicios de información y referencia en materia de P.I. (bases de datos mundiales, Índice de innovación mundial e Indicadores mundiales de P.I.) entre las partes interesadas y los potenciales usuarios en esta región. </w:t>
      </w:r>
    </w:p>
    <w:p w:rsidR="00BE322F" w:rsidRPr="00AD1E8B" w:rsidRDefault="00BE322F" w:rsidP="00BE322F">
      <w:pPr>
        <w:tabs>
          <w:tab w:val="num" w:pos="709"/>
        </w:tabs>
        <w:jc w:val="both"/>
        <w:rPr>
          <w:bCs/>
          <w:sz w:val="20"/>
          <w:lang w:val="es-ES_tradnl"/>
        </w:rPr>
      </w:pPr>
    </w:p>
    <w:p w:rsidR="00BE322F" w:rsidRPr="00AD1E8B" w:rsidRDefault="00BE322F" w:rsidP="00BE322F">
      <w:pPr>
        <w:tabs>
          <w:tab w:val="num" w:pos="709"/>
        </w:tabs>
        <w:jc w:val="both"/>
        <w:rPr>
          <w:bCs/>
          <w:sz w:val="20"/>
          <w:lang w:val="es-ES_tradnl"/>
        </w:rPr>
      </w:pPr>
    </w:p>
    <w:p w:rsidR="00BE322F" w:rsidRPr="00AD1E8B" w:rsidRDefault="00BE322F" w:rsidP="00BE322F">
      <w:pPr>
        <w:tabs>
          <w:tab w:val="num" w:pos="709"/>
        </w:tabs>
        <w:jc w:val="both"/>
        <w:rPr>
          <w:bCs/>
          <w:sz w:val="20"/>
          <w:u w:val="single"/>
          <w:lang w:val="es-ES_tradnl" w:eastAsia="ja-JP"/>
        </w:rPr>
      </w:pPr>
      <w:r w:rsidRPr="00AD1E8B">
        <w:rPr>
          <w:bCs/>
          <w:sz w:val="20"/>
          <w:u w:val="single"/>
          <w:lang w:val="es-ES_tradnl"/>
        </w:rPr>
        <w:t>Oficina de</w:t>
      </w:r>
      <w:r w:rsidR="00BB5D51">
        <w:rPr>
          <w:bCs/>
          <w:sz w:val="20"/>
          <w:u w:val="single"/>
          <w:lang w:val="es-ES_tradnl"/>
        </w:rPr>
        <w:t xml:space="preserve"> la OMPI en el Japón, Tokio (OOJ</w:t>
      </w:r>
      <w:r w:rsidRPr="00AD1E8B">
        <w:rPr>
          <w:bCs/>
          <w:sz w:val="20"/>
          <w:u w:val="single"/>
          <w:lang w:val="es-ES_tradnl"/>
        </w:rPr>
        <w:t>)</w:t>
      </w:r>
    </w:p>
    <w:p w:rsidR="00BE322F" w:rsidRPr="00AD1E8B" w:rsidRDefault="00BE322F" w:rsidP="00BE322F">
      <w:pPr>
        <w:tabs>
          <w:tab w:val="left" w:pos="1134"/>
        </w:tabs>
        <w:ind w:left="6"/>
        <w:jc w:val="both"/>
        <w:rPr>
          <w:bCs/>
          <w:sz w:val="20"/>
          <w:lang w:val="es-ES_tradnl"/>
        </w:rPr>
      </w:pPr>
    </w:p>
    <w:p w:rsidR="00BE322F" w:rsidRPr="00AD1E8B" w:rsidRDefault="00BE322F" w:rsidP="00E17471">
      <w:pPr>
        <w:numPr>
          <w:ilvl w:val="0"/>
          <w:numId w:val="14"/>
        </w:numPr>
        <w:jc w:val="both"/>
        <w:rPr>
          <w:bCs/>
          <w:sz w:val="20"/>
          <w:lang w:val="es-ES_tradnl" w:eastAsia="ja-JP"/>
        </w:rPr>
      </w:pPr>
      <w:r w:rsidRPr="00AD1E8B">
        <w:rPr>
          <w:bCs/>
          <w:sz w:val="20"/>
          <w:lang w:val="es-ES_tradnl"/>
        </w:rPr>
        <w:t xml:space="preserve">La </w:t>
      </w:r>
      <w:r w:rsidR="00B877E6">
        <w:rPr>
          <w:bCs/>
          <w:sz w:val="20"/>
          <w:lang w:val="es-ES_tradnl"/>
        </w:rPr>
        <w:t>Oficina de la OMPI</w:t>
      </w:r>
      <w:r w:rsidRPr="00AD1E8B">
        <w:rPr>
          <w:bCs/>
          <w:sz w:val="20"/>
          <w:lang w:val="es-ES_tradnl"/>
        </w:rPr>
        <w:t xml:space="preserve"> en el Japón </w:t>
      </w:r>
      <w:r w:rsidRPr="00AD1E8B">
        <w:rPr>
          <w:bCs/>
          <w:sz w:val="20"/>
          <w:lang w:val="es-ES_tradnl" w:eastAsia="ja-JP"/>
        </w:rPr>
        <w:t>(</w:t>
      </w:r>
      <w:r w:rsidR="00BB5D51">
        <w:rPr>
          <w:bCs/>
          <w:sz w:val="20"/>
          <w:lang w:val="es-ES_tradnl"/>
        </w:rPr>
        <w:t>OOJ</w:t>
      </w:r>
      <w:r w:rsidRPr="00AD1E8B">
        <w:rPr>
          <w:bCs/>
          <w:sz w:val="20"/>
          <w:lang w:val="es-ES_tradnl" w:eastAsia="ja-JP"/>
        </w:rPr>
        <w:t>)</w:t>
      </w:r>
      <w:r w:rsidRPr="00AD1E8B">
        <w:rPr>
          <w:bCs/>
          <w:sz w:val="20"/>
          <w:lang w:val="es-ES_tradnl"/>
        </w:rPr>
        <w:t xml:space="preserve"> reforzará su función como centro de servicios atendiendo con diligencia y eficacia a los usuarios actuales y futuros de servicios mundiales de P.I. y de servicios de información y referencia sobre la P.I. </w:t>
      </w:r>
      <w:r w:rsidRPr="00AD1E8B">
        <w:rPr>
          <w:bCs/>
          <w:sz w:val="20"/>
          <w:lang w:val="es-ES_tradnl" w:eastAsia="ja-JP"/>
        </w:rPr>
        <w:t xml:space="preserve">(bases de datos mundiales, Índice de innovación mundial, Indicadores mundiales de P.I.).  Se reforzará la colaboración con el Gobierno anfitrión (incluyendo la Oficina de Patentes japonesa) para mejorar la prestación de servicios mundiales de P.I. en el Japón, optimizando el uso de las redes digitales.  </w:t>
      </w:r>
      <w:r w:rsidR="008921D7">
        <w:rPr>
          <w:bCs/>
          <w:sz w:val="20"/>
          <w:lang w:val="es-ES_tradnl" w:eastAsia="ja-JP"/>
        </w:rPr>
        <w:t>La OOJ</w:t>
      </w:r>
      <w:r w:rsidRPr="00AD1E8B">
        <w:rPr>
          <w:bCs/>
          <w:sz w:val="20"/>
          <w:lang w:val="es-ES_tradnl" w:eastAsia="ja-JP"/>
        </w:rPr>
        <w:t xml:space="preserve"> consolidará igualmente sus alianzas con la industria japonesa para apoyar plataformas mundiales como WIPO GREEN.  </w:t>
      </w:r>
    </w:p>
    <w:p w:rsidR="00BE322F" w:rsidRPr="00AD1E8B" w:rsidRDefault="00BE322F" w:rsidP="00BE322F">
      <w:pPr>
        <w:tabs>
          <w:tab w:val="left" w:pos="1134"/>
        </w:tabs>
        <w:ind w:left="6"/>
        <w:jc w:val="both"/>
        <w:rPr>
          <w:bCs/>
          <w:sz w:val="20"/>
          <w:lang w:val="es-ES_tradnl" w:eastAsia="ja-JP"/>
        </w:rPr>
      </w:pPr>
    </w:p>
    <w:p w:rsidR="00BE322F" w:rsidRPr="00AD1E8B" w:rsidRDefault="00BB5D51" w:rsidP="00E17471">
      <w:pPr>
        <w:numPr>
          <w:ilvl w:val="0"/>
          <w:numId w:val="14"/>
        </w:numPr>
        <w:jc w:val="both"/>
        <w:rPr>
          <w:bCs/>
          <w:sz w:val="20"/>
          <w:lang w:val="es-ES_tradnl"/>
        </w:rPr>
      </w:pPr>
      <w:r>
        <w:rPr>
          <w:bCs/>
          <w:sz w:val="20"/>
          <w:lang w:val="es-ES_tradnl" w:eastAsia="ja-JP"/>
        </w:rPr>
        <w:lastRenderedPageBreak/>
        <w:t>La OO</w:t>
      </w:r>
      <w:r w:rsidR="00BE322F" w:rsidRPr="00AD1E8B">
        <w:rPr>
          <w:bCs/>
          <w:sz w:val="20"/>
          <w:lang w:val="es-ES_tradnl" w:eastAsia="ja-JP"/>
        </w:rPr>
        <w:t xml:space="preserve">J continuará su estrecha cooperación con el Japón en virtud del </w:t>
      </w:r>
      <w:r w:rsidR="00BE322F">
        <w:rPr>
          <w:bCs/>
          <w:sz w:val="20"/>
          <w:lang w:val="es-ES_tradnl" w:eastAsia="ja-JP"/>
        </w:rPr>
        <w:t>A</w:t>
      </w:r>
      <w:r w:rsidR="00BE322F" w:rsidRPr="00AD1E8B">
        <w:rPr>
          <w:bCs/>
          <w:sz w:val="20"/>
          <w:lang w:val="es-ES_tradnl" w:eastAsia="ja-JP"/>
        </w:rPr>
        <w:t xml:space="preserve">cuerdo de </w:t>
      </w:r>
      <w:r w:rsidR="00BE322F">
        <w:rPr>
          <w:bCs/>
          <w:sz w:val="20"/>
          <w:lang w:val="es-ES_tradnl" w:eastAsia="ja-JP"/>
        </w:rPr>
        <w:t>f</w:t>
      </w:r>
      <w:r w:rsidR="00BE322F" w:rsidRPr="00AD1E8B">
        <w:rPr>
          <w:bCs/>
          <w:sz w:val="20"/>
          <w:lang w:val="es-ES_tradnl" w:eastAsia="ja-JP"/>
        </w:rPr>
        <w:t xml:space="preserve">ondos </w:t>
      </w:r>
      <w:r w:rsidR="00BE322F">
        <w:rPr>
          <w:bCs/>
          <w:sz w:val="20"/>
          <w:lang w:val="es-ES_tradnl" w:eastAsia="ja-JP"/>
        </w:rPr>
        <w:t>f</w:t>
      </w:r>
      <w:r w:rsidR="00BE322F" w:rsidRPr="00AD1E8B">
        <w:rPr>
          <w:bCs/>
          <w:sz w:val="20"/>
          <w:lang w:val="es-ES_tradnl" w:eastAsia="ja-JP"/>
        </w:rPr>
        <w:t xml:space="preserve">iduciarios para la realización de actividades encaminadas a fortalecer capacidades, reforzar la infraestructura técnica y mejorar el uso de la P.I. en las actividades empresariales de los países vecinos, incluyendo proyectos especiales como el desarrollo de la base de datos </w:t>
      </w:r>
      <w:r w:rsidR="00BE322F" w:rsidRPr="00BB5D51">
        <w:rPr>
          <w:bCs/>
          <w:i/>
          <w:sz w:val="20"/>
          <w:lang w:val="es-ES_tradnl" w:eastAsia="ja-JP"/>
        </w:rPr>
        <w:t xml:space="preserve">IP </w:t>
      </w:r>
      <w:proofErr w:type="spellStart"/>
      <w:r w:rsidR="00BE322F" w:rsidRPr="00BB5D51">
        <w:rPr>
          <w:bCs/>
          <w:i/>
          <w:sz w:val="20"/>
          <w:lang w:val="es-ES_tradnl" w:eastAsia="ja-JP"/>
        </w:rPr>
        <w:t>Advantage</w:t>
      </w:r>
      <w:proofErr w:type="spellEnd"/>
      <w:r w:rsidR="00BE322F" w:rsidRPr="00AD1E8B">
        <w:rPr>
          <w:bCs/>
          <w:sz w:val="20"/>
          <w:lang w:val="es-ES_tradnl" w:eastAsia="ja-JP"/>
        </w:rPr>
        <w:t>.</w:t>
      </w:r>
      <w:r w:rsidR="00BE322F" w:rsidRPr="00AD1E8B">
        <w:rPr>
          <w:bCs/>
          <w:sz w:val="20"/>
          <w:lang w:val="es-ES_tradnl"/>
        </w:rPr>
        <w:t xml:space="preserve"> </w:t>
      </w:r>
    </w:p>
    <w:p w:rsidR="00BE322F" w:rsidRPr="00AD1E8B" w:rsidRDefault="00BE322F" w:rsidP="00BE322F">
      <w:pPr>
        <w:tabs>
          <w:tab w:val="left" w:pos="1134"/>
        </w:tabs>
        <w:ind w:left="6"/>
        <w:jc w:val="both"/>
        <w:rPr>
          <w:sz w:val="20"/>
          <w:u w:val="single"/>
          <w:lang w:val="es-ES_tradnl"/>
        </w:rPr>
      </w:pPr>
    </w:p>
    <w:p w:rsidR="00BE322F" w:rsidRPr="00AD1E8B" w:rsidRDefault="00BE322F" w:rsidP="00BE322F">
      <w:pPr>
        <w:tabs>
          <w:tab w:val="left" w:pos="1134"/>
        </w:tabs>
        <w:ind w:left="6"/>
        <w:jc w:val="both"/>
        <w:rPr>
          <w:sz w:val="20"/>
          <w:u w:val="single"/>
          <w:lang w:val="es-ES_tradnl"/>
        </w:rPr>
      </w:pPr>
    </w:p>
    <w:p w:rsidR="00BE322F" w:rsidRPr="00AD1E8B" w:rsidRDefault="00BE322F" w:rsidP="00BE322F">
      <w:pPr>
        <w:tabs>
          <w:tab w:val="left" w:pos="1134"/>
        </w:tabs>
        <w:ind w:left="6"/>
        <w:jc w:val="both"/>
        <w:rPr>
          <w:sz w:val="20"/>
          <w:u w:val="single"/>
          <w:lang w:val="es-ES_tradnl"/>
        </w:rPr>
      </w:pPr>
      <w:r w:rsidRPr="00AD1E8B">
        <w:rPr>
          <w:sz w:val="20"/>
          <w:u w:val="single"/>
          <w:lang w:val="es-ES_tradnl"/>
        </w:rPr>
        <w:t xml:space="preserve">Nuevas oficinas </w:t>
      </w:r>
      <w:r w:rsidR="00BB5D51">
        <w:rPr>
          <w:sz w:val="20"/>
          <w:u w:val="single"/>
          <w:lang w:val="es-ES_tradnl"/>
        </w:rPr>
        <w:t xml:space="preserve">en el </w:t>
      </w:r>
      <w:r w:rsidRPr="00AD1E8B">
        <w:rPr>
          <w:sz w:val="20"/>
          <w:u w:val="single"/>
          <w:lang w:val="es-ES_tradnl"/>
        </w:rPr>
        <w:t>exter</w:t>
      </w:r>
      <w:r w:rsidR="00BB5D51">
        <w:rPr>
          <w:sz w:val="20"/>
          <w:u w:val="single"/>
          <w:lang w:val="es-ES_tradnl"/>
        </w:rPr>
        <w:t>ior</w:t>
      </w:r>
    </w:p>
    <w:p w:rsidR="00BE322F" w:rsidRPr="00AD1E8B" w:rsidRDefault="00BE322F" w:rsidP="00BE322F">
      <w:pPr>
        <w:jc w:val="both"/>
        <w:rPr>
          <w:sz w:val="20"/>
          <w:highlight w:val="yellow"/>
          <w:lang w:val="es-ES_tradnl"/>
        </w:rPr>
      </w:pPr>
    </w:p>
    <w:p w:rsidR="00BE322F" w:rsidRPr="00AD1E8B" w:rsidRDefault="00BE322F" w:rsidP="00E17471">
      <w:pPr>
        <w:numPr>
          <w:ilvl w:val="0"/>
          <w:numId w:val="14"/>
        </w:numPr>
        <w:jc w:val="both"/>
        <w:rPr>
          <w:bCs/>
          <w:sz w:val="20"/>
          <w:lang w:val="es-ES_tradnl"/>
        </w:rPr>
      </w:pPr>
      <w:r w:rsidRPr="00AD1E8B">
        <w:rPr>
          <w:sz w:val="20"/>
          <w:lang w:val="es-ES_tradnl"/>
        </w:rPr>
        <w:t xml:space="preserve">Para el próximo bienio se ha planificado la apertura de oficinas en China, la Federación de Rusia y los Estados Unidos de América, así como dos en África.  Se da por supuesto que el establecimiento de las nuevas oficinas </w:t>
      </w:r>
      <w:r w:rsidR="00BB5D51">
        <w:rPr>
          <w:sz w:val="20"/>
          <w:lang w:val="es-ES_tradnl"/>
        </w:rPr>
        <w:t xml:space="preserve">en el </w:t>
      </w:r>
      <w:r w:rsidRPr="00AD1E8B">
        <w:rPr>
          <w:sz w:val="20"/>
          <w:lang w:val="es-ES_tradnl"/>
        </w:rPr>
        <w:t>exter</w:t>
      </w:r>
      <w:r w:rsidR="00BB5D51">
        <w:rPr>
          <w:sz w:val="20"/>
          <w:lang w:val="es-ES_tradnl"/>
        </w:rPr>
        <w:t>ior</w:t>
      </w:r>
      <w:r w:rsidRPr="00AD1E8B">
        <w:rPr>
          <w:sz w:val="20"/>
          <w:lang w:val="es-ES_tradnl"/>
        </w:rPr>
        <w:t xml:space="preserve"> no quedará culminado durante el bienio 2014-2015.  Tanto las oficinas nuevas como las existentes serán objeto de un seguimiento, procediéndose a una evaluación de los resultados alcanzados gracias a ellas.  L</w:t>
      </w:r>
      <w:r w:rsidR="002742ED">
        <w:rPr>
          <w:sz w:val="20"/>
          <w:lang w:val="es-ES_tradnl"/>
        </w:rPr>
        <w:t>os pedidos de creación de otras oficinas aún no han sido atendidos</w:t>
      </w:r>
      <w:r w:rsidRPr="00AD1E8B">
        <w:rPr>
          <w:sz w:val="20"/>
          <w:lang w:val="es-ES_tradnl"/>
        </w:rPr>
        <w:t xml:space="preserve">.  En último término, es preciso que el número de las oficinas </w:t>
      </w:r>
      <w:r w:rsidR="00BB5D51">
        <w:rPr>
          <w:sz w:val="20"/>
          <w:lang w:val="es-ES_tradnl"/>
        </w:rPr>
        <w:t>en el exterior</w:t>
      </w:r>
      <w:r w:rsidRPr="00AD1E8B">
        <w:rPr>
          <w:sz w:val="20"/>
          <w:lang w:val="es-ES_tradnl"/>
        </w:rPr>
        <w:t xml:space="preserve"> sea sostenible;  lo ideal sería tener una red mundial limitada de oficinas estratégicamente situadas.</w:t>
      </w:r>
    </w:p>
    <w:p w:rsidR="00BE322F" w:rsidRPr="00AD1E8B" w:rsidRDefault="00BE322F" w:rsidP="00BE322F">
      <w:pPr>
        <w:tabs>
          <w:tab w:val="num" w:pos="709"/>
        </w:tabs>
        <w:jc w:val="both"/>
        <w:rPr>
          <w:bCs/>
          <w:sz w:val="20"/>
          <w:lang w:val="es-ES_tradnl"/>
        </w:rPr>
      </w:pPr>
    </w:p>
    <w:p w:rsidR="00BE322F" w:rsidRPr="00AD1E8B" w:rsidRDefault="00BE322F" w:rsidP="00BE322F">
      <w:pPr>
        <w:tabs>
          <w:tab w:val="num" w:pos="709"/>
        </w:tabs>
        <w:jc w:val="both"/>
        <w:rPr>
          <w:bCs/>
          <w:sz w:val="20"/>
          <w:lang w:val="es-ES_tradnl"/>
        </w:rPr>
      </w:pPr>
    </w:p>
    <w:p w:rsidR="006F7F41" w:rsidRPr="007C656B" w:rsidRDefault="006F7F41" w:rsidP="001E7E39">
      <w:pPr>
        <w:tabs>
          <w:tab w:val="num" w:pos="709"/>
        </w:tabs>
        <w:jc w:val="both"/>
        <w:rPr>
          <w:bCs/>
          <w:szCs w:val="22"/>
          <w:lang w:val="es-ES_tradnl"/>
        </w:rPr>
      </w:pPr>
      <w:r w:rsidRPr="007C656B">
        <w:rPr>
          <w:bCs/>
          <w:szCs w:val="22"/>
          <w:lang w:val="es-ES_tradnl"/>
        </w:rPr>
        <w:t>PRINCIPALES RIESGOS Y ESTRATEGIAS DE MITIGACIÓN</w:t>
      </w:r>
    </w:p>
    <w:p w:rsidR="006F7F41" w:rsidRPr="007C656B" w:rsidRDefault="006F7F41" w:rsidP="001E7E39">
      <w:pPr>
        <w:tabs>
          <w:tab w:val="num" w:pos="709"/>
        </w:tabs>
        <w:jc w:val="both"/>
        <w:rPr>
          <w:bCs/>
          <w:szCs w:val="22"/>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535"/>
        <w:gridCol w:w="4821"/>
      </w:tblGrid>
      <w:tr w:rsidR="006F7F41" w:rsidRPr="007C656B" w:rsidTr="00F50540">
        <w:trPr>
          <w:trHeight w:val="852"/>
        </w:trPr>
        <w:tc>
          <w:tcPr>
            <w:tcW w:w="4535" w:type="dxa"/>
            <w:shd w:val="clear" w:color="auto" w:fill="CCFFFF"/>
            <w:vAlign w:val="center"/>
          </w:tcPr>
          <w:p w:rsidR="006F7F41" w:rsidRPr="007C656B" w:rsidRDefault="006F7F41" w:rsidP="001E7E39">
            <w:pPr>
              <w:autoSpaceDE w:val="0"/>
              <w:autoSpaceDN w:val="0"/>
              <w:adjustRightInd w:val="0"/>
              <w:ind w:right="-59"/>
              <w:jc w:val="center"/>
              <w:rPr>
                <w:b/>
                <w:sz w:val="18"/>
                <w:szCs w:val="18"/>
                <w:lang w:val="es-ES_tradnl"/>
              </w:rPr>
            </w:pPr>
            <w:r w:rsidRPr="007C656B">
              <w:rPr>
                <w:b/>
                <w:sz w:val="18"/>
                <w:szCs w:val="18"/>
                <w:lang w:val="es-ES_tradnl"/>
              </w:rPr>
              <w:t>Riesgos en el logro de los resultados del programa</w:t>
            </w:r>
          </w:p>
        </w:tc>
        <w:tc>
          <w:tcPr>
            <w:tcW w:w="4821" w:type="dxa"/>
            <w:shd w:val="clear" w:color="auto" w:fill="CCFFFF"/>
            <w:vAlign w:val="center"/>
          </w:tcPr>
          <w:p w:rsidR="006F7F41" w:rsidRPr="007C656B" w:rsidRDefault="006F7F41" w:rsidP="001E7E39">
            <w:pPr>
              <w:autoSpaceDE w:val="0"/>
              <w:autoSpaceDN w:val="0"/>
              <w:adjustRightInd w:val="0"/>
              <w:ind w:right="-59"/>
              <w:jc w:val="center"/>
              <w:rPr>
                <w:b/>
                <w:sz w:val="18"/>
                <w:szCs w:val="18"/>
                <w:lang w:val="es-ES_tradnl"/>
              </w:rPr>
            </w:pPr>
            <w:r w:rsidRPr="007C656B">
              <w:rPr>
                <w:b/>
                <w:sz w:val="18"/>
                <w:szCs w:val="18"/>
                <w:lang w:val="es-ES_tradnl"/>
              </w:rPr>
              <w:t xml:space="preserve">Planes de mitigación ejecutados o en ejecución </w:t>
            </w:r>
          </w:p>
        </w:tc>
      </w:tr>
      <w:tr w:rsidR="006F7F41" w:rsidRPr="007C656B" w:rsidTr="00F50540">
        <w:trPr>
          <w:trHeight w:val="821"/>
        </w:trPr>
        <w:tc>
          <w:tcPr>
            <w:tcW w:w="4535" w:type="dxa"/>
            <w:shd w:val="clear" w:color="auto" w:fill="auto"/>
            <w:tcMar>
              <w:top w:w="113" w:type="dxa"/>
              <w:bottom w:w="85" w:type="dxa"/>
            </w:tcMar>
          </w:tcPr>
          <w:p w:rsidR="006F7F41" w:rsidRPr="007C656B" w:rsidRDefault="006F7F41" w:rsidP="001E7E39">
            <w:pPr>
              <w:tabs>
                <w:tab w:val="left" w:pos="3465"/>
              </w:tabs>
              <w:rPr>
                <w:sz w:val="16"/>
                <w:szCs w:val="16"/>
                <w:lang w:val="es-ES_tradnl"/>
              </w:rPr>
            </w:pPr>
            <w:r w:rsidRPr="007C656B">
              <w:rPr>
                <w:sz w:val="16"/>
                <w:lang w:val="es-ES_tradnl"/>
              </w:rPr>
              <w:t>Problemas de seguridad o desastres naturales ponen en peligro la labor de las oficinas en el exterior destinada a lograr los resultados previstos.</w:t>
            </w:r>
          </w:p>
        </w:tc>
        <w:tc>
          <w:tcPr>
            <w:tcW w:w="4821" w:type="dxa"/>
            <w:shd w:val="clear" w:color="auto" w:fill="auto"/>
            <w:tcMar>
              <w:top w:w="113" w:type="dxa"/>
              <w:bottom w:w="85" w:type="dxa"/>
            </w:tcMar>
          </w:tcPr>
          <w:p w:rsidR="006F7F41" w:rsidRPr="007C656B" w:rsidRDefault="006F7F41" w:rsidP="001E7E39">
            <w:pPr>
              <w:autoSpaceDE w:val="0"/>
              <w:autoSpaceDN w:val="0"/>
              <w:adjustRightInd w:val="0"/>
              <w:ind w:right="-59"/>
              <w:rPr>
                <w:sz w:val="16"/>
                <w:szCs w:val="16"/>
                <w:lang w:val="es-ES_tradnl"/>
              </w:rPr>
            </w:pPr>
            <w:r w:rsidRPr="007C656B">
              <w:rPr>
                <w:sz w:val="16"/>
                <w:szCs w:val="16"/>
                <w:lang w:val="es-ES_tradnl"/>
              </w:rPr>
              <w:t xml:space="preserve">Establecer una estrecha cooperación con el gobierno anfitrión y ampliar el plan de continuidad de las actividades de la OMPI para dar cabida a las oficinas en el exterior. </w:t>
            </w:r>
          </w:p>
        </w:tc>
      </w:tr>
    </w:tbl>
    <w:p w:rsidR="006F7F41" w:rsidRPr="00994766" w:rsidRDefault="006F7F41" w:rsidP="006F7F41">
      <w:pPr>
        <w:tabs>
          <w:tab w:val="num" w:pos="709"/>
        </w:tabs>
        <w:jc w:val="both"/>
        <w:rPr>
          <w:bCs/>
          <w:sz w:val="20"/>
          <w:lang w:val="es-ES_tradnl"/>
        </w:rPr>
      </w:pPr>
    </w:p>
    <w:p w:rsidR="006F7F41" w:rsidRPr="00C75C7E" w:rsidRDefault="006F7F41" w:rsidP="006F7F41">
      <w:pPr>
        <w:widowControl w:val="0"/>
        <w:jc w:val="both"/>
        <w:rPr>
          <w:sz w:val="20"/>
          <w:lang w:val="es-ES_tradnl"/>
        </w:rPr>
      </w:pPr>
    </w:p>
    <w:p w:rsidR="006F7F41" w:rsidRPr="00C75C7E" w:rsidRDefault="006F7F41" w:rsidP="006F7F41">
      <w:pPr>
        <w:tabs>
          <w:tab w:val="left" w:pos="567"/>
        </w:tabs>
        <w:jc w:val="both"/>
        <w:rPr>
          <w:bCs/>
          <w:sz w:val="20"/>
          <w:lang w:val="es-ES_tradnl"/>
        </w:rPr>
      </w:pPr>
      <w:r w:rsidRPr="00C75C7E">
        <w:rPr>
          <w:bCs/>
          <w:szCs w:val="22"/>
          <w:lang w:val="es-ES_tradnl"/>
        </w:rPr>
        <w:t>MARCO DE RESULTADOS</w:t>
      </w:r>
    </w:p>
    <w:p w:rsidR="006F7F41" w:rsidRPr="00C75C7E" w:rsidRDefault="006F7F41" w:rsidP="006F7F41">
      <w:pPr>
        <w:tabs>
          <w:tab w:val="left" w:pos="567"/>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349"/>
        <w:gridCol w:w="2848"/>
        <w:gridCol w:w="2175"/>
        <w:gridCol w:w="2034"/>
      </w:tblGrid>
      <w:tr w:rsidR="006F7F41" w:rsidRPr="00C75C7E" w:rsidTr="008F4F69">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6F7F41" w:rsidRPr="00C75C7E" w:rsidRDefault="006F7F41" w:rsidP="008F4F69">
            <w:pPr>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3" w:type="dxa"/>
            </w:tcMar>
            <w:vAlign w:val="center"/>
          </w:tcPr>
          <w:p w:rsidR="006F7F41" w:rsidRPr="00C75C7E" w:rsidRDefault="006F7F41" w:rsidP="008F4F69">
            <w:pPr>
              <w:spacing w:after="120"/>
              <w:jc w:val="center"/>
              <w:rPr>
                <w:b/>
                <w:sz w:val="18"/>
                <w:szCs w:val="18"/>
                <w:lang w:val="es-ES_tradnl"/>
              </w:rPr>
            </w:pPr>
            <w:r w:rsidRPr="00C75C7E">
              <w:rPr>
                <w:b/>
                <w:sz w:val="18"/>
                <w:szCs w:val="18"/>
                <w:lang w:val="es-ES_tradnl"/>
              </w:rPr>
              <w:t>Indicadores de rendimiento</w:t>
            </w:r>
          </w:p>
        </w:tc>
        <w:tc>
          <w:tcPr>
            <w:tcW w:w="1156" w:type="pct"/>
            <w:tcBorders>
              <w:top w:val="single" w:sz="4" w:space="0" w:color="auto"/>
              <w:bottom w:val="single" w:sz="4" w:space="0" w:color="auto"/>
            </w:tcBorders>
            <w:shd w:val="clear" w:color="auto" w:fill="CCFFFF"/>
            <w:tcMar>
              <w:top w:w="113" w:type="dxa"/>
            </w:tcMar>
            <w:vAlign w:val="center"/>
          </w:tcPr>
          <w:p w:rsidR="006F7F41" w:rsidRPr="00C75C7E" w:rsidRDefault="006F7F41" w:rsidP="008F4F69">
            <w:pPr>
              <w:spacing w:after="120"/>
              <w:jc w:val="center"/>
              <w:rPr>
                <w:sz w:val="18"/>
                <w:szCs w:val="18"/>
                <w:lang w:val="es-ES_tradnl"/>
              </w:rPr>
            </w:pPr>
            <w:r w:rsidRPr="00C75C7E">
              <w:rPr>
                <w:b/>
                <w:bCs/>
                <w:sz w:val="18"/>
                <w:szCs w:val="18"/>
                <w:lang w:val="es-ES_tradnl"/>
              </w:rPr>
              <w:t>Referencia</w:t>
            </w:r>
          </w:p>
        </w:tc>
        <w:tc>
          <w:tcPr>
            <w:tcW w:w="1081" w:type="pct"/>
            <w:tcBorders>
              <w:top w:val="single" w:sz="4" w:space="0" w:color="auto"/>
              <w:bottom w:val="single" w:sz="4" w:space="0" w:color="auto"/>
            </w:tcBorders>
            <w:shd w:val="clear" w:color="auto" w:fill="CCFFFF"/>
            <w:tcMar>
              <w:top w:w="113" w:type="dxa"/>
            </w:tcMar>
            <w:vAlign w:val="center"/>
          </w:tcPr>
          <w:p w:rsidR="006F7F41" w:rsidRPr="00C75C7E" w:rsidRDefault="006F7F41" w:rsidP="008F4F69">
            <w:pPr>
              <w:keepNext/>
              <w:keepLines/>
              <w:tabs>
                <w:tab w:val="left" w:pos="1757"/>
              </w:tabs>
              <w:spacing w:after="120"/>
              <w:jc w:val="center"/>
              <w:rPr>
                <w:b/>
                <w:bCs/>
                <w:sz w:val="18"/>
                <w:szCs w:val="18"/>
                <w:lang w:val="es-ES_tradnl"/>
              </w:rPr>
            </w:pPr>
            <w:r w:rsidRPr="00C75C7E">
              <w:rPr>
                <w:b/>
                <w:bCs/>
                <w:sz w:val="18"/>
                <w:szCs w:val="18"/>
                <w:lang w:val="es-ES_tradnl"/>
              </w:rPr>
              <w:t>Objetivos</w:t>
            </w:r>
          </w:p>
        </w:tc>
      </w:tr>
      <w:tr w:rsidR="006F7F41" w:rsidRPr="00C75C7E" w:rsidTr="008F4F69">
        <w:trPr>
          <w:cantSplit/>
          <w:trHeight w:val="953"/>
        </w:trPr>
        <w:tc>
          <w:tcPr>
            <w:tcW w:w="1249" w:type="pct"/>
            <w:vMerge w:val="restart"/>
            <w:tcBorders>
              <w:top w:val="single" w:sz="4" w:space="0" w:color="auto"/>
            </w:tcBorders>
            <w:shd w:val="clear" w:color="auto" w:fill="auto"/>
            <w:tcMar>
              <w:top w:w="113" w:type="dxa"/>
            </w:tcMar>
          </w:tcPr>
          <w:p w:rsidR="006F7F41" w:rsidRPr="00C75C7E" w:rsidRDefault="006F7F41" w:rsidP="005C32FC">
            <w:pPr>
              <w:rPr>
                <w:sz w:val="16"/>
                <w:szCs w:val="16"/>
                <w:lang w:val="es-ES_tradnl"/>
              </w:rPr>
            </w:pPr>
            <w:r w:rsidRPr="00C75C7E">
              <w:rPr>
                <w:sz w:val="16"/>
                <w:szCs w:val="16"/>
                <w:lang w:val="es-ES_tradnl"/>
              </w:rPr>
              <w:t xml:space="preserve">II.1. Fomento del uso de la vía del PCT para la presentación de solicitudes </w:t>
            </w:r>
            <w:r w:rsidR="005C32FC">
              <w:rPr>
                <w:sz w:val="16"/>
                <w:szCs w:val="16"/>
                <w:lang w:val="es-ES_tradnl"/>
              </w:rPr>
              <w:t xml:space="preserve">internacionales </w:t>
            </w:r>
            <w:r w:rsidRPr="00C75C7E">
              <w:rPr>
                <w:sz w:val="16"/>
                <w:szCs w:val="16"/>
                <w:lang w:val="es-ES_tradnl"/>
              </w:rPr>
              <w:t>de patente.</w:t>
            </w:r>
          </w:p>
        </w:tc>
        <w:tc>
          <w:tcPr>
            <w:tcW w:w="1514" w:type="pct"/>
            <w:tcBorders>
              <w:top w:val="single" w:sz="4" w:space="0" w:color="auto"/>
            </w:tcBorders>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solicitudes presentadas en virtud del PCT.</w:t>
            </w:r>
          </w:p>
        </w:tc>
        <w:tc>
          <w:tcPr>
            <w:tcW w:w="1156" w:type="pct"/>
            <w:tcBorders>
              <w:top w:val="single" w:sz="4" w:space="0" w:color="auto"/>
            </w:tcBorders>
            <w:shd w:val="clear" w:color="auto" w:fill="FFFFFF"/>
            <w:tcMar>
              <w:top w:w="113" w:type="dxa"/>
            </w:tcMar>
          </w:tcPr>
          <w:p w:rsidR="006F7F41" w:rsidRPr="00C75C7E" w:rsidRDefault="00A117FF" w:rsidP="008F4F69">
            <w:pPr>
              <w:rPr>
                <w:sz w:val="16"/>
                <w:szCs w:val="16"/>
                <w:lang w:val="es-ES_tradnl" w:bidi="th-TH"/>
              </w:rPr>
            </w:pPr>
            <w:r>
              <w:rPr>
                <w:sz w:val="16"/>
                <w:szCs w:val="16"/>
                <w:lang w:val="es-ES_tradnl" w:bidi="th-TH"/>
              </w:rPr>
              <w:t>519 e</w:t>
            </w:r>
            <w:r w:rsidR="006F7F41" w:rsidRPr="00C75C7E">
              <w:rPr>
                <w:sz w:val="16"/>
                <w:szCs w:val="16"/>
                <w:lang w:val="es-ES_tradnl" w:bidi="th-TH"/>
              </w:rPr>
              <w:t>n 2011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Por determinar (O</w:t>
            </w:r>
            <w:r w:rsidR="00BB5D51">
              <w:rPr>
                <w:sz w:val="16"/>
                <w:szCs w:val="16"/>
                <w:lang w:val="es-ES_tradnl" w:bidi="th-TH"/>
              </w:rPr>
              <w:t>OJ</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rPr>
            </w:pPr>
            <w:r w:rsidRPr="00C75C7E">
              <w:rPr>
                <w:sz w:val="16"/>
                <w:szCs w:val="16"/>
                <w:lang w:val="es-ES_tradnl" w:bidi="th-TH"/>
              </w:rPr>
              <w:t>Por determinar (</w:t>
            </w:r>
            <w:r w:rsidR="00BB5D51">
              <w:rPr>
                <w:sz w:val="16"/>
                <w:szCs w:val="16"/>
                <w:lang w:val="es-ES_tradnl" w:bidi="th-TH"/>
              </w:rPr>
              <w:t>OOS</w:t>
            </w:r>
            <w:r w:rsidRPr="00C75C7E">
              <w:rPr>
                <w:sz w:val="16"/>
                <w:szCs w:val="16"/>
                <w:lang w:val="es-ES_tradnl" w:bidi="th-TH"/>
              </w:rPr>
              <w:t>).</w:t>
            </w:r>
          </w:p>
        </w:tc>
        <w:tc>
          <w:tcPr>
            <w:tcW w:w="1081" w:type="pct"/>
            <w:tcBorders>
              <w:top w:val="single" w:sz="4" w:space="0" w:color="auto"/>
            </w:tcBorders>
            <w:shd w:val="clear" w:color="auto" w:fill="auto"/>
            <w:tcMar>
              <w:top w:w="113" w:type="dxa"/>
            </w:tcMar>
          </w:tcPr>
          <w:p w:rsidR="006F7F41" w:rsidRPr="00C75C7E" w:rsidRDefault="006F7F41" w:rsidP="008F4F69">
            <w:pPr>
              <w:tabs>
                <w:tab w:val="left" w:pos="1757"/>
              </w:tabs>
              <w:rPr>
                <w:bCs/>
                <w:sz w:val="16"/>
                <w:szCs w:val="16"/>
                <w:lang w:val="es-ES_tradnl"/>
              </w:rPr>
            </w:pPr>
            <w:r w:rsidRPr="00C75C7E">
              <w:rPr>
                <w:bCs/>
                <w:sz w:val="16"/>
                <w:szCs w:val="16"/>
                <w:lang w:val="es-ES_tradnl"/>
              </w:rPr>
              <w:t>Aumento del 15% (</w:t>
            </w:r>
            <w:r w:rsidR="00BB5D51">
              <w:rPr>
                <w:bCs/>
                <w:sz w:val="16"/>
                <w:szCs w:val="16"/>
                <w:lang w:val="es-ES_tradnl"/>
              </w:rPr>
              <w:t>OOB</w:t>
            </w:r>
            <w:r w:rsidRPr="00C75C7E">
              <w:rPr>
                <w:bCs/>
                <w:sz w:val="16"/>
                <w:szCs w:val="16"/>
                <w:lang w:val="es-ES_tradnl"/>
              </w:rPr>
              <w:t>).</w:t>
            </w:r>
          </w:p>
          <w:p w:rsidR="006F7F41" w:rsidRPr="00C75C7E" w:rsidRDefault="006F7F41" w:rsidP="008F4F69">
            <w:pPr>
              <w:tabs>
                <w:tab w:val="left" w:pos="1757"/>
              </w:tabs>
              <w:rPr>
                <w:bCs/>
                <w:sz w:val="16"/>
                <w:szCs w:val="16"/>
                <w:lang w:val="es-ES_tradnl"/>
              </w:rPr>
            </w:pPr>
          </w:p>
          <w:p w:rsidR="006F7F41" w:rsidRPr="00C75C7E" w:rsidRDefault="006F7F41" w:rsidP="008F4F69">
            <w:pPr>
              <w:tabs>
                <w:tab w:val="left" w:pos="1757"/>
              </w:tabs>
              <w:rPr>
                <w:sz w:val="16"/>
                <w:szCs w:val="16"/>
                <w:lang w:val="es-ES_tradnl" w:bidi="th-TH"/>
              </w:rPr>
            </w:pPr>
            <w:r w:rsidRPr="00C75C7E">
              <w:rPr>
                <w:sz w:val="16"/>
                <w:szCs w:val="16"/>
                <w:lang w:val="es-ES_tradnl" w:bidi="th-TH"/>
              </w:rPr>
              <w:t>Aumento del 1% (</w:t>
            </w:r>
            <w:r w:rsidR="00BB5D51">
              <w:rPr>
                <w:sz w:val="16"/>
                <w:szCs w:val="16"/>
                <w:lang w:val="es-ES_tradnl" w:bidi="th-TH"/>
              </w:rPr>
              <w:t>OOJ</w:t>
            </w:r>
            <w:r w:rsidRPr="00C75C7E">
              <w:rPr>
                <w:sz w:val="16"/>
                <w:szCs w:val="16"/>
                <w:lang w:val="es-ES_tradnl" w:bidi="th-TH"/>
              </w:rPr>
              <w:t>).</w:t>
            </w:r>
          </w:p>
          <w:p w:rsidR="006F7F41" w:rsidRPr="00C75C7E" w:rsidRDefault="006F7F41" w:rsidP="008F4F69">
            <w:pPr>
              <w:tabs>
                <w:tab w:val="left" w:pos="1757"/>
              </w:tabs>
              <w:rPr>
                <w:sz w:val="16"/>
                <w:szCs w:val="16"/>
                <w:lang w:val="es-ES_tradnl" w:bidi="th-TH"/>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Aumento del 5% (</w:t>
            </w:r>
            <w:r w:rsidR="00BB5D51">
              <w:rPr>
                <w:bCs/>
                <w:sz w:val="16"/>
                <w:szCs w:val="16"/>
                <w:lang w:val="es-ES_tradnl"/>
              </w:rPr>
              <w:t>OOS</w:t>
            </w:r>
            <w:r w:rsidRPr="00C75C7E">
              <w:rPr>
                <w:bCs/>
                <w:sz w:val="16"/>
                <w:szCs w:val="16"/>
                <w:lang w:val="es-ES_tradnl"/>
              </w:rPr>
              <w:t>).</w:t>
            </w:r>
          </w:p>
        </w:tc>
      </w:tr>
      <w:tr w:rsidR="006F7F41" w:rsidRPr="00C75C7E" w:rsidTr="008F4F69">
        <w:trPr>
          <w:cantSplit/>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encargados de la adopción de políticas, funcionarios gubernamentales, profesionales de la P.I. y participantes en talleres con un mayor conocimiento del PCT y los temas conexos.</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rPr>
            </w:pPr>
            <w:proofErr w:type="spellStart"/>
            <w:r>
              <w:rPr>
                <w:sz w:val="16"/>
                <w:szCs w:val="16"/>
                <w:lang w:val="es-ES_tradnl"/>
              </w:rPr>
              <w:t>N.d</w:t>
            </w:r>
            <w:proofErr w:type="spellEnd"/>
            <w:r>
              <w:rPr>
                <w:sz w:val="16"/>
                <w:szCs w:val="16"/>
                <w:lang w:val="es-ES_tradnl"/>
              </w:rPr>
              <w:t>.</w:t>
            </w:r>
            <w:r w:rsidR="006F7F41" w:rsidRPr="00C75C7E">
              <w:rPr>
                <w:sz w:val="16"/>
                <w:szCs w:val="16"/>
                <w:lang w:val="es-ES_tradnl"/>
              </w:rPr>
              <w:t xml:space="preserve"> (</w:t>
            </w:r>
            <w:r w:rsidR="00BB5D51">
              <w:rPr>
                <w:sz w:val="16"/>
                <w:szCs w:val="16"/>
                <w:lang w:val="es-ES_tradnl"/>
              </w:rPr>
              <w:t>OOJ</w:t>
            </w:r>
            <w:r w:rsidR="006F7F41" w:rsidRPr="00C75C7E">
              <w:rPr>
                <w:sz w:val="16"/>
                <w:szCs w:val="16"/>
                <w:lang w:val="es-ES_tradnl"/>
              </w:rPr>
              <w:t>).</w:t>
            </w:r>
          </w:p>
          <w:p w:rsidR="006F7F41" w:rsidRPr="00C75C7E" w:rsidRDefault="006F7F41" w:rsidP="008F4F69">
            <w:pPr>
              <w:rPr>
                <w:sz w:val="16"/>
                <w:szCs w:val="16"/>
                <w:lang w:val="es-ES_tradnl"/>
              </w:rPr>
            </w:pPr>
          </w:p>
          <w:p w:rsidR="006F7F41" w:rsidRPr="00C75C7E" w:rsidRDefault="005C037B" w:rsidP="008F4F69">
            <w:pPr>
              <w:rPr>
                <w:sz w:val="16"/>
                <w:szCs w:val="16"/>
                <w:lang w:val="es-ES_tradnl"/>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OOS</w:t>
            </w:r>
            <w:r w:rsidR="006F7F41" w:rsidRPr="00C75C7E">
              <w:rPr>
                <w:sz w:val="16"/>
                <w:szCs w:val="16"/>
                <w:lang w:val="es-ES_tradnl" w:bidi="th-TH"/>
              </w:rPr>
              <w:t>).</w:t>
            </w:r>
          </w:p>
        </w:tc>
        <w:tc>
          <w:tcPr>
            <w:tcW w:w="1081" w:type="pct"/>
            <w:shd w:val="clear" w:color="auto" w:fill="auto"/>
            <w:tcMar>
              <w:top w:w="113" w:type="dxa"/>
            </w:tcMar>
          </w:tcPr>
          <w:p w:rsidR="006F7F41" w:rsidRPr="00C75C7E" w:rsidRDefault="006F7F41" w:rsidP="008F4F69">
            <w:pPr>
              <w:keepNext/>
              <w:keepLines/>
              <w:tabs>
                <w:tab w:val="left" w:pos="1757"/>
                <w:tab w:val="left" w:pos="2051"/>
              </w:tabs>
              <w:rPr>
                <w:bCs/>
                <w:sz w:val="16"/>
                <w:szCs w:val="16"/>
                <w:lang w:val="es-ES_tradnl"/>
              </w:rPr>
            </w:pPr>
            <w:r w:rsidRPr="00C75C7E">
              <w:rPr>
                <w:bCs/>
                <w:sz w:val="16"/>
                <w:szCs w:val="16"/>
                <w:lang w:val="es-ES_tradnl"/>
              </w:rPr>
              <w:t>75% (</w:t>
            </w:r>
            <w:r w:rsidR="00BB5D51">
              <w:rPr>
                <w:bCs/>
                <w:sz w:val="16"/>
                <w:szCs w:val="16"/>
                <w:lang w:val="es-ES_tradnl"/>
              </w:rPr>
              <w:t>OOB</w:t>
            </w:r>
            <w:r w:rsidRPr="00C75C7E">
              <w:rPr>
                <w:bCs/>
                <w:sz w:val="16"/>
                <w:szCs w:val="16"/>
                <w:lang w:val="es-ES_tradnl"/>
              </w:rPr>
              <w:t>).</w:t>
            </w:r>
          </w:p>
          <w:p w:rsidR="006F7F41" w:rsidRPr="00C75C7E" w:rsidRDefault="006F7F41" w:rsidP="008F4F69">
            <w:pPr>
              <w:keepNext/>
              <w:keepLines/>
              <w:tabs>
                <w:tab w:val="left" w:pos="1757"/>
                <w:tab w:val="left" w:pos="2051"/>
              </w:tabs>
              <w:rPr>
                <w:bCs/>
                <w:sz w:val="16"/>
                <w:szCs w:val="16"/>
                <w:lang w:val="es-ES_tradnl"/>
              </w:rPr>
            </w:pPr>
          </w:p>
          <w:p w:rsidR="006F7F41" w:rsidRPr="00C75C7E" w:rsidRDefault="006F7F41" w:rsidP="008F4F69">
            <w:pPr>
              <w:keepNext/>
              <w:keepLines/>
              <w:tabs>
                <w:tab w:val="left" w:pos="1757"/>
                <w:tab w:val="left" w:pos="2051"/>
              </w:tabs>
              <w:rPr>
                <w:bCs/>
                <w:sz w:val="16"/>
                <w:szCs w:val="16"/>
                <w:lang w:val="es-ES_tradnl"/>
              </w:rPr>
            </w:pPr>
            <w:r w:rsidRPr="00C75C7E">
              <w:rPr>
                <w:bCs/>
                <w:sz w:val="16"/>
                <w:szCs w:val="16"/>
                <w:lang w:val="es-ES_tradnl"/>
              </w:rPr>
              <w:t>75% (</w:t>
            </w:r>
            <w:r w:rsidR="00BB5D51">
              <w:rPr>
                <w:bCs/>
                <w:sz w:val="16"/>
                <w:szCs w:val="16"/>
                <w:lang w:val="es-ES_tradnl"/>
              </w:rPr>
              <w:t>OOJ</w:t>
            </w:r>
            <w:r w:rsidRPr="00C75C7E">
              <w:rPr>
                <w:bCs/>
                <w:sz w:val="16"/>
                <w:szCs w:val="16"/>
                <w:lang w:val="es-ES_tradnl"/>
              </w:rPr>
              <w:t>).</w:t>
            </w:r>
          </w:p>
          <w:p w:rsidR="006F7F41" w:rsidRPr="00C75C7E" w:rsidRDefault="006F7F41" w:rsidP="008F4F69">
            <w:pPr>
              <w:keepNext/>
              <w:keepLines/>
              <w:tabs>
                <w:tab w:val="left" w:pos="1757"/>
                <w:tab w:val="left" w:pos="2051"/>
              </w:tabs>
              <w:rPr>
                <w:bCs/>
                <w:sz w:val="16"/>
                <w:szCs w:val="16"/>
                <w:lang w:val="es-ES_tradnl"/>
              </w:rPr>
            </w:pPr>
          </w:p>
          <w:p w:rsidR="006F7F41" w:rsidRPr="00C75C7E" w:rsidRDefault="006F7F41" w:rsidP="008F4F69">
            <w:pPr>
              <w:keepNext/>
              <w:keepLines/>
              <w:tabs>
                <w:tab w:val="left" w:pos="1757"/>
                <w:tab w:val="left" w:pos="2051"/>
              </w:tabs>
              <w:rPr>
                <w:bCs/>
                <w:sz w:val="16"/>
                <w:szCs w:val="16"/>
                <w:lang w:val="es-ES_tradnl"/>
              </w:rPr>
            </w:pPr>
            <w:r w:rsidRPr="00C75C7E">
              <w:rPr>
                <w:bCs/>
                <w:sz w:val="16"/>
                <w:szCs w:val="16"/>
                <w:lang w:val="es-ES_tradnl"/>
              </w:rPr>
              <w:t>75% (</w:t>
            </w:r>
            <w:r w:rsidR="00BB5D51">
              <w:rPr>
                <w:bCs/>
                <w:sz w:val="16"/>
                <w:szCs w:val="16"/>
                <w:lang w:val="es-ES_tradnl"/>
              </w:rPr>
              <w:t>OOS</w:t>
            </w:r>
            <w:r w:rsidRPr="00C75C7E">
              <w:rPr>
                <w:bCs/>
                <w:sz w:val="16"/>
                <w:szCs w:val="16"/>
                <w:lang w:val="es-ES_tradnl"/>
              </w:rPr>
              <w:t xml:space="preserve">). </w:t>
            </w:r>
          </w:p>
        </w:tc>
      </w:tr>
      <w:tr w:rsidR="006F7F41" w:rsidRPr="00C75C7E" w:rsidTr="008F4F69">
        <w:trPr>
          <w:cantSplit/>
        </w:trPr>
        <w:tc>
          <w:tcPr>
            <w:tcW w:w="1249" w:type="pct"/>
            <w:vMerge w:val="restar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II.4. Ampliación y mejora del uso del sistema de La Haya por los países en desarrollo y los PMA, entre otros.</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Número de países que han formulado o adoptado políticas en las que se expone su adhesión al Arreglo de La Haya.</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OOS</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rPr>
            </w:pPr>
          </w:p>
        </w:tc>
        <w:tc>
          <w:tcPr>
            <w:tcW w:w="1081" w:type="pct"/>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 Estados miembros de la ASEAN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897"/>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encargados de la adopción de políticas, funcionarios gubernamentales, profesionales de la P.I. y participantes en talleres con un mayor conocimiento del sistema de La Haya.</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OOJ</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OOS</w:t>
            </w:r>
            <w:r w:rsidR="006F7F41" w:rsidRPr="00C75C7E">
              <w:rPr>
                <w:sz w:val="16"/>
                <w:szCs w:val="16"/>
                <w:lang w:val="es-ES_tradnl" w:bidi="th-TH"/>
              </w:rPr>
              <w:t>).</w:t>
            </w:r>
          </w:p>
        </w:tc>
        <w:tc>
          <w:tcPr>
            <w:tcW w:w="1081" w:type="pct"/>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75% (</w:t>
            </w:r>
            <w:r w:rsidR="00BB5D51">
              <w:rPr>
                <w:bCs/>
                <w:sz w:val="16"/>
                <w:szCs w:val="16"/>
                <w:lang w:val="es-ES_tradnl"/>
              </w:rPr>
              <w:t>OOB</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75% (</w:t>
            </w:r>
            <w:r w:rsidR="00BB5D51">
              <w:rPr>
                <w:bCs/>
                <w:sz w:val="16"/>
                <w:szCs w:val="16"/>
                <w:lang w:val="es-ES_tradnl"/>
              </w:rPr>
              <w:t>OOJ</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75%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967"/>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Número de partes contratantes en el sistema de La Haya de la región de Asia y el Pacífico.</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1 en la región de la ASEAN (</w:t>
            </w:r>
            <w:r w:rsidR="00BB5D51">
              <w:rPr>
                <w:sz w:val="16"/>
                <w:szCs w:val="16"/>
                <w:lang w:val="es-ES_tradnl" w:bidi="th-TH"/>
              </w:rPr>
              <w:t>OOS</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El Japón no es parte contratante (</w:t>
            </w:r>
            <w:r w:rsidR="00BB5D51">
              <w:rPr>
                <w:sz w:val="16"/>
                <w:szCs w:val="16"/>
                <w:lang w:val="es-ES_tradnl" w:bidi="th-TH"/>
              </w:rPr>
              <w:t>OOJ</w:t>
            </w:r>
            <w:r w:rsidRPr="00C75C7E">
              <w:rPr>
                <w:sz w:val="16"/>
                <w:szCs w:val="16"/>
                <w:lang w:val="es-ES_tradnl" w:bidi="th-TH"/>
              </w:rPr>
              <w:t>).</w:t>
            </w:r>
          </w:p>
        </w:tc>
        <w:tc>
          <w:tcPr>
            <w:tcW w:w="1081" w:type="pct"/>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 en la región de la ASEAN (</w:t>
            </w:r>
            <w:r w:rsidR="00BB5D51">
              <w:rPr>
                <w:bCs/>
                <w:sz w:val="16"/>
                <w:szCs w:val="16"/>
                <w:lang w:val="es-ES_tradnl"/>
              </w:rPr>
              <w:t>OOS</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Adhesión del Japón </w:t>
            </w:r>
            <w:r w:rsidRPr="00C75C7E">
              <w:rPr>
                <w:sz w:val="16"/>
                <w:szCs w:val="16"/>
                <w:lang w:val="es-ES_tradnl" w:bidi="th-TH"/>
              </w:rPr>
              <w:t>(</w:t>
            </w:r>
            <w:r w:rsidR="00BB5D51">
              <w:rPr>
                <w:sz w:val="16"/>
                <w:szCs w:val="16"/>
                <w:lang w:val="es-ES_tradnl" w:bidi="th-TH"/>
              </w:rPr>
              <w:t>OOJ</w:t>
            </w:r>
            <w:r w:rsidRPr="00C75C7E">
              <w:rPr>
                <w:sz w:val="16"/>
                <w:szCs w:val="16"/>
                <w:lang w:val="es-ES_tradnl" w:bidi="th-TH"/>
              </w:rPr>
              <w:t>).</w:t>
            </w:r>
          </w:p>
        </w:tc>
      </w:tr>
      <w:tr w:rsidR="006F7F41" w:rsidRPr="00C75C7E" w:rsidTr="008F4F69">
        <w:trPr>
          <w:cantSplit/>
          <w:trHeight w:val="801"/>
        </w:trPr>
        <w:tc>
          <w:tcPr>
            <w:tcW w:w="1249" w:type="pct"/>
            <w:vMerge w:val="restar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lastRenderedPageBreak/>
              <w:t>II. 6 Ampliación y mejora del uso de los sistemas de Madrid y de Lisboa por los países en desarrollo y los PMA, entre otros.</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Número de países que han formulado o adoptado políticas en las que se expone su adhesión al Protocolo de Madrid.</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OOS</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tc>
        <w:tc>
          <w:tcPr>
            <w:tcW w:w="1081" w:type="pct"/>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6 Estados miembros de la ASEAN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567"/>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participantes satisfechos en talleres/seminarios sobre temas relacionados con el sistema de Madrid.</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65% (</w:t>
            </w:r>
            <w:r w:rsidR="00BB5D51">
              <w:rPr>
                <w:sz w:val="16"/>
                <w:szCs w:val="16"/>
                <w:lang w:val="es-ES_tradnl" w:bidi="th-TH"/>
              </w:rPr>
              <w:t>OOB</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65% (</w:t>
            </w:r>
            <w:r w:rsidR="00BB5D51">
              <w:rPr>
                <w:sz w:val="16"/>
                <w:szCs w:val="16"/>
                <w:lang w:val="es-ES_tradnl" w:bidi="th-TH"/>
              </w:rPr>
              <w:t>OOS</w:t>
            </w:r>
            <w:r w:rsidRPr="00C75C7E">
              <w:rPr>
                <w:sz w:val="16"/>
                <w:szCs w:val="16"/>
                <w:lang w:val="es-ES_tradnl" w:bidi="th-TH"/>
              </w:rPr>
              <w:t>).</w:t>
            </w:r>
          </w:p>
        </w:tc>
        <w:tc>
          <w:tcPr>
            <w:tcW w:w="1081" w:type="pct"/>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75% (</w:t>
            </w:r>
            <w:r w:rsidR="00BB5D51">
              <w:rPr>
                <w:bCs/>
                <w:sz w:val="16"/>
                <w:szCs w:val="16"/>
                <w:lang w:val="es-ES_tradnl"/>
              </w:rPr>
              <w:t>OOB</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75%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434"/>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jc w:val="both"/>
              <w:rPr>
                <w:sz w:val="16"/>
                <w:szCs w:val="16"/>
                <w:lang w:val="es-ES_tradnl"/>
              </w:rPr>
            </w:pPr>
            <w:r w:rsidRPr="00C75C7E">
              <w:rPr>
                <w:sz w:val="16"/>
                <w:szCs w:val="16"/>
                <w:lang w:val="es-ES_tradnl"/>
              </w:rPr>
              <w:t>Número de Partes Contratantes en el Protocolo de Madrid.</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3% (</w:t>
            </w:r>
            <w:r w:rsidR="00BB5D51">
              <w:rPr>
                <w:sz w:val="16"/>
                <w:szCs w:val="16"/>
                <w:lang w:val="es-ES_tradnl" w:bidi="th-TH"/>
              </w:rPr>
              <w:t>OOS</w:t>
            </w:r>
            <w:r w:rsidRPr="00C75C7E">
              <w:rPr>
                <w:sz w:val="16"/>
                <w:szCs w:val="16"/>
                <w:lang w:val="es-ES_tradnl" w:bidi="th-TH"/>
              </w:rPr>
              <w:t>).</w:t>
            </w:r>
          </w:p>
        </w:tc>
        <w:tc>
          <w:tcPr>
            <w:tcW w:w="1081" w:type="pct"/>
            <w:shd w:val="clear" w:color="auto" w:fill="auto"/>
            <w:tcMar>
              <w:top w:w="113" w:type="dxa"/>
            </w:tcMar>
          </w:tcPr>
          <w:p w:rsidR="006F7F41" w:rsidRPr="00C75C7E" w:rsidRDefault="006F7F41" w:rsidP="008F4F69">
            <w:pPr>
              <w:tabs>
                <w:tab w:val="left" w:pos="1757"/>
              </w:tabs>
              <w:rPr>
                <w:sz w:val="16"/>
                <w:szCs w:val="16"/>
                <w:lang w:val="es-ES_tradnl" w:bidi="th-TH"/>
              </w:rPr>
            </w:pPr>
            <w:r w:rsidRPr="00C75C7E">
              <w:rPr>
                <w:sz w:val="16"/>
                <w:szCs w:val="16"/>
                <w:lang w:val="es-ES_tradnl" w:bidi="th-TH"/>
              </w:rPr>
              <w:t>10% (</w:t>
            </w:r>
            <w:r w:rsidR="00BB5D51">
              <w:rPr>
                <w:sz w:val="16"/>
                <w:szCs w:val="16"/>
                <w:lang w:val="es-ES_tradnl" w:bidi="th-TH"/>
              </w:rPr>
              <w:t>OOS</w:t>
            </w:r>
            <w:r w:rsidRPr="00C75C7E">
              <w:rPr>
                <w:sz w:val="16"/>
                <w:szCs w:val="16"/>
                <w:lang w:val="es-ES_tradnl" w:bidi="th-TH"/>
              </w:rPr>
              <w:t>).</w:t>
            </w:r>
          </w:p>
          <w:p w:rsidR="006F7F41" w:rsidRPr="00C75C7E" w:rsidRDefault="006F7F41" w:rsidP="008F4F69">
            <w:pPr>
              <w:keepNext/>
              <w:keepLines/>
              <w:tabs>
                <w:tab w:val="left" w:pos="1757"/>
              </w:tabs>
              <w:rPr>
                <w:bCs/>
                <w:sz w:val="16"/>
                <w:szCs w:val="16"/>
                <w:lang w:val="es-ES_tradnl"/>
              </w:rPr>
            </w:pPr>
          </w:p>
        </w:tc>
      </w:tr>
      <w:tr w:rsidR="006F7F41" w:rsidRPr="00C75C7E" w:rsidTr="008F4F69">
        <w:trPr>
          <w:cantSplit/>
          <w:trHeight w:val="1035"/>
        </w:trPr>
        <w:tc>
          <w:tcPr>
            <w:tcW w:w="1249" w:type="pct"/>
            <w:vMerge/>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Número de nuevos registros (sistema de Madrid).</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Estadísticas de la ASEAN en el sistema de Madrid (</w:t>
            </w:r>
            <w:r w:rsidR="00BB5D51">
              <w:rPr>
                <w:sz w:val="16"/>
                <w:szCs w:val="16"/>
                <w:lang w:val="es-ES_tradnl" w:bidi="th-TH"/>
              </w:rPr>
              <w:t>OOS</w:t>
            </w:r>
            <w:r w:rsidRPr="00C75C7E">
              <w:rPr>
                <w:sz w:val="16"/>
                <w:szCs w:val="16"/>
                <w:lang w:val="es-ES_tradnl" w:bidi="th-TH"/>
              </w:rPr>
              <w:t>) 2012/13.</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Estadísticas de la ASEAN en el sistema de Madrid, Japón (</w:t>
            </w:r>
            <w:r w:rsidR="00BB5D51">
              <w:rPr>
                <w:sz w:val="16"/>
                <w:szCs w:val="16"/>
                <w:lang w:val="es-ES_tradnl" w:bidi="th-TH"/>
              </w:rPr>
              <w:t>OOJ</w:t>
            </w:r>
            <w:r w:rsidRPr="00C75C7E">
              <w:rPr>
                <w:sz w:val="16"/>
                <w:szCs w:val="16"/>
                <w:lang w:val="es-ES_tradnl" w:bidi="th-TH"/>
              </w:rPr>
              <w:t>) 2012/13.</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Aumento del 5% en las solicitudes presentadas </w:t>
            </w:r>
            <w:r w:rsidRPr="00C75C7E">
              <w:rPr>
                <w:sz w:val="16"/>
                <w:szCs w:val="16"/>
                <w:lang w:val="es-ES_tradnl" w:bidi="th-TH"/>
              </w:rPr>
              <w:t>(</w:t>
            </w:r>
            <w:r w:rsidR="00BB5D51">
              <w:rPr>
                <w:sz w:val="16"/>
                <w:szCs w:val="16"/>
                <w:lang w:val="es-ES_tradnl" w:bidi="th-TH"/>
              </w:rPr>
              <w:t>OOS</w:t>
            </w:r>
            <w:r w:rsidRPr="00C75C7E">
              <w:rPr>
                <w:sz w:val="16"/>
                <w:szCs w:val="16"/>
                <w:lang w:val="es-ES_tradnl" w:bidi="th-TH"/>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Aumento de las solicitudes presentadas (</w:t>
            </w:r>
            <w:r w:rsidR="00BB5D51">
              <w:rPr>
                <w:bCs/>
                <w:sz w:val="16"/>
                <w:szCs w:val="16"/>
                <w:lang w:val="es-ES_tradnl"/>
              </w:rPr>
              <w:t>OOJ</w:t>
            </w:r>
            <w:r w:rsidRPr="00C75C7E">
              <w:rPr>
                <w:bCs/>
                <w:sz w:val="16"/>
                <w:szCs w:val="16"/>
                <w:lang w:val="es-ES_tradnl"/>
              </w:rPr>
              <w:t>).</w:t>
            </w:r>
          </w:p>
        </w:tc>
      </w:tr>
      <w:tr w:rsidR="006F7F41" w:rsidRPr="00C75C7E" w:rsidTr="008F4F69">
        <w:trPr>
          <w:cantSplit/>
          <w:trHeight w:val="953"/>
        </w:trPr>
        <w:tc>
          <w:tcPr>
            <w:tcW w:w="1249" w:type="pct"/>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Número de renovaciones (sistema de Madrid).</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Estadísticas de la ASEAN en el sistema de Madrid (</w:t>
            </w:r>
            <w:r w:rsidR="00BB5D51">
              <w:rPr>
                <w:sz w:val="16"/>
                <w:szCs w:val="16"/>
                <w:lang w:val="es-ES_tradnl" w:bidi="th-TH"/>
              </w:rPr>
              <w:t>OOJ</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Estadísticas de la ASEAN en el sistema de Madrid, Japón (</w:t>
            </w:r>
            <w:r w:rsidR="00BB5D51">
              <w:rPr>
                <w:sz w:val="16"/>
                <w:szCs w:val="16"/>
                <w:lang w:val="es-ES_tradnl" w:bidi="th-TH"/>
              </w:rPr>
              <w:t>OOJ</w:t>
            </w:r>
            <w:r w:rsidRPr="00C75C7E">
              <w:rPr>
                <w:sz w:val="16"/>
                <w:szCs w:val="16"/>
                <w:lang w:val="es-ES_tradnl" w:bidi="th-TH"/>
              </w:rPr>
              <w:t>).</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Por determinar (</w:t>
            </w:r>
            <w:r w:rsidR="00BB5D51">
              <w:rPr>
                <w:bCs/>
                <w:sz w:val="16"/>
                <w:szCs w:val="16"/>
                <w:lang w:val="es-ES_tradnl"/>
              </w:rPr>
              <w:t>OOS</w:t>
            </w:r>
            <w:r w:rsidRPr="00C75C7E">
              <w:rPr>
                <w:bCs/>
                <w:sz w:val="16"/>
                <w:szCs w:val="16"/>
                <w:lang w:val="es-ES_tradnl"/>
              </w:rPr>
              <w:t>).</w:t>
            </w:r>
          </w:p>
          <w:p w:rsidR="006F7F41" w:rsidRDefault="006F7F41" w:rsidP="008F4F69">
            <w:pPr>
              <w:keepNext/>
              <w:keepLines/>
              <w:tabs>
                <w:tab w:val="left" w:pos="1757"/>
              </w:tabs>
              <w:rPr>
                <w:bCs/>
                <w:sz w:val="16"/>
                <w:szCs w:val="16"/>
                <w:lang w:val="es-ES_tradnl"/>
              </w:rPr>
            </w:pPr>
          </w:p>
          <w:p w:rsidR="004E3B39" w:rsidRDefault="004E3B39" w:rsidP="008F4F69">
            <w:pPr>
              <w:keepNext/>
              <w:keepLines/>
              <w:tabs>
                <w:tab w:val="left" w:pos="1757"/>
              </w:tabs>
              <w:rPr>
                <w:bCs/>
                <w:sz w:val="16"/>
                <w:szCs w:val="16"/>
                <w:lang w:val="es-ES_tradnl"/>
              </w:rPr>
            </w:pPr>
          </w:p>
          <w:p w:rsidR="004E3B39" w:rsidRPr="00C75C7E" w:rsidRDefault="004E3B39"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Por determinar (</w:t>
            </w:r>
            <w:r w:rsidR="00BB5D51">
              <w:rPr>
                <w:bCs/>
                <w:sz w:val="16"/>
                <w:szCs w:val="16"/>
                <w:lang w:val="es-ES_tradnl"/>
              </w:rPr>
              <w:t>OOJ</w:t>
            </w:r>
            <w:r w:rsidRPr="00C75C7E">
              <w:rPr>
                <w:bCs/>
                <w:sz w:val="16"/>
                <w:szCs w:val="16"/>
                <w:lang w:val="es-ES_tradnl"/>
              </w:rPr>
              <w:t xml:space="preserve">). </w:t>
            </w:r>
          </w:p>
        </w:tc>
      </w:tr>
      <w:tr w:rsidR="006F7F41" w:rsidRPr="00C75C7E" w:rsidTr="008F4F69">
        <w:trPr>
          <w:cantSplit/>
          <w:trHeight w:val="1438"/>
        </w:trPr>
        <w:tc>
          <w:tcPr>
            <w:tcW w:w="1249"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II.8. Las controversias nacionales e internacionales en materia de P.I. se evitan o resuelven cada vez con más frecuencia mediante procedimientos de mediación, arbitraje y demás métodos de solución extrajudicial de controversias.</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Se considera cada vez más la posibilidad de utilizar servicios de solución extrajudicial de controversias en las transacciones sobre propiedad intelectual, entre otros medios, valiéndose de los procedimientos de la OMPI.</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Se tramitarán mediante WIPO MAC </w:t>
            </w:r>
            <w:r w:rsidRPr="00C75C7E">
              <w:rPr>
                <w:sz w:val="16"/>
                <w:szCs w:val="16"/>
                <w:lang w:val="es-ES_tradnl" w:bidi="th-TH"/>
              </w:rPr>
              <w:t>(</w:t>
            </w:r>
            <w:r w:rsidR="00BB5D51">
              <w:rPr>
                <w:sz w:val="16"/>
                <w:szCs w:val="16"/>
                <w:lang w:val="es-ES_tradnl" w:bidi="th-TH"/>
              </w:rPr>
              <w:t>OOB</w:t>
            </w:r>
            <w:r w:rsidRPr="00C75C7E">
              <w:rPr>
                <w:sz w:val="16"/>
                <w:szCs w:val="16"/>
                <w:lang w:val="es-ES_tradnl" w:bidi="th-TH"/>
              </w:rPr>
              <w:t xml:space="preserve">) </w:t>
            </w:r>
            <w:r w:rsidRPr="00C75C7E">
              <w:rPr>
                <w:bCs/>
                <w:sz w:val="16"/>
                <w:szCs w:val="16"/>
                <w:lang w:val="es-ES_tradnl"/>
              </w:rPr>
              <w:t xml:space="preserve">30 </w:t>
            </w:r>
            <w:r w:rsidR="004E3B39">
              <w:rPr>
                <w:bCs/>
                <w:sz w:val="16"/>
                <w:szCs w:val="16"/>
                <w:lang w:val="es-ES_tradnl"/>
              </w:rPr>
              <w:t>controversias</w:t>
            </w:r>
            <w:r w:rsidRPr="00C75C7E">
              <w:rPr>
                <w:bCs/>
                <w:sz w:val="16"/>
                <w:szCs w:val="16"/>
                <w:lang w:val="es-ES_tradnl"/>
              </w:rPr>
              <w:t xml:space="preserve"> presentadas por usuarios brasileños en el INPI y 4  presentadas por no residentes en la </w:t>
            </w:r>
            <w:r w:rsidR="00BB5D51">
              <w:rPr>
                <w:bCs/>
                <w:sz w:val="16"/>
                <w:szCs w:val="16"/>
                <w:lang w:val="es-ES_tradnl"/>
              </w:rPr>
              <w:t>OOB</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p>
        </w:tc>
      </w:tr>
      <w:tr w:rsidR="006F7F41" w:rsidRPr="00C75C7E" w:rsidTr="008F4F69">
        <w:trPr>
          <w:cantSplit/>
          <w:trHeight w:val="1682"/>
        </w:trPr>
        <w:tc>
          <w:tcPr>
            <w:tcW w:w="1249"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III.2 Mejora de las capacidades en el ámbito de los recursos humanos para hacer frente al amplio espectro de exigencias que supone la utilización eficaz de la P.I. en aras del desarrollo en los países en desarrollo, PMA y países con economías en transición.</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encargados de la adopción de políticas, funcionarios gubernamentales, profesionales de la P.I. y participantes en talleres con un mayor conocimiento de los OGC y la manera de usar eficazmente la P.I. al servicio del desarrollo.</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OOJ</w:t>
            </w:r>
            <w:r w:rsidR="006F7F41" w:rsidRPr="00C75C7E">
              <w:rPr>
                <w:sz w:val="16"/>
                <w:szCs w:val="16"/>
                <w:lang w:val="es-ES_tradnl" w:bidi="th-TH"/>
              </w:rPr>
              <w:t>).</w:t>
            </w:r>
          </w:p>
          <w:p w:rsidR="006F7F41" w:rsidRPr="00C75C7E" w:rsidRDefault="006F7F41" w:rsidP="008F4F69">
            <w:pPr>
              <w:rPr>
                <w:sz w:val="16"/>
                <w:szCs w:val="16"/>
                <w:lang w:val="es-ES_tradnl" w:bidi="th-TH"/>
              </w:rPr>
            </w:pPr>
            <w:r w:rsidRPr="00C75C7E">
              <w:rPr>
                <w:sz w:val="16"/>
                <w:szCs w:val="16"/>
                <w:lang w:val="es-ES_tradnl" w:bidi="th-TH"/>
              </w:rPr>
              <w:t xml:space="preserve"> </w:t>
            </w:r>
          </w:p>
          <w:p w:rsidR="006F7F41" w:rsidRPr="00C75C7E" w:rsidRDefault="006F7F41" w:rsidP="008F4F69">
            <w:pPr>
              <w:rPr>
                <w:sz w:val="16"/>
                <w:szCs w:val="16"/>
                <w:lang w:val="es-ES_tradnl" w:bidi="th-TH"/>
              </w:rPr>
            </w:pPr>
            <w:r w:rsidRPr="00C75C7E">
              <w:rPr>
                <w:sz w:val="16"/>
                <w:szCs w:val="16"/>
                <w:lang w:val="es-ES_tradnl" w:bidi="th-TH"/>
              </w:rPr>
              <w:t>60% (</w:t>
            </w:r>
            <w:r w:rsidR="00BB5D51">
              <w:rPr>
                <w:sz w:val="16"/>
                <w:szCs w:val="16"/>
                <w:lang w:val="es-ES_tradnl" w:bidi="th-TH"/>
              </w:rPr>
              <w:t>OOS</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75% (</w:t>
            </w:r>
            <w:r w:rsidR="00BB5D51">
              <w:rPr>
                <w:bCs/>
                <w:sz w:val="16"/>
                <w:szCs w:val="16"/>
                <w:lang w:val="es-ES_tradnl"/>
              </w:rPr>
              <w:t>OOB</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75% (</w:t>
            </w:r>
            <w:r w:rsidR="00BB5D51">
              <w:rPr>
                <w:bCs/>
                <w:sz w:val="16"/>
                <w:szCs w:val="16"/>
                <w:lang w:val="es-ES_tradnl"/>
              </w:rPr>
              <w:t>OOJ</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70%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1137"/>
        </w:trPr>
        <w:tc>
          <w:tcPr>
            <w:tcW w:w="1249"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IV.2. Mejora del acceso y uso de información y conocimientos de P.I. por parte de instituciones de P.I. y el público para fomentar la innovación y la creatividad.</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Número de usuarios de las bases de datos mundiales de la OMPI:</w:t>
            </w:r>
          </w:p>
          <w:p w:rsidR="006F7F41" w:rsidRPr="00C75C7E" w:rsidRDefault="006F7F41" w:rsidP="008F4F69">
            <w:pPr>
              <w:rPr>
                <w:sz w:val="16"/>
                <w:szCs w:val="16"/>
                <w:lang w:val="es-ES_tradnl"/>
              </w:rPr>
            </w:pPr>
            <w:r w:rsidRPr="00C75C7E">
              <w:rPr>
                <w:sz w:val="16"/>
                <w:szCs w:val="16"/>
                <w:lang w:val="es-ES_tradnl"/>
              </w:rPr>
              <w:t>PATENTSCOPE y Base Mundial de Datos sobre Marcas.</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Estadísticas al final de 2013 (</w:t>
            </w:r>
            <w:r w:rsidR="00BB5D51">
              <w:rPr>
                <w:sz w:val="16"/>
                <w:szCs w:val="16"/>
                <w:lang w:val="es-ES_tradnl" w:bidi="th-TH"/>
              </w:rPr>
              <w:t>OOB</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Estadísticas al final de 2013 (</w:t>
            </w:r>
            <w:r w:rsidR="00BB5D51">
              <w:rPr>
                <w:sz w:val="16"/>
                <w:szCs w:val="16"/>
                <w:lang w:val="es-ES_tradnl" w:bidi="th-TH"/>
              </w:rPr>
              <w:t>OOJ</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Por determinar (</w:t>
            </w:r>
            <w:r w:rsidR="00BB5D51">
              <w:rPr>
                <w:sz w:val="16"/>
                <w:szCs w:val="16"/>
                <w:lang w:val="es-ES_tradnl" w:bidi="th-TH"/>
              </w:rPr>
              <w:t>OOS</w:t>
            </w:r>
            <w:r w:rsidRPr="00C75C7E">
              <w:rPr>
                <w:sz w:val="16"/>
                <w:szCs w:val="16"/>
                <w:lang w:val="es-ES_tradnl" w:bidi="th-TH"/>
              </w:rPr>
              <w:t>).</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5% (</w:t>
            </w:r>
            <w:r w:rsidR="00BB5D51">
              <w:rPr>
                <w:bCs/>
                <w:sz w:val="16"/>
                <w:szCs w:val="16"/>
                <w:lang w:val="es-ES_tradnl"/>
              </w:rPr>
              <w:t>OOB</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Aumento del 5% </w:t>
            </w:r>
            <w:r w:rsidRPr="00C75C7E">
              <w:rPr>
                <w:sz w:val="16"/>
                <w:szCs w:val="16"/>
                <w:lang w:val="es-ES_tradnl" w:bidi="th-TH"/>
              </w:rPr>
              <w:t>(</w:t>
            </w:r>
            <w:r w:rsidR="00BB5D51">
              <w:rPr>
                <w:sz w:val="16"/>
                <w:szCs w:val="16"/>
                <w:lang w:val="es-ES_tradnl" w:bidi="th-TH"/>
              </w:rPr>
              <w:t>OOJ</w:t>
            </w:r>
            <w:r w:rsidRPr="00C75C7E">
              <w:rPr>
                <w:sz w:val="16"/>
                <w:szCs w:val="16"/>
                <w:lang w:val="es-ES_tradnl" w:bidi="th-TH"/>
              </w:rPr>
              <w:t>).</w:t>
            </w:r>
          </w:p>
          <w:p w:rsidR="006F7F41" w:rsidRDefault="006F7F41" w:rsidP="008F4F69">
            <w:pPr>
              <w:keepNext/>
              <w:keepLines/>
              <w:tabs>
                <w:tab w:val="left" w:pos="1757"/>
              </w:tabs>
              <w:rPr>
                <w:bCs/>
                <w:sz w:val="16"/>
                <w:szCs w:val="16"/>
                <w:lang w:val="es-ES_tradnl"/>
              </w:rPr>
            </w:pPr>
          </w:p>
          <w:p w:rsidR="004E3B39" w:rsidRPr="00C75C7E" w:rsidRDefault="004E3B39"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Aumento del 5% en los usuarios de la ASEAN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1315"/>
        </w:trPr>
        <w:tc>
          <w:tcPr>
            <w:tcW w:w="1249" w:type="pct"/>
            <w:shd w:val="clear" w:color="auto" w:fill="auto"/>
            <w:tcMar>
              <w:top w:w="113" w:type="dxa"/>
            </w:tcMar>
          </w:tcPr>
          <w:p w:rsidR="006F7F41" w:rsidRPr="00C75C7E" w:rsidRDefault="006F7F41" w:rsidP="00F50540">
            <w:pPr>
              <w:rPr>
                <w:sz w:val="16"/>
                <w:szCs w:val="16"/>
                <w:lang w:val="es-ES_tradnl"/>
              </w:rPr>
            </w:pPr>
            <w:r w:rsidRPr="00C75C7E">
              <w:rPr>
                <w:sz w:val="16"/>
                <w:szCs w:val="16"/>
                <w:lang w:val="es-ES_tradnl"/>
              </w:rPr>
              <w:t>VII.</w:t>
            </w:r>
            <w:r w:rsidR="00F50540">
              <w:rPr>
                <w:sz w:val="16"/>
                <w:szCs w:val="16"/>
                <w:lang w:val="es-ES_tradnl"/>
              </w:rPr>
              <w:t xml:space="preserve">2 </w:t>
            </w:r>
            <w:r w:rsidRPr="00C75C7E">
              <w:rPr>
                <w:sz w:val="16"/>
                <w:szCs w:val="16"/>
                <w:lang w:val="es-ES_tradnl"/>
              </w:rPr>
              <w:t xml:space="preserve"> </w:t>
            </w:r>
            <w:r w:rsidR="00F50540" w:rsidRPr="00F50540">
              <w:rPr>
                <w:sz w:val="16"/>
                <w:szCs w:val="16"/>
                <w:lang w:val="es-ES_tradnl"/>
              </w:rPr>
              <w:t xml:space="preserve">Plataformas y </w:t>
            </w:r>
            <w:proofErr w:type="spellStart"/>
            <w:r w:rsidR="00F50540" w:rsidRPr="00F50540">
              <w:rPr>
                <w:sz w:val="16"/>
                <w:szCs w:val="16"/>
                <w:lang w:val="es-ES_tradnl"/>
              </w:rPr>
              <w:t>herra</w:t>
            </w:r>
            <w:proofErr w:type="spellEnd"/>
            <w:r w:rsidR="00F50540">
              <w:rPr>
                <w:sz w:val="16"/>
                <w:szCs w:val="16"/>
                <w:lang w:val="es-ES_tradnl"/>
              </w:rPr>
              <w:t>-</w:t>
            </w:r>
            <w:r w:rsidR="00F50540" w:rsidRPr="00F50540">
              <w:rPr>
                <w:sz w:val="16"/>
                <w:szCs w:val="16"/>
                <w:lang w:val="es-ES_tradnl"/>
              </w:rPr>
              <w:t>mientas de P.I. utilizadas para la transferencia de conocimiento y la difusión y adaptación de tecnología de los países desarrollados en los países en desarrollo, en particular en los menos adelantados, con el fin de atender los desafíos mundiales</w:t>
            </w:r>
            <w:r w:rsidRPr="00C75C7E">
              <w:rPr>
                <w:sz w:val="16"/>
                <w:szCs w:val="16"/>
                <w:lang w:val="es-ES_tradnl"/>
              </w:rPr>
              <w:t>.</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 xml:space="preserve">Participación de las partes interesadas en plataformas de la OMPI como WIPO GREEN y WIPO </w:t>
            </w:r>
            <w:proofErr w:type="spellStart"/>
            <w:r w:rsidRPr="00C75C7E">
              <w:rPr>
                <w:sz w:val="16"/>
                <w:szCs w:val="16"/>
                <w:lang w:val="es-ES_tradnl"/>
              </w:rPr>
              <w:t>Re</w:t>
            </w:r>
            <w:proofErr w:type="gramStart"/>
            <w:r w:rsidRPr="00C75C7E">
              <w:rPr>
                <w:sz w:val="16"/>
                <w:szCs w:val="16"/>
                <w:lang w:val="es-ES_tradnl"/>
              </w:rPr>
              <w:t>:Search</w:t>
            </w:r>
            <w:proofErr w:type="spellEnd"/>
            <w:proofErr w:type="gramEnd"/>
            <w:r w:rsidRPr="00C75C7E">
              <w:rPr>
                <w:sz w:val="16"/>
                <w:szCs w:val="16"/>
                <w:lang w:val="es-ES_tradnl"/>
              </w:rPr>
              <w:t>.</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OOJ</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Por determinar (</w:t>
            </w:r>
            <w:r w:rsidR="00BB5D51">
              <w:rPr>
                <w:sz w:val="16"/>
                <w:szCs w:val="16"/>
                <w:lang w:val="es-ES_tradnl" w:bidi="th-TH"/>
              </w:rPr>
              <w:t>OOS</w:t>
            </w:r>
            <w:r w:rsidRPr="00C75C7E">
              <w:rPr>
                <w:sz w:val="16"/>
                <w:szCs w:val="16"/>
                <w:lang w:val="es-ES_tradnl" w:bidi="th-TH"/>
              </w:rPr>
              <w:t>).</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30 tecnologías desarrolladas por instituciones y empresas brasileñas en WIPO GREEN </w:t>
            </w:r>
            <w:r w:rsidRPr="00C75C7E">
              <w:rPr>
                <w:sz w:val="16"/>
                <w:szCs w:val="16"/>
                <w:lang w:val="es-ES_tradnl" w:bidi="th-TH"/>
              </w:rPr>
              <w:t>(</w:t>
            </w:r>
            <w:r w:rsidR="00BB5D51">
              <w:rPr>
                <w:sz w:val="16"/>
                <w:szCs w:val="16"/>
                <w:lang w:val="es-ES_tradnl" w:bidi="th-TH"/>
              </w:rPr>
              <w:t>OOB</w:t>
            </w:r>
            <w:r w:rsidRPr="00C75C7E">
              <w:rPr>
                <w:sz w:val="16"/>
                <w:szCs w:val="16"/>
                <w:lang w:val="es-ES_tradnl" w:bidi="th-TH"/>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Nuevos casos en WIPO GREEN o nueva participación en WIPO </w:t>
            </w:r>
            <w:proofErr w:type="spellStart"/>
            <w:r w:rsidRPr="00C75C7E">
              <w:rPr>
                <w:bCs/>
                <w:sz w:val="16"/>
                <w:szCs w:val="16"/>
                <w:lang w:val="es-ES_tradnl"/>
              </w:rPr>
              <w:t>Re</w:t>
            </w:r>
            <w:proofErr w:type="gramStart"/>
            <w:r w:rsidRPr="00C75C7E">
              <w:rPr>
                <w:bCs/>
                <w:sz w:val="16"/>
                <w:szCs w:val="16"/>
                <w:lang w:val="es-ES_tradnl"/>
              </w:rPr>
              <w:t>:Search</w:t>
            </w:r>
            <w:proofErr w:type="spellEnd"/>
            <w:proofErr w:type="gramEnd"/>
            <w:r w:rsidRPr="00C75C7E">
              <w:rPr>
                <w:bCs/>
                <w:sz w:val="16"/>
                <w:szCs w:val="16"/>
                <w:lang w:val="es-ES_tradnl"/>
              </w:rPr>
              <w:t xml:space="preserve"> (</w:t>
            </w:r>
            <w:r w:rsidR="00BB5D51">
              <w:rPr>
                <w:bCs/>
                <w:sz w:val="16"/>
                <w:szCs w:val="16"/>
                <w:lang w:val="es-ES_tradnl"/>
              </w:rPr>
              <w:t>OOJ</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Aumento del 5% en los usuarios de la ASEAN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1560"/>
        </w:trPr>
        <w:tc>
          <w:tcPr>
            <w:tcW w:w="1249"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lastRenderedPageBreak/>
              <w:t>VIII.1. Comunicación más eficaz con el público en general acerca de la P.I. y la función de la OMPI.</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 xml:space="preserve">Aumento del tráfico en el sitio web de las Oficinas de la OMPI en el exterior. </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Por determinar (</w:t>
            </w:r>
            <w:r w:rsidR="00BB5D51">
              <w:rPr>
                <w:sz w:val="16"/>
                <w:szCs w:val="16"/>
                <w:lang w:val="es-ES_tradnl" w:bidi="th-TH"/>
              </w:rPr>
              <w:t>OOB</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Por determinar (</w:t>
            </w:r>
            <w:r w:rsidR="00BB5D51">
              <w:rPr>
                <w:sz w:val="16"/>
                <w:szCs w:val="16"/>
                <w:lang w:val="es-ES_tradnl" w:bidi="th-TH"/>
              </w:rPr>
              <w:t>OOJ</w:t>
            </w:r>
            <w:r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r w:rsidRPr="00C75C7E">
              <w:rPr>
                <w:sz w:val="16"/>
                <w:szCs w:val="16"/>
                <w:lang w:val="es-ES_tradnl" w:bidi="th-TH"/>
              </w:rPr>
              <w:t>Por determinar (</w:t>
            </w:r>
            <w:r w:rsidR="00BB5D51">
              <w:rPr>
                <w:sz w:val="16"/>
                <w:szCs w:val="16"/>
                <w:lang w:val="es-ES_tradnl" w:bidi="th-TH"/>
              </w:rPr>
              <w:t>OOS</w:t>
            </w:r>
            <w:r w:rsidRPr="00C75C7E">
              <w:rPr>
                <w:sz w:val="16"/>
                <w:szCs w:val="16"/>
                <w:lang w:val="es-ES_tradnl" w:bidi="th-TH"/>
              </w:rPr>
              <w:t>).</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Aumento del 5% en el tráfico del Brasil </w:t>
            </w:r>
            <w:r w:rsidRPr="00C75C7E">
              <w:rPr>
                <w:sz w:val="16"/>
                <w:szCs w:val="16"/>
                <w:lang w:val="es-ES_tradnl" w:bidi="th-TH"/>
              </w:rPr>
              <w:t>(</w:t>
            </w:r>
            <w:r w:rsidR="00BB5D51">
              <w:rPr>
                <w:sz w:val="16"/>
                <w:szCs w:val="16"/>
                <w:lang w:val="es-ES_tradnl" w:bidi="th-TH"/>
              </w:rPr>
              <w:t>OOB</w:t>
            </w:r>
            <w:r w:rsidRPr="00C75C7E">
              <w:rPr>
                <w:sz w:val="16"/>
                <w:szCs w:val="16"/>
                <w:lang w:val="es-ES_tradnl" w:bidi="th-TH"/>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tabs>
                <w:tab w:val="left" w:pos="1757"/>
              </w:tabs>
              <w:rPr>
                <w:sz w:val="16"/>
                <w:szCs w:val="16"/>
                <w:lang w:val="es-ES_tradnl" w:bidi="th-TH"/>
              </w:rPr>
            </w:pPr>
            <w:r w:rsidRPr="00C75C7E">
              <w:rPr>
                <w:sz w:val="16"/>
                <w:szCs w:val="16"/>
                <w:lang w:val="es-ES_tradnl" w:bidi="th-TH"/>
              </w:rPr>
              <w:t>5% (</w:t>
            </w:r>
            <w:r w:rsidR="00BB5D51">
              <w:rPr>
                <w:sz w:val="16"/>
                <w:szCs w:val="16"/>
                <w:lang w:val="es-ES_tradnl" w:bidi="th-TH"/>
              </w:rPr>
              <w:t>OOJ</w:t>
            </w:r>
            <w:r w:rsidRPr="00C75C7E">
              <w:rPr>
                <w:sz w:val="16"/>
                <w:szCs w:val="16"/>
                <w:lang w:val="es-ES_tradnl" w:bidi="th-TH"/>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Aumento del 5% en el tráfico de la región de la ASEAN </w:t>
            </w:r>
            <w:r w:rsidRPr="00C75C7E">
              <w:rPr>
                <w:sz w:val="16"/>
                <w:szCs w:val="16"/>
                <w:lang w:val="es-ES_tradnl" w:bidi="th-TH"/>
              </w:rPr>
              <w:t>(</w:t>
            </w:r>
            <w:r w:rsidR="00BB5D51">
              <w:rPr>
                <w:sz w:val="16"/>
                <w:szCs w:val="16"/>
                <w:lang w:val="es-ES_tradnl" w:bidi="th-TH"/>
              </w:rPr>
              <w:t>OOS</w:t>
            </w:r>
            <w:r w:rsidRPr="00C75C7E">
              <w:rPr>
                <w:sz w:val="16"/>
                <w:szCs w:val="16"/>
                <w:lang w:val="es-ES_tradnl" w:bidi="th-TH"/>
              </w:rPr>
              <w:t>).</w:t>
            </w:r>
          </w:p>
        </w:tc>
      </w:tr>
      <w:tr w:rsidR="006F7F41" w:rsidRPr="00C75C7E" w:rsidTr="008F4F69">
        <w:trPr>
          <w:cantSplit/>
          <w:trHeight w:val="1315"/>
        </w:trPr>
        <w:tc>
          <w:tcPr>
            <w:tcW w:w="1249" w:type="pct"/>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Porcentaje de opiniones favorables de las partes interesadas sobre la misión, las actividades y la imagen institucional de la OMPI.</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OOJ</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OOS</w:t>
            </w:r>
            <w:r w:rsidR="006F7F41" w:rsidRPr="00C75C7E">
              <w:rPr>
                <w:sz w:val="16"/>
                <w:szCs w:val="16"/>
                <w:lang w:val="es-ES_tradnl" w:bidi="th-TH"/>
              </w:rPr>
              <w:t>).</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75% (</w:t>
            </w:r>
            <w:r w:rsidR="00BB5D51">
              <w:rPr>
                <w:bCs/>
                <w:sz w:val="16"/>
                <w:szCs w:val="16"/>
                <w:lang w:val="es-ES_tradnl"/>
              </w:rPr>
              <w:t>OOB</w:t>
            </w:r>
            <w:r w:rsidRPr="00C75C7E">
              <w:rPr>
                <w:bCs/>
                <w:sz w:val="16"/>
                <w:szCs w:val="16"/>
                <w:lang w:val="es-ES_tradnl"/>
              </w:rPr>
              <w:t xml:space="preserve">). </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tabs>
                <w:tab w:val="left" w:pos="1757"/>
              </w:tabs>
              <w:rPr>
                <w:sz w:val="16"/>
                <w:szCs w:val="16"/>
                <w:lang w:val="es-ES_tradnl" w:bidi="th-TH"/>
              </w:rPr>
            </w:pPr>
            <w:r w:rsidRPr="00C75C7E">
              <w:rPr>
                <w:sz w:val="16"/>
                <w:szCs w:val="16"/>
                <w:lang w:val="es-ES_tradnl" w:bidi="th-TH"/>
              </w:rPr>
              <w:t>75% (</w:t>
            </w:r>
            <w:r w:rsidR="00BB5D51">
              <w:rPr>
                <w:sz w:val="16"/>
                <w:szCs w:val="16"/>
                <w:lang w:val="es-ES_tradnl" w:bidi="th-TH"/>
              </w:rPr>
              <w:t>OOJ</w:t>
            </w:r>
            <w:r w:rsidRPr="00C75C7E">
              <w:rPr>
                <w:sz w:val="16"/>
                <w:szCs w:val="16"/>
                <w:lang w:val="es-ES_tradnl" w:bidi="th-TH"/>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&gt; 70% de participantes en principales actividades de la OMPI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1315"/>
        </w:trPr>
        <w:tc>
          <w:tcPr>
            <w:tcW w:w="1249"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VIII.2. Mejora en la prestación de servicios y la atención de consultas.</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Índice de satisfacción de los clientes/partes interesadas.</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OOJ</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OOS</w:t>
            </w:r>
            <w:r w:rsidR="006F7F41" w:rsidRPr="00C75C7E">
              <w:rPr>
                <w:sz w:val="16"/>
                <w:szCs w:val="16"/>
                <w:lang w:val="es-ES_tradnl" w:bidi="th-TH"/>
              </w:rPr>
              <w:t>).</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Por determinar (</w:t>
            </w:r>
            <w:r w:rsidR="00BB5D51">
              <w:rPr>
                <w:bCs/>
                <w:sz w:val="16"/>
                <w:szCs w:val="16"/>
                <w:lang w:val="es-ES_tradnl"/>
              </w:rPr>
              <w:t>OOB</w:t>
            </w:r>
            <w:r w:rsidRPr="00C75C7E">
              <w:rPr>
                <w:bCs/>
                <w:sz w:val="16"/>
                <w:szCs w:val="16"/>
                <w:lang w:val="es-ES_tradnl"/>
              </w:rPr>
              <w:t xml:space="preserve">). </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Por determinar (</w:t>
            </w:r>
            <w:r w:rsidR="00BB5D51">
              <w:rPr>
                <w:bCs/>
                <w:sz w:val="16"/>
                <w:szCs w:val="16"/>
                <w:lang w:val="es-ES_tradnl"/>
              </w:rPr>
              <w:t>OOJ</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&gt; 90% de personas que llaman están satisfechas con el servicio que proporciona la </w:t>
            </w:r>
            <w:r w:rsidR="00BB5D51">
              <w:rPr>
                <w:bCs/>
                <w:sz w:val="16"/>
                <w:szCs w:val="16"/>
                <w:lang w:val="es-ES_tradnl"/>
              </w:rPr>
              <w:t>OOS</w:t>
            </w:r>
            <w:r w:rsidRPr="00C75C7E">
              <w:rPr>
                <w:bCs/>
                <w:sz w:val="16"/>
                <w:szCs w:val="16"/>
                <w:lang w:val="es-ES_tradnl"/>
              </w:rPr>
              <w:t xml:space="preserve">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1315"/>
        </w:trPr>
        <w:tc>
          <w:tcPr>
            <w:tcW w:w="1249" w:type="pct"/>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Duración de la tramitación de las peticiones de información.</w:t>
            </w:r>
          </w:p>
        </w:tc>
        <w:tc>
          <w:tcPr>
            <w:tcW w:w="1156" w:type="pct"/>
            <w:shd w:val="clear" w:color="auto" w:fill="FFFFFF"/>
            <w:tcMar>
              <w:top w:w="113" w:type="dxa"/>
            </w:tcMar>
          </w:tcPr>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OOB</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OOJ</w:t>
            </w:r>
            <w:r w:rsidR="006F7F41" w:rsidRPr="00C75C7E">
              <w:rPr>
                <w:sz w:val="16"/>
                <w:szCs w:val="16"/>
                <w:lang w:val="es-ES_tradnl" w:bidi="th-TH"/>
              </w:rPr>
              <w:t>).</w:t>
            </w:r>
          </w:p>
          <w:p w:rsidR="006F7F41" w:rsidRPr="00C75C7E" w:rsidRDefault="006F7F41" w:rsidP="008F4F69">
            <w:pPr>
              <w:rPr>
                <w:sz w:val="16"/>
                <w:szCs w:val="16"/>
                <w:lang w:val="es-ES_tradnl" w:bidi="th-TH"/>
              </w:rPr>
            </w:pPr>
          </w:p>
          <w:p w:rsidR="006F7F41"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r w:rsidR="006F7F41" w:rsidRPr="00C75C7E">
              <w:rPr>
                <w:sz w:val="16"/>
                <w:szCs w:val="16"/>
                <w:lang w:val="es-ES_tradnl" w:bidi="th-TH"/>
              </w:rPr>
              <w:t xml:space="preserve"> (</w:t>
            </w:r>
            <w:r w:rsidR="00BB5D51">
              <w:rPr>
                <w:sz w:val="16"/>
                <w:szCs w:val="16"/>
                <w:lang w:val="es-ES_tradnl" w:bidi="th-TH"/>
              </w:rPr>
              <w:t>OOS</w:t>
            </w:r>
            <w:r w:rsidR="006F7F41" w:rsidRPr="00C75C7E">
              <w:rPr>
                <w:sz w:val="16"/>
                <w:szCs w:val="16"/>
                <w:lang w:val="es-ES_tradnl" w:bidi="th-TH"/>
              </w:rPr>
              <w:t>).</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Por determinar (</w:t>
            </w:r>
            <w:r w:rsidR="00BB5D51">
              <w:rPr>
                <w:bCs/>
                <w:sz w:val="16"/>
                <w:szCs w:val="16"/>
                <w:lang w:val="es-ES_tradnl"/>
              </w:rPr>
              <w:t>OOB</w:t>
            </w:r>
            <w:r w:rsidRPr="00C75C7E">
              <w:rPr>
                <w:bCs/>
                <w:sz w:val="16"/>
                <w:szCs w:val="16"/>
                <w:lang w:val="es-ES_tradnl"/>
              </w:rPr>
              <w:t xml:space="preserve">). </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Por determinar (</w:t>
            </w:r>
            <w:r w:rsidR="00BB5D51">
              <w:rPr>
                <w:bCs/>
                <w:sz w:val="16"/>
                <w:szCs w:val="16"/>
                <w:lang w:val="es-ES_tradnl"/>
              </w:rPr>
              <w:t>OOJ</w:t>
            </w:r>
            <w:r w:rsidRPr="00C75C7E">
              <w:rPr>
                <w:bCs/>
                <w:sz w:val="16"/>
                <w:szCs w:val="16"/>
                <w:lang w:val="es-ES_tradnl"/>
              </w:rPr>
              <w:t>).</w:t>
            </w:r>
          </w:p>
          <w:p w:rsidR="006F7F41" w:rsidRPr="00C75C7E" w:rsidRDefault="006F7F41" w:rsidP="008F4F69">
            <w:pPr>
              <w:keepNext/>
              <w:keepLines/>
              <w:tabs>
                <w:tab w:val="left" w:pos="1757"/>
              </w:tabs>
              <w:rPr>
                <w:bCs/>
                <w:sz w:val="16"/>
                <w:szCs w:val="16"/>
                <w:lang w:val="es-ES_tradnl"/>
              </w:rPr>
            </w:pPr>
          </w:p>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En </w:t>
            </w:r>
            <w:r w:rsidR="00AB0A03">
              <w:rPr>
                <w:bCs/>
                <w:sz w:val="16"/>
                <w:szCs w:val="16"/>
                <w:lang w:val="es-ES_tradnl"/>
              </w:rPr>
              <w:t xml:space="preserve">el </w:t>
            </w:r>
            <w:r w:rsidRPr="00C75C7E">
              <w:rPr>
                <w:bCs/>
                <w:sz w:val="16"/>
                <w:szCs w:val="16"/>
                <w:lang w:val="es-ES_tradnl"/>
              </w:rPr>
              <w:t>95% de los casos se responde en un plazo de tres días laborables (</w:t>
            </w:r>
            <w:r w:rsidR="00BB5D51">
              <w:rPr>
                <w:bCs/>
                <w:sz w:val="16"/>
                <w:szCs w:val="16"/>
                <w:lang w:val="es-ES_tradnl"/>
              </w:rPr>
              <w:t>OOS</w:t>
            </w:r>
            <w:r w:rsidRPr="00C75C7E">
              <w:rPr>
                <w:bCs/>
                <w:sz w:val="16"/>
                <w:szCs w:val="16"/>
                <w:lang w:val="es-ES_tradnl"/>
              </w:rPr>
              <w:t>).</w:t>
            </w:r>
          </w:p>
        </w:tc>
      </w:tr>
      <w:tr w:rsidR="006F7F41" w:rsidRPr="00C75C7E" w:rsidTr="008F4F69">
        <w:trPr>
          <w:cantSplit/>
          <w:trHeight w:val="784"/>
        </w:trPr>
        <w:tc>
          <w:tcPr>
            <w:tcW w:w="1249"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VIII.4. Intercambios abiertos, transparentes y dinámicos con las partes interesadas no gubernamentales.</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Participación  eficaz y en mayor grado de las partes interesadas no gubernamentales en las actividades de la OMPI y viceversa.</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 xml:space="preserve">Por determinar.  </w:t>
            </w: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Aumento del 10% en la participación de diversas partes interesadas.</w:t>
            </w:r>
          </w:p>
        </w:tc>
      </w:tr>
      <w:tr w:rsidR="006F7F41" w:rsidRPr="00C75C7E" w:rsidTr="008F4F69">
        <w:trPr>
          <w:cantSplit/>
          <w:trHeight w:val="814"/>
        </w:trPr>
        <w:tc>
          <w:tcPr>
            <w:tcW w:w="1249"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VIII.5. La OMPI participa y colabora eficazmente en los procesos y negociaciones de las NN.UU. y otras OIG.</w:t>
            </w:r>
          </w:p>
        </w:tc>
        <w:tc>
          <w:tcPr>
            <w:tcW w:w="1514" w:type="pct"/>
            <w:shd w:val="clear" w:color="auto" w:fill="auto"/>
            <w:tcMar>
              <w:top w:w="113" w:type="dxa"/>
            </w:tcMar>
          </w:tcPr>
          <w:p w:rsidR="006F7F41" w:rsidRPr="00C75C7E" w:rsidRDefault="006F7F41" w:rsidP="008F4F69">
            <w:pPr>
              <w:rPr>
                <w:sz w:val="16"/>
                <w:szCs w:val="16"/>
                <w:lang w:val="es-ES_tradnl"/>
              </w:rPr>
            </w:pPr>
            <w:r w:rsidRPr="00C75C7E">
              <w:rPr>
                <w:sz w:val="16"/>
                <w:szCs w:val="16"/>
                <w:lang w:val="es-ES_tradnl"/>
              </w:rPr>
              <w:t>Utilización de las aportaciones de la OMPI en informes, resoluciones y documentos de procesos de las partes interesadas.</w:t>
            </w:r>
          </w:p>
        </w:tc>
        <w:tc>
          <w:tcPr>
            <w:tcW w:w="1156" w:type="pct"/>
            <w:shd w:val="clear" w:color="auto" w:fill="FFFFFF"/>
            <w:tcMar>
              <w:top w:w="113" w:type="dxa"/>
            </w:tcMar>
          </w:tcPr>
          <w:p w:rsidR="006F7F41" w:rsidRPr="00C75C7E" w:rsidRDefault="006F7F41" w:rsidP="008F4F69">
            <w:pPr>
              <w:rPr>
                <w:sz w:val="16"/>
                <w:szCs w:val="16"/>
                <w:lang w:val="es-ES_tradnl" w:bidi="th-TH"/>
              </w:rPr>
            </w:pPr>
            <w:r w:rsidRPr="00C75C7E">
              <w:rPr>
                <w:sz w:val="16"/>
                <w:szCs w:val="16"/>
                <w:lang w:val="es-ES_tradnl" w:bidi="th-TH"/>
              </w:rPr>
              <w:t xml:space="preserve">20 de 24 (al final de 2011). </w:t>
            </w:r>
          </w:p>
          <w:p w:rsidR="006F7F41" w:rsidRPr="00C75C7E" w:rsidRDefault="006F7F41" w:rsidP="008F4F69">
            <w:pPr>
              <w:rPr>
                <w:sz w:val="16"/>
                <w:szCs w:val="16"/>
                <w:lang w:val="es-ES_tradnl" w:bidi="th-TH"/>
              </w:rPr>
            </w:pPr>
          </w:p>
          <w:p w:rsidR="006F7F41" w:rsidRPr="00C75C7E" w:rsidRDefault="006F7F41" w:rsidP="008F4F69">
            <w:pPr>
              <w:rPr>
                <w:sz w:val="16"/>
                <w:szCs w:val="16"/>
                <w:lang w:val="es-ES_tradnl" w:bidi="th-TH"/>
              </w:rPr>
            </w:pP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 xml:space="preserve">Uso al 100% </w:t>
            </w:r>
          </w:p>
        </w:tc>
      </w:tr>
      <w:tr w:rsidR="006F7F41" w:rsidRPr="00C75C7E" w:rsidTr="008F4F69">
        <w:trPr>
          <w:cantSplit/>
          <w:trHeight w:val="609"/>
        </w:trPr>
        <w:tc>
          <w:tcPr>
            <w:tcW w:w="1249" w:type="pct"/>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E32C2C" w:rsidRDefault="006F7F41" w:rsidP="008F4F69">
            <w:pPr>
              <w:rPr>
                <w:sz w:val="16"/>
                <w:szCs w:val="16"/>
                <w:lang w:val="es-ES_tradnl"/>
              </w:rPr>
            </w:pPr>
            <w:r w:rsidRPr="00E32C2C">
              <w:rPr>
                <w:sz w:val="16"/>
                <w:szCs w:val="16"/>
                <w:lang w:val="es-ES_tradnl"/>
              </w:rPr>
              <w:t>Porcentaje de respuestas cursadas puntualmente atendiendo a peticiones externas de aportación por parte de las NN.UU., OIG, etc.</w:t>
            </w:r>
          </w:p>
        </w:tc>
        <w:tc>
          <w:tcPr>
            <w:tcW w:w="1156" w:type="pct"/>
            <w:shd w:val="clear" w:color="auto" w:fill="FFFFFF"/>
            <w:tcMar>
              <w:top w:w="113" w:type="dxa"/>
            </w:tcMar>
          </w:tcPr>
          <w:p w:rsidR="006F7F41" w:rsidRPr="00E32C2C" w:rsidRDefault="006F7F41" w:rsidP="008F4F69">
            <w:pPr>
              <w:rPr>
                <w:sz w:val="16"/>
                <w:szCs w:val="16"/>
                <w:lang w:val="es-ES_tradnl" w:bidi="th-TH"/>
              </w:rPr>
            </w:pPr>
            <w:r w:rsidRPr="00E32C2C">
              <w:rPr>
                <w:sz w:val="16"/>
                <w:szCs w:val="16"/>
                <w:lang w:val="es-ES_tradnl" w:bidi="th-TH"/>
              </w:rPr>
              <w:t>Por determinar (datos de 2012).</w:t>
            </w:r>
          </w:p>
          <w:p w:rsidR="006F7F41" w:rsidRPr="00E32C2C" w:rsidRDefault="006F7F41" w:rsidP="008F4F69">
            <w:pPr>
              <w:rPr>
                <w:sz w:val="16"/>
                <w:szCs w:val="16"/>
                <w:lang w:val="es-ES_tradnl" w:bidi="th-TH"/>
              </w:rPr>
            </w:pP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bCs/>
                <w:sz w:val="16"/>
                <w:szCs w:val="16"/>
                <w:lang w:val="es-ES_tradnl"/>
              </w:rPr>
              <w:t>100%</w:t>
            </w:r>
          </w:p>
        </w:tc>
      </w:tr>
      <w:tr w:rsidR="006F7F41" w:rsidRPr="00C75C7E" w:rsidTr="008F4F69">
        <w:trPr>
          <w:cantSplit/>
          <w:trHeight w:val="776"/>
        </w:trPr>
        <w:tc>
          <w:tcPr>
            <w:tcW w:w="1249" w:type="pct"/>
            <w:shd w:val="clear" w:color="auto" w:fill="auto"/>
            <w:tcMar>
              <w:top w:w="113" w:type="dxa"/>
            </w:tcMar>
          </w:tcPr>
          <w:p w:rsidR="006F7F41" w:rsidRPr="00C75C7E" w:rsidRDefault="006F7F41" w:rsidP="008F4F69">
            <w:pPr>
              <w:rPr>
                <w:sz w:val="16"/>
                <w:szCs w:val="16"/>
                <w:lang w:val="es-ES_tradnl"/>
              </w:rPr>
            </w:pPr>
          </w:p>
        </w:tc>
        <w:tc>
          <w:tcPr>
            <w:tcW w:w="1514" w:type="pct"/>
            <w:shd w:val="clear" w:color="auto" w:fill="auto"/>
            <w:tcMar>
              <w:top w:w="113" w:type="dxa"/>
            </w:tcMar>
          </w:tcPr>
          <w:p w:rsidR="006F7F41" w:rsidRPr="00E32C2C" w:rsidRDefault="006F7F41" w:rsidP="008F4F69">
            <w:pPr>
              <w:rPr>
                <w:sz w:val="16"/>
                <w:szCs w:val="16"/>
                <w:lang w:val="es-ES_tradnl"/>
              </w:rPr>
            </w:pPr>
            <w:r w:rsidRPr="00E32C2C">
              <w:rPr>
                <w:sz w:val="16"/>
                <w:szCs w:val="16"/>
                <w:lang w:val="es-ES_tradnl"/>
              </w:rPr>
              <w:t>Número de programas de P.I. ejecutados conjuntamente con otros organismos de NN.UU. y otras OIG.</w:t>
            </w:r>
          </w:p>
        </w:tc>
        <w:tc>
          <w:tcPr>
            <w:tcW w:w="1156" w:type="pct"/>
            <w:shd w:val="clear" w:color="auto" w:fill="FFFFFF"/>
            <w:tcMar>
              <w:top w:w="113" w:type="dxa"/>
            </w:tcMar>
          </w:tcPr>
          <w:p w:rsidR="006F7F41" w:rsidRPr="00E32C2C" w:rsidRDefault="006F7F41" w:rsidP="008F4F69">
            <w:pPr>
              <w:rPr>
                <w:sz w:val="16"/>
                <w:szCs w:val="16"/>
                <w:lang w:val="es-ES_tradnl" w:bidi="th-TH"/>
              </w:rPr>
            </w:pPr>
            <w:r w:rsidRPr="00E32C2C">
              <w:rPr>
                <w:sz w:val="16"/>
                <w:szCs w:val="16"/>
                <w:lang w:val="es-ES_tradnl" w:bidi="th-TH"/>
              </w:rPr>
              <w:t>0 (cero) (</w:t>
            </w:r>
            <w:r w:rsidR="00BB5D51">
              <w:rPr>
                <w:sz w:val="16"/>
                <w:szCs w:val="16"/>
                <w:lang w:val="es-ES_tradnl" w:bidi="th-TH"/>
              </w:rPr>
              <w:t>OOS</w:t>
            </w:r>
            <w:r w:rsidRPr="00E32C2C">
              <w:rPr>
                <w:sz w:val="16"/>
                <w:szCs w:val="16"/>
                <w:lang w:val="es-ES_tradnl" w:bidi="th-TH"/>
              </w:rPr>
              <w:t>).</w:t>
            </w:r>
          </w:p>
          <w:p w:rsidR="006F7F41" w:rsidRPr="00E32C2C" w:rsidRDefault="006F7F41" w:rsidP="008F4F69">
            <w:pPr>
              <w:rPr>
                <w:sz w:val="16"/>
                <w:szCs w:val="16"/>
                <w:lang w:val="es-ES_tradnl" w:bidi="th-TH"/>
              </w:rPr>
            </w:pPr>
          </w:p>
          <w:p w:rsidR="006F7F41" w:rsidRPr="00E32C2C" w:rsidRDefault="006F7F41" w:rsidP="008F4F69">
            <w:pPr>
              <w:rPr>
                <w:sz w:val="16"/>
                <w:szCs w:val="16"/>
                <w:lang w:val="es-ES_tradnl" w:bidi="th-TH"/>
              </w:rPr>
            </w:pPr>
          </w:p>
        </w:tc>
        <w:tc>
          <w:tcPr>
            <w:tcW w:w="1081" w:type="pct"/>
            <w:tcBorders>
              <w:right w:val="single" w:sz="4" w:space="0" w:color="auto"/>
            </w:tcBorders>
            <w:shd w:val="clear" w:color="auto" w:fill="auto"/>
            <w:tcMar>
              <w:top w:w="113" w:type="dxa"/>
            </w:tcMar>
          </w:tcPr>
          <w:p w:rsidR="006F7F41" w:rsidRPr="00C75C7E" w:rsidRDefault="006F7F41" w:rsidP="008F4F69">
            <w:pPr>
              <w:keepNext/>
              <w:keepLines/>
              <w:tabs>
                <w:tab w:val="left" w:pos="1757"/>
              </w:tabs>
              <w:rPr>
                <w:bCs/>
                <w:sz w:val="16"/>
                <w:szCs w:val="16"/>
                <w:lang w:val="es-ES_tradnl"/>
              </w:rPr>
            </w:pPr>
            <w:r w:rsidRPr="00C75C7E">
              <w:rPr>
                <w:sz w:val="16"/>
                <w:szCs w:val="16"/>
                <w:lang w:val="es-ES_tradnl" w:bidi="th-TH"/>
              </w:rPr>
              <w:t>2% (</w:t>
            </w:r>
            <w:r w:rsidR="00BB5D51">
              <w:rPr>
                <w:sz w:val="16"/>
                <w:szCs w:val="16"/>
                <w:lang w:val="es-ES_tradnl" w:bidi="th-TH"/>
              </w:rPr>
              <w:t>OOS</w:t>
            </w:r>
            <w:r w:rsidRPr="00C75C7E">
              <w:rPr>
                <w:sz w:val="16"/>
                <w:szCs w:val="16"/>
                <w:lang w:val="es-ES_tradnl" w:bidi="th-TH"/>
              </w:rPr>
              <w:t>).</w:t>
            </w:r>
          </w:p>
        </w:tc>
      </w:tr>
    </w:tbl>
    <w:p w:rsidR="006F7F41" w:rsidRPr="00C75C7E" w:rsidRDefault="006F7F41" w:rsidP="006F7F41">
      <w:pPr>
        <w:tabs>
          <w:tab w:val="left" w:pos="567"/>
          <w:tab w:val="left" w:pos="1985"/>
        </w:tabs>
        <w:rPr>
          <w:bCs/>
          <w:sz w:val="20"/>
          <w:lang w:val="es-ES_tradnl"/>
        </w:rPr>
      </w:pPr>
    </w:p>
    <w:p w:rsidR="00BE322F" w:rsidRPr="00AD1E8B" w:rsidRDefault="00BE322F" w:rsidP="00542C2B">
      <w:pPr>
        <w:widowControl w:val="0"/>
        <w:rPr>
          <w:sz w:val="20"/>
          <w:lang w:val="es-ES_tradnl"/>
        </w:rPr>
      </w:pPr>
    </w:p>
    <w:p w:rsidR="00BE322F" w:rsidRPr="00AD1E8B" w:rsidRDefault="00BE322F" w:rsidP="00542C2B">
      <w:pPr>
        <w:widowControl w:val="0"/>
        <w:autoSpaceDE w:val="0"/>
        <w:autoSpaceDN w:val="0"/>
        <w:adjustRightInd w:val="0"/>
        <w:jc w:val="both"/>
        <w:rPr>
          <w:szCs w:val="22"/>
          <w:lang w:val="es-ES_tradnl"/>
        </w:rPr>
      </w:pPr>
      <w:r w:rsidRPr="00AD1E8B">
        <w:rPr>
          <w:szCs w:val="22"/>
          <w:lang w:val="es-ES_tradnl"/>
        </w:rPr>
        <w:t>RECURSOS PARA EL PROGRAMA 20</w:t>
      </w:r>
    </w:p>
    <w:p w:rsidR="00BE322F" w:rsidRPr="00AD1E8B" w:rsidRDefault="00BE322F" w:rsidP="00542C2B">
      <w:pPr>
        <w:widowControl w:val="0"/>
        <w:autoSpaceDE w:val="0"/>
        <w:autoSpaceDN w:val="0"/>
        <w:adjustRightInd w:val="0"/>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El incremento general de los recursos para los </w:t>
      </w:r>
      <w:r w:rsidR="004E3B39" w:rsidRPr="00AD1E8B">
        <w:rPr>
          <w:sz w:val="20"/>
          <w:lang w:val="es-ES_tradnl"/>
        </w:rPr>
        <w:t xml:space="preserve">resultados </w:t>
      </w:r>
      <w:r w:rsidRPr="00AD1E8B">
        <w:rPr>
          <w:sz w:val="20"/>
          <w:lang w:val="es-ES_tradnl"/>
        </w:rPr>
        <w:t>en el marco de este programa dimana de la asignación de un suplemento de recursos de personal y de recursos no relativos al personal a las nuevas oficinas de la OMPI</w:t>
      </w:r>
      <w:r w:rsidR="008921D7">
        <w:rPr>
          <w:sz w:val="20"/>
          <w:lang w:val="es-ES_tradnl"/>
        </w:rPr>
        <w:t xml:space="preserve"> en el exterior</w:t>
      </w:r>
      <w:r w:rsidRPr="00AD1E8B">
        <w:rPr>
          <w:sz w:val="20"/>
          <w:lang w:val="es-ES_tradnl"/>
        </w:rPr>
        <w:t>.  Los incrementos de recursos no relativos al personal se reflejan principalmente en l</w:t>
      </w:r>
      <w:r>
        <w:rPr>
          <w:sz w:val="20"/>
          <w:lang w:val="es-ES_tradnl"/>
        </w:rPr>
        <w:t>as líneas "</w:t>
      </w:r>
      <w:r w:rsidRPr="00AD1E8B">
        <w:rPr>
          <w:sz w:val="20"/>
          <w:lang w:val="es-ES_tradnl"/>
        </w:rPr>
        <w:t>Locales y mantenimiento</w:t>
      </w:r>
      <w:r>
        <w:rPr>
          <w:sz w:val="20"/>
          <w:lang w:val="es-ES_tradnl"/>
        </w:rPr>
        <w:t>"</w:t>
      </w:r>
      <w:r w:rsidRPr="00AD1E8B">
        <w:rPr>
          <w:sz w:val="20"/>
          <w:lang w:val="es-ES_tradnl"/>
        </w:rPr>
        <w:t xml:space="preserve">, </w:t>
      </w:r>
      <w:r>
        <w:rPr>
          <w:sz w:val="20"/>
          <w:lang w:val="es-ES_tradnl"/>
        </w:rPr>
        <w:t>"</w:t>
      </w:r>
      <w:r w:rsidRPr="00AD1E8B">
        <w:rPr>
          <w:sz w:val="20"/>
          <w:lang w:val="es-ES_tradnl"/>
        </w:rPr>
        <w:t>Comunicaciones</w:t>
      </w:r>
      <w:r>
        <w:rPr>
          <w:sz w:val="20"/>
          <w:lang w:val="es-ES_tradnl"/>
        </w:rPr>
        <w:t>"</w:t>
      </w:r>
      <w:r w:rsidRPr="00AD1E8B">
        <w:rPr>
          <w:sz w:val="20"/>
          <w:lang w:val="es-ES_tradnl"/>
        </w:rPr>
        <w:t xml:space="preserve">, </w:t>
      </w:r>
      <w:r>
        <w:rPr>
          <w:sz w:val="20"/>
          <w:lang w:val="es-ES_tradnl"/>
        </w:rPr>
        <w:t>"</w:t>
      </w:r>
      <w:r w:rsidRPr="00AD1E8B">
        <w:rPr>
          <w:sz w:val="20"/>
          <w:lang w:val="es-ES_tradnl"/>
        </w:rPr>
        <w:t>Mobiliario y equipo</w:t>
      </w:r>
      <w:r>
        <w:rPr>
          <w:sz w:val="20"/>
          <w:lang w:val="es-ES_tradnl"/>
        </w:rPr>
        <w:t>s"</w:t>
      </w:r>
      <w:r w:rsidRPr="00AD1E8B">
        <w:rPr>
          <w:sz w:val="20"/>
          <w:lang w:val="es-ES_tradnl"/>
        </w:rPr>
        <w:t xml:space="preserve"> y </w:t>
      </w:r>
      <w:r>
        <w:rPr>
          <w:sz w:val="20"/>
          <w:lang w:val="es-ES_tradnl"/>
        </w:rPr>
        <w:t>"</w:t>
      </w:r>
      <w:r w:rsidRPr="00AD1E8B">
        <w:rPr>
          <w:sz w:val="20"/>
          <w:lang w:val="es-ES_tradnl"/>
        </w:rPr>
        <w:t>Suministros y material</w:t>
      </w:r>
      <w:r>
        <w:rPr>
          <w:sz w:val="20"/>
          <w:lang w:val="es-ES_tradnl"/>
        </w:rPr>
        <w:t>"</w:t>
      </w:r>
      <w:r w:rsidRPr="00AD1E8B">
        <w:rPr>
          <w:sz w:val="20"/>
          <w:lang w:val="es-ES_tradnl"/>
        </w:rPr>
        <w:t>.</w:t>
      </w:r>
    </w:p>
    <w:p w:rsidR="00BE322F" w:rsidRPr="00AD1E8B" w:rsidRDefault="00BE322F" w:rsidP="00BE322F">
      <w:pPr>
        <w:jc w:val="both"/>
        <w:rPr>
          <w:sz w:val="20"/>
          <w:lang w:val="es-ES_tradnl"/>
        </w:rPr>
      </w:pPr>
    </w:p>
    <w:p w:rsidR="00BE322F" w:rsidRPr="00AD1E8B" w:rsidRDefault="00BE322F" w:rsidP="00E17471">
      <w:pPr>
        <w:numPr>
          <w:ilvl w:val="0"/>
          <w:numId w:val="14"/>
        </w:numPr>
        <w:jc w:val="both"/>
        <w:rPr>
          <w:sz w:val="20"/>
          <w:lang w:val="es-ES_tradnl"/>
        </w:rPr>
      </w:pPr>
      <w:r w:rsidRPr="00AD1E8B">
        <w:rPr>
          <w:sz w:val="20"/>
          <w:lang w:val="es-ES_tradnl"/>
        </w:rPr>
        <w:t xml:space="preserve">La asignación de recursos a los diferentes </w:t>
      </w:r>
      <w:r>
        <w:rPr>
          <w:sz w:val="20"/>
          <w:lang w:val="es-ES_tradnl"/>
        </w:rPr>
        <w:t>r</w:t>
      </w:r>
      <w:r w:rsidRPr="00AD1E8B">
        <w:rPr>
          <w:sz w:val="20"/>
          <w:lang w:val="es-ES_tradnl"/>
        </w:rPr>
        <w:t xml:space="preserve">esultados individuales refleja la dedicación prioritaria de las oficinas </w:t>
      </w:r>
      <w:r w:rsidR="004E3B39">
        <w:rPr>
          <w:sz w:val="20"/>
          <w:lang w:val="es-ES_tradnl"/>
        </w:rPr>
        <w:t xml:space="preserve">en el </w:t>
      </w:r>
      <w:r w:rsidRPr="00AD1E8B">
        <w:rPr>
          <w:sz w:val="20"/>
          <w:lang w:val="es-ES_tradnl"/>
        </w:rPr>
        <w:t>exter</w:t>
      </w:r>
      <w:r w:rsidR="004E3B39">
        <w:rPr>
          <w:sz w:val="20"/>
          <w:lang w:val="es-ES_tradnl"/>
        </w:rPr>
        <w:t>ior</w:t>
      </w:r>
      <w:r w:rsidRPr="00AD1E8B">
        <w:rPr>
          <w:sz w:val="20"/>
          <w:lang w:val="es-ES_tradnl"/>
        </w:rPr>
        <w:t xml:space="preserve"> a las actividades de apoyo a los </w:t>
      </w:r>
      <w:r>
        <w:rPr>
          <w:sz w:val="20"/>
          <w:lang w:val="es-ES_tradnl"/>
        </w:rPr>
        <w:t>s</w:t>
      </w:r>
      <w:r w:rsidRPr="00AD1E8B">
        <w:rPr>
          <w:sz w:val="20"/>
          <w:lang w:val="es-ES_tradnl"/>
        </w:rPr>
        <w:t xml:space="preserve">ervicios </w:t>
      </w:r>
      <w:r>
        <w:rPr>
          <w:sz w:val="20"/>
          <w:lang w:val="es-ES_tradnl"/>
        </w:rPr>
        <w:t>m</w:t>
      </w:r>
      <w:r w:rsidRPr="00AD1E8B">
        <w:rPr>
          <w:sz w:val="20"/>
          <w:lang w:val="es-ES_tradnl"/>
        </w:rPr>
        <w:t xml:space="preserve">undiales de P.I. de la OMPI (Resultados II.1 (Mayor uso del PCT para la presentación de solicitudes internacionales), II.4 (Mejor utilización y mayor difusión del sistema de La Haya), II.6 (Mejor utilización y mayor difusión de los </w:t>
      </w:r>
      <w:r w:rsidRPr="00AD1E8B">
        <w:rPr>
          <w:sz w:val="20"/>
          <w:lang w:val="es-ES_tradnl"/>
        </w:rPr>
        <w:lastRenderedPageBreak/>
        <w:t xml:space="preserve">sistemas de Madrid y Lisboa) y II.8 (Prevención o solución de controversias en materia de P.I. mediante procedimientos de mediación, arbitraje y demás métodos de solución extrajudicial de controversias)), </w:t>
      </w:r>
      <w:r w:rsidR="00733234">
        <w:rPr>
          <w:sz w:val="20"/>
          <w:lang w:val="es-ES_tradnl"/>
        </w:rPr>
        <w:t xml:space="preserve">facilitar </w:t>
      </w:r>
      <w:r w:rsidRPr="00AD1E8B">
        <w:rPr>
          <w:sz w:val="20"/>
          <w:lang w:val="es-ES_tradnl"/>
        </w:rPr>
        <w:t>el uso de la P.I. en aras del desarrollo (Resultado III.2 (Mejora de las capacidades en el ámbito de los recursos humanos)), la mejora de la infraestructura mundial de P.I. (Resultados IV.2 (Mejora del acceso y uso de información y conocimientos de P.I.) y una mayor eficacia de las comunicaciones al público en general y a las partes interesadas, así como una receptividad acrecentada a las consultas en el país y región respectivos (Resultados VIII.1 (Comunicación eficaz al público en general acerca de la P.I. y de la función de la OMPI) y VIII.2 (Mejora en la prestación de servicios y la atención de consultas)).</w:t>
      </w:r>
    </w:p>
    <w:p w:rsidR="00BE322F" w:rsidRPr="00AD1E8B" w:rsidRDefault="00BE322F" w:rsidP="00BE322F">
      <w:pPr>
        <w:keepNext/>
        <w:keepLines/>
        <w:jc w:val="both"/>
        <w:rPr>
          <w:sz w:val="20"/>
          <w:lang w:val="es-ES_tradnl"/>
        </w:rPr>
      </w:pPr>
    </w:p>
    <w:p w:rsidR="006F7F41" w:rsidRPr="00C75C7E" w:rsidRDefault="00B27EBC" w:rsidP="00BE322F">
      <w:pPr>
        <w:keepNext/>
        <w:autoSpaceDE w:val="0"/>
        <w:autoSpaceDN w:val="0"/>
        <w:adjustRightInd w:val="0"/>
        <w:jc w:val="center"/>
        <w:rPr>
          <w:b/>
          <w:bCs/>
          <w:iCs/>
          <w:sz w:val="20"/>
          <w:lang w:val="es-ES_tradnl"/>
        </w:rPr>
      </w:pPr>
      <w:r>
        <w:rPr>
          <w:b/>
          <w:bCs/>
          <w:iCs/>
          <w:sz w:val="20"/>
          <w:lang w:val="es-ES_tradnl"/>
        </w:rPr>
        <w:t>Programa 20</w:t>
      </w:r>
      <w:proofErr w:type="gramStart"/>
      <w:r>
        <w:rPr>
          <w:b/>
          <w:bCs/>
          <w:iCs/>
          <w:sz w:val="20"/>
          <w:lang w:val="es-ES_tradnl"/>
        </w:rPr>
        <w:t xml:space="preserve">:  </w:t>
      </w:r>
      <w:r w:rsidR="006F7F41" w:rsidRPr="00C75C7E">
        <w:rPr>
          <w:b/>
          <w:bCs/>
          <w:iCs/>
          <w:sz w:val="20"/>
          <w:lang w:val="es-ES_tradnl"/>
        </w:rPr>
        <w:t>Recursos</w:t>
      </w:r>
      <w:proofErr w:type="gramEnd"/>
      <w:r w:rsidR="006F7F41" w:rsidRPr="00C75C7E">
        <w:rPr>
          <w:b/>
          <w:bCs/>
          <w:iCs/>
          <w:sz w:val="20"/>
          <w:lang w:val="es-ES_tradnl"/>
        </w:rPr>
        <w:t xml:space="preserve"> por resultado</w:t>
      </w:r>
    </w:p>
    <w:p w:rsidR="006F7F41" w:rsidRDefault="006F7F41" w:rsidP="00BE322F">
      <w:pPr>
        <w:keepNext/>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6265DC" w:rsidRDefault="006265DC" w:rsidP="00BE322F">
      <w:pPr>
        <w:keepNext/>
        <w:autoSpaceDE w:val="0"/>
        <w:autoSpaceDN w:val="0"/>
        <w:adjustRightInd w:val="0"/>
        <w:jc w:val="center"/>
        <w:rPr>
          <w:bCs/>
          <w:i/>
          <w:sz w:val="20"/>
          <w:lang w:val="es-ES_tradnl"/>
        </w:rPr>
      </w:pPr>
    </w:p>
    <w:p w:rsidR="006265DC" w:rsidRPr="00C75C7E" w:rsidRDefault="00B27EBC" w:rsidP="00BE322F">
      <w:pPr>
        <w:keepNext/>
        <w:autoSpaceDE w:val="0"/>
        <w:autoSpaceDN w:val="0"/>
        <w:adjustRightInd w:val="0"/>
        <w:jc w:val="center"/>
        <w:rPr>
          <w:bCs/>
          <w:i/>
          <w:sz w:val="20"/>
          <w:lang w:val="es-ES_tradnl"/>
        </w:rPr>
      </w:pPr>
      <w:r w:rsidRPr="00B27EBC">
        <w:rPr>
          <w:noProof/>
          <w:lang w:val="en-US" w:eastAsia="en-US"/>
        </w:rPr>
        <w:drawing>
          <wp:inline distT="0" distB="0" distL="0" distR="0" wp14:anchorId="1EDF2621" wp14:editId="71C69148">
            <wp:extent cx="5886450" cy="593407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886450" cy="5934075"/>
                    </a:xfrm>
                    <a:prstGeom prst="rect">
                      <a:avLst/>
                    </a:prstGeom>
                    <a:noFill/>
                    <a:ln>
                      <a:noFill/>
                    </a:ln>
                  </pic:spPr>
                </pic:pic>
              </a:graphicData>
            </a:graphic>
          </wp:inline>
        </w:drawing>
      </w:r>
    </w:p>
    <w:p w:rsidR="006F7F41" w:rsidRPr="00C75C7E" w:rsidRDefault="006F7F41" w:rsidP="00BE322F">
      <w:pPr>
        <w:keepNext/>
        <w:widowControl w:val="0"/>
        <w:autoSpaceDE w:val="0"/>
        <w:autoSpaceDN w:val="0"/>
        <w:adjustRightInd w:val="0"/>
        <w:rPr>
          <w:sz w:val="20"/>
          <w:lang w:val="es-ES_tradnl"/>
        </w:rPr>
      </w:pPr>
    </w:p>
    <w:p w:rsidR="006F7F41" w:rsidRPr="00C75C7E" w:rsidRDefault="006F7F41" w:rsidP="006F7F41">
      <w:pPr>
        <w:keepLines/>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4D2C03">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6F7F41" w:rsidRPr="00C75C7E" w:rsidRDefault="006F7F41" w:rsidP="00516B69">
      <w:pPr>
        <w:jc w:val="both"/>
        <w:rPr>
          <w:sz w:val="20"/>
          <w:highlight w:val="yellow"/>
          <w:lang w:val="es-ES_tradnl"/>
        </w:rPr>
      </w:pPr>
    </w:p>
    <w:p w:rsidR="006F7F41" w:rsidRPr="00C75C7E" w:rsidRDefault="00B27EBC" w:rsidP="00D22678">
      <w:pPr>
        <w:keepNext/>
        <w:autoSpaceDE w:val="0"/>
        <w:autoSpaceDN w:val="0"/>
        <w:adjustRightInd w:val="0"/>
        <w:jc w:val="center"/>
        <w:rPr>
          <w:b/>
          <w:bCs/>
          <w:iCs/>
          <w:sz w:val="20"/>
          <w:lang w:val="es-ES_tradnl"/>
        </w:rPr>
      </w:pPr>
      <w:r>
        <w:rPr>
          <w:b/>
          <w:bCs/>
          <w:iCs/>
          <w:sz w:val="20"/>
          <w:lang w:val="es-ES_tradnl"/>
        </w:rPr>
        <w:lastRenderedPageBreak/>
        <w:t>Programa 20</w:t>
      </w:r>
      <w:proofErr w:type="gramStart"/>
      <w:r>
        <w:rPr>
          <w:b/>
          <w:bCs/>
          <w:iCs/>
          <w:sz w:val="20"/>
          <w:lang w:val="es-ES_tradnl"/>
        </w:rPr>
        <w:t xml:space="preserve">:  </w:t>
      </w:r>
      <w:r w:rsidR="006F7F41" w:rsidRPr="00C75C7E">
        <w:rPr>
          <w:b/>
          <w:bCs/>
          <w:iCs/>
          <w:sz w:val="20"/>
          <w:lang w:val="es-ES_tradnl"/>
        </w:rPr>
        <w:t>Recursos</w:t>
      </w:r>
      <w:proofErr w:type="gramEnd"/>
      <w:r w:rsidR="006F7F41" w:rsidRPr="00C75C7E">
        <w:rPr>
          <w:b/>
          <w:bCs/>
          <w:iCs/>
          <w:sz w:val="20"/>
          <w:lang w:val="es-ES_tradnl"/>
        </w:rPr>
        <w:t xml:space="preserve"> por objeto de gasto</w:t>
      </w:r>
    </w:p>
    <w:p w:rsidR="006F7F41" w:rsidRDefault="006F7F41" w:rsidP="00D22678">
      <w:pPr>
        <w:keepNext/>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1E5683" w:rsidRDefault="001E5683" w:rsidP="00D22678">
      <w:pPr>
        <w:keepNext/>
        <w:autoSpaceDE w:val="0"/>
        <w:autoSpaceDN w:val="0"/>
        <w:adjustRightInd w:val="0"/>
        <w:jc w:val="center"/>
        <w:rPr>
          <w:bCs/>
          <w:i/>
          <w:sz w:val="20"/>
          <w:lang w:val="es-ES_tradnl"/>
        </w:rPr>
      </w:pPr>
    </w:p>
    <w:p w:rsidR="001E5683" w:rsidRPr="00C75C7E" w:rsidRDefault="00C40A11" w:rsidP="00D22678">
      <w:pPr>
        <w:keepNext/>
        <w:autoSpaceDE w:val="0"/>
        <w:autoSpaceDN w:val="0"/>
        <w:adjustRightInd w:val="0"/>
        <w:jc w:val="center"/>
        <w:rPr>
          <w:bCs/>
          <w:i/>
          <w:sz w:val="20"/>
          <w:lang w:val="es-ES_tradnl"/>
        </w:rPr>
      </w:pPr>
      <w:r>
        <w:rPr>
          <w:noProof/>
          <w:lang w:val="en-US" w:eastAsia="en-US"/>
        </w:rPr>
        <w:drawing>
          <wp:inline distT="0" distB="0" distL="0" distR="0" wp14:anchorId="69C07A6E" wp14:editId="1825B0CB">
            <wp:extent cx="5936615" cy="5739130"/>
            <wp:effectExtent l="0" t="0" r="698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1E5683" w:rsidRDefault="001E5683" w:rsidP="006F7F41">
      <w:pPr>
        <w:widowControl w:val="0"/>
        <w:rPr>
          <w:sz w:val="20"/>
          <w:lang w:val="es-ES_tradnl"/>
        </w:rPr>
      </w:pPr>
    </w:p>
    <w:p w:rsidR="006F7F41" w:rsidRPr="00C75C7E" w:rsidRDefault="006F7F41" w:rsidP="006F7F41">
      <w:pPr>
        <w:widowControl w:val="0"/>
        <w:rPr>
          <w:sz w:val="16"/>
          <w:szCs w:val="16"/>
          <w:lang w:val="es-ES_tradnl"/>
        </w:rPr>
      </w:pPr>
      <w:r w:rsidRPr="00C75C7E">
        <w:rPr>
          <w:sz w:val="16"/>
          <w:szCs w:val="16"/>
          <w:lang w:val="es-ES_tradnl"/>
        </w:rPr>
        <w:t>Notas:</w:t>
      </w:r>
    </w:p>
    <w:p w:rsidR="006F7F41" w:rsidRPr="00C75C7E" w:rsidRDefault="006F7F41" w:rsidP="006F7F41">
      <w:pPr>
        <w:widowControl w:val="0"/>
        <w:rPr>
          <w:sz w:val="16"/>
          <w:szCs w:val="16"/>
          <w:u w:val="single"/>
          <w:lang w:val="es-ES_tradnl"/>
        </w:rPr>
      </w:pPr>
    </w:p>
    <w:p w:rsidR="006F7F41" w:rsidRPr="00C75C7E" w:rsidRDefault="006F7F41" w:rsidP="006F7F41">
      <w:pPr>
        <w:widowControl w:val="0"/>
        <w:spacing w:after="120"/>
        <w:rPr>
          <w:sz w:val="16"/>
          <w:szCs w:val="16"/>
          <w:lang w:val="es-ES_tradnl"/>
        </w:rPr>
      </w:pPr>
      <w:r>
        <w:rPr>
          <w:sz w:val="16"/>
          <w:szCs w:val="16"/>
          <w:lang w:val="es-ES_tradnl"/>
        </w:rPr>
        <w:t>1)</w:t>
      </w:r>
      <w:r w:rsidR="00516B69">
        <w:rPr>
          <w:sz w:val="16"/>
          <w:szCs w:val="16"/>
          <w:lang w:val="es-ES_tradnl"/>
        </w:rPr>
        <w:t xml:space="preserve">  </w:t>
      </w:r>
      <w:r w:rsidRPr="00C75C7E">
        <w:rPr>
          <w:sz w:val="16"/>
          <w:szCs w:val="16"/>
          <w:lang w:val="es-ES_tradnl"/>
        </w:rPr>
        <w:t xml:space="preserve">El presupuesto aprobado de 2012/13 y el presupuesto de dicho bienio después de las transferencias se </w:t>
      </w:r>
      <w:proofErr w:type="spellStart"/>
      <w:r w:rsidRPr="00C75C7E">
        <w:rPr>
          <w:sz w:val="16"/>
          <w:szCs w:val="16"/>
          <w:lang w:val="es-ES_tradnl"/>
        </w:rPr>
        <w:t>reexpresan</w:t>
      </w:r>
      <w:proofErr w:type="spellEnd"/>
      <w:r w:rsidRPr="00C75C7E">
        <w:rPr>
          <w:sz w:val="16"/>
          <w:szCs w:val="16"/>
          <w:lang w:val="es-ES_tradnl"/>
        </w:rPr>
        <w:t xml:space="preserve"> sobre la base de la estructura de categorías de costos propuesta para 2014/15.</w:t>
      </w:r>
    </w:p>
    <w:p w:rsidR="006F7F41" w:rsidRPr="00C75C7E" w:rsidRDefault="006F7F41" w:rsidP="006F7F41">
      <w:pPr>
        <w:widowControl w:val="0"/>
        <w:spacing w:after="120"/>
        <w:rPr>
          <w:sz w:val="16"/>
          <w:szCs w:val="16"/>
          <w:lang w:val="es-ES_tradnl"/>
        </w:rPr>
      </w:pPr>
      <w:r>
        <w:rPr>
          <w:sz w:val="16"/>
          <w:szCs w:val="16"/>
          <w:lang w:val="es-ES_tradnl"/>
        </w:rPr>
        <w:t>2)</w:t>
      </w:r>
      <w:r w:rsidR="00516B69">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presupuesto de</w:t>
      </w:r>
      <w:r w:rsidR="00D86F03">
        <w:rPr>
          <w:sz w:val="16"/>
          <w:szCs w:val="16"/>
          <w:lang w:val="es-ES_tradnl"/>
        </w:rPr>
        <w:t>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6F7F41" w:rsidRPr="00C75C7E" w:rsidRDefault="006F7F41" w:rsidP="006F7F41">
      <w:pPr>
        <w:widowControl w:val="0"/>
        <w:spacing w:after="120"/>
        <w:rPr>
          <w:sz w:val="20"/>
          <w:highlight w:val="yellow"/>
          <w:lang w:val="es-ES_tradnl"/>
        </w:rPr>
      </w:pPr>
      <w:r>
        <w:rPr>
          <w:sz w:val="16"/>
          <w:szCs w:val="16"/>
          <w:lang w:val="es-ES_tradnl"/>
        </w:rPr>
        <w:t>3)</w:t>
      </w:r>
      <w:r w:rsidR="00516B69">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6F7F41" w:rsidRPr="00C75C7E" w:rsidRDefault="006F7F41" w:rsidP="00D73B21">
      <w:pPr>
        <w:keepNext/>
        <w:widowControl w:val="0"/>
        <w:jc w:val="center"/>
        <w:rPr>
          <w:sz w:val="16"/>
          <w:szCs w:val="16"/>
          <w:lang w:val="es-ES_tradnl"/>
        </w:rPr>
      </w:pPr>
      <w:r w:rsidRPr="00C75C7E">
        <w:rPr>
          <w:sz w:val="18"/>
          <w:szCs w:val="18"/>
          <w:lang w:val="es-ES_tradnl"/>
        </w:rPr>
        <w:lastRenderedPageBreak/>
        <w:t>Fondos fiduciarios disponibles potencialmente para su utilización en 2014/15*</w:t>
      </w:r>
    </w:p>
    <w:p w:rsidR="006F7F41" w:rsidRPr="00C75C7E" w:rsidRDefault="006F7F41" w:rsidP="00D73B21">
      <w:pPr>
        <w:keepNext/>
        <w:widowControl w:val="0"/>
        <w:jc w:val="center"/>
        <w:rPr>
          <w:sz w:val="18"/>
          <w:szCs w:val="18"/>
          <w:lang w:val="es-ES_tradnl"/>
        </w:rPr>
      </w:pPr>
      <w:r w:rsidRPr="00C75C7E">
        <w:rPr>
          <w:iCs/>
          <w:sz w:val="18"/>
          <w:szCs w:val="18"/>
          <w:lang w:val="es-ES_tradnl"/>
        </w:rPr>
        <w:t>(</w:t>
      </w:r>
      <w:proofErr w:type="gramStart"/>
      <w:r w:rsidRPr="00C75C7E">
        <w:rPr>
          <w:iCs/>
          <w:sz w:val="18"/>
          <w:szCs w:val="18"/>
          <w:lang w:val="es-ES_tradnl"/>
        </w:rPr>
        <w:t>en</w:t>
      </w:r>
      <w:proofErr w:type="gramEnd"/>
      <w:r w:rsidRPr="00C75C7E">
        <w:rPr>
          <w:iCs/>
          <w:sz w:val="18"/>
          <w:szCs w:val="18"/>
          <w:lang w:val="es-ES_tradnl"/>
        </w:rPr>
        <w:t xml:space="preserve"> miles de francos suizos)</w:t>
      </w:r>
    </w:p>
    <w:p w:rsidR="006F7F41" w:rsidRPr="00C75C7E" w:rsidRDefault="006F7F41" w:rsidP="00D73B21">
      <w:pPr>
        <w:keepNext/>
        <w:widowControl w:val="0"/>
        <w:rPr>
          <w:sz w:val="20"/>
          <w:lang w:val="es-ES_tradnl"/>
        </w:rPr>
      </w:pPr>
    </w:p>
    <w:p w:rsidR="006F7F41" w:rsidRPr="00C75C7E" w:rsidRDefault="00C40A11" w:rsidP="00D73B21">
      <w:pPr>
        <w:keepNext/>
        <w:widowControl w:val="0"/>
        <w:jc w:val="center"/>
        <w:rPr>
          <w:sz w:val="20"/>
          <w:lang w:val="es-ES_tradnl"/>
        </w:rPr>
      </w:pPr>
      <w:r>
        <w:rPr>
          <w:noProof/>
          <w:lang w:val="en-US" w:eastAsia="en-US"/>
        </w:rPr>
        <w:drawing>
          <wp:inline distT="0" distB="0" distL="0" distR="0" wp14:anchorId="78FC259F" wp14:editId="7C3C48B5">
            <wp:extent cx="4217035" cy="839470"/>
            <wp:effectExtent l="0" t="0" r="0" b="0"/>
            <wp:docPr id="66"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217035" cy="839470"/>
                    </a:xfrm>
                    <a:prstGeom prst="rect">
                      <a:avLst/>
                    </a:prstGeom>
                    <a:noFill/>
                    <a:ln>
                      <a:noFill/>
                    </a:ln>
                  </pic:spPr>
                </pic:pic>
              </a:graphicData>
            </a:graphic>
          </wp:inline>
        </w:drawing>
      </w:r>
    </w:p>
    <w:p w:rsidR="006F7F41" w:rsidRPr="00C75C7E" w:rsidRDefault="006F7F41" w:rsidP="002963D7">
      <w:pPr>
        <w:widowControl w:val="0"/>
        <w:jc w:val="both"/>
        <w:rPr>
          <w:sz w:val="16"/>
          <w:szCs w:val="16"/>
          <w:lang w:val="es-ES_tradnl"/>
        </w:rPr>
      </w:pPr>
    </w:p>
    <w:p w:rsidR="006F7F41" w:rsidRPr="00C75C7E" w:rsidRDefault="006F7F41" w:rsidP="002963D7">
      <w:pPr>
        <w:widowControl w:val="0"/>
        <w:ind w:left="1134"/>
        <w:jc w:val="both"/>
        <w:rPr>
          <w:sz w:val="16"/>
          <w:szCs w:val="16"/>
          <w:lang w:val="es-ES_tradnl"/>
        </w:rPr>
      </w:pPr>
      <w:r w:rsidRPr="00C75C7E">
        <w:rPr>
          <w:sz w:val="16"/>
          <w:szCs w:val="16"/>
          <w:lang w:val="es-ES_tradnl"/>
        </w:rPr>
        <w:t>*  A título informativo únicamente.  Para más información cabe remitirse al Anexo VIII.</w:t>
      </w:r>
    </w:p>
    <w:p w:rsidR="006F7F41" w:rsidRPr="00C75C7E" w:rsidRDefault="006F7F41" w:rsidP="002963D7">
      <w:pPr>
        <w:widowControl w:val="0"/>
        <w:ind w:left="1134"/>
        <w:jc w:val="both"/>
        <w:rPr>
          <w:sz w:val="16"/>
          <w:szCs w:val="16"/>
          <w:lang w:val="es-ES_tradnl"/>
        </w:rPr>
      </w:pPr>
    </w:p>
    <w:p w:rsidR="006F7F41" w:rsidRPr="00C75C7E" w:rsidRDefault="006F7F41" w:rsidP="002963D7">
      <w:pPr>
        <w:widowControl w:val="0"/>
        <w:ind w:left="1134"/>
        <w:jc w:val="both"/>
        <w:rPr>
          <w:sz w:val="16"/>
          <w:szCs w:val="16"/>
          <w:lang w:val="es-ES_tradnl"/>
        </w:rPr>
      </w:pPr>
      <w:r w:rsidRPr="00C75C7E">
        <w:rPr>
          <w:sz w:val="16"/>
          <w:szCs w:val="16"/>
          <w:lang w:val="es-ES_tradnl"/>
        </w:rPr>
        <w:t>**  En las cifras no se han incluido los intereses ni los ajustes cambiarios.  Cabe observar asimismo que estos fondos se destinan generalmente a actividades que cubren un período que va más allá de un solo bienio, a medida que se reciben los ingresos y se incurre en gastos.</w:t>
      </w:r>
    </w:p>
    <w:p w:rsidR="006F7F41" w:rsidRPr="00C75C7E" w:rsidRDefault="006F7F41" w:rsidP="006F7F41">
      <w:pPr>
        <w:widowControl w:val="0"/>
        <w:ind w:left="1134"/>
        <w:jc w:val="both"/>
        <w:rPr>
          <w:sz w:val="16"/>
          <w:szCs w:val="16"/>
          <w:lang w:val="es-ES_tradnl"/>
        </w:rPr>
      </w:pPr>
    </w:p>
    <w:p w:rsidR="006F7F41" w:rsidRPr="00C75C7E" w:rsidRDefault="006F7F41" w:rsidP="006F7F41">
      <w:pPr>
        <w:widowControl w:val="0"/>
        <w:ind w:left="1134"/>
        <w:jc w:val="both"/>
        <w:rPr>
          <w:sz w:val="16"/>
          <w:szCs w:val="16"/>
          <w:lang w:val="es-ES_tradnl"/>
        </w:rPr>
      </w:pPr>
      <w:r w:rsidRPr="00C75C7E">
        <w:rPr>
          <w:sz w:val="16"/>
          <w:szCs w:val="16"/>
          <w:lang w:val="es-ES_tradnl"/>
        </w:rPr>
        <w:t>***  Las contribuciones anuales varían y se han observado fluctuaciones de un año a otro.</w:t>
      </w:r>
    </w:p>
    <w:p w:rsidR="006F7F41" w:rsidRPr="00C75C7E" w:rsidRDefault="006F7F41" w:rsidP="006F7F41">
      <w:pPr>
        <w:widowControl w:val="0"/>
        <w:ind w:left="1134"/>
        <w:jc w:val="both"/>
        <w:rPr>
          <w:sz w:val="16"/>
          <w:szCs w:val="16"/>
          <w:lang w:val="es-ES_tradnl"/>
        </w:rPr>
      </w:pPr>
    </w:p>
    <w:p w:rsidR="006F7F41" w:rsidRPr="00C75C7E" w:rsidRDefault="006F7F41" w:rsidP="006F7F41">
      <w:pPr>
        <w:ind w:left="1134"/>
        <w:jc w:val="both"/>
        <w:rPr>
          <w:sz w:val="16"/>
          <w:szCs w:val="16"/>
          <w:lang w:val="es-ES_tradnl"/>
        </w:rPr>
      </w:pPr>
      <w:r w:rsidRPr="00C75C7E">
        <w:rPr>
          <w:sz w:val="16"/>
          <w:szCs w:val="16"/>
          <w:lang w:val="es-ES_tradnl"/>
        </w:rPr>
        <w:t>****  Las cifras expuestas en esta columna son puramente indicativas y se basan en patrones de financiación anteriores.  Además, no representan los compromisos de los Estados miembros salvo cuando quedan incluidos en el acuerdo de fondos fiduciarios.</w:t>
      </w:r>
    </w:p>
    <w:p w:rsidR="002F6F11" w:rsidRDefault="002F6F11" w:rsidP="003E638B">
      <w:pPr>
        <w:rPr>
          <w:sz w:val="20"/>
          <w:lang w:val="es-ES_tradnl"/>
        </w:rPr>
      </w:pPr>
    </w:p>
    <w:p w:rsidR="002F6F11" w:rsidRDefault="002F6F11" w:rsidP="003E638B">
      <w:pPr>
        <w:rPr>
          <w:sz w:val="20"/>
          <w:lang w:val="es-ES_tradnl"/>
        </w:rPr>
      </w:pPr>
    </w:p>
    <w:p w:rsidR="008B390C" w:rsidRDefault="008B390C" w:rsidP="003E638B">
      <w:pPr>
        <w:rPr>
          <w:sz w:val="20"/>
          <w:lang w:val="es-ES_tradnl"/>
        </w:rPr>
        <w:sectPr w:rsidR="008B390C" w:rsidSect="00FF362A">
          <w:headerReference w:type="even" r:id="rId114"/>
          <w:headerReference w:type="default" r:id="rId115"/>
          <w:headerReference w:type="first" r:id="rId116"/>
          <w:pgSz w:w="11907" w:h="16840" w:code="9"/>
          <w:pgMar w:top="567" w:right="1134" w:bottom="1418" w:left="1418" w:header="510" w:footer="1021" w:gutter="0"/>
          <w:cols w:space="720"/>
          <w:titlePg/>
        </w:sectPr>
      </w:pPr>
    </w:p>
    <w:p w:rsidR="00B27EBC" w:rsidRPr="00B27EBC" w:rsidRDefault="00D73B21" w:rsidP="00B27EBC">
      <w:pPr>
        <w:pStyle w:val="Heading2"/>
        <w:jc w:val="center"/>
        <w:rPr>
          <w:b/>
          <w:caps w:val="0"/>
          <w:lang w:val="es-ES_tradnl"/>
        </w:rPr>
      </w:pPr>
      <w:bookmarkStart w:id="82" w:name="_Toc356567775"/>
      <w:bookmarkStart w:id="83" w:name="_Toc366078743"/>
      <w:r w:rsidRPr="00B27EBC">
        <w:rPr>
          <w:b/>
          <w:caps w:val="0"/>
          <w:lang w:val="es-ES_tradnl"/>
        </w:rPr>
        <w:lastRenderedPageBreak/>
        <w:t>META ESTRATÉGICA IX</w:t>
      </w:r>
      <w:bookmarkEnd w:id="82"/>
      <w:bookmarkEnd w:id="83"/>
    </w:p>
    <w:p w:rsidR="00D73B21" w:rsidRPr="00B27EBC" w:rsidRDefault="00D73B21" w:rsidP="00B27EBC">
      <w:pPr>
        <w:pStyle w:val="Heading2"/>
        <w:jc w:val="center"/>
        <w:rPr>
          <w:b/>
          <w:caps w:val="0"/>
          <w:lang w:val="es-ES_tradnl"/>
        </w:rPr>
      </w:pPr>
      <w:bookmarkStart w:id="84" w:name="_Toc366078744"/>
      <w:r w:rsidRPr="00B27EBC">
        <w:rPr>
          <w:b/>
          <w:caps w:val="0"/>
          <w:lang w:val="es-ES_tradnl"/>
        </w:rPr>
        <w:t>APOYO ADMINISTRATIVO Y FINANCIERO EFICIENTE</w:t>
      </w:r>
      <w:bookmarkEnd w:id="84"/>
    </w:p>
    <w:p w:rsidR="00D73B21" w:rsidRPr="008F5D63" w:rsidRDefault="00D73B21" w:rsidP="00D73B21">
      <w:pPr>
        <w:tabs>
          <w:tab w:val="left" w:pos="1701"/>
        </w:tabs>
        <w:ind w:left="1701" w:hanging="1701"/>
        <w:jc w:val="center"/>
        <w:rPr>
          <w:b/>
          <w:bCs/>
          <w:caps/>
          <w:szCs w:val="24"/>
        </w:rPr>
      </w:pPr>
    </w:p>
    <w:p w:rsidR="00D73B21" w:rsidRPr="008F5D63" w:rsidRDefault="00D73B21" w:rsidP="00D73B21">
      <w:pPr>
        <w:tabs>
          <w:tab w:val="left" w:pos="1701"/>
        </w:tabs>
        <w:ind w:left="1701" w:hanging="1701"/>
        <w:jc w:val="center"/>
        <w:rPr>
          <w:b/>
          <w:bCs/>
          <w:caps/>
          <w:szCs w:val="24"/>
        </w:rPr>
      </w:pPr>
    </w:p>
    <w:p w:rsidR="00D73B21" w:rsidRPr="008F5D63" w:rsidRDefault="00D73B21" w:rsidP="00D73B21">
      <w:pPr>
        <w:tabs>
          <w:tab w:val="left" w:pos="0"/>
        </w:tabs>
        <w:jc w:val="both"/>
        <w:rPr>
          <w:sz w:val="20"/>
        </w:rPr>
      </w:pPr>
      <w:r w:rsidRPr="008F5D63">
        <w:rPr>
          <w:sz w:val="20"/>
        </w:rPr>
        <w:t>La meta estratégica IX es la segunda de las dos metas coadyuvantes. Refleja y satisface la</w:t>
      </w:r>
      <w:r>
        <w:rPr>
          <w:sz w:val="20"/>
        </w:rPr>
        <w:t xml:space="preserve"> </w:t>
      </w:r>
      <w:r w:rsidRPr="008F5D63">
        <w:rPr>
          <w:sz w:val="20"/>
        </w:rPr>
        <w:t>necesidad de la Organización de contar con una estructura de apoyo, en el aspecto administrativo,</w:t>
      </w:r>
      <w:r>
        <w:rPr>
          <w:sz w:val="20"/>
        </w:rPr>
        <w:t xml:space="preserve"> </w:t>
      </w:r>
      <w:r w:rsidRPr="008F5D63">
        <w:rPr>
          <w:sz w:val="20"/>
        </w:rPr>
        <w:t>financiero y de gestión, que coadyuve la ejecución de los programas, cuyos principios rectores sean</w:t>
      </w:r>
      <w:r>
        <w:rPr>
          <w:sz w:val="20"/>
        </w:rPr>
        <w:t xml:space="preserve"> </w:t>
      </w:r>
      <w:r w:rsidRPr="008F5D63">
        <w:rPr>
          <w:sz w:val="20"/>
        </w:rPr>
        <w:t>la eficiencia y la transparencia. Esta meta estratégica también abarca la reforma institucional amplia</w:t>
      </w:r>
      <w:r>
        <w:rPr>
          <w:sz w:val="20"/>
        </w:rPr>
        <w:t xml:space="preserve"> </w:t>
      </w:r>
      <w:r w:rsidRPr="008F5D63">
        <w:rPr>
          <w:sz w:val="20"/>
        </w:rPr>
        <w:t xml:space="preserve">(el </w:t>
      </w:r>
      <w:r w:rsidR="00AE7D43">
        <w:rPr>
          <w:sz w:val="20"/>
        </w:rPr>
        <w:t>Programa de Alineación Estratégica</w:t>
      </w:r>
      <w:r w:rsidRPr="008F5D63">
        <w:rPr>
          <w:sz w:val="20"/>
        </w:rPr>
        <w:t>) que mejorará el apoyo que brinda la OMPI, haciéndolo más</w:t>
      </w:r>
      <w:r>
        <w:rPr>
          <w:sz w:val="20"/>
        </w:rPr>
        <w:t xml:space="preserve"> </w:t>
      </w:r>
      <w:r w:rsidRPr="008F5D63">
        <w:rPr>
          <w:sz w:val="20"/>
        </w:rPr>
        <w:t>eficiente y económico, y favorecerá un mejor rendimiento en la Organización.</w:t>
      </w:r>
    </w:p>
    <w:p w:rsidR="00D4275F" w:rsidRPr="00D73B21" w:rsidRDefault="00D4275F" w:rsidP="003E638B">
      <w:pPr>
        <w:rPr>
          <w:sz w:val="20"/>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3410"/>
        <w:gridCol w:w="2749"/>
        <w:gridCol w:w="2859"/>
      </w:tblGrid>
      <w:tr w:rsidR="009F58E5" w:rsidRPr="00C75C7E" w:rsidTr="008F4F69">
        <w:trPr>
          <w:cantSplit/>
          <w:trHeight w:val="317"/>
          <w:tblHeader/>
        </w:trPr>
        <w:tc>
          <w:tcPr>
            <w:tcW w:w="1891" w:type="pct"/>
            <w:tcBorders>
              <w:top w:val="single" w:sz="4" w:space="0" w:color="auto"/>
              <w:bottom w:val="single" w:sz="4" w:space="0" w:color="auto"/>
            </w:tcBorders>
            <w:shd w:val="clear" w:color="auto" w:fill="CCFFFF"/>
            <w:tcMar>
              <w:top w:w="113" w:type="dxa"/>
              <w:bottom w:w="85"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524" w:type="pct"/>
            <w:tcBorders>
              <w:top w:val="single" w:sz="4" w:space="0" w:color="auto"/>
              <w:bottom w:val="single" w:sz="4" w:space="0" w:color="auto"/>
            </w:tcBorders>
            <w:shd w:val="clear" w:color="auto" w:fill="CCFFFF"/>
            <w:tcMar>
              <w:top w:w="113" w:type="dxa"/>
              <w:bottom w:w="85" w:type="dxa"/>
            </w:tcMar>
            <w:vAlign w:val="center"/>
          </w:tcPr>
          <w:p w:rsidR="009F58E5" w:rsidRPr="00C75C7E" w:rsidRDefault="009F58E5" w:rsidP="008F4F69">
            <w:pPr>
              <w:spacing w:after="120"/>
              <w:jc w:val="center"/>
              <w:rPr>
                <w:b/>
                <w:sz w:val="18"/>
                <w:szCs w:val="18"/>
                <w:lang w:val="es-ES_tradnl"/>
              </w:rPr>
            </w:pPr>
            <w:r w:rsidRPr="00C75C7E">
              <w:rPr>
                <w:b/>
                <w:sz w:val="18"/>
                <w:szCs w:val="18"/>
                <w:lang w:val="es-ES_tradnl"/>
              </w:rPr>
              <w:t>Indicadores de rendimiento</w:t>
            </w:r>
          </w:p>
        </w:tc>
        <w:tc>
          <w:tcPr>
            <w:tcW w:w="1585" w:type="pct"/>
            <w:tcBorders>
              <w:top w:val="single" w:sz="4" w:space="0" w:color="auto"/>
              <w:bottom w:val="single" w:sz="4" w:space="0" w:color="auto"/>
            </w:tcBorders>
            <w:shd w:val="clear" w:color="auto" w:fill="CCFFFF"/>
            <w:tcMar>
              <w:top w:w="113" w:type="dxa"/>
              <w:bottom w:w="85" w:type="dxa"/>
            </w:tcMar>
            <w:vAlign w:val="center"/>
          </w:tcPr>
          <w:p w:rsidR="009F58E5" w:rsidRPr="00C75C7E" w:rsidRDefault="009F58E5" w:rsidP="008F4F69">
            <w:pPr>
              <w:spacing w:after="120"/>
              <w:ind w:left="85"/>
              <w:rPr>
                <w:sz w:val="18"/>
                <w:szCs w:val="18"/>
                <w:lang w:val="es-ES_tradnl"/>
              </w:rPr>
            </w:pPr>
            <w:r w:rsidRPr="00C75C7E">
              <w:rPr>
                <w:b/>
                <w:bCs/>
                <w:sz w:val="18"/>
                <w:szCs w:val="18"/>
                <w:lang w:val="es-ES_tradnl"/>
              </w:rPr>
              <w:t>Programas responsables</w:t>
            </w:r>
          </w:p>
        </w:tc>
      </w:tr>
      <w:tr w:rsidR="009F58E5" w:rsidRPr="00C75C7E" w:rsidTr="008F4F69">
        <w:trPr>
          <w:cantSplit/>
          <w:trHeight w:val="704"/>
        </w:trPr>
        <w:tc>
          <w:tcPr>
            <w:tcW w:w="1891" w:type="pct"/>
            <w:tcBorders>
              <w:top w:val="single" w:sz="4" w:space="0" w:color="auto"/>
            </w:tcBorders>
            <w:shd w:val="clear" w:color="auto" w:fill="auto"/>
            <w:tcMar>
              <w:top w:w="113" w:type="dxa"/>
              <w:bottom w:w="85" w:type="dxa"/>
            </w:tcMar>
          </w:tcPr>
          <w:p w:rsidR="009F58E5" w:rsidRPr="00C75C7E" w:rsidRDefault="009F58E5" w:rsidP="008F4F69">
            <w:pPr>
              <w:rPr>
                <w:sz w:val="16"/>
                <w:szCs w:val="16"/>
                <w:lang w:val="es-ES_tradnl"/>
              </w:rPr>
            </w:pPr>
            <w:r>
              <w:rPr>
                <w:sz w:val="16"/>
                <w:szCs w:val="16"/>
                <w:lang w:val="es-ES_tradnl"/>
              </w:rPr>
              <w:t xml:space="preserve">IX.1 </w:t>
            </w:r>
            <w:r w:rsidRPr="00C75C7E">
              <w:rPr>
                <w:sz w:val="16"/>
                <w:szCs w:val="16"/>
                <w:lang w:val="es-ES_tradnl"/>
              </w:rPr>
              <w:t xml:space="preserve"> Servicios de </w:t>
            </w:r>
            <w:proofErr w:type="gramStart"/>
            <w:r w:rsidRPr="00C75C7E">
              <w:rPr>
                <w:sz w:val="16"/>
                <w:szCs w:val="16"/>
                <w:lang w:val="es-ES_tradnl"/>
              </w:rPr>
              <w:t>apoyo eficaces, eficientes, de calidad y orientados</w:t>
            </w:r>
            <w:proofErr w:type="gramEnd"/>
            <w:r w:rsidRPr="00C75C7E">
              <w:rPr>
                <w:sz w:val="16"/>
                <w:szCs w:val="16"/>
                <w:lang w:val="es-ES_tradnl"/>
              </w:rPr>
              <w:t xml:space="preserve"> al cliente, tanto a los clientes internos como a las partes interesadas externas.</w:t>
            </w:r>
          </w:p>
        </w:tc>
        <w:tc>
          <w:tcPr>
            <w:tcW w:w="1524" w:type="pct"/>
            <w:tcBorders>
              <w:top w:val="single" w:sz="4" w:space="0" w:color="auto"/>
            </w:tcBorders>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 xml:space="preserve">Suministro de informes y análisis financieros y de </w:t>
            </w:r>
            <w:proofErr w:type="gramStart"/>
            <w:r w:rsidRPr="00C75C7E">
              <w:rPr>
                <w:sz w:val="16"/>
                <w:szCs w:val="16"/>
                <w:lang w:val="es-ES_tradnl"/>
              </w:rPr>
              <w:t>gestión solicitados</w:t>
            </w:r>
            <w:proofErr w:type="gramEnd"/>
            <w:r w:rsidRPr="00C75C7E">
              <w:rPr>
                <w:sz w:val="16"/>
                <w:szCs w:val="16"/>
                <w:lang w:val="es-ES_tradnl"/>
              </w:rPr>
              <w:t xml:space="preserve"> por el personal directivo superior, los directores de programa y los Estados miembros con arreglo a los plazos acordados.</w:t>
            </w:r>
          </w:p>
        </w:tc>
        <w:tc>
          <w:tcPr>
            <w:tcW w:w="1585" w:type="pct"/>
            <w:tcBorders>
              <w:top w:val="single" w:sz="4" w:space="0" w:color="auto"/>
            </w:tcBorders>
            <w:shd w:val="clear" w:color="auto" w:fill="FFFFFF"/>
            <w:tcMar>
              <w:top w:w="113" w:type="dxa"/>
              <w:bottom w:w="85" w:type="dxa"/>
            </w:tcMar>
          </w:tcPr>
          <w:p w:rsidR="009F58E5" w:rsidRPr="00C75C7E" w:rsidRDefault="009F58E5" w:rsidP="008F4F69">
            <w:pPr>
              <w:jc w:val="center"/>
              <w:rPr>
                <w:sz w:val="16"/>
                <w:szCs w:val="16"/>
                <w:lang w:val="es-ES_tradnl"/>
              </w:rPr>
            </w:pPr>
            <w:r w:rsidRPr="00C75C7E">
              <w:rPr>
                <w:sz w:val="16"/>
                <w:szCs w:val="16"/>
                <w:lang w:val="es-ES_tradnl"/>
              </w:rPr>
              <w:t>Programa  22</w:t>
            </w:r>
          </w:p>
        </w:tc>
      </w:tr>
      <w:tr w:rsidR="009F58E5" w:rsidRPr="00C75C7E" w:rsidTr="008F4F69">
        <w:trPr>
          <w:cantSplit/>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Atención de consultas recibidas a nivel interno y externo con arreglo a los plazos establecidos.</w:t>
            </w:r>
          </w:p>
        </w:tc>
        <w:tc>
          <w:tcPr>
            <w:tcW w:w="1585" w:type="pct"/>
            <w:shd w:val="clear" w:color="auto" w:fill="FFFFFF"/>
            <w:tcMar>
              <w:top w:w="113" w:type="dxa"/>
              <w:bottom w:w="85" w:type="dxa"/>
            </w:tcMar>
          </w:tcPr>
          <w:p w:rsidR="009F58E5" w:rsidRPr="00C75C7E" w:rsidRDefault="009F58E5" w:rsidP="008F4F69">
            <w:pPr>
              <w:jc w:val="center"/>
              <w:rPr>
                <w:sz w:val="16"/>
                <w:szCs w:val="16"/>
                <w:lang w:val="es-ES_tradnl" w:bidi="th-TH"/>
              </w:rPr>
            </w:pPr>
            <w:r w:rsidRPr="00C75C7E">
              <w:rPr>
                <w:sz w:val="16"/>
                <w:szCs w:val="16"/>
                <w:lang w:val="es-ES_tradnl"/>
              </w:rPr>
              <w:t>Programa  22</w:t>
            </w:r>
          </w:p>
        </w:tc>
      </w:tr>
      <w:tr w:rsidR="009F58E5" w:rsidRPr="00C75C7E" w:rsidTr="008F4F69">
        <w:trPr>
          <w:cantSplit/>
          <w:trHeight w:val="472"/>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bCs/>
                <w:sz w:val="16"/>
                <w:szCs w:val="16"/>
                <w:lang w:val="es-ES_tradnl"/>
              </w:rPr>
            </w:pPr>
            <w:r w:rsidRPr="00C75C7E">
              <w:rPr>
                <w:bCs/>
                <w:sz w:val="16"/>
                <w:szCs w:val="16"/>
                <w:lang w:val="es-ES_tradnl"/>
              </w:rPr>
              <w:t>Porcentaje de miembros del personal satisfechos de los servicios de recursos humanos.</w:t>
            </w:r>
          </w:p>
        </w:tc>
        <w:tc>
          <w:tcPr>
            <w:tcW w:w="1585" w:type="pct"/>
            <w:shd w:val="clear" w:color="auto" w:fill="FFFFFF"/>
            <w:tcMar>
              <w:top w:w="113" w:type="dxa"/>
              <w:bottom w:w="85" w:type="dxa"/>
            </w:tcMar>
          </w:tcPr>
          <w:p w:rsidR="009F58E5" w:rsidRPr="00C75C7E" w:rsidRDefault="009F58E5" w:rsidP="008F4F69">
            <w:pPr>
              <w:jc w:val="center"/>
              <w:rPr>
                <w:sz w:val="16"/>
                <w:szCs w:val="16"/>
                <w:lang w:val="es-ES_tradnl"/>
              </w:rPr>
            </w:pPr>
            <w:r w:rsidRPr="00C75C7E">
              <w:rPr>
                <w:sz w:val="16"/>
                <w:szCs w:val="16"/>
                <w:lang w:val="es-ES_tradnl"/>
              </w:rPr>
              <w:t>Programa  23</w:t>
            </w:r>
          </w:p>
        </w:tc>
      </w:tr>
      <w:tr w:rsidR="009F58E5" w:rsidRPr="00C75C7E" w:rsidTr="008F4F69">
        <w:trPr>
          <w:cantSplit/>
          <w:trHeight w:val="472"/>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Prestación puntual, precisa y eficaz de servicios de operaciones en materia de recursos humanos.</w:t>
            </w:r>
          </w:p>
        </w:tc>
        <w:tc>
          <w:tcPr>
            <w:tcW w:w="1585" w:type="pct"/>
            <w:shd w:val="clear" w:color="auto" w:fill="FFFFFF"/>
            <w:tcMar>
              <w:top w:w="113" w:type="dxa"/>
              <w:bottom w:w="85" w:type="dxa"/>
            </w:tcMar>
          </w:tcPr>
          <w:p w:rsidR="009F58E5" w:rsidRPr="00C75C7E" w:rsidRDefault="009F58E5" w:rsidP="008F4F69">
            <w:pPr>
              <w:jc w:val="center"/>
              <w:rPr>
                <w:sz w:val="16"/>
                <w:szCs w:val="16"/>
                <w:lang w:val="es-ES_tradnl"/>
              </w:rPr>
            </w:pPr>
            <w:r w:rsidRPr="00C75C7E">
              <w:rPr>
                <w:sz w:val="16"/>
                <w:szCs w:val="16"/>
                <w:lang w:val="es-ES_tradnl"/>
              </w:rPr>
              <w:t>Programa  23</w:t>
            </w:r>
          </w:p>
        </w:tc>
      </w:tr>
      <w:tr w:rsidR="009F58E5" w:rsidRPr="00C75C7E" w:rsidTr="008F4F69">
        <w:trPr>
          <w:cantSplit/>
          <w:trHeight w:val="472"/>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Finalización del proyecto de construcción de la nueva sala de conferencias atendiendo a los requisitos de calidad, de manera puntual y dentro de los límites presupuestarios.</w:t>
            </w:r>
          </w:p>
        </w:tc>
        <w:tc>
          <w:tcPr>
            <w:tcW w:w="1585" w:type="pct"/>
            <w:shd w:val="clear" w:color="auto" w:fill="FFFFFF"/>
            <w:tcMar>
              <w:top w:w="113" w:type="dxa"/>
              <w:bottom w:w="85" w:type="dxa"/>
            </w:tcMar>
          </w:tcPr>
          <w:p w:rsidR="009F58E5" w:rsidRPr="00C75C7E" w:rsidRDefault="009F58E5" w:rsidP="008F4F69">
            <w:pPr>
              <w:jc w:val="center"/>
              <w:rPr>
                <w:sz w:val="16"/>
                <w:szCs w:val="16"/>
                <w:lang w:val="es-ES_tradnl" w:bidi="th-TH"/>
              </w:rPr>
            </w:pPr>
            <w:r w:rsidRPr="00C75C7E">
              <w:rPr>
                <w:sz w:val="16"/>
                <w:szCs w:val="16"/>
                <w:lang w:val="es-ES_tradnl"/>
              </w:rPr>
              <w:t>Programa  29</w:t>
            </w:r>
          </w:p>
        </w:tc>
      </w:tr>
      <w:tr w:rsidR="009F58E5" w:rsidRPr="00C75C7E" w:rsidTr="008F4F69">
        <w:trPr>
          <w:cantSplit/>
          <w:trHeight w:val="617"/>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Uso de la sala de conferencias como lugar preferido para las reuniones y actividades de los Estados miembros.</w:t>
            </w:r>
          </w:p>
        </w:tc>
        <w:tc>
          <w:tcPr>
            <w:tcW w:w="1585" w:type="pct"/>
            <w:shd w:val="clear" w:color="auto" w:fill="FFFFFF"/>
            <w:tcMar>
              <w:top w:w="113" w:type="dxa"/>
              <w:bottom w:w="85" w:type="dxa"/>
            </w:tcMar>
          </w:tcPr>
          <w:p w:rsidR="009F58E5" w:rsidRPr="00C75C7E" w:rsidRDefault="009F58E5" w:rsidP="008F4F69">
            <w:pPr>
              <w:jc w:val="center"/>
              <w:rPr>
                <w:sz w:val="16"/>
                <w:szCs w:val="16"/>
                <w:lang w:val="es-ES_tradnl" w:bidi="th-TH"/>
              </w:rPr>
            </w:pPr>
            <w:r w:rsidRPr="00C75C7E">
              <w:rPr>
                <w:sz w:val="16"/>
                <w:szCs w:val="16"/>
                <w:lang w:val="es-ES_tradnl"/>
              </w:rPr>
              <w:t>Programa  29</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bCs/>
                <w:sz w:val="16"/>
                <w:szCs w:val="16"/>
                <w:lang w:val="es-ES_tradnl"/>
              </w:rPr>
            </w:pPr>
            <w:r w:rsidRPr="00C75C7E">
              <w:rPr>
                <w:bCs/>
                <w:sz w:val="16"/>
                <w:szCs w:val="16"/>
                <w:lang w:val="es-ES_tradnl"/>
              </w:rPr>
              <w:t>Disminución de los costos de adquisición de productos y servicios por la OMPI (derivada de solicitudes de ofertas o negociaciones directas).</w:t>
            </w:r>
          </w:p>
        </w:tc>
        <w:tc>
          <w:tcPr>
            <w:tcW w:w="1585" w:type="pct"/>
            <w:shd w:val="clear" w:color="auto" w:fill="FFFFFF"/>
            <w:tcMar>
              <w:top w:w="113" w:type="dxa"/>
              <w:bottom w:w="85" w:type="dxa"/>
            </w:tcMar>
          </w:tcPr>
          <w:p w:rsidR="009F58E5" w:rsidRPr="00C75C7E" w:rsidRDefault="009F58E5" w:rsidP="008F4F69">
            <w:pPr>
              <w:jc w:val="center"/>
              <w:rPr>
                <w:sz w:val="16"/>
                <w:szCs w:val="16"/>
                <w:lang w:val="es-ES_tradnl" w:bidi="th-TH"/>
              </w:rPr>
            </w:pPr>
            <w:r w:rsidRPr="00C75C7E">
              <w:rPr>
                <w:sz w:val="16"/>
                <w:szCs w:val="16"/>
                <w:lang w:val="es-ES_tradnl" w:bidi="th-TH"/>
              </w:rPr>
              <w:t>Programa  24</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usuarios internos satisfechos con los servicios de adquisiciones.</w:t>
            </w:r>
          </w:p>
        </w:tc>
        <w:tc>
          <w:tcPr>
            <w:tcW w:w="1585" w:type="pct"/>
            <w:shd w:val="clear" w:color="auto" w:fill="FFFFFF"/>
            <w:tcMar>
              <w:top w:w="113" w:type="dxa"/>
              <w:bottom w:w="85" w:type="dxa"/>
            </w:tcMar>
          </w:tcPr>
          <w:p w:rsidR="009F58E5" w:rsidRPr="00C75C7E" w:rsidRDefault="009F58E5" w:rsidP="008F4F69">
            <w:pPr>
              <w:jc w:val="center"/>
              <w:rPr>
                <w:lang w:val="es-ES_tradnl"/>
              </w:rPr>
            </w:pPr>
            <w:r w:rsidRPr="00C75C7E">
              <w:rPr>
                <w:sz w:val="16"/>
                <w:szCs w:val="16"/>
                <w:lang w:val="es-ES_tradnl" w:bidi="th-TH"/>
              </w:rPr>
              <w:t>Programa  24</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Tiempo de tramitación de peticiones relativas a los viajes (autorizaciones electrónicas de viaje (e-TA), peticiones electrónicas de actividades (e-ER), visados).</w:t>
            </w:r>
          </w:p>
        </w:tc>
        <w:tc>
          <w:tcPr>
            <w:tcW w:w="1585" w:type="pct"/>
            <w:shd w:val="clear" w:color="auto" w:fill="FFFFFF"/>
            <w:tcMar>
              <w:top w:w="113" w:type="dxa"/>
              <w:bottom w:w="85" w:type="dxa"/>
            </w:tcMar>
          </w:tcPr>
          <w:p w:rsidR="009F58E5" w:rsidRPr="00C75C7E" w:rsidRDefault="009F58E5" w:rsidP="008F4F69">
            <w:pPr>
              <w:jc w:val="center"/>
              <w:rPr>
                <w:lang w:val="es-ES_tradnl"/>
              </w:rPr>
            </w:pPr>
            <w:r w:rsidRPr="00C75C7E">
              <w:rPr>
                <w:sz w:val="16"/>
                <w:szCs w:val="16"/>
                <w:lang w:val="es-ES_tradnl" w:bidi="th-TH"/>
              </w:rPr>
              <w:t>Programa  24</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Costo medio de los billetes (billetes de la empresa de gestión de viajes y del PNUD).</w:t>
            </w:r>
          </w:p>
        </w:tc>
        <w:tc>
          <w:tcPr>
            <w:tcW w:w="1585" w:type="pct"/>
            <w:shd w:val="clear" w:color="auto" w:fill="FFFFFF"/>
            <w:tcMar>
              <w:top w:w="113" w:type="dxa"/>
              <w:bottom w:w="85" w:type="dxa"/>
            </w:tcMar>
          </w:tcPr>
          <w:p w:rsidR="009F58E5" w:rsidRPr="00C75C7E" w:rsidRDefault="009F58E5" w:rsidP="008F4F69">
            <w:pPr>
              <w:jc w:val="center"/>
              <w:rPr>
                <w:lang w:val="es-ES_tradnl"/>
              </w:rPr>
            </w:pPr>
            <w:r w:rsidRPr="00C75C7E">
              <w:rPr>
                <w:sz w:val="16"/>
                <w:szCs w:val="16"/>
                <w:lang w:val="es-ES_tradnl" w:bidi="th-TH"/>
              </w:rPr>
              <w:t>Programa  24</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Se administran eficazmente todos los tipos de espacio del recinto de la OMPI (espacios de  trabajo, almacenamiento y archivo).</w:t>
            </w:r>
          </w:p>
        </w:tc>
        <w:tc>
          <w:tcPr>
            <w:tcW w:w="1585" w:type="pct"/>
            <w:shd w:val="clear" w:color="auto" w:fill="FFFFFF"/>
            <w:tcMar>
              <w:top w:w="113" w:type="dxa"/>
              <w:bottom w:w="85" w:type="dxa"/>
            </w:tcMar>
          </w:tcPr>
          <w:p w:rsidR="009F58E5" w:rsidRPr="00C75C7E" w:rsidRDefault="009F58E5" w:rsidP="008F4F69">
            <w:pPr>
              <w:jc w:val="center"/>
              <w:rPr>
                <w:lang w:val="es-ES_tradnl"/>
              </w:rPr>
            </w:pPr>
            <w:r w:rsidRPr="00C75C7E">
              <w:rPr>
                <w:sz w:val="16"/>
                <w:szCs w:val="16"/>
                <w:lang w:val="es-ES_tradnl" w:bidi="th-TH"/>
              </w:rPr>
              <w:t>Programa  24</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highlight w:val="cyan"/>
                <w:lang w:val="es-ES_tradnl"/>
              </w:rPr>
            </w:pPr>
            <w:r w:rsidRPr="00C75C7E">
              <w:rPr>
                <w:sz w:val="16"/>
                <w:szCs w:val="16"/>
                <w:lang w:val="es-ES_tradnl"/>
              </w:rPr>
              <w:t>Se renuevan, modernizan o transforman los edificios del recinto de la OMPI para que sigan sirviendo a los fines establecidos.</w:t>
            </w:r>
          </w:p>
        </w:tc>
        <w:tc>
          <w:tcPr>
            <w:tcW w:w="1585" w:type="pct"/>
            <w:shd w:val="clear" w:color="auto" w:fill="FFFFFF"/>
            <w:tcMar>
              <w:top w:w="113" w:type="dxa"/>
              <w:bottom w:w="85" w:type="dxa"/>
            </w:tcMar>
          </w:tcPr>
          <w:p w:rsidR="009F58E5" w:rsidRPr="00C75C7E" w:rsidRDefault="009F58E5" w:rsidP="008F4F69">
            <w:pPr>
              <w:jc w:val="center"/>
              <w:rPr>
                <w:lang w:val="es-ES_tradnl"/>
              </w:rPr>
            </w:pPr>
            <w:r w:rsidRPr="00C75C7E">
              <w:rPr>
                <w:sz w:val="16"/>
                <w:szCs w:val="16"/>
                <w:lang w:val="es-ES_tradnl" w:bidi="th-TH"/>
              </w:rPr>
              <w:t>Programa  24</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 xml:space="preserve">Todos los tipos de instalaciones técnicas esenciales cumplen las normas técnicas aplicables. </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bidi="th-TH"/>
              </w:rPr>
              <w:t>Programa  24</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Los sistemas de TIC se alojan y se administran económicamente en concordancia con las necesidades operativas.</w:t>
            </w:r>
          </w:p>
          <w:p w:rsidR="009F58E5" w:rsidRPr="00C75C7E" w:rsidRDefault="009F58E5" w:rsidP="008F4F69">
            <w:pPr>
              <w:rPr>
                <w:bCs/>
                <w:sz w:val="16"/>
                <w:szCs w:val="16"/>
                <w:lang w:val="es-ES_tradnl"/>
              </w:rPr>
            </w:pP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bidi="th-TH"/>
              </w:rPr>
              <w:t>Programa  25</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Número de acuerdos de prestación de servicios para el alojamiento de sistemas y servicios que cumplen con el marco de acuerdos de prestación de servicios para las TIC.</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bidi="th-TH"/>
              </w:rPr>
              <w:t>Programa  25</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Continuidad de los servicios de TIC de los sistemas esenciales.</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bidi="th-TH"/>
              </w:rPr>
              <w:t>Programa  25</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usuarios y sectores de actividades que están satisfechos con los servicios de TIC.</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bidi="th-TH"/>
              </w:rPr>
              <w:t>Programa  25</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El personal tiene fácil acceso a tecnologías de las comunicaciones integradas y de amplio alcance.</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bidi="th-TH"/>
              </w:rPr>
              <w:t>Programa  25</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bCs/>
                <w:sz w:val="16"/>
                <w:szCs w:val="16"/>
                <w:lang w:val="es-ES_tradnl"/>
              </w:rPr>
            </w:pPr>
            <w:r w:rsidRPr="00C75C7E">
              <w:rPr>
                <w:bCs/>
                <w:sz w:val="16"/>
                <w:szCs w:val="16"/>
                <w:lang w:val="es-ES_tradnl"/>
              </w:rPr>
              <w:t>Porcentaje de usuarios internos y externos satisfechos de los Servicios de Conferencias de la OMPI.</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bidi="th-TH"/>
              </w:rPr>
              <w:t>Programa  27</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Aplicación eficaz de la Política Lingüística de la OMPI.</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bidi="th-TH"/>
              </w:rPr>
              <w:t>Programa  27</w:t>
            </w:r>
          </w:p>
        </w:tc>
      </w:tr>
      <w:tr w:rsidR="009F58E5" w:rsidRPr="00C75C7E" w:rsidTr="00B57FA6">
        <w:trPr>
          <w:cantSplit/>
          <w:trHeight w:val="218"/>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Costo por palabra traducida.</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bidi="th-TH"/>
              </w:rPr>
              <w:t>Programa  27</w:t>
            </w:r>
          </w:p>
        </w:tc>
      </w:tr>
      <w:tr w:rsidR="009F58E5" w:rsidRPr="00C75C7E" w:rsidTr="00B57FA6">
        <w:trPr>
          <w:cantSplit/>
          <w:trHeight w:val="226"/>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Calidad de las traducciones.</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bidi="th-TH"/>
              </w:rPr>
              <w:t>Programa  27</w:t>
            </w:r>
          </w:p>
        </w:tc>
      </w:tr>
      <w:tr w:rsidR="009F58E5" w:rsidRPr="00C75C7E" w:rsidTr="00B57FA6">
        <w:trPr>
          <w:cantSplit/>
          <w:trHeight w:val="372"/>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Disminución de los costos de impresión (por página).</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bidi="th-TH"/>
              </w:rPr>
              <w:t>Programa  27</w:t>
            </w:r>
          </w:p>
        </w:tc>
      </w:tr>
      <w:tr w:rsidR="00B57FA6" w:rsidRPr="00C75C7E" w:rsidTr="00B57FA6">
        <w:trPr>
          <w:cantSplit/>
          <w:trHeight w:val="516"/>
        </w:trPr>
        <w:tc>
          <w:tcPr>
            <w:tcW w:w="1891" w:type="pct"/>
            <w:shd w:val="clear" w:color="auto" w:fill="auto"/>
            <w:tcMar>
              <w:top w:w="113" w:type="dxa"/>
              <w:bottom w:w="85" w:type="dxa"/>
            </w:tcMar>
          </w:tcPr>
          <w:p w:rsidR="00B57FA6" w:rsidRPr="00C75C7E" w:rsidRDefault="00B57FA6" w:rsidP="008F4F69">
            <w:pPr>
              <w:rPr>
                <w:sz w:val="16"/>
                <w:szCs w:val="16"/>
                <w:lang w:val="es-ES_tradnl"/>
              </w:rPr>
            </w:pPr>
          </w:p>
        </w:tc>
        <w:tc>
          <w:tcPr>
            <w:tcW w:w="1524" w:type="pct"/>
            <w:shd w:val="clear" w:color="auto" w:fill="auto"/>
            <w:tcMar>
              <w:top w:w="113" w:type="dxa"/>
              <w:bottom w:w="85" w:type="dxa"/>
            </w:tcMar>
          </w:tcPr>
          <w:p w:rsidR="00B57FA6" w:rsidRPr="00C75C7E" w:rsidRDefault="00B57FA6" w:rsidP="008F4F69">
            <w:pPr>
              <w:rPr>
                <w:sz w:val="16"/>
                <w:szCs w:val="16"/>
                <w:lang w:val="es-ES_tradnl"/>
              </w:rPr>
            </w:pPr>
            <w:r>
              <w:rPr>
                <w:sz w:val="16"/>
                <w:szCs w:val="16"/>
                <w:lang w:val="es-ES_tradnl"/>
              </w:rPr>
              <w:t>Publicación a tiempo de los documentos para los comités y grupos de  trabajo.</w:t>
            </w:r>
          </w:p>
        </w:tc>
        <w:tc>
          <w:tcPr>
            <w:tcW w:w="1585" w:type="pct"/>
            <w:shd w:val="clear" w:color="auto" w:fill="FFFFFF"/>
            <w:tcMar>
              <w:top w:w="113" w:type="dxa"/>
              <w:bottom w:w="85" w:type="dxa"/>
            </w:tcMar>
          </w:tcPr>
          <w:p w:rsidR="00B57FA6" w:rsidRPr="00C75C7E" w:rsidRDefault="00B57FA6" w:rsidP="008F4F69">
            <w:pPr>
              <w:ind w:left="679"/>
              <w:rPr>
                <w:sz w:val="16"/>
                <w:szCs w:val="16"/>
                <w:lang w:val="es-ES_tradnl" w:bidi="th-TH"/>
              </w:rPr>
            </w:pPr>
            <w:r>
              <w:rPr>
                <w:sz w:val="16"/>
                <w:szCs w:val="16"/>
                <w:lang w:val="es-ES_tradnl" w:bidi="th-TH"/>
              </w:rPr>
              <w:t>Programa  27</w:t>
            </w:r>
          </w:p>
        </w:tc>
      </w:tr>
      <w:tr w:rsidR="009F58E5" w:rsidRPr="00C75C7E" w:rsidTr="008F4F69">
        <w:trPr>
          <w:cantSplit/>
          <w:trHeight w:val="516"/>
        </w:trPr>
        <w:tc>
          <w:tcPr>
            <w:tcW w:w="1891"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IX.2 Funcionamiento sin contratiempos de la Secretaría, provista de un personal bien dirigido, dotado de las competencias adecuadas</w:t>
            </w:r>
            <w:r w:rsidR="00D86F03">
              <w:rPr>
                <w:sz w:val="16"/>
                <w:szCs w:val="16"/>
                <w:lang w:val="es-ES_tradnl"/>
              </w:rPr>
              <w:t>,</w:t>
            </w:r>
            <w:r w:rsidRPr="00C75C7E">
              <w:rPr>
                <w:sz w:val="16"/>
                <w:szCs w:val="16"/>
                <w:lang w:val="es-ES_tradnl"/>
              </w:rPr>
              <w:t xml:space="preserve"> y capaz de conseguir resultados.</w:t>
            </w: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peticiones de asesoramiento y servicios jurídicos que reciben respuestas rápidas, independientes y fiables de la Oficina del Consejero Jurídico.</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bidi="th-TH"/>
              </w:rPr>
              <w:t>Programa  21</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B57FA6">
            <w:pPr>
              <w:rPr>
                <w:sz w:val="16"/>
                <w:szCs w:val="16"/>
                <w:lang w:val="es-ES_tradnl"/>
              </w:rPr>
            </w:pPr>
            <w:r w:rsidRPr="00C75C7E">
              <w:rPr>
                <w:sz w:val="16"/>
                <w:szCs w:val="16"/>
                <w:lang w:val="es-ES_tradnl"/>
              </w:rPr>
              <w:t>Informe financiero satisfactorio de los auditores externos que confirma la conformidad de las operaciones contables con los convenios y tratados aplicables de la OMPI, el Reglamento Financiero y la Reglamentación Financiera de la OMPI y las IPSAS.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22</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Rendimiento del capital invertido en concordancia con los parámetros establecidos por el Comité Asesor en materia de Inversiones.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22</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Los pagos (incluidas las tasas correspondientes a los sistemas de Madrid y de La Haya) se efectúan en el plazo estipulado.</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22</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 xml:space="preserve">Porcentaje de miembros del personal que expresan satisfacción con la formación recibida (cursos de iniciación, </w:t>
            </w:r>
            <w:r w:rsidR="00842232">
              <w:rPr>
                <w:sz w:val="16"/>
                <w:szCs w:val="16"/>
                <w:lang w:val="es-ES_tradnl"/>
              </w:rPr>
              <w:t>formación sobre el sistema de P</w:t>
            </w:r>
            <w:r w:rsidRPr="00C75C7E">
              <w:rPr>
                <w:sz w:val="16"/>
                <w:szCs w:val="16"/>
                <w:lang w:val="es-ES_tradnl"/>
              </w:rPr>
              <w:t>R</w:t>
            </w:r>
            <w:r w:rsidR="00842232">
              <w:rPr>
                <w:sz w:val="16"/>
                <w:szCs w:val="16"/>
                <w:lang w:val="es-ES_tradnl"/>
              </w:rPr>
              <w:t>I</w:t>
            </w:r>
            <w:r w:rsidRPr="00C75C7E">
              <w:rPr>
                <w:sz w:val="16"/>
                <w:szCs w:val="16"/>
                <w:lang w:val="es-ES_tradnl"/>
              </w:rPr>
              <w:t>, formación relacionada con la gestión por resultados).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22</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encuestados en la OMPI que consideran que la Organización rinde cuentas de sus resultados.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22</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programas de la OMPI que utilizan los datos sobre el rendimiento para gestionar el rendimiento del programa.</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22</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Duración del proceso de contratación.</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23</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dependencias de la Organización cuyos planes de recursos humanos están vinculados a los planes de trabajo anuales.</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rPr>
              <w:t>Programa  23</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miembros del personal recién contratados que satisfacen las necesidades de la Organización.</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rPr>
              <w:t>Programa  23</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miembros del personal cuyo desempeño se evalúa en función de objetivos y competencias específicos.</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rPr>
              <w:t>Programa  23</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necesidades de formación esenciales que se han satisfecho a nivel individual y colectivo.</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23</w:t>
            </w:r>
          </w:p>
        </w:tc>
      </w:tr>
      <w:tr w:rsidR="00B57FA6" w:rsidRPr="00C75C7E" w:rsidTr="008F4F69">
        <w:trPr>
          <w:cantSplit/>
          <w:trHeight w:val="335"/>
        </w:trPr>
        <w:tc>
          <w:tcPr>
            <w:tcW w:w="1891" w:type="pct"/>
            <w:shd w:val="clear" w:color="auto" w:fill="auto"/>
            <w:tcMar>
              <w:top w:w="113" w:type="dxa"/>
              <w:bottom w:w="85" w:type="dxa"/>
            </w:tcMar>
          </w:tcPr>
          <w:p w:rsidR="00B57FA6" w:rsidRPr="00C75C7E" w:rsidRDefault="00B57FA6" w:rsidP="008F4F69">
            <w:pPr>
              <w:rPr>
                <w:sz w:val="16"/>
                <w:szCs w:val="16"/>
                <w:lang w:val="es-ES_tradnl"/>
              </w:rPr>
            </w:pPr>
          </w:p>
        </w:tc>
        <w:tc>
          <w:tcPr>
            <w:tcW w:w="1524" w:type="pct"/>
            <w:shd w:val="clear" w:color="auto" w:fill="auto"/>
            <w:tcMar>
              <w:top w:w="113" w:type="dxa"/>
              <w:bottom w:w="85" w:type="dxa"/>
            </w:tcMar>
          </w:tcPr>
          <w:p w:rsidR="00B57FA6" w:rsidRPr="00C75C7E" w:rsidRDefault="0012598D" w:rsidP="008F4F69">
            <w:pPr>
              <w:rPr>
                <w:sz w:val="16"/>
                <w:szCs w:val="16"/>
                <w:lang w:val="es-ES_tradnl"/>
              </w:rPr>
            </w:pPr>
            <w:r>
              <w:rPr>
                <w:sz w:val="16"/>
                <w:szCs w:val="16"/>
                <w:lang w:val="es-ES_tradnl"/>
              </w:rPr>
              <w:t>Número promedio de días de ausencia por enfermedad por empleado (ausentismo)</w:t>
            </w:r>
          </w:p>
        </w:tc>
        <w:tc>
          <w:tcPr>
            <w:tcW w:w="1585" w:type="pct"/>
            <w:shd w:val="clear" w:color="auto" w:fill="FFFFFF"/>
            <w:tcMar>
              <w:top w:w="113" w:type="dxa"/>
              <w:bottom w:w="85" w:type="dxa"/>
            </w:tcMar>
          </w:tcPr>
          <w:p w:rsidR="00B57FA6" w:rsidRPr="00C75C7E" w:rsidRDefault="0012598D" w:rsidP="008F4F69">
            <w:pPr>
              <w:ind w:left="679"/>
              <w:rPr>
                <w:sz w:val="16"/>
                <w:szCs w:val="16"/>
                <w:lang w:val="es-ES_tradnl"/>
              </w:rPr>
            </w:pPr>
            <w:r>
              <w:rPr>
                <w:sz w:val="16"/>
                <w:szCs w:val="16"/>
                <w:lang w:val="es-ES_tradnl"/>
              </w:rPr>
              <w:t>Programa  23</w:t>
            </w:r>
          </w:p>
        </w:tc>
      </w:tr>
      <w:tr w:rsidR="00B57FA6" w:rsidRPr="00C75C7E" w:rsidTr="008F4F69">
        <w:trPr>
          <w:cantSplit/>
          <w:trHeight w:val="335"/>
        </w:trPr>
        <w:tc>
          <w:tcPr>
            <w:tcW w:w="1891" w:type="pct"/>
            <w:shd w:val="clear" w:color="auto" w:fill="auto"/>
            <w:tcMar>
              <w:top w:w="113" w:type="dxa"/>
              <w:bottom w:w="85" w:type="dxa"/>
            </w:tcMar>
          </w:tcPr>
          <w:p w:rsidR="00B57FA6" w:rsidRPr="00C75C7E" w:rsidRDefault="00B57FA6" w:rsidP="008F4F69">
            <w:pPr>
              <w:rPr>
                <w:sz w:val="16"/>
                <w:szCs w:val="16"/>
                <w:lang w:val="es-ES_tradnl"/>
              </w:rPr>
            </w:pPr>
          </w:p>
        </w:tc>
        <w:tc>
          <w:tcPr>
            <w:tcW w:w="1524" w:type="pct"/>
            <w:shd w:val="clear" w:color="auto" w:fill="auto"/>
            <w:tcMar>
              <w:top w:w="113" w:type="dxa"/>
              <w:bottom w:w="85" w:type="dxa"/>
            </w:tcMar>
          </w:tcPr>
          <w:p w:rsidR="00B57FA6" w:rsidRPr="00C75C7E" w:rsidRDefault="0012598D" w:rsidP="008F4F69">
            <w:pPr>
              <w:rPr>
                <w:sz w:val="16"/>
                <w:szCs w:val="16"/>
                <w:lang w:val="es-ES_tradnl"/>
              </w:rPr>
            </w:pPr>
            <w:r>
              <w:rPr>
                <w:sz w:val="16"/>
                <w:szCs w:val="16"/>
                <w:lang w:val="es-ES_tradnl"/>
              </w:rPr>
              <w:t>Porcentaje de mujeres en puestos profesionales y altos</w:t>
            </w:r>
          </w:p>
        </w:tc>
        <w:tc>
          <w:tcPr>
            <w:tcW w:w="1585" w:type="pct"/>
            <w:shd w:val="clear" w:color="auto" w:fill="FFFFFF"/>
            <w:tcMar>
              <w:top w:w="113" w:type="dxa"/>
              <w:bottom w:w="85" w:type="dxa"/>
            </w:tcMar>
          </w:tcPr>
          <w:p w:rsidR="00B57FA6" w:rsidRPr="00C75C7E" w:rsidRDefault="0012598D" w:rsidP="008F4F69">
            <w:pPr>
              <w:ind w:left="679"/>
              <w:rPr>
                <w:sz w:val="16"/>
                <w:szCs w:val="16"/>
                <w:lang w:val="es-ES_tradnl"/>
              </w:rPr>
            </w:pPr>
            <w:r>
              <w:rPr>
                <w:sz w:val="16"/>
                <w:szCs w:val="16"/>
                <w:lang w:val="es-ES_tradnl"/>
              </w:rPr>
              <w:t>Programa  23</w:t>
            </w:r>
          </w:p>
        </w:tc>
      </w:tr>
      <w:tr w:rsidR="00B57FA6" w:rsidRPr="00C75C7E" w:rsidTr="008F4F69">
        <w:trPr>
          <w:cantSplit/>
          <w:trHeight w:val="335"/>
        </w:trPr>
        <w:tc>
          <w:tcPr>
            <w:tcW w:w="1891" w:type="pct"/>
            <w:shd w:val="clear" w:color="auto" w:fill="auto"/>
            <w:tcMar>
              <w:top w:w="113" w:type="dxa"/>
              <w:bottom w:w="85" w:type="dxa"/>
            </w:tcMar>
          </w:tcPr>
          <w:p w:rsidR="00B57FA6" w:rsidRPr="00C75C7E" w:rsidRDefault="00B57FA6" w:rsidP="008F4F69">
            <w:pPr>
              <w:rPr>
                <w:sz w:val="16"/>
                <w:szCs w:val="16"/>
                <w:lang w:val="es-ES_tradnl"/>
              </w:rPr>
            </w:pPr>
          </w:p>
        </w:tc>
        <w:tc>
          <w:tcPr>
            <w:tcW w:w="1524" w:type="pct"/>
            <w:shd w:val="clear" w:color="auto" w:fill="auto"/>
            <w:tcMar>
              <w:top w:w="113" w:type="dxa"/>
              <w:bottom w:w="85" w:type="dxa"/>
            </w:tcMar>
          </w:tcPr>
          <w:p w:rsidR="00B57FA6" w:rsidRPr="00C75C7E" w:rsidRDefault="0012598D" w:rsidP="008F4F69">
            <w:pPr>
              <w:rPr>
                <w:sz w:val="16"/>
                <w:szCs w:val="16"/>
                <w:lang w:val="es-ES_tradnl"/>
              </w:rPr>
            </w:pPr>
            <w:r>
              <w:rPr>
                <w:sz w:val="16"/>
                <w:szCs w:val="16"/>
                <w:lang w:val="es-ES_tradnl"/>
              </w:rPr>
              <w:t>Diversidad geográfica – porcentaje de Estados miembros representados.</w:t>
            </w:r>
          </w:p>
        </w:tc>
        <w:tc>
          <w:tcPr>
            <w:tcW w:w="1585" w:type="pct"/>
            <w:shd w:val="clear" w:color="auto" w:fill="FFFFFF"/>
            <w:tcMar>
              <w:top w:w="113" w:type="dxa"/>
              <w:bottom w:w="85" w:type="dxa"/>
            </w:tcMar>
          </w:tcPr>
          <w:p w:rsidR="00B57FA6" w:rsidRPr="00C75C7E" w:rsidRDefault="0012598D" w:rsidP="008F4F69">
            <w:pPr>
              <w:ind w:left="679"/>
              <w:rPr>
                <w:sz w:val="16"/>
                <w:szCs w:val="16"/>
                <w:lang w:val="es-ES_tradnl"/>
              </w:rPr>
            </w:pPr>
            <w:r>
              <w:rPr>
                <w:sz w:val="16"/>
                <w:szCs w:val="16"/>
                <w:lang w:val="es-ES_tradnl"/>
              </w:rPr>
              <w:t>Programa  23</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lastRenderedPageBreak/>
              <w:t>IX.3. Entorno de trabajo propicio basado en un marco reglamentario eficaz y medios adecuados para atender los temas de interés del personal.</w:t>
            </w: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miembros del personal de la OMPI conscientes de los servicios disponibles en la Oficina del Mediador y del mecanismo informal de solución de conflictos.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bidi="th-TH"/>
              </w:rPr>
              <w:t>Programa  21</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encuestados que afirman ser conscientes de los principios y políticas de la OMPI en material de ética profesional.</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bidi="th-TH"/>
              </w:rPr>
              <w:t>Programa  21</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El Reglamento Financiero y la Reglamentación Financiera y las órdenes de servicio pertinentes están actualizados.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22</w:t>
            </w:r>
          </w:p>
        </w:tc>
      </w:tr>
      <w:tr w:rsidR="009F58E5" w:rsidRPr="00C75C7E" w:rsidTr="008F4F69">
        <w:trPr>
          <w:cantSplit/>
          <w:trHeight w:val="692"/>
        </w:trPr>
        <w:tc>
          <w:tcPr>
            <w:tcW w:w="1891"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IX.4. Una Organización responsable con el medio ambiente y la sociedad en la que se garantiza la seguridad del personal de la OMPI, los delegados, los visitantes, la información y los activos físicos.</w:t>
            </w: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Mejora de la accesibilidad al recinto de la OMPI.</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bidi="th-TH"/>
              </w:rPr>
              <w:t>Programa  24</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 xml:space="preserve">Menor repercusión de los edificios de la OMPI en el medio ambiente. </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rPr>
            </w:pPr>
            <w:r w:rsidRPr="00C75C7E">
              <w:rPr>
                <w:sz w:val="16"/>
                <w:szCs w:val="16"/>
                <w:lang w:val="es-ES_tradnl"/>
              </w:rPr>
              <w:t>Programa  24</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Los locales de la OMPI satisfacen las recomendaciones efectuadas en 2009 por el Instituto de Seguridad (</w:t>
            </w:r>
            <w:proofErr w:type="spellStart"/>
            <w:r w:rsidRPr="00C75C7E">
              <w:rPr>
                <w:sz w:val="16"/>
                <w:szCs w:val="16"/>
                <w:lang w:val="es-ES_tradnl"/>
              </w:rPr>
              <w:t>Neuchatel</w:t>
            </w:r>
            <w:proofErr w:type="spellEnd"/>
            <w:r w:rsidRPr="00C75C7E">
              <w:rPr>
                <w:sz w:val="16"/>
                <w:szCs w:val="16"/>
                <w:lang w:val="es-ES_tradnl"/>
              </w:rPr>
              <w:t>) y las medidas de seguridad del perímetro con arreglo a las normas mínimas operativas de seguridad para las sedes de NN.UU.</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rPr>
            </w:pPr>
            <w:r w:rsidRPr="00C75C7E">
              <w:rPr>
                <w:sz w:val="16"/>
                <w:szCs w:val="16"/>
                <w:lang w:val="es-ES_tradnl"/>
              </w:rPr>
              <w:t>Programa  24</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Se refuerza la seguridad de la información para protegerse contra los ataques cada vez más frecuentes en Internet.</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rPr>
              <w:t>Programa  25</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Situación de la certificación con arreglo a la norma ISO 27001 de los procedimientos de gestión de riesgos para la seguridad de la información.</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rPr>
              <w:t>Programa  25</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Eficacia de los controles de seguridad de la información (a nivel interno y externo).</w:t>
            </w:r>
          </w:p>
        </w:tc>
        <w:tc>
          <w:tcPr>
            <w:tcW w:w="1585" w:type="pct"/>
            <w:shd w:val="clear" w:color="auto" w:fill="FFFFFF"/>
            <w:tcMar>
              <w:top w:w="113" w:type="dxa"/>
              <w:bottom w:w="85" w:type="dxa"/>
            </w:tcMar>
          </w:tcPr>
          <w:p w:rsidR="009F58E5" w:rsidRPr="00C75C7E" w:rsidRDefault="009F58E5" w:rsidP="008F4F69">
            <w:pPr>
              <w:ind w:left="679"/>
              <w:rPr>
                <w:lang w:val="es-ES_tradnl"/>
              </w:rPr>
            </w:pPr>
            <w:r w:rsidRPr="00C75C7E">
              <w:rPr>
                <w:sz w:val="16"/>
                <w:szCs w:val="16"/>
                <w:lang w:val="es-ES_tradnl"/>
              </w:rPr>
              <w:t>Programa  25</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miembros del personal, delegados y visitantes que notifican lesiones o incidentes relacionados con el entorno laboral.</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28</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peticiones de asistencia relativa a la seguridad atendidas puntualmente en las conferencias o actividades organizadas en Ginebra o en otros lugares.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28</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Supervisión de las medidas de acceso físico para velar por que se cumplan plenamente las normas aplicables durante el período de construcción de la nueva sala de conferencias y las instalaciones conexas.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29</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Supervisión de las medidas aplicadas durante el período de construcción con el fin de respetar el medio ambiente y reducir el consumo de energía.</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29</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Finalización de la aplicación de las medidas de seguridad del perímetro de la nueva sala de conferencias con arreglo a las normas mínimas operativas de seguridad para las sedes de NN.UU.</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29</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IX.8. Mejor rendición de cuentas, aprendizaje institucional, uso óptimo de los recursos, administración, control interno y buen gobierno gracias a la asistencia que proporciona una supervisión eficaz e independiente.</w:t>
            </w: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Número de interferencias y grado de independencia percibido por las principales partes interesadas.</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26</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Porcentaje de EFICACIA de la labor de la DASI que abarca esferas de alto riesgo y gran pertinencia.</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26</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EFICIENCIA</w:t>
            </w:r>
            <w:proofErr w:type="gramStart"/>
            <w:r w:rsidRPr="00C75C7E">
              <w:rPr>
                <w:sz w:val="16"/>
                <w:szCs w:val="16"/>
                <w:lang w:val="es-ES_tradnl"/>
              </w:rPr>
              <w:t>:  a</w:t>
            </w:r>
            <w:proofErr w:type="gramEnd"/>
            <w:r w:rsidRPr="00C75C7E">
              <w:rPr>
                <w:sz w:val="16"/>
                <w:szCs w:val="16"/>
                <w:lang w:val="es-ES_tradnl"/>
              </w:rPr>
              <w:t xml:space="preserve">) Finalización puntual y de calidad de los informes de supervisión;  b) Número de auditorías y evaluaciones ejecutadas en relación con el plan de trabajo en materia de supervisión;  c) Número de denuncias/notificaciones de posible conducta indebida que se han tramitado. </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26</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PERTINENCIA, VALOR AÑADIDO Y ADMINISTRACIÓN</w:t>
            </w:r>
            <w:proofErr w:type="gramStart"/>
            <w:r w:rsidRPr="00C75C7E">
              <w:rPr>
                <w:sz w:val="16"/>
                <w:szCs w:val="16"/>
                <w:lang w:val="es-ES_tradnl"/>
              </w:rPr>
              <w:t>:  Ahorros</w:t>
            </w:r>
            <w:proofErr w:type="gramEnd"/>
            <w:r w:rsidRPr="00C75C7E">
              <w:rPr>
                <w:sz w:val="16"/>
                <w:szCs w:val="16"/>
                <w:lang w:val="es-ES_tradnl"/>
              </w:rPr>
              <w:t xml:space="preserve"> o mejoras tangibles en los procedimientos y sistemas.</w:t>
            </w:r>
          </w:p>
          <w:p w:rsidR="009F58E5" w:rsidRPr="00C75C7E" w:rsidRDefault="009F58E5" w:rsidP="008F4F69">
            <w:pPr>
              <w:rPr>
                <w:sz w:val="16"/>
                <w:szCs w:val="16"/>
                <w:lang w:val="es-ES_tradnl"/>
              </w:rPr>
            </w:pP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26</w:t>
            </w:r>
          </w:p>
        </w:tc>
      </w:tr>
      <w:tr w:rsidR="009F58E5" w:rsidRPr="00C75C7E" w:rsidTr="008F4F69">
        <w:trPr>
          <w:cantSplit/>
          <w:trHeight w:val="335"/>
        </w:trPr>
        <w:tc>
          <w:tcPr>
            <w:tcW w:w="1891" w:type="pct"/>
            <w:shd w:val="clear" w:color="auto" w:fill="auto"/>
            <w:tcMar>
              <w:top w:w="113" w:type="dxa"/>
              <w:bottom w:w="85" w:type="dxa"/>
            </w:tcMar>
          </w:tcPr>
          <w:p w:rsidR="009F58E5" w:rsidRPr="00C75C7E" w:rsidRDefault="009F58E5" w:rsidP="008F4F69">
            <w:pPr>
              <w:rPr>
                <w:sz w:val="16"/>
                <w:szCs w:val="16"/>
                <w:lang w:val="es-ES_tradnl"/>
              </w:rPr>
            </w:pPr>
          </w:p>
        </w:tc>
        <w:tc>
          <w:tcPr>
            <w:tcW w:w="1524" w:type="pct"/>
            <w:shd w:val="clear" w:color="auto" w:fill="auto"/>
            <w:tcMar>
              <w:top w:w="113" w:type="dxa"/>
              <w:bottom w:w="85" w:type="dxa"/>
            </w:tcMar>
          </w:tcPr>
          <w:p w:rsidR="009F58E5" w:rsidRPr="00C75C7E" w:rsidRDefault="009F58E5" w:rsidP="008F4F69">
            <w:pPr>
              <w:rPr>
                <w:sz w:val="16"/>
                <w:szCs w:val="16"/>
                <w:lang w:val="es-ES_tradnl"/>
              </w:rPr>
            </w:pPr>
            <w:r w:rsidRPr="00C75C7E">
              <w:rPr>
                <w:sz w:val="16"/>
                <w:szCs w:val="16"/>
                <w:lang w:val="es-ES_tradnl"/>
              </w:rPr>
              <w:t>APRENDIZAJE INSTITUCIONAL:   Adopción de enseñanzas y recomendaciones extraídas de los procesos de supervisión.</w:t>
            </w:r>
          </w:p>
        </w:tc>
        <w:tc>
          <w:tcPr>
            <w:tcW w:w="1585" w:type="pct"/>
            <w:shd w:val="clear" w:color="auto" w:fill="FFFFFF"/>
            <w:tcMar>
              <w:top w:w="113" w:type="dxa"/>
              <w:bottom w:w="85" w:type="dxa"/>
            </w:tcMar>
          </w:tcPr>
          <w:p w:rsidR="009F58E5" w:rsidRPr="00C75C7E" w:rsidRDefault="009F58E5" w:rsidP="008F4F69">
            <w:pPr>
              <w:ind w:left="679"/>
              <w:rPr>
                <w:sz w:val="16"/>
                <w:szCs w:val="16"/>
                <w:lang w:val="es-ES_tradnl" w:bidi="th-TH"/>
              </w:rPr>
            </w:pPr>
            <w:r w:rsidRPr="00C75C7E">
              <w:rPr>
                <w:sz w:val="16"/>
                <w:szCs w:val="16"/>
                <w:lang w:val="es-ES_tradnl"/>
              </w:rPr>
              <w:t>Programa  26</w:t>
            </w:r>
          </w:p>
        </w:tc>
      </w:tr>
    </w:tbl>
    <w:p w:rsidR="009F58E5" w:rsidRPr="00C75C7E" w:rsidRDefault="009F58E5" w:rsidP="009F58E5">
      <w:pPr>
        <w:tabs>
          <w:tab w:val="left" w:pos="1701"/>
        </w:tabs>
        <w:ind w:left="1701" w:hanging="1701"/>
        <w:jc w:val="center"/>
        <w:rPr>
          <w:b/>
          <w:bCs/>
          <w:caps/>
          <w:sz w:val="20"/>
          <w:highlight w:val="yellow"/>
          <w:lang w:val="es-ES_tradnl"/>
        </w:rPr>
      </w:pPr>
    </w:p>
    <w:p w:rsidR="00D73B21" w:rsidRPr="002709AA" w:rsidRDefault="009F58E5" w:rsidP="002709AA">
      <w:pPr>
        <w:pStyle w:val="Heading3"/>
        <w:tabs>
          <w:tab w:val="left" w:pos="1985"/>
        </w:tabs>
        <w:rPr>
          <w:b/>
          <w:u w:val="none"/>
          <w:lang w:val="es-ES_tradnl"/>
        </w:rPr>
      </w:pPr>
      <w:r w:rsidRPr="00C75C7E">
        <w:rPr>
          <w:sz w:val="20"/>
          <w:lang w:val="es-ES_tradnl"/>
        </w:rPr>
        <w:br w:type="page"/>
      </w:r>
      <w:bookmarkStart w:id="85" w:name="_Toc356567776"/>
      <w:bookmarkStart w:id="86" w:name="_Toc366078745"/>
      <w:r w:rsidR="002709AA" w:rsidRPr="002709AA">
        <w:rPr>
          <w:b/>
          <w:u w:val="none"/>
          <w:lang w:val="es-ES_tradnl"/>
        </w:rPr>
        <w:lastRenderedPageBreak/>
        <w:t>PROGRAMA 21</w:t>
      </w:r>
      <w:r w:rsidR="002709AA" w:rsidRPr="002709AA">
        <w:rPr>
          <w:b/>
          <w:u w:val="none"/>
          <w:lang w:val="es-ES_tradnl"/>
        </w:rPr>
        <w:tab/>
      </w:r>
      <w:bookmarkEnd w:id="85"/>
      <w:r w:rsidR="002709AA" w:rsidRPr="002709AA">
        <w:rPr>
          <w:b/>
          <w:u w:val="none"/>
          <w:lang w:val="es-ES_tradnl"/>
        </w:rPr>
        <w:t>GESTIÓN EJECUTIVA</w:t>
      </w:r>
      <w:bookmarkEnd w:id="86"/>
      <w:r w:rsidR="002709AA" w:rsidRPr="002709AA">
        <w:rPr>
          <w:b/>
          <w:u w:val="none"/>
          <w:lang w:val="es-ES_tradnl"/>
        </w:rPr>
        <w:t xml:space="preserve"> </w:t>
      </w:r>
    </w:p>
    <w:p w:rsidR="00D73B21" w:rsidRPr="005A74C3" w:rsidRDefault="00D73B21" w:rsidP="00D73B21">
      <w:pPr>
        <w:tabs>
          <w:tab w:val="left" w:pos="2268"/>
        </w:tabs>
        <w:ind w:left="2268" w:hanging="2268"/>
        <w:rPr>
          <w:sz w:val="20"/>
        </w:rPr>
      </w:pPr>
    </w:p>
    <w:p w:rsidR="00D73B21" w:rsidRPr="005A74C3" w:rsidRDefault="00D73B21" w:rsidP="00D73B21">
      <w:pPr>
        <w:tabs>
          <w:tab w:val="left" w:pos="2268"/>
        </w:tabs>
        <w:ind w:left="2268" w:hanging="2268"/>
        <w:rPr>
          <w:b/>
          <w:sz w:val="20"/>
        </w:rPr>
      </w:pPr>
    </w:p>
    <w:p w:rsidR="00D73B21" w:rsidRPr="005A74C3" w:rsidRDefault="00D73B21" w:rsidP="00D73B21">
      <w:pPr>
        <w:pStyle w:val="BodyTextIndent"/>
        <w:ind w:left="1985" w:hanging="1985"/>
        <w:jc w:val="both"/>
        <w:rPr>
          <w:rFonts w:ascii="Arial" w:hAnsi="Arial" w:cs="Arial"/>
          <w:sz w:val="22"/>
          <w:szCs w:val="22"/>
          <w:lang w:val="es-ES"/>
        </w:rPr>
      </w:pPr>
      <w:r w:rsidRPr="005A74C3">
        <w:rPr>
          <w:rFonts w:ascii="Arial" w:hAnsi="Arial" w:cs="Arial"/>
          <w:sz w:val="22"/>
          <w:szCs w:val="22"/>
          <w:lang w:val="es-ES"/>
        </w:rPr>
        <w:t>CONTEXTO DE PLANIFICACI</w:t>
      </w:r>
      <w:r>
        <w:rPr>
          <w:rFonts w:ascii="Arial" w:hAnsi="Arial" w:cs="Arial"/>
          <w:sz w:val="22"/>
          <w:szCs w:val="22"/>
          <w:lang w:val="es-ES"/>
        </w:rPr>
        <w:t>ÓN</w:t>
      </w:r>
    </w:p>
    <w:p w:rsidR="00D73B21" w:rsidRPr="005A74C3" w:rsidRDefault="00D73B21" w:rsidP="00D73B21">
      <w:pPr>
        <w:rPr>
          <w:sz w:val="20"/>
        </w:rPr>
      </w:pPr>
    </w:p>
    <w:p w:rsidR="00D73B21" w:rsidRPr="00683522" w:rsidRDefault="00D73B21" w:rsidP="00D73B21">
      <w:pPr>
        <w:numPr>
          <w:ilvl w:val="0"/>
          <w:numId w:val="40"/>
        </w:numPr>
        <w:jc w:val="both"/>
        <w:rPr>
          <w:sz w:val="20"/>
        </w:rPr>
      </w:pPr>
      <w:r>
        <w:rPr>
          <w:sz w:val="20"/>
        </w:rPr>
        <w:t>El programa de g</w:t>
      </w:r>
      <w:r w:rsidRPr="00683522">
        <w:rPr>
          <w:sz w:val="20"/>
        </w:rPr>
        <w:t>estión ejecutiva</w:t>
      </w:r>
      <w:r>
        <w:rPr>
          <w:sz w:val="20"/>
        </w:rPr>
        <w:t xml:space="preserve"> proporciona a la Organización una dirección estratégica que le permite progresar para alcanzar sus</w:t>
      </w:r>
      <w:r w:rsidRPr="00683522">
        <w:rPr>
          <w:sz w:val="20"/>
        </w:rPr>
        <w:t xml:space="preserve"> metas</w:t>
      </w:r>
      <w:r>
        <w:rPr>
          <w:sz w:val="20"/>
        </w:rPr>
        <w:t xml:space="preserve"> estratégicas.  Asimismo, se encarga de dirigir el cambio necesario para garantizar que la OMPI cumpla con su mandato de manera eficiente y eficaz en el marco de un entorno externo </w:t>
      </w:r>
      <w:r w:rsidRPr="0085168E">
        <w:rPr>
          <w:sz w:val="20"/>
        </w:rPr>
        <w:t>en rápida evolución</w:t>
      </w:r>
      <w:r>
        <w:rPr>
          <w:sz w:val="20"/>
        </w:rPr>
        <w:t>.</w:t>
      </w:r>
    </w:p>
    <w:p w:rsidR="00D73B21" w:rsidRPr="00683522" w:rsidRDefault="00D73B21" w:rsidP="00D73B21">
      <w:pPr>
        <w:jc w:val="both"/>
        <w:rPr>
          <w:sz w:val="20"/>
        </w:rPr>
      </w:pPr>
    </w:p>
    <w:p w:rsidR="00D73B21" w:rsidRPr="00DA4539" w:rsidRDefault="00D73B21" w:rsidP="00D73B21">
      <w:pPr>
        <w:numPr>
          <w:ilvl w:val="0"/>
          <w:numId w:val="40"/>
        </w:numPr>
        <w:jc w:val="both"/>
        <w:rPr>
          <w:sz w:val="20"/>
        </w:rPr>
      </w:pPr>
      <w:r>
        <w:rPr>
          <w:sz w:val="20"/>
        </w:rPr>
        <w:t xml:space="preserve">El </w:t>
      </w:r>
      <w:r w:rsidR="00AE7D43">
        <w:rPr>
          <w:sz w:val="20"/>
        </w:rPr>
        <w:t>Programa de Alineación Estratégica</w:t>
      </w:r>
      <w:r>
        <w:rPr>
          <w:sz w:val="20"/>
        </w:rPr>
        <w:t xml:space="preserve"> concluirá en 2013.  Por lo tanto, resultará importante para el programa que en el próximo bienio se labore junto a otras unidades de la Organización para garantizar que los beneficios y las mejoras realizadas, gracias a la puesta en práctica del </w:t>
      </w:r>
      <w:r w:rsidR="00AE7D43">
        <w:rPr>
          <w:sz w:val="20"/>
        </w:rPr>
        <w:t>Programa de Alineación Estratégica</w:t>
      </w:r>
      <w:r>
        <w:rPr>
          <w:sz w:val="20"/>
        </w:rPr>
        <w:t xml:space="preserve">, sean constantes y se sustenten en una continua mejora y un alto nivel de participación del personal.  Las prioridades centrales de la Organización seguirán guiando al equipo directivo y al personal en su labor.  La puesta en práctica de la cartera de proyectos del </w:t>
      </w:r>
      <w:r w:rsidRPr="00463CD1">
        <w:rPr>
          <w:sz w:val="20"/>
        </w:rPr>
        <w:t>sistem</w:t>
      </w:r>
      <w:r>
        <w:rPr>
          <w:sz w:val="20"/>
        </w:rPr>
        <w:t>a de planificación</w:t>
      </w:r>
      <w:r w:rsidRPr="00463CD1">
        <w:rPr>
          <w:sz w:val="20"/>
        </w:rPr>
        <w:t xml:space="preserve"> de</w:t>
      </w:r>
      <w:r>
        <w:rPr>
          <w:sz w:val="20"/>
        </w:rPr>
        <w:t xml:space="preserve"> los </w:t>
      </w:r>
      <w:r w:rsidRPr="00463CD1">
        <w:rPr>
          <w:sz w:val="20"/>
        </w:rPr>
        <w:t>recursos</w:t>
      </w:r>
      <w:r>
        <w:rPr>
          <w:sz w:val="20"/>
        </w:rPr>
        <w:t xml:space="preserve"> institucionales, que constituye una de las iniciativas principales del </w:t>
      </w:r>
      <w:r w:rsidR="00AE7D43">
        <w:rPr>
          <w:sz w:val="20"/>
        </w:rPr>
        <w:t>Programa de Alineación Estratégica</w:t>
      </w:r>
      <w:r>
        <w:rPr>
          <w:sz w:val="20"/>
        </w:rPr>
        <w:t>, seguirá siendo una prioridad durante el bienio.</w:t>
      </w:r>
    </w:p>
    <w:p w:rsidR="00D73B21" w:rsidRPr="00DA4539" w:rsidRDefault="00D73B21" w:rsidP="00D73B21">
      <w:pPr>
        <w:jc w:val="both"/>
        <w:rPr>
          <w:sz w:val="20"/>
        </w:rPr>
      </w:pPr>
    </w:p>
    <w:p w:rsidR="00D73B21" w:rsidRPr="00B57849" w:rsidRDefault="00D73B21" w:rsidP="00D73B21">
      <w:pPr>
        <w:numPr>
          <w:ilvl w:val="0"/>
          <w:numId w:val="40"/>
        </w:numPr>
        <w:jc w:val="both"/>
        <w:rPr>
          <w:sz w:val="20"/>
        </w:rPr>
      </w:pPr>
      <w:r w:rsidRPr="007F6B1D">
        <w:rPr>
          <w:sz w:val="20"/>
        </w:rPr>
        <w:t xml:space="preserve">El </w:t>
      </w:r>
      <w:r>
        <w:rPr>
          <w:sz w:val="20"/>
        </w:rPr>
        <w:t>entorno externo en el</w:t>
      </w:r>
      <w:r w:rsidRPr="006517ED">
        <w:rPr>
          <w:sz w:val="20"/>
        </w:rPr>
        <w:t xml:space="preserve"> que </w:t>
      </w:r>
      <w:r>
        <w:rPr>
          <w:sz w:val="20"/>
        </w:rPr>
        <w:t xml:space="preserve">actúa la OMPI sigue siendo difícil y plantea desafíos para la consecución de sus </w:t>
      </w:r>
      <w:r w:rsidRPr="006517ED">
        <w:rPr>
          <w:sz w:val="20"/>
        </w:rPr>
        <w:t>objetivos</w:t>
      </w:r>
      <w:r>
        <w:rPr>
          <w:sz w:val="20"/>
        </w:rPr>
        <w:t xml:space="preserve">.  A pesar de que </w:t>
      </w:r>
      <w:r w:rsidRPr="00B57849">
        <w:rPr>
          <w:sz w:val="20"/>
        </w:rPr>
        <w:t>la</w:t>
      </w:r>
      <w:r>
        <w:rPr>
          <w:sz w:val="20"/>
        </w:rPr>
        <w:t xml:space="preserve"> situación económica mundial sigua</w:t>
      </w:r>
      <w:r w:rsidRPr="00B57849">
        <w:rPr>
          <w:sz w:val="20"/>
        </w:rPr>
        <w:t xml:space="preserve"> siendo frágil</w:t>
      </w:r>
      <w:r>
        <w:rPr>
          <w:sz w:val="20"/>
        </w:rPr>
        <w:t>, la intensa competencia económica ha puesto de relieve la importancia de la P.I. y de la innovación para el éxito económico y el</w:t>
      </w:r>
      <w:r w:rsidRPr="00B57849">
        <w:rPr>
          <w:sz w:val="20"/>
        </w:rPr>
        <w:t xml:space="preserve"> </w:t>
      </w:r>
      <w:r>
        <w:rPr>
          <w:sz w:val="20"/>
        </w:rPr>
        <w:t xml:space="preserve">desarrollo nacional.  </w:t>
      </w:r>
      <w:r w:rsidRPr="000728C6">
        <w:rPr>
          <w:sz w:val="20"/>
        </w:rPr>
        <w:t>La consolidación de muchas cuestiones, prevista en las actividades</w:t>
      </w:r>
      <w:r>
        <w:rPr>
          <w:sz w:val="20"/>
        </w:rPr>
        <w:t xml:space="preserve"> normativas de la OMPI para el próximo bienio, resalta la voluntad de centrarse de forma permanente en la P.I., al tiempo que exige el apoyo y la asistencia los Estados miembros.  Es necesario aportar una pronta respuesta que sea </w:t>
      </w:r>
      <w:r w:rsidRPr="00B87A72">
        <w:rPr>
          <w:sz w:val="20"/>
        </w:rPr>
        <w:t>equitativa y eficaz</w:t>
      </w:r>
      <w:r>
        <w:rPr>
          <w:sz w:val="20"/>
        </w:rPr>
        <w:t xml:space="preserve"> que al mismo tiempo garantice </w:t>
      </w:r>
      <w:r w:rsidRPr="00C4428F">
        <w:rPr>
          <w:sz w:val="20"/>
        </w:rPr>
        <w:t>que los servicios generadores de ingresos de la OMPI cuenten con los recursos adecuados</w:t>
      </w:r>
      <w:r>
        <w:rPr>
          <w:sz w:val="20"/>
        </w:rPr>
        <w:t>, sean reformados y sigan siendo competitivos</w:t>
      </w:r>
      <w:r w:rsidRPr="00C4428F">
        <w:rPr>
          <w:sz w:val="20"/>
        </w:rPr>
        <w:t>.</w:t>
      </w:r>
    </w:p>
    <w:p w:rsidR="00D73B21" w:rsidRPr="00B57849" w:rsidRDefault="00D73B21" w:rsidP="00D73B21">
      <w:pPr>
        <w:jc w:val="both"/>
        <w:rPr>
          <w:sz w:val="20"/>
        </w:rPr>
      </w:pPr>
    </w:p>
    <w:p w:rsidR="00D73B21" w:rsidRPr="002709AA" w:rsidRDefault="00D73B21" w:rsidP="00D73B21">
      <w:pPr>
        <w:tabs>
          <w:tab w:val="num" w:pos="709"/>
        </w:tabs>
        <w:rPr>
          <w:bCs/>
          <w:sz w:val="20"/>
          <w:lang w:val="es-ES_tradnl"/>
        </w:rPr>
      </w:pPr>
    </w:p>
    <w:p w:rsidR="00D73B21" w:rsidRPr="002709AA" w:rsidRDefault="00D73B21" w:rsidP="00D73B21">
      <w:pPr>
        <w:jc w:val="both"/>
        <w:rPr>
          <w:iCs/>
          <w:sz w:val="20"/>
          <w:lang w:val="es-ES_tradnl"/>
        </w:rPr>
      </w:pPr>
      <w:r w:rsidRPr="002709AA">
        <w:rPr>
          <w:iCs/>
          <w:szCs w:val="22"/>
          <w:lang w:val="es-ES_tradnl"/>
        </w:rPr>
        <w:t>ESTRATEGIAS DE EJECUCIÓN</w:t>
      </w:r>
    </w:p>
    <w:p w:rsidR="00D73B21" w:rsidRPr="00B57849" w:rsidRDefault="00D73B21" w:rsidP="00D73B21">
      <w:pPr>
        <w:tabs>
          <w:tab w:val="num" w:pos="709"/>
        </w:tabs>
        <w:jc w:val="both"/>
        <w:rPr>
          <w:bCs/>
          <w:sz w:val="20"/>
          <w:lang w:val="en-GB"/>
        </w:rPr>
      </w:pPr>
    </w:p>
    <w:p w:rsidR="00D73B21" w:rsidRPr="00AA3EFE" w:rsidRDefault="00D73B21" w:rsidP="00D73B21">
      <w:pPr>
        <w:numPr>
          <w:ilvl w:val="0"/>
          <w:numId w:val="40"/>
        </w:numPr>
        <w:jc w:val="both"/>
        <w:rPr>
          <w:sz w:val="20"/>
        </w:rPr>
      </w:pPr>
      <w:r>
        <w:rPr>
          <w:sz w:val="20"/>
        </w:rPr>
        <w:t>Para mantener un</w:t>
      </w:r>
      <w:r w:rsidR="00425E19">
        <w:rPr>
          <w:sz w:val="20"/>
        </w:rPr>
        <w:t>a</w:t>
      </w:r>
      <w:r w:rsidRPr="00AA3EFE">
        <w:rPr>
          <w:sz w:val="20"/>
        </w:rPr>
        <w:t xml:space="preserve"> atención permanente en la P.I.</w:t>
      </w:r>
      <w:r>
        <w:rPr>
          <w:sz w:val="20"/>
        </w:rPr>
        <w:t xml:space="preserve"> y el equilibrio entre los distintos intereses, en el contexto actual, será necesario que el programa insista considerablemente en liderar</w:t>
      </w:r>
      <w:r w:rsidRPr="00143ED4">
        <w:rPr>
          <w:sz w:val="20"/>
        </w:rPr>
        <w:t xml:space="preserve"> los esfuerzos para fortalecer una comunicación fiable y transparente con los Estados miembros y otras partes interesadas</w:t>
      </w:r>
      <w:r>
        <w:rPr>
          <w:sz w:val="20"/>
        </w:rPr>
        <w:t>,</w:t>
      </w:r>
      <w:r w:rsidRPr="00143ED4">
        <w:rPr>
          <w:sz w:val="20"/>
        </w:rPr>
        <w:t xml:space="preserve"> con el f</w:t>
      </w:r>
      <w:r>
        <w:rPr>
          <w:sz w:val="20"/>
        </w:rPr>
        <w:t xml:space="preserve">in de facilitar </w:t>
      </w:r>
      <w:r w:rsidRPr="00143ED4">
        <w:rPr>
          <w:sz w:val="20"/>
        </w:rPr>
        <w:t xml:space="preserve">el logro </w:t>
      </w:r>
      <w:r>
        <w:rPr>
          <w:sz w:val="20"/>
        </w:rPr>
        <w:t>de un consenso en torno al cumplimiento de las metas estratégicas</w:t>
      </w:r>
      <w:r w:rsidRPr="00143ED4">
        <w:rPr>
          <w:sz w:val="20"/>
        </w:rPr>
        <w:t>.</w:t>
      </w:r>
    </w:p>
    <w:p w:rsidR="00D73B21" w:rsidRPr="00AA3EFE" w:rsidRDefault="00D73B21" w:rsidP="00D73B21">
      <w:pPr>
        <w:jc w:val="both"/>
        <w:rPr>
          <w:sz w:val="20"/>
        </w:rPr>
      </w:pPr>
    </w:p>
    <w:p w:rsidR="00D73B21" w:rsidRPr="0028313C" w:rsidRDefault="00D73B21" w:rsidP="00D73B21">
      <w:pPr>
        <w:numPr>
          <w:ilvl w:val="0"/>
          <w:numId w:val="40"/>
        </w:numPr>
        <w:jc w:val="both"/>
        <w:rPr>
          <w:sz w:val="20"/>
        </w:rPr>
      </w:pPr>
      <w:r w:rsidRPr="00F741AA">
        <w:rPr>
          <w:sz w:val="20"/>
        </w:rPr>
        <w:t>El programa promoverá y apoyará la aplicación de estrategias e iniciativas tendientes a</w:t>
      </w:r>
      <w:r>
        <w:rPr>
          <w:sz w:val="20"/>
        </w:rPr>
        <w:t xml:space="preserve"> </w:t>
      </w:r>
      <w:r w:rsidRPr="00F741AA">
        <w:rPr>
          <w:sz w:val="20"/>
        </w:rPr>
        <w:t>consolidar una administración orientada a la ejecución e integrada, así como a reforzar la rendición de</w:t>
      </w:r>
      <w:r>
        <w:rPr>
          <w:sz w:val="20"/>
        </w:rPr>
        <w:t xml:space="preserve"> </w:t>
      </w:r>
      <w:r w:rsidRPr="00F741AA">
        <w:rPr>
          <w:sz w:val="20"/>
        </w:rPr>
        <w:t>cuentas</w:t>
      </w:r>
      <w:r w:rsidRPr="0028313C">
        <w:rPr>
          <w:sz w:val="20"/>
        </w:rPr>
        <w:t>, fomentar la conducta ética y el buen gobierno, y mejorar el rendimiento en consonancia con el marco de gestión por resultados de la OMPI y el plan estratégico a mediano plazo, y que tengan en cuenta la Agenda para el Desarrollo.</w:t>
      </w:r>
      <w:r>
        <w:rPr>
          <w:sz w:val="20"/>
        </w:rPr>
        <w:t xml:space="preserve">  </w:t>
      </w:r>
      <w:r w:rsidRPr="0028313C">
        <w:rPr>
          <w:sz w:val="20"/>
        </w:rPr>
        <w:t>Las actividades del programa estarán encaminadas a lograr un entorno de trabajo productivo, que refleje las prioridades de la Organiz</w:t>
      </w:r>
      <w:r>
        <w:rPr>
          <w:sz w:val="20"/>
        </w:rPr>
        <w:t xml:space="preserve">ación, y esté respaldado por un </w:t>
      </w:r>
      <w:r w:rsidR="00425E19">
        <w:rPr>
          <w:sz w:val="20"/>
        </w:rPr>
        <w:t>marco reglamentario</w:t>
      </w:r>
      <w:r w:rsidRPr="0028313C">
        <w:rPr>
          <w:sz w:val="20"/>
        </w:rPr>
        <w:t xml:space="preserve"> justo y equitativo, políticas que propicien un entorno laboral respetuoso y medios de comunicación eficaces para abordar las preocupaciones del personal.</w:t>
      </w:r>
    </w:p>
    <w:p w:rsidR="00D73B21" w:rsidRPr="0028313C" w:rsidRDefault="00D73B21" w:rsidP="00D73B21">
      <w:pPr>
        <w:jc w:val="both"/>
        <w:rPr>
          <w:sz w:val="20"/>
        </w:rPr>
      </w:pPr>
    </w:p>
    <w:p w:rsidR="00D73B21" w:rsidRPr="003B6030" w:rsidRDefault="00D73B21" w:rsidP="00D73B21">
      <w:pPr>
        <w:numPr>
          <w:ilvl w:val="0"/>
          <w:numId w:val="40"/>
        </w:numPr>
        <w:jc w:val="both"/>
        <w:rPr>
          <w:sz w:val="20"/>
        </w:rPr>
      </w:pPr>
      <w:r>
        <w:rPr>
          <w:sz w:val="20"/>
        </w:rPr>
        <w:t>En 2014/15</w:t>
      </w:r>
      <w:r w:rsidRPr="003B6030">
        <w:rPr>
          <w:sz w:val="20"/>
        </w:rPr>
        <w:t>, se seguirán aplicando las siguientes estrategias</w:t>
      </w:r>
      <w:r>
        <w:rPr>
          <w:sz w:val="20"/>
        </w:rPr>
        <w:t>:</w:t>
      </w:r>
    </w:p>
    <w:p w:rsidR="00D73B21" w:rsidRPr="003B6030" w:rsidRDefault="00D73B21" w:rsidP="00D73B21">
      <w:pPr>
        <w:jc w:val="both"/>
        <w:rPr>
          <w:sz w:val="20"/>
        </w:rPr>
      </w:pPr>
    </w:p>
    <w:p w:rsidR="00D73B21" w:rsidRPr="003B6030" w:rsidRDefault="002709AA" w:rsidP="002709AA">
      <w:pPr>
        <w:ind w:left="567"/>
        <w:jc w:val="both"/>
        <w:rPr>
          <w:sz w:val="20"/>
        </w:rPr>
      </w:pPr>
      <w:r w:rsidRPr="002709AA">
        <w:rPr>
          <w:sz w:val="20"/>
        </w:rPr>
        <w:t>i)</w:t>
      </w:r>
      <w:r w:rsidRPr="002709AA">
        <w:rPr>
          <w:sz w:val="20"/>
        </w:rPr>
        <w:tab/>
      </w:r>
      <w:r w:rsidR="00D73B21" w:rsidRPr="00DC7E11">
        <w:rPr>
          <w:i/>
          <w:sz w:val="20"/>
        </w:rPr>
        <w:t>Fortalecer la comunicación con los Estados miembros</w:t>
      </w:r>
      <w:r w:rsidR="00D73B21" w:rsidRPr="003B6030">
        <w:rPr>
          <w:sz w:val="20"/>
        </w:rPr>
        <w:t xml:space="preserve">: La </w:t>
      </w:r>
      <w:r w:rsidR="00D73B21">
        <w:rPr>
          <w:sz w:val="20"/>
        </w:rPr>
        <w:t xml:space="preserve">continuidad, periodicidad y </w:t>
      </w:r>
      <w:r w:rsidR="00D73B21" w:rsidRPr="003B6030">
        <w:rPr>
          <w:sz w:val="20"/>
        </w:rPr>
        <w:t>eficacia de la comunicación, las consultas y el diálogo con</w:t>
      </w:r>
      <w:r w:rsidR="00D73B21">
        <w:rPr>
          <w:sz w:val="20"/>
        </w:rPr>
        <w:t xml:space="preserve"> los Estados miembros garantizarán la difusión de la </w:t>
      </w:r>
      <w:r w:rsidR="00D73B21" w:rsidRPr="003B6030">
        <w:rPr>
          <w:sz w:val="20"/>
        </w:rPr>
        <w:t xml:space="preserve">información a todos los niveles y </w:t>
      </w:r>
      <w:r w:rsidR="00D73B21">
        <w:rPr>
          <w:sz w:val="20"/>
        </w:rPr>
        <w:t xml:space="preserve">continuarán mejorando </w:t>
      </w:r>
      <w:r w:rsidR="00D73B21" w:rsidRPr="003B6030">
        <w:rPr>
          <w:sz w:val="20"/>
        </w:rPr>
        <w:t>la transparencia respecto de las actividades de los programas.</w:t>
      </w:r>
    </w:p>
    <w:p w:rsidR="00D73B21" w:rsidRPr="003B6030" w:rsidRDefault="00D73B21" w:rsidP="00D73B21">
      <w:pPr>
        <w:ind w:left="550"/>
        <w:jc w:val="both"/>
        <w:rPr>
          <w:sz w:val="20"/>
        </w:rPr>
      </w:pPr>
    </w:p>
    <w:p w:rsidR="00D73B21" w:rsidRPr="00DC7E11" w:rsidRDefault="002709AA" w:rsidP="002709AA">
      <w:pPr>
        <w:ind w:left="567"/>
        <w:jc w:val="both"/>
        <w:rPr>
          <w:sz w:val="20"/>
        </w:rPr>
      </w:pPr>
      <w:r w:rsidRPr="002709AA">
        <w:rPr>
          <w:sz w:val="20"/>
        </w:rPr>
        <w:t>ii)</w:t>
      </w:r>
      <w:r w:rsidRPr="002709AA">
        <w:rPr>
          <w:sz w:val="20"/>
        </w:rPr>
        <w:tab/>
      </w:r>
      <w:r w:rsidR="00D73B21" w:rsidRPr="00DC7E11">
        <w:rPr>
          <w:i/>
          <w:sz w:val="20"/>
        </w:rPr>
        <w:t>Mejorar la coherencia y eficacia internas</w:t>
      </w:r>
      <w:r w:rsidR="00D73B21" w:rsidRPr="00DC7E11">
        <w:rPr>
          <w:sz w:val="20"/>
        </w:rPr>
        <w:t>: Se seguirá obrando en ese sentido por medio de procesos de coordinación a</w:t>
      </w:r>
      <w:r w:rsidR="00D73B21">
        <w:rPr>
          <w:sz w:val="20"/>
        </w:rPr>
        <w:t xml:space="preserve"> nivel directivo</w:t>
      </w:r>
      <w:r w:rsidR="00D73B21" w:rsidRPr="00DC7E11">
        <w:rPr>
          <w:sz w:val="20"/>
        </w:rPr>
        <w:t>, mecanismos de pres</w:t>
      </w:r>
      <w:r w:rsidR="00D73B21">
        <w:rPr>
          <w:sz w:val="20"/>
        </w:rPr>
        <w:t>entación de informes de gestión y el seguimiento de las iniciativas</w:t>
      </w:r>
      <w:r w:rsidR="00D73B21" w:rsidRPr="00DC7E11">
        <w:rPr>
          <w:sz w:val="20"/>
        </w:rPr>
        <w:t xml:space="preserve"> del </w:t>
      </w:r>
      <w:r w:rsidR="00AE7D43">
        <w:rPr>
          <w:sz w:val="20"/>
        </w:rPr>
        <w:t>Programa de Alineación Estratégica</w:t>
      </w:r>
      <w:r w:rsidR="00D73B21">
        <w:rPr>
          <w:sz w:val="20"/>
        </w:rPr>
        <w:t xml:space="preserve"> que hayan sido ejecutadas</w:t>
      </w:r>
      <w:r w:rsidR="00D73B21" w:rsidRPr="00DC7E11">
        <w:rPr>
          <w:sz w:val="20"/>
        </w:rPr>
        <w:t>.</w:t>
      </w:r>
    </w:p>
    <w:p w:rsidR="00D73B21" w:rsidRPr="00DC7E11" w:rsidRDefault="00D73B21" w:rsidP="00D73B21">
      <w:pPr>
        <w:ind w:left="550"/>
        <w:jc w:val="both"/>
        <w:rPr>
          <w:sz w:val="20"/>
        </w:rPr>
      </w:pPr>
    </w:p>
    <w:p w:rsidR="00D73B21" w:rsidRPr="00B320C8" w:rsidRDefault="002709AA" w:rsidP="002709AA">
      <w:pPr>
        <w:ind w:left="567"/>
        <w:jc w:val="both"/>
        <w:rPr>
          <w:sz w:val="20"/>
        </w:rPr>
      </w:pPr>
      <w:r w:rsidRPr="002709AA">
        <w:rPr>
          <w:sz w:val="20"/>
        </w:rPr>
        <w:lastRenderedPageBreak/>
        <w:t>iii)</w:t>
      </w:r>
      <w:r w:rsidRPr="002709AA">
        <w:rPr>
          <w:sz w:val="20"/>
        </w:rPr>
        <w:tab/>
      </w:r>
      <w:r w:rsidR="00D73B21" w:rsidRPr="005F68B8">
        <w:rPr>
          <w:i/>
          <w:sz w:val="20"/>
        </w:rPr>
        <w:t>Prestar servicios jurídicos de forma rápida, independiente y eficaz</w:t>
      </w:r>
      <w:r w:rsidR="00D73B21" w:rsidRPr="00B320C8">
        <w:rPr>
          <w:sz w:val="20"/>
        </w:rPr>
        <w:t>, en armonía con las obligaciones reglamentarias y la legislación aplicable, con el fin de contribuir al buen funcionamiento de la Secretaría y de los órganos constituyentes de la Organización.</w:t>
      </w:r>
      <w:r>
        <w:rPr>
          <w:sz w:val="20"/>
        </w:rPr>
        <w:t xml:space="preserve">  </w:t>
      </w:r>
      <w:r w:rsidR="00D73B21" w:rsidRPr="00B320C8">
        <w:rPr>
          <w:sz w:val="20"/>
        </w:rPr>
        <w:t xml:space="preserve">Asimismo, se seguirá enriqueciendo </w:t>
      </w:r>
      <w:r w:rsidR="00D73B21">
        <w:rPr>
          <w:sz w:val="20"/>
        </w:rPr>
        <w:t>y mantenien</w:t>
      </w:r>
      <w:r w:rsidR="00425E19">
        <w:rPr>
          <w:sz w:val="20"/>
        </w:rPr>
        <w:t>d</w:t>
      </w:r>
      <w:r w:rsidR="00D73B21">
        <w:rPr>
          <w:sz w:val="20"/>
        </w:rPr>
        <w:t>o</w:t>
      </w:r>
      <w:r w:rsidR="00425E19">
        <w:rPr>
          <w:sz w:val="20"/>
        </w:rPr>
        <w:t xml:space="preserve"> activa</w:t>
      </w:r>
      <w:r w:rsidR="00D73B21">
        <w:rPr>
          <w:sz w:val="20"/>
        </w:rPr>
        <w:t xml:space="preserve"> </w:t>
      </w:r>
      <w:r w:rsidR="00D73B21" w:rsidRPr="00B320C8">
        <w:rPr>
          <w:sz w:val="20"/>
        </w:rPr>
        <w:t xml:space="preserve">la base de datos WIPO </w:t>
      </w:r>
      <w:proofErr w:type="spellStart"/>
      <w:r w:rsidR="00D73B21" w:rsidRPr="00B320C8">
        <w:rPr>
          <w:sz w:val="20"/>
        </w:rPr>
        <w:t>Lex</w:t>
      </w:r>
      <w:proofErr w:type="spellEnd"/>
      <w:r w:rsidR="00D73B21" w:rsidRPr="00B320C8">
        <w:rPr>
          <w:sz w:val="20"/>
        </w:rPr>
        <w:t xml:space="preserve"> que contiene una colección de leyes y tratados en materia de P.I. en función de un análisis fundamentado de la demanda y la utilización.</w:t>
      </w:r>
    </w:p>
    <w:p w:rsidR="00D73B21" w:rsidRPr="00B320C8" w:rsidRDefault="00D73B21" w:rsidP="002709AA">
      <w:pPr>
        <w:ind w:left="567"/>
        <w:jc w:val="both"/>
        <w:rPr>
          <w:szCs w:val="22"/>
        </w:rPr>
      </w:pPr>
    </w:p>
    <w:p w:rsidR="00D73B21" w:rsidRPr="00AF5C4F" w:rsidRDefault="002709AA" w:rsidP="002709AA">
      <w:pPr>
        <w:ind w:left="567"/>
        <w:jc w:val="both"/>
        <w:rPr>
          <w:sz w:val="20"/>
        </w:rPr>
      </w:pPr>
      <w:r w:rsidRPr="002709AA">
        <w:rPr>
          <w:sz w:val="20"/>
        </w:rPr>
        <w:t>iv)</w:t>
      </w:r>
      <w:r w:rsidRPr="002709AA">
        <w:rPr>
          <w:sz w:val="20"/>
        </w:rPr>
        <w:tab/>
      </w:r>
      <w:r w:rsidR="00D73B21" w:rsidRPr="00AF5C4F">
        <w:rPr>
          <w:i/>
          <w:sz w:val="20"/>
        </w:rPr>
        <w:t>Consolidar la aportación de la OMPI a la Junta de los Jefes Ejecutivos del sistema de las NN.UU. para la Coordinación</w:t>
      </w:r>
      <w:r w:rsidR="00D73B21" w:rsidRPr="00AF5C4F">
        <w:rPr>
          <w:sz w:val="20"/>
        </w:rPr>
        <w:t xml:space="preserve">: la OMPI seguirá </w:t>
      </w:r>
      <w:r w:rsidR="00D73B21">
        <w:rPr>
          <w:sz w:val="20"/>
        </w:rPr>
        <w:t>ampliando su participación</w:t>
      </w:r>
      <w:r w:rsidR="00D73B21" w:rsidRPr="00AF5C4F">
        <w:rPr>
          <w:sz w:val="20"/>
        </w:rPr>
        <w:t xml:space="preserve"> activa en el seno del sistema de las NN.UU., en particular</w:t>
      </w:r>
      <w:r w:rsidR="00D73B21">
        <w:rPr>
          <w:sz w:val="20"/>
        </w:rPr>
        <w:t xml:space="preserve"> mediante sus aportaciones a la Junta, a su</w:t>
      </w:r>
      <w:r w:rsidR="00D73B21" w:rsidRPr="00AF5C4F">
        <w:rPr>
          <w:sz w:val="20"/>
        </w:rPr>
        <w:t xml:space="preserve"> Comité de Alto Nivel sobre Gestión</w:t>
      </w:r>
      <w:r w:rsidR="00D73B21">
        <w:rPr>
          <w:sz w:val="20"/>
        </w:rPr>
        <w:t xml:space="preserve"> y a su </w:t>
      </w:r>
      <w:r w:rsidR="00D73B21" w:rsidRPr="00AF5C4F">
        <w:rPr>
          <w:sz w:val="20"/>
        </w:rPr>
        <w:t>Comité de Alto Nivel sobre Programas</w:t>
      </w:r>
      <w:r w:rsidR="00D73B21">
        <w:rPr>
          <w:sz w:val="20"/>
        </w:rPr>
        <w:t xml:space="preserve">.  A través de su partición activa y sus actividades de liderazgo en dichos organismos, la OMPI seguirá fortaleciendo las iniciativas de las </w:t>
      </w:r>
      <w:r w:rsidR="00D73B21" w:rsidRPr="00AF5C4F">
        <w:rPr>
          <w:sz w:val="20"/>
        </w:rPr>
        <w:t>NN.UU</w:t>
      </w:r>
      <w:r w:rsidR="00D73B21">
        <w:rPr>
          <w:sz w:val="20"/>
        </w:rPr>
        <w:t xml:space="preserve"> que sean de importancia para la </w:t>
      </w:r>
      <w:r w:rsidR="00D73B21" w:rsidRPr="0094082C">
        <w:rPr>
          <w:sz w:val="20"/>
        </w:rPr>
        <w:t>promoción de la innovación y la creatividad</w:t>
      </w:r>
      <w:r w:rsidR="00D73B21">
        <w:rPr>
          <w:sz w:val="20"/>
        </w:rPr>
        <w:t xml:space="preserve">, y que destaquen sus </w:t>
      </w:r>
      <w:r w:rsidR="00D73B21" w:rsidRPr="0094082C">
        <w:rPr>
          <w:sz w:val="20"/>
        </w:rPr>
        <w:t>prácticas de buena gestión</w:t>
      </w:r>
      <w:r w:rsidR="00D73B21">
        <w:rPr>
          <w:sz w:val="20"/>
        </w:rPr>
        <w:t>.</w:t>
      </w:r>
    </w:p>
    <w:p w:rsidR="00D73B21" w:rsidRPr="00AF5C4F" w:rsidRDefault="00D73B21" w:rsidP="00D73B21">
      <w:pPr>
        <w:ind w:left="550"/>
        <w:jc w:val="both"/>
        <w:rPr>
          <w:sz w:val="20"/>
        </w:rPr>
      </w:pPr>
    </w:p>
    <w:p w:rsidR="00D73B21" w:rsidRPr="00B671B2" w:rsidRDefault="002709AA" w:rsidP="002709AA">
      <w:pPr>
        <w:ind w:left="567"/>
        <w:jc w:val="both"/>
        <w:rPr>
          <w:sz w:val="20"/>
        </w:rPr>
      </w:pPr>
      <w:r w:rsidRPr="002709AA">
        <w:rPr>
          <w:sz w:val="20"/>
        </w:rPr>
        <w:t>v)</w:t>
      </w:r>
      <w:r w:rsidRPr="002709AA">
        <w:rPr>
          <w:sz w:val="20"/>
        </w:rPr>
        <w:tab/>
      </w:r>
      <w:r w:rsidR="00D73B21" w:rsidRPr="00B671B2">
        <w:rPr>
          <w:i/>
          <w:sz w:val="20"/>
        </w:rPr>
        <w:t>Establecer un sistema global de ética e integridad:</w:t>
      </w:r>
      <w:r w:rsidR="00D73B21">
        <w:rPr>
          <w:sz w:val="20"/>
        </w:rPr>
        <w:t xml:space="preserve">  Con el fin de cumplir con el compromiso de la Organización de establecer </w:t>
      </w:r>
      <w:r w:rsidR="00D73B21" w:rsidRPr="001C2E97">
        <w:rPr>
          <w:sz w:val="20"/>
        </w:rPr>
        <w:t>un sistema global de ética e integridad</w:t>
      </w:r>
      <w:r w:rsidR="00D73B21">
        <w:rPr>
          <w:sz w:val="20"/>
        </w:rPr>
        <w:t xml:space="preserve"> en el seno de la OMPI, </w:t>
      </w:r>
      <w:r w:rsidR="00D73B21" w:rsidRPr="00B671B2">
        <w:rPr>
          <w:sz w:val="20"/>
        </w:rPr>
        <w:t xml:space="preserve">la Oficina de Ética profesional </w:t>
      </w:r>
      <w:r w:rsidR="00D73B21">
        <w:rPr>
          <w:sz w:val="20"/>
        </w:rPr>
        <w:t xml:space="preserve">partirá </w:t>
      </w:r>
      <w:r w:rsidR="00D73B21" w:rsidRPr="005B09D3">
        <w:rPr>
          <w:sz w:val="20"/>
        </w:rPr>
        <w:t>de las bases sentadas por la labor realizada durante el bienio anterior (incluidos el código de ética, la política de lucha contra las represalias y la formación del personal) para incorporar dicho sistema en la OMPI mediante actividades normativas, prestación de asesoramiento claro y fidedigno</w:t>
      </w:r>
      <w:r w:rsidR="00D73B21">
        <w:rPr>
          <w:sz w:val="20"/>
        </w:rPr>
        <w:t xml:space="preserve"> para los</w:t>
      </w:r>
      <w:r w:rsidR="00D73B21" w:rsidRPr="005B09D3">
        <w:rPr>
          <w:sz w:val="20"/>
        </w:rPr>
        <w:t xml:space="preserve"> directivo</w:t>
      </w:r>
      <w:r w:rsidR="00D73B21">
        <w:rPr>
          <w:sz w:val="20"/>
        </w:rPr>
        <w:t>s</w:t>
      </w:r>
      <w:r w:rsidR="00D73B21" w:rsidRPr="005B09D3">
        <w:rPr>
          <w:sz w:val="20"/>
        </w:rPr>
        <w:t xml:space="preserve"> y el personal de todos los niveles, así como actividades de sensibilización y promoción.</w:t>
      </w:r>
    </w:p>
    <w:p w:rsidR="00D73B21" w:rsidRPr="00B671B2" w:rsidRDefault="00D73B21" w:rsidP="00D73B21">
      <w:pPr>
        <w:ind w:left="550"/>
        <w:rPr>
          <w:szCs w:val="22"/>
        </w:rPr>
      </w:pPr>
    </w:p>
    <w:p w:rsidR="00D73B21" w:rsidRPr="008F485F" w:rsidRDefault="002709AA" w:rsidP="002709AA">
      <w:pPr>
        <w:ind w:left="567"/>
        <w:jc w:val="both"/>
        <w:rPr>
          <w:sz w:val="20"/>
        </w:rPr>
      </w:pPr>
      <w:proofErr w:type="gramStart"/>
      <w:r w:rsidRPr="002709AA">
        <w:rPr>
          <w:sz w:val="20"/>
        </w:rPr>
        <w:t>vi</w:t>
      </w:r>
      <w:proofErr w:type="gramEnd"/>
      <w:r w:rsidRPr="002709AA">
        <w:rPr>
          <w:sz w:val="20"/>
        </w:rPr>
        <w:t>)</w:t>
      </w:r>
      <w:r w:rsidRPr="002709AA">
        <w:rPr>
          <w:sz w:val="20"/>
        </w:rPr>
        <w:tab/>
      </w:r>
      <w:r w:rsidR="00D73B21" w:rsidRPr="008F485F">
        <w:rPr>
          <w:i/>
          <w:sz w:val="20"/>
        </w:rPr>
        <w:t>Mejorar el funcionamiento de las Asambleas</w:t>
      </w:r>
      <w:r w:rsidR="00425E19">
        <w:rPr>
          <w:i/>
          <w:sz w:val="20"/>
        </w:rPr>
        <w:t xml:space="preserve"> de los Estados miembros</w:t>
      </w:r>
      <w:r w:rsidR="00D73B21" w:rsidRPr="008F485F">
        <w:rPr>
          <w:i/>
          <w:sz w:val="20"/>
        </w:rPr>
        <w:t xml:space="preserve"> de la OMPI:</w:t>
      </w:r>
      <w:r w:rsidR="00D73B21">
        <w:rPr>
          <w:sz w:val="20"/>
        </w:rPr>
        <w:t xml:space="preserve">  </w:t>
      </w:r>
      <w:r w:rsidR="00D73B21" w:rsidRPr="008F485F">
        <w:rPr>
          <w:sz w:val="20"/>
        </w:rPr>
        <w:t>La racionalización de la coordinación interna y la planificación contribuirán a una preparación minuciosa de las Asambleas en los plazos previstos, facilitando así la labor de los Estados miembros en el marco del órgano rector más importante de la OMPI.</w:t>
      </w:r>
    </w:p>
    <w:p w:rsidR="00D73B21" w:rsidRPr="008F485F" w:rsidRDefault="00D73B21" w:rsidP="00D73B21">
      <w:pPr>
        <w:ind w:left="550"/>
        <w:jc w:val="both"/>
        <w:rPr>
          <w:sz w:val="20"/>
        </w:rPr>
      </w:pPr>
    </w:p>
    <w:p w:rsidR="00D73B21" w:rsidRPr="00160E5B" w:rsidRDefault="002709AA" w:rsidP="002709AA">
      <w:pPr>
        <w:ind w:left="567"/>
        <w:jc w:val="both"/>
        <w:rPr>
          <w:bCs/>
          <w:sz w:val="20"/>
        </w:rPr>
      </w:pPr>
      <w:r w:rsidRPr="002709AA">
        <w:rPr>
          <w:bCs/>
          <w:sz w:val="20"/>
        </w:rPr>
        <w:t>vii)</w:t>
      </w:r>
      <w:r w:rsidRPr="002709AA">
        <w:rPr>
          <w:bCs/>
          <w:sz w:val="20"/>
        </w:rPr>
        <w:tab/>
      </w:r>
      <w:r w:rsidR="00D73B21" w:rsidRPr="00160E5B">
        <w:rPr>
          <w:bCs/>
          <w:i/>
          <w:sz w:val="20"/>
        </w:rPr>
        <w:t>Mejorar la gestión de las reclamaciones y conflictos</w:t>
      </w:r>
      <w:proofErr w:type="gramStart"/>
      <w:r w:rsidR="00D73B21" w:rsidRPr="008701EE">
        <w:rPr>
          <w:bCs/>
          <w:i/>
          <w:sz w:val="20"/>
        </w:rPr>
        <w:t>:</w:t>
      </w:r>
      <w:r w:rsidR="00D73B21">
        <w:rPr>
          <w:bCs/>
          <w:i/>
          <w:sz w:val="20"/>
        </w:rPr>
        <w:t xml:space="preserve">  </w:t>
      </w:r>
      <w:r w:rsidR="00D73B21" w:rsidRPr="008701EE">
        <w:rPr>
          <w:bCs/>
          <w:sz w:val="20"/>
        </w:rPr>
        <w:t>La</w:t>
      </w:r>
      <w:proofErr w:type="gramEnd"/>
      <w:r w:rsidR="00D73B21" w:rsidRPr="008701EE">
        <w:rPr>
          <w:bCs/>
          <w:sz w:val="20"/>
        </w:rPr>
        <w:t xml:space="preserve"> Organización seguirá fomentando el uso de mecanismos informales, en la medida de lo posible, para </w:t>
      </w:r>
      <w:r w:rsidR="00D73B21" w:rsidRPr="002709AA">
        <w:rPr>
          <w:sz w:val="20"/>
        </w:rPr>
        <w:t>lograr</w:t>
      </w:r>
      <w:r w:rsidR="00D73B21" w:rsidRPr="008701EE">
        <w:rPr>
          <w:bCs/>
          <w:sz w:val="20"/>
        </w:rPr>
        <w:t xml:space="preserve"> que la resolución de los conflictos aporte resultados positivos.  Con tal fin, la organización seguirá desarrollando y fortaleciendo políticas, mecanismos y procedimientos relativos al entorno laboral, ofreciendo así al personal un conjunto de posibilidades para resolver los </w:t>
      </w:r>
      <w:r w:rsidR="00D73B21" w:rsidRPr="002709AA">
        <w:rPr>
          <w:sz w:val="20"/>
        </w:rPr>
        <w:t>conflictos</w:t>
      </w:r>
      <w:r w:rsidR="00D73B21" w:rsidRPr="008701EE">
        <w:rPr>
          <w:bCs/>
          <w:sz w:val="20"/>
        </w:rPr>
        <w:t xml:space="preserve"> de manera formal o informal.</w:t>
      </w:r>
    </w:p>
    <w:p w:rsidR="00D73B21" w:rsidRPr="00160E5B" w:rsidRDefault="00D73B21" w:rsidP="00D73B21">
      <w:pPr>
        <w:tabs>
          <w:tab w:val="num" w:pos="709"/>
        </w:tabs>
        <w:rPr>
          <w:i/>
          <w:sz w:val="20"/>
        </w:rPr>
      </w:pPr>
    </w:p>
    <w:p w:rsidR="00D73B21" w:rsidRPr="00160E5B" w:rsidRDefault="00D73B21" w:rsidP="00D73B21">
      <w:pPr>
        <w:tabs>
          <w:tab w:val="num" w:pos="709"/>
        </w:tabs>
        <w:rPr>
          <w:i/>
          <w:sz w:val="20"/>
        </w:rPr>
      </w:pPr>
    </w:p>
    <w:p w:rsidR="009F58E5" w:rsidRPr="00994766" w:rsidRDefault="009F58E5" w:rsidP="009F58E5">
      <w:pPr>
        <w:tabs>
          <w:tab w:val="num" w:pos="709"/>
        </w:tabs>
        <w:rPr>
          <w:szCs w:val="22"/>
          <w:lang w:val="es-ES_tradnl"/>
        </w:rPr>
      </w:pPr>
      <w:r w:rsidRPr="00994766">
        <w:rPr>
          <w:iCs/>
          <w:szCs w:val="22"/>
          <w:lang w:val="es-ES_tradnl"/>
        </w:rPr>
        <w:t>PRINCIPALES RIESGOS Y ESTRATEGIAS DE MITIGACIÓN</w:t>
      </w:r>
    </w:p>
    <w:p w:rsidR="009F58E5" w:rsidRPr="00994766" w:rsidRDefault="009F58E5" w:rsidP="009F58E5">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63"/>
        <w:gridCol w:w="4716"/>
      </w:tblGrid>
      <w:tr w:rsidR="009F58E5" w:rsidRPr="005742FF" w:rsidTr="0012598D">
        <w:trPr>
          <w:trHeight w:val="438"/>
        </w:trPr>
        <w:tc>
          <w:tcPr>
            <w:tcW w:w="4542" w:type="dxa"/>
            <w:tcBorders>
              <w:top w:val="single" w:sz="4" w:space="0" w:color="auto"/>
              <w:bottom w:val="single" w:sz="4" w:space="0" w:color="auto"/>
            </w:tcBorders>
            <w:shd w:val="clear" w:color="auto" w:fill="CCFFFF"/>
            <w:tcMar>
              <w:top w:w="113" w:type="dxa"/>
              <w:bottom w:w="85" w:type="dxa"/>
            </w:tcMar>
            <w:vAlign w:val="center"/>
          </w:tcPr>
          <w:p w:rsidR="009F58E5" w:rsidRPr="005742FF" w:rsidRDefault="009F58E5" w:rsidP="008F4F69">
            <w:pPr>
              <w:jc w:val="center"/>
              <w:rPr>
                <w:sz w:val="20"/>
                <w:lang w:val="es-ES_tradnl"/>
              </w:rPr>
            </w:pPr>
            <w:r w:rsidRPr="005742FF">
              <w:rPr>
                <w:b/>
                <w:bCs/>
                <w:iCs/>
                <w:sz w:val="18"/>
                <w:szCs w:val="18"/>
                <w:lang w:val="es-ES_tradnl"/>
              </w:rPr>
              <w:t>Riesgos en el logro de los resultados del programa</w:t>
            </w:r>
          </w:p>
        </w:tc>
        <w:tc>
          <w:tcPr>
            <w:tcW w:w="4814" w:type="dxa"/>
            <w:tcBorders>
              <w:top w:val="single" w:sz="4" w:space="0" w:color="auto"/>
              <w:bottom w:val="single" w:sz="4" w:space="0" w:color="auto"/>
            </w:tcBorders>
            <w:shd w:val="clear" w:color="auto" w:fill="CCFFFF"/>
            <w:tcMar>
              <w:top w:w="113" w:type="dxa"/>
              <w:bottom w:w="85" w:type="dxa"/>
            </w:tcMar>
            <w:vAlign w:val="center"/>
          </w:tcPr>
          <w:p w:rsidR="009F58E5" w:rsidRPr="005742FF" w:rsidRDefault="009F58E5" w:rsidP="0012598D">
            <w:pPr>
              <w:rPr>
                <w:sz w:val="20"/>
                <w:lang w:val="es-ES_tradnl"/>
              </w:rPr>
            </w:pPr>
            <w:r w:rsidRPr="005742FF">
              <w:rPr>
                <w:b/>
                <w:bCs/>
                <w:iCs/>
                <w:sz w:val="18"/>
                <w:szCs w:val="18"/>
                <w:lang w:val="es-ES_tradnl"/>
              </w:rPr>
              <w:t>Planes de mitigación ejecutados o en ejecución</w:t>
            </w:r>
          </w:p>
        </w:tc>
      </w:tr>
      <w:tr w:rsidR="009F58E5" w:rsidRPr="00994766" w:rsidTr="0012598D">
        <w:tc>
          <w:tcPr>
            <w:tcW w:w="4542" w:type="dxa"/>
            <w:tcBorders>
              <w:top w:val="single" w:sz="4" w:space="0" w:color="auto"/>
            </w:tcBorders>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t xml:space="preserve">La OMPI ha efectuado importantes inversiones en el </w:t>
            </w:r>
            <w:r w:rsidR="008D17F8">
              <w:rPr>
                <w:sz w:val="16"/>
                <w:szCs w:val="16"/>
                <w:lang w:val="es-ES_tradnl"/>
              </w:rPr>
              <w:t>Programa de Alineación Estratégica</w:t>
            </w:r>
            <w:r w:rsidRPr="00994766">
              <w:rPr>
                <w:sz w:val="16"/>
                <w:szCs w:val="16"/>
                <w:lang w:val="es-ES_tradnl"/>
              </w:rPr>
              <w:t xml:space="preserve">, que concluyó a principios de 2013, y </w:t>
            </w:r>
            <w:r w:rsidR="002058AB">
              <w:rPr>
                <w:sz w:val="16"/>
                <w:szCs w:val="16"/>
                <w:lang w:val="es-ES_tradnl"/>
              </w:rPr>
              <w:t xml:space="preserve">gracias a ello </w:t>
            </w:r>
            <w:r w:rsidRPr="00994766">
              <w:rPr>
                <w:sz w:val="16"/>
                <w:szCs w:val="16"/>
                <w:lang w:val="es-ES_tradnl"/>
              </w:rPr>
              <w:t xml:space="preserve">ha obtenido rápidos avances y mejoras en la eficiencia.  Si el personal directivo superior, el resto del personal y los Estados miembros no siguen </w:t>
            </w:r>
            <w:r w:rsidR="002058AB">
              <w:rPr>
                <w:sz w:val="16"/>
                <w:szCs w:val="16"/>
                <w:lang w:val="es-ES_tradnl"/>
              </w:rPr>
              <w:t>centrados en mejorar los resultados</w:t>
            </w:r>
            <w:r w:rsidRPr="00994766">
              <w:rPr>
                <w:sz w:val="16"/>
                <w:szCs w:val="16"/>
                <w:lang w:val="es-ES_tradnl"/>
              </w:rPr>
              <w:t xml:space="preserve">, la </w:t>
            </w:r>
            <w:r w:rsidRPr="00994766">
              <w:rPr>
                <w:sz w:val="16"/>
                <w:szCs w:val="16"/>
                <w:lang w:val="es-ES_tradnl" w:eastAsia="fr-FR"/>
              </w:rPr>
              <w:t>Organización</w:t>
            </w:r>
            <w:r w:rsidRPr="00994766">
              <w:rPr>
                <w:sz w:val="16"/>
                <w:szCs w:val="16"/>
                <w:lang w:val="es-ES_tradnl"/>
              </w:rPr>
              <w:t xml:space="preserve"> corre el riesgo de ver atenuadas las mejoras adquiridas gracias al </w:t>
            </w:r>
            <w:r w:rsidR="008D17F8">
              <w:rPr>
                <w:sz w:val="16"/>
                <w:szCs w:val="16"/>
                <w:lang w:val="es-ES_tradnl"/>
              </w:rPr>
              <w:t>Programa de Alineación Estratégica</w:t>
            </w:r>
            <w:r w:rsidRPr="00994766">
              <w:rPr>
                <w:sz w:val="16"/>
                <w:szCs w:val="16"/>
                <w:lang w:val="es-ES_tradnl"/>
              </w:rPr>
              <w:t>.  Están en riesgo especialmente las iniciativas que comprenden nuevos procedimientos (</w:t>
            </w:r>
            <w:r w:rsidRPr="00994766">
              <w:rPr>
                <w:bCs/>
                <w:snapToGrid w:val="0"/>
                <w:color w:val="000000"/>
                <w:sz w:val="16"/>
                <w:szCs w:val="16"/>
                <w:lang w:val="es-ES_tradnl"/>
              </w:rPr>
              <w:t>por ejemplo,</w:t>
            </w:r>
            <w:r w:rsidRPr="00994766">
              <w:rPr>
                <w:sz w:val="16"/>
                <w:szCs w:val="16"/>
                <w:lang w:val="es-ES_tradnl"/>
              </w:rPr>
              <w:t xml:space="preserve"> la administración de la continuidad de las actividades y la gestión de riesgos). </w:t>
            </w:r>
          </w:p>
          <w:p w:rsidR="009F58E5" w:rsidRPr="00994766" w:rsidRDefault="009F58E5" w:rsidP="008F4F69">
            <w:pPr>
              <w:rPr>
                <w:sz w:val="16"/>
                <w:szCs w:val="16"/>
                <w:lang w:val="es-ES_tradnl"/>
              </w:rPr>
            </w:pPr>
            <w:r w:rsidRPr="00994766">
              <w:rPr>
                <w:sz w:val="16"/>
                <w:szCs w:val="16"/>
                <w:lang w:val="es-ES_tradnl"/>
              </w:rPr>
              <w:t xml:space="preserve"> </w:t>
            </w:r>
          </w:p>
        </w:tc>
        <w:tc>
          <w:tcPr>
            <w:tcW w:w="4814" w:type="dxa"/>
            <w:tcBorders>
              <w:top w:val="single" w:sz="4" w:space="0" w:color="auto"/>
            </w:tcBorders>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t xml:space="preserve">Desde el comienzo, la estructura de gobierno del </w:t>
            </w:r>
            <w:r w:rsidR="008D17F8">
              <w:rPr>
                <w:sz w:val="16"/>
                <w:szCs w:val="16"/>
                <w:lang w:val="es-ES_tradnl"/>
              </w:rPr>
              <w:t>Programa de Alineación Estratégica</w:t>
            </w:r>
            <w:r w:rsidRPr="00994766">
              <w:rPr>
                <w:sz w:val="16"/>
                <w:szCs w:val="16"/>
                <w:lang w:val="es-ES_tradnl"/>
              </w:rPr>
              <w:t xml:space="preserve"> ha incluido la supervisión del personal directivo superior y la presentación de informes periódicos de la CCIS que han contribuido a afianzar la responsabilidad de aplicar el </w:t>
            </w:r>
            <w:r w:rsidR="008D17F8">
              <w:rPr>
                <w:sz w:val="16"/>
                <w:szCs w:val="16"/>
                <w:lang w:val="es-ES_tradnl"/>
              </w:rPr>
              <w:t>Programa de Alineación Estratégica</w:t>
            </w:r>
            <w:r w:rsidRPr="00994766">
              <w:rPr>
                <w:sz w:val="16"/>
                <w:szCs w:val="16"/>
                <w:lang w:val="es-ES_tradnl"/>
              </w:rPr>
              <w:t xml:space="preserve"> a lo largo de la </w:t>
            </w:r>
            <w:r w:rsidRPr="00994766">
              <w:rPr>
                <w:sz w:val="16"/>
                <w:szCs w:val="16"/>
                <w:lang w:val="es-ES_tradnl" w:eastAsia="fr-FR"/>
              </w:rPr>
              <w:t>Organización</w:t>
            </w:r>
            <w:r w:rsidRPr="00994766">
              <w:rPr>
                <w:sz w:val="16"/>
                <w:szCs w:val="16"/>
                <w:lang w:val="es-ES_tradnl"/>
              </w:rPr>
              <w:t>.</w:t>
            </w:r>
          </w:p>
          <w:p w:rsidR="009F58E5" w:rsidRPr="00994766" w:rsidRDefault="009F58E5" w:rsidP="008F4F69">
            <w:pPr>
              <w:rPr>
                <w:sz w:val="16"/>
                <w:szCs w:val="16"/>
                <w:lang w:val="es-ES_tradnl"/>
              </w:rPr>
            </w:pPr>
          </w:p>
          <w:p w:rsidR="009F58E5" w:rsidRPr="00994766" w:rsidRDefault="009F58E5" w:rsidP="008F4F69">
            <w:pPr>
              <w:rPr>
                <w:sz w:val="16"/>
                <w:szCs w:val="16"/>
                <w:lang w:val="es-ES_tradnl"/>
              </w:rPr>
            </w:pPr>
            <w:r w:rsidRPr="00994766">
              <w:rPr>
                <w:sz w:val="16"/>
                <w:szCs w:val="16"/>
                <w:lang w:val="es-ES_tradnl"/>
              </w:rPr>
              <w:t xml:space="preserve">A medida que la </w:t>
            </w:r>
            <w:r w:rsidRPr="00994766">
              <w:rPr>
                <w:sz w:val="16"/>
                <w:szCs w:val="16"/>
                <w:lang w:val="es-ES_tradnl" w:eastAsia="fr-FR"/>
              </w:rPr>
              <w:t>Organización</w:t>
            </w:r>
            <w:r w:rsidRPr="00994766">
              <w:rPr>
                <w:sz w:val="16"/>
                <w:szCs w:val="16"/>
                <w:lang w:val="es-ES_tradnl"/>
              </w:rPr>
              <w:t xml:space="preserve"> entra en el período posterior a la ejecución del plan de alineación estratégica, la constante atención especial que presta el personal directivo superior garantizará que se mantengan y se consoliden los valores esenciales y los resultados de cada iniciativa en beneficio de la OMPI y sus partes interesadas. </w:t>
            </w:r>
          </w:p>
          <w:p w:rsidR="009F58E5" w:rsidRPr="00994766" w:rsidRDefault="009F58E5" w:rsidP="008F4F69">
            <w:pPr>
              <w:rPr>
                <w:sz w:val="16"/>
                <w:szCs w:val="16"/>
                <w:lang w:val="es-ES_tradnl"/>
              </w:rPr>
            </w:pPr>
            <w:r w:rsidRPr="00994766">
              <w:rPr>
                <w:sz w:val="16"/>
                <w:szCs w:val="16"/>
                <w:lang w:val="es-ES_tradnl"/>
              </w:rPr>
              <w:t xml:space="preserve"> </w:t>
            </w:r>
          </w:p>
        </w:tc>
      </w:tr>
      <w:tr w:rsidR="009F58E5" w:rsidRPr="00994766" w:rsidTr="0012598D">
        <w:trPr>
          <w:trHeight w:val="1349"/>
        </w:trPr>
        <w:tc>
          <w:tcPr>
            <w:tcW w:w="4542" w:type="dxa"/>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t xml:space="preserve">La colaboración eficaz de la OMPI con los Estados miembros tiene una importancia primordial para lograr resultados puntuales.  Existe el riesgo de que se atenúen los avances en los procesos intergubernamentales de la OMPI, como </w:t>
            </w:r>
            <w:r w:rsidRPr="00994766">
              <w:rPr>
                <w:bCs/>
                <w:snapToGrid w:val="0"/>
                <w:color w:val="000000"/>
                <w:sz w:val="16"/>
                <w:szCs w:val="16"/>
                <w:lang w:val="es-ES_tradnl"/>
              </w:rPr>
              <w:t xml:space="preserve">por ejemplo </w:t>
            </w:r>
            <w:r w:rsidRPr="00994766">
              <w:rPr>
                <w:sz w:val="16"/>
                <w:szCs w:val="16"/>
                <w:lang w:val="es-ES_tradnl"/>
              </w:rPr>
              <w:t>los debates normativos</w:t>
            </w:r>
            <w:r w:rsidR="002058AB">
              <w:rPr>
                <w:sz w:val="16"/>
                <w:szCs w:val="16"/>
                <w:lang w:val="es-ES_tradnl"/>
              </w:rPr>
              <w:t>,</w:t>
            </w:r>
            <w:r w:rsidRPr="00994766">
              <w:rPr>
                <w:sz w:val="16"/>
                <w:szCs w:val="16"/>
                <w:lang w:val="es-ES_tradnl"/>
              </w:rPr>
              <w:t xml:space="preserve"> y aumenten los costos o se amplíen los calendarios de ejecución de los programas aprobados.  En tanto que organismo internacional dedicado al establecimiento de normas de P.I., esa situación repercutiría negativamente en la credibilidad de la OMPI.</w:t>
            </w:r>
          </w:p>
          <w:p w:rsidR="009F58E5" w:rsidRPr="00994766" w:rsidRDefault="009F58E5" w:rsidP="008F4F69">
            <w:pPr>
              <w:rPr>
                <w:sz w:val="16"/>
                <w:szCs w:val="16"/>
                <w:lang w:val="es-ES_tradnl"/>
              </w:rPr>
            </w:pPr>
          </w:p>
        </w:tc>
        <w:tc>
          <w:tcPr>
            <w:tcW w:w="4814" w:type="dxa"/>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lastRenderedPageBreak/>
              <w:t>Seguir manteniendo una coordinación estrecha, transparente y basada en la confianza entre la Secretaría y los Estados miembros.</w:t>
            </w:r>
          </w:p>
        </w:tc>
      </w:tr>
    </w:tbl>
    <w:p w:rsidR="009F58E5" w:rsidRPr="00994766" w:rsidRDefault="009F58E5" w:rsidP="009F58E5">
      <w:pPr>
        <w:tabs>
          <w:tab w:val="left" w:pos="567"/>
          <w:tab w:val="left" w:pos="1985"/>
        </w:tabs>
        <w:jc w:val="both"/>
        <w:rPr>
          <w:bCs/>
          <w:szCs w:val="22"/>
          <w:lang w:val="es-ES_tradnl"/>
        </w:rPr>
      </w:pPr>
    </w:p>
    <w:p w:rsidR="009F58E5" w:rsidRPr="00C75C7E" w:rsidRDefault="009F58E5" w:rsidP="009F58E5">
      <w:pPr>
        <w:tabs>
          <w:tab w:val="left" w:pos="567"/>
        </w:tabs>
        <w:jc w:val="both"/>
        <w:rPr>
          <w:bCs/>
          <w:szCs w:val="22"/>
          <w:lang w:val="es-ES_tradnl"/>
        </w:rPr>
      </w:pPr>
    </w:p>
    <w:p w:rsidR="009F58E5" w:rsidRPr="00C75C7E" w:rsidRDefault="009F58E5" w:rsidP="000B01FE">
      <w:pPr>
        <w:keepNext/>
        <w:tabs>
          <w:tab w:val="left" w:pos="567"/>
        </w:tabs>
        <w:jc w:val="both"/>
        <w:rPr>
          <w:bCs/>
          <w:sz w:val="20"/>
          <w:lang w:val="es-ES_tradnl"/>
        </w:rPr>
      </w:pPr>
      <w:r w:rsidRPr="00C75C7E">
        <w:rPr>
          <w:bCs/>
          <w:szCs w:val="22"/>
          <w:lang w:val="es-ES_tradnl"/>
        </w:rPr>
        <w:t>MARCO DE RESULTADOS</w:t>
      </w:r>
    </w:p>
    <w:p w:rsidR="009F58E5" w:rsidRPr="00C75C7E" w:rsidRDefault="009F58E5" w:rsidP="000B01FE">
      <w:pPr>
        <w:keepNext/>
        <w:tabs>
          <w:tab w:val="left" w:pos="567"/>
          <w:tab w:val="left" w:pos="1985"/>
        </w:tabs>
        <w:jc w:val="both"/>
        <w:rPr>
          <w:bCs/>
          <w:sz w:val="20"/>
          <w:lang w:val="es-ES_tradnl"/>
        </w:rPr>
      </w:pPr>
    </w:p>
    <w:tbl>
      <w:tblPr>
        <w:tblW w:w="491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8"/>
        <w:gridCol w:w="2764"/>
        <w:gridCol w:w="2111"/>
        <w:gridCol w:w="1976"/>
      </w:tblGrid>
      <w:tr w:rsidR="009F58E5" w:rsidRPr="00C75C7E" w:rsidTr="008F4F69">
        <w:trPr>
          <w:cantSplit/>
          <w:trHeight w:val="425"/>
          <w:tblHeader/>
        </w:trPr>
        <w:tc>
          <w:tcPr>
            <w:tcW w:w="1248"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514"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sz w:val="18"/>
                <w:szCs w:val="18"/>
                <w:lang w:val="es-ES_tradnl"/>
              </w:rPr>
            </w:pPr>
            <w:r w:rsidRPr="00C75C7E">
              <w:rPr>
                <w:b/>
                <w:sz w:val="18"/>
                <w:szCs w:val="18"/>
                <w:lang w:val="es-ES_tradnl"/>
              </w:rPr>
              <w:t>Indicadores de rendimiento</w:t>
            </w:r>
          </w:p>
        </w:tc>
        <w:tc>
          <w:tcPr>
            <w:tcW w:w="1156"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ind w:left="85"/>
              <w:jc w:val="center"/>
              <w:rPr>
                <w:sz w:val="18"/>
                <w:szCs w:val="18"/>
                <w:lang w:val="es-ES_tradnl"/>
              </w:rPr>
            </w:pPr>
            <w:r w:rsidRPr="00C75C7E">
              <w:rPr>
                <w:b/>
                <w:bCs/>
                <w:sz w:val="18"/>
                <w:szCs w:val="18"/>
                <w:lang w:val="es-ES_tradnl"/>
              </w:rPr>
              <w:t>Referencia</w:t>
            </w:r>
          </w:p>
        </w:tc>
        <w:tc>
          <w:tcPr>
            <w:tcW w:w="1083"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keepNext/>
              <w:keepLines/>
              <w:spacing w:after="120"/>
              <w:ind w:right="221"/>
              <w:jc w:val="center"/>
              <w:rPr>
                <w:b/>
                <w:bCs/>
                <w:sz w:val="18"/>
                <w:szCs w:val="18"/>
                <w:lang w:val="es-ES_tradnl"/>
              </w:rPr>
            </w:pPr>
            <w:r w:rsidRPr="00C75C7E">
              <w:rPr>
                <w:b/>
                <w:bCs/>
                <w:sz w:val="18"/>
                <w:szCs w:val="18"/>
                <w:lang w:val="es-ES_tradnl"/>
              </w:rPr>
              <w:t>Objetivos</w:t>
            </w:r>
          </w:p>
        </w:tc>
      </w:tr>
      <w:tr w:rsidR="009F58E5" w:rsidRPr="00C75C7E" w:rsidTr="008F4F69">
        <w:trPr>
          <w:cantSplit/>
          <w:trHeight w:val="942"/>
        </w:trPr>
        <w:tc>
          <w:tcPr>
            <w:tcW w:w="1248" w:type="pc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IV.2. Mejora del acceso y uso de información y conocimientos de P.I. por parte de instituciones de P.I. y el público para fomentar la innovación y la creatividad.</w:t>
            </w:r>
          </w:p>
        </w:tc>
        <w:tc>
          <w:tcPr>
            <w:tcW w:w="1514" w:type="pc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Aumento del número de usuarios de WIPO </w:t>
            </w:r>
            <w:proofErr w:type="spellStart"/>
            <w:r w:rsidRPr="00C75C7E">
              <w:rPr>
                <w:sz w:val="16"/>
                <w:szCs w:val="16"/>
                <w:lang w:val="es-ES_tradnl"/>
              </w:rPr>
              <w:t>Lex</w:t>
            </w:r>
            <w:proofErr w:type="spellEnd"/>
            <w:r w:rsidRPr="00C75C7E">
              <w:rPr>
                <w:sz w:val="16"/>
                <w:szCs w:val="16"/>
                <w:lang w:val="es-ES_tradnl"/>
              </w:rPr>
              <w:t xml:space="preserve">. </w:t>
            </w:r>
          </w:p>
        </w:tc>
        <w:tc>
          <w:tcPr>
            <w:tcW w:w="1156" w:type="pct"/>
            <w:tcBorders>
              <w:top w:val="single" w:sz="4" w:space="0" w:color="auto"/>
            </w:tcBorders>
            <w:shd w:val="clear" w:color="auto" w:fill="FFFFFF"/>
            <w:tcMar>
              <w:top w:w="113" w:type="dxa"/>
            </w:tcMar>
          </w:tcPr>
          <w:p w:rsidR="009F58E5" w:rsidRPr="00C75C7E" w:rsidRDefault="00C715FF" w:rsidP="00C715FF">
            <w:pPr>
              <w:rPr>
                <w:sz w:val="16"/>
                <w:szCs w:val="16"/>
                <w:lang w:val="es-ES_tradnl"/>
              </w:rPr>
            </w:pPr>
            <w:r>
              <w:rPr>
                <w:sz w:val="16"/>
                <w:szCs w:val="16"/>
                <w:lang w:val="es-ES_tradnl" w:bidi="th-TH"/>
              </w:rPr>
              <w:t>1.</w:t>
            </w:r>
            <w:r w:rsidR="009F58E5" w:rsidRPr="00C75C7E">
              <w:rPr>
                <w:sz w:val="16"/>
                <w:szCs w:val="16"/>
                <w:lang w:val="es-ES_tradnl" w:bidi="th-TH"/>
              </w:rPr>
              <w:t>123</w:t>
            </w:r>
            <w:r>
              <w:rPr>
                <w:sz w:val="16"/>
                <w:szCs w:val="16"/>
                <w:lang w:val="es-ES_tradnl" w:bidi="th-TH"/>
              </w:rPr>
              <w:t>.</w:t>
            </w:r>
            <w:r w:rsidR="009F58E5" w:rsidRPr="00C75C7E">
              <w:rPr>
                <w:sz w:val="16"/>
                <w:szCs w:val="16"/>
                <w:lang w:val="es-ES_tradnl" w:bidi="th-TH"/>
              </w:rPr>
              <w:t>930</w:t>
            </w:r>
          </w:p>
        </w:tc>
        <w:tc>
          <w:tcPr>
            <w:tcW w:w="1083" w:type="pct"/>
            <w:tcBorders>
              <w:top w:val="single" w:sz="4" w:space="0" w:color="auto"/>
            </w:tcBorders>
            <w:shd w:val="clear" w:color="auto" w:fill="auto"/>
            <w:tcMar>
              <w:top w:w="113" w:type="dxa"/>
            </w:tcMar>
          </w:tcPr>
          <w:p w:rsidR="009F58E5" w:rsidRPr="00C75C7E" w:rsidRDefault="009F58E5" w:rsidP="008F4F69">
            <w:pPr>
              <w:keepNext/>
              <w:keepLines/>
              <w:ind w:right="51"/>
              <w:rPr>
                <w:bCs/>
                <w:sz w:val="16"/>
                <w:szCs w:val="16"/>
                <w:lang w:val="es-ES_tradnl"/>
              </w:rPr>
            </w:pPr>
            <w:r w:rsidRPr="00C75C7E">
              <w:rPr>
                <w:bCs/>
                <w:sz w:val="16"/>
                <w:szCs w:val="16"/>
                <w:lang w:val="es-ES_tradnl"/>
              </w:rPr>
              <w:t>20%</w:t>
            </w:r>
          </w:p>
        </w:tc>
      </w:tr>
      <w:tr w:rsidR="009F58E5" w:rsidRPr="00C75C7E" w:rsidTr="008F4F69">
        <w:trPr>
          <w:cantSplit/>
        </w:trPr>
        <w:tc>
          <w:tcPr>
            <w:tcW w:w="1248" w:type="pct"/>
            <w:vMerge w:val="restart"/>
            <w:tcBorders>
              <w:top w:val="nil"/>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VIII.3  Atención eficaz a los Estados miembros.</w:t>
            </w:r>
          </w:p>
        </w:tc>
        <w:tc>
          <w:tcPr>
            <w:tcW w:w="1514" w:type="pct"/>
            <w:tcBorders>
              <w:top w:val="nil"/>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sesiones de Comités precedidas de reuniones informativas para los Estados miembros.</w:t>
            </w:r>
          </w:p>
        </w:tc>
        <w:tc>
          <w:tcPr>
            <w:tcW w:w="1156" w:type="pct"/>
            <w:tcBorders>
              <w:top w:val="nil"/>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bidi="th-TH"/>
              </w:rPr>
              <w:t>80%</w:t>
            </w:r>
          </w:p>
        </w:tc>
        <w:tc>
          <w:tcPr>
            <w:tcW w:w="1083" w:type="pct"/>
            <w:tcBorders>
              <w:top w:val="nil"/>
            </w:tcBorders>
            <w:shd w:val="clear" w:color="auto" w:fill="auto"/>
            <w:tcMar>
              <w:top w:w="113" w:type="dxa"/>
            </w:tcMar>
          </w:tcPr>
          <w:p w:rsidR="009F58E5" w:rsidRPr="00C75C7E" w:rsidRDefault="009F58E5" w:rsidP="008F4F69">
            <w:pPr>
              <w:keepNext/>
              <w:keepLines/>
              <w:ind w:right="381"/>
              <w:rPr>
                <w:bCs/>
                <w:sz w:val="16"/>
                <w:szCs w:val="16"/>
                <w:lang w:val="es-ES_tradnl"/>
              </w:rPr>
            </w:pPr>
            <w:r w:rsidRPr="00C75C7E">
              <w:rPr>
                <w:bCs/>
                <w:sz w:val="16"/>
                <w:szCs w:val="16"/>
                <w:lang w:val="es-ES_tradnl"/>
              </w:rPr>
              <w:t>90%</w:t>
            </w:r>
          </w:p>
        </w:tc>
      </w:tr>
      <w:tr w:rsidR="009F58E5" w:rsidRPr="00C75C7E" w:rsidTr="008F4F69">
        <w:trPr>
          <w:cantSplit/>
          <w:trHeight w:val="756"/>
        </w:trPr>
        <w:tc>
          <w:tcPr>
            <w:tcW w:w="1248" w:type="pct"/>
            <w:vMerge/>
            <w:shd w:val="clear" w:color="auto" w:fill="auto"/>
            <w:tcMar>
              <w:top w:w="113" w:type="dxa"/>
            </w:tcMar>
          </w:tcPr>
          <w:p w:rsidR="009F58E5" w:rsidRPr="00C75C7E" w:rsidRDefault="009F58E5" w:rsidP="008F4F69">
            <w:pPr>
              <w:rPr>
                <w:sz w:val="16"/>
                <w:szCs w:val="16"/>
                <w:lang w:val="es-ES_tradnl"/>
              </w:rPr>
            </w:pP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cartas dirigidas al Director General por los Estados miembros a las que se da respuesta en un plazo de dos semanas.</w:t>
            </w:r>
          </w:p>
        </w:tc>
        <w:tc>
          <w:tcPr>
            <w:tcW w:w="1156"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80%</w:t>
            </w:r>
          </w:p>
          <w:p w:rsidR="009F58E5" w:rsidRPr="00C75C7E" w:rsidRDefault="009F58E5" w:rsidP="008F4F69">
            <w:pPr>
              <w:rPr>
                <w:sz w:val="16"/>
                <w:szCs w:val="16"/>
                <w:lang w:val="es-ES_tradnl"/>
              </w:rPr>
            </w:pPr>
          </w:p>
        </w:tc>
        <w:tc>
          <w:tcPr>
            <w:tcW w:w="1083" w:type="pct"/>
            <w:shd w:val="clear" w:color="auto" w:fill="auto"/>
            <w:tcMar>
              <w:top w:w="113" w:type="dxa"/>
            </w:tcMar>
          </w:tcPr>
          <w:p w:rsidR="009F58E5" w:rsidRPr="00C75C7E" w:rsidRDefault="009F58E5" w:rsidP="008F4F69">
            <w:pPr>
              <w:keepNext/>
              <w:keepLines/>
              <w:tabs>
                <w:tab w:val="left" w:pos="2051"/>
              </w:tabs>
              <w:ind w:right="381"/>
              <w:rPr>
                <w:bCs/>
                <w:sz w:val="16"/>
                <w:szCs w:val="16"/>
                <w:lang w:val="es-ES_tradnl"/>
              </w:rPr>
            </w:pPr>
            <w:r w:rsidRPr="00C75C7E">
              <w:rPr>
                <w:bCs/>
                <w:sz w:val="16"/>
                <w:szCs w:val="16"/>
                <w:lang w:val="es-ES_tradnl"/>
              </w:rPr>
              <w:t>80%</w:t>
            </w:r>
          </w:p>
        </w:tc>
      </w:tr>
      <w:tr w:rsidR="009F58E5" w:rsidRPr="00C75C7E" w:rsidTr="008F4F69">
        <w:trPr>
          <w:cantSplit/>
        </w:trPr>
        <w:tc>
          <w:tcPr>
            <w:tcW w:w="1248" w:type="pct"/>
            <w:vMerge/>
            <w:shd w:val="clear" w:color="auto" w:fill="auto"/>
            <w:tcMar>
              <w:top w:w="113" w:type="dxa"/>
            </w:tcMar>
          </w:tcPr>
          <w:p w:rsidR="009F58E5" w:rsidRPr="00C75C7E" w:rsidRDefault="009F58E5" w:rsidP="008F4F69">
            <w:pPr>
              <w:rPr>
                <w:sz w:val="16"/>
                <w:szCs w:val="16"/>
                <w:lang w:val="es-ES_tradnl"/>
              </w:rPr>
            </w:pP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Porcentaje de notificaciones de adhesión y otras medidas relacionadas con los tratados </w:t>
            </w:r>
            <w:proofErr w:type="gramStart"/>
            <w:r w:rsidRPr="00C75C7E">
              <w:rPr>
                <w:sz w:val="16"/>
                <w:szCs w:val="16"/>
                <w:lang w:val="es-ES_tradnl"/>
              </w:rPr>
              <w:t>tramitadas</w:t>
            </w:r>
            <w:proofErr w:type="gramEnd"/>
            <w:r w:rsidRPr="00C75C7E">
              <w:rPr>
                <w:sz w:val="16"/>
                <w:szCs w:val="16"/>
                <w:lang w:val="es-ES_tradnl"/>
              </w:rPr>
              <w:t xml:space="preserve"> de manera puntual.</w:t>
            </w:r>
          </w:p>
        </w:tc>
        <w:tc>
          <w:tcPr>
            <w:tcW w:w="1156"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bidi="th-TH"/>
              </w:rPr>
              <w:t>95% tramitadas en un plazo de tres días (al final de 2012).</w:t>
            </w:r>
          </w:p>
        </w:tc>
        <w:tc>
          <w:tcPr>
            <w:tcW w:w="1083" w:type="pct"/>
            <w:shd w:val="clear" w:color="auto" w:fill="auto"/>
            <w:tcMar>
              <w:top w:w="113" w:type="dxa"/>
            </w:tcMar>
          </w:tcPr>
          <w:p w:rsidR="009F58E5" w:rsidRPr="00C75C7E" w:rsidRDefault="009F58E5" w:rsidP="008F4F69">
            <w:pPr>
              <w:keepNext/>
              <w:keepLines/>
              <w:ind w:right="51"/>
              <w:rPr>
                <w:bCs/>
                <w:sz w:val="16"/>
                <w:szCs w:val="16"/>
                <w:lang w:val="es-ES_tradnl"/>
              </w:rPr>
            </w:pPr>
            <w:r w:rsidRPr="00C75C7E">
              <w:rPr>
                <w:bCs/>
                <w:sz w:val="16"/>
                <w:szCs w:val="16"/>
                <w:lang w:val="es-ES_tradnl"/>
              </w:rPr>
              <w:t>90 % tramitadas en un plazo de tres días.</w:t>
            </w:r>
          </w:p>
        </w:tc>
      </w:tr>
      <w:tr w:rsidR="009F58E5" w:rsidRPr="00C75C7E" w:rsidTr="008F4F69">
        <w:trPr>
          <w:cantSplit/>
          <w:trHeight w:val="582"/>
        </w:trPr>
        <w:tc>
          <w:tcPr>
            <w:tcW w:w="1248" w:type="pct"/>
            <w:vMerge/>
            <w:shd w:val="clear" w:color="auto" w:fill="auto"/>
            <w:tcMar>
              <w:top w:w="113" w:type="dxa"/>
            </w:tcMar>
          </w:tcPr>
          <w:p w:rsidR="009F58E5" w:rsidRPr="00C75C7E" w:rsidRDefault="009F58E5" w:rsidP="008F4F69">
            <w:pPr>
              <w:rPr>
                <w:sz w:val="16"/>
                <w:szCs w:val="16"/>
                <w:lang w:val="es-ES_tradnl"/>
              </w:rPr>
            </w:pP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Índice de satisfacción de los Estados miembros respecto de la preparación y funcionamiento de las Asambleas.</w:t>
            </w:r>
          </w:p>
        </w:tc>
        <w:tc>
          <w:tcPr>
            <w:tcW w:w="1156"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bidi="th-TH"/>
              </w:rPr>
              <w:t>88% satisfecho con las disposiciones adoptadas.</w:t>
            </w:r>
          </w:p>
        </w:tc>
        <w:tc>
          <w:tcPr>
            <w:tcW w:w="1083"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85% satisfecho con las disposiciones adoptadas.</w:t>
            </w:r>
          </w:p>
        </w:tc>
      </w:tr>
      <w:tr w:rsidR="009F58E5" w:rsidRPr="00C75C7E" w:rsidTr="008F4F69">
        <w:trPr>
          <w:cantSplit/>
          <w:trHeight w:val="796"/>
        </w:trPr>
        <w:tc>
          <w:tcPr>
            <w:tcW w:w="1248" w:type="pct"/>
            <w:vMerge/>
            <w:shd w:val="clear" w:color="auto" w:fill="auto"/>
            <w:tcMar>
              <w:top w:w="113" w:type="dxa"/>
            </w:tcMar>
          </w:tcPr>
          <w:p w:rsidR="009F58E5" w:rsidRPr="00C75C7E" w:rsidRDefault="009F58E5" w:rsidP="008F4F69">
            <w:pPr>
              <w:rPr>
                <w:sz w:val="16"/>
                <w:szCs w:val="16"/>
                <w:lang w:val="es-ES_tradnl"/>
              </w:rPr>
            </w:pP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Publicación puntual de los documentos de las Asambleas.</w:t>
            </w:r>
          </w:p>
        </w:tc>
        <w:tc>
          <w:tcPr>
            <w:tcW w:w="1156"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100% de los documentos pertinentes publicados al menos dos meses antes de las Asambleas.</w:t>
            </w:r>
          </w:p>
        </w:tc>
        <w:tc>
          <w:tcPr>
            <w:tcW w:w="1083"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100% de los documentos pertinentes publicados al menos dos meses antes de las Asambleas.</w:t>
            </w:r>
          </w:p>
        </w:tc>
      </w:tr>
      <w:tr w:rsidR="009F58E5" w:rsidRPr="00C75C7E" w:rsidTr="008F4F69">
        <w:trPr>
          <w:cantSplit/>
        </w:trPr>
        <w:tc>
          <w:tcPr>
            <w:tcW w:w="1248" w:type="pct"/>
            <w:vMerge w:val="restar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VIII.5. La OMPI participa y colabora eficazmente en los procesos y negociaciones de las NN.UU. y otras OIG.</w:t>
            </w: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Nuevas iniciativas conjuntas con otros organismos de NN.UU.</w:t>
            </w:r>
          </w:p>
        </w:tc>
        <w:tc>
          <w:tcPr>
            <w:tcW w:w="1156"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bidi="th-TH"/>
              </w:rPr>
              <w:t>Dos.</w:t>
            </w:r>
          </w:p>
        </w:tc>
        <w:tc>
          <w:tcPr>
            <w:tcW w:w="1083" w:type="pct"/>
            <w:shd w:val="clear" w:color="auto" w:fill="auto"/>
            <w:tcMar>
              <w:top w:w="113" w:type="dxa"/>
            </w:tcMar>
          </w:tcPr>
          <w:p w:rsidR="009F58E5" w:rsidRPr="00C75C7E" w:rsidRDefault="009F58E5" w:rsidP="008F4F69">
            <w:pPr>
              <w:keepNext/>
              <w:keepLines/>
              <w:tabs>
                <w:tab w:val="left" w:pos="2051"/>
              </w:tabs>
              <w:ind w:right="381"/>
              <w:rPr>
                <w:bCs/>
                <w:sz w:val="16"/>
                <w:szCs w:val="16"/>
                <w:lang w:val="es-ES_tradnl"/>
              </w:rPr>
            </w:pPr>
            <w:r w:rsidRPr="00C75C7E">
              <w:rPr>
                <w:bCs/>
                <w:sz w:val="16"/>
                <w:szCs w:val="16"/>
                <w:lang w:val="es-ES_tradnl"/>
              </w:rPr>
              <w:t>Dos.</w:t>
            </w:r>
          </w:p>
        </w:tc>
      </w:tr>
      <w:tr w:rsidR="009F58E5" w:rsidRPr="00C75C7E" w:rsidTr="008F4F69">
        <w:trPr>
          <w:cantSplit/>
        </w:trPr>
        <w:tc>
          <w:tcPr>
            <w:tcW w:w="1248" w:type="pct"/>
            <w:vMerge/>
            <w:shd w:val="clear" w:color="auto" w:fill="auto"/>
            <w:tcMar>
              <w:top w:w="113" w:type="dxa"/>
            </w:tcMar>
          </w:tcPr>
          <w:p w:rsidR="009F58E5" w:rsidRPr="00C75C7E" w:rsidRDefault="009F58E5" w:rsidP="008F4F69">
            <w:pPr>
              <w:rPr>
                <w:sz w:val="16"/>
                <w:szCs w:val="16"/>
                <w:lang w:val="es-ES_tradnl"/>
              </w:rPr>
            </w:pP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peticiones de asesoramiento y servicios jurídicos que reciben respuestas rápidas, independientes y fiables de la Oficina del Consejero Jurídico.</w:t>
            </w:r>
          </w:p>
        </w:tc>
        <w:tc>
          <w:tcPr>
            <w:tcW w:w="1156"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bidi="th-TH"/>
              </w:rPr>
              <w:t>100%</w:t>
            </w:r>
          </w:p>
        </w:tc>
        <w:tc>
          <w:tcPr>
            <w:tcW w:w="1083" w:type="pct"/>
            <w:shd w:val="clear" w:color="auto" w:fill="auto"/>
            <w:tcMar>
              <w:top w:w="113" w:type="dxa"/>
            </w:tcMar>
          </w:tcPr>
          <w:p w:rsidR="009F58E5" w:rsidRPr="00C75C7E" w:rsidRDefault="009F58E5" w:rsidP="008F4F69">
            <w:pPr>
              <w:keepNext/>
              <w:keepLines/>
              <w:ind w:right="51"/>
              <w:rPr>
                <w:bCs/>
                <w:sz w:val="16"/>
                <w:szCs w:val="16"/>
                <w:lang w:val="es-ES_tradnl"/>
              </w:rPr>
            </w:pPr>
            <w:r w:rsidRPr="00C75C7E">
              <w:rPr>
                <w:bCs/>
                <w:sz w:val="16"/>
                <w:szCs w:val="16"/>
                <w:lang w:val="es-ES_tradnl"/>
              </w:rPr>
              <w:t>95%</w:t>
            </w:r>
          </w:p>
        </w:tc>
      </w:tr>
      <w:tr w:rsidR="009F58E5" w:rsidRPr="00C75C7E" w:rsidTr="008F4F69">
        <w:trPr>
          <w:cantSplit/>
          <w:trHeight w:val="879"/>
        </w:trPr>
        <w:tc>
          <w:tcPr>
            <w:tcW w:w="1248"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IX.2 Funcionamiento sin contratiempos de la Secretaría, provista de un personal bien dirigido, dotado de </w:t>
            </w:r>
            <w:proofErr w:type="gramStart"/>
            <w:r w:rsidRPr="00C75C7E">
              <w:rPr>
                <w:sz w:val="16"/>
                <w:szCs w:val="16"/>
                <w:lang w:val="es-ES_tradnl"/>
              </w:rPr>
              <w:t>las competencias adecuadas y capaz</w:t>
            </w:r>
            <w:proofErr w:type="gramEnd"/>
            <w:r w:rsidRPr="00C75C7E">
              <w:rPr>
                <w:sz w:val="16"/>
                <w:szCs w:val="16"/>
                <w:lang w:val="es-ES_tradnl"/>
              </w:rPr>
              <w:t xml:space="preserve"> de conseguir resultados.</w:t>
            </w: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peticiones de asesoramiento y servicios jurídicos que reciben respuestas rápidas, independientes y fiables de la Oficina del Consejero Jurídico.</w:t>
            </w:r>
          </w:p>
        </w:tc>
        <w:tc>
          <w:tcPr>
            <w:tcW w:w="1156"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100%</w:t>
            </w:r>
          </w:p>
        </w:tc>
        <w:tc>
          <w:tcPr>
            <w:tcW w:w="1083"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90%</w:t>
            </w:r>
          </w:p>
        </w:tc>
      </w:tr>
      <w:tr w:rsidR="009F58E5" w:rsidRPr="00C75C7E" w:rsidTr="008F4F69">
        <w:trPr>
          <w:cantSplit/>
          <w:trHeight w:val="1089"/>
        </w:trPr>
        <w:tc>
          <w:tcPr>
            <w:tcW w:w="1248"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IX.3. Entorno de trabajo propicio basado en un marco reglamentario eficaz y medios adecuados para atender las preocupaciones del personal.</w:t>
            </w: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miembros del personal de la OMPI conscientes de los servicios disponibles en la Oficina del Mediador y del mecanismo informal de solución de conflictos.</w:t>
            </w:r>
          </w:p>
        </w:tc>
        <w:tc>
          <w:tcPr>
            <w:tcW w:w="1156"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 xml:space="preserve">Encuesta y comentarios del personal en 2011:  el 44% del personal está familiarizado con la función del Mediador y el </w:t>
            </w:r>
          </w:p>
          <w:p w:rsidR="009F58E5" w:rsidRPr="00C75C7E" w:rsidRDefault="009F58E5" w:rsidP="008F4F69">
            <w:pPr>
              <w:rPr>
                <w:sz w:val="16"/>
                <w:szCs w:val="16"/>
                <w:lang w:val="es-ES_tradnl" w:bidi="th-TH"/>
              </w:rPr>
            </w:pPr>
            <w:r w:rsidRPr="00C75C7E">
              <w:rPr>
                <w:sz w:val="16"/>
                <w:szCs w:val="16"/>
                <w:lang w:val="es-ES_tradnl" w:bidi="th-TH"/>
              </w:rPr>
              <w:t>49% está más o menos familiarizado con ella.</w:t>
            </w:r>
          </w:p>
        </w:tc>
        <w:tc>
          <w:tcPr>
            <w:tcW w:w="1083"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Aumento del porcentaje de miembros del personal familiarizados con esa función hasta llegar al 60%.</w:t>
            </w:r>
          </w:p>
        </w:tc>
      </w:tr>
      <w:tr w:rsidR="009F58E5" w:rsidRPr="00C75C7E" w:rsidTr="008F4F69">
        <w:trPr>
          <w:cantSplit/>
          <w:trHeight w:val="606"/>
        </w:trPr>
        <w:tc>
          <w:tcPr>
            <w:tcW w:w="1248" w:type="pct"/>
            <w:shd w:val="clear" w:color="auto" w:fill="auto"/>
            <w:tcMar>
              <w:top w:w="113" w:type="dxa"/>
            </w:tcMar>
          </w:tcPr>
          <w:p w:rsidR="009F58E5" w:rsidRPr="00C75C7E" w:rsidRDefault="009F58E5" w:rsidP="008F4F69">
            <w:pPr>
              <w:rPr>
                <w:sz w:val="16"/>
                <w:szCs w:val="16"/>
                <w:lang w:val="es-ES_tradnl"/>
              </w:rPr>
            </w:pPr>
          </w:p>
        </w:tc>
        <w:tc>
          <w:tcPr>
            <w:tcW w:w="1514"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encuestados que afirman ser conscientes de los principios y políticas de la OMPI en material de ética profesional.</w:t>
            </w:r>
          </w:p>
        </w:tc>
        <w:tc>
          <w:tcPr>
            <w:tcW w:w="1156"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70%</w:t>
            </w:r>
          </w:p>
        </w:tc>
        <w:tc>
          <w:tcPr>
            <w:tcW w:w="1083"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75%</w:t>
            </w:r>
          </w:p>
        </w:tc>
      </w:tr>
    </w:tbl>
    <w:p w:rsidR="009F58E5" w:rsidRPr="00C75C7E" w:rsidRDefault="009F58E5" w:rsidP="000B01FE">
      <w:pPr>
        <w:widowControl w:val="0"/>
        <w:rPr>
          <w:sz w:val="20"/>
          <w:lang w:val="es-ES_tradnl"/>
        </w:rPr>
      </w:pPr>
    </w:p>
    <w:p w:rsidR="00D73B21" w:rsidRPr="004C03C1" w:rsidRDefault="00D73B21" w:rsidP="000B01FE">
      <w:pPr>
        <w:widowControl w:val="0"/>
        <w:rPr>
          <w:sz w:val="20"/>
        </w:rPr>
      </w:pPr>
    </w:p>
    <w:p w:rsidR="00D73B21" w:rsidRPr="004C03C1" w:rsidRDefault="00D73B21" w:rsidP="000B01FE">
      <w:pPr>
        <w:widowControl w:val="0"/>
        <w:autoSpaceDE w:val="0"/>
        <w:autoSpaceDN w:val="0"/>
        <w:adjustRightInd w:val="0"/>
        <w:jc w:val="both"/>
        <w:rPr>
          <w:szCs w:val="22"/>
        </w:rPr>
      </w:pPr>
      <w:r w:rsidRPr="004C03C1">
        <w:rPr>
          <w:szCs w:val="22"/>
        </w:rPr>
        <w:t>RECURSOS PARA EL PROGRAMA 21</w:t>
      </w:r>
    </w:p>
    <w:p w:rsidR="00D73B21" w:rsidRPr="004C03C1" w:rsidRDefault="00D73B21" w:rsidP="000B01FE">
      <w:pPr>
        <w:widowControl w:val="0"/>
        <w:autoSpaceDE w:val="0"/>
        <w:autoSpaceDN w:val="0"/>
        <w:adjustRightInd w:val="0"/>
        <w:jc w:val="both"/>
        <w:rPr>
          <w:sz w:val="20"/>
        </w:rPr>
      </w:pPr>
    </w:p>
    <w:p w:rsidR="00D73B21" w:rsidRPr="00D62913" w:rsidRDefault="00D73B21" w:rsidP="000B01FE">
      <w:pPr>
        <w:widowControl w:val="0"/>
        <w:numPr>
          <w:ilvl w:val="0"/>
          <w:numId w:val="40"/>
        </w:numPr>
        <w:jc w:val="both"/>
        <w:rPr>
          <w:sz w:val="20"/>
        </w:rPr>
      </w:pPr>
      <w:r w:rsidRPr="00816F67">
        <w:rPr>
          <w:sz w:val="20"/>
        </w:rPr>
        <w:t>Los recursos asignados a</w:t>
      </w:r>
      <w:r>
        <w:rPr>
          <w:sz w:val="20"/>
        </w:rPr>
        <w:t>l r</w:t>
      </w:r>
      <w:r w:rsidR="0012598D">
        <w:rPr>
          <w:sz w:val="20"/>
        </w:rPr>
        <w:t>esultado</w:t>
      </w:r>
      <w:r w:rsidRPr="00816F67">
        <w:rPr>
          <w:sz w:val="20"/>
        </w:rPr>
        <w:t xml:space="preserve"> IV.2 (</w:t>
      </w:r>
      <w:r w:rsidRPr="0087645A">
        <w:rPr>
          <w:sz w:val="20"/>
        </w:rPr>
        <w:t>Mejora del acceso y uso de información y conocimientos de P.I</w:t>
      </w:r>
      <w:r>
        <w:rPr>
          <w:sz w:val="20"/>
        </w:rPr>
        <w:t>) se relacionan con el continuo</w:t>
      </w:r>
      <w:r w:rsidRPr="00816F67">
        <w:rPr>
          <w:sz w:val="20"/>
        </w:rPr>
        <w:t xml:space="preserve"> enriquecimiento y mantenimiento de la base datos WIPO </w:t>
      </w:r>
      <w:proofErr w:type="spellStart"/>
      <w:r w:rsidRPr="00816F67">
        <w:rPr>
          <w:sz w:val="20"/>
        </w:rPr>
        <w:t>Lex</w:t>
      </w:r>
      <w:proofErr w:type="spellEnd"/>
      <w:r>
        <w:rPr>
          <w:sz w:val="20"/>
        </w:rPr>
        <w:t>.  E</w:t>
      </w:r>
      <w:r w:rsidRPr="00816F67">
        <w:rPr>
          <w:sz w:val="20"/>
        </w:rPr>
        <w:t>n 2014/15 se mantienen</w:t>
      </w:r>
      <w:r>
        <w:rPr>
          <w:sz w:val="20"/>
        </w:rPr>
        <w:t>, por lo general,</w:t>
      </w:r>
      <w:r w:rsidRPr="00816F67">
        <w:rPr>
          <w:sz w:val="20"/>
        </w:rPr>
        <w:t xml:space="preserve"> en un nivel similar al del presupuesto de 2012/13 después de las transferencias.</w:t>
      </w:r>
    </w:p>
    <w:p w:rsidR="00D73B21" w:rsidRPr="00D92BEC" w:rsidRDefault="00D73B21" w:rsidP="00D73B21">
      <w:pPr>
        <w:jc w:val="both"/>
        <w:rPr>
          <w:sz w:val="20"/>
        </w:rPr>
      </w:pPr>
    </w:p>
    <w:p w:rsidR="00D73B21" w:rsidRPr="00E5426D" w:rsidRDefault="00D73B21" w:rsidP="00D73B21">
      <w:pPr>
        <w:numPr>
          <w:ilvl w:val="0"/>
          <w:numId w:val="40"/>
        </w:numPr>
        <w:jc w:val="both"/>
        <w:rPr>
          <w:sz w:val="20"/>
        </w:rPr>
      </w:pPr>
      <w:r>
        <w:rPr>
          <w:sz w:val="20"/>
        </w:rPr>
        <w:t>El aumento de</w:t>
      </w:r>
      <w:r w:rsidRPr="00403536">
        <w:rPr>
          <w:sz w:val="20"/>
        </w:rPr>
        <w:t xml:space="preserve"> los recursos asignados al resultado VII. </w:t>
      </w:r>
      <w:r>
        <w:rPr>
          <w:sz w:val="20"/>
        </w:rPr>
        <w:t>3 (</w:t>
      </w:r>
      <w:r w:rsidRPr="00D9305F">
        <w:rPr>
          <w:sz w:val="20"/>
        </w:rPr>
        <w:t>Atención eficaz a los</w:t>
      </w:r>
      <w:r>
        <w:rPr>
          <w:sz w:val="20"/>
        </w:rPr>
        <w:t xml:space="preserve"> Estados miembros) y al resultado VII. 5 (</w:t>
      </w:r>
      <w:r w:rsidRPr="00BD0CA5">
        <w:rPr>
          <w:sz w:val="20"/>
        </w:rPr>
        <w:t>La OMPI participa y colabora eficazmente en los procesos y negociac</w:t>
      </w:r>
      <w:r>
        <w:rPr>
          <w:sz w:val="20"/>
        </w:rPr>
        <w:t xml:space="preserve">iones de las NN.UU. y otras OIG) </w:t>
      </w:r>
      <w:r w:rsidRPr="00E5426D">
        <w:rPr>
          <w:sz w:val="20"/>
        </w:rPr>
        <w:t>refleja fundamentalmente</w:t>
      </w:r>
      <w:r>
        <w:rPr>
          <w:sz w:val="20"/>
        </w:rPr>
        <w:t xml:space="preserve"> la importancia que se le presta a estos resultados mediante la asignación más elevada de </w:t>
      </w:r>
      <w:r w:rsidRPr="00832DB2">
        <w:rPr>
          <w:sz w:val="20"/>
        </w:rPr>
        <w:t>recursos de personal</w:t>
      </w:r>
      <w:r>
        <w:rPr>
          <w:sz w:val="20"/>
        </w:rPr>
        <w:t>.</w:t>
      </w:r>
    </w:p>
    <w:p w:rsidR="00D73B21" w:rsidRPr="00403536" w:rsidRDefault="00D73B21" w:rsidP="00D73B21">
      <w:pPr>
        <w:jc w:val="both"/>
        <w:rPr>
          <w:sz w:val="20"/>
        </w:rPr>
      </w:pPr>
    </w:p>
    <w:p w:rsidR="00D73B21" w:rsidRPr="00B91143" w:rsidRDefault="00D73B21" w:rsidP="00D73B21">
      <w:pPr>
        <w:numPr>
          <w:ilvl w:val="0"/>
          <w:numId w:val="40"/>
        </w:numPr>
        <w:jc w:val="both"/>
        <w:rPr>
          <w:sz w:val="20"/>
        </w:rPr>
      </w:pPr>
      <w:r>
        <w:rPr>
          <w:sz w:val="20"/>
        </w:rPr>
        <w:t>La disminución de</w:t>
      </w:r>
      <w:r w:rsidRPr="004F47F4">
        <w:rPr>
          <w:sz w:val="20"/>
        </w:rPr>
        <w:t xml:space="preserve"> los r</w:t>
      </w:r>
      <w:r>
        <w:rPr>
          <w:sz w:val="20"/>
        </w:rPr>
        <w:t>ecursos asignados a</w:t>
      </w:r>
      <w:r w:rsidRPr="004F47F4">
        <w:rPr>
          <w:sz w:val="20"/>
        </w:rPr>
        <w:t>l resultado IX.2 (</w:t>
      </w:r>
      <w:r w:rsidRPr="00406C66">
        <w:rPr>
          <w:sz w:val="20"/>
        </w:rPr>
        <w:t>Funcionamiento ágil y sin</w:t>
      </w:r>
      <w:r>
        <w:rPr>
          <w:sz w:val="20"/>
        </w:rPr>
        <w:t xml:space="preserve"> contratiempos de la Secretaría) se debe fundamentalmente a la conclusión prevista del </w:t>
      </w:r>
      <w:r w:rsidR="00AE7D43">
        <w:rPr>
          <w:sz w:val="20"/>
        </w:rPr>
        <w:t>Programa de Alineación Estratégica</w:t>
      </w:r>
      <w:r>
        <w:rPr>
          <w:sz w:val="20"/>
        </w:rPr>
        <w:t xml:space="preserve"> en el bienio actual que se refleja en una disminución de 1,2 millones </w:t>
      </w:r>
      <w:r w:rsidRPr="00B91143">
        <w:rPr>
          <w:sz w:val="20"/>
        </w:rPr>
        <w:t>de francos suizos</w:t>
      </w:r>
      <w:r>
        <w:rPr>
          <w:sz w:val="20"/>
        </w:rPr>
        <w:t xml:space="preserve"> en la línea “Otros servicios contractuales” </w:t>
      </w:r>
    </w:p>
    <w:p w:rsidR="00D73B21" w:rsidRPr="004F47F4" w:rsidRDefault="00D73B21" w:rsidP="00D73B21">
      <w:pPr>
        <w:jc w:val="both"/>
        <w:rPr>
          <w:sz w:val="20"/>
        </w:rPr>
      </w:pPr>
    </w:p>
    <w:p w:rsidR="009F58E5" w:rsidRPr="00D73B21" w:rsidRDefault="009F58E5" w:rsidP="009F58E5">
      <w:pPr>
        <w:rPr>
          <w:sz w:val="20"/>
          <w:highlight w:val="yellow"/>
        </w:rPr>
      </w:pPr>
    </w:p>
    <w:p w:rsidR="009F58E5" w:rsidRPr="00C75C7E" w:rsidRDefault="00B258CE" w:rsidP="001B6350">
      <w:pPr>
        <w:autoSpaceDE w:val="0"/>
        <w:autoSpaceDN w:val="0"/>
        <w:adjustRightInd w:val="0"/>
        <w:jc w:val="center"/>
        <w:rPr>
          <w:b/>
          <w:bCs/>
          <w:iCs/>
          <w:sz w:val="20"/>
          <w:lang w:val="es-ES_tradnl"/>
        </w:rPr>
      </w:pPr>
      <w:r>
        <w:rPr>
          <w:b/>
          <w:bCs/>
          <w:iCs/>
          <w:sz w:val="20"/>
          <w:lang w:val="es-ES_tradnl"/>
        </w:rPr>
        <w:t>Programa 21</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1B6350">
      <w:pPr>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Pr="00C75C7E" w:rsidRDefault="009F58E5" w:rsidP="001B6350">
      <w:pPr>
        <w:autoSpaceDE w:val="0"/>
        <w:autoSpaceDN w:val="0"/>
        <w:adjustRightInd w:val="0"/>
        <w:jc w:val="center"/>
        <w:rPr>
          <w:sz w:val="18"/>
          <w:szCs w:val="18"/>
          <w:lang w:val="es-ES_tradnl"/>
        </w:rPr>
      </w:pPr>
    </w:p>
    <w:p w:rsidR="009F58E5" w:rsidRPr="00C75C7E" w:rsidRDefault="002D7BAF" w:rsidP="001B6350">
      <w:pPr>
        <w:jc w:val="center"/>
        <w:rPr>
          <w:sz w:val="18"/>
          <w:szCs w:val="18"/>
          <w:lang w:val="es-ES_tradnl"/>
        </w:rPr>
      </w:pPr>
      <w:r w:rsidRPr="002D7BAF">
        <w:rPr>
          <w:noProof/>
          <w:lang w:val="en-US" w:eastAsia="en-US"/>
        </w:rPr>
        <w:drawing>
          <wp:inline distT="0" distB="0" distL="0" distR="0" wp14:anchorId="596D6A62" wp14:editId="559704C5">
            <wp:extent cx="5762625" cy="3168650"/>
            <wp:effectExtent l="0" t="0" r="9525"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762625" cy="3168650"/>
                    </a:xfrm>
                    <a:prstGeom prst="rect">
                      <a:avLst/>
                    </a:prstGeom>
                    <a:noFill/>
                    <a:ln>
                      <a:noFill/>
                    </a:ln>
                  </pic:spPr>
                </pic:pic>
              </a:graphicData>
            </a:graphic>
          </wp:inline>
        </w:drawing>
      </w:r>
    </w:p>
    <w:p w:rsidR="009F58E5" w:rsidRPr="00C75C7E" w:rsidRDefault="009F58E5" w:rsidP="001B6350">
      <w:pPr>
        <w:widowControl w:val="0"/>
        <w:jc w:val="both"/>
        <w:rPr>
          <w:sz w:val="20"/>
          <w:lang w:val="es-ES_tradnl"/>
        </w:rPr>
      </w:pPr>
    </w:p>
    <w:p w:rsidR="009F58E5" w:rsidRPr="00C75C7E" w:rsidRDefault="009F58E5" w:rsidP="001B6350">
      <w:pPr>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w:t>
      </w:r>
      <w:r>
        <w:rPr>
          <w:sz w:val="16"/>
          <w:szCs w:val="16"/>
          <w:lang w:val="es-ES_tradnl"/>
        </w:rPr>
        <w:t xml:space="preserve"> </w:t>
      </w:r>
      <w:r w:rsidRPr="00C75C7E">
        <w:rPr>
          <w:sz w:val="16"/>
          <w:szCs w:val="16"/>
          <w:lang w:val="es-ES_tradnl"/>
        </w:rPr>
        <w:t xml:space="preserve"> 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9F58E5">
      <w:pPr>
        <w:jc w:val="both"/>
        <w:rPr>
          <w:sz w:val="20"/>
          <w:lang w:val="es-ES_tradnl"/>
        </w:rPr>
      </w:pPr>
    </w:p>
    <w:p w:rsidR="009F58E5" w:rsidRPr="00C75C7E" w:rsidRDefault="00B258CE" w:rsidP="00D73B21">
      <w:pPr>
        <w:keepNext/>
        <w:autoSpaceDE w:val="0"/>
        <w:autoSpaceDN w:val="0"/>
        <w:adjustRightInd w:val="0"/>
        <w:jc w:val="center"/>
        <w:rPr>
          <w:b/>
          <w:bCs/>
          <w:iCs/>
          <w:sz w:val="20"/>
          <w:lang w:val="es-ES_tradnl"/>
        </w:rPr>
      </w:pPr>
      <w:r>
        <w:rPr>
          <w:b/>
          <w:bCs/>
          <w:iCs/>
          <w:sz w:val="20"/>
          <w:lang w:val="es-ES_tradnl"/>
        </w:rPr>
        <w:lastRenderedPageBreak/>
        <w:t>Programa 21</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D73B21">
      <w:pPr>
        <w:keepNext/>
        <w:autoSpaceDE w:val="0"/>
        <w:autoSpaceDN w:val="0"/>
        <w:adjustRightInd w:val="0"/>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D73B21">
      <w:pPr>
        <w:keepNext/>
        <w:jc w:val="center"/>
        <w:rPr>
          <w:i/>
          <w:sz w:val="18"/>
          <w:szCs w:val="18"/>
          <w:lang w:val="es-ES_tradnl"/>
        </w:rPr>
      </w:pPr>
    </w:p>
    <w:p w:rsidR="00EA4CD8" w:rsidRPr="00C75C7E" w:rsidRDefault="0094328B" w:rsidP="00D73B21">
      <w:pPr>
        <w:keepNext/>
        <w:jc w:val="center"/>
        <w:rPr>
          <w:i/>
          <w:sz w:val="18"/>
          <w:szCs w:val="18"/>
          <w:lang w:val="es-ES_tradnl"/>
        </w:rPr>
      </w:pPr>
      <w:r w:rsidRPr="0094328B">
        <w:rPr>
          <w:noProof/>
          <w:lang w:val="en-US" w:eastAsia="en-US"/>
        </w:rPr>
        <w:drawing>
          <wp:inline distT="0" distB="0" distL="0" distR="0" wp14:anchorId="1D9EEB3C" wp14:editId="74B32553">
            <wp:extent cx="5940425" cy="5867042"/>
            <wp:effectExtent l="0" t="0" r="3175" b="63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940425" cy="5867042"/>
                    </a:xfrm>
                    <a:prstGeom prst="rect">
                      <a:avLst/>
                    </a:prstGeom>
                    <a:noFill/>
                    <a:ln>
                      <a:noFill/>
                    </a:ln>
                  </pic:spPr>
                </pic:pic>
              </a:graphicData>
            </a:graphic>
          </wp:inline>
        </w:drawing>
      </w:r>
    </w:p>
    <w:p w:rsidR="00EA4CD8" w:rsidRDefault="00EA4CD8" w:rsidP="00064129">
      <w:pPr>
        <w:rPr>
          <w:sz w:val="16"/>
          <w:szCs w:val="16"/>
          <w:lang w:val="es-ES_tradnl"/>
        </w:rPr>
      </w:pPr>
    </w:p>
    <w:p w:rsidR="009F58E5" w:rsidRPr="00C75C7E" w:rsidRDefault="009F58E5" w:rsidP="00064129">
      <w:pPr>
        <w:rPr>
          <w:sz w:val="16"/>
          <w:szCs w:val="16"/>
          <w:lang w:val="es-ES_tradnl"/>
        </w:rPr>
      </w:pPr>
      <w:r w:rsidRPr="00C75C7E">
        <w:rPr>
          <w:sz w:val="16"/>
          <w:szCs w:val="16"/>
          <w:lang w:val="es-ES_tradnl"/>
        </w:rPr>
        <w:t>Notas:</w:t>
      </w:r>
    </w:p>
    <w:p w:rsidR="009F58E5" w:rsidRPr="00C75C7E" w:rsidRDefault="009F58E5" w:rsidP="00064129">
      <w:pPr>
        <w:rPr>
          <w:sz w:val="16"/>
          <w:szCs w:val="16"/>
          <w:u w:val="single"/>
          <w:lang w:val="es-ES_tradnl"/>
        </w:rPr>
      </w:pPr>
    </w:p>
    <w:p w:rsidR="009F58E5" w:rsidRPr="00C75C7E" w:rsidRDefault="006951B9" w:rsidP="00064129">
      <w:pPr>
        <w:spacing w:after="120"/>
        <w:rPr>
          <w:sz w:val="16"/>
          <w:szCs w:val="16"/>
          <w:lang w:val="es-ES_tradnl"/>
        </w:rPr>
      </w:pPr>
      <w:r>
        <w:rPr>
          <w:sz w:val="16"/>
          <w:szCs w:val="16"/>
          <w:lang w:val="es-ES_tradnl"/>
        </w:rPr>
        <w:t xml:space="preserve">1)  </w:t>
      </w:r>
      <w:r w:rsidR="009F58E5" w:rsidRPr="00C75C7E">
        <w:rPr>
          <w:sz w:val="16"/>
          <w:szCs w:val="16"/>
          <w:lang w:val="es-ES_tradnl"/>
        </w:rPr>
        <w:t xml:space="preserve">El presupuesto aprobado de 2012/13 y el presupuesto de dicho bienio después de las transferencias se </w:t>
      </w:r>
      <w:proofErr w:type="spellStart"/>
      <w:r w:rsidR="009F58E5" w:rsidRPr="00C75C7E">
        <w:rPr>
          <w:sz w:val="16"/>
          <w:szCs w:val="16"/>
          <w:lang w:val="es-ES_tradnl"/>
        </w:rPr>
        <w:t>reexpresan</w:t>
      </w:r>
      <w:proofErr w:type="spellEnd"/>
      <w:r w:rsidR="009F58E5" w:rsidRPr="00C75C7E">
        <w:rPr>
          <w:sz w:val="16"/>
          <w:szCs w:val="16"/>
          <w:lang w:val="es-ES_tradnl"/>
        </w:rPr>
        <w:t xml:space="preserve"> sobre la base de la estructura de categorías de costos propuesta para 2014/15.</w:t>
      </w:r>
    </w:p>
    <w:p w:rsidR="009F58E5" w:rsidRPr="00C75C7E" w:rsidRDefault="009F58E5" w:rsidP="00064129">
      <w:pPr>
        <w:spacing w:after="120"/>
        <w:rPr>
          <w:sz w:val="16"/>
          <w:szCs w:val="16"/>
          <w:lang w:val="es-ES_tradnl"/>
        </w:rPr>
      </w:pPr>
      <w:r>
        <w:rPr>
          <w:sz w:val="16"/>
          <w:szCs w:val="16"/>
          <w:lang w:val="es-ES_tradnl"/>
        </w:rPr>
        <w:t>2)</w:t>
      </w:r>
      <w:r w:rsidR="006951B9">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w:t>
      </w:r>
      <w:r w:rsidR="00D86F03">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Pr="00C75C7E" w:rsidRDefault="009F58E5" w:rsidP="00064129">
      <w:pPr>
        <w:spacing w:after="120"/>
        <w:rPr>
          <w:sz w:val="16"/>
          <w:szCs w:val="16"/>
          <w:lang w:val="es-ES_tradnl"/>
        </w:rPr>
      </w:pPr>
      <w:r>
        <w:rPr>
          <w:sz w:val="16"/>
          <w:szCs w:val="16"/>
          <w:lang w:val="es-ES_tradnl"/>
        </w:rPr>
        <w:t>3)</w:t>
      </w:r>
      <w:r w:rsidR="006951B9">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9F58E5" w:rsidRDefault="009F58E5" w:rsidP="00D73B21">
      <w:pPr>
        <w:keepNext/>
        <w:jc w:val="center"/>
        <w:rPr>
          <w:i/>
          <w:sz w:val="18"/>
          <w:szCs w:val="18"/>
          <w:highlight w:val="yellow"/>
          <w:lang w:val="es-ES_tradnl"/>
        </w:rPr>
      </w:pPr>
    </w:p>
    <w:p w:rsidR="009F58E5" w:rsidRPr="00C75C7E" w:rsidRDefault="009F58E5" w:rsidP="00D73B21">
      <w:pPr>
        <w:keepNext/>
        <w:jc w:val="center"/>
        <w:rPr>
          <w:i/>
          <w:sz w:val="18"/>
          <w:szCs w:val="18"/>
          <w:highlight w:val="yellow"/>
          <w:lang w:val="es-ES_tradnl"/>
        </w:rPr>
      </w:pPr>
    </w:p>
    <w:p w:rsidR="009F58E5" w:rsidRPr="00C75C7E" w:rsidRDefault="009F58E5" w:rsidP="00D73B21">
      <w:pPr>
        <w:keepNext/>
        <w:widowControl w:val="0"/>
        <w:jc w:val="center"/>
        <w:rPr>
          <w:sz w:val="16"/>
          <w:szCs w:val="16"/>
          <w:lang w:val="es-ES_tradnl"/>
        </w:rPr>
      </w:pPr>
      <w:r w:rsidRPr="00C75C7E">
        <w:rPr>
          <w:sz w:val="18"/>
          <w:szCs w:val="18"/>
          <w:lang w:val="es-ES_tradnl"/>
        </w:rPr>
        <w:t>Fondos fiduciarios disponibles potencialmente para su utilización en 2014/15*</w:t>
      </w:r>
    </w:p>
    <w:p w:rsidR="009F58E5" w:rsidRPr="00C75C7E" w:rsidRDefault="009F58E5" w:rsidP="00D73B21">
      <w:pPr>
        <w:keepNext/>
        <w:widowControl w:val="0"/>
        <w:jc w:val="center"/>
        <w:rPr>
          <w:sz w:val="18"/>
          <w:szCs w:val="18"/>
          <w:lang w:val="es-ES_tradnl"/>
        </w:rPr>
      </w:pPr>
      <w:r w:rsidRPr="00C75C7E">
        <w:rPr>
          <w:iCs/>
          <w:sz w:val="18"/>
          <w:szCs w:val="18"/>
          <w:lang w:val="es-ES_tradnl"/>
        </w:rPr>
        <w:t>(</w:t>
      </w:r>
      <w:proofErr w:type="gramStart"/>
      <w:r w:rsidRPr="00C75C7E">
        <w:rPr>
          <w:iCs/>
          <w:sz w:val="18"/>
          <w:szCs w:val="18"/>
          <w:lang w:val="es-ES_tradnl"/>
        </w:rPr>
        <w:t>en</w:t>
      </w:r>
      <w:proofErr w:type="gramEnd"/>
      <w:r w:rsidRPr="00C75C7E">
        <w:rPr>
          <w:iCs/>
          <w:sz w:val="18"/>
          <w:szCs w:val="18"/>
          <w:lang w:val="es-ES_tradnl"/>
        </w:rPr>
        <w:t xml:space="preserve"> miles de francos suizos)</w:t>
      </w:r>
    </w:p>
    <w:p w:rsidR="009F58E5" w:rsidRPr="00C75C7E" w:rsidRDefault="009F58E5" w:rsidP="00D73B21">
      <w:pPr>
        <w:keepNext/>
        <w:jc w:val="center"/>
        <w:rPr>
          <w:i/>
          <w:sz w:val="18"/>
          <w:szCs w:val="18"/>
          <w:lang w:val="es-ES_tradnl"/>
        </w:rPr>
      </w:pPr>
    </w:p>
    <w:p w:rsidR="009F58E5" w:rsidRPr="00C75C7E" w:rsidRDefault="00C40A11" w:rsidP="00D73B21">
      <w:pPr>
        <w:keepNext/>
        <w:jc w:val="center"/>
        <w:rPr>
          <w:lang w:val="es-ES_tradnl"/>
        </w:rPr>
      </w:pPr>
      <w:r>
        <w:rPr>
          <w:noProof/>
          <w:lang w:val="en-US" w:eastAsia="en-US"/>
        </w:rPr>
        <w:drawing>
          <wp:inline distT="0" distB="0" distL="0" distR="0" wp14:anchorId="17ABDAC4" wp14:editId="36F43D30">
            <wp:extent cx="4217035" cy="743585"/>
            <wp:effectExtent l="0" t="0" r="0" b="0"/>
            <wp:docPr id="69"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4217035" cy="743585"/>
                    </a:xfrm>
                    <a:prstGeom prst="rect">
                      <a:avLst/>
                    </a:prstGeom>
                    <a:noFill/>
                    <a:ln>
                      <a:noFill/>
                    </a:ln>
                  </pic:spPr>
                </pic:pic>
              </a:graphicData>
            </a:graphic>
          </wp:inline>
        </w:drawing>
      </w:r>
    </w:p>
    <w:p w:rsidR="009F58E5" w:rsidRPr="00C75C7E" w:rsidRDefault="009F58E5" w:rsidP="00064129">
      <w:pPr>
        <w:widowControl w:val="0"/>
        <w:jc w:val="both"/>
        <w:rPr>
          <w:sz w:val="16"/>
          <w:szCs w:val="16"/>
          <w:lang w:val="es-ES_tradnl"/>
        </w:rPr>
      </w:pPr>
    </w:p>
    <w:p w:rsidR="009F58E5" w:rsidRPr="00C75C7E" w:rsidRDefault="009F58E5" w:rsidP="00064129">
      <w:pPr>
        <w:ind w:left="1134"/>
        <w:jc w:val="both"/>
        <w:rPr>
          <w:sz w:val="16"/>
          <w:szCs w:val="16"/>
          <w:lang w:val="es-ES_tradnl"/>
        </w:rPr>
      </w:pPr>
      <w:r w:rsidRPr="00C75C7E">
        <w:rPr>
          <w:sz w:val="16"/>
          <w:szCs w:val="16"/>
          <w:lang w:val="es-ES_tradnl"/>
        </w:rPr>
        <w:t>*  A título informativo únicamente.  Para más información cabe remitirse al Anexo VIII.</w:t>
      </w:r>
    </w:p>
    <w:p w:rsidR="009F58E5" w:rsidRPr="00C75C7E" w:rsidRDefault="009F58E5" w:rsidP="00064129">
      <w:pPr>
        <w:ind w:left="1134"/>
        <w:jc w:val="both"/>
        <w:rPr>
          <w:sz w:val="16"/>
          <w:szCs w:val="16"/>
          <w:lang w:val="es-ES_tradnl"/>
        </w:rPr>
      </w:pPr>
    </w:p>
    <w:p w:rsidR="009F58E5" w:rsidRPr="00C75C7E" w:rsidRDefault="009F58E5" w:rsidP="00064129">
      <w:pPr>
        <w:ind w:left="1134"/>
        <w:jc w:val="both"/>
        <w:rPr>
          <w:sz w:val="16"/>
          <w:szCs w:val="16"/>
          <w:lang w:val="es-ES_tradnl"/>
        </w:rPr>
      </w:pPr>
      <w:r w:rsidRPr="00C75C7E">
        <w:rPr>
          <w:sz w:val="16"/>
          <w:szCs w:val="16"/>
          <w:lang w:val="es-ES_tradnl"/>
        </w:rPr>
        <w:t>**  En las cifras no se han incluido los intereses ni los ajustes cambiarios.  Cabe observar asimismo que estos fondos se destinan generalmente a actividades que cubren un período que va más allá de un solo bienio, a medida que se reciben los ingresos y se incurre en gastos.</w:t>
      </w:r>
    </w:p>
    <w:p w:rsidR="009F58E5" w:rsidRPr="00C75C7E" w:rsidRDefault="009F58E5" w:rsidP="00064129">
      <w:pPr>
        <w:ind w:left="1134"/>
        <w:jc w:val="both"/>
        <w:rPr>
          <w:sz w:val="16"/>
          <w:szCs w:val="16"/>
          <w:lang w:val="es-ES_tradnl"/>
        </w:rPr>
      </w:pPr>
    </w:p>
    <w:p w:rsidR="009F58E5" w:rsidRPr="00C75C7E" w:rsidRDefault="009F58E5" w:rsidP="00064129">
      <w:pPr>
        <w:ind w:left="1134"/>
        <w:jc w:val="both"/>
        <w:rPr>
          <w:sz w:val="16"/>
          <w:szCs w:val="16"/>
          <w:lang w:val="es-ES_tradnl"/>
        </w:rPr>
      </w:pPr>
      <w:r w:rsidRPr="00C75C7E">
        <w:rPr>
          <w:sz w:val="16"/>
          <w:szCs w:val="16"/>
          <w:lang w:val="es-ES_tradnl"/>
        </w:rPr>
        <w:t>***  Las contribuciones anuales varían y se han observado fluctuaciones de un año a otro.</w:t>
      </w:r>
    </w:p>
    <w:p w:rsidR="009F58E5" w:rsidRPr="00C75C7E" w:rsidRDefault="009F58E5" w:rsidP="00064129">
      <w:pPr>
        <w:ind w:left="1134"/>
        <w:jc w:val="both"/>
        <w:rPr>
          <w:sz w:val="16"/>
          <w:szCs w:val="16"/>
          <w:lang w:val="es-ES_tradnl"/>
        </w:rPr>
      </w:pPr>
    </w:p>
    <w:p w:rsidR="009F58E5" w:rsidRPr="00C75C7E" w:rsidRDefault="009F58E5" w:rsidP="00064129">
      <w:pPr>
        <w:ind w:left="1134"/>
        <w:jc w:val="both"/>
        <w:rPr>
          <w:i/>
          <w:sz w:val="18"/>
          <w:szCs w:val="18"/>
          <w:lang w:val="es-ES_tradnl"/>
        </w:rPr>
      </w:pPr>
      <w:r w:rsidRPr="00C75C7E">
        <w:rPr>
          <w:sz w:val="16"/>
          <w:szCs w:val="16"/>
          <w:lang w:val="es-ES_tradnl"/>
        </w:rPr>
        <w:t>****  Las cifras expuestas en esta columna son puramente indicativas y se basan en patrones de financiación anteriores.  Además, no representan los compromisos de los Estados miembros salvo cuando quedan incluidos en el acuerdo de fondos fiduciarios.</w:t>
      </w:r>
    </w:p>
    <w:p w:rsidR="00D73B21" w:rsidRPr="000B01FE" w:rsidRDefault="009F58E5" w:rsidP="000B01FE">
      <w:pPr>
        <w:pStyle w:val="Heading3"/>
        <w:keepNext w:val="0"/>
        <w:widowControl w:val="0"/>
        <w:tabs>
          <w:tab w:val="left" w:pos="1985"/>
        </w:tabs>
        <w:rPr>
          <w:b/>
          <w:u w:val="none"/>
          <w:lang w:val="es-ES_tradnl"/>
        </w:rPr>
      </w:pPr>
      <w:r w:rsidRPr="00C75C7E">
        <w:rPr>
          <w:sz w:val="20"/>
          <w:lang w:val="es-ES_tradnl"/>
        </w:rPr>
        <w:br w:type="page"/>
      </w:r>
      <w:bookmarkStart w:id="87" w:name="_Toc356567777"/>
      <w:bookmarkStart w:id="88" w:name="_Toc366078746"/>
      <w:r w:rsidR="000B01FE" w:rsidRPr="000B01FE">
        <w:rPr>
          <w:b/>
          <w:u w:val="none"/>
          <w:lang w:val="es-ES_tradnl"/>
        </w:rPr>
        <w:lastRenderedPageBreak/>
        <w:t>PROGRAMA 22</w:t>
      </w:r>
      <w:r w:rsidR="000B01FE" w:rsidRPr="000B01FE">
        <w:rPr>
          <w:b/>
          <w:u w:val="none"/>
          <w:lang w:val="es-ES_tradnl"/>
        </w:rPr>
        <w:tab/>
        <w:t>GESTIÓN DE PROGRAMAS Y RECURSOS</w:t>
      </w:r>
      <w:bookmarkEnd w:id="87"/>
      <w:bookmarkEnd w:id="88"/>
    </w:p>
    <w:p w:rsidR="00D73B21" w:rsidRPr="00291442" w:rsidRDefault="00D73B21" w:rsidP="006A15F5"/>
    <w:p w:rsidR="00D73B21" w:rsidRPr="00291442" w:rsidRDefault="00D73B21" w:rsidP="006A15F5">
      <w:pPr>
        <w:rPr>
          <w:b/>
        </w:rPr>
      </w:pPr>
    </w:p>
    <w:p w:rsidR="00D73B21" w:rsidRPr="000B01FE" w:rsidRDefault="00D73B21" w:rsidP="000B01FE">
      <w:pPr>
        <w:pStyle w:val="BodyTextIndent"/>
        <w:widowControl w:val="0"/>
        <w:ind w:left="1985" w:hanging="1985"/>
        <w:jc w:val="both"/>
        <w:rPr>
          <w:rFonts w:ascii="Arial" w:hAnsi="Arial" w:cs="Arial"/>
          <w:sz w:val="22"/>
          <w:szCs w:val="22"/>
          <w:lang w:val="es-ES_tradnl"/>
        </w:rPr>
      </w:pPr>
      <w:r w:rsidRPr="000B01FE">
        <w:rPr>
          <w:rFonts w:ascii="Arial" w:hAnsi="Arial" w:cs="Arial"/>
          <w:sz w:val="22"/>
          <w:szCs w:val="22"/>
          <w:lang w:val="es-ES_tradnl"/>
        </w:rPr>
        <w:t>CONTEXTO DE PLANIFICACIÓN</w:t>
      </w:r>
    </w:p>
    <w:p w:rsidR="00D73B21" w:rsidRDefault="00D73B21" w:rsidP="000B01FE">
      <w:pPr>
        <w:widowControl w:val="0"/>
        <w:ind w:left="6"/>
        <w:jc w:val="both"/>
        <w:rPr>
          <w:sz w:val="20"/>
        </w:rPr>
      </w:pPr>
    </w:p>
    <w:p w:rsidR="00D73B21" w:rsidRPr="000E1F1E" w:rsidRDefault="00D73B21" w:rsidP="00D73B21">
      <w:pPr>
        <w:numPr>
          <w:ilvl w:val="0"/>
          <w:numId w:val="41"/>
        </w:numPr>
        <w:jc w:val="both"/>
        <w:rPr>
          <w:sz w:val="20"/>
        </w:rPr>
      </w:pPr>
      <w:r w:rsidRPr="000E1F1E">
        <w:rPr>
          <w:sz w:val="20"/>
        </w:rPr>
        <w:t>El moderado optimismo</w:t>
      </w:r>
      <w:r>
        <w:rPr>
          <w:sz w:val="20"/>
        </w:rPr>
        <w:t xml:space="preserve"> de la economía mundial, el</w:t>
      </w:r>
      <w:r w:rsidRPr="000E1F1E">
        <w:rPr>
          <w:sz w:val="20"/>
        </w:rPr>
        <w:t xml:space="preserve"> </w:t>
      </w:r>
      <w:r>
        <w:rPr>
          <w:sz w:val="20"/>
        </w:rPr>
        <w:t>modesto</w:t>
      </w:r>
      <w:r w:rsidRPr="000E1F1E">
        <w:rPr>
          <w:sz w:val="20"/>
        </w:rPr>
        <w:t xml:space="preserve"> crecimiento de los</w:t>
      </w:r>
      <w:r>
        <w:rPr>
          <w:sz w:val="20"/>
        </w:rPr>
        <w:t xml:space="preserve"> i</w:t>
      </w:r>
      <w:r w:rsidRPr="000E1F1E">
        <w:rPr>
          <w:sz w:val="20"/>
        </w:rPr>
        <w:t>ngresos</w:t>
      </w:r>
      <w:r>
        <w:rPr>
          <w:sz w:val="20"/>
        </w:rPr>
        <w:t xml:space="preserve">, el incremento de los costos de personal </w:t>
      </w:r>
      <w:r w:rsidRPr="000E1F1E">
        <w:rPr>
          <w:sz w:val="20"/>
        </w:rPr>
        <w:t xml:space="preserve">y la creciente demanda de servicios de la OMPI </w:t>
      </w:r>
      <w:r>
        <w:rPr>
          <w:sz w:val="20"/>
        </w:rPr>
        <w:t xml:space="preserve">siguen definiendo </w:t>
      </w:r>
      <w:r w:rsidRPr="000E1F1E">
        <w:rPr>
          <w:sz w:val="20"/>
        </w:rPr>
        <w:t>el contexto de este programa</w:t>
      </w:r>
      <w:r>
        <w:rPr>
          <w:sz w:val="20"/>
        </w:rPr>
        <w:t xml:space="preserve"> en el bienio 2014/15</w:t>
      </w:r>
      <w:r w:rsidRPr="000E1F1E">
        <w:rPr>
          <w:sz w:val="20"/>
        </w:rPr>
        <w:t>. En el</w:t>
      </w:r>
      <w:r>
        <w:rPr>
          <w:sz w:val="20"/>
        </w:rPr>
        <w:t xml:space="preserve"> presente bienio se ha</w:t>
      </w:r>
      <w:r w:rsidRPr="000E1F1E">
        <w:rPr>
          <w:sz w:val="20"/>
        </w:rPr>
        <w:t xml:space="preserve"> constatado</w:t>
      </w:r>
      <w:r>
        <w:rPr>
          <w:sz w:val="20"/>
        </w:rPr>
        <w:t xml:space="preserve"> la incidencia positiva</w:t>
      </w:r>
      <w:r w:rsidRPr="000E1F1E">
        <w:rPr>
          <w:sz w:val="20"/>
        </w:rPr>
        <w:t xml:space="preserve"> del </w:t>
      </w:r>
      <w:r w:rsidR="00AE7D43">
        <w:rPr>
          <w:sz w:val="20"/>
        </w:rPr>
        <w:t>Programa de Alineación Estratégica</w:t>
      </w:r>
      <w:r w:rsidRPr="000E1F1E">
        <w:rPr>
          <w:sz w:val="20"/>
        </w:rPr>
        <w:t xml:space="preserve"> </w:t>
      </w:r>
      <w:r>
        <w:rPr>
          <w:sz w:val="20"/>
        </w:rPr>
        <w:t>en el fortalecimiento de</w:t>
      </w:r>
      <w:r w:rsidRPr="000E1F1E">
        <w:rPr>
          <w:sz w:val="20"/>
        </w:rPr>
        <w:t>: a) el enfoque basado en los resultados para la gestión de las</w:t>
      </w:r>
      <w:r>
        <w:rPr>
          <w:sz w:val="20"/>
        </w:rPr>
        <w:t xml:space="preserve"> </w:t>
      </w:r>
      <w:r w:rsidRPr="000E1F1E">
        <w:rPr>
          <w:sz w:val="20"/>
        </w:rPr>
        <w:t>actividades de la Organización; b) la gest</w:t>
      </w:r>
      <w:r>
        <w:rPr>
          <w:sz w:val="20"/>
        </w:rPr>
        <w:t>ión de los recursos financieros</w:t>
      </w:r>
      <w:r w:rsidRPr="000E1F1E">
        <w:rPr>
          <w:sz w:val="20"/>
        </w:rPr>
        <w:t xml:space="preserve"> y c) los controles internos.</w:t>
      </w:r>
    </w:p>
    <w:p w:rsidR="00D73B21" w:rsidRPr="000E1F1E" w:rsidRDefault="00D73B21" w:rsidP="00D73B21">
      <w:pPr>
        <w:jc w:val="both"/>
        <w:rPr>
          <w:sz w:val="20"/>
        </w:rPr>
      </w:pPr>
    </w:p>
    <w:p w:rsidR="00D73B21" w:rsidRDefault="00D73B21" w:rsidP="00D73B21">
      <w:pPr>
        <w:numPr>
          <w:ilvl w:val="0"/>
          <w:numId w:val="41"/>
        </w:numPr>
        <w:jc w:val="both"/>
        <w:rPr>
          <w:sz w:val="20"/>
        </w:rPr>
      </w:pPr>
      <w:r w:rsidRPr="00CC6768">
        <w:rPr>
          <w:sz w:val="20"/>
        </w:rPr>
        <w:t>El perfeccionamiento</w:t>
      </w:r>
      <w:r>
        <w:rPr>
          <w:sz w:val="20"/>
        </w:rPr>
        <w:t xml:space="preserve"> de</w:t>
      </w:r>
      <w:r w:rsidRPr="00CC6768">
        <w:rPr>
          <w:sz w:val="20"/>
        </w:rPr>
        <w:t xml:space="preserve"> la gestión por resultados</w:t>
      </w:r>
      <w:r>
        <w:rPr>
          <w:sz w:val="20"/>
        </w:rPr>
        <w:t xml:space="preserve"> mejoró los planes de trabajo anuales del bienio</w:t>
      </w:r>
      <w:r w:rsidR="00D86F03">
        <w:rPr>
          <w:sz w:val="20"/>
        </w:rPr>
        <w:t> </w:t>
      </w:r>
      <w:r>
        <w:rPr>
          <w:sz w:val="20"/>
        </w:rPr>
        <w:t xml:space="preserve">2012/13.  El </w:t>
      </w:r>
      <w:r w:rsidRPr="00B81018">
        <w:rPr>
          <w:sz w:val="20"/>
        </w:rPr>
        <w:t>principio de</w:t>
      </w:r>
      <w:r>
        <w:rPr>
          <w:sz w:val="20"/>
        </w:rPr>
        <w:t xml:space="preserve"> la</w:t>
      </w:r>
      <w:r w:rsidRPr="00B81018">
        <w:rPr>
          <w:sz w:val="20"/>
        </w:rPr>
        <w:t xml:space="preserve"> planificación por resultados</w:t>
      </w:r>
      <w:r>
        <w:rPr>
          <w:sz w:val="20"/>
        </w:rPr>
        <w:t xml:space="preserve"> adoptado para la elaboración del</w:t>
      </w:r>
      <w:r w:rsidRPr="00B81018">
        <w:rPr>
          <w:sz w:val="20"/>
        </w:rPr>
        <w:t xml:space="preserve"> presupuesto por programas</w:t>
      </w:r>
      <w:r>
        <w:rPr>
          <w:sz w:val="20"/>
        </w:rPr>
        <w:t xml:space="preserve"> 2014/15 y </w:t>
      </w:r>
      <w:r w:rsidRPr="00B81018">
        <w:rPr>
          <w:sz w:val="20"/>
        </w:rPr>
        <w:t>la gestión</w:t>
      </w:r>
      <w:r>
        <w:rPr>
          <w:sz w:val="20"/>
        </w:rPr>
        <w:t xml:space="preserve"> </w:t>
      </w:r>
      <w:r w:rsidRPr="00B81018">
        <w:rPr>
          <w:sz w:val="20"/>
        </w:rPr>
        <w:t>de los riesgos</w:t>
      </w:r>
      <w:r>
        <w:rPr>
          <w:sz w:val="20"/>
        </w:rPr>
        <w:t xml:space="preserve"> aplicada en toda la Organización han dado como resultado un plan bienal principalmente centrado en la obtención de resultados y la mejora de la ejecución de los programas mediante un marco de resultados consolidado y mejorado; y unos indicadores de rendimiento que muestran claramente la contribución que aportan los programas a los resultados de la Organización.  Gracias a los progresos realizados en la </w:t>
      </w:r>
      <w:r w:rsidRPr="00CC6768">
        <w:rPr>
          <w:sz w:val="20"/>
        </w:rPr>
        <w:t>gestión por resultados</w:t>
      </w:r>
      <w:r>
        <w:rPr>
          <w:sz w:val="20"/>
        </w:rPr>
        <w:t xml:space="preserve"> aplicada en toda la Organización, este programa se encuentra ahora en una fase más adecuada para la puesta en práctica de un enfoque exhaustivo de gestión del rendimiento de la Organización que abarca principios de gestión interna, operativa y financiera.</w:t>
      </w:r>
    </w:p>
    <w:p w:rsidR="00D73B21" w:rsidRDefault="00D73B21" w:rsidP="00D73B21">
      <w:pPr>
        <w:ind w:left="6"/>
        <w:jc w:val="both"/>
        <w:rPr>
          <w:sz w:val="20"/>
        </w:rPr>
      </w:pPr>
    </w:p>
    <w:p w:rsidR="00D73B21" w:rsidRDefault="00D73B21" w:rsidP="00D73B21">
      <w:pPr>
        <w:ind w:left="6"/>
        <w:jc w:val="both"/>
        <w:rPr>
          <w:sz w:val="20"/>
        </w:rPr>
      </w:pPr>
    </w:p>
    <w:p w:rsidR="00D73B21" w:rsidRPr="00CC6768" w:rsidRDefault="00D73B21" w:rsidP="00D73B21">
      <w:pPr>
        <w:tabs>
          <w:tab w:val="left" w:pos="567"/>
          <w:tab w:val="left" w:pos="1985"/>
        </w:tabs>
        <w:jc w:val="both"/>
        <w:rPr>
          <w:bCs/>
          <w:szCs w:val="22"/>
        </w:rPr>
      </w:pPr>
      <w:r>
        <w:rPr>
          <w:bCs/>
          <w:szCs w:val="22"/>
        </w:rPr>
        <w:t xml:space="preserve">ESTRATEGIAS DE </w:t>
      </w:r>
      <w:r w:rsidR="000B01FE">
        <w:rPr>
          <w:bCs/>
          <w:szCs w:val="22"/>
        </w:rPr>
        <w:t>EJECUCIÓN</w:t>
      </w:r>
    </w:p>
    <w:p w:rsidR="00D73B21" w:rsidRDefault="00D73B21" w:rsidP="00D73B21">
      <w:pPr>
        <w:ind w:left="6"/>
        <w:jc w:val="both"/>
        <w:rPr>
          <w:sz w:val="20"/>
        </w:rPr>
      </w:pPr>
    </w:p>
    <w:p w:rsidR="00D73B21" w:rsidRPr="00A460D9" w:rsidRDefault="00D73B21" w:rsidP="00D73B21">
      <w:pPr>
        <w:numPr>
          <w:ilvl w:val="0"/>
          <w:numId w:val="41"/>
        </w:numPr>
        <w:jc w:val="both"/>
        <w:rPr>
          <w:sz w:val="20"/>
        </w:rPr>
      </w:pPr>
      <w:r w:rsidRPr="00363417">
        <w:rPr>
          <w:sz w:val="20"/>
        </w:rPr>
        <w:t xml:space="preserve">Uno de los </w:t>
      </w:r>
      <w:r>
        <w:rPr>
          <w:sz w:val="20"/>
        </w:rPr>
        <w:t>objetivos principales</w:t>
      </w:r>
      <w:r w:rsidRPr="00363417">
        <w:rPr>
          <w:sz w:val="20"/>
        </w:rPr>
        <w:t xml:space="preserve"> </w:t>
      </w:r>
      <w:r>
        <w:rPr>
          <w:sz w:val="20"/>
        </w:rPr>
        <w:t>de las actividades durante el bienio 2014/13 será garantizar el fortalecimiento de los procesos de aplicación, seguimiento y evaluación para brindar mayor visibilidad sobre la situación de las iniciativas en curso.  Esto permitirá que los directores de programas participen par</w:t>
      </w:r>
      <w:r w:rsidR="008C23ED">
        <w:rPr>
          <w:sz w:val="20"/>
        </w:rPr>
        <w:t>a</w:t>
      </w:r>
      <w:r>
        <w:rPr>
          <w:sz w:val="20"/>
        </w:rPr>
        <w:t xml:space="preserve"> continuar mejorando la ejecución de los programas.  La puesta en práctica de las principales funciones del sistema </w:t>
      </w:r>
      <w:r w:rsidRPr="00463CD1">
        <w:rPr>
          <w:rFonts w:ascii="ArialMT" w:hAnsi="ArialMT" w:cs="ArialMT"/>
          <w:sz w:val="20"/>
          <w:lang w:eastAsia="fr-FR"/>
        </w:rPr>
        <w:t>de</w:t>
      </w:r>
      <w:r>
        <w:rPr>
          <w:rFonts w:ascii="ArialMT" w:hAnsi="ArialMT" w:cs="ArialMT"/>
          <w:sz w:val="20"/>
          <w:lang w:eastAsia="fr-FR"/>
        </w:rPr>
        <w:t xml:space="preserve"> planificación de r</w:t>
      </w:r>
      <w:r w:rsidRPr="00463CD1">
        <w:rPr>
          <w:rFonts w:ascii="ArialMT" w:hAnsi="ArialMT" w:cs="ArialMT"/>
          <w:sz w:val="20"/>
          <w:lang w:eastAsia="fr-FR"/>
        </w:rPr>
        <w:t>ecursos</w:t>
      </w:r>
      <w:r>
        <w:rPr>
          <w:rFonts w:ascii="ArialMT" w:hAnsi="ArialMT" w:cs="ArialMT"/>
          <w:sz w:val="20"/>
          <w:lang w:eastAsia="fr-FR"/>
        </w:rPr>
        <w:t xml:space="preserve"> institucionales</w:t>
      </w:r>
      <w:r w:rsidRPr="00463CD1">
        <w:rPr>
          <w:rFonts w:ascii="ArialMT" w:hAnsi="ArialMT" w:cs="ArialMT"/>
          <w:sz w:val="20"/>
          <w:lang w:eastAsia="fr-FR"/>
        </w:rPr>
        <w:t xml:space="preserve"> </w:t>
      </w:r>
      <w:r>
        <w:rPr>
          <w:sz w:val="20"/>
        </w:rPr>
        <w:t xml:space="preserve">y la plena integración de los sistemas de gestión financiera, de recursos humanos y de </w:t>
      </w:r>
      <w:r w:rsidRPr="00AF2C18">
        <w:rPr>
          <w:sz w:val="20"/>
        </w:rPr>
        <w:t>gestión por</w:t>
      </w:r>
      <w:r>
        <w:rPr>
          <w:sz w:val="20"/>
        </w:rPr>
        <w:t xml:space="preserve"> </w:t>
      </w:r>
      <w:r w:rsidRPr="00AF2C18">
        <w:rPr>
          <w:sz w:val="20"/>
        </w:rPr>
        <w:t>resultados</w:t>
      </w:r>
      <w:r>
        <w:rPr>
          <w:sz w:val="20"/>
        </w:rPr>
        <w:t xml:space="preserve"> de la OMPI garantizarán el desarrollo de</w:t>
      </w:r>
      <w:r w:rsidRPr="00E02CD0">
        <w:rPr>
          <w:sz w:val="20"/>
        </w:rPr>
        <w:t xml:space="preserve"> sistemas que sean compatibles y se respalden mutuamente</w:t>
      </w:r>
      <w:r>
        <w:rPr>
          <w:sz w:val="20"/>
        </w:rPr>
        <w:t xml:space="preserve"> </w:t>
      </w:r>
      <w:r w:rsidRPr="00E02CD0">
        <w:rPr>
          <w:sz w:val="20"/>
        </w:rPr>
        <w:t>con el fin de</w:t>
      </w:r>
      <w:r>
        <w:rPr>
          <w:sz w:val="20"/>
        </w:rPr>
        <w:t xml:space="preserve"> incorporar</w:t>
      </w:r>
      <w:r w:rsidRPr="00E02CD0">
        <w:rPr>
          <w:sz w:val="20"/>
        </w:rPr>
        <w:t xml:space="preserve"> la planificación, el seguimiento y la presentación de informes tanto en el ámbito financiero</w:t>
      </w:r>
      <w:r>
        <w:rPr>
          <w:sz w:val="20"/>
        </w:rPr>
        <w:t xml:space="preserve"> </w:t>
      </w:r>
      <w:r w:rsidRPr="00E02CD0">
        <w:rPr>
          <w:sz w:val="20"/>
        </w:rPr>
        <w:t>como programático.</w:t>
      </w:r>
    </w:p>
    <w:p w:rsidR="00D73B21" w:rsidRPr="00363417" w:rsidRDefault="00D73B21" w:rsidP="00D73B21">
      <w:pPr>
        <w:ind w:left="6"/>
        <w:jc w:val="both"/>
        <w:rPr>
          <w:sz w:val="20"/>
        </w:rPr>
      </w:pPr>
    </w:p>
    <w:p w:rsidR="00D73B21" w:rsidRPr="001A790F" w:rsidRDefault="00D73B21" w:rsidP="00D73B21">
      <w:pPr>
        <w:numPr>
          <w:ilvl w:val="0"/>
          <w:numId w:val="41"/>
        </w:numPr>
        <w:jc w:val="both"/>
        <w:rPr>
          <w:sz w:val="20"/>
        </w:rPr>
      </w:pPr>
      <w:r w:rsidRPr="008F1AC7">
        <w:rPr>
          <w:sz w:val="20"/>
        </w:rPr>
        <w:t>Entre otras de las prioridades del programa figuran</w:t>
      </w:r>
      <w:r>
        <w:rPr>
          <w:sz w:val="20"/>
        </w:rPr>
        <w:t xml:space="preserve"> el continuo </w:t>
      </w:r>
      <w:r w:rsidRPr="00F33EDF">
        <w:rPr>
          <w:sz w:val="20"/>
        </w:rPr>
        <w:t xml:space="preserve">perfeccionamiento </w:t>
      </w:r>
      <w:r>
        <w:rPr>
          <w:sz w:val="20"/>
        </w:rPr>
        <w:t xml:space="preserve">tanto </w:t>
      </w:r>
      <w:r w:rsidRPr="00F33EDF">
        <w:rPr>
          <w:sz w:val="20"/>
        </w:rPr>
        <w:t>de los procesos de gestión y previsión de ingresos de la OMPI</w:t>
      </w:r>
      <w:r>
        <w:rPr>
          <w:sz w:val="20"/>
        </w:rPr>
        <w:t xml:space="preserve"> como aquellos que realizan un seguimiento del gasto sobre la base del progreso realizado en el bienio 2012/13. El objetivo es fortalecer </w:t>
      </w:r>
      <w:r w:rsidRPr="009D42EC">
        <w:rPr>
          <w:sz w:val="20"/>
        </w:rPr>
        <w:t>la institucionalización de una cultura del gasto responsable</w:t>
      </w:r>
      <w:r>
        <w:rPr>
          <w:sz w:val="20"/>
        </w:rPr>
        <w:t xml:space="preserve"> y efectuar controles en los ámbitos en los que se hayan identificado </w:t>
      </w:r>
      <w:r w:rsidRPr="009D42EC">
        <w:rPr>
          <w:sz w:val="20"/>
        </w:rPr>
        <w:t>oportunidades para realizar mejoras</w:t>
      </w:r>
      <w:r>
        <w:rPr>
          <w:sz w:val="20"/>
        </w:rPr>
        <w:t xml:space="preserve">.  La puesta en práctica del </w:t>
      </w:r>
      <w:r w:rsidRPr="00463CD1">
        <w:rPr>
          <w:sz w:val="20"/>
        </w:rPr>
        <w:t>sistema de</w:t>
      </w:r>
      <w:r>
        <w:rPr>
          <w:sz w:val="20"/>
        </w:rPr>
        <w:t xml:space="preserve"> planificación </w:t>
      </w:r>
      <w:r w:rsidR="00425E19">
        <w:rPr>
          <w:sz w:val="20"/>
        </w:rPr>
        <w:t>de los</w:t>
      </w:r>
      <w:r>
        <w:rPr>
          <w:sz w:val="20"/>
        </w:rPr>
        <w:t xml:space="preserve"> recursos</w:t>
      </w:r>
      <w:r w:rsidR="00425E19">
        <w:rPr>
          <w:sz w:val="20"/>
        </w:rPr>
        <w:t xml:space="preserve"> institucionales</w:t>
      </w:r>
      <w:r>
        <w:rPr>
          <w:sz w:val="20"/>
        </w:rPr>
        <w:t xml:space="preserve"> y de mejores capacidades </w:t>
      </w:r>
      <w:r w:rsidR="00425E19">
        <w:rPr>
          <w:sz w:val="20"/>
        </w:rPr>
        <w:t xml:space="preserve">para </w:t>
      </w:r>
      <w:r w:rsidRPr="005D518D">
        <w:rPr>
          <w:sz w:val="20"/>
        </w:rPr>
        <w:t>la presentación de informes</w:t>
      </w:r>
      <w:r>
        <w:rPr>
          <w:sz w:val="20"/>
        </w:rPr>
        <w:t xml:space="preserve"> representa una gran oportunidad para utilizar los instrumentos de análisis y la </w:t>
      </w:r>
      <w:r w:rsidRPr="001A790F">
        <w:rPr>
          <w:sz w:val="20"/>
        </w:rPr>
        <w:t>información institucional</w:t>
      </w:r>
      <w:r>
        <w:rPr>
          <w:sz w:val="20"/>
        </w:rPr>
        <w:t xml:space="preserve"> para comunicar acerca de las decisiones en materia de programas y de gestión de recursos.  Un sistema de presentación de informes mejorado también permitirá que en el marco del programa se evalúe y se siga reforzando los controles donde sea necesario.</w:t>
      </w:r>
    </w:p>
    <w:p w:rsidR="00D73B21" w:rsidRPr="008F1AC7" w:rsidRDefault="00D73B21" w:rsidP="00D73B21">
      <w:pPr>
        <w:jc w:val="both"/>
        <w:rPr>
          <w:sz w:val="20"/>
        </w:rPr>
      </w:pPr>
    </w:p>
    <w:p w:rsidR="00D73B21" w:rsidRPr="0083089F" w:rsidRDefault="00D73B21" w:rsidP="00D73B21">
      <w:pPr>
        <w:numPr>
          <w:ilvl w:val="0"/>
          <w:numId w:val="41"/>
        </w:numPr>
        <w:jc w:val="both"/>
        <w:rPr>
          <w:sz w:val="20"/>
        </w:rPr>
      </w:pPr>
      <w:r w:rsidRPr="00B509F3">
        <w:rPr>
          <w:sz w:val="20"/>
        </w:rPr>
        <w:t xml:space="preserve">En el próximo bienio el programa </w:t>
      </w:r>
      <w:r>
        <w:rPr>
          <w:sz w:val="20"/>
        </w:rPr>
        <w:t>ofrecerá un apoyo</w:t>
      </w:r>
      <w:r w:rsidRPr="00B509F3">
        <w:rPr>
          <w:sz w:val="20"/>
        </w:rPr>
        <w:t xml:space="preserve"> activ</w:t>
      </w:r>
      <w:r>
        <w:rPr>
          <w:sz w:val="20"/>
        </w:rPr>
        <w:t xml:space="preserve">o a los directores de programas para el análisis de sus actividades y modelos de ejecución con el fin de identificar oportunidades de mejorar de manera continua el rendimiento y la </w:t>
      </w:r>
      <w:r w:rsidRPr="00796D52">
        <w:rPr>
          <w:sz w:val="20"/>
        </w:rPr>
        <w:t>eficacia en función</w:t>
      </w:r>
      <w:r>
        <w:rPr>
          <w:sz w:val="20"/>
        </w:rPr>
        <w:t xml:space="preserve"> </w:t>
      </w:r>
      <w:r w:rsidRPr="00796D52">
        <w:rPr>
          <w:sz w:val="20"/>
        </w:rPr>
        <w:t>de los costos</w:t>
      </w:r>
      <w:r>
        <w:rPr>
          <w:sz w:val="20"/>
        </w:rPr>
        <w:t>.</w:t>
      </w:r>
    </w:p>
    <w:p w:rsidR="00D73B21" w:rsidRPr="00B509F3" w:rsidRDefault="00D73B21" w:rsidP="00D73B21">
      <w:pPr>
        <w:ind w:left="6"/>
        <w:jc w:val="both"/>
        <w:rPr>
          <w:sz w:val="20"/>
        </w:rPr>
      </w:pPr>
    </w:p>
    <w:p w:rsidR="00D73B21" w:rsidRPr="009F324F" w:rsidRDefault="00D73B21" w:rsidP="00D73B21">
      <w:pPr>
        <w:numPr>
          <w:ilvl w:val="0"/>
          <w:numId w:val="41"/>
        </w:numPr>
        <w:jc w:val="both"/>
        <w:rPr>
          <w:sz w:val="20"/>
        </w:rPr>
      </w:pPr>
      <w:r>
        <w:rPr>
          <w:sz w:val="20"/>
        </w:rPr>
        <w:t>Se seguirá realizando</w:t>
      </w:r>
      <w:r w:rsidRPr="009F324F">
        <w:rPr>
          <w:sz w:val="20"/>
        </w:rPr>
        <w:t xml:space="preserve"> esfuerzos para mejorar</w:t>
      </w:r>
      <w:r>
        <w:rPr>
          <w:sz w:val="20"/>
        </w:rPr>
        <w:t xml:space="preserve"> la gestión financiera y los controles</w:t>
      </w:r>
      <w:r w:rsidR="00425E19">
        <w:rPr>
          <w:sz w:val="20"/>
        </w:rPr>
        <w:t>,</w:t>
      </w:r>
      <w:r>
        <w:rPr>
          <w:sz w:val="20"/>
        </w:rPr>
        <w:t xml:space="preserve"> sobre </w:t>
      </w:r>
      <w:proofErr w:type="gramStart"/>
      <w:r>
        <w:rPr>
          <w:sz w:val="20"/>
        </w:rPr>
        <w:t xml:space="preserve">la base de los resultados de las iniciativas </w:t>
      </w:r>
      <w:r w:rsidR="00D86F03">
        <w:rPr>
          <w:sz w:val="20"/>
        </w:rPr>
        <w:t xml:space="preserve">tendentes </w:t>
      </w:r>
      <w:r>
        <w:rPr>
          <w:sz w:val="20"/>
        </w:rPr>
        <w:t>a fortalecer los recursos financieros, el</w:t>
      </w:r>
      <w:r w:rsidRPr="009F324F">
        <w:rPr>
          <w:sz w:val="20"/>
        </w:rPr>
        <w:t xml:space="preserve"> sistema de control interno</w:t>
      </w:r>
      <w:r>
        <w:rPr>
          <w:sz w:val="20"/>
        </w:rPr>
        <w:t xml:space="preserve"> y la gestión de riesgos establecidas</w:t>
      </w:r>
      <w:proofErr w:type="gramEnd"/>
      <w:r>
        <w:rPr>
          <w:sz w:val="20"/>
        </w:rPr>
        <w:t xml:space="preserve"> </w:t>
      </w:r>
      <w:r>
        <w:rPr>
          <w:rFonts w:ascii="ArialMT" w:hAnsi="ArialMT" w:cs="ArialMT"/>
          <w:sz w:val="20"/>
        </w:rPr>
        <w:t xml:space="preserve">en 2012/13 </w:t>
      </w:r>
      <w:r>
        <w:rPr>
          <w:sz w:val="20"/>
        </w:rPr>
        <w:t xml:space="preserve">en virtud del </w:t>
      </w:r>
      <w:r w:rsidR="00AE7D43">
        <w:rPr>
          <w:rFonts w:ascii="ArialMT" w:hAnsi="ArialMT" w:cs="ArialMT"/>
          <w:sz w:val="20"/>
        </w:rPr>
        <w:t>Programa de Alineación Estratégica</w:t>
      </w:r>
      <w:r>
        <w:rPr>
          <w:rFonts w:ascii="ArialMT" w:hAnsi="ArialMT" w:cs="ArialMT"/>
          <w:sz w:val="20"/>
        </w:rPr>
        <w:t xml:space="preserve">.  En este ámbito, el diálogo permanente con los organismos de auditoría y supervisión y el seguimiento sistemático de las </w:t>
      </w:r>
      <w:r w:rsidRPr="00260887">
        <w:rPr>
          <w:rFonts w:ascii="ArialMT" w:hAnsi="ArialMT" w:cs="ArialMT"/>
          <w:sz w:val="20"/>
        </w:rPr>
        <w:t>recomendaciones pendientes</w:t>
      </w:r>
      <w:r>
        <w:rPr>
          <w:rFonts w:ascii="ArialMT" w:hAnsi="ArialMT" w:cs="ArialMT"/>
          <w:sz w:val="20"/>
        </w:rPr>
        <w:t xml:space="preserve"> seguirán siendo estrategias clave.</w:t>
      </w:r>
    </w:p>
    <w:p w:rsidR="00D73B21" w:rsidRPr="009F324F" w:rsidRDefault="00D73B21" w:rsidP="00D73B21">
      <w:pPr>
        <w:tabs>
          <w:tab w:val="left" w:pos="1080"/>
        </w:tabs>
        <w:rPr>
          <w:sz w:val="20"/>
        </w:rPr>
      </w:pPr>
    </w:p>
    <w:p w:rsidR="00D73B21" w:rsidRPr="008770EF" w:rsidRDefault="00D73B21" w:rsidP="00D73B21">
      <w:pPr>
        <w:numPr>
          <w:ilvl w:val="0"/>
          <w:numId w:val="41"/>
        </w:numPr>
        <w:jc w:val="both"/>
        <w:rPr>
          <w:sz w:val="20"/>
        </w:rPr>
      </w:pPr>
      <w:r w:rsidRPr="008770EF">
        <w:rPr>
          <w:sz w:val="20"/>
        </w:rPr>
        <w:t>Se seguir</w:t>
      </w:r>
      <w:r>
        <w:rPr>
          <w:sz w:val="20"/>
        </w:rPr>
        <w:t>á adoptando</w:t>
      </w:r>
      <w:r w:rsidRPr="008770EF">
        <w:rPr>
          <w:sz w:val="20"/>
        </w:rPr>
        <w:t xml:space="preserve"> </w:t>
      </w:r>
      <w:r>
        <w:rPr>
          <w:sz w:val="20"/>
        </w:rPr>
        <w:t xml:space="preserve">un </w:t>
      </w:r>
      <w:r w:rsidRPr="008770EF">
        <w:rPr>
          <w:sz w:val="20"/>
        </w:rPr>
        <w:t>enfoque de gestión financiera prudente durante el bienio 2014/15.</w:t>
      </w:r>
      <w:r>
        <w:rPr>
          <w:sz w:val="20"/>
        </w:rPr>
        <w:t xml:space="preserve">  </w:t>
      </w:r>
      <w:r w:rsidRPr="00844171">
        <w:rPr>
          <w:sz w:val="20"/>
        </w:rPr>
        <w:t xml:space="preserve">En consecuencia, la atenta supervisión de los ingresos y gastos por medio de mecanismos internos </w:t>
      </w:r>
      <w:r w:rsidRPr="00844171">
        <w:rPr>
          <w:sz w:val="20"/>
        </w:rPr>
        <w:lastRenderedPageBreak/>
        <w:t>como el Grupo de Gestión de Crisis y el Observatorio Financiero que facilita información a los Estados miembros, sigue siendo esencial para la</w:t>
      </w:r>
      <w:r>
        <w:rPr>
          <w:sz w:val="20"/>
        </w:rPr>
        <w:t xml:space="preserve"> OMPI</w:t>
      </w:r>
      <w:r w:rsidRPr="0045199C">
        <w:rPr>
          <w:sz w:val="20"/>
        </w:rPr>
        <w:t>.</w:t>
      </w:r>
    </w:p>
    <w:p w:rsidR="00D73B21" w:rsidRPr="008770EF" w:rsidRDefault="00D73B21" w:rsidP="00D73B21">
      <w:pPr>
        <w:tabs>
          <w:tab w:val="left" w:pos="567"/>
          <w:tab w:val="left" w:pos="1985"/>
        </w:tabs>
        <w:jc w:val="both"/>
        <w:rPr>
          <w:bCs/>
          <w:sz w:val="20"/>
        </w:rPr>
      </w:pPr>
    </w:p>
    <w:p w:rsidR="00801AA0" w:rsidRPr="00D73B21" w:rsidRDefault="00801AA0" w:rsidP="00801AA0">
      <w:pPr>
        <w:tabs>
          <w:tab w:val="num" w:pos="709"/>
        </w:tabs>
        <w:rPr>
          <w:iCs/>
          <w:szCs w:val="22"/>
        </w:rPr>
      </w:pPr>
    </w:p>
    <w:p w:rsidR="009F58E5" w:rsidRPr="00994766" w:rsidRDefault="009F58E5" w:rsidP="00801AA0">
      <w:pPr>
        <w:tabs>
          <w:tab w:val="num" w:pos="709"/>
        </w:tabs>
        <w:rPr>
          <w:sz w:val="28"/>
          <w:szCs w:val="28"/>
          <w:lang w:val="es-ES_tradnl"/>
        </w:rPr>
      </w:pPr>
      <w:r w:rsidRPr="00994766">
        <w:rPr>
          <w:iCs/>
          <w:szCs w:val="22"/>
          <w:lang w:val="es-ES_tradnl"/>
        </w:rPr>
        <w:t>PRINCIPALES RIESGOS Y ESTRATEGIAS DE MITIGACIÓN</w:t>
      </w:r>
      <w:r w:rsidRPr="00994766">
        <w:rPr>
          <w:szCs w:val="22"/>
          <w:lang w:val="es-ES_tradnl"/>
        </w:rPr>
        <w:t xml:space="preserve"> </w:t>
      </w:r>
    </w:p>
    <w:p w:rsidR="009F58E5" w:rsidRPr="00994766" w:rsidRDefault="009F58E5" w:rsidP="00801AA0">
      <w:pPr>
        <w:tabs>
          <w:tab w:val="left" w:pos="567"/>
          <w:tab w:val="left" w:pos="1985"/>
        </w:tabs>
        <w:jc w:val="both"/>
        <w:rPr>
          <w:bCs/>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51"/>
        <w:gridCol w:w="4728"/>
      </w:tblGrid>
      <w:tr w:rsidR="009F58E5" w:rsidRPr="00DD42ED" w:rsidTr="00B258CE">
        <w:trPr>
          <w:trHeight w:val="709"/>
        </w:trPr>
        <w:tc>
          <w:tcPr>
            <w:tcW w:w="4535" w:type="dxa"/>
            <w:tcBorders>
              <w:top w:val="single" w:sz="4" w:space="0" w:color="auto"/>
              <w:bottom w:val="single" w:sz="4" w:space="0" w:color="auto"/>
            </w:tcBorders>
            <w:shd w:val="clear" w:color="auto" w:fill="CCFFFF"/>
            <w:vAlign w:val="center"/>
          </w:tcPr>
          <w:p w:rsidR="009F58E5" w:rsidRPr="00DD42ED" w:rsidRDefault="009F58E5" w:rsidP="00801AA0">
            <w:pPr>
              <w:jc w:val="center"/>
              <w:rPr>
                <w:b/>
                <w:bCs/>
                <w:sz w:val="18"/>
                <w:szCs w:val="18"/>
                <w:lang w:val="es-ES_tradnl"/>
              </w:rPr>
            </w:pPr>
            <w:r w:rsidRPr="00DD42ED">
              <w:rPr>
                <w:b/>
                <w:bCs/>
                <w:sz w:val="18"/>
                <w:szCs w:val="18"/>
                <w:lang w:val="es-ES_tradnl"/>
              </w:rPr>
              <w:t>Riesgos en el logro de los resultados del programa</w:t>
            </w:r>
          </w:p>
        </w:tc>
        <w:tc>
          <w:tcPr>
            <w:tcW w:w="4821" w:type="dxa"/>
            <w:tcBorders>
              <w:top w:val="single" w:sz="4" w:space="0" w:color="auto"/>
              <w:bottom w:val="single" w:sz="4" w:space="0" w:color="auto"/>
            </w:tcBorders>
            <w:shd w:val="clear" w:color="auto" w:fill="CCFFFF"/>
            <w:vAlign w:val="center"/>
          </w:tcPr>
          <w:p w:rsidR="009F58E5" w:rsidRPr="00DD42ED" w:rsidRDefault="009F58E5" w:rsidP="00801AA0">
            <w:pPr>
              <w:jc w:val="center"/>
              <w:rPr>
                <w:b/>
                <w:bCs/>
                <w:sz w:val="18"/>
                <w:szCs w:val="18"/>
                <w:lang w:val="es-ES_tradnl"/>
              </w:rPr>
            </w:pPr>
            <w:r w:rsidRPr="00DD42ED">
              <w:rPr>
                <w:b/>
                <w:bCs/>
                <w:sz w:val="18"/>
                <w:szCs w:val="18"/>
                <w:lang w:val="es-ES_tradnl"/>
              </w:rPr>
              <w:t>Planes de mitigación ejecutados o en ejecución</w:t>
            </w:r>
          </w:p>
        </w:tc>
      </w:tr>
      <w:tr w:rsidR="009F58E5" w:rsidRPr="00994766" w:rsidTr="00B258CE">
        <w:trPr>
          <w:trHeight w:val="1222"/>
        </w:trPr>
        <w:tc>
          <w:tcPr>
            <w:tcW w:w="4535" w:type="dxa"/>
            <w:tcBorders>
              <w:top w:val="single" w:sz="4" w:space="0" w:color="auto"/>
            </w:tcBorders>
            <w:shd w:val="clear" w:color="auto" w:fill="auto"/>
            <w:tcMar>
              <w:top w:w="113" w:type="dxa"/>
              <w:bottom w:w="85" w:type="dxa"/>
            </w:tcMar>
          </w:tcPr>
          <w:p w:rsidR="009F58E5" w:rsidRPr="00994766" w:rsidRDefault="009F58E5" w:rsidP="00801AA0">
            <w:pPr>
              <w:rPr>
                <w:rFonts w:ascii="Tahoma" w:hAnsi="Tahoma" w:cs="Tahoma"/>
                <w:sz w:val="16"/>
                <w:szCs w:val="16"/>
                <w:lang w:val="es-ES_tradnl"/>
              </w:rPr>
            </w:pPr>
            <w:r w:rsidRPr="00994766">
              <w:rPr>
                <w:sz w:val="16"/>
                <w:szCs w:val="16"/>
                <w:lang w:val="es-ES_tradnl"/>
              </w:rPr>
              <w:t>La persistencia de la crisis económica y financiera mundial podría dar lugar a que los niveles de ingresos sean bastante inferiores a los previ</w:t>
            </w:r>
            <w:r w:rsidR="002058AB">
              <w:rPr>
                <w:sz w:val="16"/>
                <w:szCs w:val="16"/>
                <w:lang w:val="es-ES_tradnl"/>
              </w:rPr>
              <w:t>stos.  Esta circunstancia, unida</w:t>
            </w:r>
            <w:r w:rsidRPr="00994766">
              <w:rPr>
                <w:sz w:val="16"/>
                <w:szCs w:val="16"/>
                <w:lang w:val="es-ES_tradnl"/>
              </w:rPr>
              <w:t xml:space="preserve"> a la incapacidad para reaccionar rápidamente a fin de reducir gastos a un nivel adecuado, podría acarrear un déficit y repercutir negativamente en la ejecución del programa.</w:t>
            </w:r>
          </w:p>
        </w:tc>
        <w:tc>
          <w:tcPr>
            <w:tcW w:w="4821" w:type="dxa"/>
            <w:tcBorders>
              <w:top w:val="single" w:sz="4" w:space="0" w:color="auto"/>
            </w:tcBorders>
            <w:shd w:val="clear" w:color="auto" w:fill="auto"/>
            <w:tcMar>
              <w:top w:w="113" w:type="dxa"/>
              <w:bottom w:w="85" w:type="dxa"/>
            </w:tcMar>
            <w:vAlign w:val="bottom"/>
          </w:tcPr>
          <w:p w:rsidR="009F58E5" w:rsidRPr="00994766" w:rsidRDefault="009F58E5" w:rsidP="00801AA0">
            <w:pPr>
              <w:autoSpaceDE w:val="0"/>
              <w:autoSpaceDN w:val="0"/>
              <w:adjustRightInd w:val="0"/>
              <w:ind w:right="-59"/>
              <w:jc w:val="both"/>
              <w:rPr>
                <w:sz w:val="16"/>
                <w:szCs w:val="16"/>
                <w:lang w:val="es-ES_tradnl"/>
              </w:rPr>
            </w:pPr>
            <w:r w:rsidRPr="00994766">
              <w:rPr>
                <w:sz w:val="16"/>
                <w:szCs w:val="16"/>
                <w:lang w:val="es-ES_tradnl"/>
              </w:rPr>
              <w:t xml:space="preserve">La </w:t>
            </w:r>
            <w:r w:rsidRPr="00994766">
              <w:rPr>
                <w:sz w:val="16"/>
                <w:szCs w:val="16"/>
                <w:lang w:val="es-ES_tradnl" w:eastAsia="fr-FR"/>
              </w:rPr>
              <w:t>Organización</w:t>
            </w:r>
            <w:r w:rsidRPr="00994766">
              <w:rPr>
                <w:sz w:val="16"/>
                <w:szCs w:val="16"/>
                <w:lang w:val="es-ES_tradnl"/>
              </w:rPr>
              <w:t xml:space="preserve"> mantiene un nivel de reservas adecuado (alrededor del 18% del importe del presupuesto bienal) para estar en disposición de hacer frente a una posible disminución de los ingresos.</w:t>
            </w:r>
          </w:p>
          <w:p w:rsidR="00B258CE" w:rsidRDefault="00B258CE" w:rsidP="00801AA0">
            <w:pPr>
              <w:autoSpaceDE w:val="0"/>
              <w:autoSpaceDN w:val="0"/>
              <w:adjustRightInd w:val="0"/>
              <w:ind w:right="-59"/>
              <w:jc w:val="both"/>
              <w:rPr>
                <w:sz w:val="16"/>
                <w:szCs w:val="16"/>
                <w:lang w:val="es-ES_tradnl"/>
              </w:rPr>
            </w:pPr>
          </w:p>
          <w:p w:rsidR="009F58E5" w:rsidRPr="00994766" w:rsidRDefault="009F58E5" w:rsidP="00801AA0">
            <w:pPr>
              <w:autoSpaceDE w:val="0"/>
              <w:autoSpaceDN w:val="0"/>
              <w:adjustRightInd w:val="0"/>
              <w:ind w:right="-59"/>
              <w:jc w:val="both"/>
              <w:rPr>
                <w:rFonts w:ascii="Tahoma" w:hAnsi="Tahoma" w:cs="Tahoma"/>
                <w:sz w:val="16"/>
                <w:szCs w:val="16"/>
                <w:lang w:val="es-ES_tradnl"/>
              </w:rPr>
            </w:pPr>
            <w:r w:rsidRPr="00994766">
              <w:rPr>
                <w:sz w:val="16"/>
                <w:szCs w:val="16"/>
                <w:lang w:val="es-ES_tradnl"/>
              </w:rPr>
              <w:t xml:space="preserve">La Secretaría supervisa estrechamente los gastos mediante un procedimiento más sólido de supervisión de ingresos y gastos y por medio del Grupo de Gestión de la Crisis. </w:t>
            </w:r>
          </w:p>
        </w:tc>
      </w:tr>
    </w:tbl>
    <w:p w:rsidR="009F58E5" w:rsidRPr="00994766" w:rsidRDefault="009F58E5" w:rsidP="009F58E5">
      <w:pPr>
        <w:tabs>
          <w:tab w:val="left" w:pos="567"/>
          <w:tab w:val="left" w:pos="1985"/>
        </w:tabs>
        <w:jc w:val="both"/>
        <w:rPr>
          <w:bCs/>
          <w:sz w:val="20"/>
          <w:lang w:val="es-ES_tradnl"/>
        </w:rPr>
      </w:pPr>
    </w:p>
    <w:p w:rsidR="009F58E5" w:rsidRPr="00C75C7E" w:rsidRDefault="009F58E5" w:rsidP="009F58E5">
      <w:pPr>
        <w:widowControl w:val="0"/>
        <w:jc w:val="both"/>
        <w:rPr>
          <w:sz w:val="20"/>
          <w:lang w:val="es-ES_tradnl"/>
        </w:rPr>
      </w:pPr>
    </w:p>
    <w:p w:rsidR="009F58E5" w:rsidRPr="00C75C7E" w:rsidRDefault="009F58E5" w:rsidP="009F58E5">
      <w:pPr>
        <w:tabs>
          <w:tab w:val="left" w:pos="567"/>
          <w:tab w:val="left" w:pos="1985"/>
        </w:tabs>
        <w:jc w:val="both"/>
        <w:rPr>
          <w:bCs/>
          <w:sz w:val="20"/>
          <w:lang w:val="es-ES_tradnl"/>
        </w:rPr>
      </w:pPr>
      <w:r w:rsidRPr="00C75C7E">
        <w:rPr>
          <w:bCs/>
          <w:szCs w:val="22"/>
          <w:lang w:val="es-ES_tradnl"/>
        </w:rPr>
        <w:t>MARCO DE RESULTADOS</w:t>
      </w:r>
    </w:p>
    <w:p w:rsidR="009F58E5" w:rsidRPr="00C75C7E" w:rsidRDefault="009F58E5" w:rsidP="009F58E5">
      <w:pPr>
        <w:tabs>
          <w:tab w:val="left" w:pos="567"/>
          <w:tab w:val="left" w:pos="1985"/>
        </w:tabs>
        <w:jc w:val="both"/>
        <w:rPr>
          <w:bCs/>
          <w:sz w:val="20"/>
          <w:lang w:val="es-ES_tradnl"/>
        </w:rPr>
      </w:pPr>
    </w:p>
    <w:tbl>
      <w:tblPr>
        <w:tblW w:w="491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6"/>
        <w:gridCol w:w="2107"/>
        <w:gridCol w:w="1976"/>
      </w:tblGrid>
      <w:tr w:rsidR="009F58E5" w:rsidRPr="00C75C7E" w:rsidTr="008F4F69">
        <w:trPr>
          <w:cantSplit/>
          <w:trHeight w:val="422"/>
          <w:tblHeader/>
        </w:trPr>
        <w:tc>
          <w:tcPr>
            <w:tcW w:w="1249"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515"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sz w:val="18"/>
                <w:szCs w:val="18"/>
                <w:lang w:val="es-ES_tradnl"/>
              </w:rPr>
            </w:pPr>
            <w:r w:rsidRPr="00C75C7E">
              <w:rPr>
                <w:b/>
                <w:sz w:val="18"/>
                <w:szCs w:val="18"/>
                <w:lang w:val="es-ES_tradnl"/>
              </w:rPr>
              <w:t>Indicadores de rendimiento</w:t>
            </w:r>
          </w:p>
        </w:tc>
        <w:tc>
          <w:tcPr>
            <w:tcW w:w="1154"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ind w:left="85"/>
              <w:jc w:val="center"/>
              <w:rPr>
                <w:sz w:val="18"/>
                <w:szCs w:val="18"/>
                <w:lang w:val="es-ES_tradnl"/>
              </w:rPr>
            </w:pPr>
            <w:r w:rsidRPr="00C75C7E">
              <w:rPr>
                <w:b/>
                <w:bCs/>
                <w:sz w:val="18"/>
                <w:szCs w:val="18"/>
                <w:lang w:val="es-ES_tradnl"/>
              </w:rPr>
              <w:t>Referencia</w:t>
            </w:r>
          </w:p>
        </w:tc>
        <w:tc>
          <w:tcPr>
            <w:tcW w:w="1082"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keepNext/>
              <w:keepLines/>
              <w:spacing w:after="120"/>
              <w:ind w:right="146"/>
              <w:jc w:val="center"/>
              <w:rPr>
                <w:b/>
                <w:bCs/>
                <w:sz w:val="18"/>
                <w:szCs w:val="18"/>
                <w:lang w:val="es-ES_tradnl"/>
              </w:rPr>
            </w:pPr>
            <w:r w:rsidRPr="00C75C7E">
              <w:rPr>
                <w:b/>
                <w:bCs/>
                <w:sz w:val="18"/>
                <w:szCs w:val="18"/>
                <w:lang w:val="es-ES_tradnl"/>
              </w:rPr>
              <w:t>Objetivos</w:t>
            </w:r>
          </w:p>
        </w:tc>
      </w:tr>
      <w:tr w:rsidR="009F58E5" w:rsidRPr="00C75C7E" w:rsidTr="008F4F69">
        <w:trPr>
          <w:cantSplit/>
        </w:trPr>
        <w:tc>
          <w:tcPr>
            <w:tcW w:w="1249" w:type="pct"/>
            <w:vMerge w:val="restar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IX.1   Servicios de </w:t>
            </w:r>
            <w:proofErr w:type="gramStart"/>
            <w:r w:rsidRPr="00C75C7E">
              <w:rPr>
                <w:sz w:val="16"/>
                <w:szCs w:val="16"/>
                <w:lang w:val="es-ES_tradnl"/>
              </w:rPr>
              <w:t>apoyo eficaces, eficientes, de calidad y orientados</w:t>
            </w:r>
            <w:proofErr w:type="gramEnd"/>
            <w:r w:rsidRPr="00C75C7E">
              <w:rPr>
                <w:sz w:val="16"/>
                <w:szCs w:val="16"/>
                <w:lang w:val="es-ES_tradnl"/>
              </w:rPr>
              <w:t xml:space="preserve"> al cliente, tanto a los clientes internos como a las partes interesadas externas.</w:t>
            </w:r>
          </w:p>
        </w:tc>
        <w:tc>
          <w:tcPr>
            <w:tcW w:w="1515" w:type="pct"/>
            <w:vMerge w:val="restar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Suministro de informes y análisis financieros y de </w:t>
            </w:r>
            <w:proofErr w:type="gramStart"/>
            <w:r w:rsidRPr="00C75C7E">
              <w:rPr>
                <w:sz w:val="16"/>
                <w:szCs w:val="16"/>
                <w:lang w:val="es-ES_tradnl"/>
              </w:rPr>
              <w:t>gestión solicitados</w:t>
            </w:r>
            <w:proofErr w:type="gramEnd"/>
            <w:r w:rsidRPr="00C75C7E">
              <w:rPr>
                <w:sz w:val="16"/>
                <w:szCs w:val="16"/>
                <w:lang w:val="es-ES_tradnl"/>
              </w:rPr>
              <w:t xml:space="preserve"> por el personal directivo superior, los directores de programa y los Estados miembros con arreglo a los plazos acordados.</w:t>
            </w:r>
          </w:p>
        </w:tc>
        <w:tc>
          <w:tcPr>
            <w:tcW w:w="1154" w:type="pct"/>
            <w:tcBorders>
              <w:top w:val="single" w:sz="4" w:space="0" w:color="auto"/>
            </w:tcBorders>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 xml:space="preserve">El cierre mensual finaliza 10 días laborables después del final de mes (salvo en enero, cuando el cierre se determina por los avances en el cierre anual). </w:t>
            </w:r>
          </w:p>
        </w:tc>
        <w:tc>
          <w:tcPr>
            <w:tcW w:w="1082" w:type="pct"/>
            <w:tcBorders>
              <w:top w:val="single" w:sz="4" w:space="0" w:color="auto"/>
            </w:tcBorders>
            <w:shd w:val="clear" w:color="auto" w:fill="auto"/>
            <w:tcMar>
              <w:top w:w="113" w:type="dxa"/>
            </w:tcMar>
          </w:tcPr>
          <w:p w:rsidR="009F58E5" w:rsidRPr="00C75C7E" w:rsidRDefault="009F58E5" w:rsidP="008F4F69">
            <w:pPr>
              <w:keepNext/>
              <w:keepLines/>
              <w:ind w:right="381"/>
              <w:rPr>
                <w:bCs/>
                <w:sz w:val="16"/>
                <w:szCs w:val="16"/>
                <w:lang w:val="es-ES_tradnl"/>
              </w:rPr>
            </w:pPr>
            <w:r w:rsidRPr="00C75C7E">
              <w:rPr>
                <w:bCs/>
                <w:sz w:val="16"/>
                <w:szCs w:val="16"/>
                <w:lang w:val="es-ES_tradnl"/>
              </w:rPr>
              <w:t>Los mismos que en la referencia.</w:t>
            </w:r>
          </w:p>
        </w:tc>
      </w:tr>
      <w:tr w:rsidR="009F58E5" w:rsidRPr="00C75C7E" w:rsidTr="008F4F69">
        <w:trPr>
          <w:cantSplit/>
          <w:trHeight w:val="1887"/>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515" w:type="pct"/>
            <w:vMerge/>
            <w:shd w:val="clear" w:color="auto" w:fill="auto"/>
            <w:tcMar>
              <w:top w:w="113" w:type="dxa"/>
            </w:tcMar>
          </w:tcPr>
          <w:p w:rsidR="009F58E5" w:rsidRPr="00C75C7E" w:rsidRDefault="009F58E5" w:rsidP="008F4F69">
            <w:pPr>
              <w:rPr>
                <w:sz w:val="16"/>
                <w:szCs w:val="16"/>
                <w:lang w:val="es-ES_tradnl"/>
              </w:rPr>
            </w:pP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Los informes estáticos que se publican en Internet están disponibles de un día para otro; los informes del Observatorio Financiero, en un plazo de 2 semanas a partir del cierre;  los informes oficiales mensuales, en un plazo de una semana después del cierre.</w:t>
            </w:r>
          </w:p>
        </w:tc>
        <w:tc>
          <w:tcPr>
            <w:tcW w:w="1082" w:type="pct"/>
            <w:shd w:val="clear" w:color="auto" w:fill="auto"/>
            <w:tcMar>
              <w:top w:w="113" w:type="dxa"/>
            </w:tcMar>
          </w:tcPr>
          <w:p w:rsidR="009F58E5" w:rsidRPr="00C75C7E" w:rsidRDefault="009F58E5" w:rsidP="00842232">
            <w:pPr>
              <w:rPr>
                <w:bCs/>
                <w:sz w:val="16"/>
                <w:szCs w:val="16"/>
                <w:lang w:val="es-ES_tradnl"/>
              </w:rPr>
            </w:pPr>
            <w:r w:rsidRPr="00C75C7E">
              <w:rPr>
                <w:bCs/>
                <w:sz w:val="16"/>
                <w:szCs w:val="16"/>
                <w:lang w:val="es-ES_tradnl"/>
              </w:rPr>
              <w:t xml:space="preserve">Se dispone de informes </w:t>
            </w:r>
            <w:proofErr w:type="spellStart"/>
            <w:r w:rsidRPr="00C75C7E">
              <w:rPr>
                <w:bCs/>
                <w:sz w:val="16"/>
                <w:szCs w:val="16"/>
                <w:lang w:val="es-ES_tradnl"/>
              </w:rPr>
              <w:t>parametrizados</w:t>
            </w:r>
            <w:proofErr w:type="spellEnd"/>
            <w:r w:rsidRPr="00C75C7E">
              <w:rPr>
                <w:bCs/>
                <w:sz w:val="16"/>
                <w:szCs w:val="16"/>
                <w:lang w:val="es-ES_tradnl"/>
              </w:rPr>
              <w:t xml:space="preserve"> interactivos en Internet como consecuencia de la labor de PR</w:t>
            </w:r>
            <w:r w:rsidR="00842232">
              <w:rPr>
                <w:bCs/>
                <w:sz w:val="16"/>
                <w:szCs w:val="16"/>
                <w:lang w:val="es-ES_tradnl"/>
              </w:rPr>
              <w:t>I</w:t>
            </w:r>
            <w:r w:rsidRPr="00C75C7E">
              <w:rPr>
                <w:bCs/>
                <w:sz w:val="16"/>
                <w:szCs w:val="16"/>
                <w:lang w:val="es-ES_tradnl"/>
              </w:rPr>
              <w:t xml:space="preserve"> e información institucional a lo largo de 2014/15;  los informes trimestrales del Observatorio Financiero están disponibles e</w:t>
            </w:r>
            <w:r w:rsidRPr="00C75C7E">
              <w:rPr>
                <w:sz w:val="16"/>
                <w:szCs w:val="16"/>
                <w:lang w:val="es-ES_tradnl" w:bidi="th-TH"/>
              </w:rPr>
              <w:t>n un plazo de dos semanas después del cierre; los informes oficiales mensuales, en un plazo de una semana después del cierre.</w:t>
            </w:r>
          </w:p>
        </w:tc>
      </w:tr>
      <w:tr w:rsidR="009F58E5" w:rsidRPr="00C75C7E" w:rsidTr="008F4F69">
        <w:trPr>
          <w:cantSplit/>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515" w:type="pct"/>
            <w:vMerge w:val="restar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Atención de consultas recibidas a nivel interno y externo con arreglo a los plazos establecidos.</w:t>
            </w: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El 75% de las consultas han de darse por (resueltas) en un plazo de tres días a partir de la recepción.</w:t>
            </w:r>
          </w:p>
          <w:p w:rsidR="009F58E5" w:rsidRPr="00C75C7E" w:rsidRDefault="009F58E5" w:rsidP="008F4F69">
            <w:pPr>
              <w:rPr>
                <w:sz w:val="16"/>
                <w:szCs w:val="16"/>
                <w:lang w:val="es-ES_tradnl"/>
              </w:rPr>
            </w:pPr>
          </w:p>
        </w:tc>
        <w:tc>
          <w:tcPr>
            <w:tcW w:w="1082" w:type="pct"/>
            <w:shd w:val="clear" w:color="auto" w:fill="auto"/>
            <w:tcMar>
              <w:top w:w="113" w:type="dxa"/>
            </w:tcMar>
          </w:tcPr>
          <w:p w:rsidR="009F58E5" w:rsidRPr="00C75C7E" w:rsidRDefault="009F58E5" w:rsidP="008F4F69">
            <w:pPr>
              <w:keepNext/>
              <w:keepLines/>
              <w:tabs>
                <w:tab w:val="left" w:pos="2051"/>
              </w:tabs>
              <w:ind w:right="381"/>
              <w:rPr>
                <w:bCs/>
                <w:sz w:val="16"/>
                <w:szCs w:val="16"/>
                <w:lang w:val="es-ES_tradnl"/>
              </w:rPr>
            </w:pPr>
            <w:r w:rsidRPr="00C75C7E">
              <w:rPr>
                <w:bCs/>
                <w:sz w:val="16"/>
                <w:szCs w:val="16"/>
                <w:lang w:val="es-ES_tradnl"/>
              </w:rPr>
              <w:t>Los mismos que en la referencia.</w:t>
            </w:r>
          </w:p>
        </w:tc>
      </w:tr>
      <w:tr w:rsidR="009F58E5" w:rsidRPr="00C75C7E" w:rsidTr="008F4F69">
        <w:trPr>
          <w:cantSplit/>
          <w:trHeight w:val="819"/>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515" w:type="pct"/>
            <w:vMerge/>
            <w:shd w:val="clear" w:color="auto" w:fill="auto"/>
            <w:tcMar>
              <w:top w:w="113" w:type="dxa"/>
            </w:tcMar>
          </w:tcPr>
          <w:p w:rsidR="009F58E5" w:rsidRPr="00C75C7E" w:rsidRDefault="009F58E5" w:rsidP="008F4F69">
            <w:pPr>
              <w:rPr>
                <w:sz w:val="16"/>
                <w:szCs w:val="16"/>
                <w:lang w:val="es-ES_tradnl"/>
              </w:rPr>
            </w:pPr>
          </w:p>
        </w:tc>
        <w:tc>
          <w:tcPr>
            <w:tcW w:w="1154" w:type="pct"/>
            <w:shd w:val="clear" w:color="auto" w:fill="FFFFFF"/>
            <w:tcMar>
              <w:top w:w="113" w:type="dxa"/>
            </w:tcMar>
          </w:tcPr>
          <w:p w:rsidR="009F58E5" w:rsidRPr="00C75C7E" w:rsidRDefault="009F58E5" w:rsidP="00AC049F">
            <w:pPr>
              <w:rPr>
                <w:sz w:val="16"/>
                <w:szCs w:val="16"/>
                <w:lang w:val="es-ES_tradnl" w:bidi="th-TH"/>
              </w:rPr>
            </w:pPr>
            <w:r w:rsidRPr="00C75C7E">
              <w:rPr>
                <w:sz w:val="16"/>
                <w:szCs w:val="16"/>
                <w:lang w:val="es-ES_tradnl" w:bidi="th-TH"/>
              </w:rPr>
              <w:t xml:space="preserve">Proporcionar asesoramiento o responder a consultas en relación con </w:t>
            </w:r>
            <w:r w:rsidR="00AC049F">
              <w:rPr>
                <w:sz w:val="16"/>
                <w:szCs w:val="16"/>
                <w:lang w:val="es-ES_tradnl" w:bidi="th-TH"/>
              </w:rPr>
              <w:t>expedientes</w:t>
            </w:r>
            <w:r w:rsidRPr="00C75C7E">
              <w:rPr>
                <w:sz w:val="16"/>
                <w:szCs w:val="16"/>
                <w:lang w:val="es-ES_tradnl" w:bidi="th-TH"/>
              </w:rPr>
              <w:t xml:space="preserve"> presupuestarios en un plazo de 72 horas.</w:t>
            </w:r>
          </w:p>
        </w:tc>
        <w:tc>
          <w:tcPr>
            <w:tcW w:w="1082" w:type="pct"/>
            <w:shd w:val="clear" w:color="auto" w:fill="auto"/>
            <w:tcMar>
              <w:top w:w="113" w:type="dxa"/>
            </w:tcMar>
          </w:tcPr>
          <w:p w:rsidR="009F58E5" w:rsidRPr="00C75C7E" w:rsidRDefault="009F58E5" w:rsidP="008F4F69">
            <w:pPr>
              <w:keepNext/>
              <w:keepLines/>
              <w:ind w:right="51"/>
              <w:rPr>
                <w:bCs/>
                <w:sz w:val="16"/>
                <w:szCs w:val="16"/>
                <w:lang w:val="es-ES_tradnl"/>
              </w:rPr>
            </w:pPr>
            <w:r w:rsidRPr="00C75C7E">
              <w:rPr>
                <w:bCs/>
                <w:sz w:val="16"/>
                <w:szCs w:val="16"/>
                <w:lang w:val="es-ES_tradnl"/>
              </w:rPr>
              <w:t xml:space="preserve">Proporcionar asesoramiento o responder a consultas en relación con </w:t>
            </w:r>
            <w:r w:rsidR="00AC049F">
              <w:rPr>
                <w:bCs/>
                <w:sz w:val="16"/>
                <w:szCs w:val="16"/>
                <w:lang w:val="es-ES_tradnl"/>
              </w:rPr>
              <w:t>expedientes</w:t>
            </w:r>
            <w:r w:rsidRPr="00C75C7E">
              <w:rPr>
                <w:bCs/>
                <w:sz w:val="16"/>
                <w:szCs w:val="16"/>
                <w:lang w:val="es-ES_tradnl"/>
              </w:rPr>
              <w:t xml:space="preserve"> presupuestarios en un plazo de 48 horas.</w:t>
            </w:r>
          </w:p>
          <w:p w:rsidR="009F58E5" w:rsidRPr="00C75C7E" w:rsidRDefault="009F58E5" w:rsidP="008F4F69">
            <w:pPr>
              <w:keepNext/>
              <w:keepLines/>
              <w:ind w:right="51"/>
              <w:rPr>
                <w:bCs/>
                <w:sz w:val="16"/>
                <w:szCs w:val="16"/>
                <w:lang w:val="es-ES_tradnl"/>
              </w:rPr>
            </w:pPr>
          </w:p>
        </w:tc>
      </w:tr>
      <w:tr w:rsidR="009F58E5" w:rsidRPr="00C75C7E" w:rsidTr="008F4F69">
        <w:trPr>
          <w:cantSplit/>
          <w:trHeight w:val="1356"/>
        </w:trPr>
        <w:tc>
          <w:tcPr>
            <w:tcW w:w="1249" w:type="pct"/>
            <w:vMerge w:val="restar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lastRenderedPageBreak/>
              <w:t xml:space="preserve">IX.2 Funcionamiento sin contratiempos de la Secretaría, provista de un personal bien dirigido, dotado de </w:t>
            </w:r>
            <w:proofErr w:type="gramStart"/>
            <w:r w:rsidRPr="00C75C7E">
              <w:rPr>
                <w:sz w:val="16"/>
                <w:szCs w:val="16"/>
                <w:lang w:val="es-ES_tradnl"/>
              </w:rPr>
              <w:t>las competencias adecuadas y capaz</w:t>
            </w:r>
            <w:proofErr w:type="gramEnd"/>
            <w:r w:rsidRPr="00C75C7E">
              <w:rPr>
                <w:sz w:val="16"/>
                <w:szCs w:val="16"/>
                <w:lang w:val="es-ES_tradnl"/>
              </w:rPr>
              <w:t xml:space="preserve"> de conseguir resultados.</w:t>
            </w:r>
          </w:p>
        </w:tc>
        <w:tc>
          <w:tcPr>
            <w:tcW w:w="1515"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Informe financiero satisfactorio de los auditores externos que confirma la conformidad de las operaciones contables con los convenios y tratados aplicables de la OMPI,  el Reglamento Financiero y la Reglamentación Financiera de la OMPI y las IPSAS.</w:t>
            </w: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Informe de auditoría satisfactorio en 2012 y 2013 y respuestas proporcionadas en relación con todas las recomendaciones de auditoría.</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p>
        </w:tc>
        <w:tc>
          <w:tcPr>
            <w:tcW w:w="1082"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 xml:space="preserve">Informes de auditoría </w:t>
            </w:r>
            <w:proofErr w:type="gramStart"/>
            <w:r w:rsidRPr="00C75C7E">
              <w:rPr>
                <w:bCs/>
                <w:sz w:val="16"/>
                <w:szCs w:val="16"/>
                <w:lang w:val="es-ES_tradnl"/>
              </w:rPr>
              <w:t>satisfactorios</w:t>
            </w:r>
            <w:proofErr w:type="gramEnd"/>
            <w:r w:rsidRPr="00C75C7E">
              <w:rPr>
                <w:bCs/>
                <w:sz w:val="16"/>
                <w:szCs w:val="16"/>
                <w:lang w:val="es-ES_tradnl"/>
              </w:rPr>
              <w:t xml:space="preserve"> respecto de los dos años del bienio.</w:t>
            </w:r>
          </w:p>
        </w:tc>
      </w:tr>
      <w:tr w:rsidR="009F58E5" w:rsidRPr="00C75C7E" w:rsidTr="008F4F69">
        <w:trPr>
          <w:cantSplit/>
          <w:trHeight w:val="1133"/>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515"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Rendimiento del capital invertido en concordancia con los parámetros establecidos por el Comité Asesor en materia de Inversiones.</w:t>
            </w: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Rendimiento del capital invertido en concordancia con los parámetros establecidos por el Comité Asesor en materia de Inversiones en 2012/13.</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p>
        </w:tc>
        <w:tc>
          <w:tcPr>
            <w:tcW w:w="1082"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Rendimiento del capital invertido en concordancia con los parámetros establecidos por el Comité Asesor en materia de Inversiones en 2014/15.</w:t>
            </w:r>
          </w:p>
        </w:tc>
      </w:tr>
      <w:tr w:rsidR="009F58E5" w:rsidRPr="00C75C7E" w:rsidTr="008F4F69">
        <w:trPr>
          <w:cantSplit/>
          <w:trHeight w:val="1726"/>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515"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Los pagos (incluidas las tasas correspondientes a los sistemas de Madrid y de La Haya) se efectúan en el plazo estipulado.</w:t>
            </w: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90% de los pagos efectuados en un plazo de siete días con arreglo a las condiciones de pago o la fecha de recepción (en caso de recepción tardía)  cuando no haya otros problemas de flujo de trabajo (por ejemplo, la no entrega de la orden de compra, etc…).</w:t>
            </w:r>
          </w:p>
          <w:p w:rsidR="009F58E5" w:rsidRPr="00C75C7E" w:rsidRDefault="009F58E5" w:rsidP="008F4F69">
            <w:pPr>
              <w:rPr>
                <w:sz w:val="16"/>
                <w:szCs w:val="16"/>
                <w:lang w:val="es-ES_tradnl" w:bidi="th-TH"/>
              </w:rPr>
            </w:pPr>
          </w:p>
        </w:tc>
        <w:tc>
          <w:tcPr>
            <w:tcW w:w="1082"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90% de los pagos efectuados en un plazo de dos a tres días a partir de la recepción de la factura.</w:t>
            </w:r>
          </w:p>
        </w:tc>
      </w:tr>
      <w:tr w:rsidR="009F58E5" w:rsidRPr="00C75C7E" w:rsidTr="008F4F69">
        <w:trPr>
          <w:cantSplit/>
          <w:trHeight w:val="779"/>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515"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Porcentaje de miembros del personal que expresan satisfacción con la formación recibida (cursos de iniciación, </w:t>
            </w:r>
            <w:r w:rsidR="00AC049F">
              <w:rPr>
                <w:sz w:val="16"/>
                <w:szCs w:val="16"/>
                <w:lang w:val="es-ES_tradnl"/>
              </w:rPr>
              <w:t>formación sobre el sistema de P</w:t>
            </w:r>
            <w:r w:rsidRPr="00C75C7E">
              <w:rPr>
                <w:sz w:val="16"/>
                <w:szCs w:val="16"/>
                <w:lang w:val="es-ES_tradnl"/>
              </w:rPr>
              <w:t>R</w:t>
            </w:r>
            <w:r w:rsidR="00AC049F">
              <w:rPr>
                <w:sz w:val="16"/>
                <w:szCs w:val="16"/>
                <w:lang w:val="es-ES_tradnl"/>
              </w:rPr>
              <w:t>I</w:t>
            </w:r>
            <w:r w:rsidRPr="00C75C7E">
              <w:rPr>
                <w:sz w:val="16"/>
                <w:szCs w:val="16"/>
                <w:lang w:val="es-ES_tradnl"/>
              </w:rPr>
              <w:t>, formación relacionada con la gestión por resultados).</w:t>
            </w: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Por determinar.</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p>
        </w:tc>
        <w:tc>
          <w:tcPr>
            <w:tcW w:w="1082"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85%</w:t>
            </w:r>
          </w:p>
        </w:tc>
      </w:tr>
      <w:tr w:rsidR="009F58E5" w:rsidRPr="00C75C7E" w:rsidTr="008F4F69">
        <w:trPr>
          <w:cantSplit/>
          <w:trHeight w:val="590"/>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515"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encuestados en la OMPI que consideran que la Organización rinde cuentas de sus resultados.</w:t>
            </w: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75%</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p>
        </w:tc>
        <w:tc>
          <w:tcPr>
            <w:tcW w:w="1082" w:type="pct"/>
            <w:tcBorders>
              <w:right w:val="single" w:sz="4" w:space="0" w:color="auto"/>
            </w:tcBorders>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80%</w:t>
            </w:r>
          </w:p>
        </w:tc>
      </w:tr>
      <w:tr w:rsidR="009F58E5" w:rsidRPr="00C75C7E" w:rsidTr="008F4F69">
        <w:trPr>
          <w:cantSplit/>
          <w:trHeight w:val="676"/>
        </w:trPr>
        <w:tc>
          <w:tcPr>
            <w:tcW w:w="1249" w:type="pct"/>
            <w:tcBorders>
              <w:left w:val="single" w:sz="4" w:space="0" w:color="auto"/>
            </w:tcBorders>
            <w:shd w:val="clear" w:color="auto" w:fill="auto"/>
            <w:tcMar>
              <w:top w:w="113" w:type="dxa"/>
            </w:tcMar>
          </w:tcPr>
          <w:p w:rsidR="009F58E5" w:rsidRPr="00C75C7E" w:rsidRDefault="009F58E5" w:rsidP="008F4F69">
            <w:pPr>
              <w:rPr>
                <w:sz w:val="16"/>
                <w:szCs w:val="16"/>
                <w:lang w:val="es-ES_tradnl"/>
              </w:rPr>
            </w:pPr>
          </w:p>
        </w:tc>
        <w:tc>
          <w:tcPr>
            <w:tcW w:w="1515"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programas de la OMPI que utilizan los datos sobre el rendimiento para gestionar el rendimiento del programa.</w:t>
            </w: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50</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p>
        </w:tc>
        <w:tc>
          <w:tcPr>
            <w:tcW w:w="1082" w:type="pct"/>
            <w:tcBorders>
              <w:right w:val="single" w:sz="4" w:space="0" w:color="auto"/>
            </w:tcBorders>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70</w:t>
            </w:r>
          </w:p>
        </w:tc>
      </w:tr>
      <w:tr w:rsidR="009F58E5" w:rsidRPr="00C75C7E" w:rsidTr="008F4F69">
        <w:trPr>
          <w:cantSplit/>
          <w:trHeight w:val="1137"/>
        </w:trPr>
        <w:tc>
          <w:tcPr>
            <w:tcW w:w="1249" w:type="pct"/>
            <w:tcBorders>
              <w:left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IX.3. Entorno de trabajo propicio basado en un marco reglamentario eficaz y medios adecuados para atender los temas de interés del personal.</w:t>
            </w:r>
          </w:p>
        </w:tc>
        <w:tc>
          <w:tcPr>
            <w:tcW w:w="1515"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El Reglamento Financiero y la Reglamentación Financiera y las órdenes de servicio pertinentes están actualizados.</w:t>
            </w:r>
          </w:p>
        </w:tc>
        <w:tc>
          <w:tcPr>
            <w:tcW w:w="1154"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Ordenes de servicio emitidas en 2012 y 2013.  Reglamento Financiero y Reglamentación Financiera modificados en 2012 según lo estimado necesario.</w:t>
            </w:r>
          </w:p>
        </w:tc>
        <w:tc>
          <w:tcPr>
            <w:tcW w:w="1082" w:type="pct"/>
            <w:tcBorders>
              <w:right w:val="single" w:sz="4" w:space="0" w:color="auto"/>
            </w:tcBorders>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Examen y revisión del marco reglamentario cuando se considere apropiado.</w:t>
            </w:r>
          </w:p>
        </w:tc>
      </w:tr>
    </w:tbl>
    <w:p w:rsidR="009F58E5" w:rsidRPr="00C75C7E" w:rsidRDefault="009F58E5" w:rsidP="009F58E5">
      <w:pPr>
        <w:tabs>
          <w:tab w:val="left" w:pos="567"/>
          <w:tab w:val="left" w:pos="1985"/>
        </w:tabs>
        <w:rPr>
          <w:bCs/>
          <w:sz w:val="20"/>
          <w:lang w:val="es-ES_tradnl"/>
        </w:rPr>
      </w:pPr>
    </w:p>
    <w:p w:rsidR="00D73B21" w:rsidRPr="009B2F8B" w:rsidRDefault="00D73B21" w:rsidP="00D73B21">
      <w:pPr>
        <w:rPr>
          <w:sz w:val="20"/>
        </w:rPr>
      </w:pPr>
    </w:p>
    <w:p w:rsidR="00D73B21" w:rsidRPr="009B2F8B" w:rsidRDefault="00D73B21" w:rsidP="00D73B21">
      <w:pPr>
        <w:keepNext/>
        <w:keepLines/>
        <w:autoSpaceDE w:val="0"/>
        <w:autoSpaceDN w:val="0"/>
        <w:adjustRightInd w:val="0"/>
        <w:jc w:val="both"/>
        <w:rPr>
          <w:szCs w:val="22"/>
        </w:rPr>
      </w:pPr>
      <w:r w:rsidRPr="009B2F8B">
        <w:rPr>
          <w:szCs w:val="22"/>
        </w:rPr>
        <w:t>RECURSOS PARA EL PROGRAMA 22</w:t>
      </w:r>
    </w:p>
    <w:p w:rsidR="00D73B21" w:rsidRPr="009B2F8B" w:rsidRDefault="00D73B21" w:rsidP="00D73B21">
      <w:pPr>
        <w:keepNext/>
        <w:keepLines/>
        <w:autoSpaceDE w:val="0"/>
        <w:autoSpaceDN w:val="0"/>
        <w:adjustRightInd w:val="0"/>
        <w:rPr>
          <w:sz w:val="20"/>
        </w:rPr>
      </w:pPr>
    </w:p>
    <w:p w:rsidR="00D73B21" w:rsidRPr="009B2F8B" w:rsidRDefault="00D73B21" w:rsidP="00D73B21">
      <w:pPr>
        <w:numPr>
          <w:ilvl w:val="0"/>
          <w:numId w:val="41"/>
        </w:numPr>
        <w:jc w:val="both"/>
        <w:rPr>
          <w:sz w:val="20"/>
        </w:rPr>
      </w:pPr>
      <w:r w:rsidRPr="009B2F8B">
        <w:rPr>
          <w:sz w:val="20"/>
        </w:rPr>
        <w:t>Los recursos asignados al resultado IX.1 (Servicios de apoyo eficaces,</w:t>
      </w:r>
      <w:r>
        <w:rPr>
          <w:sz w:val="20"/>
        </w:rPr>
        <w:t xml:space="preserve"> </w:t>
      </w:r>
      <w:r w:rsidRPr="009B2F8B">
        <w:rPr>
          <w:sz w:val="20"/>
        </w:rPr>
        <w:t>eficientes, de calidad y</w:t>
      </w:r>
      <w:r>
        <w:rPr>
          <w:sz w:val="20"/>
        </w:rPr>
        <w:t xml:space="preserve"> </w:t>
      </w:r>
      <w:r w:rsidRPr="009B2F8B">
        <w:rPr>
          <w:sz w:val="20"/>
        </w:rPr>
        <w:t>orientados al cliente</w:t>
      </w:r>
      <w:r>
        <w:rPr>
          <w:sz w:val="20"/>
        </w:rPr>
        <w:t xml:space="preserve">) se reflejan principalmente en la asignación de recursos </w:t>
      </w:r>
      <w:r w:rsidRPr="00074BB2">
        <w:rPr>
          <w:sz w:val="20"/>
        </w:rPr>
        <w:t>de</w:t>
      </w:r>
      <w:r>
        <w:rPr>
          <w:sz w:val="20"/>
        </w:rPr>
        <w:t xml:space="preserve"> </w:t>
      </w:r>
      <w:r w:rsidRPr="00074BB2">
        <w:rPr>
          <w:sz w:val="20"/>
        </w:rPr>
        <w:t>personal o no relativos al personal</w:t>
      </w:r>
      <w:r>
        <w:rPr>
          <w:sz w:val="20"/>
        </w:rPr>
        <w:t xml:space="preserve">, en las líneas </w:t>
      </w:r>
      <w:r w:rsidRPr="00074BB2">
        <w:rPr>
          <w:sz w:val="20"/>
        </w:rPr>
        <w:t>“Otros servicios contractuales”</w:t>
      </w:r>
      <w:r>
        <w:rPr>
          <w:sz w:val="20"/>
        </w:rPr>
        <w:t xml:space="preserve"> y “</w:t>
      </w:r>
      <w:r w:rsidRPr="00F57167">
        <w:rPr>
          <w:sz w:val="20"/>
        </w:rPr>
        <w:t>Suministros y material</w:t>
      </w:r>
      <w:r>
        <w:rPr>
          <w:sz w:val="20"/>
        </w:rPr>
        <w:t xml:space="preserve">”; en consonancia con la estrategia para fortalecer las capacidades de la Organización de ejecutar con éxito la cartera de programas del sistema de </w:t>
      </w:r>
      <w:r w:rsidRPr="00463CD1">
        <w:rPr>
          <w:sz w:val="20"/>
        </w:rPr>
        <w:t xml:space="preserve">planificación de </w:t>
      </w:r>
      <w:r>
        <w:rPr>
          <w:sz w:val="20"/>
        </w:rPr>
        <w:t>los recursos institucionales.</w:t>
      </w:r>
    </w:p>
    <w:p w:rsidR="00D73B21" w:rsidRPr="009B2F8B" w:rsidRDefault="00D73B21" w:rsidP="00D73B21">
      <w:pPr>
        <w:jc w:val="both"/>
        <w:rPr>
          <w:sz w:val="20"/>
        </w:rPr>
      </w:pPr>
    </w:p>
    <w:p w:rsidR="00D73B21" w:rsidRPr="00666C2C" w:rsidRDefault="00D73B21" w:rsidP="00D73B21">
      <w:pPr>
        <w:numPr>
          <w:ilvl w:val="0"/>
          <w:numId w:val="41"/>
        </w:numPr>
        <w:jc w:val="both"/>
        <w:rPr>
          <w:sz w:val="20"/>
        </w:rPr>
      </w:pPr>
      <w:r w:rsidRPr="0054548A">
        <w:rPr>
          <w:sz w:val="20"/>
        </w:rPr>
        <w:t xml:space="preserve">Los recursos asignados al resultado IX.2 </w:t>
      </w:r>
      <w:r w:rsidRPr="004C6CBB">
        <w:rPr>
          <w:sz w:val="20"/>
        </w:rPr>
        <w:t>(Funcionamiento ágil y sin</w:t>
      </w:r>
      <w:r>
        <w:rPr>
          <w:sz w:val="20"/>
        </w:rPr>
        <w:t xml:space="preserve"> contratiempos de la Secretaría</w:t>
      </w:r>
      <w:r w:rsidRPr="004C6CBB">
        <w:rPr>
          <w:sz w:val="20"/>
        </w:rPr>
        <w:t>)</w:t>
      </w:r>
      <w:r>
        <w:rPr>
          <w:sz w:val="20"/>
        </w:rPr>
        <w:t xml:space="preserve"> reflejan una disminución de los costos debido: i) a la conclusión prevista, en 2013, del “</w:t>
      </w:r>
      <w:r w:rsidRPr="00666C2C">
        <w:rPr>
          <w:sz w:val="20"/>
        </w:rPr>
        <w:t>Proyecto de mejora del marco de la OMPI de gestión por resultados para respaldar la supervisión y evaluación de las actividades de desarrollo</w:t>
      </w:r>
      <w:r>
        <w:rPr>
          <w:sz w:val="20"/>
        </w:rPr>
        <w:t>” establecido en la A.D</w:t>
      </w:r>
      <w:r w:rsidR="00425E19">
        <w:rPr>
          <w:sz w:val="20"/>
        </w:rPr>
        <w:t>.</w:t>
      </w:r>
      <w:r>
        <w:rPr>
          <w:sz w:val="20"/>
        </w:rPr>
        <w:t xml:space="preserve">; y ii) al menor costo de los </w:t>
      </w:r>
      <w:r w:rsidRPr="00B9012B">
        <w:rPr>
          <w:sz w:val="20"/>
        </w:rPr>
        <w:lastRenderedPageBreak/>
        <w:t>servicios contractuales individuales</w:t>
      </w:r>
      <w:r>
        <w:rPr>
          <w:sz w:val="20"/>
        </w:rPr>
        <w:t xml:space="preserve">, como consecuencia de la aplicación de la </w:t>
      </w:r>
      <w:r w:rsidRPr="002B4A50">
        <w:rPr>
          <w:sz w:val="20"/>
        </w:rPr>
        <w:t>gestión por resultados</w:t>
      </w:r>
      <w:r>
        <w:rPr>
          <w:sz w:val="20"/>
        </w:rPr>
        <w:t xml:space="preserve">.  Esta </w:t>
      </w:r>
      <w:r w:rsidRPr="008117BF">
        <w:rPr>
          <w:sz w:val="20"/>
        </w:rPr>
        <w:t>reducción neta</w:t>
      </w:r>
      <w:r>
        <w:rPr>
          <w:sz w:val="20"/>
        </w:rPr>
        <w:t xml:space="preserve"> también refleja la reasignación de los costos a los tres nuevos resultados previstos del programa, así como un aumento significativo de los </w:t>
      </w:r>
      <w:r w:rsidRPr="00B9012B">
        <w:rPr>
          <w:sz w:val="20"/>
        </w:rPr>
        <w:t>cargos administrativos y bancarios</w:t>
      </w:r>
      <w:r w:rsidR="00FB6F33">
        <w:rPr>
          <w:sz w:val="20"/>
        </w:rPr>
        <w:t xml:space="preserve"> que asciende a </w:t>
      </w:r>
      <w:r>
        <w:rPr>
          <w:sz w:val="20"/>
        </w:rPr>
        <w:t>240.000 francos suizos, debido a una nueva práctica que exige que la Organización pague por servicios que anteriormente eran gratuitos.</w:t>
      </w:r>
    </w:p>
    <w:p w:rsidR="00D73B21" w:rsidRPr="0054548A" w:rsidRDefault="00D73B21" w:rsidP="00D73B21">
      <w:pPr>
        <w:jc w:val="both"/>
        <w:rPr>
          <w:sz w:val="20"/>
        </w:rPr>
      </w:pPr>
    </w:p>
    <w:p w:rsidR="00D73B21" w:rsidRPr="00E004D2" w:rsidRDefault="00D73B21" w:rsidP="00D73B21">
      <w:pPr>
        <w:numPr>
          <w:ilvl w:val="0"/>
          <w:numId w:val="41"/>
        </w:numPr>
        <w:jc w:val="both"/>
        <w:rPr>
          <w:sz w:val="20"/>
        </w:rPr>
      </w:pPr>
      <w:r w:rsidRPr="00E004D2">
        <w:rPr>
          <w:sz w:val="20"/>
        </w:rPr>
        <w:t xml:space="preserve">Los recursos asignados al resultado IX. </w:t>
      </w:r>
      <w:r>
        <w:rPr>
          <w:sz w:val="20"/>
        </w:rPr>
        <w:t>3 (</w:t>
      </w:r>
      <w:r w:rsidRPr="0090590F">
        <w:rPr>
          <w:sz w:val="20"/>
        </w:rPr>
        <w:t>Entorno de trabajo propicio basado en un marco reglamentario eficaz</w:t>
      </w:r>
      <w:r>
        <w:rPr>
          <w:sz w:val="20"/>
        </w:rPr>
        <w:t xml:space="preserve">) reflejan principalmente los costos de personal asignados al examen y mantenimiento del </w:t>
      </w:r>
      <w:r w:rsidRPr="0090590F">
        <w:rPr>
          <w:sz w:val="20"/>
        </w:rPr>
        <w:t>marco reglamentario</w:t>
      </w:r>
      <w:r>
        <w:rPr>
          <w:sz w:val="20"/>
        </w:rPr>
        <w:t xml:space="preserve"> financiero de la Organización y a un pequeña parte correspondiente a costos </w:t>
      </w:r>
      <w:r w:rsidRPr="00074BB2">
        <w:rPr>
          <w:sz w:val="20"/>
        </w:rPr>
        <w:t>no relativos al personal</w:t>
      </w:r>
      <w:r>
        <w:rPr>
          <w:sz w:val="20"/>
        </w:rPr>
        <w:t xml:space="preserve"> relativa a la contribución de la OMPI a actividades de las NN.UU. que son financiadas en conjunto.</w:t>
      </w:r>
    </w:p>
    <w:p w:rsidR="00D73B21" w:rsidRPr="00E004D2" w:rsidRDefault="00D73B21" w:rsidP="00D73B21">
      <w:pPr>
        <w:jc w:val="both"/>
        <w:rPr>
          <w:sz w:val="20"/>
        </w:rPr>
      </w:pPr>
    </w:p>
    <w:p w:rsidR="00D73B21" w:rsidRPr="00CA6321" w:rsidRDefault="00D73B21" w:rsidP="00D73B21">
      <w:pPr>
        <w:numPr>
          <w:ilvl w:val="0"/>
          <w:numId w:val="41"/>
        </w:numPr>
        <w:jc w:val="both"/>
        <w:rPr>
          <w:sz w:val="20"/>
        </w:rPr>
      </w:pPr>
      <w:r w:rsidRPr="00CA6321">
        <w:rPr>
          <w:sz w:val="20"/>
        </w:rPr>
        <w:t xml:space="preserve">Los recursos asignados al resultado IX.8 </w:t>
      </w:r>
      <w:r w:rsidRPr="00885344">
        <w:rPr>
          <w:sz w:val="20"/>
        </w:rPr>
        <w:t>(Mejor rendición de cuentas, control interno y buen gobierno)</w:t>
      </w:r>
      <w:r>
        <w:rPr>
          <w:sz w:val="20"/>
        </w:rPr>
        <w:t xml:space="preserve"> representan la propuesta de presupuesto asignada a la </w:t>
      </w:r>
      <w:r w:rsidRPr="00236778">
        <w:rPr>
          <w:sz w:val="20"/>
        </w:rPr>
        <w:t>Comisión Consultiva Independiente de Supervisión (CCIS)</w:t>
      </w:r>
      <w:r>
        <w:rPr>
          <w:sz w:val="20"/>
        </w:rPr>
        <w:t xml:space="preserve"> de 391.000 francos suizos para el bienio, y </w:t>
      </w:r>
      <w:r w:rsidRPr="00236778">
        <w:rPr>
          <w:sz w:val="20"/>
        </w:rPr>
        <w:t>la estimación de los costos</w:t>
      </w:r>
      <w:r>
        <w:rPr>
          <w:sz w:val="20"/>
        </w:rPr>
        <w:t xml:space="preserve"> para la auditoría externa (honorarios del auditor y costos asignados a los recursos humanos).  Los ahorros en los viajes se reflejan en la reducción de la categoría “</w:t>
      </w:r>
      <w:r w:rsidRPr="00C564B5">
        <w:rPr>
          <w:sz w:val="20"/>
        </w:rPr>
        <w:t>Viajes de</w:t>
      </w:r>
      <w:r>
        <w:rPr>
          <w:sz w:val="20"/>
        </w:rPr>
        <w:t xml:space="preserve"> </w:t>
      </w:r>
      <w:r w:rsidRPr="00C564B5">
        <w:rPr>
          <w:sz w:val="20"/>
        </w:rPr>
        <w:t>terceros”</w:t>
      </w:r>
      <w:r>
        <w:rPr>
          <w:sz w:val="20"/>
        </w:rPr>
        <w:t xml:space="preserve"> que ha contribuido a la reducción del nivel de los recursos asignados a la CCIS en el próximo bienio.</w:t>
      </w:r>
    </w:p>
    <w:p w:rsidR="00D73B21" w:rsidRPr="00CA6321" w:rsidRDefault="00D73B21" w:rsidP="00D73B21">
      <w:pPr>
        <w:jc w:val="both"/>
        <w:rPr>
          <w:sz w:val="20"/>
        </w:rPr>
      </w:pPr>
    </w:p>
    <w:p w:rsidR="009F58E5" w:rsidRPr="00D73B21" w:rsidRDefault="009F58E5" w:rsidP="009F58E5">
      <w:pPr>
        <w:rPr>
          <w:sz w:val="20"/>
          <w:highlight w:val="yellow"/>
        </w:rPr>
      </w:pPr>
    </w:p>
    <w:p w:rsidR="009F58E5" w:rsidRPr="00C75C7E" w:rsidRDefault="00B258CE" w:rsidP="00D73B21">
      <w:pPr>
        <w:keepNext/>
        <w:autoSpaceDE w:val="0"/>
        <w:autoSpaceDN w:val="0"/>
        <w:adjustRightInd w:val="0"/>
        <w:ind w:firstLine="567"/>
        <w:jc w:val="center"/>
        <w:rPr>
          <w:b/>
          <w:bCs/>
          <w:iCs/>
          <w:sz w:val="20"/>
          <w:lang w:val="es-ES_tradnl"/>
        </w:rPr>
      </w:pPr>
      <w:r>
        <w:rPr>
          <w:b/>
          <w:bCs/>
          <w:iCs/>
          <w:sz w:val="20"/>
          <w:lang w:val="es-ES_tradnl"/>
        </w:rPr>
        <w:t>Programa 22</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D73B21">
      <w:pPr>
        <w:keepNext/>
        <w:autoSpaceDE w:val="0"/>
        <w:autoSpaceDN w:val="0"/>
        <w:adjustRightInd w:val="0"/>
        <w:ind w:firstLine="567"/>
        <w:jc w:val="center"/>
        <w:rPr>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Pr="00C75C7E" w:rsidRDefault="009F58E5" w:rsidP="00D73B21">
      <w:pPr>
        <w:keepNext/>
        <w:jc w:val="both"/>
        <w:rPr>
          <w:sz w:val="20"/>
          <w:lang w:val="es-ES_tradnl"/>
        </w:rPr>
      </w:pPr>
    </w:p>
    <w:p w:rsidR="009F58E5" w:rsidRPr="00C75C7E" w:rsidRDefault="00B258CE" w:rsidP="00D73B21">
      <w:pPr>
        <w:keepNext/>
        <w:jc w:val="center"/>
        <w:rPr>
          <w:sz w:val="20"/>
          <w:lang w:val="es-ES_tradnl"/>
        </w:rPr>
      </w:pPr>
      <w:r w:rsidRPr="00B258CE">
        <w:rPr>
          <w:noProof/>
          <w:lang w:val="en-US" w:eastAsia="en-US"/>
        </w:rPr>
        <w:drawing>
          <wp:inline distT="0" distB="0" distL="0" distR="0" wp14:anchorId="52DC25D1" wp14:editId="62A3926C">
            <wp:extent cx="5762625" cy="2914650"/>
            <wp:effectExtent l="0" t="0" r="9525"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762625" cy="2914650"/>
                    </a:xfrm>
                    <a:prstGeom prst="rect">
                      <a:avLst/>
                    </a:prstGeom>
                    <a:noFill/>
                    <a:ln>
                      <a:noFill/>
                    </a:ln>
                  </pic:spPr>
                </pic:pic>
              </a:graphicData>
            </a:graphic>
          </wp:inline>
        </w:drawing>
      </w:r>
    </w:p>
    <w:p w:rsidR="009F58E5" w:rsidRPr="00C75C7E" w:rsidRDefault="009F58E5" w:rsidP="00020C40">
      <w:pPr>
        <w:jc w:val="center"/>
        <w:rPr>
          <w:sz w:val="20"/>
          <w:lang w:val="es-ES_tradnl"/>
        </w:rPr>
      </w:pPr>
    </w:p>
    <w:p w:rsidR="009F58E5" w:rsidRPr="00C75C7E" w:rsidRDefault="009F58E5" w:rsidP="00020C40">
      <w:pPr>
        <w:autoSpaceDE w:val="0"/>
        <w:autoSpaceDN w:val="0"/>
        <w:adjustRightInd w:val="0"/>
        <w:rPr>
          <w:sz w:val="20"/>
          <w:lang w:val="es-ES_tradnl"/>
        </w:rPr>
      </w:pPr>
      <w:r w:rsidRPr="00C75C7E">
        <w:rPr>
          <w:sz w:val="16"/>
          <w:szCs w:val="16"/>
          <w:lang w:val="es-ES_tradnl"/>
        </w:rPr>
        <w:t>Nota</w:t>
      </w:r>
      <w:proofErr w:type="gramStart"/>
      <w:r w:rsidR="00020C40">
        <w:rPr>
          <w:sz w:val="16"/>
          <w:szCs w:val="16"/>
          <w:lang w:val="es-ES_tradnl"/>
        </w:rPr>
        <w:t xml:space="preserve">: </w:t>
      </w:r>
      <w:r w:rsidRPr="00C75C7E">
        <w:rPr>
          <w:sz w:val="16"/>
          <w:szCs w:val="16"/>
          <w:lang w:val="es-ES_tradnl"/>
        </w:rPr>
        <w:t xml:space="preserve"> 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9F58E5">
      <w:pPr>
        <w:widowControl w:val="0"/>
        <w:jc w:val="center"/>
        <w:rPr>
          <w:sz w:val="20"/>
          <w:lang w:val="es-ES_tradnl"/>
        </w:rPr>
      </w:pPr>
    </w:p>
    <w:p w:rsidR="009F58E5" w:rsidRPr="00C75C7E" w:rsidRDefault="00B258CE" w:rsidP="00D73B21">
      <w:pPr>
        <w:keepNext/>
        <w:autoSpaceDE w:val="0"/>
        <w:autoSpaceDN w:val="0"/>
        <w:adjustRightInd w:val="0"/>
        <w:ind w:firstLine="567"/>
        <w:jc w:val="center"/>
        <w:rPr>
          <w:b/>
          <w:bCs/>
          <w:iCs/>
          <w:sz w:val="20"/>
          <w:lang w:val="es-ES_tradnl"/>
        </w:rPr>
      </w:pPr>
      <w:r>
        <w:rPr>
          <w:b/>
          <w:bCs/>
          <w:iCs/>
          <w:sz w:val="20"/>
          <w:lang w:val="es-ES_tradnl"/>
        </w:rPr>
        <w:lastRenderedPageBreak/>
        <w:t>Programa 22</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D73B21">
      <w:pPr>
        <w:keepNext/>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D73B21">
      <w:pPr>
        <w:keepNext/>
        <w:jc w:val="center"/>
        <w:rPr>
          <w:i/>
          <w:sz w:val="18"/>
          <w:szCs w:val="18"/>
          <w:lang w:val="es-ES_tradnl"/>
        </w:rPr>
      </w:pPr>
    </w:p>
    <w:p w:rsidR="00EA4CD8" w:rsidRPr="00C75C7E" w:rsidRDefault="00B258CE" w:rsidP="00D73B21">
      <w:pPr>
        <w:keepNext/>
        <w:jc w:val="center"/>
        <w:rPr>
          <w:i/>
          <w:sz w:val="18"/>
          <w:szCs w:val="18"/>
          <w:lang w:val="es-ES_tradnl"/>
        </w:rPr>
      </w:pPr>
      <w:r w:rsidRPr="00B258CE">
        <w:rPr>
          <w:noProof/>
          <w:lang w:val="en-US" w:eastAsia="en-US"/>
        </w:rPr>
        <w:drawing>
          <wp:inline distT="0" distB="0" distL="0" distR="0" wp14:anchorId="38352EB9" wp14:editId="6B4E41DA">
            <wp:extent cx="5940425" cy="5728596"/>
            <wp:effectExtent l="0" t="0" r="3175" b="571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5940425" cy="5728596"/>
                    </a:xfrm>
                    <a:prstGeom prst="rect">
                      <a:avLst/>
                    </a:prstGeom>
                    <a:noFill/>
                    <a:ln>
                      <a:noFill/>
                    </a:ln>
                  </pic:spPr>
                </pic:pic>
              </a:graphicData>
            </a:graphic>
          </wp:inline>
        </w:drawing>
      </w:r>
    </w:p>
    <w:p w:rsidR="00EA4CD8" w:rsidRDefault="00EA4CD8" w:rsidP="00C73E63">
      <w:pPr>
        <w:rPr>
          <w:sz w:val="16"/>
          <w:szCs w:val="16"/>
          <w:lang w:val="es-ES_tradnl"/>
        </w:rPr>
      </w:pPr>
    </w:p>
    <w:p w:rsidR="009F58E5" w:rsidRPr="00C75C7E" w:rsidRDefault="009F58E5" w:rsidP="00C73E63">
      <w:pPr>
        <w:rPr>
          <w:sz w:val="16"/>
          <w:szCs w:val="16"/>
          <w:lang w:val="es-ES_tradnl"/>
        </w:rPr>
      </w:pPr>
      <w:r w:rsidRPr="00C75C7E">
        <w:rPr>
          <w:sz w:val="16"/>
          <w:szCs w:val="16"/>
          <w:lang w:val="es-ES_tradnl"/>
        </w:rPr>
        <w:t>Notas:</w:t>
      </w:r>
    </w:p>
    <w:p w:rsidR="009F58E5" w:rsidRPr="00C75C7E" w:rsidRDefault="009F58E5" w:rsidP="00C73E63">
      <w:pPr>
        <w:rPr>
          <w:sz w:val="16"/>
          <w:szCs w:val="16"/>
          <w:u w:val="single"/>
          <w:lang w:val="es-ES_tradnl"/>
        </w:rPr>
      </w:pPr>
    </w:p>
    <w:p w:rsidR="009F58E5" w:rsidRPr="00C75C7E" w:rsidRDefault="00C73E63" w:rsidP="00C73E63">
      <w:pPr>
        <w:spacing w:after="120"/>
        <w:rPr>
          <w:sz w:val="16"/>
          <w:szCs w:val="16"/>
          <w:lang w:val="es-ES_tradnl"/>
        </w:rPr>
      </w:pPr>
      <w:r>
        <w:rPr>
          <w:sz w:val="16"/>
          <w:szCs w:val="16"/>
          <w:lang w:val="es-ES_tradnl"/>
        </w:rPr>
        <w:t xml:space="preserve">1)  </w:t>
      </w:r>
      <w:r w:rsidR="009F58E5" w:rsidRPr="00C75C7E">
        <w:rPr>
          <w:sz w:val="16"/>
          <w:szCs w:val="16"/>
          <w:lang w:val="es-ES_tradnl"/>
        </w:rPr>
        <w:t xml:space="preserve">El presupuesto aprobado de 2012/13 y el presupuesto de dicho bienio después de las transferencias se </w:t>
      </w:r>
      <w:proofErr w:type="spellStart"/>
      <w:r w:rsidR="009F58E5" w:rsidRPr="00C75C7E">
        <w:rPr>
          <w:sz w:val="16"/>
          <w:szCs w:val="16"/>
          <w:lang w:val="es-ES_tradnl"/>
        </w:rPr>
        <w:t>reexpresan</w:t>
      </w:r>
      <w:proofErr w:type="spellEnd"/>
      <w:r w:rsidR="009F58E5" w:rsidRPr="00C75C7E">
        <w:rPr>
          <w:sz w:val="16"/>
          <w:szCs w:val="16"/>
          <w:lang w:val="es-ES_tradnl"/>
        </w:rPr>
        <w:t xml:space="preserve"> sobre la base de la estructura de categorías de costos propuesta para 2014/15.</w:t>
      </w:r>
    </w:p>
    <w:p w:rsidR="009F58E5" w:rsidRPr="00C75C7E" w:rsidRDefault="009F58E5" w:rsidP="00C73E63">
      <w:pPr>
        <w:spacing w:after="120"/>
        <w:rPr>
          <w:sz w:val="16"/>
          <w:szCs w:val="16"/>
          <w:lang w:val="es-ES_tradnl"/>
        </w:rPr>
      </w:pPr>
      <w:r>
        <w:rPr>
          <w:sz w:val="16"/>
          <w:szCs w:val="16"/>
          <w:lang w:val="es-ES_tradnl"/>
        </w:rPr>
        <w:t>2)</w:t>
      </w:r>
      <w:r w:rsidR="00C73E63">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w:t>
      </w:r>
      <w:r w:rsidR="00FB6F33">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Pr="00C75C7E" w:rsidRDefault="009F58E5" w:rsidP="00C73E63">
      <w:pPr>
        <w:spacing w:after="120"/>
        <w:rPr>
          <w:sz w:val="20"/>
          <w:highlight w:val="yellow"/>
          <w:lang w:val="es-ES_tradnl"/>
        </w:rPr>
      </w:pPr>
      <w:r>
        <w:rPr>
          <w:sz w:val="16"/>
          <w:szCs w:val="16"/>
          <w:lang w:val="es-ES_tradnl"/>
        </w:rPr>
        <w:t>3)</w:t>
      </w:r>
      <w:r w:rsidR="00C73E63">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D73B21" w:rsidRPr="000B01FE" w:rsidRDefault="009F58E5" w:rsidP="000B01FE">
      <w:pPr>
        <w:pStyle w:val="Heading3"/>
        <w:tabs>
          <w:tab w:val="left" w:pos="1985"/>
        </w:tabs>
        <w:rPr>
          <w:b/>
          <w:u w:val="none"/>
          <w:lang w:val="es-ES_tradnl"/>
        </w:rPr>
      </w:pPr>
      <w:r w:rsidRPr="00C75C7E">
        <w:rPr>
          <w:sz w:val="20"/>
          <w:lang w:val="es-ES_tradnl"/>
        </w:rPr>
        <w:br w:type="page"/>
      </w:r>
      <w:bookmarkStart w:id="89" w:name="_Toc356567778"/>
      <w:bookmarkStart w:id="90" w:name="_Toc366078747"/>
      <w:r w:rsidR="000B01FE" w:rsidRPr="000B01FE">
        <w:rPr>
          <w:b/>
          <w:u w:val="none"/>
          <w:lang w:val="es-ES_tradnl"/>
        </w:rPr>
        <w:lastRenderedPageBreak/>
        <w:t>PROGRAMA 23</w:t>
      </w:r>
      <w:r w:rsidR="000B01FE" w:rsidRPr="000B01FE">
        <w:rPr>
          <w:b/>
          <w:u w:val="none"/>
          <w:lang w:val="es-ES_tradnl"/>
        </w:rPr>
        <w:tab/>
        <w:t>GESTIÓN Y DESARROLLO DE LOS RECURSOS HUMANOS</w:t>
      </w:r>
      <w:bookmarkEnd w:id="89"/>
      <w:bookmarkEnd w:id="90"/>
    </w:p>
    <w:p w:rsidR="00D73B21" w:rsidRPr="008F443E" w:rsidRDefault="00D73B21" w:rsidP="00D73B21">
      <w:pPr>
        <w:pStyle w:val="BodyTextIndent"/>
        <w:ind w:left="1985" w:hanging="1985"/>
        <w:jc w:val="both"/>
        <w:rPr>
          <w:rFonts w:ascii="Arial" w:hAnsi="Arial" w:cs="Arial"/>
          <w:sz w:val="20"/>
          <w:lang w:val="es-ES"/>
        </w:rPr>
      </w:pPr>
    </w:p>
    <w:p w:rsidR="00D73B21" w:rsidRPr="008F443E" w:rsidRDefault="00D73B21" w:rsidP="00D73B21">
      <w:pPr>
        <w:pStyle w:val="BodyTextIndent"/>
        <w:ind w:left="1985" w:hanging="1985"/>
        <w:jc w:val="both"/>
        <w:rPr>
          <w:rFonts w:ascii="Arial" w:hAnsi="Arial" w:cs="Arial"/>
          <w:b/>
          <w:sz w:val="20"/>
          <w:lang w:val="es-ES"/>
        </w:rPr>
      </w:pPr>
    </w:p>
    <w:p w:rsidR="00D73B21" w:rsidRPr="000B01FE" w:rsidRDefault="00D73B21" w:rsidP="00D73B21">
      <w:pPr>
        <w:pStyle w:val="BodyTextIndent"/>
        <w:ind w:left="1985" w:hanging="1985"/>
        <w:jc w:val="both"/>
        <w:rPr>
          <w:rFonts w:ascii="Arial" w:hAnsi="Arial" w:cs="Arial"/>
          <w:sz w:val="22"/>
          <w:szCs w:val="22"/>
          <w:lang w:val="es-ES_tradnl"/>
        </w:rPr>
      </w:pPr>
      <w:r w:rsidRPr="000B01FE">
        <w:rPr>
          <w:rFonts w:ascii="Arial" w:hAnsi="Arial" w:cs="Arial"/>
          <w:sz w:val="22"/>
          <w:szCs w:val="22"/>
          <w:lang w:val="es-ES_tradnl"/>
        </w:rPr>
        <w:t>CONTEXTO DE PLANIFICACIÓN</w:t>
      </w:r>
    </w:p>
    <w:p w:rsidR="00D73B21" w:rsidRDefault="00D73B21" w:rsidP="000B01FE">
      <w:pPr>
        <w:widowControl w:val="0"/>
        <w:autoSpaceDE w:val="0"/>
        <w:autoSpaceDN w:val="0"/>
        <w:adjustRightInd w:val="0"/>
        <w:jc w:val="both"/>
        <w:rPr>
          <w:szCs w:val="22"/>
        </w:rPr>
      </w:pPr>
    </w:p>
    <w:p w:rsidR="00D73B21" w:rsidRPr="00CA76B5" w:rsidRDefault="00D73B21" w:rsidP="00D41E6A">
      <w:pPr>
        <w:pStyle w:val="ONUME"/>
        <w:widowControl w:val="0"/>
        <w:numPr>
          <w:ilvl w:val="0"/>
          <w:numId w:val="42"/>
        </w:numPr>
        <w:spacing w:after="0"/>
        <w:jc w:val="both"/>
        <w:rPr>
          <w:sz w:val="20"/>
          <w:szCs w:val="16"/>
        </w:rPr>
      </w:pPr>
      <w:r w:rsidRPr="00975028">
        <w:rPr>
          <w:sz w:val="20"/>
        </w:rPr>
        <w:t>Con el fin de lograr sus objetivos fundamentales, la OMPI debe contar con una Secretaría eficaz que disponga de un personal bien dirigido y con las competencias adecuadas que</w:t>
      </w:r>
      <w:r>
        <w:rPr>
          <w:sz w:val="20"/>
        </w:rPr>
        <w:t xml:space="preserve"> produzca</w:t>
      </w:r>
      <w:r w:rsidRPr="00975028">
        <w:rPr>
          <w:sz w:val="20"/>
        </w:rPr>
        <w:t xml:space="preserve"> resultados de manera sostenible.  En este contexto, será</w:t>
      </w:r>
      <w:r>
        <w:rPr>
          <w:sz w:val="20"/>
        </w:rPr>
        <w:t xml:space="preserve"> necesario superar</w:t>
      </w:r>
      <w:r w:rsidRPr="00975028">
        <w:rPr>
          <w:sz w:val="20"/>
        </w:rPr>
        <w:t xml:space="preserve"> muchos desafíos, en particular, la brecha entre las actuales competencias y aptitudes del personal y las competencias necesarias para satisfacer las necesidades futuras de la Organización. </w:t>
      </w:r>
      <w:r w:rsidR="00E809A5">
        <w:rPr>
          <w:sz w:val="20"/>
        </w:rPr>
        <w:t xml:space="preserve"> </w:t>
      </w:r>
      <w:r w:rsidRPr="00975028">
        <w:rPr>
          <w:sz w:val="20"/>
        </w:rPr>
        <w:t>La estrategia de recursos humanos at</w:t>
      </w:r>
      <w:r w:rsidR="00E809A5">
        <w:rPr>
          <w:sz w:val="20"/>
        </w:rPr>
        <w:t>i</w:t>
      </w:r>
      <w:r w:rsidRPr="00975028">
        <w:rPr>
          <w:sz w:val="20"/>
        </w:rPr>
        <w:t xml:space="preserve">ende estos desafíos, en particular la alineación de las competencias, el equilibrio </w:t>
      </w:r>
      <w:r w:rsidR="00425E19">
        <w:rPr>
          <w:sz w:val="20"/>
        </w:rPr>
        <w:t>de género</w:t>
      </w:r>
      <w:r w:rsidRPr="00975028">
        <w:rPr>
          <w:sz w:val="20"/>
        </w:rPr>
        <w:t xml:space="preserve"> a todos los niveles, la diversidad geográfica, la duración del proceso de contratación, la elaboración de políticas claras que estén conformes con las necesidades y las prácticas óptimas del sistema común de las NN.UU.; y</w:t>
      </w:r>
      <w:r>
        <w:rPr>
          <w:sz w:val="20"/>
        </w:rPr>
        <w:t>,</w:t>
      </w:r>
      <w:r w:rsidRPr="00975028">
        <w:rPr>
          <w:sz w:val="20"/>
        </w:rPr>
        <w:t xml:space="preserve"> sobre todo</w:t>
      </w:r>
      <w:r>
        <w:rPr>
          <w:sz w:val="20"/>
        </w:rPr>
        <w:t>, el refuerzo de la orientación</w:t>
      </w:r>
      <w:r w:rsidRPr="00CA76B5">
        <w:rPr>
          <w:sz w:val="20"/>
        </w:rPr>
        <w:t xml:space="preserve"> al cliente</w:t>
      </w:r>
      <w:r>
        <w:rPr>
          <w:sz w:val="20"/>
        </w:rPr>
        <w:t xml:space="preserve"> de los servicios de recursos humanos</w:t>
      </w:r>
      <w:r w:rsidRPr="00CA76B5">
        <w:rPr>
          <w:sz w:val="20"/>
        </w:rPr>
        <w:t>.</w:t>
      </w:r>
      <w:r>
        <w:rPr>
          <w:sz w:val="20"/>
        </w:rPr>
        <w:t xml:space="preserve">  Otro ámbito de interés será el de la comunicación; en el que se abordará la consulta </w:t>
      </w:r>
      <w:r w:rsidRPr="002130D0">
        <w:rPr>
          <w:sz w:val="20"/>
        </w:rPr>
        <w:t>efectiva y oportuna</w:t>
      </w:r>
      <w:r>
        <w:rPr>
          <w:sz w:val="20"/>
        </w:rPr>
        <w:t xml:space="preserve"> con el personal, los representantes del personal, el personal directivo</w:t>
      </w:r>
      <w:r w:rsidRPr="002E7A15">
        <w:rPr>
          <w:sz w:val="20"/>
        </w:rPr>
        <w:t xml:space="preserve"> de la OMPI</w:t>
      </w:r>
      <w:r>
        <w:rPr>
          <w:sz w:val="20"/>
        </w:rPr>
        <w:t xml:space="preserve"> y los Estados miembros.</w:t>
      </w:r>
    </w:p>
    <w:p w:rsidR="00D73B21" w:rsidRPr="00975028" w:rsidRDefault="00D73B21" w:rsidP="000B01FE">
      <w:pPr>
        <w:pStyle w:val="ONUME"/>
        <w:widowControl w:val="0"/>
        <w:numPr>
          <w:ilvl w:val="0"/>
          <w:numId w:val="0"/>
        </w:numPr>
        <w:spacing w:after="0"/>
        <w:jc w:val="both"/>
        <w:rPr>
          <w:sz w:val="20"/>
        </w:rPr>
      </w:pPr>
    </w:p>
    <w:p w:rsidR="00D73B21" w:rsidRPr="00131336" w:rsidRDefault="00D73B21" w:rsidP="00D41E6A">
      <w:pPr>
        <w:pStyle w:val="ONUME"/>
        <w:widowControl w:val="0"/>
        <w:numPr>
          <w:ilvl w:val="0"/>
          <w:numId w:val="42"/>
        </w:numPr>
        <w:spacing w:after="0"/>
        <w:jc w:val="both"/>
        <w:rPr>
          <w:sz w:val="20"/>
          <w:szCs w:val="18"/>
        </w:rPr>
      </w:pPr>
      <w:r w:rsidRPr="003D35D1">
        <w:rPr>
          <w:sz w:val="20"/>
          <w:szCs w:val="18"/>
        </w:rPr>
        <w:t xml:space="preserve">La incorporación </w:t>
      </w:r>
      <w:r>
        <w:rPr>
          <w:sz w:val="20"/>
          <w:szCs w:val="18"/>
        </w:rPr>
        <w:t xml:space="preserve">del diseño orgánico de </w:t>
      </w:r>
      <w:r w:rsidRPr="00131336">
        <w:rPr>
          <w:sz w:val="20"/>
          <w:szCs w:val="18"/>
        </w:rPr>
        <w:t xml:space="preserve">la iniciativa del </w:t>
      </w:r>
      <w:r w:rsidR="00AE7D43">
        <w:rPr>
          <w:sz w:val="20"/>
          <w:szCs w:val="18"/>
        </w:rPr>
        <w:t>Programa de Alineación Estratégica</w:t>
      </w:r>
      <w:r>
        <w:rPr>
          <w:sz w:val="20"/>
          <w:szCs w:val="18"/>
        </w:rPr>
        <w:t xml:space="preserve">, en consonancia con el marco y los enfoques de </w:t>
      </w:r>
      <w:r w:rsidRPr="00131336">
        <w:rPr>
          <w:sz w:val="20"/>
          <w:szCs w:val="18"/>
        </w:rPr>
        <w:t>gestión del</w:t>
      </w:r>
      <w:r>
        <w:rPr>
          <w:sz w:val="20"/>
          <w:szCs w:val="18"/>
        </w:rPr>
        <w:t xml:space="preserve"> </w:t>
      </w:r>
      <w:r w:rsidRPr="00131336">
        <w:rPr>
          <w:sz w:val="20"/>
          <w:szCs w:val="18"/>
        </w:rPr>
        <w:t>rendimiento</w:t>
      </w:r>
      <w:r>
        <w:rPr>
          <w:sz w:val="20"/>
          <w:szCs w:val="18"/>
        </w:rPr>
        <w:t xml:space="preserve"> de la Organización, fomentará una mayor</w:t>
      </w:r>
      <w:r w:rsidRPr="009C7612">
        <w:rPr>
          <w:sz w:val="20"/>
          <w:szCs w:val="18"/>
        </w:rPr>
        <w:t xml:space="preserve"> rendición de cuentas</w:t>
      </w:r>
      <w:r>
        <w:rPr>
          <w:sz w:val="20"/>
          <w:szCs w:val="18"/>
        </w:rPr>
        <w:t xml:space="preserve"> para el capital humano de la Organización y contribuirá a la producción de mejores resultados mediante una planificación centrada en las necesidades de los recursos humanos con el fin de facilitar las sinergias </w:t>
      </w:r>
      <w:r w:rsidRPr="001E7CEF">
        <w:rPr>
          <w:sz w:val="20"/>
          <w:szCs w:val="18"/>
        </w:rPr>
        <w:t>intersectoriales</w:t>
      </w:r>
      <w:r>
        <w:rPr>
          <w:sz w:val="20"/>
          <w:szCs w:val="18"/>
        </w:rPr>
        <w:t xml:space="preserve"> y reducir la duplicación de actividades.</w:t>
      </w:r>
    </w:p>
    <w:p w:rsidR="00D73B21" w:rsidRPr="003D35D1" w:rsidRDefault="00D73B21" w:rsidP="000B01FE">
      <w:pPr>
        <w:widowControl w:val="0"/>
        <w:jc w:val="both"/>
        <w:rPr>
          <w:sz w:val="20"/>
          <w:szCs w:val="18"/>
        </w:rPr>
      </w:pPr>
    </w:p>
    <w:p w:rsidR="00D73B21" w:rsidRPr="005807B8" w:rsidRDefault="00D73B21" w:rsidP="00D41E6A">
      <w:pPr>
        <w:pStyle w:val="ONUME"/>
        <w:widowControl w:val="0"/>
        <w:numPr>
          <w:ilvl w:val="0"/>
          <w:numId w:val="42"/>
        </w:numPr>
        <w:spacing w:after="0"/>
        <w:jc w:val="both"/>
        <w:rPr>
          <w:sz w:val="20"/>
          <w:szCs w:val="18"/>
        </w:rPr>
      </w:pPr>
      <w:r w:rsidRPr="005807B8">
        <w:rPr>
          <w:sz w:val="20"/>
          <w:szCs w:val="18"/>
        </w:rPr>
        <w:t>La puesta en práctica de</w:t>
      </w:r>
      <w:r>
        <w:rPr>
          <w:sz w:val="20"/>
          <w:szCs w:val="18"/>
        </w:rPr>
        <w:t xml:space="preserve"> la</w:t>
      </w:r>
      <w:r w:rsidRPr="005807B8">
        <w:rPr>
          <w:sz w:val="20"/>
          <w:szCs w:val="18"/>
        </w:rPr>
        <w:t xml:space="preserve"> planificación de los recursos institucionales </w:t>
      </w:r>
      <w:r>
        <w:rPr>
          <w:sz w:val="20"/>
          <w:szCs w:val="18"/>
        </w:rPr>
        <w:t xml:space="preserve">para la gestión de los recursos humanos será una prioridad en 2014/15. El objetivo será aportar procesos y servicios de recursos humanos eficaces y eficientes, así como mejorar las </w:t>
      </w:r>
      <w:r w:rsidRPr="00B1361B">
        <w:rPr>
          <w:sz w:val="20"/>
          <w:szCs w:val="18"/>
        </w:rPr>
        <w:t>funciones de presentación de informes</w:t>
      </w:r>
      <w:r>
        <w:rPr>
          <w:sz w:val="20"/>
          <w:szCs w:val="18"/>
        </w:rPr>
        <w:t xml:space="preserve"> tanto a nivel interno, ante el personal directivo, como a nivel externo, ante los </w:t>
      </w:r>
      <w:r w:rsidR="00425E19">
        <w:rPr>
          <w:sz w:val="20"/>
          <w:szCs w:val="18"/>
        </w:rPr>
        <w:t>órganos</w:t>
      </w:r>
      <w:r>
        <w:rPr>
          <w:sz w:val="20"/>
          <w:szCs w:val="18"/>
        </w:rPr>
        <w:t xml:space="preserve"> rectores y las partes interesadas.</w:t>
      </w:r>
    </w:p>
    <w:p w:rsidR="00D73B21" w:rsidRPr="005807B8" w:rsidRDefault="00D73B21" w:rsidP="000B01FE">
      <w:pPr>
        <w:widowControl w:val="0"/>
        <w:jc w:val="both"/>
        <w:rPr>
          <w:sz w:val="20"/>
          <w:szCs w:val="18"/>
        </w:rPr>
      </w:pPr>
    </w:p>
    <w:p w:rsidR="00D73B21" w:rsidRPr="005807B8" w:rsidRDefault="00D73B21" w:rsidP="000B01FE">
      <w:pPr>
        <w:widowControl w:val="0"/>
        <w:jc w:val="both"/>
        <w:rPr>
          <w:sz w:val="20"/>
          <w:szCs w:val="18"/>
        </w:rPr>
      </w:pPr>
    </w:p>
    <w:p w:rsidR="00D73B21" w:rsidRPr="005807B8" w:rsidRDefault="00D73B21" w:rsidP="000B01FE">
      <w:pPr>
        <w:widowControl w:val="0"/>
        <w:jc w:val="both"/>
        <w:rPr>
          <w:szCs w:val="18"/>
        </w:rPr>
      </w:pPr>
      <w:r>
        <w:rPr>
          <w:szCs w:val="18"/>
        </w:rPr>
        <w:t xml:space="preserve">ESTRATEGIAS DE EJECUCIÓN </w:t>
      </w:r>
    </w:p>
    <w:p w:rsidR="00D73B21" w:rsidRPr="005807B8" w:rsidRDefault="00D73B21" w:rsidP="000B01FE">
      <w:pPr>
        <w:widowControl w:val="0"/>
        <w:jc w:val="both"/>
        <w:rPr>
          <w:sz w:val="20"/>
        </w:rPr>
      </w:pPr>
    </w:p>
    <w:p w:rsidR="00D73B21" w:rsidRPr="00F45F4A" w:rsidRDefault="00D73B21" w:rsidP="00D41E6A">
      <w:pPr>
        <w:pStyle w:val="ONUME"/>
        <w:widowControl w:val="0"/>
        <w:numPr>
          <w:ilvl w:val="0"/>
          <w:numId w:val="42"/>
        </w:numPr>
        <w:spacing w:after="0"/>
        <w:jc w:val="both"/>
        <w:rPr>
          <w:sz w:val="20"/>
        </w:rPr>
      </w:pPr>
      <w:r w:rsidRPr="00F45F4A">
        <w:rPr>
          <w:sz w:val="20"/>
        </w:rPr>
        <w:t>Una de las prioridades del pr</w:t>
      </w:r>
      <w:r>
        <w:rPr>
          <w:sz w:val="20"/>
        </w:rPr>
        <w:t xml:space="preserve">óximo bienio será el desarrollo de planes para </w:t>
      </w:r>
      <w:r w:rsidRPr="00F45F4A">
        <w:rPr>
          <w:sz w:val="20"/>
        </w:rPr>
        <w:t>los miembros del personal</w:t>
      </w:r>
      <w:r>
        <w:rPr>
          <w:sz w:val="20"/>
        </w:rPr>
        <w:t xml:space="preserve"> de todas las unidades de la Organización y el seguimiento de la puesta en práctica de los mismos mediante una </w:t>
      </w:r>
      <w:r w:rsidRPr="00F45F4A">
        <w:rPr>
          <w:sz w:val="20"/>
        </w:rPr>
        <w:t>sólida colaboración</w:t>
      </w:r>
      <w:r>
        <w:rPr>
          <w:sz w:val="20"/>
        </w:rPr>
        <w:t xml:space="preserve"> con el personal directivo.</w:t>
      </w:r>
      <w:r w:rsidR="00E809A5">
        <w:rPr>
          <w:sz w:val="20"/>
        </w:rPr>
        <w:t xml:space="preserve">  Para ello será necesario continuar mejorando la situación en torno al equilibrio de género y la diversidad geográfica, con el fin de disminuir de ese modo el número de Estados miembros no representados.</w:t>
      </w:r>
    </w:p>
    <w:p w:rsidR="00D73B21" w:rsidRPr="00F45F4A" w:rsidRDefault="00D73B21" w:rsidP="000B01FE">
      <w:pPr>
        <w:widowControl w:val="0"/>
        <w:jc w:val="both"/>
        <w:rPr>
          <w:sz w:val="20"/>
        </w:rPr>
      </w:pPr>
    </w:p>
    <w:p w:rsidR="00D73B21" w:rsidRPr="0035169A" w:rsidRDefault="00D73B21" w:rsidP="00D41E6A">
      <w:pPr>
        <w:pStyle w:val="ONUME"/>
        <w:widowControl w:val="0"/>
        <w:numPr>
          <w:ilvl w:val="0"/>
          <w:numId w:val="42"/>
        </w:numPr>
        <w:spacing w:after="0"/>
        <w:jc w:val="both"/>
        <w:rPr>
          <w:sz w:val="20"/>
        </w:rPr>
      </w:pPr>
      <w:r w:rsidRPr="00CE01EB">
        <w:rPr>
          <w:sz w:val="20"/>
        </w:rPr>
        <w:t xml:space="preserve">A medida que la organización incremente su eficacia para identificar y planificar las estructuras organizativas y los recursos humanos necesarios para satisfacer sus necesidades, se producirá un cambio considerable que se manifestará a través de la capacidad de darle prioridad a los servicios de contratación </w:t>
      </w:r>
      <w:r w:rsidR="00E809A5">
        <w:rPr>
          <w:sz w:val="20"/>
        </w:rPr>
        <w:t>para</w:t>
      </w:r>
      <w:r w:rsidRPr="00CE01EB">
        <w:rPr>
          <w:sz w:val="20"/>
        </w:rPr>
        <w:t xml:space="preserve"> brindar una mejor orientación a los objetivos de desarrollo del personal.  De este modo, el proceso de contratación se centrará más en atender las carencias de aptitudes</w:t>
      </w:r>
      <w:r>
        <w:rPr>
          <w:sz w:val="20"/>
        </w:rPr>
        <w:t xml:space="preserve"> de la Organización.</w:t>
      </w:r>
    </w:p>
    <w:p w:rsidR="00D73B21" w:rsidRPr="0035169A" w:rsidRDefault="00D73B21" w:rsidP="000B01FE">
      <w:pPr>
        <w:widowControl w:val="0"/>
        <w:jc w:val="both"/>
        <w:rPr>
          <w:sz w:val="20"/>
        </w:rPr>
      </w:pPr>
    </w:p>
    <w:p w:rsidR="00D73B21" w:rsidRPr="00463CD1" w:rsidRDefault="00D73B21" w:rsidP="00D41E6A">
      <w:pPr>
        <w:pStyle w:val="ONUME"/>
        <w:widowControl w:val="0"/>
        <w:numPr>
          <w:ilvl w:val="0"/>
          <w:numId w:val="42"/>
        </w:numPr>
        <w:spacing w:after="0"/>
        <w:jc w:val="both"/>
        <w:rPr>
          <w:sz w:val="20"/>
        </w:rPr>
      </w:pPr>
      <w:r w:rsidRPr="00463CD1">
        <w:rPr>
          <w:sz w:val="20"/>
        </w:rPr>
        <w:t xml:space="preserve">El proyecto </w:t>
      </w:r>
      <w:r>
        <w:rPr>
          <w:sz w:val="20"/>
        </w:rPr>
        <w:t xml:space="preserve">de </w:t>
      </w:r>
      <w:r w:rsidRPr="00463CD1">
        <w:rPr>
          <w:sz w:val="20"/>
        </w:rPr>
        <w:t>planificación de los recursos institucionales</w:t>
      </w:r>
      <w:r>
        <w:rPr>
          <w:sz w:val="20"/>
        </w:rPr>
        <w:t xml:space="preserve"> incluirá la puesta en práctica y la integración de un nuevo sistema integrado de contratación, así como un módulo de </w:t>
      </w:r>
      <w:r w:rsidRPr="000C73B6">
        <w:rPr>
          <w:sz w:val="20"/>
        </w:rPr>
        <w:t>autoservicio</w:t>
      </w:r>
      <w:r>
        <w:rPr>
          <w:sz w:val="20"/>
        </w:rPr>
        <w:t xml:space="preserve"> para el personal y el equipo directivo que dará como resultado un aumento de los niveles de eficiencia y de servicio.</w:t>
      </w:r>
    </w:p>
    <w:p w:rsidR="00D73B21" w:rsidRPr="00463CD1" w:rsidRDefault="00D73B21" w:rsidP="000B01FE">
      <w:pPr>
        <w:widowControl w:val="0"/>
        <w:jc w:val="both"/>
        <w:rPr>
          <w:sz w:val="20"/>
        </w:rPr>
      </w:pPr>
    </w:p>
    <w:p w:rsidR="00D73B21" w:rsidRPr="006C0D68" w:rsidRDefault="00D73B21" w:rsidP="00D41E6A">
      <w:pPr>
        <w:pStyle w:val="ONUME"/>
        <w:widowControl w:val="0"/>
        <w:numPr>
          <w:ilvl w:val="0"/>
          <w:numId w:val="42"/>
        </w:numPr>
        <w:spacing w:after="0"/>
        <w:jc w:val="both"/>
        <w:rPr>
          <w:sz w:val="20"/>
        </w:rPr>
      </w:pPr>
      <w:r w:rsidRPr="006C0D68">
        <w:rPr>
          <w:sz w:val="20"/>
        </w:rPr>
        <w:t>Las actividades de los recursos humanos tambi</w:t>
      </w:r>
      <w:r>
        <w:rPr>
          <w:sz w:val="20"/>
        </w:rPr>
        <w:t xml:space="preserve">én serán racionalizadas mediante el </w:t>
      </w:r>
      <w:r w:rsidRPr="006C0D68">
        <w:rPr>
          <w:sz w:val="20"/>
        </w:rPr>
        <w:t xml:space="preserve">sistema de </w:t>
      </w:r>
      <w:r>
        <w:rPr>
          <w:sz w:val="20"/>
        </w:rPr>
        <w:t>planificación de los recursos institucionales.  Los</w:t>
      </w:r>
      <w:r w:rsidRPr="006C0D68">
        <w:rPr>
          <w:sz w:val="20"/>
        </w:rPr>
        <w:t xml:space="preserve"> módulos de recursos humanos y </w:t>
      </w:r>
      <w:r>
        <w:rPr>
          <w:sz w:val="20"/>
        </w:rPr>
        <w:t xml:space="preserve">de </w:t>
      </w:r>
      <w:r w:rsidRPr="006C0D68">
        <w:rPr>
          <w:sz w:val="20"/>
        </w:rPr>
        <w:t>nómina</w:t>
      </w:r>
      <w:r>
        <w:rPr>
          <w:sz w:val="20"/>
        </w:rPr>
        <w:t xml:space="preserve"> más importantes entrarán en servicio en octubre de 2013.  La formación que el personal recibirá acerca del nuevo sistema y sus instrumentos se llevará a cabo durante el transcurso del bienio, a medida que se vayan poniendo en práctica las nuevas funciones y capacidades durante las </w:t>
      </w:r>
      <w:r w:rsidRPr="00725C92">
        <w:rPr>
          <w:sz w:val="20"/>
        </w:rPr>
        <w:t>fases sucesivas</w:t>
      </w:r>
      <w:r>
        <w:rPr>
          <w:sz w:val="20"/>
        </w:rPr>
        <w:t xml:space="preserve"> del </w:t>
      </w:r>
      <w:r w:rsidRPr="00463CD1">
        <w:rPr>
          <w:sz w:val="20"/>
        </w:rPr>
        <w:t xml:space="preserve">proyecto </w:t>
      </w:r>
      <w:r>
        <w:rPr>
          <w:sz w:val="20"/>
        </w:rPr>
        <w:t xml:space="preserve">de </w:t>
      </w:r>
      <w:r w:rsidRPr="00463CD1">
        <w:rPr>
          <w:sz w:val="20"/>
        </w:rPr>
        <w:t>planificación de los recursos institucionales</w:t>
      </w:r>
      <w:r>
        <w:rPr>
          <w:sz w:val="20"/>
        </w:rPr>
        <w:t>.  Se prevé que esta iniciativa se traduzca en servicios</w:t>
      </w:r>
      <w:r w:rsidRPr="0081130A">
        <w:rPr>
          <w:sz w:val="20"/>
        </w:rPr>
        <w:t xml:space="preserve"> eficaces, eficientes, de</w:t>
      </w:r>
      <w:r>
        <w:rPr>
          <w:sz w:val="20"/>
        </w:rPr>
        <w:t xml:space="preserve"> mejor calidad y orientados al cliente.</w:t>
      </w:r>
    </w:p>
    <w:p w:rsidR="00D73B21" w:rsidRPr="006C0D68" w:rsidRDefault="00D73B21" w:rsidP="000B01FE">
      <w:pPr>
        <w:widowControl w:val="0"/>
        <w:jc w:val="both"/>
        <w:rPr>
          <w:sz w:val="20"/>
        </w:rPr>
      </w:pPr>
    </w:p>
    <w:p w:rsidR="00D73B21" w:rsidRPr="00BD416B" w:rsidRDefault="00D73B21" w:rsidP="00D41E6A">
      <w:pPr>
        <w:pStyle w:val="ONUME"/>
        <w:widowControl w:val="0"/>
        <w:numPr>
          <w:ilvl w:val="0"/>
          <w:numId w:val="42"/>
        </w:numPr>
        <w:spacing w:after="0"/>
        <w:jc w:val="both"/>
        <w:rPr>
          <w:sz w:val="20"/>
        </w:rPr>
      </w:pPr>
      <w:r>
        <w:rPr>
          <w:sz w:val="20"/>
        </w:rPr>
        <w:lastRenderedPageBreak/>
        <w:t>A raíz de</w:t>
      </w:r>
      <w:r w:rsidRPr="00BD416B">
        <w:rPr>
          <w:sz w:val="20"/>
        </w:rPr>
        <w:t xml:space="preserve"> una revisión interna realizada en 2013, se decidi</w:t>
      </w:r>
      <w:r>
        <w:rPr>
          <w:sz w:val="20"/>
        </w:rPr>
        <w:t>ó que la prestación de servicios médicos será reorientada para que se centre en la salud profesional.  Asimismo, se creará, en colaboración con las partes interesadas, un comité de pares que abordará la cuestión de la salud y la</w:t>
      </w:r>
      <w:r w:rsidRPr="005D700B">
        <w:rPr>
          <w:sz w:val="20"/>
        </w:rPr>
        <w:t xml:space="preserve"> seguridad</w:t>
      </w:r>
      <w:r>
        <w:rPr>
          <w:sz w:val="20"/>
        </w:rPr>
        <w:t xml:space="preserve"> del personal.  Tratar la cuestión del a</w:t>
      </w:r>
      <w:r w:rsidR="00425E19">
        <w:rPr>
          <w:sz w:val="20"/>
        </w:rPr>
        <w:t>b</w:t>
      </w:r>
      <w:r>
        <w:rPr>
          <w:sz w:val="20"/>
        </w:rPr>
        <w:t>sentismo</w:t>
      </w:r>
      <w:r w:rsidRPr="00080C0A">
        <w:rPr>
          <w:sz w:val="20"/>
        </w:rPr>
        <w:t xml:space="preserve"> laboral</w:t>
      </w:r>
      <w:r>
        <w:rPr>
          <w:sz w:val="20"/>
        </w:rPr>
        <w:t xml:space="preserve"> también será una prioridad en el próximo bienio.</w:t>
      </w:r>
    </w:p>
    <w:p w:rsidR="00D73B21" w:rsidRPr="00BD416B" w:rsidRDefault="00D73B21" w:rsidP="000B01FE">
      <w:pPr>
        <w:widowControl w:val="0"/>
        <w:jc w:val="both"/>
        <w:rPr>
          <w:sz w:val="20"/>
        </w:rPr>
      </w:pPr>
    </w:p>
    <w:p w:rsidR="00D73B21" w:rsidRPr="00797D55" w:rsidRDefault="00D73B21" w:rsidP="00D41E6A">
      <w:pPr>
        <w:pStyle w:val="ONUME"/>
        <w:widowControl w:val="0"/>
        <w:numPr>
          <w:ilvl w:val="0"/>
          <w:numId w:val="42"/>
        </w:numPr>
        <w:spacing w:after="0"/>
        <w:jc w:val="both"/>
        <w:rPr>
          <w:sz w:val="20"/>
        </w:rPr>
      </w:pPr>
      <w:r w:rsidRPr="00797D55">
        <w:rPr>
          <w:sz w:val="20"/>
        </w:rPr>
        <w:t xml:space="preserve">Las pólizas de seguro del personal (seguro </w:t>
      </w:r>
      <w:r w:rsidR="00425E19" w:rsidRPr="00797D55">
        <w:rPr>
          <w:sz w:val="20"/>
        </w:rPr>
        <w:t>médico</w:t>
      </w:r>
      <w:r w:rsidRPr="00797D55">
        <w:rPr>
          <w:sz w:val="20"/>
        </w:rPr>
        <w:t xml:space="preserve">, </w:t>
      </w:r>
      <w:r>
        <w:rPr>
          <w:sz w:val="20"/>
        </w:rPr>
        <w:t>seguro</w:t>
      </w:r>
      <w:r w:rsidRPr="00797D55">
        <w:rPr>
          <w:sz w:val="20"/>
        </w:rPr>
        <w:t xml:space="preserve"> de accidente</w:t>
      </w:r>
      <w:r w:rsidR="00425E19">
        <w:rPr>
          <w:sz w:val="20"/>
        </w:rPr>
        <w:t>s</w:t>
      </w:r>
      <w:r>
        <w:rPr>
          <w:sz w:val="20"/>
        </w:rPr>
        <w:t xml:space="preserve"> y</w:t>
      </w:r>
      <w:r w:rsidRPr="00797D55">
        <w:rPr>
          <w:sz w:val="20"/>
        </w:rPr>
        <w:t xml:space="preserve"> </w:t>
      </w:r>
      <w:r>
        <w:rPr>
          <w:sz w:val="20"/>
        </w:rPr>
        <w:t xml:space="preserve">seguro de vida) están sujetas a renovación en 2014.  A través de un </w:t>
      </w:r>
      <w:r w:rsidRPr="00797D55">
        <w:rPr>
          <w:sz w:val="20"/>
        </w:rPr>
        <w:t xml:space="preserve">proceso </w:t>
      </w:r>
      <w:r>
        <w:rPr>
          <w:sz w:val="20"/>
        </w:rPr>
        <w:t xml:space="preserve">competitivo </w:t>
      </w:r>
      <w:r w:rsidRPr="00797D55">
        <w:rPr>
          <w:sz w:val="20"/>
        </w:rPr>
        <w:t>de licitación</w:t>
      </w:r>
      <w:r>
        <w:rPr>
          <w:sz w:val="20"/>
        </w:rPr>
        <w:t xml:space="preserve">, se seleccionará uno o varios </w:t>
      </w:r>
      <w:r w:rsidRPr="00797D55">
        <w:rPr>
          <w:sz w:val="20"/>
        </w:rPr>
        <w:t>proveedores de servicios</w:t>
      </w:r>
      <w:r>
        <w:rPr>
          <w:sz w:val="20"/>
        </w:rPr>
        <w:t xml:space="preserve">.  Las pólizas nuevas o renovadas </w:t>
      </w:r>
      <w:r w:rsidRPr="001F6F93">
        <w:rPr>
          <w:sz w:val="20"/>
        </w:rPr>
        <w:t>entrarán en vigor</w:t>
      </w:r>
      <w:r>
        <w:rPr>
          <w:sz w:val="20"/>
        </w:rPr>
        <w:t xml:space="preserve"> en enero de 2015.</w:t>
      </w:r>
    </w:p>
    <w:p w:rsidR="00D73B21" w:rsidRPr="00797D55" w:rsidRDefault="00D73B21" w:rsidP="000B01FE">
      <w:pPr>
        <w:widowControl w:val="0"/>
        <w:jc w:val="both"/>
        <w:rPr>
          <w:sz w:val="20"/>
        </w:rPr>
      </w:pPr>
    </w:p>
    <w:p w:rsidR="00D73B21" w:rsidRPr="0079130E" w:rsidRDefault="00D73B21" w:rsidP="00D41E6A">
      <w:pPr>
        <w:pStyle w:val="ONUME"/>
        <w:widowControl w:val="0"/>
        <w:numPr>
          <w:ilvl w:val="0"/>
          <w:numId w:val="42"/>
        </w:numPr>
        <w:spacing w:after="0"/>
        <w:jc w:val="both"/>
        <w:rPr>
          <w:sz w:val="20"/>
        </w:rPr>
      </w:pPr>
      <w:r w:rsidRPr="0079130E">
        <w:rPr>
          <w:sz w:val="20"/>
        </w:rPr>
        <w:t xml:space="preserve">Las actividades de perfeccionamiento del personal </w:t>
      </w:r>
      <w:r>
        <w:rPr>
          <w:sz w:val="20"/>
        </w:rPr>
        <w:t>se centrarán en las necesidades fundamentales colectivas e individuales de capacitación para garantizar el logro de los objetivos individuales del personal y los resultados previstos de la Organización.  Se atribuirá particular importancia a la capacitación del personal directivo con el fin de fortalecer la capacidad de gestión de la Organización.  Dicha capacitación incluirá técnicas fundamentales de gestión (por ejemplo, “gestión de personal” y “gestión de proyectos”) y de comunicación que incluyen la gestión de conflictos y la gestión del tiempo.</w:t>
      </w:r>
    </w:p>
    <w:p w:rsidR="00D73B21" w:rsidRPr="005F0AE4" w:rsidRDefault="00D73B21" w:rsidP="000B01FE">
      <w:pPr>
        <w:pStyle w:val="ONUME"/>
        <w:numPr>
          <w:ilvl w:val="0"/>
          <w:numId w:val="0"/>
        </w:numPr>
        <w:spacing w:after="0"/>
        <w:jc w:val="both"/>
        <w:rPr>
          <w:sz w:val="20"/>
        </w:rPr>
      </w:pPr>
    </w:p>
    <w:p w:rsidR="00D73B21" w:rsidRPr="007645DA" w:rsidRDefault="00D73B21" w:rsidP="00D41E6A">
      <w:pPr>
        <w:pStyle w:val="ONUME"/>
        <w:widowControl w:val="0"/>
        <w:numPr>
          <w:ilvl w:val="0"/>
          <w:numId w:val="42"/>
        </w:numPr>
        <w:spacing w:after="0"/>
        <w:jc w:val="both"/>
        <w:rPr>
          <w:sz w:val="20"/>
        </w:rPr>
      </w:pPr>
      <w:r w:rsidRPr="007645DA">
        <w:rPr>
          <w:sz w:val="20"/>
        </w:rPr>
        <w:t xml:space="preserve">El Sistema de gestión del </w:t>
      </w:r>
      <w:r w:rsidR="00733234">
        <w:rPr>
          <w:sz w:val="20"/>
        </w:rPr>
        <w:t>desempeño</w:t>
      </w:r>
      <w:r w:rsidRPr="007645DA">
        <w:rPr>
          <w:sz w:val="20"/>
        </w:rPr>
        <w:t xml:space="preserve"> y perfeccionamiento del personal (PMSDS)</w:t>
      </w:r>
      <w:r>
        <w:rPr>
          <w:sz w:val="20"/>
        </w:rPr>
        <w:t xml:space="preserve"> fue perfeccionado en 2013.  En el próximo bienio, las actividades se centrarán en seguir integrando el </w:t>
      </w:r>
      <w:r w:rsidRPr="007645DA">
        <w:rPr>
          <w:sz w:val="20"/>
        </w:rPr>
        <w:t>PMSDS</w:t>
      </w:r>
      <w:r>
        <w:rPr>
          <w:sz w:val="20"/>
        </w:rPr>
        <w:t xml:space="preserve"> en los procesos y sistemas de recursos humanos de la OMPI.  Asimismo, se proporcionarán orientaciones adicionales al personal y al equipo directivo para garantizar que el rendimiento individual del personal se administre de manera coherente en toda la Organización.</w:t>
      </w:r>
    </w:p>
    <w:p w:rsidR="00D73B21" w:rsidRPr="007645DA" w:rsidRDefault="00D73B21" w:rsidP="000B01FE">
      <w:pPr>
        <w:jc w:val="both"/>
        <w:rPr>
          <w:sz w:val="20"/>
        </w:rPr>
      </w:pPr>
    </w:p>
    <w:p w:rsidR="00D73B21" w:rsidRPr="005530DD" w:rsidRDefault="00D73B21" w:rsidP="00D41E6A">
      <w:pPr>
        <w:pStyle w:val="ONUME"/>
        <w:numPr>
          <w:ilvl w:val="0"/>
          <w:numId w:val="42"/>
        </w:numPr>
        <w:spacing w:after="0"/>
        <w:jc w:val="both"/>
        <w:rPr>
          <w:sz w:val="20"/>
        </w:rPr>
      </w:pPr>
      <w:r>
        <w:rPr>
          <w:sz w:val="20"/>
        </w:rPr>
        <w:t xml:space="preserve">A raíz de la primera reforma completa del </w:t>
      </w:r>
      <w:r w:rsidRPr="002A1B9C">
        <w:rPr>
          <w:sz w:val="20"/>
        </w:rPr>
        <w:t>Estatuto y Reglamento</w:t>
      </w:r>
      <w:r>
        <w:rPr>
          <w:sz w:val="20"/>
        </w:rPr>
        <w:t xml:space="preserve"> </w:t>
      </w:r>
      <w:r w:rsidRPr="002A1B9C">
        <w:rPr>
          <w:sz w:val="20"/>
        </w:rPr>
        <w:t>del Personal</w:t>
      </w:r>
      <w:r>
        <w:rPr>
          <w:sz w:val="20"/>
        </w:rPr>
        <w:t xml:space="preserve"> en más de 20 años en 2012, se continuará realizando los ajustes necesarios al mismo para garantizar que el marco reglamentario sea claro, moderno, actual y en consonancia con</w:t>
      </w:r>
      <w:r w:rsidRPr="00F738E6">
        <w:rPr>
          <w:sz w:val="20"/>
        </w:rPr>
        <w:t xml:space="preserve"> las prácticas óptimas </w:t>
      </w:r>
      <w:r>
        <w:rPr>
          <w:sz w:val="20"/>
        </w:rPr>
        <w:t>del sistema común de las NN.UU.</w:t>
      </w:r>
    </w:p>
    <w:p w:rsidR="00D73B21" w:rsidRPr="005530DD" w:rsidRDefault="00D73B21" w:rsidP="000B01FE">
      <w:pPr>
        <w:jc w:val="both"/>
        <w:rPr>
          <w:sz w:val="20"/>
        </w:rPr>
      </w:pPr>
    </w:p>
    <w:p w:rsidR="00D73B21" w:rsidRPr="00F05E43" w:rsidRDefault="00D73B21" w:rsidP="00D41E6A">
      <w:pPr>
        <w:pStyle w:val="ONUME"/>
        <w:numPr>
          <w:ilvl w:val="0"/>
          <w:numId w:val="42"/>
        </w:numPr>
        <w:spacing w:after="0"/>
        <w:jc w:val="both"/>
        <w:rPr>
          <w:sz w:val="20"/>
        </w:rPr>
      </w:pPr>
      <w:r>
        <w:rPr>
          <w:sz w:val="20"/>
        </w:rPr>
        <w:t xml:space="preserve">Una vez que el </w:t>
      </w:r>
      <w:r w:rsidRPr="00F05E43">
        <w:rPr>
          <w:sz w:val="20"/>
        </w:rPr>
        <w:t>Comité de Coordinación</w:t>
      </w:r>
      <w:r>
        <w:rPr>
          <w:sz w:val="20"/>
        </w:rPr>
        <w:t xml:space="preserve"> haya procedido a la esperada</w:t>
      </w:r>
      <w:r w:rsidRPr="00F05E43">
        <w:rPr>
          <w:sz w:val="20"/>
        </w:rPr>
        <w:t xml:space="preserve"> aprobación </w:t>
      </w:r>
      <w:r>
        <w:rPr>
          <w:sz w:val="20"/>
        </w:rPr>
        <w:t>de la revisión del</w:t>
      </w:r>
      <w:r w:rsidRPr="00F05E43">
        <w:rPr>
          <w:sz w:val="20"/>
        </w:rPr>
        <w:t xml:space="preserve"> </w:t>
      </w:r>
      <w:r w:rsidRPr="002A1B9C">
        <w:rPr>
          <w:sz w:val="20"/>
        </w:rPr>
        <w:t>Estatuto y Reglamento</w:t>
      </w:r>
      <w:r>
        <w:rPr>
          <w:sz w:val="20"/>
        </w:rPr>
        <w:t xml:space="preserve"> </w:t>
      </w:r>
      <w:r w:rsidRPr="002A1B9C">
        <w:rPr>
          <w:sz w:val="20"/>
        </w:rPr>
        <w:t>del Personal</w:t>
      </w:r>
      <w:r>
        <w:rPr>
          <w:sz w:val="20"/>
        </w:rPr>
        <w:t xml:space="preserve">, en relación con el </w:t>
      </w:r>
      <w:r w:rsidRPr="00F05E43">
        <w:rPr>
          <w:sz w:val="20"/>
        </w:rPr>
        <w:t>sistema interno de justicia</w:t>
      </w:r>
      <w:r>
        <w:rPr>
          <w:sz w:val="20"/>
        </w:rPr>
        <w:t xml:space="preserve">, </w:t>
      </w:r>
      <w:r w:rsidRPr="00F05E43">
        <w:rPr>
          <w:sz w:val="20"/>
        </w:rPr>
        <w:t>en octubre</w:t>
      </w:r>
      <w:r>
        <w:rPr>
          <w:sz w:val="20"/>
        </w:rPr>
        <w:t xml:space="preserve"> de</w:t>
      </w:r>
      <w:r w:rsidR="00425E19">
        <w:rPr>
          <w:sz w:val="20"/>
        </w:rPr>
        <w:t> </w:t>
      </w:r>
      <w:r>
        <w:rPr>
          <w:sz w:val="20"/>
        </w:rPr>
        <w:t>2013, se elaborará y se pondrá en práctica un nuevo marco político, se emprenderán cambios estructurales y se desarrollaran sistemas electrónicos para apoyar su aplicación.  Las revisiones propuestas atribuyen particular importancia a los procedimientos de justicia interna simplificados y al fortalecimiento de los mecanismos de resolución informal de conflictos como la mediación.</w:t>
      </w:r>
    </w:p>
    <w:p w:rsidR="00D73B21" w:rsidRPr="00F05E43" w:rsidRDefault="00D73B21" w:rsidP="000B01FE">
      <w:pPr>
        <w:jc w:val="both"/>
        <w:rPr>
          <w:sz w:val="20"/>
        </w:rPr>
      </w:pPr>
    </w:p>
    <w:p w:rsidR="00D73B21" w:rsidRPr="001F5841" w:rsidRDefault="00D73B21" w:rsidP="00D41E6A">
      <w:pPr>
        <w:pStyle w:val="ONUME"/>
        <w:numPr>
          <w:ilvl w:val="0"/>
          <w:numId w:val="42"/>
        </w:numPr>
        <w:spacing w:after="0"/>
        <w:jc w:val="both"/>
        <w:rPr>
          <w:sz w:val="20"/>
        </w:rPr>
      </w:pPr>
      <w:r w:rsidRPr="00AF4771">
        <w:rPr>
          <w:sz w:val="20"/>
        </w:rPr>
        <w:t>Dura</w:t>
      </w:r>
      <w:r>
        <w:rPr>
          <w:sz w:val="20"/>
        </w:rPr>
        <w:t xml:space="preserve">nte el bienio 2012/13 entró en vigor </w:t>
      </w:r>
      <w:r w:rsidRPr="00AF4771">
        <w:rPr>
          <w:sz w:val="20"/>
        </w:rPr>
        <w:t>el marco contractual</w:t>
      </w:r>
      <w:r>
        <w:rPr>
          <w:sz w:val="20"/>
        </w:rPr>
        <w:t xml:space="preserve"> revisado para los miembros del personal.  En el próximo bienio, s</w:t>
      </w:r>
      <w:r w:rsidRPr="001F5841">
        <w:rPr>
          <w:sz w:val="20"/>
        </w:rPr>
        <w:t>e prestará especial atención</w:t>
      </w:r>
      <w:r>
        <w:rPr>
          <w:sz w:val="20"/>
        </w:rPr>
        <w:t xml:space="preserve"> a la elaboración y puesta en práctica de políticas sobre los contratos externos </w:t>
      </w:r>
      <w:r w:rsidRPr="001F5841">
        <w:rPr>
          <w:sz w:val="20"/>
        </w:rPr>
        <w:t xml:space="preserve">teniendo debidamente </w:t>
      </w:r>
      <w:r>
        <w:rPr>
          <w:sz w:val="20"/>
        </w:rPr>
        <w:t>en cuenta la recomendación</w:t>
      </w:r>
      <w:r w:rsidRPr="001F5841">
        <w:rPr>
          <w:sz w:val="20"/>
        </w:rPr>
        <w:t xml:space="preserve"> 6</w:t>
      </w:r>
      <w:r>
        <w:rPr>
          <w:sz w:val="20"/>
        </w:rPr>
        <w:t xml:space="preserve"> </w:t>
      </w:r>
      <w:r w:rsidRPr="001F5841">
        <w:rPr>
          <w:sz w:val="20"/>
        </w:rPr>
        <w:t>de la Agenda para el Desarrollo</w:t>
      </w:r>
      <w:r>
        <w:rPr>
          <w:sz w:val="20"/>
        </w:rPr>
        <w:t>.</w:t>
      </w:r>
    </w:p>
    <w:p w:rsidR="00D73B21" w:rsidRPr="00AF4771" w:rsidRDefault="00D73B21" w:rsidP="000B01FE">
      <w:pPr>
        <w:jc w:val="both"/>
        <w:rPr>
          <w:sz w:val="20"/>
        </w:rPr>
      </w:pPr>
    </w:p>
    <w:p w:rsidR="00D73B21" w:rsidRPr="00A9735A" w:rsidRDefault="00D73B21" w:rsidP="00D41E6A">
      <w:pPr>
        <w:pStyle w:val="ONUME"/>
        <w:numPr>
          <w:ilvl w:val="0"/>
          <w:numId w:val="42"/>
        </w:numPr>
        <w:spacing w:after="0"/>
        <w:jc w:val="both"/>
        <w:rPr>
          <w:sz w:val="20"/>
        </w:rPr>
      </w:pPr>
      <w:r w:rsidRPr="00A9735A">
        <w:rPr>
          <w:sz w:val="20"/>
        </w:rPr>
        <w:t xml:space="preserve">En 2012 se realizó un examen del marco </w:t>
      </w:r>
      <w:r w:rsidR="00425E19">
        <w:rPr>
          <w:sz w:val="20"/>
        </w:rPr>
        <w:t>reglamentario</w:t>
      </w:r>
      <w:r>
        <w:rPr>
          <w:sz w:val="20"/>
        </w:rPr>
        <w:t xml:space="preserve"> mediante </w:t>
      </w:r>
      <w:r w:rsidRPr="00A9735A">
        <w:rPr>
          <w:sz w:val="20"/>
        </w:rPr>
        <w:t>órdenes de servicio</w:t>
      </w:r>
      <w:r>
        <w:rPr>
          <w:sz w:val="20"/>
        </w:rPr>
        <w:t xml:space="preserve"> que se tradujo en informaciones más accesibles y coherentes sobre los recursos humanos y en directrices para el personal y los directivos.  Esta iniciativa seguirá aplicándose durante el próximo bienio para mejorar la coherencia y la accesibilidad a todos los tipos de información relacionada con los recursos humanos.</w:t>
      </w:r>
    </w:p>
    <w:p w:rsidR="009E2FC0" w:rsidRDefault="009E2FC0" w:rsidP="009F58E5">
      <w:pPr>
        <w:jc w:val="both"/>
      </w:pPr>
    </w:p>
    <w:p w:rsidR="000B01FE" w:rsidRPr="00D73B21" w:rsidRDefault="000B01FE" w:rsidP="009F58E5">
      <w:pPr>
        <w:jc w:val="both"/>
      </w:pPr>
    </w:p>
    <w:p w:rsidR="009F58E5" w:rsidRPr="00994766" w:rsidRDefault="009F58E5" w:rsidP="009F58E5">
      <w:pPr>
        <w:jc w:val="both"/>
        <w:rPr>
          <w:lang w:val="es-ES_tradnl"/>
        </w:rPr>
      </w:pPr>
      <w:r w:rsidRPr="00994766">
        <w:rPr>
          <w:lang w:val="es-ES_tradnl"/>
        </w:rPr>
        <w:t>PRINCIPALES RIESGOS Y ESTRATEGIAS DE MITIGACIÓN</w:t>
      </w:r>
    </w:p>
    <w:p w:rsidR="009F58E5" w:rsidRPr="00994766" w:rsidRDefault="009F58E5" w:rsidP="009F58E5">
      <w:pPr>
        <w:rPr>
          <w:szCs w:val="22"/>
          <w:lang w:val="es-ES_tradnl"/>
        </w:rPr>
      </w:pPr>
    </w:p>
    <w:tbl>
      <w:tblPr>
        <w:tblW w:w="0" w:type="auto"/>
        <w:jc w:val="center"/>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53"/>
        <w:gridCol w:w="4615"/>
      </w:tblGrid>
      <w:tr w:rsidR="009F58E5" w:rsidRPr="00D41E6A" w:rsidTr="00B258CE">
        <w:trPr>
          <w:trHeight w:val="638"/>
          <w:jc w:val="center"/>
        </w:trPr>
        <w:tc>
          <w:tcPr>
            <w:tcW w:w="4653" w:type="dxa"/>
            <w:tcBorders>
              <w:top w:val="single" w:sz="4" w:space="0" w:color="auto"/>
              <w:bottom w:val="single" w:sz="4" w:space="0" w:color="auto"/>
            </w:tcBorders>
            <w:shd w:val="clear" w:color="auto" w:fill="CCFFFF"/>
            <w:vAlign w:val="center"/>
          </w:tcPr>
          <w:p w:rsidR="009F58E5" w:rsidRPr="00D41E6A" w:rsidRDefault="009F58E5" w:rsidP="008F4F69">
            <w:pPr>
              <w:autoSpaceDE w:val="0"/>
              <w:autoSpaceDN w:val="0"/>
              <w:adjustRightInd w:val="0"/>
              <w:ind w:right="-59"/>
              <w:jc w:val="center"/>
              <w:rPr>
                <w:b/>
                <w:bCs/>
                <w:iCs/>
                <w:color w:val="000000"/>
                <w:sz w:val="18"/>
                <w:szCs w:val="18"/>
                <w:lang w:val="es-ES_tradnl"/>
              </w:rPr>
            </w:pPr>
            <w:r w:rsidRPr="00D41E6A">
              <w:rPr>
                <w:b/>
                <w:bCs/>
                <w:iCs/>
                <w:color w:val="000000"/>
                <w:sz w:val="18"/>
                <w:szCs w:val="18"/>
                <w:lang w:val="es-ES_tradnl"/>
              </w:rPr>
              <w:t>Riesgos en el logro de los resultados del programa</w:t>
            </w:r>
          </w:p>
        </w:tc>
        <w:tc>
          <w:tcPr>
            <w:tcW w:w="4615" w:type="dxa"/>
            <w:tcBorders>
              <w:top w:val="single" w:sz="4" w:space="0" w:color="auto"/>
              <w:bottom w:val="single" w:sz="4" w:space="0" w:color="auto"/>
            </w:tcBorders>
            <w:shd w:val="clear" w:color="auto" w:fill="CCFFFF"/>
            <w:vAlign w:val="center"/>
          </w:tcPr>
          <w:p w:rsidR="009F58E5" w:rsidRPr="00D41E6A" w:rsidRDefault="009F58E5" w:rsidP="008F4F69">
            <w:pPr>
              <w:autoSpaceDE w:val="0"/>
              <w:autoSpaceDN w:val="0"/>
              <w:adjustRightInd w:val="0"/>
              <w:ind w:right="-59"/>
              <w:jc w:val="center"/>
              <w:rPr>
                <w:b/>
                <w:bCs/>
                <w:iCs/>
                <w:color w:val="000000"/>
                <w:sz w:val="18"/>
                <w:szCs w:val="18"/>
                <w:lang w:val="es-ES_tradnl"/>
              </w:rPr>
            </w:pPr>
            <w:r w:rsidRPr="00D41E6A">
              <w:rPr>
                <w:b/>
                <w:bCs/>
                <w:iCs/>
                <w:color w:val="000000"/>
                <w:sz w:val="18"/>
                <w:szCs w:val="18"/>
                <w:lang w:val="es-ES_tradnl"/>
              </w:rPr>
              <w:t xml:space="preserve">Planes de mitigación ejecutados o en ejecución </w:t>
            </w:r>
          </w:p>
        </w:tc>
      </w:tr>
      <w:tr w:rsidR="009F58E5" w:rsidRPr="00994766" w:rsidTr="00B258CE">
        <w:trPr>
          <w:trHeight w:val="1320"/>
          <w:jc w:val="center"/>
        </w:trPr>
        <w:tc>
          <w:tcPr>
            <w:tcW w:w="4653" w:type="dxa"/>
            <w:tcBorders>
              <w:top w:val="single" w:sz="4" w:space="0" w:color="auto"/>
            </w:tcBorders>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t>La rápida evolución del entorno externo que exige nuevos procedimientos, capacidades y soluciones de T.I. podría dar lugar a desajustes de plantilla en sectores esenciales de la OMPI.  Esto podría acarrear costos elevados de contratación de personal temporero, deficiencias en los procedimientos, retrasos en sectores esenciales y el menoscabo de la reputación de la OMPI.</w:t>
            </w:r>
          </w:p>
        </w:tc>
        <w:tc>
          <w:tcPr>
            <w:tcW w:w="4615" w:type="dxa"/>
            <w:tcBorders>
              <w:top w:val="single" w:sz="4" w:space="0" w:color="auto"/>
            </w:tcBorders>
            <w:shd w:val="clear" w:color="auto" w:fill="auto"/>
            <w:tcMar>
              <w:top w:w="113" w:type="dxa"/>
              <w:bottom w:w="85" w:type="dxa"/>
            </w:tcMar>
          </w:tcPr>
          <w:p w:rsidR="009F58E5" w:rsidRPr="00994766" w:rsidRDefault="009F58E5" w:rsidP="002058AB">
            <w:pPr>
              <w:autoSpaceDE w:val="0"/>
              <w:autoSpaceDN w:val="0"/>
              <w:adjustRightInd w:val="0"/>
              <w:ind w:right="-59"/>
              <w:rPr>
                <w:sz w:val="16"/>
                <w:szCs w:val="16"/>
                <w:lang w:val="es-ES_tradnl"/>
              </w:rPr>
            </w:pPr>
            <w:r w:rsidRPr="00994766">
              <w:rPr>
                <w:sz w:val="16"/>
                <w:szCs w:val="16"/>
                <w:lang w:val="es-ES_tradnl"/>
              </w:rPr>
              <w:t xml:space="preserve">Desarrollo gradual de una plantilla flexible que responda más adecuadamente a las necesidades, dotada de una estructura capaz de responder a las fluctuaciones en la demanda;  labor detallada de análisis y evaluación de las necesidades en cuanto a las capacidades y la solidez de la plantilla, acompañada de planes de ejecución entre los que figuren la reasignación </w:t>
            </w:r>
            <w:r w:rsidR="002058AB">
              <w:rPr>
                <w:sz w:val="16"/>
                <w:szCs w:val="16"/>
                <w:lang w:val="es-ES_tradnl"/>
              </w:rPr>
              <w:t>y</w:t>
            </w:r>
            <w:r w:rsidRPr="00994766">
              <w:rPr>
                <w:sz w:val="16"/>
                <w:szCs w:val="16"/>
                <w:lang w:val="es-ES_tradnl"/>
              </w:rPr>
              <w:t xml:space="preserve"> la formación adecuada del personal, la </w:t>
            </w:r>
            <w:r w:rsidRPr="00994766">
              <w:rPr>
                <w:sz w:val="16"/>
                <w:szCs w:val="16"/>
                <w:lang w:val="es-ES_tradnl"/>
              </w:rPr>
              <w:lastRenderedPageBreak/>
              <w:t>contratación de personal especializado para desempeñar labores esenciales y la subcontratación.</w:t>
            </w:r>
          </w:p>
        </w:tc>
      </w:tr>
      <w:tr w:rsidR="009F58E5" w:rsidRPr="00994766" w:rsidTr="00B258CE">
        <w:trPr>
          <w:trHeight w:val="1049"/>
          <w:jc w:val="center"/>
        </w:trPr>
        <w:tc>
          <w:tcPr>
            <w:tcW w:w="4653" w:type="dxa"/>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lastRenderedPageBreak/>
              <w:t xml:space="preserve">Las nuevas funciones ejecutadas durante la aplicación del PRI podrían ocasionar trastornos en los servicios a medida que el personal se familiariza con los nuevos procedimientos.  Si en la ejecución no se lleva a cabo una labor suficiente de examen y reestructuración de los procedimientos, el </w:t>
            </w:r>
            <w:r w:rsidRPr="00994766">
              <w:rPr>
                <w:snapToGrid w:val="0"/>
                <w:sz w:val="16"/>
                <w:szCs w:val="16"/>
                <w:lang w:val="es-ES_tradnl"/>
              </w:rPr>
              <w:t>proyecto podría reducirse fundamentalmente a la sustitución de las antiguas aplicaciones de los sistemas.</w:t>
            </w:r>
          </w:p>
        </w:tc>
        <w:tc>
          <w:tcPr>
            <w:tcW w:w="4615" w:type="dxa"/>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t xml:space="preserve">Formación minuciosa del personal y de los usuarios de los servicios de recursos humanos, planes de comunicación periódicos, estrecha supervisión de los avances del equipo del </w:t>
            </w:r>
            <w:r w:rsidRPr="00994766">
              <w:rPr>
                <w:snapToGrid w:val="0"/>
                <w:sz w:val="16"/>
                <w:szCs w:val="16"/>
                <w:lang w:val="es-ES_tradnl"/>
              </w:rPr>
              <w:t>proyecto de PRI y alerta rápida de las esferas problemáticas que han de gestionarse.  Mejora constante de los procedimientos como parte de la configuración y el desarrollo de la solución técnica</w:t>
            </w:r>
            <w:r w:rsidRPr="00994766">
              <w:rPr>
                <w:sz w:val="16"/>
                <w:szCs w:val="16"/>
                <w:lang w:val="es-ES_tradnl"/>
              </w:rPr>
              <w:t xml:space="preserve">. </w:t>
            </w:r>
          </w:p>
        </w:tc>
      </w:tr>
    </w:tbl>
    <w:p w:rsidR="009F58E5" w:rsidRPr="00994766" w:rsidRDefault="009F58E5" w:rsidP="009F58E5">
      <w:pPr>
        <w:autoSpaceDE w:val="0"/>
        <w:autoSpaceDN w:val="0"/>
        <w:adjustRightInd w:val="0"/>
        <w:jc w:val="both"/>
        <w:rPr>
          <w:szCs w:val="22"/>
          <w:lang w:val="es-ES_tradnl"/>
        </w:rPr>
      </w:pPr>
    </w:p>
    <w:p w:rsidR="009F58E5" w:rsidRPr="00C75C7E" w:rsidRDefault="009F58E5" w:rsidP="009F58E5">
      <w:pPr>
        <w:autoSpaceDE w:val="0"/>
        <w:autoSpaceDN w:val="0"/>
        <w:adjustRightInd w:val="0"/>
        <w:jc w:val="both"/>
        <w:rPr>
          <w:szCs w:val="22"/>
          <w:highlight w:val="yellow"/>
          <w:lang w:val="es-ES_tradnl"/>
        </w:rPr>
      </w:pPr>
    </w:p>
    <w:p w:rsidR="009F58E5" w:rsidRPr="00C75C7E" w:rsidRDefault="009F58E5" w:rsidP="009F58E5">
      <w:pPr>
        <w:autoSpaceDE w:val="0"/>
        <w:autoSpaceDN w:val="0"/>
        <w:adjustRightInd w:val="0"/>
        <w:jc w:val="both"/>
        <w:rPr>
          <w:szCs w:val="22"/>
          <w:lang w:val="es-ES_tradnl"/>
        </w:rPr>
      </w:pPr>
      <w:r w:rsidRPr="00C75C7E">
        <w:rPr>
          <w:szCs w:val="22"/>
          <w:lang w:val="es-ES_tradnl"/>
        </w:rPr>
        <w:t xml:space="preserve">MARCO DE RESULTADOS </w:t>
      </w:r>
    </w:p>
    <w:p w:rsidR="009F58E5" w:rsidRPr="00C75C7E" w:rsidRDefault="009F58E5" w:rsidP="009F58E5">
      <w:pPr>
        <w:autoSpaceDE w:val="0"/>
        <w:autoSpaceDN w:val="0"/>
        <w:adjustRightInd w:val="0"/>
        <w:jc w:val="both"/>
        <w:rPr>
          <w:szCs w:val="22"/>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9F58E5" w:rsidRPr="00C75C7E" w:rsidTr="008F4F69">
        <w:trPr>
          <w:cantSplit/>
          <w:trHeight w:val="425"/>
          <w:tblHeader/>
        </w:trPr>
        <w:tc>
          <w:tcPr>
            <w:tcW w:w="1249"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462"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Indicadores de rendimiento</w:t>
            </w:r>
          </w:p>
        </w:tc>
        <w:tc>
          <w:tcPr>
            <w:tcW w:w="1145"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ind w:left="85"/>
              <w:jc w:val="center"/>
              <w:rPr>
                <w:b/>
                <w:bCs/>
                <w:sz w:val="18"/>
                <w:szCs w:val="18"/>
                <w:lang w:val="es-ES_tradnl"/>
              </w:rPr>
            </w:pPr>
            <w:r w:rsidRPr="00C75C7E">
              <w:rPr>
                <w:b/>
                <w:bCs/>
                <w:sz w:val="18"/>
                <w:szCs w:val="18"/>
                <w:lang w:val="es-ES_tradnl"/>
              </w:rPr>
              <w:t>Referencia</w:t>
            </w:r>
          </w:p>
        </w:tc>
        <w:tc>
          <w:tcPr>
            <w:tcW w:w="1144"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keepNext/>
              <w:keepLines/>
              <w:spacing w:after="120"/>
              <w:ind w:right="111"/>
              <w:jc w:val="center"/>
              <w:rPr>
                <w:b/>
                <w:bCs/>
                <w:sz w:val="18"/>
                <w:szCs w:val="18"/>
                <w:lang w:val="es-ES_tradnl"/>
              </w:rPr>
            </w:pPr>
            <w:r w:rsidRPr="00C75C7E">
              <w:rPr>
                <w:b/>
                <w:bCs/>
                <w:sz w:val="18"/>
                <w:szCs w:val="18"/>
                <w:lang w:val="es-ES_tradnl"/>
              </w:rPr>
              <w:t>Objetivos</w:t>
            </w:r>
          </w:p>
        </w:tc>
      </w:tr>
      <w:tr w:rsidR="009F58E5" w:rsidRPr="00C75C7E" w:rsidTr="008F4F69">
        <w:trPr>
          <w:cantSplit/>
        </w:trPr>
        <w:tc>
          <w:tcPr>
            <w:tcW w:w="1249" w:type="pct"/>
            <w:vMerge w:val="restar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IX.1   Servicios de </w:t>
            </w:r>
            <w:proofErr w:type="gramStart"/>
            <w:r w:rsidRPr="00C75C7E">
              <w:rPr>
                <w:sz w:val="16"/>
                <w:szCs w:val="16"/>
                <w:lang w:val="es-ES_tradnl"/>
              </w:rPr>
              <w:t>apoyo eficaces, eficientes, de calidad y orientados</w:t>
            </w:r>
            <w:proofErr w:type="gramEnd"/>
            <w:r w:rsidRPr="00C75C7E">
              <w:rPr>
                <w:sz w:val="16"/>
                <w:szCs w:val="16"/>
                <w:lang w:val="es-ES_tradnl"/>
              </w:rPr>
              <w:t xml:space="preserve"> al cliente, tanto a los clientes internos como a las partes interesadas externas.</w:t>
            </w:r>
          </w:p>
        </w:tc>
        <w:tc>
          <w:tcPr>
            <w:tcW w:w="1462" w:type="pct"/>
            <w:tcBorders>
              <w:top w:val="single" w:sz="4" w:space="0" w:color="auto"/>
            </w:tcBorders>
            <w:shd w:val="clear" w:color="auto" w:fill="auto"/>
            <w:tcMar>
              <w:top w:w="113" w:type="dxa"/>
            </w:tcMar>
          </w:tcPr>
          <w:p w:rsidR="009F58E5" w:rsidRPr="00C75C7E" w:rsidRDefault="009F58E5" w:rsidP="008F4F69">
            <w:pPr>
              <w:rPr>
                <w:bCs/>
                <w:sz w:val="16"/>
                <w:szCs w:val="16"/>
                <w:lang w:val="es-ES_tradnl"/>
              </w:rPr>
            </w:pPr>
            <w:r w:rsidRPr="00C75C7E">
              <w:rPr>
                <w:bCs/>
                <w:sz w:val="16"/>
                <w:szCs w:val="16"/>
                <w:lang w:val="es-ES_tradnl"/>
              </w:rPr>
              <w:t>Porcentaje de miembros del personal satisfechos de los servicios de recursos humanos.</w:t>
            </w:r>
          </w:p>
        </w:tc>
        <w:tc>
          <w:tcPr>
            <w:tcW w:w="1145" w:type="pct"/>
            <w:tcBorders>
              <w:top w:val="single" w:sz="4" w:space="0" w:color="auto"/>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Muy satisfechos: 31.2% Satisfechos: 48.8% Insatisfechos: 17.1% Muy insatisfechos: 2.9%</w:t>
            </w:r>
          </w:p>
        </w:tc>
        <w:tc>
          <w:tcPr>
            <w:tcW w:w="1144" w:type="pct"/>
            <w:tcBorders>
              <w:top w:val="single" w:sz="4" w:space="0" w:color="auto"/>
            </w:tcBorders>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85 % muy satisfechos o satisfechos.</w:t>
            </w:r>
          </w:p>
        </w:tc>
      </w:tr>
      <w:tr w:rsidR="009F58E5" w:rsidRPr="00C75C7E" w:rsidTr="008F4F69">
        <w:trPr>
          <w:cantSplit/>
          <w:trHeight w:val="623"/>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Prestación puntual, precisa y eficaz de servicios de operaciones en materia de recursos humanos.</w:t>
            </w:r>
          </w:p>
        </w:tc>
        <w:tc>
          <w:tcPr>
            <w:tcW w:w="1145"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Siete días laborables.</w:t>
            </w:r>
          </w:p>
        </w:tc>
        <w:tc>
          <w:tcPr>
            <w:tcW w:w="1144" w:type="pct"/>
            <w:shd w:val="clear" w:color="auto" w:fill="auto"/>
            <w:tcMar>
              <w:top w:w="113" w:type="dxa"/>
            </w:tcMar>
          </w:tcPr>
          <w:p w:rsidR="009F58E5" w:rsidRPr="00C75C7E" w:rsidRDefault="009F58E5" w:rsidP="008F4F69">
            <w:pPr>
              <w:keepNext/>
              <w:keepLines/>
              <w:tabs>
                <w:tab w:val="left" w:pos="2051"/>
              </w:tabs>
              <w:ind w:right="221"/>
              <w:rPr>
                <w:bCs/>
                <w:sz w:val="16"/>
                <w:szCs w:val="16"/>
                <w:lang w:val="es-ES_tradnl"/>
              </w:rPr>
            </w:pPr>
            <w:r w:rsidRPr="00C75C7E">
              <w:rPr>
                <w:bCs/>
                <w:sz w:val="16"/>
                <w:szCs w:val="16"/>
                <w:lang w:val="es-ES_tradnl"/>
              </w:rPr>
              <w:t>Cinco días laborables.</w:t>
            </w:r>
          </w:p>
        </w:tc>
      </w:tr>
      <w:tr w:rsidR="009F58E5" w:rsidRPr="00C75C7E" w:rsidTr="008F4F69">
        <w:trPr>
          <w:cantSplit/>
          <w:trHeight w:val="1334"/>
        </w:trPr>
        <w:tc>
          <w:tcPr>
            <w:tcW w:w="1249"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IX.2 Funcionamiento sin contratiempos de la Secretaría, provista de un personal bien dirigido, dotado de </w:t>
            </w:r>
            <w:proofErr w:type="gramStart"/>
            <w:r w:rsidRPr="00C75C7E">
              <w:rPr>
                <w:sz w:val="16"/>
                <w:szCs w:val="16"/>
                <w:lang w:val="es-ES_tradnl"/>
              </w:rPr>
              <w:t>las competencias adecuadas y capaz</w:t>
            </w:r>
            <w:proofErr w:type="gramEnd"/>
            <w:r w:rsidRPr="00C75C7E">
              <w:rPr>
                <w:sz w:val="16"/>
                <w:szCs w:val="16"/>
                <w:lang w:val="es-ES_tradnl"/>
              </w:rPr>
              <w:t xml:space="preserve"> de conseguir resultados.</w:t>
            </w: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Duración del proceso de contratación.</w:t>
            </w:r>
          </w:p>
        </w:tc>
        <w:tc>
          <w:tcPr>
            <w:tcW w:w="1145"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21 semanas.</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19 semanas.</w:t>
            </w:r>
          </w:p>
        </w:tc>
      </w:tr>
      <w:tr w:rsidR="009F58E5" w:rsidRPr="00C75C7E" w:rsidTr="008F4F69">
        <w:trPr>
          <w:cantSplit/>
          <w:trHeight w:val="685"/>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dependencias de la Organización cuyos planes de recursos humanos están vinculados a los planes de trabajo anuales.</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Por determinar.</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70%</w:t>
            </w:r>
          </w:p>
        </w:tc>
      </w:tr>
      <w:tr w:rsidR="009F58E5" w:rsidRPr="00C75C7E" w:rsidTr="008F4F69">
        <w:trPr>
          <w:cantSplit/>
          <w:trHeight w:val="606"/>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miembros del personal recién contratados que satisfacen las necesidades de la Organización.</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Por determinar.</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80% de rendimiento satisfactorio después del período de prueba.</w:t>
            </w:r>
          </w:p>
        </w:tc>
      </w:tr>
      <w:tr w:rsidR="009F58E5" w:rsidRPr="00C75C7E" w:rsidTr="008F4F69">
        <w:trPr>
          <w:cantSplit/>
          <w:trHeight w:val="778"/>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miembros del personal cuyo desempeño se evalúa en función de objetivos y competencias específicos.</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81% (2012).</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90%</w:t>
            </w:r>
          </w:p>
        </w:tc>
      </w:tr>
      <w:tr w:rsidR="009F58E5" w:rsidRPr="00C75C7E" w:rsidTr="008F4F69">
        <w:trPr>
          <w:cantSplit/>
          <w:trHeight w:val="151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necesidades de formación esenciales que se han satisfecho a nivel individual y colectivo.</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rPr>
              <w:t>No hay ninguna evaluación (disponible a finales de 2013).</w:t>
            </w:r>
          </w:p>
        </w:tc>
        <w:tc>
          <w:tcPr>
            <w:tcW w:w="1144" w:type="pct"/>
            <w:shd w:val="clear" w:color="auto" w:fill="auto"/>
            <w:tcMar>
              <w:top w:w="113" w:type="dxa"/>
            </w:tcMar>
          </w:tcPr>
          <w:p w:rsidR="00B258CE" w:rsidRDefault="009F58E5" w:rsidP="00B258CE">
            <w:pPr>
              <w:keepNext/>
              <w:keepLines/>
              <w:ind w:right="221"/>
              <w:rPr>
                <w:sz w:val="16"/>
                <w:szCs w:val="16"/>
                <w:lang w:val="es-ES_tradnl"/>
              </w:rPr>
            </w:pPr>
            <w:r w:rsidRPr="00C75C7E">
              <w:rPr>
                <w:sz w:val="16"/>
                <w:szCs w:val="16"/>
                <w:lang w:val="es-ES_tradnl"/>
              </w:rPr>
              <w:t>Necesidades de formación esenciales satisfechas a nivel individual</w:t>
            </w:r>
            <w:proofErr w:type="gramStart"/>
            <w:r w:rsidRPr="00C75C7E">
              <w:rPr>
                <w:sz w:val="16"/>
                <w:szCs w:val="16"/>
                <w:lang w:val="es-ES_tradnl"/>
              </w:rPr>
              <w:t>:  80</w:t>
            </w:r>
            <w:proofErr w:type="gramEnd"/>
            <w:r w:rsidRPr="00C75C7E">
              <w:rPr>
                <w:sz w:val="16"/>
                <w:szCs w:val="16"/>
                <w:lang w:val="es-ES_tradnl"/>
              </w:rPr>
              <w:t xml:space="preserve"> %.</w:t>
            </w:r>
          </w:p>
          <w:p w:rsidR="00B258CE" w:rsidRDefault="00B258CE" w:rsidP="00B258CE">
            <w:pPr>
              <w:keepNext/>
              <w:keepLines/>
              <w:ind w:right="221"/>
              <w:rPr>
                <w:sz w:val="16"/>
                <w:szCs w:val="16"/>
                <w:lang w:val="es-ES_tradnl"/>
              </w:rPr>
            </w:pPr>
          </w:p>
          <w:p w:rsidR="009F58E5" w:rsidRPr="00C75C7E" w:rsidRDefault="009F58E5" w:rsidP="00B258CE">
            <w:pPr>
              <w:keepNext/>
              <w:keepLines/>
              <w:ind w:right="221"/>
              <w:rPr>
                <w:bCs/>
                <w:sz w:val="16"/>
                <w:szCs w:val="16"/>
                <w:lang w:val="es-ES_tradnl"/>
              </w:rPr>
            </w:pPr>
            <w:r w:rsidRPr="00C75C7E">
              <w:rPr>
                <w:sz w:val="16"/>
                <w:szCs w:val="16"/>
                <w:lang w:val="es-ES_tradnl"/>
              </w:rPr>
              <w:t>Necesidades de formación esenciales satisfechas a nivel colectivo: 80 % de las necesidades se satisfacen mediante un programa de formación.</w:t>
            </w:r>
          </w:p>
        </w:tc>
      </w:tr>
      <w:tr w:rsidR="00B258CE" w:rsidRPr="00C75C7E" w:rsidTr="003C7CC7">
        <w:trPr>
          <w:cantSplit/>
          <w:trHeight w:val="647"/>
        </w:trPr>
        <w:tc>
          <w:tcPr>
            <w:tcW w:w="1249" w:type="pct"/>
            <w:shd w:val="clear" w:color="auto" w:fill="auto"/>
            <w:tcMar>
              <w:top w:w="113" w:type="dxa"/>
            </w:tcMar>
          </w:tcPr>
          <w:p w:rsidR="00B258CE" w:rsidRPr="00C75C7E" w:rsidRDefault="00B258CE" w:rsidP="008F4F69">
            <w:pPr>
              <w:rPr>
                <w:sz w:val="16"/>
                <w:szCs w:val="16"/>
                <w:lang w:val="es-ES_tradnl"/>
              </w:rPr>
            </w:pPr>
          </w:p>
        </w:tc>
        <w:tc>
          <w:tcPr>
            <w:tcW w:w="1462" w:type="pct"/>
            <w:shd w:val="clear" w:color="auto" w:fill="auto"/>
            <w:tcMar>
              <w:top w:w="113" w:type="dxa"/>
            </w:tcMar>
          </w:tcPr>
          <w:p w:rsidR="00B258CE" w:rsidRPr="00C75C7E" w:rsidRDefault="00B258CE" w:rsidP="008F4F69">
            <w:pPr>
              <w:rPr>
                <w:sz w:val="16"/>
                <w:szCs w:val="16"/>
                <w:lang w:val="es-ES_tradnl"/>
              </w:rPr>
            </w:pPr>
            <w:r>
              <w:rPr>
                <w:sz w:val="16"/>
                <w:szCs w:val="16"/>
                <w:lang w:val="es-ES_tradnl"/>
              </w:rPr>
              <w:t>Número promedio de días de ausencia por enfermedad por empleado (ausentismo)</w:t>
            </w:r>
            <w:r w:rsidR="003C7CC7">
              <w:rPr>
                <w:sz w:val="16"/>
                <w:szCs w:val="16"/>
                <w:lang w:val="es-ES_tradnl"/>
              </w:rPr>
              <w:t>.</w:t>
            </w:r>
          </w:p>
        </w:tc>
        <w:tc>
          <w:tcPr>
            <w:tcW w:w="1145" w:type="pct"/>
            <w:shd w:val="clear" w:color="auto" w:fill="FFFFFF"/>
            <w:tcMar>
              <w:top w:w="113" w:type="dxa"/>
            </w:tcMar>
          </w:tcPr>
          <w:p w:rsidR="00B258CE" w:rsidRPr="00C75C7E" w:rsidRDefault="00B258CE" w:rsidP="008F4F69">
            <w:pPr>
              <w:rPr>
                <w:sz w:val="16"/>
                <w:szCs w:val="16"/>
                <w:lang w:val="es-ES_tradnl"/>
              </w:rPr>
            </w:pPr>
            <w:r>
              <w:rPr>
                <w:sz w:val="16"/>
                <w:szCs w:val="16"/>
                <w:lang w:val="es-ES_tradnl"/>
              </w:rPr>
              <w:t>9,07 (dic. de 2012)</w:t>
            </w:r>
          </w:p>
        </w:tc>
        <w:tc>
          <w:tcPr>
            <w:tcW w:w="1144" w:type="pct"/>
            <w:shd w:val="clear" w:color="auto" w:fill="auto"/>
            <w:tcMar>
              <w:top w:w="113" w:type="dxa"/>
            </w:tcMar>
          </w:tcPr>
          <w:p w:rsidR="00B258CE" w:rsidRPr="00C75C7E" w:rsidRDefault="00E809A5" w:rsidP="00B258CE">
            <w:pPr>
              <w:keepNext/>
              <w:keepLines/>
              <w:ind w:right="221"/>
              <w:rPr>
                <w:sz w:val="16"/>
                <w:szCs w:val="16"/>
                <w:lang w:val="es-ES_tradnl"/>
              </w:rPr>
            </w:pPr>
            <w:r>
              <w:rPr>
                <w:sz w:val="16"/>
                <w:szCs w:val="16"/>
                <w:lang w:val="es-ES_tradnl"/>
              </w:rPr>
              <w:t>9</w:t>
            </w:r>
          </w:p>
        </w:tc>
      </w:tr>
      <w:tr w:rsidR="00B258CE" w:rsidRPr="00C75C7E" w:rsidTr="003C7CC7">
        <w:trPr>
          <w:cantSplit/>
          <w:trHeight w:val="997"/>
        </w:trPr>
        <w:tc>
          <w:tcPr>
            <w:tcW w:w="1249" w:type="pct"/>
            <w:shd w:val="clear" w:color="auto" w:fill="auto"/>
            <w:tcMar>
              <w:top w:w="113" w:type="dxa"/>
            </w:tcMar>
          </w:tcPr>
          <w:p w:rsidR="00B258CE" w:rsidRPr="00C75C7E" w:rsidRDefault="00B258CE" w:rsidP="008F4F69">
            <w:pPr>
              <w:rPr>
                <w:sz w:val="16"/>
                <w:szCs w:val="16"/>
                <w:lang w:val="es-ES_tradnl"/>
              </w:rPr>
            </w:pPr>
          </w:p>
        </w:tc>
        <w:tc>
          <w:tcPr>
            <w:tcW w:w="1462" w:type="pct"/>
            <w:shd w:val="clear" w:color="auto" w:fill="auto"/>
            <w:tcMar>
              <w:top w:w="113" w:type="dxa"/>
            </w:tcMar>
          </w:tcPr>
          <w:p w:rsidR="00B258CE" w:rsidRPr="00C75C7E" w:rsidRDefault="00B258CE" w:rsidP="008F4F69">
            <w:pPr>
              <w:rPr>
                <w:sz w:val="16"/>
                <w:szCs w:val="16"/>
                <w:lang w:val="es-ES_tradnl"/>
              </w:rPr>
            </w:pPr>
            <w:r>
              <w:rPr>
                <w:sz w:val="16"/>
                <w:szCs w:val="16"/>
                <w:lang w:val="es-ES_tradnl"/>
              </w:rPr>
              <w:t>Porcentaje de mujeres en puestos profesionales y altos</w:t>
            </w:r>
            <w:r w:rsidR="003C7CC7">
              <w:rPr>
                <w:sz w:val="16"/>
                <w:szCs w:val="16"/>
                <w:lang w:val="es-ES_tradnl"/>
              </w:rPr>
              <w:t>.</w:t>
            </w:r>
          </w:p>
        </w:tc>
        <w:tc>
          <w:tcPr>
            <w:tcW w:w="1145" w:type="pct"/>
            <w:shd w:val="clear" w:color="auto" w:fill="FFFFFF"/>
            <w:tcMar>
              <w:top w:w="113" w:type="dxa"/>
            </w:tcMar>
          </w:tcPr>
          <w:p w:rsidR="00B258CE" w:rsidRDefault="00B258CE" w:rsidP="008F4F69">
            <w:pPr>
              <w:rPr>
                <w:sz w:val="16"/>
                <w:szCs w:val="16"/>
                <w:lang w:val="es-ES_tradnl"/>
              </w:rPr>
            </w:pPr>
            <w:r>
              <w:rPr>
                <w:sz w:val="16"/>
                <w:szCs w:val="16"/>
                <w:lang w:val="es-ES_tradnl"/>
              </w:rPr>
              <w:t>P4 – 44,</w:t>
            </w:r>
            <w:r w:rsidR="00E809A5">
              <w:rPr>
                <w:sz w:val="16"/>
                <w:szCs w:val="16"/>
                <w:lang w:val="es-ES_tradnl"/>
              </w:rPr>
              <w:t>1</w:t>
            </w:r>
            <w:r>
              <w:rPr>
                <w:sz w:val="16"/>
                <w:szCs w:val="16"/>
                <w:lang w:val="es-ES_tradnl"/>
              </w:rPr>
              <w:t>%</w:t>
            </w:r>
          </w:p>
          <w:p w:rsidR="00B258CE" w:rsidRDefault="00E809A5" w:rsidP="008F4F69">
            <w:pPr>
              <w:rPr>
                <w:sz w:val="16"/>
                <w:szCs w:val="16"/>
                <w:lang w:val="es-ES_tradnl"/>
              </w:rPr>
            </w:pPr>
            <w:r>
              <w:rPr>
                <w:sz w:val="16"/>
                <w:szCs w:val="16"/>
                <w:lang w:val="es-ES_tradnl"/>
              </w:rPr>
              <w:t>P5 – 31,8</w:t>
            </w:r>
            <w:r w:rsidR="00B258CE">
              <w:rPr>
                <w:sz w:val="16"/>
                <w:szCs w:val="16"/>
                <w:lang w:val="es-ES_tradnl"/>
              </w:rPr>
              <w:t>%</w:t>
            </w:r>
          </w:p>
          <w:p w:rsidR="00B258CE" w:rsidRDefault="00E809A5" w:rsidP="008F4F69">
            <w:pPr>
              <w:rPr>
                <w:sz w:val="16"/>
                <w:szCs w:val="16"/>
                <w:lang w:val="es-ES_tradnl"/>
              </w:rPr>
            </w:pPr>
            <w:r>
              <w:rPr>
                <w:sz w:val="16"/>
                <w:szCs w:val="16"/>
                <w:lang w:val="es-ES_tradnl"/>
              </w:rPr>
              <w:t>D1 – 26,2</w:t>
            </w:r>
            <w:r w:rsidR="00B258CE">
              <w:rPr>
                <w:sz w:val="16"/>
                <w:szCs w:val="16"/>
                <w:lang w:val="es-ES_tradnl"/>
              </w:rPr>
              <w:t>%</w:t>
            </w:r>
          </w:p>
          <w:p w:rsidR="00B258CE" w:rsidRDefault="00B258CE" w:rsidP="008F4F69">
            <w:pPr>
              <w:rPr>
                <w:sz w:val="16"/>
                <w:szCs w:val="16"/>
                <w:lang w:val="es-ES_tradnl"/>
              </w:rPr>
            </w:pPr>
            <w:r>
              <w:rPr>
                <w:sz w:val="16"/>
                <w:szCs w:val="16"/>
                <w:lang w:val="es-ES_tradnl"/>
              </w:rPr>
              <w:t xml:space="preserve">D2 – 23,1% </w:t>
            </w:r>
          </w:p>
          <w:p w:rsidR="00B258CE" w:rsidRPr="00C75C7E" w:rsidRDefault="00B258CE" w:rsidP="008F4F69">
            <w:pPr>
              <w:rPr>
                <w:sz w:val="16"/>
                <w:szCs w:val="16"/>
                <w:lang w:val="es-ES_tradnl"/>
              </w:rPr>
            </w:pPr>
            <w:r>
              <w:rPr>
                <w:sz w:val="16"/>
                <w:szCs w:val="16"/>
                <w:lang w:val="es-ES_tradnl"/>
              </w:rPr>
              <w:t>(dic. de 2012)</w:t>
            </w:r>
          </w:p>
        </w:tc>
        <w:tc>
          <w:tcPr>
            <w:tcW w:w="1144" w:type="pct"/>
            <w:shd w:val="clear" w:color="auto" w:fill="auto"/>
            <w:tcMar>
              <w:top w:w="113" w:type="dxa"/>
            </w:tcMar>
          </w:tcPr>
          <w:p w:rsidR="00E809A5" w:rsidRDefault="00E809A5" w:rsidP="00E809A5">
            <w:pPr>
              <w:rPr>
                <w:sz w:val="16"/>
                <w:szCs w:val="16"/>
                <w:lang w:val="es-ES_tradnl"/>
              </w:rPr>
            </w:pPr>
            <w:r>
              <w:rPr>
                <w:sz w:val="16"/>
                <w:szCs w:val="16"/>
                <w:lang w:val="es-ES_tradnl"/>
              </w:rPr>
              <w:t>P4 – 46%</w:t>
            </w:r>
          </w:p>
          <w:p w:rsidR="00E809A5" w:rsidRDefault="00E809A5" w:rsidP="00E809A5">
            <w:pPr>
              <w:rPr>
                <w:sz w:val="16"/>
                <w:szCs w:val="16"/>
                <w:lang w:val="es-ES_tradnl"/>
              </w:rPr>
            </w:pPr>
            <w:r>
              <w:rPr>
                <w:sz w:val="16"/>
                <w:szCs w:val="16"/>
                <w:lang w:val="es-ES_tradnl"/>
              </w:rPr>
              <w:t>P5 – 35%</w:t>
            </w:r>
          </w:p>
          <w:p w:rsidR="00E809A5" w:rsidRDefault="00E809A5" w:rsidP="00E809A5">
            <w:pPr>
              <w:rPr>
                <w:sz w:val="16"/>
                <w:szCs w:val="16"/>
                <w:lang w:val="es-ES_tradnl"/>
              </w:rPr>
            </w:pPr>
            <w:r>
              <w:rPr>
                <w:sz w:val="16"/>
                <w:szCs w:val="16"/>
                <w:lang w:val="es-ES_tradnl"/>
              </w:rPr>
              <w:t>D1 – 30%</w:t>
            </w:r>
          </w:p>
          <w:p w:rsidR="00E809A5" w:rsidRDefault="00E809A5" w:rsidP="00E809A5">
            <w:pPr>
              <w:rPr>
                <w:sz w:val="16"/>
                <w:szCs w:val="16"/>
                <w:lang w:val="es-ES_tradnl"/>
              </w:rPr>
            </w:pPr>
            <w:r>
              <w:rPr>
                <w:sz w:val="16"/>
                <w:szCs w:val="16"/>
                <w:lang w:val="es-ES_tradnl"/>
              </w:rPr>
              <w:t xml:space="preserve">D2 – 30% </w:t>
            </w:r>
          </w:p>
          <w:p w:rsidR="00B258CE" w:rsidRPr="00C75C7E" w:rsidRDefault="00B258CE" w:rsidP="00B258CE">
            <w:pPr>
              <w:keepNext/>
              <w:keepLines/>
              <w:ind w:right="221"/>
              <w:rPr>
                <w:sz w:val="16"/>
                <w:szCs w:val="16"/>
                <w:lang w:val="es-ES_tradnl"/>
              </w:rPr>
            </w:pPr>
          </w:p>
        </w:tc>
      </w:tr>
      <w:tr w:rsidR="00B258CE" w:rsidRPr="00C75C7E" w:rsidTr="003C7CC7">
        <w:trPr>
          <w:cantSplit/>
          <w:trHeight w:val="662"/>
        </w:trPr>
        <w:tc>
          <w:tcPr>
            <w:tcW w:w="1249" w:type="pct"/>
            <w:shd w:val="clear" w:color="auto" w:fill="auto"/>
            <w:tcMar>
              <w:top w:w="113" w:type="dxa"/>
            </w:tcMar>
          </w:tcPr>
          <w:p w:rsidR="00B258CE" w:rsidRPr="00C75C7E" w:rsidRDefault="00B258CE" w:rsidP="008F4F69">
            <w:pPr>
              <w:rPr>
                <w:sz w:val="16"/>
                <w:szCs w:val="16"/>
                <w:lang w:val="es-ES_tradnl"/>
              </w:rPr>
            </w:pPr>
          </w:p>
        </w:tc>
        <w:tc>
          <w:tcPr>
            <w:tcW w:w="1462" w:type="pct"/>
            <w:shd w:val="clear" w:color="auto" w:fill="auto"/>
            <w:tcMar>
              <w:top w:w="113" w:type="dxa"/>
            </w:tcMar>
          </w:tcPr>
          <w:p w:rsidR="00B258CE" w:rsidRPr="00C75C7E" w:rsidRDefault="003C7CC7" w:rsidP="000E14E5">
            <w:pPr>
              <w:rPr>
                <w:sz w:val="16"/>
                <w:szCs w:val="16"/>
                <w:lang w:val="es-ES_tradnl"/>
              </w:rPr>
            </w:pPr>
            <w:r>
              <w:rPr>
                <w:sz w:val="16"/>
                <w:szCs w:val="16"/>
                <w:lang w:val="es-ES_tradnl"/>
              </w:rPr>
              <w:t xml:space="preserve">Diversidad geográfica – porcentaje de </w:t>
            </w:r>
            <w:r w:rsidR="000E14E5">
              <w:rPr>
                <w:sz w:val="16"/>
                <w:szCs w:val="16"/>
                <w:lang w:val="es-ES_tradnl"/>
              </w:rPr>
              <w:t>funcionarios por región</w:t>
            </w:r>
            <w:r>
              <w:rPr>
                <w:sz w:val="16"/>
                <w:szCs w:val="16"/>
                <w:lang w:val="es-ES_tradnl"/>
              </w:rPr>
              <w:t>.</w:t>
            </w:r>
          </w:p>
        </w:tc>
        <w:tc>
          <w:tcPr>
            <w:tcW w:w="1145" w:type="pct"/>
            <w:shd w:val="clear" w:color="auto" w:fill="FFFFFF"/>
            <w:tcMar>
              <w:top w:w="113" w:type="dxa"/>
            </w:tcMar>
          </w:tcPr>
          <w:p w:rsidR="00B258CE" w:rsidRDefault="00E809A5" w:rsidP="008F4F69">
            <w:pPr>
              <w:rPr>
                <w:sz w:val="16"/>
                <w:szCs w:val="16"/>
                <w:lang w:val="es-ES_tradnl"/>
              </w:rPr>
            </w:pPr>
            <w:r>
              <w:rPr>
                <w:sz w:val="16"/>
                <w:szCs w:val="16"/>
                <w:lang w:val="es-ES_tradnl"/>
              </w:rPr>
              <w:t>África 11,0%</w:t>
            </w:r>
          </w:p>
          <w:p w:rsidR="00E809A5" w:rsidRDefault="00E809A5" w:rsidP="008F4F69">
            <w:pPr>
              <w:rPr>
                <w:sz w:val="16"/>
                <w:szCs w:val="16"/>
                <w:lang w:val="es-ES_tradnl"/>
              </w:rPr>
            </w:pPr>
            <w:r>
              <w:rPr>
                <w:sz w:val="16"/>
                <w:szCs w:val="16"/>
                <w:lang w:val="es-ES_tradnl"/>
              </w:rPr>
              <w:t>Asia/Pacífico 13,7%</w:t>
            </w:r>
          </w:p>
          <w:p w:rsidR="000E14E5" w:rsidRDefault="000E14E5" w:rsidP="008F4F69">
            <w:pPr>
              <w:rPr>
                <w:sz w:val="16"/>
                <w:szCs w:val="16"/>
                <w:lang w:val="es-ES_tradnl"/>
              </w:rPr>
            </w:pPr>
            <w:r>
              <w:rPr>
                <w:sz w:val="16"/>
                <w:szCs w:val="16"/>
                <w:lang w:val="es-ES_tradnl"/>
              </w:rPr>
              <w:t>Europa Central y Oriental y Asia Central 6,2%</w:t>
            </w:r>
          </w:p>
          <w:p w:rsidR="000E14E5" w:rsidRDefault="000E14E5" w:rsidP="008F4F69">
            <w:pPr>
              <w:rPr>
                <w:sz w:val="16"/>
                <w:szCs w:val="16"/>
                <w:lang w:val="es-ES_tradnl"/>
              </w:rPr>
            </w:pPr>
            <w:r>
              <w:rPr>
                <w:sz w:val="16"/>
                <w:szCs w:val="16"/>
                <w:lang w:val="es-ES_tradnl"/>
              </w:rPr>
              <w:t>Am. Latina/Caribe 8,6%</w:t>
            </w:r>
          </w:p>
          <w:p w:rsidR="000E14E5" w:rsidRDefault="000E14E5" w:rsidP="008F4F69">
            <w:pPr>
              <w:rPr>
                <w:sz w:val="16"/>
                <w:szCs w:val="16"/>
                <w:lang w:val="es-ES_tradnl"/>
              </w:rPr>
            </w:pPr>
            <w:r>
              <w:rPr>
                <w:sz w:val="16"/>
                <w:szCs w:val="16"/>
                <w:lang w:val="es-ES_tradnl"/>
              </w:rPr>
              <w:t>Medio Oriente 1,2%</w:t>
            </w:r>
          </w:p>
          <w:p w:rsidR="000E14E5" w:rsidRDefault="000E14E5" w:rsidP="008F4F69">
            <w:pPr>
              <w:rPr>
                <w:sz w:val="16"/>
                <w:szCs w:val="16"/>
                <w:lang w:val="es-ES_tradnl"/>
              </w:rPr>
            </w:pPr>
            <w:r>
              <w:rPr>
                <w:sz w:val="16"/>
                <w:szCs w:val="16"/>
                <w:lang w:val="es-ES_tradnl"/>
              </w:rPr>
              <w:t>Norteamérica 8,0%</w:t>
            </w:r>
          </w:p>
          <w:p w:rsidR="00E809A5" w:rsidRDefault="000E14E5" w:rsidP="000E14E5">
            <w:pPr>
              <w:rPr>
                <w:sz w:val="16"/>
                <w:szCs w:val="16"/>
                <w:lang w:val="es-ES_tradnl"/>
              </w:rPr>
            </w:pPr>
            <w:r>
              <w:rPr>
                <w:sz w:val="16"/>
                <w:szCs w:val="16"/>
                <w:lang w:val="es-ES_tradnl"/>
              </w:rPr>
              <w:t>Europa Occidental 51,2%</w:t>
            </w:r>
          </w:p>
          <w:p w:rsidR="000E14E5" w:rsidRPr="00C75C7E" w:rsidRDefault="000E14E5" w:rsidP="000E14E5">
            <w:pPr>
              <w:rPr>
                <w:sz w:val="16"/>
                <w:szCs w:val="16"/>
                <w:lang w:val="es-ES_tradnl"/>
              </w:rPr>
            </w:pPr>
          </w:p>
        </w:tc>
        <w:tc>
          <w:tcPr>
            <w:tcW w:w="1144" w:type="pct"/>
            <w:shd w:val="clear" w:color="auto" w:fill="auto"/>
            <w:tcMar>
              <w:top w:w="113" w:type="dxa"/>
            </w:tcMar>
          </w:tcPr>
          <w:p w:rsidR="00B258CE" w:rsidRPr="00C75C7E" w:rsidRDefault="00E809A5" w:rsidP="00E809A5">
            <w:pPr>
              <w:keepNext/>
              <w:keepLines/>
              <w:ind w:right="221"/>
              <w:rPr>
                <w:sz w:val="16"/>
                <w:szCs w:val="16"/>
                <w:lang w:val="es-ES_tradnl"/>
              </w:rPr>
            </w:pPr>
            <w:r>
              <w:rPr>
                <w:sz w:val="16"/>
                <w:szCs w:val="16"/>
                <w:lang w:val="es-ES_tradnl"/>
              </w:rPr>
              <w:t>Por determinar.</w:t>
            </w:r>
          </w:p>
        </w:tc>
      </w:tr>
    </w:tbl>
    <w:p w:rsidR="009F58E5" w:rsidRDefault="009F58E5" w:rsidP="00E6603F">
      <w:pPr>
        <w:autoSpaceDE w:val="0"/>
        <w:autoSpaceDN w:val="0"/>
        <w:adjustRightInd w:val="0"/>
        <w:jc w:val="both"/>
        <w:rPr>
          <w:szCs w:val="22"/>
          <w:lang w:val="es-ES_tradnl"/>
        </w:rPr>
      </w:pPr>
    </w:p>
    <w:p w:rsidR="00E6603F" w:rsidRPr="00C75C7E" w:rsidRDefault="00E6603F" w:rsidP="00E6603F">
      <w:pPr>
        <w:autoSpaceDE w:val="0"/>
        <w:autoSpaceDN w:val="0"/>
        <w:adjustRightInd w:val="0"/>
        <w:jc w:val="both"/>
        <w:rPr>
          <w:szCs w:val="22"/>
          <w:lang w:val="es-ES_tradnl"/>
        </w:rPr>
      </w:pPr>
    </w:p>
    <w:p w:rsidR="00B1649B" w:rsidRPr="00ED24BB" w:rsidRDefault="00B1649B" w:rsidP="000E14E5">
      <w:pPr>
        <w:keepNext/>
        <w:keepLines/>
        <w:autoSpaceDE w:val="0"/>
        <w:autoSpaceDN w:val="0"/>
        <w:adjustRightInd w:val="0"/>
        <w:jc w:val="both"/>
        <w:rPr>
          <w:szCs w:val="22"/>
        </w:rPr>
      </w:pPr>
      <w:r w:rsidRPr="00ED24BB">
        <w:rPr>
          <w:szCs w:val="22"/>
        </w:rPr>
        <w:t>RECURSOS PARA EL PROGRAMA 23</w:t>
      </w:r>
    </w:p>
    <w:p w:rsidR="00B1649B" w:rsidRPr="00ED24BB" w:rsidRDefault="00B1649B" w:rsidP="000E14E5">
      <w:pPr>
        <w:keepNext/>
        <w:keepLines/>
        <w:autoSpaceDE w:val="0"/>
        <w:autoSpaceDN w:val="0"/>
        <w:adjustRightInd w:val="0"/>
        <w:rPr>
          <w:sz w:val="20"/>
        </w:rPr>
      </w:pPr>
    </w:p>
    <w:p w:rsidR="00B1649B" w:rsidRPr="00005434" w:rsidRDefault="00B1649B" w:rsidP="000E14E5">
      <w:pPr>
        <w:pStyle w:val="ONUME"/>
        <w:keepNext/>
        <w:keepLines/>
        <w:numPr>
          <w:ilvl w:val="0"/>
          <w:numId w:val="42"/>
        </w:numPr>
        <w:spacing w:after="0"/>
        <w:jc w:val="both"/>
        <w:rPr>
          <w:sz w:val="20"/>
        </w:rPr>
      </w:pPr>
      <w:r>
        <w:rPr>
          <w:sz w:val="20"/>
        </w:rPr>
        <w:t>El aumento</w:t>
      </w:r>
      <w:r w:rsidRPr="00EB0F38">
        <w:rPr>
          <w:sz w:val="20"/>
        </w:rPr>
        <w:t xml:space="preserve"> de 2</w:t>
      </w:r>
      <w:r>
        <w:rPr>
          <w:sz w:val="20"/>
        </w:rPr>
        <w:t>,2 millones de francos suizos se debe</w:t>
      </w:r>
      <w:r w:rsidRPr="00EB0F38">
        <w:rPr>
          <w:sz w:val="20"/>
        </w:rPr>
        <w:t xml:space="preserve"> en parte a</w:t>
      </w:r>
      <w:r>
        <w:rPr>
          <w:sz w:val="20"/>
        </w:rPr>
        <w:t xml:space="preserve">: </w:t>
      </w:r>
      <w:r w:rsidRPr="00EB0F38">
        <w:rPr>
          <w:sz w:val="20"/>
        </w:rPr>
        <w:t xml:space="preserve"> i) la asignaci</w:t>
      </w:r>
      <w:r>
        <w:rPr>
          <w:sz w:val="20"/>
        </w:rPr>
        <w:t xml:space="preserve">ón de recursos de personal adicionales para responder al aumento de los costos del acuerdo entre la OMPI y la ONUG sobre la prestación de servicios médicos; ii) al mayor apoyo prestado al equilibrio </w:t>
      </w:r>
      <w:r w:rsidR="00425E19">
        <w:rPr>
          <w:sz w:val="20"/>
        </w:rPr>
        <w:t>de género</w:t>
      </w:r>
      <w:r w:rsidRPr="000F68FB">
        <w:rPr>
          <w:sz w:val="20"/>
        </w:rPr>
        <w:t xml:space="preserve"> y</w:t>
      </w:r>
      <w:r>
        <w:rPr>
          <w:sz w:val="20"/>
        </w:rPr>
        <w:t xml:space="preserve"> a</w:t>
      </w:r>
      <w:r w:rsidRPr="000F68FB">
        <w:rPr>
          <w:sz w:val="20"/>
        </w:rPr>
        <w:t xml:space="preserve"> la </w:t>
      </w:r>
      <w:r>
        <w:rPr>
          <w:sz w:val="20"/>
        </w:rPr>
        <w:t xml:space="preserve">diversidad de la </w:t>
      </w:r>
      <w:r w:rsidRPr="000F68FB">
        <w:rPr>
          <w:sz w:val="20"/>
        </w:rPr>
        <w:t>representación geográfica</w:t>
      </w:r>
      <w:r>
        <w:rPr>
          <w:sz w:val="20"/>
        </w:rPr>
        <w:t xml:space="preserve"> en la Organización;  y iii) a la reasignación de los recursos de personal dedicados en 2012/13 a las actividades relacionadas con la puesta en práctica de la </w:t>
      </w:r>
      <w:r w:rsidR="00425E19">
        <w:rPr>
          <w:sz w:val="20"/>
        </w:rPr>
        <w:t>planificación de los recursos institucionales</w:t>
      </w:r>
      <w:r w:rsidRPr="00005434">
        <w:rPr>
          <w:sz w:val="20"/>
        </w:rPr>
        <w:t xml:space="preserve"> </w:t>
      </w:r>
      <w:r>
        <w:rPr>
          <w:sz w:val="20"/>
        </w:rPr>
        <w:t>en el resultado IX</w:t>
      </w:r>
      <w:r w:rsidR="00425E19">
        <w:rPr>
          <w:sz w:val="20"/>
        </w:rPr>
        <w:t>.3</w:t>
      </w:r>
      <w:r>
        <w:rPr>
          <w:sz w:val="20"/>
        </w:rPr>
        <w:t>. relativo a la línea “</w:t>
      </w:r>
      <w:r w:rsidRPr="00B644C3">
        <w:rPr>
          <w:sz w:val="20"/>
        </w:rPr>
        <w:t>Personal profesional bien dirigido, diversificado, motivado y</w:t>
      </w:r>
      <w:r>
        <w:rPr>
          <w:sz w:val="20"/>
        </w:rPr>
        <w:t xml:space="preserve"> </w:t>
      </w:r>
      <w:r w:rsidRPr="00B644C3">
        <w:rPr>
          <w:sz w:val="20"/>
        </w:rPr>
        <w:t>con las competencias adecuadas</w:t>
      </w:r>
      <w:r>
        <w:rPr>
          <w:sz w:val="20"/>
        </w:rPr>
        <w:t>”, al resultado IX.1 (</w:t>
      </w:r>
      <w:r w:rsidRPr="00363336">
        <w:rPr>
          <w:sz w:val="20"/>
        </w:rPr>
        <w:t>Servicios de apoyo eficaces, eficientes, de calidad y</w:t>
      </w:r>
      <w:r>
        <w:rPr>
          <w:sz w:val="20"/>
        </w:rPr>
        <w:t xml:space="preserve"> </w:t>
      </w:r>
      <w:r w:rsidRPr="00363336">
        <w:rPr>
          <w:sz w:val="20"/>
        </w:rPr>
        <w:t>orientados al cliente</w:t>
      </w:r>
      <w:r>
        <w:rPr>
          <w:sz w:val="20"/>
        </w:rPr>
        <w:t>) en 2014/15</w:t>
      </w:r>
      <w:r w:rsidRPr="00B644C3">
        <w:rPr>
          <w:sz w:val="20"/>
        </w:rPr>
        <w:t>.</w:t>
      </w:r>
    </w:p>
    <w:p w:rsidR="00B1649B" w:rsidRPr="00EB0F38" w:rsidRDefault="00B1649B" w:rsidP="00E6603F">
      <w:pPr>
        <w:pStyle w:val="ONUME"/>
        <w:numPr>
          <w:ilvl w:val="0"/>
          <w:numId w:val="0"/>
        </w:numPr>
        <w:spacing w:after="0"/>
        <w:jc w:val="both"/>
        <w:rPr>
          <w:sz w:val="20"/>
        </w:rPr>
      </w:pPr>
    </w:p>
    <w:p w:rsidR="00B1649B" w:rsidRPr="00185393" w:rsidRDefault="00B1649B" w:rsidP="00D41E6A">
      <w:pPr>
        <w:pStyle w:val="ONUME"/>
        <w:numPr>
          <w:ilvl w:val="0"/>
          <w:numId w:val="42"/>
        </w:numPr>
        <w:spacing w:after="0"/>
        <w:jc w:val="both"/>
        <w:rPr>
          <w:sz w:val="20"/>
        </w:rPr>
      </w:pPr>
      <w:r w:rsidRPr="00185393">
        <w:rPr>
          <w:sz w:val="20"/>
        </w:rPr>
        <w:t xml:space="preserve">Los recursos asignados al </w:t>
      </w:r>
      <w:r>
        <w:rPr>
          <w:sz w:val="20"/>
        </w:rPr>
        <w:t xml:space="preserve">resultado IX.2 </w:t>
      </w:r>
      <w:r w:rsidRPr="004F47F4">
        <w:rPr>
          <w:sz w:val="20"/>
        </w:rPr>
        <w:t>(</w:t>
      </w:r>
      <w:r>
        <w:rPr>
          <w:sz w:val="20"/>
        </w:rPr>
        <w:t>Funcionamiento ágil y sin contratiempos de la Secretaría) corresponden a una disminución de 0,5 millones de francos suizos.  La misma, se debe a la combinación de</w:t>
      </w:r>
      <w:proofErr w:type="gramStart"/>
      <w:r>
        <w:rPr>
          <w:sz w:val="20"/>
        </w:rPr>
        <w:t>:  i</w:t>
      </w:r>
      <w:proofErr w:type="gramEnd"/>
      <w:r>
        <w:rPr>
          <w:sz w:val="20"/>
        </w:rPr>
        <w:t xml:space="preserve">) una disminución de los resultados comparados con el presupuesto después de las transferencias, debido a la reasignación de recursos de personal mencionada en el punto anterior, y ii) a un aumento de 0,5 millones de francos suizos en los recursos asignados a las actividades de capacitación que se refleja en el aumento de la línea </w:t>
      </w:r>
      <w:r w:rsidRPr="00436BBD">
        <w:rPr>
          <w:sz w:val="20"/>
        </w:rPr>
        <w:t>“Otros servicios contractuales”</w:t>
      </w:r>
      <w:r>
        <w:rPr>
          <w:sz w:val="20"/>
        </w:rPr>
        <w:t>.</w:t>
      </w:r>
    </w:p>
    <w:p w:rsidR="00B1649B" w:rsidRPr="00185393" w:rsidRDefault="00B1649B" w:rsidP="00E6603F">
      <w:pPr>
        <w:pStyle w:val="ONUME"/>
        <w:numPr>
          <w:ilvl w:val="0"/>
          <w:numId w:val="0"/>
        </w:numPr>
        <w:spacing w:after="0"/>
        <w:jc w:val="both"/>
        <w:rPr>
          <w:sz w:val="20"/>
        </w:rPr>
      </w:pPr>
    </w:p>
    <w:p w:rsidR="009F58E5" w:rsidRPr="00B1649B" w:rsidRDefault="009F58E5" w:rsidP="00E6603F">
      <w:pPr>
        <w:keepNext/>
        <w:keepLines/>
        <w:autoSpaceDE w:val="0"/>
        <w:autoSpaceDN w:val="0"/>
        <w:adjustRightInd w:val="0"/>
        <w:jc w:val="both"/>
        <w:rPr>
          <w:szCs w:val="22"/>
          <w:highlight w:val="yellow"/>
        </w:rPr>
      </w:pPr>
    </w:p>
    <w:p w:rsidR="009F58E5" w:rsidRPr="00C75C7E" w:rsidRDefault="003C7CC7" w:rsidP="009F58E5">
      <w:pPr>
        <w:keepNext/>
        <w:keepLines/>
        <w:autoSpaceDE w:val="0"/>
        <w:autoSpaceDN w:val="0"/>
        <w:adjustRightInd w:val="0"/>
        <w:ind w:firstLine="567"/>
        <w:jc w:val="center"/>
        <w:rPr>
          <w:b/>
          <w:bCs/>
          <w:iCs/>
          <w:sz w:val="20"/>
          <w:lang w:val="es-ES_tradnl"/>
        </w:rPr>
      </w:pPr>
      <w:r>
        <w:rPr>
          <w:b/>
          <w:bCs/>
          <w:iCs/>
          <w:sz w:val="20"/>
          <w:lang w:val="es-ES_tradnl"/>
        </w:rPr>
        <w:t>Programa 23</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Pr="00C75C7E" w:rsidRDefault="009F58E5" w:rsidP="009F58E5">
      <w:pPr>
        <w:keepNext/>
        <w:keepLines/>
        <w:rPr>
          <w:sz w:val="20"/>
          <w:lang w:val="es-ES_tradnl"/>
        </w:rPr>
      </w:pPr>
    </w:p>
    <w:p w:rsidR="009F58E5" w:rsidRPr="00C75C7E" w:rsidRDefault="00C40A11" w:rsidP="009F58E5">
      <w:pPr>
        <w:keepNext/>
        <w:keepLines/>
        <w:jc w:val="center"/>
        <w:rPr>
          <w:lang w:val="es-ES_tradnl"/>
        </w:rPr>
      </w:pPr>
      <w:r>
        <w:rPr>
          <w:noProof/>
          <w:lang w:val="en-US" w:eastAsia="en-US"/>
        </w:rPr>
        <w:drawing>
          <wp:inline distT="0" distB="0" distL="0" distR="0" wp14:anchorId="34412F73" wp14:editId="43C60DF1">
            <wp:extent cx="5752465" cy="1883410"/>
            <wp:effectExtent l="0" t="0" r="635" b="2540"/>
            <wp:docPr id="72"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752465" cy="1883410"/>
                    </a:xfrm>
                    <a:prstGeom prst="rect">
                      <a:avLst/>
                    </a:prstGeom>
                    <a:noFill/>
                    <a:ln>
                      <a:noFill/>
                    </a:ln>
                  </pic:spPr>
                </pic:pic>
              </a:graphicData>
            </a:graphic>
          </wp:inline>
        </w:drawing>
      </w:r>
    </w:p>
    <w:p w:rsidR="009F58E5" w:rsidRPr="00C75C7E" w:rsidRDefault="009F58E5" w:rsidP="009F58E5">
      <w:pPr>
        <w:keepNext/>
        <w:keepLines/>
        <w:jc w:val="center"/>
        <w:rPr>
          <w:sz w:val="20"/>
          <w:lang w:val="es-ES_tradnl"/>
        </w:rPr>
      </w:pPr>
    </w:p>
    <w:p w:rsidR="009F58E5" w:rsidRPr="00C75C7E" w:rsidRDefault="009F58E5" w:rsidP="009F58E5">
      <w:pPr>
        <w:keepNext/>
        <w:keepLines/>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9E2FC0">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9F58E5">
      <w:pPr>
        <w:rPr>
          <w:sz w:val="20"/>
          <w:highlight w:val="yellow"/>
          <w:lang w:val="es-ES_tradnl"/>
        </w:rPr>
      </w:pPr>
    </w:p>
    <w:p w:rsidR="009F58E5" w:rsidRPr="00C75C7E" w:rsidRDefault="003C7CC7" w:rsidP="009F58E5">
      <w:pPr>
        <w:keepNext/>
        <w:keepLines/>
        <w:autoSpaceDE w:val="0"/>
        <w:autoSpaceDN w:val="0"/>
        <w:adjustRightInd w:val="0"/>
        <w:ind w:firstLine="567"/>
        <w:jc w:val="center"/>
        <w:rPr>
          <w:b/>
          <w:bCs/>
          <w:iCs/>
          <w:sz w:val="20"/>
          <w:lang w:val="es-ES_tradnl"/>
        </w:rPr>
      </w:pPr>
      <w:r>
        <w:rPr>
          <w:b/>
          <w:bCs/>
          <w:iCs/>
          <w:sz w:val="20"/>
          <w:lang w:val="es-ES_tradnl"/>
        </w:rPr>
        <w:lastRenderedPageBreak/>
        <w:t>Programa 23</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9F58E5">
      <w:pPr>
        <w:keepNext/>
        <w:keepLines/>
        <w:rPr>
          <w:sz w:val="20"/>
          <w:lang w:val="es-ES_tradnl"/>
        </w:rPr>
      </w:pPr>
    </w:p>
    <w:p w:rsidR="00EA4CD8" w:rsidRPr="00C75C7E" w:rsidRDefault="00C40A11" w:rsidP="009F58E5">
      <w:pPr>
        <w:keepNext/>
        <w:keepLines/>
        <w:rPr>
          <w:sz w:val="20"/>
          <w:lang w:val="es-ES_tradnl"/>
        </w:rPr>
      </w:pPr>
      <w:r>
        <w:rPr>
          <w:noProof/>
          <w:lang w:val="en-US" w:eastAsia="en-US"/>
        </w:rPr>
        <w:drawing>
          <wp:inline distT="0" distB="0" distL="0" distR="0" wp14:anchorId="2011B51D" wp14:editId="625DD5DA">
            <wp:extent cx="5936615" cy="5739130"/>
            <wp:effectExtent l="0" t="0" r="698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EA4CD8" w:rsidRDefault="00EA4CD8" w:rsidP="009F58E5">
      <w:pPr>
        <w:keepNext/>
        <w:keepLines/>
        <w:rPr>
          <w:sz w:val="16"/>
          <w:szCs w:val="16"/>
          <w:lang w:val="es-ES_tradnl"/>
        </w:rPr>
      </w:pPr>
    </w:p>
    <w:p w:rsidR="009F58E5" w:rsidRPr="00C75C7E" w:rsidRDefault="009F58E5" w:rsidP="009F58E5">
      <w:pPr>
        <w:keepNext/>
        <w:keepLines/>
        <w:rPr>
          <w:sz w:val="16"/>
          <w:szCs w:val="16"/>
          <w:lang w:val="es-ES_tradnl"/>
        </w:rPr>
      </w:pPr>
      <w:r w:rsidRPr="00C75C7E">
        <w:rPr>
          <w:sz w:val="16"/>
          <w:szCs w:val="16"/>
          <w:lang w:val="es-ES_tradnl"/>
        </w:rPr>
        <w:t>Notas:</w:t>
      </w:r>
    </w:p>
    <w:p w:rsidR="009F58E5" w:rsidRPr="00C75C7E" w:rsidRDefault="009F58E5" w:rsidP="009F58E5">
      <w:pPr>
        <w:keepNext/>
        <w:keepLines/>
        <w:rPr>
          <w:sz w:val="16"/>
          <w:szCs w:val="16"/>
          <w:u w:val="single"/>
          <w:lang w:val="es-ES_tradnl"/>
        </w:rPr>
      </w:pPr>
    </w:p>
    <w:p w:rsidR="009F58E5" w:rsidRPr="00C75C7E" w:rsidRDefault="009F58E5" w:rsidP="009F58E5">
      <w:pPr>
        <w:keepNext/>
        <w:keepLines/>
        <w:spacing w:after="120"/>
        <w:rPr>
          <w:sz w:val="16"/>
          <w:szCs w:val="16"/>
          <w:lang w:val="es-ES_tradnl"/>
        </w:rPr>
      </w:pPr>
      <w:r>
        <w:rPr>
          <w:sz w:val="16"/>
          <w:szCs w:val="16"/>
          <w:lang w:val="es-ES_tradnl"/>
        </w:rPr>
        <w:t>1</w:t>
      </w:r>
      <w:r w:rsidR="00CD5DEC">
        <w:rPr>
          <w:sz w:val="16"/>
          <w:szCs w:val="16"/>
          <w:lang w:val="es-ES_tradnl"/>
        </w:rPr>
        <w:t xml:space="preserve">)  </w:t>
      </w:r>
      <w:r w:rsidRPr="00C75C7E">
        <w:rPr>
          <w:sz w:val="16"/>
          <w:szCs w:val="16"/>
          <w:lang w:val="es-ES_tradnl"/>
        </w:rPr>
        <w:t xml:space="preserve">El presupuesto aprobado de 2012/13 y el presupuesto de dicho bienio después de las transferencias se </w:t>
      </w:r>
      <w:proofErr w:type="spellStart"/>
      <w:r w:rsidRPr="00C75C7E">
        <w:rPr>
          <w:sz w:val="16"/>
          <w:szCs w:val="16"/>
          <w:lang w:val="es-ES_tradnl"/>
        </w:rPr>
        <w:t>reexpresan</w:t>
      </w:r>
      <w:proofErr w:type="spellEnd"/>
      <w:r w:rsidRPr="00C75C7E">
        <w:rPr>
          <w:sz w:val="16"/>
          <w:szCs w:val="16"/>
          <w:lang w:val="es-ES_tradnl"/>
        </w:rPr>
        <w:t xml:space="preserve"> sobre la base de la estructura de categorías de costos propuesta para 2014/15.</w:t>
      </w:r>
    </w:p>
    <w:p w:rsidR="009F58E5" w:rsidRPr="00C75C7E" w:rsidRDefault="009F58E5" w:rsidP="009F58E5">
      <w:pPr>
        <w:keepNext/>
        <w:keepLines/>
        <w:spacing w:after="120"/>
        <w:rPr>
          <w:sz w:val="16"/>
          <w:szCs w:val="16"/>
          <w:lang w:val="es-ES_tradnl"/>
        </w:rPr>
      </w:pPr>
      <w:r>
        <w:rPr>
          <w:sz w:val="16"/>
          <w:szCs w:val="16"/>
          <w:lang w:val="es-ES_tradnl"/>
        </w:rPr>
        <w:t>2)</w:t>
      </w:r>
      <w:r w:rsidR="00CD5DEC">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w:t>
      </w:r>
      <w:r w:rsidR="00FB6F33">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Pr="00C75C7E" w:rsidRDefault="009F58E5" w:rsidP="009F58E5">
      <w:pPr>
        <w:keepNext/>
        <w:keepLines/>
        <w:spacing w:after="120"/>
        <w:rPr>
          <w:sz w:val="20"/>
          <w:lang w:val="es-ES_tradnl"/>
        </w:rPr>
      </w:pPr>
      <w:r>
        <w:rPr>
          <w:sz w:val="16"/>
          <w:szCs w:val="16"/>
          <w:lang w:val="es-ES_tradnl"/>
        </w:rPr>
        <w:t>3)</w:t>
      </w:r>
      <w:r w:rsidR="00CD5DEC">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B1649B" w:rsidRPr="00E6603F" w:rsidRDefault="009F58E5" w:rsidP="00E6603F">
      <w:pPr>
        <w:pStyle w:val="Heading3"/>
        <w:tabs>
          <w:tab w:val="left" w:pos="1985"/>
        </w:tabs>
        <w:rPr>
          <w:b/>
          <w:u w:val="none"/>
          <w:lang w:val="es-ES_tradnl"/>
        </w:rPr>
      </w:pPr>
      <w:r w:rsidRPr="00C75C7E">
        <w:rPr>
          <w:sz w:val="20"/>
          <w:lang w:val="es-ES_tradnl"/>
        </w:rPr>
        <w:br w:type="page"/>
      </w:r>
      <w:bookmarkStart w:id="91" w:name="_Toc356567779"/>
      <w:bookmarkStart w:id="92" w:name="_Toc366078748"/>
      <w:r w:rsidR="00E6603F" w:rsidRPr="00E6603F">
        <w:rPr>
          <w:b/>
          <w:u w:val="none"/>
          <w:lang w:val="es-ES_tradnl"/>
        </w:rPr>
        <w:lastRenderedPageBreak/>
        <w:t>PROGRAMA 24</w:t>
      </w:r>
      <w:r w:rsidR="00E6603F" w:rsidRPr="00E6603F">
        <w:rPr>
          <w:b/>
          <w:u w:val="none"/>
          <w:lang w:val="es-ES_tradnl"/>
        </w:rPr>
        <w:tab/>
      </w:r>
      <w:bookmarkEnd w:id="91"/>
      <w:r w:rsidR="00E6603F" w:rsidRPr="00E6603F">
        <w:rPr>
          <w:b/>
          <w:u w:val="none"/>
          <w:lang w:val="es-ES_tradnl"/>
        </w:rPr>
        <w:t>SERVICIOS DE APOYO GENERALES</w:t>
      </w:r>
      <w:bookmarkEnd w:id="92"/>
    </w:p>
    <w:p w:rsidR="00B1649B" w:rsidRPr="00762D10" w:rsidRDefault="00B1649B" w:rsidP="006A15F5"/>
    <w:p w:rsidR="00B1649B" w:rsidRPr="00762D10" w:rsidRDefault="00B1649B" w:rsidP="006A15F5">
      <w:pPr>
        <w:rPr>
          <w:b/>
        </w:rPr>
      </w:pPr>
    </w:p>
    <w:p w:rsidR="00B1649B" w:rsidRPr="00762D10" w:rsidRDefault="00B1649B" w:rsidP="00B1649B">
      <w:pPr>
        <w:pStyle w:val="BodyTextIndent"/>
        <w:ind w:left="1985" w:hanging="1985"/>
        <w:jc w:val="both"/>
        <w:rPr>
          <w:rFonts w:ascii="Arial" w:hAnsi="Arial" w:cs="Arial"/>
          <w:sz w:val="22"/>
          <w:szCs w:val="22"/>
          <w:lang w:val="es-ES"/>
        </w:rPr>
      </w:pPr>
      <w:r w:rsidRPr="00762D10">
        <w:rPr>
          <w:rFonts w:ascii="Arial" w:hAnsi="Arial" w:cs="Arial"/>
          <w:sz w:val="22"/>
          <w:szCs w:val="22"/>
          <w:lang w:val="es-ES"/>
        </w:rPr>
        <w:t>CONTEXTO DE PLANIFICACI</w:t>
      </w:r>
      <w:r>
        <w:rPr>
          <w:rFonts w:ascii="Arial" w:hAnsi="Arial" w:cs="Arial"/>
          <w:sz w:val="22"/>
          <w:szCs w:val="22"/>
          <w:lang w:val="es-ES"/>
        </w:rPr>
        <w:t>ÓN</w:t>
      </w:r>
    </w:p>
    <w:p w:rsidR="00B1649B" w:rsidRPr="00762D10" w:rsidRDefault="00B1649B" w:rsidP="00B1649B">
      <w:pPr>
        <w:tabs>
          <w:tab w:val="left" w:pos="567"/>
          <w:tab w:val="left" w:pos="1985"/>
        </w:tabs>
        <w:jc w:val="both"/>
        <w:rPr>
          <w:bCs/>
          <w:sz w:val="20"/>
        </w:rPr>
      </w:pPr>
    </w:p>
    <w:p w:rsidR="00B1649B" w:rsidRPr="0071158F" w:rsidRDefault="00B1649B" w:rsidP="00D41E6A">
      <w:pPr>
        <w:numPr>
          <w:ilvl w:val="0"/>
          <w:numId w:val="43"/>
        </w:numPr>
        <w:jc w:val="both"/>
        <w:rPr>
          <w:sz w:val="20"/>
        </w:rPr>
      </w:pPr>
      <w:r w:rsidRPr="0071158F">
        <w:rPr>
          <w:sz w:val="20"/>
        </w:rPr>
        <w:t xml:space="preserve">La adquisición de productos y servicios, así como los viajes, </w:t>
      </w:r>
      <w:r>
        <w:rPr>
          <w:sz w:val="20"/>
        </w:rPr>
        <w:t xml:space="preserve">sigue siendo </w:t>
      </w:r>
      <w:r w:rsidRPr="0071158F">
        <w:rPr>
          <w:sz w:val="20"/>
        </w:rPr>
        <w:t>uno de los gastos no</w:t>
      </w:r>
      <w:r>
        <w:rPr>
          <w:sz w:val="20"/>
        </w:rPr>
        <w:t xml:space="preserve"> relativos al </w:t>
      </w:r>
      <w:r w:rsidRPr="0071158F">
        <w:rPr>
          <w:sz w:val="20"/>
        </w:rPr>
        <w:t>personal más importantes y, por tanto, una esfera en la que es posible aumentar de forma</w:t>
      </w:r>
      <w:r>
        <w:rPr>
          <w:sz w:val="20"/>
        </w:rPr>
        <w:t xml:space="preserve"> </w:t>
      </w:r>
      <w:r w:rsidRPr="0071158F">
        <w:rPr>
          <w:sz w:val="20"/>
        </w:rPr>
        <w:t>considerable la eficiencia y reducir los costos en toda la Organización.</w:t>
      </w:r>
      <w:r>
        <w:rPr>
          <w:sz w:val="20"/>
        </w:rPr>
        <w:t xml:space="preserve">  En consecuencia, los servicios </w:t>
      </w:r>
      <w:r w:rsidRPr="0071158F">
        <w:rPr>
          <w:sz w:val="20"/>
        </w:rPr>
        <w:t>de compras y viajes se centrarán en lograr economías por medio</w:t>
      </w:r>
      <w:r>
        <w:rPr>
          <w:sz w:val="20"/>
        </w:rPr>
        <w:t xml:space="preserve"> de la selección estratégica de proveedores y una mayor</w:t>
      </w:r>
      <w:r w:rsidRPr="0071158F">
        <w:rPr>
          <w:sz w:val="20"/>
        </w:rPr>
        <w:t xml:space="preserve"> eficacia en sus actividades garantizando</w:t>
      </w:r>
      <w:r>
        <w:rPr>
          <w:sz w:val="20"/>
        </w:rPr>
        <w:t xml:space="preserve"> al mismo tiempo a los usuarios </w:t>
      </w:r>
      <w:r w:rsidRPr="0071158F">
        <w:rPr>
          <w:sz w:val="20"/>
        </w:rPr>
        <w:t xml:space="preserve">de toda la Organización un apoyo de alta </w:t>
      </w:r>
      <w:r>
        <w:rPr>
          <w:sz w:val="20"/>
        </w:rPr>
        <w:t>calidad y orientado al cliente.</w:t>
      </w:r>
    </w:p>
    <w:p w:rsidR="00B1649B" w:rsidRPr="0071158F" w:rsidRDefault="00B1649B" w:rsidP="00B1649B">
      <w:pPr>
        <w:jc w:val="both"/>
        <w:rPr>
          <w:sz w:val="20"/>
        </w:rPr>
      </w:pPr>
    </w:p>
    <w:p w:rsidR="00B1649B" w:rsidRPr="00B84289" w:rsidRDefault="00B1649B" w:rsidP="00D41E6A">
      <w:pPr>
        <w:numPr>
          <w:ilvl w:val="0"/>
          <w:numId w:val="43"/>
        </w:numPr>
        <w:jc w:val="both"/>
        <w:rPr>
          <w:sz w:val="20"/>
        </w:rPr>
      </w:pPr>
      <w:r w:rsidRPr="00353936">
        <w:rPr>
          <w:sz w:val="20"/>
        </w:rPr>
        <w:t>Uno de los pr</w:t>
      </w:r>
      <w:r>
        <w:rPr>
          <w:sz w:val="20"/>
        </w:rPr>
        <w:t>incipales desafíos relacionados con la gestión de los locales consiste, en primer lugar, en garantizar un uso óptimo de los espacios de trabajo y de los que están destinados a otras funciones en los locales existentes, con el fin de satisfacer las necesidades de espacio adicional para oficinas, sin alquilar locales adicionales, y, en segundo lugar, realizar una revisión sistemática del uso de los locales existentes (no sólo de los espacios de oficinas) con el fin de convertir algunos de ellos en espacios mejor adaptados a las necesidades de la Organización.</w:t>
      </w:r>
    </w:p>
    <w:p w:rsidR="00B1649B" w:rsidRPr="00353936" w:rsidRDefault="00B1649B" w:rsidP="00B1649B">
      <w:pPr>
        <w:jc w:val="both"/>
        <w:rPr>
          <w:sz w:val="20"/>
        </w:rPr>
      </w:pPr>
    </w:p>
    <w:p w:rsidR="00B1649B" w:rsidRPr="00EC2F2D" w:rsidRDefault="00B1649B" w:rsidP="00D41E6A">
      <w:pPr>
        <w:numPr>
          <w:ilvl w:val="0"/>
          <w:numId w:val="43"/>
        </w:numPr>
        <w:jc w:val="both"/>
        <w:rPr>
          <w:sz w:val="20"/>
        </w:rPr>
      </w:pPr>
      <w:r w:rsidRPr="003F2631">
        <w:rPr>
          <w:sz w:val="20"/>
        </w:rPr>
        <w:t>En el pr</w:t>
      </w:r>
      <w:r>
        <w:rPr>
          <w:sz w:val="20"/>
        </w:rPr>
        <w:t>óximo bienio se continuará con</w:t>
      </w:r>
      <w:r w:rsidRPr="00EC2F2D">
        <w:rPr>
          <w:sz w:val="20"/>
        </w:rPr>
        <w:t xml:space="preserve"> labor iniciada en 2012/13 para garantizar</w:t>
      </w:r>
      <w:r>
        <w:rPr>
          <w:sz w:val="20"/>
        </w:rPr>
        <w:t xml:space="preserve"> que todas las instalaciones técnicas cumplan con </w:t>
      </w:r>
      <w:r w:rsidRPr="003F2631">
        <w:rPr>
          <w:sz w:val="20"/>
        </w:rPr>
        <w:t>las normas aplicables</w:t>
      </w:r>
      <w:r>
        <w:rPr>
          <w:sz w:val="20"/>
        </w:rPr>
        <w:t xml:space="preserve">.  </w:t>
      </w:r>
      <w:r w:rsidRPr="003F2631">
        <w:rPr>
          <w:sz w:val="20"/>
        </w:rPr>
        <w:t>Para ello será necesario</w:t>
      </w:r>
      <w:r>
        <w:rPr>
          <w:sz w:val="20"/>
        </w:rPr>
        <w:t xml:space="preserve"> realizar verificaciones y eventuales mejoras o sustituciones de instalaciones esenciales.</w:t>
      </w:r>
    </w:p>
    <w:p w:rsidR="00B1649B" w:rsidRPr="00EC2F2D" w:rsidRDefault="00B1649B" w:rsidP="00B1649B">
      <w:pPr>
        <w:jc w:val="both"/>
        <w:rPr>
          <w:sz w:val="20"/>
        </w:rPr>
      </w:pPr>
    </w:p>
    <w:p w:rsidR="00B1649B" w:rsidRPr="00D52006" w:rsidRDefault="00B1649B" w:rsidP="00D41E6A">
      <w:pPr>
        <w:numPr>
          <w:ilvl w:val="0"/>
          <w:numId w:val="43"/>
        </w:numPr>
        <w:jc w:val="both"/>
        <w:rPr>
          <w:sz w:val="20"/>
        </w:rPr>
      </w:pPr>
      <w:r w:rsidRPr="001D490F">
        <w:rPr>
          <w:sz w:val="20"/>
        </w:rPr>
        <w:t>Muchos de los edificios perten</w:t>
      </w:r>
      <w:r>
        <w:rPr>
          <w:sz w:val="20"/>
        </w:rPr>
        <w:t>e</w:t>
      </w:r>
      <w:r w:rsidRPr="001D490F">
        <w:rPr>
          <w:sz w:val="20"/>
        </w:rPr>
        <w:t xml:space="preserve">cientes a la OMPI necesitan importantes renovaciones, transformaciones </w:t>
      </w:r>
      <w:r>
        <w:rPr>
          <w:sz w:val="20"/>
        </w:rPr>
        <w:t xml:space="preserve">y/o modernizaciones.  </w:t>
      </w:r>
      <w:r w:rsidRPr="00D52006">
        <w:rPr>
          <w:sz w:val="20"/>
        </w:rPr>
        <w:t>Estas obras son de gran envergadura.  Las más significativas también aportarán una disminución del consumo de energía</w:t>
      </w:r>
      <w:r>
        <w:rPr>
          <w:sz w:val="20"/>
        </w:rPr>
        <w:t xml:space="preserve"> y de </w:t>
      </w:r>
      <w:r w:rsidRPr="00D52006">
        <w:rPr>
          <w:sz w:val="20"/>
        </w:rPr>
        <w:t>la huella de</w:t>
      </w:r>
      <w:r>
        <w:rPr>
          <w:sz w:val="20"/>
        </w:rPr>
        <w:t xml:space="preserve"> </w:t>
      </w:r>
      <w:r w:rsidRPr="00D52006">
        <w:rPr>
          <w:sz w:val="20"/>
        </w:rPr>
        <w:t>carbono</w:t>
      </w:r>
      <w:r>
        <w:rPr>
          <w:sz w:val="20"/>
        </w:rPr>
        <w:t xml:space="preserve"> de los locales, mientras que otras aportarán, como beneficio adicional, la mejora del acceso físico a los locales.</w:t>
      </w:r>
    </w:p>
    <w:p w:rsidR="00B1649B" w:rsidRPr="00D52006" w:rsidRDefault="00B1649B" w:rsidP="00B1649B">
      <w:pPr>
        <w:jc w:val="both"/>
        <w:rPr>
          <w:sz w:val="20"/>
        </w:rPr>
      </w:pPr>
    </w:p>
    <w:p w:rsidR="00B1649B" w:rsidRPr="001533B2" w:rsidRDefault="00B1649B" w:rsidP="00D41E6A">
      <w:pPr>
        <w:numPr>
          <w:ilvl w:val="0"/>
          <w:numId w:val="43"/>
        </w:numPr>
        <w:jc w:val="both"/>
        <w:rPr>
          <w:sz w:val="20"/>
        </w:rPr>
      </w:pPr>
      <w:r w:rsidRPr="00606438">
        <w:rPr>
          <w:sz w:val="20"/>
        </w:rPr>
        <w:t>La responsabilidad ambiental y la responsabilidad social (acceso f</w:t>
      </w:r>
      <w:r>
        <w:rPr>
          <w:sz w:val="20"/>
        </w:rPr>
        <w:t xml:space="preserve">ísico a los locales) fueron planteadas en 2009 en el marco de un proyecto que después fue integrado al </w:t>
      </w:r>
      <w:r w:rsidR="00AE7D43">
        <w:rPr>
          <w:sz w:val="20"/>
        </w:rPr>
        <w:t>Programa de Alineación Estratégica</w:t>
      </w:r>
      <w:r>
        <w:rPr>
          <w:sz w:val="20"/>
        </w:rPr>
        <w:t xml:space="preserve">.  Ambas seguirán formando parte de las </w:t>
      </w:r>
      <w:r w:rsidRPr="001533B2">
        <w:rPr>
          <w:sz w:val="20"/>
        </w:rPr>
        <w:t>prioridades centrales de la Organización</w:t>
      </w:r>
      <w:r>
        <w:rPr>
          <w:sz w:val="20"/>
        </w:rPr>
        <w:t xml:space="preserve"> que serán incorporadas, en particular en este programa</w:t>
      </w:r>
      <w:r w:rsidRPr="001533B2">
        <w:rPr>
          <w:sz w:val="20"/>
        </w:rPr>
        <w:t>.</w:t>
      </w:r>
    </w:p>
    <w:p w:rsidR="00B1649B" w:rsidRPr="00606438" w:rsidRDefault="00B1649B" w:rsidP="00B1649B">
      <w:pPr>
        <w:tabs>
          <w:tab w:val="left" w:pos="567"/>
          <w:tab w:val="left" w:pos="1985"/>
        </w:tabs>
        <w:jc w:val="both"/>
        <w:rPr>
          <w:bCs/>
          <w:sz w:val="20"/>
        </w:rPr>
      </w:pPr>
    </w:p>
    <w:p w:rsidR="00B1649B" w:rsidRPr="00606438" w:rsidRDefault="00B1649B" w:rsidP="00B1649B">
      <w:pPr>
        <w:tabs>
          <w:tab w:val="left" w:pos="567"/>
          <w:tab w:val="left" w:pos="1985"/>
        </w:tabs>
        <w:jc w:val="both"/>
        <w:rPr>
          <w:bCs/>
          <w:sz w:val="20"/>
        </w:rPr>
      </w:pPr>
    </w:p>
    <w:p w:rsidR="00B1649B" w:rsidRPr="003418AD" w:rsidRDefault="00B1649B" w:rsidP="00B1649B">
      <w:pPr>
        <w:jc w:val="both"/>
        <w:rPr>
          <w:szCs w:val="18"/>
        </w:rPr>
      </w:pPr>
      <w:r>
        <w:rPr>
          <w:szCs w:val="18"/>
        </w:rPr>
        <w:t>ESTRATEGIAS DE EJECUCIÓN</w:t>
      </w:r>
    </w:p>
    <w:p w:rsidR="00B1649B" w:rsidRPr="003418AD" w:rsidRDefault="00B1649B" w:rsidP="00B1649B">
      <w:pPr>
        <w:tabs>
          <w:tab w:val="left" w:pos="567"/>
          <w:tab w:val="left" w:pos="1985"/>
        </w:tabs>
        <w:jc w:val="both"/>
        <w:rPr>
          <w:bCs/>
          <w:sz w:val="20"/>
        </w:rPr>
      </w:pPr>
    </w:p>
    <w:p w:rsidR="00B1649B" w:rsidRPr="00B755D7" w:rsidRDefault="00B1649B" w:rsidP="00D41E6A">
      <w:pPr>
        <w:numPr>
          <w:ilvl w:val="0"/>
          <w:numId w:val="43"/>
        </w:numPr>
        <w:jc w:val="both"/>
      </w:pPr>
      <w:r w:rsidRPr="00B755D7">
        <w:rPr>
          <w:sz w:val="20"/>
        </w:rPr>
        <w:t xml:space="preserve">Con el fin de seguir optimizando el costo de los productos y servicios adquiridos por la OMPI, </w:t>
      </w:r>
      <w:r>
        <w:rPr>
          <w:sz w:val="20"/>
        </w:rPr>
        <w:t>durante el próximo bienio se prestará especial atención a la mejora del proceso competitivo de licitación y al estudio de estrategias de reducción de costos.  Esto se llevará a cabo mediante una racionalización</w:t>
      </w:r>
      <w:r w:rsidRPr="00B755D7">
        <w:rPr>
          <w:sz w:val="20"/>
        </w:rPr>
        <w:t xml:space="preserve"> </w:t>
      </w:r>
      <w:r>
        <w:rPr>
          <w:sz w:val="20"/>
        </w:rPr>
        <w:t>de los</w:t>
      </w:r>
      <w:r w:rsidRPr="00B755D7">
        <w:rPr>
          <w:sz w:val="20"/>
        </w:rPr>
        <w:t xml:space="preserve"> gasto</w:t>
      </w:r>
      <w:r>
        <w:rPr>
          <w:sz w:val="20"/>
        </w:rPr>
        <w:t>s en toda la Organización y una</w:t>
      </w:r>
      <w:r w:rsidRPr="00B755D7">
        <w:rPr>
          <w:sz w:val="20"/>
        </w:rPr>
        <w:t xml:space="preserve"> </w:t>
      </w:r>
      <w:r>
        <w:rPr>
          <w:sz w:val="20"/>
        </w:rPr>
        <w:t xml:space="preserve">mejor </w:t>
      </w:r>
      <w:r w:rsidRPr="00B755D7">
        <w:rPr>
          <w:sz w:val="20"/>
        </w:rPr>
        <w:t xml:space="preserve">colaboración </w:t>
      </w:r>
      <w:r>
        <w:rPr>
          <w:sz w:val="20"/>
        </w:rPr>
        <w:t>con otras organizaciones</w:t>
      </w:r>
      <w:r w:rsidRPr="00B755D7">
        <w:rPr>
          <w:sz w:val="20"/>
        </w:rPr>
        <w:t xml:space="preserve"> del sistema de las NN.UU.</w:t>
      </w:r>
      <w:r>
        <w:rPr>
          <w:sz w:val="20"/>
        </w:rPr>
        <w:t xml:space="preserve">  </w:t>
      </w:r>
      <w:r w:rsidRPr="0022408E">
        <w:rPr>
          <w:sz w:val="20"/>
        </w:rPr>
        <w:t>Sobre la base de la labor emprendida</w:t>
      </w:r>
      <w:r>
        <w:rPr>
          <w:sz w:val="20"/>
        </w:rPr>
        <w:t xml:space="preserve"> en el bienio 2012/13, se seguirá estudiando la posibilidad de poner en práctica instrumentos que faciliten el trabajo, como una base datos en la que se registren los contratos de los proveedores, al tiempo que se fomentará la mejora de</w:t>
      </w:r>
      <w:r w:rsidRPr="00C645EA">
        <w:rPr>
          <w:sz w:val="20"/>
        </w:rPr>
        <w:t xml:space="preserve"> la planificación de las compras</w:t>
      </w:r>
      <w:r>
        <w:rPr>
          <w:sz w:val="20"/>
        </w:rPr>
        <w:t>.  En paralelo, se seguirán aplicando medidas para</w:t>
      </w:r>
      <w:r w:rsidRPr="0003167F">
        <w:rPr>
          <w:sz w:val="20"/>
        </w:rPr>
        <w:t xml:space="preserve"> aumentar la eficacia de</w:t>
      </w:r>
      <w:r>
        <w:rPr>
          <w:sz w:val="20"/>
        </w:rPr>
        <w:t xml:space="preserve"> los procesos relativos a las</w:t>
      </w:r>
      <w:r w:rsidRPr="0003167F">
        <w:rPr>
          <w:sz w:val="20"/>
        </w:rPr>
        <w:t xml:space="preserve"> compras y </w:t>
      </w:r>
      <w:r>
        <w:rPr>
          <w:sz w:val="20"/>
        </w:rPr>
        <w:t xml:space="preserve">los </w:t>
      </w:r>
      <w:r w:rsidRPr="0003167F">
        <w:rPr>
          <w:sz w:val="20"/>
        </w:rPr>
        <w:t>viajes</w:t>
      </w:r>
      <w:r>
        <w:rPr>
          <w:sz w:val="20"/>
        </w:rPr>
        <w:t>.  Ello incluirá la incorporación de procesos en materia de viajes mediante la disminución del plazo de las reservas, lo que colocará a la Organización en una situación que le permitirá beneficiarse de mejores tarifas y reducir los gastos de</w:t>
      </w:r>
      <w:r w:rsidRPr="00796726">
        <w:rPr>
          <w:sz w:val="20"/>
        </w:rPr>
        <w:t xml:space="preserve"> la agencia de viajes de la OMPI</w:t>
      </w:r>
      <w:r>
        <w:rPr>
          <w:sz w:val="20"/>
        </w:rPr>
        <w:t xml:space="preserve">.  Se prevén ahorros adicionales en las tasas de las </w:t>
      </w:r>
      <w:r w:rsidRPr="00A9545E">
        <w:rPr>
          <w:sz w:val="20"/>
        </w:rPr>
        <w:t>tarifas aéreas</w:t>
      </w:r>
      <w:r>
        <w:rPr>
          <w:sz w:val="20"/>
        </w:rPr>
        <w:t xml:space="preserve"> y en las transacciones de la agencia de viajes después de la puesta en marcha de un instrumento para la reserva de los billetes aéreos en Internet.  Asimismo, el instrumento de </w:t>
      </w:r>
      <w:r w:rsidRPr="00215BA2">
        <w:rPr>
          <w:sz w:val="20"/>
        </w:rPr>
        <w:t>compra al pago</w:t>
      </w:r>
      <w:r>
        <w:rPr>
          <w:sz w:val="20"/>
        </w:rPr>
        <w:t xml:space="preserve"> permitirá reducir costos mediante la eliminación de compras administrativas de poco valor e innecesarias.</w:t>
      </w:r>
    </w:p>
    <w:p w:rsidR="00B1649B" w:rsidRPr="00B755D7" w:rsidRDefault="00B1649B" w:rsidP="00B1649B">
      <w:pPr>
        <w:ind w:left="6"/>
        <w:jc w:val="both"/>
        <w:rPr>
          <w:sz w:val="20"/>
        </w:rPr>
      </w:pPr>
    </w:p>
    <w:p w:rsidR="00B1649B" w:rsidRPr="002A4136" w:rsidRDefault="00B1649B" w:rsidP="00D41E6A">
      <w:pPr>
        <w:numPr>
          <w:ilvl w:val="0"/>
          <w:numId w:val="43"/>
        </w:numPr>
        <w:jc w:val="both"/>
        <w:rPr>
          <w:sz w:val="20"/>
        </w:rPr>
      </w:pPr>
      <w:r w:rsidRPr="004D508F">
        <w:rPr>
          <w:sz w:val="20"/>
        </w:rPr>
        <w:t>En cuanto</w:t>
      </w:r>
      <w:r>
        <w:rPr>
          <w:sz w:val="20"/>
        </w:rPr>
        <w:t xml:space="preserve"> a la gestión de los locales, una</w:t>
      </w:r>
      <w:r w:rsidRPr="004D508F">
        <w:rPr>
          <w:sz w:val="20"/>
        </w:rPr>
        <w:t xml:space="preserve"> asignación óptima </w:t>
      </w:r>
      <w:r w:rsidR="00425E19">
        <w:rPr>
          <w:sz w:val="20"/>
        </w:rPr>
        <w:t>de los</w:t>
      </w:r>
      <w:r w:rsidRPr="004D508F">
        <w:rPr>
          <w:sz w:val="20"/>
        </w:rPr>
        <w:t xml:space="preserve"> espacio</w:t>
      </w:r>
      <w:r w:rsidR="00425E19">
        <w:rPr>
          <w:sz w:val="20"/>
        </w:rPr>
        <w:t>s</w:t>
      </w:r>
      <w:r w:rsidRPr="004D508F">
        <w:rPr>
          <w:sz w:val="20"/>
        </w:rPr>
        <w:t xml:space="preserve"> de trabajo para albergar a todo</w:t>
      </w:r>
      <w:r>
        <w:rPr>
          <w:sz w:val="20"/>
        </w:rPr>
        <w:t xml:space="preserve"> el personal de la OMPI y un examen del uso </w:t>
      </w:r>
      <w:r w:rsidR="00425E19">
        <w:rPr>
          <w:sz w:val="20"/>
        </w:rPr>
        <w:t>óptimo</w:t>
      </w:r>
      <w:r>
        <w:rPr>
          <w:sz w:val="20"/>
        </w:rPr>
        <w:t xml:space="preserve"> y la conversión o la mejora de algunos espacios que no se utilicen como espacios de trabajo, se llevarán a cabo de manera más fácil y sencilla gracias al establecimiento y la administración de un sistema formal de gestión del espacio.  </w:t>
      </w:r>
      <w:r w:rsidRPr="00E573E9">
        <w:rPr>
          <w:sz w:val="20"/>
        </w:rPr>
        <w:t xml:space="preserve">Con el fin de garantizar la mejora permanente y uniforme de las instalaciones técnicas de los locales de la OMPI, se elaborará un plan general de renovación y mejora de las instalaciones técnicas de todo el recinto de la OMPI sobre la base de una serie </w:t>
      </w:r>
      <w:r>
        <w:rPr>
          <w:sz w:val="20"/>
        </w:rPr>
        <w:t>de</w:t>
      </w:r>
      <w:r w:rsidRPr="00E573E9">
        <w:rPr>
          <w:sz w:val="20"/>
        </w:rPr>
        <w:t xml:space="preserve"> normas de instalaciones </w:t>
      </w:r>
      <w:r w:rsidRPr="00E573E9">
        <w:rPr>
          <w:sz w:val="20"/>
        </w:rPr>
        <w:lastRenderedPageBreak/>
        <w:t>técnicas.</w:t>
      </w:r>
      <w:r>
        <w:rPr>
          <w:sz w:val="20"/>
        </w:rPr>
        <w:t xml:space="preserve">  En este proceso se dará prioridad a las instalaciones esenciales.  La decisión de renovar o mejorar las instalaciones técnicas se basará, entre otras cosas, en la capacidad de las mismas para reducir la repercusión</w:t>
      </w:r>
      <w:r w:rsidRPr="00AA4FD9">
        <w:rPr>
          <w:sz w:val="20"/>
        </w:rPr>
        <w:t xml:space="preserve"> </w:t>
      </w:r>
      <w:r>
        <w:rPr>
          <w:sz w:val="20"/>
        </w:rPr>
        <w:t xml:space="preserve">en el </w:t>
      </w:r>
      <w:r w:rsidRPr="00AA4FD9">
        <w:rPr>
          <w:sz w:val="20"/>
        </w:rPr>
        <w:t>medio</w:t>
      </w:r>
      <w:r>
        <w:rPr>
          <w:sz w:val="20"/>
        </w:rPr>
        <w:t xml:space="preserve"> ambiente y mejorar la accesibilidad física de </w:t>
      </w:r>
      <w:r w:rsidRPr="00421292">
        <w:rPr>
          <w:sz w:val="20"/>
        </w:rPr>
        <w:t>las personas con</w:t>
      </w:r>
      <w:r>
        <w:rPr>
          <w:sz w:val="20"/>
        </w:rPr>
        <w:t xml:space="preserve"> </w:t>
      </w:r>
      <w:r w:rsidRPr="00421292">
        <w:rPr>
          <w:sz w:val="20"/>
        </w:rPr>
        <w:t>discapacidades</w:t>
      </w:r>
      <w:r>
        <w:rPr>
          <w:sz w:val="20"/>
        </w:rPr>
        <w:t>. Por ejemplo, se espera que para el final del bieni</w:t>
      </w:r>
      <w:r w:rsidR="00D724E6">
        <w:rPr>
          <w:sz w:val="20"/>
        </w:rPr>
        <w:t>o se podrá reducir un 4 y un 10%</w:t>
      </w:r>
      <w:r>
        <w:rPr>
          <w:sz w:val="20"/>
        </w:rPr>
        <w:t xml:space="preserve"> del consumo de electricidad y de agua respectivamente como resultado de la adopción de una serie de medidas ecológicas.  Las renovaciones, las transformaciones o modernizaciones más importantes de los locales se realizarán y se administrarán de conformidad con las prioridades que figuran en el p</w:t>
      </w:r>
      <w:r w:rsidRPr="00C077D6">
        <w:rPr>
          <w:sz w:val="20"/>
        </w:rPr>
        <w:t>lan maestro de mejoras de infraestructura</w:t>
      </w:r>
      <w:r>
        <w:rPr>
          <w:sz w:val="20"/>
        </w:rPr>
        <w:t>.  En el próximo bienio este plan prevé reparaciones importantes en el edificio del PCT y el edificio AB.  Con respecto a la puesta en práctica de medidas para la mejora del acceso físico a ciertos edificios de la OMPI, se espera que en el próximo bienio se avance en esta materia de conformidad con el plan quinquenal establecido en 2013 tras la auditoría relativa a la accesibilidad física de 2012, teniendo en cuenta que algunas de esas medidas serán incluidas en el p</w:t>
      </w:r>
      <w:r w:rsidRPr="00C077D6">
        <w:rPr>
          <w:sz w:val="20"/>
        </w:rPr>
        <w:t>lan maestro de mejoras de infraestructura</w:t>
      </w:r>
      <w:r>
        <w:rPr>
          <w:sz w:val="20"/>
        </w:rPr>
        <w:t>.</w:t>
      </w:r>
    </w:p>
    <w:p w:rsidR="00B1649B" w:rsidRPr="004D508F" w:rsidRDefault="00B1649B" w:rsidP="00B1649B">
      <w:pPr>
        <w:tabs>
          <w:tab w:val="left" w:pos="567"/>
          <w:tab w:val="left" w:pos="1985"/>
        </w:tabs>
        <w:jc w:val="both"/>
        <w:rPr>
          <w:bCs/>
          <w:sz w:val="20"/>
        </w:rPr>
      </w:pPr>
    </w:p>
    <w:p w:rsidR="00071180" w:rsidRPr="00B1649B" w:rsidRDefault="00071180" w:rsidP="009F58E5">
      <w:pPr>
        <w:tabs>
          <w:tab w:val="left" w:pos="567"/>
          <w:tab w:val="left" w:pos="1985"/>
        </w:tabs>
        <w:jc w:val="both"/>
        <w:rPr>
          <w:bCs/>
          <w:szCs w:val="22"/>
        </w:rPr>
      </w:pPr>
    </w:p>
    <w:p w:rsidR="009F58E5" w:rsidRPr="00994766" w:rsidRDefault="009F58E5" w:rsidP="009F58E5">
      <w:pPr>
        <w:tabs>
          <w:tab w:val="left" w:pos="567"/>
          <w:tab w:val="left" w:pos="1985"/>
        </w:tabs>
        <w:jc w:val="both"/>
        <w:rPr>
          <w:bCs/>
          <w:szCs w:val="22"/>
          <w:lang w:val="es-ES_tradnl"/>
        </w:rPr>
      </w:pPr>
      <w:r w:rsidRPr="00994766">
        <w:rPr>
          <w:bCs/>
          <w:szCs w:val="22"/>
          <w:lang w:val="es-ES_tradnl"/>
        </w:rPr>
        <w:t>PRINCIPALES RIESGOS Y ESTRATEGIAS DE MITIGACIÓN</w:t>
      </w:r>
    </w:p>
    <w:p w:rsidR="009F58E5" w:rsidRPr="00994766" w:rsidRDefault="009F58E5" w:rsidP="009F58E5">
      <w:pPr>
        <w:tabs>
          <w:tab w:val="left" w:pos="567"/>
          <w:tab w:val="left" w:pos="1985"/>
        </w:tabs>
        <w:jc w:val="both"/>
        <w:rPr>
          <w:bCs/>
          <w:sz w:val="20"/>
          <w:lang w:val="es-ES_tradnl"/>
        </w:rPr>
      </w:pPr>
    </w:p>
    <w:tbl>
      <w:tblPr>
        <w:tblW w:w="0" w:type="auto"/>
        <w:jc w:val="center"/>
        <w:tblInd w:w="55"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600"/>
        <w:gridCol w:w="4632"/>
      </w:tblGrid>
      <w:tr w:rsidR="009F58E5" w:rsidRPr="00D41E6A" w:rsidTr="003C7CC7">
        <w:trPr>
          <w:trHeight w:val="556"/>
          <w:jc w:val="center"/>
        </w:trPr>
        <w:tc>
          <w:tcPr>
            <w:tcW w:w="4604"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8F4F69">
            <w:pPr>
              <w:autoSpaceDE w:val="0"/>
              <w:autoSpaceDN w:val="0"/>
              <w:adjustRightInd w:val="0"/>
              <w:ind w:right="-59"/>
              <w:rPr>
                <w:b/>
                <w:iCs/>
                <w:color w:val="000000"/>
                <w:sz w:val="18"/>
                <w:szCs w:val="18"/>
                <w:lang w:val="es-ES_tradnl"/>
              </w:rPr>
            </w:pPr>
            <w:r w:rsidRPr="00D41E6A">
              <w:rPr>
                <w:b/>
                <w:iCs/>
                <w:color w:val="000000"/>
                <w:sz w:val="18"/>
                <w:szCs w:val="18"/>
                <w:lang w:val="es-ES_tradnl"/>
              </w:rPr>
              <w:t>Riesgos en el logro de los resultados del programa</w:t>
            </w:r>
          </w:p>
        </w:tc>
        <w:tc>
          <w:tcPr>
            <w:tcW w:w="4637" w:type="dxa"/>
            <w:tcBorders>
              <w:top w:val="single" w:sz="4" w:space="0" w:color="auto"/>
              <w:bottom w:val="single" w:sz="4" w:space="0" w:color="auto"/>
            </w:tcBorders>
            <w:shd w:val="clear" w:color="auto" w:fill="CCFFFF"/>
            <w:tcMar>
              <w:top w:w="113" w:type="dxa"/>
              <w:bottom w:w="85" w:type="dxa"/>
            </w:tcMar>
            <w:vAlign w:val="center"/>
          </w:tcPr>
          <w:p w:rsidR="009F58E5" w:rsidRPr="00D41E6A" w:rsidDel="00C90E42" w:rsidRDefault="009F58E5" w:rsidP="008F4F69">
            <w:pPr>
              <w:autoSpaceDE w:val="0"/>
              <w:autoSpaceDN w:val="0"/>
              <w:adjustRightInd w:val="0"/>
              <w:ind w:right="-59"/>
              <w:rPr>
                <w:b/>
                <w:iCs/>
                <w:color w:val="000000"/>
                <w:sz w:val="18"/>
                <w:szCs w:val="18"/>
                <w:lang w:val="es-ES_tradnl"/>
              </w:rPr>
            </w:pPr>
            <w:r w:rsidRPr="00D41E6A">
              <w:rPr>
                <w:b/>
                <w:iCs/>
                <w:color w:val="000000"/>
                <w:sz w:val="18"/>
                <w:szCs w:val="18"/>
                <w:lang w:val="es-ES_tradnl"/>
              </w:rPr>
              <w:t xml:space="preserve">Planes de mitigación ejecutados o en ejecución </w:t>
            </w:r>
          </w:p>
        </w:tc>
      </w:tr>
      <w:tr w:rsidR="009F58E5" w:rsidRPr="00994766" w:rsidTr="003C7CC7">
        <w:trPr>
          <w:trHeight w:val="609"/>
          <w:jc w:val="center"/>
        </w:trPr>
        <w:tc>
          <w:tcPr>
            <w:tcW w:w="4604" w:type="dxa"/>
            <w:tcBorders>
              <w:top w:val="single" w:sz="4" w:space="0" w:color="auto"/>
            </w:tcBorders>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t>Las fallas de los proveedores provocan trastornos en los servicios ofrecidos a los clientes externos.</w:t>
            </w:r>
          </w:p>
        </w:tc>
        <w:tc>
          <w:tcPr>
            <w:tcW w:w="4637" w:type="dxa"/>
            <w:tcBorders>
              <w:top w:val="single" w:sz="4" w:space="0" w:color="auto"/>
            </w:tcBorders>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t>La División de Compras y Contratas y los programas de la OMPI deben establecer un plan de urgencia para los contratos considerados de alto riesgo y esenciales para poder seguir llevando a cabo las actividades.</w:t>
            </w:r>
          </w:p>
          <w:p w:rsidR="009F58E5" w:rsidRPr="00994766" w:rsidRDefault="009F58E5" w:rsidP="008F4F69">
            <w:pPr>
              <w:autoSpaceDE w:val="0"/>
              <w:autoSpaceDN w:val="0"/>
              <w:adjustRightInd w:val="0"/>
              <w:ind w:right="-59"/>
              <w:rPr>
                <w:sz w:val="16"/>
                <w:szCs w:val="16"/>
                <w:lang w:val="es-ES_tradnl"/>
              </w:rPr>
            </w:pPr>
          </w:p>
        </w:tc>
      </w:tr>
      <w:tr w:rsidR="009F58E5" w:rsidRPr="00994766" w:rsidTr="003C7CC7">
        <w:trPr>
          <w:trHeight w:val="1139"/>
          <w:jc w:val="center"/>
        </w:trPr>
        <w:tc>
          <w:tcPr>
            <w:tcW w:w="4604" w:type="dxa"/>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t>Sucesos o incidentes externos impiden la ocupación de uno o más edificios por un período de tiempo prolongado, lo que podría ocasionar trastornos en los servicios externos y dar lugar al desaprovechamiento de los recursos, lo cual afectaría negativamente a la ejecución del programa.</w:t>
            </w:r>
          </w:p>
        </w:tc>
        <w:tc>
          <w:tcPr>
            <w:tcW w:w="4637" w:type="dxa"/>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t>Elaborar un plan de renovación y mantenimiento de gran alcance para todos los edificios y seguir llevando a cabo el mantenimiento periódico de todas las instalaciones técnicas esenciales, o fortalecer dicho mantenimiento según sea necesario.  Examinar y actualizar periódicamente el plan de continuidad de las actividades, y activarlo cuando proceda.  Determinar las posibilidades de disponer de oficinas de apoyo.</w:t>
            </w:r>
          </w:p>
        </w:tc>
      </w:tr>
    </w:tbl>
    <w:p w:rsidR="009F58E5" w:rsidRPr="00994766" w:rsidRDefault="009F58E5" w:rsidP="009F58E5">
      <w:pPr>
        <w:tabs>
          <w:tab w:val="left" w:pos="567"/>
          <w:tab w:val="left" w:pos="1985"/>
        </w:tabs>
        <w:jc w:val="both"/>
        <w:rPr>
          <w:bCs/>
          <w:sz w:val="20"/>
          <w:lang w:val="es-ES_tradnl"/>
        </w:rPr>
      </w:pPr>
    </w:p>
    <w:p w:rsidR="009F58E5" w:rsidRPr="00C75C7E" w:rsidRDefault="009F58E5" w:rsidP="009F58E5">
      <w:pPr>
        <w:tabs>
          <w:tab w:val="left" w:pos="567"/>
          <w:tab w:val="left" w:pos="1985"/>
        </w:tabs>
        <w:jc w:val="both"/>
        <w:rPr>
          <w:bCs/>
          <w:sz w:val="20"/>
          <w:lang w:val="es-ES_tradnl"/>
        </w:rPr>
      </w:pPr>
    </w:p>
    <w:p w:rsidR="009F58E5" w:rsidRPr="00C75C7E" w:rsidRDefault="009F58E5" w:rsidP="009F58E5">
      <w:pPr>
        <w:tabs>
          <w:tab w:val="left" w:pos="567"/>
          <w:tab w:val="left" w:pos="1985"/>
        </w:tabs>
        <w:jc w:val="both"/>
        <w:rPr>
          <w:bCs/>
          <w:sz w:val="20"/>
          <w:lang w:val="es-ES_tradnl"/>
        </w:rPr>
      </w:pPr>
      <w:r w:rsidRPr="00C75C7E">
        <w:rPr>
          <w:bCs/>
          <w:szCs w:val="22"/>
          <w:lang w:val="es-ES_tradnl"/>
        </w:rPr>
        <w:t>MARCO DE RESULTADOS</w:t>
      </w:r>
    </w:p>
    <w:p w:rsidR="009F58E5" w:rsidRPr="00C75C7E" w:rsidRDefault="009F58E5" w:rsidP="009F58E5">
      <w:pPr>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9F58E5" w:rsidRPr="00C75C7E" w:rsidTr="008F4F69">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462"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Indicadores de rendimiento</w:t>
            </w:r>
          </w:p>
        </w:tc>
        <w:tc>
          <w:tcPr>
            <w:tcW w:w="1145" w:type="pct"/>
            <w:tcBorders>
              <w:top w:val="single" w:sz="4" w:space="0" w:color="auto"/>
              <w:bottom w:val="single" w:sz="4" w:space="0" w:color="auto"/>
            </w:tcBorders>
            <w:shd w:val="clear" w:color="auto" w:fill="CCFFFF"/>
            <w:tcMar>
              <w:top w:w="113" w:type="dxa"/>
            </w:tcMar>
            <w:vAlign w:val="center"/>
          </w:tcPr>
          <w:p w:rsidR="009F58E5" w:rsidRPr="00C75C7E" w:rsidRDefault="009F58E5" w:rsidP="003C7CC7">
            <w:pPr>
              <w:spacing w:after="120"/>
              <w:ind w:left="85"/>
              <w:rPr>
                <w:b/>
                <w:bCs/>
                <w:sz w:val="18"/>
                <w:szCs w:val="18"/>
                <w:lang w:val="es-ES_tradnl"/>
              </w:rPr>
            </w:pPr>
            <w:r w:rsidRPr="00C75C7E">
              <w:rPr>
                <w:b/>
                <w:bCs/>
                <w:sz w:val="18"/>
                <w:szCs w:val="18"/>
                <w:lang w:val="es-ES_tradnl"/>
              </w:rPr>
              <w:t>Referencia</w:t>
            </w:r>
          </w:p>
        </w:tc>
        <w:tc>
          <w:tcPr>
            <w:tcW w:w="1144" w:type="pct"/>
            <w:tcBorders>
              <w:top w:val="single" w:sz="4" w:space="0" w:color="auto"/>
              <w:bottom w:val="single" w:sz="4" w:space="0" w:color="auto"/>
            </w:tcBorders>
            <w:shd w:val="clear" w:color="auto" w:fill="CCFFFF"/>
            <w:tcMar>
              <w:top w:w="113" w:type="dxa"/>
            </w:tcMar>
            <w:vAlign w:val="center"/>
          </w:tcPr>
          <w:p w:rsidR="009F58E5" w:rsidRPr="00C75C7E" w:rsidRDefault="009F58E5" w:rsidP="003C7CC7">
            <w:pPr>
              <w:keepNext/>
              <w:keepLines/>
              <w:spacing w:after="120"/>
              <w:ind w:right="111"/>
              <w:rPr>
                <w:b/>
                <w:bCs/>
                <w:sz w:val="18"/>
                <w:szCs w:val="18"/>
                <w:lang w:val="es-ES_tradnl"/>
              </w:rPr>
            </w:pPr>
            <w:r w:rsidRPr="00C75C7E">
              <w:rPr>
                <w:b/>
                <w:bCs/>
                <w:sz w:val="18"/>
                <w:szCs w:val="18"/>
                <w:lang w:val="es-ES_tradnl"/>
              </w:rPr>
              <w:t>Objetivos</w:t>
            </w:r>
          </w:p>
        </w:tc>
      </w:tr>
      <w:tr w:rsidR="009F58E5" w:rsidRPr="00C75C7E" w:rsidTr="008F4F69">
        <w:trPr>
          <w:cantSplit/>
        </w:trPr>
        <w:tc>
          <w:tcPr>
            <w:tcW w:w="1249" w:type="pct"/>
            <w:tcBorders>
              <w:top w:val="single" w:sz="4" w:space="0" w:color="auto"/>
              <w:bottom w:val="nil"/>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VIII.5. La OMPI participa y colabora eficazmente en los procesos y negociaciones de las NN.UU. y otras OIG.</w:t>
            </w:r>
          </w:p>
        </w:tc>
        <w:tc>
          <w:tcPr>
            <w:tcW w:w="1462" w:type="pct"/>
            <w:tcBorders>
              <w:top w:val="single" w:sz="4" w:space="0" w:color="auto"/>
              <w:bottom w:val="nil"/>
            </w:tcBorders>
            <w:shd w:val="clear" w:color="auto" w:fill="auto"/>
            <w:tcMar>
              <w:top w:w="113" w:type="dxa"/>
            </w:tcMar>
          </w:tcPr>
          <w:p w:rsidR="009F58E5" w:rsidRPr="00C75C7E" w:rsidRDefault="009F58E5" w:rsidP="008F4F69">
            <w:pPr>
              <w:rPr>
                <w:bCs/>
                <w:sz w:val="16"/>
                <w:szCs w:val="16"/>
                <w:lang w:val="es-ES_tradnl"/>
              </w:rPr>
            </w:pPr>
            <w:r w:rsidRPr="00C75C7E">
              <w:rPr>
                <w:bCs/>
                <w:sz w:val="16"/>
                <w:szCs w:val="16"/>
                <w:lang w:val="es-ES_tradnl"/>
              </w:rPr>
              <w:t>Recomendaciones del Comité de Alto Nivel sobre Gestión y de las redes subsidiarias que se han dado por aplicadas.</w:t>
            </w:r>
          </w:p>
        </w:tc>
        <w:tc>
          <w:tcPr>
            <w:tcW w:w="1145" w:type="pct"/>
            <w:tcBorders>
              <w:top w:val="single" w:sz="4" w:space="0" w:color="auto"/>
              <w:bottom w:val="nil"/>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Porcentaje de recomendaciones dadas por aplicadas al 1 de enero de 2013.</w:t>
            </w:r>
          </w:p>
        </w:tc>
        <w:tc>
          <w:tcPr>
            <w:tcW w:w="1144" w:type="pct"/>
            <w:tcBorders>
              <w:top w:val="single" w:sz="4" w:space="0" w:color="auto"/>
              <w:bottom w:val="nil"/>
            </w:tcBorders>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Porcentaje de recomendaciones dadas por aplicadas al 31 de  diciembre de 2013.</w:t>
            </w:r>
          </w:p>
        </w:tc>
      </w:tr>
      <w:tr w:rsidR="009F58E5" w:rsidRPr="00C75C7E" w:rsidTr="008F4F69">
        <w:trPr>
          <w:cantSplit/>
          <w:trHeight w:val="638"/>
        </w:trPr>
        <w:tc>
          <w:tcPr>
            <w:tcW w:w="1249" w:type="pct"/>
            <w:tcBorders>
              <w:top w:val="nil"/>
              <w:left w:val="single" w:sz="4" w:space="0" w:color="auto"/>
              <w:bottom w:val="nil"/>
            </w:tcBorders>
            <w:shd w:val="clear" w:color="auto" w:fill="auto"/>
            <w:tcMar>
              <w:top w:w="113" w:type="dxa"/>
            </w:tcMar>
          </w:tcPr>
          <w:p w:rsidR="009F58E5" w:rsidRPr="00C75C7E" w:rsidRDefault="009F58E5" w:rsidP="008F4F69">
            <w:pPr>
              <w:rPr>
                <w:sz w:val="16"/>
                <w:szCs w:val="16"/>
                <w:lang w:val="es-ES_tradnl"/>
              </w:rPr>
            </w:pPr>
          </w:p>
        </w:tc>
        <w:tc>
          <w:tcPr>
            <w:tcW w:w="1462" w:type="pct"/>
            <w:tcBorders>
              <w:top w:val="nil"/>
              <w:bottom w:val="nil"/>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productos y servicios contratados y adquiridos a nivel local en comparación con el importe total de los adquiridos para actividades de desarrollo.</w:t>
            </w:r>
          </w:p>
        </w:tc>
        <w:tc>
          <w:tcPr>
            <w:tcW w:w="1145" w:type="pct"/>
            <w:tcBorders>
              <w:top w:val="nil"/>
              <w:bottom w:val="nil"/>
            </w:tcBorders>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Resultados de 2013.</w:t>
            </w:r>
          </w:p>
        </w:tc>
        <w:tc>
          <w:tcPr>
            <w:tcW w:w="1144" w:type="pct"/>
            <w:tcBorders>
              <w:top w:val="nil"/>
              <w:bottom w:val="nil"/>
              <w:right w:val="single" w:sz="4" w:space="0" w:color="auto"/>
            </w:tcBorders>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2013 + 5%</w:t>
            </w:r>
          </w:p>
        </w:tc>
      </w:tr>
      <w:tr w:rsidR="009F58E5" w:rsidRPr="00C75C7E" w:rsidTr="008F4F69">
        <w:trPr>
          <w:cantSplit/>
          <w:trHeight w:val="60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gastos efectuados con arreglo a las prácticas vigentes en NN.UU. (licitaciones comunes o aprovechamiento de los contratos).</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Resultados de 2013.</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Por determinar.</w:t>
            </w:r>
          </w:p>
        </w:tc>
      </w:tr>
      <w:tr w:rsidR="009F58E5" w:rsidRPr="00C75C7E" w:rsidTr="008F4F69">
        <w:trPr>
          <w:cantSplit/>
        </w:trPr>
        <w:tc>
          <w:tcPr>
            <w:tcW w:w="1249" w:type="pct"/>
            <w:tcBorders>
              <w:top w:val="nil"/>
              <w:left w:val="single" w:sz="4" w:space="0" w:color="auto"/>
              <w:bottom w:val="nil"/>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IX.1   Servicios de </w:t>
            </w:r>
            <w:proofErr w:type="gramStart"/>
            <w:r w:rsidRPr="00C75C7E">
              <w:rPr>
                <w:sz w:val="16"/>
                <w:szCs w:val="16"/>
                <w:lang w:val="es-ES_tradnl"/>
              </w:rPr>
              <w:t>apoyo eficaces, eficientes, de calidad y orientados</w:t>
            </w:r>
            <w:proofErr w:type="gramEnd"/>
            <w:r w:rsidRPr="00C75C7E">
              <w:rPr>
                <w:sz w:val="16"/>
                <w:szCs w:val="16"/>
                <w:lang w:val="es-ES_tradnl"/>
              </w:rPr>
              <w:t xml:space="preserve"> al cliente, tanto a los clientes internos como a las partes interesadas externas.</w:t>
            </w:r>
          </w:p>
        </w:tc>
        <w:tc>
          <w:tcPr>
            <w:tcW w:w="1462" w:type="pct"/>
            <w:tcBorders>
              <w:top w:val="nil"/>
              <w:bottom w:val="nil"/>
            </w:tcBorders>
            <w:shd w:val="clear" w:color="auto" w:fill="auto"/>
            <w:tcMar>
              <w:top w:w="113" w:type="dxa"/>
            </w:tcMar>
          </w:tcPr>
          <w:p w:rsidR="009F58E5" w:rsidRPr="00C75C7E" w:rsidRDefault="009F58E5" w:rsidP="008F4F69">
            <w:pPr>
              <w:rPr>
                <w:bCs/>
                <w:sz w:val="16"/>
                <w:szCs w:val="16"/>
                <w:lang w:val="es-ES_tradnl"/>
              </w:rPr>
            </w:pPr>
            <w:r w:rsidRPr="00C75C7E">
              <w:rPr>
                <w:bCs/>
                <w:sz w:val="16"/>
                <w:szCs w:val="16"/>
                <w:lang w:val="es-ES_tradnl"/>
              </w:rPr>
              <w:t>Disminución de los costos de adquisición de productos y servicios por la OMPI (derivada de solicitudes de ofertas o negociaciones directas).</w:t>
            </w:r>
          </w:p>
        </w:tc>
        <w:tc>
          <w:tcPr>
            <w:tcW w:w="1145" w:type="pct"/>
            <w:tcBorders>
              <w:top w:val="nil"/>
              <w:bottom w:val="nil"/>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Resultados de 2013.</w:t>
            </w:r>
          </w:p>
        </w:tc>
        <w:tc>
          <w:tcPr>
            <w:tcW w:w="1144" w:type="pct"/>
            <w:tcBorders>
              <w:top w:val="nil"/>
              <w:bottom w:val="nil"/>
              <w:right w:val="single" w:sz="4" w:space="0" w:color="auto"/>
            </w:tcBorders>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2013 + 5%</w:t>
            </w:r>
          </w:p>
        </w:tc>
      </w:tr>
      <w:tr w:rsidR="009F58E5" w:rsidRPr="00C75C7E" w:rsidTr="008F4F69">
        <w:trPr>
          <w:cantSplit/>
          <w:trHeight w:val="622"/>
        </w:trPr>
        <w:tc>
          <w:tcPr>
            <w:tcW w:w="1249" w:type="pct"/>
            <w:tcBorders>
              <w:top w:val="nil"/>
            </w:tcBorders>
            <w:shd w:val="clear" w:color="auto" w:fill="auto"/>
            <w:tcMar>
              <w:top w:w="113" w:type="dxa"/>
            </w:tcMar>
          </w:tcPr>
          <w:p w:rsidR="009F58E5" w:rsidRPr="00C75C7E" w:rsidRDefault="009F58E5" w:rsidP="008F4F69">
            <w:pPr>
              <w:rPr>
                <w:sz w:val="16"/>
                <w:szCs w:val="16"/>
                <w:lang w:val="es-ES_tradnl"/>
              </w:rPr>
            </w:pPr>
          </w:p>
        </w:tc>
        <w:tc>
          <w:tcPr>
            <w:tcW w:w="1462" w:type="pct"/>
            <w:tcBorders>
              <w:top w:val="nil"/>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usuarios internos satisfechos con los servicios de adquisiciones.</w:t>
            </w:r>
          </w:p>
        </w:tc>
        <w:tc>
          <w:tcPr>
            <w:tcW w:w="1145" w:type="pct"/>
            <w:tcBorders>
              <w:top w:val="nil"/>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Resultados de 2012.</w:t>
            </w:r>
          </w:p>
        </w:tc>
        <w:tc>
          <w:tcPr>
            <w:tcW w:w="1144" w:type="pct"/>
            <w:tcBorders>
              <w:top w:val="nil"/>
            </w:tcBorders>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2012 + 5%</w:t>
            </w:r>
          </w:p>
        </w:tc>
      </w:tr>
      <w:tr w:rsidR="009F58E5" w:rsidRPr="00C75C7E" w:rsidTr="008F4F69">
        <w:trPr>
          <w:cantSplit/>
          <w:trHeight w:val="778"/>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Tiempo de tramitación de peticiones relativas a los viajes (autorizaciones electrónicas de viaje (e-TA), peticiones electrónicas de actividades (e-ER), visados).</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 xml:space="preserve">Tiempo de tramitación de peticiones relativas a los viajes: </w:t>
            </w:r>
          </w:p>
          <w:p w:rsidR="009F58E5" w:rsidRPr="00C75C7E" w:rsidRDefault="009F58E5" w:rsidP="008F4F69">
            <w:pPr>
              <w:rPr>
                <w:sz w:val="16"/>
                <w:szCs w:val="16"/>
                <w:lang w:val="es-ES_tradnl" w:bidi="th-TH"/>
              </w:rPr>
            </w:pPr>
            <w:r w:rsidRPr="00C75C7E">
              <w:rPr>
                <w:sz w:val="16"/>
                <w:szCs w:val="16"/>
                <w:lang w:val="es-ES_tradnl" w:bidi="th-TH"/>
              </w:rPr>
              <w:t>Autorizaciones electrónicas de viaje = un día</w:t>
            </w:r>
          </w:p>
          <w:p w:rsidR="009F58E5" w:rsidRPr="00C75C7E" w:rsidRDefault="009F58E5" w:rsidP="008F4F69">
            <w:pPr>
              <w:rPr>
                <w:sz w:val="16"/>
                <w:szCs w:val="16"/>
                <w:lang w:val="es-ES_tradnl" w:bidi="th-TH"/>
              </w:rPr>
            </w:pPr>
            <w:r w:rsidRPr="00C75C7E">
              <w:rPr>
                <w:sz w:val="16"/>
                <w:szCs w:val="16"/>
                <w:lang w:val="es-ES_tradnl" w:bidi="th-TH"/>
              </w:rPr>
              <w:t>Peticiones electrónicas de actividades  =  dos horas</w:t>
            </w:r>
          </w:p>
          <w:p w:rsidR="009F58E5" w:rsidRPr="00C75C7E" w:rsidRDefault="009F58E5" w:rsidP="008F4F69">
            <w:pPr>
              <w:rPr>
                <w:sz w:val="16"/>
                <w:szCs w:val="16"/>
                <w:lang w:val="es-ES_tradnl" w:bidi="th-TH"/>
              </w:rPr>
            </w:pPr>
            <w:r w:rsidRPr="00C75C7E">
              <w:rPr>
                <w:sz w:val="16"/>
                <w:szCs w:val="16"/>
                <w:lang w:val="es-ES_tradnl" w:bidi="th-TH"/>
              </w:rPr>
              <w:t>Visados de terceros = dos días (referencia de 2013).</w:t>
            </w:r>
          </w:p>
          <w:p w:rsidR="009F58E5" w:rsidRPr="00C75C7E" w:rsidRDefault="009F58E5" w:rsidP="008F4F69">
            <w:pPr>
              <w:rPr>
                <w:sz w:val="16"/>
                <w:szCs w:val="16"/>
                <w:lang w:val="es-ES_tradnl" w:bidi="th-TH"/>
              </w:rPr>
            </w:pP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Autorizaciones electrónicas de viaje  = medio día</w:t>
            </w:r>
          </w:p>
          <w:p w:rsidR="009F58E5" w:rsidRPr="00C75C7E" w:rsidRDefault="009F58E5" w:rsidP="008F4F69">
            <w:pPr>
              <w:keepNext/>
              <w:keepLines/>
              <w:ind w:right="221"/>
              <w:rPr>
                <w:bCs/>
                <w:sz w:val="16"/>
                <w:szCs w:val="16"/>
                <w:lang w:val="es-ES_tradnl"/>
              </w:rPr>
            </w:pPr>
            <w:r w:rsidRPr="00C75C7E">
              <w:rPr>
                <w:bCs/>
                <w:sz w:val="16"/>
                <w:szCs w:val="16"/>
                <w:lang w:val="es-ES_tradnl"/>
              </w:rPr>
              <w:t>Peticiones electrónicas de actividades = una hora</w:t>
            </w:r>
          </w:p>
          <w:p w:rsidR="009F58E5" w:rsidRPr="00C75C7E" w:rsidRDefault="009F58E5" w:rsidP="008F4F69">
            <w:pPr>
              <w:keepNext/>
              <w:keepLines/>
              <w:ind w:right="221"/>
              <w:rPr>
                <w:bCs/>
                <w:sz w:val="16"/>
                <w:szCs w:val="16"/>
                <w:lang w:val="es-ES_tradnl"/>
              </w:rPr>
            </w:pPr>
            <w:r w:rsidRPr="00C75C7E">
              <w:rPr>
                <w:bCs/>
                <w:sz w:val="16"/>
                <w:szCs w:val="16"/>
                <w:lang w:val="es-ES_tradnl"/>
              </w:rPr>
              <w:t>Visados de terceros = dos días.</w:t>
            </w:r>
          </w:p>
        </w:tc>
      </w:tr>
      <w:tr w:rsidR="009F58E5" w:rsidRPr="00C75C7E" w:rsidTr="008F4F69">
        <w:trPr>
          <w:cantSplit/>
          <w:trHeight w:val="515"/>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Costo medio de los billetes (billetes de la empresa de gestión de viajes y del PNUD).</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Costo (referencia de 2013).</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Reducción del costo medio de los billetes.</w:t>
            </w:r>
          </w:p>
        </w:tc>
      </w:tr>
      <w:tr w:rsidR="009F58E5" w:rsidRPr="00C75C7E" w:rsidTr="008F4F69">
        <w:trPr>
          <w:cantSplit/>
          <w:trHeight w:val="2285"/>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Se administran eficazmente todos los tipos de espacio del recinto de la OMPI (espacios de  trabajo, almacenamiento y archivo).</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Mantenimiento del número de espacios de trabajo en todos los edificios para dar cabida a la ampliación de los servicios y a los cambios en las actividades de la OMPI (número de empleados al final de 2013); máximo de 80 espacios de trabajo alquilados (al final de 2013);  6 áreas de almacenamiento y archivo fuera del recinto (al final de 2013).</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 xml:space="preserve">Máximo de 80 espacios de trabajo alquilados (de un total de 1.582 espacios de trabajo); </w:t>
            </w:r>
          </w:p>
          <w:p w:rsidR="009F58E5" w:rsidRPr="00C75C7E" w:rsidRDefault="009F58E5" w:rsidP="008F4F69">
            <w:pPr>
              <w:keepNext/>
              <w:keepLines/>
              <w:ind w:right="221"/>
              <w:rPr>
                <w:bCs/>
                <w:sz w:val="16"/>
                <w:szCs w:val="16"/>
                <w:lang w:val="es-ES_tradnl"/>
              </w:rPr>
            </w:pPr>
            <w:r w:rsidRPr="00C75C7E">
              <w:rPr>
                <w:bCs/>
                <w:sz w:val="16"/>
                <w:szCs w:val="16"/>
                <w:lang w:val="es-ES_tradnl"/>
              </w:rPr>
              <w:t>6 áreas de almacenamiento y archivo.</w:t>
            </w:r>
          </w:p>
        </w:tc>
      </w:tr>
      <w:tr w:rsidR="009F58E5" w:rsidRPr="00C75C7E" w:rsidTr="008F4F69">
        <w:trPr>
          <w:cantSplit/>
          <w:trHeight w:val="151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highlight w:val="cyan"/>
                <w:lang w:val="es-ES_tradnl"/>
              </w:rPr>
            </w:pPr>
            <w:r w:rsidRPr="00C75C7E">
              <w:rPr>
                <w:sz w:val="16"/>
                <w:szCs w:val="16"/>
                <w:lang w:val="es-ES_tradnl"/>
              </w:rPr>
              <w:t>Se renuevan, modernizan o transforman los edificios del recinto de la OMPI para que sigan sirviendo a los fines establecidos.</w:t>
            </w:r>
          </w:p>
        </w:tc>
        <w:tc>
          <w:tcPr>
            <w:tcW w:w="1145" w:type="pct"/>
            <w:shd w:val="clear" w:color="auto" w:fill="FFFFFF"/>
            <w:tcMar>
              <w:top w:w="113" w:type="dxa"/>
            </w:tcMar>
          </w:tcPr>
          <w:p w:rsidR="009F58E5" w:rsidRPr="00C75C7E" w:rsidRDefault="009F58E5" w:rsidP="00AC049F">
            <w:pPr>
              <w:rPr>
                <w:sz w:val="16"/>
                <w:szCs w:val="16"/>
                <w:lang w:val="es-ES_tradnl" w:bidi="th-TH"/>
              </w:rPr>
            </w:pPr>
            <w:r w:rsidRPr="00C75C7E">
              <w:rPr>
                <w:sz w:val="16"/>
                <w:szCs w:val="16"/>
                <w:lang w:val="es-ES_tradnl" w:bidi="th-TH"/>
              </w:rPr>
              <w:t xml:space="preserve">Plan sexenal para la primera fase de ejecución de la renovación, transformación y modernización </w:t>
            </w:r>
            <w:r w:rsidR="00AC049F">
              <w:rPr>
                <w:sz w:val="16"/>
                <w:szCs w:val="16"/>
                <w:lang w:val="es-ES_tradnl" w:bidi="th-TH"/>
              </w:rPr>
              <w:t xml:space="preserve">de gran alcance </w:t>
            </w:r>
            <w:r w:rsidRPr="00C75C7E">
              <w:rPr>
                <w:sz w:val="16"/>
                <w:szCs w:val="16"/>
                <w:lang w:val="es-ES_tradnl" w:bidi="th-TH"/>
              </w:rPr>
              <w:t>de los locales del recinto de la OMPI que es necesario llevar a cabo.</w:t>
            </w:r>
          </w:p>
        </w:tc>
        <w:tc>
          <w:tcPr>
            <w:tcW w:w="1144" w:type="pct"/>
            <w:shd w:val="clear" w:color="auto" w:fill="auto"/>
            <w:tcMar>
              <w:top w:w="113" w:type="dxa"/>
            </w:tcMar>
          </w:tcPr>
          <w:p w:rsidR="009F58E5" w:rsidRPr="00C75C7E" w:rsidRDefault="009F58E5" w:rsidP="00AC049F">
            <w:pPr>
              <w:keepNext/>
              <w:keepLines/>
              <w:ind w:right="221"/>
              <w:rPr>
                <w:bCs/>
                <w:sz w:val="16"/>
                <w:szCs w:val="16"/>
                <w:lang w:val="es-ES_tradnl"/>
              </w:rPr>
            </w:pPr>
            <w:r w:rsidRPr="00C75C7E">
              <w:rPr>
                <w:bCs/>
                <w:sz w:val="16"/>
                <w:szCs w:val="16"/>
                <w:lang w:val="es-ES_tradnl"/>
              </w:rPr>
              <w:t xml:space="preserve">Ejecución de proyectos de renovación, transformación y modernización </w:t>
            </w:r>
            <w:r w:rsidR="00AC049F">
              <w:rPr>
                <w:bCs/>
                <w:sz w:val="16"/>
                <w:szCs w:val="16"/>
                <w:lang w:val="es-ES_tradnl"/>
              </w:rPr>
              <w:t xml:space="preserve">de gran alcance </w:t>
            </w:r>
            <w:r w:rsidRPr="00C75C7E">
              <w:rPr>
                <w:bCs/>
                <w:sz w:val="16"/>
                <w:szCs w:val="16"/>
                <w:lang w:val="es-ES_tradnl"/>
              </w:rPr>
              <w:t>con arreglo al plan sexenal.</w:t>
            </w:r>
          </w:p>
        </w:tc>
      </w:tr>
      <w:tr w:rsidR="009F58E5" w:rsidRPr="00C75C7E" w:rsidTr="008F4F69">
        <w:trPr>
          <w:cantSplit/>
          <w:trHeight w:val="1027"/>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Todos los tipos de instalaciones técnicas esenciales cumplen las normas técnicas aplicables. </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Las instalaciones técnicas cumplen las normas y definiciones aplicables sobre instalaciones esenciales.</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Verificación o mejora/sustitución (si procede) de instalaciones técnicas esenciales cuando sea necesario.</w:t>
            </w:r>
          </w:p>
          <w:p w:rsidR="009F58E5" w:rsidRPr="00C75C7E" w:rsidRDefault="009F58E5" w:rsidP="008F4F69">
            <w:pPr>
              <w:keepNext/>
              <w:keepLines/>
              <w:ind w:right="221"/>
              <w:rPr>
                <w:bCs/>
                <w:sz w:val="16"/>
                <w:szCs w:val="16"/>
                <w:lang w:val="es-ES_tradnl"/>
              </w:rPr>
            </w:pPr>
          </w:p>
        </w:tc>
      </w:tr>
      <w:tr w:rsidR="009F58E5" w:rsidRPr="00C75C7E" w:rsidTr="008F4F69">
        <w:trPr>
          <w:cantSplit/>
          <w:trHeight w:val="1154"/>
        </w:trPr>
        <w:tc>
          <w:tcPr>
            <w:tcW w:w="1249"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IX.4. Una Organización responsable con el medio ambiente y la sociedad en la que se garantiza la seguridad del personal de la OMPI, los delegados, los visitantes, la información y los activos físicos.</w:t>
            </w: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Mejora de la accesibilidad al recinto de la OMPI.</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Plan quinquenal para la aplicación de las recomendaciones de auditoría en materia de accesibilidad efectuadas en 2012 (plan establecido al final de 2013).</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 xml:space="preserve">Aplicación de las recomendaciones de auditoría con arreglo al plan quinquenal. </w:t>
            </w:r>
          </w:p>
        </w:tc>
      </w:tr>
      <w:tr w:rsidR="009F58E5" w:rsidRPr="00C75C7E" w:rsidTr="008F4F69">
        <w:trPr>
          <w:cantSplit/>
          <w:trHeight w:val="1126"/>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Menor repercusión de los edificios de la OMPI en el medio ambiente. </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Consumo anual de agua y electricidad (al final de 2013)</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Disminución del 4% en el consumo de electricidad y del 10% en el consumo de agua a fines de 2015.</w:t>
            </w:r>
          </w:p>
        </w:tc>
      </w:tr>
      <w:tr w:rsidR="009F58E5" w:rsidRPr="00C75C7E" w:rsidTr="008F4F69">
        <w:trPr>
          <w:cantSplit/>
          <w:trHeight w:val="151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Los locales de la OMPI satisfacen las recomendaciones efectuadas en 2009 por el Instituto de Seguridad (</w:t>
            </w:r>
            <w:proofErr w:type="spellStart"/>
            <w:r w:rsidRPr="00C75C7E">
              <w:rPr>
                <w:sz w:val="16"/>
                <w:szCs w:val="16"/>
                <w:lang w:val="es-ES_tradnl"/>
              </w:rPr>
              <w:t>Neuchatel</w:t>
            </w:r>
            <w:proofErr w:type="spellEnd"/>
            <w:r w:rsidRPr="00C75C7E">
              <w:rPr>
                <w:sz w:val="16"/>
                <w:szCs w:val="16"/>
                <w:lang w:val="es-ES_tradnl"/>
              </w:rPr>
              <w:t>) y las medidas de seguridad del perímetro con arreglo a las normas mínimas operativas de seguridad para las sedes de NN.UU.</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Plan sexenal para la aplicación de las recomendaciones de auditoría efectuadas en 2009 por el Instituto de Seguridad (</w:t>
            </w:r>
            <w:proofErr w:type="spellStart"/>
            <w:r w:rsidRPr="00C75C7E">
              <w:rPr>
                <w:sz w:val="16"/>
                <w:szCs w:val="16"/>
                <w:lang w:val="es-ES_tradnl" w:bidi="th-TH"/>
              </w:rPr>
              <w:t>Neuchatel</w:t>
            </w:r>
            <w:proofErr w:type="spellEnd"/>
            <w:r w:rsidR="00FE7E73">
              <w:rPr>
                <w:sz w:val="16"/>
                <w:szCs w:val="16"/>
                <w:lang w:val="es-ES_tradnl" w:bidi="th-TH"/>
              </w:rPr>
              <w:t>)</w:t>
            </w:r>
            <w:r w:rsidRPr="00C75C7E">
              <w:rPr>
                <w:sz w:val="16"/>
                <w:szCs w:val="16"/>
                <w:lang w:val="es-ES_tradnl" w:bidi="th-TH"/>
              </w:rPr>
              <w:t>.</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Aplicación de las recomendaciones de auditoría con arreglo a la ejecución del plan sexenal y medidas de seguridad del perímetro a fines de 2015.</w:t>
            </w:r>
          </w:p>
        </w:tc>
      </w:tr>
    </w:tbl>
    <w:p w:rsidR="009F58E5" w:rsidRPr="00C75C7E" w:rsidRDefault="009F58E5" w:rsidP="009F58E5">
      <w:pPr>
        <w:rPr>
          <w:sz w:val="20"/>
          <w:lang w:val="es-ES_tradnl"/>
        </w:rPr>
      </w:pPr>
    </w:p>
    <w:p w:rsidR="009F58E5" w:rsidRDefault="009F58E5" w:rsidP="009F58E5">
      <w:pPr>
        <w:rPr>
          <w:sz w:val="20"/>
          <w:highlight w:val="yellow"/>
          <w:lang w:val="es-ES_tradnl"/>
        </w:rPr>
      </w:pPr>
    </w:p>
    <w:p w:rsidR="00B1649B" w:rsidRPr="003F4AA7" w:rsidRDefault="00B1649B" w:rsidP="00E6603F">
      <w:pPr>
        <w:widowControl w:val="0"/>
        <w:rPr>
          <w:sz w:val="20"/>
        </w:rPr>
      </w:pPr>
    </w:p>
    <w:p w:rsidR="00B1649B" w:rsidRPr="003F4AA7" w:rsidRDefault="00B1649B" w:rsidP="00E6603F">
      <w:pPr>
        <w:widowControl w:val="0"/>
        <w:autoSpaceDE w:val="0"/>
        <w:autoSpaceDN w:val="0"/>
        <w:adjustRightInd w:val="0"/>
        <w:jc w:val="both"/>
        <w:rPr>
          <w:szCs w:val="22"/>
        </w:rPr>
      </w:pPr>
      <w:r w:rsidRPr="00ED24BB">
        <w:rPr>
          <w:szCs w:val="22"/>
        </w:rPr>
        <w:t>RECURSOS PARA EL PROGRAMA</w:t>
      </w:r>
      <w:r w:rsidRPr="003F4AA7">
        <w:rPr>
          <w:szCs w:val="22"/>
        </w:rPr>
        <w:t xml:space="preserve"> 24</w:t>
      </w:r>
    </w:p>
    <w:p w:rsidR="00B1649B" w:rsidRPr="003F4AA7" w:rsidRDefault="00B1649B" w:rsidP="00E6603F">
      <w:pPr>
        <w:widowControl w:val="0"/>
        <w:autoSpaceDE w:val="0"/>
        <w:autoSpaceDN w:val="0"/>
        <w:adjustRightInd w:val="0"/>
        <w:rPr>
          <w:sz w:val="20"/>
        </w:rPr>
      </w:pPr>
    </w:p>
    <w:p w:rsidR="00B1649B" w:rsidRPr="00266CB9" w:rsidRDefault="00B1649B" w:rsidP="00D41E6A">
      <w:pPr>
        <w:widowControl w:val="0"/>
        <w:numPr>
          <w:ilvl w:val="0"/>
          <w:numId w:val="43"/>
        </w:numPr>
        <w:jc w:val="both"/>
        <w:rPr>
          <w:sz w:val="20"/>
        </w:rPr>
      </w:pPr>
      <w:r w:rsidRPr="00266CB9">
        <w:rPr>
          <w:sz w:val="20"/>
        </w:rPr>
        <w:t>Los recursos asignados al resultado VIII.5</w:t>
      </w:r>
      <w:r>
        <w:rPr>
          <w:sz w:val="20"/>
        </w:rPr>
        <w:t xml:space="preserve"> (</w:t>
      </w:r>
      <w:r w:rsidRPr="00DF6F69">
        <w:rPr>
          <w:sz w:val="20"/>
        </w:rPr>
        <w:t>La OMPI participa y</w:t>
      </w:r>
      <w:r>
        <w:rPr>
          <w:sz w:val="20"/>
        </w:rPr>
        <w:t xml:space="preserve"> </w:t>
      </w:r>
      <w:r w:rsidRPr="00DF6F69">
        <w:rPr>
          <w:sz w:val="20"/>
        </w:rPr>
        <w:t>colabora eficazmente en los</w:t>
      </w:r>
      <w:r>
        <w:rPr>
          <w:sz w:val="20"/>
        </w:rPr>
        <w:t xml:space="preserve"> </w:t>
      </w:r>
      <w:r w:rsidRPr="00DF6F69">
        <w:rPr>
          <w:sz w:val="20"/>
        </w:rPr>
        <w:t>procesos y negociaciones de</w:t>
      </w:r>
      <w:r>
        <w:rPr>
          <w:sz w:val="20"/>
        </w:rPr>
        <w:t xml:space="preserve"> las NN.UU. y otras OIG) reflejan una atención particular a la colaboración con otras organizaciones del sistema de</w:t>
      </w:r>
      <w:r w:rsidRPr="00266CB9">
        <w:rPr>
          <w:sz w:val="20"/>
        </w:rPr>
        <w:t xml:space="preserve"> </w:t>
      </w:r>
      <w:r>
        <w:rPr>
          <w:sz w:val="20"/>
        </w:rPr>
        <w:t>las NN.UU</w:t>
      </w:r>
      <w:r w:rsidRPr="00266CB9">
        <w:rPr>
          <w:sz w:val="20"/>
        </w:rPr>
        <w:t xml:space="preserve"> </w:t>
      </w:r>
      <w:r>
        <w:rPr>
          <w:sz w:val="20"/>
        </w:rPr>
        <w:t xml:space="preserve">y un apoyo a la Agenda para el Desarrollo de la OMPI en distintos países del mundo mediante la adquisición, </w:t>
      </w:r>
      <w:r w:rsidRPr="00D433D8">
        <w:rPr>
          <w:sz w:val="20"/>
        </w:rPr>
        <w:t>en la medida de lo posible</w:t>
      </w:r>
      <w:r>
        <w:rPr>
          <w:sz w:val="20"/>
        </w:rPr>
        <w:t>, de bienes y servicios</w:t>
      </w:r>
      <w:r w:rsidRPr="00266CB9">
        <w:rPr>
          <w:sz w:val="20"/>
        </w:rPr>
        <w:t xml:space="preserve"> </w:t>
      </w:r>
      <w:r>
        <w:rPr>
          <w:sz w:val="20"/>
        </w:rPr>
        <w:t>locales o regionales.  El aumento se debe fundamentalmente a la asignación de un porcentaje mayor de recursos de personal para lograr este resultado.</w:t>
      </w:r>
    </w:p>
    <w:p w:rsidR="00B1649B" w:rsidRPr="00266CB9" w:rsidRDefault="00B1649B" w:rsidP="00E6603F">
      <w:pPr>
        <w:widowControl w:val="0"/>
        <w:jc w:val="both"/>
        <w:rPr>
          <w:sz w:val="20"/>
        </w:rPr>
      </w:pPr>
    </w:p>
    <w:p w:rsidR="00B1649B" w:rsidRPr="007F34B6" w:rsidRDefault="00B1649B" w:rsidP="00D41E6A">
      <w:pPr>
        <w:widowControl w:val="0"/>
        <w:numPr>
          <w:ilvl w:val="0"/>
          <w:numId w:val="43"/>
        </w:numPr>
        <w:jc w:val="both"/>
        <w:rPr>
          <w:sz w:val="20"/>
        </w:rPr>
      </w:pPr>
      <w:r w:rsidRPr="001F607C">
        <w:rPr>
          <w:sz w:val="20"/>
        </w:rPr>
        <w:t>Los recu</w:t>
      </w:r>
      <w:r>
        <w:rPr>
          <w:sz w:val="20"/>
        </w:rPr>
        <w:t xml:space="preserve">rsos asignados al resultado IX.1 (Servicios de </w:t>
      </w:r>
      <w:proofErr w:type="gramStart"/>
      <w:r w:rsidRPr="003B6A11">
        <w:rPr>
          <w:sz w:val="20"/>
        </w:rPr>
        <w:t>apoyo</w:t>
      </w:r>
      <w:r>
        <w:rPr>
          <w:sz w:val="20"/>
        </w:rPr>
        <w:t xml:space="preserve"> </w:t>
      </w:r>
      <w:r w:rsidRPr="003B6A11">
        <w:rPr>
          <w:sz w:val="20"/>
        </w:rPr>
        <w:t>eficaces, eficientes, de</w:t>
      </w:r>
      <w:r>
        <w:rPr>
          <w:sz w:val="20"/>
        </w:rPr>
        <w:t xml:space="preserve"> calidad y </w:t>
      </w:r>
      <w:r w:rsidRPr="003B6A11">
        <w:rPr>
          <w:sz w:val="20"/>
        </w:rPr>
        <w:t>orientados</w:t>
      </w:r>
      <w:proofErr w:type="gramEnd"/>
      <w:r w:rsidRPr="003B6A11">
        <w:rPr>
          <w:sz w:val="20"/>
        </w:rPr>
        <w:t xml:space="preserve"> al</w:t>
      </w:r>
      <w:r>
        <w:rPr>
          <w:sz w:val="20"/>
        </w:rPr>
        <w:t xml:space="preserve"> </w:t>
      </w:r>
      <w:r w:rsidRPr="003B6A11">
        <w:rPr>
          <w:sz w:val="20"/>
        </w:rPr>
        <w:t>cliente</w:t>
      </w:r>
      <w:r>
        <w:rPr>
          <w:sz w:val="20"/>
        </w:rPr>
        <w:t xml:space="preserve">) han aumentado </w:t>
      </w:r>
      <w:r w:rsidRPr="00C42F47">
        <w:rPr>
          <w:sz w:val="20"/>
        </w:rPr>
        <w:t>fundamentalmente como consecuencia</w:t>
      </w:r>
      <w:r>
        <w:rPr>
          <w:sz w:val="20"/>
        </w:rPr>
        <w:t xml:space="preserve"> de la transferencia de fondos para el pago de los intereses del préstamo para la financiación de la construcción del nuevo edificio.  Estos costos estaban anteriormente presupuestados para el programa 29 y se reflejaban en el aumento de la línea </w:t>
      </w:r>
      <w:r w:rsidRPr="007F34B6">
        <w:rPr>
          <w:sz w:val="20"/>
        </w:rPr>
        <w:t>“Locales y</w:t>
      </w:r>
      <w:r>
        <w:rPr>
          <w:sz w:val="20"/>
        </w:rPr>
        <w:t xml:space="preserve"> </w:t>
      </w:r>
      <w:r w:rsidRPr="007F34B6">
        <w:rPr>
          <w:sz w:val="20"/>
        </w:rPr>
        <w:t>mantenimiento”</w:t>
      </w:r>
      <w:r>
        <w:rPr>
          <w:sz w:val="20"/>
        </w:rPr>
        <w:t>.</w:t>
      </w:r>
    </w:p>
    <w:p w:rsidR="00B1649B" w:rsidRPr="001F607C" w:rsidRDefault="00B1649B" w:rsidP="00E6603F">
      <w:pPr>
        <w:widowControl w:val="0"/>
        <w:jc w:val="both"/>
        <w:rPr>
          <w:sz w:val="20"/>
        </w:rPr>
      </w:pPr>
    </w:p>
    <w:p w:rsidR="00B1649B" w:rsidRPr="00266CB9" w:rsidRDefault="00B1649B" w:rsidP="00D41E6A">
      <w:pPr>
        <w:widowControl w:val="0"/>
        <w:numPr>
          <w:ilvl w:val="0"/>
          <w:numId w:val="43"/>
        </w:numPr>
        <w:jc w:val="both"/>
        <w:rPr>
          <w:sz w:val="20"/>
        </w:rPr>
      </w:pPr>
      <w:r>
        <w:rPr>
          <w:sz w:val="20"/>
        </w:rPr>
        <w:t>Se propone un aumento de l</w:t>
      </w:r>
      <w:r w:rsidRPr="0038261D">
        <w:rPr>
          <w:sz w:val="20"/>
        </w:rPr>
        <w:t>os recursos asignados al resultado IX.4 (</w:t>
      </w:r>
      <w:r>
        <w:rPr>
          <w:sz w:val="20"/>
        </w:rPr>
        <w:t xml:space="preserve">Una Organización </w:t>
      </w:r>
      <w:r w:rsidRPr="0038261D">
        <w:rPr>
          <w:sz w:val="20"/>
        </w:rPr>
        <w:t>responsable con el medio</w:t>
      </w:r>
      <w:r>
        <w:rPr>
          <w:sz w:val="20"/>
        </w:rPr>
        <w:t xml:space="preserve"> ambiente y la </w:t>
      </w:r>
      <w:r w:rsidRPr="0038261D">
        <w:rPr>
          <w:sz w:val="20"/>
        </w:rPr>
        <w:t>sociedad en la</w:t>
      </w:r>
      <w:r>
        <w:rPr>
          <w:sz w:val="20"/>
        </w:rPr>
        <w:t xml:space="preserve"> </w:t>
      </w:r>
      <w:r w:rsidRPr="0038261D">
        <w:rPr>
          <w:sz w:val="20"/>
        </w:rPr>
        <w:t>que se garantiza la</w:t>
      </w:r>
      <w:r>
        <w:rPr>
          <w:sz w:val="20"/>
        </w:rPr>
        <w:t xml:space="preserve"> </w:t>
      </w:r>
      <w:r w:rsidRPr="0038261D">
        <w:rPr>
          <w:sz w:val="20"/>
        </w:rPr>
        <w:t>seguridad del personal de la</w:t>
      </w:r>
      <w:r>
        <w:rPr>
          <w:sz w:val="20"/>
        </w:rPr>
        <w:t xml:space="preserve"> </w:t>
      </w:r>
      <w:r w:rsidRPr="0038261D">
        <w:rPr>
          <w:sz w:val="20"/>
        </w:rPr>
        <w:t>OMPI, los delegados, los</w:t>
      </w:r>
      <w:r>
        <w:rPr>
          <w:sz w:val="20"/>
        </w:rPr>
        <w:t xml:space="preserve"> visitantes, la </w:t>
      </w:r>
      <w:r w:rsidRPr="0038261D">
        <w:rPr>
          <w:sz w:val="20"/>
        </w:rPr>
        <w:t>información y</w:t>
      </w:r>
      <w:r>
        <w:rPr>
          <w:sz w:val="20"/>
        </w:rPr>
        <w:t xml:space="preserve"> </w:t>
      </w:r>
      <w:r w:rsidRPr="0038261D">
        <w:rPr>
          <w:sz w:val="20"/>
        </w:rPr>
        <w:t>los activos físicos</w:t>
      </w:r>
      <w:r>
        <w:rPr>
          <w:sz w:val="20"/>
        </w:rPr>
        <w:t>) para cumplir con la aplicación de las medidas de mejoramiento de la accesibilidad física a ciertos edificios de la OMPI, en virtud de la auditoría relativa a la accesibilidad física de 2012</w:t>
      </w:r>
      <w:r w:rsidRPr="0038261D">
        <w:rPr>
          <w:sz w:val="20"/>
        </w:rPr>
        <w:t>.</w:t>
      </w:r>
      <w:r>
        <w:rPr>
          <w:sz w:val="20"/>
        </w:rPr>
        <w:t xml:space="preserve">  El aumento se debe fundamentalmente a la asignación de un porcentaje mayor de recursos de personal para lograr este resultado.</w:t>
      </w:r>
    </w:p>
    <w:p w:rsidR="00B1649B" w:rsidRPr="0038261D" w:rsidRDefault="00B1649B" w:rsidP="00E6603F">
      <w:pPr>
        <w:widowControl w:val="0"/>
        <w:rPr>
          <w:sz w:val="20"/>
        </w:rPr>
      </w:pPr>
    </w:p>
    <w:p w:rsidR="00B1649B" w:rsidRPr="00B1649B" w:rsidRDefault="00B1649B" w:rsidP="009F58E5">
      <w:pPr>
        <w:rPr>
          <w:sz w:val="20"/>
          <w:highlight w:val="yellow"/>
        </w:rPr>
      </w:pPr>
    </w:p>
    <w:p w:rsidR="009F58E5" w:rsidRPr="00C75C7E" w:rsidRDefault="003C7CC7" w:rsidP="009F58E5">
      <w:pPr>
        <w:keepNext/>
        <w:keepLines/>
        <w:autoSpaceDE w:val="0"/>
        <w:autoSpaceDN w:val="0"/>
        <w:adjustRightInd w:val="0"/>
        <w:ind w:firstLine="567"/>
        <w:jc w:val="center"/>
        <w:rPr>
          <w:b/>
          <w:bCs/>
          <w:iCs/>
          <w:sz w:val="20"/>
          <w:lang w:val="es-ES_tradnl"/>
        </w:rPr>
      </w:pPr>
      <w:r>
        <w:rPr>
          <w:b/>
          <w:bCs/>
          <w:iCs/>
          <w:sz w:val="20"/>
          <w:lang w:val="es-ES_tradnl"/>
        </w:rPr>
        <w:t>Programa 24</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Pr="00C75C7E" w:rsidRDefault="009F58E5" w:rsidP="009F58E5">
      <w:pPr>
        <w:keepNext/>
        <w:keepLines/>
        <w:autoSpaceDE w:val="0"/>
        <w:autoSpaceDN w:val="0"/>
        <w:adjustRightInd w:val="0"/>
        <w:jc w:val="center"/>
        <w:rPr>
          <w:sz w:val="20"/>
          <w:lang w:val="es-ES_tradnl"/>
        </w:rPr>
      </w:pPr>
    </w:p>
    <w:p w:rsidR="009F58E5" w:rsidRPr="00C75C7E" w:rsidRDefault="00C40A11" w:rsidP="009F58E5">
      <w:pPr>
        <w:keepNext/>
        <w:keepLines/>
        <w:rPr>
          <w:sz w:val="20"/>
          <w:lang w:val="es-ES_tradnl"/>
        </w:rPr>
      </w:pPr>
      <w:r>
        <w:rPr>
          <w:noProof/>
          <w:lang w:val="en-US" w:eastAsia="en-US"/>
        </w:rPr>
        <w:drawing>
          <wp:inline distT="0" distB="0" distL="0" distR="0" wp14:anchorId="44E1EE80" wp14:editId="2A878A54">
            <wp:extent cx="5752465" cy="2313305"/>
            <wp:effectExtent l="0" t="0" r="635" b="0"/>
            <wp:docPr id="74"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752465" cy="2313305"/>
                    </a:xfrm>
                    <a:prstGeom prst="rect">
                      <a:avLst/>
                    </a:prstGeom>
                    <a:noFill/>
                    <a:ln>
                      <a:noFill/>
                    </a:ln>
                  </pic:spPr>
                </pic:pic>
              </a:graphicData>
            </a:graphic>
          </wp:inline>
        </w:drawing>
      </w:r>
    </w:p>
    <w:p w:rsidR="009F58E5" w:rsidRPr="00C75C7E" w:rsidRDefault="009F58E5" w:rsidP="009F58E5">
      <w:pPr>
        <w:keepNext/>
        <w:keepLines/>
        <w:rPr>
          <w:sz w:val="20"/>
          <w:lang w:val="es-ES_tradnl"/>
        </w:rPr>
      </w:pPr>
    </w:p>
    <w:p w:rsidR="009F58E5" w:rsidRPr="00C75C7E" w:rsidRDefault="009F58E5" w:rsidP="009F58E5">
      <w:pPr>
        <w:keepNext/>
        <w:keepLines/>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071180">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9F58E5">
      <w:pPr>
        <w:jc w:val="both"/>
        <w:rPr>
          <w:sz w:val="20"/>
          <w:lang w:val="es-ES_tradnl"/>
        </w:rPr>
      </w:pPr>
    </w:p>
    <w:p w:rsidR="009F58E5" w:rsidRPr="00C75C7E" w:rsidRDefault="008D3D36" w:rsidP="009F58E5">
      <w:pPr>
        <w:keepNext/>
        <w:keepLines/>
        <w:autoSpaceDE w:val="0"/>
        <w:autoSpaceDN w:val="0"/>
        <w:adjustRightInd w:val="0"/>
        <w:ind w:firstLine="567"/>
        <w:jc w:val="center"/>
        <w:rPr>
          <w:b/>
          <w:bCs/>
          <w:iCs/>
          <w:sz w:val="20"/>
          <w:lang w:val="es-ES_tradnl"/>
        </w:rPr>
      </w:pPr>
      <w:r>
        <w:rPr>
          <w:b/>
          <w:bCs/>
          <w:iCs/>
          <w:sz w:val="20"/>
          <w:lang w:val="es-ES_tradnl"/>
        </w:rPr>
        <w:lastRenderedPageBreak/>
        <w:t>Programa 24</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9F58E5">
      <w:pPr>
        <w:keepNext/>
        <w:keepLines/>
        <w:jc w:val="center"/>
        <w:rPr>
          <w:sz w:val="20"/>
          <w:lang w:val="es-ES_tradnl"/>
        </w:rPr>
      </w:pPr>
    </w:p>
    <w:p w:rsidR="00EA4CD8" w:rsidRPr="00C75C7E" w:rsidRDefault="00C40A11" w:rsidP="009F58E5">
      <w:pPr>
        <w:keepNext/>
        <w:keepLines/>
        <w:jc w:val="center"/>
        <w:rPr>
          <w:sz w:val="20"/>
          <w:lang w:val="es-ES_tradnl"/>
        </w:rPr>
      </w:pPr>
      <w:r>
        <w:rPr>
          <w:noProof/>
          <w:lang w:val="en-US" w:eastAsia="en-US"/>
        </w:rPr>
        <w:drawing>
          <wp:inline distT="0" distB="0" distL="0" distR="0" wp14:anchorId="2CD28C96" wp14:editId="246828B1">
            <wp:extent cx="5936615" cy="5739130"/>
            <wp:effectExtent l="0" t="0" r="6985"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EA4CD8" w:rsidRDefault="00EA4CD8" w:rsidP="009F58E5">
      <w:pPr>
        <w:keepNext/>
        <w:keepLines/>
        <w:rPr>
          <w:sz w:val="16"/>
          <w:szCs w:val="16"/>
          <w:lang w:val="es-ES_tradnl"/>
        </w:rPr>
      </w:pPr>
    </w:p>
    <w:p w:rsidR="009F58E5" w:rsidRPr="00C75C7E" w:rsidRDefault="009F58E5" w:rsidP="009F58E5">
      <w:pPr>
        <w:keepNext/>
        <w:keepLines/>
        <w:rPr>
          <w:sz w:val="16"/>
          <w:szCs w:val="16"/>
          <w:lang w:val="es-ES_tradnl"/>
        </w:rPr>
      </w:pPr>
      <w:r w:rsidRPr="00C75C7E">
        <w:rPr>
          <w:sz w:val="16"/>
          <w:szCs w:val="16"/>
          <w:lang w:val="es-ES_tradnl"/>
        </w:rPr>
        <w:t>Notas:</w:t>
      </w:r>
    </w:p>
    <w:p w:rsidR="009F58E5" w:rsidRPr="00C75C7E" w:rsidRDefault="009F58E5" w:rsidP="009F58E5">
      <w:pPr>
        <w:keepNext/>
        <w:keepLines/>
        <w:rPr>
          <w:sz w:val="16"/>
          <w:szCs w:val="16"/>
          <w:u w:val="single"/>
          <w:lang w:val="es-ES_tradnl"/>
        </w:rPr>
      </w:pPr>
    </w:p>
    <w:p w:rsidR="009F58E5" w:rsidRPr="00C75C7E" w:rsidRDefault="009F58E5" w:rsidP="009F58E5">
      <w:pPr>
        <w:keepNext/>
        <w:keepLines/>
        <w:spacing w:after="120"/>
        <w:rPr>
          <w:sz w:val="16"/>
          <w:szCs w:val="16"/>
          <w:lang w:val="es-ES_tradnl"/>
        </w:rPr>
      </w:pPr>
      <w:r w:rsidRPr="00C75C7E">
        <w:rPr>
          <w:sz w:val="16"/>
          <w:szCs w:val="16"/>
          <w:lang w:val="es-ES_tradnl"/>
        </w:rPr>
        <w:t xml:space="preserve">1)  El presupuesto aprobado de 2012/13 y el presupuesto de dicho bienio después de las transferencias se </w:t>
      </w:r>
      <w:proofErr w:type="spellStart"/>
      <w:r w:rsidRPr="00C75C7E">
        <w:rPr>
          <w:sz w:val="16"/>
          <w:szCs w:val="16"/>
          <w:lang w:val="es-ES_tradnl"/>
        </w:rPr>
        <w:t>reexpresan</w:t>
      </w:r>
      <w:proofErr w:type="spellEnd"/>
      <w:r w:rsidRPr="00C75C7E">
        <w:rPr>
          <w:sz w:val="16"/>
          <w:szCs w:val="16"/>
          <w:lang w:val="es-ES_tradnl"/>
        </w:rPr>
        <w:t xml:space="preserve"> sobre la base de la estructura de categorías de costos propuesta para 2014/15.</w:t>
      </w:r>
    </w:p>
    <w:p w:rsidR="009F58E5" w:rsidRPr="00C75C7E" w:rsidRDefault="009F58E5" w:rsidP="009F58E5">
      <w:pPr>
        <w:keepNext/>
        <w:keepLines/>
        <w:spacing w:after="120"/>
        <w:rPr>
          <w:sz w:val="16"/>
          <w:szCs w:val="16"/>
          <w:lang w:val="es-ES_tradnl"/>
        </w:rPr>
      </w:pPr>
      <w:r w:rsidRPr="00C75C7E">
        <w:rPr>
          <w:sz w:val="16"/>
          <w:szCs w:val="16"/>
          <w:lang w:val="es-ES_tradnl"/>
        </w:rPr>
        <w:t>2)  El presupuesto después de las transferencias refleja el presupuesto de los programas ajustado tras las transferencias efectuadas en 2012/13 en virtud del artículo 5.5 del Reglamento Financiero. Para más info</w:t>
      </w:r>
      <w:r w:rsidR="00FB6F33">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Pr="00C75C7E" w:rsidRDefault="009F58E5" w:rsidP="00E6603F">
      <w:pPr>
        <w:keepNext/>
        <w:keepLines/>
        <w:spacing w:after="120"/>
        <w:rPr>
          <w:sz w:val="20"/>
          <w:highlight w:val="yellow"/>
          <w:lang w:val="es-ES_tradnl"/>
        </w:rPr>
      </w:pPr>
      <w:r w:rsidRPr="00C75C7E">
        <w:rPr>
          <w:sz w:val="16"/>
          <w:szCs w:val="16"/>
          <w:lang w:val="es-ES_tradnl"/>
        </w:rPr>
        <w:t>3)  Para más información sobre los puestos del programa cabe remitirse al cuadro que figura en el Anexo II.</w:t>
      </w:r>
    </w:p>
    <w:p w:rsidR="00B1649B" w:rsidRPr="00E6603F" w:rsidRDefault="009F58E5" w:rsidP="00E6603F">
      <w:pPr>
        <w:pStyle w:val="Heading3"/>
        <w:tabs>
          <w:tab w:val="left" w:pos="1985"/>
        </w:tabs>
        <w:rPr>
          <w:b/>
          <w:u w:val="none"/>
          <w:lang w:val="es-ES_tradnl"/>
        </w:rPr>
      </w:pPr>
      <w:r w:rsidRPr="00C75C7E">
        <w:rPr>
          <w:sz w:val="20"/>
          <w:lang w:val="es-ES_tradnl"/>
        </w:rPr>
        <w:br w:type="page"/>
      </w:r>
      <w:bookmarkStart w:id="93" w:name="_Toc356567780"/>
      <w:bookmarkStart w:id="94" w:name="_Toc366078749"/>
      <w:r w:rsidR="00E6603F" w:rsidRPr="00E6603F">
        <w:rPr>
          <w:b/>
          <w:u w:val="none"/>
          <w:lang w:val="es-ES_tradnl"/>
        </w:rPr>
        <w:lastRenderedPageBreak/>
        <w:t>PROGRAMA 25</w:t>
      </w:r>
      <w:bookmarkEnd w:id="93"/>
      <w:r w:rsidR="00E6603F">
        <w:rPr>
          <w:b/>
          <w:u w:val="none"/>
          <w:lang w:val="es-ES_tradnl"/>
        </w:rPr>
        <w:tab/>
      </w:r>
      <w:r w:rsidR="00E6603F" w:rsidRPr="00E6603F">
        <w:rPr>
          <w:b/>
          <w:u w:val="none"/>
          <w:lang w:val="es-ES_tradnl"/>
        </w:rPr>
        <w:t>TECNOLOGÍAS DE LA INFORMACIÓN Y DE LAS COMUNICACIONES</w:t>
      </w:r>
      <w:bookmarkEnd w:id="94"/>
    </w:p>
    <w:p w:rsidR="00B1649B" w:rsidRPr="003553E6" w:rsidRDefault="00B1649B" w:rsidP="00B1649B">
      <w:pPr>
        <w:rPr>
          <w:sz w:val="20"/>
        </w:rPr>
      </w:pPr>
    </w:p>
    <w:p w:rsidR="00B1649B" w:rsidRPr="003553E6" w:rsidRDefault="00B1649B" w:rsidP="00B1649B">
      <w:pPr>
        <w:rPr>
          <w:sz w:val="20"/>
        </w:rPr>
      </w:pPr>
    </w:p>
    <w:p w:rsidR="00B1649B" w:rsidRPr="00A522FE" w:rsidRDefault="00B1649B" w:rsidP="00B1649B">
      <w:pPr>
        <w:pStyle w:val="BodyTextIndent"/>
        <w:ind w:left="1985" w:hanging="1985"/>
        <w:jc w:val="both"/>
        <w:rPr>
          <w:rFonts w:ascii="Arial" w:hAnsi="Arial" w:cs="Arial"/>
          <w:sz w:val="22"/>
          <w:szCs w:val="22"/>
        </w:rPr>
      </w:pPr>
      <w:r w:rsidRPr="00762D10">
        <w:rPr>
          <w:rFonts w:ascii="Arial" w:hAnsi="Arial" w:cs="Arial"/>
          <w:sz w:val="22"/>
          <w:szCs w:val="22"/>
          <w:lang w:val="es-ES"/>
        </w:rPr>
        <w:t>CONTEXTO DE PLANIFICACI</w:t>
      </w:r>
      <w:r>
        <w:rPr>
          <w:rFonts w:ascii="Arial" w:hAnsi="Arial" w:cs="Arial"/>
          <w:sz w:val="22"/>
          <w:szCs w:val="22"/>
          <w:lang w:val="es-ES"/>
        </w:rPr>
        <w:t>ÓN</w:t>
      </w:r>
    </w:p>
    <w:p w:rsidR="00B1649B" w:rsidRDefault="00B1649B" w:rsidP="00B1649B">
      <w:pPr>
        <w:tabs>
          <w:tab w:val="left" w:pos="567"/>
          <w:tab w:val="left" w:pos="1985"/>
        </w:tabs>
        <w:jc w:val="both"/>
        <w:rPr>
          <w:bCs/>
          <w:sz w:val="20"/>
        </w:rPr>
      </w:pPr>
    </w:p>
    <w:p w:rsidR="00B1649B" w:rsidRPr="003553E6" w:rsidRDefault="00B1649B" w:rsidP="00D41E6A">
      <w:pPr>
        <w:numPr>
          <w:ilvl w:val="0"/>
          <w:numId w:val="44"/>
        </w:numPr>
        <w:jc w:val="both"/>
        <w:rPr>
          <w:bCs/>
          <w:sz w:val="20"/>
        </w:rPr>
      </w:pPr>
      <w:r w:rsidRPr="003553E6">
        <w:rPr>
          <w:bCs/>
          <w:sz w:val="20"/>
        </w:rPr>
        <w:t>Las tecnologías de la información y de las comunicaciones (TIC)</w:t>
      </w:r>
      <w:r>
        <w:rPr>
          <w:bCs/>
          <w:sz w:val="20"/>
        </w:rPr>
        <w:t xml:space="preserve"> siguen desempeñando dos funciones vitales para la OMPI.  Desde el punto de vista externo, se han convertido en el medio de mayor importancia para la prestación de servicios a sus clientes en el mundo entero.  Entre éstos figuran los servicios de registro, los servicios de infraestructura mundial de P.I., el acceso a informaciones y </w:t>
      </w:r>
      <w:r w:rsidRPr="006E3D9E">
        <w:rPr>
          <w:bCs/>
          <w:sz w:val="20"/>
        </w:rPr>
        <w:t>análisis de P.I.</w:t>
      </w:r>
      <w:r>
        <w:rPr>
          <w:bCs/>
          <w:sz w:val="20"/>
        </w:rPr>
        <w:t>, el acceso a plataformas relativas a la P.I. en el contexto de las cuestiones</w:t>
      </w:r>
      <w:r w:rsidRPr="000F46AE">
        <w:rPr>
          <w:bCs/>
          <w:sz w:val="20"/>
        </w:rPr>
        <w:t xml:space="preserve"> mund</w:t>
      </w:r>
      <w:r>
        <w:rPr>
          <w:bCs/>
          <w:sz w:val="20"/>
        </w:rPr>
        <w:t xml:space="preserve">iales de política </w:t>
      </w:r>
      <w:r w:rsidRPr="000F46AE">
        <w:rPr>
          <w:bCs/>
          <w:sz w:val="20"/>
        </w:rPr>
        <w:t>pública</w:t>
      </w:r>
      <w:r>
        <w:rPr>
          <w:bCs/>
          <w:sz w:val="20"/>
        </w:rPr>
        <w:t xml:space="preserve">, las comunicaciones con los Estados miembros y las partes interesadas mediante </w:t>
      </w:r>
      <w:r w:rsidRPr="000F46AE">
        <w:rPr>
          <w:bCs/>
          <w:sz w:val="20"/>
        </w:rPr>
        <w:t>la difusión por Internet</w:t>
      </w:r>
      <w:r>
        <w:rPr>
          <w:bCs/>
          <w:sz w:val="20"/>
        </w:rPr>
        <w:t xml:space="preserve"> de las reuniones de la OMPI, etc.  Desde el punto de vista interno, las TIC permiten que la OMPI realice sus actividades diarias mediante la prestación de servicios, tales como las telecomunicaciones, el correo electrónico y la tramitación de una amplia gama de transacciones administrativas.  Por lo tanto, las nueve metas estratégicas de la OMPI dependen en gran medida de una infraestructura de TIC y de servicios que sean </w:t>
      </w:r>
      <w:r w:rsidRPr="006D574B">
        <w:rPr>
          <w:bCs/>
          <w:sz w:val="20"/>
        </w:rPr>
        <w:t>fiables y eficaces</w:t>
      </w:r>
      <w:r>
        <w:rPr>
          <w:bCs/>
          <w:sz w:val="20"/>
        </w:rPr>
        <w:t xml:space="preserve"> para la ejecución de los programas.</w:t>
      </w:r>
    </w:p>
    <w:p w:rsidR="00B1649B" w:rsidRPr="003553E6" w:rsidRDefault="00B1649B" w:rsidP="00B1649B">
      <w:pPr>
        <w:tabs>
          <w:tab w:val="num" w:pos="0"/>
        </w:tabs>
        <w:jc w:val="both"/>
        <w:rPr>
          <w:bCs/>
          <w:sz w:val="20"/>
        </w:rPr>
      </w:pPr>
    </w:p>
    <w:p w:rsidR="00B1649B" w:rsidRPr="00420923" w:rsidRDefault="00B1649B" w:rsidP="00D41E6A">
      <w:pPr>
        <w:numPr>
          <w:ilvl w:val="0"/>
          <w:numId w:val="44"/>
        </w:numPr>
        <w:jc w:val="both"/>
        <w:rPr>
          <w:bCs/>
          <w:sz w:val="20"/>
        </w:rPr>
      </w:pPr>
      <w:r>
        <w:rPr>
          <w:bCs/>
          <w:sz w:val="20"/>
        </w:rPr>
        <w:t>El aumento de</w:t>
      </w:r>
      <w:r w:rsidRPr="00420923">
        <w:rPr>
          <w:bCs/>
          <w:sz w:val="20"/>
        </w:rPr>
        <w:t xml:space="preserve"> la importancia</w:t>
      </w:r>
      <w:r>
        <w:rPr>
          <w:bCs/>
          <w:sz w:val="20"/>
        </w:rPr>
        <w:t xml:space="preserve"> de un servicio es proporcional al de las expectativas y responsabilidades que se crean en</w:t>
      </w:r>
      <w:r w:rsidR="002C6A72">
        <w:rPr>
          <w:bCs/>
          <w:sz w:val="20"/>
        </w:rPr>
        <w:t xml:space="preserve"> </w:t>
      </w:r>
      <w:r>
        <w:rPr>
          <w:bCs/>
          <w:sz w:val="20"/>
        </w:rPr>
        <w:t>torno al mismo. Por este motivo, los clientes del mundo entero esperan que los servicios de TIC respondan mejor a sus necesidades y sean cada vez más fiables y seguros ante los desastres naturales y los provocados por el ser humano, incluidos los</w:t>
      </w:r>
      <w:r w:rsidRPr="00420923">
        <w:rPr>
          <w:bCs/>
          <w:sz w:val="20"/>
        </w:rPr>
        <w:t xml:space="preserve"> </w:t>
      </w:r>
      <w:r>
        <w:rPr>
          <w:bCs/>
          <w:sz w:val="20"/>
        </w:rPr>
        <w:t>ataques en Internet.</w:t>
      </w:r>
    </w:p>
    <w:p w:rsidR="00B1649B" w:rsidRPr="00420923" w:rsidRDefault="00B1649B" w:rsidP="00B1649B">
      <w:pPr>
        <w:jc w:val="both"/>
        <w:rPr>
          <w:bCs/>
          <w:sz w:val="20"/>
        </w:rPr>
      </w:pPr>
    </w:p>
    <w:p w:rsidR="00B1649B" w:rsidRPr="00B41C8A" w:rsidRDefault="00B1649B" w:rsidP="00D41E6A">
      <w:pPr>
        <w:numPr>
          <w:ilvl w:val="0"/>
          <w:numId w:val="44"/>
        </w:numPr>
        <w:jc w:val="both"/>
        <w:rPr>
          <w:bCs/>
          <w:sz w:val="20"/>
        </w:rPr>
      </w:pPr>
      <w:r w:rsidRPr="000F61C2">
        <w:rPr>
          <w:bCs/>
          <w:sz w:val="20"/>
        </w:rPr>
        <w:t>En resp</w:t>
      </w:r>
      <w:r>
        <w:rPr>
          <w:bCs/>
          <w:sz w:val="20"/>
        </w:rPr>
        <w:t>uesta a estas expectativas, será</w:t>
      </w:r>
      <w:r w:rsidRPr="000F61C2">
        <w:rPr>
          <w:bCs/>
          <w:sz w:val="20"/>
        </w:rPr>
        <w:t xml:space="preserve"> necesario realizar mayores esfuerzos para reforzar</w:t>
      </w:r>
      <w:r>
        <w:rPr>
          <w:bCs/>
          <w:sz w:val="20"/>
        </w:rPr>
        <w:t xml:space="preserve"> la seguridad de la información, mitigar los riesgos y perfeccionar los </w:t>
      </w:r>
      <w:r w:rsidRPr="00B41C8A">
        <w:rPr>
          <w:bCs/>
          <w:sz w:val="20"/>
        </w:rPr>
        <w:t>mecanismos</w:t>
      </w:r>
      <w:r>
        <w:rPr>
          <w:bCs/>
          <w:sz w:val="20"/>
        </w:rPr>
        <w:t xml:space="preserve"> de la Organización para la</w:t>
      </w:r>
      <w:r w:rsidRPr="00B41C8A">
        <w:rPr>
          <w:bCs/>
          <w:sz w:val="20"/>
        </w:rPr>
        <w:t xml:space="preserve"> continuación de</w:t>
      </w:r>
      <w:r>
        <w:rPr>
          <w:bCs/>
          <w:sz w:val="20"/>
        </w:rPr>
        <w:t xml:space="preserve"> las operaciones y la</w:t>
      </w:r>
      <w:r w:rsidRPr="00B41C8A">
        <w:rPr>
          <w:bCs/>
          <w:sz w:val="20"/>
        </w:rPr>
        <w:t xml:space="preserve"> recuperación en caso de desastre.</w:t>
      </w:r>
      <w:r>
        <w:rPr>
          <w:bCs/>
          <w:sz w:val="20"/>
        </w:rPr>
        <w:t xml:space="preserve">  La creciente oferta de productos y servicios de la OMPI seguirá exigiendo mayor capacidad de respuesta, rendimiento y disponibilidad.</w:t>
      </w:r>
    </w:p>
    <w:p w:rsidR="00B1649B" w:rsidRPr="000F61C2" w:rsidRDefault="00B1649B" w:rsidP="00B1649B">
      <w:pPr>
        <w:jc w:val="both"/>
        <w:rPr>
          <w:bCs/>
          <w:sz w:val="20"/>
        </w:rPr>
      </w:pPr>
    </w:p>
    <w:p w:rsidR="00B1649B" w:rsidRPr="00896CA9" w:rsidRDefault="00B1649B" w:rsidP="00D41E6A">
      <w:pPr>
        <w:numPr>
          <w:ilvl w:val="0"/>
          <w:numId w:val="44"/>
        </w:numPr>
        <w:jc w:val="both"/>
        <w:rPr>
          <w:bCs/>
          <w:sz w:val="20"/>
        </w:rPr>
      </w:pPr>
      <w:r>
        <w:rPr>
          <w:bCs/>
          <w:sz w:val="20"/>
        </w:rPr>
        <w:t>La mejora de los mecanismos para la</w:t>
      </w:r>
      <w:r w:rsidRPr="00B41C8A">
        <w:rPr>
          <w:bCs/>
          <w:sz w:val="20"/>
        </w:rPr>
        <w:t xml:space="preserve"> continuación de</w:t>
      </w:r>
      <w:r>
        <w:rPr>
          <w:bCs/>
          <w:sz w:val="20"/>
        </w:rPr>
        <w:t xml:space="preserve"> las operaciones, de la</w:t>
      </w:r>
      <w:r w:rsidRPr="00B41C8A">
        <w:rPr>
          <w:bCs/>
          <w:sz w:val="20"/>
        </w:rPr>
        <w:t xml:space="preserve"> recuperación en caso de desastre</w:t>
      </w:r>
      <w:r>
        <w:rPr>
          <w:bCs/>
          <w:sz w:val="20"/>
        </w:rPr>
        <w:t xml:space="preserve"> y de la capacidad de respuesta requiere reestructurar algunos sistemas operativos esenciales, así como la base de la infraestructura de las TIC.  Por lo tanto, se necesitarán medidas adicionales para mejorar la capacidad de respuesta de la Organización ante el riesgo creciente de ataques en Internet.</w:t>
      </w:r>
    </w:p>
    <w:p w:rsidR="00B1649B" w:rsidRPr="00896CA9" w:rsidRDefault="00B1649B" w:rsidP="00B1649B">
      <w:pPr>
        <w:jc w:val="both"/>
        <w:rPr>
          <w:bCs/>
          <w:sz w:val="20"/>
        </w:rPr>
      </w:pPr>
    </w:p>
    <w:p w:rsidR="00B1649B" w:rsidRPr="00844CC1" w:rsidRDefault="00B1649B" w:rsidP="00D41E6A">
      <w:pPr>
        <w:numPr>
          <w:ilvl w:val="0"/>
          <w:numId w:val="44"/>
        </w:numPr>
        <w:jc w:val="both"/>
        <w:rPr>
          <w:bCs/>
          <w:sz w:val="20"/>
        </w:rPr>
      </w:pPr>
      <w:r w:rsidRPr="00844CC1">
        <w:rPr>
          <w:bCs/>
          <w:sz w:val="20"/>
        </w:rPr>
        <w:t xml:space="preserve">A medida que </w:t>
      </w:r>
      <w:r>
        <w:rPr>
          <w:bCs/>
          <w:sz w:val="20"/>
        </w:rPr>
        <w:t xml:space="preserve">el proyecto de </w:t>
      </w:r>
      <w:r w:rsidRPr="00844CC1">
        <w:rPr>
          <w:bCs/>
          <w:sz w:val="20"/>
        </w:rPr>
        <w:t>planificación de los recursos institucionales</w:t>
      </w:r>
      <w:r>
        <w:rPr>
          <w:bCs/>
          <w:sz w:val="20"/>
        </w:rPr>
        <w:t xml:space="preserve"> vaya aportando soluciones, adquirirá mayor importancia en las operaciones diarias de la Organización.  A medida que los usuarios accedan a una serie de aplicaciones para realizar </w:t>
      </w:r>
      <w:r w:rsidRPr="004A1588">
        <w:rPr>
          <w:bCs/>
          <w:sz w:val="20"/>
        </w:rPr>
        <w:t>sus labores diarias, los métodos de acceso que sean coherentes y seguros adquirirán una importancia</w:t>
      </w:r>
      <w:r>
        <w:rPr>
          <w:bCs/>
          <w:sz w:val="20"/>
        </w:rPr>
        <w:t xml:space="preserve"> fundamental.</w:t>
      </w:r>
    </w:p>
    <w:p w:rsidR="00B1649B" w:rsidRPr="00844CC1" w:rsidRDefault="00B1649B" w:rsidP="00B1649B">
      <w:pPr>
        <w:jc w:val="both"/>
        <w:rPr>
          <w:bCs/>
          <w:sz w:val="20"/>
        </w:rPr>
      </w:pPr>
    </w:p>
    <w:p w:rsidR="00B1649B" w:rsidRPr="00DA47D8" w:rsidRDefault="00B1649B" w:rsidP="00D41E6A">
      <w:pPr>
        <w:numPr>
          <w:ilvl w:val="0"/>
          <w:numId w:val="44"/>
        </w:numPr>
        <w:jc w:val="both"/>
        <w:rPr>
          <w:bCs/>
          <w:szCs w:val="24"/>
        </w:rPr>
      </w:pPr>
      <w:r w:rsidRPr="00DA47D8">
        <w:rPr>
          <w:bCs/>
          <w:sz w:val="20"/>
        </w:rPr>
        <w:t xml:space="preserve">La creación de un ecosistema de TIC </w:t>
      </w:r>
      <w:r>
        <w:rPr>
          <w:bCs/>
          <w:sz w:val="20"/>
        </w:rPr>
        <w:t xml:space="preserve">dinámico y sostenible en el seno de la OMPI requerirá en permanencia los servicios de socios externos y amplias subcontrataciones.  Un desafío particular para el programa será contener los costos y al mismo tiempo mantenerse preparado para atender rápidamente las crecientes demandas.  A corto plazo, la subcontratación no disminuirá los costos de manera significativa.  Por lo tanto, será necesario realizar esfuerzos adicionales para atender las necesidades de inversión de la Organización en las TIC, así como para determinar métodos innovadores para utilizar y aprovechar los servicios económicos de </w:t>
      </w:r>
      <w:r w:rsidRPr="006354FA">
        <w:rPr>
          <w:bCs/>
          <w:sz w:val="20"/>
        </w:rPr>
        <w:t>proveedores</w:t>
      </w:r>
      <w:r>
        <w:rPr>
          <w:bCs/>
          <w:sz w:val="20"/>
        </w:rPr>
        <w:t xml:space="preserve"> externos.</w:t>
      </w:r>
    </w:p>
    <w:p w:rsidR="00B1649B" w:rsidRPr="00DA47D8" w:rsidRDefault="00B1649B" w:rsidP="00B1649B">
      <w:pPr>
        <w:tabs>
          <w:tab w:val="left" w:pos="567"/>
          <w:tab w:val="left" w:pos="1985"/>
        </w:tabs>
        <w:jc w:val="both"/>
        <w:rPr>
          <w:bCs/>
          <w:sz w:val="20"/>
        </w:rPr>
      </w:pPr>
    </w:p>
    <w:p w:rsidR="00B1649B" w:rsidRPr="00DA47D8" w:rsidRDefault="00B1649B" w:rsidP="00B1649B">
      <w:pPr>
        <w:tabs>
          <w:tab w:val="left" w:pos="567"/>
          <w:tab w:val="left" w:pos="1985"/>
        </w:tabs>
        <w:jc w:val="both"/>
        <w:rPr>
          <w:bCs/>
          <w:sz w:val="20"/>
        </w:rPr>
      </w:pPr>
    </w:p>
    <w:p w:rsidR="00B1649B" w:rsidRPr="00CE0201" w:rsidRDefault="00B1649B" w:rsidP="00B1649B">
      <w:pPr>
        <w:tabs>
          <w:tab w:val="left" w:pos="567"/>
          <w:tab w:val="left" w:pos="1985"/>
        </w:tabs>
        <w:jc w:val="both"/>
        <w:rPr>
          <w:bCs/>
          <w:szCs w:val="22"/>
        </w:rPr>
      </w:pPr>
      <w:r>
        <w:rPr>
          <w:szCs w:val="18"/>
        </w:rPr>
        <w:t>ESTRATEGIAS DE EJECUCIÓN</w:t>
      </w:r>
    </w:p>
    <w:p w:rsidR="00B1649B" w:rsidRPr="00CE0201" w:rsidRDefault="00B1649B" w:rsidP="00B1649B">
      <w:pPr>
        <w:tabs>
          <w:tab w:val="left" w:pos="567"/>
          <w:tab w:val="left" w:pos="1985"/>
        </w:tabs>
        <w:jc w:val="both"/>
        <w:rPr>
          <w:bCs/>
          <w:sz w:val="20"/>
        </w:rPr>
      </w:pPr>
    </w:p>
    <w:p w:rsidR="00B1649B" w:rsidRPr="004903AE" w:rsidRDefault="00B1649B" w:rsidP="00D41E6A">
      <w:pPr>
        <w:numPr>
          <w:ilvl w:val="0"/>
          <w:numId w:val="44"/>
        </w:numPr>
        <w:jc w:val="both"/>
        <w:rPr>
          <w:bCs/>
          <w:sz w:val="20"/>
        </w:rPr>
      </w:pPr>
      <w:r w:rsidRPr="0070451F">
        <w:rPr>
          <w:bCs/>
          <w:sz w:val="20"/>
        </w:rPr>
        <w:t xml:space="preserve">La organización interna del </w:t>
      </w:r>
      <w:r>
        <w:rPr>
          <w:bCs/>
          <w:sz w:val="20"/>
        </w:rPr>
        <w:t>departamento de t</w:t>
      </w:r>
      <w:r w:rsidRPr="0070451F">
        <w:rPr>
          <w:bCs/>
          <w:sz w:val="20"/>
        </w:rPr>
        <w:t>ecn</w:t>
      </w:r>
      <w:r>
        <w:rPr>
          <w:bCs/>
          <w:sz w:val="20"/>
        </w:rPr>
        <w:t xml:space="preserve">ologías de la información y de las comunicaciones está en consonancia con las nuevas exigencias.  Se creará una unidad para la </w:t>
      </w:r>
      <w:r w:rsidRPr="004903AE">
        <w:rPr>
          <w:bCs/>
          <w:sz w:val="20"/>
        </w:rPr>
        <w:t>arquitectura organizativa</w:t>
      </w:r>
      <w:r>
        <w:rPr>
          <w:bCs/>
          <w:sz w:val="20"/>
        </w:rPr>
        <w:t xml:space="preserve"> y la gestión de los programas que estará encargada de coordinar las labores de reestructuración y de velar por que todas las decisiones relativas a las soluciones, las tecnologías y los productos correspondan al tipo de arquitectura organizativa seleccionado, a las normas del mismo y a las necesidades operativas.  Se asignarán recursos adicionales para ampliar el alcance de la seguridad de la información y fortalecer su capacidad para proporcionar una </w:t>
      </w:r>
      <w:r w:rsidRPr="009E6F00">
        <w:rPr>
          <w:bCs/>
          <w:sz w:val="20"/>
        </w:rPr>
        <w:t>garantía razonable</w:t>
      </w:r>
      <w:r>
        <w:rPr>
          <w:bCs/>
          <w:sz w:val="20"/>
        </w:rPr>
        <w:t xml:space="preserve"> y </w:t>
      </w:r>
      <w:r>
        <w:rPr>
          <w:bCs/>
          <w:sz w:val="20"/>
        </w:rPr>
        <w:lastRenderedPageBreak/>
        <w:t xml:space="preserve">control interno.  Las actividades del </w:t>
      </w:r>
      <w:r w:rsidRPr="001E43F5">
        <w:rPr>
          <w:bCs/>
          <w:sz w:val="20"/>
        </w:rPr>
        <w:t>Servicio Técnico de T.I.</w:t>
      </w:r>
      <w:r>
        <w:rPr>
          <w:bCs/>
          <w:sz w:val="20"/>
        </w:rPr>
        <w:t xml:space="preserve"> se centrarán en la cooperación con  socios estratégicos.  Se prevé que la extensión de las alianzas aporte mayor </w:t>
      </w:r>
      <w:r w:rsidRPr="0029503B">
        <w:rPr>
          <w:bCs/>
          <w:sz w:val="20"/>
        </w:rPr>
        <w:t>eficacia en función</w:t>
      </w:r>
      <w:r>
        <w:rPr>
          <w:bCs/>
          <w:sz w:val="20"/>
        </w:rPr>
        <w:t xml:space="preserve"> de </w:t>
      </w:r>
      <w:r w:rsidRPr="0029503B">
        <w:rPr>
          <w:bCs/>
          <w:sz w:val="20"/>
        </w:rPr>
        <w:t>los costos</w:t>
      </w:r>
      <w:r>
        <w:rPr>
          <w:bCs/>
          <w:sz w:val="20"/>
        </w:rPr>
        <w:t xml:space="preserve"> y capacidad de respuesta geográfica. Es necesario fortalecer la seguridad de la información  para ampliar la subcontratación.  Se mejorarán los controles y se pondrán en práctica nuevos instrumentos. La Organización adoptará de manera selectiva normas en materia de certificación, como la certificación ISO, con el fin de obtener una </w:t>
      </w:r>
      <w:r w:rsidRPr="001840A3">
        <w:rPr>
          <w:bCs/>
          <w:sz w:val="20"/>
        </w:rPr>
        <w:t>validación independiente</w:t>
      </w:r>
      <w:r>
        <w:rPr>
          <w:bCs/>
          <w:sz w:val="20"/>
        </w:rPr>
        <w:t xml:space="preserve"> de sus marcos regla</w:t>
      </w:r>
      <w:r w:rsidR="002C6A72">
        <w:rPr>
          <w:bCs/>
          <w:sz w:val="20"/>
        </w:rPr>
        <w:t>mentario</w:t>
      </w:r>
      <w:r>
        <w:rPr>
          <w:bCs/>
          <w:sz w:val="20"/>
        </w:rPr>
        <w:t>s, procedimientos e instrumentos.</w:t>
      </w:r>
    </w:p>
    <w:p w:rsidR="00B1649B" w:rsidRPr="0070451F" w:rsidRDefault="00B1649B" w:rsidP="00B1649B">
      <w:pPr>
        <w:tabs>
          <w:tab w:val="num" w:pos="709"/>
        </w:tabs>
        <w:jc w:val="both"/>
        <w:rPr>
          <w:bCs/>
          <w:sz w:val="20"/>
        </w:rPr>
      </w:pPr>
    </w:p>
    <w:p w:rsidR="003B21E7" w:rsidRPr="00691F6D" w:rsidRDefault="003B21E7" w:rsidP="009F58E5">
      <w:pPr>
        <w:keepNext/>
        <w:keepLines/>
        <w:tabs>
          <w:tab w:val="left" w:pos="567"/>
          <w:tab w:val="left" w:pos="1985"/>
        </w:tabs>
        <w:jc w:val="both"/>
        <w:rPr>
          <w:bCs/>
          <w:szCs w:val="22"/>
        </w:rPr>
      </w:pPr>
    </w:p>
    <w:p w:rsidR="009F58E5" w:rsidRPr="003B21E7" w:rsidRDefault="003B21E7" w:rsidP="009F58E5">
      <w:pPr>
        <w:keepNext/>
        <w:keepLines/>
        <w:tabs>
          <w:tab w:val="left" w:pos="567"/>
          <w:tab w:val="left" w:pos="1985"/>
        </w:tabs>
        <w:jc w:val="both"/>
        <w:rPr>
          <w:bCs/>
          <w:szCs w:val="22"/>
        </w:rPr>
      </w:pPr>
      <w:r w:rsidRPr="00994766">
        <w:rPr>
          <w:bCs/>
          <w:szCs w:val="22"/>
          <w:lang w:val="es-ES_tradnl"/>
        </w:rPr>
        <w:t>PRINCIPALES RIESGOS Y ESTRATEGIAS DE MITIGACIÓN</w:t>
      </w:r>
    </w:p>
    <w:p w:rsidR="009F58E5" w:rsidRPr="003B21E7" w:rsidRDefault="009F58E5" w:rsidP="009F58E5">
      <w:pPr>
        <w:keepNext/>
        <w:keepLines/>
        <w:tabs>
          <w:tab w:val="left" w:pos="567"/>
          <w:tab w:val="left" w:pos="1985"/>
        </w:tabs>
        <w:jc w:val="both"/>
        <w:rPr>
          <w:bCs/>
          <w:sz w:val="20"/>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18"/>
        <w:gridCol w:w="4861"/>
      </w:tblGrid>
      <w:tr w:rsidR="009F58E5" w:rsidRPr="00D41E6A" w:rsidTr="008D3D36">
        <w:trPr>
          <w:trHeight w:val="476"/>
        </w:trPr>
        <w:tc>
          <w:tcPr>
            <w:tcW w:w="4400"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8F4F69">
            <w:pPr>
              <w:keepNext/>
              <w:keepLines/>
              <w:autoSpaceDE w:val="0"/>
              <w:autoSpaceDN w:val="0"/>
              <w:adjustRightInd w:val="0"/>
              <w:ind w:right="-59"/>
              <w:jc w:val="center"/>
              <w:rPr>
                <w:b/>
                <w:iCs/>
                <w:color w:val="000000"/>
                <w:sz w:val="18"/>
                <w:szCs w:val="18"/>
                <w:lang w:val="es-ES_tradnl"/>
              </w:rPr>
            </w:pPr>
            <w:r w:rsidRPr="00D41E6A">
              <w:rPr>
                <w:b/>
                <w:iCs/>
                <w:color w:val="000000"/>
                <w:sz w:val="18"/>
                <w:szCs w:val="18"/>
                <w:lang w:val="es-ES_tradnl"/>
              </w:rPr>
              <w:t>Riesgos en el logro de los resultados del programa</w:t>
            </w:r>
          </w:p>
        </w:tc>
        <w:tc>
          <w:tcPr>
            <w:tcW w:w="4956"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8D3D36">
            <w:pPr>
              <w:keepNext/>
              <w:keepLines/>
              <w:autoSpaceDE w:val="0"/>
              <w:autoSpaceDN w:val="0"/>
              <w:adjustRightInd w:val="0"/>
              <w:ind w:right="-59"/>
              <w:rPr>
                <w:b/>
                <w:iCs/>
                <w:color w:val="000000"/>
                <w:sz w:val="18"/>
                <w:szCs w:val="18"/>
                <w:lang w:val="es-ES_tradnl"/>
              </w:rPr>
            </w:pPr>
            <w:r w:rsidRPr="00D41E6A">
              <w:rPr>
                <w:b/>
                <w:iCs/>
                <w:color w:val="000000"/>
                <w:sz w:val="18"/>
                <w:szCs w:val="18"/>
                <w:lang w:val="es-ES_tradnl"/>
              </w:rPr>
              <w:t xml:space="preserve">Planes de mitigación ejecutados o en ejecución </w:t>
            </w:r>
          </w:p>
        </w:tc>
      </w:tr>
      <w:tr w:rsidR="009F58E5" w:rsidRPr="00994766" w:rsidTr="008D3D36">
        <w:trPr>
          <w:trHeight w:val="985"/>
        </w:trPr>
        <w:tc>
          <w:tcPr>
            <w:tcW w:w="4400" w:type="dxa"/>
            <w:tcBorders>
              <w:top w:val="single" w:sz="4" w:space="0" w:color="auto"/>
            </w:tcBorders>
            <w:shd w:val="clear" w:color="auto" w:fill="auto"/>
            <w:tcMar>
              <w:top w:w="113" w:type="dxa"/>
              <w:bottom w:w="85" w:type="dxa"/>
            </w:tcMar>
          </w:tcPr>
          <w:p w:rsidR="009F58E5" w:rsidRPr="00994766" w:rsidRDefault="009F58E5" w:rsidP="008F4F69">
            <w:pPr>
              <w:keepNext/>
              <w:autoSpaceDE w:val="0"/>
              <w:autoSpaceDN w:val="0"/>
              <w:adjustRightInd w:val="0"/>
              <w:ind w:right="-59"/>
              <w:rPr>
                <w:sz w:val="16"/>
                <w:szCs w:val="16"/>
                <w:lang w:val="es-ES_tradnl"/>
              </w:rPr>
            </w:pPr>
            <w:r w:rsidRPr="00994766">
              <w:rPr>
                <w:sz w:val="16"/>
                <w:szCs w:val="16"/>
                <w:lang w:val="es-ES_tradnl"/>
              </w:rPr>
              <w:t>Si el sistema del PCT y los sistemas de información conexos experimentan un nivel inaceptable de interrupciones, no se podrían aceptar las solicitudes presentadas y, en consecuencia, se producirían efectos negativos en la tramitación y publicación de las solicitudes PCT.  La reputación se vería afectada negativamente.</w:t>
            </w:r>
          </w:p>
        </w:tc>
        <w:tc>
          <w:tcPr>
            <w:tcW w:w="4956" w:type="dxa"/>
            <w:tcBorders>
              <w:top w:val="single" w:sz="4" w:space="0" w:color="auto"/>
            </w:tcBorders>
            <w:shd w:val="clear" w:color="auto" w:fill="auto"/>
            <w:tcMar>
              <w:top w:w="113" w:type="dxa"/>
              <w:bottom w:w="85" w:type="dxa"/>
            </w:tcMar>
          </w:tcPr>
          <w:p w:rsidR="009F58E5" w:rsidRPr="00994766" w:rsidRDefault="009F58E5" w:rsidP="008F4F69">
            <w:pPr>
              <w:keepNext/>
              <w:autoSpaceDE w:val="0"/>
              <w:autoSpaceDN w:val="0"/>
              <w:adjustRightInd w:val="0"/>
              <w:ind w:right="-59"/>
              <w:rPr>
                <w:sz w:val="16"/>
                <w:szCs w:val="16"/>
                <w:lang w:val="es-ES_tradnl"/>
              </w:rPr>
            </w:pPr>
            <w:r w:rsidRPr="00994766">
              <w:rPr>
                <w:sz w:val="16"/>
                <w:szCs w:val="16"/>
                <w:lang w:val="es-ES_tradnl"/>
              </w:rPr>
              <w:t>Establecer infraestructura complementaria en distintos lugares y seguir desarrollando y perfeccionando el plan de continuidad de las actividades.</w:t>
            </w:r>
          </w:p>
        </w:tc>
      </w:tr>
      <w:tr w:rsidR="009F58E5" w:rsidRPr="00994766" w:rsidTr="008D3D36">
        <w:trPr>
          <w:trHeight w:val="1060"/>
        </w:trPr>
        <w:tc>
          <w:tcPr>
            <w:tcW w:w="4400" w:type="dxa"/>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t xml:space="preserve">Los </w:t>
            </w:r>
            <w:proofErr w:type="spellStart"/>
            <w:r w:rsidRPr="00994766">
              <w:rPr>
                <w:sz w:val="16"/>
                <w:szCs w:val="16"/>
                <w:lang w:val="es-ES_tradnl"/>
              </w:rPr>
              <w:t>ciberataques</w:t>
            </w:r>
            <w:proofErr w:type="spellEnd"/>
            <w:r w:rsidRPr="00994766">
              <w:rPr>
                <w:sz w:val="16"/>
                <w:szCs w:val="16"/>
                <w:lang w:val="es-ES_tradnl"/>
              </w:rPr>
              <w:t xml:space="preserve"> contra los sistemas de información de la OMPI pondrían en peligro la seguridad de dichos sistemas, con el riesgo de que se expusiera información confidencial de manera intencional o accidental.  Se verían seriamente afectadas la reputación y las actividades de la OMPI.</w:t>
            </w:r>
          </w:p>
        </w:tc>
        <w:tc>
          <w:tcPr>
            <w:tcW w:w="4956" w:type="dxa"/>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t>Separación del contenido y las aplicaciones informáticas de la OMPI en Internet en función de los requisitos de confidencialidad y los usos previstos;  introducción de una infraestructura de T.I. independiente y las consiguientes medidas de seguridad.  Alto nivel de actividad en el ámbito de la seguridad de las T.I.</w:t>
            </w:r>
          </w:p>
        </w:tc>
      </w:tr>
    </w:tbl>
    <w:p w:rsidR="009F58E5" w:rsidRPr="00994766" w:rsidRDefault="009F58E5" w:rsidP="009F58E5">
      <w:pPr>
        <w:tabs>
          <w:tab w:val="left" w:pos="567"/>
          <w:tab w:val="left" w:pos="1985"/>
        </w:tabs>
        <w:jc w:val="both"/>
        <w:rPr>
          <w:bCs/>
          <w:sz w:val="20"/>
          <w:lang w:val="es-ES_tradnl"/>
        </w:rPr>
      </w:pPr>
    </w:p>
    <w:p w:rsidR="009F58E5" w:rsidRPr="00C75C7E" w:rsidRDefault="009F58E5" w:rsidP="009F58E5">
      <w:pPr>
        <w:tabs>
          <w:tab w:val="left" w:pos="567"/>
          <w:tab w:val="left" w:pos="1985"/>
        </w:tabs>
        <w:jc w:val="both"/>
        <w:rPr>
          <w:bCs/>
          <w:sz w:val="20"/>
          <w:lang w:val="es-ES_tradnl"/>
        </w:rPr>
      </w:pPr>
    </w:p>
    <w:p w:rsidR="009F58E5" w:rsidRPr="00C75C7E" w:rsidRDefault="009F58E5" w:rsidP="009F58E5">
      <w:pPr>
        <w:tabs>
          <w:tab w:val="left" w:pos="567"/>
          <w:tab w:val="left" w:pos="1985"/>
        </w:tabs>
        <w:jc w:val="both"/>
        <w:rPr>
          <w:bCs/>
          <w:sz w:val="20"/>
          <w:lang w:val="es-ES_tradnl"/>
        </w:rPr>
      </w:pPr>
      <w:r w:rsidRPr="00C75C7E">
        <w:rPr>
          <w:bCs/>
          <w:szCs w:val="22"/>
          <w:lang w:val="es-ES_tradnl"/>
        </w:rPr>
        <w:t>MARCO DE RESULTADOS</w:t>
      </w:r>
    </w:p>
    <w:p w:rsidR="009F58E5" w:rsidRPr="00C75C7E" w:rsidRDefault="009F58E5" w:rsidP="009F58E5">
      <w:pPr>
        <w:tabs>
          <w:tab w:val="left" w:pos="567"/>
          <w:tab w:val="left" w:pos="1985"/>
        </w:tabs>
        <w:jc w:val="both"/>
        <w:rPr>
          <w:bCs/>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9F58E5" w:rsidRPr="00C75C7E" w:rsidTr="008F4F69">
        <w:trPr>
          <w:cantSplit/>
          <w:trHeight w:val="605"/>
          <w:tblHeader/>
        </w:trPr>
        <w:tc>
          <w:tcPr>
            <w:tcW w:w="1249"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462"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Indicadores de rendimiento</w:t>
            </w:r>
          </w:p>
        </w:tc>
        <w:tc>
          <w:tcPr>
            <w:tcW w:w="1145" w:type="pct"/>
            <w:tcBorders>
              <w:top w:val="single" w:sz="4" w:space="0" w:color="auto"/>
              <w:bottom w:val="single" w:sz="4" w:space="0" w:color="auto"/>
            </w:tcBorders>
            <w:shd w:val="clear" w:color="auto" w:fill="CCFFFF"/>
            <w:tcMar>
              <w:top w:w="113" w:type="dxa"/>
            </w:tcMar>
            <w:vAlign w:val="center"/>
          </w:tcPr>
          <w:p w:rsidR="009F58E5" w:rsidRPr="00C75C7E" w:rsidRDefault="009F58E5" w:rsidP="008D3D36">
            <w:pPr>
              <w:spacing w:after="120"/>
              <w:ind w:left="85"/>
              <w:rPr>
                <w:b/>
                <w:bCs/>
                <w:sz w:val="18"/>
                <w:szCs w:val="18"/>
                <w:lang w:val="es-ES_tradnl"/>
              </w:rPr>
            </w:pPr>
            <w:r w:rsidRPr="00C75C7E">
              <w:rPr>
                <w:b/>
                <w:bCs/>
                <w:sz w:val="18"/>
                <w:szCs w:val="18"/>
                <w:lang w:val="es-ES_tradnl"/>
              </w:rPr>
              <w:t>Referencia</w:t>
            </w:r>
          </w:p>
        </w:tc>
        <w:tc>
          <w:tcPr>
            <w:tcW w:w="1144" w:type="pct"/>
            <w:tcBorders>
              <w:top w:val="single" w:sz="4" w:space="0" w:color="auto"/>
              <w:bottom w:val="single" w:sz="4" w:space="0" w:color="auto"/>
            </w:tcBorders>
            <w:shd w:val="clear" w:color="auto" w:fill="CCFFFF"/>
            <w:tcMar>
              <w:top w:w="113" w:type="dxa"/>
            </w:tcMar>
            <w:vAlign w:val="center"/>
          </w:tcPr>
          <w:p w:rsidR="009F58E5" w:rsidRPr="00C75C7E" w:rsidRDefault="009F58E5" w:rsidP="008D3D36">
            <w:pPr>
              <w:keepNext/>
              <w:keepLines/>
              <w:spacing w:after="120"/>
              <w:ind w:right="111"/>
              <w:rPr>
                <w:b/>
                <w:bCs/>
                <w:sz w:val="18"/>
                <w:szCs w:val="18"/>
                <w:lang w:val="es-ES_tradnl"/>
              </w:rPr>
            </w:pPr>
            <w:r w:rsidRPr="00C75C7E">
              <w:rPr>
                <w:b/>
                <w:bCs/>
                <w:sz w:val="18"/>
                <w:szCs w:val="18"/>
                <w:lang w:val="es-ES_tradnl"/>
              </w:rPr>
              <w:t>Objetivos</w:t>
            </w:r>
          </w:p>
        </w:tc>
      </w:tr>
      <w:tr w:rsidR="009F58E5" w:rsidRPr="00C75C7E" w:rsidTr="008F4F69">
        <w:trPr>
          <w:cantSplit/>
        </w:trPr>
        <w:tc>
          <w:tcPr>
            <w:tcW w:w="1249" w:type="pc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IX.1   Servicios de </w:t>
            </w:r>
            <w:proofErr w:type="gramStart"/>
            <w:r w:rsidRPr="00C75C7E">
              <w:rPr>
                <w:sz w:val="16"/>
                <w:szCs w:val="16"/>
                <w:lang w:val="es-ES_tradnl"/>
              </w:rPr>
              <w:t>apoyo eficaces, eficientes, de calidad y orientados</w:t>
            </w:r>
            <w:proofErr w:type="gramEnd"/>
            <w:r w:rsidRPr="00C75C7E">
              <w:rPr>
                <w:sz w:val="16"/>
                <w:szCs w:val="16"/>
                <w:lang w:val="es-ES_tradnl"/>
              </w:rPr>
              <w:t xml:space="preserve"> al cliente, tanto a los clientes internos como a las partes interesadas externas.</w:t>
            </w:r>
          </w:p>
        </w:tc>
        <w:tc>
          <w:tcPr>
            <w:tcW w:w="1462" w:type="pc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Los sistemas de TIC se alojan y se administran económicamente en concordancia con las necesidades operativas.</w:t>
            </w:r>
          </w:p>
          <w:p w:rsidR="009F58E5" w:rsidRPr="00C75C7E" w:rsidRDefault="009F58E5" w:rsidP="008F4F69">
            <w:pPr>
              <w:rPr>
                <w:bCs/>
                <w:sz w:val="16"/>
                <w:szCs w:val="16"/>
                <w:lang w:val="es-ES_tradnl"/>
              </w:rPr>
            </w:pPr>
          </w:p>
        </w:tc>
        <w:tc>
          <w:tcPr>
            <w:tcW w:w="1145" w:type="pct"/>
            <w:tcBorders>
              <w:top w:val="single" w:sz="4" w:space="0" w:color="auto"/>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Costos unitarios de almacenamiento y copia de seguridad de los servidores virtuales y físicos.</w:t>
            </w:r>
          </w:p>
        </w:tc>
        <w:tc>
          <w:tcPr>
            <w:tcW w:w="1144" w:type="pct"/>
            <w:tcBorders>
              <w:top w:val="single" w:sz="4" w:space="0" w:color="auto"/>
            </w:tcBorders>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Los costos unitarios de alojamiento de infraestructuras están al nivel de la referencia o por debajo de ella.</w:t>
            </w:r>
          </w:p>
          <w:p w:rsidR="009F58E5" w:rsidRPr="00C75C7E" w:rsidRDefault="009F58E5" w:rsidP="008F4F69">
            <w:pPr>
              <w:keepNext/>
              <w:keepLines/>
              <w:ind w:right="221"/>
              <w:rPr>
                <w:bCs/>
                <w:sz w:val="16"/>
                <w:szCs w:val="16"/>
                <w:lang w:val="es-ES_tradnl"/>
              </w:rPr>
            </w:pPr>
          </w:p>
        </w:tc>
      </w:tr>
      <w:tr w:rsidR="009F58E5" w:rsidRPr="00C75C7E" w:rsidTr="008F4F69">
        <w:trPr>
          <w:cantSplit/>
          <w:trHeight w:val="62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Número de acuerdos de prestación de servicios para el alojamiento de sistemas y servicios que cumplen con el marco de acuerdos de prestación de servicios para las TIC.</w:t>
            </w:r>
          </w:p>
        </w:tc>
        <w:tc>
          <w:tcPr>
            <w:tcW w:w="1145"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bidi="th-TH"/>
              </w:rPr>
              <w:t xml:space="preserve">Marco en vigor de acuerdos normalizados de prestación de servicios para las TIC. </w:t>
            </w:r>
          </w:p>
          <w:p w:rsidR="009F58E5" w:rsidRPr="00C75C7E" w:rsidRDefault="009F58E5" w:rsidP="008F4F69">
            <w:pPr>
              <w:rPr>
                <w:sz w:val="16"/>
                <w:szCs w:val="16"/>
                <w:lang w:val="es-ES_tradnl"/>
              </w:rPr>
            </w:pP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Porcentaje de acuerdos de prestación de servicios que cumplen lo dispuesto en el marco de las TIC.</w:t>
            </w:r>
          </w:p>
          <w:p w:rsidR="009F58E5" w:rsidRPr="00C75C7E" w:rsidRDefault="009F58E5" w:rsidP="008F4F69">
            <w:pPr>
              <w:keepNext/>
              <w:keepLines/>
              <w:ind w:right="221"/>
              <w:rPr>
                <w:bCs/>
                <w:sz w:val="16"/>
                <w:szCs w:val="16"/>
                <w:lang w:val="es-ES_tradnl"/>
              </w:rPr>
            </w:pPr>
          </w:p>
        </w:tc>
      </w:tr>
      <w:tr w:rsidR="009F58E5" w:rsidRPr="00C75C7E" w:rsidTr="008F4F69">
        <w:trPr>
          <w:cantSplit/>
          <w:trHeight w:val="62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Continuidad de los servicios de TIC de los sistemas esenciales.</w:t>
            </w:r>
          </w:p>
        </w:tc>
        <w:tc>
          <w:tcPr>
            <w:tcW w:w="1145"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 xml:space="preserve">Los datos no se almacenan en línea, se necesitan varios días para recuperar los datos. </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Los sistemas esenciales pueden recuperarse puntualmente sin que se pierdan datos en caso de interrupciones localizadas de seriedad.</w:t>
            </w:r>
          </w:p>
        </w:tc>
      </w:tr>
      <w:tr w:rsidR="009F58E5" w:rsidRPr="00C75C7E" w:rsidTr="008F4F69">
        <w:trPr>
          <w:cantSplit/>
          <w:trHeight w:val="78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usuarios y sectores de actividades que están satisfechos con los servicios de TIC.</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Satisfacción del personal directivo al inicio del bienio.</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 xml:space="preserve">Mantenimiento o mejora en relación con la referencia. </w:t>
            </w:r>
          </w:p>
        </w:tc>
      </w:tr>
      <w:tr w:rsidR="009F58E5" w:rsidRPr="00C75C7E" w:rsidTr="008F4F69">
        <w:trPr>
          <w:cantSplit/>
          <w:trHeight w:val="515"/>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El personal tiene fácil acceso a tecnologías de las comunicaciones integradas y de amplio alcance.</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Disponibles en las computadoras de escritorio (y en los portátiles).</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Disponibles en otros dispositivos móviles.</w:t>
            </w:r>
          </w:p>
        </w:tc>
      </w:tr>
      <w:tr w:rsidR="009F58E5" w:rsidRPr="00C75C7E" w:rsidTr="008F4F69">
        <w:trPr>
          <w:cantSplit/>
          <w:trHeight w:val="1161"/>
        </w:trPr>
        <w:tc>
          <w:tcPr>
            <w:tcW w:w="1249"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lastRenderedPageBreak/>
              <w:t>IX.4. Una Organización responsable con el medio ambiente y la sociedad en la que se garantiza la seguridad del personal de la OMPI, los delegados, los visitantes, la información y los activos físicos.</w:t>
            </w: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Se refuerza la seguridad de la información para protegerse contra los ataques cada vez más frecuentes en Internet.</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No se han producido importantes violaciones de la seguridad en los sistemas de información de la OMPI.</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No se han producido importantes violaciones de la seguridad en los sistemas de información de la OMPI.</w:t>
            </w:r>
          </w:p>
        </w:tc>
      </w:tr>
      <w:tr w:rsidR="009F58E5" w:rsidRPr="00C75C7E" w:rsidTr="008F4F69">
        <w:trPr>
          <w:cantSplit/>
          <w:trHeight w:val="151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Situación de la certificación con arreglo a la norma ISO 27001 de los procedimientos de gestión de riesgos para la seguridad de la información.</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Número de actividades de mitigación de riesgos pendientes al inicio del bienio;  certificación  de la Sección del PCT con arreglo a la norma ISO 27001.</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El 90% de las actividades pendientes se resuelven durante el bienio;  el 60% de nuevos riesgos  se mitigan en un plazo de tres meses a partir del momento en que se señalan;  se obtiene la certificación de las dependencias de la Organización, según sea necesario;  se mantiene la certificación del PCT.</w:t>
            </w:r>
          </w:p>
        </w:tc>
      </w:tr>
      <w:tr w:rsidR="009F58E5" w:rsidRPr="00C75C7E" w:rsidTr="008F4F69">
        <w:trPr>
          <w:cantSplit/>
          <w:trHeight w:val="614"/>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Eficacia de los controles de seguridad de la información (a nivel interno y externo).</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5 incidentes o menos por año.</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2 incidentes o menos por año.</w:t>
            </w:r>
          </w:p>
        </w:tc>
      </w:tr>
    </w:tbl>
    <w:p w:rsidR="009F58E5" w:rsidRDefault="009F58E5" w:rsidP="009F58E5">
      <w:pPr>
        <w:rPr>
          <w:sz w:val="20"/>
          <w:lang w:val="es-ES_tradnl"/>
        </w:rPr>
      </w:pPr>
    </w:p>
    <w:p w:rsidR="00B1649B" w:rsidRPr="00C75C7E" w:rsidRDefault="00B1649B" w:rsidP="009F58E5">
      <w:pPr>
        <w:rPr>
          <w:sz w:val="20"/>
          <w:lang w:val="es-ES_tradnl"/>
        </w:rPr>
      </w:pPr>
    </w:p>
    <w:p w:rsidR="00B1649B" w:rsidRPr="003F4AA7" w:rsidRDefault="00B1649B" w:rsidP="00B1649B">
      <w:pPr>
        <w:rPr>
          <w:szCs w:val="22"/>
        </w:rPr>
      </w:pPr>
      <w:r w:rsidRPr="00ED24BB">
        <w:rPr>
          <w:szCs w:val="22"/>
        </w:rPr>
        <w:t>RECURSOS PARA EL PROGRAMA</w:t>
      </w:r>
      <w:r w:rsidRPr="003F4AA7">
        <w:rPr>
          <w:szCs w:val="22"/>
        </w:rPr>
        <w:t xml:space="preserve"> 25</w:t>
      </w:r>
    </w:p>
    <w:p w:rsidR="00B1649B" w:rsidRPr="003F4AA7" w:rsidRDefault="00B1649B" w:rsidP="00E6603F">
      <w:pPr>
        <w:keepLines/>
        <w:autoSpaceDE w:val="0"/>
        <w:autoSpaceDN w:val="0"/>
        <w:adjustRightInd w:val="0"/>
        <w:rPr>
          <w:sz w:val="20"/>
        </w:rPr>
      </w:pPr>
    </w:p>
    <w:p w:rsidR="00B1649B" w:rsidRPr="00AC5F87" w:rsidRDefault="00B1649B" w:rsidP="00D41E6A">
      <w:pPr>
        <w:numPr>
          <w:ilvl w:val="0"/>
          <w:numId w:val="44"/>
        </w:numPr>
        <w:jc w:val="both"/>
        <w:rPr>
          <w:sz w:val="20"/>
        </w:rPr>
      </w:pPr>
      <w:r w:rsidRPr="005B6321">
        <w:rPr>
          <w:sz w:val="20"/>
        </w:rPr>
        <w:t>En términos generales el nivel de los recursos</w:t>
      </w:r>
      <w:r>
        <w:rPr>
          <w:sz w:val="20"/>
        </w:rPr>
        <w:t xml:space="preserve"> </w:t>
      </w:r>
      <w:r w:rsidRPr="00AC5F87">
        <w:rPr>
          <w:sz w:val="20"/>
        </w:rPr>
        <w:t>asignados</w:t>
      </w:r>
      <w:r>
        <w:rPr>
          <w:sz w:val="20"/>
        </w:rPr>
        <w:t xml:space="preserve"> a</w:t>
      </w:r>
      <w:r w:rsidRPr="00AC5F87">
        <w:rPr>
          <w:sz w:val="20"/>
        </w:rPr>
        <w:t>l resultado IX.1 (</w:t>
      </w:r>
      <w:r>
        <w:rPr>
          <w:sz w:val="20"/>
        </w:rPr>
        <w:t xml:space="preserve">Servicios de </w:t>
      </w:r>
      <w:proofErr w:type="gramStart"/>
      <w:r>
        <w:rPr>
          <w:sz w:val="20"/>
        </w:rPr>
        <w:t xml:space="preserve">apoyo eficaces, </w:t>
      </w:r>
      <w:r w:rsidRPr="00AC5F87">
        <w:rPr>
          <w:sz w:val="20"/>
        </w:rPr>
        <w:t>eficientes, de</w:t>
      </w:r>
      <w:r>
        <w:rPr>
          <w:sz w:val="20"/>
        </w:rPr>
        <w:t xml:space="preserve"> </w:t>
      </w:r>
      <w:r w:rsidRPr="00AC5F87">
        <w:rPr>
          <w:sz w:val="20"/>
        </w:rPr>
        <w:t>calidad y orientados</w:t>
      </w:r>
      <w:proofErr w:type="gramEnd"/>
      <w:r w:rsidRPr="00AC5F87">
        <w:rPr>
          <w:sz w:val="20"/>
        </w:rPr>
        <w:t xml:space="preserve"> al</w:t>
      </w:r>
      <w:r>
        <w:rPr>
          <w:sz w:val="20"/>
        </w:rPr>
        <w:t xml:space="preserve"> </w:t>
      </w:r>
      <w:r w:rsidRPr="00AC5F87">
        <w:rPr>
          <w:sz w:val="20"/>
        </w:rPr>
        <w:t>cliente</w:t>
      </w:r>
      <w:r>
        <w:rPr>
          <w:sz w:val="20"/>
        </w:rPr>
        <w:t>) se mantendrán estables en comparación con el presupuesto 2012/13 después de las transferencias.  Esta situación se debe a la combinación de dos factores: i) un aumento</w:t>
      </w:r>
      <w:r w:rsidRPr="00B14CCD">
        <w:rPr>
          <w:sz w:val="20"/>
        </w:rPr>
        <w:t xml:space="preserve"> de </w:t>
      </w:r>
      <w:r>
        <w:rPr>
          <w:sz w:val="20"/>
        </w:rPr>
        <w:t xml:space="preserve">los </w:t>
      </w:r>
      <w:r w:rsidRPr="00B14CCD">
        <w:rPr>
          <w:sz w:val="20"/>
        </w:rPr>
        <w:t>gastos no relativos al personal</w:t>
      </w:r>
      <w:r>
        <w:rPr>
          <w:sz w:val="20"/>
        </w:rPr>
        <w:t>, como en la línea “</w:t>
      </w:r>
      <w:r w:rsidRPr="00DC41B1">
        <w:rPr>
          <w:sz w:val="20"/>
        </w:rPr>
        <w:t>Otros servicios contractuales”</w:t>
      </w:r>
      <w:r>
        <w:rPr>
          <w:sz w:val="20"/>
        </w:rPr>
        <w:t xml:space="preserve"> y la línea </w:t>
      </w:r>
      <w:r w:rsidRPr="00DC41B1">
        <w:rPr>
          <w:sz w:val="20"/>
        </w:rPr>
        <w:t>“Locales y</w:t>
      </w:r>
      <w:r>
        <w:rPr>
          <w:sz w:val="20"/>
        </w:rPr>
        <w:t xml:space="preserve"> </w:t>
      </w:r>
      <w:r w:rsidRPr="00DC41B1">
        <w:rPr>
          <w:sz w:val="20"/>
        </w:rPr>
        <w:t>mantenimiento”</w:t>
      </w:r>
      <w:r>
        <w:rPr>
          <w:sz w:val="20"/>
        </w:rPr>
        <w:t xml:space="preserve">, como consecuencia del aumento de los niveles de recursos asignados a iniciativas clave como la </w:t>
      </w:r>
      <w:r w:rsidRPr="00B41C8A">
        <w:rPr>
          <w:bCs/>
          <w:sz w:val="20"/>
        </w:rPr>
        <w:t>continuación de</w:t>
      </w:r>
      <w:r>
        <w:rPr>
          <w:bCs/>
          <w:sz w:val="20"/>
        </w:rPr>
        <w:t xml:space="preserve"> las operaciones, la</w:t>
      </w:r>
      <w:r w:rsidRPr="00B41C8A">
        <w:rPr>
          <w:bCs/>
          <w:sz w:val="20"/>
        </w:rPr>
        <w:t xml:space="preserve"> recuperación en caso de desastre</w:t>
      </w:r>
      <w:r>
        <w:rPr>
          <w:bCs/>
          <w:sz w:val="20"/>
        </w:rPr>
        <w:t xml:space="preserve"> y la capacidad de respuesta en Internet; ii) una disminución de los recursos de personal asignados a este resultado.</w:t>
      </w:r>
    </w:p>
    <w:p w:rsidR="00B1649B" w:rsidRPr="00AC5F87" w:rsidRDefault="00B1649B" w:rsidP="00B1649B">
      <w:pPr>
        <w:jc w:val="both"/>
        <w:rPr>
          <w:sz w:val="20"/>
        </w:rPr>
      </w:pPr>
    </w:p>
    <w:p w:rsidR="00B1649B" w:rsidRPr="000B2B12" w:rsidRDefault="00B1649B" w:rsidP="00D41E6A">
      <w:pPr>
        <w:numPr>
          <w:ilvl w:val="0"/>
          <w:numId w:val="44"/>
        </w:numPr>
        <w:jc w:val="both"/>
        <w:rPr>
          <w:sz w:val="20"/>
        </w:rPr>
      </w:pPr>
      <w:r w:rsidRPr="000B2B12">
        <w:rPr>
          <w:sz w:val="20"/>
        </w:rPr>
        <w:t>La disminución de los recu</w:t>
      </w:r>
      <w:r>
        <w:rPr>
          <w:sz w:val="20"/>
        </w:rPr>
        <w:t>rsos asignados al resultado IX.2 (</w:t>
      </w:r>
      <w:r w:rsidRPr="000B2B12">
        <w:rPr>
          <w:sz w:val="20"/>
        </w:rPr>
        <w:t>Funcionamiento</w:t>
      </w:r>
      <w:r>
        <w:rPr>
          <w:sz w:val="20"/>
        </w:rPr>
        <w:t xml:space="preserve"> ágil y</w:t>
      </w:r>
      <w:r w:rsidRPr="000B2B12">
        <w:rPr>
          <w:sz w:val="20"/>
        </w:rPr>
        <w:t xml:space="preserve"> sin contratiempos de la</w:t>
      </w:r>
      <w:r>
        <w:rPr>
          <w:sz w:val="20"/>
        </w:rPr>
        <w:t xml:space="preserve"> </w:t>
      </w:r>
      <w:r w:rsidRPr="000B2B12">
        <w:rPr>
          <w:sz w:val="20"/>
        </w:rPr>
        <w:t>Secretaría</w:t>
      </w:r>
      <w:r>
        <w:rPr>
          <w:sz w:val="20"/>
        </w:rPr>
        <w:t xml:space="preserve">) refleja la reasignación de los recursos de personal a los respectivos </w:t>
      </w:r>
      <w:r w:rsidRPr="008164DC">
        <w:rPr>
          <w:sz w:val="20"/>
        </w:rPr>
        <w:t>ámbitos de actividad</w:t>
      </w:r>
      <w:r>
        <w:rPr>
          <w:sz w:val="20"/>
        </w:rPr>
        <w:t xml:space="preserve"> que se encargarán de los mismos en el bienio 2014/15.</w:t>
      </w:r>
    </w:p>
    <w:p w:rsidR="00B1649B" w:rsidRPr="000B2B12" w:rsidRDefault="00B1649B" w:rsidP="00B1649B">
      <w:pPr>
        <w:jc w:val="both"/>
        <w:rPr>
          <w:sz w:val="20"/>
        </w:rPr>
      </w:pPr>
    </w:p>
    <w:p w:rsidR="00B1649B" w:rsidRPr="00856679" w:rsidRDefault="00B1649B" w:rsidP="00D41E6A">
      <w:pPr>
        <w:numPr>
          <w:ilvl w:val="0"/>
          <w:numId w:val="44"/>
        </w:numPr>
        <w:jc w:val="both"/>
        <w:rPr>
          <w:sz w:val="20"/>
        </w:rPr>
      </w:pPr>
      <w:r>
        <w:rPr>
          <w:sz w:val="20"/>
        </w:rPr>
        <w:t>Se propone que la totalidad de</w:t>
      </w:r>
      <w:r w:rsidRPr="00EE15C9">
        <w:rPr>
          <w:sz w:val="20"/>
        </w:rPr>
        <w:t xml:space="preserve"> los </w:t>
      </w:r>
      <w:r>
        <w:rPr>
          <w:sz w:val="20"/>
        </w:rPr>
        <w:t>recursos adicionales se dedique</w:t>
      </w:r>
      <w:r w:rsidRPr="00EE15C9">
        <w:rPr>
          <w:sz w:val="20"/>
        </w:rPr>
        <w:t xml:space="preserve"> a la seguridad de la informaci</w:t>
      </w:r>
      <w:r>
        <w:rPr>
          <w:sz w:val="20"/>
        </w:rPr>
        <w:t xml:space="preserve">ón, al fortalecimiento de la </w:t>
      </w:r>
      <w:r>
        <w:rPr>
          <w:bCs/>
          <w:sz w:val="20"/>
        </w:rPr>
        <w:t xml:space="preserve">capacidad de la Organización para proporcionar una </w:t>
      </w:r>
      <w:r w:rsidRPr="009E6F00">
        <w:rPr>
          <w:bCs/>
          <w:sz w:val="20"/>
        </w:rPr>
        <w:t>garantía razonable</w:t>
      </w:r>
      <w:r>
        <w:rPr>
          <w:bCs/>
          <w:sz w:val="20"/>
        </w:rPr>
        <w:t xml:space="preserve"> y control interno, así como a la protección </w:t>
      </w:r>
      <w:r w:rsidRPr="00EE15C9">
        <w:rPr>
          <w:bCs/>
          <w:sz w:val="20"/>
        </w:rPr>
        <w:t>contra los ataques en Internet.</w:t>
      </w:r>
      <w:r>
        <w:rPr>
          <w:sz w:val="20"/>
        </w:rPr>
        <w:t xml:space="preserve">  Los recursos dedicados a estas actividades son asignados, en parte, al resultado IX. 4 (Una Organización responsable con el </w:t>
      </w:r>
      <w:r w:rsidRPr="00856679">
        <w:rPr>
          <w:sz w:val="20"/>
        </w:rPr>
        <w:t>medio</w:t>
      </w:r>
      <w:r>
        <w:rPr>
          <w:sz w:val="20"/>
        </w:rPr>
        <w:t xml:space="preserve"> </w:t>
      </w:r>
      <w:r w:rsidRPr="00856679">
        <w:rPr>
          <w:sz w:val="20"/>
        </w:rPr>
        <w:t>ambiente y la sociedad en la</w:t>
      </w:r>
      <w:r>
        <w:rPr>
          <w:sz w:val="20"/>
        </w:rPr>
        <w:t xml:space="preserve"> </w:t>
      </w:r>
      <w:r w:rsidRPr="00856679">
        <w:rPr>
          <w:sz w:val="20"/>
        </w:rPr>
        <w:t>que se garantiza la</w:t>
      </w:r>
      <w:r>
        <w:rPr>
          <w:sz w:val="20"/>
        </w:rPr>
        <w:t xml:space="preserve"> </w:t>
      </w:r>
      <w:r w:rsidRPr="00856679">
        <w:rPr>
          <w:sz w:val="20"/>
        </w:rPr>
        <w:t>seguridad del personal de la</w:t>
      </w:r>
      <w:r>
        <w:rPr>
          <w:sz w:val="20"/>
        </w:rPr>
        <w:t xml:space="preserve"> OMPI, los </w:t>
      </w:r>
      <w:r w:rsidRPr="00856679">
        <w:rPr>
          <w:sz w:val="20"/>
        </w:rPr>
        <w:t>delegados, los</w:t>
      </w:r>
      <w:r>
        <w:rPr>
          <w:sz w:val="20"/>
        </w:rPr>
        <w:t xml:space="preserve"> </w:t>
      </w:r>
      <w:r w:rsidRPr="00856679">
        <w:rPr>
          <w:sz w:val="20"/>
        </w:rPr>
        <w:t>visitantes, la información y</w:t>
      </w:r>
      <w:r>
        <w:rPr>
          <w:sz w:val="20"/>
        </w:rPr>
        <w:t xml:space="preserve"> </w:t>
      </w:r>
      <w:r w:rsidRPr="00856679">
        <w:rPr>
          <w:sz w:val="20"/>
        </w:rPr>
        <w:t>los activos físicos</w:t>
      </w:r>
      <w:r>
        <w:rPr>
          <w:sz w:val="20"/>
        </w:rPr>
        <w:t>)</w:t>
      </w:r>
      <w:r w:rsidRPr="00856679">
        <w:rPr>
          <w:sz w:val="20"/>
        </w:rPr>
        <w:t>.</w:t>
      </w:r>
    </w:p>
    <w:p w:rsidR="00B1649B" w:rsidRPr="00EE15C9" w:rsidRDefault="00B1649B" w:rsidP="00B1649B">
      <w:pPr>
        <w:jc w:val="both"/>
        <w:rPr>
          <w:sz w:val="20"/>
        </w:rPr>
      </w:pPr>
    </w:p>
    <w:p w:rsidR="009F58E5" w:rsidRPr="00B1649B" w:rsidRDefault="009F58E5" w:rsidP="009F58E5">
      <w:pPr>
        <w:rPr>
          <w:sz w:val="20"/>
          <w:highlight w:val="yellow"/>
        </w:rPr>
      </w:pPr>
    </w:p>
    <w:p w:rsidR="009F58E5" w:rsidRPr="00C75C7E" w:rsidRDefault="008D3D36" w:rsidP="00E6603F">
      <w:pPr>
        <w:keepNext/>
        <w:keepLines/>
        <w:autoSpaceDE w:val="0"/>
        <w:autoSpaceDN w:val="0"/>
        <w:adjustRightInd w:val="0"/>
        <w:jc w:val="center"/>
        <w:rPr>
          <w:b/>
          <w:bCs/>
          <w:iCs/>
          <w:sz w:val="20"/>
          <w:lang w:val="es-ES_tradnl"/>
        </w:rPr>
      </w:pPr>
      <w:r>
        <w:rPr>
          <w:b/>
          <w:bCs/>
          <w:iCs/>
          <w:sz w:val="20"/>
          <w:lang w:val="es-ES_tradnl"/>
        </w:rPr>
        <w:lastRenderedPageBreak/>
        <w:t>Programa 25</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E6603F">
      <w:pPr>
        <w:keepNext/>
        <w:keepLines/>
        <w:autoSpaceDE w:val="0"/>
        <w:autoSpaceDN w:val="0"/>
        <w:adjustRightInd w:val="0"/>
        <w:jc w:val="center"/>
        <w:rPr>
          <w:b/>
          <w:i/>
          <w:sz w:val="18"/>
          <w:szCs w:val="18"/>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r w:rsidRPr="00C75C7E">
        <w:rPr>
          <w:b/>
          <w:i/>
          <w:sz w:val="18"/>
          <w:szCs w:val="18"/>
          <w:lang w:val="es-ES_tradnl"/>
        </w:rPr>
        <w:t xml:space="preserve"> </w:t>
      </w:r>
    </w:p>
    <w:p w:rsidR="009F58E5" w:rsidRPr="00C75C7E" w:rsidRDefault="009F58E5" w:rsidP="009F58E5">
      <w:pPr>
        <w:keepNext/>
        <w:rPr>
          <w:sz w:val="20"/>
          <w:lang w:val="es-ES_tradnl"/>
        </w:rPr>
      </w:pPr>
    </w:p>
    <w:p w:rsidR="009F58E5" w:rsidRPr="00C75C7E" w:rsidRDefault="00C40A11" w:rsidP="009F58E5">
      <w:pPr>
        <w:keepNext/>
        <w:jc w:val="center"/>
        <w:rPr>
          <w:sz w:val="20"/>
          <w:lang w:val="es-ES_tradnl"/>
        </w:rPr>
      </w:pPr>
      <w:r>
        <w:rPr>
          <w:noProof/>
          <w:lang w:val="en-US" w:eastAsia="en-US"/>
        </w:rPr>
        <w:drawing>
          <wp:inline distT="0" distB="0" distL="0" distR="0" wp14:anchorId="4AEDCBBE" wp14:editId="1FAE0FC4">
            <wp:extent cx="5752465" cy="2559050"/>
            <wp:effectExtent l="0" t="0" r="635" b="0"/>
            <wp:docPr id="76"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752465" cy="2559050"/>
                    </a:xfrm>
                    <a:prstGeom prst="rect">
                      <a:avLst/>
                    </a:prstGeom>
                    <a:noFill/>
                    <a:ln>
                      <a:noFill/>
                    </a:ln>
                  </pic:spPr>
                </pic:pic>
              </a:graphicData>
            </a:graphic>
          </wp:inline>
        </w:drawing>
      </w:r>
    </w:p>
    <w:p w:rsidR="009F58E5" w:rsidRPr="00C75C7E" w:rsidRDefault="009F58E5" w:rsidP="009F58E5">
      <w:pPr>
        <w:keepNext/>
        <w:jc w:val="center"/>
        <w:rPr>
          <w:sz w:val="20"/>
          <w:lang w:val="es-ES_tradnl"/>
        </w:rPr>
      </w:pPr>
    </w:p>
    <w:p w:rsidR="009F58E5" w:rsidRPr="00C75C7E" w:rsidRDefault="009F58E5" w:rsidP="009F58E5">
      <w:pPr>
        <w:keepNext/>
        <w:keepLines/>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991538">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9F58E5">
      <w:pPr>
        <w:jc w:val="center"/>
        <w:rPr>
          <w:sz w:val="20"/>
          <w:highlight w:val="yellow"/>
          <w:lang w:val="es-ES_tradnl"/>
        </w:rPr>
      </w:pPr>
    </w:p>
    <w:p w:rsidR="009F58E5" w:rsidRPr="00C75C7E" w:rsidRDefault="008D3D36" w:rsidP="009F58E5">
      <w:pPr>
        <w:keepNext/>
        <w:keepLines/>
        <w:autoSpaceDE w:val="0"/>
        <w:autoSpaceDN w:val="0"/>
        <w:adjustRightInd w:val="0"/>
        <w:ind w:firstLine="567"/>
        <w:jc w:val="center"/>
        <w:rPr>
          <w:b/>
          <w:bCs/>
          <w:iCs/>
          <w:sz w:val="20"/>
          <w:lang w:val="es-ES_tradnl"/>
        </w:rPr>
      </w:pPr>
      <w:r>
        <w:rPr>
          <w:b/>
          <w:bCs/>
          <w:iCs/>
          <w:sz w:val="20"/>
          <w:lang w:val="es-ES_tradnl"/>
        </w:rPr>
        <w:lastRenderedPageBreak/>
        <w:t>Programa 25</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9F58E5">
      <w:pPr>
        <w:keepNext/>
        <w:keepLines/>
        <w:jc w:val="center"/>
        <w:rPr>
          <w:i/>
          <w:sz w:val="18"/>
          <w:szCs w:val="18"/>
          <w:lang w:val="es-ES_tradnl"/>
        </w:rPr>
      </w:pPr>
    </w:p>
    <w:p w:rsidR="00EA4CD8" w:rsidRPr="00C75C7E" w:rsidRDefault="00C40A11" w:rsidP="009F58E5">
      <w:pPr>
        <w:keepNext/>
        <w:keepLines/>
        <w:jc w:val="center"/>
        <w:rPr>
          <w:i/>
          <w:sz w:val="18"/>
          <w:szCs w:val="18"/>
          <w:lang w:val="es-ES_tradnl"/>
        </w:rPr>
      </w:pPr>
      <w:r>
        <w:rPr>
          <w:noProof/>
          <w:lang w:val="en-US" w:eastAsia="en-US"/>
        </w:rPr>
        <w:drawing>
          <wp:inline distT="0" distB="0" distL="0" distR="0" wp14:anchorId="739FA093" wp14:editId="4DE02774">
            <wp:extent cx="5936615" cy="5739130"/>
            <wp:effectExtent l="0" t="0" r="698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EA4CD8" w:rsidRDefault="00EA4CD8" w:rsidP="009F58E5">
      <w:pPr>
        <w:keepNext/>
        <w:keepLines/>
        <w:rPr>
          <w:sz w:val="16"/>
          <w:szCs w:val="16"/>
          <w:lang w:val="es-ES_tradnl"/>
        </w:rPr>
      </w:pPr>
    </w:p>
    <w:p w:rsidR="009F58E5" w:rsidRPr="00C75C7E" w:rsidRDefault="009F58E5" w:rsidP="009F58E5">
      <w:pPr>
        <w:keepNext/>
        <w:keepLines/>
        <w:rPr>
          <w:sz w:val="16"/>
          <w:szCs w:val="16"/>
          <w:lang w:val="es-ES_tradnl"/>
        </w:rPr>
      </w:pPr>
      <w:r w:rsidRPr="00C75C7E">
        <w:rPr>
          <w:sz w:val="16"/>
          <w:szCs w:val="16"/>
          <w:lang w:val="es-ES_tradnl"/>
        </w:rPr>
        <w:t>Notas:</w:t>
      </w:r>
    </w:p>
    <w:p w:rsidR="009F58E5" w:rsidRPr="00C75C7E" w:rsidRDefault="009F58E5" w:rsidP="009F58E5">
      <w:pPr>
        <w:keepNext/>
        <w:keepLines/>
        <w:rPr>
          <w:sz w:val="16"/>
          <w:szCs w:val="16"/>
          <w:u w:val="single"/>
          <w:lang w:val="es-ES_tradnl"/>
        </w:rPr>
      </w:pPr>
    </w:p>
    <w:p w:rsidR="009F58E5" w:rsidRPr="00C75C7E" w:rsidRDefault="00991538" w:rsidP="009F58E5">
      <w:pPr>
        <w:keepNext/>
        <w:keepLines/>
        <w:spacing w:after="120"/>
        <w:rPr>
          <w:sz w:val="16"/>
          <w:szCs w:val="16"/>
          <w:lang w:val="es-ES_tradnl"/>
        </w:rPr>
      </w:pPr>
      <w:r>
        <w:rPr>
          <w:sz w:val="16"/>
          <w:szCs w:val="16"/>
          <w:lang w:val="es-ES_tradnl"/>
        </w:rPr>
        <w:t xml:space="preserve">1)  </w:t>
      </w:r>
      <w:r w:rsidR="009F58E5" w:rsidRPr="00C75C7E">
        <w:rPr>
          <w:sz w:val="16"/>
          <w:szCs w:val="16"/>
          <w:lang w:val="es-ES_tradnl"/>
        </w:rPr>
        <w:t xml:space="preserve">El presupuesto aprobado de 2012/13 y el presupuesto de dicho bienio después de las transferencias se </w:t>
      </w:r>
      <w:proofErr w:type="spellStart"/>
      <w:r w:rsidR="009F58E5" w:rsidRPr="00C75C7E">
        <w:rPr>
          <w:sz w:val="16"/>
          <w:szCs w:val="16"/>
          <w:lang w:val="es-ES_tradnl"/>
        </w:rPr>
        <w:t>reexpresan</w:t>
      </w:r>
      <w:proofErr w:type="spellEnd"/>
      <w:r w:rsidR="009F58E5" w:rsidRPr="00C75C7E">
        <w:rPr>
          <w:sz w:val="16"/>
          <w:szCs w:val="16"/>
          <w:lang w:val="es-ES_tradnl"/>
        </w:rPr>
        <w:t xml:space="preserve"> sobre la base de la estructura de categorías de costos propuesta para 2014/15.</w:t>
      </w:r>
    </w:p>
    <w:p w:rsidR="009F58E5" w:rsidRPr="00C75C7E" w:rsidRDefault="009F58E5" w:rsidP="009F58E5">
      <w:pPr>
        <w:keepNext/>
        <w:keepLines/>
        <w:spacing w:after="120"/>
        <w:rPr>
          <w:sz w:val="16"/>
          <w:szCs w:val="16"/>
          <w:lang w:val="es-ES_tradnl"/>
        </w:rPr>
      </w:pPr>
      <w:r>
        <w:rPr>
          <w:sz w:val="16"/>
          <w:szCs w:val="16"/>
          <w:lang w:val="es-ES_tradnl"/>
        </w:rPr>
        <w:t>2)</w:t>
      </w:r>
      <w:r w:rsidR="00991538">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w:t>
      </w:r>
      <w:r w:rsidR="00D724E6">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Pr="00C75C7E" w:rsidRDefault="009F58E5" w:rsidP="009F58E5">
      <w:pPr>
        <w:keepNext/>
        <w:keepLines/>
        <w:spacing w:after="120"/>
        <w:rPr>
          <w:sz w:val="16"/>
          <w:szCs w:val="16"/>
          <w:lang w:val="es-ES_tradnl"/>
        </w:rPr>
      </w:pPr>
      <w:r>
        <w:rPr>
          <w:sz w:val="16"/>
          <w:szCs w:val="16"/>
          <w:lang w:val="es-ES_tradnl"/>
        </w:rPr>
        <w:t>3)</w:t>
      </w:r>
      <w:r w:rsidR="00991538">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B1649B" w:rsidRPr="00E6603F" w:rsidRDefault="009F58E5" w:rsidP="00E6603F">
      <w:pPr>
        <w:pStyle w:val="Heading3"/>
        <w:tabs>
          <w:tab w:val="left" w:pos="1985"/>
        </w:tabs>
        <w:rPr>
          <w:b/>
          <w:u w:val="none"/>
          <w:lang w:val="es-ES_tradnl"/>
        </w:rPr>
      </w:pPr>
      <w:r w:rsidRPr="00C75C7E">
        <w:rPr>
          <w:sz w:val="20"/>
          <w:lang w:val="es-ES_tradnl"/>
        </w:rPr>
        <w:br w:type="page"/>
      </w:r>
      <w:bookmarkStart w:id="95" w:name="_Toc356567781"/>
      <w:bookmarkStart w:id="96" w:name="_Toc366078750"/>
      <w:r w:rsidR="00E6603F" w:rsidRPr="00E6603F">
        <w:rPr>
          <w:b/>
          <w:u w:val="none"/>
          <w:lang w:val="es-ES_tradnl"/>
        </w:rPr>
        <w:lastRenderedPageBreak/>
        <w:t>PROGRAMA 26</w:t>
      </w:r>
      <w:r w:rsidR="00E6603F" w:rsidRPr="00E6603F">
        <w:rPr>
          <w:b/>
          <w:u w:val="none"/>
          <w:lang w:val="es-ES_tradnl"/>
        </w:rPr>
        <w:tab/>
      </w:r>
      <w:bookmarkEnd w:id="95"/>
      <w:r w:rsidR="00E6603F" w:rsidRPr="00E6603F">
        <w:rPr>
          <w:b/>
          <w:u w:val="none"/>
          <w:lang w:val="es-ES_tradnl"/>
        </w:rPr>
        <w:t>SUPERVISIÓN INTERNA</w:t>
      </w:r>
      <w:bookmarkEnd w:id="96"/>
      <w:r w:rsidR="00E6603F" w:rsidRPr="00E6603F">
        <w:rPr>
          <w:b/>
          <w:u w:val="none"/>
          <w:lang w:val="es-ES_tradnl"/>
        </w:rPr>
        <w:t xml:space="preserve"> </w:t>
      </w:r>
    </w:p>
    <w:p w:rsidR="00B1649B" w:rsidRPr="00E6603F" w:rsidRDefault="00B1649B" w:rsidP="00E6603F">
      <w:pPr>
        <w:pStyle w:val="BodyTextIndent"/>
        <w:ind w:left="1985" w:hanging="1985"/>
        <w:jc w:val="both"/>
        <w:rPr>
          <w:rFonts w:ascii="Arial" w:hAnsi="Arial" w:cs="Arial"/>
          <w:sz w:val="22"/>
          <w:szCs w:val="22"/>
          <w:lang w:val="es-ES"/>
        </w:rPr>
      </w:pPr>
    </w:p>
    <w:p w:rsidR="00B1649B" w:rsidRPr="00E6603F" w:rsidRDefault="00B1649B" w:rsidP="00E6603F">
      <w:pPr>
        <w:pStyle w:val="BodyTextIndent"/>
        <w:ind w:left="1985" w:hanging="1985"/>
        <w:jc w:val="both"/>
        <w:rPr>
          <w:b/>
          <w:i/>
          <w:sz w:val="22"/>
          <w:lang w:val="es-ES_tradnl"/>
        </w:rPr>
      </w:pPr>
    </w:p>
    <w:p w:rsidR="00B1649B" w:rsidRPr="00B1649B" w:rsidRDefault="00B1649B" w:rsidP="00B1649B">
      <w:pPr>
        <w:pStyle w:val="BodyTextIndent"/>
        <w:ind w:left="1985" w:hanging="1985"/>
        <w:jc w:val="both"/>
        <w:rPr>
          <w:rFonts w:ascii="Arial" w:hAnsi="Arial" w:cs="Arial"/>
          <w:sz w:val="22"/>
          <w:szCs w:val="22"/>
          <w:lang w:val="es-ES"/>
        </w:rPr>
      </w:pPr>
      <w:r w:rsidRPr="00B1649B">
        <w:rPr>
          <w:rFonts w:ascii="Arial" w:hAnsi="Arial" w:cs="Arial"/>
          <w:sz w:val="22"/>
          <w:szCs w:val="22"/>
          <w:lang w:val="es-ES"/>
        </w:rPr>
        <w:t>CONTEXTO DE PLANIFICACIÓN</w:t>
      </w:r>
    </w:p>
    <w:p w:rsidR="00B1649B" w:rsidRPr="00B1649B" w:rsidRDefault="00B1649B" w:rsidP="00B1649B">
      <w:pPr>
        <w:autoSpaceDE w:val="0"/>
        <w:autoSpaceDN w:val="0"/>
        <w:adjustRightInd w:val="0"/>
        <w:jc w:val="both"/>
        <w:rPr>
          <w:sz w:val="20"/>
        </w:rPr>
      </w:pPr>
    </w:p>
    <w:p w:rsidR="00B1649B" w:rsidRPr="00B323DF" w:rsidRDefault="00B1649B" w:rsidP="00D41E6A">
      <w:pPr>
        <w:numPr>
          <w:ilvl w:val="0"/>
          <w:numId w:val="45"/>
        </w:numPr>
        <w:autoSpaceDE w:val="0"/>
        <w:autoSpaceDN w:val="0"/>
        <w:adjustRightInd w:val="0"/>
        <w:jc w:val="both"/>
        <w:rPr>
          <w:sz w:val="20"/>
        </w:rPr>
      </w:pPr>
      <w:r w:rsidRPr="00B323DF">
        <w:rPr>
          <w:sz w:val="20"/>
        </w:rPr>
        <w:t>La División de Auditoría y Supervisión Internas</w:t>
      </w:r>
      <w:r>
        <w:rPr>
          <w:sz w:val="20"/>
        </w:rPr>
        <w:t xml:space="preserve"> (</w:t>
      </w:r>
      <w:r w:rsidRPr="00490652">
        <w:rPr>
          <w:sz w:val="20"/>
        </w:rPr>
        <w:t>DASI</w:t>
      </w:r>
      <w:r>
        <w:rPr>
          <w:sz w:val="20"/>
        </w:rPr>
        <w:t xml:space="preserve">) tiene por misión actuar como un </w:t>
      </w:r>
      <w:r w:rsidRPr="00564369">
        <w:rPr>
          <w:sz w:val="20"/>
        </w:rPr>
        <w:t>examinador</w:t>
      </w:r>
      <w:r>
        <w:rPr>
          <w:sz w:val="20"/>
        </w:rPr>
        <w:t xml:space="preserve"> independiente y objetivo de las operaciones y actividades realizadas por la OMPI.  Examina operaciones y actividades que han sido seleccionadas sobre la base del riesgo o la relevancia que tengan para el personal directivo y los </w:t>
      </w:r>
      <w:r w:rsidRPr="00564369">
        <w:rPr>
          <w:sz w:val="20"/>
        </w:rPr>
        <w:t>distintos sectores</w:t>
      </w:r>
      <w:r>
        <w:rPr>
          <w:sz w:val="20"/>
        </w:rPr>
        <w:t xml:space="preserve"> de la OMPI, con el fin de fomentar el ahorro, la eficiencia, la eficacia y la incidencia de la labor de la Secretaría.  Asimismo, investiga las </w:t>
      </w:r>
      <w:r w:rsidRPr="00564369">
        <w:rPr>
          <w:sz w:val="20"/>
        </w:rPr>
        <w:t>acusaciones de fraude</w:t>
      </w:r>
      <w:r>
        <w:rPr>
          <w:sz w:val="20"/>
        </w:rPr>
        <w:t xml:space="preserve">, de despilfarro, de mala administración y busca tener un efecto disuasivo. Desde el punto de vista administrativo, la DASI depende del Director General y proporciona una garantía razonable y objetiva a los Estados miembros acerca de la efectividad, la eficiencia, la economía y la relevancia de las operaciones, las actividades y los sistemas operativos de la OMPI.  También </w:t>
      </w:r>
      <w:r w:rsidRPr="00D23F7F">
        <w:rPr>
          <w:sz w:val="20"/>
        </w:rPr>
        <w:t>evalúa</w:t>
      </w:r>
      <w:r>
        <w:rPr>
          <w:sz w:val="20"/>
        </w:rPr>
        <w:t xml:space="preserve"> la salvaguarda de los </w:t>
      </w:r>
      <w:r w:rsidRPr="00D23F7F">
        <w:rPr>
          <w:sz w:val="20"/>
        </w:rPr>
        <w:t>activos</w:t>
      </w:r>
      <w:r>
        <w:rPr>
          <w:sz w:val="20"/>
        </w:rPr>
        <w:t xml:space="preserve">  y determina si los fondos confiados a la Organización han sido tomados</w:t>
      </w:r>
      <w:r w:rsidRPr="00852080">
        <w:rPr>
          <w:sz w:val="20"/>
        </w:rPr>
        <w:t xml:space="preserve"> en cuenta</w:t>
      </w:r>
      <w:r>
        <w:rPr>
          <w:sz w:val="20"/>
        </w:rPr>
        <w:t xml:space="preserve"> y si las prácticas de gestión y los controles internos son adecuados y funcionan correctamente.  Las actividades de la DASI han sido diseñadas con el fin de añadir valor a la Organización, </w:t>
      </w:r>
      <w:r w:rsidRPr="00E203BF">
        <w:rPr>
          <w:sz w:val="20"/>
        </w:rPr>
        <w:t xml:space="preserve">de conformidad con la Carta de </w:t>
      </w:r>
      <w:r w:rsidR="002C6A72">
        <w:rPr>
          <w:sz w:val="20"/>
        </w:rPr>
        <w:t>Supervisión</w:t>
      </w:r>
      <w:r w:rsidRPr="00E203BF">
        <w:rPr>
          <w:sz w:val="20"/>
        </w:rPr>
        <w:t xml:space="preserve"> Interna de la OMPI</w:t>
      </w:r>
      <w:r>
        <w:rPr>
          <w:sz w:val="20"/>
        </w:rPr>
        <w:t>.</w:t>
      </w:r>
    </w:p>
    <w:p w:rsidR="00B1649B" w:rsidRPr="00B323DF" w:rsidRDefault="00B1649B" w:rsidP="00B1649B">
      <w:pPr>
        <w:jc w:val="both"/>
        <w:rPr>
          <w:sz w:val="20"/>
        </w:rPr>
      </w:pPr>
    </w:p>
    <w:p w:rsidR="00B1649B" w:rsidRPr="00B323DF" w:rsidRDefault="00B1649B" w:rsidP="00B1649B">
      <w:pPr>
        <w:jc w:val="both"/>
        <w:rPr>
          <w:sz w:val="20"/>
        </w:rPr>
      </w:pPr>
    </w:p>
    <w:p w:rsidR="00B1649B" w:rsidRPr="00B323DF" w:rsidRDefault="00B1649B" w:rsidP="00B1649B">
      <w:pPr>
        <w:jc w:val="both"/>
        <w:rPr>
          <w:szCs w:val="22"/>
        </w:rPr>
      </w:pPr>
      <w:r>
        <w:rPr>
          <w:szCs w:val="18"/>
        </w:rPr>
        <w:t>ESTRATEGIAS DE EJECUCIÓN</w:t>
      </w:r>
      <w:r w:rsidRPr="00B323DF">
        <w:rPr>
          <w:szCs w:val="22"/>
        </w:rPr>
        <w:t xml:space="preserve"> </w:t>
      </w:r>
    </w:p>
    <w:p w:rsidR="00B1649B" w:rsidRPr="00B323DF" w:rsidRDefault="00B1649B" w:rsidP="00B1649B">
      <w:pPr>
        <w:jc w:val="both"/>
        <w:rPr>
          <w:sz w:val="20"/>
        </w:rPr>
      </w:pPr>
    </w:p>
    <w:p w:rsidR="00B1649B" w:rsidRPr="00307261" w:rsidRDefault="00B1649B" w:rsidP="00D41E6A">
      <w:pPr>
        <w:numPr>
          <w:ilvl w:val="0"/>
          <w:numId w:val="45"/>
        </w:numPr>
        <w:autoSpaceDE w:val="0"/>
        <w:autoSpaceDN w:val="0"/>
        <w:adjustRightInd w:val="0"/>
        <w:jc w:val="both"/>
        <w:rPr>
          <w:sz w:val="20"/>
        </w:rPr>
      </w:pPr>
      <w:r>
        <w:rPr>
          <w:sz w:val="20"/>
        </w:rPr>
        <w:t xml:space="preserve">La </w:t>
      </w:r>
      <w:r w:rsidRPr="00B323DF">
        <w:rPr>
          <w:sz w:val="20"/>
        </w:rPr>
        <w:t>División de Auditoría y Supervisión Internas</w:t>
      </w:r>
      <w:r w:rsidRPr="001D1F9F">
        <w:rPr>
          <w:sz w:val="20"/>
        </w:rPr>
        <w:t xml:space="preserve"> llevará a cabo evaluaciones objetivas de los procesos de gesti</w:t>
      </w:r>
      <w:r>
        <w:rPr>
          <w:sz w:val="20"/>
        </w:rPr>
        <w:t xml:space="preserve">ón y garantizará la existencia de una </w:t>
      </w:r>
      <w:r w:rsidRPr="00005549">
        <w:rPr>
          <w:sz w:val="20"/>
        </w:rPr>
        <w:t>administración</w:t>
      </w:r>
      <w:r>
        <w:rPr>
          <w:sz w:val="20"/>
        </w:rPr>
        <w:t xml:space="preserve"> responsable</w:t>
      </w:r>
      <w:r w:rsidRPr="001D1F9F">
        <w:rPr>
          <w:sz w:val="20"/>
        </w:rPr>
        <w:t xml:space="preserve"> </w:t>
      </w:r>
      <w:r>
        <w:rPr>
          <w:sz w:val="20"/>
        </w:rPr>
        <w:t xml:space="preserve">de los </w:t>
      </w:r>
      <w:r w:rsidRPr="00005549">
        <w:rPr>
          <w:sz w:val="20"/>
        </w:rPr>
        <w:t>recursos monetarios</w:t>
      </w:r>
      <w:r>
        <w:rPr>
          <w:sz w:val="20"/>
        </w:rPr>
        <w:t xml:space="preserve"> y físicos de la Organización. Evaluará la </w:t>
      </w:r>
      <w:r w:rsidRPr="009C27FF">
        <w:rPr>
          <w:sz w:val="20"/>
        </w:rPr>
        <w:t>idoneidad</w:t>
      </w:r>
      <w:r>
        <w:rPr>
          <w:sz w:val="20"/>
        </w:rPr>
        <w:t xml:space="preserve"> y la efectividad de los controles internos, de la gestión </w:t>
      </w:r>
      <w:r w:rsidRPr="001D1F9F">
        <w:rPr>
          <w:sz w:val="20"/>
        </w:rPr>
        <w:t>de los riesgos</w:t>
      </w:r>
      <w:r>
        <w:rPr>
          <w:sz w:val="20"/>
        </w:rPr>
        <w:t xml:space="preserve">, de los procesos de gobierno y proporcionará una garantía razonable acerca de la conformidad de las operaciones de la OMPI con respecto a sus reglamentos rectores.  </w:t>
      </w:r>
      <w:r w:rsidRPr="00307261">
        <w:rPr>
          <w:sz w:val="20"/>
        </w:rPr>
        <w:t>Se fomentar</w:t>
      </w:r>
      <w:r>
        <w:rPr>
          <w:sz w:val="20"/>
        </w:rPr>
        <w:t xml:space="preserve">á </w:t>
      </w:r>
      <w:r w:rsidRPr="00307261">
        <w:rPr>
          <w:sz w:val="20"/>
        </w:rPr>
        <w:t>el aprendizaje a escala institucional</w:t>
      </w:r>
      <w:r>
        <w:rPr>
          <w:sz w:val="20"/>
        </w:rPr>
        <w:t xml:space="preserve"> y la rendición de </w:t>
      </w:r>
      <w:r w:rsidRPr="00307261">
        <w:rPr>
          <w:sz w:val="20"/>
        </w:rPr>
        <w:t xml:space="preserve">cuentas mediante </w:t>
      </w:r>
      <w:r>
        <w:rPr>
          <w:sz w:val="20"/>
        </w:rPr>
        <w:t>procesos de supervisión</w:t>
      </w:r>
      <w:r w:rsidRPr="00307261">
        <w:rPr>
          <w:sz w:val="20"/>
        </w:rPr>
        <w:t xml:space="preserve"> transparentes y participativos.</w:t>
      </w:r>
    </w:p>
    <w:p w:rsidR="00B1649B" w:rsidRPr="00307261" w:rsidRDefault="00B1649B" w:rsidP="00B1649B">
      <w:pPr>
        <w:autoSpaceDE w:val="0"/>
        <w:autoSpaceDN w:val="0"/>
        <w:adjustRightInd w:val="0"/>
        <w:jc w:val="both"/>
        <w:rPr>
          <w:sz w:val="20"/>
        </w:rPr>
      </w:pPr>
    </w:p>
    <w:p w:rsidR="00B1649B" w:rsidRPr="00AE4F1E" w:rsidRDefault="00B1649B" w:rsidP="00D41E6A">
      <w:pPr>
        <w:numPr>
          <w:ilvl w:val="0"/>
          <w:numId w:val="45"/>
        </w:numPr>
        <w:autoSpaceDE w:val="0"/>
        <w:autoSpaceDN w:val="0"/>
        <w:adjustRightInd w:val="0"/>
        <w:jc w:val="both"/>
        <w:rPr>
          <w:sz w:val="20"/>
        </w:rPr>
      </w:pPr>
      <w:r>
        <w:rPr>
          <w:sz w:val="20"/>
        </w:rPr>
        <w:t xml:space="preserve">Las auditorías </w:t>
      </w:r>
      <w:r w:rsidRPr="00AE4F1E">
        <w:rPr>
          <w:sz w:val="20"/>
        </w:rPr>
        <w:t>seguir</w:t>
      </w:r>
      <w:r>
        <w:rPr>
          <w:sz w:val="20"/>
        </w:rPr>
        <w:t>án centrá</w:t>
      </w:r>
      <w:r w:rsidRPr="00AE4F1E">
        <w:rPr>
          <w:sz w:val="20"/>
        </w:rPr>
        <w:t>ndo</w:t>
      </w:r>
      <w:r>
        <w:rPr>
          <w:sz w:val="20"/>
        </w:rPr>
        <w:t>se en</w:t>
      </w:r>
      <w:r w:rsidRPr="00AE4F1E">
        <w:rPr>
          <w:sz w:val="20"/>
        </w:rPr>
        <w:t xml:space="preserve"> </w:t>
      </w:r>
      <w:r>
        <w:rPr>
          <w:sz w:val="20"/>
        </w:rPr>
        <w:t xml:space="preserve">las </w:t>
      </w:r>
      <w:r w:rsidRPr="00616E60">
        <w:rPr>
          <w:sz w:val="20"/>
        </w:rPr>
        <w:t>esferas de mayor riesgo</w:t>
      </w:r>
      <w:r>
        <w:rPr>
          <w:sz w:val="20"/>
        </w:rPr>
        <w:t xml:space="preserve">, formulando recomendaciones y proporcionando </w:t>
      </w:r>
      <w:r w:rsidRPr="00616E60">
        <w:rPr>
          <w:sz w:val="20"/>
        </w:rPr>
        <w:t>asesoramiento</w:t>
      </w:r>
      <w:r>
        <w:rPr>
          <w:sz w:val="20"/>
        </w:rPr>
        <w:t xml:space="preserve"> para una eventual mejora de los controles internos, de la seguridad de la información y de la gestión de los riesgos.  Se determinarán </w:t>
      </w:r>
      <w:r w:rsidRPr="00FB3FA6">
        <w:rPr>
          <w:sz w:val="20"/>
        </w:rPr>
        <w:t>las lagunas en el ámbito de los controles internos</w:t>
      </w:r>
      <w:r>
        <w:rPr>
          <w:sz w:val="20"/>
        </w:rPr>
        <w:t xml:space="preserve"> y se comunicarán al personal directivo para que se tomen las medidas apropiadas de manera oportuna.</w:t>
      </w:r>
    </w:p>
    <w:p w:rsidR="00B1649B" w:rsidRPr="00AE4F1E" w:rsidRDefault="00B1649B" w:rsidP="00B1649B">
      <w:pPr>
        <w:autoSpaceDE w:val="0"/>
        <w:autoSpaceDN w:val="0"/>
        <w:adjustRightInd w:val="0"/>
        <w:jc w:val="both"/>
        <w:rPr>
          <w:sz w:val="20"/>
        </w:rPr>
      </w:pPr>
    </w:p>
    <w:p w:rsidR="00B1649B" w:rsidRPr="004E1F4B" w:rsidRDefault="00B1649B" w:rsidP="00D41E6A">
      <w:pPr>
        <w:numPr>
          <w:ilvl w:val="0"/>
          <w:numId w:val="45"/>
        </w:numPr>
        <w:autoSpaceDE w:val="0"/>
        <w:autoSpaceDN w:val="0"/>
        <w:adjustRightInd w:val="0"/>
        <w:jc w:val="both"/>
        <w:rPr>
          <w:sz w:val="20"/>
        </w:rPr>
      </w:pPr>
      <w:r>
        <w:rPr>
          <w:sz w:val="20"/>
        </w:rPr>
        <w:t>La elaboración de informes de evaluación de calidad y oportunos</w:t>
      </w:r>
      <w:r w:rsidRPr="004E1F4B">
        <w:rPr>
          <w:sz w:val="20"/>
        </w:rPr>
        <w:t xml:space="preserve"> se seguirá perfeccionando</w:t>
      </w:r>
      <w:r>
        <w:rPr>
          <w:sz w:val="20"/>
        </w:rPr>
        <w:t xml:space="preserve"> tomando como base la experiencia acumulada en los bienios anteriores.  </w:t>
      </w:r>
      <w:r w:rsidRPr="00FF10D5">
        <w:rPr>
          <w:sz w:val="20"/>
        </w:rPr>
        <w:t>Se llevarán a cabo evaluaciones independientes (que atañen a los programas, los sectores o las metas estratégicas) sobre la base de las prioridades establecidas en coordinación con las principales partes interesadas.</w:t>
      </w:r>
      <w:r>
        <w:rPr>
          <w:sz w:val="20"/>
        </w:rPr>
        <w:t xml:space="preserve">  Las evaluaciones </w:t>
      </w:r>
      <w:r w:rsidRPr="0031346E">
        <w:rPr>
          <w:sz w:val="20"/>
        </w:rPr>
        <w:t>indep</w:t>
      </w:r>
      <w:r>
        <w:rPr>
          <w:sz w:val="20"/>
        </w:rPr>
        <w:t>endientes complementarán</w:t>
      </w:r>
      <w:r w:rsidRPr="0031346E">
        <w:rPr>
          <w:sz w:val="20"/>
        </w:rPr>
        <w:t xml:space="preserve"> los mecanismos de evaluación del rendimie</w:t>
      </w:r>
      <w:r>
        <w:rPr>
          <w:sz w:val="20"/>
        </w:rPr>
        <w:t>nto de la Organización y aportarán</w:t>
      </w:r>
      <w:r w:rsidRPr="0031346E">
        <w:rPr>
          <w:sz w:val="20"/>
        </w:rPr>
        <w:t xml:space="preserve"> la información necesaria</w:t>
      </w:r>
      <w:r>
        <w:rPr>
          <w:sz w:val="20"/>
        </w:rPr>
        <w:t xml:space="preserve"> (como por ejemplo los informes anuales </w:t>
      </w:r>
      <w:r w:rsidRPr="007A521C">
        <w:rPr>
          <w:sz w:val="20"/>
        </w:rPr>
        <w:t>sobre el rendimiento</w:t>
      </w:r>
      <w:r>
        <w:rPr>
          <w:sz w:val="20"/>
        </w:rPr>
        <w:t xml:space="preserve"> de los programas)</w:t>
      </w:r>
      <w:r w:rsidRPr="001F58FD">
        <w:rPr>
          <w:sz w:val="20"/>
        </w:rPr>
        <w:t>.</w:t>
      </w:r>
      <w:r>
        <w:rPr>
          <w:sz w:val="20"/>
        </w:rPr>
        <w:t xml:space="preserve"> La Agenda para el Desarrollo seguirá siendo </w:t>
      </w:r>
      <w:r w:rsidRPr="007A521C">
        <w:rPr>
          <w:sz w:val="20"/>
        </w:rPr>
        <w:t>un objetivo importante</w:t>
      </w:r>
      <w:r>
        <w:rPr>
          <w:sz w:val="20"/>
        </w:rPr>
        <w:t xml:space="preserve"> de la labor de evaluación.</w:t>
      </w:r>
    </w:p>
    <w:p w:rsidR="00B1649B" w:rsidRPr="004E1F4B" w:rsidRDefault="00B1649B" w:rsidP="00B1649B">
      <w:pPr>
        <w:autoSpaceDE w:val="0"/>
        <w:autoSpaceDN w:val="0"/>
        <w:adjustRightInd w:val="0"/>
        <w:jc w:val="both"/>
        <w:rPr>
          <w:sz w:val="20"/>
        </w:rPr>
      </w:pPr>
    </w:p>
    <w:p w:rsidR="00B1649B" w:rsidRPr="00BF5737" w:rsidRDefault="00B1649B" w:rsidP="00D41E6A">
      <w:pPr>
        <w:numPr>
          <w:ilvl w:val="0"/>
          <w:numId w:val="45"/>
        </w:numPr>
        <w:autoSpaceDE w:val="0"/>
        <w:autoSpaceDN w:val="0"/>
        <w:adjustRightInd w:val="0"/>
        <w:jc w:val="both"/>
        <w:rPr>
          <w:sz w:val="20"/>
        </w:rPr>
      </w:pPr>
      <w:r w:rsidRPr="00BF5737">
        <w:rPr>
          <w:sz w:val="20"/>
        </w:rPr>
        <w:t>La División de Auditoría y Supervisión Interna</w:t>
      </w:r>
      <w:r w:rsidR="002C6A72">
        <w:rPr>
          <w:sz w:val="20"/>
        </w:rPr>
        <w:t>s</w:t>
      </w:r>
      <w:r w:rsidRPr="00BF5737">
        <w:rPr>
          <w:sz w:val="20"/>
        </w:rPr>
        <w:t xml:space="preserve"> seguirá prestando apoyo al personal directivo en la elaboración y aplicación de un marco eficaz y efectivo de ética e integridad que defina claramente las obligaciones, funciones, responsabilidades y derechos de todo el personal de la Organización</w:t>
      </w:r>
      <w:r>
        <w:rPr>
          <w:sz w:val="20"/>
        </w:rPr>
        <w:t xml:space="preserve">.  </w:t>
      </w:r>
      <w:r w:rsidRPr="00146AAB">
        <w:rPr>
          <w:sz w:val="20"/>
        </w:rPr>
        <w:t>A esos fines, la OMPI deberá presentar informes de investigación profesionales y puntuales elaborados con arreglo a las normas y prácticas óptimas en materia de investigación de</w:t>
      </w:r>
      <w:r>
        <w:rPr>
          <w:sz w:val="20"/>
        </w:rPr>
        <w:t xml:space="preserve">l </w:t>
      </w:r>
      <w:r w:rsidRPr="00146AAB">
        <w:rPr>
          <w:sz w:val="20"/>
        </w:rPr>
        <w:t xml:space="preserve"> </w:t>
      </w:r>
      <w:r>
        <w:rPr>
          <w:sz w:val="20"/>
        </w:rPr>
        <w:t>sistema</w:t>
      </w:r>
      <w:r w:rsidRPr="00146AAB">
        <w:rPr>
          <w:sz w:val="20"/>
        </w:rPr>
        <w:t xml:space="preserve"> de las NN.UU.</w:t>
      </w:r>
      <w:r>
        <w:rPr>
          <w:sz w:val="20"/>
        </w:rPr>
        <w:t xml:space="preserve">  La DASI continuará poniendo a disposición una </w:t>
      </w:r>
      <w:r w:rsidRPr="00146AAB">
        <w:rPr>
          <w:sz w:val="20"/>
        </w:rPr>
        <w:t>línea telefónica directa</w:t>
      </w:r>
      <w:r>
        <w:rPr>
          <w:sz w:val="20"/>
        </w:rPr>
        <w:t xml:space="preserve"> para denunciar delitos y posibles </w:t>
      </w:r>
      <w:r w:rsidRPr="00146AAB">
        <w:rPr>
          <w:sz w:val="20"/>
        </w:rPr>
        <w:t>faltas de conducta</w:t>
      </w:r>
      <w:r>
        <w:rPr>
          <w:sz w:val="20"/>
        </w:rPr>
        <w:t xml:space="preserve"> en la OMPI.  Se creará un</w:t>
      </w:r>
      <w:r w:rsidRPr="0030660E">
        <w:rPr>
          <w:sz w:val="20"/>
        </w:rPr>
        <w:t xml:space="preserve"> marco de evaluación de riesgos para mitigar las consecuencias de</w:t>
      </w:r>
      <w:r>
        <w:rPr>
          <w:sz w:val="20"/>
        </w:rPr>
        <w:t xml:space="preserve"> </w:t>
      </w:r>
      <w:r w:rsidRPr="0030660E">
        <w:rPr>
          <w:sz w:val="20"/>
        </w:rPr>
        <w:t>delitos, conductas impropias y fraudes</w:t>
      </w:r>
      <w:r>
        <w:rPr>
          <w:sz w:val="20"/>
        </w:rPr>
        <w:t>.</w:t>
      </w:r>
    </w:p>
    <w:p w:rsidR="00B1649B" w:rsidRPr="0030660E" w:rsidRDefault="00B1649B" w:rsidP="00B1649B">
      <w:pPr>
        <w:autoSpaceDE w:val="0"/>
        <w:autoSpaceDN w:val="0"/>
        <w:adjustRightInd w:val="0"/>
        <w:jc w:val="both"/>
        <w:rPr>
          <w:sz w:val="20"/>
        </w:rPr>
      </w:pPr>
    </w:p>
    <w:p w:rsidR="00B1649B" w:rsidRPr="00DB579E" w:rsidRDefault="00B1649B" w:rsidP="00D41E6A">
      <w:pPr>
        <w:numPr>
          <w:ilvl w:val="0"/>
          <w:numId w:val="45"/>
        </w:numPr>
        <w:autoSpaceDE w:val="0"/>
        <w:autoSpaceDN w:val="0"/>
        <w:adjustRightInd w:val="0"/>
        <w:jc w:val="both"/>
        <w:rPr>
          <w:sz w:val="20"/>
        </w:rPr>
      </w:pPr>
      <w:r w:rsidRPr="00A0141C">
        <w:rPr>
          <w:sz w:val="20"/>
        </w:rPr>
        <w:t>La cooperación y coordinación con el Auditor Externo, el Mediador y la Oficina de Ética Profesional seguirán siendo altamente prioritarias</w:t>
      </w:r>
      <w:r>
        <w:rPr>
          <w:sz w:val="20"/>
        </w:rPr>
        <w:t xml:space="preserve">.  </w:t>
      </w:r>
      <w:r w:rsidRPr="00A5369D">
        <w:rPr>
          <w:sz w:val="20"/>
        </w:rPr>
        <w:t xml:space="preserve">Además, se proseguirá con la </w:t>
      </w:r>
      <w:r>
        <w:rPr>
          <w:sz w:val="20"/>
        </w:rPr>
        <w:t xml:space="preserve">elaboración de instrumentos de </w:t>
      </w:r>
      <w:proofErr w:type="gramStart"/>
      <w:r>
        <w:rPr>
          <w:sz w:val="20"/>
        </w:rPr>
        <w:t xml:space="preserve">supervisión </w:t>
      </w:r>
      <w:r w:rsidRPr="00A5369D">
        <w:rPr>
          <w:sz w:val="20"/>
        </w:rPr>
        <w:t>adecuados</w:t>
      </w:r>
      <w:proofErr w:type="gramEnd"/>
      <w:r w:rsidRPr="00A5369D">
        <w:rPr>
          <w:sz w:val="20"/>
        </w:rPr>
        <w:t>, tales como ma</w:t>
      </w:r>
      <w:r>
        <w:rPr>
          <w:sz w:val="20"/>
        </w:rPr>
        <w:t>nuales, políticas y directrices</w:t>
      </w:r>
      <w:r w:rsidRPr="00A5369D">
        <w:rPr>
          <w:sz w:val="20"/>
        </w:rPr>
        <w:t xml:space="preserve"> que</w:t>
      </w:r>
      <w:r>
        <w:rPr>
          <w:sz w:val="20"/>
        </w:rPr>
        <w:t xml:space="preserve"> estén </w:t>
      </w:r>
      <w:r w:rsidRPr="006D5C42">
        <w:rPr>
          <w:sz w:val="20"/>
        </w:rPr>
        <w:t>en consonancia con</w:t>
      </w:r>
      <w:r>
        <w:rPr>
          <w:sz w:val="20"/>
        </w:rPr>
        <w:t xml:space="preserve"> </w:t>
      </w:r>
      <w:r w:rsidRPr="00DB579E">
        <w:rPr>
          <w:sz w:val="20"/>
        </w:rPr>
        <w:t>normas profesionales</w:t>
      </w:r>
      <w:r>
        <w:rPr>
          <w:sz w:val="20"/>
        </w:rPr>
        <w:t xml:space="preserve"> </w:t>
      </w:r>
      <w:r w:rsidRPr="00DB579E">
        <w:rPr>
          <w:sz w:val="20"/>
        </w:rPr>
        <w:t>reconocidas en el plano</w:t>
      </w:r>
      <w:r>
        <w:rPr>
          <w:sz w:val="20"/>
        </w:rPr>
        <w:t xml:space="preserve"> </w:t>
      </w:r>
      <w:r w:rsidRPr="00DB579E">
        <w:rPr>
          <w:sz w:val="20"/>
        </w:rPr>
        <w:t>internacional</w:t>
      </w:r>
      <w:r w:rsidRPr="00A5369D">
        <w:rPr>
          <w:sz w:val="20"/>
        </w:rPr>
        <w:t xml:space="preserve"> y</w:t>
      </w:r>
      <w:r>
        <w:rPr>
          <w:sz w:val="20"/>
        </w:rPr>
        <w:t xml:space="preserve"> con</w:t>
      </w:r>
      <w:r w:rsidRPr="00A5369D">
        <w:rPr>
          <w:sz w:val="20"/>
        </w:rPr>
        <w:t xml:space="preserve"> las prácticas óptimas de las NN.UU.</w:t>
      </w:r>
      <w:r>
        <w:rPr>
          <w:sz w:val="20"/>
        </w:rPr>
        <w:t xml:space="preserve"> y de otras organizaciones.</w:t>
      </w:r>
    </w:p>
    <w:p w:rsidR="00B1649B" w:rsidRPr="00DB579E" w:rsidRDefault="00B1649B" w:rsidP="00B1649B">
      <w:pPr>
        <w:autoSpaceDE w:val="0"/>
        <w:autoSpaceDN w:val="0"/>
        <w:adjustRightInd w:val="0"/>
        <w:jc w:val="both"/>
        <w:rPr>
          <w:sz w:val="20"/>
        </w:rPr>
      </w:pPr>
    </w:p>
    <w:p w:rsidR="00B1649B" w:rsidRPr="00FB46B9" w:rsidRDefault="00B1649B" w:rsidP="00D41E6A">
      <w:pPr>
        <w:numPr>
          <w:ilvl w:val="0"/>
          <w:numId w:val="45"/>
        </w:numPr>
        <w:autoSpaceDE w:val="0"/>
        <w:autoSpaceDN w:val="0"/>
        <w:adjustRightInd w:val="0"/>
        <w:jc w:val="both"/>
        <w:rPr>
          <w:sz w:val="20"/>
        </w:rPr>
      </w:pPr>
      <w:r w:rsidRPr="00FB46B9">
        <w:rPr>
          <w:sz w:val="20"/>
        </w:rPr>
        <w:lastRenderedPageBreak/>
        <w:t>Durante el bienio, se proseguirá la cooperación con la comu</w:t>
      </w:r>
      <w:r>
        <w:rPr>
          <w:sz w:val="20"/>
        </w:rPr>
        <w:t xml:space="preserve">nidad de supervisión interna de las </w:t>
      </w:r>
      <w:r w:rsidRPr="00FB46B9">
        <w:rPr>
          <w:sz w:val="20"/>
        </w:rPr>
        <w:t>NN.UU. y las asociaciones internacion</w:t>
      </w:r>
      <w:r>
        <w:rPr>
          <w:sz w:val="20"/>
        </w:rPr>
        <w:t>ales y profesionales</w:t>
      </w:r>
      <w:r w:rsidRPr="00FB46B9">
        <w:rPr>
          <w:sz w:val="20"/>
        </w:rPr>
        <w:t xml:space="preserve"> con el fin de velar por que</w:t>
      </w:r>
      <w:r>
        <w:rPr>
          <w:sz w:val="20"/>
        </w:rPr>
        <w:t xml:space="preserve"> la </w:t>
      </w:r>
      <w:r w:rsidRPr="00FB46B9">
        <w:rPr>
          <w:sz w:val="20"/>
        </w:rPr>
        <w:t>supervisión interna de la OMPI esté en consonancia con las tendencias internacionales y las</w:t>
      </w:r>
      <w:r>
        <w:rPr>
          <w:sz w:val="20"/>
        </w:rPr>
        <w:t xml:space="preserve"> </w:t>
      </w:r>
      <w:r w:rsidRPr="00FB46B9">
        <w:rPr>
          <w:sz w:val="20"/>
        </w:rPr>
        <w:t>prácticas óptimas de las NN.UU.</w:t>
      </w:r>
    </w:p>
    <w:p w:rsidR="00B1649B" w:rsidRPr="00BF5737" w:rsidRDefault="00B1649B" w:rsidP="00B1649B">
      <w:pPr>
        <w:autoSpaceDE w:val="0"/>
        <w:autoSpaceDN w:val="0"/>
        <w:adjustRightInd w:val="0"/>
        <w:jc w:val="both"/>
        <w:rPr>
          <w:sz w:val="20"/>
        </w:rPr>
      </w:pPr>
    </w:p>
    <w:p w:rsidR="00B1649B" w:rsidRPr="00BF5052" w:rsidRDefault="00B1649B" w:rsidP="00D41E6A">
      <w:pPr>
        <w:numPr>
          <w:ilvl w:val="0"/>
          <w:numId w:val="45"/>
        </w:numPr>
        <w:autoSpaceDE w:val="0"/>
        <w:autoSpaceDN w:val="0"/>
        <w:adjustRightInd w:val="0"/>
        <w:jc w:val="both"/>
        <w:rPr>
          <w:sz w:val="20"/>
        </w:rPr>
      </w:pPr>
      <w:r w:rsidRPr="00BF5052">
        <w:rPr>
          <w:sz w:val="20"/>
        </w:rPr>
        <w:t>El avance en la aplicación de las recomendaciones d</w:t>
      </w:r>
      <w:r>
        <w:rPr>
          <w:sz w:val="20"/>
        </w:rPr>
        <w:t xml:space="preserve">e supervisión será objeto de un seguimiento </w:t>
      </w:r>
      <w:r w:rsidRPr="00BF5052">
        <w:rPr>
          <w:sz w:val="20"/>
        </w:rPr>
        <w:t>periódico y los resultados se presentarán al Director General, a la Comisión Consultiva</w:t>
      </w:r>
      <w:r>
        <w:rPr>
          <w:sz w:val="20"/>
        </w:rPr>
        <w:t xml:space="preserve"> Independiente </w:t>
      </w:r>
      <w:r w:rsidRPr="00BF5052">
        <w:rPr>
          <w:sz w:val="20"/>
        </w:rPr>
        <w:t>de Supervisión (CCIS</w:t>
      </w:r>
      <w:r>
        <w:rPr>
          <w:sz w:val="20"/>
        </w:rPr>
        <w:t xml:space="preserve">) y a las Asambleas de la OMPI.  </w:t>
      </w:r>
      <w:r w:rsidRPr="00BF5052">
        <w:rPr>
          <w:sz w:val="20"/>
        </w:rPr>
        <w:t>Varias aplicaciones informáticas</w:t>
      </w:r>
      <w:r>
        <w:rPr>
          <w:sz w:val="20"/>
        </w:rPr>
        <w:t xml:space="preserve"> que estarán en pleno funcionamiento en 2013</w:t>
      </w:r>
      <w:r w:rsidRPr="00BF5052">
        <w:rPr>
          <w:sz w:val="20"/>
        </w:rPr>
        <w:t xml:space="preserve"> </w:t>
      </w:r>
      <w:r>
        <w:rPr>
          <w:sz w:val="20"/>
        </w:rPr>
        <w:t>mejorarán la eficiencia</w:t>
      </w:r>
      <w:r w:rsidRPr="00BF5052">
        <w:rPr>
          <w:sz w:val="20"/>
        </w:rPr>
        <w:t xml:space="preserve"> de los procesos de </w:t>
      </w:r>
      <w:r>
        <w:rPr>
          <w:sz w:val="20"/>
        </w:rPr>
        <w:t>supervisión en el próximo bienio</w:t>
      </w:r>
      <w:r w:rsidRPr="00BF5052">
        <w:rPr>
          <w:sz w:val="20"/>
        </w:rPr>
        <w:t>.</w:t>
      </w:r>
    </w:p>
    <w:p w:rsidR="00B1649B" w:rsidRPr="00BF5052" w:rsidRDefault="00B1649B" w:rsidP="00B1649B">
      <w:pPr>
        <w:autoSpaceDE w:val="0"/>
        <w:autoSpaceDN w:val="0"/>
        <w:adjustRightInd w:val="0"/>
        <w:jc w:val="both"/>
        <w:rPr>
          <w:sz w:val="20"/>
        </w:rPr>
      </w:pPr>
    </w:p>
    <w:p w:rsidR="00B1649B" w:rsidRPr="00A026C1" w:rsidRDefault="00B1649B" w:rsidP="00D41E6A">
      <w:pPr>
        <w:numPr>
          <w:ilvl w:val="0"/>
          <w:numId w:val="45"/>
        </w:numPr>
        <w:autoSpaceDE w:val="0"/>
        <w:autoSpaceDN w:val="0"/>
        <w:adjustRightInd w:val="0"/>
        <w:jc w:val="both"/>
        <w:rPr>
          <w:sz w:val="20"/>
        </w:rPr>
      </w:pPr>
      <w:r w:rsidRPr="00EB716F">
        <w:rPr>
          <w:sz w:val="20"/>
        </w:rPr>
        <w:t xml:space="preserve">Con el fin </w:t>
      </w:r>
      <w:r>
        <w:rPr>
          <w:sz w:val="20"/>
        </w:rPr>
        <w:t xml:space="preserve">de </w:t>
      </w:r>
      <w:r w:rsidRPr="00EB716F">
        <w:rPr>
          <w:sz w:val="20"/>
        </w:rPr>
        <w:t>compartir experiencias y d</w:t>
      </w:r>
      <w:r>
        <w:rPr>
          <w:sz w:val="20"/>
        </w:rPr>
        <w:t xml:space="preserve">atos sobre las actividades de supervisión con  </w:t>
      </w:r>
      <w:r w:rsidRPr="00A026C1">
        <w:rPr>
          <w:sz w:val="20"/>
        </w:rPr>
        <w:t>sectores interesados</w:t>
      </w:r>
      <w:r>
        <w:rPr>
          <w:sz w:val="20"/>
        </w:rPr>
        <w:t xml:space="preserve"> clave, </w:t>
      </w:r>
      <w:r w:rsidRPr="00A026C1">
        <w:rPr>
          <w:sz w:val="20"/>
        </w:rPr>
        <w:t>dentro y fuera de la OMPI</w:t>
      </w:r>
      <w:r>
        <w:rPr>
          <w:sz w:val="20"/>
        </w:rPr>
        <w:t xml:space="preserve">, los </w:t>
      </w:r>
      <w:r w:rsidRPr="00A026C1">
        <w:rPr>
          <w:sz w:val="20"/>
        </w:rPr>
        <w:t>principales</w:t>
      </w:r>
      <w:r>
        <w:rPr>
          <w:sz w:val="20"/>
        </w:rPr>
        <w:t xml:space="preserve"> resultados y conclusiones de la labor de supervisión se difundirán regularmente a través de presentaciones realizadas durante actividades para la información y la</w:t>
      </w:r>
      <w:r w:rsidRPr="00F5420C">
        <w:rPr>
          <w:sz w:val="20"/>
        </w:rPr>
        <w:t xml:space="preserve"> formación</w:t>
      </w:r>
      <w:r>
        <w:rPr>
          <w:sz w:val="20"/>
        </w:rPr>
        <w:t>.</w:t>
      </w:r>
    </w:p>
    <w:p w:rsidR="00B1649B" w:rsidRPr="00EB716F" w:rsidRDefault="00B1649B" w:rsidP="00B1649B">
      <w:pPr>
        <w:autoSpaceDE w:val="0"/>
        <w:autoSpaceDN w:val="0"/>
        <w:adjustRightInd w:val="0"/>
        <w:jc w:val="both"/>
        <w:rPr>
          <w:sz w:val="18"/>
          <w:szCs w:val="18"/>
        </w:rPr>
      </w:pPr>
    </w:p>
    <w:p w:rsidR="007648D2" w:rsidRPr="00B1649B" w:rsidRDefault="007648D2" w:rsidP="007648D2"/>
    <w:p w:rsidR="009F58E5" w:rsidRPr="00994766" w:rsidRDefault="009F58E5" w:rsidP="007648D2">
      <w:pPr>
        <w:rPr>
          <w:sz w:val="20"/>
          <w:lang w:val="es-ES_tradnl"/>
        </w:rPr>
      </w:pPr>
      <w:r w:rsidRPr="00994766">
        <w:rPr>
          <w:szCs w:val="22"/>
          <w:lang w:val="es-ES_tradnl"/>
        </w:rPr>
        <w:t xml:space="preserve">PRINCIPALES RIESGOS Y ESTRATEGIAS DE MITIGACIÓN  </w:t>
      </w:r>
    </w:p>
    <w:p w:rsidR="009F58E5" w:rsidRPr="00994766" w:rsidRDefault="009F58E5" w:rsidP="007648D2">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13"/>
        <w:gridCol w:w="4866"/>
      </w:tblGrid>
      <w:tr w:rsidR="009F58E5" w:rsidRPr="00D41E6A" w:rsidTr="00C665A4">
        <w:trPr>
          <w:trHeight w:val="463"/>
        </w:trPr>
        <w:tc>
          <w:tcPr>
            <w:tcW w:w="4395"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8F4F69">
            <w:pPr>
              <w:jc w:val="center"/>
              <w:rPr>
                <w:b/>
                <w:color w:val="000000"/>
                <w:sz w:val="18"/>
                <w:szCs w:val="18"/>
                <w:lang w:val="es-ES_tradnl"/>
              </w:rPr>
            </w:pPr>
            <w:r w:rsidRPr="00D41E6A">
              <w:rPr>
                <w:b/>
                <w:color w:val="000000"/>
                <w:sz w:val="18"/>
                <w:szCs w:val="18"/>
                <w:lang w:val="es-ES_tradnl"/>
              </w:rPr>
              <w:t>Riesgos en el logro de los resultados del programa</w:t>
            </w:r>
          </w:p>
        </w:tc>
        <w:tc>
          <w:tcPr>
            <w:tcW w:w="4961"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8D3D36">
            <w:pPr>
              <w:rPr>
                <w:b/>
                <w:color w:val="000000"/>
                <w:sz w:val="18"/>
                <w:szCs w:val="18"/>
                <w:lang w:val="es-ES_tradnl"/>
              </w:rPr>
            </w:pPr>
            <w:r w:rsidRPr="00D41E6A">
              <w:rPr>
                <w:b/>
                <w:color w:val="000000"/>
                <w:sz w:val="18"/>
                <w:szCs w:val="18"/>
                <w:lang w:val="es-ES_tradnl"/>
              </w:rPr>
              <w:t xml:space="preserve">Planes de mitigación ejecutados o en ejecución </w:t>
            </w:r>
          </w:p>
        </w:tc>
      </w:tr>
      <w:tr w:rsidR="009F58E5" w:rsidRPr="00994766" w:rsidTr="00C665A4">
        <w:trPr>
          <w:trHeight w:val="799"/>
        </w:trPr>
        <w:tc>
          <w:tcPr>
            <w:tcW w:w="4395" w:type="dxa"/>
            <w:tcBorders>
              <w:top w:val="single" w:sz="4" w:space="0" w:color="auto"/>
            </w:tcBorders>
            <w:shd w:val="clear" w:color="auto" w:fill="auto"/>
            <w:tcMar>
              <w:top w:w="113" w:type="dxa"/>
              <w:bottom w:w="85" w:type="dxa"/>
            </w:tcMar>
          </w:tcPr>
          <w:p w:rsidR="009F58E5" w:rsidRPr="00994766" w:rsidRDefault="009F58E5" w:rsidP="008F4F69">
            <w:pPr>
              <w:rPr>
                <w:bCs/>
                <w:i/>
                <w:iCs/>
                <w:sz w:val="16"/>
                <w:szCs w:val="16"/>
                <w:lang w:val="es-ES_tradnl"/>
              </w:rPr>
            </w:pPr>
            <w:r w:rsidRPr="00994766">
              <w:rPr>
                <w:sz w:val="16"/>
                <w:szCs w:val="16"/>
                <w:lang w:val="es-ES_tradnl"/>
              </w:rPr>
              <w:t>La actividad de supervisión interna no es independiente y el personal de la DASI no actúa con objetividad al cumplir con su labor.  Estarían en peligro la imparcialidad y la credibilidad de la labor ejecutada.  Se menoscabaría la confianza en la función de supervisión.</w:t>
            </w:r>
          </w:p>
        </w:tc>
        <w:tc>
          <w:tcPr>
            <w:tcW w:w="4961" w:type="dxa"/>
            <w:tcBorders>
              <w:top w:val="single" w:sz="4" w:space="0" w:color="auto"/>
            </w:tcBorders>
            <w:shd w:val="clear" w:color="auto" w:fill="auto"/>
            <w:tcMar>
              <w:top w:w="113" w:type="dxa"/>
              <w:bottom w:w="85" w:type="dxa"/>
            </w:tcMar>
          </w:tcPr>
          <w:p w:rsidR="009F58E5" w:rsidRPr="00994766" w:rsidRDefault="009F58E5" w:rsidP="008F4F69">
            <w:pPr>
              <w:rPr>
                <w:bCs/>
                <w:i/>
                <w:iCs/>
                <w:sz w:val="16"/>
                <w:szCs w:val="16"/>
                <w:lang w:val="es-ES_tradnl"/>
              </w:rPr>
            </w:pPr>
            <w:r w:rsidRPr="00994766">
              <w:rPr>
                <w:sz w:val="16"/>
                <w:szCs w:val="16"/>
                <w:lang w:val="es-ES_tradnl"/>
              </w:rPr>
              <w:t>La DASI y su personal observarán la Carta de Supervisión Interna, presentarán informes periódicos a la CCIS, e informes anuales sobre su independencia a la Asamblea General de la OMPI.</w:t>
            </w:r>
          </w:p>
        </w:tc>
      </w:tr>
      <w:tr w:rsidR="009F58E5" w:rsidRPr="00994766" w:rsidTr="00C665A4">
        <w:trPr>
          <w:trHeight w:val="937"/>
        </w:trPr>
        <w:tc>
          <w:tcPr>
            <w:tcW w:w="4395" w:type="dxa"/>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t>La labor de la DASI no es pertinente y no ayuda a la consecución de los resultados de la Organización.  El plan de supervisión no comprende esferas de interés para la Organización en el logro de sus objetivos.  Las investigaciones no se llevan a cabo de manera puntual.</w:t>
            </w:r>
          </w:p>
        </w:tc>
        <w:tc>
          <w:tcPr>
            <w:tcW w:w="4961" w:type="dxa"/>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t>Planificación profesional de las auditorías, evaluaciones e investigaciones;  aportaciones del Director General, el personal directivo superior, y los Estados miembros al plan de supervisión;  coordinación con otros sectores.</w:t>
            </w:r>
          </w:p>
        </w:tc>
      </w:tr>
    </w:tbl>
    <w:p w:rsidR="009F58E5" w:rsidRPr="00994766" w:rsidRDefault="009F58E5" w:rsidP="009F58E5">
      <w:pPr>
        <w:tabs>
          <w:tab w:val="left" w:pos="567"/>
          <w:tab w:val="left" w:pos="1985"/>
        </w:tabs>
        <w:jc w:val="both"/>
        <w:rPr>
          <w:bCs/>
          <w:sz w:val="20"/>
          <w:lang w:val="es-ES_tradnl"/>
        </w:rPr>
      </w:pPr>
    </w:p>
    <w:p w:rsidR="009F58E5" w:rsidRPr="00C75C7E" w:rsidRDefault="009F58E5" w:rsidP="009F58E5">
      <w:pPr>
        <w:rPr>
          <w:sz w:val="20"/>
          <w:lang w:val="es-ES_tradnl"/>
        </w:rPr>
      </w:pPr>
    </w:p>
    <w:p w:rsidR="009F58E5" w:rsidRPr="00C75C7E" w:rsidRDefault="009F58E5" w:rsidP="009F58E5">
      <w:pPr>
        <w:rPr>
          <w:sz w:val="20"/>
          <w:lang w:val="es-ES_tradnl"/>
        </w:rPr>
      </w:pPr>
      <w:r w:rsidRPr="00C75C7E">
        <w:rPr>
          <w:szCs w:val="22"/>
          <w:lang w:val="es-ES_tradnl"/>
        </w:rPr>
        <w:t xml:space="preserve">MARCO DE RESULTADOS </w:t>
      </w:r>
      <w:r w:rsidRPr="00C75C7E">
        <w:rPr>
          <w:sz w:val="20"/>
          <w:lang w:val="es-ES_tradnl"/>
        </w:rPr>
        <w:t xml:space="preserve"> </w:t>
      </w:r>
    </w:p>
    <w:p w:rsidR="009F58E5" w:rsidRPr="00C75C7E" w:rsidRDefault="009F58E5" w:rsidP="009F58E5">
      <w:pPr>
        <w:rPr>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9F58E5" w:rsidRPr="00C75C7E" w:rsidTr="008F4F69">
        <w:trPr>
          <w:cantSplit/>
          <w:trHeight w:val="416"/>
        </w:trPr>
        <w:tc>
          <w:tcPr>
            <w:tcW w:w="1249"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462"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Indicadores de rendimiento</w:t>
            </w:r>
          </w:p>
        </w:tc>
        <w:tc>
          <w:tcPr>
            <w:tcW w:w="1145" w:type="pct"/>
            <w:tcBorders>
              <w:top w:val="single" w:sz="4" w:space="0" w:color="auto"/>
              <w:bottom w:val="single" w:sz="4" w:space="0" w:color="auto"/>
            </w:tcBorders>
            <w:shd w:val="clear" w:color="auto" w:fill="CCFFFF"/>
            <w:tcMar>
              <w:top w:w="113" w:type="dxa"/>
            </w:tcMar>
            <w:vAlign w:val="center"/>
          </w:tcPr>
          <w:p w:rsidR="009F58E5" w:rsidRPr="00C75C7E" w:rsidRDefault="009F58E5" w:rsidP="008D3D36">
            <w:pPr>
              <w:spacing w:after="120"/>
              <w:ind w:left="85"/>
              <w:rPr>
                <w:b/>
                <w:bCs/>
                <w:sz w:val="18"/>
                <w:szCs w:val="18"/>
                <w:lang w:val="es-ES_tradnl"/>
              </w:rPr>
            </w:pPr>
            <w:r w:rsidRPr="00C75C7E">
              <w:rPr>
                <w:b/>
                <w:bCs/>
                <w:sz w:val="18"/>
                <w:szCs w:val="18"/>
                <w:lang w:val="es-ES_tradnl"/>
              </w:rPr>
              <w:t>Referencia</w:t>
            </w:r>
          </w:p>
        </w:tc>
        <w:tc>
          <w:tcPr>
            <w:tcW w:w="1144" w:type="pct"/>
            <w:tcBorders>
              <w:top w:val="single" w:sz="4" w:space="0" w:color="auto"/>
              <w:bottom w:val="single" w:sz="4" w:space="0" w:color="auto"/>
            </w:tcBorders>
            <w:shd w:val="clear" w:color="auto" w:fill="CCFFFF"/>
            <w:tcMar>
              <w:top w:w="113" w:type="dxa"/>
            </w:tcMar>
            <w:vAlign w:val="center"/>
          </w:tcPr>
          <w:p w:rsidR="009F58E5" w:rsidRPr="00C75C7E" w:rsidRDefault="009F58E5" w:rsidP="008D3D36">
            <w:pPr>
              <w:keepNext/>
              <w:keepLines/>
              <w:spacing w:after="120"/>
              <w:ind w:right="111"/>
              <w:rPr>
                <w:b/>
                <w:bCs/>
                <w:sz w:val="18"/>
                <w:szCs w:val="18"/>
                <w:lang w:val="es-ES_tradnl"/>
              </w:rPr>
            </w:pPr>
            <w:r w:rsidRPr="00C75C7E">
              <w:rPr>
                <w:b/>
                <w:bCs/>
                <w:sz w:val="18"/>
                <w:szCs w:val="18"/>
                <w:lang w:val="es-ES_tradnl"/>
              </w:rPr>
              <w:t>Objetivos</w:t>
            </w:r>
          </w:p>
        </w:tc>
      </w:tr>
      <w:tr w:rsidR="009F58E5" w:rsidRPr="00C75C7E" w:rsidTr="008F4F69">
        <w:trPr>
          <w:cantSplit/>
        </w:trPr>
        <w:tc>
          <w:tcPr>
            <w:tcW w:w="1249" w:type="pct"/>
            <w:vMerge w:val="restar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IX.8. Mejor rendición de cuentas, aprendizaje institucional, uso óptimo de los recursos, administración, control interno y buen gobierno gracias a la asistencia que proporciona una supervisión eficaz e independiente.</w:t>
            </w:r>
          </w:p>
        </w:tc>
        <w:tc>
          <w:tcPr>
            <w:tcW w:w="1462" w:type="pct"/>
            <w:tcBorders>
              <w:top w:val="single" w:sz="4" w:space="0" w:color="auto"/>
            </w:tcBorders>
            <w:shd w:val="clear" w:color="auto" w:fill="auto"/>
            <w:tcMar>
              <w:top w:w="113" w:type="dxa"/>
            </w:tcMar>
          </w:tcPr>
          <w:p w:rsidR="009F58E5" w:rsidRPr="00C75C7E" w:rsidRDefault="009F58E5" w:rsidP="008F4F69">
            <w:pPr>
              <w:rPr>
                <w:b/>
                <w:sz w:val="16"/>
                <w:szCs w:val="16"/>
                <w:lang w:val="es-ES_tradnl"/>
              </w:rPr>
            </w:pPr>
            <w:r w:rsidRPr="00C75C7E">
              <w:rPr>
                <w:sz w:val="16"/>
                <w:szCs w:val="16"/>
                <w:lang w:val="es-ES_tradnl"/>
              </w:rPr>
              <w:t>Número de interferencias y grado de independencia percibido por las principales partes interesadas.</w:t>
            </w:r>
          </w:p>
        </w:tc>
        <w:tc>
          <w:tcPr>
            <w:tcW w:w="1145" w:type="pct"/>
            <w:tcBorders>
              <w:top w:val="single" w:sz="4" w:space="0" w:color="auto"/>
            </w:tcBorders>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No hay interferencias en la labor de la DASI.</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rPr>
            </w:pPr>
          </w:p>
        </w:tc>
        <w:tc>
          <w:tcPr>
            <w:tcW w:w="1144" w:type="pct"/>
            <w:tcBorders>
              <w:top w:val="single" w:sz="4" w:space="0" w:color="auto"/>
            </w:tcBorders>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Las principales partes interesadas (Clientes/CCIS/Estados miembros) perciben un grado de independencia total.</w:t>
            </w:r>
          </w:p>
        </w:tc>
      </w:tr>
      <w:tr w:rsidR="009F58E5" w:rsidRPr="00C75C7E" w:rsidTr="008F4F69">
        <w:trPr>
          <w:cantSplit/>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EFICACIA de la labor de la DASI que abarca esferas de alto riesgo y gran pertinencia.</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Toda la labor (100%) abarca esferas de alto riesgo y gran pertinencia.</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rPr>
            </w:pPr>
          </w:p>
        </w:tc>
        <w:tc>
          <w:tcPr>
            <w:tcW w:w="1144" w:type="pct"/>
            <w:shd w:val="clear" w:color="auto" w:fill="auto"/>
            <w:tcMar>
              <w:top w:w="113" w:type="dxa"/>
            </w:tcMar>
          </w:tcPr>
          <w:p w:rsidR="009F58E5" w:rsidRPr="00C75C7E" w:rsidRDefault="009F58E5" w:rsidP="008F4F69">
            <w:pPr>
              <w:keepNext/>
              <w:keepLines/>
              <w:tabs>
                <w:tab w:val="left" w:pos="2051"/>
              </w:tabs>
              <w:ind w:right="221"/>
              <w:rPr>
                <w:bCs/>
                <w:sz w:val="16"/>
                <w:szCs w:val="16"/>
                <w:lang w:val="es-ES_tradnl"/>
              </w:rPr>
            </w:pPr>
            <w:r w:rsidRPr="00C75C7E">
              <w:rPr>
                <w:bCs/>
                <w:sz w:val="16"/>
                <w:szCs w:val="16"/>
                <w:lang w:val="es-ES_tradnl"/>
              </w:rPr>
              <w:t>Toda la labor (100%) abarca esferas de alto riesgo y gran pertinencia.</w:t>
            </w:r>
          </w:p>
        </w:tc>
      </w:tr>
      <w:tr w:rsidR="009F58E5" w:rsidRPr="00C75C7E" w:rsidTr="008F4F69">
        <w:trPr>
          <w:cantSplit/>
          <w:trHeight w:val="2440"/>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EFICIENCIA</w:t>
            </w:r>
            <w:proofErr w:type="gramStart"/>
            <w:r w:rsidRPr="00C75C7E">
              <w:rPr>
                <w:sz w:val="16"/>
                <w:szCs w:val="16"/>
                <w:lang w:val="es-ES_tradnl"/>
              </w:rPr>
              <w:t>:  a</w:t>
            </w:r>
            <w:proofErr w:type="gramEnd"/>
            <w:r w:rsidRPr="00C75C7E">
              <w:rPr>
                <w:sz w:val="16"/>
                <w:szCs w:val="16"/>
                <w:lang w:val="es-ES_tradnl"/>
              </w:rPr>
              <w:t>) Finalización puntual y de calidad de los informes de supervisión;  b) Número de auditorías y evaluaciones ejecutadas en relación con el plan de trabajo en materia de supervisión;  c) Número de denuncias/notificaciones de posible conducta indebida que se han tramitado.</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a) Las investigaciones, auditorías y evaluaciones se llevan a cabo, por término medio, en 10 y cinco meses en 2012;</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r w:rsidRPr="00C75C7E">
              <w:rPr>
                <w:sz w:val="16"/>
                <w:szCs w:val="16"/>
                <w:lang w:val="es-ES_tradnl" w:bidi="th-TH"/>
              </w:rPr>
              <w:t xml:space="preserve">b) tres auditorías y cinco evaluaciones realizadas en 2012; </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r w:rsidRPr="00C75C7E">
              <w:rPr>
                <w:sz w:val="16"/>
                <w:szCs w:val="16"/>
                <w:lang w:val="es-ES_tradnl" w:bidi="th-TH"/>
              </w:rPr>
              <w:t>c) 15 investigaciones dadas por concluidas en 2011 y 23 en 2012;</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r w:rsidRPr="00C75C7E">
              <w:rPr>
                <w:sz w:val="16"/>
                <w:szCs w:val="16"/>
                <w:lang w:val="es-ES_tradnl" w:bidi="th-TH"/>
              </w:rPr>
              <w:t>d) toda la labor de supervisión se ejecuta conforme a las normas.</w:t>
            </w:r>
          </w:p>
          <w:p w:rsidR="009F58E5" w:rsidRPr="00C75C7E" w:rsidRDefault="009F58E5" w:rsidP="008F4F69">
            <w:pPr>
              <w:rPr>
                <w:sz w:val="16"/>
                <w:szCs w:val="16"/>
                <w:lang w:val="es-ES_tradnl"/>
              </w:rPr>
            </w:pP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a) Las investigaciones se llevan a cabo en seis meses, por término medio;  las auditorías y evaluaciones, en cinco meses;</w:t>
            </w:r>
          </w:p>
          <w:p w:rsidR="009F58E5" w:rsidRPr="00C75C7E" w:rsidRDefault="009F58E5" w:rsidP="008F4F69">
            <w:pPr>
              <w:keepNext/>
              <w:keepLines/>
              <w:ind w:right="221"/>
              <w:rPr>
                <w:bCs/>
                <w:sz w:val="16"/>
                <w:szCs w:val="16"/>
                <w:lang w:val="es-ES_tradnl"/>
              </w:rPr>
            </w:pPr>
          </w:p>
          <w:p w:rsidR="009F58E5" w:rsidRPr="00C75C7E" w:rsidRDefault="009F58E5" w:rsidP="008F4F69">
            <w:pPr>
              <w:keepNext/>
              <w:keepLines/>
              <w:ind w:right="221"/>
              <w:rPr>
                <w:bCs/>
                <w:sz w:val="16"/>
                <w:szCs w:val="16"/>
                <w:lang w:val="es-ES_tradnl"/>
              </w:rPr>
            </w:pPr>
            <w:r w:rsidRPr="00C75C7E">
              <w:rPr>
                <w:bCs/>
                <w:sz w:val="16"/>
                <w:szCs w:val="16"/>
                <w:lang w:val="es-ES_tradnl"/>
              </w:rPr>
              <w:t xml:space="preserve">b) se llevan a cabo 12 auditorías y seis evaluaciones; </w:t>
            </w:r>
          </w:p>
          <w:p w:rsidR="009F58E5" w:rsidRPr="00C75C7E" w:rsidRDefault="009F58E5" w:rsidP="008F4F69">
            <w:pPr>
              <w:keepNext/>
              <w:keepLines/>
              <w:ind w:right="221"/>
              <w:rPr>
                <w:bCs/>
                <w:sz w:val="16"/>
                <w:szCs w:val="16"/>
                <w:lang w:val="es-ES_tradnl"/>
              </w:rPr>
            </w:pPr>
          </w:p>
          <w:p w:rsidR="009F58E5" w:rsidRPr="00C75C7E" w:rsidRDefault="009F58E5" w:rsidP="008F4F69">
            <w:pPr>
              <w:keepNext/>
              <w:keepLines/>
              <w:ind w:right="221"/>
              <w:rPr>
                <w:bCs/>
                <w:sz w:val="16"/>
                <w:szCs w:val="16"/>
                <w:lang w:val="es-ES_tradnl"/>
              </w:rPr>
            </w:pPr>
          </w:p>
          <w:p w:rsidR="009F58E5" w:rsidRPr="00C75C7E" w:rsidRDefault="009F58E5" w:rsidP="008F4F69">
            <w:pPr>
              <w:keepNext/>
              <w:keepLines/>
              <w:ind w:right="221"/>
              <w:rPr>
                <w:bCs/>
                <w:sz w:val="16"/>
                <w:szCs w:val="16"/>
                <w:lang w:val="es-ES_tradnl"/>
              </w:rPr>
            </w:pPr>
            <w:r w:rsidRPr="00C75C7E">
              <w:rPr>
                <w:bCs/>
                <w:sz w:val="16"/>
                <w:szCs w:val="16"/>
                <w:lang w:val="es-ES_tradnl"/>
              </w:rPr>
              <w:t xml:space="preserve">c) Al menos 15 investigaciones dadas por concluidas; </w:t>
            </w:r>
          </w:p>
          <w:p w:rsidR="009F58E5" w:rsidRPr="00C75C7E" w:rsidRDefault="009F58E5" w:rsidP="008F4F69">
            <w:pPr>
              <w:keepNext/>
              <w:keepLines/>
              <w:ind w:right="221"/>
              <w:rPr>
                <w:bCs/>
                <w:sz w:val="16"/>
                <w:szCs w:val="16"/>
                <w:lang w:val="es-ES_tradnl"/>
              </w:rPr>
            </w:pPr>
          </w:p>
          <w:p w:rsidR="009F58E5" w:rsidRPr="00C75C7E" w:rsidRDefault="009F58E5" w:rsidP="008F4F69">
            <w:pPr>
              <w:keepNext/>
              <w:keepLines/>
              <w:ind w:right="221"/>
              <w:rPr>
                <w:bCs/>
                <w:sz w:val="16"/>
                <w:szCs w:val="16"/>
                <w:lang w:val="es-ES_tradnl"/>
              </w:rPr>
            </w:pPr>
          </w:p>
          <w:p w:rsidR="009F58E5" w:rsidRPr="00C75C7E" w:rsidRDefault="009F58E5" w:rsidP="008F4F69">
            <w:pPr>
              <w:keepNext/>
              <w:keepLines/>
              <w:ind w:right="221"/>
              <w:rPr>
                <w:bCs/>
                <w:sz w:val="16"/>
                <w:szCs w:val="16"/>
                <w:lang w:val="es-ES_tradnl"/>
              </w:rPr>
            </w:pPr>
            <w:r w:rsidRPr="00C75C7E">
              <w:rPr>
                <w:bCs/>
                <w:sz w:val="16"/>
                <w:szCs w:val="16"/>
                <w:lang w:val="es-ES_tradnl"/>
              </w:rPr>
              <w:t>d) cumplimiento de las normas.</w:t>
            </w:r>
          </w:p>
        </w:tc>
      </w:tr>
      <w:tr w:rsidR="009F58E5" w:rsidRPr="00C75C7E" w:rsidTr="008F4F69">
        <w:trPr>
          <w:cantSplit/>
          <w:trHeight w:val="852"/>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PERTINENCIA, VALOR AÑADIDO Y ADMINISTRACIÓN</w:t>
            </w:r>
            <w:proofErr w:type="gramStart"/>
            <w:r w:rsidRPr="00C75C7E">
              <w:rPr>
                <w:sz w:val="16"/>
                <w:szCs w:val="16"/>
                <w:lang w:val="es-ES_tradnl"/>
              </w:rPr>
              <w:t>:  Ahorros</w:t>
            </w:r>
            <w:proofErr w:type="gramEnd"/>
            <w:r w:rsidRPr="00C75C7E">
              <w:rPr>
                <w:sz w:val="16"/>
                <w:szCs w:val="16"/>
                <w:lang w:val="es-ES_tradnl"/>
              </w:rPr>
              <w:t xml:space="preserve"> o mejoras tangibles en los procedimientos y sistemas.</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No se dispone de datos.</w:t>
            </w: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bidi="th-TH"/>
              </w:rPr>
            </w:pPr>
          </w:p>
          <w:p w:rsidR="009F58E5" w:rsidRPr="00C75C7E" w:rsidRDefault="009F58E5" w:rsidP="008F4F69">
            <w:pPr>
              <w:rPr>
                <w:sz w:val="16"/>
                <w:szCs w:val="16"/>
                <w:lang w:val="es-ES_tradnl"/>
              </w:rPr>
            </w:pP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Por determinar.</w:t>
            </w:r>
          </w:p>
        </w:tc>
      </w:tr>
      <w:tr w:rsidR="009F58E5" w:rsidRPr="00C75C7E" w:rsidTr="008F4F69">
        <w:trPr>
          <w:cantSplit/>
          <w:trHeight w:val="1209"/>
        </w:trPr>
        <w:tc>
          <w:tcPr>
            <w:tcW w:w="1249" w:type="pct"/>
            <w:vMerge/>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APRENDIZAJE INSTITUCIONAL:   Adopción de enseñanzas y recomendaciones extraídas de los procesos de supervisión.</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90% de las recomendaciones aceptadas y 90% de las recomendaciones aplicadas en un plazo de dos años.</w:t>
            </w:r>
          </w:p>
          <w:p w:rsidR="009F58E5" w:rsidRPr="00C75C7E" w:rsidRDefault="009F58E5" w:rsidP="008F4F69">
            <w:pPr>
              <w:rPr>
                <w:sz w:val="16"/>
                <w:szCs w:val="16"/>
                <w:lang w:val="es-ES_tradnl" w:bidi="th-TH"/>
              </w:rPr>
            </w:pP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90% de las recomendaciones aceptadas y 90% de las recomendaciones aplicadas en un plazo de dos años.</w:t>
            </w:r>
          </w:p>
        </w:tc>
      </w:tr>
    </w:tbl>
    <w:p w:rsidR="009F58E5" w:rsidRPr="00C75C7E" w:rsidRDefault="009F58E5" w:rsidP="00E6603F">
      <w:pPr>
        <w:widowControl w:val="0"/>
        <w:rPr>
          <w:sz w:val="20"/>
          <w:lang w:val="es-ES_tradnl"/>
        </w:rPr>
      </w:pPr>
    </w:p>
    <w:p w:rsidR="009F58E5" w:rsidRDefault="009F58E5" w:rsidP="00E6603F">
      <w:pPr>
        <w:widowControl w:val="0"/>
        <w:rPr>
          <w:sz w:val="20"/>
          <w:highlight w:val="yellow"/>
          <w:lang w:val="es-ES_tradnl"/>
        </w:rPr>
      </w:pPr>
    </w:p>
    <w:p w:rsidR="00B1649B" w:rsidRDefault="00B1649B" w:rsidP="00E6603F">
      <w:pPr>
        <w:widowControl w:val="0"/>
        <w:rPr>
          <w:szCs w:val="22"/>
        </w:rPr>
      </w:pPr>
      <w:r w:rsidRPr="00ED24BB">
        <w:rPr>
          <w:szCs w:val="22"/>
        </w:rPr>
        <w:t>RECURSOS PARA EL PROGRAMA 26</w:t>
      </w:r>
    </w:p>
    <w:p w:rsidR="00B1649B" w:rsidRPr="00ED24BB" w:rsidRDefault="00B1649B" w:rsidP="00E6603F">
      <w:pPr>
        <w:widowControl w:val="0"/>
        <w:rPr>
          <w:szCs w:val="22"/>
        </w:rPr>
      </w:pPr>
    </w:p>
    <w:p w:rsidR="009F58E5" w:rsidRPr="00C75C7E" w:rsidRDefault="00C665A4" w:rsidP="00E6603F">
      <w:pPr>
        <w:widowControl w:val="0"/>
        <w:autoSpaceDE w:val="0"/>
        <w:autoSpaceDN w:val="0"/>
        <w:adjustRightInd w:val="0"/>
        <w:ind w:firstLine="567"/>
        <w:jc w:val="center"/>
        <w:rPr>
          <w:b/>
          <w:bCs/>
          <w:iCs/>
          <w:sz w:val="20"/>
          <w:lang w:val="es-ES_tradnl"/>
        </w:rPr>
      </w:pPr>
      <w:r>
        <w:rPr>
          <w:b/>
          <w:bCs/>
          <w:iCs/>
          <w:sz w:val="20"/>
          <w:lang w:val="es-ES_tradnl"/>
        </w:rPr>
        <w:t>Programa 26</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E6603F">
      <w:pPr>
        <w:widowControl w:val="0"/>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Pr="00C75C7E" w:rsidRDefault="009F58E5" w:rsidP="00E6603F">
      <w:pPr>
        <w:widowControl w:val="0"/>
        <w:rPr>
          <w:sz w:val="20"/>
          <w:lang w:val="es-ES_tradnl"/>
        </w:rPr>
      </w:pPr>
    </w:p>
    <w:p w:rsidR="009F58E5" w:rsidRPr="00C75C7E" w:rsidRDefault="00C40A11" w:rsidP="00E6603F">
      <w:pPr>
        <w:widowControl w:val="0"/>
        <w:jc w:val="center"/>
        <w:rPr>
          <w:sz w:val="20"/>
          <w:lang w:val="es-ES_tradnl"/>
        </w:rPr>
      </w:pPr>
      <w:r>
        <w:rPr>
          <w:noProof/>
          <w:lang w:val="en-US" w:eastAsia="en-US"/>
        </w:rPr>
        <w:drawing>
          <wp:inline distT="0" distB="0" distL="0" distR="0" wp14:anchorId="2B567751" wp14:editId="2F2C20AA">
            <wp:extent cx="5752465" cy="1269365"/>
            <wp:effectExtent l="0" t="0" r="635" b="6985"/>
            <wp:docPr id="78"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752465" cy="1269365"/>
                    </a:xfrm>
                    <a:prstGeom prst="rect">
                      <a:avLst/>
                    </a:prstGeom>
                    <a:noFill/>
                    <a:ln>
                      <a:noFill/>
                    </a:ln>
                  </pic:spPr>
                </pic:pic>
              </a:graphicData>
            </a:graphic>
          </wp:inline>
        </w:drawing>
      </w:r>
    </w:p>
    <w:p w:rsidR="009F58E5" w:rsidRPr="00C75C7E" w:rsidRDefault="009F58E5" w:rsidP="00E6603F">
      <w:pPr>
        <w:widowControl w:val="0"/>
        <w:jc w:val="center"/>
        <w:rPr>
          <w:sz w:val="20"/>
          <w:lang w:val="es-ES_tradnl"/>
        </w:rPr>
      </w:pPr>
    </w:p>
    <w:p w:rsidR="009F58E5" w:rsidRPr="00C75C7E" w:rsidRDefault="009F58E5" w:rsidP="00E6603F">
      <w:pPr>
        <w:widowControl w:val="0"/>
        <w:autoSpaceDE w:val="0"/>
        <w:autoSpaceDN w:val="0"/>
        <w:adjustRightInd w:val="0"/>
        <w:rPr>
          <w:sz w:val="20"/>
          <w:lang w:val="es-ES_tradnl"/>
        </w:rPr>
      </w:pPr>
      <w:r w:rsidRPr="00C75C7E">
        <w:rPr>
          <w:sz w:val="16"/>
          <w:szCs w:val="16"/>
          <w:lang w:val="es-ES_tradnl"/>
        </w:rPr>
        <w:t xml:space="preserve">Nota: Se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E6603F">
      <w:pPr>
        <w:widowControl w:val="0"/>
        <w:autoSpaceDE w:val="0"/>
        <w:autoSpaceDN w:val="0"/>
        <w:adjustRightInd w:val="0"/>
        <w:jc w:val="both"/>
        <w:rPr>
          <w:sz w:val="20"/>
          <w:lang w:val="es-ES_tradnl"/>
        </w:rPr>
      </w:pPr>
    </w:p>
    <w:p w:rsidR="009F58E5" w:rsidRPr="00C75C7E" w:rsidRDefault="00C665A4" w:rsidP="009F58E5">
      <w:pPr>
        <w:keepNext/>
        <w:keepLines/>
        <w:autoSpaceDE w:val="0"/>
        <w:autoSpaceDN w:val="0"/>
        <w:adjustRightInd w:val="0"/>
        <w:ind w:firstLine="567"/>
        <w:jc w:val="center"/>
        <w:rPr>
          <w:b/>
          <w:bCs/>
          <w:iCs/>
          <w:sz w:val="20"/>
          <w:lang w:val="es-ES_tradnl"/>
        </w:rPr>
      </w:pPr>
      <w:r>
        <w:rPr>
          <w:b/>
          <w:bCs/>
          <w:iCs/>
          <w:sz w:val="20"/>
          <w:lang w:val="es-ES_tradnl"/>
        </w:rPr>
        <w:lastRenderedPageBreak/>
        <w:t>Programa 26</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9F58E5">
      <w:pPr>
        <w:keepNext/>
        <w:keepLines/>
        <w:jc w:val="center"/>
        <w:rPr>
          <w:sz w:val="16"/>
          <w:szCs w:val="16"/>
          <w:lang w:val="es-ES_tradnl"/>
        </w:rPr>
      </w:pPr>
    </w:p>
    <w:p w:rsidR="00EA4CD8" w:rsidRPr="00C75C7E" w:rsidRDefault="00C40A11" w:rsidP="009F58E5">
      <w:pPr>
        <w:keepNext/>
        <w:keepLines/>
        <w:jc w:val="center"/>
        <w:rPr>
          <w:sz w:val="16"/>
          <w:szCs w:val="16"/>
          <w:lang w:val="es-ES_tradnl"/>
        </w:rPr>
      </w:pPr>
      <w:r>
        <w:rPr>
          <w:noProof/>
          <w:lang w:val="en-US" w:eastAsia="en-US"/>
        </w:rPr>
        <w:drawing>
          <wp:inline distT="0" distB="0" distL="0" distR="0" wp14:anchorId="4AEDE31D" wp14:editId="232EA2B5">
            <wp:extent cx="5936615" cy="5739130"/>
            <wp:effectExtent l="0" t="0" r="698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EA4CD8" w:rsidRDefault="00EA4CD8" w:rsidP="009F58E5">
      <w:pPr>
        <w:keepNext/>
        <w:keepLines/>
        <w:rPr>
          <w:sz w:val="16"/>
          <w:szCs w:val="16"/>
          <w:lang w:val="es-ES_tradnl"/>
        </w:rPr>
      </w:pPr>
    </w:p>
    <w:p w:rsidR="009F58E5" w:rsidRPr="00C75C7E" w:rsidRDefault="009F58E5" w:rsidP="009F58E5">
      <w:pPr>
        <w:keepNext/>
        <w:keepLines/>
        <w:rPr>
          <w:sz w:val="16"/>
          <w:szCs w:val="16"/>
          <w:lang w:val="es-ES_tradnl"/>
        </w:rPr>
      </w:pPr>
      <w:r w:rsidRPr="00C75C7E">
        <w:rPr>
          <w:sz w:val="16"/>
          <w:szCs w:val="16"/>
          <w:lang w:val="es-ES_tradnl"/>
        </w:rPr>
        <w:t>Notas:</w:t>
      </w:r>
    </w:p>
    <w:p w:rsidR="009F58E5" w:rsidRPr="00C75C7E" w:rsidRDefault="009F58E5" w:rsidP="009F58E5">
      <w:pPr>
        <w:keepNext/>
        <w:keepLines/>
        <w:rPr>
          <w:sz w:val="16"/>
          <w:szCs w:val="16"/>
          <w:u w:val="single"/>
          <w:lang w:val="es-ES_tradnl"/>
        </w:rPr>
      </w:pPr>
    </w:p>
    <w:p w:rsidR="009F58E5" w:rsidRPr="00C75C7E" w:rsidRDefault="007648D2" w:rsidP="009F58E5">
      <w:pPr>
        <w:keepNext/>
        <w:keepLines/>
        <w:spacing w:after="120"/>
        <w:rPr>
          <w:sz w:val="16"/>
          <w:szCs w:val="16"/>
          <w:lang w:val="es-ES_tradnl"/>
        </w:rPr>
      </w:pPr>
      <w:r>
        <w:rPr>
          <w:sz w:val="16"/>
          <w:szCs w:val="16"/>
          <w:lang w:val="es-ES_tradnl"/>
        </w:rPr>
        <w:t xml:space="preserve">1)  </w:t>
      </w:r>
      <w:r w:rsidR="009F58E5" w:rsidRPr="00C75C7E">
        <w:rPr>
          <w:sz w:val="16"/>
          <w:szCs w:val="16"/>
          <w:lang w:val="es-ES_tradnl"/>
        </w:rPr>
        <w:t xml:space="preserve">El presupuesto aprobado de 2012/13 y el presupuesto de dicho bienio después de las transferencias se </w:t>
      </w:r>
      <w:proofErr w:type="spellStart"/>
      <w:r w:rsidR="009F58E5" w:rsidRPr="00C75C7E">
        <w:rPr>
          <w:sz w:val="16"/>
          <w:szCs w:val="16"/>
          <w:lang w:val="es-ES_tradnl"/>
        </w:rPr>
        <w:t>reexpresan</w:t>
      </w:r>
      <w:proofErr w:type="spellEnd"/>
      <w:r w:rsidR="009F58E5" w:rsidRPr="00C75C7E">
        <w:rPr>
          <w:sz w:val="16"/>
          <w:szCs w:val="16"/>
          <w:lang w:val="es-ES_tradnl"/>
        </w:rPr>
        <w:t xml:space="preserve"> sobre la base de la estructura de categorías de costos propuesta para 2014/15.</w:t>
      </w:r>
    </w:p>
    <w:p w:rsidR="009F58E5" w:rsidRPr="00C75C7E" w:rsidRDefault="009F58E5" w:rsidP="009F58E5">
      <w:pPr>
        <w:keepNext/>
        <w:keepLines/>
        <w:spacing w:after="120"/>
        <w:rPr>
          <w:sz w:val="16"/>
          <w:szCs w:val="16"/>
          <w:lang w:val="es-ES_tradnl"/>
        </w:rPr>
      </w:pPr>
      <w:r>
        <w:rPr>
          <w:sz w:val="16"/>
          <w:szCs w:val="16"/>
          <w:lang w:val="es-ES_tradnl"/>
        </w:rPr>
        <w:t>2)</w:t>
      </w:r>
      <w:r w:rsidR="007648D2">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presupuesto de</w:t>
      </w:r>
      <w:r w:rsidR="00D724E6">
        <w:rPr>
          <w:sz w:val="16"/>
          <w:szCs w:val="16"/>
          <w:lang w:val="es-ES_tradnl"/>
        </w:rPr>
        <w:t>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Pr="00C75C7E" w:rsidRDefault="009F58E5" w:rsidP="009F58E5">
      <w:pPr>
        <w:keepNext/>
        <w:keepLines/>
        <w:spacing w:after="120"/>
        <w:rPr>
          <w:sz w:val="16"/>
          <w:szCs w:val="16"/>
          <w:lang w:val="es-ES_tradnl"/>
        </w:rPr>
      </w:pPr>
      <w:r>
        <w:rPr>
          <w:sz w:val="16"/>
          <w:szCs w:val="16"/>
          <w:lang w:val="es-ES_tradnl"/>
        </w:rPr>
        <w:t>3)</w:t>
      </w:r>
      <w:r w:rsidR="007648D2">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E10A93" w:rsidRPr="00E6603F" w:rsidRDefault="009F58E5" w:rsidP="00E6603F">
      <w:pPr>
        <w:pStyle w:val="Heading3"/>
        <w:tabs>
          <w:tab w:val="left" w:pos="1985"/>
        </w:tabs>
        <w:rPr>
          <w:b/>
          <w:u w:val="none"/>
          <w:lang w:val="es-ES_tradnl"/>
        </w:rPr>
      </w:pPr>
      <w:r w:rsidRPr="00C75C7E">
        <w:rPr>
          <w:sz w:val="20"/>
          <w:lang w:val="es-ES_tradnl"/>
        </w:rPr>
        <w:br w:type="page"/>
      </w:r>
      <w:bookmarkStart w:id="97" w:name="_Toc356567782"/>
      <w:bookmarkStart w:id="98" w:name="_Toc366078751"/>
      <w:r w:rsidR="00E6603F" w:rsidRPr="00E6603F">
        <w:rPr>
          <w:b/>
          <w:u w:val="none"/>
          <w:lang w:val="es-ES_tradnl"/>
        </w:rPr>
        <w:lastRenderedPageBreak/>
        <w:t>PROGRAMA 27</w:t>
      </w:r>
      <w:r w:rsidR="00E6603F" w:rsidRPr="00E6603F">
        <w:rPr>
          <w:b/>
          <w:u w:val="none"/>
          <w:lang w:val="es-ES_tradnl"/>
        </w:rPr>
        <w:tab/>
      </w:r>
      <w:bookmarkEnd w:id="97"/>
      <w:r w:rsidR="00E6603F" w:rsidRPr="00E6603F">
        <w:rPr>
          <w:b/>
          <w:u w:val="none"/>
          <w:lang w:val="es-ES_tradnl"/>
        </w:rPr>
        <w:t>SERVICIOS DE CONFERENCIAS Y LINGÜÍSTICOS</w:t>
      </w:r>
      <w:bookmarkEnd w:id="98"/>
    </w:p>
    <w:p w:rsidR="00E10A93" w:rsidRDefault="00E10A93" w:rsidP="00E10A93">
      <w:pPr>
        <w:rPr>
          <w:sz w:val="20"/>
        </w:rPr>
      </w:pPr>
    </w:p>
    <w:p w:rsidR="00E6603F" w:rsidRPr="009F54A1" w:rsidRDefault="00E6603F" w:rsidP="00E10A93">
      <w:pPr>
        <w:rPr>
          <w:sz w:val="20"/>
        </w:rPr>
      </w:pPr>
    </w:p>
    <w:p w:rsidR="00E10A93" w:rsidRPr="009F54A1" w:rsidRDefault="00E10A93" w:rsidP="00E10A93">
      <w:pPr>
        <w:pStyle w:val="BodyTextIndent"/>
        <w:ind w:left="0"/>
        <w:jc w:val="both"/>
        <w:rPr>
          <w:rFonts w:ascii="Arial" w:hAnsi="Arial" w:cs="Arial"/>
          <w:sz w:val="22"/>
          <w:szCs w:val="22"/>
          <w:lang w:val="es-ES"/>
        </w:rPr>
      </w:pPr>
      <w:r w:rsidRPr="00762D10">
        <w:rPr>
          <w:rFonts w:ascii="Arial" w:hAnsi="Arial" w:cs="Arial"/>
          <w:sz w:val="22"/>
          <w:szCs w:val="22"/>
          <w:lang w:val="es-ES"/>
        </w:rPr>
        <w:t>CONTEXTO DE PLANIFICACI</w:t>
      </w:r>
      <w:r>
        <w:rPr>
          <w:rFonts w:ascii="Arial" w:hAnsi="Arial" w:cs="Arial"/>
          <w:sz w:val="22"/>
          <w:szCs w:val="22"/>
          <w:lang w:val="es-ES"/>
        </w:rPr>
        <w:t>ÓN</w:t>
      </w:r>
    </w:p>
    <w:p w:rsidR="00E10A93" w:rsidRPr="009F54A1" w:rsidRDefault="00E10A93" w:rsidP="00E10A93">
      <w:pPr>
        <w:rPr>
          <w:sz w:val="20"/>
        </w:rPr>
      </w:pPr>
    </w:p>
    <w:p w:rsidR="00E10A93" w:rsidRPr="008960AF" w:rsidRDefault="00E10A93" w:rsidP="00D41E6A">
      <w:pPr>
        <w:numPr>
          <w:ilvl w:val="0"/>
          <w:numId w:val="46"/>
        </w:numPr>
        <w:autoSpaceDE w:val="0"/>
        <w:autoSpaceDN w:val="0"/>
        <w:adjustRightInd w:val="0"/>
        <w:jc w:val="both"/>
        <w:rPr>
          <w:sz w:val="20"/>
          <w:lang w:bidi="he-IL"/>
        </w:rPr>
      </w:pPr>
      <w:r w:rsidRPr="00593BE0">
        <w:rPr>
          <w:sz w:val="20"/>
          <w:lang w:bidi="he-IL"/>
        </w:rPr>
        <w:t>El programa facilita las actividades de la Organización mediante la prestación de servicios eficientes y eficaces de conferencia, traducción, interpretación, gestión de re</w:t>
      </w:r>
      <w:r>
        <w:rPr>
          <w:sz w:val="20"/>
          <w:lang w:bidi="he-IL"/>
        </w:rPr>
        <w:t xml:space="preserve">gistros y archivos, imprenta y </w:t>
      </w:r>
      <w:r w:rsidRPr="00593BE0">
        <w:rPr>
          <w:sz w:val="20"/>
          <w:lang w:bidi="he-IL"/>
        </w:rPr>
        <w:t>despacho del correo.  Asimismo, se encarga de la formulación, adopción y aplicación de cuestiones de política, así como de la gestión de proyectos de T.I. destinados a racionalizar y mejorar el funcionamiento de estas actividades.</w:t>
      </w:r>
    </w:p>
    <w:p w:rsidR="00E10A93" w:rsidRPr="002A731B" w:rsidRDefault="00E10A93" w:rsidP="00E10A93">
      <w:pPr>
        <w:autoSpaceDE w:val="0"/>
        <w:autoSpaceDN w:val="0"/>
        <w:adjustRightInd w:val="0"/>
        <w:jc w:val="both"/>
        <w:rPr>
          <w:sz w:val="20"/>
          <w:lang w:bidi="he-IL"/>
        </w:rPr>
      </w:pPr>
    </w:p>
    <w:p w:rsidR="00E10A93" w:rsidRPr="00747C4F" w:rsidRDefault="00D724E6" w:rsidP="00D41E6A">
      <w:pPr>
        <w:numPr>
          <w:ilvl w:val="0"/>
          <w:numId w:val="46"/>
        </w:numPr>
        <w:autoSpaceDE w:val="0"/>
        <w:autoSpaceDN w:val="0"/>
        <w:adjustRightInd w:val="0"/>
        <w:jc w:val="both"/>
        <w:rPr>
          <w:sz w:val="20"/>
        </w:rPr>
      </w:pPr>
      <w:r>
        <w:rPr>
          <w:sz w:val="20"/>
        </w:rPr>
        <w:t>Los Estados m</w:t>
      </w:r>
      <w:r w:rsidR="00E10A93" w:rsidRPr="00F93C67">
        <w:rPr>
          <w:sz w:val="20"/>
        </w:rPr>
        <w:t xml:space="preserve">iembros adoptaron la </w:t>
      </w:r>
      <w:r w:rsidR="002C6A72" w:rsidRPr="00F93C67">
        <w:rPr>
          <w:sz w:val="20"/>
        </w:rPr>
        <w:t xml:space="preserve">Política Lingüística </w:t>
      </w:r>
      <w:r w:rsidR="00E10A93" w:rsidRPr="00F93C67">
        <w:rPr>
          <w:sz w:val="20"/>
        </w:rPr>
        <w:t xml:space="preserve">de la OMPI en 2011 con el fin de fomentar el multilingüismo en las actividades de la Organización.  Por consiguiente, la cobertura en seis idiomas se hizo extensiva a toda la documentación de los comités y órganos principales de la OMPI.  Un importante desafío planteado por la </w:t>
      </w:r>
      <w:r w:rsidR="002C6A72" w:rsidRPr="00F93C67">
        <w:rPr>
          <w:sz w:val="20"/>
        </w:rPr>
        <w:t xml:space="preserve">Política Lingüística </w:t>
      </w:r>
      <w:r w:rsidR="00E10A93" w:rsidRPr="00F93C67">
        <w:rPr>
          <w:sz w:val="20"/>
        </w:rPr>
        <w:t>de la OMPI es gestionar el aumento del volumen de trabajo y garantizar un nivel de calidad aceptable de la documentación con los recursos disponibles.  A raíz de la introducción de la nueva política, en 2012, el volu</w:t>
      </w:r>
      <w:r>
        <w:rPr>
          <w:sz w:val="20"/>
        </w:rPr>
        <w:t xml:space="preserve">men de traducción aumentó un 53% </w:t>
      </w:r>
      <w:r w:rsidR="00E10A93" w:rsidRPr="00F93C67">
        <w:rPr>
          <w:sz w:val="20"/>
        </w:rPr>
        <w:t>con respecto al año anterior.</w:t>
      </w:r>
      <w:r w:rsidR="00E10A93">
        <w:rPr>
          <w:sz w:val="20"/>
        </w:rPr>
        <w:t xml:space="preserve">  </w:t>
      </w:r>
      <w:r w:rsidR="00E10A93" w:rsidRPr="00F93C67">
        <w:rPr>
          <w:sz w:val="20"/>
        </w:rPr>
        <w:t>En consecuencia, el servicio lingüístico tradujo 1</w:t>
      </w:r>
      <w:r>
        <w:rPr>
          <w:sz w:val="20"/>
        </w:rPr>
        <w:t>.</w:t>
      </w:r>
      <w:r w:rsidR="00E10A93" w:rsidRPr="00F93C67">
        <w:rPr>
          <w:sz w:val="20"/>
        </w:rPr>
        <w:t>52</w:t>
      </w:r>
      <w:r>
        <w:rPr>
          <w:sz w:val="20"/>
        </w:rPr>
        <w:t>0.000</w:t>
      </w:r>
      <w:r w:rsidR="00E10A93" w:rsidRPr="00F93C67">
        <w:rPr>
          <w:sz w:val="20"/>
        </w:rPr>
        <w:t xml:space="preserve"> palabras al mes en 2012, en comparación </w:t>
      </w:r>
      <w:r>
        <w:rPr>
          <w:sz w:val="20"/>
        </w:rPr>
        <w:t>con</w:t>
      </w:r>
      <w:r w:rsidR="00E10A93" w:rsidRPr="00F93C67">
        <w:rPr>
          <w:sz w:val="20"/>
        </w:rPr>
        <w:t xml:space="preserve"> l</w:t>
      </w:r>
      <w:r w:rsidR="002C6A72">
        <w:rPr>
          <w:sz w:val="20"/>
        </w:rPr>
        <w:t>a</w:t>
      </w:r>
      <w:r w:rsidR="00E10A93" w:rsidRPr="00F93C67">
        <w:rPr>
          <w:sz w:val="20"/>
        </w:rPr>
        <w:t>s 99</w:t>
      </w:r>
      <w:r w:rsidR="002C6A72">
        <w:rPr>
          <w:sz w:val="20"/>
        </w:rPr>
        <w:t>0.000</w:t>
      </w:r>
      <w:r w:rsidR="00E10A93" w:rsidRPr="00F93C67">
        <w:rPr>
          <w:sz w:val="20"/>
        </w:rPr>
        <w:t xml:space="preserve"> palabras al mes en 2011.</w:t>
      </w:r>
    </w:p>
    <w:p w:rsidR="00E10A93" w:rsidRPr="00747C4F" w:rsidRDefault="00E10A93" w:rsidP="00E10A93">
      <w:pPr>
        <w:jc w:val="both"/>
        <w:rPr>
          <w:sz w:val="20"/>
        </w:rPr>
      </w:pPr>
    </w:p>
    <w:p w:rsidR="00E10A93" w:rsidRPr="003C7D63" w:rsidRDefault="00E10A93" w:rsidP="00D41E6A">
      <w:pPr>
        <w:numPr>
          <w:ilvl w:val="0"/>
          <w:numId w:val="46"/>
        </w:numPr>
        <w:autoSpaceDE w:val="0"/>
        <w:autoSpaceDN w:val="0"/>
        <w:adjustRightInd w:val="0"/>
        <w:jc w:val="both"/>
        <w:rPr>
          <w:sz w:val="20"/>
        </w:rPr>
      </w:pPr>
      <w:r w:rsidRPr="003C7D63">
        <w:rPr>
          <w:sz w:val="20"/>
        </w:rPr>
        <w:t>Se adoptó a nivel interno un</w:t>
      </w:r>
      <w:r>
        <w:rPr>
          <w:sz w:val="20"/>
        </w:rPr>
        <w:t>a</w:t>
      </w:r>
      <w:r w:rsidRPr="003C7D63">
        <w:rPr>
          <w:sz w:val="20"/>
        </w:rPr>
        <w:t xml:space="preserve"> política </w:t>
      </w:r>
      <w:r>
        <w:rPr>
          <w:sz w:val="20"/>
        </w:rPr>
        <w:t>de</w:t>
      </w:r>
      <w:r w:rsidRPr="003C7D63">
        <w:rPr>
          <w:sz w:val="20"/>
        </w:rPr>
        <w:t xml:space="preserve"> gestión de los registros y </w:t>
      </w:r>
      <w:r>
        <w:rPr>
          <w:sz w:val="20"/>
        </w:rPr>
        <w:t xml:space="preserve">de </w:t>
      </w:r>
      <w:r w:rsidRPr="003C7D63">
        <w:rPr>
          <w:sz w:val="20"/>
        </w:rPr>
        <w:t>archivo</w:t>
      </w:r>
      <w:r>
        <w:rPr>
          <w:sz w:val="20"/>
        </w:rPr>
        <w:t xml:space="preserve"> para desarrollar y fomentar una cultura de registro digital que pueda adaptarse a </w:t>
      </w:r>
      <w:r w:rsidRPr="005A1D54">
        <w:rPr>
          <w:sz w:val="20"/>
        </w:rPr>
        <w:t>entorno</w:t>
      </w:r>
      <w:r>
        <w:rPr>
          <w:sz w:val="20"/>
        </w:rPr>
        <w:t>s</w:t>
      </w:r>
      <w:r w:rsidRPr="005A1D54">
        <w:rPr>
          <w:sz w:val="20"/>
        </w:rPr>
        <w:t xml:space="preserve"> </w:t>
      </w:r>
      <w:r>
        <w:rPr>
          <w:sz w:val="20"/>
        </w:rPr>
        <w:t>cambiantes.  Esta política también busca garantizar la protección de las actas que son necesarias para reanudar o continuar con las actividades de la OMPI en caso de emergencia o de desastre.</w:t>
      </w:r>
    </w:p>
    <w:p w:rsidR="00E10A93" w:rsidRPr="003C7D63" w:rsidRDefault="00E10A93" w:rsidP="00E10A93">
      <w:pPr>
        <w:autoSpaceDE w:val="0"/>
        <w:autoSpaceDN w:val="0"/>
        <w:adjustRightInd w:val="0"/>
        <w:jc w:val="both"/>
        <w:rPr>
          <w:sz w:val="20"/>
        </w:rPr>
      </w:pPr>
    </w:p>
    <w:p w:rsidR="00E10A93" w:rsidRPr="004778D4" w:rsidRDefault="00E10A93" w:rsidP="00D41E6A">
      <w:pPr>
        <w:numPr>
          <w:ilvl w:val="0"/>
          <w:numId w:val="46"/>
        </w:numPr>
        <w:autoSpaceDE w:val="0"/>
        <w:autoSpaceDN w:val="0"/>
        <w:adjustRightInd w:val="0"/>
        <w:jc w:val="both"/>
        <w:rPr>
          <w:sz w:val="20"/>
        </w:rPr>
      </w:pPr>
      <w:r w:rsidRPr="004778D4">
        <w:rPr>
          <w:sz w:val="20"/>
        </w:rPr>
        <w:t>L</w:t>
      </w:r>
      <w:r w:rsidR="002C6A72">
        <w:rPr>
          <w:sz w:val="20"/>
        </w:rPr>
        <w:t>a</w:t>
      </w:r>
      <w:r w:rsidRPr="004778D4">
        <w:rPr>
          <w:sz w:val="20"/>
        </w:rPr>
        <w:t xml:space="preserve">s </w:t>
      </w:r>
      <w:r w:rsidR="002C6A72">
        <w:rPr>
          <w:sz w:val="20"/>
        </w:rPr>
        <w:t>dependencias</w:t>
      </w:r>
      <w:r w:rsidRPr="004778D4">
        <w:rPr>
          <w:sz w:val="20"/>
        </w:rPr>
        <w:t xml:space="preserve"> de conferencia</w:t>
      </w:r>
      <w:r w:rsidR="002C6A72">
        <w:rPr>
          <w:sz w:val="20"/>
        </w:rPr>
        <w:t>s</w:t>
      </w:r>
      <w:r w:rsidRPr="004778D4">
        <w:rPr>
          <w:sz w:val="20"/>
        </w:rPr>
        <w:t xml:space="preserve"> e interpretación</w:t>
      </w:r>
      <w:r>
        <w:rPr>
          <w:sz w:val="20"/>
        </w:rPr>
        <w:t xml:space="preserve"> p</w:t>
      </w:r>
      <w:r w:rsidRPr="004778D4">
        <w:rPr>
          <w:sz w:val="20"/>
        </w:rPr>
        <w:t>r</w:t>
      </w:r>
      <w:r>
        <w:rPr>
          <w:sz w:val="20"/>
        </w:rPr>
        <w:t>e</w:t>
      </w:r>
      <w:r w:rsidRPr="004778D4">
        <w:rPr>
          <w:sz w:val="20"/>
        </w:rPr>
        <w:t>stan s</w:t>
      </w:r>
      <w:r>
        <w:rPr>
          <w:sz w:val="20"/>
        </w:rPr>
        <w:t xml:space="preserve">ervicios eficientes y de calidad a los Estados miembros y a otras partes interesadas durante las conferencias que se celebran en Ginebra, así como durante las </w:t>
      </w:r>
      <w:r w:rsidR="002C6A72">
        <w:rPr>
          <w:sz w:val="20"/>
        </w:rPr>
        <w:t xml:space="preserve">conferencias diplomáticas </w:t>
      </w:r>
      <w:r>
        <w:rPr>
          <w:sz w:val="20"/>
        </w:rPr>
        <w:t>celebra</w:t>
      </w:r>
      <w:r w:rsidR="002C6A72">
        <w:rPr>
          <w:sz w:val="20"/>
        </w:rPr>
        <w:t>da</w:t>
      </w:r>
      <w:r>
        <w:rPr>
          <w:sz w:val="20"/>
        </w:rPr>
        <w:t xml:space="preserve">s fuera de Ginebra.  Dos importantes desafíos que deben afrontar ambos servicios son, por una parte, el constante aumento del número, la duración y la ampliación de los horarios de las reuniones organizadas en la OMPI y, por otra, prestar sus servicios en la nueva sala de </w:t>
      </w:r>
      <w:r w:rsidRPr="00C60939">
        <w:rPr>
          <w:sz w:val="20"/>
        </w:rPr>
        <w:t>conferencias</w:t>
      </w:r>
      <w:r>
        <w:rPr>
          <w:sz w:val="20"/>
        </w:rPr>
        <w:t xml:space="preserve"> cuya apertura está prevista para 2014.</w:t>
      </w:r>
    </w:p>
    <w:p w:rsidR="00E10A93" w:rsidRPr="004778D4" w:rsidRDefault="00E10A93" w:rsidP="00E10A93">
      <w:pPr>
        <w:jc w:val="both"/>
        <w:rPr>
          <w:sz w:val="20"/>
        </w:rPr>
      </w:pPr>
    </w:p>
    <w:p w:rsidR="00E10A93" w:rsidRPr="00D5474B" w:rsidRDefault="00E10A93" w:rsidP="00D41E6A">
      <w:pPr>
        <w:numPr>
          <w:ilvl w:val="0"/>
          <w:numId w:val="46"/>
        </w:numPr>
        <w:autoSpaceDE w:val="0"/>
        <w:autoSpaceDN w:val="0"/>
        <w:adjustRightInd w:val="0"/>
        <w:jc w:val="both"/>
        <w:rPr>
          <w:sz w:val="20"/>
        </w:rPr>
      </w:pPr>
      <w:r w:rsidRPr="00D5474B">
        <w:rPr>
          <w:sz w:val="20"/>
        </w:rPr>
        <w:t xml:space="preserve">El programa </w:t>
      </w:r>
      <w:r>
        <w:rPr>
          <w:sz w:val="20"/>
        </w:rPr>
        <w:t>ofrece servicios de impren</w:t>
      </w:r>
      <w:r w:rsidR="002C6A72">
        <w:rPr>
          <w:sz w:val="20"/>
        </w:rPr>
        <w:t>ta</w:t>
      </w:r>
      <w:r w:rsidR="00D724E6">
        <w:rPr>
          <w:sz w:val="20"/>
        </w:rPr>
        <w:t>,</w:t>
      </w:r>
      <w:r>
        <w:rPr>
          <w:sz w:val="20"/>
        </w:rPr>
        <w:t xml:space="preserve"> eficientes y puntuales</w:t>
      </w:r>
      <w:r w:rsidR="00D724E6">
        <w:rPr>
          <w:sz w:val="20"/>
        </w:rPr>
        <w:t>,</w:t>
      </w:r>
      <w:r>
        <w:rPr>
          <w:sz w:val="20"/>
        </w:rPr>
        <w:t xml:space="preserve"> con el fin de proporcionar a los Estados miembros y otras partes interesadas los documentos y las publicaciones necesarias para facilitar la labor de los comités y de los demás órganos.  Asimismo, se encarga de difundir información acerca de la P.I. </w:t>
      </w:r>
      <w:r w:rsidR="00D724E6">
        <w:rPr>
          <w:sz w:val="20"/>
        </w:rPr>
        <w:t xml:space="preserve"> </w:t>
      </w:r>
      <w:r>
        <w:rPr>
          <w:sz w:val="20"/>
        </w:rPr>
        <w:t>El servicio de correspondencia ofrece a todas las unidades de la Organización servicios rápidos y eficientes en relación a los costos.</w:t>
      </w:r>
    </w:p>
    <w:p w:rsidR="00E10A93" w:rsidRDefault="00E10A93" w:rsidP="00E10A93">
      <w:pPr>
        <w:autoSpaceDE w:val="0"/>
        <w:autoSpaceDN w:val="0"/>
        <w:adjustRightInd w:val="0"/>
        <w:jc w:val="both"/>
        <w:rPr>
          <w:sz w:val="20"/>
        </w:rPr>
      </w:pPr>
    </w:p>
    <w:p w:rsidR="00E6603F" w:rsidRPr="004B41A5" w:rsidRDefault="00E6603F" w:rsidP="00E10A93">
      <w:pPr>
        <w:autoSpaceDE w:val="0"/>
        <w:autoSpaceDN w:val="0"/>
        <w:adjustRightInd w:val="0"/>
        <w:jc w:val="both"/>
        <w:rPr>
          <w:sz w:val="20"/>
        </w:rPr>
      </w:pPr>
    </w:p>
    <w:p w:rsidR="00E10A93" w:rsidRPr="00D5474B" w:rsidRDefault="00E10A93" w:rsidP="00E10A93">
      <w:pPr>
        <w:rPr>
          <w:szCs w:val="22"/>
        </w:rPr>
      </w:pPr>
      <w:r>
        <w:rPr>
          <w:szCs w:val="18"/>
        </w:rPr>
        <w:t>ESTRATEGIAS DE EJECUCIÓN</w:t>
      </w:r>
    </w:p>
    <w:p w:rsidR="00E10A93" w:rsidRPr="00D5474B" w:rsidRDefault="00E10A93" w:rsidP="00E10A93">
      <w:pPr>
        <w:rPr>
          <w:szCs w:val="22"/>
        </w:rPr>
      </w:pPr>
    </w:p>
    <w:p w:rsidR="00E10A93" w:rsidRPr="00A65627" w:rsidRDefault="00E10A93" w:rsidP="00D41E6A">
      <w:pPr>
        <w:numPr>
          <w:ilvl w:val="0"/>
          <w:numId w:val="46"/>
        </w:numPr>
        <w:autoSpaceDE w:val="0"/>
        <w:autoSpaceDN w:val="0"/>
        <w:adjustRightInd w:val="0"/>
        <w:jc w:val="both"/>
        <w:rPr>
          <w:sz w:val="20"/>
        </w:rPr>
      </w:pPr>
      <w:r w:rsidRPr="00A65627">
        <w:rPr>
          <w:sz w:val="20"/>
        </w:rPr>
        <w:t xml:space="preserve">Para </w:t>
      </w:r>
      <w:r w:rsidRPr="00037D39">
        <w:rPr>
          <w:sz w:val="20"/>
        </w:rPr>
        <w:t>afrontar los desafíos que plantea el volumen</w:t>
      </w:r>
      <w:r>
        <w:rPr>
          <w:sz w:val="20"/>
        </w:rPr>
        <w:t xml:space="preserve"> de trabajo al </w:t>
      </w:r>
      <w:r w:rsidRPr="005965F5">
        <w:rPr>
          <w:sz w:val="20"/>
        </w:rPr>
        <w:t>servicio lingüístico</w:t>
      </w:r>
      <w:r>
        <w:rPr>
          <w:sz w:val="20"/>
        </w:rPr>
        <w:t xml:space="preserve">, será necesario aumentar el nivel de las subcontrataciones y simultáneamente tomar medidas para contener el volumen de trabajo.  La atención se centrará en alcanzar un equilibrio entre la necesidad de responder a las demandas previstas de los Estados miembros y la optimización del uso de los recursos disponibles.  Se realizarán esfuerzos para aplicar rigurosamente las medidas de racionalización y de control para la puesta en práctica de la </w:t>
      </w:r>
      <w:r w:rsidR="002C6A72" w:rsidRPr="00BF0CC1">
        <w:rPr>
          <w:sz w:val="20"/>
        </w:rPr>
        <w:t>Política Lingüística</w:t>
      </w:r>
      <w:r w:rsidR="002C6A72">
        <w:rPr>
          <w:sz w:val="20"/>
        </w:rPr>
        <w:t xml:space="preserve"> </w:t>
      </w:r>
      <w:r>
        <w:rPr>
          <w:sz w:val="20"/>
        </w:rPr>
        <w:t>a nivel interno, en lo concerniente a la extensión de los documentos y los informes de los comités.  Se mantendrá un equipo principal de revisores y traductores experimentados a nivel interno, al tiempo que el aumento del volumen de trabajo se atenderá principalmente mediante la subcontratación de traductores independientes e institucionales.  Teniendo en cuenta que en 2012 el porcentaje de subcontratación aumentó un 56</w:t>
      </w:r>
      <w:r w:rsidR="00D724E6">
        <w:rPr>
          <w:sz w:val="20"/>
        </w:rPr>
        <w:t>%</w:t>
      </w:r>
      <w:r>
        <w:rPr>
          <w:sz w:val="20"/>
        </w:rPr>
        <w:t xml:space="preserve">, la metodología global que se aplicará se regirá por </w:t>
      </w:r>
      <w:r w:rsidRPr="005718D8">
        <w:rPr>
          <w:sz w:val="20"/>
        </w:rPr>
        <w:t>principios de gestión de la calidad</w:t>
      </w:r>
      <w:r>
        <w:rPr>
          <w:sz w:val="20"/>
        </w:rPr>
        <w:t xml:space="preserve"> y </w:t>
      </w:r>
      <w:r w:rsidRPr="005718D8">
        <w:rPr>
          <w:sz w:val="20"/>
        </w:rPr>
        <w:t>normas estrictas</w:t>
      </w:r>
      <w:r>
        <w:rPr>
          <w:sz w:val="20"/>
        </w:rPr>
        <w:t xml:space="preserve"> que se sustentarán en la aplicación del concepto de </w:t>
      </w:r>
      <w:r w:rsidRPr="005718D8">
        <w:rPr>
          <w:sz w:val="20"/>
        </w:rPr>
        <w:t>“calidad en el origen</w:t>
      </w:r>
      <w:r>
        <w:rPr>
          <w:sz w:val="20"/>
        </w:rPr>
        <w:t>”.  Asimismo, se pondrá empeño en seguir desarrollando las</w:t>
      </w:r>
      <w:r w:rsidRPr="001C6864">
        <w:rPr>
          <w:sz w:val="20"/>
        </w:rPr>
        <w:t xml:space="preserve"> herramientas de</w:t>
      </w:r>
      <w:r>
        <w:rPr>
          <w:sz w:val="20"/>
        </w:rPr>
        <w:t xml:space="preserve"> terminología y</w:t>
      </w:r>
      <w:r w:rsidRPr="001C6864">
        <w:rPr>
          <w:sz w:val="20"/>
        </w:rPr>
        <w:t xml:space="preserve"> traducción asistida por computadora</w:t>
      </w:r>
      <w:r>
        <w:rPr>
          <w:sz w:val="20"/>
        </w:rPr>
        <w:t>, utilizadas por el servicio, para mejorar tanto la productividad como la calidad de las traducciones.  La política de</w:t>
      </w:r>
      <w:r w:rsidRPr="00A65080">
        <w:rPr>
          <w:sz w:val="20"/>
        </w:rPr>
        <w:t xml:space="preserve"> gestión de los registros y archivo</w:t>
      </w:r>
      <w:r>
        <w:rPr>
          <w:sz w:val="20"/>
        </w:rPr>
        <w:t>s se aplicará mediante el desarrollo de procedimientos de registro y archivo electrónico para todos los sectores de la OMPI.</w:t>
      </w:r>
    </w:p>
    <w:p w:rsidR="00E10A93" w:rsidRPr="00A65627" w:rsidRDefault="00E10A93" w:rsidP="00E10A93">
      <w:pPr>
        <w:jc w:val="both"/>
        <w:rPr>
          <w:sz w:val="20"/>
        </w:rPr>
      </w:pPr>
    </w:p>
    <w:p w:rsidR="00E10A93" w:rsidRPr="002077E7" w:rsidRDefault="00E10A93" w:rsidP="00D41E6A">
      <w:pPr>
        <w:numPr>
          <w:ilvl w:val="0"/>
          <w:numId w:val="46"/>
        </w:numPr>
        <w:autoSpaceDE w:val="0"/>
        <w:autoSpaceDN w:val="0"/>
        <w:adjustRightInd w:val="0"/>
        <w:jc w:val="both"/>
        <w:rPr>
          <w:bCs/>
          <w:sz w:val="20"/>
        </w:rPr>
      </w:pPr>
      <w:r w:rsidRPr="002077E7">
        <w:rPr>
          <w:sz w:val="20"/>
        </w:rPr>
        <w:lastRenderedPageBreak/>
        <w:t>Los servicios de conferencias procurarán seguir utilizando</w:t>
      </w:r>
      <w:r>
        <w:rPr>
          <w:sz w:val="20"/>
        </w:rPr>
        <w:t xml:space="preserve"> sistemas de T.I. para mejorar el registro en Internet y las herramientas de entrega de documentos a los delegados y a los demás participantes que asistan a las reuniones de la OMPI.  Se continuará desarrollando </w:t>
      </w:r>
      <w:r w:rsidRPr="002077E7">
        <w:rPr>
          <w:sz w:val="20"/>
        </w:rPr>
        <w:t>sistemas de tecnologías</w:t>
      </w:r>
      <w:r>
        <w:rPr>
          <w:sz w:val="20"/>
        </w:rPr>
        <w:t xml:space="preserve"> para las </w:t>
      </w:r>
      <w:r w:rsidRPr="002077E7">
        <w:rPr>
          <w:sz w:val="20"/>
        </w:rPr>
        <w:t>sala</w:t>
      </w:r>
      <w:r>
        <w:rPr>
          <w:sz w:val="20"/>
        </w:rPr>
        <w:t>s</w:t>
      </w:r>
      <w:r w:rsidRPr="002077E7">
        <w:rPr>
          <w:sz w:val="20"/>
        </w:rPr>
        <w:t xml:space="preserve"> de conferencias</w:t>
      </w:r>
      <w:r>
        <w:rPr>
          <w:sz w:val="20"/>
        </w:rPr>
        <w:t xml:space="preserve">, tal </w:t>
      </w:r>
      <w:r w:rsidRPr="00177ECA">
        <w:rPr>
          <w:sz w:val="20"/>
        </w:rPr>
        <w:t xml:space="preserve">como la </w:t>
      </w:r>
      <w:r>
        <w:rPr>
          <w:sz w:val="20"/>
        </w:rPr>
        <w:t xml:space="preserve">grabación electrónica y la </w:t>
      </w:r>
      <w:r w:rsidRPr="00177ECA">
        <w:rPr>
          <w:sz w:val="20"/>
        </w:rPr>
        <w:t>difusión por Internet</w:t>
      </w:r>
      <w:r>
        <w:rPr>
          <w:sz w:val="20"/>
        </w:rPr>
        <w:t xml:space="preserve"> de los debates, particularmente después de que concluya la </w:t>
      </w:r>
      <w:r w:rsidRPr="00177ECA">
        <w:rPr>
          <w:sz w:val="20"/>
        </w:rPr>
        <w:t>construcción de la nueva sala de conferencias</w:t>
      </w:r>
      <w:r>
        <w:rPr>
          <w:sz w:val="20"/>
        </w:rPr>
        <w:t>.  Las actividades de imprenta se racionalizarán para incorporar operaciones y optimizar recursos.  Los servicios de correspondencia seguirán renegociando los contratos con las empresas más importantes del sector para obtener tarifas competitivas y realizar ahorros.</w:t>
      </w:r>
    </w:p>
    <w:p w:rsidR="00E10A93" w:rsidRPr="002077E7" w:rsidRDefault="00E10A93" w:rsidP="00E10A93">
      <w:pPr>
        <w:rPr>
          <w:szCs w:val="22"/>
        </w:rPr>
      </w:pPr>
    </w:p>
    <w:p w:rsidR="00E10A93" w:rsidRPr="002077E7" w:rsidRDefault="00E10A93" w:rsidP="00E10A93">
      <w:pPr>
        <w:rPr>
          <w:szCs w:val="22"/>
        </w:rPr>
      </w:pPr>
    </w:p>
    <w:p w:rsidR="009F58E5" w:rsidRPr="00994766" w:rsidRDefault="009F58E5" w:rsidP="009F58E5">
      <w:pPr>
        <w:rPr>
          <w:szCs w:val="22"/>
          <w:lang w:val="es-ES_tradnl"/>
        </w:rPr>
      </w:pPr>
      <w:r w:rsidRPr="00994766">
        <w:rPr>
          <w:szCs w:val="22"/>
          <w:lang w:val="es-ES_tradnl"/>
        </w:rPr>
        <w:t>PRINCIPALES RIESGOS Y ESTRATEGIAS DE MITIGACIÓN</w:t>
      </w:r>
    </w:p>
    <w:p w:rsidR="009F58E5" w:rsidRPr="00994766" w:rsidRDefault="009F58E5" w:rsidP="009F58E5">
      <w:pPr>
        <w:rPr>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332"/>
        <w:gridCol w:w="4847"/>
      </w:tblGrid>
      <w:tr w:rsidR="009F58E5" w:rsidRPr="00D41E6A" w:rsidTr="00C665A4">
        <w:trPr>
          <w:trHeight w:val="530"/>
        </w:trPr>
        <w:tc>
          <w:tcPr>
            <w:tcW w:w="4440"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8F4F69">
            <w:pPr>
              <w:jc w:val="center"/>
              <w:rPr>
                <w:b/>
                <w:bCs/>
                <w:iCs/>
                <w:color w:val="000000"/>
                <w:sz w:val="18"/>
                <w:szCs w:val="18"/>
                <w:lang w:val="es-ES_tradnl"/>
              </w:rPr>
            </w:pPr>
            <w:r w:rsidRPr="00D41E6A">
              <w:rPr>
                <w:b/>
                <w:bCs/>
                <w:iCs/>
                <w:color w:val="000000"/>
                <w:sz w:val="18"/>
                <w:szCs w:val="18"/>
                <w:lang w:val="es-ES_tradnl"/>
              </w:rPr>
              <w:t>Riesgos en el logro de los resultados del programa</w:t>
            </w:r>
          </w:p>
        </w:tc>
        <w:tc>
          <w:tcPr>
            <w:tcW w:w="4985"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C665A4">
            <w:pPr>
              <w:rPr>
                <w:b/>
                <w:bCs/>
                <w:iCs/>
                <w:color w:val="000000"/>
                <w:sz w:val="18"/>
                <w:szCs w:val="18"/>
                <w:lang w:val="es-ES_tradnl"/>
              </w:rPr>
            </w:pPr>
            <w:r w:rsidRPr="00D41E6A">
              <w:rPr>
                <w:b/>
                <w:bCs/>
                <w:iCs/>
                <w:color w:val="000000"/>
                <w:sz w:val="18"/>
                <w:szCs w:val="18"/>
                <w:lang w:val="es-ES_tradnl"/>
              </w:rPr>
              <w:t xml:space="preserve">Planes de mitigación ejecutados o en ejecución </w:t>
            </w:r>
          </w:p>
        </w:tc>
      </w:tr>
      <w:tr w:rsidR="009F58E5" w:rsidRPr="00994766" w:rsidTr="00C665A4">
        <w:tc>
          <w:tcPr>
            <w:tcW w:w="4440" w:type="dxa"/>
            <w:tcBorders>
              <w:top w:val="single" w:sz="4" w:space="0" w:color="auto"/>
            </w:tcBorders>
            <w:shd w:val="clear" w:color="auto" w:fill="auto"/>
            <w:tcMar>
              <w:top w:w="113" w:type="dxa"/>
              <w:bottom w:w="85" w:type="dxa"/>
            </w:tcMar>
          </w:tcPr>
          <w:p w:rsidR="009F58E5" w:rsidRPr="00994766" w:rsidRDefault="009F58E5" w:rsidP="008F4F69">
            <w:pPr>
              <w:rPr>
                <w:sz w:val="16"/>
                <w:szCs w:val="16"/>
                <w:lang w:val="es-ES_tradnl"/>
              </w:rPr>
            </w:pPr>
            <w:r w:rsidRPr="00994766">
              <w:rPr>
                <w:iCs/>
                <w:sz w:val="16"/>
                <w:szCs w:val="16"/>
                <w:lang w:val="es-ES_tradnl"/>
              </w:rPr>
              <w:t>Aplicación inadecuada de la Política Lingüística.</w:t>
            </w:r>
          </w:p>
          <w:p w:rsidR="009F58E5" w:rsidRPr="00994766" w:rsidRDefault="009F58E5" w:rsidP="008F4F69">
            <w:pPr>
              <w:rPr>
                <w:sz w:val="16"/>
                <w:szCs w:val="16"/>
                <w:lang w:val="es-ES_tradnl"/>
              </w:rPr>
            </w:pPr>
          </w:p>
          <w:p w:rsidR="009F58E5" w:rsidRPr="00994766" w:rsidRDefault="009F58E5" w:rsidP="008F4F69">
            <w:pPr>
              <w:rPr>
                <w:sz w:val="16"/>
                <w:szCs w:val="16"/>
                <w:lang w:val="es-ES_tradnl"/>
              </w:rPr>
            </w:pPr>
            <w:r w:rsidRPr="00994766">
              <w:rPr>
                <w:sz w:val="16"/>
                <w:szCs w:val="16"/>
                <w:lang w:val="es-ES_tradnl"/>
              </w:rPr>
              <w:t>Debido a las peticiones crecientes de traducciones y a que no se respetan los límites prescritos, el volumen de traducción aumenta significativamente, lo que da lugar a desequilibrios presupuestarios.</w:t>
            </w:r>
          </w:p>
        </w:tc>
        <w:tc>
          <w:tcPr>
            <w:tcW w:w="4985" w:type="dxa"/>
            <w:tcBorders>
              <w:top w:val="single" w:sz="4" w:space="0" w:color="auto"/>
            </w:tcBorders>
            <w:shd w:val="clear" w:color="auto" w:fill="auto"/>
            <w:tcMar>
              <w:top w:w="113" w:type="dxa"/>
              <w:bottom w:w="85" w:type="dxa"/>
            </w:tcMar>
          </w:tcPr>
          <w:p w:rsidR="009F58E5" w:rsidRPr="00994766" w:rsidRDefault="009F58E5" w:rsidP="008F4F69">
            <w:pPr>
              <w:rPr>
                <w:sz w:val="16"/>
                <w:szCs w:val="16"/>
                <w:lang w:val="es-ES_tradnl"/>
              </w:rPr>
            </w:pPr>
            <w:r w:rsidRPr="00994766">
              <w:rPr>
                <w:sz w:val="16"/>
                <w:szCs w:val="16"/>
                <w:lang w:val="es-ES_tradnl"/>
              </w:rPr>
              <w:t>Supervisar el número y el tamaño de los documentos;  aplicar estrictamente medidas de racionalización y control;  alentar a los sectores interesados a evitar textos repetitivos en los documentos.</w:t>
            </w:r>
          </w:p>
        </w:tc>
      </w:tr>
    </w:tbl>
    <w:p w:rsidR="009F58E5" w:rsidRPr="00994766" w:rsidRDefault="009F58E5" w:rsidP="009F58E5">
      <w:pPr>
        <w:rPr>
          <w:sz w:val="20"/>
          <w:lang w:val="es-ES_tradnl"/>
        </w:rPr>
      </w:pPr>
    </w:p>
    <w:p w:rsidR="009F58E5" w:rsidRPr="00C75C7E" w:rsidRDefault="009F58E5" w:rsidP="009F58E5">
      <w:pPr>
        <w:rPr>
          <w:sz w:val="20"/>
          <w:lang w:val="es-ES_tradnl"/>
        </w:rPr>
      </w:pPr>
    </w:p>
    <w:p w:rsidR="009F58E5" w:rsidRPr="00C75C7E" w:rsidRDefault="009F58E5" w:rsidP="009F58E5">
      <w:pPr>
        <w:rPr>
          <w:bCs/>
          <w:szCs w:val="22"/>
          <w:lang w:val="es-ES_tradnl"/>
        </w:rPr>
      </w:pPr>
      <w:r w:rsidRPr="00C75C7E">
        <w:rPr>
          <w:bCs/>
          <w:szCs w:val="22"/>
          <w:lang w:val="es-ES_tradnl"/>
        </w:rPr>
        <w:t>MARCO DE RESULTADOS</w:t>
      </w:r>
    </w:p>
    <w:p w:rsidR="009F58E5" w:rsidRPr="00C75C7E" w:rsidRDefault="009F58E5" w:rsidP="009F58E5">
      <w:pPr>
        <w:rPr>
          <w:sz w:val="20"/>
          <w:lang w:val="es-ES_tradnl"/>
        </w:rPr>
      </w:pPr>
    </w:p>
    <w:tbl>
      <w:tblPr>
        <w:tblW w:w="4914" w:type="pct"/>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280"/>
        <w:gridCol w:w="2669"/>
        <w:gridCol w:w="2090"/>
        <w:gridCol w:w="2088"/>
      </w:tblGrid>
      <w:tr w:rsidR="009F58E5" w:rsidRPr="00C75C7E" w:rsidTr="008F4F69">
        <w:trPr>
          <w:cantSplit/>
          <w:trHeight w:val="605"/>
        </w:trPr>
        <w:tc>
          <w:tcPr>
            <w:tcW w:w="1249"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462"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Indicadores de rendimiento</w:t>
            </w:r>
          </w:p>
        </w:tc>
        <w:tc>
          <w:tcPr>
            <w:tcW w:w="1145"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ind w:left="85"/>
              <w:jc w:val="center"/>
              <w:rPr>
                <w:b/>
                <w:bCs/>
                <w:sz w:val="18"/>
                <w:szCs w:val="18"/>
                <w:lang w:val="es-ES_tradnl"/>
              </w:rPr>
            </w:pPr>
            <w:r w:rsidRPr="00C75C7E">
              <w:rPr>
                <w:b/>
                <w:bCs/>
                <w:sz w:val="18"/>
                <w:szCs w:val="18"/>
                <w:lang w:val="es-ES_tradnl"/>
              </w:rPr>
              <w:t>Referencia</w:t>
            </w:r>
          </w:p>
        </w:tc>
        <w:tc>
          <w:tcPr>
            <w:tcW w:w="1144"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keepNext/>
              <w:keepLines/>
              <w:spacing w:after="120"/>
              <w:ind w:right="111"/>
              <w:jc w:val="center"/>
              <w:rPr>
                <w:b/>
                <w:bCs/>
                <w:sz w:val="18"/>
                <w:szCs w:val="18"/>
                <w:lang w:val="es-ES_tradnl"/>
              </w:rPr>
            </w:pPr>
            <w:r w:rsidRPr="00C75C7E">
              <w:rPr>
                <w:b/>
                <w:bCs/>
                <w:sz w:val="18"/>
                <w:szCs w:val="18"/>
                <w:lang w:val="es-ES_tradnl"/>
              </w:rPr>
              <w:t>Objetivos</w:t>
            </w:r>
          </w:p>
        </w:tc>
      </w:tr>
      <w:tr w:rsidR="009F58E5" w:rsidRPr="00C75C7E" w:rsidTr="008F4F69">
        <w:trPr>
          <w:cantSplit/>
        </w:trPr>
        <w:tc>
          <w:tcPr>
            <w:tcW w:w="1249" w:type="pc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IX.1   Servicios de </w:t>
            </w:r>
            <w:proofErr w:type="gramStart"/>
            <w:r w:rsidRPr="00C75C7E">
              <w:rPr>
                <w:sz w:val="16"/>
                <w:szCs w:val="16"/>
                <w:lang w:val="es-ES_tradnl"/>
              </w:rPr>
              <w:t>apoyo eficaces, eficientes, de calidad y orientados</w:t>
            </w:r>
            <w:proofErr w:type="gramEnd"/>
            <w:r w:rsidRPr="00C75C7E">
              <w:rPr>
                <w:sz w:val="16"/>
                <w:szCs w:val="16"/>
                <w:lang w:val="es-ES_tradnl"/>
              </w:rPr>
              <w:t xml:space="preserve"> al cliente, tanto a los clientes internos como a las partes interesadas externas.</w:t>
            </w:r>
          </w:p>
        </w:tc>
        <w:tc>
          <w:tcPr>
            <w:tcW w:w="1462" w:type="pct"/>
            <w:tcBorders>
              <w:top w:val="single" w:sz="4" w:space="0" w:color="auto"/>
            </w:tcBorders>
            <w:shd w:val="clear" w:color="auto" w:fill="auto"/>
            <w:tcMar>
              <w:top w:w="113" w:type="dxa"/>
            </w:tcMar>
          </w:tcPr>
          <w:p w:rsidR="009F58E5" w:rsidRPr="00C75C7E" w:rsidRDefault="009F58E5" w:rsidP="008F4F69">
            <w:pPr>
              <w:rPr>
                <w:bCs/>
                <w:sz w:val="16"/>
                <w:szCs w:val="16"/>
                <w:lang w:val="es-ES_tradnl"/>
              </w:rPr>
            </w:pPr>
            <w:r w:rsidRPr="00C75C7E">
              <w:rPr>
                <w:bCs/>
                <w:sz w:val="16"/>
                <w:szCs w:val="16"/>
                <w:lang w:val="es-ES_tradnl"/>
              </w:rPr>
              <w:t>Porcentaje de usuarios internos y externos satisfechos de los Servicios de Conferencias de la OMPI.</w:t>
            </w:r>
          </w:p>
        </w:tc>
        <w:tc>
          <w:tcPr>
            <w:tcW w:w="1145" w:type="pct"/>
            <w:tcBorders>
              <w:top w:val="single" w:sz="4" w:space="0" w:color="auto"/>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Porcentaje al final de 2013.</w:t>
            </w:r>
          </w:p>
        </w:tc>
        <w:tc>
          <w:tcPr>
            <w:tcW w:w="1144" w:type="pct"/>
            <w:tcBorders>
              <w:top w:val="single" w:sz="4" w:space="0" w:color="auto"/>
            </w:tcBorders>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Aumento del 10% antes de 2015.</w:t>
            </w:r>
          </w:p>
        </w:tc>
      </w:tr>
      <w:tr w:rsidR="009F58E5" w:rsidRPr="00C75C7E" w:rsidTr="008F4F69">
        <w:trPr>
          <w:cantSplit/>
          <w:trHeight w:val="622"/>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Aplicación eficaz de la Política Lingüística de la OMPI.</w:t>
            </w:r>
          </w:p>
        </w:tc>
        <w:tc>
          <w:tcPr>
            <w:tcW w:w="1145"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Cobertura de idiomas limitada a determinados Comités/órganos principales;</w:t>
            </w:r>
          </w:p>
          <w:p w:rsidR="009F58E5" w:rsidRPr="00C75C7E" w:rsidRDefault="009F58E5" w:rsidP="008F4F69">
            <w:pPr>
              <w:rPr>
                <w:sz w:val="16"/>
                <w:szCs w:val="16"/>
                <w:lang w:val="es-ES_tradnl"/>
              </w:rPr>
            </w:pPr>
            <w:r w:rsidRPr="00C75C7E">
              <w:rPr>
                <w:sz w:val="16"/>
                <w:szCs w:val="16"/>
                <w:lang w:val="es-ES_tradnl"/>
              </w:rPr>
              <w:t>Documentos de longitud variable.</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 xml:space="preserve">Traducciones de calidad disponibles para todos los Comités/órganos principales;  </w:t>
            </w:r>
          </w:p>
          <w:p w:rsidR="009F58E5" w:rsidRPr="00C75C7E" w:rsidRDefault="009F58E5" w:rsidP="008F4F69">
            <w:pPr>
              <w:keepNext/>
              <w:keepLines/>
              <w:ind w:right="221"/>
              <w:rPr>
                <w:bCs/>
                <w:sz w:val="16"/>
                <w:szCs w:val="16"/>
                <w:lang w:val="es-ES_tradnl"/>
              </w:rPr>
            </w:pPr>
            <w:r w:rsidRPr="00C75C7E">
              <w:rPr>
                <w:bCs/>
                <w:sz w:val="16"/>
                <w:szCs w:val="16"/>
                <w:lang w:val="es-ES_tradnl"/>
              </w:rPr>
              <w:t>La longitud de los documentos de los Comités/órganos rectores se reduce a 3.300 palabras.</w:t>
            </w:r>
          </w:p>
        </w:tc>
      </w:tr>
      <w:tr w:rsidR="009F58E5" w:rsidRPr="00C75C7E" w:rsidTr="008F4F69">
        <w:trPr>
          <w:cantSplit/>
          <w:trHeight w:val="301"/>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Costo por palabra traducida.</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Por determinar.</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Por determinar.</w:t>
            </w:r>
          </w:p>
        </w:tc>
      </w:tr>
      <w:tr w:rsidR="009F58E5" w:rsidRPr="00C75C7E" w:rsidTr="008F4F69">
        <w:trPr>
          <w:cantSplit/>
          <w:trHeight w:val="778"/>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Calidad de las traducciones.</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Porcentaje de documentos que respetan los criterios de calidad.</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Porcentaje de documentos que respetan los criterios de calidad.</w:t>
            </w:r>
          </w:p>
        </w:tc>
      </w:tr>
      <w:tr w:rsidR="009F58E5" w:rsidRPr="00C75C7E" w:rsidTr="008F4F69">
        <w:trPr>
          <w:cantSplit/>
          <w:trHeight w:val="515"/>
        </w:trPr>
        <w:tc>
          <w:tcPr>
            <w:tcW w:w="1249" w:type="pct"/>
            <w:shd w:val="clear" w:color="auto" w:fill="auto"/>
            <w:tcMar>
              <w:top w:w="113" w:type="dxa"/>
            </w:tcMar>
          </w:tcPr>
          <w:p w:rsidR="009F58E5" w:rsidRPr="00C75C7E" w:rsidRDefault="009F58E5" w:rsidP="008F4F69">
            <w:pPr>
              <w:rPr>
                <w:sz w:val="16"/>
                <w:szCs w:val="16"/>
                <w:lang w:val="es-ES_tradnl"/>
              </w:rPr>
            </w:pPr>
          </w:p>
        </w:tc>
        <w:tc>
          <w:tcPr>
            <w:tcW w:w="146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Disminución de los costos de impresión (por página).</w:t>
            </w:r>
          </w:p>
        </w:tc>
        <w:tc>
          <w:tcPr>
            <w:tcW w:w="1145"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Por determinar.</w:t>
            </w:r>
          </w:p>
        </w:tc>
        <w:tc>
          <w:tcPr>
            <w:tcW w:w="1144" w:type="pct"/>
            <w:shd w:val="clear" w:color="auto" w:fill="auto"/>
            <w:tcMar>
              <w:top w:w="113" w:type="dxa"/>
            </w:tcMar>
          </w:tcPr>
          <w:p w:rsidR="009F58E5" w:rsidRPr="00C75C7E" w:rsidRDefault="009F58E5" w:rsidP="008F4F69">
            <w:pPr>
              <w:keepNext/>
              <w:keepLines/>
              <w:ind w:right="221"/>
              <w:rPr>
                <w:bCs/>
                <w:sz w:val="16"/>
                <w:szCs w:val="16"/>
                <w:lang w:val="es-ES_tradnl"/>
              </w:rPr>
            </w:pPr>
            <w:r w:rsidRPr="00C75C7E">
              <w:rPr>
                <w:bCs/>
                <w:sz w:val="16"/>
                <w:szCs w:val="16"/>
                <w:lang w:val="es-ES_tradnl"/>
              </w:rPr>
              <w:t>Por determinar.</w:t>
            </w:r>
          </w:p>
        </w:tc>
      </w:tr>
      <w:tr w:rsidR="00C665A4" w:rsidRPr="00C75C7E" w:rsidTr="008F4F69">
        <w:trPr>
          <w:cantSplit/>
          <w:trHeight w:val="515"/>
        </w:trPr>
        <w:tc>
          <w:tcPr>
            <w:tcW w:w="1249" w:type="pct"/>
            <w:shd w:val="clear" w:color="auto" w:fill="auto"/>
            <w:tcMar>
              <w:top w:w="113" w:type="dxa"/>
            </w:tcMar>
          </w:tcPr>
          <w:p w:rsidR="00C665A4" w:rsidRPr="00C75C7E" w:rsidRDefault="00C665A4" w:rsidP="008F4F69">
            <w:pPr>
              <w:rPr>
                <w:sz w:val="16"/>
                <w:szCs w:val="16"/>
                <w:lang w:val="es-ES_tradnl"/>
              </w:rPr>
            </w:pPr>
          </w:p>
        </w:tc>
        <w:tc>
          <w:tcPr>
            <w:tcW w:w="1462" w:type="pct"/>
            <w:shd w:val="clear" w:color="auto" w:fill="auto"/>
            <w:tcMar>
              <w:top w:w="113" w:type="dxa"/>
            </w:tcMar>
          </w:tcPr>
          <w:p w:rsidR="00C665A4" w:rsidRPr="00C75C7E" w:rsidRDefault="00C665A4" w:rsidP="008F4F69">
            <w:pPr>
              <w:rPr>
                <w:sz w:val="16"/>
                <w:szCs w:val="16"/>
                <w:lang w:val="es-ES_tradnl"/>
              </w:rPr>
            </w:pPr>
            <w:r>
              <w:rPr>
                <w:sz w:val="16"/>
                <w:szCs w:val="16"/>
                <w:lang w:val="es-ES_tradnl"/>
              </w:rPr>
              <w:t>Publicación a tiempo de los documentos para los comités y grupos de trabajo.</w:t>
            </w:r>
          </w:p>
        </w:tc>
        <w:tc>
          <w:tcPr>
            <w:tcW w:w="1145" w:type="pct"/>
            <w:shd w:val="clear" w:color="auto" w:fill="FFFFFF"/>
            <w:tcMar>
              <w:top w:w="113" w:type="dxa"/>
            </w:tcMar>
          </w:tcPr>
          <w:p w:rsidR="00C665A4" w:rsidRPr="00C75C7E" w:rsidRDefault="00C665A4" w:rsidP="008F4F69">
            <w:pPr>
              <w:rPr>
                <w:sz w:val="16"/>
                <w:szCs w:val="16"/>
                <w:lang w:val="es-ES_tradnl" w:bidi="th-TH"/>
              </w:rPr>
            </w:pPr>
            <w:r>
              <w:rPr>
                <w:sz w:val="16"/>
                <w:szCs w:val="16"/>
                <w:lang w:val="es-ES_tradnl" w:bidi="th-TH"/>
              </w:rPr>
              <w:t>Porcentaje de documentos publicados dos meses antes del evento (por determinar).</w:t>
            </w:r>
          </w:p>
        </w:tc>
        <w:tc>
          <w:tcPr>
            <w:tcW w:w="1144" w:type="pct"/>
            <w:shd w:val="clear" w:color="auto" w:fill="auto"/>
            <w:tcMar>
              <w:top w:w="113" w:type="dxa"/>
            </w:tcMar>
          </w:tcPr>
          <w:p w:rsidR="00C665A4" w:rsidRPr="00C75C7E" w:rsidRDefault="00C665A4" w:rsidP="008F4F69">
            <w:pPr>
              <w:keepNext/>
              <w:keepLines/>
              <w:ind w:right="221"/>
              <w:rPr>
                <w:bCs/>
                <w:sz w:val="16"/>
                <w:szCs w:val="16"/>
                <w:lang w:val="es-ES_tradnl"/>
              </w:rPr>
            </w:pPr>
            <w:r>
              <w:rPr>
                <w:bCs/>
                <w:sz w:val="16"/>
                <w:szCs w:val="16"/>
                <w:lang w:val="es-ES_tradnl"/>
              </w:rPr>
              <w:t>65% de los documentos publicados dos meses antes del evento.</w:t>
            </w:r>
          </w:p>
        </w:tc>
      </w:tr>
    </w:tbl>
    <w:p w:rsidR="009F58E5" w:rsidRPr="00C75C7E" w:rsidRDefault="009F58E5" w:rsidP="009F58E5">
      <w:pPr>
        <w:rPr>
          <w:sz w:val="20"/>
          <w:lang w:val="es-ES_tradnl"/>
        </w:rPr>
      </w:pPr>
    </w:p>
    <w:p w:rsidR="00E10A93" w:rsidRPr="003F4AA7" w:rsidRDefault="00E10A93" w:rsidP="00E10A93">
      <w:pPr>
        <w:rPr>
          <w:sz w:val="20"/>
        </w:rPr>
      </w:pPr>
    </w:p>
    <w:p w:rsidR="00E10A93" w:rsidRPr="003F4AA7" w:rsidRDefault="00E10A93" w:rsidP="00E10A93">
      <w:pPr>
        <w:keepNext/>
        <w:keepLines/>
        <w:rPr>
          <w:szCs w:val="22"/>
        </w:rPr>
      </w:pPr>
      <w:r w:rsidRPr="00ED24BB">
        <w:rPr>
          <w:szCs w:val="22"/>
        </w:rPr>
        <w:t>RECURSOS PARA EL PROGRAMA</w:t>
      </w:r>
      <w:r w:rsidRPr="003F4AA7">
        <w:rPr>
          <w:szCs w:val="22"/>
        </w:rPr>
        <w:t xml:space="preserve"> 27</w:t>
      </w:r>
    </w:p>
    <w:p w:rsidR="00E10A93" w:rsidRPr="003F4AA7" w:rsidRDefault="00E10A93" w:rsidP="00E6603F">
      <w:pPr>
        <w:widowControl w:val="0"/>
        <w:autoSpaceDE w:val="0"/>
        <w:autoSpaceDN w:val="0"/>
        <w:adjustRightInd w:val="0"/>
        <w:rPr>
          <w:sz w:val="20"/>
        </w:rPr>
      </w:pPr>
    </w:p>
    <w:p w:rsidR="00E10A93" w:rsidRPr="00107BB5" w:rsidRDefault="00E10A93" w:rsidP="00D41E6A">
      <w:pPr>
        <w:widowControl w:val="0"/>
        <w:numPr>
          <w:ilvl w:val="0"/>
          <w:numId w:val="46"/>
        </w:numPr>
        <w:autoSpaceDE w:val="0"/>
        <w:autoSpaceDN w:val="0"/>
        <w:adjustRightInd w:val="0"/>
        <w:jc w:val="both"/>
        <w:rPr>
          <w:sz w:val="20"/>
        </w:rPr>
      </w:pPr>
      <w:r w:rsidRPr="00107BB5">
        <w:rPr>
          <w:sz w:val="20"/>
        </w:rPr>
        <w:t>El aumento propuesto en los recu</w:t>
      </w:r>
      <w:r>
        <w:rPr>
          <w:sz w:val="20"/>
        </w:rPr>
        <w:t>rsos globales del resultado IX.</w:t>
      </w:r>
      <w:r w:rsidRPr="00107BB5">
        <w:rPr>
          <w:sz w:val="20"/>
        </w:rPr>
        <w:t>1</w:t>
      </w:r>
      <w:r>
        <w:rPr>
          <w:sz w:val="20"/>
        </w:rPr>
        <w:t xml:space="preserve"> (Servicios de apoyo eficaces, </w:t>
      </w:r>
      <w:r w:rsidRPr="00107BB5">
        <w:rPr>
          <w:sz w:val="20"/>
        </w:rPr>
        <w:t>eficientes, de</w:t>
      </w:r>
      <w:r>
        <w:rPr>
          <w:sz w:val="20"/>
        </w:rPr>
        <w:t xml:space="preserve"> </w:t>
      </w:r>
      <w:r w:rsidRPr="00107BB5">
        <w:rPr>
          <w:sz w:val="20"/>
        </w:rPr>
        <w:t>calidad y orientados al</w:t>
      </w:r>
      <w:r>
        <w:rPr>
          <w:sz w:val="20"/>
        </w:rPr>
        <w:t xml:space="preserve"> </w:t>
      </w:r>
      <w:r w:rsidRPr="00107BB5">
        <w:rPr>
          <w:sz w:val="20"/>
        </w:rPr>
        <w:t>cliente</w:t>
      </w:r>
      <w:r>
        <w:rPr>
          <w:sz w:val="20"/>
        </w:rPr>
        <w:t>)</w:t>
      </w:r>
      <w:r w:rsidRPr="00107BB5">
        <w:rPr>
          <w:sz w:val="20"/>
        </w:rPr>
        <w:t xml:space="preserve"> </w:t>
      </w:r>
      <w:r>
        <w:rPr>
          <w:sz w:val="20"/>
        </w:rPr>
        <w:t xml:space="preserve">del programa refleja </w:t>
      </w:r>
      <w:r w:rsidR="00C665A4">
        <w:rPr>
          <w:sz w:val="20"/>
        </w:rPr>
        <w:t>un aumento en los costos de personal</w:t>
      </w:r>
      <w:r w:rsidR="000E14E5">
        <w:rPr>
          <w:sz w:val="20"/>
        </w:rPr>
        <w:t xml:space="preserve"> y una asignación adicional de 793.000 francos suizos por la ampliación, en forma gradual </w:t>
      </w:r>
      <w:r w:rsidR="000E14E5">
        <w:rPr>
          <w:sz w:val="20"/>
        </w:rPr>
        <w:lastRenderedPageBreak/>
        <w:t>y con eficacia en función de los costos, a seis idiomas de la documentación de los grupos de trabajo</w:t>
      </w:r>
      <w:r w:rsidR="000E14E5" w:rsidRPr="000E14E5">
        <w:rPr>
          <w:sz w:val="20"/>
        </w:rPr>
        <w:t xml:space="preserve"> </w:t>
      </w:r>
      <w:r w:rsidR="000E14E5">
        <w:rPr>
          <w:sz w:val="20"/>
        </w:rPr>
        <w:t>durante el bienio 2014/15</w:t>
      </w:r>
      <w:r w:rsidR="00C665A4">
        <w:rPr>
          <w:sz w:val="20"/>
        </w:rPr>
        <w:t>.</w:t>
      </w:r>
      <w:r>
        <w:rPr>
          <w:sz w:val="20"/>
        </w:rPr>
        <w:t xml:space="preserve">  Tal como se ha mencionado anteriormente, se realizarán esfuerzos para aplicar rigurosamente las medidas de racionalización y de control en </w:t>
      </w:r>
      <w:r w:rsidR="00C665A4">
        <w:rPr>
          <w:sz w:val="20"/>
        </w:rPr>
        <w:t>los servicios lingüísticos, y para mejorar la calidad de la</w:t>
      </w:r>
      <w:r>
        <w:rPr>
          <w:sz w:val="20"/>
        </w:rPr>
        <w:t xml:space="preserve"> subcontratación.  A raíz de la aplicación de la reforma </w:t>
      </w:r>
      <w:r w:rsidR="00C665A4">
        <w:rPr>
          <w:sz w:val="20"/>
        </w:rPr>
        <w:t>contractual</w:t>
      </w:r>
      <w:r>
        <w:rPr>
          <w:sz w:val="20"/>
        </w:rPr>
        <w:t xml:space="preserve">, los servicios de los profesionales contratados en el marco de la </w:t>
      </w:r>
      <w:r w:rsidRPr="00EC47B8">
        <w:rPr>
          <w:sz w:val="20"/>
        </w:rPr>
        <w:t>Asociación Internacional de Traductores de Conferencias</w:t>
      </w:r>
      <w:r>
        <w:rPr>
          <w:sz w:val="20"/>
        </w:rPr>
        <w:t xml:space="preserve"> (AITC) han quedado reflejados en la línea “Conferencias”</w:t>
      </w:r>
      <w:r w:rsidR="00C665A4">
        <w:rPr>
          <w:sz w:val="20"/>
        </w:rPr>
        <w:t>.  La asignación de esa línea ha sido aumentada en 435.000 francos suizos, mientras que</w:t>
      </w:r>
      <w:r>
        <w:rPr>
          <w:sz w:val="20"/>
        </w:rPr>
        <w:t xml:space="preserve"> la línea</w:t>
      </w:r>
      <w:r w:rsidR="00C665A4">
        <w:rPr>
          <w:sz w:val="20"/>
        </w:rPr>
        <w:t xml:space="preserve"> de</w:t>
      </w:r>
      <w:r>
        <w:rPr>
          <w:sz w:val="20"/>
        </w:rPr>
        <w:t xml:space="preserve"> “Servicios contractuales</w:t>
      </w:r>
      <w:r w:rsidR="00C665A4">
        <w:rPr>
          <w:sz w:val="20"/>
        </w:rPr>
        <w:t xml:space="preserve"> individuales</w:t>
      </w:r>
      <w:r>
        <w:rPr>
          <w:sz w:val="20"/>
        </w:rPr>
        <w:t>” (denominada anteriormente “</w:t>
      </w:r>
      <w:r w:rsidRPr="00D957FE">
        <w:rPr>
          <w:sz w:val="20"/>
        </w:rPr>
        <w:t>ac</w:t>
      </w:r>
      <w:r>
        <w:rPr>
          <w:sz w:val="20"/>
        </w:rPr>
        <w:t xml:space="preserve">uerdos de servicios especiales”) ha </w:t>
      </w:r>
      <w:r w:rsidR="00C665A4">
        <w:rPr>
          <w:sz w:val="20"/>
        </w:rPr>
        <w:t>s</w:t>
      </w:r>
      <w:r>
        <w:rPr>
          <w:sz w:val="20"/>
        </w:rPr>
        <w:t xml:space="preserve">ido </w:t>
      </w:r>
      <w:r w:rsidR="00C665A4">
        <w:rPr>
          <w:sz w:val="20"/>
        </w:rPr>
        <w:t>reducida en</w:t>
      </w:r>
      <w:r>
        <w:rPr>
          <w:sz w:val="20"/>
        </w:rPr>
        <w:t xml:space="preserve"> 319</w:t>
      </w:r>
      <w:r w:rsidR="002C6A72">
        <w:rPr>
          <w:sz w:val="20"/>
        </w:rPr>
        <w:t>.000</w:t>
      </w:r>
      <w:r>
        <w:rPr>
          <w:sz w:val="20"/>
        </w:rPr>
        <w:t xml:space="preserve"> francos suizos.  </w:t>
      </w:r>
      <w:r w:rsidR="00C665A4">
        <w:rPr>
          <w:sz w:val="20"/>
        </w:rPr>
        <w:t>E</w:t>
      </w:r>
      <w:r>
        <w:rPr>
          <w:sz w:val="20"/>
        </w:rPr>
        <w:t>l aumento neto global de los servicios de traducción se ha limitado</w:t>
      </w:r>
      <w:r w:rsidR="00C665A4">
        <w:rPr>
          <w:sz w:val="20"/>
        </w:rPr>
        <w:t>, por lo tanto,</w:t>
      </w:r>
      <w:r>
        <w:rPr>
          <w:sz w:val="20"/>
        </w:rPr>
        <w:t xml:space="preserve"> a 11</w:t>
      </w:r>
      <w:r w:rsidR="00C665A4">
        <w:rPr>
          <w:sz w:val="20"/>
        </w:rPr>
        <w:t>6</w:t>
      </w:r>
      <w:r w:rsidR="002C6A72">
        <w:rPr>
          <w:sz w:val="20"/>
        </w:rPr>
        <w:t>.000</w:t>
      </w:r>
      <w:r>
        <w:rPr>
          <w:sz w:val="20"/>
        </w:rPr>
        <w:t xml:space="preserve"> francos suizos.</w:t>
      </w:r>
    </w:p>
    <w:p w:rsidR="00E10A93" w:rsidRPr="00107BB5" w:rsidRDefault="00E10A93" w:rsidP="00E6603F">
      <w:pPr>
        <w:widowControl w:val="0"/>
        <w:autoSpaceDE w:val="0"/>
        <w:autoSpaceDN w:val="0"/>
        <w:adjustRightInd w:val="0"/>
        <w:jc w:val="both"/>
        <w:rPr>
          <w:sz w:val="20"/>
        </w:rPr>
      </w:pPr>
    </w:p>
    <w:p w:rsidR="00E10A93" w:rsidRPr="00F14EA5" w:rsidRDefault="00E10A93" w:rsidP="00D41E6A">
      <w:pPr>
        <w:widowControl w:val="0"/>
        <w:numPr>
          <w:ilvl w:val="0"/>
          <w:numId w:val="46"/>
        </w:numPr>
        <w:autoSpaceDE w:val="0"/>
        <w:autoSpaceDN w:val="0"/>
        <w:adjustRightInd w:val="0"/>
        <w:jc w:val="both"/>
        <w:rPr>
          <w:sz w:val="20"/>
        </w:rPr>
      </w:pPr>
      <w:r>
        <w:rPr>
          <w:sz w:val="20"/>
        </w:rPr>
        <w:t>Se espera</w:t>
      </w:r>
      <w:r w:rsidRPr="00F14EA5">
        <w:rPr>
          <w:sz w:val="20"/>
        </w:rPr>
        <w:t xml:space="preserve"> que los costos de los se</w:t>
      </w:r>
      <w:r>
        <w:rPr>
          <w:sz w:val="20"/>
        </w:rPr>
        <w:t>r</w:t>
      </w:r>
      <w:r w:rsidRPr="00F14EA5">
        <w:rPr>
          <w:sz w:val="20"/>
        </w:rPr>
        <w:t>vicios de correspondencia disminu</w:t>
      </w:r>
      <w:r>
        <w:rPr>
          <w:sz w:val="20"/>
        </w:rPr>
        <w:t>yan como consecuencia de la cont</w:t>
      </w:r>
      <w:r w:rsidRPr="00F14EA5">
        <w:rPr>
          <w:sz w:val="20"/>
        </w:rPr>
        <w:t>inua revisi</w:t>
      </w:r>
      <w:r>
        <w:rPr>
          <w:sz w:val="20"/>
        </w:rPr>
        <w:t>ón y renegociación de los contratos con las empresas más importantes del sector para la obtención de tarifas competitivas.  Esto se refleja en una disminución neta de 459</w:t>
      </w:r>
      <w:r w:rsidR="002C6A72">
        <w:rPr>
          <w:sz w:val="20"/>
        </w:rPr>
        <w:t>.000</w:t>
      </w:r>
      <w:r>
        <w:rPr>
          <w:sz w:val="20"/>
        </w:rPr>
        <w:t xml:space="preserve"> francos suizos que es el resultado, por una parte, de una disminución de 1,4 millones de francos suizos en la línea </w:t>
      </w:r>
      <w:r w:rsidRPr="00F14EA5">
        <w:rPr>
          <w:sz w:val="20"/>
        </w:rPr>
        <w:t>“Otros servicios contractuales”</w:t>
      </w:r>
      <w:r>
        <w:rPr>
          <w:sz w:val="20"/>
        </w:rPr>
        <w:t xml:space="preserve"> y, por otra, de un aumento de 900</w:t>
      </w:r>
      <w:r w:rsidR="002C6A72">
        <w:rPr>
          <w:sz w:val="20"/>
        </w:rPr>
        <w:t>.000</w:t>
      </w:r>
      <w:r>
        <w:rPr>
          <w:sz w:val="20"/>
        </w:rPr>
        <w:t xml:space="preserve"> francos suizos que ha </w:t>
      </w:r>
      <w:r w:rsidR="002C6A72">
        <w:rPr>
          <w:sz w:val="20"/>
        </w:rPr>
        <w:t>quedado</w:t>
      </w:r>
      <w:r>
        <w:rPr>
          <w:sz w:val="20"/>
        </w:rPr>
        <w:t xml:space="preserve"> correctamente reflejado en la línea “C</w:t>
      </w:r>
      <w:r w:rsidRPr="003A5075">
        <w:rPr>
          <w:sz w:val="20"/>
        </w:rPr>
        <w:t>ostos de comunicación</w:t>
      </w:r>
      <w:r>
        <w:rPr>
          <w:sz w:val="20"/>
        </w:rPr>
        <w:t>”</w:t>
      </w:r>
      <w:r w:rsidRPr="003A5075">
        <w:rPr>
          <w:sz w:val="20"/>
        </w:rPr>
        <w:t>.</w:t>
      </w:r>
    </w:p>
    <w:p w:rsidR="00E10A93" w:rsidRPr="00F14EA5" w:rsidRDefault="00E10A93" w:rsidP="00E6603F">
      <w:pPr>
        <w:widowControl w:val="0"/>
        <w:autoSpaceDE w:val="0"/>
        <w:autoSpaceDN w:val="0"/>
        <w:adjustRightInd w:val="0"/>
        <w:ind w:firstLine="567"/>
        <w:jc w:val="center"/>
        <w:rPr>
          <w:b/>
          <w:bCs/>
          <w:iCs/>
          <w:sz w:val="20"/>
        </w:rPr>
      </w:pPr>
    </w:p>
    <w:p w:rsidR="00E10A93" w:rsidRPr="00F14EA5" w:rsidRDefault="00E10A93" w:rsidP="00E10A93">
      <w:pPr>
        <w:keepNext/>
        <w:keepLines/>
        <w:autoSpaceDE w:val="0"/>
        <w:autoSpaceDN w:val="0"/>
        <w:adjustRightInd w:val="0"/>
        <w:ind w:firstLine="567"/>
        <w:jc w:val="center"/>
        <w:rPr>
          <w:b/>
          <w:bCs/>
          <w:iCs/>
          <w:sz w:val="20"/>
        </w:rPr>
      </w:pPr>
    </w:p>
    <w:p w:rsidR="009F58E5" w:rsidRPr="00C75C7E" w:rsidRDefault="00C665A4" w:rsidP="009F58E5">
      <w:pPr>
        <w:keepNext/>
        <w:keepLines/>
        <w:autoSpaceDE w:val="0"/>
        <w:autoSpaceDN w:val="0"/>
        <w:adjustRightInd w:val="0"/>
        <w:ind w:firstLine="567"/>
        <w:jc w:val="center"/>
        <w:rPr>
          <w:b/>
          <w:bCs/>
          <w:iCs/>
          <w:sz w:val="20"/>
          <w:lang w:val="es-ES_tradnl"/>
        </w:rPr>
      </w:pPr>
      <w:r>
        <w:rPr>
          <w:b/>
          <w:bCs/>
          <w:iCs/>
          <w:sz w:val="20"/>
          <w:lang w:val="es-ES_tradnl"/>
        </w:rPr>
        <w:t>Programa 27</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Pr="00C75C7E" w:rsidRDefault="009F58E5" w:rsidP="009F58E5">
      <w:pPr>
        <w:keepNext/>
        <w:keepLines/>
        <w:rPr>
          <w:sz w:val="20"/>
          <w:lang w:val="es-ES_tradnl"/>
        </w:rPr>
      </w:pPr>
    </w:p>
    <w:p w:rsidR="009F58E5" w:rsidRPr="00C75C7E" w:rsidRDefault="00063856" w:rsidP="009F58E5">
      <w:pPr>
        <w:keepNext/>
        <w:keepLines/>
        <w:jc w:val="center"/>
        <w:rPr>
          <w:sz w:val="20"/>
          <w:lang w:val="es-ES_tradnl"/>
        </w:rPr>
      </w:pPr>
      <w:r w:rsidRPr="00063856">
        <w:rPr>
          <w:noProof/>
          <w:lang w:val="en-US" w:eastAsia="en-US"/>
        </w:rPr>
        <w:drawing>
          <wp:inline distT="0" distB="0" distL="0" distR="0" wp14:anchorId="4F24C50E" wp14:editId="50A898FB">
            <wp:extent cx="5837555" cy="1530985"/>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5837555" cy="1530985"/>
                    </a:xfrm>
                    <a:prstGeom prst="rect">
                      <a:avLst/>
                    </a:prstGeom>
                    <a:noFill/>
                    <a:ln>
                      <a:noFill/>
                    </a:ln>
                  </pic:spPr>
                </pic:pic>
              </a:graphicData>
            </a:graphic>
          </wp:inline>
        </w:drawing>
      </w:r>
    </w:p>
    <w:p w:rsidR="009F58E5" w:rsidRPr="00C75C7E" w:rsidRDefault="009F58E5" w:rsidP="009F58E5">
      <w:pPr>
        <w:keepNext/>
        <w:keepLines/>
        <w:jc w:val="center"/>
        <w:rPr>
          <w:sz w:val="20"/>
          <w:lang w:val="es-ES_tradnl"/>
        </w:rPr>
      </w:pPr>
    </w:p>
    <w:p w:rsidR="009F58E5" w:rsidRPr="00C75C7E" w:rsidRDefault="009F58E5" w:rsidP="009F58E5">
      <w:pPr>
        <w:keepLines/>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140981">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9F58E5">
      <w:pPr>
        <w:widowControl w:val="0"/>
        <w:autoSpaceDE w:val="0"/>
        <w:autoSpaceDN w:val="0"/>
        <w:adjustRightInd w:val="0"/>
        <w:jc w:val="both"/>
        <w:rPr>
          <w:sz w:val="20"/>
          <w:highlight w:val="yellow"/>
          <w:lang w:val="es-ES_tradnl"/>
        </w:rPr>
      </w:pPr>
    </w:p>
    <w:p w:rsidR="009F58E5" w:rsidRPr="00C75C7E" w:rsidRDefault="00C665A4" w:rsidP="009F58E5">
      <w:pPr>
        <w:keepNext/>
        <w:keepLines/>
        <w:autoSpaceDE w:val="0"/>
        <w:autoSpaceDN w:val="0"/>
        <w:adjustRightInd w:val="0"/>
        <w:ind w:firstLine="567"/>
        <w:jc w:val="center"/>
        <w:rPr>
          <w:b/>
          <w:bCs/>
          <w:iCs/>
          <w:sz w:val="20"/>
          <w:lang w:val="es-ES_tradnl"/>
        </w:rPr>
      </w:pPr>
      <w:r>
        <w:rPr>
          <w:b/>
          <w:bCs/>
          <w:iCs/>
          <w:sz w:val="20"/>
          <w:lang w:val="es-ES_tradnl"/>
        </w:rPr>
        <w:lastRenderedPageBreak/>
        <w:t>Programa 27</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9F58E5">
      <w:pPr>
        <w:keepNext/>
        <w:keepLines/>
        <w:autoSpaceDE w:val="0"/>
        <w:autoSpaceDN w:val="0"/>
        <w:adjustRightInd w:val="0"/>
        <w:ind w:firstLine="567"/>
        <w:jc w:val="center"/>
        <w:rPr>
          <w:i/>
          <w:sz w:val="18"/>
          <w:szCs w:val="18"/>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9F58E5">
      <w:pPr>
        <w:keepNext/>
        <w:keepLines/>
        <w:autoSpaceDE w:val="0"/>
        <w:autoSpaceDN w:val="0"/>
        <w:adjustRightInd w:val="0"/>
        <w:jc w:val="center"/>
        <w:rPr>
          <w:i/>
          <w:sz w:val="18"/>
          <w:szCs w:val="18"/>
          <w:lang w:val="es-ES_tradnl"/>
        </w:rPr>
      </w:pPr>
    </w:p>
    <w:p w:rsidR="00EA4CD8" w:rsidRPr="00C75C7E" w:rsidRDefault="00CB1461" w:rsidP="009F58E5">
      <w:pPr>
        <w:keepNext/>
        <w:keepLines/>
        <w:autoSpaceDE w:val="0"/>
        <w:autoSpaceDN w:val="0"/>
        <w:adjustRightInd w:val="0"/>
        <w:jc w:val="center"/>
        <w:rPr>
          <w:i/>
          <w:sz w:val="18"/>
          <w:szCs w:val="18"/>
          <w:lang w:val="es-ES_tradnl"/>
        </w:rPr>
      </w:pPr>
      <w:r w:rsidRPr="00CB1461">
        <w:rPr>
          <w:noProof/>
          <w:lang w:val="en-US" w:eastAsia="en-US"/>
        </w:rPr>
        <w:drawing>
          <wp:inline distT="0" distB="0" distL="0" distR="0" wp14:anchorId="6F01A86D" wp14:editId="2DA7563C">
            <wp:extent cx="5940425" cy="5850801"/>
            <wp:effectExtent l="0" t="0" r="3175"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5940425" cy="5850801"/>
                    </a:xfrm>
                    <a:prstGeom prst="rect">
                      <a:avLst/>
                    </a:prstGeom>
                    <a:noFill/>
                    <a:ln>
                      <a:noFill/>
                    </a:ln>
                  </pic:spPr>
                </pic:pic>
              </a:graphicData>
            </a:graphic>
          </wp:inline>
        </w:drawing>
      </w:r>
    </w:p>
    <w:p w:rsidR="00EA4CD8" w:rsidRDefault="00EA4CD8" w:rsidP="009F58E5">
      <w:pPr>
        <w:keepNext/>
        <w:keepLines/>
        <w:rPr>
          <w:sz w:val="16"/>
          <w:szCs w:val="16"/>
          <w:lang w:val="es-ES_tradnl"/>
        </w:rPr>
      </w:pPr>
    </w:p>
    <w:p w:rsidR="009F58E5" w:rsidRPr="00C75C7E" w:rsidRDefault="009F58E5" w:rsidP="009F58E5">
      <w:pPr>
        <w:keepNext/>
        <w:keepLines/>
        <w:rPr>
          <w:sz w:val="16"/>
          <w:szCs w:val="16"/>
          <w:lang w:val="es-ES_tradnl"/>
        </w:rPr>
      </w:pPr>
      <w:r w:rsidRPr="00C75C7E">
        <w:rPr>
          <w:sz w:val="16"/>
          <w:szCs w:val="16"/>
          <w:lang w:val="es-ES_tradnl"/>
        </w:rPr>
        <w:t>Notas:</w:t>
      </w:r>
    </w:p>
    <w:p w:rsidR="009F58E5" w:rsidRPr="00C75C7E" w:rsidRDefault="009F58E5" w:rsidP="009F58E5">
      <w:pPr>
        <w:keepNext/>
        <w:keepLines/>
        <w:rPr>
          <w:sz w:val="16"/>
          <w:szCs w:val="16"/>
          <w:u w:val="single"/>
          <w:lang w:val="es-ES_tradnl"/>
        </w:rPr>
      </w:pPr>
    </w:p>
    <w:p w:rsidR="009F58E5" w:rsidRPr="00C75C7E" w:rsidRDefault="00140981" w:rsidP="009F58E5">
      <w:pPr>
        <w:keepNext/>
        <w:keepLines/>
        <w:spacing w:after="120"/>
        <w:rPr>
          <w:sz w:val="16"/>
          <w:szCs w:val="16"/>
          <w:lang w:val="es-ES_tradnl"/>
        </w:rPr>
      </w:pPr>
      <w:r>
        <w:rPr>
          <w:sz w:val="16"/>
          <w:szCs w:val="16"/>
          <w:lang w:val="es-ES_tradnl"/>
        </w:rPr>
        <w:t xml:space="preserve">1)  </w:t>
      </w:r>
      <w:r w:rsidR="009F58E5" w:rsidRPr="00C75C7E">
        <w:rPr>
          <w:sz w:val="16"/>
          <w:szCs w:val="16"/>
          <w:lang w:val="es-ES_tradnl"/>
        </w:rPr>
        <w:t xml:space="preserve">El presupuesto aprobado de 2012/13 y el presupuesto de dicho bienio después de las transferencias se </w:t>
      </w:r>
      <w:proofErr w:type="spellStart"/>
      <w:r w:rsidR="009F58E5" w:rsidRPr="00C75C7E">
        <w:rPr>
          <w:sz w:val="16"/>
          <w:szCs w:val="16"/>
          <w:lang w:val="es-ES_tradnl"/>
        </w:rPr>
        <w:t>reexpresan</w:t>
      </w:r>
      <w:proofErr w:type="spellEnd"/>
      <w:r w:rsidR="009F58E5" w:rsidRPr="00C75C7E">
        <w:rPr>
          <w:sz w:val="16"/>
          <w:szCs w:val="16"/>
          <w:lang w:val="es-ES_tradnl"/>
        </w:rPr>
        <w:t xml:space="preserve"> sobre la base de la estructura de categorías de costos propuesta para 2014/15.</w:t>
      </w:r>
    </w:p>
    <w:p w:rsidR="009F58E5" w:rsidRPr="00C75C7E" w:rsidRDefault="009F58E5" w:rsidP="009F58E5">
      <w:pPr>
        <w:keepNext/>
        <w:keepLines/>
        <w:spacing w:after="120"/>
        <w:rPr>
          <w:sz w:val="16"/>
          <w:szCs w:val="16"/>
          <w:lang w:val="es-ES_tradnl"/>
        </w:rPr>
      </w:pPr>
      <w:r>
        <w:rPr>
          <w:sz w:val="16"/>
          <w:szCs w:val="16"/>
          <w:lang w:val="es-ES_tradnl"/>
        </w:rPr>
        <w:t>2)</w:t>
      </w:r>
      <w:r w:rsidR="00140981">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información sobre el presupuesto de</w:t>
      </w:r>
      <w:r w:rsidR="00D724E6">
        <w:rPr>
          <w:sz w:val="16"/>
          <w:szCs w:val="16"/>
          <w:lang w:val="es-ES_tradnl"/>
        </w:rPr>
        <w:t>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Pr="00C75C7E" w:rsidRDefault="009F58E5" w:rsidP="009F58E5">
      <w:pPr>
        <w:keepNext/>
        <w:keepLines/>
        <w:spacing w:after="120"/>
        <w:rPr>
          <w:sz w:val="16"/>
          <w:szCs w:val="16"/>
          <w:lang w:val="es-ES_tradnl"/>
        </w:rPr>
      </w:pPr>
      <w:r>
        <w:rPr>
          <w:sz w:val="16"/>
          <w:szCs w:val="16"/>
          <w:lang w:val="es-ES_tradnl"/>
        </w:rPr>
        <w:t>3)</w:t>
      </w:r>
      <w:r w:rsidR="00140981">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9F58E5" w:rsidRPr="00C75C7E" w:rsidRDefault="009F58E5" w:rsidP="009F58E5">
      <w:pPr>
        <w:rPr>
          <w:sz w:val="20"/>
          <w:highlight w:val="yellow"/>
          <w:lang w:val="es-ES_tradnl"/>
        </w:rPr>
      </w:pPr>
    </w:p>
    <w:p w:rsidR="00E10A93" w:rsidRPr="00E6603F" w:rsidRDefault="009F58E5" w:rsidP="000E14E5">
      <w:pPr>
        <w:pStyle w:val="Heading3"/>
        <w:tabs>
          <w:tab w:val="left" w:pos="1985"/>
          <w:tab w:val="left" w:pos="3871"/>
        </w:tabs>
        <w:rPr>
          <w:b/>
          <w:u w:val="none"/>
          <w:lang w:val="es-ES_tradnl"/>
        </w:rPr>
      </w:pPr>
      <w:r w:rsidRPr="00C75C7E">
        <w:rPr>
          <w:sz w:val="20"/>
          <w:lang w:val="es-ES_tradnl"/>
        </w:rPr>
        <w:br w:type="page"/>
      </w:r>
      <w:bookmarkStart w:id="99" w:name="_Toc356567783"/>
      <w:bookmarkStart w:id="100" w:name="_Toc366078752"/>
      <w:r w:rsidR="00E6603F" w:rsidRPr="00E6603F">
        <w:rPr>
          <w:b/>
          <w:u w:val="none"/>
          <w:lang w:val="es-ES_tradnl"/>
        </w:rPr>
        <w:lastRenderedPageBreak/>
        <w:t>PROGRAMA 28</w:t>
      </w:r>
      <w:r w:rsidR="00E6603F" w:rsidRPr="00E6603F">
        <w:rPr>
          <w:b/>
          <w:u w:val="none"/>
          <w:lang w:val="es-ES_tradnl"/>
        </w:rPr>
        <w:tab/>
        <w:t>S</w:t>
      </w:r>
      <w:bookmarkEnd w:id="99"/>
      <w:r w:rsidR="00E6603F" w:rsidRPr="00E6603F">
        <w:rPr>
          <w:b/>
          <w:u w:val="none"/>
          <w:lang w:val="es-ES_tradnl"/>
        </w:rPr>
        <w:t>EGURIDAD</w:t>
      </w:r>
      <w:bookmarkEnd w:id="100"/>
    </w:p>
    <w:p w:rsidR="00E10A93" w:rsidRPr="000877E0" w:rsidRDefault="00E10A93" w:rsidP="00E10A93">
      <w:pPr>
        <w:rPr>
          <w:sz w:val="20"/>
        </w:rPr>
      </w:pPr>
    </w:p>
    <w:p w:rsidR="00E10A93" w:rsidRPr="000877E0" w:rsidRDefault="00E10A93" w:rsidP="00E10A93">
      <w:pPr>
        <w:rPr>
          <w:sz w:val="20"/>
        </w:rPr>
      </w:pPr>
    </w:p>
    <w:p w:rsidR="00E10A93" w:rsidRPr="00E10A93" w:rsidRDefault="00E10A93" w:rsidP="00E10A93">
      <w:pPr>
        <w:pStyle w:val="BodyTextIndent"/>
        <w:ind w:left="1985" w:hanging="1985"/>
        <w:jc w:val="both"/>
        <w:rPr>
          <w:rFonts w:ascii="Arial" w:hAnsi="Arial" w:cs="Arial"/>
          <w:sz w:val="22"/>
          <w:szCs w:val="22"/>
          <w:lang w:val="es-ES"/>
        </w:rPr>
      </w:pPr>
      <w:r w:rsidRPr="00762D10">
        <w:rPr>
          <w:rFonts w:ascii="Arial" w:hAnsi="Arial" w:cs="Arial"/>
          <w:sz w:val="22"/>
          <w:szCs w:val="22"/>
          <w:lang w:val="es-ES"/>
        </w:rPr>
        <w:t>CONTEXTO DE PLANIFICACI</w:t>
      </w:r>
      <w:r>
        <w:rPr>
          <w:rFonts w:ascii="Arial" w:hAnsi="Arial" w:cs="Arial"/>
          <w:sz w:val="22"/>
          <w:szCs w:val="22"/>
          <w:lang w:val="es-ES"/>
        </w:rPr>
        <w:t>ÓN</w:t>
      </w:r>
    </w:p>
    <w:p w:rsidR="00E10A93" w:rsidRDefault="00E10A93" w:rsidP="00E10A93">
      <w:pPr>
        <w:tabs>
          <w:tab w:val="left" w:pos="567"/>
          <w:tab w:val="left" w:pos="1985"/>
        </w:tabs>
        <w:jc w:val="both"/>
        <w:rPr>
          <w:bCs/>
          <w:sz w:val="20"/>
        </w:rPr>
      </w:pPr>
    </w:p>
    <w:p w:rsidR="00E10A93" w:rsidRPr="00C0445C" w:rsidRDefault="00E10A93" w:rsidP="00D41E6A">
      <w:pPr>
        <w:numPr>
          <w:ilvl w:val="0"/>
          <w:numId w:val="47"/>
        </w:numPr>
        <w:jc w:val="both"/>
        <w:rPr>
          <w:bCs/>
          <w:sz w:val="20"/>
        </w:rPr>
      </w:pPr>
      <w:r w:rsidRPr="00C0445C">
        <w:rPr>
          <w:bCs/>
          <w:sz w:val="20"/>
        </w:rPr>
        <w:t>Un aumento del nivel de amenaza real o supuesta a escala mundial dirigida contra el sistema de las NN.UU. representa el principal desafío p</w:t>
      </w:r>
      <w:r>
        <w:rPr>
          <w:bCs/>
          <w:sz w:val="20"/>
        </w:rPr>
        <w:t>ermanente para este programa.  Mediante la utilización eficaz y eficiente de sus recursos, este</w:t>
      </w:r>
      <w:r w:rsidRPr="00C0445C">
        <w:rPr>
          <w:bCs/>
          <w:sz w:val="20"/>
        </w:rPr>
        <w:t xml:space="preserve"> programa</w:t>
      </w:r>
      <w:r>
        <w:rPr>
          <w:bCs/>
          <w:sz w:val="20"/>
        </w:rPr>
        <w:t xml:space="preserve"> seguirá velando por la s</w:t>
      </w:r>
      <w:r w:rsidRPr="00C0445C">
        <w:rPr>
          <w:bCs/>
          <w:sz w:val="20"/>
        </w:rPr>
        <w:t>eguridad de las partes interesadas/clientes (personal, visitantes y delegados) en los locales de la OMPI y en las actividades organizadas por la OMPI en el exterior, y la protección general del patrimonio de la OMPI en proporción a las amenazas que pesan sobre la Organización.</w:t>
      </w:r>
    </w:p>
    <w:p w:rsidR="00E10A93" w:rsidRPr="00C0445C" w:rsidRDefault="00E10A93" w:rsidP="00E10A93">
      <w:pPr>
        <w:tabs>
          <w:tab w:val="num" w:pos="709"/>
        </w:tabs>
        <w:jc w:val="both"/>
        <w:rPr>
          <w:bCs/>
          <w:sz w:val="20"/>
        </w:rPr>
      </w:pPr>
    </w:p>
    <w:p w:rsidR="00E10A93" w:rsidRPr="00891EBF" w:rsidRDefault="00E10A93" w:rsidP="00D41E6A">
      <w:pPr>
        <w:numPr>
          <w:ilvl w:val="0"/>
          <w:numId w:val="47"/>
        </w:numPr>
        <w:jc w:val="both"/>
        <w:rPr>
          <w:bCs/>
          <w:sz w:val="20"/>
        </w:rPr>
      </w:pPr>
      <w:r w:rsidRPr="00891EBF">
        <w:rPr>
          <w:bCs/>
          <w:sz w:val="20"/>
        </w:rPr>
        <w:t xml:space="preserve">A partir de los progresos realizados en el bienio 2012/13, como por ejemplo el </w:t>
      </w:r>
      <w:r>
        <w:rPr>
          <w:bCs/>
          <w:sz w:val="20"/>
        </w:rPr>
        <w:t xml:space="preserve">nuevo centro de control, el programa proseguirá con la puesta en práctica del </w:t>
      </w:r>
      <w:r w:rsidRPr="00BF19BA">
        <w:rPr>
          <w:bCs/>
          <w:sz w:val="20"/>
        </w:rPr>
        <w:t>proyecto de mejora de la seguridad en los locales</w:t>
      </w:r>
      <w:r>
        <w:rPr>
          <w:bCs/>
          <w:sz w:val="20"/>
        </w:rPr>
        <w:t xml:space="preserve"> actuales.  Estas mejoras también serán integradas gradualmente en los proyectos del nuevo edificio.</w:t>
      </w:r>
    </w:p>
    <w:p w:rsidR="00E10A93" w:rsidRPr="00891EBF" w:rsidRDefault="00E10A93" w:rsidP="00E10A93">
      <w:pPr>
        <w:tabs>
          <w:tab w:val="num" w:pos="709"/>
        </w:tabs>
        <w:jc w:val="both"/>
        <w:rPr>
          <w:bCs/>
          <w:sz w:val="20"/>
        </w:rPr>
      </w:pPr>
    </w:p>
    <w:p w:rsidR="00E10A93" w:rsidRPr="00BF19BA" w:rsidRDefault="00E10A93" w:rsidP="00D41E6A">
      <w:pPr>
        <w:numPr>
          <w:ilvl w:val="0"/>
          <w:numId w:val="47"/>
        </w:numPr>
        <w:jc w:val="both"/>
        <w:rPr>
          <w:bCs/>
          <w:sz w:val="20"/>
        </w:rPr>
      </w:pPr>
      <w:r w:rsidRPr="00BF19BA">
        <w:rPr>
          <w:bCs/>
          <w:sz w:val="20"/>
        </w:rPr>
        <w:t xml:space="preserve">Los servicios de seguridad de la </w:t>
      </w:r>
      <w:r>
        <w:rPr>
          <w:bCs/>
          <w:sz w:val="20"/>
        </w:rPr>
        <w:t>OMPI seguirán inspirándose</w:t>
      </w:r>
      <w:r w:rsidR="002C6A72">
        <w:rPr>
          <w:bCs/>
          <w:sz w:val="20"/>
        </w:rPr>
        <w:t xml:space="preserve"> en</w:t>
      </w:r>
      <w:r w:rsidRPr="00BF19BA">
        <w:rPr>
          <w:bCs/>
          <w:sz w:val="20"/>
        </w:rPr>
        <w:t xml:space="preserve"> concepto</w:t>
      </w:r>
      <w:r>
        <w:rPr>
          <w:bCs/>
          <w:sz w:val="20"/>
        </w:rPr>
        <w:t>s y</w:t>
      </w:r>
      <w:r w:rsidRPr="00BF19BA">
        <w:rPr>
          <w:bCs/>
          <w:sz w:val="20"/>
        </w:rPr>
        <w:t xml:space="preserve"> estrategia</w:t>
      </w:r>
      <w:r>
        <w:rPr>
          <w:bCs/>
          <w:sz w:val="20"/>
        </w:rPr>
        <w:t>s</w:t>
      </w:r>
      <w:r w:rsidRPr="00BF19BA">
        <w:rPr>
          <w:bCs/>
          <w:sz w:val="20"/>
        </w:rPr>
        <w:t xml:space="preserve"> globales d</w:t>
      </w:r>
      <w:r>
        <w:rPr>
          <w:bCs/>
          <w:sz w:val="20"/>
        </w:rPr>
        <w:t>e seguridad</w:t>
      </w:r>
      <w:r w:rsidRPr="00BF19BA">
        <w:rPr>
          <w:bCs/>
          <w:sz w:val="20"/>
        </w:rPr>
        <w:t xml:space="preserve"> que sean independientes pero conformes a las normas y directrices del sistema de gestión de la seguridad de los organismos de las NN.UU.</w:t>
      </w:r>
    </w:p>
    <w:p w:rsidR="00E10A93" w:rsidRPr="00BF19BA" w:rsidRDefault="00E10A93" w:rsidP="00E10A93">
      <w:pPr>
        <w:tabs>
          <w:tab w:val="left" w:pos="567"/>
          <w:tab w:val="left" w:pos="1985"/>
        </w:tabs>
        <w:jc w:val="both"/>
        <w:rPr>
          <w:bCs/>
          <w:sz w:val="20"/>
        </w:rPr>
      </w:pPr>
    </w:p>
    <w:p w:rsidR="00E10A93" w:rsidRPr="00BF19BA" w:rsidRDefault="00E10A93" w:rsidP="00E10A93">
      <w:pPr>
        <w:tabs>
          <w:tab w:val="left" w:pos="567"/>
          <w:tab w:val="left" w:pos="1985"/>
        </w:tabs>
        <w:jc w:val="both"/>
        <w:rPr>
          <w:bCs/>
          <w:sz w:val="20"/>
        </w:rPr>
      </w:pPr>
    </w:p>
    <w:p w:rsidR="00E10A93" w:rsidRDefault="00E10A93" w:rsidP="00E10A93">
      <w:pPr>
        <w:tabs>
          <w:tab w:val="left" w:pos="567"/>
          <w:tab w:val="left" w:pos="1985"/>
        </w:tabs>
        <w:jc w:val="both"/>
        <w:rPr>
          <w:bCs/>
          <w:szCs w:val="22"/>
        </w:rPr>
      </w:pPr>
      <w:r>
        <w:rPr>
          <w:szCs w:val="18"/>
        </w:rPr>
        <w:t>ESTRATEGIAS DE EJECUCIÓN</w:t>
      </w:r>
    </w:p>
    <w:p w:rsidR="00E10A93" w:rsidRDefault="00E10A93" w:rsidP="00E10A93">
      <w:pPr>
        <w:tabs>
          <w:tab w:val="left" w:pos="567"/>
          <w:tab w:val="left" w:pos="1985"/>
        </w:tabs>
        <w:jc w:val="both"/>
        <w:rPr>
          <w:bCs/>
          <w:sz w:val="20"/>
        </w:rPr>
      </w:pPr>
    </w:p>
    <w:p w:rsidR="00E10A93" w:rsidRPr="00ED7BFC" w:rsidRDefault="00E10A93" w:rsidP="00D41E6A">
      <w:pPr>
        <w:numPr>
          <w:ilvl w:val="0"/>
          <w:numId w:val="47"/>
        </w:numPr>
        <w:jc w:val="both"/>
        <w:rPr>
          <w:bCs/>
          <w:sz w:val="20"/>
        </w:rPr>
      </w:pPr>
      <w:r w:rsidRPr="003A46AB">
        <w:rPr>
          <w:bCs/>
          <w:sz w:val="20"/>
        </w:rPr>
        <w:t>Los resultados previstos se logrará</w:t>
      </w:r>
      <w:r>
        <w:rPr>
          <w:bCs/>
          <w:sz w:val="20"/>
        </w:rPr>
        <w:t>n</w:t>
      </w:r>
      <w:r w:rsidRPr="003A46AB">
        <w:rPr>
          <w:bCs/>
          <w:sz w:val="20"/>
        </w:rPr>
        <w:t xml:space="preserve"> mediante </w:t>
      </w:r>
      <w:r>
        <w:rPr>
          <w:bCs/>
          <w:sz w:val="20"/>
        </w:rPr>
        <w:t>un enfoque de gestión de los riesgos en materia de seguridad que consiste en realizar un seguimiento continuo de</w:t>
      </w:r>
      <w:r w:rsidRPr="003A46AB">
        <w:rPr>
          <w:bCs/>
          <w:sz w:val="20"/>
        </w:rPr>
        <w:t xml:space="preserve"> las amenazas</w:t>
      </w:r>
      <w:r>
        <w:rPr>
          <w:bCs/>
          <w:sz w:val="20"/>
        </w:rPr>
        <w:t xml:space="preserve"> y riesgos directos o indirectos</w:t>
      </w:r>
      <w:r w:rsidRPr="003A46AB">
        <w:rPr>
          <w:bCs/>
          <w:sz w:val="20"/>
        </w:rPr>
        <w:t xml:space="preserve"> con el fin de reducir la probabilidad de que se materialicen en perjuicio del personal o el patrimonio de la Organización.</w:t>
      </w:r>
      <w:r>
        <w:rPr>
          <w:bCs/>
          <w:sz w:val="20"/>
        </w:rPr>
        <w:t xml:space="preserve">  </w:t>
      </w:r>
      <w:r w:rsidRPr="00ED7BFC">
        <w:rPr>
          <w:bCs/>
          <w:sz w:val="20"/>
        </w:rPr>
        <w:t xml:space="preserve">Se tratará en particular de la aplicación </w:t>
      </w:r>
      <w:r>
        <w:rPr>
          <w:bCs/>
          <w:sz w:val="20"/>
        </w:rPr>
        <w:t>y/</w:t>
      </w:r>
      <w:r w:rsidRPr="00ED7BFC">
        <w:rPr>
          <w:bCs/>
          <w:sz w:val="20"/>
        </w:rPr>
        <w:t>o seguimiento de procedimientos y políticas</w:t>
      </w:r>
      <w:r>
        <w:rPr>
          <w:bCs/>
          <w:sz w:val="20"/>
        </w:rPr>
        <w:t xml:space="preserve">, </w:t>
      </w:r>
      <w:r w:rsidRPr="00ED7BFC">
        <w:rPr>
          <w:bCs/>
          <w:sz w:val="20"/>
        </w:rPr>
        <w:t>así como del suministro de formac</w:t>
      </w:r>
      <w:r>
        <w:rPr>
          <w:bCs/>
          <w:sz w:val="20"/>
        </w:rPr>
        <w:t xml:space="preserve">ión con el fin de sensibilizar a </w:t>
      </w:r>
      <w:r w:rsidRPr="00ED7BFC">
        <w:rPr>
          <w:bCs/>
          <w:sz w:val="20"/>
        </w:rPr>
        <w:t>l</w:t>
      </w:r>
      <w:r>
        <w:rPr>
          <w:bCs/>
          <w:sz w:val="20"/>
        </w:rPr>
        <w:t xml:space="preserve">as partes interesadas/clientes </w:t>
      </w:r>
      <w:r w:rsidRPr="00ED7BFC">
        <w:rPr>
          <w:bCs/>
          <w:sz w:val="20"/>
        </w:rPr>
        <w:t>acerca de las cuestiones de seguridad.</w:t>
      </w:r>
      <w:r>
        <w:rPr>
          <w:bCs/>
          <w:sz w:val="20"/>
        </w:rPr>
        <w:t xml:space="preserve">  </w:t>
      </w:r>
      <w:r w:rsidRPr="00041740">
        <w:rPr>
          <w:bCs/>
          <w:sz w:val="20"/>
        </w:rPr>
        <w:t>Además, los sistemas, equipos y servicios de los locales de la OMPI, sean nuevos o actualizados, contribuirán en gran medida a mejorar la seguridad a largo plazo.</w:t>
      </w:r>
    </w:p>
    <w:p w:rsidR="00E10A93" w:rsidRPr="003A46AB" w:rsidRDefault="00E10A93" w:rsidP="00E10A93">
      <w:pPr>
        <w:tabs>
          <w:tab w:val="left" w:pos="567"/>
          <w:tab w:val="left" w:pos="1985"/>
        </w:tabs>
        <w:jc w:val="both"/>
        <w:rPr>
          <w:bCs/>
          <w:sz w:val="20"/>
        </w:rPr>
      </w:pPr>
    </w:p>
    <w:p w:rsidR="00852CE4" w:rsidRPr="00E10A93" w:rsidRDefault="00852CE4" w:rsidP="009F58E5">
      <w:pPr>
        <w:tabs>
          <w:tab w:val="left" w:pos="567"/>
          <w:tab w:val="left" w:pos="1985"/>
        </w:tabs>
        <w:jc w:val="both"/>
        <w:rPr>
          <w:bCs/>
          <w:szCs w:val="22"/>
        </w:rPr>
      </w:pPr>
    </w:p>
    <w:p w:rsidR="009F58E5" w:rsidRPr="00994766" w:rsidRDefault="009F58E5" w:rsidP="009F58E5">
      <w:pPr>
        <w:tabs>
          <w:tab w:val="left" w:pos="567"/>
          <w:tab w:val="left" w:pos="1985"/>
        </w:tabs>
        <w:jc w:val="both"/>
        <w:rPr>
          <w:bCs/>
          <w:szCs w:val="22"/>
          <w:lang w:val="es-ES_tradnl"/>
        </w:rPr>
      </w:pPr>
      <w:r w:rsidRPr="00994766">
        <w:rPr>
          <w:bCs/>
          <w:szCs w:val="22"/>
          <w:lang w:val="es-ES_tradnl"/>
        </w:rPr>
        <w:t>PRINCIPALES RIESGOS Y ESTRATEGIAS DE MITIGACIÓN</w:t>
      </w:r>
    </w:p>
    <w:p w:rsidR="009F58E5" w:rsidRPr="00994766" w:rsidRDefault="009F58E5" w:rsidP="009F58E5">
      <w:pPr>
        <w:tabs>
          <w:tab w:val="left" w:pos="567"/>
          <w:tab w:val="left" w:pos="1985"/>
        </w:tabs>
        <w:jc w:val="both"/>
        <w:rPr>
          <w:bCs/>
          <w:sz w:val="20"/>
          <w:lang w:val="es-ES_tradnl"/>
        </w:rPr>
      </w:pPr>
    </w:p>
    <w:tbl>
      <w:tblPr>
        <w:tblW w:w="0" w:type="auto"/>
        <w:jc w:val="center"/>
        <w:tblInd w:w="-177"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422"/>
        <w:gridCol w:w="4731"/>
      </w:tblGrid>
      <w:tr w:rsidR="009F58E5" w:rsidRPr="00D41E6A" w:rsidTr="00C665A4">
        <w:trPr>
          <w:trHeight w:val="765"/>
          <w:jc w:val="center"/>
        </w:trPr>
        <w:tc>
          <w:tcPr>
            <w:tcW w:w="4422" w:type="dxa"/>
            <w:tcBorders>
              <w:top w:val="single" w:sz="4" w:space="0" w:color="auto"/>
              <w:bottom w:val="single" w:sz="4" w:space="0" w:color="auto"/>
            </w:tcBorders>
            <w:shd w:val="clear" w:color="auto" w:fill="CCFFFF"/>
            <w:vAlign w:val="center"/>
          </w:tcPr>
          <w:p w:rsidR="009F58E5" w:rsidRPr="00D41E6A" w:rsidRDefault="009F58E5" w:rsidP="008F4F69">
            <w:pPr>
              <w:autoSpaceDE w:val="0"/>
              <w:autoSpaceDN w:val="0"/>
              <w:adjustRightInd w:val="0"/>
              <w:ind w:right="-59"/>
              <w:jc w:val="center"/>
              <w:rPr>
                <w:b/>
                <w:color w:val="000000"/>
                <w:sz w:val="18"/>
                <w:szCs w:val="18"/>
                <w:lang w:val="es-ES_tradnl"/>
              </w:rPr>
            </w:pPr>
            <w:r w:rsidRPr="00D41E6A">
              <w:rPr>
                <w:b/>
                <w:color w:val="000000"/>
                <w:sz w:val="18"/>
                <w:szCs w:val="18"/>
                <w:lang w:val="es-ES_tradnl"/>
              </w:rPr>
              <w:t>Riesgos en el logro de los resultados del programa</w:t>
            </w:r>
          </w:p>
        </w:tc>
        <w:tc>
          <w:tcPr>
            <w:tcW w:w="4731" w:type="dxa"/>
            <w:tcBorders>
              <w:top w:val="single" w:sz="4" w:space="0" w:color="auto"/>
              <w:bottom w:val="single" w:sz="4" w:space="0" w:color="auto"/>
            </w:tcBorders>
            <w:shd w:val="clear" w:color="auto" w:fill="CCFFFF"/>
            <w:vAlign w:val="center"/>
          </w:tcPr>
          <w:p w:rsidR="009F58E5" w:rsidRPr="00D41E6A" w:rsidRDefault="009F58E5" w:rsidP="00C665A4">
            <w:pPr>
              <w:autoSpaceDE w:val="0"/>
              <w:autoSpaceDN w:val="0"/>
              <w:adjustRightInd w:val="0"/>
              <w:ind w:right="-59"/>
              <w:rPr>
                <w:b/>
                <w:color w:val="000000"/>
                <w:sz w:val="18"/>
                <w:szCs w:val="18"/>
                <w:lang w:val="es-ES_tradnl"/>
              </w:rPr>
            </w:pPr>
            <w:r w:rsidRPr="00D41E6A">
              <w:rPr>
                <w:b/>
                <w:color w:val="000000"/>
                <w:sz w:val="18"/>
                <w:szCs w:val="18"/>
                <w:lang w:val="es-ES_tradnl"/>
              </w:rPr>
              <w:t xml:space="preserve">Planes de mitigación ejecutados o en ejecución </w:t>
            </w:r>
          </w:p>
        </w:tc>
      </w:tr>
      <w:tr w:rsidR="009F58E5" w:rsidRPr="00994766" w:rsidTr="00C665A4">
        <w:trPr>
          <w:trHeight w:val="859"/>
          <w:jc w:val="center"/>
        </w:trPr>
        <w:tc>
          <w:tcPr>
            <w:tcW w:w="4422" w:type="dxa"/>
            <w:tcBorders>
              <w:top w:val="single" w:sz="4" w:space="0" w:color="auto"/>
            </w:tcBorders>
            <w:shd w:val="clear" w:color="auto" w:fill="auto"/>
            <w:tcMar>
              <w:top w:w="113" w:type="dxa"/>
            </w:tcMar>
          </w:tcPr>
          <w:p w:rsidR="009F58E5" w:rsidRPr="00994766" w:rsidRDefault="009F58E5" w:rsidP="008F4F69">
            <w:pPr>
              <w:rPr>
                <w:sz w:val="16"/>
                <w:szCs w:val="16"/>
                <w:lang w:val="es-ES_tradnl"/>
              </w:rPr>
            </w:pPr>
            <w:r w:rsidRPr="00994766">
              <w:rPr>
                <w:sz w:val="16"/>
                <w:szCs w:val="16"/>
                <w:lang w:val="es-ES_tradnl"/>
              </w:rPr>
              <w:t>Si no se sustituyen los sistemas y equipos de seguridad anticuados u obsoletos que están instalados en los locales existentes, pueden producirse incidentes que afecten a la seguridad.</w:t>
            </w:r>
          </w:p>
        </w:tc>
        <w:tc>
          <w:tcPr>
            <w:tcW w:w="4731" w:type="dxa"/>
            <w:tcBorders>
              <w:top w:val="single" w:sz="4" w:space="0" w:color="auto"/>
            </w:tcBorders>
            <w:shd w:val="clear" w:color="auto" w:fill="auto"/>
            <w:tcMar>
              <w:top w:w="113" w:type="dxa"/>
            </w:tcMar>
          </w:tcPr>
          <w:p w:rsidR="009F58E5" w:rsidRPr="00994766" w:rsidRDefault="009F58E5" w:rsidP="008F4F69">
            <w:pPr>
              <w:autoSpaceDE w:val="0"/>
              <w:autoSpaceDN w:val="0"/>
              <w:adjustRightInd w:val="0"/>
              <w:ind w:right="108"/>
              <w:rPr>
                <w:sz w:val="16"/>
                <w:szCs w:val="16"/>
                <w:lang w:val="es-ES_tradnl"/>
              </w:rPr>
            </w:pPr>
            <w:r w:rsidRPr="00994766">
              <w:rPr>
                <w:sz w:val="16"/>
                <w:szCs w:val="16"/>
                <w:lang w:val="es-ES_tradnl"/>
              </w:rPr>
              <w:t xml:space="preserve">Gracias al </w:t>
            </w:r>
            <w:r w:rsidRPr="00994766">
              <w:rPr>
                <w:snapToGrid w:val="0"/>
                <w:sz w:val="16"/>
                <w:szCs w:val="16"/>
                <w:lang w:val="es-ES_tradnl"/>
              </w:rPr>
              <w:t>proyecto de mejora de los locales que está en curso de ejecución</w:t>
            </w:r>
            <w:r w:rsidRPr="00994766">
              <w:rPr>
                <w:sz w:val="16"/>
                <w:szCs w:val="16"/>
                <w:lang w:val="es-ES_tradnl"/>
              </w:rPr>
              <w:t xml:space="preserve"> (2012/13), los sistemas y equipos actuales se seguirán desactivando lentamente.  Está previsto que se ejecuten labores de actualización a partir de 2014/15.</w:t>
            </w:r>
          </w:p>
        </w:tc>
      </w:tr>
    </w:tbl>
    <w:p w:rsidR="009F58E5" w:rsidRPr="00994766" w:rsidRDefault="009F58E5" w:rsidP="009F58E5">
      <w:pPr>
        <w:tabs>
          <w:tab w:val="left" w:pos="567"/>
          <w:tab w:val="left" w:pos="1985"/>
        </w:tabs>
        <w:jc w:val="both"/>
        <w:rPr>
          <w:bCs/>
          <w:sz w:val="20"/>
          <w:lang w:val="es-ES_tradnl"/>
        </w:rPr>
      </w:pPr>
    </w:p>
    <w:p w:rsidR="009F58E5" w:rsidRPr="00C75C7E" w:rsidRDefault="009F58E5" w:rsidP="009F58E5">
      <w:pPr>
        <w:tabs>
          <w:tab w:val="left" w:pos="567"/>
          <w:tab w:val="left" w:pos="1985"/>
        </w:tabs>
        <w:jc w:val="both"/>
        <w:rPr>
          <w:bCs/>
          <w:sz w:val="20"/>
          <w:lang w:val="es-ES_tradnl"/>
        </w:rPr>
      </w:pPr>
    </w:p>
    <w:p w:rsidR="009F58E5" w:rsidRPr="00C75C7E" w:rsidRDefault="009F58E5" w:rsidP="009F58E5">
      <w:pPr>
        <w:tabs>
          <w:tab w:val="left" w:pos="567"/>
          <w:tab w:val="left" w:pos="1985"/>
        </w:tabs>
        <w:jc w:val="both"/>
        <w:rPr>
          <w:bCs/>
          <w:sz w:val="20"/>
          <w:lang w:val="es-ES_tradnl"/>
        </w:rPr>
      </w:pPr>
      <w:r w:rsidRPr="00C75C7E">
        <w:rPr>
          <w:bCs/>
          <w:szCs w:val="22"/>
          <w:lang w:val="es-ES_tradnl"/>
        </w:rPr>
        <w:t>MARCO DE RESULTADOS</w:t>
      </w:r>
    </w:p>
    <w:p w:rsidR="009F58E5" w:rsidRPr="00C75C7E" w:rsidRDefault="009F58E5" w:rsidP="009F58E5">
      <w:pPr>
        <w:tabs>
          <w:tab w:val="left" w:pos="567"/>
          <w:tab w:val="left" w:pos="1985"/>
        </w:tabs>
        <w:jc w:val="both"/>
        <w:rPr>
          <w:bCs/>
          <w:sz w:val="20"/>
          <w:lang w:val="es-ES_tradnl"/>
        </w:rPr>
      </w:pPr>
    </w:p>
    <w:tbl>
      <w:tblPr>
        <w:tblW w:w="4855"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80"/>
        <w:gridCol w:w="2763"/>
        <w:gridCol w:w="2110"/>
        <w:gridCol w:w="1865"/>
      </w:tblGrid>
      <w:tr w:rsidR="009F58E5" w:rsidRPr="00C75C7E" w:rsidTr="008F43DB">
        <w:trPr>
          <w:cantSplit/>
          <w:trHeight w:val="605"/>
          <w:tblHeader/>
        </w:trPr>
        <w:tc>
          <w:tcPr>
            <w:tcW w:w="1264"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532"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sz w:val="18"/>
                <w:szCs w:val="18"/>
                <w:lang w:val="es-ES_tradnl"/>
              </w:rPr>
            </w:pPr>
            <w:r w:rsidRPr="00C75C7E">
              <w:rPr>
                <w:b/>
                <w:sz w:val="18"/>
                <w:szCs w:val="18"/>
                <w:lang w:val="es-ES_tradnl"/>
              </w:rPr>
              <w:t>Indicadores de rendimiento</w:t>
            </w:r>
          </w:p>
        </w:tc>
        <w:tc>
          <w:tcPr>
            <w:tcW w:w="1170" w:type="pct"/>
            <w:tcBorders>
              <w:top w:val="single" w:sz="4" w:space="0" w:color="auto"/>
              <w:bottom w:val="single" w:sz="4" w:space="0" w:color="auto"/>
            </w:tcBorders>
            <w:shd w:val="clear" w:color="auto" w:fill="CCFFFF"/>
            <w:tcMar>
              <w:top w:w="113" w:type="dxa"/>
            </w:tcMar>
            <w:vAlign w:val="center"/>
          </w:tcPr>
          <w:p w:rsidR="009F58E5" w:rsidRPr="00C75C7E" w:rsidRDefault="009F58E5" w:rsidP="00C665A4">
            <w:pPr>
              <w:spacing w:after="120"/>
              <w:ind w:left="85"/>
              <w:rPr>
                <w:sz w:val="18"/>
                <w:szCs w:val="18"/>
                <w:lang w:val="es-ES_tradnl"/>
              </w:rPr>
            </w:pPr>
            <w:r w:rsidRPr="00C75C7E">
              <w:rPr>
                <w:b/>
                <w:bCs/>
                <w:sz w:val="18"/>
                <w:szCs w:val="18"/>
                <w:lang w:val="es-ES_tradnl"/>
              </w:rPr>
              <w:t>Referencia</w:t>
            </w:r>
          </w:p>
        </w:tc>
        <w:tc>
          <w:tcPr>
            <w:tcW w:w="1034" w:type="pct"/>
            <w:tcBorders>
              <w:top w:val="single" w:sz="4" w:space="0" w:color="auto"/>
              <w:bottom w:val="single" w:sz="4" w:space="0" w:color="auto"/>
            </w:tcBorders>
            <w:shd w:val="clear" w:color="auto" w:fill="CCFFFF"/>
            <w:tcMar>
              <w:top w:w="113" w:type="dxa"/>
            </w:tcMar>
            <w:vAlign w:val="center"/>
          </w:tcPr>
          <w:p w:rsidR="009F58E5" w:rsidRPr="00C75C7E" w:rsidRDefault="009F58E5" w:rsidP="00C665A4">
            <w:pPr>
              <w:keepNext/>
              <w:keepLines/>
              <w:tabs>
                <w:tab w:val="left" w:pos="1648"/>
              </w:tabs>
              <w:spacing w:after="120"/>
              <w:ind w:right="271"/>
              <w:rPr>
                <w:b/>
                <w:bCs/>
                <w:sz w:val="18"/>
                <w:szCs w:val="18"/>
                <w:lang w:val="es-ES_tradnl"/>
              </w:rPr>
            </w:pPr>
            <w:r w:rsidRPr="00C75C7E">
              <w:rPr>
                <w:b/>
                <w:bCs/>
                <w:sz w:val="18"/>
                <w:szCs w:val="18"/>
                <w:lang w:val="es-ES_tradnl"/>
              </w:rPr>
              <w:t>Objetivos</w:t>
            </w:r>
          </w:p>
        </w:tc>
      </w:tr>
      <w:tr w:rsidR="009F58E5" w:rsidRPr="00C75C7E" w:rsidTr="008F4F69">
        <w:trPr>
          <w:cantSplit/>
        </w:trPr>
        <w:tc>
          <w:tcPr>
            <w:tcW w:w="1264" w:type="pct"/>
            <w:vMerge w:val="restar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 xml:space="preserve">IX.4. Una Organización responsable con el medio ambiente y la sociedad en la que se garantiza la seguridad del personal de la OMPI, los delegados, los </w:t>
            </w:r>
            <w:r w:rsidRPr="00C75C7E">
              <w:rPr>
                <w:sz w:val="16"/>
                <w:szCs w:val="16"/>
                <w:lang w:val="es-ES_tradnl"/>
              </w:rPr>
              <w:lastRenderedPageBreak/>
              <w:t>visitantes, la información y los activos físicos.</w:t>
            </w:r>
          </w:p>
        </w:tc>
        <w:tc>
          <w:tcPr>
            <w:tcW w:w="1532" w:type="pc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lastRenderedPageBreak/>
              <w:t>Porcentaje de miembros del personal, delegados y visitantes que notifican lesiones o incidentes relacionados con el entorno laboral.</w:t>
            </w:r>
          </w:p>
        </w:tc>
        <w:tc>
          <w:tcPr>
            <w:tcW w:w="1170" w:type="pct"/>
            <w:tcBorders>
              <w:top w:val="single" w:sz="4" w:space="0" w:color="auto"/>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El 2% o un porcentaje menor del total de partes interesadas / clientes notifican lesiones o incidentes relacionados con el entorno laboral.</w:t>
            </w:r>
          </w:p>
        </w:tc>
        <w:tc>
          <w:tcPr>
            <w:tcW w:w="1034" w:type="pct"/>
            <w:tcBorders>
              <w:top w:val="single" w:sz="4" w:space="0" w:color="auto"/>
            </w:tcBorders>
            <w:shd w:val="clear" w:color="auto" w:fill="auto"/>
            <w:tcMar>
              <w:top w:w="113" w:type="dxa"/>
            </w:tcMar>
          </w:tcPr>
          <w:p w:rsidR="009F58E5" w:rsidRPr="00C75C7E" w:rsidRDefault="009F58E5" w:rsidP="008F4F69">
            <w:pPr>
              <w:keepNext/>
              <w:keepLines/>
              <w:ind w:right="381"/>
              <w:rPr>
                <w:bCs/>
                <w:sz w:val="16"/>
                <w:szCs w:val="16"/>
                <w:lang w:val="es-ES_tradnl"/>
              </w:rPr>
            </w:pPr>
            <w:r w:rsidRPr="00C75C7E">
              <w:rPr>
                <w:bCs/>
                <w:sz w:val="16"/>
                <w:szCs w:val="16"/>
                <w:lang w:val="es-ES_tradnl"/>
              </w:rPr>
              <w:t>2% o menos.</w:t>
            </w:r>
          </w:p>
        </w:tc>
      </w:tr>
      <w:tr w:rsidR="009F58E5" w:rsidRPr="00C75C7E" w:rsidTr="008F4F69">
        <w:trPr>
          <w:cantSplit/>
          <w:trHeight w:val="1377"/>
        </w:trPr>
        <w:tc>
          <w:tcPr>
            <w:tcW w:w="1264" w:type="pct"/>
            <w:vMerge/>
            <w:shd w:val="clear" w:color="auto" w:fill="auto"/>
            <w:tcMar>
              <w:top w:w="113" w:type="dxa"/>
            </w:tcMar>
          </w:tcPr>
          <w:p w:rsidR="009F58E5" w:rsidRPr="00C75C7E" w:rsidRDefault="009F58E5" w:rsidP="008F4F69">
            <w:pPr>
              <w:rPr>
                <w:sz w:val="16"/>
                <w:szCs w:val="16"/>
                <w:lang w:val="es-ES_tradnl"/>
              </w:rPr>
            </w:pPr>
          </w:p>
        </w:tc>
        <w:tc>
          <w:tcPr>
            <w:tcW w:w="1532"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Porcentaje de peticiones de asistencia relativa a la seguridad atendidas puntualmente en las conferencias o actividades organizadas en Ginebra o en otros lugares.</w:t>
            </w:r>
          </w:p>
        </w:tc>
        <w:tc>
          <w:tcPr>
            <w:tcW w:w="1170" w:type="pct"/>
            <w:shd w:val="clear" w:color="auto" w:fill="FFFFFF"/>
            <w:tcMar>
              <w:top w:w="113" w:type="dxa"/>
            </w:tcMar>
          </w:tcPr>
          <w:p w:rsidR="009F58E5" w:rsidRPr="00C75C7E" w:rsidRDefault="009F58E5" w:rsidP="008F4F69">
            <w:pPr>
              <w:rPr>
                <w:sz w:val="16"/>
                <w:szCs w:val="16"/>
                <w:lang w:val="es-ES_tradnl" w:bidi="th-TH"/>
              </w:rPr>
            </w:pPr>
            <w:r w:rsidRPr="00C75C7E">
              <w:rPr>
                <w:sz w:val="16"/>
                <w:szCs w:val="16"/>
                <w:lang w:val="es-ES_tradnl" w:bidi="th-TH"/>
              </w:rPr>
              <w:t>El 65% o un porcentaje mayor del total de partes interesadas / clientes reciben puntualmente asistencia relativa a la seguridad en las conferencias o actividades organizadas en Ginebra o en otros lugares.</w:t>
            </w:r>
          </w:p>
        </w:tc>
        <w:tc>
          <w:tcPr>
            <w:tcW w:w="1034" w:type="pct"/>
            <w:shd w:val="clear" w:color="auto" w:fill="auto"/>
            <w:tcMar>
              <w:top w:w="113" w:type="dxa"/>
            </w:tcMar>
          </w:tcPr>
          <w:p w:rsidR="009F58E5" w:rsidRPr="00C75C7E" w:rsidRDefault="009F58E5" w:rsidP="008F4F69">
            <w:pPr>
              <w:keepNext/>
              <w:keepLines/>
              <w:tabs>
                <w:tab w:val="left" w:pos="2051"/>
              </w:tabs>
              <w:ind w:right="381"/>
              <w:rPr>
                <w:bCs/>
                <w:sz w:val="16"/>
                <w:szCs w:val="16"/>
                <w:lang w:val="es-ES_tradnl"/>
              </w:rPr>
            </w:pPr>
            <w:r w:rsidRPr="00C75C7E">
              <w:rPr>
                <w:bCs/>
                <w:sz w:val="16"/>
                <w:szCs w:val="16"/>
                <w:lang w:val="es-ES_tradnl"/>
              </w:rPr>
              <w:t>80 % o más.</w:t>
            </w:r>
          </w:p>
        </w:tc>
      </w:tr>
    </w:tbl>
    <w:p w:rsidR="009F58E5" w:rsidRPr="00C75C7E" w:rsidRDefault="009F58E5" w:rsidP="009F58E5">
      <w:pPr>
        <w:rPr>
          <w:sz w:val="20"/>
          <w:lang w:val="es-ES_tradnl"/>
        </w:rPr>
      </w:pPr>
    </w:p>
    <w:p w:rsidR="00E10A93" w:rsidRPr="003F4AA7" w:rsidRDefault="00E10A93" w:rsidP="00E10A93">
      <w:pPr>
        <w:rPr>
          <w:sz w:val="20"/>
        </w:rPr>
      </w:pPr>
    </w:p>
    <w:p w:rsidR="00E10A93" w:rsidRPr="003F4AA7" w:rsidRDefault="00E10A93" w:rsidP="00E10A93">
      <w:pPr>
        <w:keepNext/>
        <w:keepLines/>
        <w:autoSpaceDE w:val="0"/>
        <w:autoSpaceDN w:val="0"/>
        <w:adjustRightInd w:val="0"/>
        <w:jc w:val="both"/>
        <w:rPr>
          <w:szCs w:val="22"/>
        </w:rPr>
      </w:pPr>
      <w:r w:rsidRPr="00ED24BB">
        <w:rPr>
          <w:szCs w:val="22"/>
        </w:rPr>
        <w:t>RECURSOS PARA EL PROGRAMA</w:t>
      </w:r>
      <w:r w:rsidRPr="003F4AA7">
        <w:rPr>
          <w:szCs w:val="22"/>
        </w:rPr>
        <w:t xml:space="preserve"> 28</w:t>
      </w:r>
    </w:p>
    <w:p w:rsidR="00E10A93" w:rsidRPr="003F4AA7" w:rsidRDefault="00E10A93" w:rsidP="00E10A93">
      <w:pPr>
        <w:keepNext/>
        <w:keepLines/>
        <w:autoSpaceDE w:val="0"/>
        <w:autoSpaceDN w:val="0"/>
        <w:adjustRightInd w:val="0"/>
        <w:rPr>
          <w:sz w:val="20"/>
        </w:rPr>
      </w:pPr>
    </w:p>
    <w:p w:rsidR="00E10A93" w:rsidRPr="00184970" w:rsidRDefault="00E10A93" w:rsidP="00D41E6A">
      <w:pPr>
        <w:numPr>
          <w:ilvl w:val="0"/>
          <w:numId w:val="47"/>
        </w:numPr>
        <w:jc w:val="both"/>
        <w:rPr>
          <w:sz w:val="20"/>
        </w:rPr>
      </w:pPr>
      <w:r w:rsidRPr="00505ADE">
        <w:rPr>
          <w:sz w:val="20"/>
        </w:rPr>
        <w:t>Los recurs</w:t>
      </w:r>
      <w:r>
        <w:rPr>
          <w:sz w:val="20"/>
        </w:rPr>
        <w:t xml:space="preserve">os asignados al resultado IX.4 </w:t>
      </w:r>
      <w:r w:rsidRPr="00505ADE">
        <w:rPr>
          <w:sz w:val="20"/>
        </w:rPr>
        <w:t>(</w:t>
      </w:r>
      <w:r>
        <w:rPr>
          <w:sz w:val="20"/>
        </w:rPr>
        <w:t xml:space="preserve">Una Organización </w:t>
      </w:r>
      <w:r w:rsidRPr="00505ADE">
        <w:rPr>
          <w:sz w:val="20"/>
        </w:rPr>
        <w:t>responsable con el medio</w:t>
      </w:r>
      <w:r>
        <w:rPr>
          <w:sz w:val="20"/>
        </w:rPr>
        <w:t xml:space="preserve"> ambiente y la </w:t>
      </w:r>
      <w:r w:rsidRPr="00505ADE">
        <w:rPr>
          <w:sz w:val="20"/>
        </w:rPr>
        <w:t>sociedad en la</w:t>
      </w:r>
      <w:r>
        <w:rPr>
          <w:sz w:val="20"/>
        </w:rPr>
        <w:t xml:space="preserve"> </w:t>
      </w:r>
      <w:r w:rsidRPr="00505ADE">
        <w:rPr>
          <w:sz w:val="20"/>
        </w:rPr>
        <w:t>que se garantiza la</w:t>
      </w:r>
      <w:r>
        <w:rPr>
          <w:sz w:val="20"/>
        </w:rPr>
        <w:t xml:space="preserve"> </w:t>
      </w:r>
      <w:r w:rsidRPr="00505ADE">
        <w:rPr>
          <w:sz w:val="20"/>
        </w:rPr>
        <w:t>seguridad del personal de la</w:t>
      </w:r>
      <w:r>
        <w:rPr>
          <w:sz w:val="20"/>
        </w:rPr>
        <w:t xml:space="preserve"> </w:t>
      </w:r>
      <w:r w:rsidRPr="00505ADE">
        <w:rPr>
          <w:sz w:val="20"/>
        </w:rPr>
        <w:t>OMPI, los delegados, los</w:t>
      </w:r>
      <w:r>
        <w:rPr>
          <w:sz w:val="20"/>
        </w:rPr>
        <w:t xml:space="preserve"> visitantes, la </w:t>
      </w:r>
      <w:r w:rsidRPr="00505ADE">
        <w:rPr>
          <w:sz w:val="20"/>
        </w:rPr>
        <w:t>información y</w:t>
      </w:r>
      <w:r>
        <w:rPr>
          <w:sz w:val="20"/>
        </w:rPr>
        <w:t xml:space="preserve"> </w:t>
      </w:r>
      <w:r w:rsidRPr="00505ADE">
        <w:rPr>
          <w:sz w:val="20"/>
        </w:rPr>
        <w:t>los activos físicos</w:t>
      </w:r>
      <w:r>
        <w:rPr>
          <w:sz w:val="20"/>
        </w:rPr>
        <w:t>) se mantienen en gran parte estables en esta propuesta de presupuesto 2014/15</w:t>
      </w:r>
      <w:r w:rsidRPr="00505ADE">
        <w:rPr>
          <w:sz w:val="20"/>
        </w:rPr>
        <w:t>.</w:t>
      </w:r>
      <w:r>
        <w:rPr>
          <w:sz w:val="20"/>
        </w:rPr>
        <w:t xml:space="preserve">  En concordancia con las medidas </w:t>
      </w:r>
      <w:r w:rsidRPr="00184970">
        <w:rPr>
          <w:sz w:val="20"/>
        </w:rPr>
        <w:t>de</w:t>
      </w:r>
      <w:r>
        <w:rPr>
          <w:sz w:val="20"/>
        </w:rPr>
        <w:t xml:space="preserve">stinadas a fomentar la eficacia </w:t>
      </w:r>
      <w:r w:rsidRPr="00184970">
        <w:rPr>
          <w:sz w:val="20"/>
        </w:rPr>
        <w:t>en</w:t>
      </w:r>
      <w:r>
        <w:rPr>
          <w:sz w:val="20"/>
        </w:rPr>
        <w:t xml:space="preserve"> función de los costos, se han realizado esfuerzos conscientes para contener cualquier aumento en los contratos relativos a la seguridad, lo que se ha traducido en la prestación más</w:t>
      </w:r>
      <w:r w:rsidRPr="00184970">
        <w:rPr>
          <w:sz w:val="20"/>
        </w:rPr>
        <w:t xml:space="preserve"> eficaz en función de los costos</w:t>
      </w:r>
      <w:r>
        <w:rPr>
          <w:sz w:val="20"/>
        </w:rPr>
        <w:t xml:space="preserve"> de servicios de seguridad para la Organización.</w:t>
      </w:r>
    </w:p>
    <w:p w:rsidR="00E10A93" w:rsidRPr="00505ADE" w:rsidRDefault="00E10A93" w:rsidP="00E10A93">
      <w:pPr>
        <w:jc w:val="both"/>
        <w:rPr>
          <w:sz w:val="20"/>
        </w:rPr>
      </w:pPr>
    </w:p>
    <w:p w:rsidR="00E10A93" w:rsidRPr="00E10A93" w:rsidRDefault="00E10A93" w:rsidP="009F58E5">
      <w:pPr>
        <w:rPr>
          <w:sz w:val="20"/>
          <w:highlight w:val="yellow"/>
        </w:rPr>
      </w:pPr>
    </w:p>
    <w:p w:rsidR="009F58E5" w:rsidRPr="00C75C7E" w:rsidRDefault="00C665A4" w:rsidP="009F58E5">
      <w:pPr>
        <w:keepNext/>
        <w:keepLines/>
        <w:autoSpaceDE w:val="0"/>
        <w:autoSpaceDN w:val="0"/>
        <w:adjustRightInd w:val="0"/>
        <w:ind w:firstLine="567"/>
        <w:jc w:val="center"/>
        <w:rPr>
          <w:b/>
          <w:bCs/>
          <w:iCs/>
          <w:sz w:val="20"/>
          <w:lang w:val="es-ES_tradnl"/>
        </w:rPr>
      </w:pPr>
      <w:r>
        <w:rPr>
          <w:b/>
          <w:bCs/>
          <w:iCs/>
          <w:sz w:val="20"/>
          <w:lang w:val="es-ES_tradnl"/>
        </w:rPr>
        <w:t>Programa 28</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Pr="00C75C7E" w:rsidRDefault="009F58E5" w:rsidP="009F58E5">
      <w:pPr>
        <w:keepNext/>
        <w:rPr>
          <w:sz w:val="20"/>
          <w:lang w:val="es-ES_tradnl"/>
        </w:rPr>
      </w:pPr>
    </w:p>
    <w:p w:rsidR="009F58E5" w:rsidRPr="00C75C7E" w:rsidRDefault="00C40A11" w:rsidP="009F58E5">
      <w:pPr>
        <w:keepNext/>
        <w:rPr>
          <w:sz w:val="20"/>
          <w:lang w:val="es-ES_tradnl"/>
        </w:rPr>
      </w:pPr>
      <w:r>
        <w:rPr>
          <w:noProof/>
          <w:lang w:val="en-US" w:eastAsia="en-US"/>
        </w:rPr>
        <w:drawing>
          <wp:inline distT="0" distB="0" distL="0" distR="0" wp14:anchorId="07A4005C" wp14:editId="39AE849E">
            <wp:extent cx="5752465" cy="1330960"/>
            <wp:effectExtent l="0" t="0" r="635" b="2540"/>
            <wp:docPr id="82"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752465" cy="1330960"/>
                    </a:xfrm>
                    <a:prstGeom prst="rect">
                      <a:avLst/>
                    </a:prstGeom>
                    <a:noFill/>
                    <a:ln>
                      <a:noFill/>
                    </a:ln>
                  </pic:spPr>
                </pic:pic>
              </a:graphicData>
            </a:graphic>
          </wp:inline>
        </w:drawing>
      </w:r>
    </w:p>
    <w:p w:rsidR="009F58E5" w:rsidRPr="00C75C7E" w:rsidRDefault="009F58E5" w:rsidP="009F58E5">
      <w:pPr>
        <w:keepNext/>
        <w:rPr>
          <w:sz w:val="20"/>
          <w:lang w:val="es-ES_tradnl"/>
        </w:rPr>
      </w:pPr>
    </w:p>
    <w:p w:rsidR="009F58E5" w:rsidRPr="00C75C7E" w:rsidRDefault="009F58E5" w:rsidP="009F58E5">
      <w:pPr>
        <w:keepNext/>
        <w:keepLines/>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sidR="00CD7492">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9F58E5">
      <w:pPr>
        <w:rPr>
          <w:sz w:val="20"/>
          <w:lang w:val="es-ES_tradnl"/>
        </w:rPr>
      </w:pPr>
    </w:p>
    <w:p w:rsidR="009F58E5" w:rsidRPr="00C75C7E" w:rsidRDefault="009F58E5" w:rsidP="009F58E5">
      <w:pPr>
        <w:rPr>
          <w:sz w:val="20"/>
          <w:highlight w:val="yellow"/>
          <w:lang w:val="es-ES_tradnl"/>
        </w:rPr>
      </w:pPr>
    </w:p>
    <w:p w:rsidR="009F58E5" w:rsidRPr="00C75C7E" w:rsidRDefault="003F16E0" w:rsidP="009F58E5">
      <w:pPr>
        <w:keepNext/>
        <w:keepLines/>
        <w:autoSpaceDE w:val="0"/>
        <w:autoSpaceDN w:val="0"/>
        <w:adjustRightInd w:val="0"/>
        <w:ind w:firstLine="567"/>
        <w:jc w:val="center"/>
        <w:rPr>
          <w:b/>
          <w:bCs/>
          <w:iCs/>
          <w:sz w:val="20"/>
          <w:lang w:val="es-ES_tradnl"/>
        </w:rPr>
      </w:pPr>
      <w:r>
        <w:rPr>
          <w:b/>
          <w:bCs/>
          <w:iCs/>
          <w:sz w:val="20"/>
          <w:lang w:val="es-ES_tradnl"/>
        </w:rPr>
        <w:lastRenderedPageBreak/>
        <w:t>Programa 28</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9F58E5">
      <w:pPr>
        <w:keepNext/>
        <w:keepLines/>
        <w:jc w:val="center"/>
        <w:rPr>
          <w:i/>
          <w:sz w:val="18"/>
          <w:szCs w:val="18"/>
          <w:lang w:val="es-ES_tradnl"/>
        </w:rPr>
      </w:pPr>
    </w:p>
    <w:p w:rsidR="00EA4CD8" w:rsidRPr="00C75C7E" w:rsidRDefault="00C40A11" w:rsidP="009F58E5">
      <w:pPr>
        <w:keepNext/>
        <w:keepLines/>
        <w:jc w:val="center"/>
        <w:rPr>
          <w:i/>
          <w:sz w:val="18"/>
          <w:szCs w:val="18"/>
          <w:lang w:val="es-ES_tradnl"/>
        </w:rPr>
      </w:pPr>
      <w:r>
        <w:rPr>
          <w:noProof/>
          <w:lang w:val="en-US" w:eastAsia="en-US"/>
        </w:rPr>
        <w:drawing>
          <wp:inline distT="0" distB="0" distL="0" distR="0" wp14:anchorId="772267E7" wp14:editId="7DF90632">
            <wp:extent cx="5936615" cy="5739130"/>
            <wp:effectExtent l="0" t="0" r="698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EA4CD8" w:rsidRDefault="00EA4CD8" w:rsidP="009F58E5">
      <w:pPr>
        <w:keepNext/>
        <w:keepLines/>
        <w:rPr>
          <w:sz w:val="16"/>
          <w:szCs w:val="16"/>
          <w:lang w:val="es-ES_tradnl"/>
        </w:rPr>
      </w:pPr>
    </w:p>
    <w:p w:rsidR="009F58E5" w:rsidRPr="00C75C7E" w:rsidRDefault="009F58E5" w:rsidP="009F58E5">
      <w:pPr>
        <w:keepNext/>
        <w:keepLines/>
        <w:rPr>
          <w:sz w:val="16"/>
          <w:szCs w:val="16"/>
          <w:lang w:val="es-ES_tradnl"/>
        </w:rPr>
      </w:pPr>
      <w:r w:rsidRPr="00C75C7E">
        <w:rPr>
          <w:sz w:val="16"/>
          <w:szCs w:val="16"/>
          <w:lang w:val="es-ES_tradnl"/>
        </w:rPr>
        <w:t>Notas:</w:t>
      </w:r>
    </w:p>
    <w:p w:rsidR="009F58E5" w:rsidRPr="00C75C7E" w:rsidRDefault="009F58E5" w:rsidP="009F58E5">
      <w:pPr>
        <w:keepNext/>
        <w:keepLines/>
        <w:rPr>
          <w:sz w:val="16"/>
          <w:szCs w:val="16"/>
          <w:u w:val="single"/>
          <w:lang w:val="es-ES_tradnl"/>
        </w:rPr>
      </w:pPr>
    </w:p>
    <w:p w:rsidR="009F58E5" w:rsidRPr="00C75C7E" w:rsidRDefault="00CD7492" w:rsidP="009F58E5">
      <w:pPr>
        <w:keepNext/>
        <w:keepLines/>
        <w:spacing w:after="120"/>
        <w:rPr>
          <w:sz w:val="16"/>
          <w:szCs w:val="16"/>
          <w:lang w:val="es-ES_tradnl"/>
        </w:rPr>
      </w:pPr>
      <w:r>
        <w:rPr>
          <w:sz w:val="16"/>
          <w:szCs w:val="16"/>
          <w:lang w:val="es-ES_tradnl"/>
        </w:rPr>
        <w:t xml:space="preserve">1)  </w:t>
      </w:r>
      <w:r w:rsidR="009F58E5" w:rsidRPr="00C75C7E">
        <w:rPr>
          <w:sz w:val="16"/>
          <w:szCs w:val="16"/>
          <w:lang w:val="es-ES_tradnl"/>
        </w:rPr>
        <w:t xml:space="preserve">El presupuesto aprobado de 2012/13 y el presupuesto de dicho bienio después de las transferencias se </w:t>
      </w:r>
      <w:proofErr w:type="spellStart"/>
      <w:r w:rsidR="009F58E5" w:rsidRPr="00C75C7E">
        <w:rPr>
          <w:sz w:val="16"/>
          <w:szCs w:val="16"/>
          <w:lang w:val="es-ES_tradnl"/>
        </w:rPr>
        <w:t>reexpresan</w:t>
      </w:r>
      <w:proofErr w:type="spellEnd"/>
      <w:r w:rsidR="009F58E5" w:rsidRPr="00C75C7E">
        <w:rPr>
          <w:sz w:val="16"/>
          <w:szCs w:val="16"/>
          <w:lang w:val="es-ES_tradnl"/>
        </w:rPr>
        <w:t xml:space="preserve"> sobre la base de la estructura de categorías de costos propuesta para 2014/15.</w:t>
      </w:r>
    </w:p>
    <w:p w:rsidR="009F58E5" w:rsidRPr="00C75C7E" w:rsidRDefault="009F58E5" w:rsidP="009F58E5">
      <w:pPr>
        <w:keepNext/>
        <w:keepLines/>
        <w:spacing w:after="120"/>
        <w:rPr>
          <w:sz w:val="16"/>
          <w:szCs w:val="16"/>
          <w:lang w:val="es-ES_tradnl"/>
        </w:rPr>
      </w:pPr>
      <w:r>
        <w:rPr>
          <w:sz w:val="16"/>
          <w:szCs w:val="16"/>
          <w:lang w:val="es-ES_tradnl"/>
        </w:rPr>
        <w:t>2)</w:t>
      </w:r>
      <w:r w:rsidR="00CD7492">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w:t>
      </w:r>
      <w:r w:rsidR="00D724E6">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Pr="00C75C7E" w:rsidRDefault="009F58E5" w:rsidP="009F58E5">
      <w:pPr>
        <w:keepNext/>
        <w:keepLines/>
        <w:spacing w:after="120"/>
        <w:rPr>
          <w:sz w:val="20"/>
          <w:highlight w:val="yellow"/>
          <w:lang w:val="es-ES_tradnl"/>
        </w:rPr>
      </w:pPr>
      <w:r>
        <w:rPr>
          <w:sz w:val="16"/>
          <w:szCs w:val="16"/>
          <w:lang w:val="es-ES_tradnl"/>
        </w:rPr>
        <w:t>3)</w:t>
      </w:r>
      <w:r w:rsidR="00626827">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E10A93" w:rsidRPr="008F43DB" w:rsidRDefault="009F58E5" w:rsidP="008F43DB">
      <w:pPr>
        <w:pStyle w:val="Heading3"/>
        <w:tabs>
          <w:tab w:val="left" w:pos="1985"/>
        </w:tabs>
        <w:rPr>
          <w:b/>
          <w:u w:val="none"/>
          <w:lang w:val="es-ES_tradnl"/>
        </w:rPr>
      </w:pPr>
      <w:r w:rsidRPr="00C75C7E">
        <w:rPr>
          <w:sz w:val="20"/>
          <w:lang w:val="es-ES_tradnl"/>
        </w:rPr>
        <w:br w:type="page"/>
      </w:r>
      <w:bookmarkStart w:id="101" w:name="_Toc356567784"/>
      <w:bookmarkStart w:id="102" w:name="_Toc366078753"/>
      <w:r w:rsidR="008F43DB" w:rsidRPr="008F43DB">
        <w:rPr>
          <w:b/>
          <w:u w:val="none"/>
          <w:lang w:val="es-ES_tradnl"/>
        </w:rPr>
        <w:lastRenderedPageBreak/>
        <w:t>PROGRAMA 29</w:t>
      </w:r>
      <w:r w:rsidR="008F43DB" w:rsidRPr="008F43DB">
        <w:rPr>
          <w:b/>
          <w:u w:val="none"/>
          <w:lang w:val="es-ES_tradnl"/>
        </w:rPr>
        <w:tab/>
      </w:r>
      <w:bookmarkEnd w:id="101"/>
      <w:r w:rsidR="008F43DB" w:rsidRPr="008F43DB">
        <w:rPr>
          <w:b/>
          <w:u w:val="none"/>
          <w:lang w:val="es-ES_tradnl"/>
        </w:rPr>
        <w:t>NUEVA SALA DE CONFERENCIAS</w:t>
      </w:r>
      <w:bookmarkEnd w:id="102"/>
    </w:p>
    <w:p w:rsidR="00E10A93" w:rsidRPr="008F43DB" w:rsidRDefault="00E10A93" w:rsidP="008F43DB">
      <w:pPr>
        <w:pStyle w:val="BodyTextIndent"/>
        <w:ind w:left="1985" w:hanging="1985"/>
        <w:jc w:val="both"/>
        <w:rPr>
          <w:rFonts w:ascii="Arial" w:hAnsi="Arial" w:cs="Arial"/>
          <w:sz w:val="22"/>
          <w:szCs w:val="22"/>
          <w:lang w:val="es-ES"/>
        </w:rPr>
      </w:pPr>
    </w:p>
    <w:p w:rsidR="00E10A93" w:rsidRPr="00F13E91" w:rsidRDefault="00E10A93" w:rsidP="00E10A93">
      <w:pPr>
        <w:rPr>
          <w:sz w:val="20"/>
        </w:rPr>
      </w:pPr>
    </w:p>
    <w:p w:rsidR="00E10A93" w:rsidRPr="00F13E91" w:rsidRDefault="00E10A93" w:rsidP="00E10A93">
      <w:pPr>
        <w:pStyle w:val="BodyTextIndent"/>
        <w:ind w:left="1985" w:hanging="1985"/>
        <w:jc w:val="both"/>
        <w:rPr>
          <w:rFonts w:ascii="Arial" w:hAnsi="Arial" w:cs="Arial"/>
          <w:sz w:val="22"/>
          <w:szCs w:val="22"/>
          <w:lang w:val="es-ES"/>
        </w:rPr>
      </w:pPr>
      <w:r w:rsidRPr="00762D10">
        <w:rPr>
          <w:rFonts w:ascii="Arial" w:hAnsi="Arial" w:cs="Arial"/>
          <w:sz w:val="22"/>
          <w:szCs w:val="22"/>
          <w:lang w:val="es-ES"/>
        </w:rPr>
        <w:t>CONTEXTO DE PLANIFICACI</w:t>
      </w:r>
      <w:r>
        <w:rPr>
          <w:rFonts w:ascii="Arial" w:hAnsi="Arial" w:cs="Arial"/>
          <w:sz w:val="22"/>
          <w:szCs w:val="22"/>
          <w:lang w:val="es-ES"/>
        </w:rPr>
        <w:t>ÓN</w:t>
      </w:r>
    </w:p>
    <w:p w:rsidR="00E10A93" w:rsidRPr="00F13E91" w:rsidRDefault="00E10A93" w:rsidP="00E10A93">
      <w:pPr>
        <w:rPr>
          <w:sz w:val="20"/>
        </w:rPr>
      </w:pPr>
    </w:p>
    <w:p w:rsidR="00E10A93" w:rsidRPr="00F13E91" w:rsidRDefault="00E10A93" w:rsidP="00D41E6A">
      <w:pPr>
        <w:numPr>
          <w:ilvl w:val="0"/>
          <w:numId w:val="48"/>
        </w:numPr>
        <w:jc w:val="both"/>
        <w:rPr>
          <w:sz w:val="20"/>
        </w:rPr>
      </w:pPr>
      <w:r w:rsidRPr="00F13E91">
        <w:rPr>
          <w:sz w:val="20"/>
        </w:rPr>
        <w:t>Durante el bienio 2014/15 se prestará especial atenci</w:t>
      </w:r>
      <w:r>
        <w:rPr>
          <w:sz w:val="20"/>
        </w:rPr>
        <w:t xml:space="preserve">ón a la conclusión de la construcción de la nueva sala de conferencias y del </w:t>
      </w:r>
      <w:r w:rsidRPr="003B2BF9">
        <w:rPr>
          <w:sz w:val="20"/>
        </w:rPr>
        <w:t>vestíbulo de acceso</w:t>
      </w:r>
      <w:r>
        <w:rPr>
          <w:sz w:val="20"/>
        </w:rPr>
        <w:t>, así como a</w:t>
      </w:r>
      <w:r w:rsidRPr="00B633EF">
        <w:rPr>
          <w:sz w:val="20"/>
        </w:rPr>
        <w:t xml:space="preserve"> </w:t>
      </w:r>
      <w:r>
        <w:rPr>
          <w:sz w:val="20"/>
        </w:rPr>
        <w:t xml:space="preserve">las </w:t>
      </w:r>
      <w:r w:rsidRPr="00B633EF">
        <w:rPr>
          <w:sz w:val="20"/>
        </w:rPr>
        <w:t>renovaciones importantes</w:t>
      </w:r>
      <w:r>
        <w:rPr>
          <w:sz w:val="20"/>
        </w:rPr>
        <w:t xml:space="preserve"> que se realizarán</w:t>
      </w:r>
      <w:r w:rsidRPr="00B633EF">
        <w:rPr>
          <w:sz w:val="20"/>
        </w:rPr>
        <w:t xml:space="preserve"> en varios pisos inferiores del edificio AB</w:t>
      </w:r>
      <w:r>
        <w:rPr>
          <w:sz w:val="20"/>
        </w:rPr>
        <w:t xml:space="preserve">, de conformidad con los requisitos de calidad y dentro de </w:t>
      </w:r>
      <w:r w:rsidRPr="00572038">
        <w:rPr>
          <w:sz w:val="20"/>
        </w:rPr>
        <w:t>los límites presupuestarios</w:t>
      </w:r>
      <w:r>
        <w:rPr>
          <w:sz w:val="20"/>
        </w:rPr>
        <w:t>, en virtud del calendario revisado después de que la OMPI retomara el proyecto a raíz de la rescisión amistosa</w:t>
      </w:r>
      <w:r w:rsidRPr="00572038">
        <w:rPr>
          <w:sz w:val="20"/>
        </w:rPr>
        <w:t xml:space="preserve"> </w:t>
      </w:r>
      <w:r>
        <w:rPr>
          <w:sz w:val="20"/>
        </w:rPr>
        <w:t>del</w:t>
      </w:r>
      <w:r w:rsidRPr="00572038">
        <w:rPr>
          <w:sz w:val="20"/>
        </w:rPr>
        <w:t xml:space="preserve"> contrato con el </w:t>
      </w:r>
      <w:r>
        <w:rPr>
          <w:sz w:val="20"/>
        </w:rPr>
        <w:t xml:space="preserve">antiguo </w:t>
      </w:r>
      <w:r w:rsidRPr="00572038">
        <w:rPr>
          <w:sz w:val="20"/>
        </w:rPr>
        <w:t>contratista general</w:t>
      </w:r>
      <w:r>
        <w:rPr>
          <w:sz w:val="20"/>
        </w:rPr>
        <w:t>.</w:t>
      </w:r>
    </w:p>
    <w:p w:rsidR="00E10A93" w:rsidRPr="00F13E91" w:rsidRDefault="00E10A93" w:rsidP="00E10A93">
      <w:pPr>
        <w:ind w:left="6"/>
        <w:jc w:val="both"/>
        <w:rPr>
          <w:sz w:val="20"/>
        </w:rPr>
      </w:pPr>
    </w:p>
    <w:p w:rsidR="00E10A93" w:rsidRPr="003B55B1" w:rsidRDefault="00E10A93" w:rsidP="00D41E6A">
      <w:pPr>
        <w:numPr>
          <w:ilvl w:val="0"/>
          <w:numId w:val="48"/>
        </w:numPr>
        <w:jc w:val="both"/>
        <w:rPr>
          <w:sz w:val="20"/>
        </w:rPr>
      </w:pPr>
      <w:r w:rsidRPr="0004586C">
        <w:rPr>
          <w:sz w:val="20"/>
        </w:rPr>
        <w:t>Se espera</w:t>
      </w:r>
      <w:r w:rsidRPr="003B55B1">
        <w:rPr>
          <w:sz w:val="20"/>
        </w:rPr>
        <w:t xml:space="preserve"> </w:t>
      </w:r>
      <w:r>
        <w:rPr>
          <w:sz w:val="20"/>
        </w:rPr>
        <w:t xml:space="preserve">que </w:t>
      </w:r>
      <w:r w:rsidRPr="003B55B1">
        <w:rPr>
          <w:sz w:val="20"/>
        </w:rPr>
        <w:t>además de</w:t>
      </w:r>
      <w:r>
        <w:rPr>
          <w:sz w:val="20"/>
        </w:rPr>
        <w:t xml:space="preserve"> las</w:t>
      </w:r>
      <w:r w:rsidRPr="003B55B1">
        <w:rPr>
          <w:sz w:val="20"/>
        </w:rPr>
        <w:t xml:space="preserve"> reuniones y actividades organizadas por la OMPI</w:t>
      </w:r>
      <w:r>
        <w:rPr>
          <w:sz w:val="20"/>
        </w:rPr>
        <w:t>, la nueva sala de conferencias pueda acoger, a partir de 2015, otras actividades organizadas por los Estados miembros</w:t>
      </w:r>
      <w:r w:rsidRPr="003B55B1">
        <w:rPr>
          <w:sz w:val="20"/>
        </w:rPr>
        <w:t xml:space="preserve">, </w:t>
      </w:r>
      <w:r>
        <w:rPr>
          <w:sz w:val="20"/>
        </w:rPr>
        <w:t>las OIG y otras entidades.</w:t>
      </w:r>
      <w:r w:rsidRPr="003B55B1">
        <w:rPr>
          <w:sz w:val="20"/>
        </w:rPr>
        <w:t xml:space="preserve"> </w:t>
      </w:r>
    </w:p>
    <w:p w:rsidR="00E10A93" w:rsidRPr="003B55B1" w:rsidRDefault="00E10A93" w:rsidP="00E10A93">
      <w:pPr>
        <w:tabs>
          <w:tab w:val="left" w:pos="567"/>
          <w:tab w:val="left" w:pos="1985"/>
        </w:tabs>
        <w:jc w:val="both"/>
        <w:rPr>
          <w:bCs/>
          <w:sz w:val="20"/>
        </w:rPr>
      </w:pPr>
    </w:p>
    <w:p w:rsidR="00E10A93" w:rsidRPr="003B55B1" w:rsidRDefault="00E10A93" w:rsidP="00E10A93">
      <w:pPr>
        <w:tabs>
          <w:tab w:val="left" w:pos="567"/>
          <w:tab w:val="left" w:pos="1985"/>
        </w:tabs>
        <w:jc w:val="both"/>
        <w:rPr>
          <w:bCs/>
          <w:sz w:val="20"/>
        </w:rPr>
      </w:pPr>
    </w:p>
    <w:p w:rsidR="00E10A93" w:rsidRPr="00902692" w:rsidRDefault="00E10A93" w:rsidP="00E10A93">
      <w:pPr>
        <w:tabs>
          <w:tab w:val="left" w:pos="567"/>
          <w:tab w:val="left" w:pos="1985"/>
        </w:tabs>
        <w:jc w:val="both"/>
        <w:rPr>
          <w:bCs/>
          <w:szCs w:val="22"/>
        </w:rPr>
      </w:pPr>
      <w:r>
        <w:rPr>
          <w:szCs w:val="18"/>
        </w:rPr>
        <w:t>ESTRATEGIAS DE EJECUCIÓN</w:t>
      </w:r>
    </w:p>
    <w:p w:rsidR="00E10A93" w:rsidRDefault="00E10A93" w:rsidP="00E10A93">
      <w:pPr>
        <w:tabs>
          <w:tab w:val="left" w:pos="567"/>
          <w:tab w:val="left" w:pos="1985"/>
        </w:tabs>
        <w:jc w:val="both"/>
        <w:rPr>
          <w:bCs/>
          <w:sz w:val="20"/>
        </w:rPr>
      </w:pPr>
    </w:p>
    <w:p w:rsidR="00E10A93" w:rsidRPr="001B3830" w:rsidRDefault="00E10A93" w:rsidP="00D41E6A">
      <w:pPr>
        <w:numPr>
          <w:ilvl w:val="0"/>
          <w:numId w:val="48"/>
        </w:numPr>
        <w:jc w:val="both"/>
        <w:rPr>
          <w:sz w:val="20"/>
        </w:rPr>
      </w:pPr>
      <w:r w:rsidRPr="001B3830">
        <w:rPr>
          <w:sz w:val="20"/>
        </w:rPr>
        <w:t>El proyecto continuará poniéndose en práctica utilizando el ya establecido método de gestión de proyect</w:t>
      </w:r>
      <w:r>
        <w:rPr>
          <w:sz w:val="20"/>
        </w:rPr>
        <w:t>os y la estructura de gobierno (Comité de Construcción,</w:t>
      </w:r>
      <w:r w:rsidRPr="001B3830">
        <w:rPr>
          <w:sz w:val="20"/>
        </w:rPr>
        <w:t xml:space="preserve"> Equipo Interno de Seguimie</w:t>
      </w:r>
      <w:r>
        <w:rPr>
          <w:sz w:val="20"/>
        </w:rPr>
        <w:t xml:space="preserve">nto del Proyecto y </w:t>
      </w:r>
      <w:r w:rsidR="001B15D7">
        <w:rPr>
          <w:sz w:val="20"/>
        </w:rPr>
        <w:t>Piloto</w:t>
      </w:r>
      <w:r>
        <w:rPr>
          <w:sz w:val="20"/>
        </w:rPr>
        <w:t>), así como la nueva estructura de gestión que depende del Comité de Construcción que fue establecido tras la rescisión</w:t>
      </w:r>
      <w:r w:rsidRPr="00572038">
        <w:rPr>
          <w:sz w:val="20"/>
        </w:rPr>
        <w:t xml:space="preserve"> </w:t>
      </w:r>
      <w:r>
        <w:rPr>
          <w:sz w:val="20"/>
        </w:rPr>
        <w:t>del</w:t>
      </w:r>
      <w:r w:rsidRPr="00572038">
        <w:rPr>
          <w:sz w:val="20"/>
        </w:rPr>
        <w:t xml:space="preserve"> contrato con el</w:t>
      </w:r>
      <w:r>
        <w:rPr>
          <w:sz w:val="20"/>
        </w:rPr>
        <w:t xml:space="preserve"> antiguo</w:t>
      </w:r>
      <w:r w:rsidRPr="00572038">
        <w:rPr>
          <w:sz w:val="20"/>
        </w:rPr>
        <w:t xml:space="preserve"> contratista general</w:t>
      </w:r>
      <w:r>
        <w:rPr>
          <w:sz w:val="20"/>
        </w:rPr>
        <w:t xml:space="preserve"> (por ejemplo, la dirección del proyecto,</w:t>
      </w:r>
      <w:r w:rsidRPr="004C69D2">
        <w:rPr>
          <w:sz w:val="20"/>
        </w:rPr>
        <w:t xml:space="preserve"> el Comité de Coordinación</w:t>
      </w:r>
      <w:r>
        <w:rPr>
          <w:sz w:val="20"/>
        </w:rPr>
        <w:t xml:space="preserve"> y la dirección de obras que incluye al arquitecto y </w:t>
      </w:r>
      <w:r w:rsidRPr="009D6305">
        <w:rPr>
          <w:sz w:val="20"/>
        </w:rPr>
        <w:t>los profesionales contratados por la OMPI</w:t>
      </w:r>
      <w:r>
        <w:rPr>
          <w:sz w:val="20"/>
        </w:rPr>
        <w:t xml:space="preserve">).  La mencionada estructura de gobierno se encargará del seguimiento continuo de los riesgos relativos a la calidad de la construcción, al presupuesto y a los </w:t>
      </w:r>
      <w:r w:rsidRPr="00FE1E05">
        <w:rPr>
          <w:sz w:val="20"/>
        </w:rPr>
        <w:t>calendarios revisados de los proyectos</w:t>
      </w:r>
      <w:r>
        <w:rPr>
          <w:sz w:val="20"/>
        </w:rPr>
        <w:t>.</w:t>
      </w:r>
    </w:p>
    <w:p w:rsidR="00E10A93" w:rsidRPr="001B3830" w:rsidRDefault="00E10A93" w:rsidP="00E10A93">
      <w:pPr>
        <w:tabs>
          <w:tab w:val="left" w:pos="1100"/>
          <w:tab w:val="left" w:pos="1800"/>
        </w:tabs>
        <w:jc w:val="both"/>
        <w:rPr>
          <w:sz w:val="20"/>
        </w:rPr>
      </w:pPr>
    </w:p>
    <w:p w:rsidR="00E10A93" w:rsidRPr="00626ACC" w:rsidRDefault="00E10A93" w:rsidP="00D41E6A">
      <w:pPr>
        <w:numPr>
          <w:ilvl w:val="0"/>
          <w:numId w:val="48"/>
        </w:numPr>
        <w:jc w:val="both"/>
        <w:rPr>
          <w:sz w:val="20"/>
        </w:rPr>
      </w:pPr>
      <w:r w:rsidRPr="00626ACC">
        <w:rPr>
          <w:sz w:val="20"/>
        </w:rPr>
        <w:t xml:space="preserve">El programa intensificará la coordinación con los servicios </w:t>
      </w:r>
      <w:r>
        <w:rPr>
          <w:sz w:val="20"/>
        </w:rPr>
        <w:t xml:space="preserve">pertinentes </w:t>
      </w:r>
      <w:r w:rsidRPr="00626ACC">
        <w:rPr>
          <w:sz w:val="20"/>
        </w:rPr>
        <w:t>de la OMPI</w:t>
      </w:r>
      <w:r>
        <w:rPr>
          <w:sz w:val="20"/>
        </w:rPr>
        <w:t xml:space="preserve"> con el fin de optimizar la utilización de las nuevas instalaciones para conferencias para las reuniones y actividades, incluidas aquellas que hayan sido organizadas por otras entidades de las </w:t>
      </w:r>
      <w:r w:rsidRPr="00BF19BA">
        <w:rPr>
          <w:bCs/>
          <w:sz w:val="20"/>
        </w:rPr>
        <w:t>NN.UU.</w:t>
      </w:r>
    </w:p>
    <w:p w:rsidR="00E10A93" w:rsidRPr="00626ACC" w:rsidRDefault="00E10A93" w:rsidP="00E10A93">
      <w:pPr>
        <w:tabs>
          <w:tab w:val="left" w:pos="567"/>
          <w:tab w:val="left" w:pos="1985"/>
        </w:tabs>
        <w:jc w:val="both"/>
        <w:rPr>
          <w:bCs/>
          <w:sz w:val="20"/>
        </w:rPr>
      </w:pPr>
    </w:p>
    <w:p w:rsidR="007531CA" w:rsidRPr="00E10A93" w:rsidRDefault="007531CA" w:rsidP="009F58E5">
      <w:pPr>
        <w:tabs>
          <w:tab w:val="left" w:pos="567"/>
          <w:tab w:val="left" w:pos="1985"/>
        </w:tabs>
        <w:jc w:val="both"/>
        <w:rPr>
          <w:bCs/>
          <w:szCs w:val="22"/>
        </w:rPr>
      </w:pPr>
    </w:p>
    <w:p w:rsidR="009F58E5" w:rsidRPr="00994766" w:rsidRDefault="009F58E5" w:rsidP="009F58E5">
      <w:pPr>
        <w:tabs>
          <w:tab w:val="left" w:pos="567"/>
          <w:tab w:val="left" w:pos="1985"/>
        </w:tabs>
        <w:jc w:val="both"/>
        <w:rPr>
          <w:bCs/>
          <w:szCs w:val="22"/>
          <w:lang w:val="es-ES_tradnl"/>
        </w:rPr>
      </w:pPr>
      <w:r w:rsidRPr="00994766">
        <w:rPr>
          <w:bCs/>
          <w:szCs w:val="22"/>
          <w:lang w:val="es-ES_tradnl"/>
        </w:rPr>
        <w:t>PRINCIPALES RIESGOS Y ESTRATEGIAS DE MITIGACIÓN</w:t>
      </w:r>
    </w:p>
    <w:p w:rsidR="009F58E5" w:rsidRPr="00994766" w:rsidRDefault="009F58E5" w:rsidP="009F58E5">
      <w:pPr>
        <w:tabs>
          <w:tab w:val="left" w:pos="567"/>
          <w:tab w:val="left" w:pos="1985"/>
        </w:tabs>
        <w:jc w:val="both"/>
        <w:rPr>
          <w:bCs/>
          <w:sz w:val="20"/>
          <w:lang w:val="es-ES_tradnl"/>
        </w:rPr>
      </w:pPr>
    </w:p>
    <w:tbl>
      <w:tblPr>
        <w:tblW w:w="0" w:type="auto"/>
        <w:tblInd w:w="108" w:type="dxa"/>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4290"/>
        <w:gridCol w:w="4730"/>
      </w:tblGrid>
      <w:tr w:rsidR="009F58E5" w:rsidRPr="00D41E6A" w:rsidTr="008F4F69">
        <w:trPr>
          <w:trHeight w:val="709"/>
        </w:trPr>
        <w:tc>
          <w:tcPr>
            <w:tcW w:w="4290"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8F4F69">
            <w:pPr>
              <w:autoSpaceDE w:val="0"/>
              <w:autoSpaceDN w:val="0"/>
              <w:adjustRightInd w:val="0"/>
              <w:ind w:right="-59"/>
              <w:jc w:val="center"/>
              <w:rPr>
                <w:b/>
                <w:color w:val="000000"/>
                <w:sz w:val="18"/>
                <w:szCs w:val="18"/>
                <w:lang w:val="es-ES_tradnl"/>
              </w:rPr>
            </w:pPr>
            <w:r w:rsidRPr="00D41E6A">
              <w:rPr>
                <w:b/>
                <w:color w:val="000000"/>
                <w:sz w:val="18"/>
                <w:szCs w:val="18"/>
                <w:lang w:val="es-ES_tradnl"/>
              </w:rPr>
              <w:t>Riesgos en el logro de los resultados del programa</w:t>
            </w:r>
          </w:p>
        </w:tc>
        <w:tc>
          <w:tcPr>
            <w:tcW w:w="4730" w:type="dxa"/>
            <w:tcBorders>
              <w:top w:val="single" w:sz="4" w:space="0" w:color="auto"/>
              <w:bottom w:val="single" w:sz="4" w:space="0" w:color="auto"/>
            </w:tcBorders>
            <w:shd w:val="clear" w:color="auto" w:fill="CCFFFF"/>
            <w:tcMar>
              <w:top w:w="113" w:type="dxa"/>
              <w:bottom w:w="85" w:type="dxa"/>
            </w:tcMar>
            <w:vAlign w:val="center"/>
          </w:tcPr>
          <w:p w:rsidR="009F58E5" w:rsidRPr="00D41E6A" w:rsidRDefault="009F58E5" w:rsidP="008F4F69">
            <w:pPr>
              <w:autoSpaceDE w:val="0"/>
              <w:autoSpaceDN w:val="0"/>
              <w:adjustRightInd w:val="0"/>
              <w:ind w:right="-59"/>
              <w:jc w:val="center"/>
              <w:rPr>
                <w:b/>
                <w:color w:val="000000"/>
                <w:sz w:val="18"/>
                <w:szCs w:val="18"/>
                <w:lang w:val="es-ES_tradnl"/>
              </w:rPr>
            </w:pPr>
            <w:r w:rsidRPr="00D41E6A">
              <w:rPr>
                <w:b/>
                <w:color w:val="000000"/>
                <w:sz w:val="18"/>
                <w:szCs w:val="18"/>
                <w:lang w:val="es-ES_tradnl"/>
              </w:rPr>
              <w:t xml:space="preserve">Planes de mitigación ejecutados o en ejecución </w:t>
            </w:r>
          </w:p>
        </w:tc>
      </w:tr>
      <w:tr w:rsidR="009F58E5" w:rsidRPr="00994766" w:rsidTr="008F4F69">
        <w:trPr>
          <w:trHeight w:val="957"/>
        </w:trPr>
        <w:tc>
          <w:tcPr>
            <w:tcW w:w="4290" w:type="dxa"/>
            <w:tcBorders>
              <w:top w:val="single" w:sz="4" w:space="0" w:color="auto"/>
            </w:tcBorders>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t>Importantes fallos arquitectónicos o de construcción descubiertos durante el período de construcción restante, o posteriormente, impiden o retrasan el uso de la nueva sala de conferencias.</w:t>
            </w:r>
          </w:p>
        </w:tc>
        <w:tc>
          <w:tcPr>
            <w:tcW w:w="4730" w:type="dxa"/>
            <w:tcBorders>
              <w:top w:val="single" w:sz="4" w:space="0" w:color="auto"/>
            </w:tcBorders>
            <w:shd w:val="clear" w:color="auto" w:fill="auto"/>
            <w:tcMar>
              <w:top w:w="113" w:type="dxa"/>
              <w:bottom w:w="85" w:type="dxa"/>
            </w:tcMar>
          </w:tcPr>
          <w:p w:rsidR="009F58E5" w:rsidRPr="00994766" w:rsidRDefault="009F58E5" w:rsidP="008F4F69">
            <w:pPr>
              <w:autoSpaceDE w:val="0"/>
              <w:autoSpaceDN w:val="0"/>
              <w:adjustRightInd w:val="0"/>
              <w:ind w:right="-59"/>
              <w:rPr>
                <w:sz w:val="16"/>
                <w:szCs w:val="16"/>
                <w:lang w:val="es-ES_tradnl"/>
              </w:rPr>
            </w:pPr>
            <w:r w:rsidRPr="00994766">
              <w:rPr>
                <w:sz w:val="16"/>
                <w:szCs w:val="16"/>
                <w:lang w:val="es-ES_tradnl"/>
              </w:rPr>
              <w:t>Se han seleccionado arquitectos y contratistas de alta calidad.  El consorcio de empresas de la madera que cuenta con sus propios ingenieros está compuesto por empresas locales altamente cualificadas y experimentadas.  El jefe de obra ejerce una estrecha supervisión sobre la ejecución del proyecto a intervalos ajustados.</w:t>
            </w:r>
          </w:p>
        </w:tc>
      </w:tr>
    </w:tbl>
    <w:p w:rsidR="009F58E5" w:rsidRPr="00994766" w:rsidRDefault="009F58E5" w:rsidP="009F58E5">
      <w:pPr>
        <w:tabs>
          <w:tab w:val="left" w:pos="567"/>
          <w:tab w:val="left" w:pos="1985"/>
        </w:tabs>
        <w:jc w:val="both"/>
        <w:rPr>
          <w:bCs/>
          <w:sz w:val="20"/>
          <w:lang w:val="es-ES_tradnl"/>
        </w:rPr>
      </w:pPr>
    </w:p>
    <w:p w:rsidR="009F58E5" w:rsidRPr="00C75C7E" w:rsidRDefault="009F58E5" w:rsidP="009F58E5">
      <w:pPr>
        <w:tabs>
          <w:tab w:val="left" w:pos="567"/>
          <w:tab w:val="left" w:pos="1985"/>
        </w:tabs>
        <w:jc w:val="both"/>
        <w:rPr>
          <w:bCs/>
          <w:sz w:val="20"/>
          <w:lang w:val="es-ES_tradnl"/>
        </w:rPr>
      </w:pPr>
    </w:p>
    <w:p w:rsidR="009F58E5" w:rsidRPr="00C75C7E" w:rsidRDefault="009F58E5" w:rsidP="009F58E5">
      <w:pPr>
        <w:tabs>
          <w:tab w:val="left" w:pos="567"/>
          <w:tab w:val="left" w:pos="1985"/>
        </w:tabs>
        <w:jc w:val="both"/>
        <w:rPr>
          <w:bCs/>
          <w:sz w:val="20"/>
          <w:lang w:val="es-ES_tradnl"/>
        </w:rPr>
      </w:pPr>
      <w:r w:rsidRPr="00C75C7E">
        <w:rPr>
          <w:bCs/>
          <w:szCs w:val="22"/>
          <w:lang w:val="es-ES_tradnl"/>
        </w:rPr>
        <w:t>MARCO DE RESULTADOS</w:t>
      </w:r>
    </w:p>
    <w:p w:rsidR="009F58E5" w:rsidRPr="00C75C7E" w:rsidRDefault="009F58E5" w:rsidP="009F58E5">
      <w:pPr>
        <w:tabs>
          <w:tab w:val="left" w:pos="567"/>
          <w:tab w:val="left" w:pos="1985"/>
        </w:tabs>
        <w:jc w:val="both"/>
        <w:rPr>
          <w:bCs/>
          <w:sz w:val="20"/>
          <w:lang w:val="es-ES_tradnl"/>
        </w:rPr>
      </w:pPr>
    </w:p>
    <w:tbl>
      <w:tblPr>
        <w:tblW w:w="4884" w:type="pct"/>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2279"/>
        <w:gridCol w:w="2763"/>
        <w:gridCol w:w="2110"/>
        <w:gridCol w:w="1920"/>
      </w:tblGrid>
      <w:tr w:rsidR="009F58E5" w:rsidRPr="00C75C7E" w:rsidTr="008F4F69">
        <w:trPr>
          <w:cantSplit/>
          <w:trHeight w:val="605"/>
          <w:tblHeader/>
        </w:trPr>
        <w:tc>
          <w:tcPr>
            <w:tcW w:w="1256"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bCs/>
                <w:sz w:val="18"/>
                <w:szCs w:val="18"/>
                <w:lang w:val="es-ES_tradnl"/>
              </w:rPr>
            </w:pPr>
            <w:r w:rsidRPr="00C75C7E">
              <w:rPr>
                <w:b/>
                <w:bCs/>
                <w:sz w:val="18"/>
                <w:szCs w:val="18"/>
                <w:lang w:val="es-ES_tradnl"/>
              </w:rPr>
              <w:t>Resultados previstos</w:t>
            </w:r>
          </w:p>
        </w:tc>
        <w:tc>
          <w:tcPr>
            <w:tcW w:w="1523"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jc w:val="center"/>
              <w:rPr>
                <w:b/>
                <w:sz w:val="18"/>
                <w:szCs w:val="18"/>
                <w:lang w:val="es-ES_tradnl"/>
              </w:rPr>
            </w:pPr>
            <w:r w:rsidRPr="00C75C7E">
              <w:rPr>
                <w:b/>
                <w:sz w:val="18"/>
                <w:szCs w:val="18"/>
                <w:lang w:val="es-ES_tradnl"/>
              </w:rPr>
              <w:t>Indicadores de rendimiento</w:t>
            </w:r>
          </w:p>
        </w:tc>
        <w:tc>
          <w:tcPr>
            <w:tcW w:w="1163"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spacing w:after="120"/>
              <w:ind w:left="85"/>
              <w:jc w:val="center"/>
              <w:rPr>
                <w:sz w:val="18"/>
                <w:szCs w:val="18"/>
                <w:lang w:val="es-ES_tradnl"/>
              </w:rPr>
            </w:pPr>
            <w:r w:rsidRPr="00C75C7E">
              <w:rPr>
                <w:b/>
                <w:bCs/>
                <w:sz w:val="18"/>
                <w:szCs w:val="18"/>
                <w:lang w:val="es-ES_tradnl"/>
              </w:rPr>
              <w:t>Referencia</w:t>
            </w:r>
          </w:p>
        </w:tc>
        <w:tc>
          <w:tcPr>
            <w:tcW w:w="1058" w:type="pct"/>
            <w:tcBorders>
              <w:top w:val="single" w:sz="4" w:space="0" w:color="auto"/>
              <w:bottom w:val="single" w:sz="4" w:space="0" w:color="auto"/>
            </w:tcBorders>
            <w:shd w:val="clear" w:color="auto" w:fill="CCFFFF"/>
            <w:tcMar>
              <w:top w:w="113" w:type="dxa"/>
            </w:tcMar>
            <w:vAlign w:val="center"/>
          </w:tcPr>
          <w:p w:rsidR="009F58E5" w:rsidRPr="00C75C7E" w:rsidRDefault="009F58E5" w:rsidP="008F4F69">
            <w:pPr>
              <w:keepNext/>
              <w:keepLines/>
              <w:tabs>
                <w:tab w:val="left" w:pos="1758"/>
              </w:tabs>
              <w:spacing w:after="120"/>
              <w:ind w:right="161"/>
              <w:jc w:val="center"/>
              <w:rPr>
                <w:b/>
                <w:bCs/>
                <w:sz w:val="18"/>
                <w:szCs w:val="18"/>
                <w:lang w:val="es-ES_tradnl"/>
              </w:rPr>
            </w:pPr>
            <w:r w:rsidRPr="00C75C7E">
              <w:rPr>
                <w:b/>
                <w:bCs/>
                <w:sz w:val="18"/>
                <w:szCs w:val="18"/>
                <w:lang w:val="es-ES_tradnl"/>
              </w:rPr>
              <w:t>Objetivos</w:t>
            </w:r>
          </w:p>
        </w:tc>
      </w:tr>
      <w:tr w:rsidR="009F58E5" w:rsidRPr="00C75C7E" w:rsidTr="008F4F69">
        <w:trPr>
          <w:cantSplit/>
        </w:trPr>
        <w:tc>
          <w:tcPr>
            <w:tcW w:w="1256" w:type="pct"/>
            <w:vMerge w:val="restar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lastRenderedPageBreak/>
              <w:t xml:space="preserve">IX.1   Servicios de </w:t>
            </w:r>
            <w:proofErr w:type="gramStart"/>
            <w:r w:rsidRPr="00C75C7E">
              <w:rPr>
                <w:sz w:val="16"/>
                <w:szCs w:val="16"/>
                <w:lang w:val="es-ES_tradnl"/>
              </w:rPr>
              <w:t>apoyo eficaces, eficientes, de calidad y orientados</w:t>
            </w:r>
            <w:proofErr w:type="gramEnd"/>
            <w:r w:rsidRPr="00C75C7E">
              <w:rPr>
                <w:sz w:val="16"/>
                <w:szCs w:val="16"/>
                <w:lang w:val="es-ES_tradnl"/>
              </w:rPr>
              <w:t xml:space="preserve"> al cliente, tanto a los clientes internos como a las partes interesadas externas.</w:t>
            </w:r>
          </w:p>
        </w:tc>
        <w:tc>
          <w:tcPr>
            <w:tcW w:w="1523" w:type="pct"/>
            <w:tcBorders>
              <w:top w:val="single" w:sz="4" w:space="0" w:color="auto"/>
            </w:tcBorders>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Finalización del proyecto de construcción de la nueva sala de conferencias atendiendo a los requisitos de calidad, de manera puntual y dentro de los límites presupuestarios.</w:t>
            </w:r>
          </w:p>
        </w:tc>
        <w:tc>
          <w:tcPr>
            <w:tcW w:w="1163" w:type="pct"/>
            <w:tcBorders>
              <w:top w:val="single" w:sz="4" w:space="0" w:color="auto"/>
            </w:tcBorders>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Se vela por que se haga entrega de la sala de conferencias dentro de lo presupuestado y con arreglo a la fecha de finalización revisada (debido a la cancelación del contrato con el contratista general) para las Asambleas de los Estados miembros de 2014.</w:t>
            </w:r>
          </w:p>
        </w:tc>
        <w:tc>
          <w:tcPr>
            <w:tcW w:w="1058" w:type="pct"/>
            <w:tcBorders>
              <w:top w:val="single" w:sz="4" w:space="0" w:color="auto"/>
            </w:tcBorders>
            <w:shd w:val="clear" w:color="auto" w:fill="auto"/>
            <w:tcMar>
              <w:top w:w="113" w:type="dxa"/>
            </w:tcMar>
          </w:tcPr>
          <w:p w:rsidR="009F58E5" w:rsidRPr="00C75C7E" w:rsidRDefault="009F58E5" w:rsidP="008F4F69">
            <w:pPr>
              <w:keepNext/>
              <w:keepLines/>
              <w:ind w:right="381"/>
              <w:rPr>
                <w:bCs/>
                <w:sz w:val="16"/>
                <w:szCs w:val="16"/>
                <w:lang w:val="es-ES_tradnl"/>
              </w:rPr>
            </w:pPr>
            <w:r w:rsidRPr="00C75C7E">
              <w:rPr>
                <w:bCs/>
                <w:sz w:val="16"/>
                <w:szCs w:val="16"/>
                <w:lang w:val="es-ES_tradnl"/>
              </w:rPr>
              <w:t>Las Asambleas de los Estados miembros de 2014 se celebrarán en la nueva sala de conferencias.</w:t>
            </w:r>
          </w:p>
        </w:tc>
      </w:tr>
      <w:tr w:rsidR="009F58E5" w:rsidRPr="00C75C7E" w:rsidTr="008F4F69">
        <w:trPr>
          <w:cantSplit/>
        </w:trPr>
        <w:tc>
          <w:tcPr>
            <w:tcW w:w="1256" w:type="pct"/>
            <w:vMerge/>
            <w:shd w:val="clear" w:color="auto" w:fill="auto"/>
            <w:tcMar>
              <w:top w:w="113" w:type="dxa"/>
            </w:tcMar>
          </w:tcPr>
          <w:p w:rsidR="009F58E5" w:rsidRPr="00C75C7E" w:rsidRDefault="009F58E5" w:rsidP="008F4F69">
            <w:pPr>
              <w:rPr>
                <w:sz w:val="16"/>
                <w:szCs w:val="16"/>
                <w:lang w:val="es-ES_tradnl"/>
              </w:rPr>
            </w:pPr>
          </w:p>
        </w:tc>
        <w:tc>
          <w:tcPr>
            <w:tcW w:w="1523"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Uso de la sala de conferencias como lugar preferido para las reuniones y actividades de los Estados miembros.</w:t>
            </w:r>
          </w:p>
        </w:tc>
        <w:tc>
          <w:tcPr>
            <w:tcW w:w="1163"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rPr>
              <w:t>A partir de 2015, peticiones de uso de las instalaciones por los Estados miembros (para reuniones y actividades distintas de las organizadas por la OMPI).</w:t>
            </w:r>
          </w:p>
        </w:tc>
        <w:tc>
          <w:tcPr>
            <w:tcW w:w="1058" w:type="pct"/>
            <w:shd w:val="clear" w:color="auto" w:fill="auto"/>
            <w:tcMar>
              <w:top w:w="113" w:type="dxa"/>
            </w:tcMar>
          </w:tcPr>
          <w:p w:rsidR="009F58E5" w:rsidRPr="00C75C7E" w:rsidRDefault="009F58E5" w:rsidP="008F4F69">
            <w:pPr>
              <w:keepNext/>
              <w:keepLines/>
              <w:tabs>
                <w:tab w:val="left" w:pos="2051"/>
              </w:tabs>
              <w:ind w:right="381"/>
              <w:rPr>
                <w:bCs/>
                <w:sz w:val="16"/>
                <w:szCs w:val="16"/>
                <w:lang w:val="es-ES_tradnl"/>
              </w:rPr>
            </w:pPr>
            <w:r w:rsidRPr="00C75C7E">
              <w:rPr>
                <w:bCs/>
                <w:sz w:val="16"/>
                <w:szCs w:val="16"/>
                <w:lang w:val="es-ES_tradnl"/>
              </w:rPr>
              <w:t>Al menos dos  peticiones anuales de uso de las instalaciones por los Estados miembros u otras organizaciones internacionales  o entidades para la organización de reuniones y actividades (distintas de las organizadas por la OMPI).</w:t>
            </w:r>
          </w:p>
        </w:tc>
      </w:tr>
      <w:tr w:rsidR="009F58E5" w:rsidRPr="00C75C7E" w:rsidTr="008F4F69">
        <w:trPr>
          <w:cantSplit/>
          <w:trHeight w:val="1193"/>
        </w:trPr>
        <w:tc>
          <w:tcPr>
            <w:tcW w:w="1256" w:type="pct"/>
            <w:vMerge w:val="restar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IX.4. Una Organización responsable con el medio ambiente y la sociedad en la que se garantiza la seguridad del personal de la OMPI, los delegados, los visitantes, la información y los activos físicos.</w:t>
            </w:r>
          </w:p>
        </w:tc>
        <w:tc>
          <w:tcPr>
            <w:tcW w:w="1523"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Supervisión de las medidas de acceso físico para velar por que se cumplan plenamente las normas aplicables durante el período de construcción de la nueva sala de conferencias y las instalaciones conexas.</w:t>
            </w:r>
          </w:p>
        </w:tc>
        <w:tc>
          <w:tcPr>
            <w:tcW w:w="1163"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bidi="th-TH"/>
              </w:rPr>
              <w:t>Se establecerá a comienzos de 2014 cuando se haya hecho entrega de la nueva sala de conferencias y sobre la base de la evaluación específica de carácter arquitectónico y técnico realizada en 2013.</w:t>
            </w:r>
          </w:p>
        </w:tc>
        <w:tc>
          <w:tcPr>
            <w:tcW w:w="1058" w:type="pct"/>
            <w:shd w:val="clear" w:color="auto" w:fill="auto"/>
            <w:tcMar>
              <w:top w:w="113" w:type="dxa"/>
            </w:tcMar>
          </w:tcPr>
          <w:p w:rsidR="009F58E5" w:rsidRPr="00C75C7E" w:rsidRDefault="009F58E5" w:rsidP="008F4F69">
            <w:pPr>
              <w:keepNext/>
              <w:keepLines/>
              <w:ind w:right="51"/>
              <w:rPr>
                <w:bCs/>
                <w:sz w:val="16"/>
                <w:szCs w:val="16"/>
                <w:lang w:val="es-ES_tradnl"/>
              </w:rPr>
            </w:pPr>
            <w:r w:rsidRPr="00C75C7E">
              <w:rPr>
                <w:bCs/>
                <w:sz w:val="16"/>
                <w:szCs w:val="16"/>
                <w:lang w:val="es-ES_tradnl"/>
              </w:rPr>
              <w:t>Se establecerá a comienzos de 2014 cuando se haya hecho entrega de la nueva sala de conferencias y sobre la base de la evaluación específica de carácter arquitectónico y técnico realizada en 2013.</w:t>
            </w:r>
          </w:p>
        </w:tc>
      </w:tr>
      <w:tr w:rsidR="009F58E5" w:rsidRPr="00C75C7E" w:rsidTr="008F4F69">
        <w:trPr>
          <w:cantSplit/>
          <w:trHeight w:val="780"/>
        </w:trPr>
        <w:tc>
          <w:tcPr>
            <w:tcW w:w="1256" w:type="pct"/>
            <w:vMerge/>
            <w:shd w:val="clear" w:color="auto" w:fill="auto"/>
            <w:tcMar>
              <w:top w:w="113" w:type="dxa"/>
            </w:tcMar>
          </w:tcPr>
          <w:p w:rsidR="009F58E5" w:rsidRPr="00C75C7E" w:rsidRDefault="009F58E5" w:rsidP="008F4F69">
            <w:pPr>
              <w:rPr>
                <w:sz w:val="16"/>
                <w:szCs w:val="16"/>
                <w:lang w:val="es-ES_tradnl"/>
              </w:rPr>
            </w:pPr>
          </w:p>
        </w:tc>
        <w:tc>
          <w:tcPr>
            <w:tcW w:w="1523"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Supervisión de las medidas aplicadas durante el período de construcción con el fin de respetar el medio ambiente y reducir el consumo de energía.</w:t>
            </w:r>
          </w:p>
        </w:tc>
        <w:tc>
          <w:tcPr>
            <w:tcW w:w="1163" w:type="pct"/>
            <w:shd w:val="clear" w:color="auto" w:fill="FFFFFF"/>
            <w:tcMar>
              <w:top w:w="113" w:type="dxa"/>
            </w:tcMar>
          </w:tcPr>
          <w:p w:rsidR="009F58E5" w:rsidRPr="00C75C7E" w:rsidRDefault="009F58E5" w:rsidP="008F4F69">
            <w:pPr>
              <w:rPr>
                <w:sz w:val="16"/>
                <w:szCs w:val="16"/>
                <w:lang w:val="es-ES_tradnl"/>
              </w:rPr>
            </w:pPr>
            <w:r w:rsidRPr="00C75C7E">
              <w:rPr>
                <w:sz w:val="16"/>
                <w:szCs w:val="16"/>
                <w:lang w:val="es-ES_tradnl" w:bidi="th-TH"/>
              </w:rPr>
              <w:t>Se establecerá a comienzos de 2014 cuando se haya hecho entrega de la nueva sala de conferencias.</w:t>
            </w:r>
          </w:p>
        </w:tc>
        <w:tc>
          <w:tcPr>
            <w:tcW w:w="1058"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Se establecerá a comienzos de 2014 cuando se haya hecho entrega de la nueva sala de conferencias.</w:t>
            </w:r>
          </w:p>
        </w:tc>
      </w:tr>
      <w:tr w:rsidR="009F58E5" w:rsidRPr="00C75C7E" w:rsidTr="008F4F69">
        <w:trPr>
          <w:cantSplit/>
          <w:trHeight w:val="640"/>
        </w:trPr>
        <w:tc>
          <w:tcPr>
            <w:tcW w:w="1256" w:type="pct"/>
            <w:vMerge/>
            <w:shd w:val="clear" w:color="auto" w:fill="auto"/>
            <w:tcMar>
              <w:top w:w="113" w:type="dxa"/>
            </w:tcMar>
          </w:tcPr>
          <w:p w:rsidR="009F58E5" w:rsidRPr="00C75C7E" w:rsidRDefault="009F58E5" w:rsidP="008F4F69">
            <w:pPr>
              <w:rPr>
                <w:sz w:val="16"/>
                <w:szCs w:val="16"/>
                <w:lang w:val="es-ES_tradnl"/>
              </w:rPr>
            </w:pPr>
          </w:p>
        </w:tc>
        <w:tc>
          <w:tcPr>
            <w:tcW w:w="1523" w:type="pct"/>
            <w:shd w:val="clear" w:color="auto" w:fill="auto"/>
            <w:tcMar>
              <w:top w:w="113" w:type="dxa"/>
            </w:tcMar>
          </w:tcPr>
          <w:p w:rsidR="009F58E5" w:rsidRPr="00C75C7E" w:rsidRDefault="009F58E5" w:rsidP="008F4F69">
            <w:pPr>
              <w:rPr>
                <w:sz w:val="16"/>
                <w:szCs w:val="16"/>
                <w:lang w:val="es-ES_tradnl"/>
              </w:rPr>
            </w:pPr>
            <w:r w:rsidRPr="00C75C7E">
              <w:rPr>
                <w:sz w:val="16"/>
                <w:szCs w:val="16"/>
                <w:lang w:val="es-ES_tradnl"/>
              </w:rPr>
              <w:t>Finalización de la aplicación de las medidas de seguridad del perímetro de la nueva sala de conferencias con arreglo a las normas mínimas operativas de seguridad para las sedes de NN.UU.</w:t>
            </w:r>
          </w:p>
        </w:tc>
        <w:tc>
          <w:tcPr>
            <w:tcW w:w="1163" w:type="pct"/>
            <w:shd w:val="clear" w:color="auto" w:fill="FFFFFF"/>
            <w:tcMar>
              <w:top w:w="113" w:type="dxa"/>
            </w:tcMar>
          </w:tcPr>
          <w:p w:rsidR="009F58E5" w:rsidRPr="00C75C7E" w:rsidRDefault="005C037B" w:rsidP="008F4F69">
            <w:pPr>
              <w:rPr>
                <w:sz w:val="16"/>
                <w:szCs w:val="16"/>
                <w:lang w:val="es-ES_tradnl" w:bidi="th-TH"/>
              </w:rPr>
            </w:pPr>
            <w:proofErr w:type="spellStart"/>
            <w:r>
              <w:rPr>
                <w:sz w:val="16"/>
                <w:szCs w:val="16"/>
                <w:lang w:val="es-ES_tradnl" w:bidi="th-TH"/>
              </w:rPr>
              <w:t>N.d</w:t>
            </w:r>
            <w:proofErr w:type="spellEnd"/>
            <w:r>
              <w:rPr>
                <w:sz w:val="16"/>
                <w:szCs w:val="16"/>
                <w:lang w:val="es-ES_tradnl" w:bidi="th-TH"/>
              </w:rPr>
              <w:t>.</w:t>
            </w:r>
          </w:p>
        </w:tc>
        <w:tc>
          <w:tcPr>
            <w:tcW w:w="1058" w:type="pct"/>
            <w:shd w:val="clear" w:color="auto" w:fill="auto"/>
            <w:tcMar>
              <w:top w:w="113" w:type="dxa"/>
            </w:tcMar>
          </w:tcPr>
          <w:p w:rsidR="009F58E5" w:rsidRPr="00C75C7E" w:rsidRDefault="009F58E5" w:rsidP="008F4F69">
            <w:pPr>
              <w:keepNext/>
              <w:keepLines/>
              <w:ind w:right="161"/>
              <w:rPr>
                <w:bCs/>
                <w:sz w:val="16"/>
                <w:szCs w:val="16"/>
                <w:lang w:val="es-ES_tradnl"/>
              </w:rPr>
            </w:pPr>
            <w:r w:rsidRPr="00C75C7E">
              <w:rPr>
                <w:bCs/>
                <w:sz w:val="16"/>
                <w:szCs w:val="16"/>
                <w:lang w:val="es-ES_tradnl"/>
              </w:rPr>
              <w:t>Finalización de la aplicación de las medidas de seguridad del perímetro con arreglo a las normas mínimas operativas de seguridad para las sedes de NN.UU. a fines de 2015.</w:t>
            </w:r>
          </w:p>
        </w:tc>
      </w:tr>
    </w:tbl>
    <w:p w:rsidR="009F58E5" w:rsidRPr="00C75C7E" w:rsidRDefault="009F58E5" w:rsidP="009F58E5">
      <w:pPr>
        <w:rPr>
          <w:sz w:val="20"/>
          <w:lang w:val="es-ES_tradnl"/>
        </w:rPr>
      </w:pPr>
      <w:bookmarkStart w:id="103" w:name="a"/>
      <w:bookmarkStart w:id="104" w:name="b"/>
      <w:bookmarkStart w:id="105" w:name="c"/>
      <w:bookmarkStart w:id="106" w:name="d"/>
      <w:bookmarkStart w:id="107" w:name="e"/>
      <w:bookmarkStart w:id="108" w:name="f"/>
      <w:bookmarkEnd w:id="103"/>
      <w:bookmarkEnd w:id="104"/>
      <w:bookmarkEnd w:id="105"/>
      <w:bookmarkEnd w:id="106"/>
      <w:bookmarkEnd w:id="107"/>
      <w:bookmarkEnd w:id="108"/>
    </w:p>
    <w:p w:rsidR="00E10A93" w:rsidRPr="003F4AA7" w:rsidRDefault="00E10A93" w:rsidP="00E10A93">
      <w:pPr>
        <w:rPr>
          <w:sz w:val="20"/>
        </w:rPr>
      </w:pPr>
    </w:p>
    <w:p w:rsidR="00E10A93" w:rsidRPr="003F4AA7" w:rsidRDefault="00E10A93" w:rsidP="00E10A93">
      <w:pPr>
        <w:keepNext/>
        <w:keepLines/>
        <w:autoSpaceDE w:val="0"/>
        <w:autoSpaceDN w:val="0"/>
        <w:adjustRightInd w:val="0"/>
        <w:jc w:val="both"/>
        <w:rPr>
          <w:szCs w:val="22"/>
        </w:rPr>
      </w:pPr>
      <w:r w:rsidRPr="00ED24BB">
        <w:rPr>
          <w:szCs w:val="22"/>
        </w:rPr>
        <w:t>RECURSOS PARA EL PROGRAMA</w:t>
      </w:r>
      <w:r w:rsidRPr="003F4AA7">
        <w:rPr>
          <w:szCs w:val="22"/>
        </w:rPr>
        <w:t xml:space="preserve"> 29</w:t>
      </w:r>
    </w:p>
    <w:p w:rsidR="00E10A93" w:rsidRPr="003F4AA7" w:rsidRDefault="00E10A93" w:rsidP="00E10A93">
      <w:pPr>
        <w:keepNext/>
        <w:keepLines/>
        <w:autoSpaceDE w:val="0"/>
        <w:autoSpaceDN w:val="0"/>
        <w:adjustRightInd w:val="0"/>
        <w:rPr>
          <w:sz w:val="20"/>
        </w:rPr>
      </w:pPr>
    </w:p>
    <w:p w:rsidR="00E10A93" w:rsidRPr="00626ACC" w:rsidRDefault="00E10A93" w:rsidP="00D41E6A">
      <w:pPr>
        <w:numPr>
          <w:ilvl w:val="0"/>
          <w:numId w:val="48"/>
        </w:numPr>
        <w:ind w:left="0"/>
        <w:jc w:val="both"/>
        <w:rPr>
          <w:sz w:val="20"/>
        </w:rPr>
      </w:pPr>
      <w:r w:rsidRPr="00626ACC">
        <w:rPr>
          <w:sz w:val="20"/>
        </w:rPr>
        <w:t>La reducción que figura en el r</w:t>
      </w:r>
      <w:r>
        <w:rPr>
          <w:sz w:val="20"/>
        </w:rPr>
        <w:t>e</w:t>
      </w:r>
      <w:r w:rsidRPr="00626ACC">
        <w:rPr>
          <w:sz w:val="20"/>
        </w:rPr>
        <w:t xml:space="preserve">sultado IX. </w:t>
      </w:r>
      <w:r>
        <w:rPr>
          <w:sz w:val="20"/>
        </w:rPr>
        <w:t xml:space="preserve">(Servicios de apoyo </w:t>
      </w:r>
      <w:r w:rsidRPr="00626ACC">
        <w:rPr>
          <w:sz w:val="20"/>
        </w:rPr>
        <w:t>eficaces, eficientes, de</w:t>
      </w:r>
      <w:r>
        <w:rPr>
          <w:sz w:val="20"/>
        </w:rPr>
        <w:t xml:space="preserve"> calidad y </w:t>
      </w:r>
      <w:r w:rsidRPr="00626ACC">
        <w:rPr>
          <w:sz w:val="20"/>
        </w:rPr>
        <w:t>orientados al</w:t>
      </w:r>
      <w:r>
        <w:rPr>
          <w:sz w:val="20"/>
        </w:rPr>
        <w:t xml:space="preserve"> </w:t>
      </w:r>
      <w:r w:rsidRPr="00626ACC">
        <w:rPr>
          <w:sz w:val="20"/>
        </w:rPr>
        <w:t>cliente</w:t>
      </w:r>
      <w:r>
        <w:rPr>
          <w:sz w:val="20"/>
        </w:rPr>
        <w:t xml:space="preserve">) está relacionada con la transferencia al programa 24 de los fondos para el pago de los intereses del préstamo para la financiación de la construcción de los nuevos edificios, tal como se refleja en la línea “Locales y </w:t>
      </w:r>
      <w:r w:rsidRPr="00E86809">
        <w:rPr>
          <w:sz w:val="20"/>
        </w:rPr>
        <w:t>mantenimiento”</w:t>
      </w:r>
      <w:r w:rsidRPr="00626ACC">
        <w:rPr>
          <w:sz w:val="20"/>
        </w:rPr>
        <w:t>.</w:t>
      </w:r>
    </w:p>
    <w:p w:rsidR="00E10A93" w:rsidRPr="00626ACC" w:rsidRDefault="00E10A93" w:rsidP="00E10A93">
      <w:pPr>
        <w:jc w:val="both"/>
        <w:rPr>
          <w:sz w:val="20"/>
        </w:rPr>
      </w:pPr>
    </w:p>
    <w:p w:rsidR="00E10A93" w:rsidRPr="004A36B4" w:rsidRDefault="00E10A93" w:rsidP="00D41E6A">
      <w:pPr>
        <w:numPr>
          <w:ilvl w:val="0"/>
          <w:numId w:val="48"/>
        </w:numPr>
        <w:ind w:left="0"/>
        <w:jc w:val="both"/>
        <w:rPr>
          <w:sz w:val="20"/>
        </w:rPr>
      </w:pPr>
      <w:r>
        <w:rPr>
          <w:sz w:val="20"/>
        </w:rPr>
        <w:t>Se ha asignado un pequeño aumento a la línea</w:t>
      </w:r>
      <w:r w:rsidRPr="00927E4B">
        <w:rPr>
          <w:sz w:val="20"/>
        </w:rPr>
        <w:t xml:space="preserve"> </w:t>
      </w:r>
      <w:r>
        <w:rPr>
          <w:sz w:val="20"/>
        </w:rPr>
        <w:t>“</w:t>
      </w:r>
      <w:r w:rsidR="001B15D7" w:rsidRPr="00927E4B">
        <w:rPr>
          <w:sz w:val="20"/>
        </w:rPr>
        <w:t xml:space="preserve">Recursos </w:t>
      </w:r>
      <w:r w:rsidRPr="00927E4B">
        <w:rPr>
          <w:sz w:val="20"/>
        </w:rPr>
        <w:t>de personal</w:t>
      </w:r>
      <w:r>
        <w:rPr>
          <w:sz w:val="20"/>
        </w:rPr>
        <w:t>”</w:t>
      </w:r>
      <w:r w:rsidRPr="00927E4B">
        <w:rPr>
          <w:sz w:val="20"/>
        </w:rPr>
        <w:t xml:space="preserve"> en el resultado IX. </w:t>
      </w:r>
      <w:r>
        <w:rPr>
          <w:sz w:val="20"/>
        </w:rPr>
        <w:t xml:space="preserve">4 (Una Organización responsable </w:t>
      </w:r>
      <w:r w:rsidRPr="00927E4B">
        <w:rPr>
          <w:sz w:val="20"/>
        </w:rPr>
        <w:t>con el medio</w:t>
      </w:r>
      <w:r>
        <w:rPr>
          <w:sz w:val="20"/>
        </w:rPr>
        <w:t xml:space="preserve"> </w:t>
      </w:r>
      <w:r w:rsidRPr="00927E4B">
        <w:rPr>
          <w:sz w:val="20"/>
        </w:rPr>
        <w:t>ambiente y la sociedad en la</w:t>
      </w:r>
      <w:r>
        <w:rPr>
          <w:sz w:val="20"/>
        </w:rPr>
        <w:t xml:space="preserve"> </w:t>
      </w:r>
      <w:r w:rsidRPr="00927E4B">
        <w:rPr>
          <w:sz w:val="20"/>
        </w:rPr>
        <w:t>que se garantiza la</w:t>
      </w:r>
      <w:r>
        <w:rPr>
          <w:sz w:val="20"/>
        </w:rPr>
        <w:t xml:space="preserve"> </w:t>
      </w:r>
      <w:r w:rsidRPr="00927E4B">
        <w:rPr>
          <w:sz w:val="20"/>
        </w:rPr>
        <w:t>seguridad del personal de la</w:t>
      </w:r>
      <w:r>
        <w:rPr>
          <w:sz w:val="20"/>
        </w:rPr>
        <w:t xml:space="preserve"> OMPI, los </w:t>
      </w:r>
      <w:r w:rsidRPr="00927E4B">
        <w:rPr>
          <w:sz w:val="20"/>
        </w:rPr>
        <w:t>delegados, los</w:t>
      </w:r>
      <w:r>
        <w:rPr>
          <w:sz w:val="20"/>
        </w:rPr>
        <w:t xml:space="preserve"> </w:t>
      </w:r>
      <w:r w:rsidRPr="00927E4B">
        <w:rPr>
          <w:sz w:val="20"/>
        </w:rPr>
        <w:t>visitantes, la información y</w:t>
      </w:r>
      <w:r>
        <w:rPr>
          <w:sz w:val="20"/>
        </w:rPr>
        <w:t xml:space="preserve"> </w:t>
      </w:r>
      <w:r w:rsidRPr="00927E4B">
        <w:rPr>
          <w:sz w:val="20"/>
        </w:rPr>
        <w:t>los activos físicos</w:t>
      </w:r>
      <w:r>
        <w:rPr>
          <w:sz w:val="20"/>
        </w:rPr>
        <w:t xml:space="preserve">) </w:t>
      </w:r>
      <w:r>
        <w:rPr>
          <w:sz w:val="20"/>
        </w:rPr>
        <w:lastRenderedPageBreak/>
        <w:t>para seguir velando por el cumplimiento de las exigencias de accesibilidad física, consumo de energía respetuoso del medio ambiente y seguridad de la nueva sala de conferencias</w:t>
      </w:r>
      <w:r w:rsidRPr="00927E4B">
        <w:rPr>
          <w:sz w:val="20"/>
        </w:rPr>
        <w:t>.</w:t>
      </w:r>
    </w:p>
    <w:p w:rsidR="00E10A93" w:rsidRPr="00927E4B" w:rsidRDefault="00E10A93" w:rsidP="00E10A93">
      <w:pPr>
        <w:keepNext/>
        <w:keepLines/>
        <w:autoSpaceDE w:val="0"/>
        <w:autoSpaceDN w:val="0"/>
        <w:adjustRightInd w:val="0"/>
        <w:rPr>
          <w:sz w:val="20"/>
        </w:rPr>
      </w:pPr>
    </w:p>
    <w:p w:rsidR="009F58E5" w:rsidRPr="00E10A93" w:rsidRDefault="009F58E5" w:rsidP="009F58E5">
      <w:pPr>
        <w:rPr>
          <w:sz w:val="20"/>
          <w:highlight w:val="yellow"/>
        </w:rPr>
      </w:pPr>
    </w:p>
    <w:p w:rsidR="009F58E5" w:rsidRPr="00C75C7E" w:rsidRDefault="003F16E0" w:rsidP="009F58E5">
      <w:pPr>
        <w:keepNext/>
        <w:keepLines/>
        <w:autoSpaceDE w:val="0"/>
        <w:autoSpaceDN w:val="0"/>
        <w:adjustRightInd w:val="0"/>
        <w:ind w:firstLine="567"/>
        <w:jc w:val="center"/>
        <w:rPr>
          <w:b/>
          <w:bCs/>
          <w:iCs/>
          <w:sz w:val="20"/>
          <w:lang w:val="es-ES_tradnl"/>
        </w:rPr>
      </w:pPr>
      <w:r>
        <w:rPr>
          <w:b/>
          <w:bCs/>
          <w:iCs/>
          <w:sz w:val="20"/>
          <w:lang w:val="es-ES_tradnl"/>
        </w:rPr>
        <w:t>Programa 29</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resultado</w:t>
      </w:r>
    </w:p>
    <w:p w:rsidR="009F58E5" w:rsidRPr="00C75C7E" w:rsidRDefault="009F58E5" w:rsidP="009F58E5">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Pr="00C75C7E" w:rsidRDefault="009F58E5" w:rsidP="009F58E5">
      <w:pPr>
        <w:keepNext/>
        <w:rPr>
          <w:sz w:val="20"/>
          <w:lang w:val="es-ES_tradnl"/>
        </w:rPr>
      </w:pPr>
    </w:p>
    <w:p w:rsidR="009F58E5" w:rsidRPr="00C75C7E" w:rsidRDefault="00C40A11" w:rsidP="009F58E5">
      <w:pPr>
        <w:keepNext/>
        <w:ind w:left="6"/>
        <w:jc w:val="center"/>
        <w:rPr>
          <w:lang w:val="es-ES_tradnl"/>
        </w:rPr>
      </w:pPr>
      <w:r>
        <w:rPr>
          <w:noProof/>
          <w:lang w:val="en-US" w:eastAsia="en-US"/>
        </w:rPr>
        <w:drawing>
          <wp:inline distT="0" distB="0" distL="0" distR="0" wp14:anchorId="556FA0FA" wp14:editId="367F778E">
            <wp:extent cx="5752465" cy="1883410"/>
            <wp:effectExtent l="0" t="0" r="635" b="2540"/>
            <wp:docPr id="84"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5752465" cy="1883410"/>
                    </a:xfrm>
                    <a:prstGeom prst="rect">
                      <a:avLst/>
                    </a:prstGeom>
                    <a:noFill/>
                    <a:ln>
                      <a:noFill/>
                    </a:ln>
                  </pic:spPr>
                </pic:pic>
              </a:graphicData>
            </a:graphic>
          </wp:inline>
        </w:drawing>
      </w:r>
    </w:p>
    <w:p w:rsidR="009F58E5" w:rsidRPr="00C75C7E" w:rsidRDefault="009F58E5" w:rsidP="009F58E5">
      <w:pPr>
        <w:ind w:left="6"/>
        <w:rPr>
          <w:sz w:val="20"/>
          <w:lang w:val="es-ES_tradnl"/>
        </w:rPr>
      </w:pPr>
    </w:p>
    <w:p w:rsidR="009F58E5" w:rsidRPr="00C75C7E" w:rsidRDefault="009F58E5" w:rsidP="009F58E5">
      <w:pPr>
        <w:keepNext/>
        <w:keepLines/>
        <w:autoSpaceDE w:val="0"/>
        <w:autoSpaceDN w:val="0"/>
        <w:adjustRightInd w:val="0"/>
        <w:rPr>
          <w:sz w:val="20"/>
          <w:lang w:val="es-ES_tradnl"/>
        </w:rPr>
      </w:pPr>
      <w:r w:rsidRPr="00C75C7E">
        <w:rPr>
          <w:sz w:val="16"/>
          <w:szCs w:val="16"/>
          <w:lang w:val="es-ES_tradnl"/>
        </w:rPr>
        <w:t>Nota</w:t>
      </w:r>
      <w:proofErr w:type="gramStart"/>
      <w:r w:rsidRPr="00C75C7E">
        <w:rPr>
          <w:sz w:val="16"/>
          <w:szCs w:val="16"/>
          <w:lang w:val="es-ES_tradnl"/>
        </w:rPr>
        <w:t xml:space="preserve">: </w:t>
      </w:r>
      <w:r>
        <w:rPr>
          <w:sz w:val="16"/>
          <w:szCs w:val="16"/>
          <w:lang w:val="es-ES_tradnl"/>
        </w:rPr>
        <w:t xml:space="preserve"> </w:t>
      </w:r>
      <w:r w:rsidRPr="00C75C7E">
        <w:rPr>
          <w:sz w:val="16"/>
          <w:szCs w:val="16"/>
          <w:lang w:val="es-ES_tradnl"/>
        </w:rPr>
        <w:t>Se</w:t>
      </w:r>
      <w:proofErr w:type="gramEnd"/>
      <w:r w:rsidRPr="00C75C7E">
        <w:rPr>
          <w:sz w:val="16"/>
          <w:szCs w:val="16"/>
          <w:lang w:val="es-ES_tradnl"/>
        </w:rPr>
        <w:t xml:space="preserve"> ha </w:t>
      </w:r>
      <w:proofErr w:type="spellStart"/>
      <w:r w:rsidRPr="00C75C7E">
        <w:rPr>
          <w:sz w:val="16"/>
          <w:szCs w:val="16"/>
          <w:lang w:val="es-ES_tradnl"/>
        </w:rPr>
        <w:t>reexpresado</w:t>
      </w:r>
      <w:proofErr w:type="spellEnd"/>
      <w:r w:rsidRPr="00C75C7E">
        <w:rPr>
          <w:sz w:val="16"/>
          <w:szCs w:val="16"/>
          <w:lang w:val="es-ES_tradnl"/>
        </w:rPr>
        <w:t xml:space="preserve"> el presupuesto aprobado de 2012/13 y el presupuesto de dicho bienio después de las transferencias, por resultado previsto, para reflejar el marco de resultados de la Organización propuesto para 2014/15.</w:t>
      </w:r>
    </w:p>
    <w:p w:rsidR="009F58E5" w:rsidRPr="00C75C7E" w:rsidRDefault="009F58E5" w:rsidP="009F58E5">
      <w:pPr>
        <w:ind w:left="6"/>
        <w:rPr>
          <w:sz w:val="20"/>
          <w:lang w:val="es-ES_tradnl"/>
        </w:rPr>
      </w:pPr>
    </w:p>
    <w:p w:rsidR="009F58E5" w:rsidRPr="00C75C7E" w:rsidRDefault="009F58E5" w:rsidP="009F58E5">
      <w:pPr>
        <w:rPr>
          <w:sz w:val="20"/>
          <w:lang w:val="es-ES_tradnl"/>
        </w:rPr>
      </w:pPr>
    </w:p>
    <w:p w:rsidR="009F58E5" w:rsidRPr="00C75C7E" w:rsidRDefault="003F16E0" w:rsidP="00AA72DC">
      <w:pPr>
        <w:keepNext/>
        <w:keepLines/>
        <w:autoSpaceDE w:val="0"/>
        <w:autoSpaceDN w:val="0"/>
        <w:adjustRightInd w:val="0"/>
        <w:ind w:firstLine="567"/>
        <w:jc w:val="center"/>
        <w:rPr>
          <w:b/>
          <w:bCs/>
          <w:iCs/>
          <w:sz w:val="20"/>
          <w:lang w:val="es-ES_tradnl"/>
        </w:rPr>
      </w:pPr>
      <w:r>
        <w:rPr>
          <w:b/>
          <w:bCs/>
          <w:iCs/>
          <w:sz w:val="20"/>
          <w:lang w:val="es-ES_tradnl"/>
        </w:rPr>
        <w:lastRenderedPageBreak/>
        <w:t>Programa 29</w:t>
      </w:r>
      <w:proofErr w:type="gramStart"/>
      <w:r>
        <w:rPr>
          <w:b/>
          <w:bCs/>
          <w:iCs/>
          <w:sz w:val="20"/>
          <w:lang w:val="es-ES_tradnl"/>
        </w:rPr>
        <w:t xml:space="preserve">:  </w:t>
      </w:r>
      <w:r w:rsidR="009F58E5" w:rsidRPr="00C75C7E">
        <w:rPr>
          <w:b/>
          <w:bCs/>
          <w:iCs/>
          <w:sz w:val="20"/>
          <w:lang w:val="es-ES_tradnl"/>
        </w:rPr>
        <w:t>Recursos</w:t>
      </w:r>
      <w:proofErr w:type="gramEnd"/>
      <w:r w:rsidR="009F58E5" w:rsidRPr="00C75C7E">
        <w:rPr>
          <w:b/>
          <w:bCs/>
          <w:iCs/>
          <w:sz w:val="20"/>
          <w:lang w:val="es-ES_tradnl"/>
        </w:rPr>
        <w:t xml:space="preserve"> por objeto de gasto</w:t>
      </w:r>
    </w:p>
    <w:p w:rsidR="009F58E5" w:rsidRPr="00C75C7E" w:rsidRDefault="009F58E5" w:rsidP="00AA72DC">
      <w:pPr>
        <w:keepNext/>
        <w:keepLines/>
        <w:autoSpaceDE w:val="0"/>
        <w:autoSpaceDN w:val="0"/>
        <w:adjustRightInd w:val="0"/>
        <w:ind w:firstLine="567"/>
        <w:jc w:val="center"/>
        <w:rPr>
          <w:bCs/>
          <w:i/>
          <w:sz w:val="20"/>
          <w:lang w:val="es-ES_tradnl"/>
        </w:rPr>
      </w:pPr>
      <w:r w:rsidRPr="00C75C7E">
        <w:rPr>
          <w:bCs/>
          <w:i/>
          <w:sz w:val="20"/>
          <w:lang w:val="es-ES_tradnl"/>
        </w:rPr>
        <w:t>(</w:t>
      </w:r>
      <w:proofErr w:type="gramStart"/>
      <w:r w:rsidRPr="00C75C7E">
        <w:rPr>
          <w:bCs/>
          <w:i/>
          <w:sz w:val="20"/>
          <w:lang w:val="es-ES_tradnl"/>
        </w:rPr>
        <w:t>en</w:t>
      </w:r>
      <w:proofErr w:type="gramEnd"/>
      <w:r w:rsidRPr="00C75C7E">
        <w:rPr>
          <w:bCs/>
          <w:i/>
          <w:sz w:val="20"/>
          <w:lang w:val="es-ES_tradnl"/>
        </w:rPr>
        <w:t xml:space="preserve"> miles de francos suizos)</w:t>
      </w:r>
    </w:p>
    <w:p w:rsidR="009F58E5" w:rsidRDefault="009F58E5" w:rsidP="00AA72DC">
      <w:pPr>
        <w:keepNext/>
        <w:keepLines/>
        <w:jc w:val="center"/>
        <w:rPr>
          <w:i/>
          <w:sz w:val="18"/>
          <w:szCs w:val="18"/>
          <w:lang w:val="es-ES_tradnl"/>
        </w:rPr>
      </w:pPr>
    </w:p>
    <w:p w:rsidR="00EA4CD8" w:rsidRPr="00C75C7E" w:rsidRDefault="00C40A11" w:rsidP="00AA72DC">
      <w:pPr>
        <w:keepNext/>
        <w:keepLines/>
        <w:jc w:val="center"/>
        <w:rPr>
          <w:i/>
          <w:sz w:val="18"/>
          <w:szCs w:val="18"/>
          <w:lang w:val="es-ES_tradnl"/>
        </w:rPr>
      </w:pPr>
      <w:r>
        <w:rPr>
          <w:noProof/>
          <w:lang w:val="en-US" w:eastAsia="en-US"/>
        </w:rPr>
        <w:drawing>
          <wp:inline distT="0" distB="0" distL="0" distR="0" wp14:anchorId="531A492B" wp14:editId="3275D482">
            <wp:extent cx="5936615" cy="5739130"/>
            <wp:effectExtent l="0" t="0" r="6985"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5936615" cy="5739130"/>
                    </a:xfrm>
                    <a:prstGeom prst="rect">
                      <a:avLst/>
                    </a:prstGeom>
                    <a:noFill/>
                    <a:ln>
                      <a:noFill/>
                    </a:ln>
                  </pic:spPr>
                </pic:pic>
              </a:graphicData>
            </a:graphic>
          </wp:inline>
        </w:drawing>
      </w:r>
    </w:p>
    <w:p w:rsidR="00EA4CD8" w:rsidRDefault="00EA4CD8" w:rsidP="009F58E5">
      <w:pPr>
        <w:keepNext/>
        <w:keepLines/>
        <w:rPr>
          <w:sz w:val="16"/>
          <w:szCs w:val="16"/>
          <w:lang w:val="es-ES_tradnl"/>
        </w:rPr>
      </w:pPr>
    </w:p>
    <w:p w:rsidR="009F58E5" w:rsidRPr="00C75C7E" w:rsidRDefault="009F58E5" w:rsidP="009F58E5">
      <w:pPr>
        <w:keepNext/>
        <w:keepLines/>
        <w:rPr>
          <w:sz w:val="16"/>
          <w:szCs w:val="16"/>
          <w:lang w:val="es-ES_tradnl"/>
        </w:rPr>
      </w:pPr>
      <w:r w:rsidRPr="00C75C7E">
        <w:rPr>
          <w:sz w:val="16"/>
          <w:szCs w:val="16"/>
          <w:lang w:val="es-ES_tradnl"/>
        </w:rPr>
        <w:t>Notas:</w:t>
      </w:r>
    </w:p>
    <w:p w:rsidR="009F58E5" w:rsidRPr="00C75C7E" w:rsidRDefault="009F58E5" w:rsidP="009F58E5">
      <w:pPr>
        <w:keepNext/>
        <w:keepLines/>
        <w:rPr>
          <w:sz w:val="16"/>
          <w:szCs w:val="16"/>
          <w:u w:val="single"/>
          <w:lang w:val="es-ES_tradnl"/>
        </w:rPr>
      </w:pPr>
    </w:p>
    <w:p w:rsidR="009F58E5" w:rsidRPr="00C75C7E" w:rsidRDefault="006D30D1" w:rsidP="009F58E5">
      <w:pPr>
        <w:keepNext/>
        <w:keepLines/>
        <w:spacing w:after="120"/>
        <w:rPr>
          <w:sz w:val="16"/>
          <w:szCs w:val="16"/>
          <w:lang w:val="es-ES_tradnl"/>
        </w:rPr>
      </w:pPr>
      <w:r>
        <w:rPr>
          <w:sz w:val="16"/>
          <w:szCs w:val="16"/>
          <w:lang w:val="es-ES_tradnl"/>
        </w:rPr>
        <w:t xml:space="preserve">1)  </w:t>
      </w:r>
      <w:r w:rsidR="009F58E5" w:rsidRPr="00C75C7E">
        <w:rPr>
          <w:sz w:val="16"/>
          <w:szCs w:val="16"/>
          <w:lang w:val="es-ES_tradnl"/>
        </w:rPr>
        <w:t xml:space="preserve">El presupuesto aprobado de 2012/13 y el presupuesto de dicho bienio después de las transferencias se </w:t>
      </w:r>
      <w:proofErr w:type="spellStart"/>
      <w:r w:rsidR="009F58E5" w:rsidRPr="00C75C7E">
        <w:rPr>
          <w:sz w:val="16"/>
          <w:szCs w:val="16"/>
          <w:lang w:val="es-ES_tradnl"/>
        </w:rPr>
        <w:t>reexpresan</w:t>
      </w:r>
      <w:proofErr w:type="spellEnd"/>
      <w:r w:rsidR="009F58E5" w:rsidRPr="00C75C7E">
        <w:rPr>
          <w:sz w:val="16"/>
          <w:szCs w:val="16"/>
          <w:lang w:val="es-ES_tradnl"/>
        </w:rPr>
        <w:t xml:space="preserve"> sobre la base de la estructura de categorías de costos propuesta para 2014/15.</w:t>
      </w:r>
    </w:p>
    <w:p w:rsidR="009F58E5" w:rsidRPr="00C75C7E" w:rsidRDefault="009F58E5" w:rsidP="009F58E5">
      <w:pPr>
        <w:keepNext/>
        <w:keepLines/>
        <w:spacing w:after="120"/>
        <w:rPr>
          <w:sz w:val="16"/>
          <w:szCs w:val="16"/>
          <w:lang w:val="es-ES_tradnl"/>
        </w:rPr>
      </w:pPr>
      <w:r>
        <w:rPr>
          <w:sz w:val="16"/>
          <w:szCs w:val="16"/>
          <w:lang w:val="es-ES_tradnl"/>
        </w:rPr>
        <w:t>2)</w:t>
      </w:r>
      <w:r w:rsidR="006D30D1">
        <w:rPr>
          <w:sz w:val="16"/>
          <w:szCs w:val="16"/>
          <w:lang w:val="es-ES_tradnl"/>
        </w:rPr>
        <w:t xml:space="preserve">  </w:t>
      </w:r>
      <w:r w:rsidRPr="00C75C7E">
        <w:rPr>
          <w:sz w:val="16"/>
          <w:szCs w:val="16"/>
          <w:lang w:val="es-ES_tradnl"/>
        </w:rPr>
        <w:t>El presupuesto después de las transferencias refleja el presupuesto de los programas ajustado tras las transferencias efectuadas en 2012/13 en virtud del artículo 5.5 del Reglamento Financiero. Para más info</w:t>
      </w:r>
      <w:r w:rsidR="00D724E6">
        <w:rPr>
          <w:sz w:val="16"/>
          <w:szCs w:val="16"/>
          <w:lang w:val="es-ES_tradnl"/>
        </w:rPr>
        <w:t>rmación sobre el presupuesto de </w:t>
      </w:r>
      <w:r w:rsidRPr="00C75C7E">
        <w:rPr>
          <w:sz w:val="16"/>
          <w:szCs w:val="16"/>
          <w:lang w:val="es-ES_tradnl"/>
        </w:rPr>
        <w:t xml:space="preserve">2012/13 después de las transferencias, cabe remitirse al cuadro que figura en el Anexo I (Presupuesto después de las transferencias, por programa) del presente documento y al documento WO/PBC/20/2 (Informe sobre el rendimiento de los programas en 2012).  </w:t>
      </w:r>
      <w:r w:rsidRPr="00C75C7E">
        <w:rPr>
          <w:rFonts w:cs="ArialMT"/>
          <w:sz w:val="16"/>
          <w:szCs w:val="16"/>
          <w:lang w:val="es-ES_tradnl"/>
        </w:rPr>
        <w:t xml:space="preserve">Los costos de personal del presupuesto de 2012/13 después de las transferencias representan los gastos reales efectuados hasta el 31 de marzo de 2013 y los importes presupuestados para los nueve meses restantes de 2013, sobre la base de costos estándar. </w:t>
      </w:r>
    </w:p>
    <w:p w:rsidR="009F58E5" w:rsidRDefault="009F58E5" w:rsidP="009F58E5">
      <w:pPr>
        <w:keepNext/>
        <w:keepLines/>
        <w:spacing w:after="120"/>
        <w:rPr>
          <w:sz w:val="16"/>
          <w:szCs w:val="16"/>
          <w:lang w:val="es-ES_tradnl"/>
        </w:rPr>
      </w:pPr>
      <w:r>
        <w:rPr>
          <w:sz w:val="16"/>
          <w:szCs w:val="16"/>
          <w:lang w:val="es-ES_tradnl"/>
        </w:rPr>
        <w:t>3)</w:t>
      </w:r>
      <w:r w:rsidR="006D30D1">
        <w:rPr>
          <w:sz w:val="16"/>
          <w:szCs w:val="16"/>
          <w:lang w:val="es-ES_tradnl"/>
        </w:rPr>
        <w:t xml:space="preserve">  </w:t>
      </w:r>
      <w:r w:rsidRPr="00C75C7E">
        <w:rPr>
          <w:sz w:val="16"/>
          <w:szCs w:val="16"/>
          <w:lang w:val="es-ES_tradnl"/>
        </w:rPr>
        <w:t>Para más información sobre los puestos del programa cabe remitirse al cuadro que figura en el Anexo II.</w:t>
      </w:r>
    </w:p>
    <w:p w:rsidR="00993E2E" w:rsidRDefault="00993E2E">
      <w:pPr>
        <w:rPr>
          <w:sz w:val="16"/>
          <w:szCs w:val="16"/>
          <w:lang w:val="es-ES_tradnl"/>
        </w:rPr>
      </w:pPr>
      <w:r>
        <w:rPr>
          <w:sz w:val="16"/>
          <w:szCs w:val="16"/>
          <w:lang w:val="es-ES_tradnl"/>
        </w:rPr>
        <w:br w:type="page"/>
      </w:r>
    </w:p>
    <w:p w:rsidR="00383888" w:rsidRPr="000615AB" w:rsidRDefault="00383888" w:rsidP="00383888">
      <w:pPr>
        <w:pStyle w:val="Heading1"/>
        <w:keepNext w:val="0"/>
        <w:tabs>
          <w:tab w:val="num" w:pos="1134"/>
        </w:tabs>
        <w:ind w:left="1134" w:hanging="1134"/>
        <w:rPr>
          <w:szCs w:val="20"/>
        </w:rPr>
      </w:pPr>
      <w:bookmarkStart w:id="109" w:name="_Toc366078754"/>
      <w:bookmarkStart w:id="110" w:name="_Toc293334839"/>
      <w:bookmarkStart w:id="111" w:name="_Toc298920421"/>
      <w:r w:rsidRPr="000615AB">
        <w:rPr>
          <w:szCs w:val="20"/>
        </w:rPr>
        <w:lastRenderedPageBreak/>
        <w:t>IV.</w:t>
      </w:r>
      <w:r w:rsidRPr="000615AB">
        <w:rPr>
          <w:b w:val="0"/>
          <w:szCs w:val="20"/>
        </w:rPr>
        <w:tab/>
      </w:r>
      <w:r w:rsidRPr="000615AB">
        <w:rPr>
          <w:szCs w:val="20"/>
        </w:rPr>
        <w:t>ANEXOS</w:t>
      </w:r>
      <w:bookmarkEnd w:id="109"/>
    </w:p>
    <w:p w:rsidR="00383888" w:rsidRPr="000615AB" w:rsidRDefault="00383888" w:rsidP="00383888"/>
    <w:bookmarkEnd w:id="110"/>
    <w:bookmarkEnd w:id="111"/>
    <w:p w:rsidR="00383888" w:rsidRPr="000615AB" w:rsidRDefault="00383888" w:rsidP="00383888"/>
    <w:tbl>
      <w:tblPr>
        <w:tblW w:w="9072" w:type="dxa"/>
        <w:tblInd w:w="108" w:type="dxa"/>
        <w:tblLayout w:type="fixed"/>
        <w:tblLook w:val="0000" w:firstRow="0" w:lastRow="0" w:firstColumn="0" w:lastColumn="0" w:noHBand="0" w:noVBand="0"/>
      </w:tblPr>
      <w:tblGrid>
        <w:gridCol w:w="9072"/>
      </w:tblGrid>
      <w:tr w:rsidR="00383888" w:rsidRPr="000615AB" w:rsidTr="00B47699">
        <w:tc>
          <w:tcPr>
            <w:tcW w:w="9072" w:type="dxa"/>
            <w:vAlign w:val="center"/>
          </w:tcPr>
          <w:p w:rsidR="00383888" w:rsidRDefault="00383888" w:rsidP="00B47699">
            <w:pPr>
              <w:ind w:left="2019" w:hanging="1276"/>
              <w:rPr>
                <w:sz w:val="20"/>
              </w:rPr>
            </w:pPr>
            <w:r w:rsidRPr="000615AB">
              <w:rPr>
                <w:sz w:val="20"/>
              </w:rPr>
              <w:t>Anexo I.</w:t>
            </w:r>
            <w:r w:rsidRPr="000615AB">
              <w:rPr>
                <w:sz w:val="20"/>
              </w:rPr>
              <w:tab/>
              <w:t>Presupuesto de 2012/13 después de las transferencias, por programa</w:t>
            </w:r>
          </w:p>
          <w:p w:rsidR="00383888" w:rsidRPr="000615AB" w:rsidRDefault="00383888" w:rsidP="00B47699">
            <w:pPr>
              <w:ind w:left="2019" w:hanging="1276"/>
              <w:rPr>
                <w:sz w:val="20"/>
              </w:rPr>
            </w:pPr>
          </w:p>
        </w:tc>
      </w:tr>
      <w:tr w:rsidR="00383888" w:rsidRPr="000615AB" w:rsidTr="00B47699">
        <w:tc>
          <w:tcPr>
            <w:tcW w:w="9072" w:type="dxa"/>
            <w:vAlign w:val="center"/>
          </w:tcPr>
          <w:p w:rsidR="00383888" w:rsidRDefault="00383888" w:rsidP="00B47699">
            <w:pPr>
              <w:ind w:left="2019" w:hanging="1276"/>
              <w:rPr>
                <w:sz w:val="20"/>
              </w:rPr>
            </w:pPr>
            <w:r w:rsidRPr="000615AB">
              <w:rPr>
                <w:sz w:val="20"/>
              </w:rPr>
              <w:t>Anexo II.</w:t>
            </w:r>
            <w:r w:rsidRPr="000615AB">
              <w:rPr>
                <w:sz w:val="20"/>
              </w:rPr>
              <w:tab/>
              <w:t>Recursos propuestos para 2014/2015, por programa</w:t>
            </w:r>
          </w:p>
          <w:p w:rsidR="00383888" w:rsidRPr="000615AB" w:rsidRDefault="00383888" w:rsidP="00B47699">
            <w:pPr>
              <w:ind w:left="2019" w:hanging="1276"/>
              <w:rPr>
                <w:sz w:val="20"/>
              </w:rPr>
            </w:pPr>
          </w:p>
        </w:tc>
      </w:tr>
      <w:tr w:rsidR="00383888" w:rsidRPr="000615AB" w:rsidTr="00B47699">
        <w:tc>
          <w:tcPr>
            <w:tcW w:w="9072" w:type="dxa"/>
            <w:vAlign w:val="center"/>
          </w:tcPr>
          <w:p w:rsidR="00383888" w:rsidRDefault="00383888" w:rsidP="00B47699">
            <w:pPr>
              <w:ind w:left="2019" w:hanging="1276"/>
              <w:rPr>
                <w:sz w:val="20"/>
              </w:rPr>
            </w:pPr>
            <w:r w:rsidRPr="000615AB">
              <w:rPr>
                <w:sz w:val="20"/>
              </w:rPr>
              <w:t>Anexo III.</w:t>
            </w:r>
            <w:r w:rsidRPr="000615AB">
              <w:rPr>
                <w:sz w:val="20"/>
              </w:rPr>
              <w:tab/>
              <w:t>Asignación de los ingresos previstos y de los gastos presupuestados, por Unión</w:t>
            </w:r>
          </w:p>
          <w:p w:rsidR="00383888" w:rsidRPr="000615AB" w:rsidRDefault="00383888" w:rsidP="00B47699">
            <w:pPr>
              <w:ind w:left="2019" w:hanging="1276"/>
              <w:rPr>
                <w:sz w:val="20"/>
              </w:rPr>
            </w:pPr>
          </w:p>
        </w:tc>
      </w:tr>
      <w:tr w:rsidR="00383888" w:rsidRPr="000615AB" w:rsidTr="00B47699">
        <w:tc>
          <w:tcPr>
            <w:tcW w:w="9072" w:type="dxa"/>
            <w:vAlign w:val="center"/>
          </w:tcPr>
          <w:p w:rsidR="00383888" w:rsidRPr="00961C5B" w:rsidRDefault="00383888" w:rsidP="00B47699">
            <w:pPr>
              <w:ind w:left="2019" w:hanging="1276"/>
              <w:rPr>
                <w:sz w:val="20"/>
              </w:rPr>
            </w:pPr>
            <w:r w:rsidRPr="000615AB">
              <w:rPr>
                <w:sz w:val="20"/>
              </w:rPr>
              <w:t>Anexo IV.</w:t>
            </w:r>
            <w:r w:rsidRPr="000615AB">
              <w:rPr>
                <w:sz w:val="20"/>
              </w:rPr>
              <w:tab/>
              <w:t>Evolución de la demanda de los servicios de los sistemas del PCT, de Madrid y de La Haya a mediano plazo</w:t>
            </w:r>
          </w:p>
          <w:p w:rsidR="00383888" w:rsidRPr="000615AB" w:rsidRDefault="00383888" w:rsidP="00B47699">
            <w:pPr>
              <w:ind w:left="2019" w:hanging="1276"/>
              <w:rPr>
                <w:sz w:val="20"/>
              </w:rPr>
            </w:pPr>
          </w:p>
        </w:tc>
      </w:tr>
      <w:tr w:rsidR="00383888" w:rsidRPr="000615AB" w:rsidTr="00B47699">
        <w:tc>
          <w:tcPr>
            <w:tcW w:w="9072" w:type="dxa"/>
            <w:vAlign w:val="center"/>
          </w:tcPr>
          <w:p w:rsidR="00383888" w:rsidRDefault="00383888" w:rsidP="00B47699">
            <w:pPr>
              <w:ind w:left="2019" w:hanging="1276"/>
              <w:rPr>
                <w:sz w:val="20"/>
              </w:rPr>
            </w:pPr>
            <w:r w:rsidRPr="000615AB">
              <w:rPr>
                <w:sz w:val="20"/>
              </w:rPr>
              <w:t>Anexo</w:t>
            </w:r>
            <w:r>
              <w:rPr>
                <w:sz w:val="20"/>
              </w:rPr>
              <w:t xml:space="preserve"> </w:t>
            </w:r>
            <w:r w:rsidRPr="000615AB">
              <w:rPr>
                <w:sz w:val="20"/>
              </w:rPr>
              <w:t>V.</w:t>
            </w:r>
            <w:r w:rsidRPr="000615AB">
              <w:rPr>
                <w:sz w:val="20"/>
              </w:rPr>
              <w:tab/>
              <w:t>Indicadores de las operaciones del PCT</w:t>
            </w:r>
          </w:p>
          <w:p w:rsidR="00383888" w:rsidRPr="000615AB" w:rsidRDefault="00383888" w:rsidP="00B47699">
            <w:pPr>
              <w:ind w:left="2019" w:hanging="1276"/>
              <w:rPr>
                <w:sz w:val="20"/>
              </w:rPr>
            </w:pPr>
          </w:p>
        </w:tc>
      </w:tr>
      <w:tr w:rsidR="00383888" w:rsidRPr="000615AB" w:rsidTr="00B47699">
        <w:trPr>
          <w:trHeight w:val="404"/>
        </w:trPr>
        <w:tc>
          <w:tcPr>
            <w:tcW w:w="9072" w:type="dxa"/>
            <w:vAlign w:val="center"/>
          </w:tcPr>
          <w:p w:rsidR="00383888" w:rsidRDefault="00383888" w:rsidP="00B47699">
            <w:pPr>
              <w:ind w:left="2019" w:hanging="1276"/>
              <w:rPr>
                <w:sz w:val="20"/>
              </w:rPr>
            </w:pPr>
            <w:r w:rsidRPr="000615AB">
              <w:rPr>
                <w:sz w:val="20"/>
              </w:rPr>
              <w:t>Anexo VI.</w:t>
            </w:r>
            <w:r w:rsidRPr="000615AB">
              <w:rPr>
                <w:sz w:val="20"/>
              </w:rPr>
              <w:tab/>
              <w:t>Indicadores de las operaciones de los sistemas de Madrid y de Lisboa</w:t>
            </w:r>
          </w:p>
          <w:p w:rsidR="00383888" w:rsidRPr="000615AB" w:rsidRDefault="00383888" w:rsidP="00B47699">
            <w:pPr>
              <w:ind w:left="2019" w:hanging="1276"/>
              <w:rPr>
                <w:sz w:val="20"/>
              </w:rPr>
            </w:pPr>
          </w:p>
        </w:tc>
      </w:tr>
      <w:tr w:rsidR="00383888" w:rsidRPr="000615AB" w:rsidTr="00B47699">
        <w:trPr>
          <w:trHeight w:val="423"/>
        </w:trPr>
        <w:tc>
          <w:tcPr>
            <w:tcW w:w="9072" w:type="dxa"/>
            <w:vAlign w:val="center"/>
          </w:tcPr>
          <w:p w:rsidR="00383888" w:rsidRDefault="00383888" w:rsidP="00B47699">
            <w:pPr>
              <w:ind w:left="2019" w:hanging="1276"/>
              <w:rPr>
                <w:sz w:val="20"/>
              </w:rPr>
            </w:pPr>
            <w:r w:rsidRPr="000615AB">
              <w:rPr>
                <w:sz w:val="20"/>
              </w:rPr>
              <w:t>Anexo VII.</w:t>
            </w:r>
            <w:r w:rsidRPr="000615AB">
              <w:rPr>
                <w:sz w:val="20"/>
              </w:rPr>
              <w:tab/>
              <w:t>Indicadores de las operaciones del sistema de La Haya</w:t>
            </w:r>
          </w:p>
          <w:p w:rsidR="00383888" w:rsidRPr="000615AB" w:rsidRDefault="00383888" w:rsidP="00B47699">
            <w:pPr>
              <w:ind w:left="2019" w:hanging="1276"/>
              <w:rPr>
                <w:sz w:val="20"/>
              </w:rPr>
            </w:pPr>
          </w:p>
        </w:tc>
      </w:tr>
      <w:tr w:rsidR="00383888" w:rsidRPr="000615AB" w:rsidTr="00B47699">
        <w:tc>
          <w:tcPr>
            <w:tcW w:w="9072" w:type="dxa"/>
            <w:vAlign w:val="center"/>
          </w:tcPr>
          <w:p w:rsidR="00383888" w:rsidRDefault="00383888" w:rsidP="00B47699">
            <w:pPr>
              <w:ind w:left="2019" w:hanging="1276"/>
              <w:rPr>
                <w:sz w:val="20"/>
              </w:rPr>
            </w:pPr>
            <w:r w:rsidRPr="000615AB">
              <w:rPr>
                <w:sz w:val="20"/>
              </w:rPr>
              <w:t>Anexo VIII.</w:t>
            </w:r>
            <w:r w:rsidRPr="000615AB">
              <w:rPr>
                <w:sz w:val="20"/>
              </w:rPr>
              <w:tab/>
              <w:t>Recursos de fondos fiduciarios disponibles pot</w:t>
            </w:r>
            <w:r>
              <w:rPr>
                <w:sz w:val="20"/>
              </w:rPr>
              <w:t>encialmente para su utilización</w:t>
            </w:r>
          </w:p>
          <w:p w:rsidR="00383888" w:rsidRPr="000615AB" w:rsidRDefault="00383888" w:rsidP="00B47699">
            <w:pPr>
              <w:ind w:left="1701" w:hanging="958"/>
              <w:rPr>
                <w:sz w:val="20"/>
              </w:rPr>
            </w:pPr>
          </w:p>
        </w:tc>
      </w:tr>
      <w:tr w:rsidR="00383888" w:rsidRPr="000615AB" w:rsidTr="00B47699">
        <w:trPr>
          <w:trHeight w:val="792"/>
        </w:trPr>
        <w:tc>
          <w:tcPr>
            <w:tcW w:w="9072" w:type="dxa"/>
            <w:vAlign w:val="center"/>
          </w:tcPr>
          <w:p w:rsidR="00383888" w:rsidRPr="000615AB" w:rsidRDefault="00383888" w:rsidP="00B47699">
            <w:pPr>
              <w:ind w:left="2019" w:hanging="1276"/>
              <w:rPr>
                <w:sz w:val="20"/>
              </w:rPr>
            </w:pPr>
            <w:r w:rsidRPr="000615AB">
              <w:rPr>
                <w:sz w:val="20"/>
              </w:rPr>
              <w:t>Anexo</w:t>
            </w:r>
            <w:r>
              <w:rPr>
                <w:sz w:val="20"/>
              </w:rPr>
              <w:t xml:space="preserve"> IX</w:t>
            </w:r>
            <w:r w:rsidRPr="000615AB">
              <w:rPr>
                <w:sz w:val="20"/>
              </w:rPr>
              <w:t>.</w:t>
            </w:r>
            <w:r w:rsidRPr="000615AB">
              <w:rPr>
                <w:sz w:val="20"/>
              </w:rPr>
              <w:tab/>
              <w:t>Cuadros del presupuesto anual para la presentación de informes conforme</w:t>
            </w:r>
            <w:r>
              <w:rPr>
                <w:sz w:val="20"/>
              </w:rPr>
              <w:t xml:space="preserve"> a las IPSAS</w:t>
            </w:r>
          </w:p>
          <w:p w:rsidR="00383888" w:rsidRPr="000615AB" w:rsidRDefault="00383888" w:rsidP="00B47699">
            <w:pPr>
              <w:ind w:left="2019" w:hanging="1276"/>
              <w:rPr>
                <w:sz w:val="20"/>
              </w:rPr>
            </w:pPr>
          </w:p>
        </w:tc>
      </w:tr>
      <w:tr w:rsidR="00383888" w:rsidRPr="000615AB" w:rsidTr="00B47699">
        <w:tc>
          <w:tcPr>
            <w:tcW w:w="9072" w:type="dxa"/>
            <w:vAlign w:val="center"/>
          </w:tcPr>
          <w:p w:rsidR="00383888" w:rsidRDefault="00383888" w:rsidP="00B47699">
            <w:pPr>
              <w:ind w:left="2019" w:hanging="1276"/>
              <w:rPr>
                <w:sz w:val="20"/>
              </w:rPr>
            </w:pPr>
            <w:r w:rsidRPr="000615AB">
              <w:rPr>
                <w:sz w:val="20"/>
              </w:rPr>
              <w:t>Anexo X.</w:t>
            </w:r>
            <w:r w:rsidRPr="000615AB">
              <w:rPr>
                <w:sz w:val="20"/>
              </w:rPr>
              <w:tab/>
              <w:t>Presupuesto para 2014/2015 por resultado previsto</w:t>
            </w:r>
            <w:r>
              <w:rPr>
                <w:sz w:val="20"/>
              </w:rPr>
              <w:t xml:space="preserve"> y programa</w:t>
            </w:r>
          </w:p>
          <w:p w:rsidR="00383888" w:rsidRPr="000615AB" w:rsidRDefault="00383888" w:rsidP="00B47699">
            <w:pPr>
              <w:ind w:left="2019" w:hanging="1276"/>
              <w:rPr>
                <w:sz w:val="20"/>
              </w:rPr>
            </w:pPr>
          </w:p>
        </w:tc>
      </w:tr>
      <w:tr w:rsidR="00383888" w:rsidRPr="000615AB" w:rsidTr="00B47699">
        <w:trPr>
          <w:trHeight w:val="463"/>
        </w:trPr>
        <w:tc>
          <w:tcPr>
            <w:tcW w:w="9072" w:type="dxa"/>
            <w:vAlign w:val="center"/>
          </w:tcPr>
          <w:p w:rsidR="00383888" w:rsidRDefault="00383888" w:rsidP="00B47699">
            <w:pPr>
              <w:ind w:left="2019" w:hanging="1276"/>
              <w:rPr>
                <w:sz w:val="20"/>
              </w:rPr>
            </w:pPr>
            <w:r w:rsidRPr="000615AB">
              <w:rPr>
                <w:sz w:val="20"/>
              </w:rPr>
              <w:t>Anexo XI.</w:t>
            </w:r>
            <w:r w:rsidRPr="000615AB">
              <w:rPr>
                <w:sz w:val="20"/>
              </w:rPr>
              <w:tab/>
              <w:t>Presupuesto para 2014/2015 por resultado previsto</w:t>
            </w:r>
          </w:p>
          <w:p w:rsidR="00383888" w:rsidRPr="000615AB" w:rsidRDefault="00383888" w:rsidP="00B47699">
            <w:pPr>
              <w:ind w:left="2019" w:hanging="1276"/>
              <w:rPr>
                <w:sz w:val="20"/>
              </w:rPr>
            </w:pPr>
          </w:p>
        </w:tc>
      </w:tr>
      <w:tr w:rsidR="00383888" w:rsidRPr="000615AB" w:rsidTr="00B47699">
        <w:trPr>
          <w:trHeight w:val="95"/>
        </w:trPr>
        <w:tc>
          <w:tcPr>
            <w:tcW w:w="9072" w:type="dxa"/>
            <w:vAlign w:val="center"/>
          </w:tcPr>
          <w:p w:rsidR="00383888" w:rsidRPr="000615AB" w:rsidRDefault="00383888" w:rsidP="00B47699">
            <w:pPr>
              <w:ind w:left="2019" w:hanging="1276"/>
              <w:rPr>
                <w:sz w:val="20"/>
              </w:rPr>
            </w:pPr>
            <w:r w:rsidRPr="000615AB">
              <w:rPr>
                <w:sz w:val="20"/>
              </w:rPr>
              <w:t>An</w:t>
            </w:r>
            <w:r>
              <w:rPr>
                <w:sz w:val="20"/>
              </w:rPr>
              <w:t>exo XII.</w:t>
            </w:r>
            <w:r>
              <w:rPr>
                <w:sz w:val="20"/>
              </w:rPr>
              <w:tab/>
              <w:t>Organigrama de la OMPI</w:t>
            </w:r>
          </w:p>
          <w:p w:rsidR="00383888" w:rsidRPr="000615AB" w:rsidRDefault="00383888" w:rsidP="00B47699">
            <w:pPr>
              <w:ind w:left="2019" w:hanging="1276"/>
              <w:rPr>
                <w:sz w:val="20"/>
              </w:rPr>
            </w:pPr>
          </w:p>
        </w:tc>
      </w:tr>
    </w:tbl>
    <w:p w:rsidR="00383888" w:rsidRPr="000615AB" w:rsidRDefault="00383888" w:rsidP="00383888"/>
    <w:p w:rsidR="00383888" w:rsidRPr="000615AB" w:rsidRDefault="00383888" w:rsidP="00383888"/>
    <w:p w:rsidR="00383888" w:rsidRPr="000615AB" w:rsidRDefault="00383888" w:rsidP="00383888">
      <w:pPr>
        <w:sectPr w:rsidR="00383888" w:rsidRPr="000615AB" w:rsidSect="00B47699">
          <w:headerReference w:type="even" r:id="rId136"/>
          <w:headerReference w:type="default" r:id="rId137"/>
          <w:footerReference w:type="even" r:id="rId138"/>
          <w:footerReference w:type="default" r:id="rId139"/>
          <w:headerReference w:type="first" r:id="rId140"/>
          <w:footerReference w:type="first" r:id="rId141"/>
          <w:pgSz w:w="11907" w:h="16840" w:code="9"/>
          <w:pgMar w:top="567" w:right="1418" w:bottom="1418" w:left="1418"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12" w:name="_Toc366078755"/>
      <w:r w:rsidRPr="00C3705E">
        <w:rPr>
          <w:b/>
          <w:caps w:val="0"/>
          <w:szCs w:val="24"/>
          <w:lang w:val="es-ES_tradnl"/>
        </w:rPr>
        <w:lastRenderedPageBreak/>
        <w:t>ANEXO I.</w:t>
      </w:r>
      <w:r w:rsidRPr="00C3705E">
        <w:rPr>
          <w:b/>
          <w:caps w:val="0"/>
          <w:szCs w:val="24"/>
          <w:lang w:val="es-ES_tradnl"/>
        </w:rPr>
        <w:tab/>
        <w:t>PRESUPUESTO 2012/2013 DESPUÉS DE LAS TRANSFERENCIAS, POR PROGRAMA</w:t>
      </w:r>
      <w:bookmarkEnd w:id="112"/>
    </w:p>
    <w:p w:rsidR="00383888" w:rsidRPr="000615AB" w:rsidRDefault="00383888" w:rsidP="00383888"/>
    <w:p w:rsidR="00383888" w:rsidRPr="000615AB" w:rsidRDefault="00383888" w:rsidP="00383888">
      <w:pPr>
        <w:jc w:val="center"/>
        <w:rPr>
          <w:sz w:val="18"/>
          <w:szCs w:val="18"/>
        </w:rPr>
      </w:pPr>
      <w:r>
        <w:rPr>
          <w:sz w:val="18"/>
          <w:szCs w:val="18"/>
        </w:rPr>
        <w:t xml:space="preserve">Cuadro 8.  </w:t>
      </w:r>
      <w:r w:rsidRPr="000615AB">
        <w:rPr>
          <w:sz w:val="18"/>
          <w:szCs w:val="18"/>
        </w:rPr>
        <w:t>Presupuesto de 2012/13 después de las transferencias, por programa</w:t>
      </w:r>
    </w:p>
    <w:p w:rsidR="00383888" w:rsidRPr="000615AB" w:rsidRDefault="00383888" w:rsidP="00383888">
      <w:pPr>
        <w:jc w:val="center"/>
        <w:rPr>
          <w:i/>
          <w:iCs/>
          <w:sz w:val="20"/>
        </w:rP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miles de francos suizos)</w:t>
      </w:r>
    </w:p>
    <w:p w:rsidR="00383888" w:rsidRPr="000615AB" w:rsidRDefault="00383888" w:rsidP="00383888">
      <w:pPr>
        <w:rPr>
          <w:sz w:val="20"/>
        </w:rPr>
      </w:pPr>
    </w:p>
    <w:p w:rsidR="00383888" w:rsidRPr="000615AB" w:rsidRDefault="00C40A11" w:rsidP="00383888">
      <w:pPr>
        <w:jc w:val="center"/>
        <w:rPr>
          <w:sz w:val="20"/>
        </w:rPr>
      </w:pPr>
      <w:r>
        <w:rPr>
          <w:noProof/>
          <w:lang w:val="en-US" w:eastAsia="en-US"/>
        </w:rPr>
        <w:drawing>
          <wp:inline distT="0" distB="0" distL="0" distR="0" wp14:anchorId="12E8AD9A" wp14:editId="0358B448">
            <wp:extent cx="5752465" cy="4196715"/>
            <wp:effectExtent l="0" t="0" r="63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752465" cy="4196715"/>
                    </a:xfrm>
                    <a:prstGeom prst="rect">
                      <a:avLst/>
                    </a:prstGeom>
                    <a:noFill/>
                    <a:ln>
                      <a:noFill/>
                    </a:ln>
                  </pic:spPr>
                </pic:pic>
              </a:graphicData>
            </a:graphic>
          </wp:inline>
        </w:drawing>
      </w:r>
    </w:p>
    <w:p w:rsidR="00383888" w:rsidRPr="000615AB" w:rsidRDefault="00383888" w:rsidP="00383888">
      <w:pPr>
        <w:rPr>
          <w:sz w:val="16"/>
          <w:szCs w:val="16"/>
          <w:vertAlign w:val="superscript"/>
        </w:rPr>
      </w:pPr>
    </w:p>
    <w:p w:rsidR="00383888" w:rsidRPr="000615AB" w:rsidRDefault="00383888" w:rsidP="00383888">
      <w:pPr>
        <w:rPr>
          <w:sz w:val="16"/>
          <w:szCs w:val="16"/>
          <w:vertAlign w:val="superscript"/>
        </w:rPr>
      </w:pPr>
      <w:r w:rsidRPr="000615AB">
        <w:rPr>
          <w:i/>
          <w:sz w:val="16"/>
          <w:szCs w:val="16"/>
        </w:rPr>
        <w:t xml:space="preserve">El presupuesto después de las transferencias refleja el presupuesto de los programas ajustado tras las transferencias efectuadas en 2012/13 en virtud del artículo 5.5 del Reglamento Financiero y los ajustes de flexibilidad efectuados en virtud del artículo 5.6. </w:t>
      </w:r>
      <w:r>
        <w:rPr>
          <w:i/>
          <w:sz w:val="16"/>
          <w:szCs w:val="16"/>
        </w:rPr>
        <w:t xml:space="preserve"> </w:t>
      </w:r>
      <w:r w:rsidRPr="000615AB">
        <w:rPr>
          <w:i/>
          <w:sz w:val="16"/>
          <w:szCs w:val="16"/>
        </w:rPr>
        <w:t>Con arreglo a los ajustes de flexibilidad se crearon 5 puestos en el programa 5 (Sistema del PCT) habida cuenta de que las actividades de registro previstas para 2012/13 fueron superiores a lo presupuestado, dando lugar a la asignación adicional de recursos de personal por un importe de 982.000 francos suizos.</w:t>
      </w:r>
      <w:r w:rsidRPr="000615AB">
        <w:rPr>
          <w:i/>
          <w:iCs/>
          <w:sz w:val="16"/>
          <w:szCs w:val="16"/>
        </w:rPr>
        <w:t xml:space="preserve">  </w:t>
      </w:r>
      <w:r w:rsidRPr="000615AB">
        <w:rPr>
          <w:i/>
          <w:sz w:val="16"/>
          <w:szCs w:val="16"/>
        </w:rPr>
        <w:t>Para más información sobre las fórmulas de flexibilidad cabe remitirse al Apéndice D del presente documento.</w:t>
      </w:r>
    </w:p>
    <w:p w:rsidR="00383888" w:rsidRPr="003B1159" w:rsidRDefault="00383888" w:rsidP="00383888">
      <w:pPr>
        <w:jc w:val="center"/>
        <w:rPr>
          <w:sz w:val="20"/>
          <w:highlight w:val="yellow"/>
        </w:rPr>
      </w:pPr>
    </w:p>
    <w:p w:rsidR="00383888" w:rsidRPr="003B1159" w:rsidRDefault="00383888" w:rsidP="00383888">
      <w:pPr>
        <w:jc w:val="center"/>
        <w:rPr>
          <w:sz w:val="20"/>
          <w:highlight w:val="yellow"/>
        </w:rPr>
      </w:pPr>
    </w:p>
    <w:p w:rsidR="00383888" w:rsidRPr="003B1159" w:rsidRDefault="00383888" w:rsidP="00383888">
      <w:pPr>
        <w:rPr>
          <w:sz w:val="20"/>
        </w:rPr>
      </w:pPr>
    </w:p>
    <w:p w:rsidR="00383888" w:rsidRPr="003B1159" w:rsidRDefault="00383888" w:rsidP="00383888">
      <w:pPr>
        <w:jc w:val="center"/>
        <w:rPr>
          <w:sz w:val="20"/>
        </w:rPr>
      </w:pPr>
    </w:p>
    <w:p w:rsidR="00383888" w:rsidRPr="003B1159" w:rsidRDefault="00383888" w:rsidP="00383888">
      <w:pPr>
        <w:jc w:val="center"/>
        <w:rPr>
          <w:sz w:val="20"/>
        </w:rPr>
        <w:sectPr w:rsidR="00383888" w:rsidRPr="003B1159" w:rsidSect="00B47699">
          <w:headerReference w:type="default" r:id="rId143"/>
          <w:footerReference w:type="even" r:id="rId144"/>
          <w:pgSz w:w="11907" w:h="16840" w:code="9"/>
          <w:pgMar w:top="851" w:right="1418" w:bottom="1191" w:left="1418"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13" w:name="_Toc366078756"/>
      <w:r w:rsidRPr="00C3705E">
        <w:rPr>
          <w:b/>
          <w:caps w:val="0"/>
          <w:szCs w:val="24"/>
          <w:lang w:val="es-ES_tradnl"/>
        </w:rPr>
        <w:lastRenderedPageBreak/>
        <w:t>ANEXO II.</w:t>
      </w:r>
      <w:r w:rsidRPr="00C3705E">
        <w:rPr>
          <w:b/>
          <w:caps w:val="0"/>
          <w:szCs w:val="24"/>
          <w:lang w:val="es-ES_tradnl"/>
        </w:rPr>
        <w:tab/>
        <w:t>RECURSOS PROPUESTOS PARA 2014/2015, POR PROGRAMA</w:t>
      </w:r>
      <w:bookmarkEnd w:id="113"/>
    </w:p>
    <w:p w:rsidR="00383888" w:rsidRPr="000615AB" w:rsidRDefault="00383888" w:rsidP="00383888">
      <w:pPr>
        <w:jc w:val="center"/>
        <w:rPr>
          <w:sz w:val="18"/>
          <w:szCs w:val="18"/>
        </w:rPr>
      </w:pPr>
    </w:p>
    <w:p w:rsidR="00383888" w:rsidRPr="000615AB" w:rsidRDefault="00383888" w:rsidP="00383888">
      <w:pPr>
        <w:jc w:val="center"/>
        <w:rPr>
          <w:sz w:val="18"/>
          <w:szCs w:val="18"/>
        </w:rPr>
      </w:pPr>
      <w:r w:rsidRPr="000615AB">
        <w:rPr>
          <w:sz w:val="18"/>
          <w:szCs w:val="18"/>
        </w:rPr>
        <w:t xml:space="preserve">Cuadro 9. </w:t>
      </w:r>
      <w:r>
        <w:rPr>
          <w:sz w:val="18"/>
          <w:szCs w:val="18"/>
        </w:rPr>
        <w:t xml:space="preserve"> </w:t>
      </w:r>
      <w:r w:rsidRPr="000615AB">
        <w:rPr>
          <w:sz w:val="18"/>
          <w:szCs w:val="18"/>
        </w:rPr>
        <w:t>Presupuesto para 2014/15, por programa</w:t>
      </w:r>
    </w:p>
    <w:p w:rsidR="00383888" w:rsidRPr="000615AB" w:rsidRDefault="00383888" w:rsidP="00383888">
      <w:pPr>
        <w:jc w:val="center"/>
        <w:rPr>
          <w:i/>
          <w:iCs/>
        </w:rP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miles de francos suizos)</w:t>
      </w:r>
    </w:p>
    <w:p w:rsidR="00383888" w:rsidRPr="000615AB" w:rsidRDefault="00383888" w:rsidP="00383888">
      <w:pPr>
        <w:jc w:val="center"/>
      </w:pPr>
    </w:p>
    <w:p w:rsidR="00383888" w:rsidRPr="000615AB" w:rsidRDefault="0091722D" w:rsidP="00383888">
      <w:pPr>
        <w:jc w:val="center"/>
      </w:pPr>
      <w:r w:rsidRPr="0091722D">
        <w:rPr>
          <w:noProof/>
          <w:lang w:val="en-US" w:eastAsia="en-US"/>
        </w:rPr>
        <w:drawing>
          <wp:inline distT="0" distB="0" distL="0" distR="0" wp14:anchorId="7D08DEA2" wp14:editId="5851DAB2">
            <wp:extent cx="8892540" cy="4722678"/>
            <wp:effectExtent l="0" t="0" r="3810" b="190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8892540" cy="4722678"/>
                    </a:xfrm>
                    <a:prstGeom prst="rect">
                      <a:avLst/>
                    </a:prstGeom>
                    <a:noFill/>
                    <a:ln>
                      <a:noFill/>
                    </a:ln>
                  </pic:spPr>
                </pic:pic>
              </a:graphicData>
            </a:graphic>
          </wp:inline>
        </w:drawing>
      </w:r>
    </w:p>
    <w:p w:rsidR="00383888" w:rsidRPr="000615AB" w:rsidRDefault="00383888" w:rsidP="00383888">
      <w:pPr>
        <w:rPr>
          <w:sz w:val="16"/>
          <w:szCs w:val="16"/>
        </w:rPr>
      </w:pPr>
    </w:p>
    <w:p w:rsidR="00383888" w:rsidRPr="000615AB" w:rsidRDefault="00383888" w:rsidP="00383888">
      <w:pPr>
        <w:rPr>
          <w:i/>
          <w:iCs/>
          <w:sz w:val="16"/>
          <w:szCs w:val="16"/>
        </w:rPr>
      </w:pPr>
      <w:r w:rsidRPr="000615AB">
        <w:rPr>
          <w:i/>
          <w:iCs/>
          <w:sz w:val="16"/>
          <w:szCs w:val="16"/>
        </w:rPr>
        <w:t xml:space="preserve">* El presupuesto de 2012/13 después de las transferencias incluye los ajustes de flexibilidad aprobados por el Director General en virtud del artículo 5.6, con arreglo a los cuales se crearon 5 puestos en el programa 5 (Sistema del PCT) habida cuenta de que las actividades de registro previstas para 2012/13 fueron superiores a lo presupuestado, dando lugar a la asignación adicional de recursos de personal por un importe de 982.000 francos suizos. Para más información sobre las fórmulas de flexibilidad cabe remitirse al Apéndice D del presente documento. </w:t>
      </w:r>
    </w:p>
    <w:p w:rsidR="00383888" w:rsidRPr="000615AB" w:rsidRDefault="00383888" w:rsidP="00383888">
      <w:pPr>
        <w:rPr>
          <w:i/>
          <w:iCs/>
          <w:sz w:val="16"/>
          <w:szCs w:val="16"/>
        </w:rPr>
      </w:pPr>
    </w:p>
    <w:p w:rsidR="00383888" w:rsidRPr="000615AB" w:rsidRDefault="00383888" w:rsidP="00383888">
      <w:pPr>
        <w:keepNext/>
        <w:keepLines/>
        <w:jc w:val="center"/>
        <w:rPr>
          <w:sz w:val="18"/>
          <w:szCs w:val="18"/>
        </w:rPr>
      </w:pPr>
      <w:r w:rsidRPr="000615AB">
        <w:rPr>
          <w:i/>
          <w:iCs/>
          <w:sz w:val="16"/>
          <w:szCs w:val="16"/>
        </w:rPr>
        <w:br w:type="page"/>
      </w:r>
      <w:r w:rsidRPr="000615AB">
        <w:rPr>
          <w:sz w:val="18"/>
          <w:szCs w:val="18"/>
        </w:rPr>
        <w:lastRenderedPageBreak/>
        <w:t>Cuadro 10. Puestos de 2014/15 por programa</w:t>
      </w:r>
    </w:p>
    <w:p w:rsidR="00383888" w:rsidRPr="000615AB" w:rsidRDefault="00383888" w:rsidP="00383888">
      <w:pPr>
        <w:keepNext/>
        <w:keepLines/>
        <w:jc w:val="center"/>
        <w:rPr>
          <w:sz w:val="18"/>
          <w:szCs w:val="18"/>
        </w:rPr>
      </w:pPr>
    </w:p>
    <w:p w:rsidR="00383888" w:rsidRPr="000615AB" w:rsidRDefault="00452F90" w:rsidP="00383888">
      <w:pPr>
        <w:jc w:val="center"/>
      </w:pPr>
      <w:r w:rsidRPr="00452F90">
        <w:rPr>
          <w:noProof/>
          <w:lang w:val="en-US" w:eastAsia="en-US"/>
        </w:rPr>
        <w:drawing>
          <wp:inline distT="0" distB="0" distL="0" distR="0" wp14:anchorId="573FC371" wp14:editId="4439ABA7">
            <wp:extent cx="8892540" cy="5183259"/>
            <wp:effectExtent l="0" t="0" r="381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8892540" cy="5183259"/>
                    </a:xfrm>
                    <a:prstGeom prst="rect">
                      <a:avLst/>
                    </a:prstGeom>
                    <a:noFill/>
                    <a:ln>
                      <a:noFill/>
                    </a:ln>
                  </pic:spPr>
                </pic:pic>
              </a:graphicData>
            </a:graphic>
          </wp:inline>
        </w:drawing>
      </w:r>
    </w:p>
    <w:p w:rsidR="00383888" w:rsidRPr="000615AB" w:rsidRDefault="00383888" w:rsidP="00383888">
      <w:pPr>
        <w:rPr>
          <w:i/>
          <w:iCs/>
          <w:sz w:val="16"/>
          <w:szCs w:val="16"/>
        </w:rPr>
      </w:pPr>
    </w:p>
    <w:p w:rsidR="00383888" w:rsidRPr="000615AB" w:rsidRDefault="00383888" w:rsidP="00383888">
      <w:pPr>
        <w:rPr>
          <w:i/>
          <w:iCs/>
          <w:sz w:val="16"/>
          <w:szCs w:val="16"/>
        </w:rPr>
      </w:pPr>
      <w:r w:rsidRPr="000615AB">
        <w:rPr>
          <w:i/>
          <w:iCs/>
          <w:sz w:val="16"/>
          <w:szCs w:val="16"/>
        </w:rPr>
        <w:t>* El presupuesto de 2012/13 después de las transferencias incluye los ajustes de flexibilidad aprobados por el Director General en virtud del artículo 5.6, con arreglo a los cuales se crearon 5 puestos en el programa 5 (Sistema del PCT) habida cuenta de que las actividades de registro previstas para 2012/13 fueron superiores a lo presupuestado, dando lugar a la asignación adicional de recursos de personal por un importe de 982.000 francos suizos. Para más información sobre las fórmulas de flexibilidad cabe remitirse al Apéndice D del presente documento.</w:t>
      </w:r>
    </w:p>
    <w:p w:rsidR="00383888" w:rsidRPr="000615AB" w:rsidRDefault="00383888" w:rsidP="00383888">
      <w:pPr>
        <w:rPr>
          <w:i/>
          <w:iCs/>
          <w:sz w:val="16"/>
          <w:szCs w:val="16"/>
        </w:rPr>
      </w:pPr>
      <w:r w:rsidRPr="000615AB">
        <w:rPr>
          <w:i/>
          <w:iCs/>
          <w:sz w:val="16"/>
          <w:szCs w:val="16"/>
        </w:rPr>
        <w:t>** La diferencia entre el número de puestos propuestos en 2014/15 y</w:t>
      </w:r>
      <w:r w:rsidR="00FE0BB4">
        <w:rPr>
          <w:i/>
          <w:iCs/>
          <w:sz w:val="16"/>
          <w:szCs w:val="16"/>
        </w:rPr>
        <w:t xml:space="preserve"> </w:t>
      </w:r>
      <w:r w:rsidRPr="000615AB">
        <w:rPr>
          <w:i/>
          <w:iCs/>
          <w:sz w:val="16"/>
          <w:szCs w:val="16"/>
        </w:rPr>
        <w:t xml:space="preserve">en el presupuesto de 2012/13 después de las transferencias está dada por los 96 puestos destinados a la regularización, que se propone utilizar conforme a lo expuesto en el párrafo 40. </w:t>
      </w:r>
    </w:p>
    <w:p w:rsidR="00383888" w:rsidRPr="000615AB" w:rsidRDefault="00383888" w:rsidP="00383888">
      <w:pPr>
        <w:rPr>
          <w:sz w:val="16"/>
          <w:szCs w:val="16"/>
        </w:rPr>
        <w:sectPr w:rsidR="00383888" w:rsidRPr="000615AB" w:rsidSect="00B47699">
          <w:headerReference w:type="default" r:id="rId147"/>
          <w:footerReference w:type="even" r:id="rId148"/>
          <w:footerReference w:type="default" r:id="rId149"/>
          <w:pgSz w:w="16840" w:h="11907" w:orient="landscape" w:code="9"/>
          <w:pgMar w:top="624" w:right="1418" w:bottom="794" w:left="1418" w:header="510" w:footer="680"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14" w:name="_Toc366078757"/>
      <w:r w:rsidRPr="00C3705E">
        <w:rPr>
          <w:b/>
          <w:caps w:val="0"/>
          <w:szCs w:val="24"/>
          <w:lang w:val="es-ES_tradnl"/>
        </w:rPr>
        <w:lastRenderedPageBreak/>
        <w:t>ANEXO III.</w:t>
      </w:r>
      <w:r w:rsidRPr="00C3705E">
        <w:rPr>
          <w:b/>
          <w:caps w:val="0"/>
          <w:szCs w:val="24"/>
          <w:lang w:val="es-ES_tradnl"/>
        </w:rPr>
        <w:tab/>
        <w:t>ASIGNACIÓN DE LOS INGRESOS PREVISTOS Y DE LOS GASTOS PRESUPUESTADOS, POR UNIÓN</w:t>
      </w:r>
      <w:bookmarkEnd w:id="114"/>
      <w:r w:rsidRPr="00C3705E">
        <w:rPr>
          <w:b/>
          <w:caps w:val="0"/>
          <w:szCs w:val="24"/>
          <w:lang w:val="es-ES_tradnl"/>
        </w:rPr>
        <w:t xml:space="preserve"> </w:t>
      </w:r>
    </w:p>
    <w:p w:rsidR="00383888" w:rsidRPr="000615AB" w:rsidRDefault="00383888" w:rsidP="00383888">
      <w:pPr>
        <w:rPr>
          <w:sz w:val="20"/>
        </w:rPr>
      </w:pPr>
    </w:p>
    <w:p w:rsidR="00383888" w:rsidRPr="000615AB" w:rsidRDefault="00383888" w:rsidP="00383888">
      <w:pPr>
        <w:rPr>
          <w:bCs/>
          <w:sz w:val="20"/>
        </w:rPr>
      </w:pPr>
    </w:p>
    <w:p w:rsidR="00383888" w:rsidRPr="000615AB" w:rsidRDefault="00383888" w:rsidP="00383888">
      <w:pPr>
        <w:rPr>
          <w:bCs/>
          <w:sz w:val="20"/>
        </w:rPr>
      </w:pPr>
      <w:r w:rsidRPr="000615AB">
        <w:rPr>
          <w:bCs/>
          <w:sz w:val="20"/>
        </w:rPr>
        <w:t>INTRODUCCIÓN</w:t>
      </w:r>
    </w:p>
    <w:p w:rsidR="00383888" w:rsidRPr="000615AB" w:rsidRDefault="00383888" w:rsidP="00383888">
      <w:pPr>
        <w:jc w:val="both"/>
        <w:rPr>
          <w:sz w:val="20"/>
        </w:rPr>
      </w:pPr>
    </w:p>
    <w:p w:rsidR="00383888" w:rsidRPr="000615AB" w:rsidRDefault="00383888" w:rsidP="00383888">
      <w:pPr>
        <w:numPr>
          <w:ilvl w:val="0"/>
          <w:numId w:val="17"/>
        </w:numPr>
        <w:jc w:val="both"/>
        <w:rPr>
          <w:sz w:val="20"/>
        </w:rPr>
      </w:pPr>
      <w:r w:rsidRPr="000615AB">
        <w:rPr>
          <w:sz w:val="20"/>
        </w:rPr>
        <w:t xml:space="preserve">En el marco del Reglamento Financiero y la Reglamentación Financiera de la OMPI (Regla 102.2), la propuesta de presupuesto por programas debe presentar el presupuesto bienal en forma consolidada para la Organización y separadamente para cada Unión.  </w:t>
      </w:r>
    </w:p>
    <w:p w:rsidR="00383888" w:rsidRPr="000615AB" w:rsidRDefault="00383888" w:rsidP="00383888">
      <w:pPr>
        <w:rPr>
          <w:sz w:val="20"/>
        </w:rPr>
      </w:pPr>
    </w:p>
    <w:p w:rsidR="00383888" w:rsidRPr="000615AB" w:rsidRDefault="00383888" w:rsidP="00383888">
      <w:pPr>
        <w:rPr>
          <w:bCs/>
          <w:sz w:val="20"/>
        </w:rPr>
      </w:pPr>
      <w:r w:rsidRPr="000615AB">
        <w:rPr>
          <w:bCs/>
          <w:sz w:val="20"/>
        </w:rPr>
        <w:t>ASIGNACIÓN DE LOS GASTOS PRESUPUESTADOS, POR UNIÓN</w:t>
      </w:r>
    </w:p>
    <w:p w:rsidR="00383888" w:rsidRPr="000615AB" w:rsidRDefault="00383888" w:rsidP="00383888">
      <w:pPr>
        <w:jc w:val="both"/>
        <w:rPr>
          <w:b/>
          <w:i/>
          <w:sz w:val="20"/>
        </w:rPr>
      </w:pPr>
    </w:p>
    <w:p w:rsidR="00383888" w:rsidRPr="000615AB" w:rsidRDefault="00383888" w:rsidP="00383888">
      <w:pPr>
        <w:numPr>
          <w:ilvl w:val="0"/>
          <w:numId w:val="17"/>
        </w:numPr>
        <w:jc w:val="both"/>
        <w:rPr>
          <w:b/>
          <w:i/>
          <w:sz w:val="20"/>
        </w:rPr>
      </w:pPr>
      <w:r w:rsidRPr="000615AB">
        <w:rPr>
          <w:sz w:val="20"/>
        </w:rPr>
        <w:t xml:space="preserve">Cabe recordar que la metodología aprobada para la asignación de gastos por Unión consiste en determinar si se trata de </w:t>
      </w:r>
      <w:proofErr w:type="gramStart"/>
      <w:r w:rsidRPr="000615AB">
        <w:rPr>
          <w:sz w:val="20"/>
        </w:rPr>
        <w:t>gastos relacionados directa</w:t>
      </w:r>
      <w:proofErr w:type="gramEnd"/>
      <w:r w:rsidRPr="000615AB">
        <w:rPr>
          <w:sz w:val="20"/>
        </w:rPr>
        <w:t xml:space="preserve"> o indirectamente con una Unión.  Los programas se categorizan en tanto que relacionados directa o indirectamente con una Unión, como se describe más abajo.  </w:t>
      </w:r>
    </w:p>
    <w:p w:rsidR="00383888" w:rsidRPr="000615AB" w:rsidRDefault="00383888" w:rsidP="00383888">
      <w:pPr>
        <w:ind w:left="1"/>
        <w:jc w:val="both"/>
        <w:rPr>
          <w:b/>
          <w:i/>
          <w:sz w:val="20"/>
        </w:rPr>
      </w:pPr>
    </w:p>
    <w:p w:rsidR="00383888" w:rsidRPr="000615AB" w:rsidRDefault="00383888" w:rsidP="00383888">
      <w:pPr>
        <w:numPr>
          <w:ilvl w:val="0"/>
          <w:numId w:val="17"/>
        </w:numPr>
        <w:jc w:val="both"/>
        <w:rPr>
          <w:sz w:val="20"/>
        </w:rPr>
      </w:pPr>
      <w:r w:rsidRPr="000615AB">
        <w:rPr>
          <w:i/>
          <w:sz w:val="20"/>
        </w:rPr>
        <w:t xml:space="preserve">GASTOS DIRECTOS POR UNIÓN, </w:t>
      </w:r>
      <w:r w:rsidRPr="000615AB">
        <w:rPr>
          <w:sz w:val="20"/>
        </w:rPr>
        <w:t xml:space="preserve">son los gastos ocasionados por las actividades específicas de cada Unión y el porcentaje atribuible de gastos administrativos conexos y otros gastos presupuestados.  </w:t>
      </w:r>
    </w:p>
    <w:p w:rsidR="00383888" w:rsidRPr="000615AB" w:rsidRDefault="00383888" w:rsidP="00383888">
      <w:pPr>
        <w:jc w:val="both"/>
        <w:rPr>
          <w:sz w:val="20"/>
        </w:rPr>
      </w:pPr>
    </w:p>
    <w:p w:rsidR="00383888" w:rsidRPr="000615AB" w:rsidRDefault="00383888" w:rsidP="00383888">
      <w:pPr>
        <w:ind w:left="1080" w:hanging="540"/>
        <w:jc w:val="both"/>
        <w:rPr>
          <w:b/>
          <w:i/>
          <w:sz w:val="20"/>
        </w:rPr>
      </w:pPr>
      <w:r w:rsidRPr="000615AB">
        <w:rPr>
          <w:i/>
          <w:sz w:val="20"/>
        </w:rPr>
        <w:t>3.1</w:t>
      </w:r>
      <w:r w:rsidRPr="000615AB">
        <w:rPr>
          <w:sz w:val="20"/>
        </w:rPr>
        <w:tab/>
      </w:r>
      <w:r w:rsidRPr="000615AB">
        <w:rPr>
          <w:i/>
          <w:sz w:val="20"/>
        </w:rPr>
        <w:t>Actividades específicas por Unión</w:t>
      </w:r>
      <w:r w:rsidRPr="000615AB">
        <w:rPr>
          <w:sz w:val="20"/>
        </w:rPr>
        <w:t>: Bajo esta rúbrica se engloban las actividades de programa y los gastos presupuestados.  Cuando los gastos de un programa son asignados parcialmente a una Unión, la asignación se realiza sobre la base del porcentaje correspondiente a la Unión de los gastos previstos por los directores de los programas correspondientes.  Cuando un programa incumbe a una única Unión, el costo total de ese programa es asignado a esa Unión.</w:t>
      </w:r>
    </w:p>
    <w:p w:rsidR="00383888" w:rsidRPr="000615AB" w:rsidRDefault="00383888" w:rsidP="00383888">
      <w:pPr>
        <w:jc w:val="both"/>
        <w:rPr>
          <w:sz w:val="20"/>
        </w:rPr>
      </w:pPr>
    </w:p>
    <w:p w:rsidR="00383888" w:rsidRPr="000615AB" w:rsidRDefault="00383888" w:rsidP="00383888">
      <w:pPr>
        <w:spacing w:after="60"/>
        <w:ind w:left="1843" w:hanging="766"/>
        <w:jc w:val="both"/>
        <w:rPr>
          <w:sz w:val="20"/>
        </w:rPr>
      </w:pPr>
      <w:r w:rsidRPr="000615AB">
        <w:rPr>
          <w:i/>
          <w:sz w:val="20"/>
        </w:rPr>
        <w:t>3.1.1</w:t>
      </w:r>
      <w:r w:rsidRPr="000615AB">
        <w:rPr>
          <w:i/>
          <w:sz w:val="20"/>
        </w:rPr>
        <w:tab/>
        <w:t>Uniones financiadas por contribuciones</w:t>
      </w:r>
      <w:r w:rsidRPr="000615AB">
        <w:rPr>
          <w:sz w:val="20"/>
        </w:rPr>
        <w:t>:  Programas 1 (Derecho de patentes) (parcialmente), 2 (Marcas, dibujos y modelos industriales e indicaciones geográficas) (parcialmente), 3 (Derecho de autor y derechos conexos) (parcialmente), 4 (Conocimientos tradicionales, expresiones culturales tradicionales y recursos genéticos), 7 (Centro de Arbitraje y Mediación de la OMPI) (parcialmente), 12 (Clasificaciones internacionales y normas técnicas de la OMPI) (parcialmente) y 14 (Servicios de acceso a la información y a los conocimientos) (parcialmente).</w:t>
      </w:r>
    </w:p>
    <w:p w:rsidR="00383888" w:rsidRPr="000615AB" w:rsidRDefault="00383888" w:rsidP="00383888">
      <w:pPr>
        <w:spacing w:after="60"/>
        <w:ind w:left="1843" w:hanging="766"/>
        <w:jc w:val="both"/>
        <w:rPr>
          <w:sz w:val="20"/>
        </w:rPr>
      </w:pPr>
      <w:r w:rsidRPr="000615AB">
        <w:rPr>
          <w:i/>
          <w:sz w:val="20"/>
        </w:rPr>
        <w:t>3.1.2</w:t>
      </w:r>
      <w:r w:rsidRPr="000615AB">
        <w:rPr>
          <w:sz w:val="20"/>
        </w:rPr>
        <w:tab/>
      </w:r>
      <w:r w:rsidRPr="000615AB">
        <w:rPr>
          <w:i/>
          <w:sz w:val="20"/>
        </w:rPr>
        <w:t>Unión del PCT</w:t>
      </w:r>
      <w:proofErr w:type="gramStart"/>
      <w:r w:rsidRPr="000615AB">
        <w:rPr>
          <w:sz w:val="20"/>
        </w:rPr>
        <w:t>:  Programas</w:t>
      </w:r>
      <w:proofErr w:type="gramEnd"/>
      <w:r w:rsidRPr="000615AB">
        <w:rPr>
          <w:sz w:val="20"/>
        </w:rPr>
        <w:t xml:space="preserve"> 1 (Derecho de patentes) (parcialmente), 5 (Sistema del PCT), 7 (Centro de Arbitraje y Mediación de la OMPI) (parcialmente), 12 (Clasificaciones internacionales y normas técnicas de la OMPI) (parcialmente), 13 (Bases de datos mundiales) (parcialmente) y 14 (Servicios de acceso a la información y a los conocimientos) (parcialmente).</w:t>
      </w:r>
    </w:p>
    <w:p w:rsidR="00383888" w:rsidRPr="000615AB" w:rsidRDefault="00383888" w:rsidP="00383888">
      <w:pPr>
        <w:spacing w:after="60"/>
        <w:ind w:left="1843" w:hanging="766"/>
        <w:jc w:val="both"/>
        <w:rPr>
          <w:sz w:val="20"/>
        </w:rPr>
      </w:pPr>
      <w:r w:rsidRPr="000615AB">
        <w:rPr>
          <w:i/>
          <w:sz w:val="20"/>
        </w:rPr>
        <w:t>3.1.3</w:t>
      </w:r>
      <w:r w:rsidRPr="000615AB">
        <w:rPr>
          <w:sz w:val="20"/>
        </w:rPr>
        <w:t xml:space="preserve"> </w:t>
      </w:r>
      <w:r w:rsidRPr="000615AB">
        <w:rPr>
          <w:sz w:val="20"/>
        </w:rPr>
        <w:tab/>
      </w:r>
      <w:r w:rsidRPr="000615AB">
        <w:rPr>
          <w:i/>
          <w:sz w:val="20"/>
        </w:rPr>
        <w:t>Unión de Madrid</w:t>
      </w:r>
      <w:r w:rsidRPr="000615AB">
        <w:rPr>
          <w:sz w:val="20"/>
        </w:rPr>
        <w:t>:  Programas 2 (Marcas, dibujos y modelos industriales e indicaciones geográficas) (parcialmente), 6 (Sistemas de Madrid y Lisboa) (parcialmente), 7 (Centro de Arbitraje y Mediación de la OMPI) (parcialmente), 12 (Clasificaciones internacionales y normas técnicas de la OMPI) (parcialmente), 13 (Bases de datos mundiales) (parcialmente), 14 (Servicios de acceso a la información y a los conocimientos) (parcialmente) y 25 (Tecnologías de la información y de las comunicaciones).</w:t>
      </w:r>
    </w:p>
    <w:p w:rsidR="00383888" w:rsidRPr="000615AB" w:rsidRDefault="00383888" w:rsidP="00383888">
      <w:pPr>
        <w:spacing w:after="60"/>
        <w:ind w:left="1843" w:hanging="766"/>
        <w:jc w:val="both"/>
        <w:rPr>
          <w:sz w:val="20"/>
        </w:rPr>
      </w:pPr>
      <w:r w:rsidRPr="000615AB">
        <w:rPr>
          <w:sz w:val="20"/>
        </w:rPr>
        <w:t xml:space="preserve">3.1.4 </w:t>
      </w:r>
      <w:r w:rsidRPr="000615AB">
        <w:rPr>
          <w:sz w:val="20"/>
        </w:rPr>
        <w:tab/>
      </w:r>
      <w:r w:rsidRPr="000615AB">
        <w:rPr>
          <w:i/>
          <w:sz w:val="20"/>
        </w:rPr>
        <w:t>Unión de La Haya</w:t>
      </w:r>
      <w:proofErr w:type="gramStart"/>
      <w:r w:rsidRPr="000615AB">
        <w:rPr>
          <w:sz w:val="20"/>
        </w:rPr>
        <w:t>:  Programas</w:t>
      </w:r>
      <w:proofErr w:type="gramEnd"/>
      <w:r w:rsidRPr="000615AB">
        <w:rPr>
          <w:sz w:val="20"/>
        </w:rPr>
        <w:t xml:space="preserve"> 2 (Marcas, dibujos y modelos industriales e indicaciones geográficas) (parcialmente), 6 (Sistemas de Madrid y Lisboa) (parcialmente), 7 (Centro de Arbitraje y Mediación de la OMPI) (parcialmente), 12 (Clasificaciones internacionales y normas técnicas de la OMPI) (parcialmente), 14 (Servicios de acceso a la información y a los conocimientos) (parcialmente) y 31 (Sistema de La Haya).</w:t>
      </w:r>
    </w:p>
    <w:p w:rsidR="00383888" w:rsidRPr="000615AB" w:rsidRDefault="00383888" w:rsidP="00383888">
      <w:pPr>
        <w:spacing w:after="60"/>
        <w:ind w:left="1843" w:hanging="766"/>
        <w:jc w:val="both"/>
        <w:rPr>
          <w:sz w:val="20"/>
        </w:rPr>
      </w:pPr>
      <w:r w:rsidRPr="000615AB">
        <w:rPr>
          <w:i/>
          <w:sz w:val="20"/>
        </w:rPr>
        <w:t>3.1.5</w:t>
      </w:r>
      <w:r w:rsidRPr="000615AB">
        <w:rPr>
          <w:sz w:val="20"/>
        </w:rPr>
        <w:t xml:space="preserve"> </w:t>
      </w:r>
      <w:r w:rsidRPr="000615AB">
        <w:rPr>
          <w:sz w:val="20"/>
        </w:rPr>
        <w:tab/>
      </w:r>
      <w:r w:rsidRPr="000615AB">
        <w:rPr>
          <w:i/>
          <w:sz w:val="20"/>
        </w:rPr>
        <w:t>Unión de Lisboa</w:t>
      </w:r>
      <w:proofErr w:type="gramStart"/>
      <w:r w:rsidRPr="000615AB">
        <w:rPr>
          <w:i/>
          <w:sz w:val="20"/>
        </w:rPr>
        <w:t xml:space="preserve">:  </w:t>
      </w:r>
      <w:r w:rsidRPr="000615AB">
        <w:rPr>
          <w:sz w:val="20"/>
        </w:rPr>
        <w:t>Programas</w:t>
      </w:r>
      <w:proofErr w:type="gramEnd"/>
      <w:r w:rsidRPr="000615AB">
        <w:rPr>
          <w:sz w:val="20"/>
        </w:rPr>
        <w:t xml:space="preserve"> 2 (Marcas, dibujos y modelos industriales e indicaciones geográficas) (parcialmente), 6 (Sistemas de Madrid y Lisboa) (parcialmente), 7 (Centro de Arbitraje y Mediación de la OMPI) (parcialmente) y 14 (Servicios de acceso a la información y a los conocimientos) (parcialmente).</w:t>
      </w:r>
    </w:p>
    <w:p w:rsidR="00383888" w:rsidRPr="000615AB" w:rsidRDefault="00383888" w:rsidP="00383888">
      <w:pPr>
        <w:jc w:val="both"/>
        <w:rPr>
          <w:sz w:val="20"/>
        </w:rPr>
      </w:pPr>
    </w:p>
    <w:p w:rsidR="00383888" w:rsidRPr="000615AB" w:rsidRDefault="00383888" w:rsidP="00383888">
      <w:pPr>
        <w:ind w:left="1080" w:hanging="513"/>
        <w:jc w:val="both"/>
        <w:rPr>
          <w:sz w:val="20"/>
        </w:rPr>
      </w:pPr>
      <w:r w:rsidRPr="000615AB">
        <w:rPr>
          <w:i/>
          <w:sz w:val="20"/>
        </w:rPr>
        <w:lastRenderedPageBreak/>
        <w:t>3.2</w:t>
      </w:r>
      <w:r w:rsidRPr="000615AB">
        <w:rPr>
          <w:sz w:val="20"/>
        </w:rPr>
        <w:tab/>
      </w:r>
      <w:r w:rsidRPr="000615AB">
        <w:rPr>
          <w:i/>
          <w:sz w:val="20"/>
        </w:rPr>
        <w:t>Gastos administrativos directos por Unión</w:t>
      </w:r>
      <w:proofErr w:type="gramStart"/>
      <w:r w:rsidRPr="000615AB">
        <w:rPr>
          <w:sz w:val="20"/>
        </w:rPr>
        <w:t>:  Bajo</w:t>
      </w:r>
      <w:proofErr w:type="gramEnd"/>
      <w:r w:rsidRPr="000615AB">
        <w:rPr>
          <w:sz w:val="20"/>
        </w:rPr>
        <w:t xml:space="preserve"> esta categoría se engloba una parte de todos los programas comprendidos en la meta estratégica IX (programas 21 a 29) y “No asignados”.  La asignación de gastos presupuestados se determina mediante un proceso que consta de dos etapas.  En primer lugar, se determina el porcentaje total de costos administrativos directos para todas las Uniones sobre la base del número total de empleados de nómina de los programas relacionados directamente con las Uniones en relación con el número total de empleados de nómina de todos los programas, a excepción de los comprendidos en el marco de la meta estratégica IX.  Posteriormente, se asignan los gastos administrativos directos por Unión a las Uniones respectivas sobre la base del porcentaje del número de empleados de nómina de cada Unión en relación con el número total de empleados de nómina de los programas relacionados directamente con las Uniones.  El proceso que consta de dos etapas se aplica a la partida de los gastos administrativos que no pueden ser fácilmente vinculados a una Unión determinada.</w:t>
      </w:r>
    </w:p>
    <w:p w:rsidR="00383888" w:rsidRPr="000615AB" w:rsidRDefault="00383888" w:rsidP="00383888">
      <w:pPr>
        <w:ind w:left="1080" w:hanging="513"/>
        <w:jc w:val="both"/>
        <w:rPr>
          <w:i/>
          <w:sz w:val="20"/>
        </w:rPr>
      </w:pPr>
    </w:p>
    <w:p w:rsidR="00383888" w:rsidRPr="000615AB" w:rsidRDefault="00383888" w:rsidP="00383888">
      <w:pPr>
        <w:numPr>
          <w:ilvl w:val="0"/>
          <w:numId w:val="17"/>
        </w:numPr>
        <w:jc w:val="both"/>
        <w:rPr>
          <w:sz w:val="20"/>
        </w:rPr>
      </w:pPr>
      <w:r w:rsidRPr="000615AB">
        <w:rPr>
          <w:i/>
          <w:sz w:val="20"/>
        </w:rPr>
        <w:t>GASTOS INDIRECTOS POR UNIÓN</w:t>
      </w:r>
      <w:r w:rsidRPr="000615AB">
        <w:rPr>
          <w:sz w:val="20"/>
        </w:rPr>
        <w:t>, constituidos por el porcentaje asignado a cada Unión de gastos presupuestados para los programas que no guardan relación directa con las actividades de la Unión correspondiente, junto con el porcentaje de gastos administrativos conexos y otros gastos presupuestados.</w:t>
      </w:r>
    </w:p>
    <w:p w:rsidR="00383888" w:rsidRPr="000615AB" w:rsidRDefault="00383888" w:rsidP="00383888">
      <w:pPr>
        <w:jc w:val="both"/>
        <w:rPr>
          <w:b/>
          <w:sz w:val="20"/>
        </w:rPr>
      </w:pPr>
    </w:p>
    <w:p w:rsidR="00383888" w:rsidRPr="000615AB" w:rsidRDefault="00383888" w:rsidP="00383888">
      <w:pPr>
        <w:numPr>
          <w:ilvl w:val="1"/>
          <w:numId w:val="19"/>
        </w:numPr>
        <w:ind w:left="1134" w:hanging="567"/>
        <w:jc w:val="both"/>
        <w:rPr>
          <w:b/>
          <w:i/>
          <w:sz w:val="20"/>
        </w:rPr>
      </w:pPr>
      <w:r w:rsidRPr="000615AB">
        <w:rPr>
          <w:i/>
          <w:sz w:val="20"/>
        </w:rPr>
        <w:t>Gastos indirectos por Unión</w:t>
      </w:r>
      <w:r w:rsidRPr="000615AB">
        <w:rPr>
          <w:sz w:val="20"/>
        </w:rPr>
        <w:t>:  Bajo esta rúbrica se engloban las siguientes actividades de programa y gastos presupuestados:  Programas 1 (Derecho de patentes) (parcialmente), 3 (Derecho de autor y derechos conexos) (parcialmente), 8 (Coordinación de la Agenda para el Desarrollo), 9 (Países africanos, árabes, de América Latina y el Caribe, de Asia y el Pacífico y P</w:t>
      </w:r>
      <w:r w:rsidR="00733234">
        <w:rPr>
          <w:sz w:val="20"/>
        </w:rPr>
        <w:t>aíses Menos Adelantados</w:t>
      </w:r>
      <w:r w:rsidRPr="000615AB">
        <w:rPr>
          <w:sz w:val="20"/>
        </w:rPr>
        <w:t>), 10 (Cooperación con determinados países de Europa y Asia y algunos Estados mediterráneos), 11 (</w:t>
      </w:r>
      <w:r w:rsidR="00FE0BB4">
        <w:rPr>
          <w:sz w:val="20"/>
        </w:rPr>
        <w:t>Academia de la OMPI), 15 </w:t>
      </w:r>
      <w:r w:rsidRPr="000615AB">
        <w:rPr>
          <w:sz w:val="20"/>
        </w:rPr>
        <w:t>(Soluciones operativas para las oficinas de P.I.), 16 (Economía y estadística), 17 (</w:t>
      </w:r>
      <w:r w:rsidR="00990B95">
        <w:rPr>
          <w:sz w:val="20"/>
        </w:rPr>
        <w:t>Cultivar el respeto</w:t>
      </w:r>
      <w:r w:rsidR="000D7DB1">
        <w:rPr>
          <w:sz w:val="20"/>
        </w:rPr>
        <w:t xml:space="preserve"> por la P.I.</w:t>
      </w:r>
      <w:r w:rsidRPr="000615AB">
        <w:rPr>
          <w:sz w:val="20"/>
        </w:rPr>
        <w:t>), 18 (La P.I. y los desafíos mundiales), 19 (Comunicaciones)</w:t>
      </w:r>
      <w:r w:rsidR="00FE0BB4">
        <w:rPr>
          <w:sz w:val="20"/>
        </w:rPr>
        <w:t>,</w:t>
      </w:r>
      <w:r w:rsidRPr="000615AB">
        <w:rPr>
          <w:sz w:val="20"/>
        </w:rPr>
        <w:t xml:space="preserve"> 20 (Relaciones exteriores, alianzas y oficinas en el exterior)</w:t>
      </w:r>
      <w:r w:rsidR="00FE0BB4">
        <w:rPr>
          <w:sz w:val="20"/>
        </w:rPr>
        <w:t xml:space="preserve"> y 30 (Pequeñas y medianas empresas (pymes)</w:t>
      </w:r>
      <w:r w:rsidR="00993E2E">
        <w:rPr>
          <w:sz w:val="20"/>
        </w:rPr>
        <w:t xml:space="preserve"> e innovación</w:t>
      </w:r>
      <w:r w:rsidR="00FE0BB4">
        <w:rPr>
          <w:sz w:val="20"/>
        </w:rPr>
        <w:t>)</w:t>
      </w:r>
      <w:r w:rsidRPr="000615AB">
        <w:rPr>
          <w:sz w:val="20"/>
        </w:rPr>
        <w:t xml:space="preserve">.  La cuota de gastos presupuestados correspondiente a cada uno de esos programas se asigna a las Uniones sobre la base de su respectiva </w:t>
      </w:r>
      <w:r w:rsidRPr="000615AB">
        <w:rPr>
          <w:i/>
          <w:sz w:val="20"/>
        </w:rPr>
        <w:t>capacidad de pago en el bienio</w:t>
      </w:r>
      <w:r w:rsidRPr="000615AB">
        <w:rPr>
          <w:sz w:val="20"/>
        </w:rPr>
        <w:t xml:space="preserve">.  Se trata del cálculo de la diferencia entre los ingresos previstos para cada Unión en el bienio y los otros gastos asignados a las Uniones y las reservas obligatorias mínimas (“previsión mínima de reservas”).  El cálculo de la previsión mínima de reservas se basa en la reserva obligatoria correspondiente a los gastos del bienio anterior.  Mediante la metodología aplicada se garantiza una distribución proporcional </w:t>
      </w:r>
      <w:proofErr w:type="gramStart"/>
      <w:r w:rsidRPr="000615AB">
        <w:rPr>
          <w:sz w:val="20"/>
        </w:rPr>
        <w:t>del gasto indirecto entre las Uniones a partir de los ingresos (excedente) generados</w:t>
      </w:r>
      <w:proofErr w:type="gramEnd"/>
      <w:r w:rsidRPr="000615AB">
        <w:rPr>
          <w:sz w:val="20"/>
        </w:rPr>
        <w:t xml:space="preserve"> en el presente bienio.  Únicamente cuando no sea suficiente el excedente bienal generado se utilizarán las reservas disponibles para cubrir el remanente de gastos indirectos, lo que se hará teniendo en cuenta la parte relativa correspondiente a cada Unión.</w:t>
      </w:r>
    </w:p>
    <w:p w:rsidR="00383888" w:rsidRPr="000615AB" w:rsidRDefault="00383888" w:rsidP="00383888">
      <w:pPr>
        <w:ind w:left="927"/>
        <w:jc w:val="both"/>
        <w:rPr>
          <w:b/>
          <w:i/>
          <w:sz w:val="20"/>
        </w:rPr>
      </w:pPr>
    </w:p>
    <w:p w:rsidR="00383888" w:rsidRPr="000615AB" w:rsidRDefault="00383888" w:rsidP="00FE0BB4">
      <w:pPr>
        <w:numPr>
          <w:ilvl w:val="1"/>
          <w:numId w:val="19"/>
        </w:numPr>
        <w:ind w:left="1134" w:hanging="567"/>
        <w:jc w:val="both"/>
        <w:rPr>
          <w:b/>
          <w:i/>
          <w:sz w:val="20"/>
        </w:rPr>
      </w:pPr>
      <w:r w:rsidRPr="000615AB">
        <w:rPr>
          <w:i/>
          <w:sz w:val="20"/>
        </w:rPr>
        <w:t>Gastos administrativos indirectos</w:t>
      </w:r>
      <w:proofErr w:type="gramStart"/>
      <w:r w:rsidRPr="000615AB">
        <w:rPr>
          <w:i/>
          <w:sz w:val="20"/>
        </w:rPr>
        <w:t xml:space="preserve">:  </w:t>
      </w:r>
      <w:r w:rsidRPr="000615AB">
        <w:rPr>
          <w:sz w:val="20"/>
        </w:rPr>
        <w:t>Estos</w:t>
      </w:r>
      <w:proofErr w:type="gramEnd"/>
      <w:r w:rsidRPr="000615AB">
        <w:rPr>
          <w:sz w:val="20"/>
        </w:rPr>
        <w:t xml:space="preserve"> gastos guardan relación con los gastos presupuestados (en el marco de los programas 21 a 29) que no han sido asignados a los gastos directos por Unión, así como al importe presupuestado en la categoría “No asignados” en la propuesta de presupuesto.  La asignación de esos gastos presupuestados se efectúa sobre la base de su respectiva </w:t>
      </w:r>
      <w:r w:rsidRPr="000615AB">
        <w:rPr>
          <w:i/>
          <w:sz w:val="20"/>
        </w:rPr>
        <w:t>capacidad de pago (es decir, según el mismo principio aplicable a los gastos indirectos por Unión).</w:t>
      </w:r>
    </w:p>
    <w:p w:rsidR="00383888" w:rsidRPr="000615AB" w:rsidRDefault="00383888" w:rsidP="00383888">
      <w:pPr>
        <w:rPr>
          <w:rFonts w:ascii="Calibri" w:hAnsi="Calibri"/>
          <w:szCs w:val="22"/>
        </w:rPr>
      </w:pPr>
    </w:p>
    <w:p w:rsidR="00383888" w:rsidRPr="000615AB" w:rsidRDefault="00383888" w:rsidP="00383888">
      <w:pPr>
        <w:rPr>
          <w:bCs/>
          <w:sz w:val="20"/>
        </w:rPr>
      </w:pPr>
      <w:r w:rsidRPr="000615AB">
        <w:rPr>
          <w:bCs/>
          <w:sz w:val="20"/>
        </w:rPr>
        <w:t>ASIGNACIÓN DE LOS AJUSTES PREVISTOS CONFORME A LAS IPSAS, POR UNIÓN</w:t>
      </w:r>
    </w:p>
    <w:p w:rsidR="00383888" w:rsidRPr="000615AB" w:rsidRDefault="00383888" w:rsidP="00383888">
      <w:pPr>
        <w:rPr>
          <w:rFonts w:ascii="Calibri" w:hAnsi="Calibri"/>
          <w:szCs w:val="22"/>
        </w:rPr>
      </w:pPr>
    </w:p>
    <w:p w:rsidR="00383888" w:rsidRPr="000615AB" w:rsidRDefault="00383888" w:rsidP="00383888">
      <w:pPr>
        <w:numPr>
          <w:ilvl w:val="0"/>
          <w:numId w:val="17"/>
        </w:numPr>
        <w:jc w:val="both"/>
        <w:rPr>
          <w:b/>
          <w:i/>
          <w:sz w:val="20"/>
        </w:rPr>
      </w:pPr>
      <w:r w:rsidRPr="000615AB">
        <w:rPr>
          <w:sz w:val="20"/>
        </w:rPr>
        <w:t>Los ajustes en los ingresos conforme a las IPSAS se pueden atribuir a cada una de las Uniones, puesto que guardan una relación directa con las tasas provenientes de los sistemas del PCT, de Madrid y de La Haya.  Se realiza una distribución proporcional de los ajustes en los gastos presupuestarios conforme a las IPSAS entre las Uniones sobre la base de la asignación de los gastos presupuestarios.</w:t>
      </w:r>
    </w:p>
    <w:p w:rsidR="00383888" w:rsidRPr="000615AB" w:rsidRDefault="00383888" w:rsidP="00383888">
      <w:pPr>
        <w:jc w:val="both"/>
        <w:rPr>
          <w:sz w:val="20"/>
        </w:rPr>
      </w:pPr>
    </w:p>
    <w:p w:rsidR="00383888" w:rsidRPr="000615AB" w:rsidRDefault="00383888" w:rsidP="00383888">
      <w:pPr>
        <w:numPr>
          <w:ilvl w:val="0"/>
          <w:numId w:val="17"/>
        </w:numPr>
        <w:jc w:val="both"/>
        <w:rPr>
          <w:sz w:val="20"/>
        </w:rPr>
      </w:pPr>
      <w:r w:rsidRPr="000615AB">
        <w:rPr>
          <w:sz w:val="20"/>
        </w:rPr>
        <w:t>De conformidad con la metodología descrita, se exponen a continuación varios cuadros con los datos siguientes:</w:t>
      </w:r>
    </w:p>
    <w:p w:rsidR="00383888" w:rsidRPr="000615AB" w:rsidRDefault="00383888" w:rsidP="00383888">
      <w:pPr>
        <w:jc w:val="both"/>
        <w:rPr>
          <w:sz w:val="20"/>
        </w:rPr>
      </w:pPr>
    </w:p>
    <w:p w:rsidR="00383888" w:rsidRPr="000615AB" w:rsidRDefault="00383888" w:rsidP="00383888">
      <w:pPr>
        <w:numPr>
          <w:ilvl w:val="0"/>
          <w:numId w:val="16"/>
        </w:numPr>
        <w:tabs>
          <w:tab w:val="clear" w:pos="720"/>
          <w:tab w:val="num" w:pos="1134"/>
        </w:tabs>
        <w:ind w:left="1134" w:hanging="567"/>
        <w:jc w:val="both"/>
        <w:rPr>
          <w:sz w:val="20"/>
        </w:rPr>
      </w:pPr>
      <w:r w:rsidRPr="000615AB">
        <w:rPr>
          <w:sz w:val="20"/>
        </w:rPr>
        <w:t>Cuadro 11.  Panorama financiero para 2014/15, por Unión</w:t>
      </w:r>
    </w:p>
    <w:p w:rsidR="00383888" w:rsidRPr="000615AB" w:rsidRDefault="00383888" w:rsidP="00383888">
      <w:pPr>
        <w:numPr>
          <w:ilvl w:val="0"/>
          <w:numId w:val="16"/>
        </w:numPr>
        <w:tabs>
          <w:tab w:val="clear" w:pos="720"/>
          <w:tab w:val="num" w:pos="1134"/>
        </w:tabs>
        <w:ind w:left="1134" w:hanging="567"/>
        <w:jc w:val="both"/>
        <w:rPr>
          <w:sz w:val="20"/>
        </w:rPr>
      </w:pPr>
      <w:r w:rsidRPr="000615AB">
        <w:rPr>
          <w:sz w:val="20"/>
        </w:rPr>
        <w:lastRenderedPageBreak/>
        <w:t>Cuadro 12.  Estimaciones de ingresos para 2014/15, por Unión</w:t>
      </w:r>
    </w:p>
    <w:p w:rsidR="00383888" w:rsidRPr="000615AB" w:rsidRDefault="00383888" w:rsidP="00383888">
      <w:pPr>
        <w:numPr>
          <w:ilvl w:val="0"/>
          <w:numId w:val="16"/>
        </w:numPr>
        <w:tabs>
          <w:tab w:val="clear" w:pos="720"/>
          <w:tab w:val="num" w:pos="1134"/>
        </w:tabs>
        <w:ind w:left="1134" w:hanging="567"/>
        <w:jc w:val="both"/>
        <w:rPr>
          <w:sz w:val="20"/>
        </w:rPr>
      </w:pPr>
      <w:r w:rsidRPr="000615AB">
        <w:rPr>
          <w:sz w:val="20"/>
        </w:rPr>
        <w:t>Cuadro 13.  Presupuesto para 2014/15, por programa y Unión</w:t>
      </w:r>
    </w:p>
    <w:p w:rsidR="00383888" w:rsidRPr="000615AB" w:rsidRDefault="00383888" w:rsidP="00383888">
      <w:pPr>
        <w:numPr>
          <w:ilvl w:val="0"/>
          <w:numId w:val="16"/>
        </w:numPr>
        <w:tabs>
          <w:tab w:val="clear" w:pos="720"/>
          <w:tab w:val="num" w:pos="1134"/>
        </w:tabs>
        <w:ind w:left="1134" w:hanging="567"/>
        <w:jc w:val="both"/>
        <w:rPr>
          <w:sz w:val="20"/>
        </w:rPr>
      </w:pPr>
      <w:r w:rsidRPr="000615AB">
        <w:rPr>
          <w:sz w:val="20"/>
        </w:rPr>
        <w:t xml:space="preserve">Cuadro 14.  Situación </w:t>
      </w:r>
      <w:r w:rsidR="007133AF">
        <w:rPr>
          <w:sz w:val="20"/>
        </w:rPr>
        <w:t>hipotética</w:t>
      </w:r>
      <w:r w:rsidRPr="000615AB">
        <w:rPr>
          <w:sz w:val="20"/>
        </w:rPr>
        <w:t xml:space="preserve"> para 2014/15, por Unión</w:t>
      </w:r>
    </w:p>
    <w:p w:rsidR="00383888" w:rsidRPr="000615AB" w:rsidRDefault="00383888" w:rsidP="00383888">
      <w:pPr>
        <w:jc w:val="both"/>
        <w:rPr>
          <w:sz w:val="20"/>
        </w:rPr>
      </w:pPr>
    </w:p>
    <w:p w:rsidR="00383888" w:rsidRPr="000615AB" w:rsidRDefault="00383888" w:rsidP="00383888">
      <w:pPr>
        <w:jc w:val="both"/>
        <w:rPr>
          <w:sz w:val="20"/>
        </w:rPr>
      </w:pPr>
    </w:p>
    <w:p w:rsidR="00383888" w:rsidRPr="000615AB" w:rsidRDefault="00383888" w:rsidP="00383888">
      <w:pPr>
        <w:jc w:val="both"/>
        <w:rPr>
          <w:sz w:val="20"/>
        </w:rPr>
      </w:pPr>
    </w:p>
    <w:p w:rsidR="00383888" w:rsidRPr="000615AB" w:rsidRDefault="00383888" w:rsidP="00383888">
      <w:pPr>
        <w:jc w:val="center"/>
        <w:rPr>
          <w:sz w:val="18"/>
          <w:szCs w:val="18"/>
        </w:rPr>
      </w:pPr>
      <w:r w:rsidRPr="000615AB">
        <w:rPr>
          <w:sz w:val="18"/>
          <w:szCs w:val="18"/>
        </w:rPr>
        <w:t>Cuadro 11.  Panorama financiero para 2014/15, por Unión</w:t>
      </w:r>
    </w:p>
    <w:p w:rsidR="00383888" w:rsidRPr="000615AB" w:rsidRDefault="00383888" w:rsidP="00383888">
      <w:pPr>
        <w:jc w:val="center"/>
        <w:rPr>
          <w:sz w:val="18"/>
          <w:szCs w:val="18"/>
        </w:rP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miles de francos suizos)</w:t>
      </w:r>
    </w:p>
    <w:p w:rsidR="00383888" w:rsidRPr="000615AB" w:rsidRDefault="00383888" w:rsidP="00383888">
      <w:pPr>
        <w:jc w:val="both"/>
        <w:rPr>
          <w:sz w:val="20"/>
        </w:rPr>
      </w:pPr>
    </w:p>
    <w:p w:rsidR="00383888" w:rsidRPr="000615AB" w:rsidRDefault="002B3CDE" w:rsidP="00383888">
      <w:pPr>
        <w:jc w:val="both"/>
        <w:rPr>
          <w:sz w:val="20"/>
        </w:rPr>
      </w:pPr>
      <w:r w:rsidRPr="002B3CDE">
        <w:rPr>
          <w:noProof/>
          <w:lang w:val="en-US" w:eastAsia="en-US"/>
        </w:rPr>
        <w:drawing>
          <wp:inline distT="0" distB="0" distL="0" distR="0" wp14:anchorId="737B0B31" wp14:editId="52695BB9">
            <wp:extent cx="5760085" cy="1362205"/>
            <wp:effectExtent l="0" t="0" r="0" b="952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760085" cy="1362205"/>
                    </a:xfrm>
                    <a:prstGeom prst="rect">
                      <a:avLst/>
                    </a:prstGeom>
                    <a:noFill/>
                    <a:ln>
                      <a:noFill/>
                    </a:ln>
                  </pic:spPr>
                </pic:pic>
              </a:graphicData>
            </a:graphic>
          </wp:inline>
        </w:drawing>
      </w:r>
    </w:p>
    <w:p w:rsidR="00383888" w:rsidRPr="000615AB" w:rsidRDefault="00383888" w:rsidP="00383888">
      <w:pPr>
        <w:jc w:val="both"/>
        <w:rPr>
          <w:sz w:val="20"/>
        </w:rPr>
      </w:pPr>
    </w:p>
    <w:p w:rsidR="00383888" w:rsidRPr="000615AB" w:rsidRDefault="00383888" w:rsidP="00383888">
      <w:pPr>
        <w:jc w:val="both"/>
        <w:rPr>
          <w:sz w:val="20"/>
        </w:rPr>
      </w:pPr>
    </w:p>
    <w:p w:rsidR="00383888" w:rsidRPr="000615AB" w:rsidRDefault="00383888" w:rsidP="00383888">
      <w:pPr>
        <w:jc w:val="center"/>
        <w:rPr>
          <w:sz w:val="18"/>
          <w:szCs w:val="18"/>
        </w:rPr>
      </w:pPr>
      <w:r w:rsidRPr="000615AB">
        <w:rPr>
          <w:sz w:val="18"/>
          <w:szCs w:val="18"/>
        </w:rPr>
        <w:t>Cuadro 12.  Estimaciones de ingresos para 2014/15, por Unión</w:t>
      </w:r>
    </w:p>
    <w:p w:rsidR="00383888" w:rsidRPr="000615AB" w:rsidRDefault="00383888" w:rsidP="00383888">
      <w:pPr>
        <w:jc w:val="center"/>
        <w:rPr>
          <w:sz w:val="18"/>
          <w:szCs w:val="18"/>
        </w:rP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miles de francos suizos)</w:t>
      </w:r>
    </w:p>
    <w:p w:rsidR="00383888" w:rsidRPr="000615AB" w:rsidRDefault="00383888" w:rsidP="00383888">
      <w:pPr>
        <w:jc w:val="both"/>
        <w:rPr>
          <w:sz w:val="20"/>
        </w:rPr>
      </w:pPr>
    </w:p>
    <w:p w:rsidR="00383888" w:rsidRPr="000615AB" w:rsidRDefault="00C40A11" w:rsidP="00383888">
      <w:pPr>
        <w:jc w:val="both"/>
        <w:rPr>
          <w:sz w:val="20"/>
        </w:rPr>
      </w:pPr>
      <w:r>
        <w:rPr>
          <w:noProof/>
          <w:lang w:val="en-US" w:eastAsia="en-US"/>
        </w:rPr>
        <w:drawing>
          <wp:inline distT="0" distB="0" distL="0" distR="0" wp14:anchorId="2EF0AAE4" wp14:editId="61D8A8C5">
            <wp:extent cx="5752465" cy="1180465"/>
            <wp:effectExtent l="0" t="0" r="635" b="63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5752465" cy="1180465"/>
                    </a:xfrm>
                    <a:prstGeom prst="rect">
                      <a:avLst/>
                    </a:prstGeom>
                    <a:noFill/>
                    <a:ln>
                      <a:noFill/>
                    </a:ln>
                  </pic:spPr>
                </pic:pic>
              </a:graphicData>
            </a:graphic>
          </wp:inline>
        </w:drawing>
      </w:r>
    </w:p>
    <w:p w:rsidR="00383888" w:rsidRPr="000615AB" w:rsidRDefault="00383888" w:rsidP="00383888">
      <w:pPr>
        <w:jc w:val="both"/>
        <w:rPr>
          <w:sz w:val="20"/>
        </w:rPr>
      </w:pPr>
    </w:p>
    <w:p w:rsidR="00383888" w:rsidRPr="000615AB" w:rsidRDefault="00383888" w:rsidP="00383888">
      <w:pPr>
        <w:jc w:val="both"/>
        <w:rPr>
          <w:sz w:val="20"/>
        </w:rPr>
      </w:pPr>
    </w:p>
    <w:p w:rsidR="00383888" w:rsidRPr="000615AB" w:rsidRDefault="00383888" w:rsidP="00383888">
      <w:pPr>
        <w:jc w:val="center"/>
        <w:rPr>
          <w:sz w:val="20"/>
        </w:rPr>
      </w:pPr>
    </w:p>
    <w:p w:rsidR="00383888" w:rsidRPr="000615AB" w:rsidRDefault="00383888" w:rsidP="00383888">
      <w:pPr>
        <w:rPr>
          <w:sz w:val="20"/>
        </w:rPr>
        <w:sectPr w:rsidR="00383888" w:rsidRPr="000615AB" w:rsidSect="00B47699">
          <w:headerReference w:type="even" r:id="rId152"/>
          <w:headerReference w:type="default" r:id="rId153"/>
          <w:footerReference w:type="even" r:id="rId154"/>
          <w:footerReference w:type="default" r:id="rId155"/>
          <w:pgSz w:w="11907" w:h="16840" w:code="9"/>
          <w:pgMar w:top="567" w:right="1418" w:bottom="1418" w:left="1418" w:header="510" w:footer="851" w:gutter="0"/>
          <w:cols w:space="720"/>
        </w:sectPr>
      </w:pPr>
    </w:p>
    <w:p w:rsidR="00383888" w:rsidRPr="000615AB" w:rsidRDefault="00383888" w:rsidP="00383888">
      <w:pPr>
        <w:jc w:val="center"/>
        <w:rPr>
          <w:sz w:val="18"/>
          <w:szCs w:val="18"/>
        </w:rPr>
      </w:pPr>
      <w:r w:rsidRPr="000615AB">
        <w:rPr>
          <w:sz w:val="18"/>
          <w:szCs w:val="18"/>
        </w:rPr>
        <w:lastRenderedPageBreak/>
        <w:t>Cuadro 13.  Presupuesto para 2014/15, por programa y Unión</w:t>
      </w:r>
    </w:p>
    <w:p w:rsidR="00383888" w:rsidRPr="000615AB" w:rsidRDefault="00383888" w:rsidP="00383888">
      <w:pPr>
        <w:jc w:val="center"/>
        <w:rPr>
          <w:i/>
          <w:iCs/>
          <w:sz w:val="18"/>
          <w:szCs w:val="18"/>
        </w:rP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miles de francos suizos)</w:t>
      </w:r>
    </w:p>
    <w:p w:rsidR="00383888" w:rsidRPr="000615AB" w:rsidRDefault="00383888" w:rsidP="00383888">
      <w:pPr>
        <w:jc w:val="center"/>
        <w:rPr>
          <w:i/>
          <w:iCs/>
          <w:sz w:val="20"/>
        </w:rPr>
      </w:pPr>
      <w:r w:rsidRPr="000615AB">
        <w:rPr>
          <w:i/>
          <w:iCs/>
          <w:sz w:val="20"/>
        </w:rPr>
        <w:br/>
      </w:r>
      <w:r w:rsidR="00C73CEE" w:rsidRPr="00C73CEE">
        <w:rPr>
          <w:noProof/>
          <w:lang w:val="en-US" w:eastAsia="en-US"/>
        </w:rPr>
        <w:drawing>
          <wp:inline distT="0" distB="0" distL="0" distR="0" wp14:anchorId="4FCF7365" wp14:editId="648ABDC2">
            <wp:extent cx="9352077" cy="4805916"/>
            <wp:effectExtent l="0" t="0" r="190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9353834" cy="4806819"/>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jc w:val="center"/>
        <w:rPr>
          <w:sz w:val="18"/>
          <w:szCs w:val="18"/>
        </w:rPr>
      </w:pPr>
      <w:r w:rsidRPr="000615AB">
        <w:rPr>
          <w:sz w:val="18"/>
          <w:szCs w:val="18"/>
        </w:rPr>
        <w:br w:type="page"/>
      </w:r>
      <w:r w:rsidRPr="000615AB">
        <w:rPr>
          <w:sz w:val="18"/>
          <w:szCs w:val="18"/>
        </w:rPr>
        <w:lastRenderedPageBreak/>
        <w:t>Cuadro 14.  Situación</w:t>
      </w:r>
      <w:r w:rsidR="007133AF">
        <w:rPr>
          <w:sz w:val="18"/>
          <w:szCs w:val="18"/>
        </w:rPr>
        <w:t xml:space="preserve"> hipotética</w:t>
      </w:r>
      <w:r w:rsidRPr="000615AB">
        <w:rPr>
          <w:sz w:val="18"/>
          <w:szCs w:val="18"/>
        </w:rPr>
        <w:t xml:space="preserve"> para 2014/15, por Unión</w:t>
      </w:r>
    </w:p>
    <w:p w:rsidR="00383888" w:rsidRPr="000615AB" w:rsidRDefault="00383888" w:rsidP="00383888">
      <w:pPr>
        <w:jc w:val="center"/>
        <w:rPr>
          <w:sz w:val="18"/>
          <w:szCs w:val="18"/>
        </w:rPr>
      </w:pPr>
      <w:r w:rsidRPr="000615AB">
        <w:rPr>
          <w:sz w:val="18"/>
          <w:szCs w:val="18"/>
        </w:rPr>
        <w:t>(</w:t>
      </w:r>
      <w:proofErr w:type="gramStart"/>
      <w:r w:rsidRPr="000615AB">
        <w:rPr>
          <w:sz w:val="18"/>
          <w:szCs w:val="18"/>
        </w:rPr>
        <w:t>en</w:t>
      </w:r>
      <w:proofErr w:type="gramEnd"/>
      <w:r w:rsidRPr="000615AB">
        <w:rPr>
          <w:sz w:val="18"/>
          <w:szCs w:val="18"/>
        </w:rPr>
        <w:t xml:space="preserve"> miles de francos suizos)</w:t>
      </w:r>
    </w:p>
    <w:p w:rsidR="00383888" w:rsidRPr="000615AB" w:rsidRDefault="00383888" w:rsidP="00383888">
      <w:pPr>
        <w:jc w:val="center"/>
        <w:rPr>
          <w:sz w:val="18"/>
          <w:szCs w:val="18"/>
        </w:rPr>
      </w:pPr>
    </w:p>
    <w:p w:rsidR="00383888" w:rsidRPr="000615AB" w:rsidRDefault="003D74F9" w:rsidP="00383888">
      <w:pPr>
        <w:jc w:val="center"/>
        <w:rPr>
          <w:sz w:val="20"/>
        </w:rPr>
      </w:pPr>
      <w:r w:rsidRPr="003D74F9">
        <w:rPr>
          <w:noProof/>
          <w:lang w:val="en-US" w:eastAsia="en-US"/>
        </w:rPr>
        <w:drawing>
          <wp:inline distT="0" distB="0" distL="0" distR="0" wp14:anchorId="399EB409" wp14:editId="186DA114">
            <wp:extent cx="8964930" cy="3045337"/>
            <wp:effectExtent l="0" t="0" r="762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8964930" cy="3045337"/>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rPr>
          <w:sz w:val="20"/>
        </w:rPr>
      </w:pPr>
    </w:p>
    <w:p w:rsidR="00383888" w:rsidRPr="000615AB" w:rsidRDefault="00383888" w:rsidP="00383888">
      <w:pPr>
        <w:jc w:val="right"/>
        <w:rPr>
          <w:sz w:val="20"/>
        </w:rPr>
      </w:pPr>
    </w:p>
    <w:p w:rsidR="00383888" w:rsidRPr="000615AB" w:rsidRDefault="00383888" w:rsidP="00383888">
      <w:pPr>
        <w:rPr>
          <w:sz w:val="20"/>
        </w:rPr>
      </w:pPr>
    </w:p>
    <w:p w:rsidR="00383888" w:rsidRPr="000615AB" w:rsidRDefault="00383888" w:rsidP="00383888">
      <w:pPr>
        <w:rPr>
          <w:sz w:val="20"/>
        </w:rPr>
        <w:sectPr w:rsidR="00383888" w:rsidRPr="000615AB" w:rsidSect="00B47699">
          <w:footerReference w:type="even" r:id="rId158"/>
          <w:footerReference w:type="default" r:id="rId159"/>
          <w:pgSz w:w="16840" w:h="11907" w:orient="landscape" w:code="9"/>
          <w:pgMar w:top="1134" w:right="1361" w:bottom="1134" w:left="1361"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15" w:name="_Toc366078758"/>
      <w:r w:rsidRPr="00C3705E">
        <w:rPr>
          <w:b/>
          <w:caps w:val="0"/>
          <w:szCs w:val="24"/>
          <w:lang w:val="es-ES_tradnl"/>
        </w:rPr>
        <w:lastRenderedPageBreak/>
        <w:t>ANEXO IV.</w:t>
      </w:r>
      <w:r w:rsidRPr="00C3705E">
        <w:rPr>
          <w:b/>
          <w:caps w:val="0"/>
          <w:szCs w:val="24"/>
          <w:lang w:val="es-ES_tradnl"/>
        </w:rPr>
        <w:tab/>
        <w:t>EVOLUCIÓN DE LA DEMANDA DE LOS SERVICIOS DE LOS SISTEMAS DEL PCT, DE MADRID Y DE LA HAYA A MEDIANO PLAZO</w:t>
      </w:r>
      <w:bookmarkEnd w:id="115"/>
    </w:p>
    <w:p w:rsidR="00383888" w:rsidRPr="000615AB" w:rsidRDefault="00383888" w:rsidP="00383888">
      <w:pPr>
        <w:rPr>
          <w:sz w:val="20"/>
        </w:rPr>
      </w:pPr>
    </w:p>
    <w:p w:rsidR="00383888" w:rsidRPr="000615AB" w:rsidRDefault="00383888" w:rsidP="00383888">
      <w:pPr>
        <w:rPr>
          <w:sz w:val="20"/>
        </w:rPr>
      </w:pPr>
    </w:p>
    <w:p w:rsidR="00383888" w:rsidRPr="000615AB" w:rsidRDefault="00383888" w:rsidP="00383888">
      <w:pPr>
        <w:jc w:val="both"/>
        <w:rPr>
          <w:b/>
          <w:sz w:val="20"/>
        </w:rPr>
      </w:pPr>
      <w:r w:rsidRPr="000615AB">
        <w:rPr>
          <w:b/>
          <w:sz w:val="20"/>
        </w:rPr>
        <w:t>PCT</w:t>
      </w:r>
    </w:p>
    <w:p w:rsidR="00383888" w:rsidRPr="000615AB" w:rsidRDefault="00383888" w:rsidP="00383888">
      <w:pPr>
        <w:jc w:val="both"/>
        <w:rPr>
          <w:b/>
          <w:sz w:val="20"/>
        </w:rPr>
      </w:pPr>
    </w:p>
    <w:p w:rsidR="00383888" w:rsidRPr="000615AB" w:rsidRDefault="00383888" w:rsidP="00383888">
      <w:pPr>
        <w:numPr>
          <w:ilvl w:val="0"/>
          <w:numId w:val="18"/>
        </w:numPr>
        <w:jc w:val="both"/>
        <w:rPr>
          <w:sz w:val="20"/>
        </w:rPr>
      </w:pPr>
      <w:r w:rsidRPr="000615AB">
        <w:rPr>
          <w:sz w:val="20"/>
        </w:rPr>
        <w:t>Diversos factores influyen en la cuantía de los ingresos del PCT, en particular, la demanda de servicios del PCT y el comportamiento de los solicitantes.  A su vez, diversos factores internos y externos en relación con el sistema de patentes influyen en la demanda de servicios del PCT.  Entre los factores externos cabe mencionar el rendimiento de la economía a escala mundial y en los países en los que la demanda crece más y más rápidamente;  la inversión en investigación y desarrollo (I+D);  la confianza tecnológica, y, por último, las fluctuaciones de los tipos de cambio.  Entre los factores internos cabe destacar</w:t>
      </w:r>
      <w:proofErr w:type="gramStart"/>
      <w:r w:rsidRPr="000615AB">
        <w:rPr>
          <w:sz w:val="20"/>
        </w:rPr>
        <w:t>:  la</w:t>
      </w:r>
      <w:proofErr w:type="gramEnd"/>
      <w:r w:rsidRPr="000615AB">
        <w:rPr>
          <w:sz w:val="20"/>
        </w:rPr>
        <w:t xml:space="preserve"> cuantía de las tasas PCT en comparación con otros medios de presentación de solicitudes de patente;  el interés y el valor que se atribuye a los servicios PCT en comparación con los demás medios de presentación;  la credibilidad general del funcionamiento del sistema de patentes, y, por último, las estrategias de las empresas en materia de patentes.</w:t>
      </w:r>
    </w:p>
    <w:p w:rsidR="00383888" w:rsidRPr="000615AB" w:rsidRDefault="00383888" w:rsidP="00383888">
      <w:pPr>
        <w:tabs>
          <w:tab w:val="num" w:pos="0"/>
        </w:tabs>
        <w:jc w:val="both"/>
        <w:rPr>
          <w:sz w:val="20"/>
        </w:rPr>
      </w:pPr>
    </w:p>
    <w:p w:rsidR="00383888" w:rsidRPr="000615AB" w:rsidRDefault="00383888" w:rsidP="00383888">
      <w:pPr>
        <w:numPr>
          <w:ilvl w:val="0"/>
          <w:numId w:val="18"/>
        </w:numPr>
        <w:jc w:val="both"/>
        <w:rPr>
          <w:sz w:val="20"/>
        </w:rPr>
      </w:pPr>
      <w:r w:rsidRPr="000615AB">
        <w:rPr>
          <w:sz w:val="20"/>
        </w:rPr>
        <w:t>El comportamiento de los solicitantes influye en los ingresos de la siguiente manera:</w:t>
      </w:r>
    </w:p>
    <w:p w:rsidR="00383888" w:rsidRPr="000615AB" w:rsidRDefault="00383888" w:rsidP="00383888">
      <w:pPr>
        <w:pStyle w:val="BodyText"/>
        <w:widowControl w:val="0"/>
        <w:tabs>
          <w:tab w:val="num" w:pos="567"/>
        </w:tabs>
        <w:spacing w:after="0"/>
        <w:jc w:val="both"/>
        <w:rPr>
          <w:sz w:val="20"/>
        </w:rPr>
      </w:pPr>
    </w:p>
    <w:p w:rsidR="00383888" w:rsidRPr="000615AB" w:rsidRDefault="00383888" w:rsidP="00383888">
      <w:pPr>
        <w:pStyle w:val="BodyText"/>
        <w:widowControl w:val="0"/>
        <w:tabs>
          <w:tab w:val="left" w:pos="567"/>
        </w:tabs>
        <w:spacing w:after="0"/>
        <w:ind w:left="567"/>
        <w:jc w:val="both"/>
        <w:rPr>
          <w:sz w:val="20"/>
        </w:rPr>
      </w:pPr>
      <w:r w:rsidRPr="000615AB">
        <w:rPr>
          <w:sz w:val="20"/>
        </w:rPr>
        <w:t>i)</w:t>
      </w:r>
      <w:r>
        <w:rPr>
          <w:sz w:val="20"/>
        </w:rPr>
        <w:tab/>
      </w:r>
      <w:r w:rsidRPr="000615AB">
        <w:rPr>
          <w:sz w:val="20"/>
          <w:u w:val="single"/>
        </w:rPr>
        <w:t>Tasa por exceso de páginas</w:t>
      </w:r>
      <w:proofErr w:type="gramStart"/>
      <w:r w:rsidRPr="000615AB">
        <w:rPr>
          <w:sz w:val="20"/>
        </w:rPr>
        <w:t>:  la</w:t>
      </w:r>
      <w:proofErr w:type="gramEnd"/>
      <w:r w:rsidRPr="000615AB">
        <w:rPr>
          <w:sz w:val="20"/>
        </w:rPr>
        <w:t xml:space="preserve"> Oficina Internacional percibe 15 francos suizos por cada página que exceda de 30 en una solicitud.</w:t>
      </w:r>
    </w:p>
    <w:p w:rsidR="00383888" w:rsidRPr="000615AB" w:rsidRDefault="00383888" w:rsidP="00383888">
      <w:pPr>
        <w:pStyle w:val="BodyText"/>
        <w:spacing w:after="0"/>
        <w:jc w:val="both"/>
        <w:rPr>
          <w:sz w:val="20"/>
        </w:rPr>
      </w:pPr>
    </w:p>
    <w:p w:rsidR="00383888" w:rsidRPr="000615AB" w:rsidRDefault="00383888" w:rsidP="00383888">
      <w:pPr>
        <w:pStyle w:val="BodyText"/>
        <w:widowControl w:val="0"/>
        <w:tabs>
          <w:tab w:val="left" w:pos="567"/>
        </w:tabs>
        <w:spacing w:after="0"/>
        <w:ind w:left="567"/>
        <w:jc w:val="both"/>
        <w:rPr>
          <w:sz w:val="20"/>
        </w:rPr>
      </w:pPr>
      <w:r w:rsidRPr="000615AB">
        <w:rPr>
          <w:sz w:val="20"/>
        </w:rPr>
        <w:t>ii)</w:t>
      </w:r>
      <w:r>
        <w:rPr>
          <w:sz w:val="20"/>
        </w:rPr>
        <w:tab/>
      </w:r>
      <w:r w:rsidRPr="000615AB">
        <w:rPr>
          <w:sz w:val="20"/>
          <w:u w:val="single"/>
        </w:rPr>
        <w:t>Examen preliminar internacional</w:t>
      </w:r>
      <w:proofErr w:type="gramStart"/>
      <w:r w:rsidRPr="000615AB">
        <w:rPr>
          <w:sz w:val="20"/>
        </w:rPr>
        <w:t>:  los</w:t>
      </w:r>
      <w:proofErr w:type="gramEnd"/>
      <w:r w:rsidRPr="000615AB">
        <w:rPr>
          <w:sz w:val="20"/>
        </w:rPr>
        <w:t xml:space="preserve"> solicitantes que recurran al examen preliminar internacional en virtud del Capítulo II del PCT deberán pagar una tasa adicional (tasa de tramitación).</w:t>
      </w:r>
    </w:p>
    <w:p w:rsidR="00383888" w:rsidRPr="000615AB" w:rsidRDefault="00383888" w:rsidP="00383888">
      <w:pPr>
        <w:pStyle w:val="BodyText"/>
        <w:tabs>
          <w:tab w:val="left" w:pos="1134"/>
        </w:tabs>
        <w:spacing w:after="0"/>
        <w:jc w:val="both"/>
        <w:rPr>
          <w:sz w:val="20"/>
        </w:rPr>
      </w:pPr>
    </w:p>
    <w:p w:rsidR="00383888" w:rsidRPr="000615AB" w:rsidRDefault="00383888" w:rsidP="00383888">
      <w:pPr>
        <w:pStyle w:val="BodyText"/>
        <w:widowControl w:val="0"/>
        <w:tabs>
          <w:tab w:val="left" w:pos="567"/>
        </w:tabs>
        <w:spacing w:after="0"/>
        <w:ind w:left="567"/>
        <w:jc w:val="both"/>
        <w:rPr>
          <w:sz w:val="20"/>
        </w:rPr>
      </w:pPr>
      <w:r w:rsidRPr="000615AB">
        <w:rPr>
          <w:sz w:val="20"/>
        </w:rPr>
        <w:t>iii)</w:t>
      </w:r>
      <w:r>
        <w:rPr>
          <w:sz w:val="20"/>
        </w:rPr>
        <w:tab/>
      </w:r>
      <w:r w:rsidRPr="000615AB">
        <w:rPr>
          <w:sz w:val="20"/>
          <w:u w:val="single"/>
        </w:rPr>
        <w:t>Presentación electrónica</w:t>
      </w:r>
      <w:proofErr w:type="gramStart"/>
      <w:r w:rsidRPr="000615AB">
        <w:rPr>
          <w:sz w:val="20"/>
        </w:rPr>
        <w:t>:  cuando</w:t>
      </w:r>
      <w:proofErr w:type="gramEnd"/>
      <w:r w:rsidRPr="000615AB">
        <w:rPr>
          <w:sz w:val="20"/>
        </w:rPr>
        <w:t xml:space="preserve"> los solicitantes utilicen este medio de presentación (en lugar de la presentación en papel) podrán beneficiarse de un descuento.</w:t>
      </w:r>
    </w:p>
    <w:p w:rsidR="00383888" w:rsidRPr="000615AB" w:rsidRDefault="00383888" w:rsidP="00383888">
      <w:pPr>
        <w:pStyle w:val="BodyText"/>
        <w:spacing w:after="0"/>
        <w:jc w:val="both"/>
        <w:rPr>
          <w:sz w:val="20"/>
        </w:rPr>
      </w:pPr>
    </w:p>
    <w:p w:rsidR="00383888" w:rsidRPr="000615AB" w:rsidRDefault="00383888" w:rsidP="00383888">
      <w:pPr>
        <w:pStyle w:val="BodyText"/>
        <w:tabs>
          <w:tab w:val="left" w:pos="0"/>
        </w:tabs>
        <w:spacing w:after="0"/>
        <w:ind w:left="567" w:hanging="567"/>
        <w:jc w:val="both"/>
        <w:rPr>
          <w:sz w:val="20"/>
        </w:rPr>
      </w:pPr>
      <w:r w:rsidRPr="000615AB">
        <w:rPr>
          <w:sz w:val="20"/>
        </w:rPr>
        <w:tab/>
        <w:t>iv)</w:t>
      </w:r>
      <w:r>
        <w:rPr>
          <w:sz w:val="20"/>
        </w:rPr>
        <w:tab/>
      </w:r>
      <w:r w:rsidRPr="000615AB">
        <w:rPr>
          <w:sz w:val="20"/>
          <w:u w:val="single"/>
        </w:rPr>
        <w:t>La Oficina Internacional como Oficina receptora</w:t>
      </w:r>
      <w:proofErr w:type="gramStart"/>
      <w:r w:rsidRPr="000615AB">
        <w:rPr>
          <w:sz w:val="20"/>
        </w:rPr>
        <w:t>:  los</w:t>
      </w:r>
      <w:proofErr w:type="gramEnd"/>
      <w:r w:rsidRPr="000615AB">
        <w:rPr>
          <w:sz w:val="20"/>
        </w:rPr>
        <w:t xml:space="preserve"> solicitantes que decidan presentar su solicitud a la Oficina Internacional en calidad de Oficina receptora habrán de pagar una tasa especial (tasa de transmisión).</w:t>
      </w:r>
    </w:p>
    <w:p w:rsidR="00383888" w:rsidRPr="000615AB" w:rsidRDefault="00383888" w:rsidP="00383888">
      <w:pPr>
        <w:pStyle w:val="BodyText"/>
        <w:spacing w:after="0"/>
        <w:jc w:val="both"/>
        <w:rPr>
          <w:sz w:val="20"/>
        </w:rPr>
      </w:pPr>
    </w:p>
    <w:p w:rsidR="00383888" w:rsidRPr="000615AB" w:rsidRDefault="00383888" w:rsidP="00383888">
      <w:pPr>
        <w:numPr>
          <w:ilvl w:val="0"/>
          <w:numId w:val="18"/>
        </w:numPr>
        <w:jc w:val="both"/>
        <w:rPr>
          <w:sz w:val="20"/>
        </w:rPr>
      </w:pPr>
      <w:r w:rsidRPr="000615AB">
        <w:rPr>
          <w:sz w:val="20"/>
        </w:rPr>
        <w:t>En los siguientes párrafos se analizan detenidamente las previsiones actuales respecto de:  la demanda;  las solicitudes de examen preliminar internacional previstas en virtud del Capítulo II;  el volumen previsto de solicitudes presentadas electrónicamente, y, por último, las previsiones relativas a la presentación de solicitudes en la Oficina Internacional en calidad de Oficina receptora</w:t>
      </w:r>
      <w:r w:rsidRPr="000615AB">
        <w:rPr>
          <w:rStyle w:val="FootnoteReference"/>
          <w:sz w:val="20"/>
        </w:rPr>
        <w:footnoteReference w:id="16"/>
      </w:r>
      <w:r w:rsidRPr="000615AB">
        <w:rPr>
          <w:sz w:val="20"/>
        </w:rPr>
        <w:t>.</w:t>
      </w:r>
    </w:p>
    <w:p w:rsidR="00383888" w:rsidRPr="000615AB" w:rsidRDefault="00383888" w:rsidP="00383888">
      <w:pPr>
        <w:widowControl w:val="0"/>
        <w:jc w:val="both"/>
        <w:rPr>
          <w:sz w:val="20"/>
        </w:rPr>
      </w:pPr>
    </w:p>
    <w:p w:rsidR="00383888" w:rsidRPr="000615AB" w:rsidRDefault="00383888" w:rsidP="00383888">
      <w:pPr>
        <w:widowControl w:val="0"/>
        <w:rPr>
          <w:sz w:val="20"/>
        </w:rPr>
      </w:pPr>
    </w:p>
    <w:p w:rsidR="00383888" w:rsidRPr="000615AB" w:rsidRDefault="00383888" w:rsidP="00383888">
      <w:pPr>
        <w:widowControl w:val="0"/>
        <w:rPr>
          <w:i/>
          <w:sz w:val="20"/>
        </w:rPr>
      </w:pPr>
      <w:r w:rsidRPr="000615AB">
        <w:rPr>
          <w:i/>
          <w:sz w:val="20"/>
        </w:rPr>
        <w:t>Previsión de solicitudes PCT (demanda)</w:t>
      </w:r>
    </w:p>
    <w:p w:rsidR="00383888" w:rsidRPr="000615AB" w:rsidRDefault="00383888" w:rsidP="00383888">
      <w:pPr>
        <w:widowControl w:val="0"/>
        <w:rPr>
          <w:sz w:val="20"/>
        </w:rPr>
      </w:pPr>
    </w:p>
    <w:p w:rsidR="00383888" w:rsidRPr="000615AB" w:rsidRDefault="00383888" w:rsidP="00383888">
      <w:pPr>
        <w:numPr>
          <w:ilvl w:val="0"/>
          <w:numId w:val="18"/>
        </w:numPr>
        <w:jc w:val="both"/>
        <w:rPr>
          <w:sz w:val="20"/>
        </w:rPr>
      </w:pPr>
      <w:r w:rsidRPr="000615AB">
        <w:rPr>
          <w:sz w:val="20"/>
        </w:rPr>
        <w:t xml:space="preserve">En 2009 se produjo un descenso anual de cerca del 5% en el número de solicitudes PCT, tras el cual se registró un aumento del 5,3% en 2010, del 11% en 2011 y del 6,3% en 2012.  El gráfico 1 muestra la previsión del número de solicitudes PCT correspondientes al período de 2011 a 2015 (a partir de datos de finales de enero de 2013). </w:t>
      </w:r>
    </w:p>
    <w:p w:rsidR="00383888" w:rsidRPr="000615AB" w:rsidRDefault="00383888" w:rsidP="00383888">
      <w:pPr>
        <w:jc w:val="both"/>
        <w:rPr>
          <w:sz w:val="20"/>
        </w:rPr>
      </w:pPr>
    </w:p>
    <w:p w:rsidR="00383888" w:rsidRPr="000615AB" w:rsidRDefault="00383888" w:rsidP="00383888">
      <w:pPr>
        <w:jc w:val="both"/>
        <w:rPr>
          <w:sz w:val="20"/>
        </w:rPr>
      </w:pPr>
    </w:p>
    <w:p w:rsidR="00383888" w:rsidRPr="000615AB" w:rsidRDefault="00383888" w:rsidP="00383888">
      <w:pPr>
        <w:keepNext/>
        <w:keepLines/>
        <w:jc w:val="center"/>
        <w:rPr>
          <w:sz w:val="18"/>
          <w:szCs w:val="18"/>
        </w:rPr>
      </w:pPr>
      <w:r w:rsidRPr="000615AB">
        <w:rPr>
          <w:sz w:val="18"/>
          <w:szCs w:val="18"/>
        </w:rPr>
        <w:lastRenderedPageBreak/>
        <w:t>Gráfico 1.  Solicitudes PCT de 2010 a 2015</w:t>
      </w:r>
    </w:p>
    <w:p w:rsidR="00383888" w:rsidRPr="000615AB" w:rsidRDefault="00383888" w:rsidP="00383888">
      <w:pPr>
        <w:keepNext/>
        <w:keepLines/>
        <w:rPr>
          <w:sz w:val="20"/>
        </w:rPr>
      </w:pPr>
    </w:p>
    <w:p w:rsidR="00383888" w:rsidRPr="000615AB" w:rsidRDefault="00C40A11" w:rsidP="00383888">
      <w:pPr>
        <w:keepNext/>
        <w:keepLines/>
        <w:jc w:val="center"/>
        <w:rPr>
          <w:sz w:val="20"/>
        </w:rPr>
      </w:pPr>
      <w:r>
        <w:rPr>
          <w:noProof/>
          <w:lang w:val="en-US" w:eastAsia="en-US"/>
        </w:rPr>
        <w:drawing>
          <wp:inline distT="0" distB="0" distL="0" distR="0" wp14:anchorId="40C92DA5" wp14:editId="00E8E152">
            <wp:extent cx="5001895" cy="2825115"/>
            <wp:effectExtent l="0" t="0" r="825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5001895" cy="2825115"/>
                    </a:xfrm>
                    <a:prstGeom prst="rect">
                      <a:avLst/>
                    </a:prstGeom>
                    <a:noFill/>
                    <a:ln>
                      <a:noFill/>
                    </a:ln>
                  </pic:spPr>
                </pic:pic>
              </a:graphicData>
            </a:graphic>
          </wp:inline>
        </w:drawing>
      </w:r>
    </w:p>
    <w:p w:rsidR="00383888" w:rsidRPr="000615AB" w:rsidRDefault="00383888" w:rsidP="00383888">
      <w:pPr>
        <w:keepNext/>
        <w:keepLines/>
        <w:jc w:val="center"/>
        <w:rPr>
          <w:sz w:val="20"/>
        </w:rPr>
      </w:pPr>
    </w:p>
    <w:p w:rsidR="00383888" w:rsidRPr="000615AB" w:rsidRDefault="00C40A11" w:rsidP="00383888">
      <w:pPr>
        <w:keepNext/>
        <w:keepLines/>
        <w:jc w:val="center"/>
        <w:rPr>
          <w:sz w:val="20"/>
        </w:rPr>
      </w:pPr>
      <w:r>
        <w:rPr>
          <w:noProof/>
          <w:lang w:val="en-US" w:eastAsia="en-US"/>
        </w:rPr>
        <w:drawing>
          <wp:inline distT="0" distB="0" distL="0" distR="0" wp14:anchorId="0118BA1E" wp14:editId="2CA8D4A3">
            <wp:extent cx="5581650" cy="682625"/>
            <wp:effectExtent l="0" t="0" r="0" b="317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5581650" cy="682625"/>
                    </a:xfrm>
                    <a:prstGeom prst="rect">
                      <a:avLst/>
                    </a:prstGeom>
                    <a:noFill/>
                    <a:ln>
                      <a:noFill/>
                    </a:ln>
                  </pic:spPr>
                </pic:pic>
              </a:graphicData>
            </a:graphic>
          </wp:inline>
        </w:drawing>
      </w:r>
    </w:p>
    <w:p w:rsidR="00383888" w:rsidRPr="000615AB" w:rsidRDefault="00383888" w:rsidP="00383888">
      <w:pPr>
        <w:jc w:val="both"/>
        <w:rPr>
          <w:sz w:val="20"/>
        </w:rPr>
      </w:pPr>
    </w:p>
    <w:p w:rsidR="00383888" w:rsidRPr="000615AB" w:rsidRDefault="00383888" w:rsidP="00383888">
      <w:pPr>
        <w:jc w:val="both"/>
        <w:rPr>
          <w:sz w:val="20"/>
        </w:rPr>
      </w:pPr>
    </w:p>
    <w:p w:rsidR="00383888" w:rsidRPr="000615AB" w:rsidRDefault="00383888" w:rsidP="00383888">
      <w:pPr>
        <w:numPr>
          <w:ilvl w:val="0"/>
          <w:numId w:val="18"/>
        </w:numPr>
        <w:jc w:val="both"/>
        <w:rPr>
          <w:sz w:val="20"/>
        </w:rPr>
      </w:pPr>
      <w:r w:rsidRPr="000615AB">
        <w:rPr>
          <w:sz w:val="20"/>
        </w:rPr>
        <w:t>El gráfico 2 muestra la previsión del número de solicitudes presentadas por país de origen.</w:t>
      </w:r>
    </w:p>
    <w:p w:rsidR="00383888" w:rsidRPr="000615AB" w:rsidRDefault="00383888" w:rsidP="00383888">
      <w:pPr>
        <w:rPr>
          <w:sz w:val="20"/>
        </w:rPr>
      </w:pPr>
    </w:p>
    <w:p w:rsidR="00383888" w:rsidRPr="000615AB" w:rsidRDefault="00383888" w:rsidP="00383888">
      <w:pPr>
        <w:widowControl w:val="0"/>
        <w:jc w:val="center"/>
        <w:rPr>
          <w:sz w:val="20"/>
        </w:rPr>
      </w:pPr>
      <w:r w:rsidRPr="000615AB">
        <w:rPr>
          <w:sz w:val="18"/>
          <w:szCs w:val="18"/>
        </w:rPr>
        <w:t>Gráfico 2.  Solicitudes PCT presentadas por una muestra representativa de países entre 2010 y 2015</w:t>
      </w:r>
    </w:p>
    <w:p w:rsidR="00383888" w:rsidRPr="000615AB" w:rsidRDefault="00383888" w:rsidP="00383888">
      <w:pPr>
        <w:rPr>
          <w:sz w:val="20"/>
        </w:rPr>
      </w:pPr>
    </w:p>
    <w:p w:rsidR="00383888" w:rsidRPr="000615AB" w:rsidRDefault="00C40A11" w:rsidP="00383888">
      <w:pPr>
        <w:jc w:val="center"/>
        <w:rPr>
          <w:sz w:val="20"/>
        </w:rPr>
      </w:pPr>
      <w:r>
        <w:rPr>
          <w:noProof/>
          <w:lang w:val="en-US" w:eastAsia="en-US"/>
        </w:rPr>
        <w:drawing>
          <wp:inline distT="0" distB="0" distL="0" distR="0" wp14:anchorId="63F237FB" wp14:editId="5E5A83AB">
            <wp:extent cx="3589655" cy="4121785"/>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589655" cy="4121785"/>
                    </a:xfrm>
                    <a:prstGeom prst="rect">
                      <a:avLst/>
                    </a:prstGeom>
                    <a:noFill/>
                    <a:ln>
                      <a:noFill/>
                    </a:ln>
                  </pic:spPr>
                </pic:pic>
              </a:graphicData>
            </a:graphic>
          </wp:inline>
        </w:drawing>
      </w:r>
    </w:p>
    <w:p w:rsidR="00383888" w:rsidRPr="000615AB" w:rsidRDefault="00383888" w:rsidP="00383888">
      <w:pPr>
        <w:numPr>
          <w:ilvl w:val="0"/>
          <w:numId w:val="18"/>
        </w:numPr>
        <w:tabs>
          <w:tab w:val="left" w:pos="540"/>
        </w:tabs>
        <w:jc w:val="both"/>
        <w:rPr>
          <w:sz w:val="20"/>
        </w:rPr>
      </w:pPr>
      <w:r w:rsidRPr="000615AB">
        <w:rPr>
          <w:sz w:val="20"/>
        </w:rPr>
        <w:lastRenderedPageBreak/>
        <w:t>Es probable que el número de solicitudes internacionales se ubique dentro de esos límites, que están asociados a un valor de probabilidad. El cuadro que figura a continuación indica la distribución probabilística</w:t>
      </w:r>
      <w:r w:rsidRPr="000615AB">
        <w:rPr>
          <w:b/>
          <w:sz w:val="20"/>
        </w:rPr>
        <w:t xml:space="preserve"> </w:t>
      </w:r>
      <w:r w:rsidRPr="000615AB">
        <w:rPr>
          <w:sz w:val="20"/>
        </w:rPr>
        <w:t>del número de solicitudes presentadas.</w:t>
      </w:r>
    </w:p>
    <w:p w:rsidR="00383888" w:rsidRPr="000615AB" w:rsidRDefault="00383888" w:rsidP="00383888">
      <w:pPr>
        <w:rPr>
          <w:sz w:val="20"/>
        </w:rPr>
      </w:pPr>
    </w:p>
    <w:p w:rsidR="00383888" w:rsidRPr="000615AB" w:rsidRDefault="00383888" w:rsidP="00383888">
      <w:pPr>
        <w:jc w:val="center"/>
        <w:rPr>
          <w:sz w:val="18"/>
          <w:szCs w:val="18"/>
        </w:rPr>
      </w:pPr>
      <w:r w:rsidRPr="000615AB">
        <w:rPr>
          <w:sz w:val="18"/>
          <w:szCs w:val="18"/>
        </w:rPr>
        <w:t>Distribución probabilística de la previsión de solicitudes</w:t>
      </w:r>
    </w:p>
    <w:p w:rsidR="00383888" w:rsidRPr="000615AB" w:rsidRDefault="00C40A11" w:rsidP="00383888">
      <w:pPr>
        <w:jc w:val="center"/>
        <w:rPr>
          <w:sz w:val="20"/>
        </w:rPr>
      </w:pPr>
      <w:r>
        <w:rPr>
          <w:noProof/>
          <w:lang w:val="en-US" w:eastAsia="en-US"/>
        </w:rPr>
        <w:drawing>
          <wp:inline distT="0" distB="0" distL="0" distR="0" wp14:anchorId="517A136F" wp14:editId="53485AC5">
            <wp:extent cx="5200015" cy="3016250"/>
            <wp:effectExtent l="0" t="0" r="63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5200015" cy="3016250"/>
                    </a:xfrm>
                    <a:prstGeom prst="rect">
                      <a:avLst/>
                    </a:prstGeom>
                    <a:noFill/>
                    <a:ln>
                      <a:noFill/>
                    </a:ln>
                  </pic:spPr>
                </pic:pic>
              </a:graphicData>
            </a:graphic>
          </wp:inline>
        </w:drawing>
      </w:r>
    </w:p>
    <w:p w:rsidR="00383888" w:rsidRDefault="00383888" w:rsidP="00383888">
      <w:pPr>
        <w:jc w:val="center"/>
        <w:rPr>
          <w:sz w:val="18"/>
          <w:szCs w:val="18"/>
        </w:rPr>
      </w:pPr>
    </w:p>
    <w:p w:rsidR="00383888" w:rsidRDefault="00383888" w:rsidP="00383888">
      <w:pPr>
        <w:jc w:val="center"/>
        <w:rPr>
          <w:sz w:val="18"/>
          <w:szCs w:val="18"/>
        </w:rPr>
      </w:pPr>
      <w:r w:rsidRPr="000615AB">
        <w:rPr>
          <w:sz w:val="18"/>
          <w:szCs w:val="18"/>
        </w:rPr>
        <w:t>Proyecciones correspondientes a las solicitudes PCT</w:t>
      </w:r>
    </w:p>
    <w:p w:rsidR="00383888" w:rsidRPr="000615AB" w:rsidRDefault="00383888" w:rsidP="00383888">
      <w:pPr>
        <w:jc w:val="center"/>
        <w:rPr>
          <w:sz w:val="18"/>
          <w:szCs w:val="18"/>
        </w:rPr>
      </w:pPr>
    </w:p>
    <w:p w:rsidR="00383888" w:rsidRPr="000615AB" w:rsidRDefault="00C40A11" w:rsidP="00383888">
      <w:pPr>
        <w:jc w:val="center"/>
        <w:rPr>
          <w:sz w:val="20"/>
        </w:rPr>
      </w:pPr>
      <w:r>
        <w:rPr>
          <w:noProof/>
          <w:lang w:val="en-US" w:eastAsia="en-US"/>
        </w:rPr>
        <w:drawing>
          <wp:inline distT="0" distB="0" distL="0" distR="0" wp14:anchorId="19CF226B" wp14:editId="3A681719">
            <wp:extent cx="3159760" cy="3077845"/>
            <wp:effectExtent l="0" t="0" r="2540" b="825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3159760" cy="3077845"/>
                    </a:xfrm>
                    <a:prstGeom prst="rect">
                      <a:avLst/>
                    </a:prstGeom>
                    <a:noFill/>
                    <a:ln>
                      <a:noFill/>
                    </a:ln>
                  </pic:spPr>
                </pic:pic>
              </a:graphicData>
            </a:graphic>
          </wp:inline>
        </w:drawing>
      </w:r>
    </w:p>
    <w:p w:rsidR="00383888" w:rsidRPr="000615AB" w:rsidRDefault="00383888" w:rsidP="00383888">
      <w:pPr>
        <w:rPr>
          <w:sz w:val="20"/>
          <w:highlight w:val="yellow"/>
        </w:rPr>
      </w:pPr>
    </w:p>
    <w:p w:rsidR="00383888" w:rsidRPr="000615AB" w:rsidRDefault="00383888" w:rsidP="00383888">
      <w:pPr>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En el gráfico 3 se muestra la evolución y las previsiones de las solicitudes de examen preliminar internacional presentadas en el marco del Capítulo II del PCT para el </w:t>
      </w:r>
      <w:r>
        <w:rPr>
          <w:sz w:val="20"/>
        </w:rPr>
        <w:t>período que abarca hasta el año </w:t>
      </w:r>
      <w:r w:rsidRPr="000615AB">
        <w:rPr>
          <w:sz w:val="20"/>
        </w:rPr>
        <w:t>2015.  Como se indica en el gráfico, está previsto que las solicitudes de examen preliminar internacional en el marco del Capítulo II se mantengan estables en torno a las 13.000 por año durante el período comprendido entre 2013 y 2015.  Cabe recordar que la tendencia a la baja en el uso del procedimiento previsto en el Capítulo II se debió a los cambios efectuados en el Reglamento del PCT que entraron en vigor en 2002 y en 2004.  Dado que los solicitantes PCT manifestaron menor interés en el examen preliminar, es probable que los resultados definitivos se orienten hacia la corrección a la baja.</w:t>
      </w:r>
    </w:p>
    <w:p w:rsidR="00383888" w:rsidRPr="000615AB" w:rsidRDefault="00383888" w:rsidP="00383888">
      <w:pPr>
        <w:widowControl w:val="0"/>
        <w:jc w:val="both"/>
        <w:rPr>
          <w:sz w:val="20"/>
        </w:rPr>
      </w:pPr>
    </w:p>
    <w:p w:rsidR="00383888" w:rsidRPr="000615AB" w:rsidRDefault="00383888" w:rsidP="00383888">
      <w:pPr>
        <w:keepNext/>
        <w:widowControl w:val="0"/>
        <w:jc w:val="center"/>
        <w:rPr>
          <w:sz w:val="18"/>
          <w:szCs w:val="18"/>
        </w:rPr>
      </w:pPr>
      <w:r w:rsidRPr="000615AB">
        <w:rPr>
          <w:sz w:val="18"/>
          <w:szCs w:val="18"/>
        </w:rPr>
        <w:lastRenderedPageBreak/>
        <w:t>Gráfico 3.  Solicitudes presentadas conforme al Capítulo II entre 2007 y 2015</w:t>
      </w:r>
    </w:p>
    <w:p w:rsidR="00383888" w:rsidRPr="000615AB" w:rsidRDefault="00383888" w:rsidP="00383888">
      <w:pPr>
        <w:keepNext/>
        <w:keepLines/>
        <w:rPr>
          <w:sz w:val="20"/>
        </w:rPr>
      </w:pPr>
    </w:p>
    <w:p w:rsidR="00383888" w:rsidRPr="000615AB" w:rsidRDefault="00C40A11" w:rsidP="00383888">
      <w:pPr>
        <w:keepNext/>
        <w:keepLines/>
        <w:jc w:val="center"/>
        <w:rPr>
          <w:sz w:val="20"/>
        </w:rPr>
      </w:pPr>
      <w:r>
        <w:rPr>
          <w:noProof/>
          <w:lang w:val="en-US" w:eastAsia="en-US"/>
        </w:rPr>
        <w:drawing>
          <wp:inline distT="0" distB="0" distL="0" distR="0" wp14:anchorId="464AE4B6" wp14:editId="4234F0A9">
            <wp:extent cx="4954270" cy="2879725"/>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4954270" cy="2879725"/>
                    </a:xfrm>
                    <a:prstGeom prst="rect">
                      <a:avLst/>
                    </a:prstGeom>
                    <a:noFill/>
                    <a:ln>
                      <a:noFill/>
                    </a:ln>
                  </pic:spPr>
                </pic:pic>
              </a:graphicData>
            </a:graphic>
          </wp:inline>
        </w:drawing>
      </w:r>
    </w:p>
    <w:p w:rsidR="00383888" w:rsidRPr="000615AB" w:rsidRDefault="00383888" w:rsidP="00383888">
      <w:pPr>
        <w:keepNext/>
        <w:keepLines/>
        <w:jc w:val="center"/>
        <w:rPr>
          <w:sz w:val="20"/>
        </w:rPr>
      </w:pPr>
    </w:p>
    <w:p w:rsidR="00383888" w:rsidRPr="000615AB" w:rsidRDefault="00C40A11" w:rsidP="00383888">
      <w:pPr>
        <w:keepNext/>
        <w:keepLines/>
        <w:jc w:val="center"/>
        <w:rPr>
          <w:sz w:val="20"/>
        </w:rPr>
      </w:pPr>
      <w:r>
        <w:rPr>
          <w:noProof/>
          <w:lang w:val="en-US" w:eastAsia="en-US"/>
        </w:rPr>
        <w:drawing>
          <wp:inline distT="0" distB="0" distL="0" distR="0" wp14:anchorId="0401555F" wp14:editId="4234C60C">
            <wp:extent cx="4879340" cy="777875"/>
            <wp:effectExtent l="0" t="0" r="0" b="3175"/>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4879340" cy="777875"/>
                    </a:xfrm>
                    <a:prstGeom prst="rect">
                      <a:avLst/>
                    </a:prstGeom>
                    <a:noFill/>
                    <a:ln>
                      <a:noFill/>
                    </a:ln>
                  </pic:spPr>
                </pic:pic>
              </a:graphicData>
            </a:graphic>
          </wp:inline>
        </w:drawing>
      </w:r>
    </w:p>
    <w:p w:rsidR="00383888" w:rsidRPr="000615AB" w:rsidRDefault="00383888" w:rsidP="00383888">
      <w:pPr>
        <w:widowControl w:val="0"/>
        <w:jc w:val="both"/>
        <w:rPr>
          <w:sz w:val="20"/>
        </w:rPr>
      </w:pPr>
    </w:p>
    <w:p w:rsidR="00383888" w:rsidRPr="000615AB" w:rsidRDefault="00383888" w:rsidP="00383888">
      <w:pPr>
        <w:rPr>
          <w:sz w:val="20"/>
        </w:rPr>
      </w:pPr>
    </w:p>
    <w:p w:rsidR="00383888" w:rsidRPr="000615AB" w:rsidRDefault="00383888" w:rsidP="00383888">
      <w:pPr>
        <w:widowControl w:val="0"/>
        <w:rPr>
          <w:i/>
          <w:sz w:val="20"/>
        </w:rPr>
      </w:pPr>
      <w:r w:rsidRPr="000615AB">
        <w:rPr>
          <w:i/>
          <w:sz w:val="20"/>
        </w:rPr>
        <w:t>Utilización de métodos de presentación electrónica</w:t>
      </w:r>
    </w:p>
    <w:p w:rsidR="00383888" w:rsidRPr="000615AB" w:rsidRDefault="00383888" w:rsidP="00383888">
      <w:pPr>
        <w:widowControl w:val="0"/>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En el gráfico 4 se ilustra la utilización prevista de los métodos de presentación electrónica (EASY, PDF o XML) en forma de porcentaje del número total de solicitudes presentadas.  Como se indica en el gráfico, el recurso a la presentación electrónica sigue aumentado de manera constante.  En el año 2012, la presentación electrónica se aproximó al 90% del número total de solicitudes presentadas. </w:t>
      </w:r>
    </w:p>
    <w:p w:rsidR="00383888" w:rsidRPr="000615AB" w:rsidRDefault="00383888" w:rsidP="00383888">
      <w:pPr>
        <w:widowControl w:val="0"/>
        <w:jc w:val="both"/>
        <w:rPr>
          <w:sz w:val="20"/>
        </w:rPr>
      </w:pPr>
    </w:p>
    <w:p w:rsidR="00383888" w:rsidRPr="000615AB" w:rsidRDefault="00383888" w:rsidP="00383888">
      <w:pPr>
        <w:widowControl w:val="0"/>
        <w:jc w:val="center"/>
        <w:rPr>
          <w:sz w:val="18"/>
          <w:szCs w:val="18"/>
        </w:rPr>
      </w:pPr>
      <w:r w:rsidRPr="000615AB">
        <w:rPr>
          <w:sz w:val="18"/>
          <w:szCs w:val="18"/>
        </w:rPr>
        <w:t>Gráfico 4.  Utilización de métodos de presentación electrónica (EASY, PDF o XML)</w:t>
      </w:r>
    </w:p>
    <w:p w:rsidR="00383888" w:rsidRPr="000615AB" w:rsidRDefault="00383888" w:rsidP="00383888">
      <w:pPr>
        <w:widowControl w:val="0"/>
        <w:jc w:val="center"/>
        <w:rPr>
          <w:sz w:val="18"/>
          <w:szCs w:val="18"/>
        </w:rPr>
      </w:pPr>
      <w:proofErr w:type="gramStart"/>
      <w:r w:rsidRPr="000615AB">
        <w:rPr>
          <w:sz w:val="18"/>
          <w:szCs w:val="18"/>
        </w:rPr>
        <w:t>como</w:t>
      </w:r>
      <w:proofErr w:type="gramEnd"/>
      <w:r w:rsidRPr="000615AB">
        <w:rPr>
          <w:sz w:val="18"/>
          <w:szCs w:val="18"/>
        </w:rPr>
        <w:t xml:space="preserve"> porcentaje del total de las solicitudes presentadas entre 2010 y 2015</w:t>
      </w:r>
    </w:p>
    <w:p w:rsidR="00383888" w:rsidRPr="000615AB" w:rsidRDefault="00383888" w:rsidP="00383888">
      <w:pPr>
        <w:rPr>
          <w:sz w:val="20"/>
        </w:rPr>
      </w:pPr>
    </w:p>
    <w:p w:rsidR="00383888" w:rsidRPr="000615AB" w:rsidRDefault="00C40A11" w:rsidP="00383888">
      <w:pPr>
        <w:jc w:val="center"/>
        <w:rPr>
          <w:sz w:val="20"/>
        </w:rPr>
      </w:pPr>
      <w:r>
        <w:rPr>
          <w:noProof/>
          <w:lang w:val="en-US" w:eastAsia="en-US"/>
        </w:rPr>
        <w:drawing>
          <wp:inline distT="0" distB="0" distL="0" distR="0" wp14:anchorId="7D9E9E76" wp14:editId="4932087B">
            <wp:extent cx="5281930" cy="3009265"/>
            <wp:effectExtent l="0" t="0" r="0" b="635"/>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5281930" cy="3009265"/>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C40A11" w:rsidP="00383888">
      <w:pPr>
        <w:jc w:val="center"/>
        <w:rPr>
          <w:sz w:val="20"/>
        </w:rPr>
      </w:pPr>
      <w:r>
        <w:rPr>
          <w:noProof/>
          <w:lang w:val="en-US" w:eastAsia="en-US"/>
        </w:rPr>
        <w:lastRenderedPageBreak/>
        <w:drawing>
          <wp:inline distT="0" distB="0" distL="0" distR="0" wp14:anchorId="1F7C3B04" wp14:editId="7BF0C43E">
            <wp:extent cx="5342890" cy="655320"/>
            <wp:effectExtent l="0" t="0" r="0" b="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5342890" cy="65532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numPr>
          <w:ilvl w:val="0"/>
          <w:numId w:val="18"/>
        </w:numPr>
        <w:tabs>
          <w:tab w:val="left" w:pos="540"/>
        </w:tabs>
        <w:jc w:val="both"/>
        <w:rPr>
          <w:sz w:val="20"/>
        </w:rPr>
      </w:pPr>
      <w:r w:rsidRPr="000615AB">
        <w:rPr>
          <w:sz w:val="20"/>
        </w:rPr>
        <w:t>En el gráfico 5 figuran las previsiones del número de solicitudes internacionales PCT presentadas en la Oficina Internacional actuando en calidad de Oficina receptora.  Como puede observarse en el gráfico, se prevé que esa cifra aumente gradualmente en los próximos años.</w:t>
      </w:r>
    </w:p>
    <w:p w:rsidR="00383888" w:rsidRPr="000615AB" w:rsidRDefault="00383888" w:rsidP="00383888">
      <w:pPr>
        <w:widowControl w:val="0"/>
        <w:rPr>
          <w:sz w:val="20"/>
        </w:rPr>
      </w:pPr>
    </w:p>
    <w:p w:rsidR="00383888" w:rsidRPr="000615AB" w:rsidRDefault="00383888" w:rsidP="00383888">
      <w:pPr>
        <w:keepNext/>
        <w:keepLines/>
        <w:jc w:val="center"/>
        <w:rPr>
          <w:sz w:val="20"/>
        </w:rPr>
      </w:pPr>
      <w:r w:rsidRPr="000615AB">
        <w:rPr>
          <w:sz w:val="18"/>
          <w:szCs w:val="18"/>
        </w:rPr>
        <w:t>Gráfico 5.  Solicitudes internacionales PCT presentadas en la Oficina Internacional en calidad de Oficina receptora entre 2000 y 2015</w:t>
      </w:r>
    </w:p>
    <w:p w:rsidR="00383888" w:rsidRPr="000615AB" w:rsidRDefault="00383888" w:rsidP="00383888">
      <w:pPr>
        <w:keepNext/>
        <w:keepLines/>
        <w:rPr>
          <w:i/>
          <w:sz w:val="20"/>
        </w:rPr>
      </w:pPr>
    </w:p>
    <w:p w:rsidR="00383888" w:rsidRPr="000615AB" w:rsidRDefault="00C40A11" w:rsidP="00383888">
      <w:pPr>
        <w:jc w:val="center"/>
        <w:rPr>
          <w:sz w:val="20"/>
        </w:rPr>
      </w:pPr>
      <w:r>
        <w:rPr>
          <w:noProof/>
          <w:lang w:val="en-US" w:eastAsia="en-US"/>
        </w:rPr>
        <w:drawing>
          <wp:inline distT="0" distB="0" distL="0" distR="0" wp14:anchorId="5EA57CC7" wp14:editId="0DB0BAAF">
            <wp:extent cx="5342890" cy="395605"/>
            <wp:effectExtent l="0" t="0" r="0" b="4445"/>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5342890" cy="395605"/>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rPr>
          <w:sz w:val="20"/>
        </w:rPr>
      </w:pPr>
    </w:p>
    <w:p w:rsidR="00383888" w:rsidRPr="000615AB" w:rsidRDefault="00383888" w:rsidP="00383888">
      <w:pPr>
        <w:rPr>
          <w:i/>
          <w:sz w:val="20"/>
        </w:rPr>
      </w:pPr>
      <w:r w:rsidRPr="000615AB">
        <w:rPr>
          <w:i/>
          <w:sz w:val="20"/>
        </w:rPr>
        <w:t>Previsión de ingresos del PCT</w:t>
      </w:r>
    </w:p>
    <w:p w:rsidR="00383888" w:rsidRPr="000615AB" w:rsidRDefault="00383888" w:rsidP="00383888">
      <w:pPr>
        <w:jc w:val="both"/>
        <w:rPr>
          <w:sz w:val="20"/>
        </w:rPr>
      </w:pPr>
    </w:p>
    <w:p w:rsidR="00383888" w:rsidRPr="000615AB" w:rsidRDefault="00383888" w:rsidP="00383888">
      <w:pPr>
        <w:numPr>
          <w:ilvl w:val="0"/>
          <w:numId w:val="18"/>
        </w:numPr>
        <w:tabs>
          <w:tab w:val="left" w:pos="540"/>
        </w:tabs>
        <w:jc w:val="both"/>
        <w:rPr>
          <w:sz w:val="20"/>
        </w:rPr>
      </w:pPr>
      <w:r w:rsidRPr="000615AB">
        <w:rPr>
          <w:sz w:val="20"/>
        </w:rPr>
        <w:t>En los gráficos 6 y 7 figura el cálculo de los ingresos del PCT para el período comprendido entre 2010 y 2012 y la previsión de ingresos del PCT para el período comprendido entre 2013 y 2015, por modalidad de ingreso.  Los gráficos se basan en la previsión de solicitudes (gráfico 1), la previsión de las tasas por exceso de páginas, la previsión de solicitudes presentadas conforme al Capítulo II (gráfico 3), la previsión de solicitudes presentadas electrónicamente (gráfico 4) y la previsión de solicitudes presentadas ante la Oficina Internacional en calidad de Oficina receptora (gráfico 5).  La tabla de tasas del PCT vigente figura en el gráfico 9.</w:t>
      </w:r>
    </w:p>
    <w:p w:rsidR="00383888" w:rsidRPr="000615AB" w:rsidRDefault="00383888" w:rsidP="00383888">
      <w:pPr>
        <w:widowControl w:val="0"/>
        <w:jc w:val="both"/>
        <w:rPr>
          <w:sz w:val="20"/>
        </w:rPr>
      </w:pPr>
    </w:p>
    <w:p w:rsidR="00383888" w:rsidRPr="000615AB" w:rsidRDefault="00383888" w:rsidP="00383888">
      <w:pPr>
        <w:numPr>
          <w:ilvl w:val="0"/>
          <w:numId w:val="18"/>
        </w:numPr>
        <w:tabs>
          <w:tab w:val="left" w:pos="540"/>
        </w:tabs>
        <w:jc w:val="both"/>
        <w:rPr>
          <w:sz w:val="20"/>
        </w:rPr>
      </w:pPr>
      <w:r w:rsidRPr="000615AB">
        <w:rPr>
          <w:sz w:val="20"/>
        </w:rPr>
        <w:t>El gráfico 6 muestra la previsión hipotética de ingresos del PCT, basada en los siguientes supuestos</w:t>
      </w:r>
      <w:proofErr w:type="gramStart"/>
      <w:r w:rsidRPr="000615AB">
        <w:rPr>
          <w:sz w:val="20"/>
        </w:rPr>
        <w:t>:  1</w:t>
      </w:r>
      <w:proofErr w:type="gramEnd"/>
      <w:r w:rsidRPr="000615AB">
        <w:rPr>
          <w:sz w:val="20"/>
        </w:rPr>
        <w:t xml:space="preserve">) todas las tasas se pagan en el mismo año de presentación y 2) todas las tasas se convierten a francos suizos según los tipos de cambio oficiales de la OMPI.  Los ingresos hipotéticos del PCT corresponden a los posibles ingresos generados por la presentación de solicitudes sin tener en cuenta en qué momento se efectúan los pagos ni el cambio a francos suizos. Dado que la mayoría de los solicitantes paga las tasas correspondientes más tarde o más temprano, la previsión hipotética de los ingresos refleja, así, la previsión de ingresos a largo plazo. </w:t>
      </w:r>
      <w:r>
        <w:rPr>
          <w:sz w:val="20"/>
        </w:rPr>
        <w:t xml:space="preserve"> </w:t>
      </w:r>
      <w:r w:rsidRPr="000615AB">
        <w:rPr>
          <w:sz w:val="20"/>
        </w:rPr>
        <w:t>En el cálculo se tienen en cuenta los principales elementos de la estructura de tasas del PCT</w:t>
      </w:r>
      <w:proofErr w:type="gramStart"/>
      <w:r w:rsidRPr="000615AB">
        <w:rPr>
          <w:sz w:val="20"/>
        </w:rPr>
        <w:t>:  retiro</w:t>
      </w:r>
      <w:proofErr w:type="gramEnd"/>
      <w:r w:rsidRPr="000615AB">
        <w:rPr>
          <w:sz w:val="20"/>
        </w:rPr>
        <w:t xml:space="preserve"> de solicitudes, descuentos en las tasas correspondientes a las solicitudes presentadas electrónicamente y descuentos en las tasas en el caso de países con bajos ingresos.</w:t>
      </w:r>
    </w:p>
    <w:p w:rsidR="00383888" w:rsidRPr="000615AB" w:rsidRDefault="00383888" w:rsidP="00383888">
      <w:pPr>
        <w:rPr>
          <w:i/>
          <w:sz w:val="20"/>
          <w:highlight w:val="yellow"/>
        </w:rPr>
      </w:pPr>
    </w:p>
    <w:p w:rsidR="00383888" w:rsidRPr="000615AB" w:rsidRDefault="00383888" w:rsidP="00383888">
      <w:pPr>
        <w:keepNext/>
        <w:keepLines/>
        <w:jc w:val="center"/>
        <w:rPr>
          <w:sz w:val="20"/>
        </w:rPr>
      </w:pPr>
      <w:r w:rsidRPr="000615AB">
        <w:rPr>
          <w:sz w:val="18"/>
          <w:szCs w:val="18"/>
        </w:rPr>
        <w:t xml:space="preserve">Gráfico 6.  </w:t>
      </w:r>
      <w:r>
        <w:rPr>
          <w:sz w:val="18"/>
          <w:szCs w:val="18"/>
        </w:rPr>
        <w:t>Pr</w:t>
      </w:r>
      <w:r w:rsidRPr="000615AB">
        <w:rPr>
          <w:sz w:val="18"/>
          <w:szCs w:val="18"/>
        </w:rPr>
        <w:t>evisión hipotética de los ingresos del PCT hasta 2015</w:t>
      </w:r>
    </w:p>
    <w:p w:rsidR="00383888" w:rsidRPr="000615AB" w:rsidRDefault="00C40A11" w:rsidP="00383888">
      <w:pPr>
        <w:jc w:val="center"/>
        <w:rPr>
          <w:sz w:val="20"/>
        </w:rPr>
      </w:pPr>
      <w:r>
        <w:rPr>
          <w:noProof/>
          <w:lang w:val="en-US" w:eastAsia="en-US"/>
        </w:rPr>
        <w:drawing>
          <wp:inline distT="0" distB="0" distL="0" distR="0" wp14:anchorId="4FF67DA0" wp14:editId="3E3E49DA">
            <wp:extent cx="4797425" cy="2783840"/>
            <wp:effectExtent l="0" t="0" r="317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70" cstate="print">
                      <a:extLst>
                        <a:ext uri="{28A0092B-C50C-407E-A947-70E740481C1C}">
                          <a14:useLocalDpi xmlns:a14="http://schemas.microsoft.com/office/drawing/2010/main" val="0"/>
                        </a:ext>
                      </a:extLst>
                    </a:blip>
                    <a:srcRect/>
                    <a:stretch>
                      <a:fillRect/>
                    </a:stretch>
                  </pic:blipFill>
                  <pic:spPr bwMode="auto">
                    <a:xfrm>
                      <a:off x="0" y="0"/>
                      <a:ext cx="4797425" cy="2783840"/>
                    </a:xfrm>
                    <a:prstGeom prst="rect">
                      <a:avLst/>
                    </a:prstGeom>
                    <a:noFill/>
                    <a:ln>
                      <a:noFill/>
                    </a:ln>
                  </pic:spPr>
                </pic:pic>
              </a:graphicData>
            </a:graphic>
          </wp:inline>
        </w:drawing>
      </w:r>
    </w:p>
    <w:p w:rsidR="00383888" w:rsidRPr="000615AB" w:rsidRDefault="00C40A11" w:rsidP="00383888">
      <w:pPr>
        <w:jc w:val="center"/>
        <w:rPr>
          <w:sz w:val="20"/>
        </w:rPr>
      </w:pPr>
      <w:r>
        <w:rPr>
          <w:noProof/>
          <w:lang w:val="en-US" w:eastAsia="en-US"/>
        </w:rPr>
        <w:lastRenderedPageBreak/>
        <w:drawing>
          <wp:inline distT="0" distB="0" distL="0" distR="0" wp14:anchorId="76A40B28" wp14:editId="0E4CEB01">
            <wp:extent cx="5424805" cy="1446530"/>
            <wp:effectExtent l="0" t="0" r="4445" b="127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5424805" cy="1446530"/>
                    </a:xfrm>
                    <a:prstGeom prst="rect">
                      <a:avLst/>
                    </a:prstGeom>
                    <a:noFill/>
                    <a:ln>
                      <a:noFill/>
                    </a:ln>
                  </pic:spPr>
                </pic:pic>
              </a:graphicData>
            </a:graphic>
          </wp:inline>
        </w:drawing>
      </w:r>
    </w:p>
    <w:p w:rsidR="00383888" w:rsidRDefault="00383888" w:rsidP="00383888">
      <w:pPr>
        <w:rPr>
          <w:sz w:val="18"/>
          <w:szCs w:val="18"/>
        </w:rPr>
      </w:pPr>
    </w:p>
    <w:p w:rsidR="00383888" w:rsidRPr="000615AB" w:rsidRDefault="00383888" w:rsidP="00383888">
      <w:pPr>
        <w:rPr>
          <w:sz w:val="18"/>
          <w:szCs w:val="18"/>
        </w:rPr>
      </w:pPr>
    </w:p>
    <w:p w:rsidR="00383888" w:rsidRPr="000615AB" w:rsidRDefault="00383888" w:rsidP="00383888">
      <w:pPr>
        <w:rPr>
          <w:i/>
          <w:sz w:val="20"/>
        </w:rPr>
      </w:pPr>
      <w:r w:rsidRPr="000615AB">
        <w:rPr>
          <w:i/>
          <w:sz w:val="20"/>
        </w:rPr>
        <w:t>Consecuencias del retraso en los pagos en los ingresos del PCT</w:t>
      </w:r>
    </w:p>
    <w:p w:rsidR="00383888" w:rsidRPr="000615AB" w:rsidRDefault="00383888" w:rsidP="00383888">
      <w:pPr>
        <w:jc w:val="both"/>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En la previsión hipotética de los ingresos se supone que las tasas se pagan en el mismo año en que se presentan las solicitudes. </w:t>
      </w:r>
      <w:r>
        <w:rPr>
          <w:sz w:val="20"/>
        </w:rPr>
        <w:t xml:space="preserve"> </w:t>
      </w:r>
      <w:r w:rsidRPr="000615AB">
        <w:rPr>
          <w:sz w:val="20"/>
        </w:rPr>
        <w:t>Sin embargo, la OMPI percibe pagos con un retraso de entre uno y seis meses.  Algunos solicitantes –especialmente los que presentan las solicitudes a principios del año- pagan las tasas el mismo año de presentación (en torno a un 85% de solicitantes), mientras que otros las pagan al año siguiente (en torno a un 15% de solicitantes).  Así, los ingresos reales del PCT de un determinado año estarán constituidos por una porción de los pagos correspondientes a las solicitudes del año anterior más la porción de pagos correspondientes a ese año.  En consecuencia, el monto que se percibe en un año no equivale al que generen las solicitudes presentadas en el mismo año.  Las diferencias anuales que presentan los ingresos hipotéticos y los ingresos reales no alteran el monto de los ingresos generales a largo plazo.  Toda disminución de los ingresos que se produzca debido a retrasos en los pagos se verá probablemente compensada al año siguiente.  Si se pospone una gran porción de los pagos al año siguiente, los ingresos reales del año en cuestión serán inferiores, pero al año siguiente se registrará un incremento.  En proporción inversa, si solo se retrasa una pequeña porción de los pagos al año siguiente, los ingresos del año en cuestión serán mayores, pero los del año siguiente habrán disminuido.</w:t>
      </w:r>
      <w:r w:rsidRPr="000615AB">
        <w:rPr>
          <w:bCs/>
          <w:sz w:val="20"/>
        </w:rPr>
        <w:t xml:space="preserve">  </w:t>
      </w:r>
      <w:r w:rsidRPr="000615AB">
        <w:rPr>
          <w:sz w:val="20"/>
        </w:rPr>
        <w:t>En el gráfico 7 que se expone a continuación se presentan las previsiones ajustadas de los ingresos del PCT hasta 2015, teniendo en cuenta la repercusión del retraso en los pagos de las tasas.</w:t>
      </w:r>
    </w:p>
    <w:p w:rsidR="00383888" w:rsidRPr="000615AB" w:rsidRDefault="00383888" w:rsidP="00383888">
      <w:pPr>
        <w:jc w:val="both"/>
        <w:rPr>
          <w:sz w:val="20"/>
        </w:rPr>
      </w:pPr>
    </w:p>
    <w:p w:rsidR="00383888" w:rsidRPr="000615AB" w:rsidRDefault="00383888" w:rsidP="00383888">
      <w:pPr>
        <w:widowControl w:val="0"/>
        <w:jc w:val="center"/>
        <w:rPr>
          <w:sz w:val="18"/>
          <w:szCs w:val="18"/>
        </w:rPr>
      </w:pPr>
      <w:r w:rsidRPr="000615AB">
        <w:rPr>
          <w:sz w:val="18"/>
          <w:szCs w:val="18"/>
        </w:rPr>
        <w:t xml:space="preserve">Gráfico 7. </w:t>
      </w:r>
      <w:r>
        <w:rPr>
          <w:sz w:val="18"/>
          <w:szCs w:val="18"/>
        </w:rPr>
        <w:t xml:space="preserve"> </w:t>
      </w:r>
      <w:r w:rsidRPr="000615AB">
        <w:rPr>
          <w:sz w:val="18"/>
          <w:szCs w:val="18"/>
        </w:rPr>
        <w:t>Previsión ajustada de los ingresos del PCT hasta 2015</w:t>
      </w:r>
    </w:p>
    <w:p w:rsidR="00383888" w:rsidRPr="000615AB" w:rsidRDefault="00383888" w:rsidP="00383888">
      <w:pPr>
        <w:widowControl w:val="0"/>
        <w:jc w:val="center"/>
        <w:rPr>
          <w:sz w:val="20"/>
        </w:rPr>
      </w:pPr>
    </w:p>
    <w:p w:rsidR="00383888" w:rsidRPr="000615AB" w:rsidRDefault="00C40A11" w:rsidP="00383888">
      <w:pPr>
        <w:jc w:val="center"/>
        <w:rPr>
          <w:sz w:val="20"/>
        </w:rPr>
      </w:pPr>
      <w:r>
        <w:rPr>
          <w:noProof/>
          <w:lang w:val="en-US" w:eastAsia="en-US"/>
        </w:rPr>
        <w:drawing>
          <wp:inline distT="0" distB="0" distL="0" distR="0" wp14:anchorId="37E04760" wp14:editId="321F08B0">
            <wp:extent cx="4599305" cy="2675255"/>
            <wp:effectExtent l="0" t="0" r="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72" cstate="print">
                      <a:extLst>
                        <a:ext uri="{28A0092B-C50C-407E-A947-70E740481C1C}">
                          <a14:useLocalDpi xmlns:a14="http://schemas.microsoft.com/office/drawing/2010/main" val="0"/>
                        </a:ext>
                      </a:extLst>
                    </a:blip>
                    <a:srcRect/>
                    <a:stretch>
                      <a:fillRect/>
                    </a:stretch>
                  </pic:blipFill>
                  <pic:spPr bwMode="auto">
                    <a:xfrm>
                      <a:off x="0" y="0"/>
                      <a:ext cx="4599305" cy="2675255"/>
                    </a:xfrm>
                    <a:prstGeom prst="rect">
                      <a:avLst/>
                    </a:prstGeom>
                    <a:noFill/>
                    <a:ln>
                      <a:noFill/>
                    </a:ln>
                  </pic:spPr>
                </pic:pic>
              </a:graphicData>
            </a:graphic>
          </wp:inline>
        </w:drawing>
      </w:r>
    </w:p>
    <w:p w:rsidR="00383888" w:rsidRPr="000615AB" w:rsidRDefault="00383888" w:rsidP="00383888">
      <w:pPr>
        <w:jc w:val="center"/>
        <w:rPr>
          <w:sz w:val="20"/>
        </w:rPr>
      </w:pPr>
    </w:p>
    <w:p w:rsidR="00383888" w:rsidRPr="000615AB" w:rsidRDefault="00C40A11" w:rsidP="00383888">
      <w:pPr>
        <w:jc w:val="center"/>
      </w:pPr>
      <w:r>
        <w:rPr>
          <w:noProof/>
          <w:lang w:val="en-US" w:eastAsia="en-US"/>
        </w:rPr>
        <w:drawing>
          <wp:inline distT="0" distB="0" distL="0" distR="0" wp14:anchorId="6B9D2778" wp14:editId="07001724">
            <wp:extent cx="4961255" cy="1221740"/>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4961255" cy="1221740"/>
                    </a:xfrm>
                    <a:prstGeom prst="rect">
                      <a:avLst/>
                    </a:prstGeom>
                    <a:noFill/>
                    <a:ln>
                      <a:noFill/>
                    </a:ln>
                  </pic:spPr>
                </pic:pic>
              </a:graphicData>
            </a:graphic>
          </wp:inline>
        </w:drawing>
      </w:r>
    </w:p>
    <w:p w:rsidR="00383888" w:rsidRPr="000615AB" w:rsidRDefault="00383888" w:rsidP="00383888">
      <w:pPr>
        <w:jc w:val="both"/>
        <w:rPr>
          <w:sz w:val="20"/>
        </w:rPr>
      </w:pPr>
    </w:p>
    <w:p w:rsidR="00383888" w:rsidRPr="008A6379" w:rsidRDefault="00383888" w:rsidP="00383888">
      <w:pPr>
        <w:jc w:val="center"/>
        <w:rPr>
          <w:sz w:val="18"/>
          <w:szCs w:val="18"/>
        </w:rPr>
      </w:pPr>
    </w:p>
    <w:p w:rsidR="00383888" w:rsidRPr="000615AB" w:rsidRDefault="00383888" w:rsidP="00383888">
      <w:pPr>
        <w:rPr>
          <w:i/>
          <w:sz w:val="20"/>
        </w:rPr>
      </w:pPr>
      <w:r w:rsidRPr="000615AB">
        <w:rPr>
          <w:i/>
          <w:sz w:val="20"/>
        </w:rPr>
        <w:t>Ajustes cambiarios</w:t>
      </w:r>
    </w:p>
    <w:p w:rsidR="00383888" w:rsidRPr="000615AB" w:rsidRDefault="00383888" w:rsidP="00383888">
      <w:pPr>
        <w:rPr>
          <w:sz w:val="20"/>
        </w:rPr>
      </w:pPr>
    </w:p>
    <w:p w:rsidR="00383888" w:rsidRPr="000615AB" w:rsidRDefault="00383888" w:rsidP="00383888">
      <w:pPr>
        <w:numPr>
          <w:ilvl w:val="0"/>
          <w:numId w:val="18"/>
        </w:numPr>
        <w:tabs>
          <w:tab w:val="left" w:pos="540"/>
        </w:tabs>
        <w:jc w:val="both"/>
        <w:rPr>
          <w:sz w:val="20"/>
        </w:rPr>
      </w:pPr>
      <w:r w:rsidRPr="000615AB">
        <w:rPr>
          <w:sz w:val="20"/>
        </w:rPr>
        <w:t>Las tasas del PCT se pagan en diversas monedas.   Cuando la tasa se paga en una moneda que se puede "convertir libremente", el importe equivale al “importe equivalente” fijado por la Oficina Internacional, mientras que cuando se paga en una moneda que no se puede “convertir libremente”, la Oficina receptora debe convertir el importe a su equivalente en francos suizos, euros o dólares de los EE.UU. (Regla 15 del Reglamento del PCT).  La OMPI fija los importes equivalentes conforme a las reglas establecidas en las Directivas aprobadas por la Asamblea del PCT:  1) los tipos de cambio del primer lunes de octubre se toman como nuevos tipos de cambio de la OMPI para fijar los importes equivalentes del año siguiente;  2) si durante más de cuatro viernes consecutivos los tipos de cambio registran una alza o una baja del 5% en relación con lo establecido previamente, el Director General de la OMPI inicia consultas con las oficinas interesadas para fijar nuevos importes equivalentes que entrarán en vigor dos meses después de la fecha en que hayan sido publicados en la Gaceta del PCT.</w:t>
      </w:r>
    </w:p>
    <w:p w:rsidR="00383888" w:rsidRPr="000615AB" w:rsidRDefault="00383888" w:rsidP="00383888">
      <w:pPr>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Los solicitantes abonan la tasa de presentación de solicitud internacional en base al importe equivalente aplicable en la fecha de presentación de la solicitud. Sin embargo, debido al retraso en la aplicación del monto equivalente, es probable que los tipos de cambio del mercado sean diferentes de los de la OMPI en el momento del pago, con las consiguientes ganancias o pérdidas en los ingresos del PCT.  En el gráfico que figura a continuación se comparan el “tipo de cambio de la OMPI”, en base al cual se fija el "monto equivalente", y el “tipo de cambio operacional de las NN.UU.” para las tres principales monedas utilizadas, es decir, dólares de los EE.UU., </w:t>
      </w:r>
      <w:r w:rsidR="008F0D34">
        <w:rPr>
          <w:sz w:val="20"/>
        </w:rPr>
        <w:t>e</w:t>
      </w:r>
      <w:r w:rsidRPr="000615AB">
        <w:rPr>
          <w:sz w:val="20"/>
        </w:rPr>
        <w:t xml:space="preserve">uro y </w:t>
      </w:r>
      <w:r w:rsidR="008F0D34">
        <w:rPr>
          <w:sz w:val="20"/>
        </w:rPr>
        <w:t>y</w:t>
      </w:r>
      <w:r w:rsidRPr="000615AB">
        <w:rPr>
          <w:sz w:val="20"/>
        </w:rPr>
        <w:t xml:space="preserve">en. </w:t>
      </w:r>
    </w:p>
    <w:p w:rsidR="00383888" w:rsidRPr="000615AB" w:rsidRDefault="00383888" w:rsidP="00383888">
      <w:pPr>
        <w:rPr>
          <w:sz w:val="20"/>
        </w:rPr>
      </w:pPr>
    </w:p>
    <w:p w:rsidR="00383888" w:rsidRPr="000615AB" w:rsidRDefault="00C40A11" w:rsidP="00383888">
      <w:pPr>
        <w:rPr>
          <w:sz w:val="20"/>
        </w:rPr>
      </w:pPr>
      <w:r>
        <w:rPr>
          <w:noProof/>
          <w:lang w:val="en-US" w:eastAsia="en-US"/>
        </w:rPr>
        <w:drawing>
          <wp:inline distT="0" distB="0" distL="0" distR="0" wp14:anchorId="29846CD0" wp14:editId="584F2BE5">
            <wp:extent cx="5759450" cy="1610360"/>
            <wp:effectExtent l="0" t="0" r="0" b="8890"/>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74" cstate="print">
                      <a:extLst>
                        <a:ext uri="{28A0092B-C50C-407E-A947-70E740481C1C}">
                          <a14:useLocalDpi xmlns:a14="http://schemas.microsoft.com/office/drawing/2010/main" val="0"/>
                        </a:ext>
                      </a:extLst>
                    </a:blip>
                    <a:srcRect/>
                    <a:stretch>
                      <a:fillRect/>
                    </a:stretch>
                  </pic:blipFill>
                  <pic:spPr bwMode="auto">
                    <a:xfrm>
                      <a:off x="0" y="0"/>
                      <a:ext cx="5759450" cy="161036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numPr>
          <w:ilvl w:val="0"/>
          <w:numId w:val="18"/>
        </w:numPr>
        <w:tabs>
          <w:tab w:val="left" w:pos="540"/>
        </w:tabs>
        <w:jc w:val="both"/>
        <w:rPr>
          <w:sz w:val="20"/>
        </w:rPr>
      </w:pPr>
      <w:r w:rsidRPr="000615AB">
        <w:rPr>
          <w:sz w:val="20"/>
        </w:rPr>
        <w:t>La diferencia entre el importe aplicable en la fecha de presentación de la solicitud y su equivalente convertido a francos suizos en la fecha del pago según el tipo de cambio de las NN.UU. constituye una ganancia o pérdida “teórica” en los ingresos del PCT.  El gráfico que figura a continuación refleja esa ganancia/pérdida en los ingresos del PCT, por mes.</w:t>
      </w:r>
    </w:p>
    <w:p w:rsidR="00383888" w:rsidRPr="000615AB" w:rsidRDefault="00383888" w:rsidP="00383888">
      <w:pPr>
        <w:rPr>
          <w:sz w:val="20"/>
        </w:rPr>
      </w:pPr>
    </w:p>
    <w:p w:rsidR="00383888" w:rsidRPr="000615AB" w:rsidRDefault="00C40A11" w:rsidP="00383888">
      <w:pPr>
        <w:jc w:val="center"/>
        <w:rPr>
          <w:sz w:val="20"/>
        </w:rPr>
      </w:pPr>
      <w:r>
        <w:rPr>
          <w:noProof/>
          <w:lang w:val="en-US" w:eastAsia="en-US"/>
        </w:rPr>
        <w:drawing>
          <wp:inline distT="0" distB="0" distL="0" distR="0" wp14:anchorId="7053E334" wp14:editId="5D403B20">
            <wp:extent cx="5759450" cy="1958340"/>
            <wp:effectExtent l="0" t="0" r="0" b="381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5759450" cy="195834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numPr>
          <w:ilvl w:val="0"/>
          <w:numId w:val="18"/>
        </w:numPr>
        <w:tabs>
          <w:tab w:val="left" w:pos="540"/>
        </w:tabs>
        <w:jc w:val="both"/>
        <w:rPr>
          <w:sz w:val="20"/>
        </w:rPr>
      </w:pPr>
      <w:r w:rsidRPr="000615AB">
        <w:rPr>
          <w:sz w:val="20"/>
        </w:rPr>
        <w:t>Debido a la apreciación constante del franco suizo frente al conjunto de las monedas principales desde fines de 2010, los ingresos del PCT sufrieron en 2011 pérdidas superiores a lo previsto.   Esas pérdidas alcanzaron los 13 millones de francos suizos en 2011, casi 6% de los ingresos previstos.  Sin embargo, la tendencia se invirtió hacia fines del 2011, derivando en</w:t>
      </w:r>
      <w:r w:rsidRPr="000615AB">
        <w:rPr>
          <w:sz w:val="20"/>
          <w:u w:val="single"/>
        </w:rPr>
        <w:t xml:space="preserve"> </w:t>
      </w:r>
      <w:r w:rsidRPr="000615AB">
        <w:rPr>
          <w:sz w:val="20"/>
        </w:rPr>
        <w:t xml:space="preserve">ganancias cambiarias de 8,1 millones de francos suizos en 2012. </w:t>
      </w:r>
    </w:p>
    <w:p w:rsidR="00383888" w:rsidRPr="000615AB" w:rsidRDefault="00383888" w:rsidP="00383888">
      <w:pPr>
        <w:rPr>
          <w:sz w:val="20"/>
        </w:rPr>
      </w:pPr>
    </w:p>
    <w:p w:rsidR="00383888" w:rsidRPr="000615AB" w:rsidRDefault="00383888" w:rsidP="00383888">
      <w:pPr>
        <w:keepNext/>
        <w:keepLines/>
        <w:numPr>
          <w:ilvl w:val="0"/>
          <w:numId w:val="18"/>
        </w:numPr>
        <w:tabs>
          <w:tab w:val="left" w:pos="540"/>
        </w:tabs>
        <w:jc w:val="both"/>
        <w:rPr>
          <w:sz w:val="20"/>
        </w:rPr>
      </w:pPr>
      <w:r w:rsidRPr="000615AB">
        <w:rPr>
          <w:sz w:val="20"/>
        </w:rPr>
        <w:lastRenderedPageBreak/>
        <w:t>La tabla de tasas del PCT vigente figura en el gráfico 16 a continuación.</w:t>
      </w:r>
    </w:p>
    <w:p w:rsidR="00383888" w:rsidRPr="000615AB" w:rsidRDefault="00383888" w:rsidP="00383888">
      <w:pPr>
        <w:keepNext/>
        <w:keepLines/>
        <w:rPr>
          <w:sz w:val="20"/>
        </w:rPr>
      </w:pPr>
    </w:p>
    <w:tbl>
      <w:tblPr>
        <w:tblW w:w="0" w:type="auto"/>
        <w:tblLook w:val="01E0" w:firstRow="1" w:lastRow="1" w:firstColumn="1" w:lastColumn="1" w:noHBand="0" w:noVBand="0"/>
      </w:tblPr>
      <w:tblGrid>
        <w:gridCol w:w="4643"/>
        <w:gridCol w:w="4644"/>
      </w:tblGrid>
      <w:tr w:rsidR="00383888" w:rsidRPr="000615AB" w:rsidTr="00B47699">
        <w:tc>
          <w:tcPr>
            <w:tcW w:w="4643" w:type="dxa"/>
            <w:shd w:val="clear" w:color="auto" w:fill="auto"/>
          </w:tcPr>
          <w:p w:rsidR="00383888" w:rsidRPr="000615AB" w:rsidRDefault="00383888" w:rsidP="00B47699">
            <w:pPr>
              <w:keepNext/>
              <w:keepLines/>
              <w:jc w:val="center"/>
              <w:rPr>
                <w:sz w:val="18"/>
                <w:szCs w:val="18"/>
              </w:rPr>
            </w:pPr>
            <w:r w:rsidRPr="000615AB">
              <w:rPr>
                <w:sz w:val="18"/>
                <w:szCs w:val="18"/>
              </w:rPr>
              <w:t>Cuadro 15.  Tabla de tasas del PCT</w:t>
            </w:r>
          </w:p>
          <w:p w:rsidR="00383888" w:rsidRPr="000615AB" w:rsidRDefault="00383888" w:rsidP="00B47699">
            <w:pPr>
              <w:keepNext/>
              <w:keepLines/>
              <w:jc w:val="center"/>
              <w:rPr>
                <w:sz w:val="18"/>
                <w:szCs w:val="18"/>
              </w:rPr>
            </w:pPr>
            <w:r w:rsidRPr="000615AB">
              <w:rPr>
                <w:sz w:val="18"/>
                <w:szCs w:val="18"/>
              </w:rPr>
              <w:t>(al 1 de enero de 2004)</w:t>
            </w:r>
          </w:p>
          <w:p w:rsidR="00383888" w:rsidRPr="000615AB" w:rsidRDefault="00383888" w:rsidP="00B47699">
            <w:pPr>
              <w:keepNext/>
              <w:keepLines/>
              <w:jc w:val="center"/>
              <w:rPr>
                <w:i/>
                <w:iCs/>
                <w:sz w:val="18"/>
                <w:szCs w:val="18"/>
              </w:rPr>
            </w:pPr>
            <w:r w:rsidRPr="000615AB">
              <w:rPr>
                <w:i/>
                <w:iCs/>
                <w:sz w:val="18"/>
                <w:szCs w:val="18"/>
              </w:rPr>
              <w:t>(en francos suizos)</w:t>
            </w:r>
          </w:p>
          <w:p w:rsidR="00383888" w:rsidRPr="000615AB" w:rsidRDefault="00383888" w:rsidP="00B47699">
            <w:pPr>
              <w:keepNext/>
              <w:keepLines/>
              <w:widowControl w:val="0"/>
              <w:jc w:val="center"/>
              <w:rPr>
                <w:sz w:val="20"/>
              </w:rPr>
            </w:pPr>
          </w:p>
        </w:tc>
        <w:tc>
          <w:tcPr>
            <w:tcW w:w="4644" w:type="dxa"/>
            <w:shd w:val="clear" w:color="auto" w:fill="auto"/>
          </w:tcPr>
          <w:p w:rsidR="00383888" w:rsidRPr="000615AB" w:rsidRDefault="00383888" w:rsidP="00B47699">
            <w:pPr>
              <w:keepNext/>
              <w:keepLines/>
              <w:jc w:val="center"/>
              <w:rPr>
                <w:sz w:val="18"/>
                <w:szCs w:val="18"/>
              </w:rPr>
            </w:pPr>
            <w:r w:rsidRPr="000615AB">
              <w:rPr>
                <w:sz w:val="18"/>
                <w:szCs w:val="18"/>
              </w:rPr>
              <w:t>Cuadro 16. Tabla revisada de tasas del PCT</w:t>
            </w:r>
          </w:p>
          <w:p w:rsidR="00383888" w:rsidRPr="000615AB" w:rsidRDefault="00383888" w:rsidP="00B47699">
            <w:pPr>
              <w:keepNext/>
              <w:keepLines/>
              <w:jc w:val="center"/>
              <w:rPr>
                <w:sz w:val="18"/>
                <w:szCs w:val="18"/>
              </w:rPr>
            </w:pPr>
            <w:r w:rsidRPr="000615AB">
              <w:rPr>
                <w:sz w:val="18"/>
                <w:szCs w:val="18"/>
              </w:rPr>
              <w:t>(al 1 de julio de 2008)</w:t>
            </w:r>
          </w:p>
          <w:p w:rsidR="00383888" w:rsidRPr="000615AB" w:rsidRDefault="00383888" w:rsidP="00B47699">
            <w:pPr>
              <w:keepNext/>
              <w:keepLines/>
              <w:widowControl w:val="0"/>
              <w:jc w:val="center"/>
              <w:rPr>
                <w:sz w:val="20"/>
              </w:rPr>
            </w:pPr>
            <w:r w:rsidRPr="000615AB">
              <w:rPr>
                <w:i/>
                <w:iCs/>
                <w:sz w:val="18"/>
                <w:szCs w:val="18"/>
              </w:rPr>
              <w:t>(en francos suizos)</w:t>
            </w:r>
          </w:p>
        </w:tc>
      </w:tr>
      <w:tr w:rsidR="00383888" w:rsidRPr="000615AB" w:rsidTr="00B47699">
        <w:tc>
          <w:tcPr>
            <w:tcW w:w="4643" w:type="dxa"/>
            <w:shd w:val="clear" w:color="auto" w:fill="auto"/>
          </w:tcPr>
          <w:p w:rsidR="00383888" w:rsidRPr="000615AB" w:rsidRDefault="00C40A11" w:rsidP="00B47699">
            <w:pPr>
              <w:keepNext/>
              <w:keepLines/>
              <w:widowControl w:val="0"/>
              <w:jc w:val="center"/>
              <w:rPr>
                <w:sz w:val="20"/>
              </w:rPr>
            </w:pPr>
            <w:r>
              <w:rPr>
                <w:noProof/>
                <w:sz w:val="20"/>
                <w:lang w:val="en-US" w:eastAsia="en-US"/>
              </w:rPr>
              <w:drawing>
                <wp:inline distT="0" distB="0" distL="0" distR="0" wp14:anchorId="0429106C" wp14:editId="3667B1E3">
                  <wp:extent cx="2456815" cy="907415"/>
                  <wp:effectExtent l="0" t="0" r="635" b="6985"/>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456815" cy="907415"/>
                          </a:xfrm>
                          <a:prstGeom prst="rect">
                            <a:avLst/>
                          </a:prstGeom>
                          <a:noFill/>
                          <a:ln>
                            <a:noFill/>
                          </a:ln>
                        </pic:spPr>
                      </pic:pic>
                    </a:graphicData>
                  </a:graphic>
                </wp:inline>
              </w:drawing>
            </w:r>
          </w:p>
        </w:tc>
        <w:tc>
          <w:tcPr>
            <w:tcW w:w="4644" w:type="dxa"/>
            <w:shd w:val="clear" w:color="auto" w:fill="auto"/>
          </w:tcPr>
          <w:p w:rsidR="00383888" w:rsidRPr="000615AB" w:rsidRDefault="00C40A11" w:rsidP="00B47699">
            <w:pPr>
              <w:keepNext/>
              <w:keepLines/>
              <w:widowControl w:val="0"/>
              <w:jc w:val="center"/>
              <w:rPr>
                <w:sz w:val="20"/>
              </w:rPr>
            </w:pPr>
            <w:r>
              <w:rPr>
                <w:noProof/>
                <w:sz w:val="20"/>
                <w:lang w:val="en-US" w:eastAsia="en-US"/>
              </w:rPr>
              <w:drawing>
                <wp:inline distT="0" distB="0" distL="0" distR="0" wp14:anchorId="43202336" wp14:editId="42F3AEFA">
                  <wp:extent cx="2484120" cy="92138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2484120" cy="921385"/>
                          </a:xfrm>
                          <a:prstGeom prst="rect">
                            <a:avLst/>
                          </a:prstGeom>
                          <a:noFill/>
                          <a:ln>
                            <a:noFill/>
                          </a:ln>
                        </pic:spPr>
                      </pic:pic>
                    </a:graphicData>
                  </a:graphic>
                </wp:inline>
              </w:drawing>
            </w:r>
          </w:p>
        </w:tc>
      </w:tr>
    </w:tbl>
    <w:p w:rsidR="00383888" w:rsidRPr="000615AB" w:rsidRDefault="00383888" w:rsidP="00383888">
      <w:pPr>
        <w:rPr>
          <w:sz w:val="20"/>
        </w:rPr>
      </w:pPr>
    </w:p>
    <w:p w:rsidR="00383888" w:rsidRPr="000615AB" w:rsidRDefault="00383888" w:rsidP="00383888">
      <w:pPr>
        <w:rPr>
          <w:sz w:val="20"/>
        </w:rPr>
      </w:pPr>
    </w:p>
    <w:p w:rsidR="00383888" w:rsidRPr="000615AB" w:rsidRDefault="00383888" w:rsidP="00383888">
      <w:pPr>
        <w:widowControl w:val="0"/>
        <w:jc w:val="both"/>
        <w:rPr>
          <w:b/>
          <w:sz w:val="20"/>
        </w:rPr>
      </w:pPr>
      <w:r w:rsidRPr="000615AB">
        <w:rPr>
          <w:b/>
          <w:sz w:val="20"/>
        </w:rPr>
        <w:t>Madrid</w:t>
      </w:r>
    </w:p>
    <w:p w:rsidR="00383888" w:rsidRPr="000615AB" w:rsidRDefault="00383888" w:rsidP="00383888">
      <w:pPr>
        <w:keepNext/>
        <w:widowControl w:val="0"/>
        <w:rPr>
          <w:b/>
          <w:sz w:val="20"/>
        </w:rPr>
      </w:pPr>
    </w:p>
    <w:p w:rsidR="00383888" w:rsidRPr="000615AB" w:rsidRDefault="00383888" w:rsidP="00383888">
      <w:pPr>
        <w:keepNext/>
        <w:widowControl w:val="0"/>
        <w:rPr>
          <w:i/>
          <w:sz w:val="20"/>
        </w:rPr>
      </w:pPr>
      <w:r w:rsidRPr="000615AB">
        <w:rPr>
          <w:i/>
          <w:sz w:val="20"/>
        </w:rPr>
        <w:t>Sistema de Madrid – Previsión de la demanda de registros internacionales</w:t>
      </w:r>
    </w:p>
    <w:p w:rsidR="00383888" w:rsidRPr="000615AB" w:rsidRDefault="00383888" w:rsidP="00383888">
      <w:pPr>
        <w:jc w:val="both"/>
        <w:rPr>
          <w:sz w:val="20"/>
        </w:rPr>
      </w:pPr>
    </w:p>
    <w:p w:rsidR="00383888" w:rsidRPr="000615AB" w:rsidRDefault="00383888" w:rsidP="00383888">
      <w:pPr>
        <w:numPr>
          <w:ilvl w:val="0"/>
          <w:numId w:val="18"/>
        </w:numPr>
        <w:jc w:val="both"/>
        <w:rPr>
          <w:sz w:val="20"/>
        </w:rPr>
      </w:pPr>
      <w:r w:rsidRPr="000615AB">
        <w:rPr>
          <w:sz w:val="20"/>
        </w:rPr>
        <w:t xml:space="preserve">En el gráfico 8 se indica el número real de solicitudes de registro presentadas en el período comprendido entre 2010 y2012 y la previsión para el período comprendido entre  2012 y 2015.  Se prevé que el número de registros aumente cerca de un 7% en 2013.  La adhesión de México, Nueva Zelandia, Colombia y Filipinas al sistema de Madrid tendrá una repercusión moderada en 2013, pero podría tener una mayor en los próximos años.  Para realizar una previsión del número de registros en el marco del Sistema de Madrid se utilizan diferentes modelos, entre ellos los modelos </w:t>
      </w:r>
      <w:proofErr w:type="spellStart"/>
      <w:r w:rsidRPr="000615AB">
        <w:rPr>
          <w:sz w:val="20"/>
        </w:rPr>
        <w:t>autorregresivos</w:t>
      </w:r>
      <w:proofErr w:type="spellEnd"/>
      <w:r w:rsidRPr="000615AB">
        <w:rPr>
          <w:sz w:val="20"/>
        </w:rPr>
        <w:t xml:space="preserve">, modelos econométricos y modelos de transferencia.  Los modelos </w:t>
      </w:r>
      <w:proofErr w:type="spellStart"/>
      <w:r w:rsidRPr="000615AB">
        <w:rPr>
          <w:sz w:val="20"/>
        </w:rPr>
        <w:t>autorregresivos</w:t>
      </w:r>
      <w:proofErr w:type="spellEnd"/>
      <w:r w:rsidRPr="000615AB">
        <w:rPr>
          <w:sz w:val="20"/>
        </w:rPr>
        <w:t xml:space="preserve"> se aplican tanto a los registros como a las solicitudes de registro.  Luego se aplica la variable de la media de tiempo de tramitación a los resultados correspondientes a las solicitudes y se obtiene una previsión de los registros.  Los modelos econométricos se basan en los datos sobre el PIB real y previsto publicados por el Fondo Monetario Internacional (FMI).  Luego se combinan los resultados obtenidos mediante cada uno de los modelos, para minimizar la incertidumbre que resulta de la aplicación de cada uno de ellos por separado.</w:t>
      </w:r>
    </w:p>
    <w:p w:rsidR="00383888" w:rsidRPr="000615AB" w:rsidRDefault="00383888" w:rsidP="00383888">
      <w:pPr>
        <w:jc w:val="both"/>
        <w:rPr>
          <w:sz w:val="20"/>
        </w:rPr>
      </w:pPr>
    </w:p>
    <w:p w:rsidR="00383888" w:rsidRPr="000615AB" w:rsidRDefault="00383888" w:rsidP="00383888">
      <w:pPr>
        <w:jc w:val="center"/>
        <w:rPr>
          <w:sz w:val="18"/>
          <w:szCs w:val="18"/>
        </w:rPr>
      </w:pPr>
      <w:r w:rsidRPr="000615AB">
        <w:rPr>
          <w:sz w:val="18"/>
          <w:szCs w:val="18"/>
        </w:rPr>
        <w:t>Gráfico 8.  Solicitudes de registro internacional (demanda) en virtud del sistema de Madrid</w:t>
      </w:r>
    </w:p>
    <w:p w:rsidR="00383888" w:rsidRPr="000615AB" w:rsidRDefault="00C40A11" w:rsidP="00383888">
      <w:pPr>
        <w:jc w:val="center"/>
        <w:rPr>
          <w:sz w:val="20"/>
        </w:rPr>
      </w:pPr>
      <w:r>
        <w:rPr>
          <w:noProof/>
          <w:lang w:val="en-US" w:eastAsia="en-US"/>
        </w:rPr>
        <w:drawing>
          <wp:inline distT="0" distB="0" distL="0" distR="0" wp14:anchorId="198C76ED" wp14:editId="3CBB2E3A">
            <wp:extent cx="4776470" cy="2777490"/>
            <wp:effectExtent l="0" t="0" r="5080" b="381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78" cstate="print">
                      <a:extLst>
                        <a:ext uri="{28A0092B-C50C-407E-A947-70E740481C1C}">
                          <a14:useLocalDpi xmlns:a14="http://schemas.microsoft.com/office/drawing/2010/main" val="0"/>
                        </a:ext>
                      </a:extLst>
                    </a:blip>
                    <a:srcRect/>
                    <a:stretch>
                      <a:fillRect/>
                    </a:stretch>
                  </pic:blipFill>
                  <pic:spPr bwMode="auto">
                    <a:xfrm>
                      <a:off x="0" y="0"/>
                      <a:ext cx="4776470" cy="2777490"/>
                    </a:xfrm>
                    <a:prstGeom prst="rect">
                      <a:avLst/>
                    </a:prstGeom>
                    <a:noFill/>
                    <a:ln>
                      <a:noFill/>
                    </a:ln>
                  </pic:spPr>
                </pic:pic>
              </a:graphicData>
            </a:graphic>
          </wp:inline>
        </w:drawing>
      </w:r>
    </w:p>
    <w:p w:rsidR="00383888" w:rsidRPr="000615AB" w:rsidRDefault="00C40A11" w:rsidP="00383888">
      <w:pPr>
        <w:jc w:val="center"/>
        <w:rPr>
          <w:sz w:val="20"/>
        </w:rPr>
      </w:pPr>
      <w:r>
        <w:rPr>
          <w:noProof/>
          <w:lang w:val="en-US" w:eastAsia="en-US"/>
        </w:rPr>
        <w:drawing>
          <wp:inline distT="0" distB="0" distL="0" distR="0" wp14:anchorId="73E92F86" wp14:editId="53D11A52">
            <wp:extent cx="5179060" cy="628015"/>
            <wp:effectExtent l="0" t="0" r="2540" b="63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179060" cy="628015"/>
                    </a:xfrm>
                    <a:prstGeom prst="rect">
                      <a:avLst/>
                    </a:prstGeom>
                    <a:noFill/>
                    <a:ln>
                      <a:noFill/>
                    </a:ln>
                  </pic:spPr>
                </pic:pic>
              </a:graphicData>
            </a:graphic>
          </wp:inline>
        </w:drawing>
      </w:r>
    </w:p>
    <w:p w:rsidR="00383888" w:rsidRPr="000615AB" w:rsidRDefault="00383888" w:rsidP="00383888">
      <w:pPr>
        <w:jc w:val="both"/>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Habida cuenta de la adhesión de nuevos Estados miembros, aplicamos un modelo de transferencia para evaluar cómo repercute la adhesión en el número de registros.  El modelo utiliza los datos sobre las solicitudes (tanto las presentadas individualmente en cada país, como las solicitudes únicas con efecto de presentación en varios países a la vez) que los miembros actuales del sistema de Madrid presentarían a través de la vía de París en los nuevos países miembros y </w:t>
      </w:r>
      <w:r w:rsidRPr="000615AB">
        <w:rPr>
          <w:sz w:val="20"/>
        </w:rPr>
        <w:lastRenderedPageBreak/>
        <w:t>viceversa.  Concretamente, se calculan las tasas de transferencia para luego calcular el número de solicitudes adicionales que presentarían los miembros actuales con motivo de la adhesión de nuevos miembros.  Además, se aplican las "tasas de transferencia" promedio de los miembros actuales del sistema de Madrid para calcular el potencial de presentación de solicitudes de los nuevos miembros.  Cabe señalar que las "tasas de transferencia" reales están adaptadas a cada país.  Aplicar las "tasas de transferencia" promedio a los nuevos miembros es probablemente el mejor enfoque posible, pero a su vez aumenta la incertidumbre de los valores de previsión.</w:t>
      </w:r>
    </w:p>
    <w:p w:rsidR="00383888" w:rsidRPr="000615AB" w:rsidRDefault="00383888" w:rsidP="00383888">
      <w:pPr>
        <w:tabs>
          <w:tab w:val="left" w:pos="540"/>
        </w:tabs>
        <w:jc w:val="both"/>
        <w:rPr>
          <w:sz w:val="20"/>
        </w:rPr>
      </w:pPr>
    </w:p>
    <w:tbl>
      <w:tblPr>
        <w:tblW w:w="0" w:type="auto"/>
        <w:tblInd w:w="2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552"/>
      </w:tblGrid>
      <w:tr w:rsidR="00383888" w:rsidRPr="00C26376" w:rsidTr="00B47699">
        <w:tc>
          <w:tcPr>
            <w:tcW w:w="4820" w:type="dxa"/>
            <w:gridSpan w:val="2"/>
            <w:shd w:val="clear" w:color="auto" w:fill="auto"/>
          </w:tcPr>
          <w:p w:rsidR="00383888" w:rsidRPr="00C26376" w:rsidRDefault="00383888" w:rsidP="00B47699">
            <w:pPr>
              <w:tabs>
                <w:tab w:val="left" w:pos="540"/>
              </w:tabs>
              <w:rPr>
                <w:sz w:val="18"/>
                <w:szCs w:val="18"/>
              </w:rPr>
            </w:pPr>
            <w:r w:rsidRPr="00C26376">
              <w:rPr>
                <w:sz w:val="18"/>
                <w:szCs w:val="18"/>
              </w:rPr>
              <w:t>Nuevos Estados miembros del sistema de Madrid</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Colombia</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agosto de 2012</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Filipinas</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julio de 2012</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México</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febrero de 2013</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Nueva Zelandia</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diciembre de 2012</w:t>
            </w:r>
          </w:p>
        </w:tc>
      </w:tr>
    </w:tbl>
    <w:p w:rsidR="00383888" w:rsidRPr="000615AB" w:rsidRDefault="00383888" w:rsidP="00383888">
      <w:pPr>
        <w:tabs>
          <w:tab w:val="left" w:pos="540"/>
        </w:tabs>
        <w:jc w:val="both"/>
        <w:rPr>
          <w:sz w:val="20"/>
        </w:rPr>
      </w:pPr>
    </w:p>
    <w:tbl>
      <w:tblPr>
        <w:tblW w:w="9348" w:type="dxa"/>
        <w:tblLayout w:type="fixed"/>
        <w:tblLook w:val="01E0" w:firstRow="1" w:lastRow="1" w:firstColumn="1" w:lastColumn="1" w:noHBand="0" w:noVBand="0"/>
      </w:tblPr>
      <w:tblGrid>
        <w:gridCol w:w="711"/>
        <w:gridCol w:w="497"/>
        <w:gridCol w:w="550"/>
        <w:gridCol w:w="550"/>
        <w:gridCol w:w="550"/>
        <w:gridCol w:w="550"/>
        <w:gridCol w:w="550"/>
        <w:gridCol w:w="550"/>
        <w:gridCol w:w="550"/>
        <w:gridCol w:w="550"/>
        <w:gridCol w:w="550"/>
        <w:gridCol w:w="550"/>
        <w:gridCol w:w="550"/>
        <w:gridCol w:w="990"/>
        <w:gridCol w:w="550"/>
        <w:gridCol w:w="550"/>
      </w:tblGrid>
      <w:tr w:rsidR="00383888" w:rsidRPr="000615AB" w:rsidTr="00B47699">
        <w:trPr>
          <w:trHeight w:val="274"/>
        </w:trPr>
        <w:tc>
          <w:tcPr>
            <w:tcW w:w="3408" w:type="dxa"/>
            <w:gridSpan w:val="6"/>
            <w:shd w:val="clear" w:color="auto" w:fill="auto"/>
          </w:tcPr>
          <w:p w:rsidR="00383888" w:rsidRPr="000615AB" w:rsidRDefault="00383888" w:rsidP="00B47699">
            <w:pPr>
              <w:rPr>
                <w:sz w:val="18"/>
                <w:szCs w:val="18"/>
              </w:rPr>
            </w:pPr>
            <w:r w:rsidRPr="000615AB">
              <w:rPr>
                <w:sz w:val="18"/>
                <w:szCs w:val="18"/>
              </w:rPr>
              <w:t>Registros generados por nuevos miembros</w:t>
            </w:r>
          </w:p>
        </w:tc>
        <w:tc>
          <w:tcPr>
            <w:tcW w:w="550" w:type="dxa"/>
            <w:shd w:val="clear" w:color="auto" w:fill="auto"/>
          </w:tcPr>
          <w:p w:rsidR="00383888" w:rsidRPr="000615AB" w:rsidRDefault="00383888" w:rsidP="00B47699">
            <w:pPr>
              <w:rPr>
                <w:sz w:val="18"/>
                <w:szCs w:val="18"/>
              </w:rPr>
            </w:pPr>
          </w:p>
        </w:tc>
        <w:tc>
          <w:tcPr>
            <w:tcW w:w="550" w:type="dxa"/>
            <w:shd w:val="clear" w:color="auto" w:fill="auto"/>
          </w:tcPr>
          <w:p w:rsidR="00383888" w:rsidRPr="000615AB" w:rsidRDefault="00383888" w:rsidP="00B47699">
            <w:pPr>
              <w:rPr>
                <w:sz w:val="18"/>
                <w:szCs w:val="18"/>
              </w:rPr>
            </w:pPr>
          </w:p>
        </w:tc>
        <w:tc>
          <w:tcPr>
            <w:tcW w:w="550" w:type="dxa"/>
            <w:shd w:val="clear" w:color="auto" w:fill="auto"/>
          </w:tcPr>
          <w:p w:rsidR="00383888" w:rsidRPr="000615AB" w:rsidRDefault="00383888" w:rsidP="00B47699">
            <w:pPr>
              <w:rPr>
                <w:sz w:val="18"/>
                <w:szCs w:val="18"/>
              </w:rPr>
            </w:pPr>
          </w:p>
        </w:tc>
        <w:tc>
          <w:tcPr>
            <w:tcW w:w="550" w:type="dxa"/>
            <w:shd w:val="clear" w:color="auto" w:fill="auto"/>
          </w:tcPr>
          <w:p w:rsidR="00383888" w:rsidRPr="000615AB" w:rsidRDefault="00383888" w:rsidP="00B47699">
            <w:pPr>
              <w:rPr>
                <w:sz w:val="18"/>
                <w:szCs w:val="18"/>
              </w:rPr>
            </w:pPr>
          </w:p>
        </w:tc>
        <w:tc>
          <w:tcPr>
            <w:tcW w:w="550" w:type="dxa"/>
            <w:shd w:val="clear" w:color="auto" w:fill="auto"/>
          </w:tcPr>
          <w:p w:rsidR="00383888" w:rsidRPr="000615AB" w:rsidRDefault="00383888" w:rsidP="00B47699">
            <w:pPr>
              <w:rPr>
                <w:sz w:val="18"/>
                <w:szCs w:val="18"/>
              </w:rPr>
            </w:pPr>
          </w:p>
        </w:tc>
        <w:tc>
          <w:tcPr>
            <w:tcW w:w="550" w:type="dxa"/>
            <w:shd w:val="clear" w:color="auto" w:fill="auto"/>
          </w:tcPr>
          <w:p w:rsidR="00383888" w:rsidRPr="000615AB" w:rsidRDefault="00383888" w:rsidP="00B47699">
            <w:pPr>
              <w:rPr>
                <w:sz w:val="18"/>
                <w:szCs w:val="18"/>
              </w:rPr>
            </w:pPr>
          </w:p>
        </w:tc>
        <w:tc>
          <w:tcPr>
            <w:tcW w:w="550" w:type="dxa"/>
            <w:shd w:val="clear" w:color="auto" w:fill="auto"/>
          </w:tcPr>
          <w:p w:rsidR="00383888" w:rsidRPr="000615AB" w:rsidRDefault="00383888" w:rsidP="00B47699">
            <w:pPr>
              <w:rPr>
                <w:sz w:val="18"/>
                <w:szCs w:val="18"/>
              </w:rPr>
            </w:pPr>
          </w:p>
        </w:tc>
        <w:tc>
          <w:tcPr>
            <w:tcW w:w="990" w:type="dxa"/>
            <w:shd w:val="clear" w:color="auto" w:fill="auto"/>
          </w:tcPr>
          <w:p w:rsidR="00383888" w:rsidRPr="000615AB" w:rsidRDefault="00383888" w:rsidP="00B47699">
            <w:pPr>
              <w:rPr>
                <w:sz w:val="18"/>
                <w:szCs w:val="18"/>
              </w:rPr>
            </w:pPr>
          </w:p>
        </w:tc>
        <w:tc>
          <w:tcPr>
            <w:tcW w:w="550" w:type="dxa"/>
            <w:shd w:val="clear" w:color="auto" w:fill="auto"/>
          </w:tcPr>
          <w:p w:rsidR="00383888" w:rsidRPr="000615AB" w:rsidRDefault="00383888" w:rsidP="00B47699">
            <w:pPr>
              <w:rPr>
                <w:sz w:val="18"/>
                <w:szCs w:val="18"/>
              </w:rPr>
            </w:pPr>
          </w:p>
        </w:tc>
        <w:tc>
          <w:tcPr>
            <w:tcW w:w="550" w:type="dxa"/>
            <w:shd w:val="clear" w:color="auto" w:fill="auto"/>
          </w:tcPr>
          <w:p w:rsidR="00383888" w:rsidRPr="000615AB" w:rsidRDefault="00383888" w:rsidP="00B47699">
            <w:pPr>
              <w:rPr>
                <w:sz w:val="18"/>
                <w:szCs w:val="18"/>
              </w:rPr>
            </w:pPr>
          </w:p>
        </w:tc>
      </w:tr>
      <w:tr w:rsidR="00383888" w:rsidRPr="000615AB" w:rsidTr="00B47699">
        <w:trPr>
          <w:trHeight w:val="187"/>
        </w:trPr>
        <w:tc>
          <w:tcPr>
            <w:tcW w:w="711" w:type="dxa"/>
            <w:tcBorders>
              <w:bottom w:val="double" w:sz="4" w:space="0" w:color="auto"/>
            </w:tcBorders>
            <w:shd w:val="clear" w:color="auto" w:fill="auto"/>
          </w:tcPr>
          <w:p w:rsidR="00383888" w:rsidRPr="000615AB" w:rsidRDefault="00383888" w:rsidP="00B47699">
            <w:pPr>
              <w:rPr>
                <w:sz w:val="16"/>
                <w:szCs w:val="16"/>
              </w:rPr>
            </w:pPr>
            <w:r w:rsidRPr="000615AB">
              <w:rPr>
                <w:sz w:val="16"/>
                <w:szCs w:val="16"/>
              </w:rPr>
              <w:t>Año</w:t>
            </w:r>
          </w:p>
        </w:tc>
        <w:tc>
          <w:tcPr>
            <w:tcW w:w="497"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AT</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AU</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CH</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CN</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DE</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FR</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GB</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IT</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JP</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OT</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TR</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US</w:t>
            </w:r>
          </w:p>
        </w:tc>
        <w:tc>
          <w:tcPr>
            <w:tcW w:w="99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CO</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MX</w:t>
            </w:r>
          </w:p>
        </w:tc>
        <w:tc>
          <w:tcPr>
            <w:tcW w:w="550" w:type="dxa"/>
            <w:tcBorders>
              <w:bottom w:val="double" w:sz="4" w:space="0" w:color="auto"/>
            </w:tcBorders>
            <w:shd w:val="clear" w:color="auto" w:fill="auto"/>
          </w:tcPr>
          <w:p w:rsidR="00383888" w:rsidRPr="000615AB" w:rsidRDefault="00383888" w:rsidP="00B47699">
            <w:pPr>
              <w:jc w:val="right"/>
              <w:rPr>
                <w:sz w:val="16"/>
                <w:szCs w:val="16"/>
              </w:rPr>
            </w:pPr>
            <w:r w:rsidRPr="000615AB">
              <w:rPr>
                <w:sz w:val="16"/>
                <w:szCs w:val="16"/>
              </w:rPr>
              <w:t>NZ</w:t>
            </w:r>
          </w:p>
        </w:tc>
      </w:tr>
      <w:tr w:rsidR="00383888" w:rsidRPr="000615AB" w:rsidTr="00B47699">
        <w:tc>
          <w:tcPr>
            <w:tcW w:w="711" w:type="dxa"/>
            <w:tcBorders>
              <w:top w:val="double" w:sz="4" w:space="0" w:color="auto"/>
            </w:tcBorders>
            <w:shd w:val="clear" w:color="auto" w:fill="auto"/>
          </w:tcPr>
          <w:p w:rsidR="00383888" w:rsidRPr="000615AB" w:rsidRDefault="00383888" w:rsidP="00B47699">
            <w:pPr>
              <w:rPr>
                <w:sz w:val="16"/>
                <w:szCs w:val="16"/>
              </w:rPr>
            </w:pPr>
            <w:r w:rsidRPr="000615AB">
              <w:rPr>
                <w:sz w:val="16"/>
                <w:szCs w:val="16"/>
              </w:rPr>
              <w:t>2013</w:t>
            </w:r>
          </w:p>
        </w:tc>
        <w:tc>
          <w:tcPr>
            <w:tcW w:w="497"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5</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70</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39</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11</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40</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32</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14</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14</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12</w:t>
            </w:r>
          </w:p>
        </w:tc>
        <w:tc>
          <w:tcPr>
            <w:tcW w:w="550" w:type="dxa"/>
            <w:tcBorders>
              <w:top w:val="double" w:sz="4" w:space="0" w:color="auto"/>
            </w:tcBorders>
            <w:shd w:val="clear" w:color="auto" w:fill="auto"/>
          </w:tcPr>
          <w:p w:rsidR="00383888" w:rsidRPr="000615AB" w:rsidRDefault="00383888" w:rsidP="00B47699">
            <w:pPr>
              <w:jc w:val="right"/>
              <w:rPr>
                <w:sz w:val="16"/>
                <w:szCs w:val="16"/>
              </w:rPr>
            </w:pPr>
            <w:r w:rsidRPr="000615AB">
              <w:rPr>
                <w:sz w:val="16"/>
                <w:szCs w:val="16"/>
              </w:rPr>
              <w:t>64</w:t>
            </w:r>
          </w:p>
        </w:tc>
        <w:tc>
          <w:tcPr>
            <w:tcW w:w="550" w:type="dxa"/>
            <w:tcBorders>
              <w:top w:val="double" w:sz="4" w:space="0" w:color="auto"/>
            </w:tcBorders>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w:t>
            </w:r>
          </w:p>
        </w:tc>
        <w:tc>
          <w:tcPr>
            <w:tcW w:w="550" w:type="dxa"/>
            <w:tcBorders>
              <w:top w:val="double" w:sz="4" w:space="0" w:color="auto"/>
            </w:tcBorders>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152</w:t>
            </w:r>
          </w:p>
        </w:tc>
        <w:tc>
          <w:tcPr>
            <w:tcW w:w="990" w:type="dxa"/>
            <w:tcBorders>
              <w:top w:val="double" w:sz="4" w:space="0" w:color="auto"/>
            </w:tcBorders>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12</w:t>
            </w:r>
          </w:p>
        </w:tc>
        <w:tc>
          <w:tcPr>
            <w:tcW w:w="550" w:type="dxa"/>
            <w:tcBorders>
              <w:top w:val="double" w:sz="4" w:space="0" w:color="auto"/>
            </w:tcBorders>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38</w:t>
            </w:r>
          </w:p>
        </w:tc>
        <w:tc>
          <w:tcPr>
            <w:tcW w:w="550" w:type="dxa"/>
            <w:tcBorders>
              <w:top w:val="double" w:sz="4" w:space="0" w:color="auto"/>
            </w:tcBorders>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35</w:t>
            </w:r>
          </w:p>
        </w:tc>
      </w:tr>
      <w:tr w:rsidR="00383888" w:rsidRPr="000615AB" w:rsidTr="00B47699">
        <w:tc>
          <w:tcPr>
            <w:tcW w:w="711" w:type="dxa"/>
            <w:shd w:val="clear" w:color="auto" w:fill="auto"/>
          </w:tcPr>
          <w:p w:rsidR="00383888" w:rsidRPr="000615AB" w:rsidRDefault="00383888" w:rsidP="00B47699">
            <w:pPr>
              <w:rPr>
                <w:sz w:val="16"/>
                <w:szCs w:val="16"/>
              </w:rPr>
            </w:pPr>
            <w:r w:rsidRPr="000615AB">
              <w:rPr>
                <w:sz w:val="16"/>
                <w:szCs w:val="16"/>
              </w:rPr>
              <w:t>2014</w:t>
            </w:r>
          </w:p>
        </w:tc>
        <w:tc>
          <w:tcPr>
            <w:tcW w:w="497" w:type="dxa"/>
            <w:shd w:val="clear" w:color="auto" w:fill="auto"/>
          </w:tcPr>
          <w:p w:rsidR="00383888" w:rsidRPr="000615AB" w:rsidRDefault="00383888" w:rsidP="00B47699">
            <w:pPr>
              <w:jc w:val="right"/>
              <w:rPr>
                <w:sz w:val="16"/>
                <w:szCs w:val="16"/>
              </w:rPr>
            </w:pPr>
            <w:r w:rsidRPr="000615AB">
              <w:rPr>
                <w:sz w:val="16"/>
                <w:szCs w:val="16"/>
              </w:rPr>
              <w:t>10</w:t>
            </w:r>
          </w:p>
        </w:tc>
        <w:tc>
          <w:tcPr>
            <w:tcW w:w="550" w:type="dxa"/>
            <w:shd w:val="clear" w:color="auto" w:fill="auto"/>
          </w:tcPr>
          <w:p w:rsidR="00383888" w:rsidRPr="000615AB" w:rsidRDefault="00383888" w:rsidP="00B47699">
            <w:pPr>
              <w:jc w:val="right"/>
              <w:rPr>
                <w:sz w:val="16"/>
                <w:szCs w:val="16"/>
              </w:rPr>
            </w:pPr>
            <w:r w:rsidRPr="000615AB">
              <w:rPr>
                <w:sz w:val="16"/>
                <w:szCs w:val="16"/>
              </w:rPr>
              <w:t>142</w:t>
            </w:r>
          </w:p>
        </w:tc>
        <w:tc>
          <w:tcPr>
            <w:tcW w:w="550" w:type="dxa"/>
            <w:shd w:val="clear" w:color="auto" w:fill="auto"/>
          </w:tcPr>
          <w:p w:rsidR="00383888" w:rsidRPr="000615AB" w:rsidRDefault="00383888" w:rsidP="00B47699">
            <w:pPr>
              <w:jc w:val="right"/>
              <w:rPr>
                <w:sz w:val="16"/>
                <w:szCs w:val="16"/>
              </w:rPr>
            </w:pPr>
            <w:r w:rsidRPr="000615AB">
              <w:rPr>
                <w:sz w:val="16"/>
                <w:szCs w:val="16"/>
              </w:rPr>
              <w:t>80</w:t>
            </w:r>
          </w:p>
        </w:tc>
        <w:tc>
          <w:tcPr>
            <w:tcW w:w="550" w:type="dxa"/>
            <w:shd w:val="clear" w:color="auto" w:fill="auto"/>
          </w:tcPr>
          <w:p w:rsidR="00383888" w:rsidRPr="000615AB" w:rsidRDefault="00383888" w:rsidP="00B47699">
            <w:pPr>
              <w:jc w:val="right"/>
              <w:rPr>
                <w:sz w:val="16"/>
                <w:szCs w:val="16"/>
              </w:rPr>
            </w:pPr>
            <w:r w:rsidRPr="000615AB">
              <w:rPr>
                <w:sz w:val="16"/>
                <w:szCs w:val="16"/>
              </w:rPr>
              <w:t>23</w:t>
            </w:r>
          </w:p>
        </w:tc>
        <w:tc>
          <w:tcPr>
            <w:tcW w:w="550" w:type="dxa"/>
            <w:shd w:val="clear" w:color="auto" w:fill="auto"/>
          </w:tcPr>
          <w:p w:rsidR="00383888" w:rsidRPr="000615AB" w:rsidRDefault="00383888" w:rsidP="00B47699">
            <w:pPr>
              <w:jc w:val="right"/>
              <w:rPr>
                <w:sz w:val="16"/>
                <w:szCs w:val="16"/>
              </w:rPr>
            </w:pPr>
            <w:r w:rsidRPr="000615AB">
              <w:rPr>
                <w:sz w:val="16"/>
                <w:szCs w:val="16"/>
              </w:rPr>
              <w:t>80</w:t>
            </w:r>
          </w:p>
        </w:tc>
        <w:tc>
          <w:tcPr>
            <w:tcW w:w="550" w:type="dxa"/>
            <w:shd w:val="clear" w:color="auto" w:fill="auto"/>
          </w:tcPr>
          <w:p w:rsidR="00383888" w:rsidRPr="000615AB" w:rsidRDefault="00383888" w:rsidP="00B47699">
            <w:pPr>
              <w:jc w:val="right"/>
              <w:rPr>
                <w:sz w:val="16"/>
                <w:szCs w:val="16"/>
              </w:rPr>
            </w:pPr>
            <w:r w:rsidRPr="000615AB">
              <w:rPr>
                <w:sz w:val="16"/>
                <w:szCs w:val="16"/>
              </w:rPr>
              <w:t>65</w:t>
            </w:r>
          </w:p>
        </w:tc>
        <w:tc>
          <w:tcPr>
            <w:tcW w:w="550" w:type="dxa"/>
            <w:shd w:val="clear" w:color="auto" w:fill="auto"/>
          </w:tcPr>
          <w:p w:rsidR="00383888" w:rsidRPr="000615AB" w:rsidRDefault="00383888" w:rsidP="00B47699">
            <w:pPr>
              <w:jc w:val="right"/>
              <w:rPr>
                <w:sz w:val="16"/>
                <w:szCs w:val="16"/>
              </w:rPr>
            </w:pPr>
            <w:r w:rsidRPr="000615AB">
              <w:rPr>
                <w:sz w:val="16"/>
                <w:szCs w:val="16"/>
              </w:rPr>
              <w:t>28</w:t>
            </w:r>
          </w:p>
        </w:tc>
        <w:tc>
          <w:tcPr>
            <w:tcW w:w="550" w:type="dxa"/>
            <w:shd w:val="clear" w:color="auto" w:fill="auto"/>
          </w:tcPr>
          <w:p w:rsidR="00383888" w:rsidRPr="000615AB" w:rsidRDefault="00383888" w:rsidP="00B47699">
            <w:pPr>
              <w:jc w:val="right"/>
              <w:rPr>
                <w:sz w:val="16"/>
                <w:szCs w:val="16"/>
              </w:rPr>
            </w:pPr>
            <w:r w:rsidRPr="000615AB">
              <w:rPr>
                <w:sz w:val="16"/>
                <w:szCs w:val="16"/>
              </w:rPr>
              <w:t>27</w:t>
            </w:r>
          </w:p>
        </w:tc>
        <w:tc>
          <w:tcPr>
            <w:tcW w:w="550" w:type="dxa"/>
            <w:shd w:val="clear" w:color="auto" w:fill="auto"/>
          </w:tcPr>
          <w:p w:rsidR="00383888" w:rsidRPr="000615AB" w:rsidRDefault="00383888" w:rsidP="00B47699">
            <w:pPr>
              <w:jc w:val="right"/>
              <w:rPr>
                <w:sz w:val="16"/>
                <w:szCs w:val="16"/>
              </w:rPr>
            </w:pPr>
            <w:r w:rsidRPr="000615AB">
              <w:rPr>
                <w:sz w:val="16"/>
                <w:szCs w:val="16"/>
              </w:rPr>
              <w:t>24</w:t>
            </w:r>
          </w:p>
        </w:tc>
        <w:tc>
          <w:tcPr>
            <w:tcW w:w="550" w:type="dxa"/>
            <w:shd w:val="clear" w:color="auto" w:fill="auto"/>
          </w:tcPr>
          <w:p w:rsidR="00383888" w:rsidRPr="000615AB" w:rsidRDefault="00383888" w:rsidP="00B47699">
            <w:pPr>
              <w:jc w:val="right"/>
              <w:rPr>
                <w:sz w:val="16"/>
                <w:szCs w:val="16"/>
              </w:rPr>
            </w:pPr>
            <w:r w:rsidRPr="000615AB">
              <w:rPr>
                <w:sz w:val="16"/>
                <w:szCs w:val="16"/>
              </w:rPr>
              <w:t>132</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2</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309</w:t>
            </w:r>
          </w:p>
        </w:tc>
        <w:tc>
          <w:tcPr>
            <w:tcW w:w="99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26</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77</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71</w:t>
            </w:r>
          </w:p>
        </w:tc>
      </w:tr>
      <w:tr w:rsidR="00383888" w:rsidRPr="000615AB" w:rsidTr="00B47699">
        <w:tc>
          <w:tcPr>
            <w:tcW w:w="711" w:type="dxa"/>
            <w:shd w:val="clear" w:color="auto" w:fill="auto"/>
          </w:tcPr>
          <w:p w:rsidR="00383888" w:rsidRPr="000615AB" w:rsidRDefault="00383888" w:rsidP="00B47699">
            <w:pPr>
              <w:rPr>
                <w:sz w:val="16"/>
                <w:szCs w:val="16"/>
              </w:rPr>
            </w:pPr>
            <w:r w:rsidRPr="000615AB">
              <w:rPr>
                <w:sz w:val="16"/>
                <w:szCs w:val="16"/>
              </w:rPr>
              <w:t>2015</w:t>
            </w:r>
          </w:p>
        </w:tc>
        <w:tc>
          <w:tcPr>
            <w:tcW w:w="497" w:type="dxa"/>
            <w:shd w:val="clear" w:color="auto" w:fill="auto"/>
          </w:tcPr>
          <w:p w:rsidR="00383888" w:rsidRPr="000615AB" w:rsidRDefault="00383888" w:rsidP="00B47699">
            <w:pPr>
              <w:jc w:val="right"/>
              <w:rPr>
                <w:sz w:val="16"/>
                <w:szCs w:val="16"/>
              </w:rPr>
            </w:pPr>
            <w:r w:rsidRPr="000615AB">
              <w:rPr>
                <w:sz w:val="16"/>
                <w:szCs w:val="16"/>
              </w:rPr>
              <w:t>14</w:t>
            </w:r>
          </w:p>
        </w:tc>
        <w:tc>
          <w:tcPr>
            <w:tcW w:w="550" w:type="dxa"/>
            <w:shd w:val="clear" w:color="auto" w:fill="auto"/>
          </w:tcPr>
          <w:p w:rsidR="00383888" w:rsidRPr="000615AB" w:rsidRDefault="00383888" w:rsidP="00B47699">
            <w:pPr>
              <w:jc w:val="right"/>
              <w:rPr>
                <w:sz w:val="16"/>
                <w:szCs w:val="16"/>
              </w:rPr>
            </w:pPr>
            <w:r w:rsidRPr="000615AB">
              <w:rPr>
                <w:sz w:val="16"/>
                <w:szCs w:val="16"/>
              </w:rPr>
              <w:t>183</w:t>
            </w:r>
          </w:p>
        </w:tc>
        <w:tc>
          <w:tcPr>
            <w:tcW w:w="550" w:type="dxa"/>
            <w:shd w:val="clear" w:color="auto" w:fill="auto"/>
          </w:tcPr>
          <w:p w:rsidR="00383888" w:rsidRPr="000615AB" w:rsidRDefault="00383888" w:rsidP="00B47699">
            <w:pPr>
              <w:jc w:val="right"/>
              <w:rPr>
                <w:sz w:val="16"/>
                <w:szCs w:val="16"/>
              </w:rPr>
            </w:pPr>
            <w:r w:rsidRPr="000615AB">
              <w:rPr>
                <w:sz w:val="16"/>
                <w:szCs w:val="16"/>
              </w:rPr>
              <w:t>103</w:t>
            </w:r>
          </w:p>
        </w:tc>
        <w:tc>
          <w:tcPr>
            <w:tcW w:w="550" w:type="dxa"/>
            <w:shd w:val="clear" w:color="auto" w:fill="auto"/>
          </w:tcPr>
          <w:p w:rsidR="00383888" w:rsidRPr="000615AB" w:rsidRDefault="00383888" w:rsidP="00B47699">
            <w:pPr>
              <w:jc w:val="right"/>
              <w:rPr>
                <w:sz w:val="16"/>
                <w:szCs w:val="16"/>
              </w:rPr>
            </w:pPr>
            <w:r w:rsidRPr="000615AB">
              <w:rPr>
                <w:sz w:val="16"/>
                <w:szCs w:val="16"/>
              </w:rPr>
              <w:t>31</w:t>
            </w:r>
          </w:p>
        </w:tc>
        <w:tc>
          <w:tcPr>
            <w:tcW w:w="550" w:type="dxa"/>
            <w:shd w:val="clear" w:color="auto" w:fill="auto"/>
          </w:tcPr>
          <w:p w:rsidR="00383888" w:rsidRPr="000615AB" w:rsidRDefault="00383888" w:rsidP="00B47699">
            <w:pPr>
              <w:jc w:val="right"/>
              <w:rPr>
                <w:sz w:val="16"/>
                <w:szCs w:val="16"/>
              </w:rPr>
            </w:pPr>
            <w:r w:rsidRPr="000615AB">
              <w:rPr>
                <w:sz w:val="16"/>
                <w:szCs w:val="16"/>
              </w:rPr>
              <w:t>103</w:t>
            </w:r>
          </w:p>
        </w:tc>
        <w:tc>
          <w:tcPr>
            <w:tcW w:w="550" w:type="dxa"/>
            <w:shd w:val="clear" w:color="auto" w:fill="auto"/>
          </w:tcPr>
          <w:p w:rsidR="00383888" w:rsidRPr="000615AB" w:rsidRDefault="00383888" w:rsidP="00B47699">
            <w:pPr>
              <w:jc w:val="right"/>
              <w:rPr>
                <w:sz w:val="16"/>
                <w:szCs w:val="16"/>
              </w:rPr>
            </w:pPr>
            <w:r w:rsidRPr="000615AB">
              <w:rPr>
                <w:sz w:val="16"/>
                <w:szCs w:val="16"/>
              </w:rPr>
              <w:t>83</w:t>
            </w:r>
          </w:p>
        </w:tc>
        <w:tc>
          <w:tcPr>
            <w:tcW w:w="550" w:type="dxa"/>
            <w:shd w:val="clear" w:color="auto" w:fill="auto"/>
          </w:tcPr>
          <w:p w:rsidR="00383888" w:rsidRPr="000615AB" w:rsidRDefault="00383888" w:rsidP="00B47699">
            <w:pPr>
              <w:jc w:val="right"/>
              <w:rPr>
                <w:sz w:val="16"/>
                <w:szCs w:val="16"/>
              </w:rPr>
            </w:pPr>
            <w:r w:rsidRPr="000615AB">
              <w:rPr>
                <w:sz w:val="16"/>
                <w:szCs w:val="16"/>
              </w:rPr>
              <w:t>36</w:t>
            </w:r>
          </w:p>
        </w:tc>
        <w:tc>
          <w:tcPr>
            <w:tcW w:w="550" w:type="dxa"/>
            <w:shd w:val="clear" w:color="auto" w:fill="auto"/>
          </w:tcPr>
          <w:p w:rsidR="00383888" w:rsidRPr="000615AB" w:rsidRDefault="00383888" w:rsidP="00B47699">
            <w:pPr>
              <w:jc w:val="right"/>
              <w:rPr>
                <w:sz w:val="16"/>
                <w:szCs w:val="16"/>
              </w:rPr>
            </w:pPr>
            <w:r w:rsidRPr="000615AB">
              <w:rPr>
                <w:sz w:val="16"/>
                <w:szCs w:val="16"/>
              </w:rPr>
              <w:t>35</w:t>
            </w:r>
          </w:p>
        </w:tc>
        <w:tc>
          <w:tcPr>
            <w:tcW w:w="550" w:type="dxa"/>
            <w:shd w:val="clear" w:color="auto" w:fill="auto"/>
          </w:tcPr>
          <w:p w:rsidR="00383888" w:rsidRPr="000615AB" w:rsidRDefault="00383888" w:rsidP="00B47699">
            <w:pPr>
              <w:jc w:val="right"/>
              <w:rPr>
                <w:sz w:val="16"/>
                <w:szCs w:val="16"/>
              </w:rPr>
            </w:pPr>
            <w:r w:rsidRPr="000615AB">
              <w:rPr>
                <w:sz w:val="16"/>
                <w:szCs w:val="16"/>
              </w:rPr>
              <w:t>32</w:t>
            </w:r>
          </w:p>
        </w:tc>
        <w:tc>
          <w:tcPr>
            <w:tcW w:w="550" w:type="dxa"/>
            <w:shd w:val="clear" w:color="auto" w:fill="auto"/>
          </w:tcPr>
          <w:p w:rsidR="00383888" w:rsidRPr="000615AB" w:rsidRDefault="00383888" w:rsidP="00B47699">
            <w:pPr>
              <w:jc w:val="right"/>
              <w:rPr>
                <w:sz w:val="16"/>
                <w:szCs w:val="16"/>
              </w:rPr>
            </w:pPr>
            <w:r w:rsidRPr="000615AB">
              <w:rPr>
                <w:sz w:val="16"/>
                <w:szCs w:val="16"/>
              </w:rPr>
              <w:t>171</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3</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394</w:t>
            </w:r>
          </w:p>
        </w:tc>
        <w:tc>
          <w:tcPr>
            <w:tcW w:w="99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34</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100</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93</w:t>
            </w:r>
          </w:p>
        </w:tc>
      </w:tr>
      <w:tr w:rsidR="00383888" w:rsidRPr="000615AB" w:rsidTr="00B47699">
        <w:tc>
          <w:tcPr>
            <w:tcW w:w="711" w:type="dxa"/>
            <w:shd w:val="clear" w:color="auto" w:fill="auto"/>
          </w:tcPr>
          <w:p w:rsidR="00383888" w:rsidRPr="000615AB" w:rsidRDefault="00383888" w:rsidP="00B47699">
            <w:pPr>
              <w:rPr>
                <w:sz w:val="16"/>
                <w:szCs w:val="16"/>
              </w:rPr>
            </w:pPr>
            <w:r w:rsidRPr="000615AB">
              <w:rPr>
                <w:sz w:val="16"/>
                <w:szCs w:val="16"/>
              </w:rPr>
              <w:t>2016</w:t>
            </w:r>
          </w:p>
        </w:tc>
        <w:tc>
          <w:tcPr>
            <w:tcW w:w="497" w:type="dxa"/>
            <w:shd w:val="clear" w:color="auto" w:fill="auto"/>
          </w:tcPr>
          <w:p w:rsidR="00383888" w:rsidRPr="000615AB" w:rsidRDefault="00383888" w:rsidP="00B47699">
            <w:pPr>
              <w:jc w:val="right"/>
              <w:rPr>
                <w:sz w:val="16"/>
                <w:szCs w:val="16"/>
              </w:rPr>
            </w:pPr>
            <w:r w:rsidRPr="000615AB">
              <w:rPr>
                <w:sz w:val="16"/>
                <w:szCs w:val="16"/>
              </w:rPr>
              <w:t>17</w:t>
            </w:r>
          </w:p>
        </w:tc>
        <w:tc>
          <w:tcPr>
            <w:tcW w:w="550" w:type="dxa"/>
            <w:shd w:val="clear" w:color="auto" w:fill="auto"/>
          </w:tcPr>
          <w:p w:rsidR="00383888" w:rsidRPr="000615AB" w:rsidRDefault="00383888" w:rsidP="00B47699">
            <w:pPr>
              <w:jc w:val="right"/>
              <w:rPr>
                <w:sz w:val="16"/>
                <w:szCs w:val="16"/>
              </w:rPr>
            </w:pPr>
            <w:r w:rsidRPr="000615AB">
              <w:rPr>
                <w:sz w:val="16"/>
                <w:szCs w:val="16"/>
              </w:rPr>
              <w:t>224</w:t>
            </w:r>
          </w:p>
        </w:tc>
        <w:tc>
          <w:tcPr>
            <w:tcW w:w="550" w:type="dxa"/>
            <w:shd w:val="clear" w:color="auto" w:fill="auto"/>
          </w:tcPr>
          <w:p w:rsidR="00383888" w:rsidRPr="000615AB" w:rsidRDefault="00383888" w:rsidP="00B47699">
            <w:pPr>
              <w:jc w:val="right"/>
              <w:rPr>
                <w:sz w:val="16"/>
                <w:szCs w:val="16"/>
              </w:rPr>
            </w:pPr>
            <w:r w:rsidRPr="000615AB">
              <w:rPr>
                <w:sz w:val="16"/>
                <w:szCs w:val="16"/>
              </w:rPr>
              <w:t>128</w:t>
            </w:r>
          </w:p>
        </w:tc>
        <w:tc>
          <w:tcPr>
            <w:tcW w:w="550" w:type="dxa"/>
            <w:shd w:val="clear" w:color="auto" w:fill="auto"/>
          </w:tcPr>
          <w:p w:rsidR="00383888" w:rsidRPr="000615AB" w:rsidRDefault="00383888" w:rsidP="00B47699">
            <w:pPr>
              <w:jc w:val="right"/>
              <w:rPr>
                <w:sz w:val="16"/>
                <w:szCs w:val="16"/>
              </w:rPr>
            </w:pPr>
            <w:r w:rsidRPr="000615AB">
              <w:rPr>
                <w:sz w:val="16"/>
                <w:szCs w:val="16"/>
              </w:rPr>
              <w:t>39</w:t>
            </w:r>
          </w:p>
        </w:tc>
        <w:tc>
          <w:tcPr>
            <w:tcW w:w="550" w:type="dxa"/>
            <w:shd w:val="clear" w:color="auto" w:fill="auto"/>
          </w:tcPr>
          <w:p w:rsidR="00383888" w:rsidRPr="000615AB" w:rsidRDefault="00383888" w:rsidP="00B47699">
            <w:pPr>
              <w:jc w:val="right"/>
              <w:rPr>
                <w:sz w:val="16"/>
                <w:szCs w:val="16"/>
              </w:rPr>
            </w:pPr>
            <w:r w:rsidRPr="000615AB">
              <w:rPr>
                <w:sz w:val="16"/>
                <w:szCs w:val="16"/>
              </w:rPr>
              <w:t>126</w:t>
            </w:r>
          </w:p>
        </w:tc>
        <w:tc>
          <w:tcPr>
            <w:tcW w:w="550" w:type="dxa"/>
            <w:shd w:val="clear" w:color="auto" w:fill="auto"/>
          </w:tcPr>
          <w:p w:rsidR="00383888" w:rsidRPr="000615AB" w:rsidRDefault="00383888" w:rsidP="00B47699">
            <w:pPr>
              <w:jc w:val="right"/>
              <w:rPr>
                <w:sz w:val="16"/>
                <w:szCs w:val="16"/>
              </w:rPr>
            </w:pPr>
            <w:r w:rsidRPr="000615AB">
              <w:rPr>
                <w:sz w:val="16"/>
                <w:szCs w:val="16"/>
              </w:rPr>
              <w:t>102</w:t>
            </w:r>
          </w:p>
        </w:tc>
        <w:tc>
          <w:tcPr>
            <w:tcW w:w="550" w:type="dxa"/>
            <w:shd w:val="clear" w:color="auto" w:fill="auto"/>
          </w:tcPr>
          <w:p w:rsidR="00383888" w:rsidRPr="000615AB" w:rsidRDefault="00383888" w:rsidP="00B47699">
            <w:pPr>
              <w:jc w:val="right"/>
              <w:rPr>
                <w:sz w:val="16"/>
                <w:szCs w:val="16"/>
              </w:rPr>
            </w:pPr>
            <w:r w:rsidRPr="000615AB">
              <w:rPr>
                <w:sz w:val="16"/>
                <w:szCs w:val="16"/>
              </w:rPr>
              <w:t>44</w:t>
            </w:r>
          </w:p>
        </w:tc>
        <w:tc>
          <w:tcPr>
            <w:tcW w:w="550" w:type="dxa"/>
            <w:shd w:val="clear" w:color="auto" w:fill="auto"/>
          </w:tcPr>
          <w:p w:rsidR="00383888" w:rsidRPr="000615AB" w:rsidRDefault="00383888" w:rsidP="00B47699">
            <w:pPr>
              <w:jc w:val="right"/>
              <w:rPr>
                <w:sz w:val="16"/>
                <w:szCs w:val="16"/>
              </w:rPr>
            </w:pPr>
            <w:r w:rsidRPr="000615AB">
              <w:rPr>
                <w:sz w:val="16"/>
                <w:szCs w:val="16"/>
              </w:rPr>
              <w:t>43</w:t>
            </w:r>
          </w:p>
        </w:tc>
        <w:tc>
          <w:tcPr>
            <w:tcW w:w="550" w:type="dxa"/>
            <w:shd w:val="clear" w:color="auto" w:fill="auto"/>
          </w:tcPr>
          <w:p w:rsidR="00383888" w:rsidRPr="000615AB" w:rsidRDefault="00383888" w:rsidP="00B47699">
            <w:pPr>
              <w:jc w:val="right"/>
              <w:rPr>
                <w:sz w:val="16"/>
                <w:szCs w:val="16"/>
              </w:rPr>
            </w:pPr>
            <w:r w:rsidRPr="000615AB">
              <w:rPr>
                <w:sz w:val="16"/>
                <w:szCs w:val="16"/>
              </w:rPr>
              <w:t>39</w:t>
            </w:r>
          </w:p>
        </w:tc>
        <w:tc>
          <w:tcPr>
            <w:tcW w:w="550" w:type="dxa"/>
            <w:shd w:val="clear" w:color="auto" w:fill="auto"/>
          </w:tcPr>
          <w:p w:rsidR="00383888" w:rsidRPr="000615AB" w:rsidRDefault="00383888" w:rsidP="00B47699">
            <w:pPr>
              <w:jc w:val="right"/>
              <w:rPr>
                <w:sz w:val="16"/>
                <w:szCs w:val="16"/>
              </w:rPr>
            </w:pPr>
            <w:r w:rsidRPr="000615AB">
              <w:rPr>
                <w:sz w:val="16"/>
                <w:szCs w:val="16"/>
              </w:rPr>
              <w:t>213</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4</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484</w:t>
            </w:r>
          </w:p>
        </w:tc>
        <w:tc>
          <w:tcPr>
            <w:tcW w:w="99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43</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125</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116</w:t>
            </w:r>
          </w:p>
        </w:tc>
      </w:tr>
      <w:tr w:rsidR="00383888" w:rsidRPr="000615AB" w:rsidTr="00B47699">
        <w:tc>
          <w:tcPr>
            <w:tcW w:w="711" w:type="dxa"/>
            <w:shd w:val="clear" w:color="auto" w:fill="auto"/>
          </w:tcPr>
          <w:p w:rsidR="00383888" w:rsidRPr="000615AB" w:rsidRDefault="00383888" w:rsidP="00B47699">
            <w:pPr>
              <w:rPr>
                <w:sz w:val="16"/>
                <w:szCs w:val="16"/>
              </w:rPr>
            </w:pPr>
            <w:r w:rsidRPr="000615AB">
              <w:rPr>
                <w:sz w:val="16"/>
                <w:szCs w:val="16"/>
              </w:rPr>
              <w:t>2017</w:t>
            </w:r>
          </w:p>
        </w:tc>
        <w:tc>
          <w:tcPr>
            <w:tcW w:w="497" w:type="dxa"/>
            <w:shd w:val="clear" w:color="auto" w:fill="auto"/>
          </w:tcPr>
          <w:p w:rsidR="00383888" w:rsidRPr="000615AB" w:rsidRDefault="00383888" w:rsidP="00B47699">
            <w:pPr>
              <w:jc w:val="right"/>
              <w:rPr>
                <w:sz w:val="16"/>
                <w:szCs w:val="16"/>
              </w:rPr>
            </w:pPr>
            <w:r w:rsidRPr="000615AB">
              <w:rPr>
                <w:sz w:val="16"/>
                <w:szCs w:val="16"/>
              </w:rPr>
              <w:t>20</w:t>
            </w:r>
          </w:p>
        </w:tc>
        <w:tc>
          <w:tcPr>
            <w:tcW w:w="550" w:type="dxa"/>
            <w:shd w:val="clear" w:color="auto" w:fill="auto"/>
          </w:tcPr>
          <w:p w:rsidR="00383888" w:rsidRPr="000615AB" w:rsidRDefault="00383888" w:rsidP="00B47699">
            <w:pPr>
              <w:jc w:val="right"/>
              <w:rPr>
                <w:sz w:val="16"/>
                <w:szCs w:val="16"/>
              </w:rPr>
            </w:pPr>
            <w:r w:rsidRPr="000615AB">
              <w:rPr>
                <w:sz w:val="16"/>
                <w:szCs w:val="16"/>
              </w:rPr>
              <w:t>266</w:t>
            </w:r>
          </w:p>
        </w:tc>
        <w:tc>
          <w:tcPr>
            <w:tcW w:w="550" w:type="dxa"/>
            <w:shd w:val="clear" w:color="auto" w:fill="auto"/>
          </w:tcPr>
          <w:p w:rsidR="00383888" w:rsidRPr="000615AB" w:rsidRDefault="00383888" w:rsidP="00B47699">
            <w:pPr>
              <w:jc w:val="right"/>
              <w:rPr>
                <w:sz w:val="16"/>
                <w:szCs w:val="16"/>
              </w:rPr>
            </w:pPr>
            <w:r w:rsidRPr="000615AB">
              <w:rPr>
                <w:sz w:val="16"/>
                <w:szCs w:val="16"/>
              </w:rPr>
              <w:t>154</w:t>
            </w:r>
          </w:p>
        </w:tc>
        <w:tc>
          <w:tcPr>
            <w:tcW w:w="550" w:type="dxa"/>
            <w:shd w:val="clear" w:color="auto" w:fill="auto"/>
          </w:tcPr>
          <w:p w:rsidR="00383888" w:rsidRPr="000615AB" w:rsidRDefault="00383888" w:rsidP="00B47699">
            <w:pPr>
              <w:jc w:val="right"/>
              <w:rPr>
                <w:sz w:val="16"/>
                <w:szCs w:val="16"/>
              </w:rPr>
            </w:pPr>
            <w:r w:rsidRPr="000615AB">
              <w:rPr>
                <w:sz w:val="16"/>
                <w:szCs w:val="16"/>
              </w:rPr>
              <w:t>47</w:t>
            </w:r>
          </w:p>
        </w:tc>
        <w:tc>
          <w:tcPr>
            <w:tcW w:w="550" w:type="dxa"/>
            <w:shd w:val="clear" w:color="auto" w:fill="auto"/>
          </w:tcPr>
          <w:p w:rsidR="00383888" w:rsidRPr="000615AB" w:rsidRDefault="00383888" w:rsidP="00B47699">
            <w:pPr>
              <w:jc w:val="right"/>
              <w:rPr>
                <w:sz w:val="16"/>
                <w:szCs w:val="16"/>
              </w:rPr>
            </w:pPr>
            <w:r w:rsidRPr="000615AB">
              <w:rPr>
                <w:sz w:val="16"/>
                <w:szCs w:val="16"/>
              </w:rPr>
              <w:t>151</w:t>
            </w:r>
          </w:p>
        </w:tc>
        <w:tc>
          <w:tcPr>
            <w:tcW w:w="550" w:type="dxa"/>
            <w:shd w:val="clear" w:color="auto" w:fill="auto"/>
          </w:tcPr>
          <w:p w:rsidR="00383888" w:rsidRPr="000615AB" w:rsidRDefault="00383888" w:rsidP="00B47699">
            <w:pPr>
              <w:jc w:val="right"/>
              <w:rPr>
                <w:sz w:val="16"/>
                <w:szCs w:val="16"/>
              </w:rPr>
            </w:pPr>
            <w:r w:rsidRPr="000615AB">
              <w:rPr>
                <w:sz w:val="16"/>
                <w:szCs w:val="16"/>
              </w:rPr>
              <w:t>122</w:t>
            </w:r>
          </w:p>
        </w:tc>
        <w:tc>
          <w:tcPr>
            <w:tcW w:w="550" w:type="dxa"/>
            <w:shd w:val="clear" w:color="auto" w:fill="auto"/>
          </w:tcPr>
          <w:p w:rsidR="00383888" w:rsidRPr="000615AB" w:rsidRDefault="00383888" w:rsidP="00B47699">
            <w:pPr>
              <w:jc w:val="right"/>
              <w:rPr>
                <w:sz w:val="16"/>
                <w:szCs w:val="16"/>
              </w:rPr>
            </w:pPr>
            <w:r w:rsidRPr="000615AB">
              <w:rPr>
                <w:sz w:val="16"/>
                <w:szCs w:val="16"/>
              </w:rPr>
              <w:t>52</w:t>
            </w:r>
          </w:p>
        </w:tc>
        <w:tc>
          <w:tcPr>
            <w:tcW w:w="550" w:type="dxa"/>
            <w:shd w:val="clear" w:color="auto" w:fill="auto"/>
          </w:tcPr>
          <w:p w:rsidR="00383888" w:rsidRPr="000615AB" w:rsidRDefault="00383888" w:rsidP="00B47699">
            <w:pPr>
              <w:jc w:val="right"/>
              <w:rPr>
                <w:sz w:val="16"/>
                <w:szCs w:val="16"/>
              </w:rPr>
            </w:pPr>
            <w:r w:rsidRPr="000615AB">
              <w:rPr>
                <w:sz w:val="16"/>
                <w:szCs w:val="16"/>
              </w:rPr>
              <w:t>51</w:t>
            </w:r>
          </w:p>
        </w:tc>
        <w:tc>
          <w:tcPr>
            <w:tcW w:w="550" w:type="dxa"/>
            <w:shd w:val="clear" w:color="auto" w:fill="auto"/>
          </w:tcPr>
          <w:p w:rsidR="00383888" w:rsidRPr="000615AB" w:rsidRDefault="00383888" w:rsidP="00B47699">
            <w:pPr>
              <w:jc w:val="right"/>
              <w:rPr>
                <w:sz w:val="16"/>
                <w:szCs w:val="16"/>
              </w:rPr>
            </w:pPr>
            <w:r w:rsidRPr="000615AB">
              <w:rPr>
                <w:sz w:val="16"/>
                <w:szCs w:val="16"/>
              </w:rPr>
              <w:t>47</w:t>
            </w:r>
          </w:p>
        </w:tc>
        <w:tc>
          <w:tcPr>
            <w:tcW w:w="550" w:type="dxa"/>
            <w:shd w:val="clear" w:color="auto" w:fill="auto"/>
          </w:tcPr>
          <w:p w:rsidR="00383888" w:rsidRPr="000615AB" w:rsidRDefault="00383888" w:rsidP="00B47699">
            <w:pPr>
              <w:jc w:val="right"/>
              <w:rPr>
                <w:sz w:val="16"/>
                <w:szCs w:val="16"/>
              </w:rPr>
            </w:pPr>
            <w:r w:rsidRPr="000615AB">
              <w:rPr>
                <w:sz w:val="16"/>
                <w:szCs w:val="16"/>
              </w:rPr>
              <w:t>257</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5</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576</w:t>
            </w:r>
          </w:p>
        </w:tc>
        <w:tc>
          <w:tcPr>
            <w:tcW w:w="990" w:type="dxa"/>
            <w:shd w:val="clear" w:color="auto" w:fill="auto"/>
            <w:tcMar>
              <w:top w:w="28" w:type="dxa"/>
              <w:bottom w:w="28" w:type="dxa"/>
            </w:tcMar>
          </w:tcPr>
          <w:p w:rsidR="00383888" w:rsidRPr="000615AB" w:rsidRDefault="00383888" w:rsidP="00B47699">
            <w:pPr>
              <w:jc w:val="right"/>
              <w:rPr>
                <w:sz w:val="16"/>
                <w:szCs w:val="16"/>
              </w:rPr>
            </w:pP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150</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139</w:t>
            </w:r>
          </w:p>
        </w:tc>
      </w:tr>
      <w:tr w:rsidR="00383888" w:rsidRPr="000615AB" w:rsidTr="00B47699">
        <w:tc>
          <w:tcPr>
            <w:tcW w:w="711" w:type="dxa"/>
            <w:shd w:val="clear" w:color="auto" w:fill="auto"/>
          </w:tcPr>
          <w:p w:rsidR="00383888" w:rsidRPr="000615AB" w:rsidRDefault="00383888" w:rsidP="00B47699">
            <w:pPr>
              <w:rPr>
                <w:sz w:val="16"/>
                <w:szCs w:val="16"/>
              </w:rPr>
            </w:pPr>
            <w:r w:rsidRPr="000615AB">
              <w:rPr>
                <w:sz w:val="16"/>
                <w:szCs w:val="16"/>
              </w:rPr>
              <w:t>2018</w:t>
            </w:r>
          </w:p>
        </w:tc>
        <w:tc>
          <w:tcPr>
            <w:tcW w:w="497" w:type="dxa"/>
            <w:shd w:val="clear" w:color="auto" w:fill="auto"/>
          </w:tcPr>
          <w:p w:rsidR="00383888" w:rsidRPr="000615AB" w:rsidRDefault="00383888" w:rsidP="00B47699">
            <w:pPr>
              <w:jc w:val="right"/>
              <w:rPr>
                <w:sz w:val="16"/>
                <w:szCs w:val="16"/>
              </w:rPr>
            </w:pPr>
            <w:r w:rsidRPr="000615AB">
              <w:rPr>
                <w:sz w:val="16"/>
                <w:szCs w:val="16"/>
              </w:rPr>
              <w:t>24</w:t>
            </w:r>
          </w:p>
        </w:tc>
        <w:tc>
          <w:tcPr>
            <w:tcW w:w="550" w:type="dxa"/>
            <w:shd w:val="clear" w:color="auto" w:fill="auto"/>
          </w:tcPr>
          <w:p w:rsidR="00383888" w:rsidRPr="000615AB" w:rsidRDefault="00383888" w:rsidP="00B47699">
            <w:pPr>
              <w:jc w:val="right"/>
              <w:rPr>
                <w:sz w:val="16"/>
                <w:szCs w:val="16"/>
              </w:rPr>
            </w:pPr>
            <w:r w:rsidRPr="000615AB">
              <w:rPr>
                <w:sz w:val="16"/>
                <w:szCs w:val="16"/>
              </w:rPr>
              <w:t>312</w:t>
            </w:r>
          </w:p>
        </w:tc>
        <w:tc>
          <w:tcPr>
            <w:tcW w:w="550" w:type="dxa"/>
            <w:shd w:val="clear" w:color="auto" w:fill="auto"/>
          </w:tcPr>
          <w:p w:rsidR="00383888" w:rsidRPr="000615AB" w:rsidRDefault="00383888" w:rsidP="00B47699">
            <w:pPr>
              <w:jc w:val="right"/>
              <w:rPr>
                <w:sz w:val="16"/>
                <w:szCs w:val="16"/>
              </w:rPr>
            </w:pPr>
            <w:r w:rsidRPr="000615AB">
              <w:rPr>
                <w:sz w:val="16"/>
                <w:szCs w:val="16"/>
              </w:rPr>
              <w:t>182</w:t>
            </w:r>
          </w:p>
        </w:tc>
        <w:tc>
          <w:tcPr>
            <w:tcW w:w="550" w:type="dxa"/>
            <w:shd w:val="clear" w:color="auto" w:fill="auto"/>
          </w:tcPr>
          <w:p w:rsidR="00383888" w:rsidRPr="000615AB" w:rsidRDefault="00383888" w:rsidP="00B47699">
            <w:pPr>
              <w:jc w:val="right"/>
              <w:rPr>
                <w:sz w:val="16"/>
                <w:szCs w:val="16"/>
              </w:rPr>
            </w:pPr>
            <w:r w:rsidRPr="000615AB">
              <w:rPr>
                <w:sz w:val="16"/>
                <w:szCs w:val="16"/>
              </w:rPr>
              <w:t>57</w:t>
            </w:r>
          </w:p>
        </w:tc>
        <w:tc>
          <w:tcPr>
            <w:tcW w:w="550" w:type="dxa"/>
            <w:shd w:val="clear" w:color="auto" w:fill="auto"/>
          </w:tcPr>
          <w:p w:rsidR="00383888" w:rsidRPr="000615AB" w:rsidRDefault="00383888" w:rsidP="00B47699">
            <w:pPr>
              <w:jc w:val="right"/>
              <w:rPr>
                <w:sz w:val="16"/>
                <w:szCs w:val="16"/>
              </w:rPr>
            </w:pPr>
            <w:r w:rsidRPr="000615AB">
              <w:rPr>
                <w:sz w:val="16"/>
                <w:szCs w:val="16"/>
              </w:rPr>
              <w:t>176</w:t>
            </w:r>
          </w:p>
        </w:tc>
        <w:tc>
          <w:tcPr>
            <w:tcW w:w="550" w:type="dxa"/>
            <w:shd w:val="clear" w:color="auto" w:fill="auto"/>
          </w:tcPr>
          <w:p w:rsidR="00383888" w:rsidRPr="000615AB" w:rsidRDefault="00383888" w:rsidP="00B47699">
            <w:pPr>
              <w:jc w:val="right"/>
              <w:rPr>
                <w:sz w:val="16"/>
                <w:szCs w:val="16"/>
              </w:rPr>
            </w:pPr>
            <w:r w:rsidRPr="000615AB">
              <w:rPr>
                <w:sz w:val="16"/>
                <w:szCs w:val="16"/>
              </w:rPr>
              <w:t>142</w:t>
            </w:r>
          </w:p>
        </w:tc>
        <w:tc>
          <w:tcPr>
            <w:tcW w:w="550" w:type="dxa"/>
            <w:shd w:val="clear" w:color="auto" w:fill="auto"/>
          </w:tcPr>
          <w:p w:rsidR="00383888" w:rsidRPr="000615AB" w:rsidRDefault="00383888" w:rsidP="00B47699">
            <w:pPr>
              <w:jc w:val="right"/>
              <w:rPr>
                <w:sz w:val="16"/>
                <w:szCs w:val="16"/>
              </w:rPr>
            </w:pPr>
            <w:r w:rsidRPr="000615AB">
              <w:rPr>
                <w:sz w:val="16"/>
                <w:szCs w:val="16"/>
              </w:rPr>
              <w:t>60</w:t>
            </w:r>
          </w:p>
        </w:tc>
        <w:tc>
          <w:tcPr>
            <w:tcW w:w="550" w:type="dxa"/>
            <w:shd w:val="clear" w:color="auto" w:fill="auto"/>
          </w:tcPr>
          <w:p w:rsidR="00383888" w:rsidRPr="000615AB" w:rsidRDefault="00383888" w:rsidP="00B47699">
            <w:pPr>
              <w:jc w:val="right"/>
              <w:rPr>
                <w:sz w:val="16"/>
                <w:szCs w:val="16"/>
              </w:rPr>
            </w:pPr>
            <w:r w:rsidRPr="000615AB">
              <w:rPr>
                <w:sz w:val="16"/>
                <w:szCs w:val="16"/>
              </w:rPr>
              <w:t>60</w:t>
            </w:r>
          </w:p>
        </w:tc>
        <w:tc>
          <w:tcPr>
            <w:tcW w:w="550" w:type="dxa"/>
            <w:shd w:val="clear" w:color="auto" w:fill="auto"/>
          </w:tcPr>
          <w:p w:rsidR="00383888" w:rsidRPr="000615AB" w:rsidRDefault="00383888" w:rsidP="00B47699">
            <w:pPr>
              <w:jc w:val="right"/>
              <w:rPr>
                <w:sz w:val="16"/>
                <w:szCs w:val="16"/>
              </w:rPr>
            </w:pPr>
            <w:r w:rsidRPr="000615AB">
              <w:rPr>
                <w:sz w:val="16"/>
                <w:szCs w:val="16"/>
              </w:rPr>
              <w:t>54</w:t>
            </w:r>
          </w:p>
        </w:tc>
        <w:tc>
          <w:tcPr>
            <w:tcW w:w="550" w:type="dxa"/>
            <w:shd w:val="clear" w:color="auto" w:fill="auto"/>
          </w:tcPr>
          <w:p w:rsidR="00383888" w:rsidRPr="000615AB" w:rsidRDefault="00383888" w:rsidP="00B47699">
            <w:pPr>
              <w:jc w:val="right"/>
              <w:rPr>
                <w:sz w:val="16"/>
                <w:szCs w:val="16"/>
              </w:rPr>
            </w:pPr>
            <w:r w:rsidRPr="000615AB">
              <w:rPr>
                <w:sz w:val="16"/>
                <w:szCs w:val="16"/>
              </w:rPr>
              <w:t>304</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6</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672</w:t>
            </w:r>
          </w:p>
        </w:tc>
        <w:tc>
          <w:tcPr>
            <w:tcW w:w="990" w:type="dxa"/>
            <w:shd w:val="clear" w:color="auto" w:fill="auto"/>
            <w:tcMar>
              <w:top w:w="28" w:type="dxa"/>
              <w:bottom w:w="28" w:type="dxa"/>
            </w:tcMar>
          </w:tcPr>
          <w:p w:rsidR="00383888" w:rsidRPr="000615AB" w:rsidRDefault="00383888" w:rsidP="00B47699">
            <w:pPr>
              <w:jc w:val="right"/>
              <w:rPr>
                <w:sz w:val="16"/>
                <w:szCs w:val="16"/>
              </w:rPr>
            </w:pP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178</w:t>
            </w:r>
          </w:p>
        </w:tc>
        <w:tc>
          <w:tcPr>
            <w:tcW w:w="550" w:type="dxa"/>
            <w:shd w:val="clear" w:color="auto" w:fill="auto"/>
            <w:tcMar>
              <w:top w:w="28" w:type="dxa"/>
              <w:bottom w:w="28" w:type="dxa"/>
            </w:tcMar>
          </w:tcPr>
          <w:p w:rsidR="00383888" w:rsidRPr="000615AB" w:rsidRDefault="00383888" w:rsidP="00B47699">
            <w:pPr>
              <w:jc w:val="right"/>
              <w:rPr>
                <w:sz w:val="16"/>
                <w:szCs w:val="16"/>
              </w:rPr>
            </w:pPr>
            <w:r w:rsidRPr="000615AB">
              <w:rPr>
                <w:sz w:val="16"/>
                <w:szCs w:val="16"/>
              </w:rPr>
              <w:t>164</w:t>
            </w:r>
          </w:p>
        </w:tc>
      </w:tr>
    </w:tbl>
    <w:p w:rsidR="00383888" w:rsidRDefault="00383888" w:rsidP="00383888">
      <w:pPr>
        <w:rPr>
          <w:sz w:val="20"/>
        </w:rPr>
      </w:pPr>
    </w:p>
    <w:p w:rsidR="00383888" w:rsidRPr="000615AB" w:rsidRDefault="00383888" w:rsidP="00383888">
      <w:pPr>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Se combinaron las cifras antes mencionadas con los resultados obtenidos mediante los modelos </w:t>
      </w:r>
      <w:proofErr w:type="spellStart"/>
      <w:r w:rsidRPr="000615AB">
        <w:rPr>
          <w:sz w:val="20"/>
        </w:rPr>
        <w:t>autorregresivos</w:t>
      </w:r>
      <w:proofErr w:type="spellEnd"/>
      <w:r w:rsidRPr="000615AB">
        <w:rPr>
          <w:sz w:val="20"/>
        </w:rPr>
        <w:t>.  Es probable que el número de registros se ubique dentro de esos límites, que están asociados a un valor de probabilidad.  En el gráfico y el cuadro a continuación se suministra la distribución probabilística de los registros.</w:t>
      </w:r>
    </w:p>
    <w:p w:rsidR="00383888" w:rsidRDefault="00383888" w:rsidP="00383888">
      <w:pPr>
        <w:rPr>
          <w:sz w:val="20"/>
          <w:highlight w:val="yellow"/>
        </w:rPr>
      </w:pPr>
    </w:p>
    <w:p w:rsidR="00383888" w:rsidRPr="000615AB" w:rsidRDefault="00383888" w:rsidP="00383888">
      <w:pPr>
        <w:rPr>
          <w:sz w:val="20"/>
          <w:highlight w:val="yellow"/>
        </w:rPr>
      </w:pPr>
    </w:p>
    <w:p w:rsidR="00383888" w:rsidRDefault="00383888" w:rsidP="00383888">
      <w:pPr>
        <w:jc w:val="center"/>
        <w:rPr>
          <w:sz w:val="18"/>
          <w:szCs w:val="18"/>
        </w:rPr>
      </w:pPr>
      <w:r w:rsidRPr="000615AB">
        <w:rPr>
          <w:sz w:val="18"/>
          <w:szCs w:val="18"/>
        </w:rPr>
        <w:t>Distribución probabilística de los registros</w:t>
      </w:r>
    </w:p>
    <w:p w:rsidR="00383888" w:rsidRPr="000615AB" w:rsidRDefault="00C40A11" w:rsidP="00383888">
      <w:pPr>
        <w:jc w:val="center"/>
        <w:rPr>
          <w:sz w:val="18"/>
          <w:szCs w:val="18"/>
        </w:rPr>
      </w:pPr>
      <w:r>
        <w:rPr>
          <w:noProof/>
          <w:lang w:val="en-US" w:eastAsia="en-US"/>
        </w:rPr>
        <w:drawing>
          <wp:inline distT="0" distB="0" distL="0" distR="0" wp14:anchorId="17EB922F" wp14:editId="4353D91C">
            <wp:extent cx="4858385" cy="2743200"/>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4858385" cy="274320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keepNext/>
        <w:keepLines/>
        <w:jc w:val="center"/>
        <w:rPr>
          <w:sz w:val="18"/>
          <w:szCs w:val="18"/>
        </w:rPr>
      </w:pPr>
      <w:r w:rsidRPr="000615AB">
        <w:rPr>
          <w:sz w:val="18"/>
          <w:szCs w:val="18"/>
        </w:rPr>
        <w:lastRenderedPageBreak/>
        <w:t>Proyecciones correspondientes a los registros en virtud del sistema de Madrid</w:t>
      </w:r>
    </w:p>
    <w:p w:rsidR="00383888" w:rsidRPr="000615AB" w:rsidRDefault="00383888" w:rsidP="00383888">
      <w:pPr>
        <w:keepNext/>
        <w:keepLines/>
        <w:rPr>
          <w:sz w:val="20"/>
        </w:rPr>
      </w:pPr>
    </w:p>
    <w:p w:rsidR="00383888" w:rsidRPr="000615AB" w:rsidRDefault="00C40A11" w:rsidP="00383888">
      <w:pPr>
        <w:keepNext/>
        <w:keepLines/>
        <w:jc w:val="center"/>
      </w:pPr>
      <w:r>
        <w:rPr>
          <w:noProof/>
          <w:lang w:val="en-US" w:eastAsia="en-US"/>
        </w:rPr>
        <w:drawing>
          <wp:inline distT="0" distB="0" distL="0" distR="0" wp14:anchorId="02BCDE51" wp14:editId="22A9866B">
            <wp:extent cx="2872740" cy="2279015"/>
            <wp:effectExtent l="0" t="0" r="3810" b="6985"/>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2872740" cy="2279015"/>
                    </a:xfrm>
                    <a:prstGeom prst="rect">
                      <a:avLst/>
                    </a:prstGeom>
                    <a:noFill/>
                    <a:ln>
                      <a:noFill/>
                    </a:ln>
                  </pic:spPr>
                </pic:pic>
              </a:graphicData>
            </a:graphic>
          </wp:inline>
        </w:drawing>
      </w:r>
    </w:p>
    <w:p w:rsidR="00383888" w:rsidRPr="000615AB" w:rsidRDefault="00383888" w:rsidP="00383888">
      <w:pPr>
        <w:keepNext/>
        <w:keepLines/>
      </w:pPr>
    </w:p>
    <w:p w:rsidR="00383888" w:rsidRPr="000615AB" w:rsidRDefault="00383888" w:rsidP="00383888">
      <w:pPr>
        <w:keepNext/>
        <w:keepLines/>
      </w:pPr>
    </w:p>
    <w:p w:rsidR="00383888" w:rsidRPr="000615AB" w:rsidRDefault="00383888" w:rsidP="00383888">
      <w:pPr>
        <w:widowControl w:val="0"/>
        <w:rPr>
          <w:i/>
          <w:sz w:val="20"/>
        </w:rPr>
      </w:pPr>
      <w:r w:rsidRPr="000615AB">
        <w:rPr>
          <w:i/>
          <w:sz w:val="20"/>
        </w:rPr>
        <w:t>Sistema de Madrid – Previsión de la demanda de renovaciones</w:t>
      </w:r>
    </w:p>
    <w:p w:rsidR="00383888" w:rsidRPr="000615AB" w:rsidRDefault="00383888" w:rsidP="00383888">
      <w:pPr>
        <w:widowControl w:val="0"/>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En el gráfico 9 se indica el número real de renovaciones inscritas en el período comprendido entre  2010 y 2012 y la previsión para el período comprendido entre 2013 y 2015.  La previsión de las renovaciones se calcula de modo similar, aplicando los modelos regresivos y el modelo de transferencia.  Además de los modelos </w:t>
      </w:r>
      <w:proofErr w:type="spellStart"/>
      <w:r w:rsidRPr="000615AB">
        <w:rPr>
          <w:sz w:val="20"/>
        </w:rPr>
        <w:t>autorregresivos</w:t>
      </w:r>
      <w:proofErr w:type="spellEnd"/>
      <w:r w:rsidRPr="000615AB">
        <w:rPr>
          <w:sz w:val="20"/>
        </w:rPr>
        <w:t xml:space="preserve"> que aplicamos a las series temporales sobre renovaciones, también utilizamos un modelo regresivo para las renovaciones y los registros.  El modelo regresivo parte del supuesto que la primera renovación está vinculada a un registro con un período de protección diez años, mientras que las renovaciones subsiguientes están vinculadas a renovaciones anteriores con períodos de protección de diez años. El modelo de transferencia toma el conjunto de registros que serán potencialmente objeto de renovación y aplica un porcentaje calculado en base a los años anteriores.  Luego se combinan los resultados obtenidos mediante los diferentes modelos.</w:t>
      </w:r>
    </w:p>
    <w:p w:rsidR="00383888" w:rsidRPr="009D4BB4" w:rsidRDefault="00383888" w:rsidP="00383888">
      <w:pPr>
        <w:rPr>
          <w:sz w:val="20"/>
        </w:rPr>
      </w:pPr>
    </w:p>
    <w:p w:rsidR="00383888" w:rsidRPr="005966E6" w:rsidRDefault="00383888" w:rsidP="00383888">
      <w:pPr>
        <w:jc w:val="center"/>
        <w:rPr>
          <w:sz w:val="18"/>
          <w:szCs w:val="18"/>
        </w:rPr>
      </w:pPr>
      <w:r w:rsidRPr="005966E6">
        <w:rPr>
          <w:sz w:val="18"/>
          <w:szCs w:val="18"/>
        </w:rPr>
        <w:t>Gráfico 9.  Previsión de la demanda de renovaciones en virtud del sistema de Madrid</w:t>
      </w:r>
    </w:p>
    <w:p w:rsidR="00383888" w:rsidRPr="009D4BB4" w:rsidRDefault="00C40A11" w:rsidP="00383888">
      <w:pPr>
        <w:jc w:val="center"/>
        <w:rPr>
          <w:sz w:val="20"/>
        </w:rPr>
      </w:pPr>
      <w:r>
        <w:rPr>
          <w:noProof/>
          <w:sz w:val="20"/>
          <w:lang w:val="en-US" w:eastAsia="en-US"/>
        </w:rPr>
        <w:drawing>
          <wp:inline distT="0" distB="0" distL="0" distR="0" wp14:anchorId="5C968B2B" wp14:editId="1665C85D">
            <wp:extent cx="4933950" cy="2865755"/>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4933950" cy="2865755"/>
                    </a:xfrm>
                    <a:prstGeom prst="rect">
                      <a:avLst/>
                    </a:prstGeom>
                    <a:noFill/>
                    <a:ln>
                      <a:noFill/>
                    </a:ln>
                  </pic:spPr>
                </pic:pic>
              </a:graphicData>
            </a:graphic>
          </wp:inline>
        </w:drawing>
      </w:r>
    </w:p>
    <w:p w:rsidR="00383888" w:rsidRPr="009D4BB4" w:rsidRDefault="00C40A11" w:rsidP="00383888">
      <w:pPr>
        <w:jc w:val="center"/>
        <w:rPr>
          <w:sz w:val="20"/>
        </w:rPr>
      </w:pPr>
      <w:r>
        <w:rPr>
          <w:noProof/>
          <w:sz w:val="20"/>
          <w:lang w:val="en-US" w:eastAsia="en-US"/>
        </w:rPr>
        <w:drawing>
          <wp:inline distT="0" distB="0" distL="0" distR="0" wp14:anchorId="59C46629" wp14:editId="5E900C95">
            <wp:extent cx="5363845" cy="655320"/>
            <wp:effectExtent l="0" t="0" r="8255"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363845" cy="655320"/>
                    </a:xfrm>
                    <a:prstGeom prst="rect">
                      <a:avLst/>
                    </a:prstGeom>
                    <a:noFill/>
                    <a:ln>
                      <a:noFill/>
                    </a:ln>
                  </pic:spPr>
                </pic:pic>
              </a:graphicData>
            </a:graphic>
          </wp:inline>
        </w:drawing>
      </w:r>
    </w:p>
    <w:p w:rsidR="00383888" w:rsidRPr="009D4BB4" w:rsidRDefault="00383888" w:rsidP="00383888">
      <w:pPr>
        <w:rPr>
          <w:sz w:val="20"/>
        </w:rPr>
      </w:pPr>
    </w:p>
    <w:p w:rsidR="00383888" w:rsidRPr="009D4BB4" w:rsidRDefault="00383888" w:rsidP="00383888">
      <w:pPr>
        <w:rPr>
          <w:sz w:val="20"/>
        </w:rPr>
      </w:pPr>
    </w:p>
    <w:p w:rsidR="00383888" w:rsidRPr="000615AB" w:rsidRDefault="00383888" w:rsidP="00383888">
      <w:pPr>
        <w:keepNext/>
        <w:keepLines/>
        <w:spacing w:after="60"/>
        <w:jc w:val="center"/>
        <w:rPr>
          <w:sz w:val="18"/>
          <w:szCs w:val="18"/>
        </w:rPr>
      </w:pPr>
      <w:r w:rsidRPr="000615AB">
        <w:rPr>
          <w:sz w:val="18"/>
          <w:szCs w:val="18"/>
        </w:rPr>
        <w:lastRenderedPageBreak/>
        <w:t>Distribución probabilística de las renovaciones</w:t>
      </w:r>
    </w:p>
    <w:p w:rsidR="00383888" w:rsidRPr="000615AB" w:rsidRDefault="00C40A11" w:rsidP="00383888">
      <w:pPr>
        <w:keepNext/>
        <w:keepLines/>
        <w:jc w:val="center"/>
        <w:rPr>
          <w:sz w:val="20"/>
        </w:rPr>
      </w:pPr>
      <w:r>
        <w:rPr>
          <w:noProof/>
          <w:lang w:val="en-US" w:eastAsia="en-US"/>
        </w:rPr>
        <w:drawing>
          <wp:inline distT="0" distB="0" distL="0" distR="0" wp14:anchorId="573F9A3A" wp14:editId="3E0C84B4">
            <wp:extent cx="5022215" cy="2927350"/>
            <wp:effectExtent l="0" t="0" r="6985" b="635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5022215" cy="2927350"/>
                    </a:xfrm>
                    <a:prstGeom prst="rect">
                      <a:avLst/>
                    </a:prstGeom>
                    <a:noFill/>
                    <a:ln>
                      <a:noFill/>
                    </a:ln>
                  </pic:spPr>
                </pic:pic>
              </a:graphicData>
            </a:graphic>
          </wp:inline>
        </w:drawing>
      </w:r>
    </w:p>
    <w:p w:rsidR="00383888" w:rsidRPr="000615AB" w:rsidRDefault="00383888" w:rsidP="00383888">
      <w:pPr>
        <w:spacing w:after="60"/>
        <w:jc w:val="center"/>
        <w:rPr>
          <w:sz w:val="20"/>
        </w:rPr>
      </w:pPr>
      <w:r w:rsidRPr="000615AB">
        <w:rPr>
          <w:sz w:val="18"/>
          <w:szCs w:val="18"/>
        </w:rPr>
        <w:t>Proyecciones correspondientes a las renovaciones en virtud del sistema de Madrid</w:t>
      </w:r>
    </w:p>
    <w:p w:rsidR="00383888" w:rsidRPr="000615AB" w:rsidRDefault="00C40A11" w:rsidP="00383888">
      <w:pPr>
        <w:keepNext/>
        <w:keepLines/>
        <w:jc w:val="center"/>
        <w:rPr>
          <w:sz w:val="20"/>
        </w:rPr>
      </w:pPr>
      <w:r>
        <w:rPr>
          <w:noProof/>
          <w:lang w:val="en-US" w:eastAsia="en-US"/>
        </w:rPr>
        <w:drawing>
          <wp:inline distT="0" distB="0" distL="0" distR="0" wp14:anchorId="014BBADF" wp14:editId="514CA972">
            <wp:extent cx="2872740" cy="2286000"/>
            <wp:effectExtent l="0" t="0" r="381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2872740" cy="2286000"/>
                    </a:xfrm>
                    <a:prstGeom prst="rect">
                      <a:avLst/>
                    </a:prstGeom>
                    <a:noFill/>
                    <a:ln>
                      <a:noFill/>
                    </a:ln>
                  </pic:spPr>
                </pic:pic>
              </a:graphicData>
            </a:graphic>
          </wp:inline>
        </w:drawing>
      </w:r>
    </w:p>
    <w:p w:rsidR="00383888" w:rsidRPr="000615AB" w:rsidRDefault="00383888" w:rsidP="00383888">
      <w:pPr>
        <w:keepNext/>
        <w:keepLines/>
        <w:jc w:val="center"/>
        <w:rPr>
          <w:sz w:val="20"/>
        </w:rPr>
      </w:pPr>
    </w:p>
    <w:p w:rsidR="00383888" w:rsidRPr="000615AB" w:rsidRDefault="00383888" w:rsidP="00383888">
      <w:pPr>
        <w:keepNext/>
        <w:keepLines/>
        <w:jc w:val="center"/>
        <w:rPr>
          <w:sz w:val="20"/>
        </w:rPr>
      </w:pPr>
    </w:p>
    <w:p w:rsidR="00383888" w:rsidRPr="000615AB" w:rsidRDefault="00383888" w:rsidP="00383888">
      <w:pPr>
        <w:widowControl w:val="0"/>
        <w:rPr>
          <w:i/>
          <w:sz w:val="20"/>
        </w:rPr>
      </w:pPr>
      <w:r w:rsidRPr="000615AB">
        <w:rPr>
          <w:i/>
          <w:sz w:val="20"/>
        </w:rPr>
        <w:t>Ingresos previstos en concepto de tasas en el sistema de Madrid</w:t>
      </w:r>
    </w:p>
    <w:p w:rsidR="00383888" w:rsidRPr="000615AB" w:rsidRDefault="00383888" w:rsidP="00383888">
      <w:pPr>
        <w:widowControl w:val="0"/>
        <w:rPr>
          <w:sz w:val="20"/>
        </w:rPr>
      </w:pPr>
    </w:p>
    <w:p w:rsidR="00383888" w:rsidRPr="000615AB" w:rsidRDefault="00383888" w:rsidP="00383888">
      <w:pPr>
        <w:numPr>
          <w:ilvl w:val="0"/>
          <w:numId w:val="18"/>
        </w:numPr>
        <w:tabs>
          <w:tab w:val="left" w:pos="540"/>
        </w:tabs>
        <w:jc w:val="both"/>
        <w:rPr>
          <w:sz w:val="20"/>
        </w:rPr>
      </w:pPr>
      <w:r w:rsidRPr="000615AB">
        <w:rPr>
          <w:sz w:val="20"/>
        </w:rPr>
        <w:t>Los ingresos procedentes de las tasas aplicables en el sistema de Madrid tienen su origen en tres categorías de servicios prestados por la OMPI en el marco de ese sistema, a saber</w:t>
      </w:r>
      <w:proofErr w:type="gramStart"/>
      <w:r w:rsidRPr="000615AB">
        <w:rPr>
          <w:sz w:val="20"/>
        </w:rPr>
        <w:t>:  a</w:t>
      </w:r>
      <w:proofErr w:type="gramEnd"/>
      <w:r w:rsidRPr="000615AB">
        <w:rPr>
          <w:sz w:val="20"/>
        </w:rPr>
        <w:t xml:space="preserve">) la inscripción de registros internacionales;  b) la inscripción de renovaciones;  c) la inscripción de designaciones posteriores;  y d) otros servicios, en particular diferentes tipos de modificaciones y la emisión de extractos.  </w:t>
      </w:r>
    </w:p>
    <w:p w:rsidR="00383888" w:rsidRPr="000615AB" w:rsidRDefault="00383888" w:rsidP="00383888">
      <w:pPr>
        <w:tabs>
          <w:tab w:val="left" w:pos="540"/>
        </w:tabs>
        <w:jc w:val="both"/>
        <w:rPr>
          <w:sz w:val="20"/>
        </w:rPr>
      </w:pPr>
    </w:p>
    <w:p w:rsidR="00383888" w:rsidRPr="000615AB" w:rsidRDefault="00383888" w:rsidP="00383888">
      <w:pPr>
        <w:numPr>
          <w:ilvl w:val="0"/>
          <w:numId w:val="18"/>
        </w:numPr>
        <w:tabs>
          <w:tab w:val="left" w:pos="540"/>
        </w:tabs>
        <w:jc w:val="both"/>
        <w:rPr>
          <w:sz w:val="18"/>
          <w:szCs w:val="18"/>
        </w:rPr>
      </w:pPr>
      <w:r w:rsidRPr="000615AB">
        <w:rPr>
          <w:sz w:val="20"/>
        </w:rPr>
        <w:t xml:space="preserve">En el gráfico 10 se observan los ingresos reales generados por las tasas del sistema de Madrid, correspondientes al período comprendido entre 2010 y 2012, y los ingresos previstos generados por las tasas del sistema de Madrid correspondientes al período comprendido entre 2013 y 2015, atribuibles a cada una de las categorías de servicios antes mencionadas.  La previsión de ingresos ha sido calculada a partir del número de registros internacionales y renovaciones que cabe esperar sean inscritos entre 2013 y 2015. </w:t>
      </w:r>
    </w:p>
    <w:p w:rsidR="00383888" w:rsidRPr="000615AB" w:rsidRDefault="00383888" w:rsidP="00383888">
      <w:pPr>
        <w:tabs>
          <w:tab w:val="left" w:pos="540"/>
        </w:tabs>
        <w:jc w:val="both"/>
        <w:rPr>
          <w:sz w:val="18"/>
          <w:szCs w:val="18"/>
        </w:rPr>
      </w:pPr>
    </w:p>
    <w:p w:rsidR="00383888" w:rsidRPr="000615AB" w:rsidRDefault="00383888" w:rsidP="00383888">
      <w:pPr>
        <w:keepNext/>
        <w:keepLines/>
        <w:tabs>
          <w:tab w:val="left" w:pos="540"/>
        </w:tabs>
        <w:jc w:val="center"/>
        <w:rPr>
          <w:sz w:val="18"/>
          <w:szCs w:val="18"/>
        </w:rPr>
      </w:pPr>
      <w:r w:rsidRPr="000615AB">
        <w:rPr>
          <w:sz w:val="18"/>
          <w:szCs w:val="18"/>
        </w:rPr>
        <w:lastRenderedPageBreak/>
        <w:t>Gráfico 10.  Previsión de ingresos generados por las tasas del sistema de Madrid, por categoría</w:t>
      </w:r>
    </w:p>
    <w:p w:rsidR="00383888" w:rsidRPr="000615AB" w:rsidRDefault="00383888" w:rsidP="00383888">
      <w:pPr>
        <w:keepNext/>
        <w:keepLines/>
        <w:tabs>
          <w:tab w:val="left" w:pos="540"/>
        </w:tabs>
        <w:jc w:val="center"/>
        <w:rPr>
          <w:sz w:val="18"/>
          <w:szCs w:val="18"/>
        </w:rPr>
      </w:pPr>
    </w:p>
    <w:p w:rsidR="00383888" w:rsidRPr="000615AB" w:rsidRDefault="00C40A11" w:rsidP="00383888">
      <w:pPr>
        <w:keepNext/>
        <w:keepLines/>
        <w:jc w:val="center"/>
        <w:rPr>
          <w:sz w:val="20"/>
        </w:rPr>
      </w:pPr>
      <w:r>
        <w:rPr>
          <w:noProof/>
          <w:lang w:val="en-US" w:eastAsia="en-US"/>
        </w:rPr>
        <w:drawing>
          <wp:inline distT="0" distB="0" distL="0" distR="0" wp14:anchorId="050D493E" wp14:editId="69BF91C2">
            <wp:extent cx="4497070" cy="2606675"/>
            <wp:effectExtent l="0" t="0" r="0" b="317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4497070" cy="2606675"/>
                    </a:xfrm>
                    <a:prstGeom prst="rect">
                      <a:avLst/>
                    </a:prstGeom>
                    <a:noFill/>
                    <a:ln>
                      <a:noFill/>
                    </a:ln>
                  </pic:spPr>
                </pic:pic>
              </a:graphicData>
            </a:graphic>
          </wp:inline>
        </w:drawing>
      </w:r>
    </w:p>
    <w:p w:rsidR="00383888" w:rsidRPr="000615AB" w:rsidRDefault="00C40A11" w:rsidP="00383888">
      <w:pPr>
        <w:jc w:val="center"/>
        <w:rPr>
          <w:sz w:val="20"/>
        </w:rPr>
      </w:pPr>
      <w:r>
        <w:rPr>
          <w:noProof/>
          <w:lang w:val="en-US" w:eastAsia="en-US"/>
        </w:rPr>
        <w:drawing>
          <wp:inline distT="0" distB="0" distL="0" distR="0" wp14:anchorId="7547AF31" wp14:editId="5A18E455">
            <wp:extent cx="4803775" cy="1050925"/>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4803775" cy="1050925"/>
                    </a:xfrm>
                    <a:prstGeom prst="rect">
                      <a:avLst/>
                    </a:prstGeom>
                    <a:noFill/>
                    <a:ln>
                      <a:noFill/>
                    </a:ln>
                  </pic:spPr>
                </pic:pic>
              </a:graphicData>
            </a:graphic>
          </wp:inline>
        </w:drawing>
      </w:r>
    </w:p>
    <w:p w:rsidR="00383888" w:rsidRPr="000615AB" w:rsidRDefault="00383888" w:rsidP="00383888">
      <w:pPr>
        <w:spacing w:after="60"/>
        <w:jc w:val="center"/>
        <w:rPr>
          <w:sz w:val="18"/>
          <w:szCs w:val="18"/>
        </w:rPr>
      </w:pPr>
    </w:p>
    <w:p w:rsidR="00383888" w:rsidRPr="000615AB" w:rsidRDefault="00383888" w:rsidP="00383888">
      <w:pPr>
        <w:spacing w:after="60"/>
        <w:jc w:val="center"/>
        <w:rPr>
          <w:sz w:val="18"/>
          <w:szCs w:val="18"/>
        </w:rPr>
      </w:pPr>
      <w:r w:rsidRPr="000615AB">
        <w:rPr>
          <w:sz w:val="18"/>
          <w:szCs w:val="18"/>
        </w:rPr>
        <w:t>Distribución probabilística de los ingresos</w:t>
      </w:r>
    </w:p>
    <w:p w:rsidR="00383888" w:rsidRPr="000615AB" w:rsidRDefault="00C40A11" w:rsidP="00383888">
      <w:pPr>
        <w:jc w:val="center"/>
        <w:rPr>
          <w:sz w:val="20"/>
        </w:rPr>
      </w:pPr>
      <w:r>
        <w:rPr>
          <w:noProof/>
          <w:lang w:val="en-US" w:eastAsia="en-US"/>
        </w:rPr>
        <w:drawing>
          <wp:inline distT="0" distB="0" distL="0" distR="0" wp14:anchorId="07FC828D" wp14:editId="7D28FD63">
            <wp:extent cx="4360545" cy="2524760"/>
            <wp:effectExtent l="0" t="0" r="1905" b="889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360545" cy="2524760"/>
                    </a:xfrm>
                    <a:prstGeom prst="rect">
                      <a:avLst/>
                    </a:prstGeom>
                    <a:noFill/>
                    <a:ln>
                      <a:noFill/>
                    </a:ln>
                  </pic:spPr>
                </pic:pic>
              </a:graphicData>
            </a:graphic>
          </wp:inline>
        </w:drawing>
      </w:r>
    </w:p>
    <w:p w:rsidR="00383888" w:rsidRPr="000615AB" w:rsidRDefault="00383888" w:rsidP="00383888">
      <w:pPr>
        <w:jc w:val="center"/>
        <w:rPr>
          <w:sz w:val="20"/>
        </w:rPr>
      </w:pPr>
    </w:p>
    <w:p w:rsidR="00383888" w:rsidRPr="000615AB" w:rsidRDefault="00383888" w:rsidP="00383888">
      <w:pPr>
        <w:keepNext/>
        <w:keepLines/>
        <w:spacing w:after="60"/>
        <w:jc w:val="center"/>
        <w:rPr>
          <w:sz w:val="20"/>
        </w:rPr>
      </w:pPr>
      <w:r w:rsidRPr="000615AB">
        <w:rPr>
          <w:sz w:val="18"/>
          <w:szCs w:val="18"/>
        </w:rPr>
        <w:lastRenderedPageBreak/>
        <w:t>Proyecciones correspondientes a los ingresos del sistema de Madrid</w:t>
      </w:r>
    </w:p>
    <w:p w:rsidR="00383888" w:rsidRPr="000615AB" w:rsidRDefault="00C40A11" w:rsidP="00383888">
      <w:pPr>
        <w:keepNext/>
        <w:keepLines/>
        <w:jc w:val="center"/>
        <w:rPr>
          <w:sz w:val="20"/>
        </w:rPr>
      </w:pPr>
      <w:r>
        <w:rPr>
          <w:noProof/>
          <w:lang w:val="en-US" w:eastAsia="en-US"/>
        </w:rPr>
        <w:drawing>
          <wp:inline distT="0" distB="0" distL="0" distR="0" wp14:anchorId="288DB893" wp14:editId="5FEEB1BF">
            <wp:extent cx="2715895" cy="2081530"/>
            <wp:effectExtent l="0" t="0" r="825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2715895" cy="2081530"/>
                    </a:xfrm>
                    <a:prstGeom prst="rect">
                      <a:avLst/>
                    </a:prstGeom>
                    <a:noFill/>
                    <a:ln>
                      <a:noFill/>
                    </a:ln>
                  </pic:spPr>
                </pic:pic>
              </a:graphicData>
            </a:graphic>
          </wp:inline>
        </w:drawing>
      </w:r>
    </w:p>
    <w:p w:rsidR="00383888" w:rsidRPr="000615AB" w:rsidRDefault="00383888" w:rsidP="00383888">
      <w:pPr>
        <w:keepNext/>
        <w:keepLines/>
        <w:jc w:val="center"/>
        <w:rPr>
          <w:sz w:val="20"/>
        </w:rPr>
      </w:pPr>
    </w:p>
    <w:p w:rsidR="00383888" w:rsidRPr="000615AB" w:rsidRDefault="00383888" w:rsidP="00383888">
      <w:pPr>
        <w:numPr>
          <w:ilvl w:val="0"/>
          <w:numId w:val="18"/>
        </w:numPr>
        <w:tabs>
          <w:tab w:val="left" w:pos="540"/>
        </w:tabs>
        <w:jc w:val="both"/>
        <w:rPr>
          <w:sz w:val="20"/>
        </w:rPr>
      </w:pPr>
      <w:r w:rsidRPr="000615AB">
        <w:rPr>
          <w:sz w:val="20"/>
        </w:rPr>
        <w:t>En el cuadro que figura a continuación se da información sobre el número real y la previsión de registros y renovaciones para el período comprendido entre 2010 y 2015, y sobre la evolución real y prevista de la tasa promedio pagadera en ese período.  La tasa promedio se calcula dividiendo el importe total de ingresos del sistema de Madrid entre el número total de registros y renovaciones de cada año.</w:t>
      </w:r>
    </w:p>
    <w:p w:rsidR="00383888" w:rsidRPr="000615AB" w:rsidRDefault="00383888" w:rsidP="00383888">
      <w:pPr>
        <w:widowControl w:val="0"/>
        <w:jc w:val="both"/>
        <w:rPr>
          <w:sz w:val="20"/>
        </w:rPr>
      </w:pPr>
    </w:p>
    <w:p w:rsidR="00383888" w:rsidRPr="000615AB" w:rsidRDefault="00383888" w:rsidP="00383888">
      <w:pPr>
        <w:jc w:val="center"/>
        <w:rPr>
          <w:sz w:val="18"/>
          <w:szCs w:val="18"/>
        </w:rPr>
      </w:pPr>
      <w:r w:rsidRPr="000615AB">
        <w:rPr>
          <w:sz w:val="18"/>
          <w:szCs w:val="18"/>
        </w:rPr>
        <w:t>Cuadro 17.  Total de los ingresos generados por las tasas y tasa promedio del sistema de Madrid</w:t>
      </w:r>
    </w:p>
    <w:p w:rsidR="00383888" w:rsidRPr="000615AB" w:rsidRDefault="00383888" w:rsidP="00383888">
      <w:pPr>
        <w:jc w:val="center"/>
        <w:rPr>
          <w:sz w:val="20"/>
        </w:rPr>
      </w:pPr>
    </w:p>
    <w:p w:rsidR="00383888" w:rsidRPr="000615AB" w:rsidRDefault="00C40A11" w:rsidP="00383888">
      <w:pPr>
        <w:jc w:val="center"/>
        <w:rPr>
          <w:sz w:val="20"/>
        </w:rPr>
      </w:pPr>
      <w:r>
        <w:rPr>
          <w:noProof/>
          <w:lang w:val="en-US" w:eastAsia="en-US"/>
        </w:rPr>
        <w:drawing>
          <wp:inline distT="0" distB="0" distL="0" distR="0" wp14:anchorId="6325DE20" wp14:editId="3EC7677D">
            <wp:extent cx="5056505" cy="85979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5056505" cy="859790"/>
                    </a:xfrm>
                    <a:prstGeom prst="rect">
                      <a:avLst/>
                    </a:prstGeom>
                    <a:noFill/>
                    <a:ln>
                      <a:noFill/>
                    </a:ln>
                  </pic:spPr>
                </pic:pic>
              </a:graphicData>
            </a:graphic>
          </wp:inline>
        </w:drawing>
      </w:r>
    </w:p>
    <w:p w:rsidR="00383888" w:rsidRPr="000615AB" w:rsidRDefault="00383888" w:rsidP="00383888">
      <w:pPr>
        <w:jc w:val="center"/>
        <w:rPr>
          <w:sz w:val="20"/>
        </w:rPr>
      </w:pPr>
    </w:p>
    <w:p w:rsidR="00383888" w:rsidRPr="000615AB" w:rsidRDefault="00383888" w:rsidP="00383888">
      <w:pPr>
        <w:numPr>
          <w:ilvl w:val="0"/>
          <w:numId w:val="18"/>
        </w:numPr>
        <w:tabs>
          <w:tab w:val="left" w:pos="540"/>
        </w:tabs>
        <w:jc w:val="both"/>
        <w:rPr>
          <w:sz w:val="20"/>
        </w:rPr>
      </w:pPr>
      <w:r w:rsidRPr="000615AB">
        <w:rPr>
          <w:iCs/>
          <w:sz w:val="20"/>
        </w:rPr>
        <w:t>Por primera vez, las previsiones de actividad en el marco del sistema de Madrid que se incluyen en el proyecto de presupuesto por programas para 2014/2015 se basaron en un complejo sistema de previsión ideado por el Economista Jefe, y no en un modelo de previsión sencillo basado en la extrapolación lineal de la actividad actual y previa del sistema de Madrid.  El nuevo modelo es similar al utilizado para pronosticar la actividad del PCT, y toma en cuenta no solo la actividad en el marco del sistema de Madrid, sino también la actividad relativa a la presentación de solicitudes y registro de marcas en otras Oficinas, así como también datos de previsión del FMI, entre otros.  Dada la incertidumbre económica mundial que reina actualmente y hasta tanto se adquiera más experiencia en el uso del nuevo modelo de previsión, el Sector de Marcas</w:t>
      </w:r>
      <w:r w:rsidR="009B068C">
        <w:rPr>
          <w:iCs/>
          <w:sz w:val="20"/>
        </w:rPr>
        <w:t xml:space="preserve"> (</w:t>
      </w:r>
      <w:proofErr w:type="spellStart"/>
      <w:r w:rsidR="009B068C" w:rsidRPr="009B068C">
        <w:rPr>
          <w:i/>
          <w:iCs/>
          <w:sz w:val="20"/>
        </w:rPr>
        <w:t>Brands</w:t>
      </w:r>
      <w:proofErr w:type="spellEnd"/>
      <w:r w:rsidR="009B068C">
        <w:rPr>
          <w:iCs/>
          <w:sz w:val="20"/>
        </w:rPr>
        <w:t>)</w:t>
      </w:r>
      <w:r w:rsidR="00685491" w:rsidRPr="00685491">
        <w:rPr>
          <w:rStyle w:val="FootnoteReference"/>
          <w:iCs/>
          <w:sz w:val="20"/>
        </w:rPr>
        <w:footnoteReference w:customMarkFollows="1" w:id="17"/>
        <w:sym w:font="Symbol" w:char="F02A"/>
      </w:r>
      <w:r w:rsidRPr="000615AB">
        <w:rPr>
          <w:iCs/>
          <w:sz w:val="20"/>
        </w:rPr>
        <w:t xml:space="preserve">, Dibujos y Modelos estimó prudente rever ligeramente a la baja las previsiones que se calcularon con el nuevo modelo.  </w:t>
      </w:r>
      <w:r w:rsidRPr="000615AB">
        <w:rPr>
          <w:sz w:val="20"/>
        </w:rPr>
        <w:t>En el cuadro a continuación se plasman dichas cifras, punto de partida para calcular la previsión de los ingresos en concepto de tasas del Registro de Madrid y la previsión del volumen de registros y renovaciones del sistema de Madrid correspondientes a 2014/2015.</w:t>
      </w:r>
    </w:p>
    <w:p w:rsidR="00383888" w:rsidRPr="000615AB" w:rsidRDefault="00383888" w:rsidP="00383888">
      <w:pPr>
        <w:rPr>
          <w:sz w:val="20"/>
        </w:rPr>
      </w:pPr>
    </w:p>
    <w:p w:rsidR="00383888" w:rsidRPr="000615AB" w:rsidRDefault="00383888" w:rsidP="009B068C">
      <w:pPr>
        <w:keepNext/>
        <w:keepLines/>
        <w:jc w:val="center"/>
        <w:rPr>
          <w:sz w:val="18"/>
          <w:szCs w:val="18"/>
        </w:rPr>
      </w:pPr>
      <w:r w:rsidRPr="000615AB">
        <w:rPr>
          <w:sz w:val="18"/>
          <w:szCs w:val="18"/>
        </w:rPr>
        <w:lastRenderedPageBreak/>
        <w:t>Cuadro 18.  Total de los ingresos generados por las tasas y tasa promedio del sistema de Madrid (Base para el presupuesto por programas para 2014/2015)</w:t>
      </w:r>
    </w:p>
    <w:p w:rsidR="00383888" w:rsidRPr="000615AB" w:rsidRDefault="00383888" w:rsidP="009B068C">
      <w:pPr>
        <w:keepNext/>
        <w:keepLines/>
        <w:jc w:val="center"/>
        <w:rPr>
          <w:sz w:val="20"/>
        </w:rPr>
      </w:pPr>
    </w:p>
    <w:p w:rsidR="00383888" w:rsidRPr="000615AB" w:rsidRDefault="00C40A11" w:rsidP="009B068C">
      <w:pPr>
        <w:keepNext/>
        <w:keepLines/>
        <w:jc w:val="center"/>
      </w:pPr>
      <w:r>
        <w:rPr>
          <w:noProof/>
          <w:lang w:val="en-US" w:eastAsia="en-US"/>
        </w:rPr>
        <w:drawing>
          <wp:inline distT="0" distB="0" distL="0" distR="0" wp14:anchorId="02D9F58A" wp14:editId="7EAD5B69">
            <wp:extent cx="5063490" cy="777875"/>
            <wp:effectExtent l="0" t="0" r="3810" b="317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063490" cy="777875"/>
                    </a:xfrm>
                    <a:prstGeom prst="rect">
                      <a:avLst/>
                    </a:prstGeom>
                    <a:noFill/>
                    <a:ln>
                      <a:noFill/>
                    </a:ln>
                  </pic:spPr>
                </pic:pic>
              </a:graphicData>
            </a:graphic>
          </wp:inline>
        </w:drawing>
      </w:r>
    </w:p>
    <w:p w:rsidR="00383888" w:rsidRPr="000615AB" w:rsidRDefault="00383888" w:rsidP="009B068C">
      <w:pPr>
        <w:keepNext/>
        <w:keepLines/>
        <w:jc w:val="center"/>
        <w:rPr>
          <w:sz w:val="18"/>
          <w:szCs w:val="18"/>
        </w:rPr>
      </w:pPr>
    </w:p>
    <w:p w:rsidR="00383888" w:rsidRPr="000615AB" w:rsidRDefault="00383888" w:rsidP="00383888">
      <w:pPr>
        <w:jc w:val="center"/>
        <w:rPr>
          <w:sz w:val="20"/>
        </w:rPr>
      </w:pPr>
    </w:p>
    <w:p w:rsidR="00383888" w:rsidRPr="000615AB" w:rsidRDefault="00383888" w:rsidP="00383888">
      <w:pPr>
        <w:widowControl w:val="0"/>
        <w:rPr>
          <w:b/>
          <w:sz w:val="20"/>
        </w:rPr>
      </w:pPr>
      <w:r w:rsidRPr="000615AB">
        <w:rPr>
          <w:b/>
          <w:sz w:val="20"/>
        </w:rPr>
        <w:t>Sistema de La Haya</w:t>
      </w:r>
    </w:p>
    <w:p w:rsidR="00383888" w:rsidRPr="000615AB" w:rsidRDefault="00383888" w:rsidP="00383888">
      <w:pPr>
        <w:widowControl w:val="0"/>
        <w:rPr>
          <w:sz w:val="20"/>
        </w:rPr>
      </w:pPr>
    </w:p>
    <w:p w:rsidR="00383888" w:rsidRPr="000615AB" w:rsidRDefault="00383888" w:rsidP="00383888">
      <w:pPr>
        <w:widowControl w:val="0"/>
        <w:rPr>
          <w:i/>
          <w:sz w:val="20"/>
        </w:rPr>
      </w:pPr>
      <w:r w:rsidRPr="000615AB">
        <w:rPr>
          <w:i/>
          <w:sz w:val="20"/>
        </w:rPr>
        <w:t>Sistema de La Haya – Previsión de la demanda de registros internacionales</w:t>
      </w:r>
    </w:p>
    <w:p w:rsidR="00383888" w:rsidRPr="000615AB" w:rsidRDefault="00383888" w:rsidP="00383888">
      <w:pPr>
        <w:widowControl w:val="0"/>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En el gráfico 11 se indica el número real de solicitudes de registro presentadas en virtud del sistema de La Haya durante el período comprendido entre 2010 y 2012, así como la previsión para el período comprendido entre 2013 y 2015.  Se prevé que el número </w:t>
      </w:r>
      <w:r>
        <w:rPr>
          <w:sz w:val="20"/>
        </w:rPr>
        <w:t>de registros aumente un 5.9% en </w:t>
      </w:r>
      <w:r w:rsidRPr="000615AB">
        <w:rPr>
          <w:sz w:val="20"/>
        </w:rPr>
        <w:t xml:space="preserve">2013.  La adhesión de China, Japón, la República de Corea, la Federación de Rusia y los Estados Unidos de América al sistema de la Haya prevista a partir del 2014 tendrá repercusiones considerables, pudiendo traer aparejado un aumento de las solicitudes presentadas y de los ingresos.  Para realizar una previsión del número de registros del Sistema de La Haya se utilizan diferentes modelos, entre ellos los modelos </w:t>
      </w:r>
      <w:proofErr w:type="spellStart"/>
      <w:r w:rsidRPr="000615AB">
        <w:rPr>
          <w:sz w:val="20"/>
        </w:rPr>
        <w:t>autorregresivos</w:t>
      </w:r>
      <w:proofErr w:type="spellEnd"/>
      <w:r w:rsidRPr="000615AB">
        <w:rPr>
          <w:sz w:val="20"/>
        </w:rPr>
        <w:t xml:space="preserve">, los modelos econométricos y los modelos de transferencia.  Los modelos </w:t>
      </w:r>
      <w:proofErr w:type="spellStart"/>
      <w:r w:rsidRPr="000615AB">
        <w:rPr>
          <w:sz w:val="20"/>
        </w:rPr>
        <w:t>autorregresivos</w:t>
      </w:r>
      <w:proofErr w:type="spellEnd"/>
      <w:r w:rsidRPr="000615AB">
        <w:rPr>
          <w:sz w:val="20"/>
        </w:rPr>
        <w:t xml:space="preserve"> se aplican a los registros.  Los modelos econométricos se basan en los datos sobre el PIB real y previsto publicados por el Fondo Monetario Internacional.  Luego se combinan los resultados obtenidos mediante cada uno de los modelos, para minimizar la incertidumbre que resulta de la aplicación de cada uno de ellos por separado.</w:t>
      </w:r>
    </w:p>
    <w:p w:rsidR="00383888" w:rsidRPr="000615AB" w:rsidRDefault="00383888" w:rsidP="00383888">
      <w:pPr>
        <w:tabs>
          <w:tab w:val="left" w:pos="540"/>
        </w:tabs>
        <w:jc w:val="both"/>
        <w:rPr>
          <w:sz w:val="20"/>
        </w:rPr>
      </w:pPr>
    </w:p>
    <w:p w:rsidR="00383888" w:rsidRPr="000615AB" w:rsidRDefault="00383888" w:rsidP="00383888">
      <w:pPr>
        <w:keepNext/>
        <w:keepLines/>
        <w:jc w:val="center"/>
        <w:rPr>
          <w:sz w:val="18"/>
          <w:szCs w:val="18"/>
        </w:rPr>
      </w:pPr>
      <w:r w:rsidRPr="000615AB">
        <w:rPr>
          <w:sz w:val="18"/>
          <w:szCs w:val="18"/>
        </w:rPr>
        <w:t>Gráfico 11.  Registros y renovaciones en virtud del sistema de La Haya</w:t>
      </w:r>
    </w:p>
    <w:p w:rsidR="00383888" w:rsidRPr="000615AB" w:rsidRDefault="00C40A11" w:rsidP="00383888">
      <w:pPr>
        <w:keepNext/>
        <w:keepLines/>
        <w:tabs>
          <w:tab w:val="left" w:pos="540"/>
        </w:tabs>
        <w:jc w:val="center"/>
        <w:rPr>
          <w:sz w:val="20"/>
        </w:rPr>
      </w:pPr>
      <w:r>
        <w:rPr>
          <w:noProof/>
          <w:lang w:val="en-US" w:eastAsia="en-US"/>
        </w:rPr>
        <w:drawing>
          <wp:inline distT="0" distB="0" distL="0" distR="0" wp14:anchorId="5B98D8C3" wp14:editId="11C086C9">
            <wp:extent cx="4838065" cy="2811145"/>
            <wp:effectExtent l="0" t="0" r="635" b="8255"/>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92" cstate="print">
                      <a:extLst>
                        <a:ext uri="{28A0092B-C50C-407E-A947-70E740481C1C}">
                          <a14:useLocalDpi xmlns:a14="http://schemas.microsoft.com/office/drawing/2010/main" val="0"/>
                        </a:ext>
                      </a:extLst>
                    </a:blip>
                    <a:srcRect/>
                    <a:stretch>
                      <a:fillRect/>
                    </a:stretch>
                  </pic:blipFill>
                  <pic:spPr bwMode="auto">
                    <a:xfrm>
                      <a:off x="0" y="0"/>
                      <a:ext cx="4838065" cy="2811145"/>
                    </a:xfrm>
                    <a:prstGeom prst="rect">
                      <a:avLst/>
                    </a:prstGeom>
                    <a:noFill/>
                    <a:ln>
                      <a:noFill/>
                    </a:ln>
                  </pic:spPr>
                </pic:pic>
              </a:graphicData>
            </a:graphic>
          </wp:inline>
        </w:drawing>
      </w:r>
    </w:p>
    <w:p w:rsidR="00383888" w:rsidRPr="000615AB" w:rsidRDefault="00383888" w:rsidP="00383888">
      <w:pPr>
        <w:keepNext/>
        <w:keepLines/>
        <w:jc w:val="center"/>
        <w:rPr>
          <w:sz w:val="20"/>
        </w:rPr>
      </w:pPr>
    </w:p>
    <w:p w:rsidR="00383888" w:rsidRPr="000615AB" w:rsidRDefault="00C40A11" w:rsidP="00383888">
      <w:pPr>
        <w:keepNext/>
        <w:keepLines/>
        <w:jc w:val="center"/>
        <w:rPr>
          <w:sz w:val="20"/>
        </w:rPr>
      </w:pPr>
      <w:r>
        <w:rPr>
          <w:noProof/>
          <w:lang w:val="en-US" w:eastAsia="en-US"/>
        </w:rPr>
        <w:drawing>
          <wp:inline distT="0" distB="0" distL="0" distR="0" wp14:anchorId="21FF8D9C" wp14:editId="63E8632D">
            <wp:extent cx="5029200" cy="614045"/>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5029200" cy="614045"/>
                    </a:xfrm>
                    <a:prstGeom prst="rect">
                      <a:avLst/>
                    </a:prstGeom>
                    <a:noFill/>
                    <a:ln>
                      <a:noFill/>
                    </a:ln>
                  </pic:spPr>
                </pic:pic>
              </a:graphicData>
            </a:graphic>
          </wp:inline>
        </w:drawing>
      </w:r>
    </w:p>
    <w:p w:rsidR="00383888" w:rsidRPr="000615AB" w:rsidRDefault="00383888" w:rsidP="00383888">
      <w:pPr>
        <w:keepNext/>
        <w:keepLines/>
        <w:jc w:val="center"/>
        <w:rPr>
          <w:sz w:val="18"/>
          <w:szCs w:val="18"/>
        </w:rPr>
      </w:pPr>
    </w:p>
    <w:p w:rsidR="00383888" w:rsidRPr="000615AB" w:rsidRDefault="00383888" w:rsidP="00383888">
      <w:pPr>
        <w:keepNext/>
        <w:keepLines/>
        <w:jc w:val="center"/>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Habida cuenta de la adhesión de nuevos Estados miembros prevista a partir de 2014, se aplicó un modelo de transferencia para evaluar cómo incidiría la adhesión en el número de registros.  El modelo utiliza los datos sobre las solicitudes (tanto las presentadas individualmente en cada país, como las solicitudes únicas con efecto de presentación en varios países a la vez) que los miembros actuales del sistema de Madrid presentarían a través de la vía de París en los nuevos países miembros y viceversa.  Concretamente, se calculan las tasas de transferencia para luego calcular el número de solicitudes adicionales que presentarían los miembros actuales con motivo de la adhesión de nuevos miembros.  Además, se aplican las "tasas de transferencia" promedio de los miembros </w:t>
      </w:r>
      <w:r w:rsidRPr="000615AB">
        <w:rPr>
          <w:sz w:val="20"/>
        </w:rPr>
        <w:lastRenderedPageBreak/>
        <w:t xml:space="preserve">actuales del sistema de La Haya para calcular el potencial de presentación de solicitudes de los nuevos miembros.  Cabe señalar que las "tasas de transferencia" reales están adaptadas a cada país.  Aplicar las "tasas de transferencia" promedio a los nuevos miembros es probablemente el mejor enfoque posible, pero a su vez aumenta la incertidumbre de los valores de previsión.  La previsión actual parte del supuesto que las adhesiones tendrán lugar de la siguiente manera:   </w:t>
      </w:r>
    </w:p>
    <w:p w:rsidR="00383888" w:rsidRPr="000615AB" w:rsidRDefault="00383888" w:rsidP="00383888">
      <w:pPr>
        <w:jc w:val="center"/>
        <w:rPr>
          <w:sz w:val="20"/>
        </w:rPr>
      </w:pPr>
    </w:p>
    <w:tbl>
      <w:tblPr>
        <w:tblW w:w="0" w:type="auto"/>
        <w:tblInd w:w="2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552"/>
      </w:tblGrid>
      <w:tr w:rsidR="00383888" w:rsidRPr="00C26376" w:rsidTr="00B47699">
        <w:tc>
          <w:tcPr>
            <w:tcW w:w="4820" w:type="dxa"/>
            <w:gridSpan w:val="2"/>
            <w:shd w:val="clear" w:color="auto" w:fill="auto"/>
          </w:tcPr>
          <w:p w:rsidR="00383888" w:rsidRPr="00C26376" w:rsidRDefault="00383888" w:rsidP="00B47699">
            <w:pPr>
              <w:tabs>
                <w:tab w:val="left" w:pos="540"/>
              </w:tabs>
              <w:rPr>
                <w:sz w:val="18"/>
                <w:szCs w:val="18"/>
              </w:rPr>
            </w:pPr>
            <w:r w:rsidRPr="00C26376">
              <w:rPr>
                <w:sz w:val="18"/>
                <w:szCs w:val="18"/>
              </w:rPr>
              <w:t>Nuevos Estados miembros del sistema de La Haya</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China</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enero de 2014</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Estados Unidos</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enero de 2014</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Federación de Rusia</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enero de 2014</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Japón</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enero de 2015</w:t>
            </w:r>
          </w:p>
        </w:tc>
      </w:tr>
      <w:tr w:rsidR="00383888" w:rsidRPr="00C26376" w:rsidTr="00B47699">
        <w:tc>
          <w:tcPr>
            <w:tcW w:w="2268" w:type="dxa"/>
            <w:shd w:val="clear" w:color="auto" w:fill="auto"/>
          </w:tcPr>
          <w:p w:rsidR="00383888" w:rsidRPr="00C26376" w:rsidRDefault="00383888" w:rsidP="00B47699">
            <w:pPr>
              <w:tabs>
                <w:tab w:val="left" w:pos="540"/>
              </w:tabs>
              <w:jc w:val="both"/>
              <w:rPr>
                <w:sz w:val="18"/>
                <w:szCs w:val="18"/>
              </w:rPr>
            </w:pPr>
            <w:r w:rsidRPr="00C26376">
              <w:rPr>
                <w:sz w:val="18"/>
                <w:szCs w:val="18"/>
              </w:rPr>
              <w:t>República de Corea</w:t>
            </w:r>
          </w:p>
        </w:tc>
        <w:tc>
          <w:tcPr>
            <w:tcW w:w="2552" w:type="dxa"/>
            <w:shd w:val="clear" w:color="auto" w:fill="auto"/>
          </w:tcPr>
          <w:p w:rsidR="00383888" w:rsidRPr="00C26376" w:rsidRDefault="00383888" w:rsidP="00B47699">
            <w:pPr>
              <w:tabs>
                <w:tab w:val="left" w:pos="540"/>
              </w:tabs>
              <w:jc w:val="right"/>
              <w:rPr>
                <w:sz w:val="18"/>
                <w:szCs w:val="18"/>
              </w:rPr>
            </w:pPr>
            <w:r w:rsidRPr="00C26376">
              <w:rPr>
                <w:sz w:val="18"/>
                <w:szCs w:val="18"/>
              </w:rPr>
              <w:t>enero de 2015</w:t>
            </w:r>
          </w:p>
        </w:tc>
      </w:tr>
    </w:tbl>
    <w:p w:rsidR="00383888" w:rsidRPr="000615AB" w:rsidRDefault="00383888" w:rsidP="00383888">
      <w:pPr>
        <w:tabs>
          <w:tab w:val="left" w:pos="540"/>
        </w:tabs>
        <w:jc w:val="both"/>
        <w:rPr>
          <w:sz w:val="20"/>
        </w:rPr>
      </w:pPr>
    </w:p>
    <w:p w:rsidR="00383888" w:rsidRPr="000615AB" w:rsidRDefault="00383888" w:rsidP="00383888">
      <w:pPr>
        <w:jc w:val="center"/>
        <w:rPr>
          <w:sz w:val="20"/>
        </w:rPr>
      </w:pPr>
    </w:p>
    <w:tbl>
      <w:tblPr>
        <w:tblW w:w="0" w:type="auto"/>
        <w:tblLook w:val="01E0" w:firstRow="1" w:lastRow="1" w:firstColumn="1" w:lastColumn="1" w:noHBand="0" w:noVBand="0"/>
      </w:tblPr>
      <w:tblGrid>
        <w:gridCol w:w="711"/>
        <w:gridCol w:w="607"/>
        <w:gridCol w:w="660"/>
        <w:gridCol w:w="660"/>
        <w:gridCol w:w="550"/>
        <w:gridCol w:w="660"/>
        <w:gridCol w:w="660"/>
        <w:gridCol w:w="770"/>
        <w:gridCol w:w="1162"/>
        <w:gridCol w:w="712"/>
        <w:gridCol w:w="712"/>
        <w:gridCol w:w="711"/>
        <w:gridCol w:w="712"/>
      </w:tblGrid>
      <w:tr w:rsidR="00383888" w:rsidRPr="000615AB" w:rsidTr="00B47699">
        <w:trPr>
          <w:trHeight w:val="274"/>
        </w:trPr>
        <w:tc>
          <w:tcPr>
            <w:tcW w:w="3188" w:type="dxa"/>
            <w:gridSpan w:val="5"/>
            <w:shd w:val="clear" w:color="auto" w:fill="auto"/>
          </w:tcPr>
          <w:p w:rsidR="00383888" w:rsidRPr="000615AB" w:rsidRDefault="00383888" w:rsidP="00B47699">
            <w:pPr>
              <w:keepNext/>
              <w:keepLines/>
              <w:rPr>
                <w:sz w:val="18"/>
                <w:szCs w:val="18"/>
              </w:rPr>
            </w:pPr>
            <w:r w:rsidRPr="000615AB">
              <w:rPr>
                <w:sz w:val="18"/>
                <w:szCs w:val="18"/>
              </w:rPr>
              <w:t>Registros generados por nuevos miembros</w:t>
            </w:r>
          </w:p>
        </w:tc>
        <w:tc>
          <w:tcPr>
            <w:tcW w:w="660" w:type="dxa"/>
            <w:shd w:val="clear" w:color="auto" w:fill="auto"/>
          </w:tcPr>
          <w:p w:rsidR="00383888" w:rsidRPr="000615AB" w:rsidRDefault="00383888" w:rsidP="00B47699">
            <w:pPr>
              <w:keepNext/>
              <w:keepLines/>
              <w:rPr>
                <w:sz w:val="18"/>
                <w:szCs w:val="18"/>
              </w:rPr>
            </w:pPr>
          </w:p>
        </w:tc>
        <w:tc>
          <w:tcPr>
            <w:tcW w:w="660" w:type="dxa"/>
            <w:shd w:val="clear" w:color="auto" w:fill="auto"/>
          </w:tcPr>
          <w:p w:rsidR="00383888" w:rsidRPr="000615AB" w:rsidRDefault="00383888" w:rsidP="00B47699">
            <w:pPr>
              <w:keepNext/>
              <w:keepLines/>
              <w:rPr>
                <w:sz w:val="18"/>
                <w:szCs w:val="18"/>
              </w:rPr>
            </w:pPr>
          </w:p>
        </w:tc>
        <w:tc>
          <w:tcPr>
            <w:tcW w:w="770" w:type="dxa"/>
            <w:shd w:val="clear" w:color="auto" w:fill="auto"/>
          </w:tcPr>
          <w:p w:rsidR="00383888" w:rsidRPr="000615AB" w:rsidRDefault="00383888" w:rsidP="00B47699">
            <w:pPr>
              <w:keepNext/>
              <w:keepLines/>
              <w:rPr>
                <w:sz w:val="18"/>
                <w:szCs w:val="18"/>
              </w:rPr>
            </w:pPr>
          </w:p>
        </w:tc>
        <w:tc>
          <w:tcPr>
            <w:tcW w:w="1162" w:type="dxa"/>
            <w:shd w:val="clear" w:color="auto" w:fill="auto"/>
          </w:tcPr>
          <w:p w:rsidR="00383888" w:rsidRPr="000615AB" w:rsidRDefault="00383888" w:rsidP="00B47699">
            <w:pPr>
              <w:keepNext/>
              <w:keepLines/>
              <w:rPr>
                <w:sz w:val="18"/>
                <w:szCs w:val="18"/>
              </w:rPr>
            </w:pPr>
          </w:p>
        </w:tc>
        <w:tc>
          <w:tcPr>
            <w:tcW w:w="712" w:type="dxa"/>
            <w:shd w:val="clear" w:color="auto" w:fill="auto"/>
          </w:tcPr>
          <w:p w:rsidR="00383888" w:rsidRPr="000615AB" w:rsidRDefault="00383888" w:rsidP="00B47699">
            <w:pPr>
              <w:keepNext/>
              <w:keepLines/>
              <w:rPr>
                <w:sz w:val="18"/>
                <w:szCs w:val="18"/>
              </w:rPr>
            </w:pPr>
          </w:p>
        </w:tc>
        <w:tc>
          <w:tcPr>
            <w:tcW w:w="712" w:type="dxa"/>
            <w:shd w:val="clear" w:color="auto" w:fill="auto"/>
          </w:tcPr>
          <w:p w:rsidR="00383888" w:rsidRPr="000615AB" w:rsidRDefault="00383888" w:rsidP="00B47699">
            <w:pPr>
              <w:keepNext/>
              <w:keepLines/>
              <w:rPr>
                <w:sz w:val="18"/>
                <w:szCs w:val="18"/>
              </w:rPr>
            </w:pPr>
          </w:p>
        </w:tc>
        <w:tc>
          <w:tcPr>
            <w:tcW w:w="711" w:type="dxa"/>
            <w:shd w:val="clear" w:color="auto" w:fill="auto"/>
          </w:tcPr>
          <w:p w:rsidR="00383888" w:rsidRPr="000615AB" w:rsidRDefault="00383888" w:rsidP="00B47699">
            <w:pPr>
              <w:keepNext/>
              <w:keepLines/>
              <w:rPr>
                <w:sz w:val="18"/>
                <w:szCs w:val="18"/>
              </w:rPr>
            </w:pPr>
          </w:p>
        </w:tc>
        <w:tc>
          <w:tcPr>
            <w:tcW w:w="712" w:type="dxa"/>
            <w:shd w:val="clear" w:color="auto" w:fill="auto"/>
          </w:tcPr>
          <w:p w:rsidR="00383888" w:rsidRPr="000615AB" w:rsidRDefault="00383888" w:rsidP="00B47699">
            <w:pPr>
              <w:keepNext/>
              <w:keepLines/>
              <w:rPr>
                <w:sz w:val="18"/>
                <w:szCs w:val="18"/>
              </w:rPr>
            </w:pPr>
          </w:p>
        </w:tc>
      </w:tr>
      <w:tr w:rsidR="00383888" w:rsidRPr="000615AB" w:rsidTr="00B47699">
        <w:trPr>
          <w:trHeight w:val="187"/>
        </w:trPr>
        <w:tc>
          <w:tcPr>
            <w:tcW w:w="711" w:type="dxa"/>
            <w:tcBorders>
              <w:bottom w:val="double" w:sz="4" w:space="0" w:color="auto"/>
            </w:tcBorders>
            <w:shd w:val="clear" w:color="auto" w:fill="auto"/>
          </w:tcPr>
          <w:p w:rsidR="00383888" w:rsidRPr="000615AB" w:rsidRDefault="00383888" w:rsidP="00B47699">
            <w:pPr>
              <w:keepNext/>
              <w:keepLines/>
              <w:rPr>
                <w:sz w:val="16"/>
                <w:szCs w:val="16"/>
              </w:rPr>
            </w:pPr>
            <w:r>
              <w:rPr>
                <w:sz w:val="16"/>
                <w:szCs w:val="16"/>
              </w:rPr>
              <w:t>Año</w:t>
            </w:r>
          </w:p>
        </w:tc>
        <w:tc>
          <w:tcPr>
            <w:tcW w:w="607"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CH</w:t>
            </w:r>
          </w:p>
        </w:tc>
        <w:tc>
          <w:tcPr>
            <w:tcW w:w="660"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DE</w:t>
            </w:r>
          </w:p>
        </w:tc>
        <w:tc>
          <w:tcPr>
            <w:tcW w:w="660"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FR</w:t>
            </w:r>
          </w:p>
        </w:tc>
        <w:tc>
          <w:tcPr>
            <w:tcW w:w="550"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IT</w:t>
            </w:r>
          </w:p>
        </w:tc>
        <w:tc>
          <w:tcPr>
            <w:tcW w:w="660"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NL</w:t>
            </w:r>
          </w:p>
        </w:tc>
        <w:tc>
          <w:tcPr>
            <w:tcW w:w="660"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TR</w:t>
            </w:r>
          </w:p>
        </w:tc>
        <w:tc>
          <w:tcPr>
            <w:tcW w:w="770" w:type="dxa"/>
            <w:tcBorders>
              <w:bottom w:val="double" w:sz="4" w:space="0" w:color="auto"/>
            </w:tcBorders>
            <w:shd w:val="clear" w:color="auto" w:fill="auto"/>
          </w:tcPr>
          <w:p w:rsidR="00383888" w:rsidRPr="000615AB" w:rsidRDefault="00383888" w:rsidP="00B47699">
            <w:pPr>
              <w:keepNext/>
              <w:keepLines/>
              <w:jc w:val="right"/>
              <w:rPr>
                <w:sz w:val="16"/>
                <w:szCs w:val="16"/>
              </w:rPr>
            </w:pPr>
            <w:r>
              <w:rPr>
                <w:sz w:val="16"/>
                <w:szCs w:val="16"/>
              </w:rPr>
              <w:t>Otros</w:t>
            </w:r>
          </w:p>
        </w:tc>
        <w:tc>
          <w:tcPr>
            <w:tcW w:w="1162"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CN</w:t>
            </w:r>
          </w:p>
        </w:tc>
        <w:tc>
          <w:tcPr>
            <w:tcW w:w="712"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JP</w:t>
            </w:r>
          </w:p>
        </w:tc>
        <w:tc>
          <w:tcPr>
            <w:tcW w:w="712"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KR</w:t>
            </w:r>
          </w:p>
        </w:tc>
        <w:tc>
          <w:tcPr>
            <w:tcW w:w="711"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RU</w:t>
            </w:r>
          </w:p>
        </w:tc>
        <w:tc>
          <w:tcPr>
            <w:tcW w:w="712" w:type="dxa"/>
            <w:tcBorders>
              <w:bottom w:val="double" w:sz="4" w:space="0" w:color="auto"/>
            </w:tcBorders>
            <w:shd w:val="clear" w:color="auto" w:fill="auto"/>
          </w:tcPr>
          <w:p w:rsidR="00383888" w:rsidRPr="000615AB" w:rsidRDefault="00383888" w:rsidP="00B47699">
            <w:pPr>
              <w:keepNext/>
              <w:keepLines/>
              <w:jc w:val="right"/>
              <w:rPr>
                <w:sz w:val="16"/>
                <w:szCs w:val="16"/>
              </w:rPr>
            </w:pPr>
            <w:r w:rsidRPr="000615AB">
              <w:rPr>
                <w:sz w:val="16"/>
                <w:szCs w:val="16"/>
              </w:rPr>
              <w:t>US</w:t>
            </w:r>
          </w:p>
        </w:tc>
      </w:tr>
      <w:tr w:rsidR="00383888" w:rsidRPr="000615AB" w:rsidTr="00B47699">
        <w:tc>
          <w:tcPr>
            <w:tcW w:w="711" w:type="dxa"/>
            <w:tcBorders>
              <w:top w:val="double" w:sz="4" w:space="0" w:color="auto"/>
            </w:tcBorders>
            <w:shd w:val="clear" w:color="auto" w:fill="auto"/>
            <w:tcMar>
              <w:top w:w="28" w:type="dxa"/>
              <w:bottom w:w="28" w:type="dxa"/>
            </w:tcMar>
          </w:tcPr>
          <w:p w:rsidR="00383888" w:rsidRPr="000615AB" w:rsidRDefault="00383888" w:rsidP="00B47699">
            <w:pPr>
              <w:keepNext/>
              <w:keepLines/>
              <w:rPr>
                <w:sz w:val="16"/>
                <w:szCs w:val="16"/>
              </w:rPr>
            </w:pPr>
            <w:r w:rsidRPr="000615AB">
              <w:rPr>
                <w:sz w:val="16"/>
                <w:szCs w:val="16"/>
              </w:rPr>
              <w:t>2014</w:t>
            </w:r>
          </w:p>
        </w:tc>
        <w:tc>
          <w:tcPr>
            <w:tcW w:w="607"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66</w:t>
            </w:r>
          </w:p>
        </w:tc>
        <w:tc>
          <w:tcPr>
            <w:tcW w:w="660"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197</w:t>
            </w:r>
          </w:p>
        </w:tc>
        <w:tc>
          <w:tcPr>
            <w:tcW w:w="660"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61</w:t>
            </w:r>
          </w:p>
        </w:tc>
        <w:tc>
          <w:tcPr>
            <w:tcW w:w="550"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44</w:t>
            </w:r>
          </w:p>
        </w:tc>
        <w:tc>
          <w:tcPr>
            <w:tcW w:w="660"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29</w:t>
            </w:r>
          </w:p>
        </w:tc>
        <w:tc>
          <w:tcPr>
            <w:tcW w:w="660"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18</w:t>
            </w:r>
          </w:p>
        </w:tc>
        <w:tc>
          <w:tcPr>
            <w:tcW w:w="770"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297</w:t>
            </w:r>
          </w:p>
        </w:tc>
        <w:tc>
          <w:tcPr>
            <w:tcW w:w="1162"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19</w:t>
            </w:r>
          </w:p>
        </w:tc>
        <w:tc>
          <w:tcPr>
            <w:tcW w:w="712"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0</w:t>
            </w:r>
          </w:p>
        </w:tc>
        <w:tc>
          <w:tcPr>
            <w:tcW w:w="712"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0</w:t>
            </w:r>
          </w:p>
        </w:tc>
        <w:tc>
          <w:tcPr>
            <w:tcW w:w="711"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2</w:t>
            </w:r>
          </w:p>
        </w:tc>
        <w:tc>
          <w:tcPr>
            <w:tcW w:w="712" w:type="dxa"/>
            <w:tcBorders>
              <w:top w:val="double" w:sz="4" w:space="0" w:color="auto"/>
            </w:tcBorders>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67</w:t>
            </w:r>
          </w:p>
        </w:tc>
      </w:tr>
      <w:tr w:rsidR="00383888" w:rsidRPr="000615AB" w:rsidTr="00B47699">
        <w:tc>
          <w:tcPr>
            <w:tcW w:w="711" w:type="dxa"/>
            <w:shd w:val="clear" w:color="auto" w:fill="auto"/>
            <w:tcMar>
              <w:top w:w="28" w:type="dxa"/>
              <w:bottom w:w="28" w:type="dxa"/>
            </w:tcMar>
          </w:tcPr>
          <w:p w:rsidR="00383888" w:rsidRPr="000615AB" w:rsidRDefault="00383888" w:rsidP="00B47699">
            <w:pPr>
              <w:keepNext/>
              <w:keepLines/>
              <w:rPr>
                <w:sz w:val="16"/>
                <w:szCs w:val="16"/>
              </w:rPr>
            </w:pPr>
            <w:r w:rsidRPr="000615AB">
              <w:rPr>
                <w:sz w:val="16"/>
                <w:szCs w:val="16"/>
              </w:rPr>
              <w:t>2015</w:t>
            </w:r>
          </w:p>
        </w:tc>
        <w:tc>
          <w:tcPr>
            <w:tcW w:w="607"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115</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282</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90</w:t>
            </w:r>
          </w:p>
        </w:tc>
        <w:tc>
          <w:tcPr>
            <w:tcW w:w="55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63</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46</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25</w:t>
            </w:r>
          </w:p>
        </w:tc>
        <w:tc>
          <w:tcPr>
            <w:tcW w:w="77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429</w:t>
            </w:r>
          </w:p>
        </w:tc>
        <w:tc>
          <w:tcPr>
            <w:tcW w:w="116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43</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195</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66</w:t>
            </w:r>
          </w:p>
        </w:tc>
        <w:tc>
          <w:tcPr>
            <w:tcW w:w="711"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164</w:t>
            </w:r>
          </w:p>
        </w:tc>
      </w:tr>
      <w:tr w:rsidR="00383888" w:rsidRPr="000615AB" w:rsidTr="00B47699">
        <w:tc>
          <w:tcPr>
            <w:tcW w:w="711" w:type="dxa"/>
            <w:shd w:val="clear" w:color="auto" w:fill="auto"/>
            <w:tcMar>
              <w:top w:w="28" w:type="dxa"/>
              <w:bottom w:w="28" w:type="dxa"/>
            </w:tcMar>
          </w:tcPr>
          <w:p w:rsidR="00383888" w:rsidRPr="000615AB" w:rsidRDefault="00383888" w:rsidP="00B47699">
            <w:pPr>
              <w:keepNext/>
              <w:keepLines/>
              <w:rPr>
                <w:sz w:val="16"/>
                <w:szCs w:val="16"/>
              </w:rPr>
            </w:pPr>
            <w:r w:rsidRPr="000615AB">
              <w:rPr>
                <w:sz w:val="16"/>
                <w:szCs w:val="16"/>
              </w:rPr>
              <w:t>2016</w:t>
            </w:r>
          </w:p>
        </w:tc>
        <w:tc>
          <w:tcPr>
            <w:tcW w:w="607"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141</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349</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111</w:t>
            </w:r>
          </w:p>
        </w:tc>
        <w:tc>
          <w:tcPr>
            <w:tcW w:w="55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77</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56</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31</w:t>
            </w:r>
          </w:p>
        </w:tc>
        <w:tc>
          <w:tcPr>
            <w:tcW w:w="77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531</w:t>
            </w:r>
          </w:p>
        </w:tc>
        <w:tc>
          <w:tcPr>
            <w:tcW w:w="116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70</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408</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140</w:t>
            </w:r>
          </w:p>
        </w:tc>
        <w:tc>
          <w:tcPr>
            <w:tcW w:w="711"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7</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264</w:t>
            </w:r>
          </w:p>
        </w:tc>
      </w:tr>
      <w:tr w:rsidR="00383888" w:rsidRPr="000615AB" w:rsidTr="00B47699">
        <w:tc>
          <w:tcPr>
            <w:tcW w:w="711" w:type="dxa"/>
            <w:shd w:val="clear" w:color="auto" w:fill="auto"/>
            <w:tcMar>
              <w:top w:w="28" w:type="dxa"/>
              <w:bottom w:w="28" w:type="dxa"/>
            </w:tcMar>
          </w:tcPr>
          <w:p w:rsidR="00383888" w:rsidRPr="000615AB" w:rsidRDefault="00383888" w:rsidP="00B47699">
            <w:pPr>
              <w:keepNext/>
              <w:keepLines/>
              <w:rPr>
                <w:sz w:val="16"/>
                <w:szCs w:val="16"/>
              </w:rPr>
            </w:pPr>
            <w:r w:rsidRPr="000615AB">
              <w:rPr>
                <w:sz w:val="16"/>
                <w:szCs w:val="16"/>
              </w:rPr>
              <w:t>2017</w:t>
            </w:r>
          </w:p>
        </w:tc>
        <w:tc>
          <w:tcPr>
            <w:tcW w:w="607"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168</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417</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132</w:t>
            </w:r>
          </w:p>
        </w:tc>
        <w:tc>
          <w:tcPr>
            <w:tcW w:w="55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93</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66</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37</w:t>
            </w:r>
          </w:p>
        </w:tc>
        <w:tc>
          <w:tcPr>
            <w:tcW w:w="77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635</w:t>
            </w:r>
          </w:p>
        </w:tc>
        <w:tc>
          <w:tcPr>
            <w:tcW w:w="116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98</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629</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220</w:t>
            </w:r>
          </w:p>
        </w:tc>
        <w:tc>
          <w:tcPr>
            <w:tcW w:w="711"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9</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363</w:t>
            </w:r>
          </w:p>
        </w:tc>
      </w:tr>
      <w:tr w:rsidR="00383888" w:rsidRPr="000615AB" w:rsidTr="00B47699">
        <w:tc>
          <w:tcPr>
            <w:tcW w:w="711" w:type="dxa"/>
            <w:shd w:val="clear" w:color="auto" w:fill="auto"/>
            <w:tcMar>
              <w:top w:w="28" w:type="dxa"/>
              <w:bottom w:w="28" w:type="dxa"/>
            </w:tcMar>
          </w:tcPr>
          <w:p w:rsidR="00383888" w:rsidRPr="000615AB" w:rsidRDefault="00383888" w:rsidP="00B47699">
            <w:pPr>
              <w:keepNext/>
              <w:keepLines/>
              <w:rPr>
                <w:sz w:val="16"/>
                <w:szCs w:val="16"/>
              </w:rPr>
            </w:pPr>
            <w:r w:rsidRPr="000615AB">
              <w:rPr>
                <w:sz w:val="16"/>
                <w:szCs w:val="16"/>
              </w:rPr>
              <w:t>2018</w:t>
            </w:r>
          </w:p>
        </w:tc>
        <w:tc>
          <w:tcPr>
            <w:tcW w:w="607"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198</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491</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155</w:t>
            </w:r>
          </w:p>
        </w:tc>
        <w:tc>
          <w:tcPr>
            <w:tcW w:w="55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109</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78</w:t>
            </w:r>
          </w:p>
        </w:tc>
        <w:tc>
          <w:tcPr>
            <w:tcW w:w="66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44</w:t>
            </w:r>
          </w:p>
        </w:tc>
        <w:tc>
          <w:tcPr>
            <w:tcW w:w="770"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744</w:t>
            </w:r>
          </w:p>
        </w:tc>
        <w:tc>
          <w:tcPr>
            <w:tcW w:w="116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118</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868</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307</w:t>
            </w:r>
          </w:p>
        </w:tc>
        <w:tc>
          <w:tcPr>
            <w:tcW w:w="711"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11</w:t>
            </w:r>
          </w:p>
        </w:tc>
        <w:tc>
          <w:tcPr>
            <w:tcW w:w="712" w:type="dxa"/>
            <w:shd w:val="clear" w:color="auto" w:fill="auto"/>
            <w:tcMar>
              <w:top w:w="28" w:type="dxa"/>
              <w:bottom w:w="28" w:type="dxa"/>
            </w:tcMar>
          </w:tcPr>
          <w:p w:rsidR="00383888" w:rsidRPr="000615AB" w:rsidRDefault="00383888" w:rsidP="00B47699">
            <w:pPr>
              <w:keepNext/>
              <w:keepLines/>
              <w:jc w:val="right"/>
              <w:rPr>
                <w:sz w:val="16"/>
                <w:szCs w:val="16"/>
              </w:rPr>
            </w:pPr>
            <w:r w:rsidRPr="000615AB">
              <w:rPr>
                <w:sz w:val="16"/>
                <w:szCs w:val="16"/>
              </w:rPr>
              <w:t>431</w:t>
            </w:r>
          </w:p>
        </w:tc>
      </w:tr>
    </w:tbl>
    <w:p w:rsidR="00383888" w:rsidRPr="000615AB" w:rsidRDefault="00383888" w:rsidP="00383888">
      <w:pPr>
        <w:jc w:val="center"/>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Se combinaron las cifras precedentes con los resultados de los modelos </w:t>
      </w:r>
      <w:proofErr w:type="spellStart"/>
      <w:r w:rsidRPr="000615AB">
        <w:rPr>
          <w:sz w:val="20"/>
        </w:rPr>
        <w:t>autorregresivos</w:t>
      </w:r>
      <w:proofErr w:type="spellEnd"/>
      <w:r w:rsidRPr="000615AB">
        <w:rPr>
          <w:sz w:val="20"/>
        </w:rPr>
        <w:t>.  Es probable que el número de registros se ubique dentro de esos límites asociados a un valor de probabilidad.  En el gráfico y el cuadro a continuación se suministra la distribución probabilística de las diferentes proyecciones.</w:t>
      </w:r>
    </w:p>
    <w:p w:rsidR="00383888" w:rsidRPr="000615AB" w:rsidRDefault="00383888" w:rsidP="00383888">
      <w:pPr>
        <w:keepNext/>
        <w:keepLines/>
        <w:jc w:val="center"/>
        <w:rPr>
          <w:sz w:val="20"/>
        </w:rPr>
      </w:pPr>
    </w:p>
    <w:p w:rsidR="00383888" w:rsidRPr="000615AB" w:rsidRDefault="00383888" w:rsidP="00383888">
      <w:pPr>
        <w:keepNext/>
        <w:keepLines/>
        <w:jc w:val="center"/>
        <w:rPr>
          <w:sz w:val="18"/>
          <w:szCs w:val="18"/>
        </w:rPr>
      </w:pPr>
      <w:r w:rsidRPr="000615AB">
        <w:rPr>
          <w:sz w:val="18"/>
          <w:szCs w:val="18"/>
        </w:rPr>
        <w:t>Distribución probabilística de los registros</w:t>
      </w:r>
    </w:p>
    <w:p w:rsidR="00383888" w:rsidRPr="000615AB" w:rsidRDefault="00C40A11" w:rsidP="00383888">
      <w:pPr>
        <w:keepNext/>
        <w:keepLines/>
        <w:jc w:val="center"/>
        <w:rPr>
          <w:sz w:val="20"/>
        </w:rPr>
      </w:pPr>
      <w:r>
        <w:rPr>
          <w:noProof/>
          <w:lang w:val="en-US" w:eastAsia="en-US"/>
        </w:rPr>
        <w:drawing>
          <wp:inline distT="0" distB="0" distL="0" distR="0" wp14:anchorId="65319674" wp14:editId="3A65C991">
            <wp:extent cx="4906645" cy="2859405"/>
            <wp:effectExtent l="0" t="0" r="825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94" cstate="print">
                      <a:extLst>
                        <a:ext uri="{28A0092B-C50C-407E-A947-70E740481C1C}">
                          <a14:useLocalDpi xmlns:a14="http://schemas.microsoft.com/office/drawing/2010/main" val="0"/>
                        </a:ext>
                      </a:extLst>
                    </a:blip>
                    <a:srcRect/>
                    <a:stretch>
                      <a:fillRect/>
                    </a:stretch>
                  </pic:blipFill>
                  <pic:spPr bwMode="auto">
                    <a:xfrm>
                      <a:off x="0" y="0"/>
                      <a:ext cx="4906645" cy="2859405"/>
                    </a:xfrm>
                    <a:prstGeom prst="rect">
                      <a:avLst/>
                    </a:prstGeom>
                    <a:noFill/>
                    <a:ln>
                      <a:noFill/>
                    </a:ln>
                  </pic:spPr>
                </pic:pic>
              </a:graphicData>
            </a:graphic>
          </wp:inline>
        </w:drawing>
      </w:r>
    </w:p>
    <w:p w:rsidR="00383888" w:rsidRPr="000615AB" w:rsidRDefault="00383888" w:rsidP="00383888">
      <w:pPr>
        <w:jc w:val="center"/>
        <w:rPr>
          <w:sz w:val="20"/>
        </w:rPr>
      </w:pPr>
    </w:p>
    <w:p w:rsidR="00383888" w:rsidRPr="000615AB" w:rsidRDefault="00383888" w:rsidP="009B068C">
      <w:pPr>
        <w:keepNext/>
        <w:keepLines/>
        <w:spacing w:after="120"/>
        <w:jc w:val="center"/>
        <w:rPr>
          <w:sz w:val="18"/>
          <w:szCs w:val="18"/>
        </w:rPr>
      </w:pPr>
      <w:r w:rsidRPr="000615AB">
        <w:rPr>
          <w:sz w:val="18"/>
          <w:szCs w:val="18"/>
        </w:rPr>
        <w:lastRenderedPageBreak/>
        <w:t>Proyecciones correspondientes a los registros en virtud del sistema de La Haya</w:t>
      </w:r>
    </w:p>
    <w:p w:rsidR="00383888" w:rsidRPr="000615AB" w:rsidRDefault="00C40A11" w:rsidP="009B068C">
      <w:pPr>
        <w:keepNext/>
        <w:keepLines/>
        <w:jc w:val="center"/>
        <w:rPr>
          <w:sz w:val="18"/>
          <w:szCs w:val="18"/>
        </w:rPr>
      </w:pPr>
      <w:r>
        <w:rPr>
          <w:noProof/>
          <w:lang w:val="en-US" w:eastAsia="en-US"/>
        </w:rPr>
        <w:drawing>
          <wp:inline distT="0" distB="0" distL="0" distR="0" wp14:anchorId="6DF288F4" wp14:editId="0C7CEB36">
            <wp:extent cx="3029585" cy="1992630"/>
            <wp:effectExtent l="0" t="0" r="0" b="7620"/>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3029585" cy="1992630"/>
                    </a:xfrm>
                    <a:prstGeom prst="rect">
                      <a:avLst/>
                    </a:prstGeom>
                    <a:noFill/>
                    <a:ln>
                      <a:noFill/>
                    </a:ln>
                  </pic:spPr>
                </pic:pic>
              </a:graphicData>
            </a:graphic>
          </wp:inline>
        </w:drawing>
      </w:r>
    </w:p>
    <w:p w:rsidR="00383888" w:rsidRPr="000615AB" w:rsidRDefault="00383888" w:rsidP="009B068C">
      <w:pPr>
        <w:keepNext/>
        <w:keepLines/>
        <w:jc w:val="center"/>
      </w:pPr>
    </w:p>
    <w:p w:rsidR="00383888" w:rsidRPr="000615AB" w:rsidRDefault="00383888" w:rsidP="009B068C">
      <w:pPr>
        <w:keepNext/>
        <w:keepLines/>
        <w:widowControl w:val="0"/>
        <w:rPr>
          <w:i/>
          <w:sz w:val="20"/>
        </w:rPr>
      </w:pPr>
      <w:r>
        <w:rPr>
          <w:i/>
          <w:sz w:val="20"/>
        </w:rPr>
        <w:t xml:space="preserve">Sistema de La Haya </w:t>
      </w:r>
      <w:r w:rsidRPr="000615AB">
        <w:rPr>
          <w:i/>
          <w:sz w:val="20"/>
        </w:rPr>
        <w:t>- Previsión de la demanda de renovaciones</w:t>
      </w:r>
    </w:p>
    <w:p w:rsidR="00383888" w:rsidRPr="000615AB" w:rsidRDefault="00383888" w:rsidP="00383888">
      <w:pPr>
        <w:widowControl w:val="0"/>
        <w:rPr>
          <w:sz w:val="20"/>
        </w:rPr>
      </w:pPr>
    </w:p>
    <w:p w:rsidR="00383888" w:rsidRPr="000615AB" w:rsidRDefault="00383888" w:rsidP="00383888">
      <w:pPr>
        <w:numPr>
          <w:ilvl w:val="0"/>
          <w:numId w:val="18"/>
        </w:numPr>
        <w:tabs>
          <w:tab w:val="left" w:pos="540"/>
        </w:tabs>
        <w:jc w:val="both"/>
        <w:rPr>
          <w:sz w:val="20"/>
        </w:rPr>
      </w:pPr>
      <w:r w:rsidRPr="000615AB">
        <w:rPr>
          <w:sz w:val="20"/>
        </w:rPr>
        <w:t xml:space="preserve">La estimación del número de renovaciones se basa en distintos modelos regresivos.  Además de aplicar los modelos </w:t>
      </w:r>
      <w:proofErr w:type="spellStart"/>
      <w:r w:rsidRPr="000615AB">
        <w:rPr>
          <w:sz w:val="20"/>
        </w:rPr>
        <w:t>autorregresivos</w:t>
      </w:r>
      <w:proofErr w:type="spellEnd"/>
      <w:r w:rsidRPr="000615AB">
        <w:rPr>
          <w:sz w:val="20"/>
        </w:rPr>
        <w:t xml:space="preserve">, se tiene en cuenta el vínculo existente entre los registros, las renovaciones y las prolongaciones de renovaciones con períodos de protección de cinco años, puesto que los registros y las renovaciones efectuadas cinco años atrás se sumarán al total de renovaciones efectuadas en el año en curso.  </w:t>
      </w:r>
    </w:p>
    <w:p w:rsidR="00383888" w:rsidRPr="000615AB" w:rsidRDefault="00383888" w:rsidP="00383888">
      <w:pPr>
        <w:tabs>
          <w:tab w:val="left" w:pos="540"/>
        </w:tabs>
        <w:jc w:val="both"/>
        <w:rPr>
          <w:sz w:val="20"/>
        </w:rPr>
      </w:pPr>
    </w:p>
    <w:p w:rsidR="00383888" w:rsidRPr="000615AB" w:rsidRDefault="00383888" w:rsidP="00383888">
      <w:pPr>
        <w:keepNext/>
        <w:keepLines/>
        <w:tabs>
          <w:tab w:val="left" w:pos="540"/>
        </w:tabs>
        <w:spacing w:after="60"/>
        <w:jc w:val="center"/>
        <w:rPr>
          <w:sz w:val="20"/>
        </w:rPr>
      </w:pPr>
      <w:r w:rsidRPr="000615AB">
        <w:rPr>
          <w:sz w:val="18"/>
          <w:szCs w:val="18"/>
        </w:rPr>
        <w:t>Gráfico 12.  Previsión de las renovaciones en virtud del sistema de La Haya</w:t>
      </w:r>
    </w:p>
    <w:p w:rsidR="00383888" w:rsidRDefault="00C40A11" w:rsidP="00383888">
      <w:pPr>
        <w:keepNext/>
        <w:keepLines/>
        <w:jc w:val="center"/>
      </w:pPr>
      <w:r>
        <w:rPr>
          <w:noProof/>
          <w:lang w:val="en-US" w:eastAsia="en-US"/>
        </w:rPr>
        <w:drawing>
          <wp:inline distT="0" distB="0" distL="0" distR="0" wp14:anchorId="2F581FC1" wp14:editId="62C6FE3C">
            <wp:extent cx="4933950" cy="286575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4933950" cy="2865755"/>
                    </a:xfrm>
                    <a:prstGeom prst="rect">
                      <a:avLst/>
                    </a:prstGeom>
                    <a:noFill/>
                    <a:ln>
                      <a:noFill/>
                    </a:ln>
                  </pic:spPr>
                </pic:pic>
              </a:graphicData>
            </a:graphic>
          </wp:inline>
        </w:drawing>
      </w:r>
    </w:p>
    <w:p w:rsidR="00383888" w:rsidRPr="000615AB" w:rsidRDefault="00C40A11" w:rsidP="00383888">
      <w:pPr>
        <w:keepNext/>
        <w:keepLines/>
        <w:jc w:val="center"/>
        <w:rPr>
          <w:sz w:val="20"/>
        </w:rPr>
      </w:pPr>
      <w:r>
        <w:rPr>
          <w:noProof/>
          <w:lang w:val="en-US" w:eastAsia="en-US"/>
        </w:rPr>
        <w:drawing>
          <wp:inline distT="0" distB="0" distL="0" distR="0" wp14:anchorId="07143CCF" wp14:editId="2E6D9217">
            <wp:extent cx="5036185" cy="614045"/>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036185" cy="614045"/>
                    </a:xfrm>
                    <a:prstGeom prst="rect">
                      <a:avLst/>
                    </a:prstGeom>
                    <a:noFill/>
                    <a:ln>
                      <a:noFill/>
                    </a:ln>
                  </pic:spPr>
                </pic:pic>
              </a:graphicData>
            </a:graphic>
          </wp:inline>
        </w:drawing>
      </w:r>
    </w:p>
    <w:p w:rsidR="00383888" w:rsidRPr="000615AB" w:rsidRDefault="00383888" w:rsidP="00383888">
      <w:pPr>
        <w:jc w:val="center"/>
        <w:rPr>
          <w:sz w:val="20"/>
        </w:rPr>
      </w:pPr>
    </w:p>
    <w:p w:rsidR="00383888" w:rsidRPr="000615AB" w:rsidRDefault="00383888" w:rsidP="00383888">
      <w:pPr>
        <w:jc w:val="center"/>
        <w:rPr>
          <w:sz w:val="20"/>
        </w:rPr>
      </w:pPr>
    </w:p>
    <w:p w:rsidR="00383888" w:rsidRPr="000615AB" w:rsidRDefault="00383888" w:rsidP="009B068C">
      <w:pPr>
        <w:keepNext/>
        <w:keepLines/>
        <w:spacing w:after="120"/>
        <w:jc w:val="center"/>
        <w:rPr>
          <w:sz w:val="18"/>
          <w:szCs w:val="18"/>
        </w:rPr>
      </w:pPr>
      <w:r w:rsidRPr="000615AB">
        <w:rPr>
          <w:sz w:val="18"/>
          <w:szCs w:val="18"/>
        </w:rPr>
        <w:lastRenderedPageBreak/>
        <w:t>Distribución probabilística de las renovaciones</w:t>
      </w:r>
    </w:p>
    <w:p w:rsidR="00383888" w:rsidRPr="000615AB" w:rsidRDefault="00C40A11" w:rsidP="009B068C">
      <w:pPr>
        <w:keepNext/>
        <w:keepLines/>
        <w:jc w:val="center"/>
        <w:rPr>
          <w:sz w:val="20"/>
        </w:rPr>
      </w:pPr>
      <w:r>
        <w:rPr>
          <w:noProof/>
          <w:lang w:val="en-US" w:eastAsia="en-US"/>
        </w:rPr>
        <w:drawing>
          <wp:inline distT="0" distB="0" distL="0" distR="0" wp14:anchorId="3C8A3B5F" wp14:editId="1E147C23">
            <wp:extent cx="4892675" cy="2859405"/>
            <wp:effectExtent l="0" t="0" r="317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4892675" cy="2859405"/>
                    </a:xfrm>
                    <a:prstGeom prst="rect">
                      <a:avLst/>
                    </a:prstGeom>
                    <a:noFill/>
                    <a:ln>
                      <a:noFill/>
                    </a:ln>
                  </pic:spPr>
                </pic:pic>
              </a:graphicData>
            </a:graphic>
          </wp:inline>
        </w:drawing>
      </w:r>
    </w:p>
    <w:p w:rsidR="00383888" w:rsidRPr="000615AB" w:rsidRDefault="00383888" w:rsidP="009B068C">
      <w:pPr>
        <w:keepNext/>
        <w:keepLines/>
        <w:jc w:val="center"/>
        <w:rPr>
          <w:sz w:val="20"/>
        </w:rPr>
      </w:pPr>
    </w:p>
    <w:p w:rsidR="00383888" w:rsidRPr="000615AB" w:rsidRDefault="00383888" w:rsidP="009B068C">
      <w:pPr>
        <w:keepNext/>
        <w:keepLines/>
        <w:spacing w:after="120"/>
        <w:jc w:val="center"/>
        <w:rPr>
          <w:sz w:val="18"/>
          <w:szCs w:val="18"/>
        </w:rPr>
      </w:pPr>
      <w:r w:rsidRPr="000615AB">
        <w:rPr>
          <w:sz w:val="18"/>
          <w:szCs w:val="18"/>
        </w:rPr>
        <w:t>Proyecciones correspondientes a las renovaciones en virtud del sistema de La Haya</w:t>
      </w:r>
    </w:p>
    <w:p w:rsidR="00383888" w:rsidRPr="000615AB" w:rsidRDefault="00C40A11" w:rsidP="00383888">
      <w:pPr>
        <w:keepNext/>
        <w:keepLines/>
        <w:jc w:val="center"/>
      </w:pPr>
      <w:r>
        <w:rPr>
          <w:noProof/>
          <w:lang w:val="en-US" w:eastAsia="en-US"/>
        </w:rPr>
        <w:drawing>
          <wp:inline distT="0" distB="0" distL="0" distR="0" wp14:anchorId="12EB0F47" wp14:editId="5EB5D1FC">
            <wp:extent cx="2974975" cy="2054225"/>
            <wp:effectExtent l="0" t="0" r="0" b="3175"/>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2974975" cy="2054225"/>
                    </a:xfrm>
                    <a:prstGeom prst="rect">
                      <a:avLst/>
                    </a:prstGeom>
                    <a:noFill/>
                    <a:ln>
                      <a:noFill/>
                    </a:ln>
                  </pic:spPr>
                </pic:pic>
              </a:graphicData>
            </a:graphic>
          </wp:inline>
        </w:drawing>
      </w:r>
    </w:p>
    <w:p w:rsidR="00383888" w:rsidRPr="00571AE7" w:rsidRDefault="00383888" w:rsidP="00383888">
      <w:pPr>
        <w:rPr>
          <w:sz w:val="20"/>
        </w:rPr>
      </w:pPr>
    </w:p>
    <w:p w:rsidR="00383888" w:rsidRPr="00571AE7" w:rsidRDefault="00383888" w:rsidP="00383888">
      <w:pPr>
        <w:rPr>
          <w:sz w:val="20"/>
        </w:rPr>
      </w:pPr>
    </w:p>
    <w:p w:rsidR="00383888" w:rsidRPr="000615AB" w:rsidRDefault="00383888" w:rsidP="00383888">
      <w:pPr>
        <w:widowControl w:val="0"/>
        <w:rPr>
          <w:i/>
          <w:sz w:val="20"/>
        </w:rPr>
      </w:pPr>
      <w:r w:rsidRPr="000615AB">
        <w:rPr>
          <w:i/>
          <w:sz w:val="20"/>
        </w:rPr>
        <w:t>Previsión de ingresos del sistema de La Haya</w:t>
      </w:r>
    </w:p>
    <w:p w:rsidR="00383888" w:rsidRPr="000615AB" w:rsidRDefault="00383888" w:rsidP="00383888">
      <w:pPr>
        <w:widowControl w:val="0"/>
        <w:rPr>
          <w:sz w:val="20"/>
        </w:rPr>
      </w:pPr>
    </w:p>
    <w:p w:rsidR="00383888" w:rsidRPr="000615AB" w:rsidRDefault="00383888" w:rsidP="00383888">
      <w:pPr>
        <w:numPr>
          <w:ilvl w:val="0"/>
          <w:numId w:val="18"/>
        </w:numPr>
        <w:tabs>
          <w:tab w:val="left" w:pos="540"/>
        </w:tabs>
        <w:jc w:val="both"/>
        <w:rPr>
          <w:sz w:val="20"/>
        </w:rPr>
      </w:pPr>
      <w:r w:rsidRPr="000615AB">
        <w:rPr>
          <w:sz w:val="20"/>
        </w:rPr>
        <w:t>Los ingresos generados en el marco del sistema de La Haya se calculan sobre la base de la tabla de tasas vigente.  Los principales componentes de dicha tabla son la tasa de base y la tasa de renovación.  Estos dos componentes suponen casi un 90% de los ingresos.  Las demás tasas se engloban en la categoría "Varios".</w:t>
      </w:r>
    </w:p>
    <w:p w:rsidR="00383888" w:rsidRPr="000615AB" w:rsidRDefault="00383888" w:rsidP="00383888">
      <w:pPr>
        <w:widowControl w:val="0"/>
        <w:rPr>
          <w:sz w:val="20"/>
        </w:rPr>
      </w:pPr>
    </w:p>
    <w:p w:rsidR="00383888" w:rsidRPr="000615AB" w:rsidRDefault="00383888" w:rsidP="009B068C">
      <w:pPr>
        <w:keepNext/>
        <w:keepLines/>
        <w:widowControl w:val="0"/>
        <w:jc w:val="center"/>
        <w:rPr>
          <w:sz w:val="20"/>
        </w:rPr>
      </w:pPr>
      <w:r w:rsidRPr="000615AB">
        <w:rPr>
          <w:sz w:val="20"/>
        </w:rPr>
        <w:lastRenderedPageBreak/>
        <w:t>Gráfico 13.  Previsión de ingresos generados por las tasas del sistema de La Haya, por categoría</w:t>
      </w:r>
    </w:p>
    <w:p w:rsidR="00383888" w:rsidRPr="000615AB" w:rsidRDefault="00383888" w:rsidP="009B068C">
      <w:pPr>
        <w:keepNext/>
        <w:keepLines/>
        <w:widowControl w:val="0"/>
        <w:rPr>
          <w:sz w:val="20"/>
        </w:rPr>
      </w:pPr>
    </w:p>
    <w:p w:rsidR="00383888" w:rsidRPr="000615AB" w:rsidRDefault="00C40A11" w:rsidP="009B068C">
      <w:pPr>
        <w:keepNext/>
        <w:keepLines/>
        <w:jc w:val="center"/>
        <w:rPr>
          <w:sz w:val="20"/>
        </w:rPr>
      </w:pPr>
      <w:r>
        <w:rPr>
          <w:noProof/>
          <w:lang w:val="en-US" w:eastAsia="en-US"/>
        </w:rPr>
        <w:drawing>
          <wp:inline distT="0" distB="0" distL="0" distR="0" wp14:anchorId="00459D6C" wp14:editId="09B4E8CB">
            <wp:extent cx="4517390" cy="2633980"/>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00" cstate="print">
                      <a:extLst>
                        <a:ext uri="{28A0092B-C50C-407E-A947-70E740481C1C}">
                          <a14:useLocalDpi xmlns:a14="http://schemas.microsoft.com/office/drawing/2010/main" val="0"/>
                        </a:ext>
                      </a:extLst>
                    </a:blip>
                    <a:srcRect/>
                    <a:stretch>
                      <a:fillRect/>
                    </a:stretch>
                  </pic:blipFill>
                  <pic:spPr bwMode="auto">
                    <a:xfrm>
                      <a:off x="0" y="0"/>
                      <a:ext cx="4517390" cy="2633980"/>
                    </a:xfrm>
                    <a:prstGeom prst="rect">
                      <a:avLst/>
                    </a:prstGeom>
                    <a:noFill/>
                    <a:ln>
                      <a:noFill/>
                    </a:ln>
                  </pic:spPr>
                </pic:pic>
              </a:graphicData>
            </a:graphic>
          </wp:inline>
        </w:drawing>
      </w:r>
    </w:p>
    <w:p w:rsidR="00383888" w:rsidRPr="000615AB" w:rsidRDefault="00383888" w:rsidP="009B068C">
      <w:pPr>
        <w:keepNext/>
        <w:keepLines/>
        <w:jc w:val="center"/>
        <w:rPr>
          <w:sz w:val="20"/>
        </w:rPr>
      </w:pPr>
    </w:p>
    <w:p w:rsidR="00383888" w:rsidRPr="000615AB" w:rsidRDefault="00C40A11" w:rsidP="009B068C">
      <w:pPr>
        <w:keepNext/>
        <w:keepLines/>
        <w:jc w:val="center"/>
        <w:rPr>
          <w:sz w:val="20"/>
        </w:rPr>
      </w:pPr>
      <w:r>
        <w:rPr>
          <w:noProof/>
          <w:lang w:val="en-US" w:eastAsia="en-US"/>
        </w:rPr>
        <w:drawing>
          <wp:inline distT="0" distB="0" distL="0" distR="0" wp14:anchorId="7C535BD5" wp14:editId="24F6E96A">
            <wp:extent cx="4776470" cy="927735"/>
            <wp:effectExtent l="0" t="0" r="5080" b="571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4776470" cy="927735"/>
                    </a:xfrm>
                    <a:prstGeom prst="rect">
                      <a:avLst/>
                    </a:prstGeom>
                    <a:noFill/>
                    <a:ln>
                      <a:noFill/>
                    </a:ln>
                  </pic:spPr>
                </pic:pic>
              </a:graphicData>
            </a:graphic>
          </wp:inline>
        </w:drawing>
      </w:r>
    </w:p>
    <w:p w:rsidR="00383888" w:rsidRPr="000615AB" w:rsidRDefault="00383888" w:rsidP="009B068C">
      <w:pPr>
        <w:keepNext/>
        <w:keepLines/>
        <w:jc w:val="center"/>
        <w:rPr>
          <w:sz w:val="20"/>
        </w:rPr>
      </w:pPr>
    </w:p>
    <w:p w:rsidR="00383888" w:rsidRPr="000615AB" w:rsidRDefault="00383888" w:rsidP="00383888">
      <w:pPr>
        <w:jc w:val="center"/>
        <w:rPr>
          <w:sz w:val="20"/>
        </w:rPr>
      </w:pPr>
    </w:p>
    <w:p w:rsidR="00383888" w:rsidRPr="000615AB" w:rsidRDefault="00383888" w:rsidP="00383888">
      <w:pPr>
        <w:keepNext/>
        <w:spacing w:after="120"/>
        <w:jc w:val="center"/>
        <w:rPr>
          <w:sz w:val="20"/>
        </w:rPr>
      </w:pPr>
      <w:r w:rsidRPr="000615AB">
        <w:rPr>
          <w:sz w:val="18"/>
          <w:szCs w:val="18"/>
        </w:rPr>
        <w:lastRenderedPageBreak/>
        <w:t>Distribución probabilística de los ingresos</w:t>
      </w:r>
    </w:p>
    <w:p w:rsidR="00383888" w:rsidRPr="000615AB" w:rsidRDefault="00C40A11" w:rsidP="00383888">
      <w:pPr>
        <w:keepNext/>
        <w:jc w:val="center"/>
        <w:rPr>
          <w:sz w:val="20"/>
        </w:rPr>
      </w:pPr>
      <w:r>
        <w:rPr>
          <w:noProof/>
          <w:lang w:val="en-US" w:eastAsia="en-US"/>
        </w:rPr>
        <w:drawing>
          <wp:inline distT="0" distB="0" distL="0" distR="0" wp14:anchorId="2F655968" wp14:editId="5E23B2B6">
            <wp:extent cx="4694555" cy="2750185"/>
            <wp:effectExtent l="0" t="0" r="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202" cstate="print">
                      <a:extLst>
                        <a:ext uri="{28A0092B-C50C-407E-A947-70E740481C1C}">
                          <a14:useLocalDpi xmlns:a14="http://schemas.microsoft.com/office/drawing/2010/main" val="0"/>
                        </a:ext>
                      </a:extLst>
                    </a:blip>
                    <a:srcRect/>
                    <a:stretch>
                      <a:fillRect/>
                    </a:stretch>
                  </pic:blipFill>
                  <pic:spPr bwMode="auto">
                    <a:xfrm>
                      <a:off x="0" y="0"/>
                      <a:ext cx="4694555" cy="2750185"/>
                    </a:xfrm>
                    <a:prstGeom prst="rect">
                      <a:avLst/>
                    </a:prstGeom>
                    <a:noFill/>
                    <a:ln>
                      <a:noFill/>
                    </a:ln>
                  </pic:spPr>
                </pic:pic>
              </a:graphicData>
            </a:graphic>
          </wp:inline>
        </w:drawing>
      </w:r>
    </w:p>
    <w:p w:rsidR="00383888" w:rsidRPr="000615AB" w:rsidRDefault="00383888" w:rsidP="00383888">
      <w:pPr>
        <w:keepNext/>
        <w:keepLines/>
        <w:spacing w:after="120"/>
        <w:jc w:val="center"/>
        <w:rPr>
          <w:sz w:val="20"/>
        </w:rPr>
      </w:pPr>
      <w:r w:rsidRPr="000615AB">
        <w:rPr>
          <w:sz w:val="18"/>
          <w:szCs w:val="18"/>
        </w:rPr>
        <w:t>Proyecciones de los ingresos generados por el sistema de La Haya</w:t>
      </w:r>
    </w:p>
    <w:p w:rsidR="00383888" w:rsidRPr="000615AB" w:rsidRDefault="00C40A11" w:rsidP="00383888">
      <w:pPr>
        <w:keepNext/>
        <w:keepLines/>
        <w:jc w:val="center"/>
      </w:pPr>
      <w:r>
        <w:rPr>
          <w:noProof/>
          <w:lang w:val="en-US" w:eastAsia="en-US"/>
        </w:rPr>
        <w:drawing>
          <wp:inline distT="0" distB="0" distL="0" distR="0" wp14:anchorId="1A8BD858" wp14:editId="01F774D9">
            <wp:extent cx="2927350" cy="2047240"/>
            <wp:effectExtent l="0" t="0" r="635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2927350" cy="2047240"/>
                    </a:xfrm>
                    <a:prstGeom prst="rect">
                      <a:avLst/>
                    </a:prstGeom>
                    <a:noFill/>
                    <a:ln>
                      <a:noFill/>
                    </a:ln>
                  </pic:spPr>
                </pic:pic>
              </a:graphicData>
            </a:graphic>
          </wp:inline>
        </w:drawing>
      </w:r>
    </w:p>
    <w:p w:rsidR="00383888" w:rsidRPr="001B5144" w:rsidRDefault="00383888" w:rsidP="009B068C">
      <w:pPr>
        <w:keepNext/>
        <w:keepLines/>
        <w:tabs>
          <w:tab w:val="left" w:pos="540"/>
        </w:tabs>
        <w:rPr>
          <w:sz w:val="20"/>
          <w:highlight w:val="yellow"/>
        </w:rPr>
      </w:pPr>
    </w:p>
    <w:p w:rsidR="00383888" w:rsidRPr="001B5144" w:rsidRDefault="00383888" w:rsidP="00383888">
      <w:pPr>
        <w:rPr>
          <w:sz w:val="20"/>
        </w:rPr>
      </w:pPr>
    </w:p>
    <w:p w:rsidR="00383888" w:rsidRPr="000615AB" w:rsidRDefault="00383888" w:rsidP="00383888">
      <w:pPr>
        <w:numPr>
          <w:ilvl w:val="0"/>
          <w:numId w:val="18"/>
        </w:numPr>
        <w:tabs>
          <w:tab w:val="left" w:pos="540"/>
        </w:tabs>
        <w:jc w:val="both"/>
        <w:rPr>
          <w:sz w:val="20"/>
        </w:rPr>
      </w:pPr>
      <w:r w:rsidRPr="000615AB">
        <w:rPr>
          <w:sz w:val="20"/>
        </w:rPr>
        <w:t>En las previsiones de ingresos para el período comprendido entre 2013 y 2015, que figuran en el gráfico a continuación, se tiene en cuenta el número previsto de registros y renovaciones internacionales, así como una tasa promedio que pasará de 556 en 2012 a 656 en 2015.  Cabe señalar que la estimación de los ingresos que se muestra a continuación se basa en el supuesto de que en los próximos años no habrá cambios en la tabla de tasas pagaderas a la Oficina Internacional en virtud del sistema de La Haya.</w:t>
      </w:r>
    </w:p>
    <w:p w:rsidR="00383888" w:rsidRPr="000615AB" w:rsidRDefault="00383888" w:rsidP="00383888">
      <w:pPr>
        <w:tabs>
          <w:tab w:val="left" w:pos="540"/>
        </w:tabs>
        <w:jc w:val="both"/>
        <w:rPr>
          <w:sz w:val="20"/>
        </w:rPr>
      </w:pPr>
    </w:p>
    <w:p w:rsidR="00383888" w:rsidRPr="000615AB" w:rsidRDefault="00383888" w:rsidP="00383888">
      <w:pPr>
        <w:keepNext/>
        <w:keepLines/>
        <w:jc w:val="center"/>
        <w:rPr>
          <w:sz w:val="20"/>
        </w:rPr>
      </w:pPr>
      <w:r w:rsidRPr="000615AB">
        <w:rPr>
          <w:sz w:val="20"/>
        </w:rPr>
        <w:t>Cuadro 19.  Total de ingresos generados por las tasas y tasa promedio</w:t>
      </w:r>
    </w:p>
    <w:p w:rsidR="00383888" w:rsidRPr="000615AB" w:rsidRDefault="00383888" w:rsidP="00383888">
      <w:pPr>
        <w:keepNext/>
        <w:keepLines/>
        <w:jc w:val="center"/>
        <w:rPr>
          <w:sz w:val="20"/>
        </w:rPr>
      </w:pPr>
    </w:p>
    <w:p w:rsidR="00383888" w:rsidRPr="000615AB" w:rsidRDefault="00C40A11" w:rsidP="00383888">
      <w:pPr>
        <w:keepNext/>
        <w:keepLines/>
        <w:jc w:val="center"/>
        <w:rPr>
          <w:sz w:val="20"/>
        </w:rPr>
      </w:pPr>
      <w:r>
        <w:rPr>
          <w:noProof/>
          <w:lang w:val="en-US" w:eastAsia="en-US"/>
        </w:rPr>
        <w:drawing>
          <wp:inline distT="0" distB="0" distL="0" distR="0" wp14:anchorId="0D4A6A3F" wp14:editId="7ADABC51">
            <wp:extent cx="5118100" cy="737235"/>
            <wp:effectExtent l="0" t="0" r="6350" b="571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118100" cy="737235"/>
                    </a:xfrm>
                    <a:prstGeom prst="rect">
                      <a:avLst/>
                    </a:prstGeom>
                    <a:noFill/>
                    <a:ln>
                      <a:noFill/>
                    </a:ln>
                  </pic:spPr>
                </pic:pic>
              </a:graphicData>
            </a:graphic>
          </wp:inline>
        </w:drawing>
      </w:r>
    </w:p>
    <w:p w:rsidR="00383888" w:rsidRPr="000615AB" w:rsidRDefault="00383888" w:rsidP="00383888">
      <w:pPr>
        <w:keepNext/>
        <w:keepLines/>
        <w:jc w:val="center"/>
        <w:rPr>
          <w:sz w:val="20"/>
        </w:rPr>
      </w:pPr>
    </w:p>
    <w:p w:rsidR="00383888" w:rsidRPr="000615AB" w:rsidRDefault="00383888" w:rsidP="00383888">
      <w:pPr>
        <w:keepNext/>
        <w:keepLines/>
        <w:jc w:val="center"/>
        <w:rPr>
          <w:sz w:val="20"/>
        </w:rPr>
      </w:pPr>
    </w:p>
    <w:p w:rsidR="00383888" w:rsidRPr="000615AB" w:rsidRDefault="00383888" w:rsidP="00383888">
      <w:pPr>
        <w:rPr>
          <w:sz w:val="20"/>
        </w:rPr>
      </w:pPr>
    </w:p>
    <w:p w:rsidR="00383888" w:rsidRPr="000615AB" w:rsidRDefault="00383888" w:rsidP="00383888">
      <w:pPr>
        <w:rPr>
          <w:sz w:val="20"/>
        </w:rPr>
        <w:sectPr w:rsidR="00383888" w:rsidRPr="000615AB" w:rsidSect="00B47699">
          <w:footerReference w:type="even" r:id="rId205"/>
          <w:footerReference w:type="default" r:id="rId206"/>
          <w:pgSz w:w="11907" w:h="16840" w:code="9"/>
          <w:pgMar w:top="567" w:right="1418" w:bottom="1361" w:left="1418"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16" w:name="_Toc366078759"/>
      <w:r w:rsidRPr="00C3705E">
        <w:rPr>
          <w:b/>
          <w:caps w:val="0"/>
          <w:szCs w:val="24"/>
          <w:lang w:val="es-ES_tradnl"/>
        </w:rPr>
        <w:lastRenderedPageBreak/>
        <w:t>ANEXO V.</w:t>
      </w:r>
      <w:r w:rsidRPr="00C3705E">
        <w:rPr>
          <w:b/>
          <w:caps w:val="0"/>
          <w:szCs w:val="24"/>
          <w:lang w:val="es-ES_tradnl"/>
        </w:rPr>
        <w:tab/>
        <w:t>INDICADORES DE LAS OPERACIONES DEL PCT</w:t>
      </w:r>
      <w:bookmarkEnd w:id="116"/>
    </w:p>
    <w:p w:rsidR="00383888" w:rsidRPr="000615AB" w:rsidRDefault="00383888" w:rsidP="00383888">
      <w:pPr>
        <w:rPr>
          <w:sz w:val="20"/>
        </w:rPr>
      </w:pPr>
    </w:p>
    <w:p w:rsidR="00383888" w:rsidRPr="000615AB" w:rsidRDefault="00383888" w:rsidP="00383888">
      <w:pPr>
        <w:rPr>
          <w:sz w:val="20"/>
        </w:rPr>
      </w:pPr>
    </w:p>
    <w:p w:rsidR="00383888" w:rsidRPr="000615AB" w:rsidRDefault="00383888" w:rsidP="00383888">
      <w:pPr>
        <w:jc w:val="center"/>
        <w:rPr>
          <w:sz w:val="20"/>
        </w:rPr>
      </w:pPr>
      <w:r w:rsidRPr="000615AB">
        <w:rPr>
          <w:sz w:val="20"/>
        </w:rPr>
        <w:t>INDICADORES DE RENDIMIENTO CON RESPECTO AL RESULTADO PREVISTO</w:t>
      </w:r>
    </w:p>
    <w:p w:rsidR="00383888" w:rsidRPr="000615AB" w:rsidRDefault="00383888" w:rsidP="00383888">
      <w:pPr>
        <w:jc w:val="center"/>
        <w:rPr>
          <w:sz w:val="20"/>
        </w:rPr>
      </w:pPr>
      <w:r w:rsidRPr="000615AB">
        <w:rPr>
          <w:sz w:val="20"/>
        </w:rPr>
        <w:t>“MEJORA DE LA PRODUCTIVIDAD Y DE LA CALIDAD DE LOS SERVICIOS EN LAS OPERACIONES DEL SISTEMA DEL PCT”</w:t>
      </w:r>
    </w:p>
    <w:p w:rsidR="00383888" w:rsidRPr="00545FB5" w:rsidRDefault="00383888" w:rsidP="00383888">
      <w:pPr>
        <w:jc w:val="center"/>
        <w:rPr>
          <w:bCs/>
          <w:sz w:val="20"/>
        </w:rPr>
      </w:pPr>
    </w:p>
    <w:p w:rsidR="00383888" w:rsidRPr="00545FB5" w:rsidRDefault="00383888" w:rsidP="00383888">
      <w:pPr>
        <w:rPr>
          <w:b/>
          <w:sz w:val="20"/>
        </w:rPr>
      </w:pPr>
    </w:p>
    <w:p w:rsidR="00383888" w:rsidRPr="000615AB" w:rsidRDefault="00383888" w:rsidP="00383888">
      <w:pPr>
        <w:rPr>
          <w:b/>
          <w:sz w:val="20"/>
        </w:rPr>
      </w:pPr>
      <w:r w:rsidRPr="000615AB">
        <w:rPr>
          <w:b/>
          <w:sz w:val="20"/>
        </w:rPr>
        <w:t>Generalidades</w:t>
      </w:r>
    </w:p>
    <w:p w:rsidR="00383888" w:rsidRPr="000615AB" w:rsidRDefault="00383888" w:rsidP="00383888">
      <w:pPr>
        <w:rPr>
          <w:b/>
          <w:sz w:val="20"/>
        </w:rPr>
      </w:pPr>
    </w:p>
    <w:p w:rsidR="00383888" w:rsidRPr="000615AB" w:rsidRDefault="00383888" w:rsidP="00FE7D9C">
      <w:pPr>
        <w:numPr>
          <w:ilvl w:val="0"/>
          <w:numId w:val="53"/>
        </w:numPr>
        <w:rPr>
          <w:sz w:val="20"/>
        </w:rPr>
      </w:pPr>
      <w:r w:rsidRPr="000615AB">
        <w:rPr>
          <w:sz w:val="20"/>
        </w:rPr>
        <w:t xml:space="preserve">Como referencia de los indicadores de rendimiento en lo que respecta al resultado previsto “Mejora de la productividad y de la calidad de los servicios del PCT”, puede ser útil considerar la evolución de los siguientes factores:  </w:t>
      </w:r>
    </w:p>
    <w:p w:rsidR="00383888" w:rsidRPr="000615AB" w:rsidRDefault="00383888" w:rsidP="00383888">
      <w:pPr>
        <w:rPr>
          <w:sz w:val="20"/>
        </w:rPr>
      </w:pPr>
    </w:p>
    <w:p w:rsidR="00383888" w:rsidRPr="000615AB" w:rsidRDefault="00383888" w:rsidP="00FE7D9C">
      <w:pPr>
        <w:numPr>
          <w:ilvl w:val="0"/>
          <w:numId w:val="51"/>
        </w:numPr>
        <w:tabs>
          <w:tab w:val="clear" w:pos="720"/>
          <w:tab w:val="num" w:pos="1100"/>
        </w:tabs>
        <w:ind w:left="1210" w:hanging="660"/>
        <w:rPr>
          <w:sz w:val="20"/>
        </w:rPr>
      </w:pPr>
      <w:r w:rsidRPr="000615AB">
        <w:rPr>
          <w:sz w:val="20"/>
        </w:rPr>
        <w:t>Volumen de trabajo del PCT;</w:t>
      </w:r>
    </w:p>
    <w:p w:rsidR="00383888" w:rsidRPr="000615AB" w:rsidRDefault="00383888" w:rsidP="00FE7D9C">
      <w:pPr>
        <w:numPr>
          <w:ilvl w:val="0"/>
          <w:numId w:val="51"/>
        </w:numPr>
        <w:tabs>
          <w:tab w:val="clear" w:pos="720"/>
          <w:tab w:val="num" w:pos="1100"/>
        </w:tabs>
        <w:ind w:left="1210" w:hanging="660"/>
        <w:rPr>
          <w:sz w:val="20"/>
        </w:rPr>
      </w:pPr>
      <w:r w:rsidRPr="000615AB">
        <w:rPr>
          <w:sz w:val="20"/>
        </w:rPr>
        <w:t>Distribución de idiomas con respecto al volumen de trabajo;  y</w:t>
      </w:r>
    </w:p>
    <w:p w:rsidR="00383888" w:rsidRPr="000615AB" w:rsidRDefault="00383888" w:rsidP="00FE7D9C">
      <w:pPr>
        <w:numPr>
          <w:ilvl w:val="0"/>
          <w:numId w:val="51"/>
        </w:numPr>
        <w:tabs>
          <w:tab w:val="clear" w:pos="720"/>
          <w:tab w:val="num" w:pos="1100"/>
        </w:tabs>
        <w:ind w:left="1210" w:hanging="660"/>
        <w:rPr>
          <w:sz w:val="20"/>
        </w:rPr>
      </w:pPr>
      <w:r w:rsidRPr="000615AB">
        <w:rPr>
          <w:sz w:val="20"/>
        </w:rPr>
        <w:t>Personal asignado para gestionar el volumen de trabajo.</w:t>
      </w:r>
    </w:p>
    <w:p w:rsidR="00383888" w:rsidRPr="000615AB" w:rsidRDefault="00383888" w:rsidP="00383888">
      <w:pPr>
        <w:tabs>
          <w:tab w:val="num" w:pos="-4253"/>
        </w:tabs>
        <w:rPr>
          <w:sz w:val="20"/>
        </w:rPr>
      </w:pPr>
    </w:p>
    <w:p w:rsidR="00383888" w:rsidRPr="000615AB" w:rsidRDefault="00383888" w:rsidP="00383888">
      <w:pPr>
        <w:rPr>
          <w:i/>
          <w:sz w:val="20"/>
        </w:rPr>
      </w:pPr>
      <w:r w:rsidRPr="000615AB">
        <w:rPr>
          <w:i/>
          <w:sz w:val="20"/>
        </w:rPr>
        <w:t>Volumen de trabajo</w:t>
      </w:r>
    </w:p>
    <w:p w:rsidR="00383888" w:rsidRPr="000615AB" w:rsidRDefault="00383888" w:rsidP="00383888">
      <w:pPr>
        <w:rPr>
          <w:sz w:val="20"/>
        </w:rPr>
      </w:pPr>
    </w:p>
    <w:p w:rsidR="00383888" w:rsidRPr="000615AB" w:rsidRDefault="00383888" w:rsidP="00FE7D9C">
      <w:pPr>
        <w:numPr>
          <w:ilvl w:val="0"/>
          <w:numId w:val="53"/>
        </w:numPr>
        <w:rPr>
          <w:sz w:val="20"/>
        </w:rPr>
      </w:pPr>
      <w:r w:rsidRPr="000615AB">
        <w:rPr>
          <w:sz w:val="20"/>
        </w:rPr>
        <w:t>La evolución del volumen de trabajo se analiza a partir del número de ejemplares originales que la Oficina Internacional recibe anualmente.</w:t>
      </w:r>
      <w:r w:rsidRPr="000615AB">
        <w:rPr>
          <w:rStyle w:val="FootnoteReference"/>
          <w:sz w:val="20"/>
        </w:rPr>
        <w:footnoteReference w:id="18"/>
      </w:r>
    </w:p>
    <w:p w:rsidR="00383888" w:rsidRPr="000615AB" w:rsidRDefault="00383888" w:rsidP="00383888">
      <w:pPr>
        <w:rPr>
          <w:sz w:val="20"/>
        </w:rPr>
      </w:pPr>
    </w:p>
    <w:p w:rsidR="00383888" w:rsidRPr="000615AB" w:rsidRDefault="00C40A11" w:rsidP="00383888">
      <w:pPr>
        <w:spacing w:after="120"/>
        <w:jc w:val="center"/>
      </w:pPr>
      <w:r>
        <w:rPr>
          <w:noProof/>
          <w:lang w:val="en-US" w:eastAsia="en-US"/>
        </w:rPr>
        <w:drawing>
          <wp:inline distT="0" distB="0" distL="0" distR="0" wp14:anchorId="3477608F" wp14:editId="62C02324">
            <wp:extent cx="5752465" cy="2620645"/>
            <wp:effectExtent l="0" t="0" r="635" b="825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207" cstate="print">
                      <a:extLst>
                        <a:ext uri="{28A0092B-C50C-407E-A947-70E740481C1C}">
                          <a14:useLocalDpi xmlns:a14="http://schemas.microsoft.com/office/drawing/2010/main" val="0"/>
                        </a:ext>
                      </a:extLst>
                    </a:blip>
                    <a:srcRect/>
                    <a:stretch>
                      <a:fillRect/>
                    </a:stretch>
                  </pic:blipFill>
                  <pic:spPr bwMode="auto">
                    <a:xfrm>
                      <a:off x="0" y="0"/>
                      <a:ext cx="5752465" cy="2620645"/>
                    </a:xfrm>
                    <a:prstGeom prst="rect">
                      <a:avLst/>
                    </a:prstGeom>
                    <a:noFill/>
                    <a:ln>
                      <a:noFill/>
                    </a:ln>
                  </pic:spPr>
                </pic:pic>
              </a:graphicData>
            </a:graphic>
          </wp:inline>
        </w:drawing>
      </w:r>
    </w:p>
    <w:p w:rsidR="00383888" w:rsidRPr="000615AB" w:rsidRDefault="00383888" w:rsidP="00383888">
      <w:pPr>
        <w:spacing w:after="120"/>
        <w:jc w:val="center"/>
        <w:rPr>
          <w:b/>
          <w:kern w:val="28"/>
          <w:sz w:val="20"/>
          <w:szCs w:val="18"/>
        </w:rPr>
      </w:pPr>
    </w:p>
    <w:p w:rsidR="00383888" w:rsidRPr="00383888" w:rsidRDefault="00383888" w:rsidP="00FE7D9C">
      <w:pPr>
        <w:pStyle w:val="BodyText2"/>
        <w:keepNext w:val="0"/>
        <w:numPr>
          <w:ilvl w:val="0"/>
          <w:numId w:val="49"/>
        </w:numPr>
        <w:tabs>
          <w:tab w:val="clear" w:pos="720"/>
          <w:tab w:val="num" w:pos="1100"/>
        </w:tabs>
        <w:ind w:left="1100" w:hanging="550"/>
        <w:rPr>
          <w:rFonts w:cs="Arial"/>
          <w:lang w:val="es-ES"/>
        </w:rPr>
      </w:pPr>
      <w:r w:rsidRPr="00383888">
        <w:rPr>
          <w:rFonts w:cs="Arial"/>
          <w:lang w:val="es-ES"/>
        </w:rPr>
        <w:t xml:space="preserve">La Oficina Internacional recibió aproximadamente 196.200 ejemplares originales en 2012, lo que supone un incremento del 9% con respecto a 2011.  </w:t>
      </w:r>
    </w:p>
    <w:p w:rsidR="00383888" w:rsidRPr="00383888" w:rsidRDefault="00383888" w:rsidP="00383888">
      <w:pPr>
        <w:pStyle w:val="BodyText2"/>
        <w:keepNext w:val="0"/>
        <w:tabs>
          <w:tab w:val="num" w:pos="1100"/>
        </w:tabs>
        <w:ind w:left="1100" w:hanging="550"/>
        <w:rPr>
          <w:rFonts w:cs="Arial"/>
          <w:lang w:val="es-ES"/>
        </w:rPr>
      </w:pPr>
    </w:p>
    <w:p w:rsidR="00383888" w:rsidRPr="00383888" w:rsidRDefault="00383888" w:rsidP="00FE7D9C">
      <w:pPr>
        <w:pStyle w:val="BodyText2"/>
        <w:keepNext w:val="0"/>
        <w:numPr>
          <w:ilvl w:val="0"/>
          <w:numId w:val="49"/>
        </w:numPr>
        <w:tabs>
          <w:tab w:val="clear" w:pos="720"/>
          <w:tab w:val="num" w:pos="1100"/>
        </w:tabs>
        <w:ind w:left="1100" w:hanging="550"/>
        <w:rPr>
          <w:rFonts w:cs="Arial"/>
          <w:lang w:val="es-ES"/>
        </w:rPr>
      </w:pPr>
      <w:r w:rsidRPr="00383888">
        <w:rPr>
          <w:rFonts w:cs="Arial"/>
          <w:lang w:val="es-ES"/>
        </w:rPr>
        <w:t>En 2011 siguió aumentando el porcentaje de solicitudes presentadas íntegramente por medios electrónicos, que actualmente constituye el 8</w:t>
      </w:r>
      <w:r w:rsidR="0012203B">
        <w:rPr>
          <w:rFonts w:cs="Arial"/>
          <w:lang w:val="es-ES"/>
        </w:rPr>
        <w:t>7</w:t>
      </w:r>
      <w:r w:rsidRPr="00383888">
        <w:rPr>
          <w:rFonts w:cs="Arial"/>
          <w:lang w:val="es-ES"/>
        </w:rPr>
        <w:t>% de todas las solicitudes presentadas.</w:t>
      </w:r>
    </w:p>
    <w:p w:rsidR="00383888" w:rsidRPr="000615AB" w:rsidRDefault="00383888" w:rsidP="00383888">
      <w:pPr>
        <w:pStyle w:val="BodyText2"/>
        <w:keepLines/>
        <w:rPr>
          <w:rFonts w:cs="Arial"/>
          <w:i/>
        </w:rPr>
      </w:pPr>
      <w:proofErr w:type="spellStart"/>
      <w:r w:rsidRPr="000615AB">
        <w:rPr>
          <w:rFonts w:cs="Arial"/>
          <w:i/>
        </w:rPr>
        <w:lastRenderedPageBreak/>
        <w:t>Distribución</w:t>
      </w:r>
      <w:proofErr w:type="spellEnd"/>
      <w:r w:rsidRPr="000615AB">
        <w:rPr>
          <w:rFonts w:cs="Arial"/>
          <w:i/>
        </w:rPr>
        <w:t xml:space="preserve"> de </w:t>
      </w:r>
      <w:proofErr w:type="spellStart"/>
      <w:r w:rsidRPr="000615AB">
        <w:rPr>
          <w:rFonts w:cs="Arial"/>
          <w:i/>
        </w:rPr>
        <w:t>idiomas</w:t>
      </w:r>
      <w:proofErr w:type="spellEnd"/>
    </w:p>
    <w:p w:rsidR="00383888" w:rsidRPr="000615AB" w:rsidRDefault="00383888" w:rsidP="00383888">
      <w:pPr>
        <w:pStyle w:val="BodyText2"/>
        <w:keepLines/>
        <w:rPr>
          <w:rFonts w:cs="Arial"/>
        </w:rPr>
      </w:pPr>
    </w:p>
    <w:p w:rsidR="00383888" w:rsidRPr="00383888" w:rsidRDefault="00383888" w:rsidP="00FE7D9C">
      <w:pPr>
        <w:pStyle w:val="BodyText2"/>
        <w:keepLines/>
        <w:numPr>
          <w:ilvl w:val="0"/>
          <w:numId w:val="53"/>
        </w:numPr>
        <w:rPr>
          <w:rFonts w:cs="Arial"/>
          <w:lang w:val="es-ES"/>
        </w:rPr>
      </w:pPr>
      <w:r w:rsidRPr="00383888">
        <w:rPr>
          <w:rFonts w:cs="Arial"/>
          <w:lang w:val="es-ES"/>
        </w:rPr>
        <w:t xml:space="preserve">Uno de los factores fundamentales del cambio en el funcionamiento de la Oficina Internacional es la creciente diversidad lingüística de las solicitudes presentadas como consecuencia, principalmente, del uso cada vez mayor del sistema del PCT en los países del este asiático. </w:t>
      </w:r>
    </w:p>
    <w:p w:rsidR="00383888" w:rsidRPr="000615AB" w:rsidRDefault="00C40A11" w:rsidP="00383888">
      <w:pPr>
        <w:keepNext/>
        <w:keepLines/>
        <w:spacing w:after="120"/>
      </w:pPr>
      <w:r>
        <w:rPr>
          <w:noProof/>
          <w:lang w:val="en-US" w:eastAsia="en-US"/>
        </w:rPr>
        <w:drawing>
          <wp:inline distT="0" distB="0" distL="0" distR="0" wp14:anchorId="00110A14" wp14:editId="28BC4742">
            <wp:extent cx="5759450" cy="3535045"/>
            <wp:effectExtent l="0" t="0" r="0" b="8255"/>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208" cstate="print">
                      <a:extLst>
                        <a:ext uri="{28A0092B-C50C-407E-A947-70E740481C1C}">
                          <a14:useLocalDpi xmlns:a14="http://schemas.microsoft.com/office/drawing/2010/main" val="0"/>
                        </a:ext>
                      </a:extLst>
                    </a:blip>
                    <a:srcRect/>
                    <a:stretch>
                      <a:fillRect/>
                    </a:stretch>
                  </pic:blipFill>
                  <pic:spPr bwMode="auto">
                    <a:xfrm>
                      <a:off x="0" y="0"/>
                      <a:ext cx="5759450" cy="3535045"/>
                    </a:xfrm>
                    <a:prstGeom prst="rect">
                      <a:avLst/>
                    </a:prstGeom>
                    <a:noFill/>
                    <a:ln>
                      <a:noFill/>
                    </a:ln>
                  </pic:spPr>
                </pic:pic>
              </a:graphicData>
            </a:graphic>
          </wp:inline>
        </w:drawing>
      </w:r>
    </w:p>
    <w:p w:rsidR="00383888" w:rsidRPr="00383888" w:rsidRDefault="00383888" w:rsidP="00FE7D9C">
      <w:pPr>
        <w:pStyle w:val="BodyText2"/>
        <w:keepNext w:val="0"/>
        <w:numPr>
          <w:ilvl w:val="0"/>
          <w:numId w:val="53"/>
        </w:numPr>
        <w:rPr>
          <w:rFonts w:cs="Arial"/>
          <w:lang w:val="es-ES"/>
        </w:rPr>
      </w:pPr>
      <w:r w:rsidRPr="00383888">
        <w:rPr>
          <w:rFonts w:cs="Arial"/>
          <w:lang w:val="es-ES"/>
        </w:rPr>
        <w:t>Como puede observarse en el gráfico, aunque el inglés sigue siendo con diferencia el idioma predominante en la presentación de solicitudes, su importancia ha disminuido con relación al japonés, al chino y al coreano.  El porcentaje combinado de solicitudes PCT presentadas en japonés, chino y coreano ha crecido del 33% en 2011 al 35% en 2012.  En el siguiente gráfico se presenta la evolución de otros idiomas distintos al inglés en la presentación de solicitudes:</w:t>
      </w:r>
    </w:p>
    <w:p w:rsidR="00383888" w:rsidRPr="000615AB" w:rsidRDefault="00C40A11" w:rsidP="00383888">
      <w:pPr>
        <w:spacing w:after="120"/>
        <w:jc w:val="center"/>
      </w:pPr>
      <w:r>
        <w:rPr>
          <w:noProof/>
          <w:lang w:val="en-US" w:eastAsia="en-US"/>
        </w:rPr>
        <w:drawing>
          <wp:inline distT="0" distB="0" distL="0" distR="0" wp14:anchorId="5A0665F9" wp14:editId="4282F55F">
            <wp:extent cx="5752465" cy="3446145"/>
            <wp:effectExtent l="0" t="0" r="635" b="190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0" y="0"/>
                      <a:ext cx="5752465" cy="3446145"/>
                    </a:xfrm>
                    <a:prstGeom prst="rect">
                      <a:avLst/>
                    </a:prstGeom>
                    <a:noFill/>
                    <a:ln>
                      <a:noFill/>
                    </a:ln>
                  </pic:spPr>
                </pic:pic>
              </a:graphicData>
            </a:graphic>
          </wp:inline>
        </w:drawing>
      </w:r>
    </w:p>
    <w:p w:rsidR="00383888" w:rsidRPr="00383888" w:rsidRDefault="00383888" w:rsidP="00FE7D9C">
      <w:pPr>
        <w:pStyle w:val="BodyText2"/>
        <w:keepNext w:val="0"/>
        <w:numPr>
          <w:ilvl w:val="0"/>
          <w:numId w:val="53"/>
        </w:numPr>
        <w:rPr>
          <w:lang w:val="es-ES"/>
        </w:rPr>
      </w:pPr>
      <w:r w:rsidRPr="00383888">
        <w:rPr>
          <w:lang w:val="es-ES"/>
        </w:rPr>
        <w:t>La evolución en el uso de los idiomas supone una carga de trabajo considerable para la Oficina Internacional, ya que lleva muchos años adaptar la composición lingüística del personal encargado del PCT.</w:t>
      </w:r>
    </w:p>
    <w:p w:rsidR="00383888" w:rsidRPr="000615AB" w:rsidRDefault="00383888" w:rsidP="00383888">
      <w:pPr>
        <w:keepNext/>
        <w:keepLines/>
        <w:spacing w:after="120"/>
        <w:rPr>
          <w:i/>
          <w:sz w:val="20"/>
        </w:rPr>
      </w:pPr>
      <w:r w:rsidRPr="000615AB">
        <w:rPr>
          <w:i/>
          <w:sz w:val="20"/>
        </w:rPr>
        <w:lastRenderedPageBreak/>
        <w:t>Personal</w:t>
      </w:r>
    </w:p>
    <w:p w:rsidR="00383888" w:rsidRPr="00383888" w:rsidRDefault="00383888" w:rsidP="00FE7D9C">
      <w:pPr>
        <w:pStyle w:val="BodyText2"/>
        <w:keepLines/>
        <w:numPr>
          <w:ilvl w:val="0"/>
          <w:numId w:val="53"/>
        </w:numPr>
        <w:rPr>
          <w:rFonts w:cs="Arial"/>
          <w:lang w:val="es-ES"/>
        </w:rPr>
      </w:pPr>
      <w:r w:rsidRPr="00383888">
        <w:rPr>
          <w:rFonts w:cs="Arial"/>
          <w:lang w:val="es-ES"/>
        </w:rPr>
        <w:t>El siguiente gráfico muestra el número de miembros del personal encargados del funcionamiento del PCT desde el año 2001, expresado en equivalente de puestos a jornada completa (número de miembros del personal a jornada completa más el equivalente de puestos a jornada completa de miembros del personal a jornada parcial).</w:t>
      </w:r>
    </w:p>
    <w:p w:rsidR="00383888" w:rsidRPr="000615AB" w:rsidRDefault="00383888" w:rsidP="00383888">
      <w:pPr>
        <w:rPr>
          <w:sz w:val="20"/>
        </w:rPr>
      </w:pPr>
    </w:p>
    <w:p w:rsidR="00383888" w:rsidRPr="000615AB" w:rsidRDefault="00C40A11" w:rsidP="00383888">
      <w:r>
        <w:rPr>
          <w:noProof/>
          <w:lang w:val="en-US" w:eastAsia="en-US"/>
        </w:rPr>
        <w:drawing>
          <wp:inline distT="0" distB="0" distL="0" distR="0" wp14:anchorId="350C1747" wp14:editId="2BE5C97F">
            <wp:extent cx="5759450" cy="3568700"/>
            <wp:effectExtent l="0" t="0" r="0"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5759450" cy="356870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FE7D9C">
      <w:pPr>
        <w:numPr>
          <w:ilvl w:val="0"/>
          <w:numId w:val="50"/>
        </w:numPr>
        <w:tabs>
          <w:tab w:val="clear" w:pos="720"/>
          <w:tab w:val="num" w:pos="1100"/>
        </w:tabs>
        <w:ind w:left="1100" w:hanging="550"/>
        <w:rPr>
          <w:sz w:val="20"/>
        </w:rPr>
      </w:pPr>
      <w:r w:rsidRPr="000615AB">
        <w:rPr>
          <w:sz w:val="20"/>
        </w:rPr>
        <w:t xml:space="preserve">El número de miembros del personal de la División de Operaciones del PCT en 2012 se mantuvo estable con respecto a 2011. </w:t>
      </w:r>
    </w:p>
    <w:p w:rsidR="00383888" w:rsidRPr="000615AB" w:rsidRDefault="00383888" w:rsidP="00383888">
      <w:pPr>
        <w:spacing w:after="120"/>
        <w:rPr>
          <w:sz w:val="20"/>
          <w:u w:val="single"/>
        </w:rPr>
      </w:pPr>
    </w:p>
    <w:p w:rsidR="00383888" w:rsidRPr="000615AB" w:rsidRDefault="00383888" w:rsidP="00383888">
      <w:pPr>
        <w:rPr>
          <w:i/>
          <w:sz w:val="20"/>
        </w:rPr>
      </w:pPr>
      <w:r w:rsidRPr="000615AB">
        <w:rPr>
          <w:i/>
          <w:sz w:val="20"/>
        </w:rPr>
        <w:t>Costo unitario de tramitación de las solicitudes</w:t>
      </w:r>
    </w:p>
    <w:p w:rsidR="00383888" w:rsidRPr="000615AB" w:rsidRDefault="00383888" w:rsidP="00383888">
      <w:pPr>
        <w:rPr>
          <w:i/>
          <w:sz w:val="20"/>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La productividad de la Oficina Internacional en cuanto a la tramitación de las solicitudes PCT puede medirse por el costo unitario de tramitación, definido como el costo medio total de la publicación de una solicitud PCT.  El costo medio total se determina sumando el gasto total del PCT a una parte de los gastos en concepto de actividades de apoyo y gestión.</w:t>
      </w:r>
      <w:r w:rsidRPr="000615AB">
        <w:rPr>
          <w:rStyle w:val="FootnoteReference"/>
          <w:rFonts w:cs="Arial"/>
        </w:rPr>
        <w:footnoteReference w:id="19"/>
      </w:r>
      <w:r w:rsidRPr="00383888">
        <w:rPr>
          <w:rFonts w:cs="Arial"/>
          <w:lang w:val="es-ES"/>
        </w:rPr>
        <w:t xml:space="preserve">  Por lo tanto, el costo unitario abarca el costo de todas las actividades del PCT, incluidas la traducción, la comunicación, la gestión, etcétera.</w:t>
      </w:r>
    </w:p>
    <w:p w:rsidR="00383888" w:rsidRPr="00383888" w:rsidRDefault="00383888" w:rsidP="00383888">
      <w:pPr>
        <w:pStyle w:val="BodyText2"/>
        <w:keepNext w:val="0"/>
        <w:rPr>
          <w:rFonts w:cs="Arial"/>
          <w:lang w:val="es-ES"/>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A la hora de calcular el costo unitario, el costo de producción se descompone en</w:t>
      </w:r>
      <w:proofErr w:type="gramStart"/>
      <w:r w:rsidRPr="00383888">
        <w:rPr>
          <w:rFonts w:cs="Arial"/>
          <w:lang w:val="es-ES"/>
        </w:rPr>
        <w:t>:  costos</w:t>
      </w:r>
      <w:proofErr w:type="gramEnd"/>
      <w:r w:rsidRPr="00383888">
        <w:rPr>
          <w:rFonts w:cs="Arial"/>
          <w:lang w:val="es-ES"/>
        </w:rPr>
        <w:t xml:space="preserve"> directos y costos indirectos.  Los costos directos se corresponden con el gasto incurrido por la IB (en relación con la administración del sistema del PCT y programas conexos).  En los costos indirectos se incluyen los gastos de las unidades de apoyo (por ejemplo, edificios, tecnología de información, etcétera.).  Estos últimos se ponderan para tener en cuenta únicamente la proporción imputable al sistema del PCT.  Al costo unitario se le añade el costo de almacenamiento de las solicitudes publicadas, ya que el sistema del PCT debe almacenar las solicitudes durante 30 años.</w:t>
      </w:r>
    </w:p>
    <w:p w:rsidR="00383888" w:rsidRPr="000615AB" w:rsidRDefault="00383888" w:rsidP="00383888">
      <w:pPr>
        <w:jc w:val="both"/>
        <w:rPr>
          <w:sz w:val="20"/>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Oficialmente, el costo unitario se define de la siguiente manera:</w:t>
      </w:r>
    </w:p>
    <w:p w:rsidR="00383888" w:rsidRPr="000615AB" w:rsidRDefault="00383888" w:rsidP="00383888">
      <w:pPr>
        <w:rPr>
          <w:sz w:val="20"/>
        </w:rPr>
      </w:pPr>
    </w:p>
    <w:p w:rsidR="00383888" w:rsidRPr="000615AB" w:rsidRDefault="00383888" w:rsidP="00383888">
      <w:pPr>
        <w:jc w:val="center"/>
        <w:rPr>
          <w:sz w:val="20"/>
        </w:rPr>
      </w:pPr>
      <w:r w:rsidRPr="000615AB">
        <w:rPr>
          <w:sz w:val="20"/>
        </w:rPr>
        <w:t xml:space="preserve">Costo unitario = </w:t>
      </w:r>
      <w:r w:rsidRPr="000615AB">
        <w:rPr>
          <w:sz w:val="20"/>
          <w:u w:val="single"/>
        </w:rPr>
        <w:t>Costo total de producción</w:t>
      </w:r>
      <w:r w:rsidRPr="000615AB">
        <w:rPr>
          <w:sz w:val="20"/>
        </w:rPr>
        <w:t xml:space="preserve"> + costo de almacenamiento</w:t>
      </w:r>
    </w:p>
    <w:p w:rsidR="00383888" w:rsidRPr="000615AB" w:rsidRDefault="00383888" w:rsidP="00383888">
      <w:pPr>
        <w:tabs>
          <w:tab w:val="left" w:pos="2835"/>
        </w:tabs>
        <w:rPr>
          <w:sz w:val="20"/>
        </w:rPr>
      </w:pPr>
      <w:r w:rsidRPr="000615AB">
        <w:rPr>
          <w:sz w:val="20"/>
        </w:rPr>
        <w:tab/>
        <w:t xml:space="preserve"> Número de publicaciones</w:t>
      </w:r>
    </w:p>
    <w:p w:rsidR="00383888" w:rsidRPr="000615AB" w:rsidRDefault="00383888" w:rsidP="00383888">
      <w:pPr>
        <w:rPr>
          <w:sz w:val="20"/>
        </w:rPr>
      </w:pPr>
    </w:p>
    <w:p w:rsidR="00383888" w:rsidRPr="00383888" w:rsidRDefault="00383888" w:rsidP="00FE7D9C">
      <w:pPr>
        <w:pStyle w:val="BodyText2"/>
        <w:keepNext w:val="0"/>
        <w:numPr>
          <w:ilvl w:val="0"/>
          <w:numId w:val="53"/>
        </w:numPr>
        <w:rPr>
          <w:rFonts w:cs="Arial"/>
          <w:lang w:val="es-ES"/>
        </w:rPr>
      </w:pPr>
      <w:r w:rsidRPr="00383888">
        <w:rPr>
          <w:rFonts w:cs="Arial"/>
          <w:lang w:val="es-ES"/>
        </w:rPr>
        <w:lastRenderedPageBreak/>
        <w:t>En el gráfico a continuación se ilustra la evolución del costo unitario de tramitación desde 2004 hasta 201</w:t>
      </w:r>
      <w:r w:rsidR="0012203B">
        <w:rPr>
          <w:rFonts w:cs="Arial"/>
          <w:lang w:val="es-ES"/>
        </w:rPr>
        <w:t>2</w:t>
      </w:r>
      <w:r w:rsidRPr="00383888">
        <w:rPr>
          <w:rFonts w:cs="Arial"/>
          <w:lang w:val="es-ES"/>
        </w:rPr>
        <w:t>, incluido un desglose de la parte correspondiente a los costos directos e indirectos.</w:t>
      </w:r>
    </w:p>
    <w:p w:rsidR="00383888" w:rsidRPr="00383888" w:rsidRDefault="00383888" w:rsidP="00383888">
      <w:pPr>
        <w:pStyle w:val="BodyText2"/>
        <w:keepNext w:val="0"/>
        <w:rPr>
          <w:rFonts w:cs="Arial"/>
          <w:lang w:val="es-ES"/>
        </w:rPr>
      </w:pPr>
    </w:p>
    <w:p w:rsidR="00383888" w:rsidRPr="000615AB" w:rsidRDefault="00383888" w:rsidP="00383888">
      <w:pPr>
        <w:keepNext/>
        <w:keepLines/>
        <w:jc w:val="center"/>
        <w:rPr>
          <w:b/>
          <w:sz w:val="18"/>
          <w:szCs w:val="18"/>
        </w:rPr>
      </w:pPr>
      <w:r w:rsidRPr="000615AB">
        <w:rPr>
          <w:b/>
          <w:sz w:val="18"/>
          <w:szCs w:val="18"/>
        </w:rPr>
        <w:t xml:space="preserve">Costo medio de tramitación de </w:t>
      </w:r>
      <w:r>
        <w:rPr>
          <w:b/>
          <w:sz w:val="18"/>
          <w:szCs w:val="18"/>
        </w:rPr>
        <w:t>una</w:t>
      </w:r>
      <w:r w:rsidRPr="000615AB">
        <w:rPr>
          <w:b/>
          <w:sz w:val="18"/>
          <w:szCs w:val="18"/>
        </w:rPr>
        <w:t xml:space="preserve"> solicitud PCT</w:t>
      </w:r>
      <w:r>
        <w:rPr>
          <w:b/>
          <w:sz w:val="18"/>
          <w:szCs w:val="18"/>
        </w:rPr>
        <w:t xml:space="preserve"> publicada</w:t>
      </w:r>
    </w:p>
    <w:p w:rsidR="00383888" w:rsidRPr="000615AB" w:rsidRDefault="00383888" w:rsidP="00383888">
      <w:pPr>
        <w:rPr>
          <w:b/>
          <w:sz w:val="20"/>
        </w:rPr>
      </w:pPr>
    </w:p>
    <w:p w:rsidR="00383888" w:rsidRPr="000615AB" w:rsidRDefault="00C40A11" w:rsidP="00383888">
      <w:pPr>
        <w:rPr>
          <w:b/>
          <w:sz w:val="20"/>
        </w:rPr>
      </w:pPr>
      <w:r>
        <w:rPr>
          <w:noProof/>
          <w:lang w:val="en-US" w:eastAsia="en-US"/>
        </w:rPr>
        <w:drawing>
          <wp:inline distT="0" distB="0" distL="0" distR="0" wp14:anchorId="296FEAA6" wp14:editId="4589B028">
            <wp:extent cx="5759450" cy="2961640"/>
            <wp:effectExtent l="0" t="0" r="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5759450" cy="296164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FE7D9C">
      <w:pPr>
        <w:numPr>
          <w:ilvl w:val="0"/>
          <w:numId w:val="52"/>
        </w:numPr>
        <w:tabs>
          <w:tab w:val="clear" w:pos="720"/>
          <w:tab w:val="num" w:pos="1100"/>
        </w:tabs>
        <w:ind w:left="1100" w:hanging="550"/>
        <w:jc w:val="both"/>
        <w:rPr>
          <w:sz w:val="20"/>
        </w:rPr>
      </w:pPr>
      <w:r w:rsidRPr="000615AB">
        <w:rPr>
          <w:sz w:val="20"/>
        </w:rPr>
        <w:t>El costo medio de tramitación de una solicitud PCT publicada se redujo en un 9% en 2012 en relación con 2011, con una cifra de 680 francos suizos.</w:t>
      </w:r>
      <w:r w:rsidRPr="000615AB">
        <w:rPr>
          <w:rStyle w:val="FootnoteReference"/>
          <w:sz w:val="20"/>
        </w:rPr>
        <w:footnoteReference w:id="20"/>
      </w:r>
      <w:r w:rsidRPr="000615AB">
        <w:rPr>
          <w:sz w:val="20"/>
        </w:rPr>
        <w:t xml:space="preserve">  Este descenso se explica en parte por el hecho de que en 2012 se publicó un 8,9% más de solicitudes que en 2011, mientras que los costos generales se redujeron ligeramente (en especial los costos indirectos).</w:t>
      </w:r>
    </w:p>
    <w:p w:rsidR="00383888" w:rsidRPr="000615AB" w:rsidRDefault="00383888" w:rsidP="00383888">
      <w:pPr>
        <w:jc w:val="both"/>
        <w:rPr>
          <w:sz w:val="20"/>
        </w:rPr>
      </w:pPr>
    </w:p>
    <w:p w:rsidR="00383888" w:rsidRPr="000615AB" w:rsidRDefault="00383888" w:rsidP="00383888">
      <w:pPr>
        <w:rPr>
          <w:b/>
          <w:sz w:val="20"/>
        </w:rPr>
      </w:pPr>
      <w:r w:rsidRPr="000615AB">
        <w:rPr>
          <w:b/>
          <w:sz w:val="20"/>
        </w:rPr>
        <w:t>Tramitación</w:t>
      </w:r>
    </w:p>
    <w:p w:rsidR="00383888" w:rsidRPr="00501D57" w:rsidRDefault="00383888" w:rsidP="00383888">
      <w:pPr>
        <w:rPr>
          <w:i/>
          <w:sz w:val="20"/>
        </w:rPr>
      </w:pPr>
    </w:p>
    <w:p w:rsidR="00383888" w:rsidRPr="00501D57" w:rsidRDefault="00383888" w:rsidP="00383888">
      <w:pPr>
        <w:rPr>
          <w:i/>
          <w:sz w:val="20"/>
        </w:rPr>
      </w:pPr>
      <w:r w:rsidRPr="00501D57">
        <w:rPr>
          <w:i/>
          <w:sz w:val="20"/>
        </w:rPr>
        <w:t>Productividad en el examen de la forma.</w:t>
      </w:r>
    </w:p>
    <w:p w:rsidR="00383888" w:rsidRPr="00501D57" w:rsidRDefault="00383888" w:rsidP="00383888">
      <w:pPr>
        <w:rPr>
          <w:sz w:val="20"/>
        </w:rPr>
      </w:pPr>
    </w:p>
    <w:p w:rsidR="00383888" w:rsidRPr="00383888" w:rsidRDefault="00383888" w:rsidP="00FE7D9C">
      <w:pPr>
        <w:pStyle w:val="BodyText2"/>
        <w:keepNext w:val="0"/>
        <w:numPr>
          <w:ilvl w:val="0"/>
          <w:numId w:val="53"/>
        </w:numPr>
        <w:rPr>
          <w:lang w:val="es-ES"/>
        </w:rPr>
      </w:pPr>
      <w:r w:rsidRPr="00383888">
        <w:rPr>
          <w:lang w:val="es-ES"/>
        </w:rPr>
        <w:t>La definición de productividad del personal consiste en el valor de la producción (esto es, el número de publicaciones del PCT) dividido entre el número de miembros del personal encargados del examen de forma.</w:t>
      </w:r>
    </w:p>
    <w:p w:rsidR="00383888" w:rsidRPr="000615AB" w:rsidRDefault="00383888" w:rsidP="00383888">
      <w:pPr>
        <w:rPr>
          <w:sz w:val="20"/>
        </w:rPr>
      </w:pPr>
    </w:p>
    <w:p w:rsidR="00383888" w:rsidRPr="000615AB" w:rsidRDefault="00C40A11" w:rsidP="00383888">
      <w:pPr>
        <w:jc w:val="center"/>
      </w:pPr>
      <w:r>
        <w:rPr>
          <w:noProof/>
          <w:lang w:val="en-US" w:eastAsia="en-US"/>
        </w:rPr>
        <w:lastRenderedPageBreak/>
        <w:drawing>
          <wp:inline distT="0" distB="0" distL="0" distR="0" wp14:anchorId="4E37BDCE" wp14:editId="4B79686B">
            <wp:extent cx="5220335" cy="2360930"/>
            <wp:effectExtent l="0" t="0" r="0" b="127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5220335" cy="2360930"/>
                    </a:xfrm>
                    <a:prstGeom prst="rect">
                      <a:avLst/>
                    </a:prstGeom>
                    <a:noFill/>
                    <a:ln>
                      <a:noFill/>
                    </a:ln>
                  </pic:spPr>
                </pic:pic>
              </a:graphicData>
            </a:graphic>
          </wp:inline>
        </w:drawing>
      </w:r>
    </w:p>
    <w:p w:rsidR="00383888" w:rsidRPr="000615AB" w:rsidRDefault="00383888" w:rsidP="00383888">
      <w:pPr>
        <w:rPr>
          <w:sz w:val="18"/>
          <w:szCs w:val="22"/>
        </w:rPr>
      </w:pPr>
    </w:p>
    <w:p w:rsidR="00383888" w:rsidRPr="000615AB" w:rsidRDefault="00383888" w:rsidP="00FE7D9C">
      <w:pPr>
        <w:numPr>
          <w:ilvl w:val="0"/>
          <w:numId w:val="52"/>
        </w:numPr>
        <w:tabs>
          <w:tab w:val="clear" w:pos="720"/>
          <w:tab w:val="num" w:pos="1100"/>
        </w:tabs>
        <w:ind w:left="1100" w:hanging="550"/>
        <w:jc w:val="both"/>
        <w:rPr>
          <w:sz w:val="20"/>
        </w:rPr>
      </w:pPr>
      <w:r w:rsidRPr="000615AB">
        <w:rPr>
          <w:sz w:val="20"/>
        </w:rPr>
        <w:t>La productividad del examen de forma ha ido aumentado a lo largo del tiempo, principalmente debido a la automatización del procedimiento, que ha permitido que un menor número de miembros del personal pueda tramitar un volumen de trabajo mucho mayor.</w:t>
      </w:r>
    </w:p>
    <w:p w:rsidR="00383888" w:rsidRPr="004D0745" w:rsidRDefault="00383888" w:rsidP="00383888">
      <w:pPr>
        <w:rPr>
          <w:sz w:val="18"/>
          <w:szCs w:val="18"/>
        </w:rPr>
      </w:pPr>
    </w:p>
    <w:p w:rsidR="00383888" w:rsidRPr="004D0745" w:rsidRDefault="00383888" w:rsidP="00383888">
      <w:pPr>
        <w:rPr>
          <w:sz w:val="18"/>
          <w:szCs w:val="18"/>
        </w:rPr>
      </w:pPr>
    </w:p>
    <w:p w:rsidR="00383888" w:rsidRPr="000615AB" w:rsidRDefault="00383888" w:rsidP="00383888">
      <w:pPr>
        <w:rPr>
          <w:i/>
          <w:sz w:val="20"/>
        </w:rPr>
      </w:pPr>
      <w:r w:rsidRPr="000615AB">
        <w:rPr>
          <w:i/>
          <w:sz w:val="20"/>
        </w:rPr>
        <w:t>Calidad global del examen de forma</w:t>
      </w:r>
    </w:p>
    <w:p w:rsidR="00383888" w:rsidRPr="000615AB" w:rsidRDefault="00383888" w:rsidP="00383888">
      <w:pPr>
        <w:rPr>
          <w:sz w:val="20"/>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Con el fin de medir la calidad del trabajo realizado por la Oficina Internacional de una manera sencilla e integral, la Oficina Internacional ha elaborado un indicador de calidad global, que es el promedio de cuatro indicadores de calidad principales.  Tres de ellos se basan en el tiempo necesario para efectuar las transacciones fundamentales: acuse de recibo de la solicitud en el marco del PCT, publicación y nueva publicación.  El cuarto indicador da cuenta de los errores cometidos en el curso de la tramitación de solicitudes PCT.</w:t>
      </w:r>
    </w:p>
    <w:p w:rsidR="00383888" w:rsidRPr="000615AB" w:rsidRDefault="00383888" w:rsidP="00383888">
      <w:pPr>
        <w:rPr>
          <w:szCs w:val="22"/>
        </w:rPr>
      </w:pPr>
      <w:r w:rsidRPr="000615AB">
        <w:rPr>
          <w:sz w:val="20"/>
        </w:rPr>
        <w:t xml:space="preserve"> </w:t>
      </w:r>
      <w:r w:rsidR="00C40A11">
        <w:rPr>
          <w:noProof/>
          <w:lang w:val="en-US" w:eastAsia="en-US"/>
        </w:rPr>
        <w:drawing>
          <wp:inline distT="0" distB="0" distL="0" distR="0" wp14:anchorId="0BA7AFE2" wp14:editId="3B1330DE">
            <wp:extent cx="5752465" cy="2688590"/>
            <wp:effectExtent l="0" t="0" r="63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5752465" cy="268859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FE7D9C">
      <w:pPr>
        <w:numPr>
          <w:ilvl w:val="0"/>
          <w:numId w:val="52"/>
        </w:numPr>
        <w:tabs>
          <w:tab w:val="clear" w:pos="720"/>
          <w:tab w:val="num" w:pos="1100"/>
        </w:tabs>
        <w:ind w:left="1100" w:hanging="550"/>
        <w:jc w:val="both"/>
        <w:rPr>
          <w:sz w:val="20"/>
        </w:rPr>
      </w:pPr>
      <w:r w:rsidRPr="000615AB">
        <w:rPr>
          <w:sz w:val="20"/>
        </w:rPr>
        <w:t xml:space="preserve">La calidad, de acuerdo con el índice global, ha mejorado notablemente desde 2007 y hasta el segundo trimestre de 2011.  A partir de la segunda mitad de 2011 se observa un deterioro en la calidad, que se explica por los retrasos cada vez mayores en la nueva publicación de las solicitudes PCT, junto con los informes de búsqueda internacional. </w:t>
      </w:r>
    </w:p>
    <w:p w:rsidR="00383888" w:rsidRPr="000615AB" w:rsidRDefault="00383888" w:rsidP="00383888">
      <w:pPr>
        <w:jc w:val="both"/>
        <w:rPr>
          <w:sz w:val="20"/>
        </w:rPr>
      </w:pPr>
    </w:p>
    <w:p w:rsidR="00383888" w:rsidRPr="000615AB" w:rsidRDefault="00383888" w:rsidP="00FE7D9C">
      <w:pPr>
        <w:numPr>
          <w:ilvl w:val="0"/>
          <w:numId w:val="52"/>
        </w:numPr>
        <w:tabs>
          <w:tab w:val="clear" w:pos="720"/>
          <w:tab w:val="num" w:pos="1100"/>
        </w:tabs>
        <w:ind w:left="1100" w:hanging="550"/>
        <w:jc w:val="both"/>
        <w:rPr>
          <w:sz w:val="20"/>
        </w:rPr>
      </w:pPr>
      <w:r w:rsidRPr="000615AB">
        <w:rPr>
          <w:sz w:val="20"/>
        </w:rPr>
        <w:t xml:space="preserve">La calidad mejoró notablemente durante el primer trimestre de 2012 pero volvió a deteriorarse en el curso de los dos siguientes trimestres.  Esto se explica principalmente por la disminución del número de notificaciones de recepción de las solicitudes PCT que se transmitieron a los solicitantes en un plazo de cinco semanas, que pasó de 90,8 % en el primer trimestre a 76,3% en el tercer trimestre.  Sin embargo, a partir del cuarto </w:t>
      </w:r>
      <w:r w:rsidRPr="000615AB">
        <w:rPr>
          <w:sz w:val="20"/>
        </w:rPr>
        <w:lastRenderedPageBreak/>
        <w:t xml:space="preserve">trimestre, se dio inicio al envío automático de notificaciones de recepción a los solicitantes, poco después de que se hubieran recibido sus solicitudes, lo cual explica el 93,7% registrado a finales de año. </w:t>
      </w:r>
    </w:p>
    <w:p w:rsidR="00383888" w:rsidRPr="000615AB" w:rsidRDefault="00383888" w:rsidP="00383888">
      <w:pPr>
        <w:jc w:val="both"/>
        <w:rPr>
          <w:sz w:val="20"/>
        </w:rPr>
      </w:pPr>
    </w:p>
    <w:p w:rsidR="00383888" w:rsidRPr="000615AB" w:rsidRDefault="00383888" w:rsidP="00FE7D9C">
      <w:pPr>
        <w:numPr>
          <w:ilvl w:val="0"/>
          <w:numId w:val="52"/>
        </w:numPr>
        <w:tabs>
          <w:tab w:val="clear" w:pos="720"/>
          <w:tab w:val="num" w:pos="1100"/>
        </w:tabs>
        <w:ind w:left="1100" w:hanging="550"/>
        <w:jc w:val="both"/>
        <w:rPr>
          <w:sz w:val="20"/>
        </w:rPr>
      </w:pPr>
      <w:r w:rsidRPr="000615AB">
        <w:rPr>
          <w:sz w:val="20"/>
        </w:rPr>
        <w:t xml:space="preserve">Además, el número de solicitudes que se volvieron a publicar en un plazo de dos meses disminuyó drásticamente durante el segundo semestre de 2012.  En el segundo trimestre de 2012, el 76,6% de las solicitudes se volvieron a publicar en un plazo de 2 meses, pero este porcentaje bajó hasta el 57,7% en el último trimestre del mismo año.  </w:t>
      </w:r>
    </w:p>
    <w:p w:rsidR="00383888" w:rsidRPr="000615AB" w:rsidRDefault="00383888" w:rsidP="00383888">
      <w:pPr>
        <w:rPr>
          <w:sz w:val="20"/>
        </w:rPr>
      </w:pPr>
    </w:p>
    <w:p w:rsidR="00383888" w:rsidRPr="000615AB" w:rsidRDefault="00383888" w:rsidP="00383888">
      <w:pPr>
        <w:rPr>
          <w:i/>
          <w:sz w:val="20"/>
        </w:rPr>
      </w:pPr>
      <w:r w:rsidRPr="000615AB">
        <w:rPr>
          <w:i/>
          <w:sz w:val="20"/>
        </w:rPr>
        <w:t>Tiempo necesario para el examen de forma</w:t>
      </w:r>
    </w:p>
    <w:p w:rsidR="00383888" w:rsidRPr="000615AB" w:rsidRDefault="00383888" w:rsidP="00383888">
      <w:pPr>
        <w:rPr>
          <w:b/>
          <w:sz w:val="20"/>
        </w:rPr>
      </w:pPr>
    </w:p>
    <w:p w:rsidR="00383888" w:rsidRPr="00383888" w:rsidRDefault="00383888" w:rsidP="00FE7D9C">
      <w:pPr>
        <w:pStyle w:val="BodyText2"/>
        <w:keepNext w:val="0"/>
        <w:numPr>
          <w:ilvl w:val="0"/>
          <w:numId w:val="53"/>
        </w:numPr>
        <w:rPr>
          <w:rFonts w:cs="Arial"/>
          <w:b/>
          <w:lang w:val="es-ES"/>
        </w:rPr>
      </w:pPr>
      <w:r w:rsidRPr="00383888">
        <w:rPr>
          <w:rFonts w:cs="Arial"/>
          <w:lang w:val="es-ES"/>
        </w:rPr>
        <w:t>Este indicador refleja más detalladamente uno de los componentes del indicador global de calidad, esto es el tiempo que tarda la Oficina Internacional en enviar el formulario 301.  Este formulario se envía una vez completado el examen de forma de la solicitud. Los solicitantes agradecen que se les envíe lo antes posible, puesto que dicho formulario les permite saber si su solicitud presenta errores formales.</w:t>
      </w:r>
    </w:p>
    <w:p w:rsidR="00383888" w:rsidRPr="000615AB" w:rsidRDefault="00383888" w:rsidP="00383888">
      <w:pPr>
        <w:rPr>
          <w:b/>
          <w:sz w:val="20"/>
        </w:rPr>
      </w:pPr>
    </w:p>
    <w:p w:rsidR="00383888" w:rsidRPr="000615AB" w:rsidRDefault="00383888" w:rsidP="00383888">
      <w:r w:rsidRPr="000615AB">
        <w:t xml:space="preserve"> </w:t>
      </w:r>
      <w:r w:rsidR="00C40A11">
        <w:rPr>
          <w:noProof/>
          <w:lang w:val="en-US" w:eastAsia="en-US"/>
        </w:rPr>
        <w:drawing>
          <wp:inline distT="0" distB="0" distL="0" distR="0" wp14:anchorId="6A467E3A" wp14:editId="2D655F26">
            <wp:extent cx="5759450" cy="25723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5759450" cy="2572385"/>
                    </a:xfrm>
                    <a:prstGeom prst="rect">
                      <a:avLst/>
                    </a:prstGeom>
                    <a:noFill/>
                    <a:ln>
                      <a:noFill/>
                    </a:ln>
                  </pic:spPr>
                </pic:pic>
              </a:graphicData>
            </a:graphic>
          </wp:inline>
        </w:drawing>
      </w:r>
    </w:p>
    <w:p w:rsidR="00383888" w:rsidRPr="000615AB" w:rsidRDefault="00383888" w:rsidP="00383888">
      <w:pPr>
        <w:rPr>
          <w:b/>
          <w:sz w:val="20"/>
        </w:rPr>
      </w:pPr>
    </w:p>
    <w:p w:rsidR="00383888" w:rsidRPr="000615AB" w:rsidRDefault="00383888" w:rsidP="00383888">
      <w:pPr>
        <w:rPr>
          <w:b/>
          <w:sz w:val="20"/>
        </w:rPr>
      </w:pPr>
    </w:p>
    <w:p w:rsidR="00383888" w:rsidRPr="000615AB" w:rsidRDefault="00383888" w:rsidP="00383888">
      <w:pPr>
        <w:rPr>
          <w:i/>
          <w:sz w:val="20"/>
        </w:rPr>
      </w:pPr>
      <w:r w:rsidRPr="000615AB">
        <w:rPr>
          <w:i/>
          <w:sz w:val="20"/>
        </w:rPr>
        <w:t>Tiempo necesario para la publicación</w:t>
      </w:r>
    </w:p>
    <w:p w:rsidR="00383888" w:rsidRPr="000615AB" w:rsidRDefault="00383888" w:rsidP="00383888">
      <w:pPr>
        <w:rPr>
          <w:sz w:val="18"/>
          <w:szCs w:val="18"/>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Este indicador refleja más adecuadamente uno de los componentes del indicador global de calidad, esto es, el tiempo que tarda la Oficina Internacional en publicar la solicitud.  El artículo 21.2)a) del PCT establece que  “[…] la publicación internacional de la solicitud internacional se efectuará rápidamente tras el vencimiento de un plazo de 18 meses desde la fecha de prioridad de esa solicitud”.</w:t>
      </w:r>
    </w:p>
    <w:p w:rsidR="00383888" w:rsidRPr="00383888" w:rsidRDefault="00383888" w:rsidP="00383888">
      <w:pPr>
        <w:pStyle w:val="BodyText2"/>
        <w:keepNext w:val="0"/>
        <w:rPr>
          <w:rFonts w:cs="Arial"/>
          <w:lang w:val="es-ES"/>
        </w:rPr>
      </w:pPr>
    </w:p>
    <w:p w:rsidR="00383888" w:rsidRPr="000615AB" w:rsidRDefault="00C40A11" w:rsidP="00383888">
      <w:r>
        <w:rPr>
          <w:noProof/>
          <w:lang w:val="en-US" w:eastAsia="en-US"/>
        </w:rPr>
        <w:lastRenderedPageBreak/>
        <w:drawing>
          <wp:inline distT="0" distB="0" distL="0" distR="0" wp14:anchorId="24FFF3BF" wp14:editId="0A36B00B">
            <wp:extent cx="5759450" cy="2722880"/>
            <wp:effectExtent l="0" t="0" r="0" b="127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5759450" cy="2722880"/>
                    </a:xfrm>
                    <a:prstGeom prst="rect">
                      <a:avLst/>
                    </a:prstGeom>
                    <a:noFill/>
                    <a:ln>
                      <a:noFill/>
                    </a:ln>
                  </pic:spPr>
                </pic:pic>
              </a:graphicData>
            </a:graphic>
          </wp:inline>
        </w:drawing>
      </w:r>
    </w:p>
    <w:p w:rsidR="00383888" w:rsidRPr="000615AB" w:rsidRDefault="00383888" w:rsidP="00383888">
      <w:pPr>
        <w:rPr>
          <w:b/>
          <w:szCs w:val="22"/>
          <w:highlight w:val="yellow"/>
        </w:rPr>
      </w:pPr>
    </w:p>
    <w:p w:rsidR="00383888" w:rsidRPr="000615AB" w:rsidRDefault="00383888" w:rsidP="00383888">
      <w:pPr>
        <w:rPr>
          <w:b/>
          <w:szCs w:val="22"/>
        </w:rPr>
      </w:pPr>
    </w:p>
    <w:p w:rsidR="00383888" w:rsidRPr="000615AB" w:rsidRDefault="00383888" w:rsidP="00383888">
      <w:pPr>
        <w:rPr>
          <w:i/>
          <w:sz w:val="20"/>
        </w:rPr>
      </w:pPr>
      <w:r w:rsidRPr="000615AB">
        <w:rPr>
          <w:i/>
          <w:sz w:val="20"/>
        </w:rPr>
        <w:t>Tiempo necesario para una nueva publicación</w:t>
      </w:r>
    </w:p>
    <w:p w:rsidR="00383888" w:rsidRPr="000615AB" w:rsidRDefault="00383888" w:rsidP="00383888">
      <w:pPr>
        <w:rPr>
          <w:sz w:val="18"/>
          <w:szCs w:val="18"/>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Este indicador refleja más detalladamente uno de los componentes del indicador global de calidad, esto es, el tiempo que tarda la Oficina Internacional en llevar a cabo la nueva publicación de la solicitud, junto con el informe de búsqueda internacional.  Algunas solicitudes internacionales se publican sin su informe de búsqueda internacional, ya que las Administraciones encargadas de la búsqueda internacional los comunican con retraso.  Cuando el informe de búsqueda internacional está disponible, es necesario proceder cuanto antes a la nueva publicación de la solicitud internacional con su informe de búsqueda internacional para dar por concluida la publicación internacional.</w:t>
      </w:r>
    </w:p>
    <w:p w:rsidR="00383888" w:rsidRPr="000615AB" w:rsidRDefault="00383888" w:rsidP="00383888">
      <w:pPr>
        <w:rPr>
          <w:b/>
          <w:szCs w:val="22"/>
          <w:highlight w:val="yellow"/>
        </w:rPr>
      </w:pPr>
    </w:p>
    <w:p w:rsidR="00383888" w:rsidRPr="000615AB" w:rsidRDefault="00383888" w:rsidP="00383888">
      <w:r w:rsidRPr="000615AB">
        <w:t xml:space="preserve"> </w:t>
      </w:r>
      <w:r w:rsidR="00C40A11">
        <w:rPr>
          <w:noProof/>
          <w:lang w:val="en-US" w:eastAsia="en-US"/>
        </w:rPr>
        <w:drawing>
          <wp:inline distT="0" distB="0" distL="0" distR="0" wp14:anchorId="6F0C5EAD" wp14:editId="4898F408">
            <wp:extent cx="5759450" cy="263398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5759450" cy="2633980"/>
                    </a:xfrm>
                    <a:prstGeom prst="rect">
                      <a:avLst/>
                    </a:prstGeom>
                    <a:noFill/>
                    <a:ln>
                      <a:noFill/>
                    </a:ln>
                  </pic:spPr>
                </pic:pic>
              </a:graphicData>
            </a:graphic>
          </wp:inline>
        </w:drawing>
      </w:r>
    </w:p>
    <w:p w:rsidR="00383888" w:rsidRDefault="00383888" w:rsidP="00383888">
      <w:pPr>
        <w:rPr>
          <w:b/>
          <w:szCs w:val="18"/>
        </w:rPr>
      </w:pPr>
    </w:p>
    <w:p w:rsidR="00383888" w:rsidRPr="000615AB" w:rsidRDefault="00383888" w:rsidP="00383888">
      <w:pPr>
        <w:rPr>
          <w:b/>
          <w:szCs w:val="18"/>
        </w:rPr>
      </w:pPr>
    </w:p>
    <w:p w:rsidR="00383888" w:rsidRPr="000615AB" w:rsidRDefault="00383888" w:rsidP="00383888">
      <w:pPr>
        <w:rPr>
          <w:b/>
          <w:sz w:val="20"/>
          <w:szCs w:val="16"/>
        </w:rPr>
      </w:pPr>
      <w:r w:rsidRPr="000615AB">
        <w:rPr>
          <w:b/>
          <w:sz w:val="20"/>
          <w:szCs w:val="16"/>
        </w:rPr>
        <w:t xml:space="preserve">Traducción </w:t>
      </w:r>
    </w:p>
    <w:p w:rsidR="00383888" w:rsidRPr="000615AB" w:rsidRDefault="00383888" w:rsidP="00383888">
      <w:pPr>
        <w:rPr>
          <w:b/>
          <w:szCs w:val="18"/>
        </w:rPr>
      </w:pPr>
    </w:p>
    <w:p w:rsidR="00383888" w:rsidRPr="000615AB" w:rsidRDefault="00383888" w:rsidP="00383888">
      <w:pPr>
        <w:rPr>
          <w:i/>
          <w:sz w:val="20"/>
        </w:rPr>
      </w:pPr>
      <w:r w:rsidRPr="000615AB">
        <w:rPr>
          <w:i/>
          <w:sz w:val="20"/>
        </w:rPr>
        <w:t>Calidad de la traducción</w:t>
      </w:r>
    </w:p>
    <w:p w:rsidR="00383888" w:rsidRPr="000615AB" w:rsidRDefault="00383888" w:rsidP="00383888">
      <w:pPr>
        <w:rPr>
          <w:b/>
          <w:szCs w:val="18"/>
        </w:rPr>
      </w:pPr>
    </w:p>
    <w:p w:rsidR="00383888" w:rsidRPr="00383888" w:rsidRDefault="00383888" w:rsidP="00FE7D9C">
      <w:pPr>
        <w:pStyle w:val="BodyText2"/>
        <w:keepNext w:val="0"/>
        <w:numPr>
          <w:ilvl w:val="0"/>
          <w:numId w:val="53"/>
        </w:numPr>
        <w:rPr>
          <w:lang w:val="es-ES"/>
        </w:rPr>
      </w:pPr>
      <w:r w:rsidRPr="00383888">
        <w:rPr>
          <w:lang w:val="es-ES"/>
        </w:rPr>
        <w:t xml:space="preserve">Con el fin de evaluar la calidad de la traducción, se extrae una muestra aleatoria de los extractos y de los informes preparados bajo la responsabilidad de la Oficina, compuesta por un número de documentos calculado estadísticamente.  La evaluación permite determinar si una traducción es "aceptable" o "no aceptable".  El indicador engloba los resultados del control de calidad </w:t>
      </w:r>
      <w:r w:rsidRPr="00383888">
        <w:rPr>
          <w:lang w:val="es-ES"/>
        </w:rPr>
        <w:lastRenderedPageBreak/>
        <w:t xml:space="preserve">realizado por la Oficina Internacional correspondientes a todas las combinaciones lingüísticas y a todos los tipos de documentos.  Se interrumpe la colaboración con aquellas agencias cuya tasa de traducciones que se consideran "aceptables" sea sistemáticamente inferior al 80%. </w:t>
      </w:r>
    </w:p>
    <w:p w:rsidR="00383888" w:rsidRPr="000615AB" w:rsidRDefault="00383888" w:rsidP="00383888">
      <w:pPr>
        <w:jc w:val="center"/>
        <w:rPr>
          <w:szCs w:val="22"/>
        </w:rPr>
      </w:pPr>
    </w:p>
    <w:p w:rsidR="00383888" w:rsidRPr="000615AB" w:rsidRDefault="00C40A11" w:rsidP="00383888">
      <w:pPr>
        <w:jc w:val="center"/>
        <w:rPr>
          <w:szCs w:val="22"/>
        </w:rPr>
      </w:pPr>
      <w:r>
        <w:rPr>
          <w:noProof/>
          <w:lang w:val="en-US" w:eastAsia="en-US"/>
        </w:rPr>
        <w:drawing>
          <wp:inline distT="0" distB="0" distL="0" distR="0" wp14:anchorId="2ED6A103" wp14:editId="7AEBBC37">
            <wp:extent cx="5752465" cy="3050540"/>
            <wp:effectExtent l="19050" t="19050" r="19685" b="1651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5752465" cy="3050540"/>
                    </a:xfrm>
                    <a:prstGeom prst="rect">
                      <a:avLst/>
                    </a:prstGeom>
                    <a:noFill/>
                    <a:ln w="6350" cmpd="sng">
                      <a:solidFill>
                        <a:srgbClr val="000000"/>
                      </a:solidFill>
                      <a:miter lim="800000"/>
                      <a:headEnd/>
                      <a:tailEnd/>
                    </a:ln>
                    <a:effectLst/>
                  </pic:spPr>
                </pic:pic>
              </a:graphicData>
            </a:graphic>
          </wp:inline>
        </w:drawing>
      </w:r>
    </w:p>
    <w:p w:rsidR="00383888" w:rsidRPr="000615AB" w:rsidRDefault="00383888" w:rsidP="00383888">
      <w:pPr>
        <w:rPr>
          <w:sz w:val="20"/>
        </w:rPr>
      </w:pPr>
    </w:p>
    <w:p w:rsidR="00383888" w:rsidRPr="000615AB" w:rsidRDefault="00383888" w:rsidP="00383888">
      <w:pPr>
        <w:keepNext/>
        <w:keepLines/>
        <w:rPr>
          <w:i/>
          <w:sz w:val="20"/>
        </w:rPr>
      </w:pPr>
      <w:r w:rsidRPr="000615AB">
        <w:rPr>
          <w:i/>
          <w:sz w:val="20"/>
        </w:rPr>
        <w:t>Tiempo necesario para la traducción de los informes</w:t>
      </w:r>
    </w:p>
    <w:p w:rsidR="00383888" w:rsidRPr="000615AB" w:rsidRDefault="00383888" w:rsidP="00383888">
      <w:pPr>
        <w:keepNext/>
        <w:keepLines/>
        <w:rPr>
          <w:b/>
          <w:sz w:val="20"/>
        </w:rPr>
      </w:pPr>
    </w:p>
    <w:p w:rsidR="00383888" w:rsidRPr="00383888" w:rsidRDefault="00383888" w:rsidP="00FE7D9C">
      <w:pPr>
        <w:pStyle w:val="BodyText2"/>
        <w:keepLines/>
        <w:numPr>
          <w:ilvl w:val="0"/>
          <w:numId w:val="53"/>
        </w:numPr>
        <w:rPr>
          <w:lang w:val="es-ES"/>
        </w:rPr>
      </w:pPr>
      <w:r w:rsidRPr="00383888">
        <w:rPr>
          <w:lang w:val="es-ES"/>
        </w:rPr>
        <w:t xml:space="preserve">Con este indicador se busca brindar información sobre el tiempo que tarda la Oficina Internacional en poner la traducción del informe sobre </w:t>
      </w:r>
      <w:proofErr w:type="spellStart"/>
      <w:r w:rsidRPr="00383888">
        <w:rPr>
          <w:lang w:val="es-ES"/>
        </w:rPr>
        <w:t>patentabilidad</w:t>
      </w:r>
      <w:proofErr w:type="spellEnd"/>
      <w:r w:rsidRPr="00383888">
        <w:rPr>
          <w:lang w:val="es-ES"/>
        </w:rPr>
        <w:t xml:space="preserve"> a disposición de los solicitantes y las Oficinas.  La Oficina Internacional tiene la intención de aumentar el porcentaje de informes sobre </w:t>
      </w:r>
      <w:proofErr w:type="spellStart"/>
      <w:r w:rsidRPr="00383888">
        <w:rPr>
          <w:lang w:val="es-ES"/>
        </w:rPr>
        <w:t>patentabilidad</w:t>
      </w:r>
      <w:proofErr w:type="spellEnd"/>
      <w:r w:rsidRPr="00383888">
        <w:rPr>
          <w:lang w:val="es-ES"/>
        </w:rPr>
        <w:t xml:space="preserve"> entregados tras el vencimiento de un plazo 30 meses desde la fecha de prioridad de la solicitud, pero dicho aumento será progresivo, dadas las consecuencias presupuestarias conexas. </w:t>
      </w:r>
    </w:p>
    <w:p w:rsidR="00383888" w:rsidRPr="000615AB" w:rsidRDefault="00383888" w:rsidP="00383888">
      <w:pPr>
        <w:rPr>
          <w:szCs w:val="22"/>
        </w:rPr>
      </w:pPr>
    </w:p>
    <w:p w:rsidR="00383888" w:rsidRPr="000615AB" w:rsidRDefault="00C40A11" w:rsidP="00383888">
      <w:pPr>
        <w:jc w:val="center"/>
        <w:rPr>
          <w:szCs w:val="22"/>
        </w:rPr>
      </w:pPr>
      <w:r>
        <w:rPr>
          <w:noProof/>
          <w:lang w:val="en-US" w:eastAsia="en-US"/>
        </w:rPr>
        <w:drawing>
          <wp:inline distT="0" distB="0" distL="0" distR="0" wp14:anchorId="40A078CD" wp14:editId="67471CD3">
            <wp:extent cx="5527040" cy="3698240"/>
            <wp:effectExtent l="0" t="0" r="0"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5527040" cy="3698240"/>
                    </a:xfrm>
                    <a:prstGeom prst="rect">
                      <a:avLst/>
                    </a:prstGeom>
                    <a:noFill/>
                    <a:ln>
                      <a:noFill/>
                    </a:ln>
                  </pic:spPr>
                </pic:pic>
              </a:graphicData>
            </a:graphic>
          </wp:inline>
        </w:drawing>
      </w:r>
    </w:p>
    <w:p w:rsidR="00383888" w:rsidRPr="000127AA" w:rsidRDefault="00383888" w:rsidP="00383888">
      <w:pPr>
        <w:rPr>
          <w:sz w:val="20"/>
        </w:rPr>
      </w:pPr>
    </w:p>
    <w:p w:rsidR="00383888" w:rsidRPr="000127AA" w:rsidRDefault="00383888" w:rsidP="00383888">
      <w:pPr>
        <w:rPr>
          <w:b/>
          <w:sz w:val="20"/>
        </w:rPr>
      </w:pPr>
    </w:p>
    <w:p w:rsidR="00383888" w:rsidRPr="000615AB" w:rsidRDefault="00383888" w:rsidP="00383888">
      <w:pPr>
        <w:rPr>
          <w:b/>
          <w:sz w:val="20"/>
          <w:szCs w:val="16"/>
        </w:rPr>
      </w:pPr>
      <w:r w:rsidRPr="000615AB">
        <w:rPr>
          <w:b/>
          <w:sz w:val="20"/>
          <w:szCs w:val="16"/>
        </w:rPr>
        <w:lastRenderedPageBreak/>
        <w:t>PCT IS</w:t>
      </w:r>
    </w:p>
    <w:p w:rsidR="00383888" w:rsidRPr="000615AB" w:rsidRDefault="00383888" w:rsidP="00383888">
      <w:pPr>
        <w:rPr>
          <w:b/>
          <w:sz w:val="20"/>
        </w:rPr>
      </w:pPr>
    </w:p>
    <w:p w:rsidR="00383888" w:rsidRPr="000615AB" w:rsidRDefault="00383888" w:rsidP="00383888">
      <w:pPr>
        <w:rPr>
          <w:i/>
          <w:sz w:val="20"/>
        </w:rPr>
      </w:pPr>
      <w:r w:rsidRPr="000615AB">
        <w:rPr>
          <w:i/>
          <w:sz w:val="20"/>
        </w:rPr>
        <w:t>Calidad del desarrollo de programas informáticos</w:t>
      </w:r>
    </w:p>
    <w:p w:rsidR="00383888" w:rsidRPr="000615AB" w:rsidRDefault="00383888" w:rsidP="00383888">
      <w:pPr>
        <w:rPr>
          <w:sz w:val="20"/>
        </w:rPr>
      </w:pPr>
    </w:p>
    <w:p w:rsidR="00383888" w:rsidRPr="000615AB" w:rsidRDefault="00383888" w:rsidP="00FE7D9C">
      <w:pPr>
        <w:pStyle w:val="BodyText2"/>
        <w:keepNext w:val="0"/>
        <w:numPr>
          <w:ilvl w:val="0"/>
          <w:numId w:val="53"/>
        </w:numPr>
        <w:rPr>
          <w:rFonts w:cs="Arial"/>
        </w:rPr>
      </w:pPr>
      <w:r w:rsidRPr="00383888">
        <w:rPr>
          <w:rFonts w:cs="Arial"/>
          <w:lang w:val="es-ES"/>
        </w:rPr>
        <w:t xml:space="preserve">A partir del comienzo del nuevo ejercicio presupuestario correspondiente a 2014/2015, la calidad del desarrollo de programas informáticos de la Oficina Internacional en el marco del PCT se medirá con un nuevo indicador de rendimiento llamado "Calidad del desarrollo de programas informáticos".  Se establecerán procedimientos e instrumentos que permitirán registrar el grado de esfuerzo necesario para cada una de las tareas de desarrollo en diferentes fases del proceso.  En el marco de este enfoque, los productos desarrollados que no requieran modificaciones o requieran ligeras modificaciones se considerarán "de alta calidad", mientras que aquellos que requieran importantes modificaciones se considerarán "de baja calidad".  </w:t>
      </w:r>
      <w:proofErr w:type="spellStart"/>
      <w:r w:rsidRPr="000615AB">
        <w:rPr>
          <w:rFonts w:cs="Arial"/>
        </w:rPr>
        <w:t>Así</w:t>
      </w:r>
      <w:proofErr w:type="spellEnd"/>
      <w:r w:rsidRPr="000615AB">
        <w:rPr>
          <w:rFonts w:cs="Arial"/>
        </w:rPr>
        <w:t xml:space="preserve">, se </w:t>
      </w:r>
      <w:proofErr w:type="spellStart"/>
      <w:r w:rsidRPr="000615AB">
        <w:rPr>
          <w:rFonts w:cs="Arial"/>
        </w:rPr>
        <w:t>entenderá</w:t>
      </w:r>
      <w:proofErr w:type="spellEnd"/>
      <w:r w:rsidRPr="000615AB">
        <w:rPr>
          <w:rFonts w:cs="Arial"/>
        </w:rPr>
        <w:t xml:space="preserve"> </w:t>
      </w:r>
      <w:proofErr w:type="spellStart"/>
      <w:r w:rsidRPr="000615AB">
        <w:rPr>
          <w:rFonts w:cs="Arial"/>
        </w:rPr>
        <w:t>por</w:t>
      </w:r>
      <w:proofErr w:type="spellEnd"/>
      <w:r w:rsidRPr="000615AB">
        <w:rPr>
          <w:rFonts w:cs="Arial"/>
        </w:rPr>
        <w:t xml:space="preserve"> </w:t>
      </w:r>
      <w:proofErr w:type="spellStart"/>
      <w:r w:rsidRPr="000615AB">
        <w:rPr>
          <w:rFonts w:cs="Arial"/>
        </w:rPr>
        <w:t>calidad</w:t>
      </w:r>
      <w:proofErr w:type="spellEnd"/>
      <w:r w:rsidRPr="000615AB">
        <w:rPr>
          <w:rFonts w:cs="Arial"/>
        </w:rPr>
        <w:t>:</w:t>
      </w:r>
    </w:p>
    <w:p w:rsidR="00383888" w:rsidRPr="000615AB" w:rsidRDefault="00383888" w:rsidP="00383888">
      <w:pPr>
        <w:rPr>
          <w:sz w:val="20"/>
        </w:rPr>
      </w:pPr>
    </w:p>
    <w:p w:rsidR="00383888" w:rsidRPr="000615AB" w:rsidRDefault="00383888" w:rsidP="00383888">
      <w:pPr>
        <w:jc w:val="center"/>
        <w:rPr>
          <w:sz w:val="20"/>
        </w:rPr>
      </w:pPr>
      <w:r w:rsidRPr="000615AB">
        <w:rPr>
          <w:sz w:val="20"/>
        </w:rPr>
        <w:t xml:space="preserve">Calidad del desarrollo de programas informáticos = </w:t>
      </w:r>
      <w:r w:rsidRPr="000615AB">
        <w:rPr>
          <w:sz w:val="20"/>
          <w:u w:val="single"/>
        </w:rPr>
        <w:t>Total de esfuerzo para el trabajo inicial</w:t>
      </w:r>
    </w:p>
    <w:p w:rsidR="00383888" w:rsidRPr="000615AB" w:rsidRDefault="00383888" w:rsidP="00383888">
      <w:pPr>
        <w:tabs>
          <w:tab w:val="left" w:pos="5954"/>
        </w:tabs>
        <w:rPr>
          <w:sz w:val="20"/>
        </w:rPr>
      </w:pPr>
      <w:r w:rsidRPr="000615AB">
        <w:rPr>
          <w:sz w:val="20"/>
        </w:rPr>
        <w:tab/>
        <w:t>Total de esfuerzo</w:t>
      </w:r>
    </w:p>
    <w:p w:rsidR="00383888" w:rsidRPr="00383888" w:rsidRDefault="00383888" w:rsidP="00383888">
      <w:pPr>
        <w:pStyle w:val="BodyText2"/>
        <w:keepNext w:val="0"/>
        <w:ind w:left="3630" w:hanging="3630"/>
        <w:rPr>
          <w:rFonts w:cs="Arial"/>
          <w:lang w:val="es-ES"/>
        </w:rPr>
      </w:pPr>
    </w:p>
    <w:p w:rsidR="00383888" w:rsidRPr="00383888" w:rsidRDefault="00383888" w:rsidP="00383888">
      <w:pPr>
        <w:pStyle w:val="BodyText2"/>
        <w:keepNext w:val="0"/>
        <w:rPr>
          <w:rFonts w:cs="Arial"/>
          <w:lang w:val="es-ES"/>
        </w:rPr>
      </w:pPr>
      <w:r w:rsidRPr="00383888">
        <w:rPr>
          <w:rFonts w:cs="Arial"/>
          <w:lang w:val="es-ES"/>
        </w:rPr>
        <w:t xml:space="preserve">Cuanto la medición más se acerque al 100%, menor será el grado de modificación que sufra una función para cumplir con los requisitos operativos. </w:t>
      </w:r>
    </w:p>
    <w:p w:rsidR="00383888" w:rsidRPr="000615AB" w:rsidRDefault="00383888" w:rsidP="00383888">
      <w:pPr>
        <w:rPr>
          <w:sz w:val="20"/>
        </w:rPr>
      </w:pPr>
    </w:p>
    <w:p w:rsidR="00383888" w:rsidRPr="000615AB" w:rsidRDefault="00383888" w:rsidP="00383888">
      <w:pPr>
        <w:rPr>
          <w:i/>
          <w:sz w:val="20"/>
        </w:rPr>
      </w:pPr>
      <w:r w:rsidRPr="000615AB">
        <w:rPr>
          <w:i/>
          <w:sz w:val="20"/>
        </w:rPr>
        <w:t>Niveles de los servicios prestados por los Sistemas de Información</w:t>
      </w:r>
    </w:p>
    <w:p w:rsidR="00383888" w:rsidRPr="000615AB" w:rsidRDefault="00383888" w:rsidP="00383888">
      <w:pPr>
        <w:rPr>
          <w:i/>
          <w:sz w:val="20"/>
        </w:rPr>
      </w:pPr>
    </w:p>
    <w:p w:rsidR="00383888" w:rsidRPr="00383888" w:rsidRDefault="00383888" w:rsidP="00FE7D9C">
      <w:pPr>
        <w:pStyle w:val="BodyText2"/>
        <w:keepNext w:val="0"/>
        <w:numPr>
          <w:ilvl w:val="0"/>
          <w:numId w:val="53"/>
        </w:numPr>
        <w:rPr>
          <w:rFonts w:cs="Arial"/>
          <w:sz w:val="18"/>
          <w:szCs w:val="18"/>
          <w:lang w:val="es-ES"/>
        </w:rPr>
      </w:pPr>
      <w:r w:rsidRPr="00383888">
        <w:rPr>
          <w:rFonts w:cs="Arial"/>
          <w:lang w:val="es-ES"/>
        </w:rPr>
        <w:t>A partir del comienzo del nuevo ejercicio presupuestario correspondiente a 2014/2015, los niveles de servicio de los Sistemas de Información del PCT en la Oficina Internacional se medirán con un nuevo indicador de rendimiento llamado "niveles de los servicios prestados por los Sistemas de Información".  Se establecerán procedimientos e instrumentos que permitirán registrar los parámetros necesarios para medir los elementos que conforman este indicador compuesto.</w:t>
      </w:r>
    </w:p>
    <w:p w:rsidR="00383888" w:rsidRPr="000615AB" w:rsidRDefault="00383888" w:rsidP="00383888">
      <w:pPr>
        <w:rPr>
          <w:sz w:val="18"/>
          <w:szCs w:val="18"/>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 xml:space="preserve">Los niveles de los servicios prestados por los Sistemas de Información se calcularán sobre la base del promedio ponderado de cinco indicadores de funcionamiento, es decir:  1) el tiempo promedio necesario para resolver incidentes;  2) el tiempo promedio necesario para que los documentos recibidos figuren en las listas de trabajo de </w:t>
      </w:r>
      <w:proofErr w:type="spellStart"/>
      <w:r w:rsidRPr="00383888">
        <w:rPr>
          <w:rFonts w:cs="Arial"/>
          <w:lang w:val="es-ES"/>
        </w:rPr>
        <w:t>Edossier</w:t>
      </w:r>
      <w:proofErr w:type="spellEnd"/>
      <w:r w:rsidRPr="000615AB">
        <w:rPr>
          <w:rStyle w:val="FootnoteReference"/>
          <w:rFonts w:cs="Arial"/>
        </w:rPr>
        <w:footnoteReference w:id="21"/>
      </w:r>
      <w:r w:rsidRPr="00383888">
        <w:rPr>
          <w:rFonts w:cs="Arial"/>
          <w:lang w:val="es-ES"/>
        </w:rPr>
        <w:t xml:space="preserve">;  3) el índice de tareas de tratamiento por lotes finalizadas con éxito;  4) la disponibilidad del sistema </w:t>
      </w:r>
      <w:proofErr w:type="spellStart"/>
      <w:r w:rsidRPr="00383888">
        <w:rPr>
          <w:rFonts w:cs="Arial"/>
          <w:lang w:val="es-ES"/>
        </w:rPr>
        <w:t>Edossier</w:t>
      </w:r>
      <w:proofErr w:type="spellEnd"/>
      <w:r w:rsidRPr="00383888">
        <w:rPr>
          <w:rFonts w:cs="Arial"/>
          <w:lang w:val="es-ES"/>
        </w:rPr>
        <w:t xml:space="preserve">;  y, 5) la disponibilidad del sistema electrónico del PCT.  Los porcentajes servirán de escala común de medición para todos los indicadores que forman el conjunto, con el fin de obtener un único resultado compuesto mediante la combinación de todos los resultados individuales.  Cuanto el resultado más se acerque al 100%, mejor será el nivel de los servicios correspondiente a ese indicador.  </w:t>
      </w:r>
    </w:p>
    <w:p w:rsidR="00383888" w:rsidRPr="000615AB" w:rsidRDefault="00383888" w:rsidP="00383888">
      <w:pPr>
        <w:rPr>
          <w:b/>
          <w:sz w:val="20"/>
          <w:szCs w:val="16"/>
        </w:rPr>
      </w:pPr>
    </w:p>
    <w:p w:rsidR="00383888" w:rsidRPr="000615AB" w:rsidRDefault="00383888" w:rsidP="00383888">
      <w:pPr>
        <w:rPr>
          <w:b/>
          <w:sz w:val="20"/>
          <w:szCs w:val="16"/>
        </w:rPr>
      </w:pPr>
      <w:r w:rsidRPr="000615AB">
        <w:rPr>
          <w:b/>
          <w:sz w:val="20"/>
          <w:szCs w:val="16"/>
        </w:rPr>
        <w:t>La Oficina Internacional en calidad de Oficina receptora</w:t>
      </w:r>
    </w:p>
    <w:p w:rsidR="00383888" w:rsidRPr="000615AB" w:rsidRDefault="00383888" w:rsidP="00383888">
      <w:pPr>
        <w:rPr>
          <w:b/>
          <w:sz w:val="20"/>
          <w:szCs w:val="16"/>
        </w:rPr>
      </w:pPr>
    </w:p>
    <w:p w:rsidR="00383888" w:rsidRPr="000615AB" w:rsidRDefault="00383888" w:rsidP="00383888">
      <w:pPr>
        <w:rPr>
          <w:i/>
          <w:sz w:val="20"/>
        </w:rPr>
      </w:pPr>
      <w:r w:rsidRPr="000615AB">
        <w:rPr>
          <w:i/>
          <w:sz w:val="20"/>
        </w:rPr>
        <w:t xml:space="preserve">Presentación de solicitudes </w:t>
      </w:r>
    </w:p>
    <w:p w:rsidR="00383888" w:rsidRPr="000615AB" w:rsidRDefault="00383888" w:rsidP="00383888">
      <w:pPr>
        <w:rPr>
          <w:b/>
          <w:szCs w:val="18"/>
        </w:rPr>
      </w:pPr>
    </w:p>
    <w:p w:rsidR="00383888" w:rsidRPr="00383888" w:rsidRDefault="00383888" w:rsidP="00FE7D9C">
      <w:pPr>
        <w:pStyle w:val="BodyText2"/>
        <w:keepNext w:val="0"/>
        <w:numPr>
          <w:ilvl w:val="0"/>
          <w:numId w:val="53"/>
        </w:numPr>
        <w:rPr>
          <w:lang w:val="es-ES"/>
        </w:rPr>
      </w:pPr>
      <w:r w:rsidRPr="00383888">
        <w:rPr>
          <w:lang w:val="es-ES"/>
        </w:rPr>
        <w:t>En este cuadro se muestra la actividad de presentación de solicitudes PCT con respecto a las diez principales oficinas receptoras desde los últimos cinco años hasta 2012.  En principio, las solicitudes PCT se presentan en la oficina de patentes del país de residencia del solicitante o en una oficina de patentes regional con las competencias jurisdiccionales correspondientes al lugar de residencia del solicitante.  La Oficina Internacional tiene competencia para cumplir la función de Oficina receptora de los solicitantes de todos los Estados Contratantes del PCT.  En el cuadro se muestra también la evolución en la presentación de solicitudes en la Oficina receptora/Oficina Internacional, el cómputo de su actividad en comparación con otras oficinas receptoras, así como su cuota de mercado.</w:t>
      </w:r>
    </w:p>
    <w:p w:rsidR="00383888" w:rsidRPr="000615AB" w:rsidRDefault="00383888" w:rsidP="00383888">
      <w:pPr>
        <w:jc w:val="both"/>
        <w:rPr>
          <w:sz w:val="18"/>
          <w:szCs w:val="22"/>
        </w:rPr>
      </w:pPr>
    </w:p>
    <w:p w:rsidR="00383888" w:rsidRPr="000615AB" w:rsidRDefault="00C40A11" w:rsidP="00383888">
      <w:r>
        <w:rPr>
          <w:noProof/>
          <w:lang w:val="en-US" w:eastAsia="en-US"/>
        </w:rPr>
        <w:lastRenderedPageBreak/>
        <w:drawing>
          <wp:inline distT="0" distB="0" distL="0" distR="0" wp14:anchorId="2E29A804" wp14:editId="0F1F615F">
            <wp:extent cx="5759450" cy="2504440"/>
            <wp:effectExtent l="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5759450" cy="2504440"/>
                    </a:xfrm>
                    <a:prstGeom prst="rect">
                      <a:avLst/>
                    </a:prstGeom>
                    <a:noFill/>
                    <a:ln>
                      <a:noFill/>
                    </a:ln>
                  </pic:spPr>
                </pic:pic>
              </a:graphicData>
            </a:graphic>
          </wp:inline>
        </w:drawing>
      </w:r>
    </w:p>
    <w:p w:rsidR="00383888" w:rsidRPr="000615AB" w:rsidRDefault="00383888" w:rsidP="00383888">
      <w:pPr>
        <w:rPr>
          <w:sz w:val="18"/>
          <w:szCs w:val="22"/>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 xml:space="preserve">A partir del comienzo del nuevo ejercicio presupuestario correspondiente a 2014/2015, se aplicarán dos nuevos indicadores de rendimiento a la Oficina receptora/Oficina Internacional:  </w:t>
      </w:r>
    </w:p>
    <w:p w:rsidR="00383888" w:rsidRPr="00383888" w:rsidRDefault="00383888" w:rsidP="00383888">
      <w:pPr>
        <w:pStyle w:val="PlainText"/>
        <w:ind w:left="567"/>
        <w:rPr>
          <w:rFonts w:ascii="Arial" w:hAnsi="Arial" w:cs="Arial"/>
          <w:lang w:val="es-ES"/>
        </w:rPr>
      </w:pPr>
    </w:p>
    <w:p w:rsidR="00383888" w:rsidRPr="00383888" w:rsidRDefault="00383888" w:rsidP="00383888">
      <w:pPr>
        <w:pStyle w:val="PlainText"/>
        <w:rPr>
          <w:rFonts w:ascii="Arial" w:hAnsi="Arial" w:cs="Arial"/>
          <w:lang w:val="es-ES"/>
        </w:rPr>
      </w:pPr>
      <w:r w:rsidRPr="00383888">
        <w:rPr>
          <w:rFonts w:ascii="Arial" w:hAnsi="Arial" w:cs="Arial"/>
          <w:i/>
          <w:lang w:val="es-ES"/>
        </w:rPr>
        <w:t xml:space="preserve">Tiempo necesario para la notificación de la fecha de presentación de la solicitud internacional </w:t>
      </w:r>
    </w:p>
    <w:p w:rsidR="00383888" w:rsidRPr="00383888" w:rsidRDefault="00383888" w:rsidP="00383888">
      <w:pPr>
        <w:pStyle w:val="PlainText"/>
        <w:rPr>
          <w:rFonts w:ascii="Arial" w:hAnsi="Arial" w:cs="Arial"/>
          <w:lang w:val="es-ES"/>
        </w:rPr>
      </w:pPr>
    </w:p>
    <w:p w:rsidR="00383888" w:rsidRPr="00383888" w:rsidRDefault="00383888" w:rsidP="00FE7D9C">
      <w:pPr>
        <w:pStyle w:val="BodyText2"/>
        <w:keepNext w:val="0"/>
        <w:numPr>
          <w:ilvl w:val="0"/>
          <w:numId w:val="53"/>
        </w:numPr>
        <w:rPr>
          <w:rFonts w:cs="Arial"/>
          <w:lang w:val="es-ES"/>
        </w:rPr>
      </w:pPr>
      <w:r w:rsidRPr="00383888">
        <w:rPr>
          <w:rFonts w:cs="Arial"/>
          <w:lang w:val="es-ES"/>
        </w:rPr>
        <w:t>Este indicador refleja el tiempo que tarda la Oficina receptora/Oficina Internacional en enviar el formulario 105.  Este formulario se envía una vez otorgada la fecha de presentación internacional.  Los solicitantes agradecen que se les envíe lo antes posible, puesto que la solicitud internacional surtirá el mismo efecto que la solicitud nacional regular presentada en cada uno de los Estados designados a partir de la fecha de presentación internacional, que será considerada como la fecha de presentación efectiva en cada Estado designado.</w:t>
      </w:r>
    </w:p>
    <w:p w:rsidR="00383888" w:rsidRPr="00383888" w:rsidRDefault="00383888" w:rsidP="00383888">
      <w:pPr>
        <w:pStyle w:val="PlainText"/>
        <w:ind w:left="567"/>
        <w:rPr>
          <w:rFonts w:ascii="Arial" w:hAnsi="Arial" w:cs="Arial"/>
          <w:lang w:val="es-ES"/>
        </w:rPr>
      </w:pPr>
    </w:p>
    <w:p w:rsidR="00383888" w:rsidRPr="00383888" w:rsidRDefault="00383888" w:rsidP="00383888">
      <w:pPr>
        <w:pStyle w:val="PlainText"/>
        <w:keepNext/>
        <w:keepLines/>
        <w:rPr>
          <w:rFonts w:ascii="Arial" w:hAnsi="Arial" w:cs="Arial"/>
          <w:i/>
          <w:lang w:val="es-ES"/>
        </w:rPr>
      </w:pPr>
      <w:r w:rsidRPr="00383888">
        <w:rPr>
          <w:rFonts w:ascii="Arial" w:hAnsi="Arial" w:cs="Arial"/>
          <w:i/>
          <w:lang w:val="es-ES"/>
        </w:rPr>
        <w:t xml:space="preserve">Tiempo necesario para la transmisión de la copia para la búsqueda </w:t>
      </w:r>
    </w:p>
    <w:p w:rsidR="00383888" w:rsidRPr="00383888" w:rsidRDefault="00383888" w:rsidP="00383888">
      <w:pPr>
        <w:pStyle w:val="PlainText"/>
        <w:keepNext/>
        <w:keepLines/>
        <w:ind w:left="567"/>
        <w:rPr>
          <w:rFonts w:ascii="Arial" w:hAnsi="Arial" w:cs="Arial"/>
          <w:lang w:val="es-ES"/>
        </w:rPr>
      </w:pPr>
    </w:p>
    <w:p w:rsidR="00383888" w:rsidRPr="00383888" w:rsidRDefault="00383888" w:rsidP="00FE7D9C">
      <w:pPr>
        <w:pStyle w:val="BodyText2"/>
        <w:keepLines/>
        <w:numPr>
          <w:ilvl w:val="0"/>
          <w:numId w:val="53"/>
        </w:numPr>
        <w:rPr>
          <w:rFonts w:cs="Arial"/>
          <w:lang w:val="es-ES"/>
        </w:rPr>
      </w:pPr>
      <w:r w:rsidRPr="00383888">
        <w:rPr>
          <w:rFonts w:cs="Arial"/>
          <w:lang w:val="es-ES"/>
        </w:rPr>
        <w:t>Este indicador refleja el tiempo que tarda la Oficina receptora/Oficina Internacional en transmitir las copias para la búsqueda a las Administraciones encargadas de la búsqueda internacional.  La copia para la búsqueda debe ser transmitida lo antes posible tras el pago de la tasa, para que la Administración encargada de la búsqueda internacional pueda elaborar el informe sobre la búsqueda internacional dentro de los plazos dispuestos en el Reglamento del PCT.  Los retrasos a la hora de transmitir las copias para la búsqueda inciden negativamente en la capacidad de las Administraciones encargadas de la búsqueda internacional de cumplir con dichos plazos.</w:t>
      </w:r>
    </w:p>
    <w:p w:rsidR="00383888" w:rsidRPr="000615AB" w:rsidRDefault="00383888" w:rsidP="00383888">
      <w:pPr>
        <w:rPr>
          <w:sz w:val="20"/>
        </w:rPr>
      </w:pPr>
    </w:p>
    <w:p w:rsidR="00383888" w:rsidRPr="000615AB" w:rsidRDefault="00383888" w:rsidP="00383888">
      <w:pPr>
        <w:rPr>
          <w:sz w:val="20"/>
        </w:rPr>
        <w:sectPr w:rsidR="00383888" w:rsidRPr="000615AB" w:rsidSect="00B47699">
          <w:pgSz w:w="11907" w:h="16840" w:code="9"/>
          <w:pgMar w:top="567" w:right="1418" w:bottom="1418" w:left="1418"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17" w:name="_Toc366078760"/>
      <w:r w:rsidRPr="00C3705E">
        <w:rPr>
          <w:b/>
          <w:caps w:val="0"/>
          <w:szCs w:val="24"/>
          <w:lang w:val="es-ES_tradnl"/>
        </w:rPr>
        <w:lastRenderedPageBreak/>
        <w:t>ANEXO VI.</w:t>
      </w:r>
      <w:r w:rsidRPr="00C3705E">
        <w:rPr>
          <w:b/>
          <w:caps w:val="0"/>
          <w:szCs w:val="24"/>
          <w:lang w:val="es-ES_tradnl"/>
        </w:rPr>
        <w:tab/>
        <w:t>INDICADORES DE LAS OPERACIONES DE LOS SISTEMAS DE MADRID Y DE LISBOA</w:t>
      </w:r>
      <w:bookmarkEnd w:id="117"/>
    </w:p>
    <w:p w:rsidR="00383888" w:rsidRPr="000615AB" w:rsidRDefault="00383888" w:rsidP="00383888">
      <w:pPr>
        <w:rPr>
          <w:sz w:val="20"/>
        </w:rPr>
      </w:pPr>
    </w:p>
    <w:p w:rsidR="00383888" w:rsidRPr="000615AB" w:rsidRDefault="00383888" w:rsidP="00383888">
      <w:pPr>
        <w:rPr>
          <w:sz w:val="20"/>
        </w:rPr>
      </w:pPr>
    </w:p>
    <w:p w:rsidR="00383888" w:rsidRPr="000615AB" w:rsidRDefault="00383888" w:rsidP="00383888">
      <w:pPr>
        <w:tabs>
          <w:tab w:val="left" w:pos="0"/>
        </w:tabs>
        <w:jc w:val="center"/>
        <w:rPr>
          <w:bCs/>
          <w:sz w:val="20"/>
        </w:rPr>
      </w:pPr>
      <w:r w:rsidRPr="000615AB">
        <w:rPr>
          <w:bCs/>
          <w:sz w:val="20"/>
        </w:rPr>
        <w:t xml:space="preserve">INDICADORES DE RENDIMIENTO CON RESPECTO AL RESULTADO PREVISTO </w:t>
      </w:r>
    </w:p>
    <w:p w:rsidR="00383888" w:rsidRPr="000615AB" w:rsidRDefault="00383888" w:rsidP="00383888">
      <w:pPr>
        <w:tabs>
          <w:tab w:val="left" w:pos="0"/>
        </w:tabs>
        <w:jc w:val="center"/>
        <w:rPr>
          <w:bCs/>
          <w:sz w:val="20"/>
        </w:rPr>
      </w:pPr>
      <w:r w:rsidRPr="000615AB">
        <w:rPr>
          <w:sz w:val="20"/>
        </w:rPr>
        <w:t>“MEJORA DE LA PRODUCTIVIDAD Y DE LA CALIDAD DE LOS SERVICIOS EN LAS OPERACIONES DE</w:t>
      </w:r>
      <w:r w:rsidRPr="000615AB">
        <w:rPr>
          <w:bCs/>
          <w:sz w:val="20"/>
        </w:rPr>
        <w:t xml:space="preserve"> LOS SISTEMAS DE MADRID Y DE LISBOA”</w:t>
      </w:r>
    </w:p>
    <w:p w:rsidR="00383888" w:rsidRPr="000615AB" w:rsidRDefault="00383888" w:rsidP="00383888">
      <w:pPr>
        <w:rPr>
          <w:bCs/>
        </w:rPr>
      </w:pPr>
    </w:p>
    <w:p w:rsidR="00383888" w:rsidRPr="000615AB" w:rsidRDefault="00383888" w:rsidP="00383888">
      <w:pPr>
        <w:rPr>
          <w:bCs/>
        </w:rPr>
      </w:pPr>
    </w:p>
    <w:p w:rsidR="00383888" w:rsidRPr="000615AB" w:rsidRDefault="00383888" w:rsidP="00383888">
      <w:pPr>
        <w:jc w:val="both"/>
        <w:rPr>
          <w:b/>
          <w:sz w:val="20"/>
        </w:rPr>
      </w:pPr>
      <w:r w:rsidRPr="000615AB">
        <w:rPr>
          <w:b/>
          <w:sz w:val="20"/>
        </w:rPr>
        <w:t>Sistema de Madrid: actividades de la Oficina Internacional relativas al registro</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La labor de la Oficina Internacional en el marco del sistema de Madrid se articula en torno a tres esferas:  la adquisición y el mantenimiento de derechos;  las decisiones de las Partes Contratantes designadas;  y las modificaciones aportadas al Registro internacional, así como la facilitación de información, como ser resúmenes estadísticos o de extractos del Registro.</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Con respecto a la adquisición y al mantenimiento de derechos, la Oficina Internacional se encarga del examen de todas las solicitudes internacionales, lo cual implica cotejar que respetan las disposiciones del marco jurídico del sistema de Madrid y encargarse de la  clasificación y la traducción adecuadas de las indicaciones de productos y servicios que cumplan todos los requisitos.  El sistema de Madrid también permite la designación posterior de Partes Contratantes que no fueron designadas  en la solicitud internacional en un principio.  Para mantener los derechos adquiridos en virtud de un registro internacional, es posible renovar los registros cada diez años.</w:t>
      </w:r>
    </w:p>
    <w:p w:rsidR="00383888" w:rsidRPr="000615AB" w:rsidRDefault="00383888" w:rsidP="00383888">
      <w:pPr>
        <w:jc w:val="both"/>
        <w:rPr>
          <w:sz w:val="20"/>
        </w:rPr>
      </w:pPr>
      <w:r w:rsidRPr="000615AB">
        <w:rPr>
          <w:sz w:val="20"/>
        </w:rPr>
        <w:t xml:space="preserve"> </w:t>
      </w:r>
    </w:p>
    <w:p w:rsidR="00383888" w:rsidRPr="000615AB" w:rsidRDefault="00383888" w:rsidP="00FE7D9C">
      <w:pPr>
        <w:numPr>
          <w:ilvl w:val="0"/>
          <w:numId w:val="56"/>
        </w:numPr>
        <w:jc w:val="both"/>
        <w:rPr>
          <w:sz w:val="20"/>
        </w:rPr>
      </w:pPr>
      <w:r w:rsidRPr="000615AB">
        <w:rPr>
          <w:sz w:val="20"/>
        </w:rPr>
        <w:t>Con respecto a las decisiones relativas al alcance de la protección en cada una de las Partes Contratantes designadas, la Oficina Internacional estudia, registra, publica y notifica las decisiones tomadas por las Oficinas en cuanto a la concesión o a la denegación de protección.</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 xml:space="preserve">Por último, una de las características del sistema de Madrid es la gestión centralizada de los registros internacionales, esto significa que todo cambio efectuado en el Registro Internacional se repercutirá en el conjunto de las Partes Contratantes designadas.  Por lo tanto, la Oficina Internacional estudia, registra, publica y notifica las solicitudes sobre, entre otros, los cambios de titularidad, el cambio de domicilio del titular, las cancelaciones, renuncias, limitaciones y licencias. </w:t>
      </w:r>
    </w:p>
    <w:p w:rsidR="00383888" w:rsidRPr="000615AB" w:rsidRDefault="00383888" w:rsidP="00383888">
      <w:pPr>
        <w:rPr>
          <w:b/>
        </w:rPr>
      </w:pPr>
    </w:p>
    <w:p w:rsidR="00383888" w:rsidRPr="000615AB" w:rsidRDefault="00383888" w:rsidP="00383888">
      <w:pPr>
        <w:jc w:val="both"/>
        <w:rPr>
          <w:b/>
          <w:sz w:val="20"/>
        </w:rPr>
      </w:pPr>
      <w:r w:rsidRPr="000615AB">
        <w:rPr>
          <w:b/>
          <w:sz w:val="20"/>
        </w:rPr>
        <w:t>Antecedentes</w:t>
      </w:r>
    </w:p>
    <w:p w:rsidR="00383888" w:rsidRPr="000615AB" w:rsidRDefault="00383888" w:rsidP="00383888">
      <w:pPr>
        <w:jc w:val="both"/>
        <w:rPr>
          <w:b/>
          <w:sz w:val="20"/>
        </w:rPr>
      </w:pPr>
    </w:p>
    <w:p w:rsidR="00383888" w:rsidRPr="000615AB" w:rsidRDefault="00383888" w:rsidP="00FE7D9C">
      <w:pPr>
        <w:numPr>
          <w:ilvl w:val="0"/>
          <w:numId w:val="56"/>
        </w:numPr>
        <w:jc w:val="both"/>
        <w:rPr>
          <w:sz w:val="20"/>
        </w:rPr>
      </w:pPr>
      <w:r w:rsidRPr="000615AB">
        <w:rPr>
          <w:sz w:val="20"/>
        </w:rPr>
        <w:t xml:space="preserve">Como referencia de los indicadores de rendimiento en lo que respecta al resultado previsto “Mejora de la productividad y de la calidad de los servicios en las operaciones de los Sistemas de Madrid y de La Haya”, puede ser útil considerar la evolución de los siguientes factores:  </w:t>
      </w:r>
    </w:p>
    <w:p w:rsidR="00383888" w:rsidRPr="000615AB" w:rsidRDefault="00383888" w:rsidP="00383888">
      <w:pPr>
        <w:ind w:left="550"/>
        <w:jc w:val="both"/>
        <w:rPr>
          <w:sz w:val="20"/>
        </w:rPr>
      </w:pPr>
    </w:p>
    <w:p w:rsidR="00383888" w:rsidRPr="000615AB" w:rsidRDefault="00383888" w:rsidP="00FE7D9C">
      <w:pPr>
        <w:numPr>
          <w:ilvl w:val="0"/>
          <w:numId w:val="54"/>
        </w:numPr>
        <w:tabs>
          <w:tab w:val="clear" w:pos="720"/>
          <w:tab w:val="num" w:pos="1134"/>
        </w:tabs>
        <w:ind w:left="550" w:firstLine="0"/>
        <w:jc w:val="both"/>
        <w:rPr>
          <w:sz w:val="20"/>
        </w:rPr>
      </w:pPr>
      <w:r w:rsidRPr="000615AB">
        <w:rPr>
          <w:sz w:val="20"/>
        </w:rPr>
        <w:t>El volumen de trabajo del Sistema de Madrid;</w:t>
      </w:r>
    </w:p>
    <w:p w:rsidR="00383888" w:rsidRPr="000615AB" w:rsidRDefault="00383888" w:rsidP="00FE7D9C">
      <w:pPr>
        <w:numPr>
          <w:ilvl w:val="0"/>
          <w:numId w:val="54"/>
        </w:numPr>
        <w:tabs>
          <w:tab w:val="clear" w:pos="720"/>
          <w:tab w:val="num" w:pos="1134"/>
        </w:tabs>
        <w:ind w:left="550" w:firstLine="0"/>
        <w:jc w:val="both"/>
        <w:rPr>
          <w:sz w:val="20"/>
        </w:rPr>
      </w:pPr>
      <w:r w:rsidRPr="000615AB">
        <w:rPr>
          <w:sz w:val="20"/>
        </w:rPr>
        <w:t>Personal asignado para gestionar el volumen de trabajo.</w:t>
      </w:r>
    </w:p>
    <w:p w:rsidR="00383888" w:rsidRPr="000615AB" w:rsidRDefault="00383888" w:rsidP="00383888">
      <w:pPr>
        <w:ind w:left="360"/>
        <w:jc w:val="both"/>
        <w:rPr>
          <w:sz w:val="20"/>
        </w:rPr>
      </w:pPr>
    </w:p>
    <w:p w:rsidR="00383888" w:rsidRPr="000615AB" w:rsidRDefault="00383888" w:rsidP="00383888">
      <w:pPr>
        <w:jc w:val="both"/>
        <w:rPr>
          <w:b/>
          <w:sz w:val="20"/>
        </w:rPr>
      </w:pPr>
      <w:r w:rsidRPr="000615AB">
        <w:rPr>
          <w:b/>
          <w:sz w:val="20"/>
        </w:rPr>
        <w:t>Volumen de trabajo</w:t>
      </w:r>
    </w:p>
    <w:p w:rsidR="00383888" w:rsidRPr="000615AB" w:rsidRDefault="00383888" w:rsidP="00383888">
      <w:pPr>
        <w:jc w:val="both"/>
        <w:rPr>
          <w:b/>
          <w:sz w:val="20"/>
        </w:rPr>
      </w:pPr>
    </w:p>
    <w:p w:rsidR="00383888" w:rsidRPr="000615AB" w:rsidRDefault="00383888" w:rsidP="00FE7D9C">
      <w:pPr>
        <w:numPr>
          <w:ilvl w:val="0"/>
          <w:numId w:val="56"/>
        </w:numPr>
        <w:jc w:val="both"/>
        <w:rPr>
          <w:sz w:val="20"/>
        </w:rPr>
      </w:pPr>
      <w:r w:rsidRPr="000615AB">
        <w:rPr>
          <w:sz w:val="20"/>
        </w:rPr>
        <w:t xml:space="preserve">La evolución del volumen de trabajo se analiza a partir del número de peticiones y solicitudes que la Oficina Internacional recibe en lo relativo a tres esferas, a saber, la adquisición y el mantenimiento de derechos que abarca las nuevas solicitudes, las solicitudes de renovación y designación posterior;  las decisiones de las Partes Contratantes designadas (por ejemplo, la situación provisional); y las peticiones de </w:t>
      </w:r>
      <w:r>
        <w:rPr>
          <w:sz w:val="20"/>
        </w:rPr>
        <w:t xml:space="preserve">inscripción de </w:t>
      </w:r>
      <w:r w:rsidRPr="000615AB">
        <w:rPr>
          <w:sz w:val="20"/>
        </w:rPr>
        <w:t>cambio</w:t>
      </w:r>
      <w:r>
        <w:rPr>
          <w:sz w:val="20"/>
        </w:rPr>
        <w:t xml:space="preserve">s en </w:t>
      </w:r>
      <w:r w:rsidRPr="000615AB">
        <w:rPr>
          <w:sz w:val="20"/>
        </w:rPr>
        <w:t>el Registro Internacional.</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 xml:space="preserve">La Oficina Internacional recibió 532.532 solicitudes en 2012, </w:t>
      </w:r>
      <w:r>
        <w:rPr>
          <w:sz w:val="20"/>
        </w:rPr>
        <w:t>lo que supone un incremento del </w:t>
      </w:r>
      <w:r w:rsidRPr="000615AB">
        <w:rPr>
          <w:sz w:val="20"/>
        </w:rPr>
        <w:t>3.6% con respecto a 2011.  Entre 2010 y 201</w:t>
      </w:r>
      <w:r>
        <w:rPr>
          <w:sz w:val="20"/>
        </w:rPr>
        <w:t>1, el incremento fue de 26,7%.</w:t>
      </w:r>
      <w:r w:rsidRPr="000615AB">
        <w:rPr>
          <w:sz w:val="20"/>
        </w:rPr>
        <w:t xml:space="preserve">  Este incremento se explica por una modificación del marco jurídico en virtud del cual las Oficinas tienen la obligación de enviar una decisión sobre la situación definitiva de una marca a la que se le concedió protección en u</w:t>
      </w:r>
      <w:r>
        <w:rPr>
          <w:sz w:val="20"/>
        </w:rPr>
        <w:t>na Parte Contratante designada.</w:t>
      </w:r>
    </w:p>
    <w:p w:rsidR="00383888" w:rsidRPr="00CA7C81" w:rsidRDefault="00383888" w:rsidP="00383888">
      <w:pPr>
        <w:rPr>
          <w:sz w:val="20"/>
        </w:rPr>
      </w:pPr>
    </w:p>
    <w:p w:rsidR="00383888" w:rsidRPr="000615AB" w:rsidRDefault="00383888" w:rsidP="00383888">
      <w:pPr>
        <w:keepNext/>
        <w:keepLines/>
        <w:rPr>
          <w:i/>
          <w:sz w:val="20"/>
        </w:rPr>
      </w:pPr>
      <w:r w:rsidRPr="000615AB">
        <w:rPr>
          <w:i/>
          <w:sz w:val="20"/>
        </w:rPr>
        <w:lastRenderedPageBreak/>
        <w:t>Número total de solicitudes y peticiones recibidas por la Oficina Internacional</w:t>
      </w:r>
    </w:p>
    <w:p w:rsidR="00383888" w:rsidRPr="000615AB" w:rsidRDefault="00C40A11" w:rsidP="00383888">
      <w:r>
        <w:rPr>
          <w:noProof/>
          <w:lang w:val="en-US" w:eastAsia="en-US"/>
        </w:rPr>
        <w:drawing>
          <wp:inline distT="0" distB="0" distL="0" distR="0" wp14:anchorId="41E72AAA" wp14:editId="5C5C9B97">
            <wp:extent cx="5752465" cy="1978660"/>
            <wp:effectExtent l="0" t="0" r="0" b="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5752465" cy="1978660"/>
                    </a:xfrm>
                    <a:prstGeom prst="rect">
                      <a:avLst/>
                    </a:prstGeom>
                    <a:noFill/>
                    <a:ln>
                      <a:noFill/>
                    </a:ln>
                  </pic:spPr>
                </pic:pic>
              </a:graphicData>
            </a:graphic>
          </wp:inline>
        </w:drawing>
      </w:r>
    </w:p>
    <w:p w:rsidR="00383888" w:rsidRPr="00BA0A3A" w:rsidRDefault="00383888" w:rsidP="00383888">
      <w:pPr>
        <w:rPr>
          <w:sz w:val="20"/>
        </w:rPr>
      </w:pPr>
    </w:p>
    <w:p w:rsidR="00383888" w:rsidRPr="00BA0A3A" w:rsidRDefault="00383888" w:rsidP="00383888">
      <w:pPr>
        <w:jc w:val="both"/>
        <w:rPr>
          <w:i/>
          <w:sz w:val="20"/>
        </w:rPr>
      </w:pPr>
      <w:r w:rsidRPr="00BA0A3A">
        <w:rPr>
          <w:i/>
          <w:sz w:val="20"/>
        </w:rPr>
        <w:t>Adquisición de derechos</w:t>
      </w:r>
    </w:p>
    <w:p w:rsidR="00383888" w:rsidRPr="00BA0A3A" w:rsidRDefault="00383888" w:rsidP="00383888">
      <w:pPr>
        <w:jc w:val="both"/>
        <w:rPr>
          <w:i/>
          <w:sz w:val="20"/>
        </w:rPr>
      </w:pPr>
    </w:p>
    <w:p w:rsidR="00383888" w:rsidRPr="00BA0A3A" w:rsidRDefault="00383888" w:rsidP="00FE7D9C">
      <w:pPr>
        <w:numPr>
          <w:ilvl w:val="0"/>
          <w:numId w:val="56"/>
        </w:numPr>
        <w:jc w:val="both"/>
        <w:rPr>
          <w:sz w:val="20"/>
        </w:rPr>
      </w:pPr>
      <w:r w:rsidRPr="00BA0A3A">
        <w:rPr>
          <w:sz w:val="20"/>
        </w:rPr>
        <w:t>La adquisición de derechos engloba las solicitudes de creación, extensión y mantenimiento de una marca en el Registro Internacional: es decir, su inscripción en el registro, su designación posterior y su renovación.</w:t>
      </w:r>
    </w:p>
    <w:p w:rsidR="00383888" w:rsidRPr="00BA0A3A" w:rsidRDefault="00383888" w:rsidP="00383888">
      <w:pPr>
        <w:rPr>
          <w:sz w:val="20"/>
        </w:rPr>
      </w:pPr>
    </w:p>
    <w:p w:rsidR="00383888" w:rsidRPr="00BA0A3A" w:rsidRDefault="00C40A11" w:rsidP="00383888">
      <w:pPr>
        <w:rPr>
          <w:sz w:val="20"/>
        </w:rPr>
      </w:pPr>
      <w:r>
        <w:rPr>
          <w:noProof/>
          <w:sz w:val="20"/>
          <w:lang w:val="en-US" w:eastAsia="en-US"/>
        </w:rPr>
        <w:drawing>
          <wp:inline distT="0" distB="0" distL="0" distR="0" wp14:anchorId="67C9D5E8" wp14:editId="45200E41">
            <wp:extent cx="5752465" cy="1821815"/>
            <wp:effectExtent l="0" t="0" r="635" b="698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5752465" cy="1821815"/>
                    </a:xfrm>
                    <a:prstGeom prst="rect">
                      <a:avLst/>
                    </a:prstGeom>
                    <a:noFill/>
                    <a:ln>
                      <a:noFill/>
                    </a:ln>
                  </pic:spPr>
                </pic:pic>
              </a:graphicData>
            </a:graphic>
          </wp:inline>
        </w:drawing>
      </w:r>
    </w:p>
    <w:p w:rsidR="00383888" w:rsidRPr="00BA0A3A" w:rsidRDefault="00383888" w:rsidP="00383888">
      <w:pPr>
        <w:rPr>
          <w:sz w:val="20"/>
        </w:rPr>
      </w:pPr>
    </w:p>
    <w:p w:rsidR="00383888" w:rsidRPr="00BA0A3A" w:rsidRDefault="00383888" w:rsidP="00383888">
      <w:pPr>
        <w:jc w:val="both"/>
        <w:rPr>
          <w:i/>
          <w:sz w:val="20"/>
        </w:rPr>
      </w:pPr>
      <w:r w:rsidRPr="00BA0A3A">
        <w:rPr>
          <w:i/>
          <w:sz w:val="20"/>
        </w:rPr>
        <w:t>Peticiones de cambio</w:t>
      </w:r>
    </w:p>
    <w:p w:rsidR="00383888" w:rsidRPr="00BA0A3A" w:rsidRDefault="00383888" w:rsidP="00383888">
      <w:pPr>
        <w:jc w:val="both"/>
        <w:rPr>
          <w:sz w:val="20"/>
        </w:rPr>
      </w:pPr>
    </w:p>
    <w:p w:rsidR="00383888" w:rsidRPr="00BA0A3A" w:rsidRDefault="00383888" w:rsidP="00FE7D9C">
      <w:pPr>
        <w:numPr>
          <w:ilvl w:val="0"/>
          <w:numId w:val="56"/>
        </w:numPr>
        <w:jc w:val="both"/>
        <w:rPr>
          <w:sz w:val="20"/>
        </w:rPr>
      </w:pPr>
      <w:r w:rsidRPr="00BA0A3A">
        <w:rPr>
          <w:sz w:val="20"/>
        </w:rPr>
        <w:t>A continuación se ilustra la evolución del número de las peticiones de inscripción de cambios en el Registro</w:t>
      </w:r>
      <w:proofErr w:type="gramStart"/>
      <w:r w:rsidRPr="00BA0A3A">
        <w:rPr>
          <w:sz w:val="20"/>
        </w:rPr>
        <w:t>:  solo</w:t>
      </w:r>
      <w:proofErr w:type="gramEnd"/>
      <w:r w:rsidRPr="00BA0A3A">
        <w:rPr>
          <w:sz w:val="20"/>
        </w:rPr>
        <w:t xml:space="preserve"> una pequeña parte de los cambios están sujetos al pago de tasas. </w:t>
      </w:r>
    </w:p>
    <w:p w:rsidR="00383888" w:rsidRPr="00BA0A3A" w:rsidRDefault="00383888" w:rsidP="00383888">
      <w:pPr>
        <w:rPr>
          <w:sz w:val="20"/>
        </w:rPr>
      </w:pPr>
    </w:p>
    <w:p w:rsidR="00383888" w:rsidRPr="000615AB" w:rsidRDefault="00C40A11" w:rsidP="00383888">
      <w:pPr>
        <w:keepNext/>
        <w:keepLines/>
        <w:jc w:val="both"/>
      </w:pPr>
      <w:r>
        <w:rPr>
          <w:noProof/>
          <w:lang w:val="en-US" w:eastAsia="en-US"/>
        </w:rPr>
        <w:drawing>
          <wp:inline distT="0" distB="0" distL="0" distR="0" wp14:anchorId="79CFBFCE" wp14:editId="31FE4D21">
            <wp:extent cx="5752465" cy="1760855"/>
            <wp:effectExtent l="0" t="0" r="635" b="0"/>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5752465" cy="1760855"/>
                    </a:xfrm>
                    <a:prstGeom prst="rect">
                      <a:avLst/>
                    </a:prstGeom>
                    <a:noFill/>
                    <a:ln>
                      <a:noFill/>
                    </a:ln>
                  </pic:spPr>
                </pic:pic>
              </a:graphicData>
            </a:graphic>
          </wp:inline>
        </w:drawing>
      </w:r>
    </w:p>
    <w:p w:rsidR="00383888" w:rsidRPr="000615AB" w:rsidRDefault="00383888" w:rsidP="00383888">
      <w:pPr>
        <w:keepNext/>
        <w:keepLines/>
        <w:jc w:val="both"/>
        <w:rPr>
          <w:i/>
          <w:sz w:val="20"/>
        </w:rPr>
      </w:pPr>
      <w:r w:rsidRPr="000615AB">
        <w:rPr>
          <w:i/>
          <w:sz w:val="20"/>
        </w:rPr>
        <w:t>Número de designaciones</w:t>
      </w:r>
    </w:p>
    <w:p w:rsidR="00383888" w:rsidRPr="000615AB" w:rsidRDefault="00383888" w:rsidP="00383888">
      <w:pPr>
        <w:keepNext/>
        <w:keepLines/>
        <w:jc w:val="both"/>
        <w:rPr>
          <w:sz w:val="20"/>
        </w:rPr>
      </w:pPr>
    </w:p>
    <w:p w:rsidR="00383888" w:rsidRPr="000615AB" w:rsidRDefault="00383888" w:rsidP="00FE7D9C">
      <w:pPr>
        <w:keepNext/>
        <w:keepLines/>
        <w:numPr>
          <w:ilvl w:val="0"/>
          <w:numId w:val="56"/>
        </w:numPr>
        <w:jc w:val="both"/>
        <w:rPr>
          <w:sz w:val="20"/>
        </w:rPr>
      </w:pPr>
      <w:r w:rsidRPr="000615AB">
        <w:rPr>
          <w:sz w:val="20"/>
        </w:rPr>
        <w:t xml:space="preserve">El número medio de designaciones asociadas a los registros y de designaciones posteriores es un indicador del número de decisiones que se recibirán en los posteriores 12 a 18 meses.  Por ende, tiene una incidencia en el futuro volumen de trabajo relativo a las decisiones, pero no así en los ingresos. </w:t>
      </w:r>
    </w:p>
    <w:p w:rsidR="00383888" w:rsidRPr="000615AB" w:rsidRDefault="00383888" w:rsidP="00383888"/>
    <w:p w:rsidR="00383888" w:rsidRPr="000615AB" w:rsidRDefault="00C40A11" w:rsidP="00383888">
      <w:pPr>
        <w:jc w:val="both"/>
      </w:pPr>
      <w:r>
        <w:rPr>
          <w:noProof/>
          <w:lang w:val="en-US" w:eastAsia="en-US"/>
        </w:rPr>
        <w:lastRenderedPageBreak/>
        <w:drawing>
          <wp:inline distT="0" distB="0" distL="0" distR="0" wp14:anchorId="03E1B83E" wp14:editId="0565E06B">
            <wp:extent cx="5759450" cy="2435860"/>
            <wp:effectExtent l="0" t="0" r="0" b="254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5759450" cy="2435860"/>
                    </a:xfrm>
                    <a:prstGeom prst="rect">
                      <a:avLst/>
                    </a:prstGeom>
                    <a:noFill/>
                    <a:ln>
                      <a:noFill/>
                    </a:ln>
                  </pic:spPr>
                </pic:pic>
              </a:graphicData>
            </a:graphic>
          </wp:inline>
        </w:drawing>
      </w:r>
    </w:p>
    <w:p w:rsidR="00383888" w:rsidRPr="000615AB" w:rsidRDefault="00383888" w:rsidP="00383888">
      <w:pPr>
        <w:jc w:val="both"/>
        <w:rPr>
          <w:i/>
          <w:sz w:val="20"/>
        </w:rPr>
      </w:pPr>
      <w:r w:rsidRPr="000615AB">
        <w:rPr>
          <w:i/>
          <w:sz w:val="20"/>
        </w:rPr>
        <w:t>Decisiones</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Pese a que disminuye con regularidad el promedio de designaciones, el número de decisiones tratadas por la Oficina Internacional ha aumentado.  Esto es imputable al cambio de marco jurídico antes mencionado, que trajo aparejados la presentación del documento sobre la situación provisional y el envío obligatorio de las declaraciones de concesión de protección.</w:t>
      </w:r>
    </w:p>
    <w:p w:rsidR="00383888" w:rsidRPr="000615AB" w:rsidRDefault="00383888" w:rsidP="00383888">
      <w:pPr>
        <w:jc w:val="both"/>
      </w:pPr>
    </w:p>
    <w:p w:rsidR="00383888" w:rsidRPr="000615AB" w:rsidRDefault="00C40A11" w:rsidP="00383888">
      <w:pPr>
        <w:jc w:val="both"/>
      </w:pPr>
      <w:r>
        <w:rPr>
          <w:noProof/>
          <w:lang w:val="en-US" w:eastAsia="en-US"/>
        </w:rPr>
        <w:drawing>
          <wp:inline distT="0" distB="0" distL="0" distR="0" wp14:anchorId="305F1DB2" wp14:editId="4C0311AD">
            <wp:extent cx="5759450" cy="2129155"/>
            <wp:effectExtent l="0" t="0" r="0" b="444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5759450" cy="2129155"/>
                    </a:xfrm>
                    <a:prstGeom prst="rect">
                      <a:avLst/>
                    </a:prstGeom>
                    <a:noFill/>
                    <a:ln>
                      <a:noFill/>
                    </a:ln>
                  </pic:spPr>
                </pic:pic>
              </a:graphicData>
            </a:graphic>
          </wp:inline>
        </w:drawing>
      </w:r>
    </w:p>
    <w:p w:rsidR="00383888" w:rsidRPr="000615AB" w:rsidRDefault="00383888" w:rsidP="00383888">
      <w:pPr>
        <w:jc w:val="both"/>
        <w:rPr>
          <w:i/>
          <w:sz w:val="20"/>
        </w:rPr>
      </w:pPr>
      <w:r w:rsidRPr="000615AB">
        <w:rPr>
          <w:i/>
          <w:sz w:val="20"/>
        </w:rPr>
        <w:t>Método de presentación</w:t>
      </w:r>
    </w:p>
    <w:p w:rsidR="00383888" w:rsidRPr="000615AB" w:rsidRDefault="00383888" w:rsidP="00383888">
      <w:pPr>
        <w:jc w:val="both"/>
        <w:rPr>
          <w:i/>
          <w:sz w:val="20"/>
        </w:rPr>
      </w:pPr>
    </w:p>
    <w:p w:rsidR="00383888" w:rsidRPr="000615AB" w:rsidRDefault="00383888" w:rsidP="00FE7D9C">
      <w:pPr>
        <w:numPr>
          <w:ilvl w:val="0"/>
          <w:numId w:val="56"/>
        </w:numPr>
        <w:jc w:val="both"/>
        <w:rPr>
          <w:sz w:val="20"/>
        </w:rPr>
      </w:pPr>
      <w:r w:rsidRPr="000615AB">
        <w:rPr>
          <w:sz w:val="20"/>
        </w:rPr>
        <w:t>El método de presentación de solicitudes incide en el volumen de trabajo la Unidad de logística (escaneo e indización de documentos), pero el aumento de la presentación por medios electrónicos en 2012, así como la tramitación automática, hicieron que fuera posible absorber el incremento de solicitudes recibidas.  El número de presentaciones en papel solo disminuyó levemente (</w:t>
      </w:r>
      <w:r>
        <w:rPr>
          <w:sz w:val="20"/>
        </w:rPr>
        <w:t>-6,9% en </w:t>
      </w:r>
      <w:r w:rsidRPr="000615AB">
        <w:rPr>
          <w:sz w:val="20"/>
        </w:rPr>
        <w:t>2012).</w:t>
      </w:r>
    </w:p>
    <w:p w:rsidR="00383888" w:rsidRPr="000615AB" w:rsidRDefault="00383888" w:rsidP="00383888">
      <w:pPr>
        <w:jc w:val="both"/>
        <w:rPr>
          <w:sz w:val="20"/>
        </w:rPr>
      </w:pPr>
    </w:p>
    <w:p w:rsidR="00383888" w:rsidRPr="000615AB" w:rsidRDefault="00C40A11" w:rsidP="00383888">
      <w:pPr>
        <w:jc w:val="both"/>
      </w:pPr>
      <w:r>
        <w:rPr>
          <w:noProof/>
          <w:lang w:val="en-US" w:eastAsia="en-US"/>
        </w:rPr>
        <w:drawing>
          <wp:inline distT="0" distB="0" distL="0" distR="0" wp14:anchorId="2CC9F5C9" wp14:editId="5AE6F4FD">
            <wp:extent cx="5752465" cy="1664970"/>
            <wp:effectExtent l="0" t="0" r="635"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5752465" cy="1664970"/>
                    </a:xfrm>
                    <a:prstGeom prst="rect">
                      <a:avLst/>
                    </a:prstGeom>
                    <a:noFill/>
                    <a:ln>
                      <a:noFill/>
                    </a:ln>
                  </pic:spPr>
                </pic:pic>
              </a:graphicData>
            </a:graphic>
          </wp:inline>
        </w:drawing>
      </w:r>
    </w:p>
    <w:p w:rsidR="00383888" w:rsidRPr="000615AB" w:rsidRDefault="00383888" w:rsidP="00383888">
      <w:pPr>
        <w:keepNext/>
        <w:keepLines/>
        <w:jc w:val="both"/>
        <w:rPr>
          <w:i/>
          <w:sz w:val="20"/>
        </w:rPr>
      </w:pPr>
      <w:r w:rsidRPr="000615AB">
        <w:rPr>
          <w:i/>
          <w:sz w:val="20"/>
        </w:rPr>
        <w:lastRenderedPageBreak/>
        <w:t>Índice de solicitudes regulares</w:t>
      </w:r>
    </w:p>
    <w:p w:rsidR="00383888" w:rsidRPr="000615AB" w:rsidRDefault="00383888" w:rsidP="00383888">
      <w:pPr>
        <w:keepNext/>
        <w:keepLines/>
        <w:jc w:val="both"/>
        <w:rPr>
          <w:sz w:val="20"/>
        </w:rPr>
      </w:pPr>
    </w:p>
    <w:p w:rsidR="00383888" w:rsidRPr="000615AB" w:rsidRDefault="00383888" w:rsidP="00FE7D9C">
      <w:pPr>
        <w:keepNext/>
        <w:keepLines/>
        <w:numPr>
          <w:ilvl w:val="0"/>
          <w:numId w:val="56"/>
        </w:numPr>
        <w:jc w:val="both"/>
        <w:rPr>
          <w:sz w:val="20"/>
        </w:rPr>
      </w:pPr>
      <w:r w:rsidRPr="000615AB">
        <w:rPr>
          <w:sz w:val="20"/>
        </w:rPr>
        <w:t xml:space="preserve">El número de solicitudes que presentan irregularidades deriva en un mayor volumen de trabajo de examen, puesto que aumenta el número de nuevos exámenes y como consecuencia se alarga la duración total del procedimiento. </w:t>
      </w:r>
    </w:p>
    <w:p w:rsidR="00383888" w:rsidRPr="000615AB" w:rsidRDefault="00383888" w:rsidP="00383888">
      <w:pPr>
        <w:jc w:val="both"/>
      </w:pPr>
    </w:p>
    <w:p w:rsidR="00383888" w:rsidRPr="000615AB" w:rsidRDefault="00C40A11" w:rsidP="00383888">
      <w:pPr>
        <w:jc w:val="both"/>
      </w:pPr>
      <w:r>
        <w:rPr>
          <w:noProof/>
          <w:lang w:val="en-US" w:eastAsia="en-US"/>
        </w:rPr>
        <w:drawing>
          <wp:inline distT="0" distB="0" distL="0" distR="0" wp14:anchorId="695166FF" wp14:editId="72E943B6">
            <wp:extent cx="5752465" cy="1958340"/>
            <wp:effectExtent l="0" t="0" r="635" b="381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5752465" cy="1958340"/>
                    </a:xfrm>
                    <a:prstGeom prst="rect">
                      <a:avLst/>
                    </a:prstGeom>
                    <a:noFill/>
                    <a:ln>
                      <a:noFill/>
                    </a:ln>
                  </pic:spPr>
                </pic:pic>
              </a:graphicData>
            </a:graphic>
          </wp:inline>
        </w:drawing>
      </w:r>
    </w:p>
    <w:p w:rsidR="00383888" w:rsidRPr="000615AB" w:rsidRDefault="00383888" w:rsidP="00383888">
      <w:pPr>
        <w:jc w:val="both"/>
        <w:rPr>
          <w:sz w:val="20"/>
        </w:rPr>
      </w:pPr>
      <w:r w:rsidRPr="000615AB">
        <w:rPr>
          <w:i/>
          <w:sz w:val="20"/>
        </w:rPr>
        <w:t>Distribución de idiomas</w:t>
      </w:r>
      <w:r w:rsidRPr="000615AB">
        <w:rPr>
          <w:sz w:val="20"/>
        </w:rPr>
        <w:t xml:space="preserve"> </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La distribución por idiomas es un indicador de la cantidad y las competencias del personal necesario para clasificar y traducir, entre otros, las indicaciones de productos y servicios que se incluyen en las solicitudes internacionales.</w:t>
      </w:r>
    </w:p>
    <w:p w:rsidR="00383888" w:rsidRPr="000615AB" w:rsidRDefault="00383888" w:rsidP="00383888">
      <w:pPr>
        <w:jc w:val="both"/>
      </w:pPr>
    </w:p>
    <w:p w:rsidR="00383888" w:rsidRPr="000615AB" w:rsidRDefault="00C40A11" w:rsidP="00383888">
      <w:pPr>
        <w:jc w:val="both"/>
      </w:pPr>
      <w:r>
        <w:rPr>
          <w:noProof/>
          <w:lang w:val="en-US" w:eastAsia="en-US"/>
        </w:rPr>
        <w:drawing>
          <wp:inline distT="0" distB="0" distL="0" distR="0" wp14:anchorId="79D79FB7" wp14:editId="60172065">
            <wp:extent cx="5752465" cy="1958340"/>
            <wp:effectExtent l="0" t="0" r="635" b="381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5752465" cy="1958340"/>
                    </a:xfrm>
                    <a:prstGeom prst="rect">
                      <a:avLst/>
                    </a:prstGeom>
                    <a:noFill/>
                    <a:ln>
                      <a:noFill/>
                    </a:ln>
                  </pic:spPr>
                </pic:pic>
              </a:graphicData>
            </a:graphic>
          </wp:inline>
        </w:drawing>
      </w:r>
    </w:p>
    <w:p w:rsidR="00383888" w:rsidRPr="000615AB" w:rsidRDefault="00383888" w:rsidP="00383888">
      <w:pPr>
        <w:jc w:val="both"/>
        <w:rPr>
          <w:i/>
          <w:sz w:val="20"/>
        </w:rPr>
      </w:pPr>
      <w:r w:rsidRPr="000615AB">
        <w:rPr>
          <w:i/>
          <w:sz w:val="20"/>
        </w:rPr>
        <w:t xml:space="preserve">Extensión de las solicitudes </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De la extensión de las solicitudes dependerán la complejidad y la duración de los procesos de clasificación y traducción, y por lo tanto también los recursos que se habrán de asignar al examen y la traducción.  Por lo tanto, es posible que el reciente aumento de la extensión media de las solicitudes incida negativamente en el tratamiento oportuno de las solicitudes.</w:t>
      </w:r>
    </w:p>
    <w:p w:rsidR="00383888" w:rsidRPr="000615AB" w:rsidRDefault="00C40A11" w:rsidP="00383888">
      <w:r>
        <w:rPr>
          <w:noProof/>
          <w:lang w:val="en-US" w:eastAsia="en-US"/>
        </w:rPr>
        <w:drawing>
          <wp:inline distT="0" distB="0" distL="0" distR="0" wp14:anchorId="7242B8B3" wp14:editId="04B4AE75">
            <wp:extent cx="5752465" cy="1978660"/>
            <wp:effectExtent l="0" t="0" r="635" b="254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5752465" cy="1978660"/>
                    </a:xfrm>
                    <a:prstGeom prst="rect">
                      <a:avLst/>
                    </a:prstGeom>
                    <a:noFill/>
                    <a:ln>
                      <a:noFill/>
                    </a:ln>
                  </pic:spPr>
                </pic:pic>
              </a:graphicData>
            </a:graphic>
          </wp:inline>
        </w:drawing>
      </w:r>
    </w:p>
    <w:p w:rsidR="00383888" w:rsidRPr="00E66DAF" w:rsidRDefault="00383888" w:rsidP="00383888">
      <w:pPr>
        <w:rPr>
          <w:sz w:val="20"/>
        </w:rPr>
      </w:pPr>
    </w:p>
    <w:p w:rsidR="00383888" w:rsidRPr="000615AB" w:rsidRDefault="00383888" w:rsidP="00FE7D9C">
      <w:pPr>
        <w:keepNext/>
        <w:keepLines/>
        <w:numPr>
          <w:ilvl w:val="0"/>
          <w:numId w:val="56"/>
        </w:numPr>
        <w:jc w:val="both"/>
        <w:rPr>
          <w:sz w:val="20"/>
        </w:rPr>
      </w:pPr>
      <w:r w:rsidRPr="000615AB">
        <w:rPr>
          <w:sz w:val="20"/>
        </w:rPr>
        <w:lastRenderedPageBreak/>
        <w:t>Como consecuencia del aumento de la extensión media de las solicitudes, el volumen de palabras por clasificar y traducir ha aumentado drásticamente en 2011 y en 2012, pasando de 5,5 millones de palabras en 2010 a 8 millones en 2012.  Este aumento influye en la productividad y en el costo unitario de la tramitación de una solicitud internacional.</w:t>
      </w:r>
    </w:p>
    <w:p w:rsidR="00383888" w:rsidRPr="000615AB" w:rsidRDefault="00C40A11" w:rsidP="00383888">
      <w:r>
        <w:rPr>
          <w:noProof/>
          <w:lang w:val="en-US" w:eastAsia="en-US"/>
        </w:rPr>
        <w:drawing>
          <wp:inline distT="0" distB="0" distL="0" distR="0" wp14:anchorId="2295628C" wp14:editId="57F2567F">
            <wp:extent cx="5752465" cy="2333625"/>
            <wp:effectExtent l="0" t="0" r="635"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5752465" cy="2333625"/>
                    </a:xfrm>
                    <a:prstGeom prst="rect">
                      <a:avLst/>
                    </a:prstGeom>
                    <a:noFill/>
                    <a:ln>
                      <a:noFill/>
                    </a:ln>
                  </pic:spPr>
                </pic:pic>
              </a:graphicData>
            </a:graphic>
          </wp:inline>
        </w:drawing>
      </w:r>
    </w:p>
    <w:p w:rsidR="00383888" w:rsidRPr="00E66DAF" w:rsidRDefault="00383888" w:rsidP="00383888">
      <w:pPr>
        <w:rPr>
          <w:sz w:val="20"/>
        </w:rPr>
      </w:pPr>
    </w:p>
    <w:p w:rsidR="00383888" w:rsidRPr="00E66DAF" w:rsidRDefault="00383888" w:rsidP="00383888">
      <w:pPr>
        <w:jc w:val="both"/>
        <w:rPr>
          <w:i/>
          <w:sz w:val="20"/>
        </w:rPr>
      </w:pPr>
      <w:r w:rsidRPr="00E66DAF">
        <w:rPr>
          <w:i/>
          <w:sz w:val="20"/>
        </w:rPr>
        <w:t xml:space="preserve">Promedio de clases por registro </w:t>
      </w:r>
    </w:p>
    <w:p w:rsidR="00383888" w:rsidRPr="00E66DAF" w:rsidRDefault="00383888" w:rsidP="00383888">
      <w:pPr>
        <w:rPr>
          <w:sz w:val="20"/>
        </w:rPr>
      </w:pPr>
    </w:p>
    <w:p w:rsidR="00383888" w:rsidRPr="000615AB" w:rsidRDefault="00C40A11" w:rsidP="00383888">
      <w:r>
        <w:rPr>
          <w:noProof/>
          <w:lang w:val="en-US" w:eastAsia="en-US"/>
        </w:rPr>
        <w:drawing>
          <wp:inline distT="0" distB="0" distL="0" distR="0" wp14:anchorId="06ED247A" wp14:editId="529D03BB">
            <wp:extent cx="5759450" cy="217678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30" cstate="print">
                      <a:extLst>
                        <a:ext uri="{28A0092B-C50C-407E-A947-70E740481C1C}">
                          <a14:useLocalDpi xmlns:a14="http://schemas.microsoft.com/office/drawing/2010/main" val="0"/>
                        </a:ext>
                      </a:extLst>
                    </a:blip>
                    <a:srcRect/>
                    <a:stretch>
                      <a:fillRect/>
                    </a:stretch>
                  </pic:blipFill>
                  <pic:spPr bwMode="auto">
                    <a:xfrm>
                      <a:off x="0" y="0"/>
                      <a:ext cx="5759450" cy="2176780"/>
                    </a:xfrm>
                    <a:prstGeom prst="rect">
                      <a:avLst/>
                    </a:prstGeom>
                    <a:noFill/>
                    <a:ln>
                      <a:noFill/>
                    </a:ln>
                  </pic:spPr>
                </pic:pic>
              </a:graphicData>
            </a:graphic>
          </wp:inline>
        </w:drawing>
      </w:r>
    </w:p>
    <w:p w:rsidR="00383888" w:rsidRPr="000615AB" w:rsidRDefault="00383888" w:rsidP="00383888">
      <w:pPr>
        <w:jc w:val="both"/>
        <w:rPr>
          <w:sz w:val="20"/>
        </w:rPr>
      </w:pPr>
      <w:r w:rsidRPr="000615AB">
        <w:rPr>
          <w:sz w:val="20"/>
        </w:rPr>
        <w:t>Las Oficinas – no así la Oficina Internacional – perciben ingresos por cada clase de productos y servicios adicional que exceda de tres en una solicitud.</w:t>
      </w:r>
    </w:p>
    <w:p w:rsidR="00383888" w:rsidRPr="000615AB" w:rsidRDefault="00383888" w:rsidP="00383888">
      <w:pPr>
        <w:jc w:val="both"/>
        <w:rPr>
          <w:sz w:val="20"/>
        </w:rPr>
      </w:pPr>
    </w:p>
    <w:p w:rsidR="00383888" w:rsidRPr="000615AB" w:rsidRDefault="00383888" w:rsidP="00383888">
      <w:pPr>
        <w:jc w:val="both"/>
        <w:rPr>
          <w:i/>
          <w:sz w:val="20"/>
        </w:rPr>
      </w:pPr>
      <w:r w:rsidRPr="000615AB">
        <w:rPr>
          <w:i/>
          <w:sz w:val="20"/>
        </w:rPr>
        <w:t>Análisis del volumen de trabajo</w:t>
      </w:r>
    </w:p>
    <w:p w:rsidR="00383888" w:rsidRPr="000615AB" w:rsidRDefault="00383888" w:rsidP="00383888"/>
    <w:p w:rsidR="00383888" w:rsidRPr="000615AB" w:rsidRDefault="00383888" w:rsidP="00FE7D9C">
      <w:pPr>
        <w:numPr>
          <w:ilvl w:val="0"/>
          <w:numId w:val="56"/>
        </w:numPr>
        <w:jc w:val="both"/>
        <w:rPr>
          <w:sz w:val="20"/>
        </w:rPr>
      </w:pPr>
      <w:r w:rsidRPr="000615AB">
        <w:rPr>
          <w:sz w:val="20"/>
        </w:rPr>
        <w:t xml:space="preserve">Como lo reflejan los indicadores precedentes, además del número de solicitudes internacionales y de renovaciones, son varios los parámetros que influyen en el volumen de trabajo del sistema de Madrid.  Estas transacciones representan el 84% de los ingresos, por lo cual es importante tenerlas en cuenta a la hora de calcular los ingresos previstos a futuro.  No obstante, representan solo el 12,7% del número de solicitudes presentadas, lo cual no basta para calcular el volumen de trabajo global.  </w:t>
      </w:r>
    </w:p>
    <w:p w:rsidR="00383888" w:rsidRPr="000615AB" w:rsidRDefault="00383888" w:rsidP="00383888">
      <w:pPr>
        <w:jc w:val="both"/>
        <w:rPr>
          <w:sz w:val="20"/>
        </w:rPr>
      </w:pPr>
    </w:p>
    <w:p w:rsidR="00383888" w:rsidRPr="000615AB" w:rsidRDefault="00383888" w:rsidP="00FE7D9C">
      <w:pPr>
        <w:numPr>
          <w:ilvl w:val="0"/>
          <w:numId w:val="56"/>
        </w:numPr>
        <w:jc w:val="both"/>
        <w:rPr>
          <w:b/>
          <w:sz w:val="20"/>
        </w:rPr>
      </w:pPr>
      <w:r w:rsidRPr="000615AB">
        <w:rPr>
          <w:sz w:val="20"/>
        </w:rPr>
        <w:t>Por lo tanto, para crear unos indicadores de costo adecuados y prever los recursos necesarios, no podemos ceñirnos únicamente a las principales transacciones generadoras de ingresos (solicitudes, designaciones posteriores y renovaciones).</w:t>
      </w:r>
    </w:p>
    <w:p w:rsidR="00383888" w:rsidRPr="000615AB" w:rsidRDefault="00383888" w:rsidP="00383888">
      <w:pPr>
        <w:jc w:val="both"/>
        <w:rPr>
          <w:b/>
          <w:sz w:val="20"/>
        </w:rPr>
      </w:pPr>
    </w:p>
    <w:p w:rsidR="00383888" w:rsidRPr="000615AB" w:rsidRDefault="00383888" w:rsidP="00FE7D9C">
      <w:pPr>
        <w:numPr>
          <w:ilvl w:val="0"/>
          <w:numId w:val="56"/>
        </w:numPr>
        <w:jc w:val="both"/>
        <w:rPr>
          <w:b/>
          <w:sz w:val="20"/>
        </w:rPr>
      </w:pPr>
      <w:r w:rsidRPr="000615AB">
        <w:rPr>
          <w:sz w:val="20"/>
        </w:rPr>
        <w:t>Todos los indicadores antes mencionados influyen en el cálculo de los recursos necesarios para cumplir con el trabajo por hacer, pero solo un puñado influyen en los ingresos.  A modo de ejemplo, al aumento del volumen de palabras por solicitud registrado en 2011 supuso costos adicionales de traducción por 600.000 francos suizos, pero no generó ingreso alguno.</w:t>
      </w:r>
    </w:p>
    <w:p w:rsidR="00383888" w:rsidRPr="000615AB" w:rsidRDefault="00383888" w:rsidP="00383888">
      <w:pPr>
        <w:jc w:val="both"/>
        <w:rPr>
          <w:sz w:val="20"/>
        </w:rPr>
      </w:pPr>
    </w:p>
    <w:p w:rsidR="00383888" w:rsidRPr="000615AB" w:rsidRDefault="00383888" w:rsidP="00383888">
      <w:pPr>
        <w:keepNext/>
        <w:keepLines/>
        <w:jc w:val="both"/>
        <w:rPr>
          <w:b/>
          <w:sz w:val="20"/>
        </w:rPr>
      </w:pPr>
      <w:r w:rsidRPr="000615AB">
        <w:rPr>
          <w:b/>
          <w:sz w:val="20"/>
        </w:rPr>
        <w:lastRenderedPageBreak/>
        <w:t>Recursos</w:t>
      </w:r>
    </w:p>
    <w:p w:rsidR="00383888" w:rsidRPr="000615AB" w:rsidRDefault="00383888" w:rsidP="00383888">
      <w:pPr>
        <w:keepNext/>
        <w:keepLines/>
        <w:jc w:val="both"/>
        <w:rPr>
          <w:b/>
          <w:sz w:val="20"/>
        </w:rPr>
      </w:pPr>
    </w:p>
    <w:p w:rsidR="00383888" w:rsidRPr="000615AB" w:rsidRDefault="00383888" w:rsidP="00FE7D9C">
      <w:pPr>
        <w:keepNext/>
        <w:keepLines/>
        <w:numPr>
          <w:ilvl w:val="0"/>
          <w:numId w:val="56"/>
        </w:numPr>
        <w:jc w:val="both"/>
        <w:rPr>
          <w:sz w:val="20"/>
        </w:rPr>
      </w:pPr>
      <w:r w:rsidRPr="000615AB">
        <w:rPr>
          <w:sz w:val="20"/>
        </w:rPr>
        <w:t>Si bien el personal sigue siendo el principal recurso abocado a la tramitación de las solicitudes presentadas, se ha subcontratado a prestadores de servicios externos ciertas tareas, por ejemplo la traducción y la introducción de datos.</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 xml:space="preserve">Los costos de producción se dividen en costos directos y costos indirectos.  Los costos directos corresponden al gasto de las unidades del sistema de Madrid (la administración de los programas y del sistema de Madrid).  Los costos indirectos abarcan los gastos de las unidades de la Organización que prestan servicios al sistema de Madrid (por ejemplo, oficinas, tecnologías de la información, etcétera).  Los gastos se calcularon en forma proporcional para dar cuenta de los costos imputables sistema de Madrid únicamente. </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 xml:space="preserve">Pese a que el volumen general de trabajo ha aumentado, los costos generales de producción han disminuido, principalmente como consecuencia de la creciente automatización de las tareas de examen, clasificación y traducción.  </w:t>
      </w:r>
    </w:p>
    <w:p w:rsidR="00383888" w:rsidRPr="00DD572E" w:rsidRDefault="00383888" w:rsidP="00383888">
      <w:pPr>
        <w:rPr>
          <w:sz w:val="20"/>
        </w:rPr>
      </w:pPr>
    </w:p>
    <w:p w:rsidR="00383888" w:rsidRPr="00DD572E" w:rsidRDefault="00C40A11" w:rsidP="00383888">
      <w:pPr>
        <w:rPr>
          <w:sz w:val="20"/>
        </w:rPr>
      </w:pPr>
      <w:r>
        <w:rPr>
          <w:noProof/>
          <w:sz w:val="20"/>
          <w:lang w:val="en-US" w:eastAsia="en-US"/>
        </w:rPr>
        <w:drawing>
          <wp:inline distT="0" distB="0" distL="0" distR="0" wp14:anchorId="6CA50B9A" wp14:editId="12BAF7A7">
            <wp:extent cx="5759450" cy="2238375"/>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5759450" cy="2238375"/>
                    </a:xfrm>
                    <a:prstGeom prst="rect">
                      <a:avLst/>
                    </a:prstGeom>
                    <a:noFill/>
                    <a:ln>
                      <a:noFill/>
                    </a:ln>
                  </pic:spPr>
                </pic:pic>
              </a:graphicData>
            </a:graphic>
          </wp:inline>
        </w:drawing>
      </w:r>
    </w:p>
    <w:p w:rsidR="00383888" w:rsidRPr="00DD572E" w:rsidRDefault="00383888" w:rsidP="00383888">
      <w:pPr>
        <w:rPr>
          <w:sz w:val="20"/>
        </w:rPr>
      </w:pPr>
    </w:p>
    <w:p w:rsidR="00383888" w:rsidRPr="000615AB" w:rsidRDefault="00383888" w:rsidP="00383888">
      <w:pPr>
        <w:jc w:val="both"/>
        <w:rPr>
          <w:b/>
          <w:sz w:val="20"/>
        </w:rPr>
      </w:pPr>
      <w:r w:rsidRPr="000615AB">
        <w:rPr>
          <w:b/>
          <w:sz w:val="20"/>
        </w:rPr>
        <w:t>Indicador del costo unitario</w:t>
      </w:r>
    </w:p>
    <w:p w:rsidR="00383888" w:rsidRPr="000615AB" w:rsidRDefault="00383888" w:rsidP="00383888">
      <w:pPr>
        <w:jc w:val="both"/>
        <w:rPr>
          <w:sz w:val="20"/>
        </w:rPr>
      </w:pPr>
    </w:p>
    <w:p w:rsidR="00383888" w:rsidRPr="000615AB" w:rsidRDefault="00383888" w:rsidP="00FE7D9C">
      <w:pPr>
        <w:numPr>
          <w:ilvl w:val="0"/>
          <w:numId w:val="56"/>
        </w:numPr>
        <w:spacing w:after="120"/>
        <w:jc w:val="both"/>
        <w:rPr>
          <w:sz w:val="20"/>
        </w:rPr>
      </w:pPr>
      <w:r w:rsidRPr="000615AB">
        <w:rPr>
          <w:sz w:val="20"/>
        </w:rPr>
        <w:t xml:space="preserve">El costo unitario se define como el costo total medio de una unidad de producto.  Se puede descomponer en dos indicadores:  </w:t>
      </w:r>
    </w:p>
    <w:p w:rsidR="00383888" w:rsidRPr="000615AB" w:rsidRDefault="00383888" w:rsidP="00FE7D9C">
      <w:pPr>
        <w:numPr>
          <w:ilvl w:val="0"/>
          <w:numId w:val="55"/>
        </w:numPr>
        <w:tabs>
          <w:tab w:val="clear" w:pos="720"/>
          <w:tab w:val="num" w:pos="1100"/>
        </w:tabs>
        <w:spacing w:after="120"/>
        <w:ind w:left="1100" w:hanging="550"/>
        <w:jc w:val="both"/>
        <w:rPr>
          <w:sz w:val="20"/>
        </w:rPr>
      </w:pPr>
      <w:r w:rsidRPr="000615AB">
        <w:rPr>
          <w:sz w:val="20"/>
        </w:rPr>
        <w:t xml:space="preserve">El costo unitario por solicitud -por solicitud se entiende un registro, una renovación o una designación posterior-;  representa el costo de la tramitación de solicitudes relacionadas con la adquisición de derechos.  </w:t>
      </w:r>
    </w:p>
    <w:p w:rsidR="00383888" w:rsidRPr="000615AB" w:rsidRDefault="00383888" w:rsidP="00FE7D9C">
      <w:pPr>
        <w:numPr>
          <w:ilvl w:val="0"/>
          <w:numId w:val="55"/>
        </w:numPr>
        <w:tabs>
          <w:tab w:val="clear" w:pos="720"/>
          <w:tab w:val="num" w:pos="1100"/>
        </w:tabs>
        <w:ind w:left="1100" w:hanging="550"/>
        <w:jc w:val="both"/>
        <w:rPr>
          <w:sz w:val="20"/>
        </w:rPr>
      </w:pPr>
      <w:r w:rsidRPr="000615AB">
        <w:rPr>
          <w:sz w:val="20"/>
        </w:rPr>
        <w:t>Costo unitario por inscripción, que abarca todas las inscripciones en el Registro; y por ende refleja los costos de mantenimiento del registro e incluye el volumen de trabajo en su totalidad.</w:t>
      </w:r>
    </w:p>
    <w:p w:rsidR="00383888" w:rsidRPr="000615AB" w:rsidRDefault="00383888" w:rsidP="00383888">
      <w:pPr>
        <w:jc w:val="both"/>
        <w:rPr>
          <w:sz w:val="20"/>
        </w:rPr>
      </w:pPr>
    </w:p>
    <w:p w:rsidR="00383888" w:rsidRPr="00F66DAD" w:rsidRDefault="00383888" w:rsidP="00383888">
      <w:pPr>
        <w:keepNext/>
        <w:keepLines/>
        <w:jc w:val="both"/>
        <w:rPr>
          <w:i/>
          <w:sz w:val="20"/>
        </w:rPr>
      </w:pPr>
      <w:r w:rsidRPr="00F66DAD">
        <w:rPr>
          <w:i/>
          <w:sz w:val="20"/>
        </w:rPr>
        <w:lastRenderedPageBreak/>
        <w:t>Costo unitario por solicitud</w:t>
      </w:r>
    </w:p>
    <w:p w:rsidR="00383888" w:rsidRPr="00F66DAD" w:rsidRDefault="00C40A11" w:rsidP="00383888">
      <w:pPr>
        <w:keepNext/>
        <w:keepLines/>
        <w:rPr>
          <w:sz w:val="20"/>
        </w:rPr>
      </w:pPr>
      <w:r>
        <w:rPr>
          <w:noProof/>
          <w:sz w:val="20"/>
          <w:lang w:val="en-US" w:eastAsia="en-US"/>
        </w:rPr>
        <w:drawing>
          <wp:inline distT="0" distB="0" distL="0" distR="0" wp14:anchorId="29BB79F1" wp14:editId="1841D5D7">
            <wp:extent cx="5759450" cy="2238375"/>
            <wp:effectExtent l="0" t="0" r="0" b="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5759450" cy="2238375"/>
                    </a:xfrm>
                    <a:prstGeom prst="rect">
                      <a:avLst/>
                    </a:prstGeom>
                    <a:noFill/>
                    <a:ln>
                      <a:noFill/>
                    </a:ln>
                  </pic:spPr>
                </pic:pic>
              </a:graphicData>
            </a:graphic>
          </wp:inline>
        </w:drawing>
      </w:r>
    </w:p>
    <w:p w:rsidR="00383888" w:rsidRPr="00F66DAD" w:rsidRDefault="00383888" w:rsidP="00383888">
      <w:pPr>
        <w:keepNext/>
        <w:keepLines/>
        <w:rPr>
          <w:i/>
          <w:sz w:val="20"/>
        </w:rPr>
      </w:pPr>
    </w:p>
    <w:p w:rsidR="00383888" w:rsidRPr="00F66DAD" w:rsidRDefault="00383888" w:rsidP="00383888">
      <w:pPr>
        <w:keepNext/>
        <w:keepLines/>
        <w:rPr>
          <w:i/>
          <w:sz w:val="20"/>
        </w:rPr>
      </w:pPr>
      <w:r w:rsidRPr="00F66DAD">
        <w:rPr>
          <w:i/>
          <w:sz w:val="20"/>
        </w:rPr>
        <w:t>Costo unitario por inscripción</w:t>
      </w:r>
    </w:p>
    <w:p w:rsidR="00383888" w:rsidRPr="00F66DAD" w:rsidRDefault="00C40A11" w:rsidP="00383888">
      <w:pPr>
        <w:keepNext/>
        <w:keepLines/>
        <w:rPr>
          <w:sz w:val="20"/>
        </w:rPr>
      </w:pPr>
      <w:r>
        <w:rPr>
          <w:noProof/>
          <w:sz w:val="20"/>
          <w:lang w:val="en-US" w:eastAsia="en-US"/>
        </w:rPr>
        <w:drawing>
          <wp:inline distT="0" distB="0" distL="0" distR="0" wp14:anchorId="30B550EE" wp14:editId="36EE7A4D">
            <wp:extent cx="5759450" cy="215646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5759450" cy="2156460"/>
                    </a:xfrm>
                    <a:prstGeom prst="rect">
                      <a:avLst/>
                    </a:prstGeom>
                    <a:noFill/>
                    <a:ln>
                      <a:noFill/>
                    </a:ln>
                  </pic:spPr>
                </pic:pic>
              </a:graphicData>
            </a:graphic>
          </wp:inline>
        </w:drawing>
      </w:r>
    </w:p>
    <w:p w:rsidR="00383888" w:rsidRPr="000615AB" w:rsidRDefault="00383888" w:rsidP="00FE7D9C">
      <w:pPr>
        <w:numPr>
          <w:ilvl w:val="0"/>
          <w:numId w:val="56"/>
        </w:numPr>
        <w:jc w:val="both"/>
        <w:rPr>
          <w:sz w:val="20"/>
        </w:rPr>
      </w:pPr>
      <w:r w:rsidRPr="000615AB">
        <w:rPr>
          <w:sz w:val="20"/>
        </w:rPr>
        <w:t>Tanto el costo unitario por solicitud como el costo unitario por inscripción en el Registro han disminuido entre el 2010 y el 2012.  Esto se debe principalmente a la automatización de ciertos procedimientos.</w:t>
      </w:r>
    </w:p>
    <w:p w:rsidR="00383888" w:rsidRPr="000615AB" w:rsidRDefault="00383888" w:rsidP="00383888">
      <w:pPr>
        <w:jc w:val="both"/>
        <w:rPr>
          <w:b/>
          <w:sz w:val="20"/>
        </w:rPr>
      </w:pPr>
    </w:p>
    <w:p w:rsidR="00383888" w:rsidRPr="000615AB" w:rsidRDefault="00383888" w:rsidP="00383888">
      <w:pPr>
        <w:jc w:val="both"/>
        <w:rPr>
          <w:b/>
          <w:sz w:val="20"/>
        </w:rPr>
      </w:pPr>
      <w:r w:rsidRPr="000615AB">
        <w:rPr>
          <w:b/>
          <w:sz w:val="20"/>
        </w:rPr>
        <w:t>Productividad</w:t>
      </w:r>
    </w:p>
    <w:p w:rsidR="00383888" w:rsidRPr="00D40601" w:rsidRDefault="00383888" w:rsidP="00383888">
      <w:pPr>
        <w:jc w:val="both"/>
        <w:rPr>
          <w:sz w:val="20"/>
        </w:rPr>
      </w:pPr>
    </w:p>
    <w:p w:rsidR="00383888" w:rsidRPr="00D40601" w:rsidRDefault="00383888" w:rsidP="00FE7D9C">
      <w:pPr>
        <w:numPr>
          <w:ilvl w:val="0"/>
          <w:numId w:val="56"/>
        </w:numPr>
        <w:jc w:val="both"/>
        <w:rPr>
          <w:sz w:val="20"/>
        </w:rPr>
      </w:pPr>
      <w:r w:rsidRPr="00D40601">
        <w:rPr>
          <w:sz w:val="20"/>
        </w:rPr>
        <w:t>La productividad equivale al número de unidades de producto, es decir solicitudes e inscripciones, dividido entre el número de empleados de nómina registrado al final de cada año.</w:t>
      </w:r>
    </w:p>
    <w:p w:rsidR="00383888" w:rsidRPr="00D40601" w:rsidRDefault="00383888" w:rsidP="00383888">
      <w:pPr>
        <w:rPr>
          <w:sz w:val="20"/>
        </w:rPr>
      </w:pPr>
    </w:p>
    <w:p w:rsidR="00383888" w:rsidRPr="00D40601" w:rsidRDefault="00C40A11" w:rsidP="00383888">
      <w:pPr>
        <w:rPr>
          <w:sz w:val="20"/>
        </w:rPr>
      </w:pPr>
      <w:r>
        <w:rPr>
          <w:noProof/>
          <w:sz w:val="20"/>
          <w:lang w:val="en-US" w:eastAsia="en-US"/>
        </w:rPr>
        <w:drawing>
          <wp:inline distT="0" distB="0" distL="0" distR="0" wp14:anchorId="75D6AC85" wp14:editId="47A54E45">
            <wp:extent cx="5111115" cy="2012950"/>
            <wp:effectExtent l="0" t="0" r="0" b="635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5111115" cy="2012950"/>
                    </a:xfrm>
                    <a:prstGeom prst="rect">
                      <a:avLst/>
                    </a:prstGeom>
                    <a:noFill/>
                    <a:ln>
                      <a:noFill/>
                    </a:ln>
                  </pic:spPr>
                </pic:pic>
              </a:graphicData>
            </a:graphic>
          </wp:inline>
        </w:drawing>
      </w:r>
    </w:p>
    <w:p w:rsidR="00383888" w:rsidRPr="000615AB" w:rsidRDefault="00C40A11" w:rsidP="00383888">
      <w:pPr>
        <w:jc w:val="center"/>
      </w:pPr>
      <w:r>
        <w:rPr>
          <w:noProof/>
          <w:lang w:val="en-US" w:eastAsia="en-US"/>
        </w:rPr>
        <w:lastRenderedPageBreak/>
        <w:drawing>
          <wp:inline distT="0" distB="0" distL="0" distR="0" wp14:anchorId="2BB892BF" wp14:editId="62E26F85">
            <wp:extent cx="4994910" cy="1978660"/>
            <wp:effectExtent l="0" t="0" r="0" b="254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4994910" cy="1978660"/>
                    </a:xfrm>
                    <a:prstGeom prst="rect">
                      <a:avLst/>
                    </a:prstGeom>
                    <a:noFill/>
                    <a:ln>
                      <a:noFill/>
                    </a:ln>
                  </pic:spPr>
                </pic:pic>
              </a:graphicData>
            </a:graphic>
          </wp:inline>
        </w:drawing>
      </w:r>
    </w:p>
    <w:p w:rsidR="00383888" w:rsidRPr="000615AB" w:rsidRDefault="00383888" w:rsidP="00383888">
      <w:pPr>
        <w:jc w:val="both"/>
        <w:rPr>
          <w:sz w:val="20"/>
        </w:rPr>
      </w:pPr>
    </w:p>
    <w:p w:rsidR="00383888" w:rsidRPr="000615AB" w:rsidRDefault="00383888" w:rsidP="00383888">
      <w:pPr>
        <w:jc w:val="both"/>
        <w:rPr>
          <w:b/>
          <w:sz w:val="20"/>
        </w:rPr>
      </w:pPr>
      <w:r w:rsidRPr="000615AB">
        <w:rPr>
          <w:sz w:val="20"/>
        </w:rPr>
        <w:t xml:space="preserve">El aumento de la productividad deriva principalmente de los esfuerzos de automatización informática que están en curso. </w:t>
      </w:r>
    </w:p>
    <w:p w:rsidR="00383888" w:rsidRPr="00592C42" w:rsidRDefault="00383888" w:rsidP="00383888">
      <w:pPr>
        <w:jc w:val="both"/>
        <w:rPr>
          <w:b/>
          <w:sz w:val="20"/>
        </w:rPr>
      </w:pPr>
    </w:p>
    <w:p w:rsidR="00383888" w:rsidRPr="00592C42" w:rsidRDefault="00383888" w:rsidP="00383888">
      <w:pPr>
        <w:jc w:val="both"/>
        <w:rPr>
          <w:sz w:val="20"/>
        </w:rPr>
      </w:pPr>
      <w:r w:rsidRPr="00592C42">
        <w:rPr>
          <w:b/>
          <w:sz w:val="20"/>
        </w:rPr>
        <w:t>Indicadores de calidad</w:t>
      </w:r>
    </w:p>
    <w:p w:rsidR="00383888" w:rsidRPr="00592C42" w:rsidRDefault="00383888" w:rsidP="00383888">
      <w:pPr>
        <w:jc w:val="both"/>
        <w:rPr>
          <w:b/>
          <w:sz w:val="20"/>
        </w:rPr>
      </w:pPr>
    </w:p>
    <w:p w:rsidR="00383888" w:rsidRDefault="00383888" w:rsidP="00383888">
      <w:pPr>
        <w:jc w:val="both"/>
        <w:rPr>
          <w:i/>
          <w:sz w:val="20"/>
        </w:rPr>
      </w:pPr>
      <w:r w:rsidRPr="00592C42">
        <w:rPr>
          <w:i/>
          <w:sz w:val="20"/>
        </w:rPr>
        <w:t>Media de tiempo de tramitación de nuevas solicitudes regulares</w:t>
      </w:r>
    </w:p>
    <w:p w:rsidR="00383888" w:rsidRPr="00592C42" w:rsidRDefault="00383888" w:rsidP="00383888">
      <w:pPr>
        <w:jc w:val="both"/>
        <w:rPr>
          <w:i/>
          <w:sz w:val="20"/>
        </w:rPr>
      </w:pPr>
    </w:p>
    <w:p w:rsidR="00383888" w:rsidRPr="00592C42" w:rsidRDefault="00C40A11" w:rsidP="00383888">
      <w:pPr>
        <w:jc w:val="both"/>
        <w:rPr>
          <w:sz w:val="20"/>
        </w:rPr>
      </w:pPr>
      <w:r>
        <w:rPr>
          <w:noProof/>
          <w:sz w:val="20"/>
          <w:lang w:val="en-US" w:eastAsia="en-US"/>
        </w:rPr>
        <w:drawing>
          <wp:inline distT="0" distB="0" distL="0" distR="0" wp14:anchorId="23DD1BC2" wp14:editId="747E9E2A">
            <wp:extent cx="5541010" cy="2381250"/>
            <wp:effectExtent l="0" t="0" r="254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5541010" cy="2381250"/>
                    </a:xfrm>
                    <a:prstGeom prst="rect">
                      <a:avLst/>
                    </a:prstGeom>
                    <a:noFill/>
                    <a:ln>
                      <a:noFill/>
                    </a:ln>
                  </pic:spPr>
                </pic:pic>
              </a:graphicData>
            </a:graphic>
          </wp:inline>
        </w:drawing>
      </w:r>
    </w:p>
    <w:p w:rsidR="00383888" w:rsidRPr="000615AB" w:rsidRDefault="00383888" w:rsidP="00383888">
      <w:pPr>
        <w:jc w:val="both"/>
        <w:rPr>
          <w:i/>
          <w:sz w:val="20"/>
        </w:rPr>
      </w:pPr>
      <w:r w:rsidRPr="000615AB">
        <w:rPr>
          <w:i/>
          <w:sz w:val="20"/>
        </w:rPr>
        <w:t>Tiempo necesario para la tramitación de una solicitud regular en el sistema de Madrid</w:t>
      </w:r>
    </w:p>
    <w:p w:rsidR="00383888" w:rsidRPr="000615AB" w:rsidRDefault="00383888" w:rsidP="00383888">
      <w:pPr>
        <w:jc w:val="both"/>
        <w:rPr>
          <w:sz w:val="20"/>
        </w:rPr>
      </w:pPr>
    </w:p>
    <w:p w:rsidR="00383888" w:rsidRPr="000615AB" w:rsidRDefault="00383888" w:rsidP="00FE7D9C">
      <w:pPr>
        <w:numPr>
          <w:ilvl w:val="0"/>
          <w:numId w:val="56"/>
        </w:numPr>
        <w:jc w:val="both"/>
        <w:rPr>
          <w:sz w:val="20"/>
        </w:rPr>
      </w:pPr>
      <w:r w:rsidRPr="000615AB">
        <w:rPr>
          <w:sz w:val="20"/>
        </w:rPr>
        <w:t>Este indicador refleja el tiempo de tramitación de una solicitud de registro internacional regular.  Da cuenta del tiempo que tarda la Oficina Internacional en inscribir una solicitud internacional regular en el Registro y toma en cuenta los siguientes procesos: escaneo, introducción de datos, examen de la forma, clasificación de productos y servicios (Clasificación de Niza), clasificación de los elementos figurativos de las marcas (Clasificación de Viena), cálculo y verificación de tasas, así como traducción.  Para calcular el tiempo de tramitación, se toma en cuenta el período comprendido entre la recepción del documento y su inscripción en el Registro Internacional.</w:t>
      </w:r>
    </w:p>
    <w:p w:rsidR="00383888" w:rsidRPr="000615AB" w:rsidRDefault="00C40A11" w:rsidP="00383888">
      <w:pPr>
        <w:jc w:val="center"/>
        <w:rPr>
          <w:sz w:val="20"/>
        </w:rPr>
      </w:pPr>
      <w:r>
        <w:rPr>
          <w:noProof/>
          <w:sz w:val="20"/>
          <w:lang w:val="en-US" w:eastAsia="en-US"/>
        </w:rPr>
        <w:drawing>
          <wp:inline distT="0" distB="0" distL="0" distR="0" wp14:anchorId="3886B668" wp14:editId="23108515">
            <wp:extent cx="3712210" cy="2129155"/>
            <wp:effectExtent l="0" t="0" r="2540" b="4445"/>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3712210" cy="2129155"/>
                    </a:xfrm>
                    <a:prstGeom prst="rect">
                      <a:avLst/>
                    </a:prstGeom>
                    <a:noFill/>
                    <a:ln>
                      <a:noFill/>
                    </a:ln>
                  </pic:spPr>
                </pic:pic>
              </a:graphicData>
            </a:graphic>
          </wp:inline>
        </w:drawing>
      </w:r>
    </w:p>
    <w:p w:rsidR="00383888" w:rsidRPr="000615AB" w:rsidRDefault="00383888" w:rsidP="00383888">
      <w:pPr>
        <w:rPr>
          <w:sz w:val="20"/>
        </w:rPr>
        <w:sectPr w:rsidR="00383888" w:rsidRPr="000615AB" w:rsidSect="00B47699">
          <w:pgSz w:w="11907" w:h="16840" w:code="9"/>
          <w:pgMar w:top="567" w:right="1418" w:bottom="1418" w:left="1418"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18" w:name="_Toc366078761"/>
      <w:r w:rsidRPr="00C3705E">
        <w:rPr>
          <w:b/>
          <w:caps w:val="0"/>
          <w:szCs w:val="24"/>
          <w:lang w:val="es-ES_tradnl"/>
        </w:rPr>
        <w:lastRenderedPageBreak/>
        <w:t>ANEXO VII.</w:t>
      </w:r>
      <w:r w:rsidRPr="00C3705E">
        <w:rPr>
          <w:b/>
          <w:caps w:val="0"/>
          <w:szCs w:val="24"/>
          <w:lang w:val="es-ES_tradnl"/>
        </w:rPr>
        <w:tab/>
        <w:t>INDICADORES DE LAS OPERACIONES DEL SISTEMA DE LA HAYA</w:t>
      </w:r>
      <w:bookmarkEnd w:id="118"/>
    </w:p>
    <w:p w:rsidR="00383888" w:rsidRPr="000615AB" w:rsidRDefault="00383888" w:rsidP="00383888">
      <w:pPr>
        <w:rPr>
          <w:sz w:val="20"/>
        </w:rPr>
      </w:pPr>
    </w:p>
    <w:p w:rsidR="00383888" w:rsidRPr="000615AB" w:rsidRDefault="00383888" w:rsidP="00383888">
      <w:pPr>
        <w:tabs>
          <w:tab w:val="left" w:pos="0"/>
        </w:tabs>
        <w:jc w:val="center"/>
        <w:rPr>
          <w:bCs/>
          <w:szCs w:val="22"/>
        </w:rPr>
      </w:pPr>
      <w:r w:rsidRPr="000615AB">
        <w:rPr>
          <w:bCs/>
          <w:szCs w:val="22"/>
        </w:rPr>
        <w:t>INDICADORES DE RENDIMIENTO CON</w:t>
      </w:r>
      <w:r>
        <w:rPr>
          <w:bCs/>
          <w:szCs w:val="22"/>
        </w:rPr>
        <w:t xml:space="preserve"> RESPECTO AL RESULTADO PREVISTO</w:t>
      </w:r>
    </w:p>
    <w:p w:rsidR="00383888" w:rsidRPr="000615AB" w:rsidRDefault="00383888" w:rsidP="00383888">
      <w:pPr>
        <w:tabs>
          <w:tab w:val="left" w:pos="0"/>
        </w:tabs>
        <w:jc w:val="center"/>
        <w:rPr>
          <w:bCs/>
          <w:szCs w:val="22"/>
        </w:rPr>
      </w:pPr>
      <w:r w:rsidRPr="000615AB">
        <w:rPr>
          <w:bCs/>
          <w:szCs w:val="22"/>
        </w:rPr>
        <w:t>“MEJORA DE LA PRODUCTIVIDAD Y DE LA CALIDAD DE LOS SERVICIOS EN LAS OPERACIONES DEL SISTEMA DE LA HAYA"</w:t>
      </w:r>
    </w:p>
    <w:p w:rsidR="00383888" w:rsidRPr="00C71513" w:rsidRDefault="00383888" w:rsidP="00383888">
      <w:pPr>
        <w:tabs>
          <w:tab w:val="left" w:pos="0"/>
        </w:tabs>
        <w:rPr>
          <w:bCs/>
          <w:sz w:val="20"/>
        </w:rPr>
      </w:pPr>
    </w:p>
    <w:p w:rsidR="00383888" w:rsidRPr="00C71513" w:rsidRDefault="00383888" w:rsidP="00383888">
      <w:pPr>
        <w:rPr>
          <w:b/>
          <w:sz w:val="20"/>
        </w:rPr>
      </w:pPr>
    </w:p>
    <w:p w:rsidR="00383888" w:rsidRPr="000615AB" w:rsidRDefault="00383888" w:rsidP="00383888">
      <w:pPr>
        <w:rPr>
          <w:b/>
          <w:sz w:val="20"/>
        </w:rPr>
      </w:pPr>
      <w:r w:rsidRPr="000615AB">
        <w:rPr>
          <w:b/>
          <w:sz w:val="20"/>
        </w:rPr>
        <w:t>Sistema de La Haya</w:t>
      </w:r>
      <w:proofErr w:type="gramStart"/>
      <w:r w:rsidRPr="000615AB">
        <w:rPr>
          <w:b/>
          <w:sz w:val="20"/>
        </w:rPr>
        <w:t xml:space="preserve">: </w:t>
      </w:r>
      <w:r>
        <w:rPr>
          <w:b/>
          <w:sz w:val="20"/>
        </w:rPr>
        <w:t xml:space="preserve"> </w:t>
      </w:r>
      <w:r w:rsidRPr="000615AB">
        <w:rPr>
          <w:b/>
          <w:sz w:val="20"/>
        </w:rPr>
        <w:t>actividades</w:t>
      </w:r>
      <w:proofErr w:type="gramEnd"/>
      <w:r w:rsidRPr="000615AB">
        <w:rPr>
          <w:b/>
          <w:sz w:val="20"/>
        </w:rPr>
        <w:t xml:space="preserve"> de la Oficina Internacional relativas al registro</w:t>
      </w:r>
    </w:p>
    <w:p w:rsidR="00383888" w:rsidRPr="000615AB" w:rsidRDefault="00383888" w:rsidP="00383888">
      <w:pPr>
        <w:rPr>
          <w:sz w:val="20"/>
        </w:rPr>
      </w:pPr>
    </w:p>
    <w:p w:rsidR="00383888" w:rsidRPr="00D22B96" w:rsidRDefault="00383888" w:rsidP="00FE7D9C">
      <w:pPr>
        <w:numPr>
          <w:ilvl w:val="0"/>
          <w:numId w:val="57"/>
        </w:numPr>
        <w:jc w:val="both"/>
        <w:rPr>
          <w:sz w:val="20"/>
        </w:rPr>
      </w:pPr>
      <w:r w:rsidRPr="000615AB">
        <w:rPr>
          <w:sz w:val="20"/>
        </w:rPr>
        <w:t>La labor administrativa de la Oficina Internacional en el marco del sistema de La Haya se articula en torno a tres esferas</w:t>
      </w:r>
      <w:proofErr w:type="gramStart"/>
      <w:r w:rsidRPr="000615AB">
        <w:rPr>
          <w:sz w:val="20"/>
        </w:rPr>
        <w:t xml:space="preserve">: </w:t>
      </w:r>
      <w:r>
        <w:rPr>
          <w:sz w:val="20"/>
        </w:rPr>
        <w:t xml:space="preserve"> </w:t>
      </w:r>
      <w:r w:rsidRPr="000615AB">
        <w:rPr>
          <w:sz w:val="20"/>
        </w:rPr>
        <w:t>la</w:t>
      </w:r>
      <w:proofErr w:type="gramEnd"/>
      <w:r w:rsidRPr="000615AB">
        <w:rPr>
          <w:sz w:val="20"/>
        </w:rPr>
        <w:t xml:space="preserve"> adquisición y el mantenimiento de derechos;  las decisiones de las Partes Contratantes designadas;  y las modificaciones aportadas a los registros internacionales</w:t>
      </w:r>
      <w:r w:rsidRPr="00D22B96">
        <w:rPr>
          <w:sz w:val="20"/>
        </w:rPr>
        <w:t>.</w:t>
      </w:r>
    </w:p>
    <w:p w:rsidR="00383888" w:rsidRPr="000615AB" w:rsidRDefault="00383888" w:rsidP="00383888">
      <w:pPr>
        <w:jc w:val="both"/>
        <w:rPr>
          <w:sz w:val="20"/>
        </w:rPr>
      </w:pPr>
    </w:p>
    <w:p w:rsidR="00383888" w:rsidRPr="00D821D3" w:rsidRDefault="00383888" w:rsidP="00FE7D9C">
      <w:pPr>
        <w:numPr>
          <w:ilvl w:val="0"/>
          <w:numId w:val="57"/>
        </w:numPr>
        <w:jc w:val="both"/>
        <w:rPr>
          <w:sz w:val="20"/>
        </w:rPr>
      </w:pPr>
      <w:r w:rsidRPr="000615AB">
        <w:rPr>
          <w:sz w:val="20"/>
        </w:rPr>
        <w:t xml:space="preserve">Con respecto a la adquisición y al mantenimiento de derechos, la Oficina Internacional se encarga del examen de todas las solicitudes internacionales, lo cual implica cotejar que respetan las disposiciones del marco jurídico del sistema de La Haya, en particular comprobar la calidad de las reproducciones de los dibujos y modelos (una solicitud puede contener hasta 100 dibujos y modelos, cada uno de los cuales pueden ser objeto de ilimitadas reproducciones) y verificar que la clase a la que se atribuyeron los dibujos o modelos en la solicitud es la correcta.  Luego se inscribe el </w:t>
      </w:r>
      <w:r w:rsidRPr="00D821D3">
        <w:rPr>
          <w:sz w:val="20"/>
        </w:rPr>
        <w:t>consiguiente registro internacional en el Registro, con posibilidad de renovación al cabo de cinco años por al menos dos períodos adicionales de cinco años.</w:t>
      </w:r>
    </w:p>
    <w:p w:rsidR="00383888" w:rsidRPr="000615AB" w:rsidRDefault="00383888" w:rsidP="00383888">
      <w:pPr>
        <w:jc w:val="both"/>
        <w:rPr>
          <w:sz w:val="20"/>
        </w:rPr>
      </w:pPr>
    </w:p>
    <w:p w:rsidR="00383888" w:rsidRPr="000615AB" w:rsidRDefault="00383888" w:rsidP="00FE7D9C">
      <w:pPr>
        <w:numPr>
          <w:ilvl w:val="0"/>
          <w:numId w:val="57"/>
        </w:numPr>
        <w:jc w:val="both"/>
        <w:rPr>
          <w:sz w:val="20"/>
        </w:rPr>
      </w:pPr>
      <w:r w:rsidRPr="000615AB">
        <w:rPr>
          <w:sz w:val="20"/>
        </w:rPr>
        <w:t>En cuanto a las decisiones relativas al alcance de la protección en cada una de las Partes Contratantes designadas, la Oficina Internacional estudia, registra, publica y notifica la decisión inicial tomada por la Oficina en cuanto a la concesión o a la denegación de protección.</w:t>
      </w:r>
    </w:p>
    <w:p w:rsidR="00383888" w:rsidRPr="000615AB" w:rsidRDefault="00383888" w:rsidP="00383888">
      <w:pPr>
        <w:jc w:val="both"/>
        <w:rPr>
          <w:sz w:val="20"/>
        </w:rPr>
      </w:pPr>
    </w:p>
    <w:p w:rsidR="00383888" w:rsidRPr="000615AB" w:rsidRDefault="00383888" w:rsidP="00FE7D9C">
      <w:pPr>
        <w:numPr>
          <w:ilvl w:val="0"/>
          <w:numId w:val="57"/>
        </w:numPr>
        <w:jc w:val="both"/>
        <w:rPr>
          <w:sz w:val="20"/>
        </w:rPr>
      </w:pPr>
      <w:r w:rsidRPr="000615AB">
        <w:rPr>
          <w:sz w:val="20"/>
        </w:rPr>
        <w:t>Por último, una de las características del sistema de La Haya es la gestión centralizada de los registros internacionales, esto significa que todo cambio efectuado en el Registro Internacional se repercutirá en el conjunto de las Partes Contratantes designadas.  Por lo tanto, la Oficina Internacional estudia, registra, publica y notifica las solicitudes sobre, entre otros, los cambios de titularidad, el cambio de domicilio del titular, las renuncias y las limitaciones.</w:t>
      </w:r>
    </w:p>
    <w:p w:rsidR="00383888" w:rsidRPr="000615AB" w:rsidRDefault="00383888" w:rsidP="00383888">
      <w:pPr>
        <w:rPr>
          <w:sz w:val="20"/>
        </w:rPr>
      </w:pPr>
    </w:p>
    <w:p w:rsidR="00383888" w:rsidRPr="000615AB" w:rsidRDefault="00383888" w:rsidP="00383888">
      <w:pPr>
        <w:rPr>
          <w:b/>
          <w:sz w:val="20"/>
        </w:rPr>
      </w:pPr>
      <w:r w:rsidRPr="000615AB">
        <w:rPr>
          <w:b/>
          <w:sz w:val="20"/>
        </w:rPr>
        <w:t>Antecedentes</w:t>
      </w:r>
    </w:p>
    <w:p w:rsidR="00383888" w:rsidRPr="000615AB" w:rsidRDefault="00383888" w:rsidP="00383888">
      <w:pPr>
        <w:rPr>
          <w:b/>
          <w:sz w:val="20"/>
        </w:rPr>
      </w:pPr>
    </w:p>
    <w:p w:rsidR="00383888" w:rsidRPr="000615AB" w:rsidRDefault="00383888" w:rsidP="00FE7D9C">
      <w:pPr>
        <w:numPr>
          <w:ilvl w:val="0"/>
          <w:numId w:val="57"/>
        </w:numPr>
        <w:jc w:val="both"/>
        <w:rPr>
          <w:sz w:val="20"/>
        </w:rPr>
      </w:pPr>
      <w:r w:rsidRPr="000615AB">
        <w:rPr>
          <w:sz w:val="20"/>
        </w:rPr>
        <w:t>Como referencia de los indicadores de rendimiento en lo que respecta al resultado previsto “Mejora de la productividad y de la calidad de los servicios en las operaciones del sistema de La Haya”, puede ser útil considerar la evolución de los siguientes factores:</w:t>
      </w:r>
    </w:p>
    <w:p w:rsidR="00383888" w:rsidRPr="000615AB" w:rsidRDefault="00383888" w:rsidP="00383888">
      <w:pPr>
        <w:jc w:val="both"/>
        <w:rPr>
          <w:sz w:val="20"/>
        </w:rPr>
      </w:pPr>
      <w:r w:rsidRPr="000615AB">
        <w:rPr>
          <w:sz w:val="20"/>
        </w:rPr>
        <w:t xml:space="preserve"> </w:t>
      </w:r>
    </w:p>
    <w:p w:rsidR="00383888" w:rsidRPr="000615AB" w:rsidRDefault="00383888" w:rsidP="00FE7D9C">
      <w:pPr>
        <w:numPr>
          <w:ilvl w:val="0"/>
          <w:numId w:val="54"/>
        </w:numPr>
        <w:tabs>
          <w:tab w:val="clear" w:pos="720"/>
          <w:tab w:val="num" w:pos="1100"/>
        </w:tabs>
        <w:ind w:left="1100" w:hanging="550"/>
        <w:jc w:val="both"/>
        <w:rPr>
          <w:sz w:val="20"/>
        </w:rPr>
      </w:pPr>
      <w:r w:rsidRPr="000615AB">
        <w:rPr>
          <w:sz w:val="20"/>
        </w:rPr>
        <w:t>Volumen de trabajo administrativo del sistema de La Haya;</w:t>
      </w:r>
    </w:p>
    <w:p w:rsidR="00383888" w:rsidRPr="000615AB" w:rsidRDefault="00383888" w:rsidP="00FE7D9C">
      <w:pPr>
        <w:numPr>
          <w:ilvl w:val="0"/>
          <w:numId w:val="54"/>
        </w:numPr>
        <w:tabs>
          <w:tab w:val="clear" w:pos="720"/>
          <w:tab w:val="num" w:pos="1100"/>
        </w:tabs>
        <w:ind w:left="1100" w:hanging="550"/>
        <w:jc w:val="both"/>
        <w:rPr>
          <w:sz w:val="20"/>
        </w:rPr>
      </w:pPr>
      <w:r w:rsidRPr="000615AB">
        <w:rPr>
          <w:sz w:val="20"/>
        </w:rPr>
        <w:t>Personal asignado para gestionar el volumen de trabajo.</w:t>
      </w:r>
    </w:p>
    <w:p w:rsidR="00383888" w:rsidRPr="000615AB" w:rsidRDefault="00383888" w:rsidP="00383888">
      <w:pPr>
        <w:jc w:val="both"/>
        <w:rPr>
          <w:b/>
          <w:sz w:val="20"/>
        </w:rPr>
      </w:pPr>
    </w:p>
    <w:p w:rsidR="00383888" w:rsidRPr="000615AB" w:rsidRDefault="00383888" w:rsidP="00383888">
      <w:pPr>
        <w:rPr>
          <w:b/>
          <w:sz w:val="20"/>
        </w:rPr>
      </w:pPr>
      <w:r w:rsidRPr="000615AB">
        <w:rPr>
          <w:b/>
          <w:sz w:val="20"/>
        </w:rPr>
        <w:t>Volumen de trabajo</w:t>
      </w:r>
    </w:p>
    <w:p w:rsidR="00383888" w:rsidRPr="000615AB" w:rsidRDefault="00383888" w:rsidP="00383888">
      <w:pPr>
        <w:jc w:val="both"/>
        <w:rPr>
          <w:b/>
          <w:sz w:val="20"/>
        </w:rPr>
      </w:pPr>
    </w:p>
    <w:p w:rsidR="00383888" w:rsidRPr="000615AB" w:rsidRDefault="00383888" w:rsidP="00FE7D9C">
      <w:pPr>
        <w:numPr>
          <w:ilvl w:val="0"/>
          <w:numId w:val="57"/>
        </w:numPr>
        <w:jc w:val="both"/>
        <w:rPr>
          <w:sz w:val="20"/>
        </w:rPr>
      </w:pPr>
      <w:r w:rsidRPr="000615AB">
        <w:rPr>
          <w:sz w:val="20"/>
        </w:rPr>
        <w:t xml:space="preserve">La evolución del volumen de trabajo se analiza a partir del número de solicitudes y peticiones que la Oficina Internacional recibe por año en lo relativo a tres esferas, a saber, la adquisición y el mantenimiento de derechos que abarca las nuevas solicitudes y las solicitudes de renovación;  las decisiones de las Partes Contratantes designadas;  y las peticiones de </w:t>
      </w:r>
      <w:r>
        <w:rPr>
          <w:sz w:val="20"/>
        </w:rPr>
        <w:t xml:space="preserve">inscripción de </w:t>
      </w:r>
      <w:r w:rsidRPr="000615AB">
        <w:rPr>
          <w:sz w:val="20"/>
        </w:rPr>
        <w:t>cambio</w:t>
      </w:r>
      <w:r>
        <w:rPr>
          <w:sz w:val="20"/>
        </w:rPr>
        <w:t xml:space="preserve">s en </w:t>
      </w:r>
      <w:r w:rsidRPr="000615AB">
        <w:rPr>
          <w:sz w:val="20"/>
        </w:rPr>
        <w:t>el Registro Internacional.</w:t>
      </w:r>
    </w:p>
    <w:p w:rsidR="00383888" w:rsidRPr="000615AB" w:rsidRDefault="00383888" w:rsidP="00383888">
      <w:pPr>
        <w:rPr>
          <w:sz w:val="20"/>
        </w:rPr>
      </w:pPr>
    </w:p>
    <w:p w:rsidR="00383888" w:rsidRPr="00D22B96" w:rsidRDefault="00383888" w:rsidP="00FE7D9C">
      <w:pPr>
        <w:numPr>
          <w:ilvl w:val="0"/>
          <w:numId w:val="57"/>
        </w:numPr>
        <w:jc w:val="both"/>
        <w:rPr>
          <w:sz w:val="20"/>
        </w:rPr>
      </w:pPr>
      <w:r w:rsidRPr="000615AB">
        <w:rPr>
          <w:sz w:val="20"/>
        </w:rPr>
        <w:t>La Oficina Internacional recibió 10.609 solicitudes y peticiones en 2012, lo que supone un incremento del 8,6% con respecto a 2011</w:t>
      </w:r>
      <w:r w:rsidRPr="00D22B96">
        <w:rPr>
          <w:sz w:val="20"/>
        </w:rPr>
        <w:t>.</w:t>
      </w:r>
    </w:p>
    <w:p w:rsidR="00383888" w:rsidRPr="000615AB" w:rsidRDefault="00383888" w:rsidP="00383888">
      <w:pPr>
        <w:rPr>
          <w:i/>
          <w:sz w:val="20"/>
        </w:rPr>
      </w:pPr>
    </w:p>
    <w:p w:rsidR="00383888" w:rsidRPr="000615AB" w:rsidRDefault="00383888" w:rsidP="00383888">
      <w:pPr>
        <w:rPr>
          <w:i/>
          <w:sz w:val="20"/>
        </w:rPr>
      </w:pPr>
      <w:r w:rsidRPr="000615AB">
        <w:rPr>
          <w:i/>
          <w:sz w:val="20"/>
        </w:rPr>
        <w:br w:type="page"/>
      </w:r>
      <w:r w:rsidRPr="000615AB">
        <w:rPr>
          <w:i/>
          <w:sz w:val="20"/>
        </w:rPr>
        <w:lastRenderedPageBreak/>
        <w:t>Número total de solicitudes y peticiones recibidas por la Oficina Internacional</w:t>
      </w:r>
    </w:p>
    <w:p w:rsidR="00383888" w:rsidRPr="000615AB" w:rsidRDefault="00C40A11" w:rsidP="00383888">
      <w:pPr>
        <w:rPr>
          <w:sz w:val="20"/>
          <w:highlight w:val="yellow"/>
        </w:rPr>
      </w:pPr>
      <w:r>
        <w:rPr>
          <w:noProof/>
          <w:lang w:val="en-US" w:eastAsia="en-US"/>
        </w:rPr>
        <w:drawing>
          <wp:inline distT="0" distB="0" distL="0" distR="0" wp14:anchorId="4BCE2D2D" wp14:editId="3FA7FA2E">
            <wp:extent cx="5759450" cy="1896745"/>
            <wp:effectExtent l="0" t="0" r="0" b="8255"/>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5759450" cy="1896745"/>
                    </a:xfrm>
                    <a:prstGeom prst="rect">
                      <a:avLst/>
                    </a:prstGeom>
                    <a:noFill/>
                    <a:ln>
                      <a:noFill/>
                    </a:ln>
                  </pic:spPr>
                </pic:pic>
              </a:graphicData>
            </a:graphic>
          </wp:inline>
        </w:drawing>
      </w:r>
    </w:p>
    <w:p w:rsidR="00383888" w:rsidRPr="000615AB" w:rsidRDefault="00383888" w:rsidP="00383888">
      <w:pPr>
        <w:keepNext/>
        <w:keepLines/>
        <w:rPr>
          <w:rStyle w:val="CommentReference"/>
        </w:rPr>
      </w:pPr>
    </w:p>
    <w:p w:rsidR="00383888" w:rsidRPr="000615AB" w:rsidRDefault="00383888" w:rsidP="00383888"/>
    <w:p w:rsidR="00383888" w:rsidRPr="000615AB" w:rsidRDefault="00383888" w:rsidP="00383888">
      <w:pPr>
        <w:rPr>
          <w:i/>
          <w:sz w:val="20"/>
        </w:rPr>
      </w:pPr>
      <w:r w:rsidRPr="000615AB">
        <w:rPr>
          <w:i/>
          <w:sz w:val="20"/>
        </w:rPr>
        <w:t>Adquisición de derechos</w:t>
      </w:r>
    </w:p>
    <w:p w:rsidR="00383888" w:rsidRPr="000615AB" w:rsidRDefault="00383888" w:rsidP="00383888">
      <w:pPr>
        <w:jc w:val="both"/>
        <w:rPr>
          <w:i/>
          <w:sz w:val="20"/>
        </w:rPr>
      </w:pPr>
    </w:p>
    <w:p w:rsidR="00383888" w:rsidRPr="00D22B96" w:rsidRDefault="00383888" w:rsidP="00FE7D9C">
      <w:pPr>
        <w:numPr>
          <w:ilvl w:val="0"/>
          <w:numId w:val="57"/>
        </w:numPr>
        <w:jc w:val="both"/>
        <w:rPr>
          <w:sz w:val="20"/>
        </w:rPr>
      </w:pPr>
      <w:r w:rsidRPr="00D821D3">
        <w:rPr>
          <w:sz w:val="20"/>
        </w:rPr>
        <w:t>La adquisición de derechos abarca las solicitudes (solicitudes de registro y de renovación) que</w:t>
      </w:r>
      <w:r w:rsidRPr="000615AB">
        <w:rPr>
          <w:sz w:val="20"/>
        </w:rPr>
        <w:t xml:space="preserve"> luego dan lugar a o mantienen la inscripción de un registro en el Registro Internacional</w:t>
      </w:r>
      <w:r w:rsidRPr="00D22B96">
        <w:rPr>
          <w:sz w:val="20"/>
        </w:rPr>
        <w:t>.</w:t>
      </w:r>
    </w:p>
    <w:p w:rsidR="00383888" w:rsidRPr="000615AB" w:rsidRDefault="00383888" w:rsidP="00383888">
      <w:pPr>
        <w:rPr>
          <w:sz w:val="20"/>
        </w:rPr>
      </w:pPr>
    </w:p>
    <w:p w:rsidR="00383888" w:rsidRPr="000615AB" w:rsidRDefault="00C40A11" w:rsidP="00383888">
      <w:pPr>
        <w:jc w:val="center"/>
      </w:pPr>
      <w:r>
        <w:rPr>
          <w:noProof/>
          <w:lang w:val="en-US" w:eastAsia="en-US"/>
        </w:rPr>
        <w:drawing>
          <wp:inline distT="0" distB="0" distL="0" distR="0" wp14:anchorId="2A358098" wp14:editId="6192FE70">
            <wp:extent cx="5759450" cy="1869440"/>
            <wp:effectExtent l="0" t="0" r="0"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5759450" cy="1869440"/>
                    </a:xfrm>
                    <a:prstGeom prst="rect">
                      <a:avLst/>
                    </a:prstGeom>
                    <a:noFill/>
                    <a:ln>
                      <a:noFill/>
                    </a:ln>
                  </pic:spPr>
                </pic:pic>
              </a:graphicData>
            </a:graphic>
          </wp:inline>
        </w:drawing>
      </w:r>
    </w:p>
    <w:p w:rsidR="00383888" w:rsidRPr="000615AB" w:rsidRDefault="00383888" w:rsidP="00383888"/>
    <w:p w:rsidR="00383888" w:rsidRPr="000615AB" w:rsidRDefault="00383888" w:rsidP="00383888">
      <w:pPr>
        <w:rPr>
          <w:i/>
          <w:sz w:val="20"/>
        </w:rPr>
      </w:pPr>
      <w:r w:rsidRPr="000615AB">
        <w:rPr>
          <w:i/>
          <w:sz w:val="20"/>
        </w:rPr>
        <w:t xml:space="preserve">Número de dibujos y modelos industriales </w:t>
      </w:r>
    </w:p>
    <w:p w:rsidR="00383888" w:rsidRPr="000615AB" w:rsidRDefault="00383888" w:rsidP="00383888">
      <w:pPr>
        <w:rPr>
          <w:sz w:val="20"/>
        </w:rPr>
      </w:pPr>
    </w:p>
    <w:p w:rsidR="00383888" w:rsidRDefault="00383888" w:rsidP="00FE7D9C">
      <w:pPr>
        <w:numPr>
          <w:ilvl w:val="0"/>
          <w:numId w:val="57"/>
        </w:numPr>
        <w:jc w:val="both"/>
        <w:rPr>
          <w:sz w:val="20"/>
        </w:rPr>
      </w:pPr>
      <w:r w:rsidRPr="000615AB">
        <w:rPr>
          <w:sz w:val="20"/>
        </w:rPr>
        <w:t>El número medio de dibujos y modelos por registro es de 4,9.</w:t>
      </w:r>
    </w:p>
    <w:p w:rsidR="00383888" w:rsidRPr="000615AB" w:rsidRDefault="00383888" w:rsidP="00383888">
      <w:pPr>
        <w:jc w:val="both"/>
        <w:rPr>
          <w:sz w:val="20"/>
        </w:rPr>
      </w:pPr>
    </w:p>
    <w:p w:rsidR="00383888" w:rsidRPr="000615AB" w:rsidRDefault="00C40A11" w:rsidP="00383888">
      <w:pPr>
        <w:jc w:val="center"/>
        <w:rPr>
          <w:sz w:val="20"/>
        </w:rPr>
      </w:pPr>
      <w:r>
        <w:rPr>
          <w:noProof/>
          <w:lang w:val="en-US" w:eastAsia="en-US"/>
        </w:rPr>
        <w:drawing>
          <wp:inline distT="0" distB="0" distL="0" distR="0" wp14:anchorId="5F3809DE" wp14:editId="03DF7B2B">
            <wp:extent cx="5506720" cy="2395220"/>
            <wp:effectExtent l="0" t="0" r="0" b="508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5506720" cy="2395220"/>
                    </a:xfrm>
                    <a:prstGeom prst="rect">
                      <a:avLst/>
                    </a:prstGeom>
                    <a:noFill/>
                    <a:ln>
                      <a:noFill/>
                    </a:ln>
                  </pic:spPr>
                </pic:pic>
              </a:graphicData>
            </a:graphic>
          </wp:inline>
        </w:drawing>
      </w:r>
    </w:p>
    <w:p w:rsidR="00383888" w:rsidRPr="000615AB" w:rsidRDefault="00383888" w:rsidP="00383888"/>
    <w:p w:rsidR="00383888" w:rsidRPr="000615AB" w:rsidRDefault="00383888" w:rsidP="00383888">
      <w:pPr>
        <w:rPr>
          <w:i/>
          <w:sz w:val="20"/>
        </w:rPr>
      </w:pPr>
      <w:r w:rsidRPr="000615AB">
        <w:rPr>
          <w:i/>
          <w:sz w:val="20"/>
        </w:rPr>
        <w:t>Peticiones de cambio</w:t>
      </w:r>
    </w:p>
    <w:p w:rsidR="00383888" w:rsidRPr="000615AB" w:rsidRDefault="00383888" w:rsidP="00383888">
      <w:pPr>
        <w:rPr>
          <w:sz w:val="20"/>
        </w:rPr>
      </w:pPr>
    </w:p>
    <w:p w:rsidR="00383888" w:rsidRPr="00D22B96" w:rsidRDefault="00383888" w:rsidP="00FE7D9C">
      <w:pPr>
        <w:numPr>
          <w:ilvl w:val="0"/>
          <w:numId w:val="57"/>
        </w:numPr>
        <w:jc w:val="both"/>
        <w:rPr>
          <w:sz w:val="20"/>
        </w:rPr>
      </w:pPr>
      <w:r w:rsidRPr="000615AB">
        <w:rPr>
          <w:sz w:val="20"/>
        </w:rPr>
        <w:t>A continuación se refleja la evolución del número de peticiones para la inscripción de cambios en el Registro Internacional.  Solo una fracción de los cambios están sujetos al pago de tasas</w:t>
      </w:r>
      <w:r w:rsidRPr="00D22B96">
        <w:rPr>
          <w:sz w:val="20"/>
        </w:rPr>
        <w:t>.</w:t>
      </w:r>
    </w:p>
    <w:p w:rsidR="00383888" w:rsidRPr="000615AB" w:rsidRDefault="00383888" w:rsidP="00383888">
      <w:pPr>
        <w:rPr>
          <w:sz w:val="20"/>
        </w:rPr>
      </w:pPr>
    </w:p>
    <w:p w:rsidR="00383888" w:rsidRPr="000615AB" w:rsidRDefault="00C40A11" w:rsidP="00383888">
      <w:pPr>
        <w:rPr>
          <w:sz w:val="20"/>
        </w:rPr>
      </w:pPr>
      <w:r>
        <w:rPr>
          <w:noProof/>
          <w:lang w:val="en-US" w:eastAsia="en-US"/>
        </w:rPr>
        <w:lastRenderedPageBreak/>
        <w:drawing>
          <wp:inline distT="0" distB="0" distL="0" distR="0" wp14:anchorId="2F84DB37" wp14:editId="16DAA879">
            <wp:extent cx="5759450" cy="1794510"/>
            <wp:effectExtent l="0" t="0" r="0"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5759450" cy="1794510"/>
                    </a:xfrm>
                    <a:prstGeom prst="rect">
                      <a:avLst/>
                    </a:prstGeom>
                    <a:noFill/>
                    <a:ln>
                      <a:noFill/>
                    </a:ln>
                  </pic:spPr>
                </pic:pic>
              </a:graphicData>
            </a:graphic>
          </wp:inline>
        </w:drawing>
      </w:r>
    </w:p>
    <w:p w:rsidR="00383888" w:rsidRPr="000615AB" w:rsidRDefault="00383888" w:rsidP="00383888">
      <w:pPr>
        <w:rPr>
          <w:i/>
          <w:sz w:val="20"/>
        </w:rPr>
      </w:pPr>
    </w:p>
    <w:p w:rsidR="00383888" w:rsidRPr="000615AB" w:rsidRDefault="00383888" w:rsidP="00383888">
      <w:pPr>
        <w:rPr>
          <w:i/>
          <w:sz w:val="20"/>
        </w:rPr>
      </w:pPr>
    </w:p>
    <w:p w:rsidR="00383888" w:rsidRPr="000615AB" w:rsidRDefault="00383888" w:rsidP="00383888">
      <w:pPr>
        <w:rPr>
          <w:i/>
          <w:sz w:val="20"/>
        </w:rPr>
      </w:pPr>
      <w:r w:rsidRPr="000615AB">
        <w:rPr>
          <w:i/>
          <w:sz w:val="20"/>
        </w:rPr>
        <w:t>Número de designaciones</w:t>
      </w:r>
    </w:p>
    <w:p w:rsidR="00383888" w:rsidRPr="000615AB" w:rsidRDefault="00C40A11" w:rsidP="00383888">
      <w:pPr>
        <w:jc w:val="center"/>
        <w:rPr>
          <w:sz w:val="20"/>
        </w:rPr>
      </w:pPr>
      <w:r>
        <w:rPr>
          <w:noProof/>
          <w:lang w:val="en-US" w:eastAsia="en-US"/>
        </w:rPr>
        <w:drawing>
          <wp:inline distT="0" distB="0" distL="0" distR="0" wp14:anchorId="5D7DD51D" wp14:editId="3F65AB5A">
            <wp:extent cx="5370195" cy="2265680"/>
            <wp:effectExtent l="0" t="0" r="1905" b="127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5370195" cy="2265680"/>
                    </a:xfrm>
                    <a:prstGeom prst="rect">
                      <a:avLst/>
                    </a:prstGeom>
                    <a:noFill/>
                    <a:ln>
                      <a:noFill/>
                    </a:ln>
                  </pic:spPr>
                </pic:pic>
              </a:graphicData>
            </a:graphic>
          </wp:inline>
        </w:drawing>
      </w:r>
    </w:p>
    <w:p w:rsidR="00383888" w:rsidRPr="000615AB" w:rsidRDefault="00383888" w:rsidP="00383888">
      <w:pPr>
        <w:rPr>
          <w:i/>
          <w:sz w:val="20"/>
        </w:rPr>
      </w:pPr>
      <w:r w:rsidRPr="000615AB">
        <w:rPr>
          <w:i/>
          <w:sz w:val="20"/>
        </w:rPr>
        <w:t>Decisiones</w:t>
      </w:r>
    </w:p>
    <w:p w:rsidR="00383888" w:rsidRPr="000615AB" w:rsidRDefault="00383888" w:rsidP="00383888">
      <w:pPr>
        <w:rPr>
          <w:sz w:val="20"/>
        </w:rPr>
      </w:pPr>
    </w:p>
    <w:p w:rsidR="00383888" w:rsidRPr="000615AB" w:rsidRDefault="00C40A11" w:rsidP="00383888">
      <w:pPr>
        <w:jc w:val="center"/>
        <w:rPr>
          <w:sz w:val="20"/>
        </w:rPr>
      </w:pPr>
      <w:r>
        <w:rPr>
          <w:noProof/>
          <w:lang w:val="en-US" w:eastAsia="en-US"/>
        </w:rPr>
        <w:drawing>
          <wp:inline distT="0" distB="0" distL="0" distR="0" wp14:anchorId="3A6B722A" wp14:editId="47078043">
            <wp:extent cx="5240655" cy="2320290"/>
            <wp:effectExtent l="0" t="0" r="0" b="381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5240655" cy="2320290"/>
                    </a:xfrm>
                    <a:prstGeom prst="rect">
                      <a:avLst/>
                    </a:prstGeom>
                    <a:noFill/>
                    <a:ln>
                      <a:noFill/>
                    </a:ln>
                  </pic:spPr>
                </pic:pic>
              </a:graphicData>
            </a:graphic>
          </wp:inline>
        </w:drawing>
      </w:r>
    </w:p>
    <w:p w:rsidR="00383888" w:rsidRPr="000615AB" w:rsidRDefault="00383888" w:rsidP="00383888">
      <w:pPr>
        <w:rPr>
          <w:i/>
          <w:sz w:val="20"/>
        </w:rPr>
      </w:pPr>
      <w:r w:rsidRPr="000615AB">
        <w:rPr>
          <w:b/>
        </w:rPr>
        <w:br w:type="page"/>
      </w:r>
      <w:r w:rsidRPr="000615AB">
        <w:rPr>
          <w:i/>
          <w:sz w:val="20"/>
        </w:rPr>
        <w:lastRenderedPageBreak/>
        <w:t>Métodos de presentación</w:t>
      </w:r>
    </w:p>
    <w:p w:rsidR="00383888" w:rsidRPr="000615AB" w:rsidRDefault="00C40A11" w:rsidP="00383888">
      <w:pPr>
        <w:rPr>
          <w:i/>
          <w:sz w:val="20"/>
        </w:rPr>
      </w:pPr>
      <w:r>
        <w:rPr>
          <w:noProof/>
          <w:lang w:val="en-US" w:eastAsia="en-US"/>
        </w:rPr>
        <w:drawing>
          <wp:inline distT="0" distB="0" distL="0" distR="0" wp14:anchorId="05D05D5D" wp14:editId="259A7627">
            <wp:extent cx="5759450" cy="1692275"/>
            <wp:effectExtent l="0" t="0" r="0" b="3175"/>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244" cstate="print">
                      <a:extLst>
                        <a:ext uri="{28A0092B-C50C-407E-A947-70E740481C1C}">
                          <a14:useLocalDpi xmlns:a14="http://schemas.microsoft.com/office/drawing/2010/main" val="0"/>
                        </a:ext>
                      </a:extLst>
                    </a:blip>
                    <a:srcRect/>
                    <a:stretch>
                      <a:fillRect/>
                    </a:stretch>
                  </pic:blipFill>
                  <pic:spPr bwMode="auto">
                    <a:xfrm>
                      <a:off x="0" y="0"/>
                      <a:ext cx="5759450" cy="1692275"/>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rPr>
          <w:sz w:val="20"/>
        </w:rPr>
      </w:pPr>
    </w:p>
    <w:p w:rsidR="00383888" w:rsidRPr="000615AB" w:rsidRDefault="00383888" w:rsidP="00383888">
      <w:pPr>
        <w:rPr>
          <w:i/>
          <w:sz w:val="20"/>
        </w:rPr>
      </w:pPr>
      <w:r w:rsidRPr="000615AB">
        <w:rPr>
          <w:i/>
          <w:sz w:val="20"/>
        </w:rPr>
        <w:t>Índice de solicitudes regulares</w:t>
      </w:r>
    </w:p>
    <w:p w:rsidR="00383888" w:rsidRPr="000615AB" w:rsidRDefault="00383888" w:rsidP="00383888">
      <w:pPr>
        <w:rPr>
          <w:sz w:val="20"/>
        </w:rPr>
      </w:pPr>
    </w:p>
    <w:p w:rsidR="00383888" w:rsidRPr="000615AB" w:rsidRDefault="00383888" w:rsidP="00FE7D9C">
      <w:pPr>
        <w:numPr>
          <w:ilvl w:val="0"/>
          <w:numId w:val="57"/>
        </w:numPr>
        <w:jc w:val="both"/>
        <w:rPr>
          <w:sz w:val="20"/>
        </w:rPr>
      </w:pPr>
      <w:r w:rsidRPr="000615AB">
        <w:rPr>
          <w:sz w:val="20"/>
        </w:rPr>
        <w:t>El número de solicitudes que presentan irregularidades supone un aumento del volumen de trabajo del examen y de la duración total del procedimiento.</w:t>
      </w:r>
    </w:p>
    <w:p w:rsidR="00383888" w:rsidRPr="000615AB" w:rsidRDefault="00383888" w:rsidP="00383888">
      <w:pPr>
        <w:rPr>
          <w:sz w:val="20"/>
        </w:rPr>
      </w:pPr>
    </w:p>
    <w:p w:rsidR="00383888" w:rsidRPr="000615AB" w:rsidRDefault="00C40A11" w:rsidP="00383888">
      <w:pPr>
        <w:rPr>
          <w:sz w:val="20"/>
        </w:rPr>
      </w:pPr>
      <w:r>
        <w:rPr>
          <w:noProof/>
          <w:lang w:val="en-US" w:eastAsia="en-US"/>
        </w:rPr>
        <w:drawing>
          <wp:inline distT="0" distB="0" distL="0" distR="0" wp14:anchorId="31B386F1" wp14:editId="4F4C9E0C">
            <wp:extent cx="5759450" cy="1992630"/>
            <wp:effectExtent l="0" t="0" r="0" b="762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5759450" cy="1992630"/>
                    </a:xfrm>
                    <a:prstGeom prst="rect">
                      <a:avLst/>
                    </a:prstGeom>
                    <a:noFill/>
                    <a:ln>
                      <a:noFill/>
                    </a:ln>
                  </pic:spPr>
                </pic:pic>
              </a:graphicData>
            </a:graphic>
          </wp:inline>
        </w:drawing>
      </w:r>
    </w:p>
    <w:p w:rsidR="00383888" w:rsidRPr="000615AB" w:rsidRDefault="00383888" w:rsidP="00383888">
      <w:pPr>
        <w:rPr>
          <w:i/>
          <w:sz w:val="20"/>
        </w:rPr>
      </w:pPr>
      <w:r w:rsidRPr="000615AB">
        <w:rPr>
          <w:i/>
          <w:sz w:val="20"/>
        </w:rPr>
        <w:t>Análisis del volumen de trabajo</w:t>
      </w:r>
    </w:p>
    <w:p w:rsidR="00383888" w:rsidRPr="000615AB" w:rsidRDefault="00383888" w:rsidP="00383888">
      <w:pPr>
        <w:rPr>
          <w:sz w:val="20"/>
        </w:rPr>
      </w:pPr>
    </w:p>
    <w:p w:rsidR="00383888" w:rsidRPr="000615AB" w:rsidRDefault="00383888" w:rsidP="00FE7D9C">
      <w:pPr>
        <w:numPr>
          <w:ilvl w:val="0"/>
          <w:numId w:val="57"/>
        </w:numPr>
        <w:jc w:val="both"/>
        <w:rPr>
          <w:sz w:val="20"/>
        </w:rPr>
      </w:pPr>
      <w:r w:rsidRPr="000615AB">
        <w:rPr>
          <w:sz w:val="20"/>
        </w:rPr>
        <w:t>Como lo reflejan los indicadores precedentes, son varios los parámetros que influyen en el volumen de trabajo del sistema de La Haya, además del número de solicitudes y de renovaciones. Estas últimas representan solo el 60% del número de solicitudes recibidas.  Se espera que este porcentaje disminuya marcadamente en los próximos años puesto que se adherirán Partes Contratantes cuyas Oficinas van a emitir sistemáticamente decisiones en cuanto a la concesión o a la denegación de la protección.  Como consecuencia, los indicadores de costos y la previsión de recursos necesarios toman en cuenta todos los parámetros relativos al volumen de trabajo antes mencionados.</w:t>
      </w:r>
    </w:p>
    <w:p w:rsidR="00383888" w:rsidRPr="000615AB" w:rsidRDefault="00383888" w:rsidP="00383888">
      <w:pPr>
        <w:jc w:val="both"/>
        <w:rPr>
          <w:sz w:val="20"/>
        </w:rPr>
      </w:pPr>
    </w:p>
    <w:p w:rsidR="00383888" w:rsidRPr="000615AB" w:rsidRDefault="00383888" w:rsidP="00383888">
      <w:pPr>
        <w:rPr>
          <w:b/>
          <w:sz w:val="20"/>
        </w:rPr>
      </w:pPr>
      <w:r w:rsidRPr="000615AB">
        <w:rPr>
          <w:b/>
          <w:sz w:val="20"/>
        </w:rPr>
        <w:t>Recursos</w:t>
      </w:r>
    </w:p>
    <w:p w:rsidR="00383888" w:rsidRPr="000615AB" w:rsidRDefault="00383888" w:rsidP="00383888">
      <w:pPr>
        <w:jc w:val="both"/>
        <w:rPr>
          <w:b/>
          <w:sz w:val="20"/>
        </w:rPr>
      </w:pPr>
    </w:p>
    <w:p w:rsidR="00383888" w:rsidRPr="00D22B96" w:rsidRDefault="00383888" w:rsidP="00FE7D9C">
      <w:pPr>
        <w:numPr>
          <w:ilvl w:val="0"/>
          <w:numId w:val="57"/>
        </w:numPr>
        <w:jc w:val="both"/>
        <w:rPr>
          <w:sz w:val="20"/>
        </w:rPr>
      </w:pPr>
      <w:r w:rsidRPr="000615AB">
        <w:rPr>
          <w:sz w:val="20"/>
        </w:rPr>
        <w:t>Los costos de producción se dividen en costos directos y costos indirectos.  Los costos directos corresponden al gasto de las unidades del sistema de La Haya (la administración del sistema y los programas de La Haya).  Los costos indirectos abarcan los gastos de las unidades de la Organización que prestan servicios al sistema de La Haya (por ejemplo, oficinas, tecnologías de la información, etcétera).  Los gastos se calcularon en forma proporcional para dar cuenta de los costos imputables al sistema de La Haya únicamente</w:t>
      </w:r>
      <w:r w:rsidRPr="00D22B96">
        <w:rPr>
          <w:sz w:val="20"/>
        </w:rPr>
        <w:t>.</w:t>
      </w:r>
    </w:p>
    <w:p w:rsidR="00383888" w:rsidRPr="000615AB" w:rsidRDefault="00383888" w:rsidP="00383888">
      <w:pPr>
        <w:rPr>
          <w:sz w:val="20"/>
        </w:rPr>
      </w:pPr>
    </w:p>
    <w:p w:rsidR="00383888" w:rsidRPr="000615AB" w:rsidRDefault="00C40A11" w:rsidP="00383888">
      <w:pPr>
        <w:jc w:val="center"/>
        <w:rPr>
          <w:sz w:val="20"/>
        </w:rPr>
      </w:pPr>
      <w:r>
        <w:rPr>
          <w:noProof/>
          <w:lang w:val="en-US" w:eastAsia="en-US"/>
        </w:rPr>
        <w:lastRenderedPageBreak/>
        <w:drawing>
          <wp:inline distT="0" distB="0" distL="0" distR="0" wp14:anchorId="49580BAC" wp14:editId="51C4B31B">
            <wp:extent cx="4735830" cy="2122170"/>
            <wp:effectExtent l="0" t="0" r="762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4735830" cy="212217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rPr>
          <w:b/>
          <w:sz w:val="20"/>
        </w:rPr>
      </w:pPr>
      <w:r w:rsidRPr="000615AB">
        <w:rPr>
          <w:b/>
          <w:sz w:val="20"/>
        </w:rPr>
        <w:t>Indicadores del costo unitario</w:t>
      </w:r>
    </w:p>
    <w:p w:rsidR="00383888" w:rsidRPr="000615AB" w:rsidRDefault="00383888" w:rsidP="00383888">
      <w:pPr>
        <w:rPr>
          <w:sz w:val="20"/>
        </w:rPr>
      </w:pPr>
    </w:p>
    <w:p w:rsidR="00383888" w:rsidRPr="000615AB" w:rsidRDefault="00383888" w:rsidP="00FE7D9C">
      <w:pPr>
        <w:numPr>
          <w:ilvl w:val="0"/>
          <w:numId w:val="57"/>
        </w:numPr>
        <w:jc w:val="both"/>
        <w:rPr>
          <w:sz w:val="20"/>
        </w:rPr>
      </w:pPr>
      <w:r w:rsidRPr="000615AB">
        <w:rPr>
          <w:sz w:val="20"/>
        </w:rPr>
        <w:t xml:space="preserve">El costo unitario se define como el costo total medio de una unidad de producto.  Es posible descomponerlo de la siguiente manera: </w:t>
      </w:r>
    </w:p>
    <w:p w:rsidR="00383888" w:rsidRPr="000615AB" w:rsidRDefault="00383888" w:rsidP="00383888">
      <w:pPr>
        <w:jc w:val="both"/>
        <w:rPr>
          <w:sz w:val="20"/>
        </w:rPr>
      </w:pPr>
    </w:p>
    <w:p w:rsidR="00383888" w:rsidRPr="000615AB" w:rsidRDefault="00383888" w:rsidP="00FE7D9C">
      <w:pPr>
        <w:numPr>
          <w:ilvl w:val="0"/>
          <w:numId w:val="55"/>
        </w:numPr>
        <w:tabs>
          <w:tab w:val="clear" w:pos="720"/>
          <w:tab w:val="num" w:pos="1100"/>
        </w:tabs>
        <w:spacing w:after="120"/>
        <w:ind w:left="1100" w:hanging="550"/>
        <w:jc w:val="both"/>
        <w:rPr>
          <w:sz w:val="20"/>
        </w:rPr>
      </w:pPr>
      <w:r w:rsidRPr="000615AB">
        <w:rPr>
          <w:sz w:val="20"/>
        </w:rPr>
        <w:t>El costo unitario por solicitud -por solicitud se entiende un registro o una renovación-; representa el costo de la tramitación de solicitudes relacionadas con la adquisición de derechos.  Estas representan aproximadamente el 94% de los ingresos en concepto de tasas del sistema de La Haya.</w:t>
      </w:r>
    </w:p>
    <w:p w:rsidR="00383888" w:rsidRPr="000615AB" w:rsidRDefault="00383888" w:rsidP="00FE7D9C">
      <w:pPr>
        <w:numPr>
          <w:ilvl w:val="0"/>
          <w:numId w:val="55"/>
        </w:numPr>
        <w:tabs>
          <w:tab w:val="clear" w:pos="720"/>
          <w:tab w:val="num" w:pos="1100"/>
        </w:tabs>
        <w:spacing w:after="120"/>
        <w:ind w:left="1100" w:hanging="550"/>
        <w:jc w:val="both"/>
        <w:rPr>
          <w:sz w:val="20"/>
        </w:rPr>
      </w:pPr>
      <w:r w:rsidRPr="000615AB">
        <w:rPr>
          <w:sz w:val="20"/>
        </w:rPr>
        <w:t>Costo unitario por dibujo y/o modelo; dado que un registro puede comprender hasta 100 dibujos y modelos, el costo unitario da cuenta de los costos de tramitación de las solicitudes correspondientes a la "adquisición de derechos" sobre la base de un dibujo o modelo por solicitud.</w:t>
      </w:r>
    </w:p>
    <w:p w:rsidR="00383888" w:rsidRPr="000615AB" w:rsidRDefault="00383888" w:rsidP="00FE7D9C">
      <w:pPr>
        <w:numPr>
          <w:ilvl w:val="0"/>
          <w:numId w:val="55"/>
        </w:numPr>
        <w:tabs>
          <w:tab w:val="clear" w:pos="720"/>
          <w:tab w:val="num" w:pos="1100"/>
        </w:tabs>
        <w:ind w:left="1100" w:hanging="550"/>
        <w:jc w:val="both"/>
        <w:rPr>
          <w:sz w:val="20"/>
        </w:rPr>
      </w:pPr>
      <w:r w:rsidRPr="000615AB">
        <w:rPr>
          <w:sz w:val="20"/>
        </w:rPr>
        <w:t>Costo unitario por inscripción, que abarca todas las inscripciones en el Registro Internacional;  y por ende refleja los costos de mantenimiento del Registro e incluye el volumen de trabajo en su totalidad.</w:t>
      </w:r>
    </w:p>
    <w:p w:rsidR="00383888" w:rsidRPr="000615AB" w:rsidRDefault="00383888" w:rsidP="00383888">
      <w:pPr>
        <w:rPr>
          <w:sz w:val="20"/>
        </w:rPr>
      </w:pPr>
    </w:p>
    <w:p w:rsidR="00383888" w:rsidRPr="000615AB" w:rsidRDefault="00383888" w:rsidP="00383888">
      <w:pPr>
        <w:rPr>
          <w:i/>
          <w:sz w:val="20"/>
        </w:rPr>
      </w:pPr>
      <w:r w:rsidRPr="000615AB">
        <w:rPr>
          <w:i/>
          <w:sz w:val="20"/>
        </w:rPr>
        <w:t>Costo unitario por solicitud</w:t>
      </w:r>
    </w:p>
    <w:p w:rsidR="00383888" w:rsidRPr="000615AB" w:rsidRDefault="00383888" w:rsidP="00383888">
      <w:pPr>
        <w:rPr>
          <w:sz w:val="20"/>
        </w:rPr>
      </w:pPr>
    </w:p>
    <w:p w:rsidR="00383888" w:rsidRPr="000615AB" w:rsidRDefault="00C40A11" w:rsidP="00383888">
      <w:pPr>
        <w:jc w:val="center"/>
        <w:rPr>
          <w:i/>
          <w:sz w:val="20"/>
        </w:rPr>
      </w:pPr>
      <w:r>
        <w:rPr>
          <w:noProof/>
          <w:lang w:val="en-US" w:eastAsia="en-US"/>
        </w:rPr>
        <w:drawing>
          <wp:inline distT="0" distB="0" distL="0" distR="0" wp14:anchorId="0217E2B0" wp14:editId="69601F2D">
            <wp:extent cx="4688205" cy="1903730"/>
            <wp:effectExtent l="0" t="0" r="0" b="1270"/>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688205" cy="1903730"/>
                    </a:xfrm>
                    <a:prstGeom prst="rect">
                      <a:avLst/>
                    </a:prstGeom>
                    <a:noFill/>
                    <a:ln>
                      <a:noFill/>
                    </a:ln>
                  </pic:spPr>
                </pic:pic>
              </a:graphicData>
            </a:graphic>
          </wp:inline>
        </w:drawing>
      </w:r>
    </w:p>
    <w:p w:rsidR="00383888" w:rsidRPr="000615AB" w:rsidRDefault="00383888" w:rsidP="00383888">
      <w:pPr>
        <w:rPr>
          <w:i/>
          <w:sz w:val="20"/>
        </w:rPr>
      </w:pPr>
    </w:p>
    <w:p w:rsidR="00383888" w:rsidRPr="000615AB" w:rsidRDefault="00383888" w:rsidP="00383888">
      <w:pPr>
        <w:keepNext/>
        <w:keepLines/>
        <w:rPr>
          <w:i/>
          <w:sz w:val="20"/>
        </w:rPr>
      </w:pPr>
      <w:r w:rsidRPr="000615AB">
        <w:rPr>
          <w:i/>
          <w:sz w:val="20"/>
        </w:rPr>
        <w:lastRenderedPageBreak/>
        <w:t>Costo unitario por dibujo y/o modelo</w:t>
      </w:r>
    </w:p>
    <w:p w:rsidR="00383888" w:rsidRPr="000615AB" w:rsidRDefault="00C40A11" w:rsidP="00383888">
      <w:pPr>
        <w:jc w:val="center"/>
        <w:rPr>
          <w:sz w:val="20"/>
        </w:rPr>
      </w:pPr>
      <w:r>
        <w:rPr>
          <w:noProof/>
          <w:lang w:val="en-US" w:eastAsia="en-US"/>
        </w:rPr>
        <w:drawing>
          <wp:inline distT="0" distB="0" distL="0" distR="0" wp14:anchorId="2798E5C1" wp14:editId="2FB2F6E1">
            <wp:extent cx="5145405" cy="2115185"/>
            <wp:effectExtent l="0" t="0" r="0" b="0"/>
            <wp:docPr id="177" name="Picture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5145405" cy="2115185"/>
                    </a:xfrm>
                    <a:prstGeom prst="rect">
                      <a:avLst/>
                    </a:prstGeom>
                    <a:noFill/>
                    <a:ln>
                      <a:noFill/>
                    </a:ln>
                  </pic:spPr>
                </pic:pic>
              </a:graphicData>
            </a:graphic>
          </wp:inline>
        </w:drawing>
      </w:r>
    </w:p>
    <w:p w:rsidR="00383888" w:rsidRPr="000615AB" w:rsidRDefault="00383888" w:rsidP="00383888">
      <w:pPr>
        <w:rPr>
          <w:i/>
          <w:sz w:val="20"/>
        </w:rPr>
      </w:pPr>
      <w:r w:rsidRPr="000615AB">
        <w:rPr>
          <w:i/>
          <w:sz w:val="20"/>
        </w:rPr>
        <w:t>Costo unitario por inscripción en el Registro Internacional</w:t>
      </w:r>
    </w:p>
    <w:p w:rsidR="00383888" w:rsidRPr="000615AB" w:rsidRDefault="00C40A11" w:rsidP="00383888">
      <w:pPr>
        <w:jc w:val="center"/>
        <w:rPr>
          <w:sz w:val="20"/>
        </w:rPr>
      </w:pPr>
      <w:r>
        <w:rPr>
          <w:noProof/>
          <w:lang w:val="en-US" w:eastAsia="en-US"/>
        </w:rPr>
        <w:drawing>
          <wp:inline distT="0" distB="0" distL="0" distR="0" wp14:anchorId="7FB5E070" wp14:editId="7F702C8F">
            <wp:extent cx="5309235" cy="2094865"/>
            <wp:effectExtent l="0" t="0" r="0"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5309235" cy="2094865"/>
                    </a:xfrm>
                    <a:prstGeom prst="rect">
                      <a:avLst/>
                    </a:prstGeom>
                    <a:noFill/>
                    <a:ln>
                      <a:noFill/>
                    </a:ln>
                  </pic:spPr>
                </pic:pic>
              </a:graphicData>
            </a:graphic>
          </wp:inline>
        </w:drawing>
      </w:r>
    </w:p>
    <w:p w:rsidR="00383888" w:rsidRPr="000615AB" w:rsidRDefault="00383888" w:rsidP="00383888">
      <w:pPr>
        <w:rPr>
          <w:b/>
          <w:sz w:val="20"/>
        </w:rPr>
      </w:pPr>
      <w:r w:rsidRPr="000615AB">
        <w:rPr>
          <w:b/>
          <w:sz w:val="20"/>
        </w:rPr>
        <w:t>Productividad</w:t>
      </w:r>
    </w:p>
    <w:p w:rsidR="00383888" w:rsidRPr="000615AB" w:rsidRDefault="00383888" w:rsidP="00383888">
      <w:pPr>
        <w:rPr>
          <w:sz w:val="20"/>
        </w:rPr>
      </w:pPr>
    </w:p>
    <w:p w:rsidR="00383888" w:rsidRPr="000615AB" w:rsidRDefault="00383888" w:rsidP="00FE7D9C">
      <w:pPr>
        <w:numPr>
          <w:ilvl w:val="0"/>
          <w:numId w:val="57"/>
        </w:numPr>
        <w:jc w:val="both"/>
        <w:rPr>
          <w:sz w:val="20"/>
        </w:rPr>
      </w:pPr>
      <w:r w:rsidRPr="000615AB">
        <w:rPr>
          <w:sz w:val="20"/>
        </w:rPr>
        <w:t>La productividad equivale al número de unidades de producto, es decir, solicitudes, modelos y dibujos, así como inscripciones, dividido entre el número de empleados de nómina registrado al final de cada año.</w:t>
      </w:r>
    </w:p>
    <w:p w:rsidR="00383888" w:rsidRPr="000615AB" w:rsidRDefault="00C40A11" w:rsidP="00383888">
      <w:pPr>
        <w:jc w:val="center"/>
        <w:rPr>
          <w:sz w:val="20"/>
        </w:rPr>
      </w:pPr>
      <w:r>
        <w:rPr>
          <w:noProof/>
          <w:lang w:val="en-US" w:eastAsia="en-US"/>
        </w:rPr>
        <w:drawing>
          <wp:inline distT="0" distB="0" distL="0" distR="0" wp14:anchorId="0D6A5E2B" wp14:editId="44AB409B">
            <wp:extent cx="5315585" cy="2094865"/>
            <wp:effectExtent l="0" t="0" r="0" b="635"/>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250" cstate="print">
                      <a:extLst>
                        <a:ext uri="{28A0092B-C50C-407E-A947-70E740481C1C}">
                          <a14:useLocalDpi xmlns:a14="http://schemas.microsoft.com/office/drawing/2010/main" val="0"/>
                        </a:ext>
                      </a:extLst>
                    </a:blip>
                    <a:srcRect/>
                    <a:stretch>
                      <a:fillRect/>
                    </a:stretch>
                  </pic:blipFill>
                  <pic:spPr bwMode="auto">
                    <a:xfrm>
                      <a:off x="0" y="0"/>
                      <a:ext cx="5315585" cy="2094865"/>
                    </a:xfrm>
                    <a:prstGeom prst="rect">
                      <a:avLst/>
                    </a:prstGeom>
                    <a:noFill/>
                    <a:ln>
                      <a:noFill/>
                    </a:ln>
                  </pic:spPr>
                </pic:pic>
              </a:graphicData>
            </a:graphic>
          </wp:inline>
        </w:drawing>
      </w:r>
    </w:p>
    <w:p w:rsidR="00383888" w:rsidRPr="000615AB" w:rsidRDefault="00C40A11" w:rsidP="00383888">
      <w:r>
        <w:rPr>
          <w:noProof/>
          <w:lang w:val="en-US" w:eastAsia="en-US"/>
        </w:rPr>
        <w:lastRenderedPageBreak/>
        <w:drawing>
          <wp:inline distT="0" distB="0" distL="0" distR="0" wp14:anchorId="78DA61DB" wp14:editId="6CE90FCF">
            <wp:extent cx="5759450" cy="2101850"/>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5759450" cy="2101850"/>
                    </a:xfrm>
                    <a:prstGeom prst="rect">
                      <a:avLst/>
                    </a:prstGeom>
                    <a:noFill/>
                    <a:ln>
                      <a:noFill/>
                    </a:ln>
                  </pic:spPr>
                </pic:pic>
              </a:graphicData>
            </a:graphic>
          </wp:inline>
        </w:drawing>
      </w:r>
    </w:p>
    <w:p w:rsidR="00383888" w:rsidRPr="000615AB" w:rsidRDefault="00C40A11" w:rsidP="00383888">
      <w:pPr>
        <w:jc w:val="center"/>
        <w:rPr>
          <w:b/>
          <w:sz w:val="20"/>
        </w:rPr>
      </w:pPr>
      <w:r>
        <w:rPr>
          <w:noProof/>
          <w:lang w:val="en-US" w:eastAsia="en-US"/>
        </w:rPr>
        <w:drawing>
          <wp:inline distT="0" distB="0" distL="0" distR="0" wp14:anchorId="44105EC7" wp14:editId="4310C565">
            <wp:extent cx="5254625" cy="2087880"/>
            <wp:effectExtent l="0" t="0" r="3175" b="762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252" cstate="print">
                      <a:extLst>
                        <a:ext uri="{28A0092B-C50C-407E-A947-70E740481C1C}">
                          <a14:useLocalDpi xmlns:a14="http://schemas.microsoft.com/office/drawing/2010/main" val="0"/>
                        </a:ext>
                      </a:extLst>
                    </a:blip>
                    <a:srcRect/>
                    <a:stretch>
                      <a:fillRect/>
                    </a:stretch>
                  </pic:blipFill>
                  <pic:spPr bwMode="auto">
                    <a:xfrm>
                      <a:off x="0" y="0"/>
                      <a:ext cx="5254625" cy="2087880"/>
                    </a:xfrm>
                    <a:prstGeom prst="rect">
                      <a:avLst/>
                    </a:prstGeom>
                    <a:noFill/>
                    <a:ln>
                      <a:noFill/>
                    </a:ln>
                  </pic:spPr>
                </pic:pic>
              </a:graphicData>
            </a:graphic>
          </wp:inline>
        </w:drawing>
      </w:r>
    </w:p>
    <w:p w:rsidR="00383888" w:rsidRPr="000615AB" w:rsidRDefault="00383888" w:rsidP="00383888">
      <w:pPr>
        <w:rPr>
          <w:b/>
          <w:sz w:val="20"/>
        </w:rPr>
      </w:pPr>
      <w:r w:rsidRPr="000615AB">
        <w:rPr>
          <w:b/>
          <w:sz w:val="20"/>
        </w:rPr>
        <w:t>Plazos de tramitación de una solicitud regular en el sistema de La Haya</w:t>
      </w:r>
    </w:p>
    <w:p w:rsidR="00383888" w:rsidRPr="000615AB" w:rsidRDefault="00383888" w:rsidP="00383888">
      <w:pPr>
        <w:rPr>
          <w:sz w:val="20"/>
        </w:rPr>
      </w:pPr>
    </w:p>
    <w:p w:rsidR="00383888" w:rsidRPr="000615AB" w:rsidRDefault="00383888" w:rsidP="00FE7D9C">
      <w:pPr>
        <w:numPr>
          <w:ilvl w:val="0"/>
          <w:numId w:val="57"/>
        </w:numPr>
        <w:jc w:val="both"/>
        <w:rPr>
          <w:sz w:val="20"/>
        </w:rPr>
      </w:pPr>
      <w:r w:rsidRPr="000615AB">
        <w:rPr>
          <w:sz w:val="20"/>
        </w:rPr>
        <w:t>Este indicador ilustra los plazos de tramitación de una solicitud de registro internacional.  Da cuenta del tiempo que tarda la Oficina Internacional en inscribir una solicitud internacional regular en el Registro.  Toma en cuenta los siguientes procesos: escaneo, introducción de datos, examen de la forma, verificación de las tasas y traducción.  Para calcular el tiempo de tramitación, se toma en cuenta el período comprendido entre la recepción del documento y su inscripción en el Registro Internacional.</w:t>
      </w:r>
    </w:p>
    <w:p w:rsidR="00383888" w:rsidRPr="000615AB" w:rsidRDefault="00383888" w:rsidP="00383888">
      <w:pPr>
        <w:rPr>
          <w:sz w:val="20"/>
        </w:rPr>
      </w:pPr>
    </w:p>
    <w:p w:rsidR="00383888" w:rsidRPr="000615AB" w:rsidRDefault="00C40A11" w:rsidP="00383888">
      <w:pPr>
        <w:ind w:left="900"/>
        <w:jc w:val="center"/>
        <w:rPr>
          <w:sz w:val="20"/>
        </w:rPr>
      </w:pPr>
      <w:r>
        <w:rPr>
          <w:noProof/>
          <w:lang w:val="en-US" w:eastAsia="en-US"/>
        </w:rPr>
        <w:drawing>
          <wp:inline distT="0" distB="0" distL="0" distR="0" wp14:anchorId="75718A02" wp14:editId="1FC85229">
            <wp:extent cx="4264660" cy="2286000"/>
            <wp:effectExtent l="0" t="0" r="254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4264660" cy="228600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rPr>
          <w:sz w:val="20"/>
        </w:rPr>
      </w:pPr>
    </w:p>
    <w:p w:rsidR="00383888" w:rsidRPr="000615AB" w:rsidRDefault="00383888" w:rsidP="00383888">
      <w:pPr>
        <w:rPr>
          <w:sz w:val="20"/>
        </w:rPr>
        <w:sectPr w:rsidR="00383888" w:rsidRPr="000615AB" w:rsidSect="00B47699">
          <w:pgSz w:w="11907" w:h="16840" w:code="9"/>
          <w:pgMar w:top="567" w:right="1418" w:bottom="1418" w:left="1418"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19" w:name="_Toc366078762"/>
      <w:r w:rsidRPr="00C3705E">
        <w:rPr>
          <w:b/>
          <w:caps w:val="0"/>
          <w:szCs w:val="24"/>
          <w:lang w:val="es-ES_tradnl"/>
        </w:rPr>
        <w:lastRenderedPageBreak/>
        <w:t>ANEXO VIII.</w:t>
      </w:r>
      <w:r w:rsidRPr="00C3705E">
        <w:rPr>
          <w:b/>
          <w:caps w:val="0"/>
          <w:szCs w:val="24"/>
          <w:lang w:val="es-ES_tradnl"/>
        </w:rPr>
        <w:tab/>
        <w:t>RECURSOS DE FONDOS FIDUCIARIOS DISPONIBLES POTENCIALMENTE PARA SU UTILIZACIÓN</w:t>
      </w:r>
      <w:bookmarkEnd w:id="119"/>
    </w:p>
    <w:p w:rsidR="00383888" w:rsidRPr="000615AB" w:rsidRDefault="00383888" w:rsidP="00383888">
      <w:pPr>
        <w:rPr>
          <w:sz w:val="20"/>
        </w:rPr>
      </w:pPr>
    </w:p>
    <w:p w:rsidR="00383888" w:rsidRPr="000615AB" w:rsidRDefault="00383888" w:rsidP="00383888">
      <w:pPr>
        <w:jc w:val="center"/>
        <w:rPr>
          <w:sz w:val="18"/>
          <w:szCs w:val="18"/>
        </w:rPr>
      </w:pPr>
      <w:r w:rsidRPr="000615AB">
        <w:rPr>
          <w:sz w:val="18"/>
          <w:szCs w:val="18"/>
        </w:rPr>
        <w:t>Cuadro 20.  Fondos fiduciarios disponibles potencialmente para su utilización en 2014/15 (por donante)</w:t>
      </w:r>
    </w:p>
    <w:p w:rsidR="00383888" w:rsidRPr="000615AB" w:rsidRDefault="00383888" w:rsidP="00383888">
      <w:pPr>
        <w:jc w:val="center"/>
        <w:rPr>
          <w:sz w:val="18"/>
          <w:szCs w:val="18"/>
        </w:rP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miles de francos suizos)</w:t>
      </w:r>
      <w:r w:rsidRPr="000615AB">
        <w:rPr>
          <w:iCs/>
          <w:sz w:val="18"/>
          <w:szCs w:val="18"/>
        </w:rPr>
        <w:t>1</w:t>
      </w:r>
    </w:p>
    <w:p w:rsidR="00383888" w:rsidRPr="000615AB" w:rsidRDefault="00383888" w:rsidP="00383888">
      <w:pPr>
        <w:rPr>
          <w:sz w:val="18"/>
          <w:szCs w:val="18"/>
        </w:rPr>
      </w:pPr>
    </w:p>
    <w:p w:rsidR="00383888" w:rsidRPr="000615AB" w:rsidRDefault="00C40A11" w:rsidP="00383888">
      <w:pPr>
        <w:jc w:val="center"/>
        <w:rPr>
          <w:szCs w:val="16"/>
        </w:rPr>
      </w:pPr>
      <w:r>
        <w:rPr>
          <w:noProof/>
          <w:lang w:val="en-US" w:eastAsia="en-US"/>
        </w:rPr>
        <w:drawing>
          <wp:inline distT="0" distB="0" distL="0" distR="0" wp14:anchorId="6304A3DE" wp14:editId="440F6599">
            <wp:extent cx="4415155" cy="5377180"/>
            <wp:effectExtent l="0" t="0" r="4445" b="0"/>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4415155" cy="5377180"/>
                    </a:xfrm>
                    <a:prstGeom prst="rect">
                      <a:avLst/>
                    </a:prstGeom>
                    <a:noFill/>
                    <a:ln>
                      <a:noFill/>
                    </a:ln>
                  </pic:spPr>
                </pic:pic>
              </a:graphicData>
            </a:graphic>
          </wp:inline>
        </w:drawing>
      </w:r>
    </w:p>
    <w:p w:rsidR="00383888" w:rsidRPr="000615AB" w:rsidRDefault="00383888" w:rsidP="00383888">
      <w:pPr>
        <w:rPr>
          <w:sz w:val="16"/>
          <w:szCs w:val="16"/>
        </w:rPr>
      </w:pPr>
      <w:r w:rsidRPr="000615AB">
        <w:rPr>
          <w:sz w:val="16"/>
          <w:szCs w:val="16"/>
        </w:rPr>
        <w:t>____________________________</w:t>
      </w:r>
    </w:p>
    <w:p w:rsidR="00383888" w:rsidRPr="000615AB" w:rsidRDefault="00383888" w:rsidP="00383888">
      <w:pPr>
        <w:rPr>
          <w:sz w:val="16"/>
          <w:szCs w:val="16"/>
          <w:highlight w:val="yellow"/>
        </w:rPr>
      </w:pPr>
    </w:p>
    <w:p w:rsidR="00383888" w:rsidRPr="00FE654B" w:rsidRDefault="00383888" w:rsidP="00383888">
      <w:pPr>
        <w:rPr>
          <w:sz w:val="16"/>
          <w:szCs w:val="16"/>
        </w:rPr>
      </w:pPr>
      <w:r w:rsidRPr="00FE654B">
        <w:rPr>
          <w:sz w:val="20"/>
          <w:vertAlign w:val="superscript"/>
        </w:rPr>
        <w:t>1</w:t>
      </w:r>
      <w:r w:rsidRPr="00FE654B">
        <w:rPr>
          <w:sz w:val="20"/>
        </w:rPr>
        <w:t xml:space="preserve"> </w:t>
      </w:r>
      <w:r w:rsidRPr="00FE654B">
        <w:rPr>
          <w:sz w:val="16"/>
          <w:szCs w:val="16"/>
        </w:rPr>
        <w:t>En las cifras no se han incluido los intereses ni los ajustes cambiarios.  Cabe señalar que estos fondos se destinan generalmente a actividades que cubren un período que va más allá de un solo bienio, a medida que se reciben los ingresos y se incurre en gastos.</w:t>
      </w:r>
    </w:p>
    <w:p w:rsidR="00383888" w:rsidRPr="00FE654B" w:rsidRDefault="00383888" w:rsidP="00383888">
      <w:pPr>
        <w:rPr>
          <w:sz w:val="16"/>
          <w:szCs w:val="16"/>
        </w:rPr>
      </w:pPr>
    </w:p>
    <w:p w:rsidR="00383888" w:rsidRPr="00FE654B" w:rsidRDefault="00383888" w:rsidP="00383888">
      <w:pPr>
        <w:rPr>
          <w:sz w:val="16"/>
          <w:szCs w:val="16"/>
        </w:rPr>
      </w:pPr>
      <w:r w:rsidRPr="00FE654B">
        <w:rPr>
          <w:sz w:val="20"/>
          <w:vertAlign w:val="superscript"/>
        </w:rPr>
        <w:t>2</w:t>
      </w:r>
      <w:r w:rsidRPr="00FE654B">
        <w:rPr>
          <w:sz w:val="16"/>
          <w:szCs w:val="16"/>
        </w:rPr>
        <w:t xml:space="preserve"> Las cifras expuestas en esta columna son puramente indicativas y no se basan en modelos de financiación anteriores.  Además, no representan los compromisos de los Estados miembros salvo cuando quedan incluidos en el acuerdo de fondos fiduciarios.</w:t>
      </w:r>
    </w:p>
    <w:p w:rsidR="00383888" w:rsidRPr="00FE654B" w:rsidRDefault="00383888" w:rsidP="00383888">
      <w:pPr>
        <w:rPr>
          <w:sz w:val="16"/>
          <w:szCs w:val="16"/>
        </w:rPr>
      </w:pPr>
    </w:p>
    <w:p w:rsidR="00383888" w:rsidRPr="00FE654B" w:rsidRDefault="00383888" w:rsidP="00383888">
      <w:pPr>
        <w:rPr>
          <w:sz w:val="16"/>
          <w:szCs w:val="16"/>
        </w:rPr>
      </w:pPr>
      <w:r w:rsidRPr="00FE654B">
        <w:rPr>
          <w:sz w:val="20"/>
          <w:vertAlign w:val="superscript"/>
        </w:rPr>
        <w:t>3</w:t>
      </w:r>
      <w:r w:rsidRPr="00FE654B">
        <w:rPr>
          <w:sz w:val="20"/>
        </w:rPr>
        <w:t xml:space="preserve"> </w:t>
      </w:r>
      <w:r w:rsidRPr="00FE654B">
        <w:rPr>
          <w:sz w:val="16"/>
          <w:szCs w:val="16"/>
        </w:rPr>
        <w:t>Las contribuciones anuales varían, observándose fluctuaciones de un año a otro.</w:t>
      </w:r>
    </w:p>
    <w:p w:rsidR="00383888" w:rsidRPr="00FE654B" w:rsidRDefault="00383888" w:rsidP="00383888">
      <w:pPr>
        <w:rPr>
          <w:sz w:val="16"/>
          <w:szCs w:val="16"/>
        </w:rPr>
      </w:pPr>
    </w:p>
    <w:p w:rsidR="00383888" w:rsidRPr="00FE654B" w:rsidRDefault="00383888" w:rsidP="00383888">
      <w:pPr>
        <w:rPr>
          <w:sz w:val="14"/>
          <w:szCs w:val="14"/>
        </w:rPr>
      </w:pPr>
      <w:r w:rsidRPr="00FE654B">
        <w:rPr>
          <w:sz w:val="20"/>
          <w:vertAlign w:val="superscript"/>
        </w:rPr>
        <w:t>4</w:t>
      </w:r>
      <w:r w:rsidRPr="00FE654B">
        <w:rPr>
          <w:sz w:val="16"/>
          <w:szCs w:val="16"/>
        </w:rPr>
        <w:t xml:space="preserve"> La contribución inicial al Fondo Fiduciario de Australia abarca el período comprendido entre 2012 y 2015. El fondo fiduciario de Australia está a cargo del Programa 21 y es ejecutado por varios Programas especializados.</w:t>
      </w:r>
    </w:p>
    <w:p w:rsidR="00383888" w:rsidRPr="00FE654B" w:rsidRDefault="00383888" w:rsidP="00383888">
      <w:pPr>
        <w:rPr>
          <w:sz w:val="16"/>
          <w:szCs w:val="16"/>
        </w:rPr>
      </w:pPr>
    </w:p>
    <w:p w:rsidR="00383888" w:rsidRPr="00FE654B" w:rsidRDefault="00383888" w:rsidP="00383888">
      <w:pPr>
        <w:rPr>
          <w:sz w:val="16"/>
          <w:szCs w:val="16"/>
        </w:rPr>
      </w:pPr>
      <w:r w:rsidRPr="00FE654B">
        <w:rPr>
          <w:sz w:val="20"/>
          <w:vertAlign w:val="superscript"/>
        </w:rPr>
        <w:t xml:space="preserve">5 </w:t>
      </w:r>
      <w:r w:rsidRPr="00FE654B">
        <w:rPr>
          <w:sz w:val="16"/>
          <w:szCs w:val="16"/>
        </w:rPr>
        <w:t>Es preciso confirmar las contribuciones ulteriores para 2014/2015 con los donantes.</w:t>
      </w:r>
    </w:p>
    <w:p w:rsidR="00383888" w:rsidRPr="00FE654B" w:rsidRDefault="00383888" w:rsidP="00383888">
      <w:pPr>
        <w:rPr>
          <w:sz w:val="16"/>
          <w:szCs w:val="16"/>
        </w:rPr>
      </w:pPr>
    </w:p>
    <w:p w:rsidR="00383888" w:rsidRPr="00D22B96" w:rsidRDefault="00383888" w:rsidP="00383888">
      <w:pPr>
        <w:rPr>
          <w:sz w:val="16"/>
          <w:szCs w:val="16"/>
        </w:rPr>
      </w:pPr>
      <w:r w:rsidRPr="00FE654B">
        <w:rPr>
          <w:sz w:val="20"/>
          <w:vertAlign w:val="superscript"/>
        </w:rPr>
        <w:t>6</w:t>
      </w:r>
      <w:r w:rsidRPr="00FE654B">
        <w:rPr>
          <w:sz w:val="16"/>
          <w:szCs w:val="16"/>
        </w:rPr>
        <w:t xml:space="preserve"> Se espera que las actividades del Fondo Fiduciario UE/Pakistán se terminen de ejecutar en 2014.</w:t>
      </w:r>
    </w:p>
    <w:p w:rsidR="00383888" w:rsidRPr="000615AB" w:rsidRDefault="00383888" w:rsidP="00383888">
      <w:pPr>
        <w:rPr>
          <w:sz w:val="16"/>
          <w:szCs w:val="16"/>
        </w:rPr>
      </w:pPr>
    </w:p>
    <w:p w:rsidR="00383888" w:rsidRPr="00D22B96" w:rsidRDefault="00383888" w:rsidP="00383888">
      <w:pPr>
        <w:rPr>
          <w:sz w:val="16"/>
          <w:szCs w:val="16"/>
        </w:rPr>
      </w:pPr>
      <w:r w:rsidRPr="00FE654B">
        <w:rPr>
          <w:sz w:val="20"/>
          <w:vertAlign w:val="superscript"/>
        </w:rPr>
        <w:t>7</w:t>
      </w:r>
      <w:r w:rsidRPr="00FE654B">
        <w:rPr>
          <w:sz w:val="16"/>
          <w:szCs w:val="16"/>
        </w:rPr>
        <w:t xml:space="preserve"> El Fondo Fiduciario de Italia está a cargo del Programa 9 y abarca actividades relacionadas con PATENTSCOPE</w:t>
      </w:r>
      <w:r w:rsidRPr="000615AB">
        <w:rPr>
          <w:sz w:val="16"/>
          <w:szCs w:val="16"/>
        </w:rPr>
        <w:t xml:space="preserve"> (Programa 13)</w:t>
      </w:r>
      <w:r w:rsidRPr="00D22B96">
        <w:rPr>
          <w:sz w:val="16"/>
          <w:szCs w:val="16"/>
        </w:rPr>
        <w:t>.</w:t>
      </w:r>
    </w:p>
    <w:p w:rsidR="00383888" w:rsidRPr="000615AB" w:rsidRDefault="00383888" w:rsidP="00383888">
      <w:pPr>
        <w:rPr>
          <w:sz w:val="20"/>
        </w:rPr>
      </w:pPr>
    </w:p>
    <w:p w:rsidR="00383888" w:rsidRPr="000615AB" w:rsidRDefault="00383888" w:rsidP="00383888">
      <w:pPr>
        <w:keepNext/>
        <w:keepLines/>
        <w:jc w:val="center"/>
        <w:rPr>
          <w:sz w:val="18"/>
          <w:szCs w:val="18"/>
        </w:rPr>
      </w:pPr>
      <w:r w:rsidRPr="00FE654B">
        <w:rPr>
          <w:sz w:val="18"/>
          <w:szCs w:val="18"/>
        </w:rPr>
        <w:lastRenderedPageBreak/>
        <w:t>Cuadro 21.  Fondos fiduciarios disponibles potencialmente para su utilización en 2014/15 (por programa)</w:t>
      </w:r>
    </w:p>
    <w:p w:rsidR="00383888" w:rsidRPr="000615AB" w:rsidRDefault="00383888" w:rsidP="00383888">
      <w:pPr>
        <w:keepNext/>
        <w:keepLines/>
        <w:jc w:val="center"/>
        <w:rPr>
          <w:i/>
          <w:iCs/>
          <w:sz w:val="18"/>
          <w:szCs w:val="18"/>
        </w:rP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miles de francos)</w:t>
      </w:r>
    </w:p>
    <w:p w:rsidR="00383888" w:rsidRPr="000615AB" w:rsidRDefault="00383888" w:rsidP="00383888">
      <w:pPr>
        <w:keepNext/>
        <w:keepLines/>
        <w:rPr>
          <w:i/>
          <w:iCs/>
          <w:sz w:val="18"/>
          <w:szCs w:val="18"/>
        </w:rPr>
      </w:pPr>
    </w:p>
    <w:p w:rsidR="00383888" w:rsidRPr="000615AB" w:rsidRDefault="00383888" w:rsidP="00383888">
      <w:pPr>
        <w:keepNext/>
        <w:keepLines/>
        <w:rPr>
          <w:sz w:val="20"/>
        </w:rPr>
      </w:pPr>
    </w:p>
    <w:p w:rsidR="00383888" w:rsidRPr="000615AB" w:rsidRDefault="00C40A11" w:rsidP="00383888">
      <w:pPr>
        <w:keepNext/>
        <w:keepLines/>
        <w:jc w:val="center"/>
        <w:rPr>
          <w:sz w:val="20"/>
        </w:rPr>
      </w:pPr>
      <w:r>
        <w:rPr>
          <w:noProof/>
          <w:lang w:val="en-US" w:eastAsia="en-US"/>
        </w:rPr>
        <w:drawing>
          <wp:inline distT="0" distB="0" distL="0" distR="0" wp14:anchorId="1DB97248" wp14:editId="6E61E382">
            <wp:extent cx="5561330" cy="5493385"/>
            <wp:effectExtent l="0" t="0" r="127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5561330" cy="5493385"/>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keepNext/>
        <w:keepLines/>
        <w:rPr>
          <w:sz w:val="20"/>
        </w:rPr>
      </w:pPr>
      <w:r w:rsidRPr="000615AB">
        <w:rPr>
          <w:sz w:val="20"/>
        </w:rPr>
        <w:t>Véanse las notas del cuadro 20.</w:t>
      </w:r>
    </w:p>
    <w:p w:rsidR="00383888" w:rsidRPr="000615AB" w:rsidRDefault="00383888" w:rsidP="00383888">
      <w:pPr>
        <w:keepNext/>
        <w:keepLines/>
        <w:jc w:val="right"/>
        <w:rPr>
          <w:sz w:val="20"/>
        </w:rPr>
      </w:pPr>
    </w:p>
    <w:p w:rsidR="00383888" w:rsidRPr="000615AB" w:rsidRDefault="00383888" w:rsidP="00383888">
      <w:pPr>
        <w:keepNext/>
        <w:keepLines/>
        <w:rPr>
          <w:sz w:val="20"/>
        </w:rPr>
      </w:pPr>
    </w:p>
    <w:p w:rsidR="00383888" w:rsidRPr="000615AB" w:rsidRDefault="00383888" w:rsidP="00383888">
      <w:pPr>
        <w:rPr>
          <w:sz w:val="20"/>
        </w:rPr>
        <w:sectPr w:rsidR="00383888" w:rsidRPr="000615AB" w:rsidSect="00B47699">
          <w:pgSz w:w="11907" w:h="16840" w:code="9"/>
          <w:pgMar w:top="567" w:right="1418" w:bottom="1134" w:left="1418"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20" w:name="_Toc366078763"/>
      <w:r w:rsidRPr="00C3705E">
        <w:rPr>
          <w:b/>
          <w:caps w:val="0"/>
          <w:szCs w:val="24"/>
          <w:lang w:val="es-ES_tradnl"/>
        </w:rPr>
        <w:lastRenderedPageBreak/>
        <w:t>ANEXO IX.</w:t>
      </w:r>
      <w:r w:rsidRPr="00C3705E">
        <w:rPr>
          <w:b/>
          <w:caps w:val="0"/>
          <w:szCs w:val="24"/>
          <w:lang w:val="es-ES_tradnl"/>
        </w:rPr>
        <w:tab/>
        <w:t>CUADROS DEL PRESUPUESTO ANUAL PARA LA PRESENTACIÓN DE INFORMES CONFORME A LAS IPSAS</w:t>
      </w:r>
      <w:bookmarkEnd w:id="120"/>
    </w:p>
    <w:p w:rsidR="00383888" w:rsidRPr="0012203B" w:rsidRDefault="00383888" w:rsidP="00383888">
      <w:pPr>
        <w:rPr>
          <w:sz w:val="18"/>
          <w:szCs w:val="18"/>
        </w:rPr>
      </w:pPr>
    </w:p>
    <w:p w:rsidR="00383888" w:rsidRPr="0012203B" w:rsidRDefault="00383888" w:rsidP="00383888">
      <w:pPr>
        <w:rPr>
          <w:sz w:val="18"/>
          <w:szCs w:val="18"/>
        </w:rPr>
      </w:pPr>
    </w:p>
    <w:p w:rsidR="00383888" w:rsidRPr="00D22B96" w:rsidRDefault="00383888" w:rsidP="00FE7D9C">
      <w:pPr>
        <w:numPr>
          <w:ilvl w:val="0"/>
          <w:numId w:val="58"/>
        </w:numPr>
        <w:jc w:val="both"/>
        <w:rPr>
          <w:sz w:val="20"/>
        </w:rPr>
      </w:pPr>
      <w:r w:rsidRPr="000615AB">
        <w:rPr>
          <w:sz w:val="20"/>
        </w:rPr>
        <w:t>En la cuadragésima tercera serie de reuniones de las Asambleas, celebrada del 24 de septiembre al 3 de octubre de 2007, los Estados miembros aceptaron en principio que la OMPI adoptara las IPSAS en 2010 (véase el documento A/43/5).  Este acuerdo formaba parte de la iniciativa, aplicable en todo el sistema de NN.UU., aprobada por la Asamblea General (A/RES/60/283(IV</w:t>
      </w:r>
      <w:proofErr w:type="gramStart"/>
      <w:r w:rsidRPr="000615AB">
        <w:rPr>
          <w:sz w:val="20"/>
        </w:rPr>
        <w:t>)I</w:t>
      </w:r>
      <w:proofErr w:type="gramEnd"/>
      <w:r w:rsidRPr="000615AB">
        <w:rPr>
          <w:sz w:val="20"/>
        </w:rPr>
        <w:t>), encaminada a sustituir las normas de contabilidad del sistema de las Naciones Unidas (UNSAS) por las IPSAS, internacionalmente reconocidas.  En consecuencia, los estados financieros de la OMPI correspondientes a 2010 se elaboraron conforme a las IPSAS</w:t>
      </w:r>
      <w:r w:rsidRPr="00D22B96">
        <w:rPr>
          <w:sz w:val="20"/>
        </w:rPr>
        <w:t>.</w:t>
      </w:r>
    </w:p>
    <w:p w:rsidR="00383888" w:rsidRPr="000615AB" w:rsidRDefault="00383888" w:rsidP="00383888">
      <w:pPr>
        <w:ind w:left="1"/>
        <w:jc w:val="both"/>
        <w:rPr>
          <w:sz w:val="20"/>
        </w:rPr>
      </w:pPr>
    </w:p>
    <w:p w:rsidR="00383888" w:rsidRPr="00D22B96" w:rsidRDefault="00383888" w:rsidP="00FE7D9C">
      <w:pPr>
        <w:numPr>
          <w:ilvl w:val="0"/>
          <w:numId w:val="58"/>
        </w:numPr>
        <w:jc w:val="both"/>
        <w:rPr>
          <w:sz w:val="20"/>
        </w:rPr>
      </w:pPr>
      <w:r w:rsidRPr="000615AB">
        <w:rPr>
          <w:sz w:val="20"/>
        </w:rPr>
        <w:t>La aprobación del presupuesto bienal de la OMPI sigue estando a cargo de las Asambleas.  De conformidad con las IPSAS, la Organización debe presentar los estados financieros cada año.  A tal fin, los datos del presupuesto anual se presentan tanto en lo que respecta a los ingresos como a los gastos</w:t>
      </w:r>
      <w:r w:rsidRPr="00D22B96">
        <w:rPr>
          <w:sz w:val="20"/>
        </w:rPr>
        <w:t>.</w:t>
      </w:r>
    </w:p>
    <w:p w:rsidR="00383888" w:rsidRPr="000615AB" w:rsidRDefault="00383888" w:rsidP="00383888">
      <w:pPr>
        <w:jc w:val="both"/>
        <w:rPr>
          <w:sz w:val="20"/>
        </w:rPr>
      </w:pPr>
    </w:p>
    <w:p w:rsidR="00383888" w:rsidRPr="00D22B96" w:rsidRDefault="00383888" w:rsidP="00FE7D9C">
      <w:pPr>
        <w:numPr>
          <w:ilvl w:val="0"/>
          <w:numId w:val="58"/>
        </w:numPr>
        <w:jc w:val="both"/>
        <w:rPr>
          <w:sz w:val="20"/>
        </w:rPr>
      </w:pPr>
      <w:r w:rsidRPr="000615AB">
        <w:rPr>
          <w:sz w:val="20"/>
        </w:rPr>
        <w:t>Cabe recordar que, en relación con la aprobación del presupuesto por programas de 2010/11, los Estados miembros adoptaron la metodología de presentación anual del presupuesto bienal aprobado.  En el cuadro que figura a continuación se muestra la estimación del importe de los ingresos anuales, en consonancia con dicha metodología, para el presupuesto por programas del bienio 2014/2015</w:t>
      </w:r>
      <w:r w:rsidRPr="00D22B96">
        <w:rPr>
          <w:sz w:val="20"/>
        </w:rPr>
        <w:t>.</w:t>
      </w:r>
    </w:p>
    <w:p w:rsidR="00383888" w:rsidRPr="000615AB" w:rsidRDefault="00383888" w:rsidP="00383888">
      <w:pPr>
        <w:rPr>
          <w:sz w:val="20"/>
          <w:highlight w:val="yellow"/>
        </w:rPr>
      </w:pPr>
    </w:p>
    <w:p w:rsidR="00383888" w:rsidRPr="000615AB" w:rsidRDefault="00383888" w:rsidP="00383888">
      <w:pPr>
        <w:jc w:val="center"/>
        <w:rPr>
          <w:sz w:val="18"/>
          <w:szCs w:val="18"/>
        </w:rPr>
      </w:pPr>
      <w:r w:rsidRPr="000615AB">
        <w:rPr>
          <w:sz w:val="18"/>
          <w:szCs w:val="18"/>
        </w:rPr>
        <w:t>Cuadro 22.  Ingresos anuales de 2004 a 2015</w:t>
      </w:r>
    </w:p>
    <w:p w:rsidR="00383888" w:rsidRPr="000615AB" w:rsidRDefault="00383888" w:rsidP="00383888">
      <w:pPr>
        <w:jc w:val="center"/>
        <w:rPr>
          <w:i/>
          <w:iCs/>
          <w:sz w:val="18"/>
          <w:szCs w:val="18"/>
        </w:rP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millones de francos suizos)</w:t>
      </w:r>
    </w:p>
    <w:p w:rsidR="00383888" w:rsidRPr="000615AB" w:rsidRDefault="00383888" w:rsidP="00383888">
      <w:pPr>
        <w:rPr>
          <w:sz w:val="20"/>
        </w:rPr>
      </w:pPr>
    </w:p>
    <w:p w:rsidR="00383888" w:rsidRPr="000615AB" w:rsidRDefault="00C40A11" w:rsidP="00383888">
      <w:pPr>
        <w:rPr>
          <w:sz w:val="20"/>
        </w:rPr>
      </w:pPr>
      <w:r>
        <w:rPr>
          <w:noProof/>
          <w:lang w:val="en-US" w:eastAsia="en-US"/>
        </w:rPr>
        <w:drawing>
          <wp:inline distT="0" distB="0" distL="0" distR="0" wp14:anchorId="3C61EAA3" wp14:editId="13734529">
            <wp:extent cx="5861685" cy="1883410"/>
            <wp:effectExtent l="0" t="0" r="5715" b="2540"/>
            <wp:docPr id="185"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5861685" cy="1883410"/>
                    </a:xfrm>
                    <a:prstGeom prst="rect">
                      <a:avLst/>
                    </a:prstGeom>
                    <a:noFill/>
                    <a:ln>
                      <a:noFill/>
                    </a:ln>
                  </pic:spPr>
                </pic:pic>
              </a:graphicData>
            </a:graphic>
          </wp:inline>
        </w:drawing>
      </w:r>
    </w:p>
    <w:p w:rsidR="00383888" w:rsidRPr="000615AB" w:rsidRDefault="00383888" w:rsidP="00383888">
      <w:pPr>
        <w:pStyle w:val="Endofdocument"/>
        <w:ind w:left="0"/>
        <w:jc w:val="left"/>
        <w:rPr>
          <w:rFonts w:ascii="Arial" w:hAnsi="Arial" w:cs="Arial"/>
          <w:sz w:val="20"/>
        </w:rPr>
      </w:pPr>
    </w:p>
    <w:p w:rsidR="00383888" w:rsidRPr="00D22B96" w:rsidRDefault="00383888" w:rsidP="00FE7D9C">
      <w:pPr>
        <w:numPr>
          <w:ilvl w:val="0"/>
          <w:numId w:val="58"/>
        </w:numPr>
        <w:jc w:val="both"/>
        <w:rPr>
          <w:sz w:val="20"/>
        </w:rPr>
      </w:pPr>
      <w:r w:rsidRPr="000615AB">
        <w:rPr>
          <w:sz w:val="20"/>
        </w:rPr>
        <w:t>En lo que respecta al gasto presupuestado de la OMPI correspondiente a 2014/2015, a las cifras presupuestarias bienales se aplica una división porcentual del 50% a fin de presentar la situación del presupuesto anual.  Ello está en consonancia con el desglose del presupuesto 2012/2013 por año y contempla el hecho de que el presupuesto para personal se elaboró a partir de los</w:t>
      </w:r>
      <w:r w:rsidRPr="000615AB">
        <w:t xml:space="preserve"> </w:t>
      </w:r>
      <w:r w:rsidRPr="000615AB">
        <w:rPr>
          <w:sz w:val="20"/>
        </w:rPr>
        <w:t>costos estándar bienales únicos.  El cuadro que figura a continuación muestra los importes de los gastos anuales en consecuencia</w:t>
      </w:r>
      <w:r w:rsidRPr="00D22B96">
        <w:rPr>
          <w:sz w:val="20"/>
        </w:rPr>
        <w:t>.</w:t>
      </w:r>
    </w:p>
    <w:p w:rsidR="00383888" w:rsidRPr="00AE2EB2" w:rsidRDefault="00383888" w:rsidP="00383888">
      <w:pPr>
        <w:pStyle w:val="Endofdocument"/>
        <w:ind w:left="0"/>
        <w:jc w:val="left"/>
        <w:rPr>
          <w:rFonts w:ascii="Arial" w:hAnsi="Arial" w:cs="Arial"/>
          <w:sz w:val="20"/>
          <w:lang w:val="es-ES"/>
        </w:rPr>
      </w:pPr>
      <w:r w:rsidRPr="00AE2EB2">
        <w:rPr>
          <w:rFonts w:ascii="Arial" w:hAnsi="Arial" w:cs="Arial"/>
          <w:sz w:val="20"/>
          <w:lang w:val="es-ES"/>
        </w:rPr>
        <w:br w:type="page"/>
      </w:r>
    </w:p>
    <w:p w:rsidR="00383888" w:rsidRPr="000615AB" w:rsidRDefault="00383888" w:rsidP="00383888">
      <w:pPr>
        <w:jc w:val="center"/>
        <w:rPr>
          <w:sz w:val="18"/>
          <w:szCs w:val="18"/>
        </w:rPr>
      </w:pPr>
      <w:r w:rsidRPr="000615AB">
        <w:rPr>
          <w:sz w:val="18"/>
          <w:szCs w:val="18"/>
        </w:rPr>
        <w:lastRenderedPageBreak/>
        <w:t>Cuadro 23.  Gastos anuales de 2004 a 2015</w:t>
      </w:r>
    </w:p>
    <w:p w:rsidR="00383888" w:rsidRPr="000615AB" w:rsidRDefault="00383888" w:rsidP="00383888">
      <w:pPr>
        <w:jc w:val="center"/>
      </w:pPr>
      <w:r w:rsidRPr="000615AB">
        <w:rPr>
          <w:i/>
          <w:iCs/>
          <w:sz w:val="18"/>
          <w:szCs w:val="18"/>
        </w:rPr>
        <w:t>(</w:t>
      </w:r>
      <w:proofErr w:type="gramStart"/>
      <w:r w:rsidRPr="000615AB">
        <w:rPr>
          <w:i/>
          <w:iCs/>
          <w:sz w:val="18"/>
          <w:szCs w:val="18"/>
        </w:rPr>
        <w:t>en</w:t>
      </w:r>
      <w:proofErr w:type="gramEnd"/>
      <w:r w:rsidRPr="000615AB">
        <w:rPr>
          <w:i/>
          <w:iCs/>
          <w:sz w:val="18"/>
          <w:szCs w:val="18"/>
        </w:rPr>
        <w:t xml:space="preserve"> millones de francos suizos)</w:t>
      </w:r>
      <w:r w:rsidRPr="000615AB">
        <w:t xml:space="preserve"> </w:t>
      </w:r>
    </w:p>
    <w:p w:rsidR="00383888" w:rsidRPr="00AE2EB2" w:rsidRDefault="00383888" w:rsidP="00383888">
      <w:pPr>
        <w:pStyle w:val="Endofdocument"/>
        <w:ind w:left="0"/>
        <w:jc w:val="left"/>
        <w:rPr>
          <w:rFonts w:ascii="Arial" w:hAnsi="Arial" w:cs="Arial"/>
          <w:sz w:val="20"/>
          <w:lang w:val="es-ES"/>
        </w:rPr>
      </w:pPr>
    </w:p>
    <w:p w:rsidR="00383888" w:rsidRPr="000615AB" w:rsidRDefault="00B945E1" w:rsidP="00383888">
      <w:pPr>
        <w:pStyle w:val="Endofdocument"/>
        <w:ind w:left="0"/>
        <w:jc w:val="left"/>
        <w:rPr>
          <w:rFonts w:ascii="Arial" w:hAnsi="Arial" w:cs="Arial"/>
          <w:sz w:val="20"/>
        </w:rPr>
      </w:pPr>
      <w:r w:rsidRPr="00B945E1">
        <w:rPr>
          <w:noProof/>
        </w:rPr>
        <w:drawing>
          <wp:inline distT="0" distB="0" distL="0" distR="0" wp14:anchorId="4830F67C" wp14:editId="196CBC8E">
            <wp:extent cx="5868670" cy="2364061"/>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0" y="0"/>
                      <a:ext cx="5868670" cy="2364061"/>
                    </a:xfrm>
                    <a:prstGeom prst="rect">
                      <a:avLst/>
                    </a:prstGeom>
                    <a:noFill/>
                    <a:ln>
                      <a:noFill/>
                    </a:ln>
                  </pic:spPr>
                </pic:pic>
              </a:graphicData>
            </a:graphic>
          </wp:inline>
        </w:drawing>
      </w:r>
    </w:p>
    <w:p w:rsidR="00383888" w:rsidRPr="000615AB" w:rsidRDefault="00383888" w:rsidP="00383888">
      <w:pPr>
        <w:pStyle w:val="Endofdocument"/>
      </w:pPr>
    </w:p>
    <w:p w:rsidR="00383888" w:rsidRPr="000615AB" w:rsidRDefault="00383888" w:rsidP="00383888">
      <w:pPr>
        <w:sectPr w:rsidR="00383888" w:rsidRPr="000615AB" w:rsidSect="00B47699">
          <w:headerReference w:type="default" r:id="rId258"/>
          <w:footerReference w:type="even" r:id="rId259"/>
          <w:pgSz w:w="11907" w:h="16840" w:code="9"/>
          <w:pgMar w:top="567" w:right="1247" w:bottom="1134" w:left="1418" w:header="510" w:footer="851"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21" w:name="_Toc366078764"/>
      <w:r w:rsidRPr="00C3705E">
        <w:rPr>
          <w:b/>
          <w:caps w:val="0"/>
          <w:szCs w:val="24"/>
          <w:lang w:val="es-ES_tradnl"/>
        </w:rPr>
        <w:lastRenderedPageBreak/>
        <w:t>ANEXO X.</w:t>
      </w:r>
      <w:r w:rsidRPr="00C3705E">
        <w:rPr>
          <w:b/>
          <w:caps w:val="0"/>
          <w:szCs w:val="24"/>
          <w:lang w:val="es-ES_tradnl"/>
        </w:rPr>
        <w:tab/>
        <w:t>PRESUPUESTO PARA 2014/15 POR RESULTADO PREVISTO Y PROGRAMA</w:t>
      </w:r>
      <w:bookmarkEnd w:id="121"/>
    </w:p>
    <w:p w:rsidR="00383888" w:rsidRPr="00757E3F" w:rsidRDefault="00383888" w:rsidP="00383888">
      <w:pPr>
        <w:rPr>
          <w:sz w:val="18"/>
          <w:szCs w:val="18"/>
        </w:rPr>
      </w:pPr>
    </w:p>
    <w:p w:rsidR="00383888" w:rsidRPr="000615AB" w:rsidRDefault="00B945E1" w:rsidP="00383888">
      <w:pPr>
        <w:jc w:val="center"/>
      </w:pPr>
      <w:r w:rsidRPr="00B945E1">
        <w:rPr>
          <w:noProof/>
          <w:lang w:val="en-US" w:eastAsia="en-US"/>
        </w:rPr>
        <w:drawing>
          <wp:inline distT="0" distB="0" distL="0" distR="0" wp14:anchorId="7B8A4E54" wp14:editId="03EBD5F2">
            <wp:extent cx="9587937" cy="5046453"/>
            <wp:effectExtent l="0" t="0" r="0" b="190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9597753" cy="5051619"/>
                    </a:xfrm>
                    <a:prstGeom prst="rect">
                      <a:avLst/>
                    </a:prstGeom>
                    <a:noFill/>
                    <a:ln>
                      <a:noFill/>
                    </a:ln>
                  </pic:spPr>
                </pic:pic>
              </a:graphicData>
            </a:graphic>
          </wp:inline>
        </w:drawing>
      </w:r>
    </w:p>
    <w:p w:rsidR="00383888" w:rsidRPr="000615AB" w:rsidRDefault="00383888" w:rsidP="00383888">
      <w:pPr>
        <w:jc w:val="center"/>
        <w:rPr>
          <w:sz w:val="20"/>
        </w:rPr>
      </w:pPr>
    </w:p>
    <w:p w:rsidR="00383888" w:rsidRPr="000615AB" w:rsidRDefault="00383888" w:rsidP="00383888">
      <w:pPr>
        <w:jc w:val="center"/>
      </w:pPr>
    </w:p>
    <w:p w:rsidR="00383888" w:rsidRPr="000615AB" w:rsidRDefault="00383888" w:rsidP="00383888">
      <w:pPr>
        <w:jc w:val="center"/>
        <w:rPr>
          <w:sz w:val="20"/>
        </w:rPr>
      </w:pPr>
    </w:p>
    <w:p w:rsidR="00383888" w:rsidRPr="000615AB" w:rsidRDefault="00383888" w:rsidP="00383888">
      <w:pPr>
        <w:jc w:val="center"/>
      </w:pPr>
    </w:p>
    <w:p w:rsidR="00383888" w:rsidRPr="000615AB" w:rsidRDefault="00383888" w:rsidP="00383888">
      <w:pPr>
        <w:jc w:val="center"/>
      </w:pPr>
    </w:p>
    <w:p w:rsidR="00383888" w:rsidRPr="000615AB" w:rsidRDefault="00B945E1" w:rsidP="00383888">
      <w:pPr>
        <w:jc w:val="center"/>
        <w:rPr>
          <w:sz w:val="20"/>
        </w:rPr>
      </w:pPr>
      <w:r w:rsidRPr="00B945E1">
        <w:rPr>
          <w:noProof/>
          <w:lang w:val="en-US" w:eastAsia="en-US"/>
        </w:rPr>
        <w:drawing>
          <wp:inline distT="0" distB="0" distL="0" distR="0" wp14:anchorId="097B47E9" wp14:editId="59826273">
            <wp:extent cx="9413101" cy="4882551"/>
            <wp:effectExtent l="0" t="0" r="0"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9418906" cy="4885562"/>
                    </a:xfrm>
                    <a:prstGeom prst="rect">
                      <a:avLst/>
                    </a:prstGeom>
                    <a:noFill/>
                    <a:ln>
                      <a:noFill/>
                    </a:ln>
                  </pic:spPr>
                </pic:pic>
              </a:graphicData>
            </a:graphic>
          </wp:inline>
        </w:drawing>
      </w:r>
    </w:p>
    <w:p w:rsidR="00383888" w:rsidRPr="000615AB" w:rsidRDefault="00383888" w:rsidP="00383888">
      <w:pPr>
        <w:jc w:val="center"/>
        <w:rPr>
          <w:sz w:val="20"/>
        </w:rPr>
      </w:pPr>
    </w:p>
    <w:p w:rsidR="00383888" w:rsidRPr="000615AB" w:rsidRDefault="00383888" w:rsidP="00383888">
      <w:pPr>
        <w:jc w:val="center"/>
        <w:rPr>
          <w:sz w:val="20"/>
        </w:rPr>
        <w:sectPr w:rsidR="00383888" w:rsidRPr="000615AB" w:rsidSect="00B47699">
          <w:headerReference w:type="default" r:id="rId262"/>
          <w:footerReference w:type="even" r:id="rId263"/>
          <w:footerReference w:type="default" r:id="rId264"/>
          <w:pgSz w:w="16840" w:h="11907" w:orient="landscape" w:code="9"/>
          <w:pgMar w:top="567" w:right="1134" w:bottom="794" w:left="1134" w:header="510" w:footer="794" w:gutter="0"/>
          <w:cols w:space="720"/>
        </w:sectPr>
      </w:pPr>
    </w:p>
    <w:p w:rsidR="00383888" w:rsidRPr="00C3705E" w:rsidRDefault="00383888" w:rsidP="00383888">
      <w:pPr>
        <w:pStyle w:val="Heading2"/>
        <w:tabs>
          <w:tab w:val="left" w:pos="1418"/>
        </w:tabs>
        <w:ind w:left="1418" w:hanging="1418"/>
        <w:rPr>
          <w:b/>
          <w:caps w:val="0"/>
          <w:szCs w:val="24"/>
          <w:lang w:val="es-ES_tradnl"/>
        </w:rPr>
      </w:pPr>
      <w:bookmarkStart w:id="122" w:name="_Toc366078765"/>
      <w:r w:rsidRPr="00C3705E">
        <w:rPr>
          <w:b/>
          <w:caps w:val="0"/>
          <w:szCs w:val="24"/>
          <w:lang w:val="es-ES_tradnl"/>
        </w:rPr>
        <w:lastRenderedPageBreak/>
        <w:t>ANEXO XI.</w:t>
      </w:r>
      <w:r w:rsidRPr="00C3705E">
        <w:rPr>
          <w:b/>
          <w:caps w:val="0"/>
          <w:szCs w:val="24"/>
          <w:lang w:val="es-ES_tradnl"/>
        </w:rPr>
        <w:tab/>
        <w:t>PRESUPUESTO PARA 2014/2015 POR RESULTADO PREVISTO</w:t>
      </w:r>
      <w:r w:rsidR="006629DE">
        <w:rPr>
          <w:b/>
          <w:caps w:val="0"/>
          <w:szCs w:val="24"/>
          <w:lang w:val="es-ES_tradnl"/>
        </w:rPr>
        <w:br/>
      </w:r>
      <w:r w:rsidR="006629DE" w:rsidRPr="006629DE">
        <w:rPr>
          <w:caps w:val="0"/>
          <w:sz w:val="20"/>
          <w:szCs w:val="20"/>
          <w:lang w:val="es-ES_tradnl"/>
        </w:rPr>
        <w:t>(en miles de francos suizos)</w:t>
      </w:r>
      <w:bookmarkEnd w:id="122"/>
    </w:p>
    <w:p w:rsidR="00551FDA" w:rsidRDefault="00993E2E" w:rsidP="00993E2E">
      <w:pPr>
        <w:rPr>
          <w:sz w:val="20"/>
        </w:rPr>
      </w:pPr>
      <w:r w:rsidRPr="00D30D82">
        <w:rPr>
          <w:noProof/>
          <w:lang w:val="en-US" w:eastAsia="en-US"/>
        </w:rPr>
        <w:lastRenderedPageBreak/>
        <w:drawing>
          <wp:inline distT="0" distB="0" distL="0" distR="0" wp14:anchorId="3659F955" wp14:editId="34BF1589">
            <wp:extent cx="5883215" cy="8740394"/>
            <wp:effectExtent l="0" t="0" r="3810" b="381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5885519" cy="8743817"/>
                    </a:xfrm>
                    <a:prstGeom prst="rect">
                      <a:avLst/>
                    </a:prstGeom>
                    <a:noFill/>
                    <a:ln>
                      <a:noFill/>
                    </a:ln>
                  </pic:spPr>
                </pic:pic>
              </a:graphicData>
            </a:graphic>
          </wp:inline>
        </w:drawing>
      </w:r>
      <w:r w:rsidR="00551FDA">
        <w:rPr>
          <w:sz w:val="20"/>
        </w:rPr>
        <w:br w:type="page"/>
      </w:r>
    </w:p>
    <w:p w:rsidR="00551FDA" w:rsidRDefault="00D52729" w:rsidP="00D52729">
      <w:pPr>
        <w:jc w:val="center"/>
        <w:rPr>
          <w:sz w:val="20"/>
        </w:rPr>
      </w:pPr>
      <w:r w:rsidRPr="00D52729">
        <w:rPr>
          <w:noProof/>
          <w:lang w:val="en-US" w:eastAsia="en-US"/>
        </w:rPr>
        <w:lastRenderedPageBreak/>
        <w:drawing>
          <wp:inline distT="0" distB="0" distL="0" distR="0" wp14:anchorId="6ADE9F28" wp14:editId="798CBA2A">
            <wp:extent cx="5874589" cy="9057736"/>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5872054" cy="9053828"/>
                    </a:xfrm>
                    <a:prstGeom prst="rect">
                      <a:avLst/>
                    </a:prstGeom>
                    <a:noFill/>
                    <a:ln>
                      <a:noFill/>
                    </a:ln>
                  </pic:spPr>
                </pic:pic>
              </a:graphicData>
            </a:graphic>
          </wp:inline>
        </w:drawing>
      </w:r>
    </w:p>
    <w:p w:rsidR="00551FDA" w:rsidRDefault="00551FDA" w:rsidP="00F31A57">
      <w:pPr>
        <w:rPr>
          <w:sz w:val="20"/>
        </w:rPr>
      </w:pPr>
    </w:p>
    <w:p w:rsidR="00D52729" w:rsidRDefault="00D52729" w:rsidP="00D52729">
      <w:pPr>
        <w:jc w:val="center"/>
        <w:rPr>
          <w:sz w:val="20"/>
        </w:rPr>
      </w:pPr>
      <w:r w:rsidRPr="00D52729">
        <w:rPr>
          <w:noProof/>
          <w:lang w:val="en-US" w:eastAsia="en-US"/>
        </w:rPr>
        <w:lastRenderedPageBreak/>
        <w:drawing>
          <wp:inline distT="0" distB="0" distL="0" distR="0" wp14:anchorId="26CEC808" wp14:editId="65DCAE99">
            <wp:extent cx="5745192" cy="7453223"/>
            <wp:effectExtent l="0" t="0" r="825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0" y="0"/>
                      <a:ext cx="5742748" cy="7450052"/>
                    </a:xfrm>
                    <a:prstGeom prst="rect">
                      <a:avLst/>
                    </a:prstGeom>
                    <a:noFill/>
                    <a:ln>
                      <a:noFill/>
                    </a:ln>
                  </pic:spPr>
                </pic:pic>
              </a:graphicData>
            </a:graphic>
          </wp:inline>
        </w:drawing>
      </w:r>
    </w:p>
    <w:p w:rsidR="00D52729" w:rsidRDefault="00D52729" w:rsidP="00F31A57">
      <w:pPr>
        <w:rPr>
          <w:sz w:val="20"/>
        </w:rPr>
      </w:pPr>
    </w:p>
    <w:p w:rsidR="00D52729" w:rsidRPr="000615AB" w:rsidRDefault="00D52729" w:rsidP="00F31A57">
      <w:pPr>
        <w:rPr>
          <w:sz w:val="20"/>
        </w:rPr>
      </w:pPr>
    </w:p>
    <w:p w:rsidR="00383888" w:rsidRPr="000615AB" w:rsidRDefault="00383888" w:rsidP="00F31A57">
      <w:pPr>
        <w:rPr>
          <w:sz w:val="20"/>
        </w:rPr>
        <w:sectPr w:rsidR="00383888" w:rsidRPr="000615AB" w:rsidSect="006005F5">
          <w:pgSz w:w="11907" w:h="16840" w:code="9"/>
          <w:pgMar w:top="624" w:right="1418" w:bottom="1134" w:left="1418" w:header="510" w:footer="794" w:gutter="0"/>
          <w:cols w:space="720"/>
        </w:sectPr>
      </w:pPr>
    </w:p>
    <w:p w:rsidR="00383888" w:rsidRPr="00C3705E" w:rsidRDefault="00383888" w:rsidP="00383888">
      <w:pPr>
        <w:pStyle w:val="Heading2"/>
        <w:tabs>
          <w:tab w:val="left" w:pos="1418"/>
        </w:tabs>
        <w:ind w:left="1418" w:hanging="1418"/>
        <w:jc w:val="center"/>
        <w:rPr>
          <w:b/>
          <w:caps w:val="0"/>
          <w:szCs w:val="24"/>
          <w:lang w:val="es-ES_tradnl"/>
        </w:rPr>
      </w:pPr>
      <w:bookmarkStart w:id="123" w:name="_Toc366078766"/>
      <w:r w:rsidRPr="00C3705E">
        <w:rPr>
          <w:b/>
          <w:caps w:val="0"/>
          <w:szCs w:val="24"/>
          <w:lang w:val="es-ES_tradnl"/>
        </w:rPr>
        <w:lastRenderedPageBreak/>
        <w:t>ANEXO XII.</w:t>
      </w:r>
      <w:r w:rsidRPr="00C3705E">
        <w:rPr>
          <w:b/>
          <w:caps w:val="0"/>
          <w:szCs w:val="24"/>
          <w:lang w:val="es-ES_tradnl"/>
        </w:rPr>
        <w:tab/>
        <w:t>ORGANIGRAMA DE LA OMPI</w:t>
      </w:r>
      <w:bookmarkEnd w:id="123"/>
    </w:p>
    <w:p w:rsidR="00383888" w:rsidRPr="000615AB" w:rsidRDefault="00C40A11" w:rsidP="00383888">
      <w:pPr>
        <w:jc w:val="center"/>
        <w:rPr>
          <w:sz w:val="20"/>
        </w:rPr>
      </w:pPr>
      <w:r>
        <w:rPr>
          <w:noProof/>
          <w:lang w:val="en-US" w:eastAsia="en-US"/>
        </w:rPr>
        <w:drawing>
          <wp:inline distT="0" distB="0" distL="0" distR="0" wp14:anchorId="5E231FA9" wp14:editId="04828ECF">
            <wp:extent cx="8174990" cy="5800090"/>
            <wp:effectExtent l="0" t="0" r="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0" y="0"/>
                      <a:ext cx="8174990" cy="5800090"/>
                    </a:xfrm>
                    <a:prstGeom prst="rect">
                      <a:avLst/>
                    </a:prstGeom>
                    <a:noFill/>
                    <a:ln>
                      <a:noFill/>
                    </a:ln>
                  </pic:spPr>
                </pic:pic>
              </a:graphicData>
            </a:graphic>
          </wp:inline>
        </w:drawing>
      </w:r>
    </w:p>
    <w:p w:rsidR="00383888" w:rsidRPr="000615AB" w:rsidRDefault="00383888" w:rsidP="00383888">
      <w:pPr>
        <w:rPr>
          <w:sz w:val="20"/>
        </w:rPr>
      </w:pPr>
    </w:p>
    <w:p w:rsidR="00383888" w:rsidRPr="000615AB" w:rsidRDefault="00383888" w:rsidP="00383888">
      <w:pPr>
        <w:rPr>
          <w:sz w:val="20"/>
        </w:rPr>
        <w:sectPr w:rsidR="00383888" w:rsidRPr="000615AB" w:rsidSect="00B47699">
          <w:headerReference w:type="even" r:id="rId269"/>
          <w:pgSz w:w="16840" w:h="11907" w:orient="landscape" w:code="9"/>
          <w:pgMar w:top="567" w:right="1134" w:bottom="794" w:left="1134" w:header="510" w:footer="794" w:gutter="0"/>
          <w:cols w:space="720"/>
        </w:sectPr>
      </w:pPr>
    </w:p>
    <w:p w:rsidR="00383888" w:rsidRPr="000615AB" w:rsidRDefault="00383888" w:rsidP="00383888">
      <w:pPr>
        <w:pStyle w:val="Heading1"/>
        <w:keepNext w:val="0"/>
        <w:rPr>
          <w:szCs w:val="20"/>
        </w:rPr>
      </w:pPr>
      <w:bookmarkStart w:id="124" w:name="_Toc366078767"/>
      <w:r w:rsidRPr="000615AB">
        <w:rPr>
          <w:szCs w:val="20"/>
        </w:rPr>
        <w:lastRenderedPageBreak/>
        <w:t>V.</w:t>
      </w:r>
      <w:r w:rsidRPr="000615AB">
        <w:rPr>
          <w:b w:val="0"/>
          <w:szCs w:val="20"/>
        </w:rPr>
        <w:tab/>
      </w:r>
      <w:r w:rsidRPr="000615AB">
        <w:rPr>
          <w:szCs w:val="20"/>
        </w:rPr>
        <w:t>APÉNDICES</w:t>
      </w:r>
      <w:bookmarkEnd w:id="124"/>
    </w:p>
    <w:p w:rsidR="00383888" w:rsidRPr="000615AB" w:rsidRDefault="00383888" w:rsidP="00383888">
      <w:pPr>
        <w:rPr>
          <w:sz w:val="20"/>
        </w:rPr>
      </w:pPr>
    </w:p>
    <w:p w:rsidR="00383888" w:rsidRPr="000615AB" w:rsidRDefault="00383888" w:rsidP="00383888">
      <w:pPr>
        <w:rPr>
          <w:sz w:val="20"/>
        </w:rPr>
      </w:pPr>
    </w:p>
    <w:tbl>
      <w:tblPr>
        <w:tblW w:w="9180" w:type="dxa"/>
        <w:tblLayout w:type="fixed"/>
        <w:tblLook w:val="0000" w:firstRow="0" w:lastRow="0" w:firstColumn="0" w:lastColumn="0" w:noHBand="0" w:noVBand="0"/>
      </w:tblPr>
      <w:tblGrid>
        <w:gridCol w:w="8188"/>
        <w:gridCol w:w="992"/>
      </w:tblGrid>
      <w:tr w:rsidR="00383888" w:rsidRPr="000261DB" w:rsidTr="00B47699">
        <w:trPr>
          <w:trHeight w:val="113"/>
        </w:trPr>
        <w:tc>
          <w:tcPr>
            <w:tcW w:w="8188" w:type="dxa"/>
          </w:tcPr>
          <w:p w:rsidR="00383888" w:rsidRPr="000261DB" w:rsidRDefault="00383888" w:rsidP="00B47699">
            <w:pPr>
              <w:widowControl w:val="0"/>
              <w:tabs>
                <w:tab w:val="left" w:pos="1418"/>
              </w:tabs>
              <w:ind w:left="567" w:hanging="567"/>
              <w:rPr>
                <w:sz w:val="20"/>
              </w:rPr>
            </w:pPr>
            <w:r w:rsidRPr="000261DB">
              <w:rPr>
                <w:sz w:val="20"/>
              </w:rPr>
              <w:t>Apéndice A</w:t>
            </w:r>
            <w:r>
              <w:rPr>
                <w:sz w:val="20"/>
              </w:rPr>
              <w:tab/>
            </w:r>
            <w:r w:rsidRPr="000261DB">
              <w:rPr>
                <w:sz w:val="20"/>
              </w:rPr>
              <w:t>Contribuciones de los Estados miembros</w:t>
            </w:r>
          </w:p>
          <w:p w:rsidR="00383888" w:rsidRPr="000261DB" w:rsidRDefault="00383888" w:rsidP="00B47699">
            <w:pPr>
              <w:widowControl w:val="0"/>
              <w:tabs>
                <w:tab w:val="left" w:pos="1134"/>
              </w:tabs>
              <w:ind w:left="567" w:hanging="567"/>
              <w:rPr>
                <w:sz w:val="20"/>
              </w:rPr>
            </w:pPr>
          </w:p>
        </w:tc>
        <w:tc>
          <w:tcPr>
            <w:tcW w:w="992" w:type="dxa"/>
          </w:tcPr>
          <w:p w:rsidR="00383888" w:rsidRPr="000261DB" w:rsidRDefault="00383888" w:rsidP="00B47699">
            <w:pPr>
              <w:widowControl w:val="0"/>
              <w:jc w:val="right"/>
              <w:rPr>
                <w:sz w:val="20"/>
              </w:rPr>
            </w:pPr>
          </w:p>
        </w:tc>
      </w:tr>
      <w:tr w:rsidR="00383888" w:rsidRPr="000261DB" w:rsidTr="00B47699">
        <w:trPr>
          <w:trHeight w:val="113"/>
        </w:trPr>
        <w:tc>
          <w:tcPr>
            <w:tcW w:w="8188" w:type="dxa"/>
          </w:tcPr>
          <w:p w:rsidR="00383888" w:rsidRPr="000261DB" w:rsidRDefault="00383888" w:rsidP="00B47699">
            <w:pPr>
              <w:widowControl w:val="0"/>
              <w:tabs>
                <w:tab w:val="left" w:pos="1418"/>
              </w:tabs>
              <w:ind w:left="567" w:hanging="567"/>
              <w:rPr>
                <w:sz w:val="20"/>
              </w:rPr>
            </w:pPr>
            <w:r w:rsidRPr="000261DB">
              <w:rPr>
                <w:sz w:val="20"/>
              </w:rPr>
              <w:t xml:space="preserve">Apéndice </w:t>
            </w:r>
            <w:r>
              <w:rPr>
                <w:sz w:val="20"/>
              </w:rPr>
              <w:t>B</w:t>
            </w:r>
            <w:r>
              <w:rPr>
                <w:sz w:val="20"/>
              </w:rPr>
              <w:tab/>
            </w:r>
            <w:r w:rsidRPr="000261DB">
              <w:rPr>
                <w:sz w:val="20"/>
              </w:rPr>
              <w:t>Definición de las rúbricas presupuestarias</w:t>
            </w:r>
          </w:p>
          <w:p w:rsidR="00383888" w:rsidRPr="000261DB" w:rsidRDefault="00383888" w:rsidP="00B47699">
            <w:pPr>
              <w:widowControl w:val="0"/>
              <w:tabs>
                <w:tab w:val="left" w:pos="1418"/>
              </w:tabs>
              <w:ind w:left="567" w:hanging="567"/>
              <w:rPr>
                <w:sz w:val="20"/>
              </w:rPr>
            </w:pPr>
          </w:p>
        </w:tc>
        <w:tc>
          <w:tcPr>
            <w:tcW w:w="992" w:type="dxa"/>
          </w:tcPr>
          <w:p w:rsidR="00383888" w:rsidRPr="000261DB" w:rsidRDefault="00383888" w:rsidP="00B47699">
            <w:pPr>
              <w:widowControl w:val="0"/>
              <w:tabs>
                <w:tab w:val="left" w:pos="1418"/>
              </w:tabs>
              <w:ind w:left="567" w:hanging="567"/>
              <w:rPr>
                <w:sz w:val="20"/>
              </w:rPr>
            </w:pPr>
          </w:p>
        </w:tc>
      </w:tr>
      <w:tr w:rsidR="00383888" w:rsidRPr="000261DB" w:rsidTr="00B47699">
        <w:trPr>
          <w:trHeight w:val="113"/>
        </w:trPr>
        <w:tc>
          <w:tcPr>
            <w:tcW w:w="8188" w:type="dxa"/>
          </w:tcPr>
          <w:p w:rsidR="00383888" w:rsidRPr="000261DB" w:rsidRDefault="00383888" w:rsidP="00B47699">
            <w:pPr>
              <w:widowControl w:val="0"/>
              <w:tabs>
                <w:tab w:val="left" w:pos="1418"/>
              </w:tabs>
              <w:ind w:left="567" w:hanging="567"/>
              <w:rPr>
                <w:sz w:val="20"/>
              </w:rPr>
            </w:pPr>
            <w:r w:rsidRPr="000261DB">
              <w:rPr>
                <w:sz w:val="20"/>
              </w:rPr>
              <w:t>Apéndice C</w:t>
            </w:r>
            <w:r>
              <w:rPr>
                <w:sz w:val="20"/>
              </w:rPr>
              <w:tab/>
            </w:r>
            <w:r w:rsidRPr="000261DB">
              <w:rPr>
                <w:sz w:val="20"/>
              </w:rPr>
              <w:t>Costos estándar de personal</w:t>
            </w:r>
          </w:p>
          <w:p w:rsidR="00383888" w:rsidRPr="000261DB" w:rsidRDefault="00383888" w:rsidP="00B47699">
            <w:pPr>
              <w:widowControl w:val="0"/>
              <w:tabs>
                <w:tab w:val="left" w:pos="1418"/>
              </w:tabs>
              <w:ind w:left="567" w:hanging="567"/>
              <w:rPr>
                <w:sz w:val="20"/>
              </w:rPr>
            </w:pPr>
          </w:p>
        </w:tc>
        <w:tc>
          <w:tcPr>
            <w:tcW w:w="992" w:type="dxa"/>
          </w:tcPr>
          <w:p w:rsidR="00383888" w:rsidRPr="000261DB" w:rsidRDefault="00383888" w:rsidP="00B47699">
            <w:pPr>
              <w:widowControl w:val="0"/>
              <w:tabs>
                <w:tab w:val="left" w:pos="1418"/>
              </w:tabs>
              <w:ind w:left="567" w:hanging="567"/>
              <w:rPr>
                <w:sz w:val="20"/>
              </w:rPr>
            </w:pPr>
          </w:p>
        </w:tc>
      </w:tr>
      <w:tr w:rsidR="00383888" w:rsidRPr="000261DB" w:rsidTr="00B47699">
        <w:trPr>
          <w:trHeight w:val="113"/>
        </w:trPr>
        <w:tc>
          <w:tcPr>
            <w:tcW w:w="8188" w:type="dxa"/>
          </w:tcPr>
          <w:p w:rsidR="00383888" w:rsidRPr="000261DB" w:rsidRDefault="00383888" w:rsidP="00B47699">
            <w:pPr>
              <w:widowControl w:val="0"/>
              <w:tabs>
                <w:tab w:val="left" w:pos="1418"/>
              </w:tabs>
              <w:ind w:left="567" w:hanging="567"/>
              <w:rPr>
                <w:sz w:val="20"/>
              </w:rPr>
            </w:pPr>
            <w:r w:rsidRPr="000261DB">
              <w:rPr>
                <w:sz w:val="20"/>
              </w:rPr>
              <w:t>Apéndice D</w:t>
            </w:r>
            <w:r>
              <w:rPr>
                <w:sz w:val="20"/>
              </w:rPr>
              <w:tab/>
            </w:r>
            <w:r w:rsidRPr="000261DB">
              <w:rPr>
                <w:sz w:val="20"/>
              </w:rPr>
              <w:t>Fórmulas de flexibilidad</w:t>
            </w:r>
          </w:p>
          <w:p w:rsidR="00383888" w:rsidRPr="000261DB" w:rsidRDefault="00383888" w:rsidP="00B47699">
            <w:pPr>
              <w:widowControl w:val="0"/>
              <w:tabs>
                <w:tab w:val="left" w:pos="1418"/>
              </w:tabs>
              <w:ind w:left="567" w:hanging="567"/>
              <w:rPr>
                <w:sz w:val="20"/>
              </w:rPr>
            </w:pPr>
          </w:p>
        </w:tc>
        <w:tc>
          <w:tcPr>
            <w:tcW w:w="992" w:type="dxa"/>
          </w:tcPr>
          <w:p w:rsidR="00383888" w:rsidRPr="000261DB" w:rsidRDefault="00383888" w:rsidP="00B47699">
            <w:pPr>
              <w:widowControl w:val="0"/>
              <w:tabs>
                <w:tab w:val="left" w:pos="1418"/>
              </w:tabs>
              <w:ind w:left="567" w:hanging="567"/>
              <w:rPr>
                <w:sz w:val="20"/>
              </w:rPr>
            </w:pPr>
          </w:p>
        </w:tc>
      </w:tr>
      <w:tr w:rsidR="00383888" w:rsidRPr="000615AB" w:rsidTr="00B47699">
        <w:trPr>
          <w:trHeight w:val="113"/>
        </w:trPr>
        <w:tc>
          <w:tcPr>
            <w:tcW w:w="8188" w:type="dxa"/>
          </w:tcPr>
          <w:p w:rsidR="00383888" w:rsidRPr="000615AB" w:rsidRDefault="00383888" w:rsidP="00B47699">
            <w:pPr>
              <w:widowControl w:val="0"/>
              <w:tabs>
                <w:tab w:val="left" w:pos="1418"/>
              </w:tabs>
              <w:ind w:left="567" w:hanging="567"/>
              <w:rPr>
                <w:sz w:val="20"/>
              </w:rPr>
            </w:pPr>
            <w:r w:rsidRPr="000261DB">
              <w:rPr>
                <w:sz w:val="20"/>
              </w:rPr>
              <w:t>Apéndice E</w:t>
            </w:r>
            <w:r>
              <w:rPr>
                <w:sz w:val="20"/>
              </w:rPr>
              <w:tab/>
            </w:r>
            <w:r w:rsidRPr="000261DB">
              <w:rPr>
                <w:sz w:val="20"/>
              </w:rPr>
              <w:t>Siglas y abreviaturas empleadas en el presente documento</w:t>
            </w:r>
          </w:p>
          <w:p w:rsidR="00383888" w:rsidRPr="000615AB" w:rsidRDefault="00383888" w:rsidP="00B47699">
            <w:pPr>
              <w:widowControl w:val="0"/>
              <w:tabs>
                <w:tab w:val="left" w:pos="1418"/>
              </w:tabs>
              <w:ind w:left="567" w:hanging="567"/>
              <w:rPr>
                <w:sz w:val="20"/>
              </w:rPr>
            </w:pPr>
          </w:p>
        </w:tc>
        <w:tc>
          <w:tcPr>
            <w:tcW w:w="992" w:type="dxa"/>
          </w:tcPr>
          <w:p w:rsidR="00383888" w:rsidRPr="000615AB" w:rsidRDefault="00383888" w:rsidP="00B47699">
            <w:pPr>
              <w:widowControl w:val="0"/>
              <w:tabs>
                <w:tab w:val="left" w:pos="1418"/>
              </w:tabs>
              <w:ind w:left="567" w:hanging="567"/>
              <w:rPr>
                <w:sz w:val="20"/>
              </w:rPr>
            </w:pPr>
          </w:p>
        </w:tc>
      </w:tr>
    </w:tbl>
    <w:p w:rsidR="00383888" w:rsidRPr="00C3705E" w:rsidRDefault="00383888" w:rsidP="00383888">
      <w:pPr>
        <w:pStyle w:val="Heading2"/>
        <w:tabs>
          <w:tab w:val="left" w:pos="-2268"/>
        </w:tabs>
        <w:rPr>
          <w:b/>
          <w:caps w:val="0"/>
          <w:szCs w:val="24"/>
          <w:lang w:val="es-ES_tradnl"/>
        </w:rPr>
      </w:pPr>
      <w:r w:rsidRPr="000615AB">
        <w:rPr>
          <w:sz w:val="20"/>
        </w:rPr>
        <w:br w:type="page"/>
      </w:r>
      <w:bookmarkStart w:id="125" w:name="_Toc366078768"/>
      <w:r w:rsidRPr="00C3705E">
        <w:rPr>
          <w:b/>
          <w:caps w:val="0"/>
          <w:szCs w:val="24"/>
          <w:lang w:val="es-ES_tradnl"/>
        </w:rPr>
        <w:lastRenderedPageBreak/>
        <w:t>APÉNDICE A</w:t>
      </w:r>
      <w:r w:rsidRPr="00C3705E">
        <w:rPr>
          <w:b/>
          <w:caps w:val="0"/>
          <w:szCs w:val="24"/>
          <w:lang w:val="es-ES_tradnl"/>
        </w:rPr>
        <w:br/>
        <w:t>CONTRIBUCIONES DE LOS ESTADOS MIEMBROS</w:t>
      </w:r>
      <w:bookmarkEnd w:id="125"/>
    </w:p>
    <w:p w:rsidR="00383888" w:rsidRPr="00E97219" w:rsidRDefault="00383888" w:rsidP="00383888">
      <w:pPr>
        <w:pStyle w:val="NormalArial"/>
      </w:pPr>
      <w:r>
        <w:t>(</w:t>
      </w:r>
      <w:proofErr w:type="gramStart"/>
      <w:r>
        <w:t>en</w:t>
      </w:r>
      <w:proofErr w:type="gramEnd"/>
      <w:r>
        <w:t xml:space="preserve"> </w:t>
      </w:r>
      <w:proofErr w:type="spellStart"/>
      <w:r>
        <w:t>francos</w:t>
      </w:r>
      <w:proofErr w:type="spellEnd"/>
      <w:r>
        <w:t xml:space="preserve"> </w:t>
      </w:r>
      <w:proofErr w:type="spellStart"/>
      <w:r>
        <w:t>suizos</w:t>
      </w:r>
      <w:proofErr w:type="spellEnd"/>
      <w:r>
        <w:t>)</w:t>
      </w:r>
    </w:p>
    <w:p w:rsidR="00383888" w:rsidRPr="000615AB" w:rsidRDefault="00383888" w:rsidP="00383888">
      <w:pPr>
        <w:pStyle w:val="NormalArial"/>
      </w:pPr>
    </w:p>
    <w:tbl>
      <w:tblPr>
        <w:tblW w:w="9528" w:type="dxa"/>
        <w:tblInd w:w="-190" w:type="dxa"/>
        <w:tblLayout w:type="fixed"/>
        <w:tblCellMar>
          <w:left w:w="30" w:type="dxa"/>
          <w:right w:w="30" w:type="dxa"/>
        </w:tblCellMar>
        <w:tblLook w:val="0000" w:firstRow="0" w:lastRow="0" w:firstColumn="0" w:lastColumn="0" w:noHBand="0" w:noVBand="0"/>
      </w:tblPr>
      <w:tblGrid>
        <w:gridCol w:w="3055"/>
        <w:gridCol w:w="1125"/>
        <w:gridCol w:w="1210"/>
        <w:gridCol w:w="1320"/>
        <w:gridCol w:w="1430"/>
        <w:gridCol w:w="1388"/>
      </w:tblGrid>
      <w:tr w:rsidR="00383888" w:rsidRPr="000615AB" w:rsidTr="00B47699">
        <w:trPr>
          <w:trHeight w:val="200"/>
          <w:tblHeader/>
        </w:trPr>
        <w:tc>
          <w:tcPr>
            <w:tcW w:w="3055" w:type="dxa"/>
            <w:shd w:val="pct15" w:color="auto" w:fill="FFFFFF"/>
          </w:tcPr>
          <w:p w:rsidR="00383888" w:rsidRPr="000615AB" w:rsidRDefault="00383888" w:rsidP="00B47699">
            <w:pPr>
              <w:spacing w:before="60"/>
              <w:jc w:val="center"/>
              <w:rPr>
                <w:b/>
                <w:snapToGrid w:val="0"/>
                <w:sz w:val="16"/>
                <w:szCs w:val="16"/>
              </w:rPr>
            </w:pPr>
            <w:r w:rsidRPr="000615AB">
              <w:rPr>
                <w:b/>
                <w:snapToGrid w:val="0"/>
                <w:sz w:val="16"/>
                <w:szCs w:val="16"/>
              </w:rPr>
              <w:t>Estados miembros de una o más</w:t>
            </w:r>
          </w:p>
        </w:tc>
        <w:tc>
          <w:tcPr>
            <w:tcW w:w="1125" w:type="dxa"/>
            <w:vMerge w:val="restart"/>
            <w:shd w:val="pct15" w:color="auto" w:fill="FFFFFF"/>
            <w:vAlign w:val="center"/>
          </w:tcPr>
          <w:p w:rsidR="00383888" w:rsidRPr="000615AB" w:rsidRDefault="00383888" w:rsidP="00B47699">
            <w:pPr>
              <w:spacing w:before="60"/>
              <w:jc w:val="center"/>
              <w:rPr>
                <w:b/>
                <w:snapToGrid w:val="0"/>
                <w:sz w:val="16"/>
                <w:szCs w:val="16"/>
              </w:rPr>
            </w:pPr>
            <w:r w:rsidRPr="000615AB">
              <w:rPr>
                <w:b/>
                <w:snapToGrid w:val="0"/>
                <w:sz w:val="16"/>
                <w:szCs w:val="16"/>
              </w:rPr>
              <w:t>Clase de contribución</w:t>
            </w:r>
          </w:p>
        </w:tc>
        <w:tc>
          <w:tcPr>
            <w:tcW w:w="1210" w:type="dxa"/>
            <w:vMerge w:val="restart"/>
            <w:shd w:val="pct15" w:color="auto" w:fill="FFFFFF"/>
            <w:vAlign w:val="center"/>
          </w:tcPr>
          <w:p w:rsidR="00383888" w:rsidRPr="000615AB" w:rsidRDefault="00383888" w:rsidP="00B47699">
            <w:pPr>
              <w:spacing w:before="60"/>
              <w:jc w:val="center"/>
              <w:rPr>
                <w:b/>
                <w:snapToGrid w:val="0"/>
                <w:sz w:val="16"/>
                <w:szCs w:val="16"/>
              </w:rPr>
            </w:pPr>
          </w:p>
          <w:p w:rsidR="00383888" w:rsidRPr="000615AB" w:rsidRDefault="00383888" w:rsidP="00B47699">
            <w:pPr>
              <w:spacing w:before="60"/>
              <w:jc w:val="center"/>
              <w:rPr>
                <w:b/>
                <w:snapToGrid w:val="0"/>
                <w:sz w:val="16"/>
                <w:szCs w:val="16"/>
              </w:rPr>
            </w:pPr>
            <w:r w:rsidRPr="000615AB">
              <w:rPr>
                <w:b/>
                <w:snapToGrid w:val="0"/>
                <w:sz w:val="16"/>
                <w:szCs w:val="16"/>
              </w:rPr>
              <w:t>Unidades de contribución</w:t>
            </w:r>
          </w:p>
          <w:p w:rsidR="00383888" w:rsidRPr="000615AB" w:rsidRDefault="00383888" w:rsidP="00B47699">
            <w:pPr>
              <w:spacing w:before="60"/>
              <w:jc w:val="center"/>
              <w:rPr>
                <w:b/>
                <w:snapToGrid w:val="0"/>
                <w:sz w:val="16"/>
                <w:szCs w:val="16"/>
              </w:rPr>
            </w:pPr>
            <w:r w:rsidRPr="000615AB">
              <w:rPr>
                <w:b/>
                <w:snapToGrid w:val="0"/>
                <w:sz w:val="16"/>
                <w:szCs w:val="16"/>
              </w:rPr>
              <w:t>2014/15</w:t>
            </w:r>
          </w:p>
        </w:tc>
        <w:tc>
          <w:tcPr>
            <w:tcW w:w="1320" w:type="dxa"/>
            <w:vMerge w:val="restart"/>
            <w:shd w:val="pct15" w:color="auto" w:fill="FFFFFF"/>
            <w:vAlign w:val="center"/>
          </w:tcPr>
          <w:p w:rsidR="00383888" w:rsidRPr="000615AB" w:rsidRDefault="00383888" w:rsidP="00B47699">
            <w:pPr>
              <w:spacing w:before="60"/>
              <w:jc w:val="center"/>
              <w:rPr>
                <w:b/>
                <w:snapToGrid w:val="0"/>
                <w:sz w:val="16"/>
                <w:szCs w:val="16"/>
              </w:rPr>
            </w:pPr>
            <w:r w:rsidRPr="000615AB">
              <w:rPr>
                <w:b/>
                <w:snapToGrid w:val="0"/>
                <w:sz w:val="16"/>
                <w:szCs w:val="16"/>
              </w:rPr>
              <w:t>Contribución</w:t>
            </w:r>
            <w:r w:rsidRPr="000615AB">
              <w:rPr>
                <w:b/>
                <w:snapToGrid w:val="0"/>
                <w:sz w:val="16"/>
                <w:szCs w:val="16"/>
                <w:vertAlign w:val="superscript"/>
              </w:rPr>
              <w:t>1</w:t>
            </w:r>
          </w:p>
          <w:p w:rsidR="00383888" w:rsidRPr="000615AB" w:rsidRDefault="00383888" w:rsidP="00B47699">
            <w:pPr>
              <w:spacing w:before="60"/>
              <w:jc w:val="center"/>
              <w:rPr>
                <w:b/>
                <w:snapToGrid w:val="0"/>
                <w:sz w:val="16"/>
                <w:szCs w:val="16"/>
              </w:rPr>
            </w:pPr>
            <w:r w:rsidRPr="000615AB">
              <w:rPr>
                <w:b/>
                <w:snapToGrid w:val="0"/>
                <w:sz w:val="16"/>
                <w:szCs w:val="16"/>
              </w:rPr>
              <w:t>2014</w:t>
            </w:r>
          </w:p>
        </w:tc>
        <w:tc>
          <w:tcPr>
            <w:tcW w:w="1430" w:type="dxa"/>
            <w:vMerge w:val="restart"/>
            <w:shd w:val="pct15" w:color="auto" w:fill="FFFFFF"/>
            <w:vAlign w:val="center"/>
          </w:tcPr>
          <w:p w:rsidR="00383888" w:rsidRPr="000615AB" w:rsidRDefault="00383888" w:rsidP="00B47699">
            <w:pPr>
              <w:spacing w:before="60"/>
              <w:jc w:val="center"/>
              <w:rPr>
                <w:b/>
                <w:snapToGrid w:val="0"/>
                <w:sz w:val="16"/>
                <w:szCs w:val="16"/>
              </w:rPr>
            </w:pPr>
            <w:r w:rsidRPr="000615AB">
              <w:rPr>
                <w:b/>
                <w:snapToGrid w:val="0"/>
                <w:sz w:val="16"/>
                <w:szCs w:val="16"/>
              </w:rPr>
              <w:t>Contribución</w:t>
            </w:r>
            <w:r w:rsidRPr="000615AB">
              <w:rPr>
                <w:b/>
                <w:snapToGrid w:val="0"/>
                <w:sz w:val="16"/>
                <w:szCs w:val="16"/>
                <w:vertAlign w:val="superscript"/>
              </w:rPr>
              <w:t>1</w:t>
            </w:r>
          </w:p>
          <w:p w:rsidR="00383888" w:rsidRPr="000615AB" w:rsidRDefault="00383888" w:rsidP="00993E2E">
            <w:pPr>
              <w:spacing w:before="60"/>
              <w:jc w:val="center"/>
              <w:rPr>
                <w:b/>
                <w:snapToGrid w:val="0"/>
                <w:sz w:val="16"/>
                <w:szCs w:val="16"/>
              </w:rPr>
            </w:pPr>
            <w:r w:rsidRPr="000615AB">
              <w:rPr>
                <w:b/>
                <w:snapToGrid w:val="0"/>
                <w:sz w:val="16"/>
                <w:szCs w:val="16"/>
              </w:rPr>
              <w:t>201</w:t>
            </w:r>
            <w:r w:rsidR="00993E2E">
              <w:rPr>
                <w:b/>
                <w:snapToGrid w:val="0"/>
                <w:sz w:val="16"/>
                <w:szCs w:val="16"/>
              </w:rPr>
              <w:t>5</w:t>
            </w:r>
          </w:p>
        </w:tc>
        <w:tc>
          <w:tcPr>
            <w:tcW w:w="1388" w:type="dxa"/>
            <w:vMerge w:val="restart"/>
            <w:shd w:val="pct15" w:color="auto" w:fill="FFFFFF"/>
            <w:vAlign w:val="center"/>
          </w:tcPr>
          <w:p w:rsidR="00383888" w:rsidRPr="000615AB" w:rsidRDefault="00383888" w:rsidP="00B47699">
            <w:pPr>
              <w:spacing w:before="60"/>
              <w:jc w:val="center"/>
              <w:rPr>
                <w:b/>
                <w:snapToGrid w:val="0"/>
                <w:sz w:val="16"/>
                <w:szCs w:val="16"/>
              </w:rPr>
            </w:pPr>
            <w:r w:rsidRPr="000615AB">
              <w:rPr>
                <w:b/>
                <w:snapToGrid w:val="0"/>
                <w:sz w:val="16"/>
                <w:szCs w:val="16"/>
              </w:rPr>
              <w:t>Contribuciones</w:t>
            </w:r>
          </w:p>
          <w:p w:rsidR="00383888" w:rsidRPr="000615AB" w:rsidRDefault="00383888" w:rsidP="00B47699">
            <w:pPr>
              <w:spacing w:before="60"/>
              <w:jc w:val="center"/>
              <w:rPr>
                <w:b/>
                <w:snapToGrid w:val="0"/>
                <w:sz w:val="16"/>
                <w:szCs w:val="16"/>
              </w:rPr>
            </w:pPr>
            <w:r w:rsidRPr="000615AB">
              <w:rPr>
                <w:b/>
                <w:snapToGrid w:val="0"/>
                <w:sz w:val="16"/>
                <w:szCs w:val="16"/>
              </w:rPr>
              <w:t>2014/15</w:t>
            </w:r>
          </w:p>
        </w:tc>
      </w:tr>
      <w:tr w:rsidR="00383888" w:rsidRPr="000615AB" w:rsidTr="00B47699">
        <w:trPr>
          <w:trHeight w:val="200"/>
          <w:tblHeader/>
        </w:trPr>
        <w:tc>
          <w:tcPr>
            <w:tcW w:w="3055" w:type="dxa"/>
            <w:shd w:val="pct15" w:color="auto" w:fill="FFFFFF"/>
          </w:tcPr>
          <w:p w:rsidR="00383888" w:rsidRPr="000615AB" w:rsidRDefault="00383888" w:rsidP="00B47699">
            <w:pPr>
              <w:pStyle w:val="Heading6"/>
              <w:tabs>
                <w:tab w:val="num" w:pos="0"/>
              </w:tabs>
              <w:ind w:left="-46" w:firstLine="46"/>
              <w:jc w:val="center"/>
              <w:rPr>
                <w:color w:val="auto"/>
                <w:sz w:val="17"/>
                <w:szCs w:val="17"/>
                <w:lang w:val="es-ES"/>
              </w:rPr>
            </w:pPr>
            <w:r w:rsidRPr="000615AB">
              <w:rPr>
                <w:caps w:val="0"/>
                <w:color w:val="auto"/>
                <w:sz w:val="17"/>
                <w:szCs w:val="17"/>
                <w:lang w:val="es-ES"/>
              </w:rPr>
              <w:t>Uniones financiadas por contribuciones</w:t>
            </w:r>
          </w:p>
        </w:tc>
        <w:tc>
          <w:tcPr>
            <w:tcW w:w="1125" w:type="dxa"/>
            <w:vMerge/>
            <w:shd w:val="pct15" w:color="auto" w:fill="FFFFFF"/>
          </w:tcPr>
          <w:p w:rsidR="00383888" w:rsidRPr="000615AB" w:rsidRDefault="00383888" w:rsidP="00B47699">
            <w:pPr>
              <w:spacing w:before="60"/>
              <w:jc w:val="center"/>
              <w:rPr>
                <w:b/>
                <w:snapToGrid w:val="0"/>
                <w:sz w:val="18"/>
                <w:szCs w:val="18"/>
              </w:rPr>
            </w:pPr>
          </w:p>
        </w:tc>
        <w:tc>
          <w:tcPr>
            <w:tcW w:w="1210" w:type="dxa"/>
            <w:vMerge/>
            <w:shd w:val="pct15" w:color="auto" w:fill="FFFFFF"/>
            <w:vAlign w:val="center"/>
          </w:tcPr>
          <w:p w:rsidR="00383888" w:rsidRPr="000615AB" w:rsidRDefault="00383888" w:rsidP="00B47699">
            <w:pPr>
              <w:spacing w:before="60"/>
              <w:jc w:val="center"/>
              <w:rPr>
                <w:b/>
                <w:snapToGrid w:val="0"/>
                <w:sz w:val="18"/>
                <w:szCs w:val="18"/>
              </w:rPr>
            </w:pPr>
          </w:p>
        </w:tc>
        <w:tc>
          <w:tcPr>
            <w:tcW w:w="1320" w:type="dxa"/>
            <w:vMerge/>
            <w:shd w:val="pct15" w:color="auto" w:fill="FFFFFF"/>
            <w:vAlign w:val="center"/>
          </w:tcPr>
          <w:p w:rsidR="00383888" w:rsidRPr="000615AB" w:rsidRDefault="00383888" w:rsidP="00B47699">
            <w:pPr>
              <w:spacing w:before="60"/>
              <w:jc w:val="center"/>
              <w:rPr>
                <w:b/>
                <w:snapToGrid w:val="0"/>
                <w:sz w:val="18"/>
                <w:szCs w:val="18"/>
              </w:rPr>
            </w:pPr>
          </w:p>
        </w:tc>
        <w:tc>
          <w:tcPr>
            <w:tcW w:w="1430" w:type="dxa"/>
            <w:vMerge/>
            <w:shd w:val="pct15" w:color="auto" w:fill="FFFFFF"/>
            <w:vAlign w:val="center"/>
          </w:tcPr>
          <w:p w:rsidR="00383888" w:rsidRPr="000615AB" w:rsidRDefault="00383888" w:rsidP="00B47699">
            <w:pPr>
              <w:spacing w:before="60"/>
              <w:jc w:val="center"/>
              <w:rPr>
                <w:b/>
                <w:snapToGrid w:val="0"/>
                <w:sz w:val="18"/>
                <w:szCs w:val="18"/>
              </w:rPr>
            </w:pPr>
          </w:p>
        </w:tc>
        <w:tc>
          <w:tcPr>
            <w:tcW w:w="1388" w:type="dxa"/>
            <w:vMerge/>
            <w:shd w:val="pct15" w:color="auto" w:fill="FFFFFF"/>
            <w:vAlign w:val="center"/>
          </w:tcPr>
          <w:p w:rsidR="00383888" w:rsidRPr="000615AB" w:rsidRDefault="00383888" w:rsidP="00B47699">
            <w:pPr>
              <w:spacing w:before="60"/>
              <w:jc w:val="center"/>
              <w:rPr>
                <w:b/>
                <w:snapToGrid w:val="0"/>
                <w:sz w:val="18"/>
                <w:szCs w:val="18"/>
              </w:rPr>
            </w:pPr>
          </w:p>
        </w:tc>
      </w:tr>
      <w:tr w:rsidR="00383888" w:rsidRPr="000615AB" w:rsidTr="00B47699">
        <w:trPr>
          <w:trHeight w:val="100"/>
          <w:tblHeader/>
        </w:trPr>
        <w:tc>
          <w:tcPr>
            <w:tcW w:w="3055" w:type="dxa"/>
          </w:tcPr>
          <w:p w:rsidR="00383888" w:rsidRPr="000615AB" w:rsidRDefault="00383888" w:rsidP="00B47699">
            <w:pPr>
              <w:jc w:val="right"/>
              <w:rPr>
                <w:snapToGrid w:val="0"/>
                <w:sz w:val="18"/>
                <w:szCs w:val="18"/>
              </w:rPr>
            </w:pPr>
          </w:p>
        </w:tc>
        <w:tc>
          <w:tcPr>
            <w:tcW w:w="1125" w:type="dxa"/>
          </w:tcPr>
          <w:p w:rsidR="00383888" w:rsidRPr="000615AB" w:rsidRDefault="00383888" w:rsidP="00B47699">
            <w:pPr>
              <w:jc w:val="center"/>
              <w:rPr>
                <w:snapToGrid w:val="0"/>
                <w:sz w:val="18"/>
                <w:szCs w:val="18"/>
              </w:rPr>
            </w:pPr>
          </w:p>
        </w:tc>
        <w:tc>
          <w:tcPr>
            <w:tcW w:w="1210" w:type="dxa"/>
          </w:tcPr>
          <w:p w:rsidR="00383888" w:rsidRPr="000615AB" w:rsidRDefault="00383888" w:rsidP="00B47699">
            <w:pPr>
              <w:jc w:val="right"/>
              <w:rPr>
                <w:snapToGrid w:val="0"/>
                <w:sz w:val="18"/>
                <w:szCs w:val="18"/>
              </w:rPr>
            </w:pPr>
          </w:p>
        </w:tc>
        <w:tc>
          <w:tcPr>
            <w:tcW w:w="1320" w:type="dxa"/>
          </w:tcPr>
          <w:p w:rsidR="00383888" w:rsidRPr="000615AB" w:rsidRDefault="00383888" w:rsidP="00B47699">
            <w:pPr>
              <w:jc w:val="right"/>
              <w:rPr>
                <w:snapToGrid w:val="0"/>
                <w:sz w:val="18"/>
                <w:szCs w:val="18"/>
              </w:rPr>
            </w:pPr>
          </w:p>
        </w:tc>
        <w:tc>
          <w:tcPr>
            <w:tcW w:w="1430" w:type="dxa"/>
          </w:tcPr>
          <w:p w:rsidR="00383888" w:rsidRPr="000615AB" w:rsidRDefault="00383888" w:rsidP="00B47699">
            <w:pPr>
              <w:jc w:val="right"/>
              <w:rPr>
                <w:snapToGrid w:val="0"/>
                <w:sz w:val="18"/>
                <w:szCs w:val="18"/>
              </w:rPr>
            </w:pPr>
          </w:p>
        </w:tc>
        <w:tc>
          <w:tcPr>
            <w:tcW w:w="1388" w:type="dxa"/>
          </w:tcPr>
          <w:p w:rsidR="00383888" w:rsidRPr="000615AB" w:rsidRDefault="00383888" w:rsidP="00B47699">
            <w:pPr>
              <w:jc w:val="right"/>
              <w:rPr>
                <w:snapToGrid w:val="0"/>
                <w:sz w:val="18"/>
                <w:szCs w:val="18"/>
              </w:rPr>
            </w:pPr>
          </w:p>
        </w:tc>
      </w:tr>
      <w:tr w:rsidR="00383888" w:rsidRPr="000615AB" w:rsidTr="00B47699">
        <w:tc>
          <w:tcPr>
            <w:tcW w:w="3055" w:type="dxa"/>
            <w:shd w:val="clear" w:color="auto" w:fill="E6E6E6"/>
          </w:tcPr>
          <w:p w:rsidR="00383888" w:rsidRPr="000615AB" w:rsidRDefault="00383888" w:rsidP="00B47699">
            <w:pPr>
              <w:rPr>
                <w:snapToGrid w:val="0"/>
                <w:sz w:val="18"/>
                <w:szCs w:val="18"/>
              </w:rPr>
            </w:pPr>
            <w:r w:rsidRPr="000615AB">
              <w:rPr>
                <w:b/>
                <w:snapToGrid w:val="0"/>
                <w:sz w:val="18"/>
                <w:szCs w:val="18"/>
              </w:rPr>
              <w:t>A</w:t>
            </w:r>
            <w:r w:rsidRPr="000615AB">
              <w:rPr>
                <w:snapToGrid w:val="0"/>
                <w:sz w:val="18"/>
                <w:szCs w:val="18"/>
              </w:rPr>
              <w:t>fganistán</w:t>
            </w:r>
            <w:r w:rsidRPr="000615AB">
              <w:rPr>
                <w:snapToGrid w:val="0"/>
                <w:sz w:val="18"/>
                <w:szCs w:val="18"/>
                <w:vertAlign w:val="superscript"/>
              </w:rPr>
              <w:t>2</w:t>
            </w:r>
          </w:p>
        </w:tc>
        <w:tc>
          <w:tcPr>
            <w:tcW w:w="1125" w:type="dxa"/>
            <w:shd w:val="clear" w:color="auto" w:fill="E6E6E6"/>
          </w:tcPr>
          <w:p w:rsidR="00383888" w:rsidRPr="000615AB" w:rsidRDefault="00383888" w:rsidP="00B47699">
            <w:pPr>
              <w:jc w:val="center"/>
              <w:rPr>
                <w:i/>
                <w:snapToGrid w:val="0"/>
                <w:sz w:val="18"/>
                <w:szCs w:val="18"/>
              </w:rPr>
            </w:pPr>
            <w:proofErr w:type="spellStart"/>
            <w:r w:rsidRPr="000615AB">
              <w:rPr>
                <w:i/>
                <w:snapToGrid w:val="0"/>
                <w:sz w:val="18"/>
                <w:szCs w:val="18"/>
              </w:rPr>
              <w:t>Ster</w:t>
            </w:r>
            <w:proofErr w:type="spellEnd"/>
          </w:p>
        </w:tc>
        <w:tc>
          <w:tcPr>
            <w:tcW w:w="1210" w:type="dxa"/>
            <w:shd w:val="clear" w:color="auto" w:fill="E6E6E6"/>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E6E6E6"/>
          </w:tcPr>
          <w:p w:rsidR="00383888" w:rsidRPr="000615AB" w:rsidRDefault="00383888" w:rsidP="00B47699">
            <w:pPr>
              <w:jc w:val="right"/>
              <w:rPr>
                <w:snapToGrid w:val="0"/>
                <w:sz w:val="18"/>
                <w:szCs w:val="18"/>
              </w:rPr>
            </w:pPr>
            <w:r w:rsidRPr="000615AB">
              <w:rPr>
                <w:snapToGrid w:val="0"/>
                <w:sz w:val="18"/>
                <w:szCs w:val="18"/>
              </w:rPr>
              <w:t>1.424</w:t>
            </w:r>
          </w:p>
        </w:tc>
        <w:tc>
          <w:tcPr>
            <w:tcW w:w="1430" w:type="dxa"/>
            <w:shd w:val="clear" w:color="auto" w:fill="E6E6E6"/>
          </w:tcPr>
          <w:p w:rsidR="00383888" w:rsidRPr="000615AB" w:rsidRDefault="00383888" w:rsidP="00B47699">
            <w:pPr>
              <w:jc w:val="right"/>
              <w:rPr>
                <w:snapToGrid w:val="0"/>
                <w:sz w:val="18"/>
                <w:szCs w:val="18"/>
              </w:rPr>
            </w:pPr>
            <w:r w:rsidRPr="000615AB">
              <w:rPr>
                <w:snapToGrid w:val="0"/>
                <w:sz w:val="18"/>
                <w:szCs w:val="18"/>
              </w:rPr>
              <w:t>1.424</w:t>
            </w:r>
          </w:p>
        </w:tc>
        <w:tc>
          <w:tcPr>
            <w:tcW w:w="1388" w:type="dxa"/>
            <w:shd w:val="clear" w:color="auto" w:fill="E6E6E6"/>
          </w:tcPr>
          <w:p w:rsidR="00383888" w:rsidRPr="000615AB" w:rsidRDefault="00383888" w:rsidP="00B47699">
            <w:pPr>
              <w:jc w:val="right"/>
              <w:rPr>
                <w:snapToGrid w:val="0"/>
                <w:sz w:val="18"/>
                <w:szCs w:val="18"/>
              </w:rPr>
            </w:pPr>
            <w:r w:rsidRPr="000615AB">
              <w:rPr>
                <w:snapToGrid w:val="0"/>
                <w:sz w:val="18"/>
                <w:szCs w:val="18"/>
              </w:rPr>
              <w:t>2.848</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Albania</w:t>
            </w:r>
          </w:p>
        </w:tc>
        <w:tc>
          <w:tcPr>
            <w:tcW w:w="1125" w:type="dxa"/>
          </w:tcPr>
          <w:p w:rsidR="00383888" w:rsidRPr="000615AB" w:rsidRDefault="00383888" w:rsidP="00B47699">
            <w:pPr>
              <w:jc w:val="center"/>
              <w:rPr>
                <w:snapToGrid w:val="0"/>
                <w:sz w:val="18"/>
                <w:szCs w:val="18"/>
              </w:rPr>
            </w:pPr>
            <w:r w:rsidRPr="000615AB">
              <w:rPr>
                <w:snapToGrid w:val="0"/>
                <w:sz w:val="18"/>
                <w:szCs w:val="18"/>
              </w:rPr>
              <w:t>IX</w:t>
            </w:r>
          </w:p>
        </w:tc>
        <w:tc>
          <w:tcPr>
            <w:tcW w:w="1210" w:type="dxa"/>
          </w:tcPr>
          <w:p w:rsidR="00383888" w:rsidRPr="000615AB" w:rsidRDefault="00383888" w:rsidP="00B47699">
            <w:pPr>
              <w:jc w:val="right"/>
              <w:rPr>
                <w:snapToGrid w:val="0"/>
                <w:sz w:val="18"/>
                <w:szCs w:val="18"/>
              </w:rPr>
            </w:pPr>
            <w:r w:rsidRPr="000615AB">
              <w:rPr>
                <w:snapToGrid w:val="0"/>
                <w:sz w:val="18"/>
                <w:szCs w:val="18"/>
              </w:rPr>
              <w:t>0,25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Alemania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I</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25</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1.139.475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1.139.475 </w:t>
            </w:r>
          </w:p>
        </w:tc>
        <w:tc>
          <w:tcPr>
            <w:tcW w:w="1388"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2.278.950 </w:t>
            </w:r>
          </w:p>
        </w:tc>
      </w:tr>
      <w:tr w:rsidR="00383888" w:rsidRPr="000615AB" w:rsidTr="00B47699">
        <w:tc>
          <w:tcPr>
            <w:tcW w:w="3055" w:type="dxa"/>
          </w:tcPr>
          <w:p w:rsidR="00383888" w:rsidRPr="000615AB" w:rsidRDefault="00383888" w:rsidP="00B47699">
            <w:pPr>
              <w:rPr>
                <w:snapToGrid w:val="0"/>
                <w:sz w:val="18"/>
                <w:szCs w:val="18"/>
                <w:vertAlign w:val="superscript"/>
              </w:rPr>
            </w:pPr>
            <w:r w:rsidRPr="000615AB">
              <w:rPr>
                <w:snapToGrid w:val="0"/>
                <w:sz w:val="18"/>
                <w:szCs w:val="18"/>
              </w:rPr>
              <w:t>Andorra</w:t>
            </w:r>
          </w:p>
        </w:tc>
        <w:tc>
          <w:tcPr>
            <w:tcW w:w="1125" w:type="dxa"/>
          </w:tcPr>
          <w:p w:rsidR="00383888" w:rsidRPr="000615AB" w:rsidRDefault="00383888" w:rsidP="00B47699">
            <w:pPr>
              <w:jc w:val="center"/>
              <w:rPr>
                <w:snapToGrid w:val="0"/>
                <w:sz w:val="18"/>
                <w:szCs w:val="18"/>
              </w:rPr>
            </w:pPr>
            <w:r w:rsidRPr="000615AB">
              <w:rPr>
                <w:snapToGrid w:val="0"/>
                <w:sz w:val="18"/>
                <w:szCs w:val="18"/>
              </w:rPr>
              <w:t>IX</w:t>
            </w:r>
          </w:p>
        </w:tc>
        <w:tc>
          <w:tcPr>
            <w:tcW w:w="1210" w:type="dxa"/>
          </w:tcPr>
          <w:p w:rsidR="00383888" w:rsidRPr="000615AB" w:rsidRDefault="00383888" w:rsidP="00B47699">
            <w:pPr>
              <w:jc w:val="right"/>
              <w:rPr>
                <w:snapToGrid w:val="0"/>
                <w:sz w:val="18"/>
                <w:szCs w:val="18"/>
              </w:rPr>
            </w:pPr>
            <w:r w:rsidRPr="000615AB">
              <w:rPr>
                <w:snapToGrid w:val="0"/>
                <w:sz w:val="18"/>
                <w:szCs w:val="18"/>
              </w:rPr>
              <w:t>0,25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shd w:val="pct15" w:color="auto" w:fill="FFFFFF"/>
          </w:tcPr>
          <w:p w:rsidR="00383888" w:rsidRPr="000615AB" w:rsidRDefault="00383888" w:rsidP="00B47699">
            <w:pPr>
              <w:rPr>
                <w:snapToGrid w:val="0"/>
                <w:sz w:val="18"/>
                <w:szCs w:val="18"/>
                <w:vertAlign w:val="superscript"/>
              </w:rPr>
            </w:pPr>
            <w:r w:rsidRPr="000615AB">
              <w:rPr>
                <w:snapToGrid w:val="0"/>
                <w:sz w:val="18"/>
                <w:szCs w:val="18"/>
              </w:rPr>
              <w:t xml:space="preserve">Angola </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Antigua y Barbuda</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0,0625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shd w:val="pct15" w:color="auto" w:fill="FFFFFF"/>
          </w:tcPr>
          <w:p w:rsidR="00383888" w:rsidRPr="000615AB" w:rsidRDefault="00383888" w:rsidP="00B47699">
            <w:pPr>
              <w:rPr>
                <w:snapToGrid w:val="0"/>
                <w:sz w:val="18"/>
                <w:szCs w:val="18"/>
                <w:vertAlign w:val="superscript"/>
              </w:rPr>
            </w:pPr>
            <w:r w:rsidRPr="000615AB">
              <w:rPr>
                <w:snapToGrid w:val="0"/>
                <w:sz w:val="18"/>
                <w:szCs w:val="18"/>
              </w:rPr>
              <w:t>Arabia Saudita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VII</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1</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 </w:t>
            </w:r>
          </w:p>
        </w:tc>
        <w:tc>
          <w:tcPr>
            <w:tcW w:w="1388"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Argelia</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22.790</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Argentina</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VI</w:t>
            </w:r>
            <w:r w:rsidRPr="000615AB">
              <w:rPr>
                <w:i/>
                <w:snapToGrid w:val="0"/>
                <w:sz w:val="18"/>
                <w:szCs w:val="18"/>
              </w:rPr>
              <w:t>bis</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2</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91.158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91.158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182.316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Armenia</w:t>
            </w:r>
          </w:p>
        </w:tc>
        <w:tc>
          <w:tcPr>
            <w:tcW w:w="1125" w:type="dxa"/>
          </w:tcPr>
          <w:p w:rsidR="00383888" w:rsidRPr="000615AB" w:rsidRDefault="00383888" w:rsidP="00B47699">
            <w:pPr>
              <w:jc w:val="center"/>
              <w:rPr>
                <w:snapToGrid w:val="0"/>
                <w:sz w:val="18"/>
                <w:szCs w:val="18"/>
              </w:rPr>
            </w:pPr>
            <w:r w:rsidRPr="000615AB">
              <w:rPr>
                <w:snapToGrid w:val="0"/>
                <w:sz w:val="18"/>
                <w:szCs w:val="18"/>
              </w:rPr>
              <w:t>IX</w:t>
            </w:r>
          </w:p>
        </w:tc>
        <w:tc>
          <w:tcPr>
            <w:tcW w:w="1210" w:type="dxa"/>
          </w:tcPr>
          <w:p w:rsidR="00383888" w:rsidRPr="000615AB" w:rsidRDefault="00383888" w:rsidP="00B47699">
            <w:pPr>
              <w:jc w:val="right"/>
              <w:rPr>
                <w:snapToGrid w:val="0"/>
                <w:sz w:val="18"/>
                <w:szCs w:val="18"/>
              </w:rPr>
            </w:pPr>
            <w:r w:rsidRPr="000615AB">
              <w:rPr>
                <w:snapToGrid w:val="0"/>
                <w:sz w:val="18"/>
                <w:szCs w:val="18"/>
              </w:rPr>
              <w:t>0,25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Australia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III</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15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683.685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683.685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1.367.370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Austria</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IV</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7,5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341.842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341.842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683.684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Azerbaiyán</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tcPr>
          <w:p w:rsidR="00383888" w:rsidRPr="000615AB" w:rsidRDefault="00383888" w:rsidP="00B47699">
            <w:pPr>
              <w:rPr>
                <w:snapToGrid w:val="0"/>
                <w:sz w:val="18"/>
                <w:szCs w:val="18"/>
              </w:rPr>
            </w:pPr>
            <w:r w:rsidRPr="000615AB">
              <w:rPr>
                <w:b/>
                <w:snapToGrid w:val="0"/>
                <w:sz w:val="18"/>
                <w:szCs w:val="18"/>
              </w:rPr>
              <w:t>B</w:t>
            </w:r>
            <w:r w:rsidRPr="000615AB">
              <w:rPr>
                <w:snapToGrid w:val="0"/>
                <w:sz w:val="18"/>
                <w:szCs w:val="18"/>
              </w:rPr>
              <w:t xml:space="preserve">ahamas </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0,0625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proofErr w:type="spellStart"/>
            <w:r w:rsidRPr="000615AB">
              <w:rPr>
                <w:snapToGrid w:val="0"/>
                <w:sz w:val="18"/>
                <w:szCs w:val="18"/>
              </w:rPr>
              <w:t>Bahrein</w:t>
            </w:r>
            <w:proofErr w:type="spellEnd"/>
          </w:p>
        </w:tc>
        <w:tc>
          <w:tcPr>
            <w:tcW w:w="1125" w:type="dxa"/>
            <w:shd w:val="pct15" w:color="auto" w:fill="FFFFFF"/>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11.394</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Bangladesh</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Barbados</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tcPr>
          <w:p w:rsidR="00383888" w:rsidRPr="000615AB" w:rsidRDefault="00383888" w:rsidP="00B47699">
            <w:pPr>
              <w:rPr>
                <w:snapToGrid w:val="0"/>
                <w:sz w:val="18"/>
                <w:szCs w:val="18"/>
              </w:rPr>
            </w:pPr>
            <w:proofErr w:type="spellStart"/>
            <w:r w:rsidRPr="000615AB">
              <w:rPr>
                <w:snapToGrid w:val="0"/>
                <w:sz w:val="18"/>
                <w:szCs w:val="18"/>
              </w:rPr>
              <w:t>Belarús</w:t>
            </w:r>
            <w:proofErr w:type="spellEnd"/>
          </w:p>
        </w:tc>
        <w:tc>
          <w:tcPr>
            <w:tcW w:w="1125" w:type="dxa"/>
          </w:tcPr>
          <w:p w:rsidR="00383888" w:rsidRPr="000615AB" w:rsidRDefault="00383888" w:rsidP="00B47699">
            <w:pPr>
              <w:jc w:val="center"/>
              <w:rPr>
                <w:snapToGrid w:val="0"/>
                <w:sz w:val="18"/>
                <w:szCs w:val="18"/>
              </w:rPr>
            </w:pPr>
            <w:r w:rsidRPr="000615AB">
              <w:rPr>
                <w:snapToGrid w:val="0"/>
                <w:sz w:val="18"/>
                <w:szCs w:val="18"/>
              </w:rPr>
              <w:t>IX</w:t>
            </w:r>
          </w:p>
        </w:tc>
        <w:tc>
          <w:tcPr>
            <w:tcW w:w="1210" w:type="dxa"/>
          </w:tcPr>
          <w:p w:rsidR="00383888" w:rsidRPr="000615AB" w:rsidRDefault="00383888" w:rsidP="00B47699">
            <w:pPr>
              <w:jc w:val="right"/>
              <w:rPr>
                <w:snapToGrid w:val="0"/>
                <w:sz w:val="18"/>
                <w:szCs w:val="18"/>
              </w:rPr>
            </w:pPr>
            <w:r w:rsidRPr="000615AB">
              <w:rPr>
                <w:snapToGrid w:val="0"/>
                <w:sz w:val="18"/>
                <w:szCs w:val="18"/>
              </w:rPr>
              <w:t>0,25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Bélgica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III</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15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683.685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683.685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1.367.370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Belice</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0,0625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proofErr w:type="spellStart"/>
            <w:r w:rsidRPr="000615AB">
              <w:rPr>
                <w:snapToGrid w:val="0"/>
                <w:sz w:val="18"/>
                <w:szCs w:val="18"/>
              </w:rPr>
              <w:t>Benin</w:t>
            </w:r>
            <w:proofErr w:type="spellEnd"/>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tcPr>
          <w:p w:rsidR="00383888" w:rsidRPr="000615AB" w:rsidRDefault="00383888" w:rsidP="00B47699">
            <w:pPr>
              <w:rPr>
                <w:snapToGrid w:val="0"/>
                <w:sz w:val="18"/>
                <w:szCs w:val="18"/>
              </w:rPr>
            </w:pPr>
            <w:proofErr w:type="spellStart"/>
            <w:r w:rsidRPr="000615AB">
              <w:rPr>
                <w:snapToGrid w:val="0"/>
                <w:sz w:val="18"/>
                <w:szCs w:val="18"/>
              </w:rPr>
              <w:t>Bhután</w:t>
            </w:r>
            <w:proofErr w:type="spellEnd"/>
            <w:r w:rsidRPr="000615AB">
              <w:rPr>
                <w:snapToGrid w:val="0"/>
                <w:sz w:val="18"/>
                <w:szCs w:val="18"/>
              </w:rPr>
              <w:t xml:space="preserve"> </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 xml:space="preserve">Bolivia </w:t>
            </w:r>
            <w:r w:rsidRPr="000615AB">
              <w:rPr>
                <w:sz w:val="18"/>
                <w:szCs w:val="18"/>
              </w:rPr>
              <w:t>(Estado Plurinacional de)</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Bosnia y Herzegovina</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0,0625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proofErr w:type="spellStart"/>
            <w:r w:rsidRPr="000615AB">
              <w:rPr>
                <w:snapToGrid w:val="0"/>
                <w:sz w:val="18"/>
                <w:szCs w:val="18"/>
              </w:rPr>
              <w:t>Botswana</w:t>
            </w:r>
            <w:proofErr w:type="spellEnd"/>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Brasil</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VI</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2</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91.158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91.158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182.316 </w:t>
            </w:r>
          </w:p>
        </w:tc>
      </w:tr>
      <w:tr w:rsidR="00383888" w:rsidRPr="000615AB" w:rsidTr="00B47699">
        <w:tc>
          <w:tcPr>
            <w:tcW w:w="3055" w:type="dxa"/>
            <w:shd w:val="pct15" w:color="auto" w:fill="FFFFFF"/>
            <w:vAlign w:val="center"/>
          </w:tcPr>
          <w:p w:rsidR="00383888" w:rsidRPr="000615AB" w:rsidRDefault="00383888" w:rsidP="00B47699">
            <w:pPr>
              <w:rPr>
                <w:snapToGrid w:val="0"/>
                <w:sz w:val="18"/>
                <w:szCs w:val="18"/>
                <w:vertAlign w:val="superscript"/>
              </w:rPr>
            </w:pPr>
            <w:r w:rsidRPr="000615AB">
              <w:rPr>
                <w:snapToGrid w:val="0"/>
                <w:sz w:val="18"/>
                <w:szCs w:val="18"/>
              </w:rPr>
              <w:t xml:space="preserve">Brunei Darussalam </w:t>
            </w:r>
          </w:p>
        </w:tc>
        <w:tc>
          <w:tcPr>
            <w:tcW w:w="1125" w:type="dxa"/>
            <w:shd w:val="pct15" w:color="auto" w:fill="FFFFFF"/>
            <w:vAlign w:val="center"/>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pct15" w:color="auto" w:fill="FFFFFF"/>
            <w:vAlign w:val="center"/>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FFFFFF"/>
            <w:vAlign w:val="center"/>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shd w:val="pct15" w:color="auto" w:fill="FFFFFF"/>
            <w:vAlign w:val="center"/>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388" w:type="dxa"/>
            <w:shd w:val="pct15" w:color="auto" w:fill="FFFFFF"/>
            <w:vAlign w:val="center"/>
          </w:tcPr>
          <w:p w:rsidR="00383888" w:rsidRPr="000615AB" w:rsidRDefault="00383888" w:rsidP="00B47699">
            <w:pPr>
              <w:jc w:val="right"/>
              <w:rPr>
                <w:snapToGrid w:val="0"/>
                <w:sz w:val="18"/>
                <w:szCs w:val="18"/>
              </w:rPr>
            </w:pPr>
            <w:r w:rsidRPr="000615AB">
              <w:rPr>
                <w:snapToGrid w:val="0"/>
                <w:sz w:val="18"/>
                <w:szCs w:val="18"/>
              </w:rPr>
              <w:t xml:space="preserve">11.394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Bulgaria</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VI</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2</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91.158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91.158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182.316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Burkina Faso</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Burundi</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b/>
                <w:snapToGrid w:val="0"/>
                <w:sz w:val="18"/>
                <w:szCs w:val="18"/>
              </w:rPr>
              <w:t>C</w:t>
            </w:r>
            <w:r w:rsidRPr="000615AB">
              <w:rPr>
                <w:snapToGrid w:val="0"/>
                <w:sz w:val="18"/>
                <w:szCs w:val="18"/>
              </w:rPr>
              <w:t>abo Verde</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2.849</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5.698</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 xml:space="preserve">Camboya </w:t>
            </w:r>
          </w:p>
        </w:tc>
        <w:tc>
          <w:tcPr>
            <w:tcW w:w="1125" w:type="dxa"/>
            <w:shd w:val="clear"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Camerún</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Canadá</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IV</w:t>
            </w:r>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10</w:t>
            </w:r>
          </w:p>
        </w:tc>
        <w:tc>
          <w:tcPr>
            <w:tcW w:w="132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455.790 </w:t>
            </w:r>
          </w:p>
        </w:tc>
        <w:tc>
          <w:tcPr>
            <w:tcW w:w="143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455.790 </w:t>
            </w:r>
          </w:p>
        </w:tc>
        <w:tc>
          <w:tcPr>
            <w:tcW w:w="1388"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911.580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Chad</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Chile</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388"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China</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IV</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7,5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341.842 </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341.842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683.684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Chipre</w:t>
            </w:r>
          </w:p>
        </w:tc>
        <w:tc>
          <w:tcPr>
            <w:tcW w:w="1125" w:type="dxa"/>
          </w:tcPr>
          <w:p w:rsidR="00383888" w:rsidRPr="000615AB" w:rsidRDefault="00383888" w:rsidP="00B47699">
            <w:pPr>
              <w:jc w:val="center"/>
              <w:rPr>
                <w:snapToGrid w:val="0"/>
                <w:sz w:val="18"/>
                <w:szCs w:val="18"/>
              </w:rPr>
            </w:pPr>
            <w:r w:rsidRPr="000615AB">
              <w:rPr>
                <w:snapToGrid w:val="0"/>
                <w:sz w:val="18"/>
                <w:szCs w:val="18"/>
              </w:rPr>
              <w:t>S</w:t>
            </w:r>
          </w:p>
        </w:tc>
        <w:tc>
          <w:tcPr>
            <w:tcW w:w="1210" w:type="dxa"/>
          </w:tcPr>
          <w:p w:rsidR="00383888" w:rsidRPr="000615AB" w:rsidRDefault="00383888" w:rsidP="00B47699">
            <w:pPr>
              <w:jc w:val="right"/>
              <w:rPr>
                <w:snapToGrid w:val="0"/>
                <w:sz w:val="18"/>
                <w:szCs w:val="18"/>
              </w:rPr>
            </w:pPr>
            <w:r w:rsidRPr="000615AB">
              <w:rPr>
                <w:snapToGrid w:val="0"/>
                <w:sz w:val="18"/>
                <w:szCs w:val="18"/>
              </w:rPr>
              <w:t>0,125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11.394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Colombia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Comoras</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tcPr>
          <w:p w:rsidR="00383888" w:rsidRPr="000615AB" w:rsidRDefault="00383888" w:rsidP="00B47699">
            <w:pPr>
              <w:jc w:val="right"/>
              <w:rPr>
                <w:snapToGrid w:val="0"/>
                <w:sz w:val="18"/>
                <w:szCs w:val="18"/>
              </w:rPr>
            </w:pPr>
            <w:r w:rsidRPr="000615AB">
              <w:rPr>
                <w:snapToGrid w:val="0"/>
                <w:sz w:val="18"/>
                <w:szCs w:val="18"/>
              </w:rPr>
              <w:t>1.424</w:t>
            </w:r>
          </w:p>
        </w:tc>
        <w:tc>
          <w:tcPr>
            <w:tcW w:w="1430" w:type="dxa"/>
          </w:tcPr>
          <w:p w:rsidR="00383888" w:rsidRPr="000615AB" w:rsidRDefault="00383888" w:rsidP="00B47699">
            <w:pPr>
              <w:jc w:val="right"/>
              <w:rPr>
                <w:snapToGrid w:val="0"/>
                <w:sz w:val="18"/>
                <w:szCs w:val="18"/>
              </w:rPr>
            </w:pPr>
            <w:r w:rsidRPr="000615AB">
              <w:rPr>
                <w:snapToGrid w:val="0"/>
                <w:sz w:val="18"/>
                <w:szCs w:val="18"/>
              </w:rPr>
              <w:t>1.424</w:t>
            </w:r>
          </w:p>
        </w:tc>
        <w:tc>
          <w:tcPr>
            <w:tcW w:w="1388" w:type="dxa"/>
          </w:tcPr>
          <w:p w:rsidR="00383888" w:rsidRPr="000615AB" w:rsidRDefault="00383888" w:rsidP="00B47699">
            <w:pPr>
              <w:jc w:val="right"/>
              <w:rPr>
                <w:snapToGrid w:val="0"/>
                <w:sz w:val="18"/>
                <w:szCs w:val="18"/>
              </w:rPr>
            </w:pPr>
            <w:r w:rsidRPr="000615AB">
              <w:rPr>
                <w:snapToGrid w:val="0"/>
                <w:sz w:val="18"/>
                <w:szCs w:val="18"/>
              </w:rPr>
              <w:t>2.848</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 xml:space="preserve">Congo </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Costa Rica</w:t>
            </w:r>
          </w:p>
        </w:tc>
        <w:tc>
          <w:tcPr>
            <w:tcW w:w="1125" w:type="dxa"/>
          </w:tcPr>
          <w:p w:rsidR="00383888" w:rsidRPr="000615AB" w:rsidRDefault="00383888" w:rsidP="00B47699">
            <w:pPr>
              <w:jc w:val="center"/>
              <w:rPr>
                <w:snapToGrid w:val="0"/>
                <w:sz w:val="18"/>
                <w:szCs w:val="18"/>
              </w:rPr>
            </w:pPr>
            <w:r w:rsidRPr="000615AB">
              <w:rPr>
                <w:snapToGrid w:val="0"/>
                <w:sz w:val="18"/>
                <w:szCs w:val="18"/>
              </w:rPr>
              <w:t>S</w:t>
            </w:r>
          </w:p>
        </w:tc>
        <w:tc>
          <w:tcPr>
            <w:tcW w:w="1210" w:type="dxa"/>
          </w:tcPr>
          <w:p w:rsidR="00383888" w:rsidRPr="000615AB" w:rsidRDefault="00383888" w:rsidP="00B47699">
            <w:pPr>
              <w:jc w:val="right"/>
              <w:rPr>
                <w:snapToGrid w:val="0"/>
                <w:sz w:val="18"/>
                <w:szCs w:val="18"/>
              </w:rPr>
            </w:pPr>
            <w:r w:rsidRPr="000615AB">
              <w:rPr>
                <w:snapToGrid w:val="0"/>
                <w:sz w:val="18"/>
                <w:szCs w:val="18"/>
              </w:rPr>
              <w:t>0,125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11.394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proofErr w:type="spellStart"/>
            <w:r w:rsidRPr="000615AB">
              <w:rPr>
                <w:snapToGrid w:val="0"/>
                <w:sz w:val="18"/>
                <w:szCs w:val="18"/>
              </w:rPr>
              <w:t>Côte</w:t>
            </w:r>
            <w:proofErr w:type="spellEnd"/>
            <w:r w:rsidRPr="000615AB">
              <w:rPr>
                <w:snapToGrid w:val="0"/>
                <w:sz w:val="18"/>
                <w:szCs w:val="18"/>
              </w:rPr>
              <w:t xml:space="preserve"> </w:t>
            </w:r>
            <w:proofErr w:type="spellStart"/>
            <w:r w:rsidRPr="000615AB">
              <w:rPr>
                <w:snapToGrid w:val="0"/>
                <w:sz w:val="18"/>
                <w:szCs w:val="18"/>
              </w:rPr>
              <w:t>d'Ivoire</w:t>
            </w:r>
            <w:proofErr w:type="spellEnd"/>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Croacia</w:t>
            </w:r>
          </w:p>
        </w:tc>
        <w:tc>
          <w:tcPr>
            <w:tcW w:w="1125" w:type="dxa"/>
          </w:tcPr>
          <w:p w:rsidR="00383888" w:rsidRPr="000615AB" w:rsidRDefault="00383888" w:rsidP="00B47699">
            <w:pPr>
              <w:jc w:val="center"/>
              <w:rPr>
                <w:snapToGrid w:val="0"/>
                <w:sz w:val="18"/>
                <w:szCs w:val="18"/>
              </w:rPr>
            </w:pPr>
            <w:r w:rsidRPr="000615AB">
              <w:rPr>
                <w:snapToGrid w:val="0"/>
                <w:sz w:val="18"/>
                <w:szCs w:val="18"/>
              </w:rPr>
              <w:t>VIII</w:t>
            </w:r>
          </w:p>
        </w:tc>
        <w:tc>
          <w:tcPr>
            <w:tcW w:w="1210" w:type="dxa"/>
          </w:tcPr>
          <w:p w:rsidR="00383888" w:rsidRPr="000615AB" w:rsidRDefault="00383888" w:rsidP="00B47699">
            <w:pPr>
              <w:jc w:val="right"/>
              <w:rPr>
                <w:snapToGrid w:val="0"/>
                <w:sz w:val="18"/>
                <w:szCs w:val="18"/>
              </w:rPr>
            </w:pPr>
            <w:r w:rsidRPr="000615AB">
              <w:rPr>
                <w:snapToGrid w:val="0"/>
                <w:sz w:val="18"/>
                <w:szCs w:val="18"/>
              </w:rPr>
              <w:t>0,5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22.789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22.789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45.578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Cuba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11.394 </w:t>
            </w:r>
          </w:p>
        </w:tc>
      </w:tr>
      <w:tr w:rsidR="00383888" w:rsidRPr="000615AB" w:rsidTr="00B47699">
        <w:tc>
          <w:tcPr>
            <w:tcW w:w="3055" w:type="dxa"/>
          </w:tcPr>
          <w:p w:rsidR="00383888" w:rsidRPr="000615AB" w:rsidRDefault="00383888" w:rsidP="00B47699">
            <w:pPr>
              <w:rPr>
                <w:snapToGrid w:val="0"/>
                <w:sz w:val="18"/>
                <w:szCs w:val="18"/>
              </w:rPr>
            </w:pPr>
            <w:r w:rsidRPr="000615AB">
              <w:rPr>
                <w:b/>
                <w:snapToGrid w:val="0"/>
                <w:sz w:val="18"/>
                <w:szCs w:val="18"/>
              </w:rPr>
              <w:t>D</w:t>
            </w:r>
            <w:r w:rsidRPr="000615AB">
              <w:rPr>
                <w:snapToGrid w:val="0"/>
                <w:sz w:val="18"/>
                <w:szCs w:val="18"/>
              </w:rPr>
              <w:t>inamarca</w:t>
            </w:r>
          </w:p>
        </w:tc>
        <w:tc>
          <w:tcPr>
            <w:tcW w:w="1125" w:type="dxa"/>
          </w:tcPr>
          <w:p w:rsidR="00383888" w:rsidRPr="000615AB" w:rsidRDefault="00383888" w:rsidP="00B47699">
            <w:pPr>
              <w:jc w:val="center"/>
              <w:rPr>
                <w:snapToGrid w:val="0"/>
                <w:sz w:val="18"/>
                <w:szCs w:val="18"/>
              </w:rPr>
            </w:pPr>
            <w:r w:rsidRPr="000615AB">
              <w:rPr>
                <w:snapToGrid w:val="0"/>
                <w:sz w:val="18"/>
                <w:szCs w:val="18"/>
              </w:rPr>
              <w:t>IV</w:t>
            </w:r>
          </w:p>
        </w:tc>
        <w:tc>
          <w:tcPr>
            <w:tcW w:w="1210" w:type="dxa"/>
          </w:tcPr>
          <w:p w:rsidR="00383888" w:rsidRPr="000615AB" w:rsidRDefault="00383888" w:rsidP="00B47699">
            <w:pPr>
              <w:jc w:val="right"/>
              <w:rPr>
                <w:snapToGrid w:val="0"/>
                <w:sz w:val="18"/>
                <w:szCs w:val="18"/>
              </w:rPr>
            </w:pPr>
            <w:r w:rsidRPr="000615AB">
              <w:rPr>
                <w:snapToGrid w:val="0"/>
                <w:sz w:val="18"/>
                <w:szCs w:val="18"/>
              </w:rPr>
              <w:t>10</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455.790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455.790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911.580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proofErr w:type="spellStart"/>
            <w:r w:rsidRPr="000615AB">
              <w:rPr>
                <w:snapToGrid w:val="0"/>
                <w:sz w:val="18"/>
                <w:szCs w:val="18"/>
              </w:rPr>
              <w:t>Djibouti</w:t>
            </w:r>
            <w:proofErr w:type="spellEnd"/>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 xml:space="preserve">Dominica </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0,0625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b/>
                <w:snapToGrid w:val="0"/>
                <w:sz w:val="18"/>
                <w:szCs w:val="18"/>
              </w:rPr>
              <w:t>E</w:t>
            </w:r>
            <w:r w:rsidRPr="000615AB">
              <w:rPr>
                <w:snapToGrid w:val="0"/>
                <w:sz w:val="18"/>
                <w:szCs w:val="18"/>
              </w:rPr>
              <w:t>cuador</w:t>
            </w:r>
          </w:p>
        </w:tc>
        <w:tc>
          <w:tcPr>
            <w:tcW w:w="1125" w:type="dxa"/>
            <w:shd w:val="pct15" w:color="auto" w:fill="auto"/>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11.394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Egipto</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FFFFFF"/>
          </w:tcPr>
          <w:p w:rsidR="00383888" w:rsidRPr="000615AB" w:rsidRDefault="00383888" w:rsidP="00B47699">
            <w:pPr>
              <w:jc w:val="right"/>
              <w:rPr>
                <w:snapToGrid w:val="0"/>
                <w:sz w:val="18"/>
                <w:szCs w:val="18"/>
              </w:rPr>
            </w:pPr>
            <w:r w:rsidRPr="000615AB">
              <w:rPr>
                <w:snapToGrid w:val="0"/>
                <w:sz w:val="18"/>
                <w:szCs w:val="18"/>
              </w:rPr>
              <w:t>11.395</w:t>
            </w:r>
          </w:p>
        </w:tc>
        <w:tc>
          <w:tcPr>
            <w:tcW w:w="1430" w:type="dxa"/>
            <w:shd w:val="clear" w:color="auto" w:fill="FFFFFF"/>
          </w:tcPr>
          <w:p w:rsidR="00383888" w:rsidRPr="000615AB" w:rsidRDefault="00383888" w:rsidP="00B47699">
            <w:pPr>
              <w:jc w:val="right"/>
              <w:rPr>
                <w:snapToGrid w:val="0"/>
                <w:sz w:val="18"/>
                <w:szCs w:val="18"/>
              </w:rPr>
            </w:pPr>
            <w:r w:rsidRPr="000615AB">
              <w:rPr>
                <w:snapToGrid w:val="0"/>
                <w:sz w:val="18"/>
                <w:szCs w:val="18"/>
              </w:rPr>
              <w:t>11.395</w:t>
            </w:r>
          </w:p>
        </w:tc>
        <w:tc>
          <w:tcPr>
            <w:tcW w:w="1388"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El Salvador</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2.849</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2.849</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5.698</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 xml:space="preserve">Emiratos Árabes Unidos </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snapToGrid w:val="0"/>
                <w:sz w:val="18"/>
                <w:szCs w:val="18"/>
              </w:rPr>
              <w:t xml:space="preserve">Eritrea </w:t>
            </w:r>
            <w:r w:rsidRPr="000615AB">
              <w:rPr>
                <w:snapToGrid w:val="0"/>
                <w:sz w:val="18"/>
                <w:szCs w:val="18"/>
                <w:vertAlign w:val="superscript"/>
              </w:rPr>
              <w:t>2</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Eslovaquia</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VI</w:t>
            </w:r>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3</w:t>
            </w:r>
          </w:p>
        </w:tc>
        <w:tc>
          <w:tcPr>
            <w:tcW w:w="132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136.737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273.474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Eslovenia</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VII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1</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España</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IV</w:t>
            </w:r>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10</w:t>
            </w:r>
          </w:p>
        </w:tc>
        <w:tc>
          <w:tcPr>
            <w:tcW w:w="132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455.790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455.790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Estados Unidos de América </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1.139.475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1.139.475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2.278.950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lastRenderedPageBreak/>
              <w:t>Estonia</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snapToGrid w:val="0"/>
                <w:sz w:val="18"/>
                <w:szCs w:val="18"/>
              </w:rPr>
              <w:t xml:space="preserve">Etiopía </w:t>
            </w:r>
            <w:r w:rsidRPr="000615AB">
              <w:rPr>
                <w:snapToGrid w:val="0"/>
                <w:sz w:val="18"/>
                <w:szCs w:val="18"/>
                <w:vertAlign w:val="superscript"/>
              </w:rPr>
              <w:t>2</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ex República Yugoslava de Macedonia</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VIII</w:t>
            </w:r>
          </w:p>
        </w:tc>
        <w:tc>
          <w:tcPr>
            <w:tcW w:w="121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0,5</w:t>
            </w:r>
          </w:p>
        </w:tc>
        <w:tc>
          <w:tcPr>
            <w:tcW w:w="132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22.789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b/>
                <w:snapToGrid w:val="0"/>
                <w:sz w:val="18"/>
                <w:szCs w:val="18"/>
              </w:rPr>
              <w:t>F</w:t>
            </w:r>
            <w:r w:rsidRPr="000615AB">
              <w:rPr>
                <w:snapToGrid w:val="0"/>
                <w:sz w:val="18"/>
                <w:szCs w:val="18"/>
              </w:rPr>
              <w:t xml:space="preserve">ederación de Rusia </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IV</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10</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455.790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455.790 </w:t>
            </w:r>
          </w:p>
        </w:tc>
        <w:tc>
          <w:tcPr>
            <w:tcW w:w="1388"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911.580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proofErr w:type="spellStart"/>
            <w:r w:rsidRPr="000615AB">
              <w:rPr>
                <w:snapToGrid w:val="0"/>
                <w:sz w:val="18"/>
                <w:szCs w:val="18"/>
              </w:rPr>
              <w:t>Fiji</w:t>
            </w:r>
            <w:proofErr w:type="spellEnd"/>
          </w:p>
        </w:tc>
        <w:tc>
          <w:tcPr>
            <w:tcW w:w="1125" w:type="dxa"/>
            <w:shd w:val="clear"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snapToGrid w:val="0"/>
                <w:sz w:val="18"/>
                <w:szCs w:val="18"/>
              </w:rPr>
              <w:t>Filipinas</w:t>
            </w:r>
            <w:r w:rsidRPr="000615AB">
              <w:rPr>
                <w:snapToGrid w:val="0"/>
                <w:sz w:val="18"/>
                <w:szCs w:val="18"/>
                <w:vertAlign w:val="superscript"/>
              </w:rPr>
              <w:t xml:space="preserve"> </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Finlandia</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IV</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10</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455.790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455.790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911.580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Francia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I</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25</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1.139.475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1.139.475 </w:t>
            </w:r>
          </w:p>
        </w:tc>
        <w:tc>
          <w:tcPr>
            <w:tcW w:w="1388"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2.278.950 </w:t>
            </w:r>
          </w:p>
        </w:tc>
      </w:tr>
      <w:tr w:rsidR="00383888" w:rsidRPr="000615AB" w:rsidTr="00B47699">
        <w:tc>
          <w:tcPr>
            <w:tcW w:w="3055" w:type="dxa"/>
          </w:tcPr>
          <w:p w:rsidR="00383888" w:rsidRPr="000615AB" w:rsidRDefault="00383888" w:rsidP="00B47699">
            <w:pPr>
              <w:rPr>
                <w:snapToGrid w:val="0"/>
                <w:sz w:val="18"/>
                <w:szCs w:val="18"/>
              </w:rPr>
            </w:pPr>
            <w:r w:rsidRPr="000615AB">
              <w:rPr>
                <w:b/>
                <w:snapToGrid w:val="0"/>
                <w:sz w:val="18"/>
                <w:szCs w:val="18"/>
              </w:rPr>
              <w:t>G</w:t>
            </w:r>
            <w:r w:rsidRPr="000615AB">
              <w:rPr>
                <w:snapToGrid w:val="0"/>
                <w:sz w:val="18"/>
                <w:szCs w:val="18"/>
              </w:rPr>
              <w:t>abón</w:t>
            </w:r>
          </w:p>
        </w:tc>
        <w:tc>
          <w:tcPr>
            <w:tcW w:w="1125" w:type="dxa"/>
          </w:tcPr>
          <w:p w:rsidR="00383888" w:rsidRPr="000615AB" w:rsidRDefault="00383888" w:rsidP="00B47699">
            <w:pPr>
              <w:jc w:val="center"/>
              <w:rPr>
                <w:i/>
                <w:snapToGrid w:val="0"/>
                <w:sz w:val="18"/>
                <w:szCs w:val="18"/>
              </w:rPr>
            </w:pPr>
            <w:r w:rsidRPr="000615AB">
              <w:rPr>
                <w:snapToGrid w:val="0"/>
                <w:sz w:val="18"/>
                <w:szCs w:val="18"/>
              </w:rPr>
              <w:t>S</w:t>
            </w:r>
          </w:p>
        </w:tc>
        <w:tc>
          <w:tcPr>
            <w:tcW w:w="1210" w:type="dxa"/>
          </w:tcPr>
          <w:p w:rsidR="00383888" w:rsidRPr="000615AB" w:rsidRDefault="00383888" w:rsidP="00B47699">
            <w:pPr>
              <w:jc w:val="right"/>
              <w:rPr>
                <w:snapToGrid w:val="0"/>
                <w:sz w:val="18"/>
                <w:szCs w:val="18"/>
              </w:rPr>
            </w:pPr>
            <w:r w:rsidRPr="000615AB">
              <w:rPr>
                <w:snapToGrid w:val="0"/>
                <w:sz w:val="18"/>
                <w:szCs w:val="18"/>
              </w:rPr>
              <w:t>0,125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11.394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 xml:space="preserve">Gambia </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Georgia</w:t>
            </w:r>
          </w:p>
        </w:tc>
        <w:tc>
          <w:tcPr>
            <w:tcW w:w="1125" w:type="dxa"/>
          </w:tcPr>
          <w:p w:rsidR="00383888" w:rsidRPr="000615AB" w:rsidRDefault="00383888" w:rsidP="00B47699">
            <w:pPr>
              <w:jc w:val="center"/>
              <w:rPr>
                <w:snapToGrid w:val="0"/>
                <w:sz w:val="18"/>
                <w:szCs w:val="18"/>
              </w:rPr>
            </w:pPr>
            <w:r w:rsidRPr="000615AB">
              <w:rPr>
                <w:snapToGrid w:val="0"/>
                <w:sz w:val="18"/>
                <w:szCs w:val="18"/>
              </w:rPr>
              <w:t>IX</w:t>
            </w:r>
          </w:p>
        </w:tc>
        <w:tc>
          <w:tcPr>
            <w:tcW w:w="1210" w:type="dxa"/>
          </w:tcPr>
          <w:p w:rsidR="00383888" w:rsidRPr="000615AB" w:rsidRDefault="00383888" w:rsidP="00B47699">
            <w:pPr>
              <w:jc w:val="right"/>
              <w:rPr>
                <w:snapToGrid w:val="0"/>
                <w:sz w:val="18"/>
                <w:szCs w:val="18"/>
              </w:rPr>
            </w:pPr>
            <w:r w:rsidRPr="000615AB">
              <w:rPr>
                <w:snapToGrid w:val="0"/>
                <w:sz w:val="18"/>
                <w:szCs w:val="18"/>
              </w:rPr>
              <w:t>0,25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Ghana</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Granada</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0,0625</w:t>
            </w:r>
          </w:p>
        </w:tc>
        <w:tc>
          <w:tcPr>
            <w:tcW w:w="1320" w:type="dxa"/>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Grecia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VI</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3</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136.737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273.474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Guatemala</w:t>
            </w:r>
          </w:p>
        </w:tc>
        <w:tc>
          <w:tcPr>
            <w:tcW w:w="1125" w:type="dxa"/>
            <w:shd w:val="clear" w:color="auto" w:fill="FFFFFF"/>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FFFFFF"/>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Guinea</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Guinea Ecuatorial</w:t>
            </w:r>
          </w:p>
        </w:tc>
        <w:tc>
          <w:tcPr>
            <w:tcW w:w="1125" w:type="dxa"/>
            <w:shd w:val="clear"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Guinea-Bissau</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Guyana</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0,0625</w:t>
            </w:r>
          </w:p>
        </w:tc>
        <w:tc>
          <w:tcPr>
            <w:tcW w:w="132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b/>
                <w:snapToGrid w:val="0"/>
                <w:sz w:val="18"/>
                <w:szCs w:val="18"/>
              </w:rPr>
              <w:t>H</w:t>
            </w:r>
            <w:r w:rsidRPr="000615AB">
              <w:rPr>
                <w:snapToGrid w:val="0"/>
                <w:sz w:val="18"/>
                <w:szCs w:val="18"/>
              </w:rPr>
              <w:t>aití</w:t>
            </w:r>
          </w:p>
        </w:tc>
        <w:tc>
          <w:tcPr>
            <w:tcW w:w="1125" w:type="dxa"/>
            <w:shd w:val="pct15"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Honduras</w:t>
            </w:r>
          </w:p>
        </w:tc>
        <w:tc>
          <w:tcPr>
            <w:tcW w:w="1125" w:type="dxa"/>
            <w:shd w:val="clear"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Hungría</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VI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3</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136.737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273.474 </w:t>
            </w:r>
          </w:p>
        </w:tc>
      </w:tr>
      <w:tr w:rsidR="00383888" w:rsidRPr="000615AB" w:rsidTr="00B47699">
        <w:tc>
          <w:tcPr>
            <w:tcW w:w="3055" w:type="dxa"/>
          </w:tcPr>
          <w:p w:rsidR="00383888" w:rsidRPr="000615AB" w:rsidRDefault="00383888" w:rsidP="00B47699">
            <w:pPr>
              <w:rPr>
                <w:snapToGrid w:val="0"/>
                <w:sz w:val="18"/>
                <w:szCs w:val="18"/>
              </w:rPr>
            </w:pPr>
            <w:r w:rsidRPr="000615AB">
              <w:rPr>
                <w:b/>
                <w:snapToGrid w:val="0"/>
                <w:sz w:val="18"/>
                <w:szCs w:val="18"/>
              </w:rPr>
              <w:t>I</w:t>
            </w:r>
            <w:r w:rsidRPr="000615AB">
              <w:rPr>
                <w:snapToGrid w:val="0"/>
                <w:sz w:val="18"/>
                <w:szCs w:val="18"/>
              </w:rPr>
              <w:t>ndia</w:t>
            </w:r>
          </w:p>
        </w:tc>
        <w:tc>
          <w:tcPr>
            <w:tcW w:w="1125" w:type="dxa"/>
          </w:tcPr>
          <w:p w:rsidR="00383888" w:rsidRPr="000615AB" w:rsidRDefault="00383888" w:rsidP="00B47699">
            <w:pPr>
              <w:jc w:val="center"/>
              <w:rPr>
                <w:i/>
                <w:snapToGrid w:val="0"/>
                <w:sz w:val="18"/>
                <w:szCs w:val="18"/>
              </w:rPr>
            </w:pPr>
            <w:proofErr w:type="spellStart"/>
            <w:r w:rsidRPr="000615AB">
              <w:rPr>
                <w:snapToGrid w:val="0"/>
                <w:sz w:val="18"/>
                <w:szCs w:val="18"/>
              </w:rPr>
              <w:t>VI</w:t>
            </w:r>
            <w:r w:rsidRPr="000615AB">
              <w:rPr>
                <w:i/>
                <w:snapToGrid w:val="0"/>
                <w:sz w:val="18"/>
                <w:szCs w:val="18"/>
              </w:rPr>
              <w:t>bis</w:t>
            </w:r>
            <w:proofErr w:type="spellEnd"/>
          </w:p>
        </w:tc>
        <w:tc>
          <w:tcPr>
            <w:tcW w:w="1210" w:type="dxa"/>
          </w:tcPr>
          <w:p w:rsidR="00383888" w:rsidRPr="000615AB" w:rsidRDefault="00383888" w:rsidP="00B47699">
            <w:pPr>
              <w:jc w:val="right"/>
              <w:rPr>
                <w:snapToGrid w:val="0"/>
                <w:sz w:val="18"/>
                <w:szCs w:val="18"/>
              </w:rPr>
            </w:pPr>
            <w:r w:rsidRPr="000615AB">
              <w:rPr>
                <w:snapToGrid w:val="0"/>
                <w:sz w:val="18"/>
                <w:szCs w:val="18"/>
              </w:rPr>
              <w:t>2</w:t>
            </w:r>
          </w:p>
        </w:tc>
        <w:tc>
          <w:tcPr>
            <w:tcW w:w="132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c>
          <w:tcPr>
            <w:tcW w:w="143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 </w:t>
            </w:r>
          </w:p>
        </w:tc>
        <w:tc>
          <w:tcPr>
            <w:tcW w:w="1388"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182.316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Indonesia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VII</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1</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 </w:t>
            </w:r>
          </w:p>
        </w:tc>
        <w:tc>
          <w:tcPr>
            <w:tcW w:w="1388"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Irán (República Islámica del)</w:t>
            </w:r>
          </w:p>
        </w:tc>
        <w:tc>
          <w:tcPr>
            <w:tcW w:w="1125" w:type="dxa"/>
          </w:tcPr>
          <w:p w:rsidR="00383888" w:rsidRPr="000615AB" w:rsidRDefault="00383888" w:rsidP="00B47699">
            <w:pPr>
              <w:jc w:val="center"/>
              <w:rPr>
                <w:snapToGrid w:val="0"/>
                <w:sz w:val="18"/>
                <w:szCs w:val="18"/>
              </w:rPr>
            </w:pPr>
            <w:r w:rsidRPr="000615AB">
              <w:rPr>
                <w:snapToGrid w:val="0"/>
                <w:sz w:val="18"/>
                <w:szCs w:val="18"/>
              </w:rPr>
              <w:t>VII</w:t>
            </w:r>
          </w:p>
        </w:tc>
        <w:tc>
          <w:tcPr>
            <w:tcW w:w="1210" w:type="dxa"/>
          </w:tcPr>
          <w:p w:rsidR="00383888" w:rsidRPr="000615AB" w:rsidRDefault="00383888" w:rsidP="00B47699">
            <w:pPr>
              <w:jc w:val="right"/>
              <w:rPr>
                <w:snapToGrid w:val="0"/>
                <w:sz w:val="18"/>
                <w:szCs w:val="18"/>
              </w:rPr>
            </w:pPr>
            <w:r w:rsidRPr="000615AB">
              <w:rPr>
                <w:snapToGrid w:val="0"/>
                <w:sz w:val="18"/>
                <w:szCs w:val="18"/>
              </w:rPr>
              <w:t>1</w:t>
            </w:r>
          </w:p>
        </w:tc>
        <w:tc>
          <w:tcPr>
            <w:tcW w:w="132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 </w:t>
            </w:r>
          </w:p>
        </w:tc>
        <w:tc>
          <w:tcPr>
            <w:tcW w:w="143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 </w:t>
            </w:r>
          </w:p>
        </w:tc>
        <w:tc>
          <w:tcPr>
            <w:tcW w:w="1388"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Iraq</w:t>
            </w:r>
          </w:p>
        </w:tc>
        <w:tc>
          <w:tcPr>
            <w:tcW w:w="1125" w:type="dxa"/>
            <w:shd w:val="pct15" w:color="auto" w:fill="FFFFFF"/>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FFFFFF"/>
          </w:tcPr>
          <w:p w:rsidR="00383888" w:rsidRPr="000615AB" w:rsidRDefault="00383888" w:rsidP="00B47699">
            <w:pPr>
              <w:jc w:val="right"/>
              <w:rPr>
                <w:snapToGrid w:val="0"/>
                <w:sz w:val="18"/>
                <w:szCs w:val="18"/>
              </w:rPr>
            </w:pPr>
            <w:r w:rsidRPr="000615AB">
              <w:rPr>
                <w:snapToGrid w:val="0"/>
                <w:sz w:val="18"/>
                <w:szCs w:val="18"/>
              </w:rPr>
              <w:t>5.697</w:t>
            </w:r>
          </w:p>
        </w:tc>
        <w:tc>
          <w:tcPr>
            <w:tcW w:w="1430" w:type="dxa"/>
            <w:shd w:val="pct15" w:color="auto" w:fill="FFFFFF"/>
          </w:tcPr>
          <w:p w:rsidR="00383888" w:rsidRPr="000615AB" w:rsidRDefault="00383888" w:rsidP="00B47699">
            <w:pPr>
              <w:jc w:val="right"/>
              <w:rPr>
                <w:snapToGrid w:val="0"/>
                <w:sz w:val="18"/>
                <w:szCs w:val="18"/>
              </w:rPr>
            </w:pPr>
            <w:r w:rsidRPr="000615AB">
              <w:rPr>
                <w:snapToGrid w:val="0"/>
                <w:sz w:val="18"/>
                <w:szCs w:val="18"/>
              </w:rPr>
              <w:t>5.697</w:t>
            </w:r>
          </w:p>
        </w:tc>
        <w:tc>
          <w:tcPr>
            <w:tcW w:w="1388" w:type="dxa"/>
            <w:shd w:val="pct15" w:color="auto" w:fill="FFFFFF"/>
          </w:tcPr>
          <w:p w:rsidR="00383888" w:rsidRPr="000615AB" w:rsidRDefault="00383888" w:rsidP="00B47699">
            <w:pPr>
              <w:jc w:val="right"/>
              <w:rPr>
                <w:snapToGrid w:val="0"/>
                <w:sz w:val="18"/>
                <w:szCs w:val="18"/>
              </w:rPr>
            </w:pPr>
            <w:r w:rsidRPr="000615AB">
              <w:rPr>
                <w:snapToGrid w:val="0"/>
                <w:sz w:val="18"/>
                <w:szCs w:val="18"/>
              </w:rPr>
              <w:t>11.394</w:t>
            </w:r>
          </w:p>
        </w:tc>
      </w:tr>
      <w:tr w:rsidR="00383888" w:rsidRPr="000615AB" w:rsidTr="00B47699">
        <w:tc>
          <w:tcPr>
            <w:tcW w:w="3055" w:type="dxa"/>
          </w:tcPr>
          <w:p w:rsidR="00383888" w:rsidRPr="000615AB" w:rsidRDefault="00383888" w:rsidP="00B47699">
            <w:pPr>
              <w:rPr>
                <w:snapToGrid w:val="0"/>
                <w:sz w:val="18"/>
                <w:szCs w:val="18"/>
              </w:rPr>
            </w:pPr>
            <w:r w:rsidRPr="000615AB">
              <w:rPr>
                <w:snapToGrid w:val="0"/>
                <w:sz w:val="18"/>
                <w:szCs w:val="18"/>
              </w:rPr>
              <w:t>Irlanda</w:t>
            </w:r>
          </w:p>
        </w:tc>
        <w:tc>
          <w:tcPr>
            <w:tcW w:w="1125" w:type="dxa"/>
          </w:tcPr>
          <w:p w:rsidR="00383888" w:rsidRPr="000615AB" w:rsidRDefault="00383888" w:rsidP="00B47699">
            <w:pPr>
              <w:jc w:val="center"/>
              <w:rPr>
                <w:snapToGrid w:val="0"/>
                <w:sz w:val="18"/>
                <w:szCs w:val="18"/>
              </w:rPr>
            </w:pPr>
            <w:r w:rsidRPr="000615AB">
              <w:rPr>
                <w:snapToGrid w:val="0"/>
                <w:sz w:val="18"/>
                <w:szCs w:val="18"/>
              </w:rPr>
              <w:t>IV</w:t>
            </w:r>
          </w:p>
        </w:tc>
        <w:tc>
          <w:tcPr>
            <w:tcW w:w="1210" w:type="dxa"/>
          </w:tcPr>
          <w:p w:rsidR="00383888" w:rsidRPr="000615AB" w:rsidRDefault="00383888" w:rsidP="00B47699">
            <w:pPr>
              <w:jc w:val="right"/>
              <w:rPr>
                <w:snapToGrid w:val="0"/>
                <w:sz w:val="18"/>
                <w:szCs w:val="18"/>
              </w:rPr>
            </w:pPr>
            <w:r w:rsidRPr="000615AB">
              <w:rPr>
                <w:snapToGrid w:val="0"/>
                <w:sz w:val="18"/>
                <w:szCs w:val="18"/>
              </w:rPr>
              <w:t>10</w:t>
            </w:r>
          </w:p>
        </w:tc>
        <w:tc>
          <w:tcPr>
            <w:tcW w:w="132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455.790 </w:t>
            </w:r>
          </w:p>
        </w:tc>
        <w:tc>
          <w:tcPr>
            <w:tcW w:w="1430"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455.790 </w:t>
            </w:r>
          </w:p>
        </w:tc>
        <w:tc>
          <w:tcPr>
            <w:tcW w:w="1388" w:type="dxa"/>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911.580 </w:t>
            </w:r>
          </w:p>
        </w:tc>
      </w:tr>
      <w:tr w:rsidR="00383888" w:rsidRPr="000615AB" w:rsidTr="00B47699">
        <w:tc>
          <w:tcPr>
            <w:tcW w:w="3055" w:type="dxa"/>
            <w:shd w:val="pct15" w:color="auto" w:fill="FFFFFF"/>
          </w:tcPr>
          <w:p w:rsidR="00383888" w:rsidRPr="000615AB" w:rsidRDefault="00383888" w:rsidP="00B47699">
            <w:pPr>
              <w:rPr>
                <w:snapToGrid w:val="0"/>
                <w:sz w:val="18"/>
                <w:szCs w:val="18"/>
              </w:rPr>
            </w:pPr>
            <w:r w:rsidRPr="000615AB">
              <w:rPr>
                <w:snapToGrid w:val="0"/>
                <w:sz w:val="18"/>
                <w:szCs w:val="18"/>
              </w:rPr>
              <w:t>Islandia</w:t>
            </w:r>
          </w:p>
        </w:tc>
        <w:tc>
          <w:tcPr>
            <w:tcW w:w="1125" w:type="dxa"/>
            <w:shd w:val="pct15" w:color="auto" w:fill="FFFFFF"/>
          </w:tcPr>
          <w:p w:rsidR="00383888" w:rsidRPr="000615AB" w:rsidRDefault="00383888" w:rsidP="00B47699">
            <w:pPr>
              <w:jc w:val="center"/>
              <w:rPr>
                <w:snapToGrid w:val="0"/>
                <w:sz w:val="18"/>
                <w:szCs w:val="18"/>
              </w:rPr>
            </w:pPr>
            <w:r w:rsidRPr="000615AB">
              <w:rPr>
                <w:snapToGrid w:val="0"/>
                <w:sz w:val="18"/>
                <w:szCs w:val="18"/>
              </w:rPr>
              <w:t>VIII</w:t>
            </w:r>
          </w:p>
        </w:tc>
        <w:tc>
          <w:tcPr>
            <w:tcW w:w="1210" w:type="dxa"/>
            <w:shd w:val="pct15" w:color="auto" w:fill="FFFFFF"/>
          </w:tcPr>
          <w:p w:rsidR="00383888" w:rsidRPr="000615AB" w:rsidRDefault="00383888" w:rsidP="00B47699">
            <w:pPr>
              <w:jc w:val="right"/>
              <w:rPr>
                <w:snapToGrid w:val="0"/>
                <w:sz w:val="18"/>
                <w:szCs w:val="18"/>
              </w:rPr>
            </w:pPr>
            <w:r w:rsidRPr="000615AB">
              <w:rPr>
                <w:snapToGrid w:val="0"/>
                <w:sz w:val="18"/>
                <w:szCs w:val="18"/>
              </w:rPr>
              <w:t>0,5</w:t>
            </w:r>
          </w:p>
        </w:tc>
        <w:tc>
          <w:tcPr>
            <w:tcW w:w="132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 </w:t>
            </w:r>
          </w:p>
        </w:tc>
        <w:tc>
          <w:tcPr>
            <w:tcW w:w="1430"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22.789 </w:t>
            </w:r>
          </w:p>
        </w:tc>
        <w:tc>
          <w:tcPr>
            <w:tcW w:w="1388" w:type="dxa"/>
            <w:shd w:val="pct15"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45.578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snapToGrid w:val="0"/>
                <w:sz w:val="18"/>
                <w:szCs w:val="18"/>
              </w:rPr>
              <w:t>Israel</w:t>
            </w:r>
          </w:p>
        </w:tc>
        <w:tc>
          <w:tcPr>
            <w:tcW w:w="1125" w:type="dxa"/>
            <w:shd w:val="clear"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VI</w:t>
            </w:r>
            <w:r w:rsidRPr="000615AB">
              <w:rPr>
                <w:i/>
                <w:snapToGrid w:val="0"/>
                <w:sz w:val="18"/>
                <w:szCs w:val="18"/>
              </w:rPr>
              <w:t>bis</w:t>
            </w:r>
            <w:proofErr w:type="spellEnd"/>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2</w:t>
            </w:r>
          </w:p>
        </w:tc>
        <w:tc>
          <w:tcPr>
            <w:tcW w:w="132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182.316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Italia</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III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15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683.685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683.685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1.367.370 </w:t>
            </w:r>
          </w:p>
        </w:tc>
      </w:tr>
      <w:tr w:rsidR="00383888" w:rsidRPr="000615AB" w:rsidTr="00B47699">
        <w:tc>
          <w:tcPr>
            <w:tcW w:w="3055" w:type="dxa"/>
            <w:shd w:val="clear" w:color="auto" w:fill="FFFFFF"/>
          </w:tcPr>
          <w:p w:rsidR="00383888" w:rsidRPr="000615AB" w:rsidRDefault="00383888" w:rsidP="00B47699">
            <w:pPr>
              <w:rPr>
                <w:snapToGrid w:val="0"/>
                <w:sz w:val="18"/>
                <w:szCs w:val="18"/>
              </w:rPr>
            </w:pPr>
            <w:r w:rsidRPr="000615AB">
              <w:rPr>
                <w:b/>
                <w:snapToGrid w:val="0"/>
                <w:sz w:val="18"/>
                <w:szCs w:val="18"/>
              </w:rPr>
              <w:t>J</w:t>
            </w:r>
            <w:r w:rsidRPr="000615AB">
              <w:rPr>
                <w:snapToGrid w:val="0"/>
                <w:sz w:val="18"/>
                <w:szCs w:val="18"/>
              </w:rPr>
              <w:t>amaica</w:t>
            </w:r>
          </w:p>
        </w:tc>
        <w:tc>
          <w:tcPr>
            <w:tcW w:w="1125" w:type="dxa"/>
            <w:shd w:val="clear" w:color="auto" w:fill="FFFFFF"/>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FFFFFF"/>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FFFFFF"/>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Japón</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1.139.475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1.139.475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2.278.950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Jordania</w:t>
            </w:r>
          </w:p>
        </w:tc>
        <w:tc>
          <w:tcPr>
            <w:tcW w:w="1125" w:type="dxa"/>
            <w:shd w:val="clear" w:color="auto" w:fill="auto"/>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b/>
                <w:snapToGrid w:val="0"/>
                <w:sz w:val="18"/>
                <w:szCs w:val="18"/>
              </w:rPr>
              <w:t>K</w:t>
            </w:r>
            <w:r w:rsidRPr="000615AB">
              <w:rPr>
                <w:snapToGrid w:val="0"/>
                <w:sz w:val="18"/>
                <w:szCs w:val="18"/>
              </w:rPr>
              <w:t>azajstán</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proofErr w:type="spellStart"/>
            <w:r w:rsidRPr="000615AB">
              <w:rPr>
                <w:snapToGrid w:val="0"/>
                <w:sz w:val="18"/>
                <w:szCs w:val="18"/>
              </w:rPr>
              <w:t>Kenya</w:t>
            </w:r>
            <w:proofErr w:type="spellEnd"/>
          </w:p>
        </w:tc>
        <w:tc>
          <w:tcPr>
            <w:tcW w:w="1125" w:type="dxa"/>
            <w:shd w:val="clear" w:color="auto" w:fill="auto"/>
          </w:tcPr>
          <w:p w:rsidR="00383888" w:rsidRPr="000615AB" w:rsidRDefault="00383888" w:rsidP="00B47699">
            <w:pPr>
              <w:jc w:val="center"/>
              <w:rPr>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Kirguistán</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Kiribati</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snapToGrid w:val="0"/>
                <w:sz w:val="18"/>
                <w:szCs w:val="18"/>
              </w:rPr>
              <w:t xml:space="preserve">Kuwait </w:t>
            </w:r>
            <w:r w:rsidRPr="000615AB">
              <w:rPr>
                <w:snapToGrid w:val="0"/>
                <w:sz w:val="18"/>
                <w:szCs w:val="18"/>
                <w:vertAlign w:val="superscript"/>
              </w:rPr>
              <w:t>2</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proofErr w:type="spellStart"/>
            <w:r w:rsidRPr="000615AB">
              <w:rPr>
                <w:b/>
                <w:snapToGrid w:val="0"/>
                <w:sz w:val="18"/>
                <w:szCs w:val="18"/>
              </w:rPr>
              <w:t>L</w:t>
            </w:r>
            <w:r w:rsidRPr="000615AB">
              <w:rPr>
                <w:snapToGrid w:val="0"/>
                <w:sz w:val="18"/>
                <w:szCs w:val="18"/>
              </w:rPr>
              <w:t>esotho</w:t>
            </w:r>
            <w:proofErr w:type="spellEnd"/>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Letonia</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Líbano</w:t>
            </w:r>
          </w:p>
        </w:tc>
        <w:tc>
          <w:tcPr>
            <w:tcW w:w="1125" w:type="dxa"/>
            <w:shd w:val="clear" w:color="auto" w:fill="auto"/>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11.394</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Liberia</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 xml:space="preserve">Libia </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22.790</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Liechtenstein</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VIII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22.789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Lituania</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Luxemburgo</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VII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1</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b/>
                <w:snapToGrid w:val="0"/>
                <w:sz w:val="18"/>
                <w:szCs w:val="18"/>
              </w:rPr>
              <w:t>M</w:t>
            </w:r>
            <w:r w:rsidRPr="000615AB">
              <w:rPr>
                <w:snapToGrid w:val="0"/>
                <w:sz w:val="18"/>
                <w:szCs w:val="18"/>
              </w:rPr>
              <w:t>adagascar</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Malasia</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VIII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22.789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Malawi</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Maldivas </w:t>
            </w:r>
            <w:r w:rsidRPr="000615AB">
              <w:rPr>
                <w:snapToGrid w:val="0"/>
                <w:sz w:val="18"/>
                <w:szCs w:val="18"/>
                <w:vertAlign w:val="superscript"/>
              </w:rPr>
              <w:t>2</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2.849</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2.849</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5.698</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Malí</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Malta</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Marruecos</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Mauricio</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Mauritania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México</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IV</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7,5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341.842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341.842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683.684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Micronesia (Estados Federados de)</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2.849</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2.849</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5.698</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Mónaco</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VII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1</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Mongolia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Montenegro</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22.790</w:t>
            </w:r>
          </w:p>
        </w:tc>
      </w:tr>
      <w:tr w:rsidR="00383888" w:rsidRPr="000615AB" w:rsidTr="00B47699">
        <w:tc>
          <w:tcPr>
            <w:tcW w:w="3055" w:type="dxa"/>
            <w:shd w:val="clear" w:color="auto" w:fill="auto"/>
          </w:tcPr>
          <w:p w:rsidR="00383888" w:rsidRPr="000615AB" w:rsidRDefault="00383888" w:rsidP="00B47699">
            <w:pPr>
              <w:rPr>
                <w:snapToGrid w:val="0"/>
                <w:sz w:val="18"/>
                <w:szCs w:val="18"/>
                <w:vertAlign w:val="superscript"/>
              </w:rPr>
            </w:pPr>
            <w:r w:rsidRPr="000615AB">
              <w:rPr>
                <w:snapToGrid w:val="0"/>
                <w:sz w:val="18"/>
                <w:szCs w:val="18"/>
              </w:rPr>
              <w:t>Mozambique</w:t>
            </w:r>
            <w:r w:rsidRPr="000615AB">
              <w:rPr>
                <w:snapToGrid w:val="0"/>
                <w:sz w:val="18"/>
                <w:szCs w:val="18"/>
                <w:vertAlign w:val="superscript"/>
              </w:rPr>
              <w:t xml:space="preserve"> </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snapToGrid w:val="0"/>
                <w:sz w:val="18"/>
                <w:szCs w:val="18"/>
              </w:rPr>
              <w:t xml:space="preserve">Myanmar </w:t>
            </w:r>
            <w:r w:rsidRPr="000615AB">
              <w:rPr>
                <w:snapToGrid w:val="0"/>
                <w:sz w:val="18"/>
                <w:szCs w:val="18"/>
                <w:vertAlign w:val="superscript"/>
              </w:rPr>
              <w:t>2</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b/>
                <w:snapToGrid w:val="0"/>
                <w:sz w:val="18"/>
                <w:szCs w:val="18"/>
              </w:rPr>
              <w:lastRenderedPageBreak/>
              <w:t>N</w:t>
            </w:r>
            <w:r w:rsidRPr="000615AB">
              <w:rPr>
                <w:snapToGrid w:val="0"/>
                <w:sz w:val="18"/>
                <w:szCs w:val="18"/>
              </w:rPr>
              <w:t>amibia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snapToGrid w:val="0"/>
                <w:sz w:val="18"/>
                <w:szCs w:val="18"/>
              </w:rPr>
              <w:t xml:space="preserve">Nepal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Nicaragua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Níger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Nigeria</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Noruega</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IV</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10</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455.790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455.790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Nueva Zelandia</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VI</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3</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136.737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273.474 </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b/>
                <w:snapToGrid w:val="0"/>
                <w:sz w:val="18"/>
                <w:szCs w:val="18"/>
              </w:rPr>
              <w:t>O</w:t>
            </w:r>
            <w:r w:rsidRPr="000615AB">
              <w:rPr>
                <w:snapToGrid w:val="0"/>
                <w:sz w:val="18"/>
                <w:szCs w:val="18"/>
              </w:rPr>
              <w:t>mán</w:t>
            </w:r>
            <w:r w:rsidRPr="000615AB">
              <w:rPr>
                <w:snapToGrid w:val="0"/>
                <w:sz w:val="18"/>
                <w:szCs w:val="18"/>
                <w:vertAlign w:val="superscript"/>
              </w:rPr>
              <w:t xml:space="preserve"> </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b/>
                <w:snapToGrid w:val="0"/>
                <w:sz w:val="18"/>
                <w:szCs w:val="18"/>
              </w:rPr>
              <w:t>P</w:t>
            </w:r>
            <w:r w:rsidRPr="000615AB">
              <w:rPr>
                <w:snapToGrid w:val="0"/>
                <w:sz w:val="18"/>
                <w:szCs w:val="18"/>
              </w:rPr>
              <w:t>aíses Bajos</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III</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15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683.685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683.685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Pakistán</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Panamá</w:t>
            </w:r>
          </w:p>
        </w:tc>
        <w:tc>
          <w:tcPr>
            <w:tcW w:w="1125" w:type="dxa"/>
            <w:shd w:val="clear" w:color="auto" w:fill="auto"/>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5.697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pct15" w:color="auto" w:fill="auto"/>
          </w:tcPr>
          <w:p w:rsidR="00383888" w:rsidRPr="000615AB" w:rsidRDefault="00383888" w:rsidP="00B47699">
            <w:pPr>
              <w:rPr>
                <w:snapToGrid w:val="0"/>
                <w:sz w:val="18"/>
                <w:szCs w:val="18"/>
              </w:rPr>
            </w:pPr>
            <w:proofErr w:type="spellStart"/>
            <w:r w:rsidRPr="000615AB">
              <w:rPr>
                <w:snapToGrid w:val="0"/>
                <w:sz w:val="18"/>
                <w:szCs w:val="18"/>
              </w:rPr>
              <w:t>Papua</w:t>
            </w:r>
            <w:proofErr w:type="spellEnd"/>
            <w:r w:rsidRPr="000615AB">
              <w:rPr>
                <w:snapToGrid w:val="0"/>
                <w:sz w:val="18"/>
                <w:szCs w:val="18"/>
              </w:rPr>
              <w:t xml:space="preserve"> Nueva Guinea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Paraguay</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Perú</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Polonia</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VI</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3</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136.737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273.474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Portugal</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IV</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7,5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341.842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341.842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683.684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b/>
                <w:snapToGrid w:val="0"/>
                <w:sz w:val="18"/>
                <w:szCs w:val="18"/>
              </w:rPr>
              <w:t>Q</w:t>
            </w:r>
            <w:r w:rsidRPr="000615AB">
              <w:rPr>
                <w:snapToGrid w:val="0"/>
                <w:sz w:val="18"/>
                <w:szCs w:val="18"/>
              </w:rPr>
              <w:t xml:space="preserve">atar </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22.790</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b/>
                <w:snapToGrid w:val="0"/>
                <w:sz w:val="18"/>
                <w:szCs w:val="18"/>
              </w:rPr>
              <w:t>R</w:t>
            </w:r>
            <w:r w:rsidRPr="000615AB">
              <w:rPr>
                <w:snapToGrid w:val="0"/>
                <w:sz w:val="18"/>
                <w:szCs w:val="18"/>
              </w:rPr>
              <w:t>eino Unido</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1.139.475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1.139.475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2.278.950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 xml:space="preserve">República Árabe Siria </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5.697</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5.697</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11.394</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República Centroafricana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 xml:space="preserve">República Checa </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VI</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3</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136.737 </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136.737 </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273.474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República de Corea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IV</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7,5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341.842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341.842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683.684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 xml:space="preserve">República de </w:t>
            </w:r>
            <w:proofErr w:type="spellStart"/>
            <w:r w:rsidRPr="000615AB">
              <w:rPr>
                <w:snapToGrid w:val="0"/>
                <w:sz w:val="18"/>
                <w:szCs w:val="18"/>
              </w:rPr>
              <w:t>Moldova</w:t>
            </w:r>
            <w:proofErr w:type="spellEnd"/>
            <w:r w:rsidRPr="000615AB">
              <w:rPr>
                <w:snapToGrid w:val="0"/>
                <w:sz w:val="18"/>
                <w:szCs w:val="18"/>
              </w:rPr>
              <w:t xml:space="preserve"> </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República Democrática del Congo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1.424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República Democrática Popular Lao</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República Dominicana </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5.697 </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 xml:space="preserve">11.394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República Popular Democrática de Corea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2.849 </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 xml:space="preserve">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República Unida de </w:t>
            </w:r>
            <w:proofErr w:type="spellStart"/>
            <w:r w:rsidRPr="000615AB">
              <w:rPr>
                <w:snapToGrid w:val="0"/>
                <w:sz w:val="18"/>
                <w:szCs w:val="18"/>
              </w:rPr>
              <w:t>Tanzanía</w:t>
            </w:r>
            <w:proofErr w:type="spellEnd"/>
            <w:r w:rsidRPr="000615AB">
              <w:rPr>
                <w:snapToGrid w:val="0"/>
                <w:sz w:val="18"/>
                <w:szCs w:val="18"/>
              </w:rPr>
              <w:t xml:space="preserve">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Rumania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VI</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2</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182.316 </w:t>
            </w:r>
          </w:p>
        </w:tc>
      </w:tr>
      <w:tr w:rsidR="00383888" w:rsidRPr="000615AB" w:rsidTr="00B47699">
        <w:tc>
          <w:tcPr>
            <w:tcW w:w="3055" w:type="dxa"/>
            <w:shd w:val="pct15" w:color="auto" w:fill="auto"/>
          </w:tcPr>
          <w:p w:rsidR="00383888" w:rsidRPr="000615AB" w:rsidRDefault="00383888" w:rsidP="00B47699">
            <w:pPr>
              <w:rPr>
                <w:snapToGrid w:val="0"/>
                <w:sz w:val="18"/>
                <w:szCs w:val="18"/>
              </w:rPr>
            </w:pPr>
            <w:proofErr w:type="spellStart"/>
            <w:r w:rsidRPr="000615AB">
              <w:rPr>
                <w:snapToGrid w:val="0"/>
                <w:sz w:val="18"/>
                <w:szCs w:val="18"/>
              </w:rPr>
              <w:t>Rwanda</w:t>
            </w:r>
            <w:proofErr w:type="spellEnd"/>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b/>
                <w:snapToGrid w:val="0"/>
                <w:sz w:val="18"/>
                <w:szCs w:val="18"/>
              </w:rPr>
              <w:t>S</w:t>
            </w:r>
            <w:r w:rsidRPr="000615AB">
              <w:rPr>
                <w:snapToGrid w:val="0"/>
                <w:sz w:val="18"/>
                <w:szCs w:val="18"/>
              </w:rPr>
              <w:t xml:space="preserve">aint </w:t>
            </w:r>
            <w:proofErr w:type="spellStart"/>
            <w:r w:rsidRPr="000615AB">
              <w:rPr>
                <w:snapToGrid w:val="0"/>
                <w:sz w:val="18"/>
                <w:szCs w:val="18"/>
              </w:rPr>
              <w:t>Kitts</w:t>
            </w:r>
            <w:proofErr w:type="spellEnd"/>
            <w:r w:rsidRPr="000615AB">
              <w:rPr>
                <w:snapToGrid w:val="0"/>
                <w:sz w:val="18"/>
                <w:szCs w:val="18"/>
              </w:rPr>
              <w:t xml:space="preserve"> y </w:t>
            </w:r>
            <w:proofErr w:type="spellStart"/>
            <w:r w:rsidRPr="000615AB">
              <w:rPr>
                <w:snapToGrid w:val="0"/>
                <w:sz w:val="18"/>
                <w:szCs w:val="18"/>
              </w:rPr>
              <w:t>Nevis</w:t>
            </w:r>
            <w:proofErr w:type="spellEnd"/>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snapToGrid w:val="0"/>
                <w:sz w:val="18"/>
                <w:szCs w:val="18"/>
              </w:rPr>
              <w:t xml:space="preserve">Samoa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San Marino</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San Vicente y las Granadinas</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Santa Lucía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Santa Sede </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Santo Tomé y Príncipe</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Senegal</w:t>
            </w:r>
          </w:p>
        </w:tc>
        <w:tc>
          <w:tcPr>
            <w:tcW w:w="1125" w:type="dxa"/>
            <w:shd w:val="pct15" w:color="auto" w:fill="auto"/>
          </w:tcPr>
          <w:p w:rsidR="00383888" w:rsidRPr="000615AB" w:rsidRDefault="00383888" w:rsidP="00B47699">
            <w:pPr>
              <w:jc w:val="center"/>
              <w:rPr>
                <w:i/>
                <w:iCs/>
                <w:snapToGrid w:val="0"/>
                <w:sz w:val="18"/>
                <w:szCs w:val="18"/>
              </w:rPr>
            </w:pPr>
            <w:proofErr w:type="spellStart"/>
            <w:r w:rsidRPr="000615AB">
              <w:rPr>
                <w:i/>
                <w:iCs/>
                <w:snapToGrid w:val="0"/>
                <w:sz w:val="18"/>
                <w:szCs w:val="18"/>
              </w:rPr>
              <w:t>Ster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1.424</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1.424</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2.848</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Serbia</w:t>
            </w:r>
          </w:p>
        </w:tc>
        <w:tc>
          <w:tcPr>
            <w:tcW w:w="1125" w:type="dxa"/>
            <w:shd w:val="clear" w:color="auto" w:fill="auto"/>
          </w:tcPr>
          <w:p w:rsidR="00383888" w:rsidRPr="000615AB" w:rsidRDefault="00383888" w:rsidP="00B47699">
            <w:pPr>
              <w:jc w:val="center"/>
              <w:rPr>
                <w:i/>
                <w:snapToGrid w:val="0"/>
                <w:sz w:val="18"/>
                <w:szCs w:val="18"/>
              </w:rPr>
            </w:pPr>
            <w:r w:rsidRPr="000615AB">
              <w:rPr>
                <w:snapToGrid w:val="0"/>
                <w:sz w:val="18"/>
                <w:szCs w:val="18"/>
              </w:rPr>
              <w:t>VIII</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22.789</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22.789</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45.578</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snapToGrid w:val="0"/>
                <w:sz w:val="18"/>
                <w:szCs w:val="18"/>
              </w:rPr>
              <w:t xml:space="preserve">Seychelles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Sierra Leona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Singapur</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vertAlign w:val="superscript"/>
              </w:rPr>
            </w:pPr>
            <w:r w:rsidRPr="000615AB">
              <w:rPr>
                <w:snapToGrid w:val="0"/>
                <w:sz w:val="18"/>
                <w:szCs w:val="18"/>
              </w:rPr>
              <w:t xml:space="preserve">Somalia </w:t>
            </w:r>
            <w:r w:rsidRPr="000615AB">
              <w:rPr>
                <w:snapToGrid w:val="0"/>
                <w:sz w:val="18"/>
                <w:szCs w:val="18"/>
                <w:vertAlign w:val="superscript"/>
              </w:rPr>
              <w:t>2</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Sri Lanka</w:t>
            </w:r>
          </w:p>
        </w:tc>
        <w:tc>
          <w:tcPr>
            <w:tcW w:w="1125" w:type="dxa"/>
            <w:shd w:val="pct15" w:color="auto" w:fill="auto"/>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Sudáfrica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IV</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7,5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341.842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341.842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683.684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 xml:space="preserve">Sudán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Suecia</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III</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15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683.685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683.685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Suiza</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III</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15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683.685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683.685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1.367.370 </w:t>
            </w:r>
          </w:p>
        </w:tc>
      </w:tr>
      <w:tr w:rsidR="00383888" w:rsidRPr="000615AB" w:rsidTr="00B47699">
        <w:tc>
          <w:tcPr>
            <w:tcW w:w="3055" w:type="dxa"/>
            <w:shd w:val="clear" w:color="auto" w:fill="auto"/>
          </w:tcPr>
          <w:p w:rsidR="00383888" w:rsidRPr="000615AB" w:rsidRDefault="00383888" w:rsidP="00B47699">
            <w:pPr>
              <w:rPr>
                <w:snapToGrid w:val="0"/>
                <w:sz w:val="18"/>
                <w:szCs w:val="18"/>
              </w:rPr>
            </w:pPr>
            <w:proofErr w:type="spellStart"/>
            <w:r w:rsidRPr="000615AB">
              <w:rPr>
                <w:snapToGrid w:val="0"/>
                <w:sz w:val="18"/>
                <w:szCs w:val="18"/>
              </w:rPr>
              <w:t>Suriname</w:t>
            </w:r>
            <w:proofErr w:type="spellEnd"/>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pct15" w:color="auto" w:fill="auto"/>
          </w:tcPr>
          <w:p w:rsidR="00383888" w:rsidRPr="000615AB" w:rsidRDefault="00383888" w:rsidP="00B47699">
            <w:pPr>
              <w:rPr>
                <w:snapToGrid w:val="0"/>
                <w:sz w:val="18"/>
                <w:szCs w:val="18"/>
              </w:rPr>
            </w:pPr>
            <w:proofErr w:type="spellStart"/>
            <w:r w:rsidRPr="000615AB">
              <w:rPr>
                <w:snapToGrid w:val="0"/>
                <w:sz w:val="18"/>
                <w:szCs w:val="18"/>
              </w:rPr>
              <w:t>Swazilandia</w:t>
            </w:r>
            <w:proofErr w:type="spellEnd"/>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b/>
                <w:snapToGrid w:val="0"/>
                <w:sz w:val="18"/>
                <w:szCs w:val="18"/>
              </w:rPr>
              <w:t>T</w:t>
            </w:r>
            <w:r w:rsidRPr="000615AB">
              <w:rPr>
                <w:snapToGrid w:val="0"/>
                <w:sz w:val="18"/>
                <w:szCs w:val="18"/>
              </w:rPr>
              <w:t>ailandia</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Tayikistán</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Togo</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Tonga</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 xml:space="preserve">Trinidad y </w:t>
            </w:r>
            <w:proofErr w:type="spellStart"/>
            <w:r w:rsidRPr="000615AB">
              <w:rPr>
                <w:snapToGrid w:val="0"/>
                <w:sz w:val="18"/>
                <w:szCs w:val="18"/>
              </w:rPr>
              <w:t>Tabago</w:t>
            </w:r>
            <w:proofErr w:type="spellEnd"/>
          </w:p>
        </w:tc>
        <w:tc>
          <w:tcPr>
            <w:tcW w:w="1125" w:type="dxa"/>
            <w:shd w:val="clear" w:color="auto" w:fill="auto"/>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Túnez</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Turkmenistán</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Turquía</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VI</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2</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91.158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91.158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182.316 </w:t>
            </w:r>
          </w:p>
        </w:tc>
      </w:tr>
      <w:tr w:rsidR="00383888" w:rsidRPr="000615AB" w:rsidTr="00B47699">
        <w:tc>
          <w:tcPr>
            <w:tcW w:w="3055" w:type="dxa"/>
            <w:shd w:val="clear" w:color="auto" w:fill="auto"/>
          </w:tcPr>
          <w:p w:rsidR="00383888" w:rsidRPr="000615AB" w:rsidRDefault="00383888" w:rsidP="00B47699">
            <w:pPr>
              <w:keepNext/>
              <w:rPr>
                <w:snapToGrid w:val="0"/>
                <w:sz w:val="18"/>
                <w:szCs w:val="18"/>
              </w:rPr>
            </w:pPr>
            <w:r w:rsidRPr="000615AB">
              <w:rPr>
                <w:b/>
                <w:snapToGrid w:val="0"/>
                <w:sz w:val="18"/>
                <w:szCs w:val="18"/>
              </w:rPr>
              <w:t>U</w:t>
            </w:r>
            <w:r w:rsidRPr="000615AB">
              <w:rPr>
                <w:snapToGrid w:val="0"/>
                <w:sz w:val="18"/>
                <w:szCs w:val="18"/>
              </w:rPr>
              <w:t>crania</w:t>
            </w:r>
          </w:p>
        </w:tc>
        <w:tc>
          <w:tcPr>
            <w:tcW w:w="1125" w:type="dxa"/>
            <w:shd w:val="clear" w:color="auto" w:fill="auto"/>
          </w:tcPr>
          <w:p w:rsidR="00383888" w:rsidRPr="000615AB" w:rsidRDefault="00383888" w:rsidP="00B47699">
            <w:pPr>
              <w:keepNext/>
              <w:jc w:val="center"/>
              <w:rPr>
                <w:snapToGrid w:val="0"/>
                <w:sz w:val="18"/>
                <w:szCs w:val="18"/>
              </w:rPr>
            </w:pPr>
            <w:r w:rsidRPr="000615AB">
              <w:rPr>
                <w:snapToGrid w:val="0"/>
                <w:sz w:val="18"/>
                <w:szCs w:val="18"/>
              </w:rPr>
              <w:t>IX</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pct15" w:color="auto" w:fill="auto"/>
          </w:tcPr>
          <w:p w:rsidR="00383888" w:rsidRPr="000615AB" w:rsidRDefault="00383888" w:rsidP="00B47699">
            <w:pPr>
              <w:keepNext/>
              <w:rPr>
                <w:snapToGrid w:val="0"/>
                <w:sz w:val="18"/>
                <w:szCs w:val="18"/>
              </w:rPr>
            </w:pPr>
            <w:r w:rsidRPr="000615AB">
              <w:rPr>
                <w:snapToGrid w:val="0"/>
                <w:sz w:val="18"/>
                <w:szCs w:val="18"/>
              </w:rPr>
              <w:t>Uganda</w:t>
            </w:r>
          </w:p>
        </w:tc>
        <w:tc>
          <w:tcPr>
            <w:tcW w:w="1125" w:type="dxa"/>
            <w:shd w:val="pct15" w:color="auto" w:fill="auto"/>
          </w:tcPr>
          <w:p w:rsidR="00383888" w:rsidRPr="000615AB" w:rsidRDefault="00383888" w:rsidP="00B47699">
            <w:pPr>
              <w:keepNext/>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snapToGrid w:val="0"/>
                <w:sz w:val="18"/>
                <w:szCs w:val="18"/>
              </w:rPr>
              <w:t>Uruguay</w:t>
            </w:r>
          </w:p>
        </w:tc>
        <w:tc>
          <w:tcPr>
            <w:tcW w:w="1125" w:type="dxa"/>
            <w:shd w:val="clear" w:color="auto" w:fill="auto"/>
          </w:tcPr>
          <w:p w:rsidR="00383888" w:rsidRPr="000615AB" w:rsidRDefault="00383888" w:rsidP="00B47699">
            <w:pPr>
              <w:jc w:val="center"/>
              <w:rPr>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11.394 </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Uzbekistán</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430" w:type="dxa"/>
            <w:shd w:val="pct15" w:color="auto" w:fill="auto"/>
          </w:tcPr>
          <w:p w:rsidR="00383888" w:rsidRPr="000615AB" w:rsidRDefault="00383888" w:rsidP="00B47699">
            <w:pPr>
              <w:jc w:val="right"/>
              <w:rPr>
                <w:snapToGrid w:val="0"/>
                <w:sz w:val="18"/>
                <w:szCs w:val="18"/>
              </w:rPr>
            </w:pPr>
            <w:r w:rsidRPr="000615AB">
              <w:rPr>
                <w:snapToGrid w:val="0"/>
                <w:sz w:val="18"/>
                <w:szCs w:val="18"/>
              </w:rPr>
              <w:t>11.395</w:t>
            </w:r>
          </w:p>
        </w:tc>
        <w:tc>
          <w:tcPr>
            <w:tcW w:w="1388" w:type="dxa"/>
            <w:shd w:val="pct15" w:color="auto" w:fill="auto"/>
          </w:tcPr>
          <w:p w:rsidR="00383888" w:rsidRPr="000615AB" w:rsidRDefault="00383888" w:rsidP="00B47699">
            <w:pPr>
              <w:jc w:val="right"/>
              <w:rPr>
                <w:snapToGrid w:val="0"/>
                <w:sz w:val="18"/>
                <w:szCs w:val="18"/>
              </w:rPr>
            </w:pPr>
            <w:r w:rsidRPr="000615AB">
              <w:rPr>
                <w:snapToGrid w:val="0"/>
                <w:sz w:val="18"/>
                <w:szCs w:val="18"/>
              </w:rPr>
              <w:t>22.790</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b/>
                <w:snapToGrid w:val="0"/>
                <w:sz w:val="18"/>
                <w:szCs w:val="18"/>
              </w:rPr>
              <w:lastRenderedPageBreak/>
              <w:t>V</w:t>
            </w:r>
            <w:r w:rsidRPr="000615AB">
              <w:rPr>
                <w:snapToGrid w:val="0"/>
                <w:sz w:val="18"/>
                <w:szCs w:val="18"/>
              </w:rPr>
              <w:t>anuatu</w:t>
            </w:r>
          </w:p>
        </w:tc>
        <w:tc>
          <w:tcPr>
            <w:tcW w:w="1125" w:type="dxa"/>
            <w:shd w:val="clear" w:color="auto" w:fill="auto"/>
          </w:tcPr>
          <w:p w:rsidR="00383888" w:rsidRPr="000615AB" w:rsidRDefault="00383888" w:rsidP="00B47699">
            <w:pPr>
              <w:jc w:val="center"/>
              <w:rPr>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sidRPr="000615AB">
              <w:rPr>
                <w:snapToGrid w:val="0"/>
                <w:sz w:val="18"/>
                <w:szCs w:val="18"/>
              </w:rPr>
              <w:t>1.424</w:t>
            </w:r>
          </w:p>
        </w:tc>
        <w:tc>
          <w:tcPr>
            <w:tcW w:w="1430" w:type="dxa"/>
            <w:shd w:val="clear" w:color="auto" w:fill="auto"/>
          </w:tcPr>
          <w:p w:rsidR="00383888" w:rsidRPr="000615AB" w:rsidRDefault="00383888" w:rsidP="00B47699">
            <w:pPr>
              <w:jc w:val="right"/>
              <w:rPr>
                <w:snapToGrid w:val="0"/>
                <w:sz w:val="18"/>
                <w:szCs w:val="18"/>
              </w:rPr>
            </w:pPr>
            <w:r w:rsidRPr="000615AB">
              <w:rPr>
                <w:snapToGrid w:val="0"/>
                <w:sz w:val="18"/>
                <w:szCs w:val="18"/>
              </w:rPr>
              <w:t>1.424</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2.848</w:t>
            </w:r>
          </w:p>
        </w:tc>
      </w:tr>
      <w:tr w:rsidR="00383888" w:rsidRPr="000615AB" w:rsidTr="00B47699">
        <w:tc>
          <w:tcPr>
            <w:tcW w:w="3055" w:type="dxa"/>
            <w:shd w:val="pct15" w:color="auto" w:fill="auto"/>
          </w:tcPr>
          <w:p w:rsidR="00383888" w:rsidRPr="000615AB" w:rsidRDefault="00383888" w:rsidP="00B47699">
            <w:pPr>
              <w:rPr>
                <w:snapToGrid w:val="0"/>
                <w:sz w:val="18"/>
                <w:szCs w:val="18"/>
              </w:rPr>
            </w:pPr>
            <w:r w:rsidRPr="000615AB">
              <w:rPr>
                <w:snapToGrid w:val="0"/>
                <w:sz w:val="18"/>
                <w:szCs w:val="18"/>
              </w:rPr>
              <w:t>Venezuela (República Bolivariana de)</w:t>
            </w:r>
          </w:p>
        </w:tc>
        <w:tc>
          <w:tcPr>
            <w:tcW w:w="1125" w:type="dxa"/>
            <w:shd w:val="pct15" w:color="auto" w:fill="auto"/>
          </w:tcPr>
          <w:p w:rsidR="00383888" w:rsidRPr="000615AB" w:rsidRDefault="00383888" w:rsidP="00B47699">
            <w:pPr>
              <w:jc w:val="center"/>
              <w:rPr>
                <w:snapToGrid w:val="0"/>
                <w:sz w:val="18"/>
                <w:szCs w:val="18"/>
              </w:rPr>
            </w:pPr>
            <w:r w:rsidRPr="000615AB">
              <w:rPr>
                <w:snapToGrid w:val="0"/>
                <w:sz w:val="18"/>
                <w:szCs w:val="18"/>
              </w:rPr>
              <w:t>IX</w:t>
            </w:r>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11.395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11.395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22.790 </w:t>
            </w:r>
          </w:p>
        </w:tc>
      </w:tr>
      <w:tr w:rsidR="00383888" w:rsidRPr="000615AB" w:rsidTr="00B47699">
        <w:tc>
          <w:tcPr>
            <w:tcW w:w="3055" w:type="dxa"/>
            <w:shd w:val="clear" w:color="auto" w:fill="auto"/>
          </w:tcPr>
          <w:p w:rsidR="00383888" w:rsidRPr="000615AB" w:rsidRDefault="00383888" w:rsidP="00B47699">
            <w:pPr>
              <w:rPr>
                <w:snapToGrid w:val="0"/>
                <w:sz w:val="18"/>
                <w:szCs w:val="18"/>
              </w:rPr>
            </w:pPr>
            <w:proofErr w:type="spellStart"/>
            <w:r w:rsidRPr="000615AB">
              <w:rPr>
                <w:snapToGrid w:val="0"/>
                <w:sz w:val="18"/>
                <w:szCs w:val="18"/>
              </w:rPr>
              <w:t>Viet</w:t>
            </w:r>
            <w:proofErr w:type="spellEnd"/>
            <w:r w:rsidRPr="000615AB">
              <w:rPr>
                <w:snapToGrid w:val="0"/>
                <w:sz w:val="18"/>
                <w:szCs w:val="18"/>
              </w:rPr>
              <w:t xml:space="preserve"> </w:t>
            </w:r>
            <w:proofErr w:type="spellStart"/>
            <w:r w:rsidRPr="000615AB">
              <w:rPr>
                <w:snapToGrid w:val="0"/>
                <w:sz w:val="18"/>
                <w:szCs w:val="18"/>
              </w:rPr>
              <w:t>Nam</w:t>
            </w:r>
            <w:proofErr w:type="spellEnd"/>
          </w:p>
        </w:tc>
        <w:tc>
          <w:tcPr>
            <w:tcW w:w="1125" w:type="dxa"/>
            <w:shd w:val="clear" w:color="auto" w:fill="auto"/>
          </w:tcPr>
          <w:p w:rsidR="00383888" w:rsidRPr="000615AB" w:rsidRDefault="00383888" w:rsidP="00B47699">
            <w:pPr>
              <w:jc w:val="center"/>
              <w:rPr>
                <w:i/>
                <w:snapToGrid w:val="0"/>
                <w:sz w:val="18"/>
                <w:szCs w:val="18"/>
              </w:rPr>
            </w:pPr>
            <w:r w:rsidRPr="000615AB">
              <w:rPr>
                <w:snapToGrid w:val="0"/>
                <w:sz w:val="18"/>
                <w:szCs w:val="18"/>
              </w:rPr>
              <w:t>S</w:t>
            </w:r>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5.697 </w:t>
            </w:r>
          </w:p>
        </w:tc>
        <w:tc>
          <w:tcPr>
            <w:tcW w:w="1388" w:type="dxa"/>
            <w:shd w:val="clear" w:color="auto" w:fill="auto"/>
          </w:tcPr>
          <w:p w:rsidR="00383888" w:rsidRPr="000615AB" w:rsidRDefault="00383888" w:rsidP="00B47699">
            <w:pPr>
              <w:jc w:val="right"/>
              <w:rPr>
                <w:snapToGrid w:val="0"/>
                <w:sz w:val="18"/>
                <w:szCs w:val="18"/>
              </w:rPr>
            </w:pPr>
            <w:r w:rsidRPr="000615AB">
              <w:rPr>
                <w:snapToGrid w:val="0"/>
                <w:sz w:val="18"/>
                <w:szCs w:val="18"/>
              </w:rPr>
              <w:t>11.394</w:t>
            </w:r>
          </w:p>
        </w:tc>
      </w:tr>
      <w:tr w:rsidR="00383888" w:rsidRPr="000615AB" w:rsidTr="00B47699">
        <w:tc>
          <w:tcPr>
            <w:tcW w:w="3055" w:type="dxa"/>
            <w:shd w:val="pct15" w:color="auto" w:fill="auto"/>
          </w:tcPr>
          <w:p w:rsidR="00383888" w:rsidRPr="000615AB" w:rsidRDefault="00383888" w:rsidP="00B47699">
            <w:pPr>
              <w:rPr>
                <w:snapToGrid w:val="0"/>
                <w:sz w:val="18"/>
                <w:szCs w:val="18"/>
                <w:vertAlign w:val="superscript"/>
              </w:rPr>
            </w:pPr>
            <w:r w:rsidRPr="000615AB">
              <w:rPr>
                <w:b/>
                <w:snapToGrid w:val="0"/>
                <w:sz w:val="18"/>
                <w:szCs w:val="18"/>
              </w:rPr>
              <w:t>Y</w:t>
            </w:r>
            <w:r w:rsidRPr="000615AB">
              <w:rPr>
                <w:snapToGrid w:val="0"/>
                <w:sz w:val="18"/>
                <w:szCs w:val="18"/>
              </w:rPr>
              <w:t xml:space="preserve">emen </w:t>
            </w:r>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clear" w:color="auto" w:fill="auto"/>
          </w:tcPr>
          <w:p w:rsidR="00383888" w:rsidRPr="000615AB" w:rsidRDefault="00383888" w:rsidP="00B47699">
            <w:pPr>
              <w:rPr>
                <w:snapToGrid w:val="0"/>
                <w:sz w:val="18"/>
                <w:szCs w:val="18"/>
              </w:rPr>
            </w:pPr>
            <w:r w:rsidRPr="000615AB">
              <w:rPr>
                <w:b/>
                <w:snapToGrid w:val="0"/>
                <w:sz w:val="18"/>
                <w:szCs w:val="18"/>
              </w:rPr>
              <w:t>Z</w:t>
            </w:r>
            <w:r w:rsidRPr="000615AB">
              <w:rPr>
                <w:snapToGrid w:val="0"/>
                <w:sz w:val="18"/>
                <w:szCs w:val="18"/>
              </w:rPr>
              <w:t>ambia</w:t>
            </w:r>
          </w:p>
        </w:tc>
        <w:tc>
          <w:tcPr>
            <w:tcW w:w="1125" w:type="dxa"/>
            <w:shd w:val="clear"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ter</w:t>
            </w:r>
            <w:proofErr w:type="spellEnd"/>
          </w:p>
        </w:tc>
        <w:tc>
          <w:tcPr>
            <w:tcW w:w="1210" w:type="dxa"/>
            <w:shd w:val="clear" w:color="auto" w:fill="auto"/>
          </w:tcPr>
          <w:p w:rsidR="00383888" w:rsidRPr="000615AB" w:rsidRDefault="00383888" w:rsidP="00B47699">
            <w:pPr>
              <w:jc w:val="right"/>
              <w:rPr>
                <w:snapToGrid w:val="0"/>
                <w:sz w:val="18"/>
                <w:szCs w:val="18"/>
              </w:rPr>
            </w:pPr>
            <w:r w:rsidRPr="000615AB">
              <w:rPr>
                <w:snapToGrid w:val="0"/>
                <w:sz w:val="18"/>
                <w:szCs w:val="18"/>
              </w:rPr>
              <w:t>0,03125</w:t>
            </w:r>
          </w:p>
        </w:tc>
        <w:tc>
          <w:tcPr>
            <w:tcW w:w="132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430"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1.424 </w:t>
            </w:r>
          </w:p>
        </w:tc>
        <w:tc>
          <w:tcPr>
            <w:tcW w:w="1388" w:type="dxa"/>
            <w:shd w:val="clear"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2.848 </w:t>
            </w:r>
          </w:p>
        </w:tc>
      </w:tr>
      <w:tr w:rsidR="00383888" w:rsidRPr="000615AB" w:rsidTr="00B47699">
        <w:tc>
          <w:tcPr>
            <w:tcW w:w="3055" w:type="dxa"/>
            <w:shd w:val="pct15" w:color="auto" w:fill="auto"/>
          </w:tcPr>
          <w:p w:rsidR="00383888" w:rsidRPr="000615AB" w:rsidRDefault="00383888" w:rsidP="00B47699">
            <w:pPr>
              <w:rPr>
                <w:snapToGrid w:val="0"/>
                <w:sz w:val="18"/>
                <w:szCs w:val="18"/>
              </w:rPr>
            </w:pPr>
            <w:proofErr w:type="spellStart"/>
            <w:r w:rsidRPr="000615AB">
              <w:rPr>
                <w:snapToGrid w:val="0"/>
                <w:sz w:val="18"/>
                <w:szCs w:val="18"/>
              </w:rPr>
              <w:t>Zimbabwe</w:t>
            </w:r>
            <w:proofErr w:type="spellEnd"/>
          </w:p>
        </w:tc>
        <w:tc>
          <w:tcPr>
            <w:tcW w:w="1125" w:type="dxa"/>
            <w:shd w:val="pct15" w:color="auto" w:fill="auto"/>
          </w:tcPr>
          <w:p w:rsidR="00383888" w:rsidRPr="000615AB" w:rsidRDefault="00383888" w:rsidP="00B47699">
            <w:pPr>
              <w:jc w:val="center"/>
              <w:rPr>
                <w:i/>
                <w:snapToGrid w:val="0"/>
                <w:sz w:val="18"/>
                <w:szCs w:val="18"/>
              </w:rPr>
            </w:pPr>
            <w:proofErr w:type="spellStart"/>
            <w:r w:rsidRPr="000615AB">
              <w:rPr>
                <w:snapToGrid w:val="0"/>
                <w:sz w:val="18"/>
                <w:szCs w:val="18"/>
              </w:rPr>
              <w:t>S</w:t>
            </w:r>
            <w:r w:rsidRPr="000615AB">
              <w:rPr>
                <w:i/>
                <w:snapToGrid w:val="0"/>
                <w:sz w:val="18"/>
                <w:szCs w:val="18"/>
              </w:rPr>
              <w:t>bis</w:t>
            </w:r>
            <w:proofErr w:type="spellEnd"/>
          </w:p>
        </w:tc>
        <w:tc>
          <w:tcPr>
            <w:tcW w:w="1210" w:type="dxa"/>
            <w:shd w:val="pct15" w:color="auto" w:fill="auto"/>
          </w:tcPr>
          <w:p w:rsidR="00383888" w:rsidRPr="000615AB" w:rsidRDefault="00383888" w:rsidP="00B47699">
            <w:pPr>
              <w:jc w:val="right"/>
              <w:rPr>
                <w:snapToGrid w:val="0"/>
                <w:sz w:val="18"/>
                <w:szCs w:val="18"/>
              </w:rPr>
            </w:pPr>
            <w:r w:rsidRPr="000615AB">
              <w:rPr>
                <w:snapToGrid w:val="0"/>
                <w:sz w:val="18"/>
                <w:szCs w:val="18"/>
              </w:rPr>
              <w:t>0,0625</w:t>
            </w:r>
          </w:p>
        </w:tc>
        <w:tc>
          <w:tcPr>
            <w:tcW w:w="132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430"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2.849 </w:t>
            </w:r>
          </w:p>
        </w:tc>
        <w:tc>
          <w:tcPr>
            <w:tcW w:w="1388" w:type="dxa"/>
            <w:shd w:val="pct15" w:color="auto" w:fill="auto"/>
          </w:tcPr>
          <w:p w:rsidR="00383888" w:rsidRPr="000615AB" w:rsidRDefault="00383888" w:rsidP="00B47699">
            <w:pPr>
              <w:jc w:val="right"/>
              <w:rPr>
                <w:snapToGrid w:val="0"/>
                <w:sz w:val="18"/>
                <w:szCs w:val="18"/>
              </w:rPr>
            </w:pPr>
            <w:r>
              <w:rPr>
                <w:snapToGrid w:val="0"/>
                <w:sz w:val="18"/>
                <w:szCs w:val="18"/>
              </w:rPr>
              <w:t xml:space="preserve">    </w:t>
            </w:r>
            <w:r w:rsidRPr="000615AB">
              <w:rPr>
                <w:snapToGrid w:val="0"/>
                <w:sz w:val="18"/>
                <w:szCs w:val="18"/>
              </w:rPr>
              <w:t xml:space="preserve"> 5.698 </w:t>
            </w:r>
          </w:p>
        </w:tc>
      </w:tr>
      <w:tr w:rsidR="00383888" w:rsidRPr="000615AB" w:rsidTr="00B47699">
        <w:tc>
          <w:tcPr>
            <w:tcW w:w="3055" w:type="dxa"/>
            <w:shd w:val="clear" w:color="auto" w:fill="FFFFFF"/>
          </w:tcPr>
          <w:p w:rsidR="00383888" w:rsidRPr="000615AB" w:rsidRDefault="00383888" w:rsidP="00B47699">
            <w:pPr>
              <w:rPr>
                <w:b/>
                <w:snapToGrid w:val="0"/>
                <w:sz w:val="18"/>
                <w:szCs w:val="18"/>
                <w:vertAlign w:val="superscript"/>
              </w:rPr>
            </w:pPr>
            <w:r w:rsidRPr="000615AB">
              <w:rPr>
                <w:b/>
                <w:snapToGrid w:val="0"/>
                <w:sz w:val="18"/>
                <w:szCs w:val="18"/>
              </w:rPr>
              <w:t xml:space="preserve">Total de contribuciones </w:t>
            </w:r>
          </w:p>
        </w:tc>
        <w:tc>
          <w:tcPr>
            <w:tcW w:w="1125" w:type="dxa"/>
            <w:shd w:val="clear" w:color="auto" w:fill="FFFFFF"/>
          </w:tcPr>
          <w:p w:rsidR="00383888" w:rsidRPr="000615AB" w:rsidRDefault="00383888" w:rsidP="00B47699">
            <w:pPr>
              <w:jc w:val="right"/>
              <w:rPr>
                <w:b/>
                <w:snapToGrid w:val="0"/>
                <w:sz w:val="18"/>
                <w:szCs w:val="18"/>
              </w:rPr>
            </w:pPr>
          </w:p>
        </w:tc>
        <w:tc>
          <w:tcPr>
            <w:tcW w:w="1210" w:type="dxa"/>
            <w:shd w:val="clear" w:color="auto" w:fill="FFFFFF"/>
          </w:tcPr>
          <w:p w:rsidR="00383888" w:rsidRPr="000615AB" w:rsidRDefault="00383888" w:rsidP="00B47699">
            <w:pPr>
              <w:jc w:val="right"/>
              <w:rPr>
                <w:b/>
                <w:snapToGrid w:val="0"/>
                <w:sz w:val="18"/>
                <w:szCs w:val="18"/>
              </w:rPr>
            </w:pPr>
          </w:p>
        </w:tc>
        <w:tc>
          <w:tcPr>
            <w:tcW w:w="1320" w:type="dxa"/>
            <w:shd w:val="clear" w:color="auto" w:fill="FFFFFF"/>
          </w:tcPr>
          <w:p w:rsidR="00383888" w:rsidRPr="000615AB" w:rsidRDefault="00383888" w:rsidP="00B47699">
            <w:pPr>
              <w:jc w:val="right"/>
              <w:rPr>
                <w:b/>
                <w:snapToGrid w:val="0"/>
                <w:sz w:val="18"/>
                <w:szCs w:val="18"/>
              </w:rPr>
            </w:pPr>
            <w:r w:rsidRPr="000615AB">
              <w:rPr>
                <w:b/>
                <w:snapToGrid w:val="0"/>
                <w:sz w:val="18"/>
                <w:szCs w:val="18"/>
              </w:rPr>
              <w:t>17.583.514</w:t>
            </w:r>
          </w:p>
        </w:tc>
        <w:tc>
          <w:tcPr>
            <w:tcW w:w="1430" w:type="dxa"/>
            <w:shd w:val="clear" w:color="auto" w:fill="FFFFFF"/>
          </w:tcPr>
          <w:p w:rsidR="00383888" w:rsidRPr="000615AB" w:rsidRDefault="00383888" w:rsidP="00B47699">
            <w:pPr>
              <w:jc w:val="right"/>
              <w:rPr>
                <w:b/>
                <w:snapToGrid w:val="0"/>
                <w:sz w:val="18"/>
                <w:szCs w:val="18"/>
              </w:rPr>
            </w:pPr>
            <w:r w:rsidRPr="000615AB">
              <w:rPr>
                <w:b/>
                <w:snapToGrid w:val="0"/>
                <w:sz w:val="18"/>
                <w:szCs w:val="18"/>
              </w:rPr>
              <w:t>17.583.514</w:t>
            </w:r>
          </w:p>
        </w:tc>
        <w:tc>
          <w:tcPr>
            <w:tcW w:w="1388" w:type="dxa"/>
            <w:shd w:val="clear" w:color="auto" w:fill="FFFFFF"/>
          </w:tcPr>
          <w:p w:rsidR="00383888" w:rsidRPr="000615AB" w:rsidRDefault="00383888" w:rsidP="00B47699">
            <w:pPr>
              <w:jc w:val="right"/>
              <w:rPr>
                <w:b/>
                <w:snapToGrid w:val="0"/>
                <w:sz w:val="18"/>
                <w:szCs w:val="18"/>
              </w:rPr>
            </w:pPr>
            <w:r w:rsidRPr="000615AB">
              <w:rPr>
                <w:b/>
                <w:snapToGrid w:val="0"/>
                <w:sz w:val="18"/>
                <w:szCs w:val="18"/>
              </w:rPr>
              <w:t>35.167.028</w:t>
            </w:r>
          </w:p>
        </w:tc>
      </w:tr>
    </w:tbl>
    <w:p w:rsidR="00383888" w:rsidRPr="000615AB" w:rsidRDefault="00383888" w:rsidP="00383888">
      <w:pPr>
        <w:tabs>
          <w:tab w:val="left" w:pos="714"/>
        </w:tabs>
        <w:jc w:val="both"/>
        <w:rPr>
          <w:snapToGrid w:val="0"/>
          <w:sz w:val="19"/>
          <w:szCs w:val="19"/>
          <w:highlight w:val="yellow"/>
        </w:rPr>
      </w:pPr>
    </w:p>
    <w:p w:rsidR="00383888" w:rsidRPr="0075560F" w:rsidRDefault="00383888" w:rsidP="00383888">
      <w:pPr>
        <w:tabs>
          <w:tab w:val="left" w:pos="567"/>
        </w:tabs>
        <w:ind w:left="567" w:hanging="567"/>
        <w:jc w:val="both"/>
        <w:rPr>
          <w:snapToGrid w:val="0"/>
          <w:sz w:val="19"/>
          <w:szCs w:val="19"/>
          <w:lang w:val="es-ES_tradnl"/>
        </w:rPr>
      </w:pPr>
      <w:r w:rsidRPr="000615AB">
        <w:rPr>
          <w:snapToGrid w:val="0"/>
          <w:sz w:val="19"/>
          <w:szCs w:val="19"/>
          <w:vertAlign w:val="superscript"/>
        </w:rPr>
        <w:t>1</w:t>
      </w:r>
      <w:r w:rsidRPr="0075560F">
        <w:rPr>
          <w:snapToGrid w:val="0"/>
          <w:sz w:val="19"/>
          <w:szCs w:val="19"/>
          <w:lang w:val="es-ES_tradnl"/>
        </w:rPr>
        <w:tab/>
      </w:r>
      <w:r w:rsidRPr="0075560F">
        <w:rPr>
          <w:rFonts w:ascii="ArialMT" w:hAnsi="ArialMT" w:cs="ArialMT"/>
          <w:sz w:val="18"/>
          <w:szCs w:val="18"/>
          <w:lang w:val="es-ES_tradnl"/>
        </w:rPr>
        <w:t xml:space="preserve">El valor de la unidad para los años 2014 y 2015 </w:t>
      </w:r>
      <w:r>
        <w:rPr>
          <w:rFonts w:ascii="ArialMT" w:hAnsi="ArialMT" w:cs="ArialMT"/>
          <w:sz w:val="18"/>
          <w:szCs w:val="18"/>
          <w:lang w:val="es-ES_tradnl"/>
        </w:rPr>
        <w:t xml:space="preserve">es de </w:t>
      </w:r>
      <w:r w:rsidRPr="0075560F">
        <w:rPr>
          <w:rFonts w:ascii="ArialMT" w:hAnsi="ArialMT" w:cs="ArialMT"/>
          <w:sz w:val="18"/>
          <w:szCs w:val="18"/>
          <w:lang w:val="es-ES_tradnl"/>
        </w:rPr>
        <w:t>45.579 francos suizos</w:t>
      </w:r>
      <w:r>
        <w:rPr>
          <w:rFonts w:ascii="ArialMT" w:hAnsi="ArialMT" w:cs="ArialMT"/>
          <w:sz w:val="18"/>
          <w:szCs w:val="18"/>
          <w:lang w:val="es-ES_tradnl"/>
        </w:rPr>
        <w:t>, sin variación con respecto a l</w:t>
      </w:r>
      <w:r w:rsidRPr="0075560F">
        <w:rPr>
          <w:rFonts w:ascii="ArialMT" w:hAnsi="ArialMT" w:cs="ArialMT"/>
          <w:sz w:val="18"/>
          <w:szCs w:val="18"/>
          <w:lang w:val="es-ES_tradnl"/>
        </w:rPr>
        <w:t>os años 2012 y 2013.</w:t>
      </w:r>
    </w:p>
    <w:p w:rsidR="00383888" w:rsidRPr="0075560F" w:rsidRDefault="00383888" w:rsidP="00383888">
      <w:pPr>
        <w:tabs>
          <w:tab w:val="left" w:pos="567"/>
        </w:tabs>
        <w:ind w:left="567" w:hanging="567"/>
        <w:jc w:val="both"/>
        <w:rPr>
          <w:snapToGrid w:val="0"/>
          <w:sz w:val="19"/>
          <w:szCs w:val="19"/>
          <w:lang w:val="es-ES_tradnl"/>
        </w:rPr>
      </w:pPr>
      <w:r w:rsidRPr="0075560F">
        <w:rPr>
          <w:snapToGrid w:val="0"/>
          <w:sz w:val="19"/>
          <w:szCs w:val="19"/>
          <w:vertAlign w:val="superscript"/>
          <w:lang w:val="es-ES_tradnl"/>
        </w:rPr>
        <w:t>2</w:t>
      </w:r>
      <w:r w:rsidRPr="0075560F">
        <w:rPr>
          <w:snapToGrid w:val="0"/>
          <w:sz w:val="19"/>
          <w:szCs w:val="19"/>
          <w:lang w:val="es-ES_tradnl"/>
        </w:rPr>
        <w:tab/>
      </w:r>
      <w:r w:rsidRPr="0075560F">
        <w:rPr>
          <w:rFonts w:ascii="ArialMT" w:hAnsi="ArialMT" w:cs="ArialMT"/>
          <w:sz w:val="18"/>
          <w:szCs w:val="18"/>
          <w:lang w:val="es-ES_tradnl"/>
        </w:rPr>
        <w:t>Estados miembros de la OMPI que no son miembros de la Unión.</w:t>
      </w:r>
    </w:p>
    <w:p w:rsidR="00383888" w:rsidRPr="0075560F" w:rsidRDefault="00383888" w:rsidP="00383888">
      <w:pPr>
        <w:tabs>
          <w:tab w:val="left" w:pos="714"/>
        </w:tabs>
        <w:jc w:val="both"/>
        <w:rPr>
          <w:snapToGrid w:val="0"/>
          <w:sz w:val="19"/>
          <w:szCs w:val="19"/>
          <w:highlight w:val="yellow"/>
          <w:lang w:val="es-ES_tradnl"/>
        </w:rPr>
      </w:pPr>
    </w:p>
    <w:p w:rsidR="00383888" w:rsidRPr="0075560F" w:rsidRDefault="00383888" w:rsidP="00383888">
      <w:pPr>
        <w:pStyle w:val="BodyTextIndent2"/>
        <w:tabs>
          <w:tab w:val="left" w:pos="0"/>
          <w:tab w:val="left" w:pos="330"/>
        </w:tabs>
        <w:spacing w:after="160"/>
        <w:rPr>
          <w:rFonts w:cs="Arial"/>
          <w:color w:val="auto"/>
          <w:sz w:val="19"/>
          <w:szCs w:val="19"/>
          <w:lang w:val="es-ES_tradnl"/>
        </w:rPr>
      </w:pPr>
    </w:p>
    <w:p w:rsidR="00383888" w:rsidRPr="00AE2EB2" w:rsidRDefault="00383888" w:rsidP="00383888">
      <w:pPr>
        <w:pStyle w:val="BodyTextIndent2"/>
        <w:tabs>
          <w:tab w:val="left" w:pos="284"/>
        </w:tabs>
        <w:spacing w:after="160"/>
        <w:rPr>
          <w:rFonts w:cs="Arial"/>
          <w:color w:val="auto"/>
          <w:sz w:val="19"/>
          <w:szCs w:val="19"/>
          <w:lang w:val="es-ES"/>
        </w:rPr>
      </w:pPr>
    </w:p>
    <w:p w:rsidR="00383888" w:rsidRPr="000615AB" w:rsidRDefault="00383888" w:rsidP="00383888">
      <w:pPr>
        <w:rPr>
          <w:sz w:val="19"/>
          <w:szCs w:val="19"/>
        </w:rPr>
        <w:sectPr w:rsidR="00383888" w:rsidRPr="000615AB" w:rsidSect="00B47699">
          <w:headerReference w:type="even" r:id="rId270"/>
          <w:headerReference w:type="default" r:id="rId271"/>
          <w:footerReference w:type="even" r:id="rId272"/>
          <w:footerReference w:type="default" r:id="rId273"/>
          <w:pgSz w:w="11907" w:h="16840" w:code="9"/>
          <w:pgMar w:top="567" w:right="1418" w:bottom="1418" w:left="1418" w:header="510" w:footer="851" w:gutter="0"/>
          <w:cols w:space="720"/>
        </w:sectPr>
      </w:pPr>
    </w:p>
    <w:p w:rsidR="00383888" w:rsidRPr="00C3705E" w:rsidRDefault="00383888" w:rsidP="00383888">
      <w:pPr>
        <w:pStyle w:val="Heading2"/>
        <w:tabs>
          <w:tab w:val="left" w:pos="-2268"/>
        </w:tabs>
        <w:rPr>
          <w:b/>
          <w:caps w:val="0"/>
          <w:szCs w:val="24"/>
          <w:lang w:val="es-ES_tradnl"/>
        </w:rPr>
      </w:pPr>
      <w:bookmarkStart w:id="126" w:name="_Toc366078769"/>
      <w:r w:rsidRPr="00C3705E">
        <w:rPr>
          <w:b/>
          <w:caps w:val="0"/>
          <w:szCs w:val="24"/>
          <w:lang w:val="es-ES_tradnl"/>
        </w:rPr>
        <w:lastRenderedPageBreak/>
        <w:t>APÉNDICE B</w:t>
      </w:r>
      <w:r w:rsidRPr="00C3705E">
        <w:rPr>
          <w:b/>
          <w:caps w:val="0"/>
          <w:szCs w:val="24"/>
          <w:lang w:val="es-ES_tradnl"/>
        </w:rPr>
        <w:br/>
        <w:t>DEFINICIÓN DE LAS RÚBRICAS PRESUPUESTARIAS</w:t>
      </w:r>
      <w:bookmarkEnd w:id="126"/>
    </w:p>
    <w:p w:rsidR="00383888" w:rsidRPr="006C2D91" w:rsidRDefault="00383888" w:rsidP="00383888">
      <w:pPr>
        <w:pStyle w:val="Header"/>
        <w:tabs>
          <w:tab w:val="clear" w:pos="4536"/>
          <w:tab w:val="clear" w:pos="9072"/>
        </w:tabs>
        <w:rPr>
          <w:sz w:val="20"/>
        </w:rPr>
      </w:pPr>
    </w:p>
    <w:p w:rsidR="00383888" w:rsidRPr="006C2D91" w:rsidRDefault="00383888" w:rsidP="00383888">
      <w:pPr>
        <w:pStyle w:val="Header"/>
        <w:tabs>
          <w:tab w:val="clear" w:pos="4536"/>
          <w:tab w:val="clear" w:pos="9072"/>
        </w:tabs>
        <w:rPr>
          <w:sz w:val="20"/>
        </w:rPr>
      </w:pPr>
    </w:p>
    <w:p w:rsidR="00383888" w:rsidRPr="000615AB" w:rsidRDefault="00383888" w:rsidP="00383888">
      <w:pPr>
        <w:ind w:right="91"/>
        <w:rPr>
          <w:b/>
          <w:sz w:val="20"/>
        </w:rPr>
      </w:pPr>
      <w:r w:rsidRPr="000615AB">
        <w:rPr>
          <w:b/>
          <w:sz w:val="20"/>
        </w:rPr>
        <w:t>FUENTES DE INGRESOS</w:t>
      </w:r>
    </w:p>
    <w:p w:rsidR="00383888" w:rsidRPr="000615AB" w:rsidRDefault="00383888" w:rsidP="00383888">
      <w:pPr>
        <w:ind w:right="91"/>
        <w:jc w:val="both"/>
        <w:rPr>
          <w:sz w:val="20"/>
        </w:rPr>
      </w:pPr>
    </w:p>
    <w:p w:rsidR="00383888" w:rsidRPr="000615AB" w:rsidRDefault="00383888" w:rsidP="00383888">
      <w:pPr>
        <w:tabs>
          <w:tab w:val="left" w:pos="567"/>
        </w:tabs>
        <w:ind w:left="567" w:right="91"/>
        <w:jc w:val="both"/>
        <w:rPr>
          <w:sz w:val="20"/>
        </w:rPr>
      </w:pPr>
      <w:r w:rsidRPr="000615AB">
        <w:rPr>
          <w:b/>
          <w:bCs/>
          <w:i/>
          <w:iCs/>
          <w:sz w:val="20"/>
        </w:rPr>
        <w:t>Contribuciones</w:t>
      </w:r>
      <w:proofErr w:type="gramStart"/>
      <w:r w:rsidRPr="000615AB">
        <w:rPr>
          <w:bCs/>
          <w:i/>
          <w:iCs/>
          <w:sz w:val="20"/>
        </w:rPr>
        <w:t>:</w:t>
      </w:r>
      <w:r w:rsidRPr="000615AB">
        <w:rPr>
          <w:bCs/>
          <w:iCs/>
          <w:sz w:val="20"/>
        </w:rPr>
        <w:t xml:space="preserve">  Contribuciones</w:t>
      </w:r>
      <w:proofErr w:type="gramEnd"/>
      <w:r w:rsidRPr="000615AB">
        <w:rPr>
          <w:bCs/>
          <w:iCs/>
          <w:sz w:val="20"/>
        </w:rPr>
        <w:t xml:space="preserve"> de los Estados miembros a la Organización con arreglo al sistema de contribución única.</w:t>
      </w:r>
    </w:p>
    <w:p w:rsidR="00383888" w:rsidRPr="00AE2EB2" w:rsidRDefault="00383888" w:rsidP="00383888">
      <w:pPr>
        <w:pStyle w:val="zanxtext"/>
        <w:spacing w:before="0"/>
        <w:ind w:right="91"/>
        <w:jc w:val="both"/>
        <w:rPr>
          <w:rFonts w:ascii="Arial" w:hAnsi="Arial" w:cs="Arial"/>
          <w:sz w:val="20"/>
          <w:lang w:val="es-ES"/>
        </w:rPr>
      </w:pPr>
    </w:p>
    <w:p w:rsidR="00383888" w:rsidRPr="00D22B96" w:rsidRDefault="00383888" w:rsidP="00383888">
      <w:pPr>
        <w:tabs>
          <w:tab w:val="left" w:pos="567"/>
        </w:tabs>
        <w:ind w:left="567" w:right="91"/>
        <w:jc w:val="both"/>
        <w:rPr>
          <w:bCs/>
          <w:iCs/>
          <w:sz w:val="20"/>
        </w:rPr>
      </w:pPr>
      <w:r w:rsidRPr="000615AB">
        <w:rPr>
          <w:b/>
          <w:bCs/>
          <w:i/>
          <w:iCs/>
          <w:sz w:val="20"/>
        </w:rPr>
        <w:t>Tasas</w:t>
      </w:r>
      <w:proofErr w:type="gramStart"/>
      <w:r w:rsidRPr="000615AB">
        <w:rPr>
          <w:b/>
          <w:bCs/>
          <w:i/>
          <w:iCs/>
          <w:sz w:val="20"/>
        </w:rPr>
        <w:t xml:space="preserve">: </w:t>
      </w:r>
      <w:r w:rsidRPr="000615AB">
        <w:rPr>
          <w:bCs/>
          <w:iCs/>
          <w:sz w:val="20"/>
        </w:rPr>
        <w:t xml:space="preserve"> Tasas</w:t>
      </w:r>
      <w:proofErr w:type="gramEnd"/>
      <w:r w:rsidRPr="000615AB">
        <w:rPr>
          <w:bCs/>
          <w:iCs/>
          <w:sz w:val="20"/>
        </w:rPr>
        <w:t xml:space="preserve"> pagaderas a la Oficina Internacional en relación con los sistemas del PCT, de Madrid, de La Haya y de Lisboa</w:t>
      </w:r>
      <w:r w:rsidRPr="00D22B96">
        <w:rPr>
          <w:bCs/>
          <w:iCs/>
          <w:sz w:val="20"/>
        </w:rPr>
        <w:t>.</w:t>
      </w:r>
    </w:p>
    <w:p w:rsidR="00383888" w:rsidRPr="00AE2EB2" w:rsidRDefault="00383888" w:rsidP="00383888">
      <w:pPr>
        <w:pStyle w:val="zanxtext"/>
        <w:spacing w:before="0"/>
        <w:ind w:right="91"/>
        <w:jc w:val="both"/>
        <w:rPr>
          <w:rFonts w:ascii="Arial" w:hAnsi="Arial" w:cs="Arial"/>
          <w:sz w:val="20"/>
          <w:lang w:val="es-ES"/>
        </w:rPr>
      </w:pPr>
    </w:p>
    <w:p w:rsidR="00383888" w:rsidRPr="000615AB" w:rsidRDefault="00383888" w:rsidP="00383888">
      <w:pPr>
        <w:tabs>
          <w:tab w:val="left" w:pos="567"/>
        </w:tabs>
        <w:ind w:left="567" w:right="91"/>
        <w:jc w:val="both"/>
        <w:rPr>
          <w:b/>
          <w:bCs/>
          <w:i/>
          <w:iCs/>
          <w:sz w:val="20"/>
        </w:rPr>
      </w:pPr>
      <w:r w:rsidRPr="000615AB">
        <w:rPr>
          <w:b/>
          <w:bCs/>
          <w:i/>
          <w:iCs/>
          <w:sz w:val="20"/>
        </w:rPr>
        <w:t>Arbitraje</w:t>
      </w:r>
      <w:r w:rsidRPr="000615AB">
        <w:rPr>
          <w:bCs/>
          <w:i/>
          <w:iCs/>
          <w:sz w:val="20"/>
        </w:rPr>
        <w:t>:</w:t>
      </w:r>
      <w:r w:rsidRPr="000615AB">
        <w:rPr>
          <w:bCs/>
          <w:iCs/>
          <w:sz w:val="20"/>
        </w:rPr>
        <w:t xml:space="preserve"> Tasas en concepto de servicios de arbitraje en casos relacionados con nombres de dominio y tasas de inscripción en conferencias del Centro de Arbitraje y Mediación de la OMPI.</w:t>
      </w:r>
    </w:p>
    <w:p w:rsidR="00383888" w:rsidRPr="000615AB" w:rsidRDefault="00383888" w:rsidP="00383888">
      <w:pPr>
        <w:tabs>
          <w:tab w:val="left" w:pos="567"/>
        </w:tabs>
        <w:ind w:left="567" w:right="91"/>
        <w:jc w:val="both"/>
        <w:rPr>
          <w:b/>
          <w:bCs/>
          <w:i/>
          <w:iCs/>
          <w:sz w:val="20"/>
        </w:rPr>
      </w:pPr>
    </w:p>
    <w:p w:rsidR="00383888" w:rsidRPr="000615AB" w:rsidRDefault="00383888" w:rsidP="00383888">
      <w:pPr>
        <w:tabs>
          <w:tab w:val="left" w:pos="567"/>
        </w:tabs>
        <w:ind w:left="567" w:right="91"/>
        <w:jc w:val="both"/>
        <w:rPr>
          <w:sz w:val="20"/>
        </w:rPr>
      </w:pPr>
      <w:r w:rsidRPr="000615AB">
        <w:rPr>
          <w:b/>
          <w:bCs/>
          <w:i/>
          <w:iCs/>
          <w:sz w:val="20"/>
        </w:rPr>
        <w:t>Intereses</w:t>
      </w:r>
      <w:proofErr w:type="gramStart"/>
      <w:r w:rsidRPr="000615AB">
        <w:rPr>
          <w:bCs/>
          <w:iCs/>
          <w:sz w:val="20"/>
        </w:rPr>
        <w:t>:  Ingresos</w:t>
      </w:r>
      <w:proofErr w:type="gramEnd"/>
      <w:r w:rsidRPr="000615AB">
        <w:rPr>
          <w:bCs/>
          <w:iCs/>
          <w:sz w:val="20"/>
        </w:rPr>
        <w:t xml:space="preserve"> derivados de intereses generados por depósitos de capital.</w:t>
      </w:r>
    </w:p>
    <w:p w:rsidR="00383888" w:rsidRPr="00AE2EB2" w:rsidRDefault="00383888" w:rsidP="00383888">
      <w:pPr>
        <w:pStyle w:val="zanxtext"/>
        <w:spacing w:before="0"/>
        <w:ind w:right="91"/>
        <w:jc w:val="both"/>
        <w:rPr>
          <w:rFonts w:ascii="Arial" w:hAnsi="Arial" w:cs="Arial"/>
          <w:sz w:val="20"/>
          <w:lang w:val="es-ES"/>
        </w:rPr>
      </w:pPr>
    </w:p>
    <w:p w:rsidR="00383888" w:rsidRPr="000615AB" w:rsidRDefault="00383888" w:rsidP="00383888">
      <w:pPr>
        <w:tabs>
          <w:tab w:val="left" w:pos="567"/>
        </w:tabs>
        <w:ind w:left="567" w:right="91"/>
        <w:jc w:val="both"/>
        <w:rPr>
          <w:sz w:val="20"/>
        </w:rPr>
      </w:pPr>
      <w:r w:rsidRPr="000615AB">
        <w:rPr>
          <w:b/>
          <w:bCs/>
          <w:i/>
          <w:iCs/>
          <w:sz w:val="20"/>
        </w:rPr>
        <w:t>Publicaciones</w:t>
      </w:r>
      <w:proofErr w:type="gramStart"/>
      <w:r w:rsidRPr="000615AB">
        <w:rPr>
          <w:bCs/>
          <w:iCs/>
          <w:sz w:val="20"/>
        </w:rPr>
        <w:t>:  Ingresos</w:t>
      </w:r>
      <w:proofErr w:type="gramEnd"/>
      <w:r w:rsidRPr="000615AB">
        <w:rPr>
          <w:bCs/>
          <w:iCs/>
          <w:sz w:val="20"/>
        </w:rPr>
        <w:t xml:space="preserve"> procedentes de la venta de publicaciones y de suscripciones a las publicaciones periódicas de la Secretaría en papel, CD-ROM y otros soportes.</w:t>
      </w:r>
    </w:p>
    <w:p w:rsidR="00383888" w:rsidRPr="00AE2EB2" w:rsidRDefault="00383888" w:rsidP="00383888">
      <w:pPr>
        <w:pStyle w:val="zanxtext"/>
        <w:spacing w:before="0"/>
        <w:ind w:right="91"/>
        <w:jc w:val="both"/>
        <w:rPr>
          <w:rFonts w:ascii="Arial" w:hAnsi="Arial" w:cs="Arial"/>
          <w:sz w:val="20"/>
          <w:lang w:val="es-ES"/>
        </w:rPr>
      </w:pPr>
    </w:p>
    <w:p w:rsidR="00383888" w:rsidRPr="000615AB" w:rsidRDefault="00383888" w:rsidP="00383888">
      <w:pPr>
        <w:tabs>
          <w:tab w:val="left" w:pos="567"/>
        </w:tabs>
        <w:ind w:left="567" w:right="91"/>
        <w:jc w:val="both"/>
        <w:rPr>
          <w:sz w:val="20"/>
        </w:rPr>
      </w:pPr>
      <w:r w:rsidRPr="000615AB">
        <w:rPr>
          <w:b/>
          <w:bCs/>
          <w:i/>
          <w:iCs/>
          <w:sz w:val="20"/>
        </w:rPr>
        <w:t>Otros ingresos</w:t>
      </w:r>
      <w:proofErr w:type="gramStart"/>
      <w:r w:rsidRPr="000615AB">
        <w:rPr>
          <w:bCs/>
          <w:iCs/>
          <w:sz w:val="20"/>
        </w:rPr>
        <w:t>:  Tasas</w:t>
      </w:r>
      <w:proofErr w:type="gramEnd"/>
      <w:r w:rsidRPr="000615AB">
        <w:rPr>
          <w:bCs/>
          <w:iCs/>
          <w:sz w:val="20"/>
        </w:rPr>
        <w:t xml:space="preserve"> de inscripción en conferencias y cursos de formación, gastos de apoyo en relación con actividades extrapresupuestarias realizadas por la OMPI y financiadas por el PNUD y mediante fondos fiduciarios, ajustes contables (créditos) en relación con años anteriores y ajustes por variación de los tipos de cambio (créditos), alquiler de locales de la OMPI, pagos de la UPOV a la OMPI por servicios administrativos de apoyo.</w:t>
      </w:r>
    </w:p>
    <w:p w:rsidR="00383888" w:rsidRPr="00AE2EB2" w:rsidRDefault="00383888" w:rsidP="00383888">
      <w:pPr>
        <w:pStyle w:val="zanxtext"/>
        <w:spacing w:before="0"/>
        <w:ind w:right="91"/>
        <w:jc w:val="both"/>
        <w:rPr>
          <w:rFonts w:ascii="Arial" w:hAnsi="Arial" w:cs="Arial"/>
          <w:sz w:val="20"/>
          <w:lang w:val="es-ES"/>
        </w:rPr>
      </w:pPr>
    </w:p>
    <w:p w:rsidR="00383888" w:rsidRPr="00AE2EB2" w:rsidRDefault="00383888" w:rsidP="00383888">
      <w:pPr>
        <w:pStyle w:val="zanxtext"/>
        <w:spacing w:before="0"/>
        <w:ind w:right="91"/>
        <w:jc w:val="both"/>
        <w:rPr>
          <w:rFonts w:ascii="Arial" w:hAnsi="Arial" w:cs="Arial"/>
          <w:sz w:val="20"/>
          <w:lang w:val="es-ES"/>
        </w:rPr>
      </w:pPr>
    </w:p>
    <w:p w:rsidR="00383888" w:rsidRPr="000615AB" w:rsidRDefault="00383888" w:rsidP="00383888">
      <w:pPr>
        <w:pStyle w:val="Footer"/>
        <w:ind w:right="91"/>
        <w:jc w:val="both"/>
        <w:rPr>
          <w:b/>
          <w:sz w:val="20"/>
        </w:rPr>
      </w:pPr>
      <w:r w:rsidRPr="000615AB">
        <w:rPr>
          <w:b/>
          <w:sz w:val="20"/>
        </w:rPr>
        <w:t>OBJETOS DE GASTO</w:t>
      </w:r>
    </w:p>
    <w:p w:rsidR="00383888" w:rsidRPr="00AE2EB2" w:rsidRDefault="00383888" w:rsidP="00383888">
      <w:pPr>
        <w:pStyle w:val="zanxtext"/>
        <w:spacing w:before="0"/>
        <w:ind w:right="91"/>
        <w:jc w:val="both"/>
        <w:rPr>
          <w:rFonts w:ascii="Arial" w:hAnsi="Arial" w:cs="Arial"/>
          <w:sz w:val="20"/>
          <w:lang w:val="es-ES"/>
        </w:rPr>
      </w:pPr>
    </w:p>
    <w:p w:rsidR="00383888" w:rsidRPr="00AE2EB2" w:rsidRDefault="00383888" w:rsidP="00383888">
      <w:pPr>
        <w:pStyle w:val="zanxtext"/>
        <w:spacing w:before="0"/>
        <w:ind w:right="91"/>
        <w:jc w:val="both"/>
        <w:rPr>
          <w:rFonts w:ascii="Arial" w:hAnsi="Arial" w:cs="Arial"/>
          <w:bCs/>
          <w:sz w:val="20"/>
          <w:lang w:val="es-ES"/>
        </w:rPr>
      </w:pPr>
      <w:r w:rsidRPr="00AE2EB2">
        <w:rPr>
          <w:rFonts w:ascii="Arial" w:hAnsi="Arial" w:cs="Arial"/>
          <w:bCs/>
          <w:sz w:val="20"/>
          <w:lang w:val="es-ES"/>
        </w:rPr>
        <w:t>RECURSOS DE PERSONAL</w:t>
      </w:r>
    </w:p>
    <w:p w:rsidR="00383888" w:rsidRPr="00AE2EB2" w:rsidRDefault="00383888" w:rsidP="00383888">
      <w:pPr>
        <w:pStyle w:val="zanxtext"/>
        <w:spacing w:before="0"/>
        <w:ind w:right="91"/>
        <w:jc w:val="both"/>
        <w:rPr>
          <w:rFonts w:ascii="Arial" w:hAnsi="Arial" w:cs="Arial"/>
          <w:b/>
          <w:sz w:val="20"/>
          <w:u w:val="single"/>
          <w:lang w:val="es-ES"/>
        </w:rPr>
      </w:pPr>
    </w:p>
    <w:p w:rsidR="00383888" w:rsidRPr="000615AB" w:rsidRDefault="00383888" w:rsidP="00383888">
      <w:pPr>
        <w:tabs>
          <w:tab w:val="left" w:pos="567"/>
        </w:tabs>
        <w:ind w:left="567" w:right="91"/>
        <w:jc w:val="both"/>
        <w:rPr>
          <w:sz w:val="20"/>
        </w:rPr>
      </w:pPr>
      <w:r w:rsidRPr="000615AB">
        <w:rPr>
          <w:b/>
          <w:i/>
          <w:sz w:val="20"/>
        </w:rPr>
        <w:t>Puestos:</w:t>
      </w:r>
      <w:r w:rsidRPr="000615AB">
        <w:rPr>
          <w:sz w:val="20"/>
        </w:rPr>
        <w:t xml:space="preserve">  Remuneración recibida por los miembros del personal, en particular, sueldos, reajuste por lugar de destino, subsidios por personas a cargo, primas de idiomas y horas extraordinarias, subsidios de no residente, primas por destino y subsidio por gastos de representación.</w:t>
      </w:r>
    </w:p>
    <w:p w:rsidR="00383888" w:rsidRPr="000615AB" w:rsidRDefault="00383888" w:rsidP="00383888">
      <w:pPr>
        <w:tabs>
          <w:tab w:val="left" w:pos="567"/>
        </w:tabs>
        <w:ind w:left="567" w:right="91"/>
        <w:jc w:val="both"/>
        <w:rPr>
          <w:i/>
          <w:sz w:val="20"/>
        </w:rPr>
      </w:pPr>
    </w:p>
    <w:p w:rsidR="00383888" w:rsidRPr="000615AB" w:rsidRDefault="00383888" w:rsidP="00383888">
      <w:pPr>
        <w:tabs>
          <w:tab w:val="left" w:pos="567"/>
        </w:tabs>
        <w:ind w:left="567" w:right="91"/>
        <w:jc w:val="both"/>
        <w:rPr>
          <w:sz w:val="20"/>
        </w:rPr>
      </w:pPr>
      <w:r w:rsidRPr="000615AB">
        <w:rPr>
          <w:b/>
          <w:bCs/>
          <w:iCs/>
          <w:sz w:val="20"/>
        </w:rPr>
        <w:t>Personal Temporero</w:t>
      </w:r>
      <w:proofErr w:type="gramStart"/>
      <w:r w:rsidRPr="000615AB">
        <w:rPr>
          <w:bCs/>
          <w:iCs/>
          <w:sz w:val="20"/>
        </w:rPr>
        <w:t>:  Remuneración</w:t>
      </w:r>
      <w:proofErr w:type="gramEnd"/>
      <w:r w:rsidRPr="000615AB">
        <w:rPr>
          <w:bCs/>
          <w:iCs/>
          <w:sz w:val="20"/>
        </w:rPr>
        <w:t xml:space="preserve"> y subsidios pagados a profesionales o empleados de servicios generales con contratos de corta duración.</w:t>
      </w:r>
    </w:p>
    <w:p w:rsidR="00383888" w:rsidRPr="000615AB" w:rsidRDefault="00383888" w:rsidP="00383888">
      <w:pPr>
        <w:tabs>
          <w:tab w:val="left" w:pos="567"/>
        </w:tabs>
        <w:ind w:right="91"/>
        <w:jc w:val="both"/>
        <w:rPr>
          <w:sz w:val="20"/>
        </w:rPr>
      </w:pPr>
    </w:p>
    <w:p w:rsidR="00383888" w:rsidRPr="00D22B96" w:rsidRDefault="00383888" w:rsidP="00383888">
      <w:pPr>
        <w:tabs>
          <w:tab w:val="left" w:pos="567"/>
        </w:tabs>
        <w:ind w:left="567" w:right="91"/>
        <w:jc w:val="both"/>
        <w:rPr>
          <w:bCs/>
          <w:iCs/>
          <w:sz w:val="20"/>
        </w:rPr>
      </w:pPr>
      <w:r w:rsidRPr="000615AB">
        <w:rPr>
          <w:b/>
          <w:bCs/>
          <w:i/>
          <w:iCs/>
          <w:sz w:val="20"/>
        </w:rPr>
        <w:t>Otros costos de persona</w:t>
      </w:r>
      <w:r w:rsidRPr="000615AB">
        <w:rPr>
          <w:bCs/>
          <w:iCs/>
          <w:sz w:val="20"/>
        </w:rPr>
        <w:t>l</w:t>
      </w:r>
      <w:proofErr w:type="gramStart"/>
      <w:r w:rsidRPr="000615AB">
        <w:rPr>
          <w:bCs/>
          <w:iCs/>
          <w:sz w:val="20"/>
        </w:rPr>
        <w:t>:  Reservas</w:t>
      </w:r>
      <w:proofErr w:type="gramEnd"/>
      <w:r w:rsidRPr="000615AB">
        <w:rPr>
          <w:bCs/>
          <w:iCs/>
          <w:sz w:val="20"/>
        </w:rPr>
        <w:t xml:space="preserve"> para seguros de accidente, para cambios en la contribución a la Caja Cerrada de Pensiones y para indemnización en caso de litigio</w:t>
      </w:r>
      <w:r w:rsidRPr="00D22B96">
        <w:rPr>
          <w:bCs/>
          <w:iCs/>
          <w:sz w:val="20"/>
        </w:rPr>
        <w:t>.</w:t>
      </w:r>
    </w:p>
    <w:p w:rsidR="00383888" w:rsidRPr="000615AB" w:rsidRDefault="00383888" w:rsidP="00383888">
      <w:pPr>
        <w:jc w:val="both"/>
        <w:rPr>
          <w:b/>
          <w:bCs/>
          <w:sz w:val="20"/>
        </w:rPr>
      </w:pPr>
    </w:p>
    <w:p w:rsidR="00383888" w:rsidRPr="000615AB" w:rsidRDefault="00383888" w:rsidP="00383888">
      <w:pPr>
        <w:jc w:val="both"/>
        <w:rPr>
          <w:sz w:val="20"/>
        </w:rPr>
      </w:pPr>
    </w:p>
    <w:p w:rsidR="00383888" w:rsidRPr="000615AB" w:rsidRDefault="00383888" w:rsidP="00383888">
      <w:pPr>
        <w:jc w:val="both"/>
        <w:rPr>
          <w:b/>
          <w:sz w:val="20"/>
        </w:rPr>
      </w:pPr>
      <w:r w:rsidRPr="000615AB">
        <w:rPr>
          <w:b/>
          <w:sz w:val="20"/>
        </w:rPr>
        <w:t>Recursos no correspondientes a personal</w:t>
      </w:r>
    </w:p>
    <w:p w:rsidR="00383888" w:rsidRPr="000615AB" w:rsidRDefault="00383888" w:rsidP="00383888">
      <w:pPr>
        <w:jc w:val="both"/>
        <w:rPr>
          <w:sz w:val="20"/>
        </w:rPr>
      </w:pPr>
    </w:p>
    <w:p w:rsidR="00383888" w:rsidRPr="000615AB" w:rsidRDefault="00383888" w:rsidP="00383888">
      <w:pPr>
        <w:jc w:val="both"/>
        <w:rPr>
          <w:b/>
          <w:bCs/>
          <w:sz w:val="20"/>
        </w:rPr>
      </w:pPr>
      <w:r w:rsidRPr="000615AB">
        <w:rPr>
          <w:b/>
          <w:bCs/>
          <w:sz w:val="20"/>
        </w:rPr>
        <w:t>Pasantías y becas de la OMPI</w:t>
      </w:r>
    </w:p>
    <w:p w:rsidR="00383888" w:rsidRPr="000615AB" w:rsidRDefault="00383888" w:rsidP="00383888">
      <w:pPr>
        <w:jc w:val="both"/>
        <w:rPr>
          <w:sz w:val="20"/>
        </w:rPr>
      </w:pPr>
    </w:p>
    <w:p w:rsidR="00383888" w:rsidRPr="00D22B96" w:rsidRDefault="00383888" w:rsidP="00FE7D9C">
      <w:pPr>
        <w:numPr>
          <w:ilvl w:val="0"/>
          <w:numId w:val="59"/>
        </w:numPr>
        <w:tabs>
          <w:tab w:val="clear" w:pos="1287"/>
          <w:tab w:val="num" w:pos="567"/>
        </w:tabs>
        <w:ind w:left="567" w:hanging="283"/>
        <w:jc w:val="both"/>
        <w:rPr>
          <w:bCs/>
          <w:iCs/>
          <w:sz w:val="20"/>
        </w:rPr>
      </w:pPr>
      <w:r w:rsidRPr="000615AB">
        <w:rPr>
          <w:b/>
          <w:bCs/>
          <w:i/>
          <w:iCs/>
          <w:sz w:val="20"/>
        </w:rPr>
        <w:t>Pasantías</w:t>
      </w:r>
      <w:proofErr w:type="gramStart"/>
      <w:r w:rsidRPr="000615AB">
        <w:rPr>
          <w:bCs/>
          <w:iCs/>
          <w:sz w:val="20"/>
        </w:rPr>
        <w:t>:  Remuneración</w:t>
      </w:r>
      <w:proofErr w:type="gramEnd"/>
      <w:r w:rsidRPr="000615AB">
        <w:rPr>
          <w:bCs/>
          <w:iCs/>
          <w:sz w:val="20"/>
        </w:rPr>
        <w:t xml:space="preserve"> y subsidios pagados a los pasantes</w:t>
      </w:r>
      <w:r w:rsidRPr="00D22B96">
        <w:rPr>
          <w:bCs/>
          <w:iCs/>
          <w:sz w:val="20"/>
        </w:rPr>
        <w:t>.</w:t>
      </w:r>
    </w:p>
    <w:p w:rsidR="00383888" w:rsidRPr="000615AB" w:rsidRDefault="00383888" w:rsidP="00383888">
      <w:pPr>
        <w:ind w:left="567"/>
        <w:jc w:val="both"/>
        <w:rPr>
          <w:b/>
          <w:sz w:val="20"/>
        </w:rPr>
      </w:pPr>
    </w:p>
    <w:p w:rsidR="00383888" w:rsidRPr="00D22B96" w:rsidRDefault="00383888" w:rsidP="00FE7D9C">
      <w:pPr>
        <w:numPr>
          <w:ilvl w:val="0"/>
          <w:numId w:val="59"/>
        </w:numPr>
        <w:tabs>
          <w:tab w:val="clear" w:pos="1287"/>
          <w:tab w:val="num" w:pos="567"/>
        </w:tabs>
        <w:ind w:left="567" w:hanging="283"/>
        <w:jc w:val="both"/>
        <w:rPr>
          <w:bCs/>
          <w:iCs/>
          <w:sz w:val="20"/>
        </w:rPr>
      </w:pPr>
      <w:r w:rsidRPr="000615AB">
        <w:rPr>
          <w:b/>
          <w:bCs/>
          <w:i/>
          <w:iCs/>
          <w:sz w:val="20"/>
        </w:rPr>
        <w:t>Becas de la OMPI</w:t>
      </w:r>
      <w:proofErr w:type="gramStart"/>
      <w:r w:rsidRPr="000615AB">
        <w:rPr>
          <w:bCs/>
          <w:i/>
          <w:iCs/>
          <w:sz w:val="20"/>
        </w:rPr>
        <w:t>:</w:t>
      </w:r>
      <w:r w:rsidRPr="000615AB">
        <w:rPr>
          <w:bCs/>
          <w:iCs/>
          <w:sz w:val="20"/>
        </w:rPr>
        <w:t xml:space="preserve">  gastos</w:t>
      </w:r>
      <w:proofErr w:type="gramEnd"/>
      <w:r w:rsidRPr="000615AB">
        <w:rPr>
          <w:bCs/>
          <w:iCs/>
          <w:sz w:val="20"/>
        </w:rPr>
        <w:t xml:space="preserve"> relacionados con una actividad de formación para la cual se concede una beca monetaria a personas cualificadas para que puedan cumplir objetivos especiales de aprendizaje</w:t>
      </w:r>
      <w:r w:rsidRPr="00D22B96">
        <w:rPr>
          <w:bCs/>
          <w:iCs/>
          <w:sz w:val="20"/>
        </w:rPr>
        <w:t>.</w:t>
      </w:r>
    </w:p>
    <w:p w:rsidR="00383888" w:rsidRPr="000615AB" w:rsidRDefault="00383888" w:rsidP="00383888">
      <w:pPr>
        <w:rPr>
          <w:b/>
          <w:bCs/>
          <w:sz w:val="20"/>
        </w:rPr>
      </w:pPr>
      <w:bookmarkStart w:id="127" w:name="RANGE!A3"/>
    </w:p>
    <w:bookmarkEnd w:id="127"/>
    <w:p w:rsidR="00383888" w:rsidRPr="000615AB" w:rsidRDefault="00383888" w:rsidP="00383888">
      <w:pPr>
        <w:rPr>
          <w:b/>
          <w:bCs/>
          <w:sz w:val="20"/>
        </w:rPr>
      </w:pPr>
      <w:r w:rsidRPr="000615AB">
        <w:rPr>
          <w:b/>
          <w:bCs/>
          <w:sz w:val="20"/>
        </w:rPr>
        <w:t>Viajes y becas para cursos</w:t>
      </w:r>
    </w:p>
    <w:p w:rsidR="00383888" w:rsidRPr="000615AB" w:rsidRDefault="00383888" w:rsidP="00383888">
      <w:pPr>
        <w:rPr>
          <w:b/>
          <w:sz w:val="20"/>
        </w:rPr>
      </w:pPr>
    </w:p>
    <w:p w:rsidR="00383888" w:rsidRPr="000615AB" w:rsidRDefault="00383888" w:rsidP="00FE7D9C">
      <w:pPr>
        <w:numPr>
          <w:ilvl w:val="0"/>
          <w:numId w:val="60"/>
        </w:numPr>
        <w:tabs>
          <w:tab w:val="clear" w:pos="1120"/>
          <w:tab w:val="num" w:pos="567"/>
        </w:tabs>
        <w:ind w:left="567" w:hanging="283"/>
        <w:jc w:val="both"/>
        <w:rPr>
          <w:sz w:val="20"/>
        </w:rPr>
      </w:pPr>
      <w:r w:rsidRPr="000615AB">
        <w:rPr>
          <w:b/>
          <w:bCs/>
          <w:i/>
          <w:iCs/>
          <w:sz w:val="20"/>
        </w:rPr>
        <w:t>Misiones del personal</w:t>
      </w:r>
      <w:proofErr w:type="gramStart"/>
      <w:r w:rsidRPr="000615AB">
        <w:rPr>
          <w:bCs/>
          <w:iCs/>
          <w:sz w:val="20"/>
        </w:rPr>
        <w:t>:  Gastos</w:t>
      </w:r>
      <w:proofErr w:type="gramEnd"/>
      <w:r w:rsidRPr="000615AB">
        <w:rPr>
          <w:bCs/>
          <w:iCs/>
          <w:sz w:val="20"/>
        </w:rPr>
        <w:t xml:space="preserve"> de viaje y dietas para el personal que efectúe viajes oficiales.</w:t>
      </w:r>
    </w:p>
    <w:p w:rsidR="00383888" w:rsidRPr="000615AB" w:rsidRDefault="00383888" w:rsidP="00383888">
      <w:pPr>
        <w:tabs>
          <w:tab w:val="num" w:pos="567"/>
        </w:tabs>
        <w:ind w:left="567" w:hanging="283"/>
        <w:jc w:val="both"/>
        <w:rPr>
          <w:sz w:val="20"/>
        </w:rPr>
      </w:pPr>
    </w:p>
    <w:p w:rsidR="00383888" w:rsidRPr="000615AB" w:rsidRDefault="00383888" w:rsidP="00FE7D9C">
      <w:pPr>
        <w:numPr>
          <w:ilvl w:val="0"/>
          <w:numId w:val="60"/>
        </w:numPr>
        <w:tabs>
          <w:tab w:val="clear" w:pos="1120"/>
          <w:tab w:val="num" w:pos="567"/>
        </w:tabs>
        <w:ind w:left="567" w:hanging="283"/>
        <w:jc w:val="both"/>
        <w:rPr>
          <w:sz w:val="20"/>
        </w:rPr>
      </w:pPr>
      <w:r w:rsidRPr="000615AB">
        <w:rPr>
          <w:b/>
          <w:bCs/>
          <w:i/>
          <w:iCs/>
          <w:sz w:val="20"/>
        </w:rPr>
        <w:lastRenderedPageBreak/>
        <w:t>Viajes de terceros</w:t>
      </w:r>
      <w:proofErr w:type="gramStart"/>
      <w:r w:rsidRPr="000615AB">
        <w:rPr>
          <w:bCs/>
          <w:iCs/>
          <w:sz w:val="20"/>
        </w:rPr>
        <w:t>:  Gastos</w:t>
      </w:r>
      <w:proofErr w:type="gramEnd"/>
      <w:r w:rsidRPr="000615AB">
        <w:rPr>
          <w:bCs/>
          <w:iCs/>
          <w:sz w:val="20"/>
        </w:rPr>
        <w:t xml:space="preserve"> de viajes y dietas para terceros, por ejemplo, funcionarios gubernamentales, participantes y conferenciantes que asistan a las reuniones financiadas por la OMPI.</w:t>
      </w:r>
    </w:p>
    <w:p w:rsidR="00383888" w:rsidRPr="000615AB" w:rsidRDefault="00383888" w:rsidP="00383888">
      <w:pPr>
        <w:tabs>
          <w:tab w:val="num" w:pos="567"/>
        </w:tabs>
        <w:ind w:left="567" w:hanging="283"/>
        <w:jc w:val="both"/>
        <w:rPr>
          <w:sz w:val="20"/>
        </w:rPr>
      </w:pPr>
    </w:p>
    <w:p w:rsidR="00383888" w:rsidRPr="00D22B96" w:rsidRDefault="00383888" w:rsidP="00FE7D9C">
      <w:pPr>
        <w:numPr>
          <w:ilvl w:val="0"/>
          <w:numId w:val="60"/>
        </w:numPr>
        <w:tabs>
          <w:tab w:val="clear" w:pos="1120"/>
          <w:tab w:val="num" w:pos="567"/>
        </w:tabs>
        <w:ind w:left="567" w:hanging="283"/>
        <w:jc w:val="both"/>
        <w:rPr>
          <w:bCs/>
          <w:iCs/>
          <w:sz w:val="20"/>
        </w:rPr>
      </w:pPr>
      <w:r w:rsidRPr="000615AB">
        <w:rPr>
          <w:b/>
          <w:bCs/>
          <w:i/>
          <w:iCs/>
          <w:sz w:val="20"/>
        </w:rPr>
        <w:t>Becas para cursos</w:t>
      </w:r>
      <w:proofErr w:type="gramStart"/>
      <w:r w:rsidRPr="000615AB">
        <w:rPr>
          <w:bCs/>
          <w:iCs/>
          <w:sz w:val="20"/>
        </w:rPr>
        <w:t>:  Gastos</w:t>
      </w:r>
      <w:proofErr w:type="gramEnd"/>
      <w:r w:rsidRPr="000615AB">
        <w:rPr>
          <w:bCs/>
          <w:iCs/>
          <w:sz w:val="20"/>
        </w:rPr>
        <w:t xml:space="preserve"> de viaje y dietas y costos de formación y otros en relación con la asistencia a cursos y seminarios y con becas y pasantías</w:t>
      </w:r>
      <w:r w:rsidRPr="00D22B96">
        <w:rPr>
          <w:bCs/>
          <w:iCs/>
          <w:sz w:val="20"/>
        </w:rPr>
        <w:t>.</w:t>
      </w:r>
    </w:p>
    <w:p w:rsidR="00383888" w:rsidRPr="000615AB" w:rsidRDefault="00383888" w:rsidP="00383888">
      <w:pPr>
        <w:jc w:val="both"/>
        <w:rPr>
          <w:sz w:val="20"/>
        </w:rPr>
      </w:pPr>
    </w:p>
    <w:p w:rsidR="00383888" w:rsidRPr="000615AB" w:rsidRDefault="00383888" w:rsidP="00383888">
      <w:pPr>
        <w:rPr>
          <w:b/>
          <w:bCs/>
          <w:sz w:val="20"/>
        </w:rPr>
      </w:pPr>
    </w:p>
    <w:p w:rsidR="00383888" w:rsidRPr="000615AB" w:rsidRDefault="00383888" w:rsidP="00383888">
      <w:pPr>
        <w:rPr>
          <w:b/>
          <w:bCs/>
          <w:sz w:val="20"/>
        </w:rPr>
      </w:pPr>
      <w:r w:rsidRPr="000615AB">
        <w:rPr>
          <w:b/>
          <w:bCs/>
          <w:sz w:val="20"/>
        </w:rPr>
        <w:t>Servicios contractuales</w:t>
      </w:r>
    </w:p>
    <w:p w:rsidR="00383888" w:rsidRPr="000615AB" w:rsidRDefault="00383888" w:rsidP="00383888">
      <w:pPr>
        <w:rPr>
          <w:sz w:val="20"/>
        </w:rPr>
      </w:pPr>
    </w:p>
    <w:p w:rsidR="00383888" w:rsidRPr="00D22B96" w:rsidRDefault="00383888" w:rsidP="00FE7D9C">
      <w:pPr>
        <w:numPr>
          <w:ilvl w:val="0"/>
          <w:numId w:val="60"/>
        </w:numPr>
        <w:tabs>
          <w:tab w:val="clear" w:pos="1120"/>
        </w:tabs>
        <w:ind w:left="567" w:hanging="283"/>
        <w:rPr>
          <w:bCs/>
          <w:iCs/>
          <w:sz w:val="20"/>
        </w:rPr>
      </w:pPr>
      <w:r w:rsidRPr="000615AB">
        <w:rPr>
          <w:b/>
          <w:bCs/>
          <w:i/>
          <w:iCs/>
          <w:sz w:val="20"/>
        </w:rPr>
        <w:t>Conferencias</w:t>
      </w:r>
      <w:proofErr w:type="gramStart"/>
      <w:r w:rsidRPr="000615AB">
        <w:rPr>
          <w:bCs/>
          <w:iCs/>
          <w:sz w:val="20"/>
        </w:rPr>
        <w:t>:  Remuneración</w:t>
      </w:r>
      <w:proofErr w:type="gramEnd"/>
      <w:r w:rsidRPr="000615AB">
        <w:rPr>
          <w:bCs/>
          <w:iCs/>
          <w:sz w:val="20"/>
        </w:rPr>
        <w:t>, gastos de viaje y dietas para intérpretes;  alquiler de locales para conferencias y de equipo para la interpretación;  refrigerios y recepciones;  y costos por servicios directamente relacionados con la organización de conferencias</w:t>
      </w:r>
      <w:r w:rsidRPr="00D22B96">
        <w:rPr>
          <w:bCs/>
          <w:iCs/>
          <w:sz w:val="20"/>
        </w:rPr>
        <w:t>.</w:t>
      </w:r>
    </w:p>
    <w:p w:rsidR="00383888" w:rsidRPr="000615AB" w:rsidRDefault="00383888" w:rsidP="00383888">
      <w:pPr>
        <w:ind w:left="567" w:hanging="283"/>
        <w:rPr>
          <w:sz w:val="20"/>
        </w:rPr>
      </w:pPr>
    </w:p>
    <w:p w:rsidR="00383888" w:rsidRPr="000615AB" w:rsidRDefault="00383888" w:rsidP="00FE7D9C">
      <w:pPr>
        <w:numPr>
          <w:ilvl w:val="0"/>
          <w:numId w:val="60"/>
        </w:numPr>
        <w:tabs>
          <w:tab w:val="clear" w:pos="1120"/>
        </w:tabs>
        <w:ind w:left="567" w:hanging="283"/>
        <w:jc w:val="both"/>
        <w:rPr>
          <w:sz w:val="20"/>
        </w:rPr>
      </w:pPr>
      <w:r w:rsidRPr="000615AB">
        <w:rPr>
          <w:b/>
          <w:bCs/>
          <w:i/>
          <w:iCs/>
          <w:sz w:val="20"/>
        </w:rPr>
        <w:t>Publicaciones</w:t>
      </w:r>
      <w:r w:rsidRPr="000615AB">
        <w:rPr>
          <w:bCs/>
          <w:iCs/>
          <w:sz w:val="20"/>
        </w:rPr>
        <w:t>:  Impresión y encuadernación a cargo de terceros;  revistas;  papel e impresión;  otro material impreso:  impresión de artículos publicados en revistas;  folletos;  tratados;  colecciones de textos;  manuales;  formularios de trabajo y otro material impreso;  producción de CD–ROM, vídeos, cintas magnéticas y otras formas de publicación electrónica.</w:t>
      </w:r>
    </w:p>
    <w:p w:rsidR="00383888" w:rsidRPr="000615AB" w:rsidRDefault="00383888" w:rsidP="00383888">
      <w:pPr>
        <w:ind w:left="567" w:firstLineChars="200" w:firstLine="400"/>
        <w:jc w:val="both"/>
        <w:rPr>
          <w:sz w:val="20"/>
        </w:rPr>
      </w:pPr>
    </w:p>
    <w:p w:rsidR="00383888" w:rsidRPr="00D22B96" w:rsidRDefault="00383888" w:rsidP="00FE7D9C">
      <w:pPr>
        <w:numPr>
          <w:ilvl w:val="0"/>
          <w:numId w:val="60"/>
        </w:numPr>
        <w:tabs>
          <w:tab w:val="clear" w:pos="1120"/>
        </w:tabs>
        <w:ind w:left="567" w:hanging="283"/>
        <w:jc w:val="both"/>
        <w:rPr>
          <w:sz w:val="20"/>
        </w:rPr>
      </w:pPr>
      <w:r w:rsidRPr="000615AB">
        <w:rPr>
          <w:b/>
          <w:bCs/>
          <w:i/>
          <w:iCs/>
          <w:sz w:val="20"/>
        </w:rPr>
        <w:t>Servicios contractuales individuales</w:t>
      </w:r>
      <w:proofErr w:type="gramStart"/>
      <w:r w:rsidRPr="000615AB">
        <w:rPr>
          <w:sz w:val="20"/>
        </w:rPr>
        <w:t>:  Se</w:t>
      </w:r>
      <w:proofErr w:type="gramEnd"/>
      <w:r w:rsidRPr="000615AB">
        <w:rPr>
          <w:sz w:val="20"/>
        </w:rPr>
        <w:t xml:space="preserve"> refiere a la remuneración pagada en concepto de servicios contractuales individuales</w:t>
      </w:r>
      <w:r w:rsidRPr="00D22B96">
        <w:rPr>
          <w:sz w:val="20"/>
        </w:rPr>
        <w:t>.</w:t>
      </w:r>
    </w:p>
    <w:p w:rsidR="00383888" w:rsidRPr="000615AB" w:rsidRDefault="00383888" w:rsidP="00383888">
      <w:pPr>
        <w:ind w:left="567" w:hanging="283"/>
        <w:jc w:val="both"/>
        <w:rPr>
          <w:sz w:val="20"/>
        </w:rPr>
      </w:pPr>
    </w:p>
    <w:p w:rsidR="00383888" w:rsidRPr="000615AB" w:rsidRDefault="00383888" w:rsidP="00FE7D9C">
      <w:pPr>
        <w:numPr>
          <w:ilvl w:val="0"/>
          <w:numId w:val="60"/>
        </w:numPr>
        <w:tabs>
          <w:tab w:val="clear" w:pos="1120"/>
        </w:tabs>
        <w:ind w:left="567" w:hanging="283"/>
        <w:jc w:val="both"/>
        <w:rPr>
          <w:sz w:val="20"/>
        </w:rPr>
      </w:pPr>
      <w:r w:rsidRPr="000615AB">
        <w:rPr>
          <w:b/>
          <w:bCs/>
          <w:i/>
          <w:iCs/>
          <w:sz w:val="20"/>
        </w:rPr>
        <w:t>Otros servicios contractuales</w:t>
      </w:r>
      <w:proofErr w:type="gramStart"/>
      <w:r w:rsidRPr="000615AB">
        <w:rPr>
          <w:b/>
          <w:bCs/>
          <w:i/>
          <w:iCs/>
          <w:sz w:val="20"/>
        </w:rPr>
        <w:t xml:space="preserve">:  </w:t>
      </w:r>
      <w:r w:rsidRPr="000615AB">
        <w:rPr>
          <w:sz w:val="20"/>
        </w:rPr>
        <w:t>Engloba</w:t>
      </w:r>
      <w:proofErr w:type="gramEnd"/>
      <w:r w:rsidRPr="000615AB">
        <w:rPr>
          <w:sz w:val="20"/>
        </w:rPr>
        <w:t xml:space="preserve"> los servicios contractuales restantes prestados por prestadores comerciales e institucionales de servicios.</w:t>
      </w:r>
    </w:p>
    <w:p w:rsidR="00383888" w:rsidRPr="000615AB" w:rsidRDefault="00383888" w:rsidP="00383888">
      <w:pPr>
        <w:jc w:val="both"/>
        <w:rPr>
          <w:sz w:val="20"/>
        </w:rPr>
      </w:pPr>
    </w:p>
    <w:p w:rsidR="00383888" w:rsidRPr="000615AB" w:rsidRDefault="00383888" w:rsidP="00383888">
      <w:pPr>
        <w:keepNext/>
        <w:keepLines/>
        <w:jc w:val="both"/>
        <w:rPr>
          <w:b/>
          <w:bCs/>
          <w:sz w:val="20"/>
        </w:rPr>
      </w:pPr>
    </w:p>
    <w:p w:rsidR="00383888" w:rsidRPr="000615AB" w:rsidRDefault="00383888" w:rsidP="00383888">
      <w:pPr>
        <w:keepNext/>
        <w:keepLines/>
        <w:jc w:val="both"/>
        <w:rPr>
          <w:b/>
          <w:bCs/>
          <w:sz w:val="20"/>
        </w:rPr>
      </w:pPr>
      <w:r w:rsidRPr="000615AB">
        <w:rPr>
          <w:b/>
          <w:bCs/>
          <w:sz w:val="20"/>
        </w:rPr>
        <w:t>Gastos de operación</w:t>
      </w:r>
    </w:p>
    <w:p w:rsidR="00383888" w:rsidRPr="000615AB" w:rsidRDefault="00383888" w:rsidP="00383888">
      <w:pPr>
        <w:keepNext/>
        <w:keepLines/>
        <w:jc w:val="both"/>
        <w:rPr>
          <w:sz w:val="20"/>
        </w:rPr>
      </w:pPr>
    </w:p>
    <w:p w:rsidR="00383888" w:rsidRPr="000615AB" w:rsidRDefault="00383888" w:rsidP="00FE7D9C">
      <w:pPr>
        <w:keepNext/>
        <w:keepLines/>
        <w:numPr>
          <w:ilvl w:val="0"/>
          <w:numId w:val="61"/>
        </w:numPr>
        <w:tabs>
          <w:tab w:val="clear" w:pos="1160"/>
          <w:tab w:val="num" w:pos="567"/>
        </w:tabs>
        <w:ind w:left="567" w:hanging="283"/>
        <w:jc w:val="both"/>
        <w:rPr>
          <w:sz w:val="20"/>
        </w:rPr>
      </w:pPr>
      <w:r w:rsidRPr="000615AB">
        <w:rPr>
          <w:b/>
          <w:bCs/>
          <w:i/>
          <w:iCs/>
          <w:sz w:val="20"/>
        </w:rPr>
        <w:t>Locales y mantenimiento</w:t>
      </w:r>
      <w:proofErr w:type="gramStart"/>
      <w:r w:rsidRPr="000615AB">
        <w:rPr>
          <w:bCs/>
          <w:iCs/>
          <w:sz w:val="20"/>
        </w:rPr>
        <w:t>:  Adquisición</w:t>
      </w:r>
      <w:proofErr w:type="gramEnd"/>
      <w:r w:rsidRPr="000615AB">
        <w:rPr>
          <w:bCs/>
          <w:iCs/>
          <w:sz w:val="20"/>
        </w:rPr>
        <w:t>, alquiler, mejora y mantenimiento del espacio de oficinas y alquiler o mantenimiento del equipo inmobiliario;  reembolso del préstamo relativo a la construcción del nuevo edificio;  consultores externos contratados para la gestión de las obras del nuevo edificio.</w:t>
      </w:r>
    </w:p>
    <w:p w:rsidR="00383888" w:rsidRPr="000615AB" w:rsidRDefault="00383888" w:rsidP="00383888">
      <w:pPr>
        <w:tabs>
          <w:tab w:val="num" w:pos="567"/>
        </w:tabs>
        <w:ind w:left="567" w:hanging="283"/>
        <w:jc w:val="both"/>
        <w:rPr>
          <w:sz w:val="20"/>
        </w:rPr>
      </w:pPr>
    </w:p>
    <w:p w:rsidR="00383888" w:rsidRPr="00D22B96" w:rsidRDefault="00383888" w:rsidP="00FE7D9C">
      <w:pPr>
        <w:numPr>
          <w:ilvl w:val="0"/>
          <w:numId w:val="61"/>
        </w:numPr>
        <w:tabs>
          <w:tab w:val="clear" w:pos="1160"/>
          <w:tab w:val="num" w:pos="567"/>
        </w:tabs>
        <w:ind w:left="567" w:hanging="283"/>
        <w:jc w:val="both"/>
        <w:rPr>
          <w:bCs/>
          <w:iCs/>
          <w:sz w:val="20"/>
        </w:rPr>
      </w:pPr>
      <w:r w:rsidRPr="000615AB">
        <w:rPr>
          <w:b/>
          <w:bCs/>
          <w:i/>
          <w:iCs/>
          <w:sz w:val="20"/>
        </w:rPr>
        <w:t>Comunicación</w:t>
      </w:r>
      <w:proofErr w:type="gramStart"/>
      <w:r w:rsidRPr="000615AB">
        <w:rPr>
          <w:bCs/>
          <w:iCs/>
          <w:sz w:val="20"/>
        </w:rPr>
        <w:t>:  Gastos</w:t>
      </w:r>
      <w:proofErr w:type="gramEnd"/>
      <w:r w:rsidRPr="000615AB">
        <w:rPr>
          <w:bCs/>
          <w:iCs/>
          <w:sz w:val="20"/>
        </w:rPr>
        <w:t xml:space="preserve"> de comunicación como los gastos de teléfono, Internet, fax y correo, franqueo y transporte de documentos</w:t>
      </w:r>
      <w:r w:rsidRPr="00D22B96">
        <w:rPr>
          <w:bCs/>
          <w:iCs/>
          <w:sz w:val="20"/>
        </w:rPr>
        <w:t>.</w:t>
      </w:r>
    </w:p>
    <w:p w:rsidR="00383888" w:rsidRPr="000615AB" w:rsidRDefault="00383888" w:rsidP="00383888">
      <w:pPr>
        <w:tabs>
          <w:tab w:val="num" w:pos="567"/>
        </w:tabs>
        <w:ind w:left="567" w:firstLineChars="200" w:firstLine="400"/>
        <w:jc w:val="both"/>
        <w:rPr>
          <w:sz w:val="20"/>
        </w:rPr>
      </w:pPr>
    </w:p>
    <w:p w:rsidR="00383888" w:rsidRPr="00D22B96" w:rsidRDefault="00383888" w:rsidP="00FE7D9C">
      <w:pPr>
        <w:numPr>
          <w:ilvl w:val="0"/>
          <w:numId w:val="61"/>
        </w:numPr>
        <w:tabs>
          <w:tab w:val="clear" w:pos="1160"/>
          <w:tab w:val="num" w:pos="567"/>
        </w:tabs>
        <w:ind w:left="567" w:hanging="283"/>
        <w:jc w:val="both"/>
        <w:rPr>
          <w:bCs/>
          <w:iCs/>
          <w:sz w:val="20"/>
        </w:rPr>
      </w:pPr>
      <w:r w:rsidRPr="000615AB">
        <w:rPr>
          <w:b/>
          <w:bCs/>
          <w:i/>
          <w:iCs/>
          <w:sz w:val="20"/>
        </w:rPr>
        <w:t>Representación</w:t>
      </w:r>
      <w:proofErr w:type="gramStart"/>
      <w:r w:rsidRPr="000615AB">
        <w:rPr>
          <w:bCs/>
          <w:iCs/>
          <w:sz w:val="20"/>
        </w:rPr>
        <w:t>:  Gastos</w:t>
      </w:r>
      <w:proofErr w:type="gramEnd"/>
      <w:r w:rsidRPr="000615AB">
        <w:rPr>
          <w:bCs/>
          <w:iCs/>
          <w:sz w:val="20"/>
        </w:rPr>
        <w:t xml:space="preserve"> en atenciones sociales oficiales</w:t>
      </w:r>
      <w:r w:rsidRPr="00D22B96">
        <w:rPr>
          <w:bCs/>
          <w:iCs/>
          <w:sz w:val="20"/>
        </w:rPr>
        <w:t>.</w:t>
      </w:r>
    </w:p>
    <w:p w:rsidR="00383888" w:rsidRPr="000615AB" w:rsidRDefault="00383888" w:rsidP="00383888">
      <w:pPr>
        <w:tabs>
          <w:tab w:val="num" w:pos="567"/>
        </w:tabs>
        <w:ind w:left="567" w:firstLineChars="200" w:firstLine="400"/>
        <w:jc w:val="both"/>
        <w:rPr>
          <w:sz w:val="20"/>
        </w:rPr>
      </w:pPr>
    </w:p>
    <w:p w:rsidR="00383888" w:rsidRPr="00D22B96" w:rsidRDefault="00383888" w:rsidP="00FE7D9C">
      <w:pPr>
        <w:numPr>
          <w:ilvl w:val="0"/>
          <w:numId w:val="61"/>
        </w:numPr>
        <w:tabs>
          <w:tab w:val="clear" w:pos="1160"/>
          <w:tab w:val="num" w:pos="567"/>
        </w:tabs>
        <w:ind w:left="567" w:hanging="283"/>
        <w:jc w:val="both"/>
        <w:rPr>
          <w:bCs/>
          <w:iCs/>
          <w:sz w:val="20"/>
        </w:rPr>
      </w:pPr>
      <w:r w:rsidRPr="000615AB">
        <w:rPr>
          <w:b/>
          <w:bCs/>
          <w:i/>
          <w:iCs/>
          <w:sz w:val="20"/>
        </w:rPr>
        <w:t>Cargos administrativos y bancarios</w:t>
      </w:r>
      <w:proofErr w:type="gramStart"/>
      <w:r w:rsidRPr="000615AB">
        <w:rPr>
          <w:bCs/>
          <w:iCs/>
          <w:sz w:val="20"/>
        </w:rPr>
        <w:t>:  Cargos</w:t>
      </w:r>
      <w:proofErr w:type="gramEnd"/>
      <w:r w:rsidRPr="000615AB">
        <w:rPr>
          <w:bCs/>
          <w:iCs/>
          <w:sz w:val="20"/>
        </w:rPr>
        <w:t xml:space="preserve"> bancarios; ajustes por variación de los tipos de cambio; contribución de la OMPI a la Asociación del Personal</w:t>
      </w:r>
      <w:r w:rsidRPr="00D22B96">
        <w:rPr>
          <w:bCs/>
          <w:iCs/>
          <w:sz w:val="20"/>
        </w:rPr>
        <w:t>.</w:t>
      </w:r>
    </w:p>
    <w:p w:rsidR="00383888" w:rsidRPr="000615AB" w:rsidRDefault="00383888" w:rsidP="00383888">
      <w:pPr>
        <w:ind w:firstLineChars="200" w:firstLine="400"/>
        <w:jc w:val="both"/>
        <w:rPr>
          <w:sz w:val="20"/>
        </w:rPr>
      </w:pPr>
    </w:p>
    <w:p w:rsidR="00383888" w:rsidRPr="000615AB" w:rsidRDefault="00383888" w:rsidP="00FE7D9C">
      <w:pPr>
        <w:numPr>
          <w:ilvl w:val="0"/>
          <w:numId w:val="61"/>
        </w:numPr>
        <w:tabs>
          <w:tab w:val="clear" w:pos="1160"/>
          <w:tab w:val="num" w:pos="567"/>
        </w:tabs>
        <w:ind w:left="567" w:hanging="283"/>
        <w:jc w:val="both"/>
        <w:rPr>
          <w:sz w:val="20"/>
        </w:rPr>
      </w:pPr>
      <w:r w:rsidRPr="000615AB">
        <w:rPr>
          <w:b/>
          <w:bCs/>
          <w:iCs/>
          <w:sz w:val="20"/>
        </w:rPr>
        <w:t>Servicios en común con las NN.UU</w:t>
      </w:r>
      <w:r w:rsidRPr="000615AB">
        <w:rPr>
          <w:bCs/>
          <w:iCs/>
          <w:sz w:val="20"/>
        </w:rPr>
        <w:t>.</w:t>
      </w:r>
      <w:proofErr w:type="gramStart"/>
      <w:r w:rsidRPr="000615AB">
        <w:rPr>
          <w:bCs/>
          <w:iCs/>
          <w:sz w:val="20"/>
        </w:rPr>
        <w:t>:  Asistencia</w:t>
      </w:r>
      <w:proofErr w:type="gramEnd"/>
      <w:r w:rsidRPr="000615AB">
        <w:rPr>
          <w:bCs/>
          <w:iCs/>
          <w:sz w:val="20"/>
        </w:rPr>
        <w:t xml:space="preserve"> médica, contribuciones a las actividades administrativas comunes en el sistema de NN.UU., actividades cofinanciadas por las NN.UU. y el Tribunal Administrativo.</w:t>
      </w:r>
    </w:p>
    <w:p w:rsidR="00383888" w:rsidRPr="000615AB" w:rsidRDefault="00383888" w:rsidP="00383888">
      <w:pPr>
        <w:jc w:val="both"/>
        <w:rPr>
          <w:b/>
          <w:bCs/>
          <w:sz w:val="20"/>
        </w:rPr>
      </w:pPr>
    </w:p>
    <w:p w:rsidR="00383888" w:rsidRPr="000615AB" w:rsidRDefault="00383888" w:rsidP="00383888">
      <w:pPr>
        <w:jc w:val="both"/>
        <w:rPr>
          <w:b/>
          <w:bCs/>
          <w:sz w:val="20"/>
        </w:rPr>
      </w:pPr>
    </w:p>
    <w:p w:rsidR="00383888" w:rsidRPr="000615AB" w:rsidRDefault="00383888" w:rsidP="00383888">
      <w:pPr>
        <w:rPr>
          <w:b/>
          <w:bCs/>
          <w:sz w:val="20"/>
        </w:rPr>
      </w:pPr>
      <w:r w:rsidRPr="000615AB">
        <w:rPr>
          <w:b/>
          <w:bCs/>
          <w:sz w:val="20"/>
        </w:rPr>
        <w:t>Equipos y suministros</w:t>
      </w:r>
    </w:p>
    <w:p w:rsidR="00383888" w:rsidRPr="000615AB" w:rsidRDefault="00383888" w:rsidP="00383888">
      <w:pPr>
        <w:jc w:val="both"/>
        <w:rPr>
          <w:sz w:val="20"/>
        </w:rPr>
      </w:pPr>
    </w:p>
    <w:p w:rsidR="00383888" w:rsidRPr="000615AB" w:rsidRDefault="00383888" w:rsidP="00FE7D9C">
      <w:pPr>
        <w:numPr>
          <w:ilvl w:val="0"/>
          <w:numId w:val="62"/>
        </w:numPr>
        <w:tabs>
          <w:tab w:val="clear" w:pos="1160"/>
          <w:tab w:val="num" w:pos="567"/>
        </w:tabs>
        <w:ind w:left="567" w:hanging="283"/>
        <w:jc w:val="both"/>
        <w:rPr>
          <w:sz w:val="20"/>
        </w:rPr>
      </w:pPr>
      <w:r w:rsidRPr="000615AB">
        <w:rPr>
          <w:b/>
          <w:bCs/>
          <w:i/>
          <w:iCs/>
          <w:sz w:val="20"/>
        </w:rPr>
        <w:t>Mobiliario y equipo</w:t>
      </w:r>
      <w:proofErr w:type="gramStart"/>
      <w:r w:rsidRPr="000615AB">
        <w:rPr>
          <w:bCs/>
          <w:iCs/>
          <w:sz w:val="20"/>
        </w:rPr>
        <w:t>:  Compra</w:t>
      </w:r>
      <w:proofErr w:type="gramEnd"/>
      <w:r w:rsidRPr="000615AB">
        <w:rPr>
          <w:bCs/>
          <w:iCs/>
          <w:sz w:val="20"/>
        </w:rPr>
        <w:t xml:space="preserve"> de mobiliario y máquinas de oficina;  equipo informático (computadoras de escritorio y portátiles, impresoras, servidores, etc.);  equipo para servicios de conferencias;  equipo de reproducción;  y equipo de transporte.</w:t>
      </w:r>
    </w:p>
    <w:p w:rsidR="00383888" w:rsidRPr="000615AB" w:rsidRDefault="00383888" w:rsidP="00383888">
      <w:pPr>
        <w:tabs>
          <w:tab w:val="num" w:pos="567"/>
        </w:tabs>
        <w:ind w:left="567" w:hanging="283"/>
        <w:jc w:val="both"/>
        <w:rPr>
          <w:sz w:val="20"/>
        </w:rPr>
      </w:pPr>
    </w:p>
    <w:p w:rsidR="00383888" w:rsidRPr="000615AB" w:rsidRDefault="00383888" w:rsidP="00FE7D9C">
      <w:pPr>
        <w:numPr>
          <w:ilvl w:val="0"/>
          <w:numId w:val="62"/>
        </w:numPr>
        <w:tabs>
          <w:tab w:val="clear" w:pos="1160"/>
          <w:tab w:val="num" w:pos="567"/>
        </w:tabs>
        <w:ind w:left="567" w:hanging="283"/>
        <w:jc w:val="both"/>
        <w:rPr>
          <w:sz w:val="20"/>
        </w:rPr>
      </w:pPr>
      <w:r w:rsidRPr="000615AB">
        <w:rPr>
          <w:b/>
          <w:bCs/>
          <w:i/>
          <w:iCs/>
          <w:sz w:val="20"/>
        </w:rPr>
        <w:t>Suministros y material</w:t>
      </w:r>
      <w:proofErr w:type="gramStart"/>
      <w:r w:rsidRPr="000615AB">
        <w:rPr>
          <w:bCs/>
          <w:iCs/>
          <w:sz w:val="20"/>
        </w:rPr>
        <w:t>:  Papel</w:t>
      </w:r>
      <w:proofErr w:type="gramEnd"/>
      <w:r w:rsidRPr="000615AB">
        <w:rPr>
          <w:bCs/>
          <w:iCs/>
          <w:sz w:val="20"/>
        </w:rPr>
        <w:t xml:space="preserve"> y material para oficina;  material de reproducción (offset, microfilms, etc.);  libros para la biblioteca y suscripciones a revistas y publicaciones periódicas;  uniformes;  material para computadoras;  programas informáticos y licencias para computadoras.</w:t>
      </w:r>
    </w:p>
    <w:p w:rsidR="00383888" w:rsidRPr="000615AB" w:rsidRDefault="00383888" w:rsidP="00383888">
      <w:pPr>
        <w:ind w:left="550"/>
        <w:jc w:val="both"/>
        <w:rPr>
          <w:sz w:val="20"/>
        </w:rPr>
      </w:pPr>
    </w:p>
    <w:p w:rsidR="00383888" w:rsidRPr="00C3705E" w:rsidRDefault="00383888" w:rsidP="00383888">
      <w:pPr>
        <w:pStyle w:val="Heading2"/>
        <w:tabs>
          <w:tab w:val="left" w:pos="-2268"/>
        </w:tabs>
        <w:rPr>
          <w:b/>
          <w:caps w:val="0"/>
          <w:szCs w:val="24"/>
          <w:lang w:val="es-ES_tradnl"/>
        </w:rPr>
      </w:pPr>
      <w:r w:rsidRPr="000615AB">
        <w:rPr>
          <w:sz w:val="20"/>
        </w:rPr>
        <w:br w:type="page"/>
      </w:r>
      <w:bookmarkStart w:id="128" w:name="_Toc366078770"/>
      <w:r w:rsidRPr="00C3705E">
        <w:rPr>
          <w:b/>
          <w:caps w:val="0"/>
          <w:szCs w:val="24"/>
          <w:lang w:val="es-ES_tradnl"/>
        </w:rPr>
        <w:lastRenderedPageBreak/>
        <w:t>APÉNDICE C</w:t>
      </w:r>
      <w:r w:rsidRPr="00C3705E">
        <w:rPr>
          <w:b/>
          <w:caps w:val="0"/>
          <w:szCs w:val="24"/>
          <w:lang w:val="es-ES_tradnl"/>
        </w:rPr>
        <w:br/>
        <w:t>COSTOS ESTÁNDAR DE PERSONAL</w:t>
      </w:r>
      <w:bookmarkEnd w:id="128"/>
    </w:p>
    <w:p w:rsidR="00383888" w:rsidRPr="000615AB" w:rsidRDefault="00383888" w:rsidP="00383888">
      <w:pPr>
        <w:pStyle w:val="Header"/>
        <w:tabs>
          <w:tab w:val="clear" w:pos="4536"/>
          <w:tab w:val="clear" w:pos="9072"/>
        </w:tabs>
        <w:rPr>
          <w:sz w:val="20"/>
        </w:rPr>
      </w:pPr>
    </w:p>
    <w:p w:rsidR="00383888" w:rsidRPr="000615AB" w:rsidRDefault="00383888" w:rsidP="00383888">
      <w:pPr>
        <w:pStyle w:val="Header"/>
        <w:tabs>
          <w:tab w:val="clear" w:pos="4536"/>
          <w:tab w:val="clear" w:pos="9072"/>
        </w:tabs>
        <w:rPr>
          <w:sz w:val="20"/>
        </w:rPr>
      </w:pPr>
    </w:p>
    <w:p w:rsidR="00383888" w:rsidRDefault="00383888" w:rsidP="00383888">
      <w:pPr>
        <w:rPr>
          <w:sz w:val="20"/>
        </w:rPr>
      </w:pPr>
      <w:r w:rsidRPr="00150B0B">
        <w:rPr>
          <w:sz w:val="20"/>
        </w:rPr>
        <w:t>La metodología utilizada para calcular y presupuestar los recursos de personal de la Organización se basa en los costos estándar.  Los costos estándar siguen siendo el método utilizado más corrientemente para calcular el costo de los recursos de personal dentro del sistema de NN.UU.  Este método sirve de base para realizar una comparación con otras organizaciones de NN.UU., garantizando de esa manera que se puedan efectuar de manera sistemática y periódica las revisiones y actualizaciones pertinentes.</w:t>
      </w:r>
    </w:p>
    <w:p w:rsidR="00383888" w:rsidRPr="00150B0B" w:rsidRDefault="00383888" w:rsidP="00383888">
      <w:pPr>
        <w:rPr>
          <w:sz w:val="20"/>
        </w:rPr>
      </w:pPr>
    </w:p>
    <w:p w:rsidR="00383888" w:rsidRPr="00150B0B" w:rsidRDefault="00383888" w:rsidP="00383888">
      <w:pPr>
        <w:rPr>
          <w:sz w:val="20"/>
        </w:rPr>
      </w:pPr>
      <w:r w:rsidRPr="00150B0B">
        <w:rPr>
          <w:sz w:val="20"/>
        </w:rPr>
        <w:t>La formulación y revisión de los costos estándar constituye un proceso dinámico que exige un examen periódico, con el fin de alinear los costos presupuestados y los gastos.  Los costos estándar se basan en las escalas de sueldos y remuneración pensionable más recientes disponibles en NN.UU., datos históricos y políticas y prestaciones aplicables.  En los costos estándar aplicados al presupuesto por programas de la OMPI se incorporan numerosos elementos de costo estándar para obtener un costo estándar para cada categoría de puesto, que se utiliza a continuación para calcular los costos globales de recursos de personal.  A continuación se exponen sucintamente los elementos de costos incluidos en el costo estándar y los supuestos en que se basan.</w:t>
      </w:r>
    </w:p>
    <w:p w:rsidR="00383888" w:rsidRPr="00150B0B" w:rsidRDefault="00383888" w:rsidP="00383888">
      <w:pPr>
        <w:rPr>
          <w:sz w:val="20"/>
        </w:rPr>
      </w:pPr>
    </w:p>
    <w:p w:rsidR="00383888" w:rsidRPr="000615AB" w:rsidRDefault="00383888" w:rsidP="00383888">
      <w:pPr>
        <w:ind w:left="1134" w:firstLine="567"/>
        <w:rPr>
          <w:sz w:val="20"/>
        </w:rPr>
      </w:pPr>
      <w:r w:rsidRPr="000615AB">
        <w:rPr>
          <w:sz w:val="20"/>
        </w:rPr>
        <w:t xml:space="preserve">Elementos de costos estándar y supuestos en que se basan </w:t>
      </w:r>
    </w:p>
    <w:p w:rsidR="00383888" w:rsidRPr="000615AB" w:rsidRDefault="00383888" w:rsidP="00383888">
      <w:pPr>
        <w:jc w:val="center"/>
        <w:rPr>
          <w:sz w:val="20"/>
        </w:rPr>
      </w:pPr>
    </w:p>
    <w:tbl>
      <w:tblPr>
        <w:tblW w:w="9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2"/>
        <w:gridCol w:w="4146"/>
        <w:gridCol w:w="3850"/>
      </w:tblGrid>
      <w:tr w:rsidR="00383888" w:rsidRPr="000615AB" w:rsidTr="00B47699">
        <w:trPr>
          <w:tblHeader/>
        </w:trPr>
        <w:tc>
          <w:tcPr>
            <w:tcW w:w="1242" w:type="dxa"/>
            <w:shd w:val="clear" w:color="auto" w:fill="auto"/>
          </w:tcPr>
          <w:p w:rsidR="00383888" w:rsidRPr="000615AB" w:rsidRDefault="00383888" w:rsidP="00B47699">
            <w:pPr>
              <w:rPr>
                <w:b/>
                <w:sz w:val="18"/>
              </w:rPr>
            </w:pPr>
          </w:p>
        </w:tc>
        <w:tc>
          <w:tcPr>
            <w:tcW w:w="4146" w:type="dxa"/>
            <w:shd w:val="clear" w:color="auto" w:fill="auto"/>
          </w:tcPr>
          <w:p w:rsidR="00383888" w:rsidRDefault="00383888" w:rsidP="00B47699">
            <w:pPr>
              <w:jc w:val="center"/>
              <w:rPr>
                <w:b/>
                <w:sz w:val="18"/>
              </w:rPr>
            </w:pPr>
          </w:p>
          <w:p w:rsidR="00383888" w:rsidRDefault="00383888" w:rsidP="00B47699">
            <w:pPr>
              <w:jc w:val="center"/>
              <w:rPr>
                <w:b/>
                <w:sz w:val="18"/>
              </w:rPr>
            </w:pPr>
            <w:r w:rsidRPr="000615AB">
              <w:rPr>
                <w:b/>
                <w:sz w:val="18"/>
              </w:rPr>
              <w:t>Puestos</w:t>
            </w:r>
          </w:p>
          <w:p w:rsidR="00383888" w:rsidRPr="000615AB" w:rsidRDefault="00383888" w:rsidP="00B47699">
            <w:pPr>
              <w:jc w:val="center"/>
              <w:rPr>
                <w:bCs/>
                <w:sz w:val="18"/>
              </w:rPr>
            </w:pPr>
          </w:p>
          <w:p w:rsidR="00383888" w:rsidRPr="000615AB" w:rsidRDefault="00383888" w:rsidP="00B47699">
            <w:pPr>
              <w:jc w:val="center"/>
              <w:rPr>
                <w:bCs/>
                <w:sz w:val="18"/>
              </w:rPr>
            </w:pPr>
            <w:r w:rsidRPr="000615AB">
              <w:rPr>
                <w:bCs/>
                <w:sz w:val="18"/>
              </w:rPr>
              <w:t>(</w:t>
            </w:r>
            <w:r w:rsidRPr="000615AB">
              <w:rPr>
                <w:bCs/>
                <w:i/>
                <w:iCs/>
                <w:sz w:val="18"/>
              </w:rPr>
              <w:t>Categoría profesional y de servicios generales</w:t>
            </w:r>
            <w:r w:rsidRPr="000615AB">
              <w:rPr>
                <w:bCs/>
                <w:sz w:val="18"/>
              </w:rPr>
              <w:t>)</w:t>
            </w:r>
          </w:p>
        </w:tc>
        <w:tc>
          <w:tcPr>
            <w:tcW w:w="3850" w:type="dxa"/>
          </w:tcPr>
          <w:p w:rsidR="00383888" w:rsidRDefault="00383888" w:rsidP="00B47699">
            <w:pPr>
              <w:jc w:val="center"/>
              <w:rPr>
                <w:b/>
                <w:sz w:val="18"/>
              </w:rPr>
            </w:pPr>
          </w:p>
          <w:p w:rsidR="00383888" w:rsidRDefault="00383888" w:rsidP="00B47699">
            <w:pPr>
              <w:jc w:val="center"/>
              <w:rPr>
                <w:b/>
                <w:sz w:val="18"/>
              </w:rPr>
            </w:pPr>
            <w:r w:rsidRPr="000615AB">
              <w:rPr>
                <w:b/>
                <w:sz w:val="18"/>
              </w:rPr>
              <w:t>Plazas temporales</w:t>
            </w:r>
          </w:p>
          <w:p w:rsidR="00383888" w:rsidRPr="000615AB" w:rsidRDefault="00383888" w:rsidP="00B47699">
            <w:pPr>
              <w:jc w:val="center"/>
              <w:rPr>
                <w:b/>
                <w:sz w:val="18"/>
              </w:rPr>
            </w:pPr>
          </w:p>
          <w:p w:rsidR="00383888" w:rsidRPr="000615AB" w:rsidRDefault="00383888" w:rsidP="00B47699">
            <w:pPr>
              <w:jc w:val="center"/>
              <w:rPr>
                <w:bCs/>
                <w:sz w:val="18"/>
              </w:rPr>
            </w:pPr>
            <w:r w:rsidRPr="000615AB">
              <w:rPr>
                <w:bCs/>
                <w:sz w:val="18"/>
              </w:rPr>
              <w:t>(</w:t>
            </w:r>
            <w:r w:rsidRPr="000615AB">
              <w:rPr>
                <w:bCs/>
                <w:i/>
                <w:iCs/>
                <w:sz w:val="18"/>
              </w:rPr>
              <w:t>Categoría profesional y de servicios generales</w:t>
            </w:r>
            <w:r w:rsidRPr="000615AB">
              <w:rPr>
                <w:bCs/>
                <w:sz w:val="18"/>
              </w:rPr>
              <w:t>)</w:t>
            </w:r>
          </w:p>
        </w:tc>
      </w:tr>
      <w:tr w:rsidR="00383888" w:rsidRPr="000615AB" w:rsidTr="00B47699">
        <w:trPr>
          <w:trHeight w:val="2043"/>
        </w:trPr>
        <w:tc>
          <w:tcPr>
            <w:tcW w:w="1242" w:type="dxa"/>
          </w:tcPr>
          <w:p w:rsidR="00383888" w:rsidRPr="000615AB" w:rsidRDefault="00383888" w:rsidP="00B47699">
            <w:pPr>
              <w:rPr>
                <w:b/>
                <w:sz w:val="18"/>
              </w:rPr>
            </w:pPr>
            <w:r w:rsidRPr="000615AB">
              <w:rPr>
                <w:b/>
                <w:sz w:val="18"/>
              </w:rPr>
              <w:t>Sueldo</w:t>
            </w:r>
          </w:p>
        </w:tc>
        <w:tc>
          <w:tcPr>
            <w:tcW w:w="4146" w:type="dxa"/>
          </w:tcPr>
          <w:p w:rsidR="00383888" w:rsidRDefault="00383888" w:rsidP="00B47699">
            <w:pPr>
              <w:rPr>
                <w:sz w:val="18"/>
              </w:rPr>
            </w:pPr>
            <w:r w:rsidRPr="000615AB">
              <w:rPr>
                <w:sz w:val="18"/>
              </w:rPr>
              <w:t xml:space="preserve">El sueldo se calcula en relación con un escalón promedio para cada una de las categorías, aplicando de forma combinada las escalas de sueldo para funcionarios con o sin familiares a cargo (CAPI). </w:t>
            </w:r>
            <w:r>
              <w:rPr>
                <w:sz w:val="18"/>
              </w:rPr>
              <w:t xml:space="preserve"> </w:t>
            </w:r>
            <w:r w:rsidRPr="000615AB">
              <w:rPr>
                <w:sz w:val="18"/>
              </w:rPr>
              <w:t>A continuación se convierte en francos suizos el importe calculado en dólares EE.UU., y se aplica el multiplicador de ajuste por lugar de destino, cuando proceda (en el caso de los empleados de la categoría profesional)</w:t>
            </w:r>
            <w:r w:rsidRPr="00D22B96">
              <w:rPr>
                <w:sz w:val="18"/>
              </w:rPr>
              <w:t>.</w:t>
            </w:r>
          </w:p>
          <w:p w:rsidR="00383888" w:rsidRPr="00D22B96" w:rsidRDefault="00383888" w:rsidP="00B47699">
            <w:pPr>
              <w:rPr>
                <w:sz w:val="18"/>
              </w:rPr>
            </w:pPr>
          </w:p>
          <w:p w:rsidR="00383888" w:rsidRPr="000615AB" w:rsidRDefault="00383888" w:rsidP="00B47699">
            <w:pPr>
              <w:rPr>
                <w:sz w:val="18"/>
              </w:rPr>
            </w:pPr>
            <w:r w:rsidRPr="000615AB">
              <w:rPr>
                <w:sz w:val="18"/>
              </w:rPr>
              <w:t>Se añade al importe total el porcentaje de la remuneración pensionable (CCPPNU) correspondiente a la Organización.</w:t>
            </w:r>
          </w:p>
          <w:p w:rsidR="00383888" w:rsidRPr="000615AB" w:rsidRDefault="00383888" w:rsidP="00B47699">
            <w:pPr>
              <w:rPr>
                <w:sz w:val="18"/>
              </w:rPr>
            </w:pPr>
          </w:p>
        </w:tc>
        <w:tc>
          <w:tcPr>
            <w:tcW w:w="3850" w:type="dxa"/>
          </w:tcPr>
          <w:p w:rsidR="00383888" w:rsidRDefault="00383888" w:rsidP="00B47699">
            <w:pPr>
              <w:rPr>
                <w:sz w:val="18"/>
              </w:rPr>
            </w:pPr>
            <w:r w:rsidRPr="000615AB">
              <w:rPr>
                <w:sz w:val="18"/>
              </w:rPr>
              <w:t xml:space="preserve">El sueldo se calcula en relación con un escalón promedio para cada una de las categorías, aplicando de forma combinada las escalas de sueldo para funcionarios con o sin familiares a cargo (CAPI). </w:t>
            </w:r>
            <w:r>
              <w:rPr>
                <w:sz w:val="18"/>
              </w:rPr>
              <w:t xml:space="preserve"> </w:t>
            </w:r>
            <w:r w:rsidRPr="000615AB">
              <w:rPr>
                <w:sz w:val="18"/>
              </w:rPr>
              <w:t>A continuación se convierte en francos suizos el importe calculado en dólares EE.UU., y se aplica el multiplicador de ajuste por lugar de destino, cuando proceda (en el caso de los empleados de la categoría profesional)</w:t>
            </w:r>
            <w:r w:rsidRPr="00D22B96">
              <w:rPr>
                <w:sz w:val="18"/>
              </w:rPr>
              <w:t>.</w:t>
            </w:r>
          </w:p>
          <w:p w:rsidR="00383888" w:rsidRPr="00D22B96" w:rsidRDefault="00383888" w:rsidP="00B47699">
            <w:pPr>
              <w:rPr>
                <w:sz w:val="18"/>
              </w:rPr>
            </w:pPr>
          </w:p>
          <w:p w:rsidR="00383888" w:rsidRDefault="00383888" w:rsidP="00B47699">
            <w:pPr>
              <w:rPr>
                <w:sz w:val="18"/>
              </w:rPr>
            </w:pPr>
            <w:r w:rsidRPr="000615AB">
              <w:rPr>
                <w:sz w:val="18"/>
              </w:rPr>
              <w:t>Se añade al importe total el porcentaje de la remuneración pensionable (CCPPNU) correspondiente a la Organización.</w:t>
            </w:r>
          </w:p>
          <w:p w:rsidR="00383888" w:rsidRPr="000615AB" w:rsidRDefault="00383888" w:rsidP="00B47699">
            <w:pPr>
              <w:rPr>
                <w:sz w:val="18"/>
              </w:rPr>
            </w:pPr>
          </w:p>
        </w:tc>
      </w:tr>
      <w:tr w:rsidR="00383888" w:rsidRPr="000615AB" w:rsidTr="00B47699">
        <w:tc>
          <w:tcPr>
            <w:tcW w:w="1242" w:type="dxa"/>
            <w:tcBorders>
              <w:bottom w:val="nil"/>
            </w:tcBorders>
          </w:tcPr>
          <w:p w:rsidR="00383888" w:rsidRPr="00CF4309" w:rsidRDefault="00383888" w:rsidP="00B47699">
            <w:pPr>
              <w:rPr>
                <w:b/>
                <w:sz w:val="18"/>
              </w:rPr>
            </w:pPr>
            <w:r w:rsidRPr="00CF4309">
              <w:rPr>
                <w:b/>
                <w:sz w:val="18"/>
              </w:rPr>
              <w:t>Costos corrientes de personal (CCP)</w:t>
            </w:r>
          </w:p>
        </w:tc>
        <w:tc>
          <w:tcPr>
            <w:tcW w:w="4146" w:type="dxa"/>
            <w:tcBorders>
              <w:bottom w:val="nil"/>
            </w:tcBorders>
          </w:tcPr>
          <w:p w:rsidR="00383888" w:rsidRPr="00CF4309" w:rsidRDefault="00383888" w:rsidP="00B47699">
            <w:pPr>
              <w:rPr>
                <w:sz w:val="18"/>
              </w:rPr>
            </w:pPr>
            <w:r w:rsidRPr="00CF4309">
              <w:rPr>
                <w:sz w:val="18"/>
              </w:rPr>
              <w:t>El CCP abarca todos aquellos beneficios y prestaciones, distintos del sueldo, que se asignan de conformidad con el Estatuto y Reglamento del Personal (tales como el subsidio por familiares a cargo, las vacaciones en el país de origen, el subsidio de educación, etc.).</w:t>
            </w:r>
            <w:r>
              <w:rPr>
                <w:sz w:val="18"/>
              </w:rPr>
              <w:t xml:space="preserve">  </w:t>
            </w:r>
            <w:r w:rsidRPr="00CF4309">
              <w:rPr>
                <w:sz w:val="18"/>
              </w:rPr>
              <w:t>Se aplica un multiplicador al sueldo para reflejar este importe, sobre la base del patrón histórico de gastos y previsiones efectuados.</w:t>
            </w:r>
          </w:p>
          <w:p w:rsidR="00383888" w:rsidRPr="00CF4309" w:rsidRDefault="00383888" w:rsidP="00B47699">
            <w:pPr>
              <w:rPr>
                <w:sz w:val="18"/>
              </w:rPr>
            </w:pPr>
          </w:p>
        </w:tc>
        <w:tc>
          <w:tcPr>
            <w:tcW w:w="3850" w:type="dxa"/>
            <w:tcBorders>
              <w:bottom w:val="nil"/>
            </w:tcBorders>
          </w:tcPr>
          <w:p w:rsidR="00383888" w:rsidRDefault="00383888" w:rsidP="00B47699">
            <w:pPr>
              <w:rPr>
                <w:sz w:val="18"/>
              </w:rPr>
            </w:pPr>
            <w:r w:rsidRPr="00CF4309">
              <w:rPr>
                <w:sz w:val="18"/>
              </w:rPr>
              <w:t>El CCP abarca todos aquellos beneficios y prestaciones, distintos del sueldo, que se asignan de conformidad con el Estatuto y Reglamento del Personal (tales como el subsidio por familiares a cargo, las vacaciones en el país de origen, el subsidio de educación, etc.).</w:t>
            </w:r>
            <w:r>
              <w:rPr>
                <w:sz w:val="18"/>
              </w:rPr>
              <w:t xml:space="preserve">  </w:t>
            </w:r>
            <w:r w:rsidRPr="00CF4309">
              <w:rPr>
                <w:sz w:val="18"/>
              </w:rPr>
              <w:t>Se aplica un multiplicador al sueldo para reflejar este importe, sobre la base del patrón histórico de gastos y previsiones efectuados.</w:t>
            </w:r>
          </w:p>
          <w:p w:rsidR="00383888" w:rsidRPr="000615AB" w:rsidRDefault="00383888" w:rsidP="00B47699">
            <w:pPr>
              <w:rPr>
                <w:sz w:val="18"/>
              </w:rPr>
            </w:pPr>
          </w:p>
        </w:tc>
      </w:tr>
      <w:tr w:rsidR="00383888" w:rsidRPr="000615AB" w:rsidTr="00B47699">
        <w:tc>
          <w:tcPr>
            <w:tcW w:w="1242" w:type="dxa"/>
            <w:tcBorders>
              <w:top w:val="single" w:sz="6" w:space="0" w:color="auto"/>
              <w:left w:val="single" w:sz="6" w:space="0" w:color="auto"/>
              <w:bottom w:val="single" w:sz="6" w:space="0" w:color="auto"/>
              <w:right w:val="single" w:sz="6" w:space="0" w:color="auto"/>
            </w:tcBorders>
          </w:tcPr>
          <w:p w:rsidR="00383888" w:rsidRPr="000615AB" w:rsidRDefault="00383888" w:rsidP="00B47699">
            <w:pPr>
              <w:rPr>
                <w:b/>
                <w:sz w:val="18"/>
              </w:rPr>
            </w:pPr>
            <w:r w:rsidRPr="000615AB">
              <w:rPr>
                <w:b/>
                <w:sz w:val="18"/>
              </w:rPr>
              <w:t xml:space="preserve">Ajuste </w:t>
            </w:r>
          </w:p>
        </w:tc>
        <w:tc>
          <w:tcPr>
            <w:tcW w:w="4146" w:type="dxa"/>
            <w:tcBorders>
              <w:top w:val="single" w:sz="6" w:space="0" w:color="auto"/>
              <w:left w:val="single" w:sz="6" w:space="0" w:color="auto"/>
              <w:bottom w:val="single" w:sz="6" w:space="0" w:color="auto"/>
              <w:right w:val="single" w:sz="6" w:space="0" w:color="auto"/>
            </w:tcBorders>
          </w:tcPr>
          <w:p w:rsidR="00383888" w:rsidRPr="00D22B96" w:rsidRDefault="00383888" w:rsidP="00B47699">
            <w:pPr>
              <w:ind w:left="34"/>
              <w:rPr>
                <w:sz w:val="18"/>
              </w:rPr>
            </w:pPr>
            <w:r w:rsidRPr="000615AB">
              <w:rPr>
                <w:sz w:val="18"/>
              </w:rPr>
              <w:t>Se aplica otro ajuste a la baja al costo estándar para tener en cuenta el índice de vacantes previsto. El ajuste aplicado a 2014/15 es del 6% respecto del índice de vacantes</w:t>
            </w:r>
            <w:r w:rsidRPr="00D22B96">
              <w:rPr>
                <w:sz w:val="18"/>
              </w:rPr>
              <w:t>.</w:t>
            </w:r>
          </w:p>
          <w:p w:rsidR="00383888" w:rsidRPr="000615AB" w:rsidRDefault="00383888" w:rsidP="00B47699">
            <w:pPr>
              <w:ind w:left="34"/>
              <w:rPr>
                <w:sz w:val="18"/>
              </w:rPr>
            </w:pPr>
          </w:p>
          <w:p w:rsidR="00383888" w:rsidRPr="000615AB" w:rsidRDefault="00383888" w:rsidP="00B47699">
            <w:pPr>
              <w:rPr>
                <w:sz w:val="18"/>
              </w:rPr>
            </w:pPr>
            <w:r w:rsidRPr="000615AB">
              <w:rPr>
                <w:sz w:val="18"/>
              </w:rPr>
              <w:t>Se aplica otro ajuste a la baja del 1% para tener en cuenta los contrato</w:t>
            </w:r>
            <w:r>
              <w:rPr>
                <w:sz w:val="18"/>
              </w:rPr>
              <w:t>s de trabajo a tiempo parcial.</w:t>
            </w:r>
          </w:p>
        </w:tc>
        <w:tc>
          <w:tcPr>
            <w:tcW w:w="3850" w:type="dxa"/>
            <w:tcBorders>
              <w:top w:val="single" w:sz="6" w:space="0" w:color="auto"/>
              <w:left w:val="single" w:sz="6" w:space="0" w:color="auto"/>
              <w:bottom w:val="single" w:sz="6" w:space="0" w:color="auto"/>
              <w:right w:val="single" w:sz="6" w:space="0" w:color="auto"/>
            </w:tcBorders>
          </w:tcPr>
          <w:p w:rsidR="00383888" w:rsidRPr="00D22B96" w:rsidRDefault="00383888" w:rsidP="00B47699">
            <w:pPr>
              <w:ind w:left="34"/>
              <w:rPr>
                <w:sz w:val="18"/>
              </w:rPr>
            </w:pPr>
            <w:r w:rsidRPr="000615AB">
              <w:rPr>
                <w:sz w:val="18"/>
              </w:rPr>
              <w:t xml:space="preserve">Se aplica otro ajuste a la baja al costo estándar para tener en cuenta el índice de vacantes previsto. </w:t>
            </w:r>
            <w:r>
              <w:rPr>
                <w:sz w:val="18"/>
              </w:rPr>
              <w:t xml:space="preserve"> </w:t>
            </w:r>
            <w:r w:rsidRPr="000615AB">
              <w:rPr>
                <w:sz w:val="18"/>
              </w:rPr>
              <w:t>El ajuste aplicado a 2014/15 es del 1% respecto del índice de vacantes</w:t>
            </w:r>
            <w:r w:rsidRPr="00D22B96">
              <w:rPr>
                <w:sz w:val="18"/>
              </w:rPr>
              <w:t>.</w:t>
            </w:r>
          </w:p>
          <w:p w:rsidR="00383888" w:rsidRPr="000615AB" w:rsidRDefault="00383888" w:rsidP="00B47699">
            <w:pPr>
              <w:ind w:left="34"/>
              <w:rPr>
                <w:sz w:val="18"/>
              </w:rPr>
            </w:pPr>
          </w:p>
          <w:p w:rsidR="00383888" w:rsidRDefault="00383888" w:rsidP="00B47699">
            <w:pPr>
              <w:rPr>
                <w:sz w:val="18"/>
              </w:rPr>
            </w:pPr>
            <w:r w:rsidRPr="000615AB">
              <w:rPr>
                <w:sz w:val="18"/>
              </w:rPr>
              <w:t>Se aplica otro ajuste a la baja del 1% para tener en cuenta los contrato</w:t>
            </w:r>
            <w:r>
              <w:rPr>
                <w:sz w:val="18"/>
              </w:rPr>
              <w:t>s de trabajo a tiempo parcial.</w:t>
            </w:r>
          </w:p>
          <w:p w:rsidR="00383888" w:rsidRDefault="00383888" w:rsidP="00B47699">
            <w:pPr>
              <w:rPr>
                <w:sz w:val="18"/>
              </w:rPr>
            </w:pPr>
          </w:p>
          <w:p w:rsidR="00383888" w:rsidRPr="000615AB" w:rsidRDefault="00383888" w:rsidP="00B47699">
            <w:pPr>
              <w:rPr>
                <w:sz w:val="18"/>
              </w:rPr>
            </w:pPr>
          </w:p>
        </w:tc>
      </w:tr>
      <w:tr w:rsidR="00383888" w:rsidRPr="000615AB" w:rsidTr="00B47699">
        <w:tc>
          <w:tcPr>
            <w:tcW w:w="1242" w:type="dxa"/>
            <w:tcBorders>
              <w:top w:val="single" w:sz="6" w:space="0" w:color="auto"/>
              <w:left w:val="single" w:sz="6" w:space="0" w:color="auto"/>
              <w:bottom w:val="single" w:sz="6" w:space="0" w:color="auto"/>
              <w:right w:val="single" w:sz="6" w:space="0" w:color="auto"/>
            </w:tcBorders>
          </w:tcPr>
          <w:p w:rsidR="00383888" w:rsidRPr="000615AB" w:rsidRDefault="00383888" w:rsidP="00B47699">
            <w:pPr>
              <w:rPr>
                <w:b/>
                <w:sz w:val="18"/>
              </w:rPr>
            </w:pPr>
            <w:r w:rsidRPr="000615AB">
              <w:rPr>
                <w:b/>
                <w:sz w:val="18"/>
              </w:rPr>
              <w:lastRenderedPageBreak/>
              <w:t>Provisión relativa a la separación del servicio y costos conexos</w:t>
            </w:r>
          </w:p>
        </w:tc>
        <w:tc>
          <w:tcPr>
            <w:tcW w:w="4146" w:type="dxa"/>
            <w:tcBorders>
              <w:top w:val="single" w:sz="6" w:space="0" w:color="auto"/>
              <w:left w:val="single" w:sz="6" w:space="0" w:color="auto"/>
              <w:bottom w:val="single" w:sz="6" w:space="0" w:color="auto"/>
              <w:right w:val="single" w:sz="6" w:space="0" w:color="auto"/>
            </w:tcBorders>
          </w:tcPr>
          <w:p w:rsidR="00383888" w:rsidRPr="000615AB" w:rsidRDefault="00383888" w:rsidP="00B47699">
            <w:pPr>
              <w:rPr>
                <w:sz w:val="18"/>
              </w:rPr>
            </w:pPr>
            <w:r w:rsidRPr="000615AB">
              <w:rPr>
                <w:sz w:val="18"/>
              </w:rPr>
              <w:t>Se aplica una provisión del 6% respecto del costo medio para sufragar los gastos relativos a la separación del servicio y para prestaciones pagaderas a los empleados después del servicio.</w:t>
            </w:r>
          </w:p>
        </w:tc>
        <w:tc>
          <w:tcPr>
            <w:tcW w:w="3850" w:type="dxa"/>
            <w:tcBorders>
              <w:top w:val="single" w:sz="6" w:space="0" w:color="auto"/>
              <w:left w:val="single" w:sz="6" w:space="0" w:color="auto"/>
              <w:bottom w:val="single" w:sz="6" w:space="0" w:color="auto"/>
              <w:right w:val="single" w:sz="6" w:space="0" w:color="auto"/>
            </w:tcBorders>
          </w:tcPr>
          <w:p w:rsidR="00383888" w:rsidRPr="000615AB" w:rsidRDefault="00383888" w:rsidP="00B47699">
            <w:pPr>
              <w:rPr>
                <w:sz w:val="18"/>
              </w:rPr>
            </w:pPr>
            <w:r w:rsidRPr="000615AB">
              <w:rPr>
                <w:sz w:val="18"/>
              </w:rPr>
              <w:t>Se aplica una provisión del 6% respecto del costo medio para sufragar los gastos relativos a la separación del servicio y para prestaciones pagaderas a los empleados después del servicio.</w:t>
            </w:r>
          </w:p>
        </w:tc>
      </w:tr>
    </w:tbl>
    <w:p w:rsidR="00383888" w:rsidRPr="000615AB" w:rsidRDefault="00383888" w:rsidP="00383888">
      <w:pPr>
        <w:ind w:right="-285"/>
      </w:pPr>
    </w:p>
    <w:p w:rsidR="00383888" w:rsidRPr="000615AB" w:rsidRDefault="00383888" w:rsidP="00383888">
      <w:pPr>
        <w:tabs>
          <w:tab w:val="left" w:pos="567"/>
        </w:tabs>
        <w:ind w:right="91"/>
        <w:rPr>
          <w:sz w:val="20"/>
          <w:highlight w:val="yellow"/>
        </w:rPr>
      </w:pPr>
    </w:p>
    <w:p w:rsidR="00383888" w:rsidRPr="000615AB" w:rsidRDefault="00383888" w:rsidP="00383888">
      <w:pPr>
        <w:jc w:val="both"/>
        <w:rPr>
          <w:sz w:val="20"/>
          <w:highlight w:val="yellow"/>
        </w:rPr>
      </w:pPr>
    </w:p>
    <w:p w:rsidR="00383888" w:rsidRPr="00AE2EB2" w:rsidRDefault="00383888" w:rsidP="00383888">
      <w:pPr>
        <w:pStyle w:val="NormalArial"/>
        <w:rPr>
          <w:lang w:val="es-ES"/>
        </w:rPr>
      </w:pPr>
    </w:p>
    <w:p w:rsidR="00383888" w:rsidRPr="000615AB" w:rsidRDefault="00383888" w:rsidP="00383888">
      <w:pPr>
        <w:tabs>
          <w:tab w:val="left" w:pos="567"/>
        </w:tabs>
        <w:ind w:right="91"/>
        <w:rPr>
          <w:sz w:val="20"/>
        </w:rPr>
      </w:pPr>
    </w:p>
    <w:p w:rsidR="00383888" w:rsidRPr="000615AB" w:rsidRDefault="00383888" w:rsidP="00383888">
      <w:pPr>
        <w:tabs>
          <w:tab w:val="left" w:pos="567"/>
        </w:tabs>
        <w:ind w:right="91"/>
        <w:rPr>
          <w:sz w:val="20"/>
        </w:rPr>
      </w:pPr>
    </w:p>
    <w:p w:rsidR="00383888" w:rsidRPr="000615AB" w:rsidRDefault="00383888" w:rsidP="00383888">
      <w:pPr>
        <w:rPr>
          <w:sz w:val="20"/>
        </w:rPr>
        <w:sectPr w:rsidR="00383888" w:rsidRPr="000615AB" w:rsidSect="00B47699">
          <w:pgSz w:w="11907" w:h="16840" w:code="9"/>
          <w:pgMar w:top="567" w:right="1418" w:bottom="1418" w:left="1418" w:header="510" w:footer="851" w:gutter="0"/>
          <w:cols w:space="720"/>
        </w:sectPr>
      </w:pPr>
    </w:p>
    <w:p w:rsidR="00383888" w:rsidRPr="00C3705E" w:rsidRDefault="00383888" w:rsidP="00383888">
      <w:pPr>
        <w:pStyle w:val="Heading2"/>
        <w:tabs>
          <w:tab w:val="left" w:pos="-2268"/>
        </w:tabs>
        <w:rPr>
          <w:b/>
          <w:szCs w:val="24"/>
        </w:rPr>
      </w:pPr>
      <w:bookmarkStart w:id="129" w:name="_Toc293334853"/>
      <w:bookmarkStart w:id="130" w:name="_Toc298920435"/>
      <w:bookmarkStart w:id="131" w:name="_Toc310950816"/>
      <w:bookmarkStart w:id="132" w:name="_Toc356567802"/>
      <w:bookmarkStart w:id="133" w:name="_Toc366078771"/>
      <w:r w:rsidRPr="00C3705E">
        <w:rPr>
          <w:b/>
          <w:szCs w:val="24"/>
        </w:rPr>
        <w:lastRenderedPageBreak/>
        <w:t>APÉNDICE D</w:t>
      </w:r>
      <w:r w:rsidRPr="00C3705E">
        <w:rPr>
          <w:b/>
          <w:szCs w:val="24"/>
        </w:rPr>
        <w:br/>
      </w:r>
      <w:bookmarkEnd w:id="129"/>
      <w:bookmarkEnd w:id="130"/>
      <w:bookmarkEnd w:id="131"/>
      <w:bookmarkEnd w:id="132"/>
      <w:r w:rsidRPr="00C3705E">
        <w:rPr>
          <w:b/>
          <w:szCs w:val="24"/>
        </w:rPr>
        <w:t>FÓRMULAS DE FLEXIBILIDAD</w:t>
      </w:r>
      <w:bookmarkEnd w:id="133"/>
    </w:p>
    <w:p w:rsidR="00383888" w:rsidRPr="000615AB" w:rsidRDefault="00383888" w:rsidP="00383888">
      <w:pPr>
        <w:rPr>
          <w:sz w:val="20"/>
        </w:rPr>
      </w:pPr>
    </w:p>
    <w:p w:rsidR="00383888" w:rsidRPr="006A15F5" w:rsidRDefault="00383888" w:rsidP="006A15F5">
      <w:pPr>
        <w:rPr>
          <w:sz w:val="20"/>
        </w:rPr>
      </w:pPr>
      <w:r w:rsidRPr="006A15F5">
        <w:rPr>
          <w:sz w:val="20"/>
        </w:rPr>
        <w:t>GENERALIDADES</w:t>
      </w:r>
    </w:p>
    <w:p w:rsidR="00383888" w:rsidRPr="000615AB" w:rsidRDefault="00383888" w:rsidP="00383888">
      <w:pPr>
        <w:jc w:val="both"/>
        <w:rPr>
          <w:sz w:val="20"/>
        </w:rPr>
      </w:pPr>
    </w:p>
    <w:p w:rsidR="00383888" w:rsidRPr="000615AB" w:rsidRDefault="00383888" w:rsidP="00383888">
      <w:pPr>
        <w:jc w:val="both"/>
        <w:rPr>
          <w:sz w:val="20"/>
        </w:rPr>
      </w:pPr>
      <w:r w:rsidRPr="000615AB">
        <w:rPr>
          <w:sz w:val="20"/>
        </w:rPr>
        <w:t>Las fórmulas de flexibilidad constituyen el mecanismo que permite introducir variaciones en los niveles de recursos financieros asignados a los sistemas de protección mundial (del PCT, de Madrid, de La Haya) para reflejar las variaciones en el volumen global de actividades de registro que no hayan sido previstas en el presupuesto.  Las fórmulas de flexibilidad correspondientes a los sistemas del PCT, de Madrid y de La Haya fueron revisadas y aprobadas por sus respectivas Asambleas, reunidas del 24 de septiembre al 3 de Octubre de 2007.</w:t>
      </w:r>
    </w:p>
    <w:p w:rsidR="00383888" w:rsidRPr="000615AB" w:rsidRDefault="00383888" w:rsidP="00383888">
      <w:pPr>
        <w:jc w:val="both"/>
        <w:rPr>
          <w:sz w:val="20"/>
        </w:rPr>
      </w:pPr>
    </w:p>
    <w:p w:rsidR="00383888" w:rsidRPr="000615AB" w:rsidRDefault="00383888" w:rsidP="00383888">
      <w:pPr>
        <w:jc w:val="both"/>
        <w:rPr>
          <w:sz w:val="20"/>
        </w:rPr>
      </w:pPr>
    </w:p>
    <w:p w:rsidR="00383888" w:rsidRPr="006A15F5" w:rsidRDefault="00383888" w:rsidP="006A15F5">
      <w:pPr>
        <w:rPr>
          <w:sz w:val="20"/>
        </w:rPr>
      </w:pPr>
      <w:r w:rsidRPr="006A15F5">
        <w:rPr>
          <w:sz w:val="20"/>
        </w:rPr>
        <w:t>SISTEMA DEL PCT</w:t>
      </w:r>
    </w:p>
    <w:p w:rsidR="00383888" w:rsidRPr="000615AB" w:rsidRDefault="00383888" w:rsidP="00383888">
      <w:pPr>
        <w:jc w:val="both"/>
        <w:rPr>
          <w:sz w:val="20"/>
        </w:rPr>
      </w:pPr>
    </w:p>
    <w:p w:rsidR="00383888" w:rsidRPr="00D22B96" w:rsidRDefault="00383888" w:rsidP="00383888">
      <w:pPr>
        <w:jc w:val="both"/>
        <w:rPr>
          <w:sz w:val="20"/>
        </w:rPr>
      </w:pPr>
      <w:r w:rsidRPr="000615AB">
        <w:rPr>
          <w:sz w:val="20"/>
        </w:rPr>
        <w:t>Para el sistema del PCT, la fórmula de flexibilidad revisada se describe en el documento PCT/A/36/5 y fue aprobada por la Asamblea del PCT, como se indica en el documento PCT/A/36/13.  Tal como consta en estos documentos, la fórmula de flexibilidad para el PCT fue revisada para reflejar una variación presupuestaria de 341.870 francos suizos por cada 1.000 solicitudes internacionales del PCT no previstas en el presupuesto.  En la fórmula revisada, las variaciones en el número de solicitudes ya no están vinculadas a las variaciones en el número de puestos de plantilla, como era el caso anteriormente.  En cambio, con arreglo a esta fórmula, la propuesta es modificar los recursos globales asignados a los programas en cuestión para utilizar tanto recursos de personal (puestos de plantilla, empleados temporeros, empleados con contratos derivados de acuerdos de servicios especiales, etc.) como recursos no relativos al personal (por ejemplo, contratos de subcontratación externa).  Los ajustes se asignan a la administración del sistema del PCT y a los servicios de apoyo en una proporción del 87,5% y del 12,5%, respectivamente</w:t>
      </w:r>
      <w:r w:rsidRPr="00D22B96">
        <w:rPr>
          <w:sz w:val="20"/>
        </w:rPr>
        <w:t>.</w:t>
      </w:r>
    </w:p>
    <w:p w:rsidR="00383888" w:rsidRPr="000615AB" w:rsidRDefault="00383888" w:rsidP="00383888">
      <w:pPr>
        <w:jc w:val="both"/>
        <w:rPr>
          <w:sz w:val="20"/>
        </w:rPr>
      </w:pPr>
    </w:p>
    <w:p w:rsidR="00383888" w:rsidRPr="000615AB" w:rsidRDefault="00383888" w:rsidP="00383888">
      <w:pPr>
        <w:jc w:val="both"/>
        <w:rPr>
          <w:sz w:val="20"/>
        </w:rPr>
      </w:pPr>
    </w:p>
    <w:p w:rsidR="00383888" w:rsidRPr="006A15F5" w:rsidRDefault="00383888" w:rsidP="006A15F5">
      <w:pPr>
        <w:rPr>
          <w:sz w:val="20"/>
        </w:rPr>
      </w:pPr>
      <w:r w:rsidRPr="006A15F5">
        <w:rPr>
          <w:sz w:val="20"/>
        </w:rPr>
        <w:t>SISTEMA DE MADRID</w:t>
      </w:r>
    </w:p>
    <w:p w:rsidR="00383888" w:rsidRPr="000615AB" w:rsidRDefault="00383888" w:rsidP="00383888">
      <w:pPr>
        <w:jc w:val="both"/>
        <w:rPr>
          <w:sz w:val="20"/>
        </w:rPr>
      </w:pPr>
    </w:p>
    <w:p w:rsidR="00383888" w:rsidRPr="000615AB" w:rsidRDefault="00383888" w:rsidP="00383888">
      <w:pPr>
        <w:jc w:val="both"/>
        <w:rPr>
          <w:sz w:val="20"/>
        </w:rPr>
      </w:pPr>
      <w:r w:rsidRPr="000615AB">
        <w:rPr>
          <w:sz w:val="20"/>
        </w:rPr>
        <w:t>Para el sistema de Madrid, la fórmula de flexibilidad revisada se describe en el documento MM/A/38/5 y fue aprobada por la Asamblea de Madrid, como se indica en el documento MM/A/38/6.  La nueva fórmula permite efectuar ajustes en el presupuesto de la Unión de Madrid correspondientes a 197.060 francos suizos por cada variación de 500 registros o renovaciones inscritos, en comparación con las estimaciones iniciales aprobadas.  Con arreglo a esta fórmula, los ajustes ya no se relacionan únicamente con los puestos de plantilla;  en cambio, se realizan ajustes en la totalidad de los recursos financieros asignados a los programas directamente relacionados con la ejecución del volumen de trabajo resultante.  Estos pueden ser recursos de personal (puestos de plantilla, empleados temporeros, etc.) y recursos no relativos al personal (por ejemplo, contratos de subcontratación externa).  Los ajustes se asignan a la administración del Registro Internacional de Marcas y a los servicios de apoyo en una proporción del 87,5% y del 12,5%, respectivamente.</w:t>
      </w:r>
    </w:p>
    <w:p w:rsidR="00383888" w:rsidRPr="000615AB" w:rsidRDefault="00383888" w:rsidP="00383888">
      <w:pPr>
        <w:jc w:val="both"/>
        <w:rPr>
          <w:sz w:val="20"/>
        </w:rPr>
      </w:pPr>
    </w:p>
    <w:p w:rsidR="00383888" w:rsidRPr="000615AB" w:rsidRDefault="00383888" w:rsidP="00383888">
      <w:pPr>
        <w:jc w:val="both"/>
        <w:rPr>
          <w:sz w:val="20"/>
        </w:rPr>
      </w:pPr>
    </w:p>
    <w:p w:rsidR="00383888" w:rsidRPr="006A15F5" w:rsidRDefault="00383888" w:rsidP="006A15F5">
      <w:pPr>
        <w:rPr>
          <w:sz w:val="20"/>
        </w:rPr>
      </w:pPr>
      <w:r w:rsidRPr="006A15F5">
        <w:rPr>
          <w:sz w:val="20"/>
        </w:rPr>
        <w:t>SISTEMA DE LA HAYA</w:t>
      </w:r>
    </w:p>
    <w:p w:rsidR="00383888" w:rsidRPr="000615AB" w:rsidRDefault="00383888" w:rsidP="00383888">
      <w:pPr>
        <w:jc w:val="both"/>
        <w:rPr>
          <w:sz w:val="20"/>
        </w:rPr>
      </w:pPr>
    </w:p>
    <w:p w:rsidR="00383888" w:rsidRPr="00AE2EB2" w:rsidRDefault="00383888" w:rsidP="00383888">
      <w:pPr>
        <w:pStyle w:val="BodyText2"/>
        <w:keepNext w:val="0"/>
        <w:rPr>
          <w:rFonts w:cs="Arial"/>
          <w:lang w:val="es-ES"/>
        </w:rPr>
      </w:pPr>
      <w:r w:rsidRPr="00AE2EB2">
        <w:rPr>
          <w:rFonts w:cs="Arial"/>
          <w:lang w:val="es-ES"/>
        </w:rPr>
        <w:t>Para el sistema de la Haya, la fórmula de flexibilidad revisada se describe en el documento H/A/24/3 y fue aprobada por la Asamblea de la Haya, tal como consta en el documento H/A/24/4.  La nueva fórmula prevé efectuar ajustes en el presupuesto de la Unión de la Haya por un importe de 99.024 francos suizos por cada variación de 300 registros o renovaciones inscritos en el Registro de la Unión de la Haya, en comparación con las estimaciones iniciales aprobadas.  Los recursos pueden ser de personal o no relativos al personal y estos se asignan a la administración del Registro de la Unión de la Haya y a los servicios de apoyo en una proporción del 87,5% y del 12,5%, respectivamente.</w:t>
      </w:r>
    </w:p>
    <w:p w:rsidR="00383888" w:rsidRPr="000615AB" w:rsidRDefault="00383888" w:rsidP="00383888">
      <w:pPr>
        <w:jc w:val="both"/>
        <w:rPr>
          <w:sz w:val="20"/>
        </w:rPr>
      </w:pPr>
    </w:p>
    <w:p w:rsidR="00383888" w:rsidRPr="000615AB" w:rsidRDefault="00383888" w:rsidP="00383888">
      <w:pPr>
        <w:jc w:val="both"/>
        <w:rPr>
          <w:sz w:val="20"/>
        </w:rPr>
      </w:pPr>
    </w:p>
    <w:p w:rsidR="00383888" w:rsidRPr="000615AB" w:rsidRDefault="00383888" w:rsidP="00383888">
      <w:pPr>
        <w:jc w:val="right"/>
        <w:rPr>
          <w:sz w:val="20"/>
        </w:rPr>
      </w:pPr>
    </w:p>
    <w:p w:rsidR="00383888" w:rsidRPr="00C3705E" w:rsidRDefault="00383888" w:rsidP="00383888">
      <w:pPr>
        <w:pStyle w:val="Heading2"/>
        <w:tabs>
          <w:tab w:val="left" w:pos="-2268"/>
        </w:tabs>
        <w:rPr>
          <w:b/>
          <w:szCs w:val="24"/>
        </w:rPr>
      </w:pPr>
      <w:r w:rsidRPr="000615AB">
        <w:br w:type="page"/>
      </w:r>
      <w:bookmarkStart w:id="134" w:name="_Toc293334854"/>
      <w:bookmarkStart w:id="135" w:name="_Toc298920436"/>
      <w:bookmarkStart w:id="136" w:name="_Toc310950817"/>
      <w:bookmarkStart w:id="137" w:name="_Toc356567803"/>
      <w:bookmarkStart w:id="138" w:name="_Toc366078772"/>
      <w:r w:rsidRPr="00C3705E">
        <w:rPr>
          <w:b/>
          <w:szCs w:val="24"/>
        </w:rPr>
        <w:lastRenderedPageBreak/>
        <w:t>APÉNDICE E</w:t>
      </w:r>
      <w:r w:rsidRPr="00C3705E">
        <w:rPr>
          <w:b/>
          <w:szCs w:val="24"/>
        </w:rPr>
        <w:br/>
      </w:r>
      <w:bookmarkEnd w:id="134"/>
      <w:bookmarkEnd w:id="135"/>
      <w:bookmarkEnd w:id="136"/>
      <w:bookmarkEnd w:id="137"/>
      <w:r w:rsidRPr="00C3705E">
        <w:rPr>
          <w:b/>
          <w:szCs w:val="24"/>
        </w:rPr>
        <w:t>SIGLAS Y ABREVIATURAS EMPLEADAS EN EL DOCUMENTO</w:t>
      </w:r>
      <w:bookmarkEnd w:id="138"/>
      <w:r w:rsidRPr="00C3705E">
        <w:rPr>
          <w:b/>
          <w:szCs w:val="24"/>
        </w:rPr>
        <w:t xml:space="preserve"> </w:t>
      </w:r>
    </w:p>
    <w:p w:rsidR="00383888" w:rsidRPr="000615AB" w:rsidRDefault="00383888" w:rsidP="00383888">
      <w:pPr>
        <w:tabs>
          <w:tab w:val="left" w:pos="1980"/>
          <w:tab w:val="left" w:pos="3261"/>
        </w:tabs>
        <w:spacing w:line="280" w:lineRule="exact"/>
        <w:ind w:left="2268" w:hanging="2268"/>
        <w:jc w:val="both"/>
        <w:rPr>
          <w:sz w:val="20"/>
        </w:rPr>
      </w:pPr>
    </w:p>
    <w:p w:rsidR="00383888" w:rsidRPr="000615AB" w:rsidRDefault="00383888" w:rsidP="00383888">
      <w:pPr>
        <w:tabs>
          <w:tab w:val="left" w:pos="1980"/>
          <w:tab w:val="left" w:pos="3261"/>
        </w:tabs>
        <w:spacing w:line="280" w:lineRule="exact"/>
        <w:ind w:left="2268" w:hanging="2268"/>
        <w:jc w:val="both"/>
        <w:rPr>
          <w:b/>
          <w:sz w:val="20"/>
        </w:rPr>
      </w:pPr>
    </w:p>
    <w:tbl>
      <w:tblPr>
        <w:tblW w:w="0" w:type="auto"/>
        <w:tblInd w:w="108" w:type="dxa"/>
        <w:tblLook w:val="04A0" w:firstRow="1" w:lastRow="0" w:firstColumn="1" w:lastColumn="0" w:noHBand="0" w:noVBand="1"/>
      </w:tblPr>
      <w:tblGrid>
        <w:gridCol w:w="1985"/>
        <w:gridCol w:w="7194"/>
      </w:tblGrid>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b/>
                <w:bCs/>
                <w:sz w:val="20"/>
              </w:rPr>
              <w:t>A</w:t>
            </w:r>
            <w:r w:rsidRPr="0016374A">
              <w:rPr>
                <w:bCs/>
                <w:sz w:val="20"/>
              </w:rPr>
              <w:t>.</w:t>
            </w:r>
            <w:r>
              <w:rPr>
                <w:bCs/>
                <w:sz w:val="20"/>
              </w:rPr>
              <w:t>D.</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Agenda para el Desarrollo</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ACE</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Comité Asesor sobre Observancia</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 xml:space="preserve">AGICOA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Asociación para la Gestión Internacional y Colectiva de Obras Audiovisuales</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proofErr w:type="spellStart"/>
            <w:r w:rsidRPr="000615AB">
              <w:rPr>
                <w:sz w:val="20"/>
              </w:rPr>
              <w:t>aRDi</w:t>
            </w:r>
            <w:proofErr w:type="spellEnd"/>
            <w:r w:rsidRPr="000615AB">
              <w:rPr>
                <w:sz w:val="20"/>
              </w:rPr>
              <w:t xml:space="preserve">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Acceso a la Investigación para el Desarrollo y la Innovación</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 xml:space="preserve">ASE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Acuerdos de Servicios Especiales</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ASEAN</w:t>
            </w:r>
            <w:r w:rsidRPr="000615AB">
              <w:rPr>
                <w:bCs/>
                <w:sz w:val="20"/>
              </w:rPr>
              <w:t xml:space="preserve">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Asociación de Naciones del Asia Sudoriental</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 xml:space="preserve">ASPI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Acceso a la Información Especializada sobre Patentes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b/>
                <w:sz w:val="20"/>
              </w:rPr>
              <w:t>C</w:t>
            </w:r>
            <w:r w:rsidRPr="000615AB">
              <w:rPr>
                <w:sz w:val="20"/>
              </w:rPr>
              <w:t xml:space="preserve">API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Comisión de Administración Pública Internacional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CASE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Acceso Centralizado a la Búsqueda y el Examen</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CATI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Centros de apoyo a la tecnología y la innovación</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CC.TT.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Conocimientos tradicionales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CCIS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Comisión Consultiva Independiente de Supervisión</w:t>
            </w:r>
          </w:p>
        </w:tc>
      </w:tr>
      <w:tr w:rsidR="00383888" w:rsidRPr="000615AB" w:rsidTr="00B47699">
        <w:tc>
          <w:tcPr>
            <w:tcW w:w="1985" w:type="dxa"/>
            <w:shd w:val="clear" w:color="auto" w:fill="auto"/>
          </w:tcPr>
          <w:p w:rsidR="00383888" w:rsidRPr="000615AB" w:rsidRDefault="00383888" w:rsidP="008921D7">
            <w:pPr>
              <w:widowControl w:val="0"/>
              <w:tabs>
                <w:tab w:val="left" w:pos="2127"/>
              </w:tabs>
              <w:spacing w:after="40"/>
              <w:rPr>
                <w:sz w:val="20"/>
              </w:rPr>
            </w:pPr>
            <w:proofErr w:type="spellStart"/>
            <w:r w:rsidRPr="000615AB">
              <w:rPr>
                <w:sz w:val="20"/>
              </w:rPr>
              <w:t>ccTLD</w:t>
            </w:r>
            <w:proofErr w:type="spellEnd"/>
            <w:r w:rsidRPr="000615AB">
              <w:rPr>
                <w:sz w:val="20"/>
              </w:rPr>
              <w:t xml:space="preserve"> </w:t>
            </w:r>
          </w:p>
        </w:tc>
        <w:tc>
          <w:tcPr>
            <w:tcW w:w="7194" w:type="dxa"/>
            <w:shd w:val="clear" w:color="auto" w:fill="auto"/>
          </w:tcPr>
          <w:p w:rsidR="00383888" w:rsidRPr="000615AB" w:rsidRDefault="00383888" w:rsidP="008921D7">
            <w:pPr>
              <w:widowControl w:val="0"/>
              <w:tabs>
                <w:tab w:val="left" w:pos="2127"/>
              </w:tabs>
              <w:spacing w:after="40"/>
              <w:rPr>
                <w:sz w:val="20"/>
              </w:rPr>
            </w:pPr>
            <w:r w:rsidRPr="000615AB">
              <w:rPr>
                <w:sz w:val="20"/>
              </w:rPr>
              <w:t>Dominios de nivel superior correspondientes a códigos de países</w:t>
            </w:r>
          </w:p>
        </w:tc>
      </w:tr>
      <w:tr w:rsidR="00383888" w:rsidRPr="000615AB" w:rsidTr="00B47699">
        <w:tc>
          <w:tcPr>
            <w:tcW w:w="1985" w:type="dxa"/>
            <w:shd w:val="clear" w:color="auto" w:fill="auto"/>
          </w:tcPr>
          <w:p w:rsidR="00383888" w:rsidRPr="000615AB" w:rsidRDefault="00383888" w:rsidP="00B47699">
            <w:pPr>
              <w:pStyle w:val="BlockText"/>
              <w:widowControl w:val="0"/>
              <w:ind w:left="0" w:right="0" w:firstLine="0"/>
              <w:rPr>
                <w:rFonts w:ascii="Arial" w:hAnsi="Arial" w:cs="Arial"/>
                <w:sz w:val="20"/>
              </w:rPr>
            </w:pPr>
            <w:r w:rsidRPr="000615AB">
              <w:rPr>
                <w:rFonts w:ascii="Arial" w:hAnsi="Arial" w:cs="Arial"/>
                <w:sz w:val="20"/>
              </w:rPr>
              <w:t xml:space="preserve">CDIP </w:t>
            </w:r>
          </w:p>
        </w:tc>
        <w:tc>
          <w:tcPr>
            <w:tcW w:w="7194" w:type="dxa"/>
            <w:shd w:val="clear" w:color="auto" w:fill="auto"/>
          </w:tcPr>
          <w:p w:rsidR="00383888" w:rsidRPr="00AE2EB2" w:rsidRDefault="00383888" w:rsidP="00B47699">
            <w:pPr>
              <w:pStyle w:val="BlockText"/>
              <w:widowControl w:val="0"/>
              <w:ind w:left="0" w:right="0" w:firstLine="0"/>
              <w:rPr>
                <w:rFonts w:ascii="Arial" w:hAnsi="Arial" w:cs="Arial"/>
                <w:sz w:val="20"/>
                <w:lang w:val="es-ES"/>
              </w:rPr>
            </w:pPr>
            <w:r w:rsidRPr="00AE2EB2">
              <w:rPr>
                <w:rFonts w:ascii="Arial" w:hAnsi="Arial" w:cs="Arial"/>
                <w:sz w:val="20"/>
                <w:lang w:val="es-ES"/>
              </w:rPr>
              <w:t>Comité de Desarrollo y Propiedad Intelectual</w:t>
            </w:r>
          </w:p>
        </w:tc>
      </w:tr>
      <w:tr w:rsidR="00383888" w:rsidRPr="000615AB" w:rsidTr="00B47699">
        <w:tc>
          <w:tcPr>
            <w:tcW w:w="1985" w:type="dxa"/>
            <w:shd w:val="clear" w:color="auto" w:fill="auto"/>
          </w:tcPr>
          <w:p w:rsidR="00383888" w:rsidRPr="000615AB" w:rsidRDefault="00383888" w:rsidP="00B47699">
            <w:pPr>
              <w:pStyle w:val="BlockText"/>
              <w:widowControl w:val="0"/>
              <w:ind w:left="0" w:right="0" w:firstLine="0"/>
              <w:rPr>
                <w:rFonts w:ascii="Arial" w:hAnsi="Arial" w:cs="Arial"/>
                <w:sz w:val="20"/>
              </w:rPr>
            </w:pPr>
            <w:r w:rsidRPr="000615AB">
              <w:rPr>
                <w:rFonts w:ascii="Arial" w:hAnsi="Arial" w:cs="Arial"/>
                <w:sz w:val="20"/>
              </w:rPr>
              <w:t xml:space="preserve">CEI </w:t>
            </w:r>
          </w:p>
        </w:tc>
        <w:tc>
          <w:tcPr>
            <w:tcW w:w="7194" w:type="dxa"/>
            <w:shd w:val="clear" w:color="auto" w:fill="auto"/>
          </w:tcPr>
          <w:p w:rsidR="00383888" w:rsidRPr="000615AB" w:rsidRDefault="00383888" w:rsidP="00B47699">
            <w:pPr>
              <w:pStyle w:val="BlockText"/>
              <w:widowControl w:val="0"/>
              <w:ind w:left="0" w:right="0" w:firstLine="0"/>
              <w:rPr>
                <w:rFonts w:ascii="Arial" w:hAnsi="Arial" w:cs="Arial"/>
                <w:sz w:val="20"/>
              </w:rPr>
            </w:pPr>
            <w:proofErr w:type="spellStart"/>
            <w:r w:rsidRPr="000615AB">
              <w:rPr>
                <w:rFonts w:ascii="Arial" w:hAnsi="Arial" w:cs="Arial"/>
                <w:sz w:val="20"/>
              </w:rPr>
              <w:t>Comunidad</w:t>
            </w:r>
            <w:proofErr w:type="spellEnd"/>
            <w:r w:rsidRPr="000615AB">
              <w:rPr>
                <w:rFonts w:ascii="Arial" w:hAnsi="Arial" w:cs="Arial"/>
                <w:sz w:val="20"/>
              </w:rPr>
              <w:t xml:space="preserve"> de </w:t>
            </w:r>
            <w:proofErr w:type="spellStart"/>
            <w:r w:rsidRPr="000615AB">
              <w:rPr>
                <w:rFonts w:ascii="Arial" w:hAnsi="Arial" w:cs="Arial"/>
                <w:sz w:val="20"/>
              </w:rPr>
              <w:t>Estados</w:t>
            </w:r>
            <w:proofErr w:type="spellEnd"/>
            <w:r w:rsidRPr="000615AB">
              <w:rPr>
                <w:rFonts w:ascii="Arial" w:hAnsi="Arial" w:cs="Arial"/>
                <w:sz w:val="20"/>
              </w:rPr>
              <w:t xml:space="preserve"> </w:t>
            </w:r>
            <w:proofErr w:type="spellStart"/>
            <w:r w:rsidRPr="000615AB">
              <w:rPr>
                <w:rFonts w:ascii="Arial" w:hAnsi="Arial" w:cs="Arial"/>
                <w:sz w:val="20"/>
              </w:rPr>
              <w:t>Independientes</w:t>
            </w:r>
            <w:proofErr w:type="spellEnd"/>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CICE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Centro Internacional de Cálculo Electrónico</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CIG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Comité Intergubernamental sobre Propiedad Intelectual y Recursos Genéticos, Conocimientos Tradicionales y Folclore</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CIP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Clasificación Internacional de Patentes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CLIR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i/>
                <w:sz w:val="20"/>
              </w:rPr>
              <w:t xml:space="preserve">Cross Lingual </w:t>
            </w:r>
            <w:proofErr w:type="spellStart"/>
            <w:r w:rsidRPr="000615AB">
              <w:rPr>
                <w:bCs/>
                <w:i/>
                <w:sz w:val="20"/>
              </w:rPr>
              <w:t>Information</w:t>
            </w:r>
            <w:proofErr w:type="spellEnd"/>
            <w:r w:rsidRPr="000615AB">
              <w:rPr>
                <w:bCs/>
                <w:i/>
                <w:sz w:val="20"/>
              </w:rPr>
              <w:t xml:space="preserve"> </w:t>
            </w:r>
            <w:proofErr w:type="spellStart"/>
            <w:r w:rsidRPr="000615AB">
              <w:rPr>
                <w:bCs/>
                <w:i/>
                <w:sz w:val="20"/>
              </w:rPr>
              <w:t>Retrieval</w:t>
            </w:r>
            <w:proofErr w:type="spellEnd"/>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CMNUCC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Convención Marco de las Naciones Unidas sobre el Cambio Climático</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CMSI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Cumbre Mundial sobre la Sociedad de la Información</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D</w:t>
            </w:r>
            <w:r w:rsidRPr="000615AB">
              <w:rPr>
                <w:sz w:val="20"/>
              </w:rPr>
              <w:t xml:space="preserve">AES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Departamento de Asuntos Económicos y Sociales de las Naciones Unidas</w:t>
            </w:r>
          </w:p>
        </w:tc>
      </w:tr>
      <w:tr w:rsidR="00383888" w:rsidRPr="000615AB" w:rsidTr="00B47699">
        <w:tc>
          <w:tcPr>
            <w:tcW w:w="1985" w:type="dxa"/>
            <w:shd w:val="clear" w:color="auto" w:fill="auto"/>
          </w:tcPr>
          <w:p w:rsidR="00383888" w:rsidRPr="000615AB" w:rsidRDefault="00383888" w:rsidP="00B47699">
            <w:pPr>
              <w:widowControl w:val="0"/>
              <w:tabs>
                <w:tab w:val="left" w:pos="2127"/>
                <w:tab w:val="left" w:pos="2268"/>
              </w:tabs>
              <w:spacing w:after="40"/>
              <w:rPr>
                <w:sz w:val="20"/>
              </w:rPr>
            </w:pPr>
            <w:r w:rsidRPr="000615AB">
              <w:rPr>
                <w:sz w:val="20"/>
              </w:rPr>
              <w:t xml:space="preserve">DAS </w:t>
            </w:r>
          </w:p>
        </w:tc>
        <w:tc>
          <w:tcPr>
            <w:tcW w:w="7194" w:type="dxa"/>
            <w:shd w:val="clear" w:color="auto" w:fill="auto"/>
          </w:tcPr>
          <w:p w:rsidR="00383888" w:rsidRPr="000615AB" w:rsidRDefault="00383888" w:rsidP="00B47699">
            <w:pPr>
              <w:widowControl w:val="0"/>
              <w:tabs>
                <w:tab w:val="left" w:pos="2127"/>
                <w:tab w:val="left" w:pos="2268"/>
              </w:tabs>
              <w:spacing w:after="40"/>
              <w:rPr>
                <w:sz w:val="20"/>
              </w:rPr>
            </w:pPr>
            <w:r w:rsidRPr="000615AB">
              <w:rPr>
                <w:sz w:val="20"/>
              </w:rPr>
              <w:t>Servicios de Acceso Digital a los Documentos de Prioridad</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 xml:space="preserve">DASI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División de Auditoría y Supervisión Internas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DGRRHH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Departamento de Gestión de los Recursos Humanos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DNS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Sistema de Nombres de Dominio de Internet</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DPI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derechos de propiedad intelectual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E</w:t>
            </w:r>
            <w:r w:rsidRPr="000615AB">
              <w:rPr>
                <w:sz w:val="20"/>
              </w:rPr>
              <w:t xml:space="preserve">CT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Expresiones culturales tradicionales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EGEDA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Entidad de Gestión de Derechos de los Productores Audiovisuales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bCs/>
                <w:color w:val="000000"/>
                <w:sz w:val="20"/>
              </w:rPr>
              <w:t>F</w:t>
            </w:r>
            <w:r w:rsidRPr="000615AB">
              <w:rPr>
                <w:bCs/>
                <w:sz w:val="20"/>
              </w:rPr>
              <w:t xml:space="preserve">AO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Organización de las Naciones Unidas para la Alimentación y la Agricultura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FIT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fondos fiduciarios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G</w:t>
            </w:r>
            <w:r w:rsidRPr="000615AB">
              <w:rPr>
                <w:sz w:val="20"/>
              </w:rPr>
              <w:t xml:space="preserve">GC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Grupo de Gestión de Crisis</w:t>
            </w:r>
          </w:p>
        </w:tc>
      </w:tr>
      <w:tr w:rsidR="00383888" w:rsidRPr="001F1886" w:rsidTr="00B47699">
        <w:tc>
          <w:tcPr>
            <w:tcW w:w="1985" w:type="dxa"/>
            <w:shd w:val="clear" w:color="auto" w:fill="auto"/>
          </w:tcPr>
          <w:p w:rsidR="00383888" w:rsidRPr="000615AB" w:rsidRDefault="00383888" w:rsidP="00B47699">
            <w:pPr>
              <w:widowControl w:val="0"/>
              <w:tabs>
                <w:tab w:val="left" w:pos="2127"/>
              </w:tabs>
              <w:spacing w:after="40"/>
              <w:rPr>
                <w:b/>
                <w:bCs/>
                <w:sz w:val="20"/>
              </w:rPr>
            </w:pPr>
            <w:r w:rsidRPr="000615AB">
              <w:rPr>
                <w:bCs/>
                <w:sz w:val="20"/>
              </w:rPr>
              <w:t xml:space="preserve">GNIPA </w:t>
            </w:r>
          </w:p>
        </w:tc>
        <w:tc>
          <w:tcPr>
            <w:tcW w:w="7194" w:type="dxa"/>
            <w:shd w:val="clear" w:color="auto" w:fill="auto"/>
          </w:tcPr>
          <w:p w:rsidR="00383888" w:rsidRPr="00D821D3" w:rsidRDefault="00383888" w:rsidP="00B47699">
            <w:pPr>
              <w:widowControl w:val="0"/>
              <w:tabs>
                <w:tab w:val="left" w:pos="2127"/>
              </w:tabs>
              <w:spacing w:after="40"/>
              <w:rPr>
                <w:b/>
                <w:bCs/>
                <w:sz w:val="20"/>
                <w:lang w:val="en-US"/>
              </w:rPr>
            </w:pPr>
            <w:r w:rsidRPr="00D821D3">
              <w:rPr>
                <w:bCs/>
                <w:sz w:val="20"/>
                <w:lang w:val="en-US"/>
              </w:rPr>
              <w:t>Global Network of IP Academies</w:t>
            </w:r>
          </w:p>
        </w:tc>
      </w:tr>
      <w:tr w:rsidR="00383888" w:rsidRPr="000615AB" w:rsidTr="00B47699">
        <w:tc>
          <w:tcPr>
            <w:tcW w:w="1985" w:type="dxa"/>
            <w:shd w:val="clear" w:color="auto" w:fill="auto"/>
          </w:tcPr>
          <w:p w:rsidR="00383888" w:rsidRPr="000615AB" w:rsidRDefault="00383888" w:rsidP="008921D7">
            <w:pPr>
              <w:widowControl w:val="0"/>
              <w:tabs>
                <w:tab w:val="left" w:pos="2127"/>
              </w:tabs>
              <w:spacing w:after="40"/>
              <w:rPr>
                <w:sz w:val="20"/>
              </w:rPr>
            </w:pPr>
            <w:proofErr w:type="spellStart"/>
            <w:r w:rsidRPr="000615AB">
              <w:rPr>
                <w:sz w:val="20"/>
              </w:rPr>
              <w:t>gTLD</w:t>
            </w:r>
            <w:proofErr w:type="spellEnd"/>
            <w:r w:rsidRPr="000615AB">
              <w:rPr>
                <w:sz w:val="20"/>
              </w:rPr>
              <w:t xml:space="preserve"> </w:t>
            </w:r>
          </w:p>
        </w:tc>
        <w:tc>
          <w:tcPr>
            <w:tcW w:w="7194" w:type="dxa"/>
            <w:shd w:val="clear" w:color="auto" w:fill="auto"/>
          </w:tcPr>
          <w:p w:rsidR="00383888" w:rsidRPr="000615AB" w:rsidRDefault="00383888" w:rsidP="008921D7">
            <w:pPr>
              <w:widowControl w:val="0"/>
              <w:tabs>
                <w:tab w:val="left" w:pos="2127"/>
              </w:tabs>
              <w:spacing w:after="40"/>
              <w:rPr>
                <w:sz w:val="20"/>
              </w:rPr>
            </w:pPr>
            <w:r w:rsidRPr="000615AB">
              <w:rPr>
                <w:sz w:val="20"/>
              </w:rPr>
              <w:t>Dominios genéricos de nivel superior</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I</w:t>
            </w:r>
            <w:r w:rsidRPr="000615AB">
              <w:rPr>
                <w:sz w:val="20"/>
              </w:rPr>
              <w:t xml:space="preserve">+D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Investigación y Desarrollo</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 xml:space="preserve">ICANN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 xml:space="preserve">Corporación </w:t>
            </w:r>
            <w:r>
              <w:rPr>
                <w:sz w:val="20"/>
              </w:rPr>
              <w:t>para la</w:t>
            </w:r>
            <w:r w:rsidRPr="000615AB">
              <w:rPr>
                <w:sz w:val="20"/>
              </w:rPr>
              <w:t xml:space="preserve"> Asignación de Nombres y Números </w:t>
            </w:r>
            <w:r>
              <w:rPr>
                <w:sz w:val="20"/>
              </w:rPr>
              <w:t xml:space="preserve">en </w:t>
            </w:r>
            <w:r w:rsidRPr="000615AB">
              <w:rPr>
                <w:sz w:val="20"/>
              </w:rPr>
              <w:t>Internet</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ICP</w:t>
            </w:r>
            <w:r w:rsidR="008A3ABA">
              <w:rPr>
                <w:sz w:val="20"/>
              </w:rPr>
              <w:t>E</w:t>
            </w:r>
            <w:r w:rsidRPr="000615AB">
              <w:rPr>
                <w:sz w:val="20"/>
              </w:rPr>
              <w:t xml:space="preserve">IP </w:t>
            </w:r>
          </w:p>
        </w:tc>
        <w:tc>
          <w:tcPr>
            <w:tcW w:w="7194" w:type="dxa"/>
            <w:shd w:val="clear" w:color="auto" w:fill="auto"/>
          </w:tcPr>
          <w:p w:rsidR="00383888" w:rsidRPr="000615AB" w:rsidRDefault="00383888" w:rsidP="008A3ABA">
            <w:pPr>
              <w:widowControl w:val="0"/>
              <w:tabs>
                <w:tab w:val="left" w:pos="2127"/>
              </w:tabs>
              <w:rPr>
                <w:sz w:val="20"/>
              </w:rPr>
            </w:pPr>
            <w:r w:rsidRPr="000615AB">
              <w:rPr>
                <w:sz w:val="20"/>
              </w:rPr>
              <w:t xml:space="preserve">Consejo Interestatal </w:t>
            </w:r>
            <w:r w:rsidR="008A3ABA">
              <w:rPr>
                <w:sz w:val="20"/>
              </w:rPr>
              <w:t>para la</w:t>
            </w:r>
            <w:r w:rsidRPr="000615AB">
              <w:rPr>
                <w:sz w:val="20"/>
              </w:rPr>
              <w:t xml:space="preserve"> Protección</w:t>
            </w:r>
            <w:r w:rsidR="008A3ABA">
              <w:rPr>
                <w:sz w:val="20"/>
              </w:rPr>
              <w:t xml:space="preserve"> Jurídica y la Observancia de la Propiedad Intelectual</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 xml:space="preserve">ICSEI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Cooperación Internacional para la Búsqueda y el Examen de Invenciones (programa)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IIA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Instituto de Auditores Internos</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 xml:space="preserve">IPACIS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Asamblea de los Estados miembros de la CEI</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IPAS</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Sistema de Automatización de la Propiedad Industrial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lastRenderedPageBreak/>
              <w:t xml:space="preserve">IPSAS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Normas Internacionales de Contabilidad del Sector Público</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ITIL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Biblioteca de Infraestructura de T.I.</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M</w:t>
            </w:r>
            <w:r w:rsidRPr="000615AB">
              <w:rPr>
                <w:sz w:val="20"/>
              </w:rPr>
              <w:t xml:space="preserve">GS </w:t>
            </w:r>
          </w:p>
        </w:tc>
        <w:tc>
          <w:tcPr>
            <w:tcW w:w="7194" w:type="dxa"/>
            <w:shd w:val="clear" w:color="auto" w:fill="auto"/>
          </w:tcPr>
          <w:p w:rsidR="00383888" w:rsidRPr="000615AB" w:rsidRDefault="00383888" w:rsidP="00391FE9">
            <w:pPr>
              <w:widowControl w:val="0"/>
              <w:tabs>
                <w:tab w:val="left" w:pos="2127"/>
              </w:tabs>
              <w:spacing w:after="40"/>
              <w:rPr>
                <w:sz w:val="20"/>
              </w:rPr>
            </w:pPr>
            <w:r w:rsidRPr="000615AB">
              <w:rPr>
                <w:sz w:val="20"/>
              </w:rPr>
              <w:t>Gestor de Productos y Servicios de Madrid</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MR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Marco de resultados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bCs/>
                <w:sz w:val="20"/>
              </w:rPr>
            </w:pPr>
          </w:p>
        </w:tc>
        <w:tc>
          <w:tcPr>
            <w:tcW w:w="7194" w:type="dxa"/>
            <w:shd w:val="clear" w:color="auto" w:fill="auto"/>
          </w:tcPr>
          <w:p w:rsidR="00383888" w:rsidRPr="000615AB" w:rsidRDefault="00383888" w:rsidP="00B47699">
            <w:pPr>
              <w:widowControl w:val="0"/>
              <w:tabs>
                <w:tab w:val="left" w:pos="2127"/>
              </w:tabs>
              <w:spacing w:after="40"/>
              <w:rPr>
                <w:bCs/>
                <w:sz w:val="20"/>
              </w:rPr>
            </w:pPr>
          </w:p>
        </w:tc>
      </w:tr>
      <w:tr w:rsidR="00383888" w:rsidRPr="000615AB" w:rsidTr="00B47699">
        <w:tc>
          <w:tcPr>
            <w:tcW w:w="1985" w:type="dxa"/>
            <w:shd w:val="clear" w:color="auto" w:fill="auto"/>
          </w:tcPr>
          <w:p w:rsidR="00383888" w:rsidRPr="000615AB" w:rsidRDefault="00383888" w:rsidP="008921D7">
            <w:pPr>
              <w:widowControl w:val="0"/>
              <w:tabs>
                <w:tab w:val="left" w:pos="2127"/>
              </w:tabs>
              <w:spacing w:after="40"/>
              <w:rPr>
                <w:b/>
                <w:sz w:val="20"/>
              </w:rPr>
            </w:pPr>
            <w:proofErr w:type="spellStart"/>
            <w:r>
              <w:rPr>
                <w:b/>
                <w:sz w:val="20"/>
              </w:rPr>
              <w:t>N</w:t>
            </w:r>
            <w:r w:rsidRPr="00B71354">
              <w:rPr>
                <w:sz w:val="20"/>
              </w:rPr>
              <w:t>.</w:t>
            </w:r>
            <w:r w:rsidR="008921D7">
              <w:rPr>
                <w:sz w:val="20"/>
              </w:rPr>
              <w:t>d</w:t>
            </w:r>
            <w:proofErr w:type="spellEnd"/>
            <w:r>
              <w:rPr>
                <w:sz w:val="20"/>
              </w:rPr>
              <w:t>.</w:t>
            </w:r>
          </w:p>
        </w:tc>
        <w:tc>
          <w:tcPr>
            <w:tcW w:w="7194" w:type="dxa"/>
            <w:shd w:val="clear" w:color="auto" w:fill="auto"/>
          </w:tcPr>
          <w:p w:rsidR="00383888" w:rsidRPr="000615AB" w:rsidRDefault="00383888" w:rsidP="00B47699">
            <w:pPr>
              <w:widowControl w:val="0"/>
              <w:tabs>
                <w:tab w:val="left" w:pos="2127"/>
              </w:tabs>
              <w:spacing w:after="40"/>
              <w:rPr>
                <w:sz w:val="20"/>
              </w:rPr>
            </w:pPr>
            <w:r>
              <w:rPr>
                <w:sz w:val="20"/>
              </w:rPr>
              <w:t>No disponible</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B71354">
              <w:rPr>
                <w:sz w:val="20"/>
              </w:rPr>
              <w:t>N</w:t>
            </w:r>
            <w:r w:rsidRPr="000615AB">
              <w:rPr>
                <w:sz w:val="20"/>
              </w:rPr>
              <w:t xml:space="preserve">N.UU.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Naciones Unidas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bCs/>
                <w:sz w:val="20"/>
              </w:rPr>
              <w:t>O</w:t>
            </w:r>
            <w:r w:rsidRPr="000615AB">
              <w:rPr>
                <w:bCs/>
                <w:sz w:val="20"/>
              </w:rPr>
              <w:t>AMI</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Oficina de Armonización del Mercado Interior</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OAPI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Organización Africana de la Propiedad Intelectual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 xml:space="preserve">ODM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Objetivos de Desarrollo del Milenio</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OEP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Oficina Europea de Patentes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OGC </w:t>
            </w:r>
          </w:p>
        </w:tc>
        <w:tc>
          <w:tcPr>
            <w:tcW w:w="7194" w:type="dxa"/>
            <w:shd w:val="clear" w:color="auto" w:fill="auto"/>
          </w:tcPr>
          <w:p w:rsidR="00383888" w:rsidRPr="000615AB" w:rsidRDefault="00383888" w:rsidP="00B47699">
            <w:pPr>
              <w:widowControl w:val="0"/>
              <w:tabs>
                <w:tab w:val="left" w:pos="2127"/>
              </w:tabs>
              <w:spacing w:after="40"/>
              <w:rPr>
                <w:sz w:val="20"/>
              </w:rPr>
            </w:pPr>
            <w:r>
              <w:rPr>
                <w:sz w:val="20"/>
              </w:rPr>
              <w:t>O</w:t>
            </w:r>
            <w:r w:rsidRPr="000615AB">
              <w:rPr>
                <w:sz w:val="20"/>
              </w:rPr>
              <w:t>rganismos de gestión colectiva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OIG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Organizaciones intergubernamentales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OMA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Organización Mundial de Aduanas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OMC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Organización Mundial del Comercio</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OMS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Organización Mundial de la Salud</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ONG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Organización no gubernamental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ONUDI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Organización de las Naciones Unidas para el Desarrollo Industrial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OOB</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Oficina de la OMPI en el Brasil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OOJ</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Oficina de la OMPI en el Japón</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OOS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Oficina de la OMPI en Singapur</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OPD</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Sistema OPD (</w:t>
            </w:r>
            <w:proofErr w:type="spellStart"/>
            <w:r w:rsidRPr="00D023AB">
              <w:rPr>
                <w:bCs/>
                <w:i/>
                <w:sz w:val="20"/>
              </w:rPr>
              <w:t>One</w:t>
            </w:r>
            <w:proofErr w:type="spellEnd"/>
            <w:r w:rsidRPr="00D023AB">
              <w:rPr>
                <w:bCs/>
                <w:i/>
                <w:sz w:val="20"/>
              </w:rPr>
              <w:t xml:space="preserve"> Portal Dossier</w:t>
            </w:r>
            <w:r w:rsidRPr="000615AB">
              <w:rPr>
                <w:bCs/>
                <w:sz w:val="20"/>
              </w:rPr>
              <w:t>)</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OPI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Oficina de Propiedad Intelectual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OTT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Oficina de Transferencia de Tecnología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P</w:t>
            </w:r>
            <w:r w:rsidRPr="000615AB">
              <w:rPr>
                <w:sz w:val="20"/>
              </w:rPr>
              <w:t xml:space="preserve">.I.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Propiedad intelectual</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PAE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Programa de Alineación Estratégica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PCT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Tratado de Cooperación en materia de Patentes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PEMP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Plan Estratégico a Mediano Plazo</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PLT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Tratado sobre el Derecho de Patentes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Cs/>
                <w:sz w:val="20"/>
              </w:rPr>
              <w:t xml:space="preserve">PMA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Países menos adelantados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PMSDS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Sistema de Gestión del Desempeño y el Perfeccionamiento del Personal</w:t>
            </w:r>
          </w:p>
        </w:tc>
      </w:tr>
      <w:tr w:rsidR="00383888" w:rsidRPr="000615AB" w:rsidTr="00B47699">
        <w:tc>
          <w:tcPr>
            <w:tcW w:w="1985" w:type="dxa"/>
            <w:shd w:val="clear" w:color="auto" w:fill="auto"/>
          </w:tcPr>
          <w:p w:rsidR="00383888" w:rsidRPr="000615AB" w:rsidRDefault="00C40A11" w:rsidP="00B47699">
            <w:pPr>
              <w:widowControl w:val="0"/>
              <w:tabs>
                <w:tab w:val="left" w:pos="2127"/>
              </w:tabs>
              <w:spacing w:after="40"/>
              <w:rPr>
                <w:sz w:val="20"/>
              </w:rPr>
            </w:pPr>
            <w:r>
              <w:rPr>
                <w:noProof/>
                <w:sz w:val="20"/>
                <w:lang w:val="en-US" w:eastAsia="en-US"/>
              </w:rPr>
              <mc:AlternateContent>
                <mc:Choice Requires="wps">
                  <w:drawing>
                    <wp:anchor distT="0" distB="0" distL="114300" distR="114300" simplePos="0" relativeHeight="251658752" behindDoc="0" locked="0" layoutInCell="0" allowOverlap="1" wp14:anchorId="1FAD4AB5" wp14:editId="5617BB5F">
                      <wp:simplePos x="0" y="0"/>
                      <wp:positionH relativeFrom="column">
                        <wp:posOffset>-2118995</wp:posOffset>
                      </wp:positionH>
                      <wp:positionV relativeFrom="paragraph">
                        <wp:posOffset>83185</wp:posOffset>
                      </wp:positionV>
                      <wp:extent cx="731520" cy="1097280"/>
                      <wp:effectExtent l="5080" t="6985" r="6350" b="1016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1097280"/>
                              </a:xfrm>
                              <a:prstGeom prst="rect">
                                <a:avLst/>
                              </a:prstGeom>
                              <a:solidFill>
                                <a:srgbClr val="FFFFFF"/>
                              </a:solidFill>
                              <a:ln w="9525">
                                <a:solidFill>
                                  <a:srgbClr val="000000"/>
                                </a:solidFill>
                                <a:miter lim="800000"/>
                                <a:headEnd/>
                                <a:tailEnd/>
                              </a:ln>
                            </wps:spPr>
                            <wps:txbx>
                              <w:txbxContent>
                                <w:p w:rsidR="0051745D" w:rsidRDefault="0051745D" w:rsidP="00383888">
                                  <w:pPr>
                                    <w:pStyle w:val="BodyText2"/>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166.85pt;margin-top:6.55pt;width:57.6pt;height:86.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" o:allowincell="f">
                      <v:textbox>
                        <w:txbxContent>
                          <w:p w:rsidR="000E14E5" w:rsidRDefault="000E14E5" w:rsidP="00383888">
                            <w:pPr>
                              <w:pStyle w:val="BodyText2"/>
                            </w:pPr>
                          </w:p>
                        </w:txbxContent>
                      </v:textbox>
                    </v:shape>
                  </w:pict>
                </mc:Fallback>
              </mc:AlternateContent>
            </w:r>
            <w:r w:rsidR="00383888" w:rsidRPr="000615AB">
              <w:rPr>
                <w:sz w:val="20"/>
              </w:rPr>
              <w:t xml:space="preserve">PNUMA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Programa de las Naciones Unidas para el Medio Ambiente</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Política Uniforme</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Política Uniforme de Solución de Controversias en materia de Nombres de Dominio</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180"/>
              <w:rPr>
                <w:sz w:val="20"/>
              </w:rPr>
            </w:pPr>
            <w:r w:rsidRPr="000615AB">
              <w:rPr>
                <w:sz w:val="20"/>
              </w:rPr>
              <w:t xml:space="preserve">PPR </w:t>
            </w:r>
          </w:p>
        </w:tc>
        <w:tc>
          <w:tcPr>
            <w:tcW w:w="7194" w:type="dxa"/>
            <w:shd w:val="clear" w:color="auto" w:fill="auto"/>
          </w:tcPr>
          <w:p w:rsidR="00383888" w:rsidRPr="000615AB" w:rsidRDefault="00383888" w:rsidP="00B47699">
            <w:pPr>
              <w:widowControl w:val="0"/>
              <w:tabs>
                <w:tab w:val="left" w:pos="2127"/>
              </w:tabs>
              <w:spacing w:after="180"/>
              <w:rPr>
                <w:sz w:val="20"/>
              </w:rPr>
            </w:pPr>
            <w:r w:rsidRPr="000615AB">
              <w:rPr>
                <w:sz w:val="20"/>
              </w:rPr>
              <w:t>Informe sobre el rendimiento de los programas</w:t>
            </w:r>
          </w:p>
        </w:tc>
      </w:tr>
      <w:tr w:rsidR="00383888" w:rsidRPr="000615AB" w:rsidTr="00B47699">
        <w:tc>
          <w:tcPr>
            <w:tcW w:w="1985" w:type="dxa"/>
            <w:shd w:val="clear" w:color="auto" w:fill="auto"/>
          </w:tcPr>
          <w:p w:rsidR="00383888" w:rsidRPr="000615AB" w:rsidRDefault="00383888" w:rsidP="00B47699">
            <w:pPr>
              <w:widowControl w:val="0"/>
              <w:rPr>
                <w:sz w:val="20"/>
              </w:rPr>
            </w:pPr>
            <w:r w:rsidRPr="000615AB">
              <w:rPr>
                <w:sz w:val="20"/>
              </w:rPr>
              <w:t xml:space="preserve">PRI </w:t>
            </w:r>
          </w:p>
        </w:tc>
        <w:tc>
          <w:tcPr>
            <w:tcW w:w="7194" w:type="dxa"/>
            <w:shd w:val="clear" w:color="auto" w:fill="auto"/>
          </w:tcPr>
          <w:p w:rsidR="00383888" w:rsidRPr="000615AB" w:rsidRDefault="00383888" w:rsidP="00B47699">
            <w:pPr>
              <w:widowControl w:val="0"/>
              <w:rPr>
                <w:sz w:val="20"/>
              </w:rPr>
            </w:pPr>
            <w:r w:rsidRPr="000615AB">
              <w:rPr>
                <w:sz w:val="20"/>
              </w:rPr>
              <w:t xml:space="preserve">Planificación de los </w:t>
            </w:r>
            <w:r w:rsidR="00391FE9" w:rsidRPr="000615AB">
              <w:rPr>
                <w:sz w:val="20"/>
              </w:rPr>
              <w:t>recursos institucionales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Pymes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Pequeñas y medianas empresas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RFP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Solicitud de propuestas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RO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Oficina receptora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RR.GG.</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Recursos genéticos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RR.HH.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Recursos humanos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bCs/>
                <w:sz w:val="20"/>
              </w:rPr>
              <w:t>S</w:t>
            </w:r>
            <w:r w:rsidRPr="000615AB">
              <w:rPr>
                <w:bCs/>
                <w:sz w:val="20"/>
              </w:rPr>
              <w:t xml:space="preserve">CCR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Comité Permanente de Derecho de Autor y Derechos Conexos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SCP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Comité Permanente sobre el Derecho de Patentes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SCT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Comité Permanente sobre el Derecho de Marcas, Diseños Industriales e Indicaciones Geográficas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T</w:t>
            </w:r>
            <w:r w:rsidRPr="000615AB">
              <w:rPr>
                <w:sz w:val="20"/>
              </w:rPr>
              <w:t xml:space="preserve">.I.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Tecnologías de la Información</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b/>
                <w:bCs/>
                <w:sz w:val="20"/>
              </w:rPr>
            </w:pPr>
            <w:r w:rsidRPr="000615AB">
              <w:rPr>
                <w:bCs/>
                <w:sz w:val="20"/>
              </w:rPr>
              <w:lastRenderedPageBreak/>
              <w:t xml:space="preserve">TA </w:t>
            </w:r>
          </w:p>
        </w:tc>
        <w:tc>
          <w:tcPr>
            <w:tcW w:w="7194" w:type="dxa"/>
            <w:shd w:val="clear" w:color="auto" w:fill="auto"/>
          </w:tcPr>
          <w:p w:rsidR="00383888" w:rsidRPr="000615AB" w:rsidRDefault="00383888" w:rsidP="00B47699">
            <w:pPr>
              <w:widowControl w:val="0"/>
              <w:tabs>
                <w:tab w:val="left" w:pos="2127"/>
              </w:tabs>
              <w:spacing w:after="40"/>
              <w:rPr>
                <w:bCs/>
                <w:sz w:val="20"/>
              </w:rPr>
            </w:pPr>
            <w:r w:rsidRPr="000615AB">
              <w:rPr>
                <w:bCs/>
                <w:sz w:val="20"/>
              </w:rPr>
              <w:t>Autorización de viaje (formulario)</w:t>
            </w:r>
          </w:p>
        </w:tc>
      </w:tr>
      <w:tr w:rsidR="00383888" w:rsidRPr="000615AB" w:rsidTr="00B47699">
        <w:tc>
          <w:tcPr>
            <w:tcW w:w="1985" w:type="dxa"/>
            <w:shd w:val="clear" w:color="auto" w:fill="auto"/>
          </w:tcPr>
          <w:p w:rsidR="00383888" w:rsidRPr="000615AB" w:rsidRDefault="00383888" w:rsidP="00B47699">
            <w:pPr>
              <w:widowControl w:val="0"/>
              <w:tabs>
                <w:tab w:val="left" w:pos="2127"/>
              </w:tabs>
              <w:rPr>
                <w:sz w:val="20"/>
              </w:rPr>
            </w:pPr>
            <w:r w:rsidRPr="000615AB">
              <w:rPr>
                <w:sz w:val="20"/>
              </w:rPr>
              <w:t xml:space="preserve">TIC </w:t>
            </w:r>
          </w:p>
        </w:tc>
        <w:tc>
          <w:tcPr>
            <w:tcW w:w="7194" w:type="dxa"/>
            <w:shd w:val="clear" w:color="auto" w:fill="auto"/>
          </w:tcPr>
          <w:p w:rsidR="00383888" w:rsidRPr="000615AB" w:rsidRDefault="00383888" w:rsidP="00B47699">
            <w:pPr>
              <w:widowControl w:val="0"/>
              <w:tabs>
                <w:tab w:val="left" w:pos="2127"/>
              </w:tabs>
              <w:rPr>
                <w:sz w:val="20"/>
              </w:rPr>
            </w:pPr>
            <w:r w:rsidRPr="000615AB">
              <w:rPr>
                <w:sz w:val="20"/>
              </w:rPr>
              <w:t xml:space="preserve">Tecnologías de la </w:t>
            </w:r>
            <w:r w:rsidR="00391FE9" w:rsidRPr="000615AB">
              <w:rPr>
                <w:sz w:val="20"/>
              </w:rPr>
              <w:t xml:space="preserve">información </w:t>
            </w:r>
            <w:r w:rsidRPr="000615AB">
              <w:rPr>
                <w:sz w:val="20"/>
              </w:rPr>
              <w:t xml:space="preserve">y las </w:t>
            </w:r>
            <w:r w:rsidR="00391FE9" w:rsidRPr="000615AB">
              <w:rPr>
                <w:sz w:val="20"/>
              </w:rPr>
              <w:t>comunicaciones</w:t>
            </w:r>
          </w:p>
        </w:tc>
      </w:tr>
      <w:tr w:rsidR="00383888" w:rsidRPr="001F1886"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TIGAR </w:t>
            </w:r>
          </w:p>
        </w:tc>
        <w:tc>
          <w:tcPr>
            <w:tcW w:w="7194" w:type="dxa"/>
            <w:shd w:val="clear" w:color="auto" w:fill="auto"/>
          </w:tcPr>
          <w:p w:rsidR="00383888" w:rsidRPr="00D821D3" w:rsidRDefault="00383888" w:rsidP="00B47699">
            <w:pPr>
              <w:widowControl w:val="0"/>
              <w:tabs>
                <w:tab w:val="left" w:pos="2127"/>
              </w:tabs>
              <w:spacing w:after="40"/>
              <w:rPr>
                <w:sz w:val="20"/>
                <w:lang w:val="en-US"/>
              </w:rPr>
            </w:pPr>
            <w:r w:rsidRPr="00D821D3">
              <w:rPr>
                <w:i/>
                <w:sz w:val="20"/>
                <w:lang w:val="en-US"/>
              </w:rPr>
              <w:t>Trusted Intermediary Global Accessible Resources</w:t>
            </w:r>
          </w:p>
        </w:tc>
      </w:tr>
      <w:tr w:rsidR="00383888" w:rsidRPr="001F1886" w:rsidTr="00B47699">
        <w:tc>
          <w:tcPr>
            <w:tcW w:w="1985" w:type="dxa"/>
            <w:shd w:val="clear" w:color="auto" w:fill="auto"/>
          </w:tcPr>
          <w:p w:rsidR="00383888" w:rsidRPr="00D821D3" w:rsidRDefault="00383888" w:rsidP="00B47699">
            <w:pPr>
              <w:widowControl w:val="0"/>
              <w:tabs>
                <w:tab w:val="left" w:pos="2127"/>
              </w:tabs>
              <w:spacing w:after="40"/>
              <w:rPr>
                <w:sz w:val="20"/>
                <w:lang w:val="en-US"/>
              </w:rPr>
            </w:pPr>
          </w:p>
        </w:tc>
        <w:tc>
          <w:tcPr>
            <w:tcW w:w="7194" w:type="dxa"/>
            <w:shd w:val="clear" w:color="auto" w:fill="auto"/>
          </w:tcPr>
          <w:p w:rsidR="00383888" w:rsidRPr="00D821D3" w:rsidRDefault="00383888" w:rsidP="00B47699">
            <w:pPr>
              <w:widowControl w:val="0"/>
              <w:tabs>
                <w:tab w:val="left" w:pos="2127"/>
              </w:tabs>
              <w:spacing w:after="40"/>
              <w:rPr>
                <w:i/>
                <w:sz w:val="20"/>
                <w:lang w:val="en-US"/>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U</w:t>
            </w:r>
            <w:r w:rsidRPr="000615AB">
              <w:rPr>
                <w:sz w:val="20"/>
              </w:rPr>
              <w:t xml:space="preserve">E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Unión Europea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UIT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Unión Internacional de Telecomunicaciones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UNCTAD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Conferencia de las Naciones Unidas sobre Comercio y Desarrollo</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UNESCO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Organización de las Naciones Unidas para la Educación, la Ciencia y la Cultura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UN-H-MOSS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Normas Mínimas de Seguridad Operacional de las Naciones Unidas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UNSAS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Normas de contabilidad del sistema de Naciones Unidas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UPOV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Unión Internacional para la Protección de las Obtenciones Vegetales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USPTO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Oficina de Patentes y Marcas de los Estados Unidos de América</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p>
        </w:tc>
        <w:tc>
          <w:tcPr>
            <w:tcW w:w="7194" w:type="dxa"/>
            <w:shd w:val="clear" w:color="auto" w:fill="auto"/>
          </w:tcPr>
          <w:p w:rsidR="00383888" w:rsidRPr="000615AB" w:rsidRDefault="00383888" w:rsidP="00B47699">
            <w:pPr>
              <w:widowControl w:val="0"/>
              <w:tabs>
                <w:tab w:val="left" w:pos="2127"/>
              </w:tabs>
              <w:spacing w:after="40"/>
              <w:rPr>
                <w:sz w:val="20"/>
              </w:rPr>
            </w:pP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b/>
                <w:sz w:val="20"/>
              </w:rPr>
              <w:t>W</w:t>
            </w:r>
            <w:r w:rsidRPr="000615AB">
              <w:rPr>
                <w:sz w:val="20"/>
              </w:rPr>
              <w:t xml:space="preserve">CT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Tratado de la OMPI sobre Derecho de Autor</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WIPOCOS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Programa informático de la OMPI para la gestión colectiva del derecho de autor y los derechos conexos</w:t>
            </w:r>
          </w:p>
        </w:tc>
      </w:tr>
      <w:tr w:rsidR="00383888" w:rsidRPr="000615AB" w:rsidTr="00B47699">
        <w:tc>
          <w:tcPr>
            <w:tcW w:w="1985" w:type="dxa"/>
            <w:shd w:val="clear" w:color="auto" w:fill="auto"/>
          </w:tcPr>
          <w:p w:rsidR="00383888" w:rsidRPr="000615AB" w:rsidRDefault="00383888" w:rsidP="00B47699">
            <w:pPr>
              <w:widowControl w:val="0"/>
              <w:tabs>
                <w:tab w:val="left" w:pos="2127"/>
              </w:tabs>
              <w:spacing w:after="40"/>
              <w:rPr>
                <w:sz w:val="20"/>
              </w:rPr>
            </w:pPr>
            <w:r w:rsidRPr="000615AB">
              <w:rPr>
                <w:sz w:val="20"/>
              </w:rPr>
              <w:t xml:space="preserve">WPPT </w:t>
            </w:r>
          </w:p>
        </w:tc>
        <w:tc>
          <w:tcPr>
            <w:tcW w:w="7194" w:type="dxa"/>
            <w:shd w:val="clear" w:color="auto" w:fill="auto"/>
          </w:tcPr>
          <w:p w:rsidR="00383888" w:rsidRPr="000615AB" w:rsidRDefault="00383888" w:rsidP="00B47699">
            <w:pPr>
              <w:widowControl w:val="0"/>
              <w:tabs>
                <w:tab w:val="left" w:pos="2127"/>
              </w:tabs>
              <w:spacing w:after="40"/>
              <w:rPr>
                <w:sz w:val="20"/>
              </w:rPr>
            </w:pPr>
            <w:r w:rsidRPr="000615AB">
              <w:rPr>
                <w:sz w:val="20"/>
              </w:rPr>
              <w:t>Tratado de la OMPI sobre Interpretación o Ejecución y Fonogramas</w:t>
            </w:r>
          </w:p>
        </w:tc>
      </w:tr>
    </w:tbl>
    <w:p w:rsidR="00383888" w:rsidRPr="000615AB" w:rsidRDefault="00383888" w:rsidP="00383888">
      <w:pPr>
        <w:pStyle w:val="BodyText"/>
        <w:widowControl w:val="0"/>
        <w:rPr>
          <w:sz w:val="20"/>
        </w:rPr>
      </w:pPr>
    </w:p>
    <w:p w:rsidR="00383888" w:rsidRPr="000615AB" w:rsidRDefault="00383888" w:rsidP="00383888">
      <w:pPr>
        <w:pStyle w:val="BodyText"/>
        <w:widowControl w:val="0"/>
        <w:rPr>
          <w:sz w:val="20"/>
        </w:rPr>
      </w:pPr>
    </w:p>
    <w:p w:rsidR="00383888" w:rsidRPr="000615AB" w:rsidRDefault="00383888" w:rsidP="00383888">
      <w:pPr>
        <w:pStyle w:val="Endofdocument"/>
        <w:widowControl w:val="0"/>
        <w:rPr>
          <w:rFonts w:ascii="Arial" w:hAnsi="Arial" w:cs="Arial"/>
          <w:sz w:val="20"/>
        </w:rPr>
      </w:pPr>
      <w:r w:rsidRPr="000615AB">
        <w:rPr>
          <w:rFonts w:ascii="Arial" w:hAnsi="Arial" w:cs="Arial"/>
          <w:sz w:val="20"/>
        </w:rPr>
        <w:t xml:space="preserve">[Fin </w:t>
      </w:r>
      <w:proofErr w:type="gramStart"/>
      <w:r w:rsidRPr="000615AB">
        <w:rPr>
          <w:rFonts w:ascii="Arial" w:hAnsi="Arial" w:cs="Arial"/>
          <w:sz w:val="20"/>
        </w:rPr>
        <w:t>del</w:t>
      </w:r>
      <w:proofErr w:type="gramEnd"/>
      <w:r w:rsidRPr="000615AB">
        <w:rPr>
          <w:rFonts w:ascii="Arial" w:hAnsi="Arial" w:cs="Arial"/>
          <w:sz w:val="20"/>
        </w:rPr>
        <w:t xml:space="preserve"> </w:t>
      </w:r>
      <w:proofErr w:type="spellStart"/>
      <w:r w:rsidRPr="000615AB">
        <w:rPr>
          <w:rFonts w:ascii="Arial" w:hAnsi="Arial" w:cs="Arial"/>
          <w:sz w:val="20"/>
        </w:rPr>
        <w:t>documento</w:t>
      </w:r>
      <w:proofErr w:type="spellEnd"/>
      <w:r w:rsidRPr="000615AB">
        <w:rPr>
          <w:rFonts w:ascii="Arial" w:hAnsi="Arial" w:cs="Arial"/>
          <w:sz w:val="20"/>
        </w:rPr>
        <w:t>]</w:t>
      </w:r>
    </w:p>
    <w:p w:rsidR="00383888" w:rsidRPr="000615AB" w:rsidRDefault="00383888" w:rsidP="00383888">
      <w:pPr>
        <w:pStyle w:val="Endofdocument"/>
        <w:widowControl w:val="0"/>
        <w:rPr>
          <w:rFonts w:ascii="Arial" w:hAnsi="Arial" w:cs="Arial"/>
          <w:sz w:val="20"/>
        </w:rPr>
      </w:pPr>
    </w:p>
    <w:p w:rsidR="00383888" w:rsidRPr="000615AB" w:rsidRDefault="00383888" w:rsidP="00383888">
      <w:pPr>
        <w:pStyle w:val="Endofdocument"/>
        <w:widowControl w:val="0"/>
        <w:rPr>
          <w:rFonts w:ascii="Arial" w:hAnsi="Arial" w:cs="Arial"/>
          <w:sz w:val="20"/>
        </w:rPr>
      </w:pPr>
    </w:p>
    <w:p w:rsidR="00383888" w:rsidRPr="000615AB" w:rsidRDefault="00383888" w:rsidP="00383888"/>
    <w:p w:rsidR="00D4275F" w:rsidRPr="009F58E5" w:rsidRDefault="00D4275F" w:rsidP="00383888">
      <w:pPr>
        <w:pStyle w:val="Heading1"/>
        <w:keepNext w:val="0"/>
        <w:rPr>
          <w:sz w:val="20"/>
          <w:lang w:val="es-ES_tradnl"/>
        </w:rPr>
      </w:pPr>
    </w:p>
    <w:sectPr w:rsidR="00D4275F" w:rsidRPr="009F58E5" w:rsidSect="00B47699">
      <w:pgSz w:w="11907" w:h="16840" w:code="9"/>
      <w:pgMar w:top="567" w:right="1418" w:bottom="1418" w:left="1418" w:header="510" w:footer="85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745D" w:rsidRDefault="0051745D">
      <w:r>
        <w:separator/>
      </w:r>
    </w:p>
  </w:endnote>
  <w:endnote w:type="continuationSeparator" w:id="0">
    <w:p w:rsidR="0051745D" w:rsidRPr="009D30E6" w:rsidRDefault="0051745D" w:rsidP="007E663E">
      <w:pPr>
        <w:rPr>
          <w:sz w:val="17"/>
          <w:szCs w:val="17"/>
        </w:rPr>
      </w:pPr>
      <w:r w:rsidRPr="009D30E6">
        <w:rPr>
          <w:sz w:val="17"/>
          <w:szCs w:val="17"/>
        </w:rPr>
        <w:separator/>
      </w:r>
    </w:p>
    <w:p w:rsidR="0051745D" w:rsidRPr="007E663E" w:rsidRDefault="0051745D" w:rsidP="007E663E">
      <w:pPr>
        <w:spacing w:after="60"/>
        <w:rPr>
          <w:sz w:val="17"/>
          <w:szCs w:val="17"/>
        </w:rPr>
      </w:pPr>
      <w:r>
        <w:rPr>
          <w:sz w:val="17"/>
        </w:rPr>
        <w:t>[Continuación de la nota de la página anterior]</w:t>
      </w:r>
    </w:p>
  </w:endnote>
  <w:endnote w:type="continuationNotice" w:id="1">
    <w:p w:rsidR="0051745D" w:rsidRPr="007E663E" w:rsidRDefault="0051745D" w:rsidP="007E663E">
      <w:pPr>
        <w:spacing w:before="60"/>
        <w:jc w:val="right"/>
        <w:rPr>
          <w:sz w:val="17"/>
          <w:szCs w:val="17"/>
        </w:rPr>
      </w:pPr>
      <w:r w:rsidRPr="0075377A">
        <w:rPr>
          <w:sz w:val="17"/>
          <w:szCs w:val="17"/>
        </w:rPr>
        <w:t>[Sigue la nota en la pá</w:t>
      </w:r>
      <w:r>
        <w:rPr>
          <w:sz w:val="17"/>
          <w:szCs w:val="17"/>
        </w:rPr>
        <w:t>gina siguiente]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default"/>
  </w:font>
  <w:font w:name="MS Mincho">
    <w:altName w:val="ＭＳ 明朝"/>
    <w:panose1 w:val="02020609040205080304"/>
    <w:charset w:val="80"/>
    <w:family w:val="modern"/>
    <w:pitch w:val="fixed"/>
    <w:sig w:usb0="E00002FF" w:usb1="6AC7FDFB" w:usb2="00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ヒラギノ角ゴ Pro W3">
    <w:altName w:val="MS Mincho"/>
    <w:charset w:val="80"/>
    <w:family w:val="auto"/>
    <w:pitch w:val="variable"/>
    <w:sig w:usb0="00000001" w:usb1="00000000" w:usb2="01000407" w:usb3="00000000" w:csb0="00020000" w:csb1="00000000"/>
  </w:font>
  <w:font w:name="Angsana New">
    <w:panose1 w:val="02020603050405020304"/>
    <w:charset w:val="00"/>
    <w:family w:val="roman"/>
    <w:pitch w:val="variable"/>
    <w:sig w:usb0="81000003" w:usb1="00000000" w:usb2="00000000" w:usb3="00000000" w:csb0="00010001" w:csb1="00000000"/>
  </w:font>
  <w:font w:name="Arial Black">
    <w:panose1 w:val="020B0A040201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E1000AEF" w:usb1="5000A1FF" w:usb2="00000000" w:usb3="00000000" w:csb0="000001BF" w:csb1="00000000"/>
  </w:font>
  <w:font w:name="Arial Unicode MS">
    <w:panose1 w:val="020B0604020202020204"/>
    <w:charset w:val="80"/>
    <w:family w:val="swiss"/>
    <w:pitch w:val="variable"/>
    <w:sig w:usb0="F7FFAFFF" w:usb1="E9DFFFFF" w:usb2="0000003F" w:usb3="00000000" w:csb0="003F01FF" w:csb1="00000000"/>
  </w:font>
  <w:font w:name="ArialMT">
    <w:altName w:val="Arial"/>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CA0EEB" w:rsidRDefault="0051745D" w:rsidP="007B2C29">
    <w:pPr>
      <w:pStyle w:val="Footer"/>
      <w:jc w:val="center"/>
      <w:rPr>
        <w:sz w:val="20"/>
      </w:rPr>
    </w:pPr>
    <w:r w:rsidRPr="00CA0EEB">
      <w:rPr>
        <w:rStyle w:val="PageNumber"/>
        <w:sz w:val="20"/>
      </w:rPr>
      <w:fldChar w:fldCharType="begin"/>
    </w:r>
    <w:r w:rsidRPr="00CA0EEB">
      <w:rPr>
        <w:rStyle w:val="PageNumber"/>
        <w:sz w:val="20"/>
      </w:rPr>
      <w:instrText xml:space="preserve"> PAGE </w:instrText>
    </w:r>
    <w:r w:rsidRPr="00CA0EEB">
      <w:rPr>
        <w:rStyle w:val="PageNumber"/>
        <w:sz w:val="20"/>
      </w:rPr>
      <w:fldChar w:fldCharType="separate"/>
    </w:r>
    <w:r>
      <w:rPr>
        <w:rStyle w:val="PageNumber"/>
        <w:noProof/>
        <w:sz w:val="20"/>
      </w:rPr>
      <w:t>15</w:t>
    </w:r>
    <w:r w:rsidRPr="00CA0EEB">
      <w:rPr>
        <w:rStyle w:val="PageNumber"/>
        <w:sz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505D9D" w:rsidRDefault="0051745D" w:rsidP="007B2C29">
    <w:pPr>
      <w:pStyle w:val="Footer"/>
      <w:jc w:val="center"/>
      <w:rPr>
        <w:sz w:val="20"/>
      </w:rPr>
    </w:pPr>
    <w:r w:rsidRPr="00505D9D">
      <w:rPr>
        <w:rStyle w:val="PageNumber"/>
        <w:sz w:val="20"/>
      </w:rPr>
      <w:fldChar w:fldCharType="begin"/>
    </w:r>
    <w:r w:rsidRPr="00505D9D">
      <w:rPr>
        <w:rStyle w:val="PageNumber"/>
        <w:sz w:val="20"/>
      </w:rPr>
      <w:instrText xml:space="preserve"> PAGE </w:instrText>
    </w:r>
    <w:r w:rsidRPr="00505D9D">
      <w:rPr>
        <w:rStyle w:val="PageNumber"/>
        <w:sz w:val="20"/>
      </w:rPr>
      <w:fldChar w:fldCharType="separate"/>
    </w:r>
    <w:r>
      <w:rPr>
        <w:rStyle w:val="PageNumber"/>
        <w:noProof/>
        <w:sz w:val="20"/>
      </w:rPr>
      <w:t>14</w:t>
    </w:r>
    <w:r w:rsidRPr="00505D9D">
      <w:rPr>
        <w:rStyle w:val="PageNumber"/>
        <w:sz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D04B27" w:rsidRDefault="0051745D" w:rsidP="007B2C29">
    <w:pPr>
      <w:pStyle w:val="Footer"/>
      <w:jc w:val="center"/>
      <w:rPr>
        <w:sz w:val="20"/>
      </w:rPr>
    </w:pPr>
    <w:r w:rsidRPr="00D04B27">
      <w:rPr>
        <w:rStyle w:val="PageNumber"/>
        <w:sz w:val="20"/>
      </w:rPr>
      <w:fldChar w:fldCharType="begin"/>
    </w:r>
    <w:r w:rsidRPr="00D04B27">
      <w:rPr>
        <w:rStyle w:val="PageNumber"/>
        <w:sz w:val="20"/>
      </w:rPr>
      <w:instrText xml:space="preserve"> PAGE </w:instrText>
    </w:r>
    <w:r w:rsidRPr="00D04B27">
      <w:rPr>
        <w:rStyle w:val="PageNumber"/>
        <w:sz w:val="20"/>
      </w:rPr>
      <w:fldChar w:fldCharType="separate"/>
    </w:r>
    <w:r>
      <w:rPr>
        <w:rStyle w:val="PageNumber"/>
        <w:noProof/>
        <w:sz w:val="20"/>
      </w:rPr>
      <w:t>ii</w:t>
    </w:r>
    <w:r w:rsidRPr="00D04B27">
      <w:rPr>
        <w:rStyle w:val="PageNumber"/>
        <w:sz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1A1419" w:rsidRDefault="0051745D">
    <w:pPr>
      <w:pStyle w:val="Footer"/>
      <w:jc w:val="center"/>
      <w:rPr>
        <w:sz w:val="20"/>
      </w:rPr>
    </w:pPr>
    <w:r w:rsidRPr="001A1419">
      <w:rPr>
        <w:sz w:val="20"/>
      </w:rPr>
      <w:fldChar w:fldCharType="begin"/>
    </w:r>
    <w:r w:rsidRPr="001A1419">
      <w:rPr>
        <w:sz w:val="20"/>
      </w:rPr>
      <w:instrText>PAGE   \* MERGEFORMAT</w:instrText>
    </w:r>
    <w:r w:rsidRPr="001A1419">
      <w:rPr>
        <w:sz w:val="20"/>
      </w:rPr>
      <w:fldChar w:fldCharType="separate"/>
    </w:r>
    <w:r>
      <w:rPr>
        <w:noProof/>
        <w:sz w:val="20"/>
      </w:rPr>
      <w:t>172</w:t>
    </w:r>
    <w:r w:rsidRPr="001A1419">
      <w:rPr>
        <w:sz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5C7451" w:rsidRDefault="0051745D">
    <w:pPr>
      <w:pStyle w:val="Footer"/>
      <w:jc w:val="center"/>
      <w:rPr>
        <w:sz w:val="20"/>
      </w:rPr>
    </w:pPr>
    <w:r w:rsidRPr="005C7451">
      <w:rPr>
        <w:sz w:val="20"/>
      </w:rPr>
      <w:fldChar w:fldCharType="begin"/>
    </w:r>
    <w:r w:rsidRPr="005C7451">
      <w:rPr>
        <w:sz w:val="20"/>
      </w:rPr>
      <w:instrText>PAGE   \* MERGEFORMAT</w:instrText>
    </w:r>
    <w:r w:rsidRPr="005C7451">
      <w:rPr>
        <w:sz w:val="20"/>
      </w:rPr>
      <w:fldChar w:fldCharType="separate"/>
    </w:r>
    <w:r>
      <w:rPr>
        <w:noProof/>
        <w:sz w:val="20"/>
      </w:rPr>
      <w:t>171</w:t>
    </w:r>
    <w:r w:rsidRPr="005C7451">
      <w:rPr>
        <w:sz w:val="20"/>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3E09D4" w:rsidRDefault="0051745D">
    <w:pPr>
      <w:pStyle w:val="Footer"/>
      <w:jc w:val="center"/>
      <w:rPr>
        <w:sz w:val="20"/>
      </w:rPr>
    </w:pPr>
    <w:r w:rsidRPr="003E09D4">
      <w:rPr>
        <w:sz w:val="20"/>
      </w:rPr>
      <w:fldChar w:fldCharType="begin"/>
    </w:r>
    <w:r w:rsidRPr="003E09D4">
      <w:rPr>
        <w:sz w:val="20"/>
      </w:rPr>
      <w:instrText>PAGE   \* MERGEFORMAT</w:instrText>
    </w:r>
    <w:r w:rsidRPr="003E09D4">
      <w:rPr>
        <w:sz w:val="20"/>
      </w:rPr>
      <w:fldChar w:fldCharType="separate"/>
    </w:r>
    <w:r>
      <w:rPr>
        <w:noProof/>
        <w:sz w:val="20"/>
      </w:rPr>
      <w:t>155</w:t>
    </w:r>
    <w:r w:rsidRPr="003E09D4">
      <w:rPr>
        <w:sz w:val="20"/>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EB1C82" w:rsidRDefault="0051745D" w:rsidP="00B47699">
    <w:pPr>
      <w:pStyle w:val="Footer"/>
      <w:jc w:val="center"/>
      <w:rPr>
        <w:sz w:val="20"/>
      </w:rPr>
    </w:pPr>
    <w:r w:rsidRPr="00EB1C82">
      <w:rPr>
        <w:rStyle w:val="PageNumber"/>
        <w:sz w:val="20"/>
      </w:rPr>
      <w:fldChar w:fldCharType="begin"/>
    </w:r>
    <w:r w:rsidRPr="00EB1C82">
      <w:rPr>
        <w:rStyle w:val="PageNumber"/>
        <w:sz w:val="20"/>
      </w:rPr>
      <w:instrText xml:space="preserve"> PAGE </w:instrText>
    </w:r>
    <w:r w:rsidRPr="00EB1C82">
      <w:rPr>
        <w:rStyle w:val="PageNumber"/>
        <w:sz w:val="20"/>
      </w:rPr>
      <w:fldChar w:fldCharType="separate"/>
    </w:r>
    <w:r>
      <w:rPr>
        <w:rStyle w:val="PageNumber"/>
        <w:noProof/>
        <w:sz w:val="20"/>
      </w:rPr>
      <w:t>218</w:t>
    </w:r>
    <w:r w:rsidRPr="00EB1C82">
      <w:rPr>
        <w:rStyle w:val="PageNumber"/>
        <w:sz w:val="20"/>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8E23EE" w:rsidRDefault="0051745D" w:rsidP="00B47699">
    <w:pPr>
      <w:pStyle w:val="Footer"/>
      <w:jc w:val="center"/>
      <w:rPr>
        <w:sz w:val="20"/>
      </w:rPr>
    </w:pPr>
    <w:r w:rsidRPr="008E23EE">
      <w:rPr>
        <w:rStyle w:val="PageNumber"/>
        <w:sz w:val="20"/>
      </w:rPr>
      <w:fldChar w:fldCharType="begin"/>
    </w:r>
    <w:r w:rsidRPr="008E23EE">
      <w:rPr>
        <w:rStyle w:val="PageNumber"/>
        <w:sz w:val="20"/>
      </w:rPr>
      <w:instrText xml:space="preserve"> PAGE </w:instrText>
    </w:r>
    <w:r w:rsidRPr="008E23EE">
      <w:rPr>
        <w:rStyle w:val="PageNumber"/>
        <w:sz w:val="20"/>
      </w:rPr>
      <w:fldChar w:fldCharType="separate"/>
    </w:r>
    <w:r>
      <w:rPr>
        <w:rStyle w:val="PageNumber"/>
        <w:noProof/>
        <w:sz w:val="20"/>
      </w:rPr>
      <w:t>219</w:t>
    </w:r>
    <w:r w:rsidRPr="008E23EE">
      <w:rPr>
        <w:rStyle w:val="PageNumber"/>
        <w:sz w:val="20"/>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09232D" w:rsidRDefault="0051745D" w:rsidP="00B47699">
    <w:pPr>
      <w:pStyle w:val="Footer"/>
      <w:jc w:val="center"/>
      <w:rPr>
        <w:sz w:val="20"/>
      </w:rPr>
    </w:pPr>
    <w:r w:rsidRPr="0009232D">
      <w:rPr>
        <w:rStyle w:val="PageNumber"/>
        <w:sz w:val="20"/>
      </w:rPr>
      <w:fldChar w:fldCharType="begin"/>
    </w:r>
    <w:r w:rsidRPr="0009232D">
      <w:rPr>
        <w:rStyle w:val="PageNumber"/>
        <w:sz w:val="20"/>
      </w:rPr>
      <w:instrText xml:space="preserve"> PAGE </w:instrText>
    </w:r>
    <w:r w:rsidRPr="0009232D">
      <w:rPr>
        <w:rStyle w:val="PageNumber"/>
        <w:sz w:val="20"/>
      </w:rPr>
      <w:fldChar w:fldCharType="separate"/>
    </w:r>
    <w:r>
      <w:rPr>
        <w:rStyle w:val="PageNumber"/>
        <w:noProof/>
        <w:sz w:val="20"/>
      </w:rPr>
      <w:t>293</w:t>
    </w:r>
    <w:r w:rsidRPr="0009232D">
      <w:rPr>
        <w:rStyle w:val="PageNumber"/>
        <w:sz w:val="20"/>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8E23EE" w:rsidRDefault="0051745D" w:rsidP="00B47699">
    <w:pPr>
      <w:pStyle w:val="Footer"/>
      <w:jc w:val="center"/>
      <w:rPr>
        <w:sz w:val="20"/>
      </w:rPr>
    </w:pPr>
    <w:r w:rsidRPr="008E23EE">
      <w:rPr>
        <w:rStyle w:val="PageNumber"/>
        <w:sz w:val="20"/>
      </w:rPr>
      <w:fldChar w:fldCharType="begin"/>
    </w:r>
    <w:r w:rsidRPr="008E23EE">
      <w:rPr>
        <w:rStyle w:val="PageNumber"/>
        <w:sz w:val="20"/>
      </w:rPr>
      <w:instrText xml:space="preserve"> PAGE </w:instrText>
    </w:r>
    <w:r w:rsidRPr="008E23EE">
      <w:rPr>
        <w:rStyle w:val="PageNumber"/>
        <w:sz w:val="20"/>
      </w:rPr>
      <w:fldChar w:fldCharType="separate"/>
    </w:r>
    <w:r>
      <w:rPr>
        <w:rStyle w:val="PageNumber"/>
        <w:noProof/>
        <w:sz w:val="20"/>
      </w:rPr>
      <w:t>220</w:t>
    </w:r>
    <w:r w:rsidRPr="008E23EE">
      <w:rPr>
        <w:rStyle w:val="PageNumber"/>
        <w:sz w:val="20"/>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4E0B80" w:rsidRDefault="0051745D" w:rsidP="00B47699">
    <w:pPr>
      <w:pStyle w:val="Footer"/>
      <w:jc w:val="center"/>
      <w:rPr>
        <w:sz w:val="20"/>
      </w:rPr>
    </w:pPr>
    <w:r w:rsidRPr="004E0B80">
      <w:rPr>
        <w:rStyle w:val="PageNumber"/>
        <w:sz w:val="20"/>
      </w:rPr>
      <w:fldChar w:fldCharType="begin"/>
    </w:r>
    <w:r w:rsidRPr="004E0B80">
      <w:rPr>
        <w:rStyle w:val="PageNumber"/>
        <w:sz w:val="20"/>
      </w:rPr>
      <w:instrText xml:space="preserve"> PAGE </w:instrText>
    </w:r>
    <w:r w:rsidRPr="004E0B80">
      <w:rPr>
        <w:rStyle w:val="PageNumber"/>
        <w:sz w:val="20"/>
      </w:rPr>
      <w:fldChar w:fldCharType="separate"/>
    </w:r>
    <w:r>
      <w:rPr>
        <w:rStyle w:val="PageNumber"/>
        <w:noProof/>
        <w:sz w:val="20"/>
      </w:rPr>
      <w:t>222</w:t>
    </w:r>
    <w:r w:rsidRPr="004E0B80">
      <w:rPr>
        <w:rStyle w:val="PageNumber"/>
        <w:sz w:val="20"/>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4E0B80" w:rsidRDefault="0051745D" w:rsidP="00B47699">
    <w:pPr>
      <w:pStyle w:val="Footer"/>
      <w:jc w:val="center"/>
      <w:rPr>
        <w:sz w:val="20"/>
      </w:rPr>
    </w:pPr>
    <w:r w:rsidRPr="004E0B80">
      <w:rPr>
        <w:rStyle w:val="PageNumber"/>
        <w:sz w:val="20"/>
      </w:rPr>
      <w:fldChar w:fldCharType="begin"/>
    </w:r>
    <w:r w:rsidRPr="004E0B80">
      <w:rPr>
        <w:rStyle w:val="PageNumber"/>
        <w:sz w:val="20"/>
      </w:rPr>
      <w:instrText xml:space="preserve"> PAGE </w:instrText>
    </w:r>
    <w:r w:rsidRPr="004E0B80">
      <w:rPr>
        <w:rStyle w:val="PageNumber"/>
        <w:sz w:val="20"/>
      </w:rPr>
      <w:fldChar w:fldCharType="separate"/>
    </w:r>
    <w:r>
      <w:rPr>
        <w:rStyle w:val="PageNumber"/>
        <w:noProof/>
        <w:sz w:val="20"/>
      </w:rPr>
      <w:t>221</w:t>
    </w:r>
    <w:r w:rsidRPr="004E0B80">
      <w:rPr>
        <w:rStyle w:val="PageNumber"/>
        <w:sz w:val="20"/>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C76D59" w:rsidRDefault="0051745D" w:rsidP="00B47699">
    <w:pPr>
      <w:pStyle w:val="Footer"/>
      <w:jc w:val="center"/>
      <w:rPr>
        <w:sz w:val="20"/>
      </w:rPr>
    </w:pPr>
    <w:r w:rsidRPr="00C76D59">
      <w:rPr>
        <w:rStyle w:val="PageNumber"/>
        <w:sz w:val="20"/>
      </w:rPr>
      <w:fldChar w:fldCharType="begin"/>
    </w:r>
    <w:r w:rsidRPr="00C76D59">
      <w:rPr>
        <w:rStyle w:val="PageNumber"/>
        <w:sz w:val="20"/>
      </w:rPr>
      <w:instrText xml:space="preserve"> PAGE </w:instrText>
    </w:r>
    <w:r w:rsidRPr="00C76D59">
      <w:rPr>
        <w:rStyle w:val="PageNumber"/>
        <w:sz w:val="20"/>
      </w:rPr>
      <w:fldChar w:fldCharType="separate"/>
    </w:r>
    <w:r>
      <w:rPr>
        <w:rStyle w:val="PageNumber"/>
        <w:noProof/>
        <w:sz w:val="20"/>
      </w:rPr>
      <w:t>224</w:t>
    </w:r>
    <w:r w:rsidRPr="00C76D59">
      <w:rPr>
        <w:rStyle w:val="PageNumber"/>
        <w:sz w:val="20"/>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C76D59" w:rsidRDefault="0051745D" w:rsidP="00B47699">
    <w:pPr>
      <w:pStyle w:val="Footer"/>
      <w:jc w:val="center"/>
      <w:rPr>
        <w:sz w:val="20"/>
      </w:rPr>
    </w:pPr>
    <w:r w:rsidRPr="00C76D59">
      <w:rPr>
        <w:rStyle w:val="PageNumber"/>
        <w:sz w:val="20"/>
      </w:rPr>
      <w:fldChar w:fldCharType="begin"/>
    </w:r>
    <w:r w:rsidRPr="00C76D59">
      <w:rPr>
        <w:rStyle w:val="PageNumber"/>
        <w:sz w:val="20"/>
      </w:rPr>
      <w:instrText xml:space="preserve"> PAGE </w:instrText>
    </w:r>
    <w:r w:rsidRPr="00C76D59">
      <w:rPr>
        <w:rStyle w:val="PageNumber"/>
        <w:sz w:val="20"/>
      </w:rPr>
      <w:fldChar w:fldCharType="separate"/>
    </w:r>
    <w:r>
      <w:rPr>
        <w:rStyle w:val="PageNumber"/>
        <w:noProof/>
        <w:sz w:val="20"/>
      </w:rPr>
      <w:t>225</w:t>
    </w:r>
    <w:r w:rsidRPr="00C76D59">
      <w:rPr>
        <w:rStyle w:val="PageNumber"/>
        <w:sz w:val="20"/>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4E0B80" w:rsidRDefault="0051745D" w:rsidP="00B47699">
    <w:pPr>
      <w:pStyle w:val="Footer"/>
      <w:jc w:val="center"/>
      <w:rPr>
        <w:sz w:val="20"/>
      </w:rPr>
    </w:pPr>
    <w:r w:rsidRPr="004E0B80">
      <w:rPr>
        <w:rStyle w:val="PageNumber"/>
        <w:sz w:val="20"/>
      </w:rPr>
      <w:fldChar w:fldCharType="begin"/>
    </w:r>
    <w:r w:rsidRPr="004E0B80">
      <w:rPr>
        <w:rStyle w:val="PageNumber"/>
        <w:sz w:val="20"/>
      </w:rPr>
      <w:instrText xml:space="preserve"> PAGE </w:instrText>
    </w:r>
    <w:r w:rsidRPr="004E0B80">
      <w:rPr>
        <w:rStyle w:val="PageNumber"/>
        <w:sz w:val="20"/>
      </w:rPr>
      <w:fldChar w:fldCharType="separate"/>
    </w:r>
    <w:r>
      <w:rPr>
        <w:rStyle w:val="PageNumber"/>
        <w:noProof/>
        <w:sz w:val="20"/>
      </w:rPr>
      <w:t>226</w:t>
    </w:r>
    <w:r w:rsidRPr="004E0B80">
      <w:rPr>
        <w:rStyle w:val="PageNumber"/>
        <w:sz w:val="20"/>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4E0B80" w:rsidRDefault="0051745D" w:rsidP="00B47699">
    <w:pPr>
      <w:pStyle w:val="Footer"/>
      <w:jc w:val="center"/>
      <w:rPr>
        <w:sz w:val="20"/>
      </w:rPr>
    </w:pPr>
    <w:r w:rsidRPr="004E0B80">
      <w:rPr>
        <w:rStyle w:val="PageNumber"/>
        <w:sz w:val="20"/>
      </w:rPr>
      <w:fldChar w:fldCharType="begin"/>
    </w:r>
    <w:r w:rsidRPr="004E0B80">
      <w:rPr>
        <w:rStyle w:val="PageNumber"/>
        <w:sz w:val="20"/>
      </w:rPr>
      <w:instrText xml:space="preserve"> PAGE </w:instrText>
    </w:r>
    <w:r w:rsidRPr="004E0B80">
      <w:rPr>
        <w:rStyle w:val="PageNumber"/>
        <w:sz w:val="20"/>
      </w:rPr>
      <w:fldChar w:fldCharType="separate"/>
    </w:r>
    <w:r>
      <w:rPr>
        <w:rStyle w:val="PageNumber"/>
        <w:noProof/>
        <w:sz w:val="20"/>
      </w:rPr>
      <w:t>227</w:t>
    </w:r>
    <w:r w:rsidRPr="004E0B80">
      <w:rPr>
        <w:rStyle w:val="PageNumber"/>
        <w:sz w:val="20"/>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C32732" w:rsidRDefault="0051745D" w:rsidP="00B47699">
    <w:pPr>
      <w:pStyle w:val="Footer"/>
      <w:jc w:val="center"/>
      <w:rPr>
        <w:sz w:val="20"/>
      </w:rPr>
    </w:pPr>
    <w:r w:rsidRPr="00C32732">
      <w:rPr>
        <w:rStyle w:val="PageNumber"/>
        <w:sz w:val="20"/>
      </w:rPr>
      <w:fldChar w:fldCharType="begin"/>
    </w:r>
    <w:r w:rsidRPr="00C32732">
      <w:rPr>
        <w:rStyle w:val="PageNumber"/>
        <w:sz w:val="20"/>
      </w:rPr>
      <w:instrText xml:space="preserve"> PAGE </w:instrText>
    </w:r>
    <w:r w:rsidRPr="00C32732">
      <w:rPr>
        <w:rStyle w:val="PageNumber"/>
        <w:sz w:val="20"/>
      </w:rPr>
      <w:fldChar w:fldCharType="separate"/>
    </w:r>
    <w:r>
      <w:rPr>
        <w:rStyle w:val="PageNumber"/>
        <w:noProof/>
        <w:sz w:val="20"/>
      </w:rPr>
      <w:t>272</w:t>
    </w:r>
    <w:r w:rsidRPr="00C32732">
      <w:rPr>
        <w:rStyle w:val="PageNumber"/>
        <w:sz w:val="20"/>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792502" w:rsidRDefault="0051745D" w:rsidP="00B47699">
    <w:pPr>
      <w:pStyle w:val="Footer"/>
      <w:jc w:val="center"/>
      <w:rPr>
        <w:sz w:val="20"/>
      </w:rPr>
    </w:pPr>
    <w:r w:rsidRPr="00792502">
      <w:rPr>
        <w:rStyle w:val="PageNumber"/>
        <w:sz w:val="20"/>
      </w:rPr>
      <w:fldChar w:fldCharType="begin"/>
    </w:r>
    <w:r w:rsidRPr="00792502">
      <w:rPr>
        <w:rStyle w:val="PageNumber"/>
        <w:sz w:val="20"/>
      </w:rPr>
      <w:instrText xml:space="preserve"> PAGE </w:instrText>
    </w:r>
    <w:r w:rsidRPr="00792502">
      <w:rPr>
        <w:rStyle w:val="PageNumber"/>
        <w:sz w:val="20"/>
      </w:rPr>
      <w:fldChar w:fldCharType="separate"/>
    </w:r>
    <w:r>
      <w:rPr>
        <w:rStyle w:val="PageNumber"/>
        <w:noProof/>
        <w:sz w:val="20"/>
      </w:rPr>
      <w:t>275</w:t>
    </w:r>
    <w:r w:rsidRPr="00792502">
      <w:rPr>
        <w:rStyle w:val="PageNumber"/>
        <w:sz w:val="20"/>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792502" w:rsidRDefault="0051745D" w:rsidP="00B47699">
    <w:pPr>
      <w:pStyle w:val="Footer"/>
      <w:jc w:val="center"/>
      <w:rPr>
        <w:sz w:val="20"/>
      </w:rPr>
    </w:pPr>
    <w:r w:rsidRPr="00792502">
      <w:rPr>
        <w:rStyle w:val="PageNumber"/>
        <w:sz w:val="20"/>
      </w:rPr>
      <w:fldChar w:fldCharType="begin"/>
    </w:r>
    <w:r w:rsidRPr="00792502">
      <w:rPr>
        <w:rStyle w:val="PageNumber"/>
        <w:sz w:val="20"/>
      </w:rPr>
      <w:instrText xml:space="preserve"> PAGE </w:instrText>
    </w:r>
    <w:r w:rsidRPr="00792502">
      <w:rPr>
        <w:rStyle w:val="PageNumber"/>
        <w:sz w:val="20"/>
      </w:rPr>
      <w:fldChar w:fldCharType="separate"/>
    </w:r>
    <w:r>
      <w:rPr>
        <w:rStyle w:val="PageNumber"/>
        <w:noProof/>
        <w:sz w:val="20"/>
      </w:rPr>
      <w:t>274</w:t>
    </w:r>
    <w:r w:rsidRPr="00792502">
      <w:rPr>
        <w:rStyle w:val="PageNumber"/>
        <w:sz w:val="20"/>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4E0B80" w:rsidRDefault="0051745D" w:rsidP="00B47699">
    <w:pPr>
      <w:pStyle w:val="Footer"/>
      <w:jc w:val="center"/>
      <w:rPr>
        <w:sz w:val="20"/>
      </w:rPr>
    </w:pPr>
    <w:r w:rsidRPr="004E0B80">
      <w:rPr>
        <w:rStyle w:val="PageNumber"/>
        <w:sz w:val="20"/>
      </w:rPr>
      <w:fldChar w:fldCharType="begin"/>
    </w:r>
    <w:r w:rsidRPr="004E0B80">
      <w:rPr>
        <w:rStyle w:val="PageNumber"/>
        <w:sz w:val="20"/>
      </w:rPr>
      <w:instrText xml:space="preserve"> PAGE </w:instrText>
    </w:r>
    <w:r w:rsidRPr="004E0B80">
      <w:rPr>
        <w:rStyle w:val="PageNumber"/>
        <w:sz w:val="20"/>
      </w:rPr>
      <w:fldChar w:fldCharType="separate"/>
    </w:r>
    <w:r>
      <w:rPr>
        <w:rStyle w:val="PageNumber"/>
        <w:noProof/>
        <w:sz w:val="20"/>
      </w:rPr>
      <w:t>282</w:t>
    </w:r>
    <w:r w:rsidRPr="004E0B80">
      <w:rPr>
        <w:rStyle w:val="PageNumber"/>
        <w:sz w:val="20"/>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4E0B80" w:rsidRDefault="0051745D" w:rsidP="00B47699">
    <w:pPr>
      <w:pStyle w:val="Footer"/>
      <w:jc w:val="center"/>
      <w:rPr>
        <w:sz w:val="20"/>
      </w:rPr>
    </w:pPr>
    <w:r w:rsidRPr="004E0B80">
      <w:rPr>
        <w:rStyle w:val="PageNumber"/>
        <w:sz w:val="20"/>
      </w:rPr>
      <w:fldChar w:fldCharType="begin"/>
    </w:r>
    <w:r w:rsidRPr="004E0B80">
      <w:rPr>
        <w:rStyle w:val="PageNumber"/>
        <w:sz w:val="20"/>
      </w:rPr>
      <w:instrText xml:space="preserve"> PAGE </w:instrText>
    </w:r>
    <w:r w:rsidRPr="004E0B80">
      <w:rPr>
        <w:rStyle w:val="PageNumber"/>
        <w:sz w:val="20"/>
      </w:rPr>
      <w:fldChar w:fldCharType="separate"/>
    </w:r>
    <w:r>
      <w:rPr>
        <w:rStyle w:val="PageNumber"/>
        <w:noProof/>
        <w:sz w:val="20"/>
      </w:rPr>
      <w:t>281</w:t>
    </w:r>
    <w:r w:rsidRPr="004E0B80">
      <w:rPr>
        <w:rStyle w:val="PageNumber"/>
        <w:sz w:val="20"/>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5A52A0" w:rsidRDefault="0051745D" w:rsidP="00B47699">
    <w:pPr>
      <w:pStyle w:val="Footer"/>
      <w:jc w:val="center"/>
      <w:rPr>
        <w:sz w:val="20"/>
      </w:rPr>
    </w:pPr>
    <w:r w:rsidRPr="005A52A0">
      <w:rPr>
        <w:rStyle w:val="PageNumber"/>
        <w:sz w:val="20"/>
      </w:rPr>
      <w:fldChar w:fldCharType="begin"/>
    </w:r>
    <w:r w:rsidRPr="005A52A0">
      <w:rPr>
        <w:rStyle w:val="PageNumber"/>
        <w:sz w:val="20"/>
      </w:rPr>
      <w:instrText xml:space="preserve"> PAGE </w:instrText>
    </w:r>
    <w:r w:rsidRPr="005A52A0">
      <w:rPr>
        <w:rStyle w:val="PageNumber"/>
        <w:sz w:val="20"/>
      </w:rPr>
      <w:fldChar w:fldCharType="separate"/>
    </w:r>
    <w:r>
      <w:rPr>
        <w:rStyle w:val="PageNumber"/>
        <w:noProof/>
        <w:sz w:val="20"/>
      </w:rPr>
      <w:t>294</w:t>
    </w:r>
    <w:r w:rsidRPr="005A52A0">
      <w:rPr>
        <w:rStyle w:val="PageNumber"/>
        <w:sz w:val="20"/>
      </w:rPr>
      <w:fldChar w:fldCharType="end"/>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5A52A0" w:rsidRDefault="0051745D" w:rsidP="00B47699">
    <w:pPr>
      <w:pStyle w:val="Footer"/>
      <w:jc w:val="center"/>
      <w:rPr>
        <w:sz w:val="20"/>
      </w:rPr>
    </w:pPr>
    <w:r w:rsidRPr="005A52A0">
      <w:rPr>
        <w:rStyle w:val="PageNumber"/>
        <w:sz w:val="20"/>
      </w:rPr>
      <w:fldChar w:fldCharType="begin"/>
    </w:r>
    <w:r w:rsidRPr="005A52A0">
      <w:rPr>
        <w:rStyle w:val="PageNumber"/>
        <w:sz w:val="20"/>
      </w:rPr>
      <w:instrText xml:space="preserve"> PAGE </w:instrText>
    </w:r>
    <w:r w:rsidRPr="005A52A0">
      <w:rPr>
        <w:rStyle w:val="PageNumber"/>
        <w:sz w:val="20"/>
      </w:rPr>
      <w:fldChar w:fldCharType="separate"/>
    </w:r>
    <w:r>
      <w:rPr>
        <w:rStyle w:val="PageNumber"/>
        <w:noProof/>
        <w:sz w:val="20"/>
      </w:rPr>
      <w:t>295</w:t>
    </w:r>
    <w:r w:rsidRPr="005A52A0">
      <w:rPr>
        <w:rStyle w:val="PageNumber"/>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745D" w:rsidRDefault="0051745D">
      <w:r>
        <w:separator/>
      </w:r>
    </w:p>
  </w:footnote>
  <w:footnote w:type="continuationSeparator" w:id="0">
    <w:p w:rsidR="0051745D" w:rsidRPr="009D30E6" w:rsidRDefault="0051745D" w:rsidP="007E663E">
      <w:pPr>
        <w:rPr>
          <w:sz w:val="17"/>
          <w:szCs w:val="17"/>
        </w:rPr>
      </w:pPr>
      <w:r w:rsidRPr="009D30E6">
        <w:rPr>
          <w:sz w:val="17"/>
          <w:szCs w:val="17"/>
        </w:rPr>
        <w:separator/>
      </w:r>
    </w:p>
    <w:p w:rsidR="0051745D" w:rsidRPr="007E663E" w:rsidRDefault="0051745D" w:rsidP="007E663E">
      <w:pPr>
        <w:spacing w:after="60"/>
        <w:rPr>
          <w:sz w:val="17"/>
          <w:szCs w:val="17"/>
        </w:rPr>
      </w:pPr>
      <w:r>
        <w:rPr>
          <w:sz w:val="17"/>
        </w:rPr>
        <w:t>[Continuación de la nota de la página anterior]</w:t>
      </w:r>
    </w:p>
  </w:footnote>
  <w:footnote w:type="continuationNotice" w:id="1">
    <w:p w:rsidR="0051745D" w:rsidRPr="007E663E" w:rsidRDefault="0051745D" w:rsidP="007E663E">
      <w:pPr>
        <w:spacing w:before="60"/>
        <w:jc w:val="right"/>
        <w:rPr>
          <w:sz w:val="17"/>
          <w:szCs w:val="17"/>
        </w:rPr>
      </w:pPr>
      <w:r w:rsidRPr="007E663E">
        <w:rPr>
          <w:sz w:val="17"/>
          <w:szCs w:val="17"/>
        </w:rPr>
        <w:t>[Sigue la nota en la página siguiente]</w:t>
      </w:r>
    </w:p>
  </w:footnote>
  <w:footnote w:id="2">
    <w:p w:rsidR="0051745D" w:rsidRPr="00685491" w:rsidRDefault="0051745D">
      <w:pPr>
        <w:pStyle w:val="FootnoteText"/>
        <w:rPr>
          <w:sz w:val="16"/>
          <w:szCs w:val="16"/>
        </w:rPr>
      </w:pPr>
      <w:r w:rsidRPr="00685491">
        <w:rPr>
          <w:rStyle w:val="FootnoteReference"/>
          <w:sz w:val="16"/>
          <w:szCs w:val="16"/>
        </w:rPr>
        <w:sym w:font="Symbol" w:char="F02A"/>
      </w:r>
      <w:r w:rsidRPr="00685491">
        <w:rPr>
          <w:sz w:val="16"/>
          <w:szCs w:val="16"/>
        </w:rPr>
        <w:t xml:space="preserve">  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685491">
        <w:rPr>
          <w:i/>
          <w:sz w:val="16"/>
          <w:szCs w:val="16"/>
        </w:rPr>
        <w:t>brand</w:t>
      </w:r>
      <w:proofErr w:type="spellEnd"/>
      <w:r w:rsidRPr="00685491">
        <w:rPr>
          <w:sz w:val="16"/>
          <w:szCs w:val="16"/>
        </w:rPr>
        <w:t>” de otra forma que no sea “</w:t>
      </w:r>
      <w:r w:rsidRPr="00685491">
        <w:rPr>
          <w:i/>
          <w:sz w:val="16"/>
          <w:szCs w:val="16"/>
        </w:rPr>
        <w:t>marque</w:t>
      </w:r>
      <w:r w:rsidRPr="00685491">
        <w:rPr>
          <w:sz w:val="16"/>
          <w:szCs w:val="16"/>
        </w:rPr>
        <w:t>” en francés y “marca” en español, se empleará a título provisional el vocablo inglés “</w:t>
      </w:r>
      <w:proofErr w:type="spellStart"/>
      <w:r w:rsidRPr="00685491">
        <w:rPr>
          <w:i/>
          <w:sz w:val="16"/>
          <w:szCs w:val="16"/>
        </w:rPr>
        <w:t>brand</w:t>
      </w:r>
      <w:proofErr w:type="spellEnd"/>
      <w:r w:rsidRPr="00685491">
        <w:rPr>
          <w:sz w:val="16"/>
          <w:szCs w:val="16"/>
        </w:rPr>
        <w:t>” en las versiones en francés y español del presupuesto por programas del bienio 2014/15.  Se continuará buscando una solución definitiva para asegurar la claridad de la traducción del término “</w:t>
      </w:r>
      <w:proofErr w:type="spellStart"/>
      <w:r w:rsidRPr="00685491">
        <w:rPr>
          <w:i/>
          <w:sz w:val="16"/>
          <w:szCs w:val="16"/>
        </w:rPr>
        <w:t>brand</w:t>
      </w:r>
      <w:proofErr w:type="spellEnd"/>
      <w:r w:rsidRPr="00685491">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idiomas de publicación de la OMPI.</w:t>
      </w:r>
    </w:p>
  </w:footnote>
  <w:footnote w:id="3">
    <w:p w:rsidR="0051745D" w:rsidRPr="00685491" w:rsidRDefault="0051745D">
      <w:pPr>
        <w:pStyle w:val="FootnoteText"/>
        <w:rPr>
          <w:sz w:val="16"/>
          <w:szCs w:val="16"/>
        </w:rPr>
      </w:pPr>
      <w:r w:rsidRPr="00685491">
        <w:rPr>
          <w:rStyle w:val="FootnoteReference"/>
          <w:sz w:val="16"/>
          <w:szCs w:val="16"/>
        </w:rPr>
        <w:sym w:font="Symbol" w:char="F02A"/>
      </w:r>
      <w:r w:rsidRPr="00685491">
        <w:rPr>
          <w:sz w:val="16"/>
          <w:szCs w:val="16"/>
        </w:rPr>
        <w:t xml:space="preserve">  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685491">
        <w:rPr>
          <w:i/>
          <w:sz w:val="16"/>
          <w:szCs w:val="16"/>
        </w:rPr>
        <w:t>brand</w:t>
      </w:r>
      <w:proofErr w:type="spellEnd"/>
      <w:r w:rsidRPr="00685491">
        <w:rPr>
          <w:sz w:val="16"/>
          <w:szCs w:val="16"/>
        </w:rPr>
        <w:t>” de otra forma que no sea “</w:t>
      </w:r>
      <w:r w:rsidRPr="00685491">
        <w:rPr>
          <w:i/>
          <w:sz w:val="16"/>
          <w:szCs w:val="16"/>
        </w:rPr>
        <w:t>marque</w:t>
      </w:r>
      <w:r w:rsidRPr="00685491">
        <w:rPr>
          <w:sz w:val="16"/>
          <w:szCs w:val="16"/>
        </w:rPr>
        <w:t>” en francés y “marca” en español, se empleará a título provisional el vocablo inglés “</w:t>
      </w:r>
      <w:proofErr w:type="spellStart"/>
      <w:r w:rsidRPr="00685491">
        <w:rPr>
          <w:i/>
          <w:sz w:val="16"/>
          <w:szCs w:val="16"/>
        </w:rPr>
        <w:t>brand</w:t>
      </w:r>
      <w:proofErr w:type="spellEnd"/>
      <w:r w:rsidRPr="00685491">
        <w:rPr>
          <w:sz w:val="16"/>
          <w:szCs w:val="16"/>
        </w:rPr>
        <w:t>” en las versiones en francés y español del presupuesto por programas del bienio 2014/15.  Se continuará buscando una solución definitiva para asegurar la claridad de la traducción del término “</w:t>
      </w:r>
      <w:proofErr w:type="spellStart"/>
      <w:r w:rsidRPr="00685491">
        <w:rPr>
          <w:i/>
          <w:sz w:val="16"/>
          <w:szCs w:val="16"/>
        </w:rPr>
        <w:t>brand</w:t>
      </w:r>
      <w:proofErr w:type="spellEnd"/>
      <w:r w:rsidRPr="00685491">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idiomas de publicación de la OMPI.</w:t>
      </w:r>
    </w:p>
  </w:footnote>
  <w:footnote w:id="4">
    <w:p w:rsidR="0051745D" w:rsidRPr="00685491" w:rsidRDefault="0051745D" w:rsidP="00140657">
      <w:pPr>
        <w:pStyle w:val="FootnoteText"/>
        <w:tabs>
          <w:tab w:val="left" w:pos="567"/>
        </w:tabs>
        <w:jc w:val="both"/>
        <w:rPr>
          <w:sz w:val="16"/>
          <w:szCs w:val="16"/>
          <w:lang w:val="es-ES_tradnl"/>
        </w:rPr>
      </w:pPr>
      <w:r w:rsidRPr="00685491">
        <w:rPr>
          <w:rStyle w:val="FootnoteReference"/>
          <w:sz w:val="16"/>
          <w:szCs w:val="16"/>
        </w:rPr>
        <w:footnoteRef/>
      </w:r>
      <w:r w:rsidRPr="00685491">
        <w:rPr>
          <w:sz w:val="16"/>
          <w:szCs w:val="16"/>
          <w:lang w:val="es-ES_tradnl"/>
        </w:rPr>
        <w:t xml:space="preserve">  </w:t>
      </w:r>
      <w:r w:rsidRPr="00685491">
        <w:rPr>
          <w:color w:val="000000"/>
          <w:sz w:val="16"/>
          <w:szCs w:val="16"/>
          <w:lang w:val="es-ES_tradnl"/>
        </w:rPr>
        <w:t>Examen del Proceso Presupuestario aplicado a los proyectos propuestos por el Comité de Desarrollo y Propiedad Intelectual (CDIP) para dar aplicación a las recomendaciones de la Agenda para el Desarrollo  (A/48/5 Rev.)</w:t>
      </w:r>
    </w:p>
  </w:footnote>
  <w:footnote w:id="5">
    <w:p w:rsidR="0051745D" w:rsidRPr="00685491" w:rsidRDefault="0051745D" w:rsidP="00FF779C">
      <w:pPr>
        <w:pStyle w:val="FootnoteText"/>
        <w:rPr>
          <w:sz w:val="16"/>
          <w:szCs w:val="16"/>
          <w:lang w:val="es-ES_tradnl"/>
        </w:rPr>
      </w:pPr>
      <w:r w:rsidRPr="00685491">
        <w:rPr>
          <w:rStyle w:val="FootnoteReference"/>
          <w:sz w:val="16"/>
          <w:szCs w:val="16"/>
        </w:rPr>
        <w:footnoteRef/>
      </w:r>
      <w:r w:rsidRPr="00685491">
        <w:rPr>
          <w:sz w:val="16"/>
          <w:szCs w:val="16"/>
          <w:lang w:val="es-ES_tradnl"/>
        </w:rPr>
        <w:t xml:space="preserve">  Conforme a lo que se viene haciendo hasta la fecha, a los fines del presupuesto por programas se incluye a los países con economías en transición.</w:t>
      </w:r>
    </w:p>
  </w:footnote>
  <w:footnote w:id="6">
    <w:p w:rsidR="0051745D" w:rsidRDefault="0051745D">
      <w:pPr>
        <w:pStyle w:val="FootnoteText"/>
      </w:pPr>
      <w:r w:rsidRPr="00B32B5E">
        <w:rPr>
          <w:rStyle w:val="FootnoteReference"/>
        </w:rPr>
        <w:sym w:font="Symbol" w:char="F02A"/>
      </w:r>
      <w:r>
        <w:t xml:space="preserve">  </w:t>
      </w:r>
      <w:r w:rsidRPr="004F0162">
        <w:rPr>
          <w:sz w:val="16"/>
          <w:szCs w:val="16"/>
        </w:rPr>
        <w:t>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4F0162">
        <w:rPr>
          <w:i/>
          <w:sz w:val="16"/>
          <w:szCs w:val="16"/>
        </w:rPr>
        <w:t>brand</w:t>
      </w:r>
      <w:proofErr w:type="spellEnd"/>
      <w:r w:rsidRPr="004F0162">
        <w:rPr>
          <w:sz w:val="16"/>
          <w:szCs w:val="16"/>
        </w:rPr>
        <w:t>” de otra forma que no sea “</w:t>
      </w:r>
      <w:r w:rsidRPr="004F0162">
        <w:rPr>
          <w:i/>
          <w:sz w:val="16"/>
          <w:szCs w:val="16"/>
        </w:rPr>
        <w:t>marque</w:t>
      </w:r>
      <w:r w:rsidRPr="004F0162">
        <w:rPr>
          <w:sz w:val="16"/>
          <w:szCs w:val="16"/>
        </w:rPr>
        <w:t>” en francés y “marca” en español, se empleará a título provisional el vocablo inglés “</w:t>
      </w:r>
      <w:proofErr w:type="spellStart"/>
      <w:r w:rsidRPr="004F0162">
        <w:rPr>
          <w:i/>
          <w:sz w:val="16"/>
          <w:szCs w:val="16"/>
        </w:rPr>
        <w:t>brand</w:t>
      </w:r>
      <w:proofErr w:type="spellEnd"/>
      <w:r w:rsidRPr="004F0162">
        <w:rPr>
          <w:sz w:val="16"/>
          <w:szCs w:val="16"/>
        </w:rPr>
        <w:t>” en las versiones en francés y español del presupuesto por programas del bienio 2014/15.  Se continuará buscando una solución definitiva para asegurar la claridad de la traducción del término “</w:t>
      </w:r>
      <w:proofErr w:type="spellStart"/>
      <w:r w:rsidRPr="004F0162">
        <w:rPr>
          <w:i/>
          <w:sz w:val="16"/>
          <w:szCs w:val="16"/>
        </w:rPr>
        <w:t>brand</w:t>
      </w:r>
      <w:proofErr w:type="spellEnd"/>
      <w:r w:rsidRPr="004F0162">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w:t>
      </w:r>
      <w:r>
        <w:rPr>
          <w:sz w:val="16"/>
          <w:szCs w:val="16"/>
        </w:rPr>
        <w:t>omas de publicación de la OMPI.</w:t>
      </w:r>
    </w:p>
  </w:footnote>
  <w:footnote w:id="7">
    <w:p w:rsidR="0051745D" w:rsidRPr="00685491" w:rsidRDefault="0051745D">
      <w:pPr>
        <w:pStyle w:val="FootnoteText"/>
        <w:rPr>
          <w:sz w:val="16"/>
          <w:szCs w:val="16"/>
        </w:rPr>
      </w:pPr>
      <w:r w:rsidRPr="00685491">
        <w:rPr>
          <w:rStyle w:val="FootnoteReference"/>
          <w:sz w:val="16"/>
          <w:szCs w:val="16"/>
        </w:rPr>
        <w:sym w:font="Symbol" w:char="F02A"/>
      </w:r>
      <w:r w:rsidRPr="00685491">
        <w:rPr>
          <w:sz w:val="16"/>
          <w:szCs w:val="16"/>
        </w:rPr>
        <w:t xml:space="preserve">  “Habida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685491">
        <w:rPr>
          <w:i/>
          <w:sz w:val="16"/>
          <w:szCs w:val="16"/>
        </w:rPr>
        <w:t>brand</w:t>
      </w:r>
      <w:proofErr w:type="spellEnd"/>
      <w:r w:rsidRPr="00685491">
        <w:rPr>
          <w:sz w:val="16"/>
          <w:szCs w:val="16"/>
        </w:rPr>
        <w:t>” de otra forma que no sea “</w:t>
      </w:r>
      <w:r w:rsidRPr="00685491">
        <w:rPr>
          <w:i/>
          <w:sz w:val="16"/>
          <w:szCs w:val="16"/>
        </w:rPr>
        <w:t>marque</w:t>
      </w:r>
      <w:r w:rsidRPr="00685491">
        <w:rPr>
          <w:sz w:val="16"/>
          <w:szCs w:val="16"/>
        </w:rPr>
        <w:t>” en francés y “marca” en español, se empleará a título provisional el vocablo inglés “</w:t>
      </w:r>
      <w:proofErr w:type="spellStart"/>
      <w:r w:rsidRPr="00685491">
        <w:rPr>
          <w:i/>
          <w:sz w:val="16"/>
          <w:szCs w:val="16"/>
        </w:rPr>
        <w:t>brand</w:t>
      </w:r>
      <w:proofErr w:type="spellEnd"/>
      <w:r w:rsidRPr="00685491">
        <w:rPr>
          <w:sz w:val="16"/>
          <w:szCs w:val="16"/>
        </w:rPr>
        <w:t>” en las versiones en francés y español del presupuesto por programas del bienio 2014/15.  Se continuará buscando una solución definitiva para asegurar la claridad de la traducción del término “</w:t>
      </w:r>
      <w:proofErr w:type="spellStart"/>
      <w:r w:rsidRPr="00685491">
        <w:rPr>
          <w:i/>
          <w:sz w:val="16"/>
          <w:szCs w:val="16"/>
        </w:rPr>
        <w:t>brand</w:t>
      </w:r>
      <w:proofErr w:type="spellEnd"/>
      <w:r w:rsidRPr="00685491">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idiomas de publicación de la OMPI.”</w:t>
      </w:r>
    </w:p>
  </w:footnote>
  <w:footnote w:id="8">
    <w:p w:rsidR="0051745D" w:rsidRPr="00685491" w:rsidRDefault="0051745D">
      <w:pPr>
        <w:pStyle w:val="FootnoteText"/>
        <w:rPr>
          <w:sz w:val="16"/>
          <w:szCs w:val="16"/>
        </w:rPr>
      </w:pPr>
      <w:r w:rsidRPr="00685491">
        <w:rPr>
          <w:rStyle w:val="FootnoteReference"/>
          <w:sz w:val="16"/>
          <w:szCs w:val="16"/>
        </w:rPr>
        <w:sym w:font="Symbol" w:char="F02A"/>
      </w:r>
      <w:r w:rsidRPr="00685491">
        <w:rPr>
          <w:sz w:val="16"/>
          <w:szCs w:val="16"/>
        </w:rPr>
        <w:t xml:space="preserve">  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685491">
        <w:rPr>
          <w:i/>
          <w:sz w:val="16"/>
          <w:szCs w:val="16"/>
        </w:rPr>
        <w:t>brand</w:t>
      </w:r>
      <w:proofErr w:type="spellEnd"/>
      <w:r w:rsidRPr="00685491">
        <w:rPr>
          <w:sz w:val="16"/>
          <w:szCs w:val="16"/>
        </w:rPr>
        <w:t>” de otra forma que no sea “</w:t>
      </w:r>
      <w:r w:rsidRPr="00685491">
        <w:rPr>
          <w:i/>
          <w:sz w:val="16"/>
          <w:szCs w:val="16"/>
        </w:rPr>
        <w:t>marque</w:t>
      </w:r>
      <w:r w:rsidRPr="00685491">
        <w:rPr>
          <w:sz w:val="16"/>
          <w:szCs w:val="16"/>
        </w:rPr>
        <w:t>” en francés y “marca” en español, se empleará a título provisional el vocablo inglés “</w:t>
      </w:r>
      <w:proofErr w:type="spellStart"/>
      <w:r w:rsidRPr="00685491">
        <w:rPr>
          <w:i/>
          <w:sz w:val="16"/>
          <w:szCs w:val="16"/>
        </w:rPr>
        <w:t>brand</w:t>
      </w:r>
      <w:proofErr w:type="spellEnd"/>
      <w:r w:rsidRPr="00685491">
        <w:rPr>
          <w:sz w:val="16"/>
          <w:szCs w:val="16"/>
        </w:rPr>
        <w:t>” en las versiones en francés y español del presupuesto por programas del bienio 2014/15.  Se continuará buscando una solución definitiva para asegurar la claridad de la traducción del término “</w:t>
      </w:r>
      <w:proofErr w:type="spellStart"/>
      <w:r w:rsidRPr="00685491">
        <w:rPr>
          <w:i/>
          <w:sz w:val="16"/>
          <w:szCs w:val="16"/>
        </w:rPr>
        <w:t>brand</w:t>
      </w:r>
      <w:proofErr w:type="spellEnd"/>
      <w:r w:rsidRPr="00685491">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idiomas de publicación de la OMPI.</w:t>
      </w:r>
    </w:p>
  </w:footnote>
  <w:footnote w:id="9">
    <w:p w:rsidR="0051745D" w:rsidRPr="00685491" w:rsidRDefault="0051745D" w:rsidP="00F8358E">
      <w:pPr>
        <w:pStyle w:val="FootnoteText"/>
        <w:rPr>
          <w:sz w:val="16"/>
          <w:szCs w:val="16"/>
        </w:rPr>
      </w:pPr>
      <w:r w:rsidRPr="00685491">
        <w:rPr>
          <w:rStyle w:val="FootnoteReference"/>
          <w:sz w:val="16"/>
          <w:szCs w:val="16"/>
        </w:rPr>
        <w:footnoteRef/>
      </w:r>
      <w:r w:rsidRPr="00685491">
        <w:rPr>
          <w:sz w:val="16"/>
          <w:szCs w:val="16"/>
        </w:rPr>
        <w:t xml:space="preserve">  Con sujeción a la aprobación por parte del CDIP del proyecto de la A.D. sobre la P.I. y la creación de diseños </w:t>
      </w:r>
      <w:r w:rsidRPr="00685491">
        <w:rPr>
          <w:sz w:val="16"/>
          <w:szCs w:val="16"/>
          <w:lang w:val="es-ES_tradnl"/>
        </w:rPr>
        <w:t>para fomentar las actividades comerciales en los países en desarrollo y los países menos adelantados (PMA).</w:t>
      </w:r>
    </w:p>
  </w:footnote>
  <w:footnote w:id="10">
    <w:p w:rsidR="0051745D" w:rsidRPr="00685491" w:rsidRDefault="0051745D">
      <w:pPr>
        <w:pStyle w:val="FootnoteText"/>
        <w:rPr>
          <w:sz w:val="16"/>
          <w:szCs w:val="16"/>
        </w:rPr>
      </w:pPr>
      <w:r w:rsidRPr="00685491">
        <w:rPr>
          <w:rStyle w:val="FootnoteReference"/>
          <w:sz w:val="16"/>
          <w:szCs w:val="16"/>
        </w:rPr>
        <w:sym w:font="Symbol" w:char="F02A"/>
      </w:r>
      <w:r w:rsidRPr="00685491">
        <w:rPr>
          <w:sz w:val="16"/>
          <w:szCs w:val="16"/>
        </w:rPr>
        <w:t xml:space="preserve">  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685491">
        <w:rPr>
          <w:i/>
          <w:sz w:val="16"/>
          <w:szCs w:val="16"/>
        </w:rPr>
        <w:t>brand</w:t>
      </w:r>
      <w:proofErr w:type="spellEnd"/>
      <w:r w:rsidRPr="00685491">
        <w:rPr>
          <w:sz w:val="16"/>
          <w:szCs w:val="16"/>
        </w:rPr>
        <w:t>” de otra forma que no sea “</w:t>
      </w:r>
      <w:r w:rsidRPr="00685491">
        <w:rPr>
          <w:i/>
          <w:sz w:val="16"/>
          <w:szCs w:val="16"/>
        </w:rPr>
        <w:t>marque</w:t>
      </w:r>
      <w:r w:rsidRPr="00685491">
        <w:rPr>
          <w:sz w:val="16"/>
          <w:szCs w:val="16"/>
        </w:rPr>
        <w:t>” en francés y “marca” en español, se empleará a título provisional el vocablo inglés “</w:t>
      </w:r>
      <w:proofErr w:type="spellStart"/>
      <w:r w:rsidRPr="00685491">
        <w:rPr>
          <w:i/>
          <w:sz w:val="16"/>
          <w:szCs w:val="16"/>
        </w:rPr>
        <w:t>brand</w:t>
      </w:r>
      <w:proofErr w:type="spellEnd"/>
      <w:r w:rsidRPr="00685491">
        <w:rPr>
          <w:sz w:val="16"/>
          <w:szCs w:val="16"/>
        </w:rPr>
        <w:t>” en las versiones en francés y español del presupuesto por programas del bienio 2014/15.  Se continuará buscando una solución definitiva para asegurar la claridad de la traducción del término “</w:t>
      </w:r>
      <w:proofErr w:type="spellStart"/>
      <w:r w:rsidRPr="00685491">
        <w:rPr>
          <w:i/>
          <w:sz w:val="16"/>
          <w:szCs w:val="16"/>
        </w:rPr>
        <w:t>brand</w:t>
      </w:r>
      <w:proofErr w:type="spellEnd"/>
      <w:r w:rsidRPr="00685491">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idiomas de publicación de la OMPI.</w:t>
      </w:r>
    </w:p>
  </w:footnote>
  <w:footnote w:id="11">
    <w:p w:rsidR="0051745D" w:rsidRPr="00685491" w:rsidRDefault="0051745D" w:rsidP="00C739DE">
      <w:pPr>
        <w:pStyle w:val="FootnoteText"/>
        <w:rPr>
          <w:sz w:val="16"/>
          <w:szCs w:val="16"/>
        </w:rPr>
      </w:pPr>
      <w:r w:rsidRPr="00685491">
        <w:rPr>
          <w:rStyle w:val="FootnoteReference"/>
          <w:sz w:val="16"/>
          <w:szCs w:val="16"/>
        </w:rPr>
        <w:footnoteRef/>
      </w:r>
      <w:r w:rsidRPr="00685491">
        <w:rPr>
          <w:sz w:val="16"/>
          <w:szCs w:val="16"/>
        </w:rPr>
        <w:t xml:space="preserve">  </w:t>
      </w:r>
      <w:hyperlink r:id="rId1" w:history="1">
        <w:r w:rsidRPr="00685491">
          <w:rPr>
            <w:rStyle w:val="Hyperlink"/>
            <w:sz w:val="16"/>
            <w:szCs w:val="16"/>
          </w:rPr>
          <w:t>http://www.wipo.int/patentscope/en/programs/patent_landscapes/index.html</w:t>
        </w:r>
      </w:hyperlink>
      <w:r w:rsidRPr="00685491">
        <w:rPr>
          <w:sz w:val="16"/>
          <w:szCs w:val="16"/>
        </w:rPr>
        <w:t xml:space="preserve"> </w:t>
      </w:r>
    </w:p>
  </w:footnote>
  <w:footnote w:id="12">
    <w:p w:rsidR="0051745D" w:rsidRPr="00685491" w:rsidRDefault="0051745D" w:rsidP="00C739DE">
      <w:pPr>
        <w:pStyle w:val="FootnoteText"/>
        <w:rPr>
          <w:sz w:val="16"/>
          <w:szCs w:val="16"/>
        </w:rPr>
      </w:pPr>
      <w:r w:rsidRPr="00685491">
        <w:rPr>
          <w:rStyle w:val="FootnoteReference"/>
          <w:sz w:val="16"/>
          <w:szCs w:val="16"/>
        </w:rPr>
        <w:footnoteRef/>
      </w:r>
      <w:r w:rsidRPr="00685491">
        <w:rPr>
          <w:sz w:val="16"/>
          <w:szCs w:val="16"/>
        </w:rPr>
        <w:t xml:space="preserve">  </w:t>
      </w:r>
      <w:hyperlink r:id="rId2" w:history="1">
        <w:r w:rsidRPr="00685491">
          <w:rPr>
            <w:rStyle w:val="Hyperlink"/>
            <w:sz w:val="16"/>
            <w:szCs w:val="16"/>
          </w:rPr>
          <w:t>http://www.wipo.int/edocs/mdocs/mdocs/en/cdip_4/cdip_4_3_rev_study_inf_3.pdf</w:t>
        </w:r>
      </w:hyperlink>
      <w:r w:rsidRPr="00685491">
        <w:rPr>
          <w:sz w:val="16"/>
          <w:szCs w:val="16"/>
        </w:rPr>
        <w:t xml:space="preserve"> </w:t>
      </w:r>
    </w:p>
  </w:footnote>
  <w:footnote w:id="13">
    <w:p w:rsidR="0051745D" w:rsidRPr="00685491" w:rsidRDefault="0051745D">
      <w:pPr>
        <w:pStyle w:val="FootnoteText"/>
        <w:rPr>
          <w:sz w:val="16"/>
          <w:szCs w:val="16"/>
        </w:rPr>
      </w:pPr>
      <w:r w:rsidRPr="00685491">
        <w:rPr>
          <w:rStyle w:val="FootnoteReference"/>
          <w:sz w:val="16"/>
          <w:szCs w:val="16"/>
        </w:rPr>
        <w:sym w:font="Symbol" w:char="F02A"/>
      </w:r>
      <w:r w:rsidRPr="00685491">
        <w:rPr>
          <w:sz w:val="16"/>
          <w:szCs w:val="16"/>
        </w:rPr>
        <w:t xml:space="preserve">  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685491">
        <w:rPr>
          <w:i/>
          <w:sz w:val="16"/>
          <w:szCs w:val="16"/>
        </w:rPr>
        <w:t>brand</w:t>
      </w:r>
      <w:proofErr w:type="spellEnd"/>
      <w:r w:rsidRPr="00685491">
        <w:rPr>
          <w:sz w:val="16"/>
          <w:szCs w:val="16"/>
        </w:rPr>
        <w:t>” de otra forma que no sea “</w:t>
      </w:r>
      <w:r w:rsidRPr="00685491">
        <w:rPr>
          <w:i/>
          <w:sz w:val="16"/>
          <w:szCs w:val="16"/>
        </w:rPr>
        <w:t>marque</w:t>
      </w:r>
      <w:r w:rsidRPr="00685491">
        <w:rPr>
          <w:sz w:val="16"/>
          <w:szCs w:val="16"/>
        </w:rPr>
        <w:t>” en francés y “marca” en español, se empleará a título provisional el vocablo inglés “</w:t>
      </w:r>
      <w:proofErr w:type="spellStart"/>
      <w:r w:rsidRPr="00685491">
        <w:rPr>
          <w:i/>
          <w:sz w:val="16"/>
          <w:szCs w:val="16"/>
        </w:rPr>
        <w:t>brand</w:t>
      </w:r>
      <w:proofErr w:type="spellEnd"/>
      <w:r w:rsidRPr="00685491">
        <w:rPr>
          <w:sz w:val="16"/>
          <w:szCs w:val="16"/>
        </w:rPr>
        <w:t>” en las versiones en francés y español del presupuesto por programas del bienio 2014/15.  Se continuará buscando una solución definitiva para asegurar la claridad de la traducción del término “</w:t>
      </w:r>
      <w:proofErr w:type="spellStart"/>
      <w:r w:rsidRPr="00685491">
        <w:rPr>
          <w:i/>
          <w:sz w:val="16"/>
          <w:szCs w:val="16"/>
        </w:rPr>
        <w:t>brand</w:t>
      </w:r>
      <w:proofErr w:type="spellEnd"/>
      <w:r w:rsidRPr="00685491">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idiomas de publicación de la OMPI.</w:t>
      </w:r>
    </w:p>
  </w:footnote>
  <w:footnote w:id="14">
    <w:p w:rsidR="0051745D" w:rsidRPr="00685491" w:rsidRDefault="0051745D" w:rsidP="00C2064F">
      <w:pPr>
        <w:pStyle w:val="FootnoteText"/>
        <w:rPr>
          <w:sz w:val="16"/>
          <w:szCs w:val="16"/>
        </w:rPr>
      </w:pPr>
      <w:r w:rsidRPr="00685491">
        <w:rPr>
          <w:rStyle w:val="FootnoteReference"/>
          <w:sz w:val="16"/>
          <w:szCs w:val="16"/>
        </w:rPr>
        <w:footnoteRef/>
      </w:r>
      <w:r w:rsidRPr="00685491">
        <w:rPr>
          <w:sz w:val="16"/>
          <w:szCs w:val="16"/>
        </w:rPr>
        <w:t xml:space="preserve">  A reserva de la evaluación de la Fase I y la aprobación de la Fase II por el CDIP.</w:t>
      </w:r>
    </w:p>
  </w:footnote>
  <w:footnote w:id="15">
    <w:p w:rsidR="0051745D" w:rsidRPr="00685491" w:rsidRDefault="0051745D">
      <w:pPr>
        <w:pStyle w:val="FootnoteText"/>
        <w:rPr>
          <w:sz w:val="16"/>
          <w:szCs w:val="16"/>
        </w:rPr>
      </w:pPr>
      <w:r w:rsidRPr="00685491">
        <w:rPr>
          <w:rStyle w:val="FootnoteReference"/>
          <w:sz w:val="16"/>
          <w:szCs w:val="16"/>
        </w:rPr>
        <w:sym w:font="Symbol" w:char="F02A"/>
      </w:r>
      <w:r w:rsidRPr="00685491">
        <w:rPr>
          <w:sz w:val="16"/>
          <w:szCs w:val="16"/>
        </w:rPr>
        <w:t xml:space="preserve">  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685491">
        <w:rPr>
          <w:i/>
          <w:sz w:val="16"/>
          <w:szCs w:val="16"/>
        </w:rPr>
        <w:t>brand</w:t>
      </w:r>
      <w:proofErr w:type="spellEnd"/>
      <w:r w:rsidRPr="00685491">
        <w:rPr>
          <w:sz w:val="16"/>
          <w:szCs w:val="16"/>
        </w:rPr>
        <w:t>” de otra forma que no sea “</w:t>
      </w:r>
      <w:r w:rsidRPr="00685491">
        <w:rPr>
          <w:i/>
          <w:sz w:val="16"/>
          <w:szCs w:val="16"/>
        </w:rPr>
        <w:t>marque</w:t>
      </w:r>
      <w:r w:rsidRPr="00685491">
        <w:rPr>
          <w:sz w:val="16"/>
          <w:szCs w:val="16"/>
        </w:rPr>
        <w:t>” en francés y “marca” en español, se empleará a título provisional el vocablo inglés “</w:t>
      </w:r>
      <w:proofErr w:type="spellStart"/>
      <w:r w:rsidRPr="00685491">
        <w:rPr>
          <w:i/>
          <w:sz w:val="16"/>
          <w:szCs w:val="16"/>
        </w:rPr>
        <w:t>brand</w:t>
      </w:r>
      <w:proofErr w:type="spellEnd"/>
      <w:r w:rsidRPr="00685491">
        <w:rPr>
          <w:sz w:val="16"/>
          <w:szCs w:val="16"/>
        </w:rPr>
        <w:t>” en las versiones en francés y español del presupuesto por programas del bienio 2014/15.  Se continuará buscando una solución definitiva para asegurar la claridad de la traducción del término “</w:t>
      </w:r>
      <w:proofErr w:type="spellStart"/>
      <w:r w:rsidRPr="00685491">
        <w:rPr>
          <w:i/>
          <w:sz w:val="16"/>
          <w:szCs w:val="16"/>
        </w:rPr>
        <w:t>brand</w:t>
      </w:r>
      <w:proofErr w:type="spellEnd"/>
      <w:r w:rsidRPr="00685491">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idiomas de publicación de la OMPI.</w:t>
      </w:r>
    </w:p>
  </w:footnote>
  <w:footnote w:id="16">
    <w:p w:rsidR="0051745D" w:rsidRPr="00685491" w:rsidRDefault="0051745D" w:rsidP="00383888">
      <w:pPr>
        <w:pStyle w:val="FootnoteText"/>
        <w:rPr>
          <w:sz w:val="16"/>
          <w:szCs w:val="16"/>
          <w:lang w:val="es-ES_tradnl"/>
        </w:rPr>
      </w:pPr>
      <w:r w:rsidRPr="00685491">
        <w:rPr>
          <w:rStyle w:val="FootnoteReference"/>
          <w:sz w:val="16"/>
          <w:szCs w:val="16"/>
        </w:rPr>
        <w:footnoteRef/>
      </w:r>
      <w:r w:rsidRPr="00685491">
        <w:rPr>
          <w:sz w:val="16"/>
          <w:szCs w:val="16"/>
          <w:lang w:val="es-ES_tradnl"/>
        </w:rPr>
        <w:t xml:space="preserve">  </w:t>
      </w:r>
      <w:r w:rsidRPr="00685491">
        <w:rPr>
          <w:color w:val="000000"/>
          <w:sz w:val="16"/>
          <w:szCs w:val="16"/>
          <w:lang w:val="es-ES_tradnl"/>
        </w:rPr>
        <w:t>Todas las estadísticas se basan en la fecha de presentación de las solicitudes PCT o de las solicitudes según el procedimiento previsto en el Capítulo II.</w:t>
      </w:r>
    </w:p>
  </w:footnote>
  <w:footnote w:id="17">
    <w:p w:rsidR="0051745D" w:rsidRPr="00685491" w:rsidRDefault="0051745D">
      <w:pPr>
        <w:pStyle w:val="FootnoteText"/>
        <w:rPr>
          <w:sz w:val="16"/>
          <w:szCs w:val="16"/>
        </w:rPr>
      </w:pPr>
      <w:r w:rsidRPr="00685491">
        <w:rPr>
          <w:rStyle w:val="FootnoteReference"/>
          <w:sz w:val="16"/>
          <w:szCs w:val="16"/>
        </w:rPr>
        <w:sym w:font="Symbol" w:char="F02A"/>
      </w:r>
      <w:r w:rsidRPr="00685491">
        <w:rPr>
          <w:sz w:val="16"/>
          <w:szCs w:val="16"/>
        </w:rPr>
        <w:t xml:space="preserve">  Habida cuenta de las inquietudes recurrentes que manifestaran algunas delegaciones durante la 20ª y la 21ª sesiones del PBC, y de la aceptación por parte de la Secretaría, en esas sesiones, de que se encuentre de una vez por todas una alternativa para traducir el término inglés “</w:t>
      </w:r>
      <w:proofErr w:type="spellStart"/>
      <w:r w:rsidRPr="00685491">
        <w:rPr>
          <w:i/>
          <w:sz w:val="16"/>
          <w:szCs w:val="16"/>
        </w:rPr>
        <w:t>brand</w:t>
      </w:r>
      <w:proofErr w:type="spellEnd"/>
      <w:r w:rsidRPr="00685491">
        <w:rPr>
          <w:sz w:val="16"/>
          <w:szCs w:val="16"/>
        </w:rPr>
        <w:t>” de otra forma que no sea “</w:t>
      </w:r>
      <w:r w:rsidRPr="00685491">
        <w:rPr>
          <w:i/>
          <w:sz w:val="16"/>
          <w:szCs w:val="16"/>
        </w:rPr>
        <w:t>marque</w:t>
      </w:r>
      <w:r w:rsidRPr="00685491">
        <w:rPr>
          <w:sz w:val="16"/>
          <w:szCs w:val="16"/>
        </w:rPr>
        <w:t>” en francés y “marca” en español, se empleará a título provisional el vocablo inglés “</w:t>
      </w:r>
      <w:proofErr w:type="spellStart"/>
      <w:r w:rsidRPr="00685491">
        <w:rPr>
          <w:i/>
          <w:sz w:val="16"/>
          <w:szCs w:val="16"/>
        </w:rPr>
        <w:t>brand</w:t>
      </w:r>
      <w:proofErr w:type="spellEnd"/>
      <w:r w:rsidRPr="00685491">
        <w:rPr>
          <w:sz w:val="16"/>
          <w:szCs w:val="16"/>
        </w:rPr>
        <w:t>” en las versiones en francés y español del presupuesto por programas del bienio 2014/15.  Se continuará buscando una solución definitiva para asegurar la claridad de la traducción del término “</w:t>
      </w:r>
      <w:proofErr w:type="spellStart"/>
      <w:r w:rsidRPr="00685491">
        <w:rPr>
          <w:i/>
          <w:sz w:val="16"/>
          <w:szCs w:val="16"/>
        </w:rPr>
        <w:t>brand</w:t>
      </w:r>
      <w:proofErr w:type="spellEnd"/>
      <w:r w:rsidRPr="00685491">
        <w:rPr>
          <w:sz w:val="16"/>
          <w:szCs w:val="16"/>
        </w:rPr>
        <w:t>” en los diferentes idiomas de publicación de la OMPI con miras a encontrar la solución a fines de 2013.  La traducción definitiva será utilizada sobre todo en la redacción del presupuesto por programas del próximo bienio 2016/17 en los diferentes idiomas de publicación de la OMPI.</w:t>
      </w:r>
    </w:p>
  </w:footnote>
  <w:footnote w:id="18">
    <w:p w:rsidR="0051745D" w:rsidRPr="00685491" w:rsidRDefault="0051745D" w:rsidP="00383888">
      <w:pPr>
        <w:pStyle w:val="FootnoteText"/>
        <w:rPr>
          <w:sz w:val="16"/>
          <w:szCs w:val="16"/>
        </w:rPr>
      </w:pPr>
      <w:r w:rsidRPr="00685491">
        <w:rPr>
          <w:rStyle w:val="FootnoteReference"/>
          <w:sz w:val="16"/>
          <w:szCs w:val="16"/>
        </w:rPr>
        <w:footnoteRef/>
      </w:r>
      <w:r w:rsidRPr="00685491">
        <w:rPr>
          <w:sz w:val="16"/>
          <w:szCs w:val="16"/>
        </w:rPr>
        <w:t xml:space="preserve">  </w:t>
      </w:r>
      <w:r w:rsidRPr="00685491">
        <w:rPr>
          <w:color w:val="000000"/>
          <w:sz w:val="16"/>
          <w:szCs w:val="16"/>
          <w:lang w:val="es-ES_tradnl"/>
        </w:rPr>
        <w:t xml:space="preserve">Se entiende por ejemplar original una solicitud PCT que, una vez presentada ante una Oficina receptora, es tramitada y remitida por ésta a la Oficina Internacional.  Puesto que los ejemplares originales son remitidos a la Oficina Internacional una vez que fueron tramitados por una Oficina receptora, los plazos de tramitación aplicados por dichas oficinas tendrán una marcada incidencia en las estadísticas.  Por ello, si bien las tendencias relativas a la recepción de ejemplares originales son indicadores válidos del volumen de trabajo de la Oficina Internacional, no se ajustan fielmente a las tendencias relativas a la presentación de solicitudes PCT. </w:t>
      </w:r>
    </w:p>
  </w:footnote>
  <w:footnote w:id="19">
    <w:p w:rsidR="0051745D" w:rsidRPr="00685491" w:rsidRDefault="0051745D" w:rsidP="00383888">
      <w:pPr>
        <w:pStyle w:val="FootnoteText"/>
        <w:rPr>
          <w:sz w:val="16"/>
          <w:szCs w:val="16"/>
          <w:lang w:val="es-ES_tradnl"/>
        </w:rPr>
      </w:pPr>
      <w:r w:rsidRPr="00685491">
        <w:rPr>
          <w:rStyle w:val="FootnoteReference"/>
          <w:sz w:val="16"/>
          <w:szCs w:val="16"/>
        </w:rPr>
        <w:footnoteRef/>
      </w:r>
      <w:r w:rsidRPr="00685491">
        <w:rPr>
          <w:sz w:val="16"/>
          <w:szCs w:val="16"/>
          <w:lang w:val="es-ES_tradnl"/>
        </w:rPr>
        <w:t xml:space="preserve">  Se puede consultar la descripción completa de esta metodología en la siguiente dirección:  </w:t>
      </w:r>
      <w:hyperlink r:id="rId3" w:history="1">
        <w:r w:rsidRPr="00685491">
          <w:rPr>
            <w:rStyle w:val="Hyperlink"/>
            <w:sz w:val="16"/>
            <w:szCs w:val="16"/>
            <w:lang w:val="es-ES_tradnl"/>
          </w:rPr>
          <w:t>www.wipo.int/edocs/mdocs/govbody/es/a_42/a_42_10-annex3.pdf</w:t>
        </w:r>
      </w:hyperlink>
      <w:r w:rsidRPr="00685491">
        <w:rPr>
          <w:sz w:val="16"/>
          <w:szCs w:val="16"/>
          <w:lang w:val="es-ES_tradnl"/>
        </w:rPr>
        <w:t>.</w:t>
      </w:r>
    </w:p>
  </w:footnote>
  <w:footnote w:id="20">
    <w:p w:rsidR="0051745D" w:rsidRPr="00685491" w:rsidRDefault="0051745D" w:rsidP="00383888">
      <w:pPr>
        <w:pStyle w:val="FootnoteText"/>
        <w:rPr>
          <w:sz w:val="16"/>
          <w:szCs w:val="16"/>
        </w:rPr>
      </w:pPr>
      <w:r w:rsidRPr="00685491">
        <w:rPr>
          <w:rStyle w:val="FootnoteReference"/>
          <w:sz w:val="16"/>
          <w:szCs w:val="16"/>
        </w:rPr>
        <w:footnoteRef/>
      </w:r>
      <w:r w:rsidRPr="00685491">
        <w:rPr>
          <w:sz w:val="16"/>
          <w:szCs w:val="16"/>
        </w:rPr>
        <w:t xml:space="preserve">  </w:t>
      </w:r>
      <w:r w:rsidRPr="00685491">
        <w:rPr>
          <w:color w:val="000000"/>
          <w:sz w:val="16"/>
          <w:szCs w:val="16"/>
          <w:lang w:val="es-ES_tradnl"/>
        </w:rPr>
        <w:t>El costo unitario que figura en el gráfico se calculó sobre la base de la metodología del costo unitario vigente hasta finales del 2012.</w:t>
      </w:r>
      <w:r w:rsidRPr="00685491">
        <w:rPr>
          <w:sz w:val="16"/>
          <w:szCs w:val="16"/>
        </w:rPr>
        <w:t xml:space="preserve">  </w:t>
      </w:r>
      <w:r w:rsidRPr="00685491">
        <w:rPr>
          <w:color w:val="000000"/>
          <w:sz w:val="16"/>
          <w:szCs w:val="16"/>
          <w:lang w:val="es-ES_tradnl"/>
        </w:rPr>
        <w:t>Desde 2013, se aplica una versión revisada de dicha metodología con el fin de garantizar su coherencia con la metodología aplicada para el cálculo de los costos por Unión.</w:t>
      </w:r>
      <w:r w:rsidRPr="00685491">
        <w:rPr>
          <w:sz w:val="16"/>
          <w:szCs w:val="16"/>
        </w:rPr>
        <w:t xml:space="preserve">  </w:t>
      </w:r>
      <w:r w:rsidRPr="00685491">
        <w:rPr>
          <w:color w:val="000000"/>
          <w:sz w:val="16"/>
          <w:szCs w:val="16"/>
          <w:lang w:val="es-ES_tradnl"/>
        </w:rPr>
        <w:t>Según la metodología revisada, el costo unitario total previsto era de 712 francos suizos en 2012, de los cuales 464 francos suizos correspondían a costos directos y 248 francos suizos a los costos indirectos.</w:t>
      </w:r>
      <w:r w:rsidRPr="00685491">
        <w:rPr>
          <w:sz w:val="16"/>
          <w:szCs w:val="16"/>
        </w:rPr>
        <w:t xml:space="preserve"> </w:t>
      </w:r>
    </w:p>
  </w:footnote>
  <w:footnote w:id="21">
    <w:p w:rsidR="0051745D" w:rsidRPr="00685491" w:rsidRDefault="0051745D" w:rsidP="00383888">
      <w:pPr>
        <w:pStyle w:val="FootnoteText"/>
        <w:rPr>
          <w:sz w:val="16"/>
          <w:szCs w:val="16"/>
          <w:lang w:val="es-ES_tradnl"/>
        </w:rPr>
      </w:pPr>
      <w:r w:rsidRPr="00685491">
        <w:rPr>
          <w:rStyle w:val="FootnoteReference"/>
          <w:sz w:val="16"/>
          <w:szCs w:val="16"/>
        </w:rPr>
        <w:footnoteRef/>
      </w:r>
      <w:r w:rsidRPr="00685491">
        <w:rPr>
          <w:sz w:val="16"/>
          <w:szCs w:val="16"/>
          <w:lang w:val="es-ES_tradnl"/>
        </w:rPr>
        <w:t xml:space="preserve">  </w:t>
      </w:r>
      <w:r w:rsidRPr="00685491">
        <w:rPr>
          <w:color w:val="000000"/>
          <w:sz w:val="16"/>
          <w:szCs w:val="16"/>
          <w:lang w:val="es-ES_tradnl"/>
        </w:rPr>
        <w:t xml:space="preserve">El sistema </w:t>
      </w:r>
      <w:proofErr w:type="spellStart"/>
      <w:r w:rsidRPr="00685491">
        <w:rPr>
          <w:i/>
          <w:color w:val="000000"/>
          <w:sz w:val="16"/>
          <w:szCs w:val="16"/>
          <w:lang w:val="es-ES_tradnl"/>
        </w:rPr>
        <w:t>eDossier</w:t>
      </w:r>
      <w:proofErr w:type="spellEnd"/>
      <w:r w:rsidRPr="00685491">
        <w:rPr>
          <w:color w:val="000000"/>
          <w:sz w:val="16"/>
          <w:szCs w:val="16"/>
          <w:lang w:val="es-ES_tradnl"/>
        </w:rPr>
        <w:t xml:space="preserve"> es la principal herramienta de trabajo del personal para la tramitación de solicitudes.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A4707B">
    <w:pPr>
      <w:pStyle w:val="Header"/>
      <w:jc w:val="right"/>
    </w:pPr>
    <w:r>
      <w:t>A/51/7 Rev.</w:t>
    </w:r>
  </w:p>
  <w:p w:rsidR="0051745D" w:rsidRDefault="0051745D" w:rsidP="00A4707B">
    <w:pPr>
      <w:pStyle w:val="Header"/>
      <w:jc w:val="right"/>
    </w:pPr>
    <w:proofErr w:type="gramStart"/>
    <w:r>
      <w:t>página</w:t>
    </w:r>
    <w:proofErr w:type="gramEnd"/>
    <w:r>
      <w:t xml:space="preserve"> </w:t>
    </w:r>
    <w:r>
      <w:fldChar w:fldCharType="begin"/>
    </w:r>
    <w:r>
      <w:instrText xml:space="preserve"> PAGE  \* MERGEFORMAT </w:instrText>
    </w:r>
    <w:r>
      <w:fldChar w:fldCharType="separate"/>
    </w:r>
    <w:r w:rsidR="00BF7ADF">
      <w:rPr>
        <w:noProof/>
      </w:rPr>
      <w:t>2</w:t>
    </w:r>
    <w:r>
      <w:fldChar w:fldCharType="end"/>
    </w:r>
  </w:p>
  <w:p w:rsidR="0051745D" w:rsidRDefault="0051745D" w:rsidP="00A4707B">
    <w:pPr>
      <w:pStyle w:val="Header"/>
      <w:jc w:val="right"/>
    </w:pPr>
  </w:p>
  <w:p w:rsidR="0051745D" w:rsidRPr="00A4707B" w:rsidRDefault="0051745D" w:rsidP="00A4707B">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7B2C29">
    <w:pPr>
      <w:pStyle w:val="Header"/>
      <w:jc w:val="right"/>
      <w:rPr>
        <w:b/>
        <w:bCs/>
        <w:sz w:val="18"/>
        <w:szCs w:val="18"/>
      </w:rPr>
    </w:pPr>
  </w:p>
  <w:p w:rsidR="0051745D" w:rsidRPr="00B336F5" w:rsidRDefault="0051745D" w:rsidP="007B2C29">
    <w:pPr>
      <w:pStyle w:val="Header"/>
      <w:jc w:val="right"/>
      <w:rPr>
        <w:b/>
        <w:bCs/>
        <w:sz w:val="18"/>
        <w:szCs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7B2C29">
    <w:pPr>
      <w:pStyle w:val="Header"/>
      <w:jc w:val="right"/>
      <w:rPr>
        <w:b/>
        <w:bCs/>
        <w:sz w:val="18"/>
        <w:szCs w:val="18"/>
      </w:rPr>
    </w:pPr>
    <w:r>
      <w:rPr>
        <w:b/>
        <w:bCs/>
        <w:sz w:val="18"/>
        <w:szCs w:val="18"/>
      </w:rPr>
      <w:t>Índice</w:t>
    </w:r>
  </w:p>
  <w:p w:rsidR="0051745D" w:rsidRDefault="0051745D" w:rsidP="007B2C29">
    <w:pPr>
      <w:pStyle w:val="Header"/>
      <w:jc w:val="right"/>
      <w:rPr>
        <w:b/>
        <w:bCs/>
        <w:sz w:val="18"/>
        <w:szCs w:val="18"/>
      </w:rPr>
    </w:pPr>
  </w:p>
  <w:p w:rsidR="0051745D" w:rsidRPr="00B336F5" w:rsidRDefault="0051745D" w:rsidP="007B2C29">
    <w:pPr>
      <w:pStyle w:val="Header"/>
      <w:jc w:val="right"/>
      <w:rPr>
        <w:b/>
        <w:bCs/>
        <w:sz w:val="18"/>
        <w:szCs w:val="18"/>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940D5F" w:rsidRDefault="0051745D" w:rsidP="007D5833">
    <w:pPr>
      <w:pStyle w:val="Header"/>
      <w:rPr>
        <w:b/>
        <w:bCs/>
        <w:sz w:val="18"/>
        <w:szCs w:val="18"/>
      </w:rPr>
    </w:pPr>
    <w:r>
      <w:rPr>
        <w:b/>
        <w:bCs/>
        <w:sz w:val="18"/>
        <w:szCs w:val="18"/>
      </w:rPr>
      <w:t>Propuesta de presupuesto por programas de 2014/15</w:t>
    </w:r>
  </w:p>
  <w:p w:rsidR="0051745D" w:rsidRPr="00940D5F" w:rsidRDefault="0051745D" w:rsidP="007D5833">
    <w:pPr>
      <w:pStyle w:val="Header"/>
      <w:rPr>
        <w:b/>
        <w:bCs/>
        <w:sz w:val="18"/>
        <w:szCs w:val="18"/>
      </w:rPr>
    </w:pPr>
  </w:p>
  <w:p w:rsidR="0051745D" w:rsidRPr="00940D5F" w:rsidRDefault="0051745D" w:rsidP="007D5833">
    <w:pPr>
      <w:pStyle w:val="Header"/>
      <w:rPr>
        <w:b/>
        <w:bCs/>
        <w:sz w:val="18"/>
        <w:szCs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7B2C29">
    <w:pPr>
      <w:pStyle w:val="Header"/>
      <w:jc w:val="right"/>
      <w:rPr>
        <w:b/>
        <w:bCs/>
        <w:sz w:val="18"/>
        <w:szCs w:val="18"/>
      </w:rPr>
    </w:pPr>
    <w:r>
      <w:rPr>
        <w:b/>
        <w:bCs/>
        <w:sz w:val="18"/>
        <w:szCs w:val="18"/>
      </w:rPr>
      <w:t>Prólogo del Director General</w:t>
    </w:r>
  </w:p>
  <w:p w:rsidR="0051745D" w:rsidRDefault="0051745D" w:rsidP="007B2C29">
    <w:pPr>
      <w:pStyle w:val="Header"/>
      <w:jc w:val="right"/>
      <w:rPr>
        <w:b/>
        <w:bCs/>
        <w:sz w:val="18"/>
        <w:szCs w:val="18"/>
      </w:rPr>
    </w:pPr>
  </w:p>
  <w:p w:rsidR="0051745D" w:rsidRPr="00B336F5" w:rsidRDefault="0051745D" w:rsidP="007B2C29">
    <w:pPr>
      <w:pStyle w:val="Header"/>
      <w:jc w:val="right"/>
      <w:rPr>
        <w:b/>
        <w:bCs/>
        <w:sz w:val="18"/>
        <w:szCs w:val="18"/>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F651AE" w:rsidRDefault="0051745D" w:rsidP="007B2C29">
    <w:pPr>
      <w:pStyle w:val="Header"/>
      <w:rPr>
        <w:b/>
        <w:bCs/>
        <w:sz w:val="18"/>
        <w:szCs w:val="18"/>
      </w:rPr>
    </w:pPr>
    <w:r>
      <w:rPr>
        <w:b/>
        <w:bCs/>
        <w:sz w:val="18"/>
        <w:szCs w:val="18"/>
      </w:rPr>
      <w:t>Propuesta de presupuesto por programas de 2014/15</w:t>
    </w:r>
  </w:p>
  <w:p w:rsidR="0051745D" w:rsidRPr="00F651AE" w:rsidRDefault="0051745D" w:rsidP="007B2C29">
    <w:pPr>
      <w:pStyle w:val="Header"/>
      <w:rPr>
        <w:b/>
        <w:bCs/>
        <w:sz w:val="18"/>
        <w:szCs w:val="18"/>
      </w:rPr>
    </w:pPr>
  </w:p>
  <w:p w:rsidR="0051745D" w:rsidRPr="00F651AE" w:rsidRDefault="0051745D" w:rsidP="007B2C29">
    <w:pPr>
      <w:pStyle w:val="Header"/>
      <w:rPr>
        <w:b/>
        <w:bCs/>
        <w:sz w:val="18"/>
        <w:szCs w:val="18"/>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7B2C29">
    <w:pPr>
      <w:pStyle w:val="Header"/>
      <w:jc w:val="right"/>
      <w:rPr>
        <w:b/>
        <w:bCs/>
        <w:sz w:val="18"/>
        <w:szCs w:val="18"/>
      </w:rPr>
    </w:pPr>
    <w:r>
      <w:rPr>
        <w:b/>
        <w:bCs/>
        <w:sz w:val="18"/>
        <w:szCs w:val="18"/>
      </w:rPr>
      <w:t>Visión de conjunto de los resultados</w:t>
    </w:r>
  </w:p>
  <w:p w:rsidR="0051745D" w:rsidRDefault="0051745D" w:rsidP="007B2C29">
    <w:pPr>
      <w:pStyle w:val="Header"/>
      <w:jc w:val="right"/>
      <w:rPr>
        <w:b/>
        <w:bCs/>
        <w:sz w:val="18"/>
        <w:szCs w:val="18"/>
      </w:rPr>
    </w:pPr>
  </w:p>
  <w:p w:rsidR="0051745D" w:rsidRPr="00B336F5" w:rsidRDefault="0051745D" w:rsidP="007B2C29">
    <w:pPr>
      <w:pStyle w:val="Header"/>
      <w:jc w:val="right"/>
      <w:rPr>
        <w:b/>
        <w:bCs/>
        <w:sz w:val="18"/>
        <w:szCs w:val="18"/>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3913C9">
    <w:pPr>
      <w:pStyle w:val="Header"/>
      <w:spacing w:before="60"/>
      <w:rPr>
        <w:b/>
        <w:bCs/>
        <w:sz w:val="18"/>
        <w:szCs w:val="18"/>
      </w:rPr>
    </w:pPr>
    <w:r>
      <w:rPr>
        <w:b/>
        <w:bCs/>
        <w:sz w:val="18"/>
        <w:szCs w:val="18"/>
      </w:rPr>
      <w:t>Propuesta de presupuesto por programas para 2014/15</w:t>
    </w:r>
  </w:p>
  <w:p w:rsidR="0051745D" w:rsidRPr="003913C9" w:rsidRDefault="0051745D" w:rsidP="007B2C29">
    <w:pPr>
      <w:pStyle w:val="Header"/>
      <w:rPr>
        <w:b/>
        <w:bCs/>
        <w:sz w:val="12"/>
        <w:szCs w:val="12"/>
      </w:rPr>
    </w:pPr>
  </w:p>
  <w:p w:rsidR="0051745D" w:rsidRPr="00034AA5" w:rsidRDefault="0051745D" w:rsidP="007B2C29">
    <w:pPr>
      <w:jc w:val="center"/>
      <w:rPr>
        <w:sz w:val="20"/>
      </w:rPr>
    </w:pPr>
    <w:r w:rsidRPr="00034AA5">
      <w:rPr>
        <w:sz w:val="20"/>
      </w:rPr>
      <w:t>MARCO DE RESULTADOS Y PRESUPUESTO POR PROGRAMAS PARA 2014/15, INCLUIDA LA CUOTA ASIGNADA AL DESARROLLO</w:t>
    </w:r>
    <w:r>
      <w:rPr>
        <w:sz w:val="20"/>
      </w:rPr>
      <w:t>,</w:t>
    </w:r>
    <w:r w:rsidRPr="00034AA5">
      <w:rPr>
        <w:sz w:val="20"/>
      </w:rPr>
      <w:t xml:space="preserve"> POR RESULTADO</w:t>
    </w:r>
    <w:r w:rsidRPr="00034AA5">
      <w:rPr>
        <w:b/>
        <w:bCs/>
        <w:sz w:val="16"/>
        <w:szCs w:val="16"/>
      </w:rPr>
      <w:t xml:space="preserve"> </w:t>
    </w:r>
    <w:r w:rsidRPr="00034AA5">
      <w:rPr>
        <w:b/>
        <w:bCs/>
        <w:sz w:val="16"/>
        <w:szCs w:val="16"/>
        <w:vertAlign w:val="superscript"/>
      </w:rPr>
      <w:t>1, 2, 3, 4</w:t>
    </w:r>
  </w:p>
  <w:p w:rsidR="0051745D" w:rsidRPr="00945E6F" w:rsidRDefault="0051745D" w:rsidP="007B2C29">
    <w:pPr>
      <w:tabs>
        <w:tab w:val="right" w:pos="2835"/>
      </w:tabs>
      <w:jc w:val="center"/>
      <w:rPr>
        <w:b/>
        <w:bCs/>
        <w:sz w:val="16"/>
        <w:szCs w:val="16"/>
      </w:rPr>
    </w:pPr>
    <w:r w:rsidRPr="00945E6F">
      <w:rPr>
        <w:b/>
        <w:bCs/>
        <w:sz w:val="16"/>
        <w:szCs w:val="16"/>
      </w:rPr>
      <w:t>(</w:t>
    </w:r>
    <w:proofErr w:type="gramStart"/>
    <w:r w:rsidRPr="00945E6F">
      <w:rPr>
        <w:b/>
        <w:bCs/>
        <w:sz w:val="16"/>
        <w:szCs w:val="16"/>
      </w:rPr>
      <w:t>en</w:t>
    </w:r>
    <w:proofErr w:type="gramEnd"/>
    <w:r w:rsidRPr="00945E6F">
      <w:rPr>
        <w:b/>
        <w:bCs/>
        <w:sz w:val="16"/>
        <w:szCs w:val="16"/>
      </w:rPr>
      <w:t xml:space="preserve"> miles de francos suizos)</w:t>
    </w:r>
  </w:p>
  <w:p w:rsidR="0051745D" w:rsidRPr="00034AA5" w:rsidRDefault="0051745D" w:rsidP="007B2C29">
    <w:pPr>
      <w:pStyle w:val="Header"/>
      <w:rPr>
        <w:b/>
        <w:bCs/>
        <w:sz w:val="12"/>
        <w:szCs w:val="12"/>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F651AE">
    <w:pPr>
      <w:pStyle w:val="Header"/>
      <w:jc w:val="right"/>
      <w:rPr>
        <w:b/>
        <w:bCs/>
        <w:sz w:val="18"/>
        <w:szCs w:val="18"/>
      </w:rPr>
    </w:pPr>
    <w:r>
      <w:rPr>
        <w:b/>
        <w:bCs/>
        <w:sz w:val="18"/>
        <w:szCs w:val="18"/>
      </w:rPr>
      <w:t>Visión de conjunto de los resultados</w:t>
    </w:r>
  </w:p>
  <w:p w:rsidR="0051745D" w:rsidRDefault="0051745D" w:rsidP="00F651AE">
    <w:pPr>
      <w:pStyle w:val="Header"/>
      <w:jc w:val="right"/>
      <w:rPr>
        <w:b/>
        <w:bCs/>
        <w:sz w:val="20"/>
      </w:rPr>
    </w:pPr>
  </w:p>
  <w:p w:rsidR="0051745D" w:rsidRPr="00F651AE" w:rsidRDefault="0051745D" w:rsidP="007B2C29">
    <w:pPr>
      <w:pStyle w:val="Header"/>
      <w:jc w:val="center"/>
      <w:rPr>
        <w:b/>
        <w:bCs/>
        <w:sz w:val="20"/>
      </w:rPr>
    </w:pPr>
    <w:r w:rsidRPr="004F32F6">
      <w:rPr>
        <w:b/>
        <w:bCs/>
        <w:sz w:val="20"/>
      </w:rPr>
      <w:t>MARCO DE RESULTADOS Y PRESUPUESTO POR PROGRAMAS PARA 2014/15, INCLUIDA LA CUOTA ASIGNADA AL DESARROLLO POR RESULTADO</w:t>
    </w:r>
    <w:r>
      <w:rPr>
        <w:b/>
        <w:bCs/>
        <w:sz w:val="20"/>
      </w:rPr>
      <w:t xml:space="preserve"> </w:t>
    </w:r>
    <w:r>
      <w:rPr>
        <w:b/>
        <w:bCs/>
        <w:sz w:val="20"/>
        <w:vertAlign w:val="superscript"/>
      </w:rPr>
      <w:t>1, 2, 3, 4</w:t>
    </w:r>
  </w:p>
  <w:p w:rsidR="0051745D" w:rsidRDefault="0051745D" w:rsidP="007B2C29">
    <w:pPr>
      <w:pStyle w:val="Header"/>
      <w:jc w:val="center"/>
      <w:rPr>
        <w:b/>
        <w:bCs/>
        <w:sz w:val="18"/>
        <w:szCs w:val="18"/>
      </w:rPr>
    </w:pPr>
    <w:r w:rsidRPr="00C36334">
      <w:rPr>
        <w:b/>
        <w:bCs/>
        <w:sz w:val="18"/>
        <w:szCs w:val="18"/>
      </w:rPr>
      <w:t>(</w:t>
    </w:r>
    <w:proofErr w:type="gramStart"/>
    <w:r w:rsidRPr="00C36334">
      <w:rPr>
        <w:b/>
        <w:bCs/>
        <w:sz w:val="18"/>
        <w:szCs w:val="18"/>
      </w:rPr>
      <w:t>en</w:t>
    </w:r>
    <w:proofErr w:type="gramEnd"/>
    <w:r w:rsidRPr="00C36334">
      <w:rPr>
        <w:b/>
        <w:bCs/>
        <w:sz w:val="18"/>
        <w:szCs w:val="18"/>
      </w:rPr>
      <w:t xml:space="preserve"> miles de francos suizos)</w:t>
    </w:r>
  </w:p>
  <w:p w:rsidR="0051745D" w:rsidRPr="00F651AE" w:rsidRDefault="0051745D" w:rsidP="007B2C29">
    <w:pPr>
      <w:pStyle w:val="Header"/>
      <w:jc w:val="center"/>
      <w:rPr>
        <w:b/>
        <w:bCs/>
        <w:sz w:val="14"/>
        <w:szCs w:val="14"/>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FF362A">
    <w:pPr>
      <w:pStyle w:val="Header"/>
      <w:rPr>
        <w:b/>
        <w:bCs/>
        <w:sz w:val="18"/>
        <w:szCs w:val="18"/>
      </w:rPr>
    </w:pPr>
    <w:r w:rsidRPr="00BD56AC">
      <w:rPr>
        <w:b/>
        <w:bCs/>
        <w:sz w:val="18"/>
        <w:szCs w:val="18"/>
      </w:rPr>
      <w:t>Pro</w:t>
    </w:r>
    <w:r>
      <w:rPr>
        <w:b/>
        <w:bCs/>
        <w:sz w:val="18"/>
        <w:szCs w:val="18"/>
      </w:rPr>
      <w:t>puesta</w:t>
    </w:r>
    <w:r w:rsidRPr="00BD56AC">
      <w:rPr>
        <w:b/>
        <w:bCs/>
        <w:sz w:val="18"/>
        <w:szCs w:val="18"/>
      </w:rPr>
      <w:t xml:space="preserve"> de presupuesto por programas </w:t>
    </w:r>
    <w:r>
      <w:rPr>
        <w:b/>
        <w:bCs/>
        <w:sz w:val="18"/>
        <w:szCs w:val="18"/>
      </w:rPr>
      <w:t>de</w:t>
    </w:r>
    <w:r w:rsidRPr="00BD56AC">
      <w:rPr>
        <w:b/>
        <w:bCs/>
        <w:sz w:val="18"/>
        <w:szCs w:val="18"/>
      </w:rPr>
      <w:t xml:space="preserve"> 2014/15</w:t>
    </w:r>
  </w:p>
  <w:p w:rsidR="0051745D" w:rsidRPr="00BD56AC" w:rsidRDefault="0051745D" w:rsidP="00FF362A">
    <w:pPr>
      <w:pStyle w:val="Header"/>
      <w:rPr>
        <w:b/>
        <w:bCs/>
        <w:sz w:val="18"/>
        <w:szCs w:val="18"/>
      </w:rPr>
    </w:pPr>
  </w:p>
  <w:p w:rsidR="0051745D" w:rsidRPr="00BD56AC" w:rsidRDefault="0051745D" w:rsidP="00FF362A">
    <w:pPr>
      <w:pStyle w:val="Header"/>
      <w:rPr>
        <w:b/>
        <w:bCs/>
        <w:sz w:val="18"/>
        <w:szCs w:val="18"/>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767E14">
    <w:pPr>
      <w:pStyle w:val="Header"/>
      <w:jc w:val="right"/>
      <w:rPr>
        <w:b/>
        <w:bCs/>
        <w:sz w:val="18"/>
        <w:szCs w:val="18"/>
      </w:rPr>
    </w:pPr>
    <w:r>
      <w:rPr>
        <w:b/>
        <w:bCs/>
        <w:sz w:val="18"/>
        <w:szCs w:val="18"/>
      </w:rPr>
      <w:t>Panorama financiero</w:t>
    </w:r>
  </w:p>
  <w:p w:rsidR="0051745D" w:rsidRDefault="0051745D" w:rsidP="00767E14">
    <w:pPr>
      <w:pStyle w:val="Header"/>
      <w:jc w:val="right"/>
      <w:rPr>
        <w:b/>
        <w:bCs/>
        <w:sz w:val="18"/>
        <w:szCs w:val="18"/>
      </w:rPr>
    </w:pPr>
  </w:p>
  <w:p w:rsidR="0051745D" w:rsidRPr="00B336F5" w:rsidRDefault="0051745D" w:rsidP="00767E14">
    <w:pPr>
      <w:pStyle w:val="Header"/>
      <w:jc w:val="right"/>
      <w:rPr>
        <w:b/>
        <w:bCs/>
        <w:sz w:val="18"/>
        <w:szCs w:val="18"/>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237451">
    <w:pPr>
      <w:pStyle w:val="Header"/>
      <w:rPr>
        <w:b/>
        <w:bCs/>
        <w:sz w:val="18"/>
        <w:szCs w:val="18"/>
      </w:rPr>
    </w:pPr>
    <w:r>
      <w:rPr>
        <w:b/>
        <w:bCs/>
        <w:sz w:val="18"/>
        <w:szCs w:val="18"/>
      </w:rPr>
      <w:t>Propuesta de presupuesto por programas de 2014/15</w:t>
    </w:r>
  </w:p>
  <w:p w:rsidR="0051745D" w:rsidRPr="00F651AE" w:rsidRDefault="0051745D" w:rsidP="00237451">
    <w:pPr>
      <w:pStyle w:val="Header"/>
      <w:rPr>
        <w:b/>
        <w:bCs/>
        <w:sz w:val="18"/>
        <w:szCs w:val="18"/>
      </w:rPr>
    </w:pPr>
  </w:p>
  <w:p w:rsidR="0051745D" w:rsidRPr="00F651AE" w:rsidRDefault="0051745D" w:rsidP="00237451">
    <w:pPr>
      <w:pStyle w:val="Header"/>
      <w:rPr>
        <w:b/>
        <w:bCs/>
        <w:sz w:val="18"/>
        <w:szCs w:val="18"/>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8B2320">
    <w:pPr>
      <w:pStyle w:val="Header"/>
      <w:rPr>
        <w:b/>
        <w:bCs/>
        <w:sz w:val="18"/>
        <w:szCs w:val="18"/>
      </w:rPr>
    </w:pPr>
  </w:p>
  <w:p w:rsidR="0051745D" w:rsidRDefault="0051745D" w:rsidP="008B2320">
    <w:pPr>
      <w:pStyle w:val="Header"/>
      <w:rPr>
        <w:b/>
        <w:bCs/>
        <w:sz w:val="18"/>
        <w:szCs w:val="18"/>
      </w:rPr>
    </w:pPr>
  </w:p>
  <w:p w:rsidR="0051745D" w:rsidRPr="00B336F5" w:rsidRDefault="0051745D" w:rsidP="008B2320">
    <w:pPr>
      <w:pStyle w:val="Header"/>
      <w:rPr>
        <w:b/>
        <w:bCs/>
        <w:sz w:val="18"/>
        <w:szCs w:val="18"/>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767E14">
    <w:pPr>
      <w:pStyle w:val="Header"/>
      <w:jc w:val="right"/>
      <w:rPr>
        <w:b/>
        <w:bCs/>
        <w:sz w:val="18"/>
        <w:szCs w:val="18"/>
      </w:rPr>
    </w:pPr>
    <w:r w:rsidRPr="00060594">
      <w:rPr>
        <w:b/>
        <w:bCs/>
        <w:sz w:val="18"/>
        <w:szCs w:val="18"/>
      </w:rPr>
      <w:t>Meta estratégica I</w:t>
    </w:r>
  </w:p>
  <w:p w:rsidR="0051745D" w:rsidRDefault="0051745D" w:rsidP="00767E14">
    <w:pPr>
      <w:pStyle w:val="Header"/>
      <w:jc w:val="right"/>
      <w:rPr>
        <w:b/>
        <w:bCs/>
        <w:sz w:val="18"/>
        <w:szCs w:val="18"/>
      </w:rPr>
    </w:pPr>
  </w:p>
  <w:p w:rsidR="0051745D" w:rsidRPr="00B336F5" w:rsidRDefault="0051745D" w:rsidP="00767E14">
    <w:pPr>
      <w:pStyle w:val="Header"/>
      <w:jc w:val="right"/>
      <w:rPr>
        <w:b/>
        <w:bCs/>
        <w:sz w:val="18"/>
        <w:szCs w:val="18"/>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5231DF">
    <w:pPr>
      <w:pStyle w:val="Header"/>
      <w:jc w:val="right"/>
      <w:rPr>
        <w:b/>
        <w:bCs/>
        <w:sz w:val="18"/>
        <w:szCs w:val="18"/>
      </w:rPr>
    </w:pPr>
    <w:r w:rsidRPr="00060594">
      <w:rPr>
        <w:b/>
        <w:bCs/>
        <w:sz w:val="18"/>
        <w:szCs w:val="18"/>
      </w:rPr>
      <w:t>Meta estratégica I</w:t>
    </w:r>
  </w:p>
  <w:p w:rsidR="0051745D" w:rsidRDefault="0051745D" w:rsidP="005231DF">
    <w:pPr>
      <w:pStyle w:val="Header"/>
      <w:jc w:val="right"/>
      <w:rPr>
        <w:b/>
        <w:bCs/>
        <w:sz w:val="18"/>
        <w:szCs w:val="18"/>
      </w:rPr>
    </w:pPr>
  </w:p>
  <w:p w:rsidR="0051745D" w:rsidRPr="00B336F5" w:rsidRDefault="0051745D" w:rsidP="005231DF">
    <w:pPr>
      <w:pStyle w:val="Header"/>
      <w:jc w:val="right"/>
      <w:rPr>
        <w:b/>
        <w:bCs/>
        <w:sz w:val="18"/>
        <w:szCs w:val="18"/>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1F01D6">
    <w:pPr>
      <w:pStyle w:val="Header"/>
      <w:jc w:val="right"/>
      <w:rPr>
        <w:b/>
        <w:bCs/>
        <w:sz w:val="18"/>
        <w:szCs w:val="18"/>
      </w:rPr>
    </w:pPr>
    <w:r>
      <w:rPr>
        <w:b/>
        <w:bCs/>
        <w:sz w:val="18"/>
        <w:szCs w:val="18"/>
      </w:rPr>
      <w:t>Meta estratégica II</w:t>
    </w:r>
  </w:p>
  <w:p w:rsidR="0051745D" w:rsidRPr="001F01D6" w:rsidRDefault="0051745D" w:rsidP="001F01D6">
    <w:pPr>
      <w:pStyle w:val="Header"/>
      <w:jc w:val="right"/>
      <w:rPr>
        <w:b/>
        <w:bCs/>
        <w:sz w:val="18"/>
        <w:szCs w:val="18"/>
      </w:rPr>
    </w:pPr>
  </w:p>
  <w:p w:rsidR="0051745D" w:rsidRPr="001F01D6" w:rsidRDefault="0051745D" w:rsidP="001F01D6">
    <w:pPr>
      <w:pStyle w:val="Header"/>
      <w:jc w:val="right"/>
      <w:rPr>
        <w:sz w:val="18"/>
        <w:szCs w:val="18"/>
      </w:rP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5231DF">
    <w:pPr>
      <w:pStyle w:val="Header"/>
      <w:jc w:val="right"/>
      <w:rPr>
        <w:b/>
        <w:bCs/>
        <w:sz w:val="18"/>
        <w:szCs w:val="18"/>
      </w:rPr>
    </w:pPr>
    <w:r w:rsidRPr="00060594">
      <w:rPr>
        <w:b/>
        <w:bCs/>
        <w:sz w:val="18"/>
        <w:szCs w:val="18"/>
      </w:rPr>
      <w:t>Meta estratégica I</w:t>
    </w:r>
    <w:r>
      <w:rPr>
        <w:b/>
        <w:bCs/>
        <w:sz w:val="18"/>
        <w:szCs w:val="18"/>
      </w:rPr>
      <w:t>I</w:t>
    </w:r>
  </w:p>
  <w:p w:rsidR="0051745D" w:rsidRPr="00BD56AC" w:rsidRDefault="0051745D" w:rsidP="005231DF">
    <w:pPr>
      <w:pStyle w:val="Header"/>
      <w:jc w:val="right"/>
      <w:rPr>
        <w:b/>
        <w:bCs/>
        <w:sz w:val="18"/>
        <w:szCs w:val="18"/>
      </w:rPr>
    </w:pPr>
  </w:p>
  <w:p w:rsidR="0051745D" w:rsidRPr="00B336F5" w:rsidRDefault="0051745D" w:rsidP="005231DF">
    <w:pPr>
      <w:pStyle w:val="Header"/>
      <w:jc w:val="right"/>
      <w:rPr>
        <w:b/>
        <w:bCs/>
        <w:sz w:val="18"/>
        <w:szCs w:val="18"/>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FF362A">
    <w:pPr>
      <w:pStyle w:val="Header"/>
      <w:rPr>
        <w:b/>
        <w:bCs/>
        <w:sz w:val="18"/>
        <w:szCs w:val="18"/>
      </w:rPr>
    </w:pPr>
    <w:r w:rsidRPr="00BD56AC">
      <w:rPr>
        <w:b/>
        <w:bCs/>
        <w:sz w:val="18"/>
        <w:szCs w:val="18"/>
      </w:rPr>
      <w:t>Pro</w:t>
    </w:r>
    <w:r>
      <w:rPr>
        <w:b/>
        <w:bCs/>
        <w:sz w:val="18"/>
        <w:szCs w:val="18"/>
      </w:rPr>
      <w:t>puesta</w:t>
    </w:r>
    <w:r w:rsidRPr="00BD56AC">
      <w:rPr>
        <w:b/>
        <w:bCs/>
        <w:sz w:val="18"/>
        <w:szCs w:val="18"/>
      </w:rPr>
      <w:t xml:space="preserve"> de presupuesto por programas </w:t>
    </w:r>
    <w:r>
      <w:rPr>
        <w:b/>
        <w:bCs/>
        <w:sz w:val="18"/>
        <w:szCs w:val="18"/>
      </w:rPr>
      <w:t>de</w:t>
    </w:r>
    <w:r w:rsidRPr="00BD56AC">
      <w:rPr>
        <w:b/>
        <w:bCs/>
        <w:sz w:val="18"/>
        <w:szCs w:val="18"/>
      </w:rPr>
      <w:t xml:space="preserve"> 2014/15</w:t>
    </w:r>
  </w:p>
  <w:p w:rsidR="0051745D" w:rsidRPr="00BD56AC" w:rsidRDefault="0051745D" w:rsidP="00FF362A">
    <w:pPr>
      <w:pStyle w:val="Header"/>
      <w:rPr>
        <w:b/>
        <w:bCs/>
        <w:sz w:val="18"/>
        <w:szCs w:val="18"/>
      </w:rPr>
    </w:pPr>
  </w:p>
  <w:p w:rsidR="0051745D" w:rsidRPr="00BD56AC" w:rsidRDefault="0051745D" w:rsidP="00FF362A">
    <w:pPr>
      <w:pStyle w:val="Header"/>
      <w:rPr>
        <w:b/>
        <w:bCs/>
        <w:sz w:val="18"/>
        <w:szCs w:val="18"/>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1F01D6">
    <w:pPr>
      <w:pStyle w:val="Header"/>
      <w:jc w:val="right"/>
      <w:rPr>
        <w:b/>
        <w:bCs/>
        <w:sz w:val="18"/>
        <w:szCs w:val="18"/>
      </w:rPr>
    </w:pPr>
    <w:r>
      <w:rPr>
        <w:b/>
        <w:bCs/>
        <w:sz w:val="18"/>
        <w:szCs w:val="18"/>
      </w:rPr>
      <w:t>Meta estratégica II</w:t>
    </w:r>
  </w:p>
  <w:p w:rsidR="0051745D" w:rsidRPr="001F01D6" w:rsidRDefault="0051745D" w:rsidP="001F01D6">
    <w:pPr>
      <w:pStyle w:val="Header"/>
      <w:jc w:val="right"/>
      <w:rPr>
        <w:b/>
        <w:bCs/>
        <w:sz w:val="18"/>
        <w:szCs w:val="18"/>
      </w:rPr>
    </w:pPr>
  </w:p>
  <w:p w:rsidR="0051745D" w:rsidRPr="001F01D6" w:rsidRDefault="0051745D" w:rsidP="001F01D6">
    <w:pPr>
      <w:pStyle w:val="Header"/>
      <w:jc w:val="right"/>
      <w:rPr>
        <w:sz w:val="18"/>
        <w:szCs w:val="18"/>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FF362A">
    <w:pPr>
      <w:pStyle w:val="Header"/>
      <w:rPr>
        <w:b/>
        <w:bCs/>
        <w:sz w:val="18"/>
        <w:szCs w:val="18"/>
      </w:rPr>
    </w:pPr>
    <w:r w:rsidRPr="00BD56AC">
      <w:rPr>
        <w:b/>
        <w:bCs/>
        <w:sz w:val="18"/>
        <w:szCs w:val="18"/>
      </w:rPr>
      <w:t>Pro</w:t>
    </w:r>
    <w:r>
      <w:rPr>
        <w:b/>
        <w:bCs/>
        <w:sz w:val="18"/>
        <w:szCs w:val="18"/>
      </w:rPr>
      <w:t>puesta</w:t>
    </w:r>
    <w:r w:rsidRPr="00BD56AC">
      <w:rPr>
        <w:b/>
        <w:bCs/>
        <w:sz w:val="18"/>
        <w:szCs w:val="18"/>
      </w:rPr>
      <w:t xml:space="preserve"> de presupuesto por programas para 2014/15</w:t>
    </w:r>
  </w:p>
  <w:p w:rsidR="0051745D" w:rsidRPr="00BD56AC" w:rsidRDefault="0051745D" w:rsidP="00FF362A">
    <w:pPr>
      <w:pStyle w:val="Header"/>
      <w:rPr>
        <w:b/>
        <w:bCs/>
        <w:sz w:val="18"/>
        <w:szCs w:val="18"/>
      </w:rPr>
    </w:pPr>
  </w:p>
  <w:p w:rsidR="0051745D" w:rsidRPr="00BD56AC" w:rsidRDefault="0051745D" w:rsidP="00FF362A">
    <w:pPr>
      <w:pStyle w:val="Header"/>
      <w:rPr>
        <w:b/>
        <w:bCs/>
        <w:sz w:val="18"/>
        <w:szCs w:val="18"/>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1F01D6">
    <w:pPr>
      <w:pStyle w:val="Header"/>
      <w:jc w:val="right"/>
      <w:rPr>
        <w:b/>
        <w:bCs/>
        <w:sz w:val="18"/>
        <w:szCs w:val="18"/>
      </w:rPr>
    </w:pPr>
    <w:r w:rsidRPr="00D46726">
      <w:rPr>
        <w:b/>
        <w:bCs/>
        <w:sz w:val="18"/>
        <w:szCs w:val="18"/>
      </w:rPr>
      <w:t>Meta estratégica </w:t>
    </w:r>
    <w:r>
      <w:rPr>
        <w:b/>
        <w:bCs/>
        <w:sz w:val="18"/>
        <w:szCs w:val="18"/>
      </w:rPr>
      <w:t>III</w:t>
    </w:r>
  </w:p>
  <w:p w:rsidR="0051745D" w:rsidRPr="001F01D6" w:rsidRDefault="0051745D" w:rsidP="001F01D6">
    <w:pPr>
      <w:pStyle w:val="Header"/>
      <w:jc w:val="right"/>
      <w:rPr>
        <w:b/>
        <w:bCs/>
        <w:sz w:val="18"/>
        <w:szCs w:val="18"/>
      </w:rPr>
    </w:pPr>
  </w:p>
  <w:p w:rsidR="0051745D" w:rsidRPr="001F01D6" w:rsidRDefault="0051745D" w:rsidP="001F01D6">
    <w:pPr>
      <w:pStyle w:val="Header"/>
      <w:jc w:val="right"/>
      <w:rPr>
        <w:sz w:val="18"/>
        <w:szCs w:val="18"/>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B47699">
    <w:pPr>
      <w:pStyle w:val="Header"/>
      <w:jc w:val="right"/>
      <w:rPr>
        <w:b/>
        <w:bCs/>
        <w:sz w:val="18"/>
        <w:szCs w:val="18"/>
      </w:rPr>
    </w:pPr>
    <w:r>
      <w:rPr>
        <w:b/>
        <w:bCs/>
        <w:sz w:val="18"/>
        <w:szCs w:val="18"/>
      </w:rPr>
      <w:t>Meta estratégica III</w:t>
    </w:r>
  </w:p>
  <w:p w:rsidR="0051745D" w:rsidRPr="00BD56AC" w:rsidRDefault="0051745D" w:rsidP="00B47699">
    <w:pPr>
      <w:pStyle w:val="Header"/>
      <w:jc w:val="right"/>
      <w:rPr>
        <w:b/>
        <w:bCs/>
        <w:sz w:val="18"/>
        <w:szCs w:val="18"/>
      </w:rPr>
    </w:pPr>
  </w:p>
  <w:p w:rsidR="0051745D" w:rsidRPr="00BD56AC" w:rsidRDefault="0051745D" w:rsidP="00B47699">
    <w:pPr>
      <w:pStyle w:val="Header"/>
      <w:jc w:val="right"/>
      <w:rPr>
        <w:b/>
        <w:bCs/>
        <w:sz w:val="18"/>
        <w:szCs w:val="18"/>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FF362A">
    <w:pPr>
      <w:pStyle w:val="Header"/>
      <w:rPr>
        <w:b/>
        <w:bCs/>
        <w:sz w:val="18"/>
        <w:szCs w:val="18"/>
      </w:rPr>
    </w:pPr>
    <w:r w:rsidRPr="00BD56AC">
      <w:rPr>
        <w:b/>
        <w:bCs/>
        <w:sz w:val="18"/>
        <w:szCs w:val="18"/>
      </w:rPr>
      <w:t>Pro</w:t>
    </w:r>
    <w:r>
      <w:rPr>
        <w:b/>
        <w:bCs/>
        <w:sz w:val="18"/>
        <w:szCs w:val="18"/>
      </w:rPr>
      <w:t>puesta</w:t>
    </w:r>
    <w:r w:rsidRPr="00BD56AC">
      <w:rPr>
        <w:b/>
        <w:bCs/>
        <w:sz w:val="18"/>
        <w:szCs w:val="18"/>
      </w:rPr>
      <w:t xml:space="preserve"> de presupuesto por programas para 2014/15</w:t>
    </w:r>
  </w:p>
  <w:p w:rsidR="0051745D" w:rsidRPr="00BD56AC" w:rsidRDefault="0051745D" w:rsidP="00FF362A">
    <w:pPr>
      <w:pStyle w:val="Header"/>
      <w:rPr>
        <w:b/>
        <w:bCs/>
        <w:sz w:val="18"/>
        <w:szCs w:val="18"/>
      </w:rPr>
    </w:pPr>
  </w:p>
  <w:p w:rsidR="0051745D" w:rsidRPr="00BD56AC" w:rsidRDefault="0051745D" w:rsidP="00FF362A">
    <w:pPr>
      <w:pStyle w:val="Header"/>
      <w:rPr>
        <w:b/>
        <w:bCs/>
        <w:sz w:val="18"/>
        <w:szCs w:val="18"/>
      </w:rP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1F01D6">
    <w:pPr>
      <w:pStyle w:val="Header"/>
      <w:jc w:val="right"/>
      <w:rPr>
        <w:b/>
        <w:bCs/>
        <w:sz w:val="18"/>
        <w:szCs w:val="18"/>
      </w:rPr>
    </w:pPr>
    <w:r w:rsidRPr="00D46726">
      <w:rPr>
        <w:b/>
        <w:bCs/>
        <w:sz w:val="18"/>
        <w:szCs w:val="18"/>
      </w:rPr>
      <w:t>Meta estratégica </w:t>
    </w:r>
    <w:r>
      <w:rPr>
        <w:b/>
        <w:bCs/>
        <w:sz w:val="18"/>
        <w:szCs w:val="18"/>
      </w:rPr>
      <w:t>IV</w:t>
    </w:r>
  </w:p>
  <w:p w:rsidR="0051745D" w:rsidRPr="001F01D6" w:rsidRDefault="0051745D" w:rsidP="001F01D6">
    <w:pPr>
      <w:pStyle w:val="Header"/>
      <w:jc w:val="right"/>
      <w:rPr>
        <w:b/>
        <w:bCs/>
        <w:sz w:val="18"/>
        <w:szCs w:val="18"/>
      </w:rPr>
    </w:pPr>
  </w:p>
  <w:p w:rsidR="0051745D" w:rsidRPr="001F01D6" w:rsidRDefault="0051745D" w:rsidP="001F01D6">
    <w:pPr>
      <w:pStyle w:val="Header"/>
      <w:jc w:val="right"/>
      <w:rPr>
        <w:sz w:val="18"/>
        <w:szCs w:val="18"/>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0D64CD">
    <w:pPr>
      <w:pStyle w:val="Header"/>
      <w:jc w:val="right"/>
      <w:rPr>
        <w:b/>
        <w:bCs/>
        <w:sz w:val="18"/>
        <w:szCs w:val="18"/>
      </w:rPr>
    </w:pPr>
    <w:r w:rsidRPr="00D46726">
      <w:rPr>
        <w:b/>
        <w:bCs/>
        <w:sz w:val="18"/>
        <w:szCs w:val="18"/>
      </w:rPr>
      <w:t>Meta estratégica </w:t>
    </w:r>
    <w:r>
      <w:rPr>
        <w:b/>
        <w:bCs/>
        <w:sz w:val="18"/>
        <w:szCs w:val="18"/>
      </w:rPr>
      <w:t>IV</w:t>
    </w:r>
  </w:p>
  <w:p w:rsidR="0051745D" w:rsidRPr="00BD56AC" w:rsidRDefault="0051745D" w:rsidP="000D64CD">
    <w:pPr>
      <w:pStyle w:val="Header"/>
      <w:jc w:val="right"/>
      <w:rPr>
        <w:b/>
        <w:bCs/>
        <w:sz w:val="18"/>
        <w:szCs w:val="18"/>
      </w:rPr>
    </w:pPr>
  </w:p>
  <w:p w:rsidR="0051745D" w:rsidRPr="00BD56AC" w:rsidRDefault="0051745D" w:rsidP="000D64CD">
    <w:pPr>
      <w:pStyle w:val="Header"/>
      <w:jc w:val="right"/>
      <w:rPr>
        <w:b/>
        <w:bCs/>
        <w:sz w:val="18"/>
        <w:szCs w:val="18"/>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1F01D6">
    <w:pPr>
      <w:pStyle w:val="Header"/>
      <w:jc w:val="right"/>
      <w:rPr>
        <w:b/>
        <w:bCs/>
        <w:sz w:val="18"/>
        <w:szCs w:val="18"/>
      </w:rPr>
    </w:pPr>
    <w:r w:rsidRPr="00D46726">
      <w:rPr>
        <w:b/>
        <w:bCs/>
        <w:sz w:val="18"/>
        <w:szCs w:val="18"/>
      </w:rPr>
      <w:t>Meta estratégica </w:t>
    </w:r>
    <w:r>
      <w:rPr>
        <w:b/>
        <w:bCs/>
        <w:sz w:val="18"/>
        <w:szCs w:val="18"/>
      </w:rPr>
      <w:t>V</w:t>
    </w:r>
  </w:p>
  <w:p w:rsidR="0051745D" w:rsidRPr="001F01D6" w:rsidRDefault="0051745D" w:rsidP="001F01D6">
    <w:pPr>
      <w:pStyle w:val="Header"/>
      <w:jc w:val="right"/>
      <w:rPr>
        <w:b/>
        <w:bCs/>
        <w:sz w:val="18"/>
        <w:szCs w:val="18"/>
      </w:rPr>
    </w:pPr>
  </w:p>
  <w:p w:rsidR="0051745D" w:rsidRPr="001F01D6" w:rsidRDefault="0051745D" w:rsidP="001F01D6">
    <w:pPr>
      <w:pStyle w:val="Header"/>
      <w:jc w:val="right"/>
      <w:rPr>
        <w:sz w:val="18"/>
        <w:szCs w:val="18"/>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733D42">
    <w:pPr>
      <w:pStyle w:val="Header"/>
      <w:jc w:val="right"/>
      <w:rPr>
        <w:b/>
        <w:bCs/>
        <w:sz w:val="18"/>
        <w:szCs w:val="18"/>
      </w:rPr>
    </w:pPr>
    <w:r>
      <w:rPr>
        <w:b/>
        <w:bCs/>
        <w:sz w:val="18"/>
        <w:szCs w:val="18"/>
      </w:rPr>
      <w:t>Meta estratégica V</w:t>
    </w:r>
  </w:p>
  <w:p w:rsidR="0051745D" w:rsidRPr="00BD56AC" w:rsidRDefault="0051745D" w:rsidP="00733D42">
    <w:pPr>
      <w:pStyle w:val="Header"/>
      <w:jc w:val="right"/>
      <w:rPr>
        <w:b/>
        <w:bCs/>
        <w:sz w:val="18"/>
        <w:szCs w:val="18"/>
      </w:rPr>
    </w:pPr>
  </w:p>
  <w:p w:rsidR="0051745D" w:rsidRPr="00BD56AC" w:rsidRDefault="0051745D" w:rsidP="00733D42">
    <w:pPr>
      <w:pStyle w:val="Header"/>
      <w:jc w:val="right"/>
      <w:rPr>
        <w:b/>
        <w:bCs/>
        <w:sz w:val="18"/>
        <w:szCs w:val="18"/>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FF362A">
    <w:pPr>
      <w:pStyle w:val="Header"/>
      <w:rPr>
        <w:b/>
        <w:bCs/>
        <w:sz w:val="18"/>
        <w:szCs w:val="18"/>
      </w:rPr>
    </w:pPr>
    <w:r w:rsidRPr="00BD56AC">
      <w:rPr>
        <w:b/>
        <w:bCs/>
        <w:sz w:val="18"/>
        <w:szCs w:val="18"/>
      </w:rPr>
      <w:t>Proyecto de presupuesto por programas para 2014/15</w:t>
    </w:r>
  </w:p>
  <w:p w:rsidR="0051745D" w:rsidRPr="00BD56AC" w:rsidRDefault="0051745D" w:rsidP="00FF362A">
    <w:pPr>
      <w:pStyle w:val="Header"/>
      <w:rPr>
        <w:b/>
        <w:bCs/>
        <w:sz w:val="18"/>
        <w:szCs w:val="18"/>
      </w:rPr>
    </w:pPr>
  </w:p>
  <w:p w:rsidR="0051745D" w:rsidRPr="00BD56AC" w:rsidRDefault="0051745D" w:rsidP="00FF362A">
    <w:pPr>
      <w:pStyle w:val="Header"/>
      <w:rPr>
        <w:b/>
        <w:bCs/>
        <w:sz w:val="18"/>
        <w:szCs w:val="18"/>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1F01D6">
    <w:pPr>
      <w:pStyle w:val="Header"/>
      <w:jc w:val="right"/>
      <w:rPr>
        <w:b/>
        <w:bCs/>
        <w:sz w:val="18"/>
        <w:szCs w:val="18"/>
      </w:rPr>
    </w:pPr>
    <w:r w:rsidRPr="00D46726">
      <w:rPr>
        <w:b/>
        <w:bCs/>
        <w:sz w:val="18"/>
        <w:szCs w:val="18"/>
      </w:rPr>
      <w:t>Meta estratégica VI</w:t>
    </w:r>
  </w:p>
  <w:p w:rsidR="0051745D" w:rsidRPr="001F01D6" w:rsidRDefault="0051745D" w:rsidP="001F01D6">
    <w:pPr>
      <w:pStyle w:val="Header"/>
      <w:jc w:val="right"/>
      <w:rPr>
        <w:b/>
        <w:bCs/>
        <w:sz w:val="18"/>
        <w:szCs w:val="18"/>
      </w:rPr>
    </w:pPr>
  </w:p>
  <w:p w:rsidR="0051745D" w:rsidRPr="001F01D6" w:rsidRDefault="0051745D" w:rsidP="001F01D6">
    <w:pPr>
      <w:pStyle w:val="Header"/>
      <w:jc w:val="right"/>
      <w:rPr>
        <w:sz w:val="18"/>
        <w:szCs w:val="18"/>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45438C">
    <w:pPr>
      <w:pStyle w:val="Header"/>
      <w:jc w:val="right"/>
      <w:rPr>
        <w:b/>
        <w:bCs/>
        <w:sz w:val="18"/>
        <w:szCs w:val="18"/>
      </w:rPr>
    </w:pPr>
    <w:r w:rsidRPr="00D46726">
      <w:rPr>
        <w:b/>
        <w:bCs/>
        <w:sz w:val="18"/>
        <w:szCs w:val="18"/>
      </w:rPr>
      <w:t>Meta estratégica </w:t>
    </w:r>
    <w:r>
      <w:rPr>
        <w:b/>
        <w:bCs/>
        <w:sz w:val="18"/>
        <w:szCs w:val="18"/>
      </w:rPr>
      <w:t>VI</w:t>
    </w:r>
  </w:p>
  <w:p w:rsidR="0051745D" w:rsidRPr="00BD56AC" w:rsidRDefault="0051745D" w:rsidP="0045438C">
    <w:pPr>
      <w:pStyle w:val="Header"/>
      <w:jc w:val="right"/>
      <w:rPr>
        <w:b/>
        <w:bCs/>
        <w:sz w:val="18"/>
        <w:szCs w:val="18"/>
      </w:rPr>
    </w:pPr>
  </w:p>
  <w:p w:rsidR="0051745D" w:rsidRPr="00BD56AC" w:rsidRDefault="0051745D" w:rsidP="0045438C">
    <w:pPr>
      <w:pStyle w:val="Header"/>
      <w:jc w:val="right"/>
      <w:rPr>
        <w:b/>
        <w:bCs/>
        <w:sz w:val="18"/>
        <w:szCs w:val="18"/>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FF362A">
    <w:pPr>
      <w:pStyle w:val="Header"/>
      <w:rPr>
        <w:b/>
        <w:bCs/>
        <w:sz w:val="18"/>
        <w:szCs w:val="18"/>
      </w:rPr>
    </w:pPr>
    <w:r w:rsidRPr="00BD56AC">
      <w:rPr>
        <w:b/>
        <w:bCs/>
        <w:sz w:val="18"/>
        <w:szCs w:val="18"/>
      </w:rPr>
      <w:t>Pro</w:t>
    </w:r>
    <w:r>
      <w:rPr>
        <w:b/>
        <w:bCs/>
        <w:sz w:val="18"/>
        <w:szCs w:val="18"/>
      </w:rPr>
      <w:t>puesta</w:t>
    </w:r>
    <w:r w:rsidRPr="00BD56AC">
      <w:rPr>
        <w:b/>
        <w:bCs/>
        <w:sz w:val="18"/>
        <w:szCs w:val="18"/>
      </w:rPr>
      <w:t xml:space="preserve"> de presupuesto por programas para 2014/15</w:t>
    </w:r>
  </w:p>
  <w:p w:rsidR="0051745D" w:rsidRPr="00BD56AC" w:rsidRDefault="0051745D" w:rsidP="00FF362A">
    <w:pPr>
      <w:pStyle w:val="Header"/>
      <w:rPr>
        <w:b/>
        <w:bCs/>
        <w:sz w:val="18"/>
        <w:szCs w:val="18"/>
      </w:rPr>
    </w:pPr>
  </w:p>
  <w:p w:rsidR="0051745D" w:rsidRPr="00BD56AC" w:rsidRDefault="0051745D" w:rsidP="00FF362A">
    <w:pPr>
      <w:pStyle w:val="Header"/>
      <w:rPr>
        <w:b/>
        <w:bCs/>
        <w:sz w:val="18"/>
        <w:szCs w:val="18"/>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1F01D6">
    <w:pPr>
      <w:pStyle w:val="Header"/>
      <w:jc w:val="right"/>
      <w:rPr>
        <w:b/>
        <w:bCs/>
        <w:sz w:val="18"/>
        <w:szCs w:val="18"/>
      </w:rPr>
    </w:pPr>
    <w:r w:rsidRPr="00060594">
      <w:rPr>
        <w:b/>
        <w:bCs/>
        <w:sz w:val="18"/>
        <w:szCs w:val="18"/>
      </w:rPr>
      <w:t>Meta estratégica VII</w:t>
    </w:r>
  </w:p>
  <w:p w:rsidR="0051745D" w:rsidRPr="001F01D6" w:rsidRDefault="0051745D" w:rsidP="001F01D6">
    <w:pPr>
      <w:pStyle w:val="Header"/>
      <w:jc w:val="right"/>
      <w:rPr>
        <w:b/>
        <w:bCs/>
        <w:sz w:val="18"/>
        <w:szCs w:val="18"/>
      </w:rPr>
    </w:pPr>
  </w:p>
  <w:p w:rsidR="0051745D" w:rsidRPr="001F01D6" w:rsidRDefault="0051745D" w:rsidP="001F01D6">
    <w:pPr>
      <w:pStyle w:val="Header"/>
      <w:jc w:val="right"/>
      <w:rPr>
        <w:sz w:val="18"/>
        <w:szCs w:val="18"/>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45438C">
    <w:pPr>
      <w:pStyle w:val="Header"/>
      <w:jc w:val="right"/>
      <w:rPr>
        <w:b/>
        <w:bCs/>
        <w:sz w:val="18"/>
        <w:szCs w:val="18"/>
      </w:rPr>
    </w:pPr>
    <w:r w:rsidRPr="00D46726">
      <w:rPr>
        <w:b/>
        <w:bCs/>
        <w:sz w:val="18"/>
        <w:szCs w:val="18"/>
      </w:rPr>
      <w:t>Meta estratégica </w:t>
    </w:r>
    <w:r>
      <w:rPr>
        <w:b/>
        <w:bCs/>
        <w:sz w:val="18"/>
        <w:szCs w:val="18"/>
      </w:rPr>
      <w:t>VII</w:t>
    </w:r>
  </w:p>
  <w:p w:rsidR="0051745D" w:rsidRPr="00BD56AC" w:rsidRDefault="0051745D" w:rsidP="0045438C">
    <w:pPr>
      <w:pStyle w:val="Header"/>
      <w:jc w:val="right"/>
      <w:rPr>
        <w:b/>
        <w:bCs/>
        <w:sz w:val="18"/>
        <w:szCs w:val="18"/>
      </w:rPr>
    </w:pPr>
  </w:p>
  <w:p w:rsidR="0051745D" w:rsidRPr="00BD56AC" w:rsidRDefault="0051745D" w:rsidP="0045438C">
    <w:pPr>
      <w:pStyle w:val="Header"/>
      <w:jc w:val="right"/>
      <w:rPr>
        <w:b/>
        <w:bCs/>
        <w:sz w:val="18"/>
        <w:szCs w:val="18"/>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56AC" w:rsidRDefault="0051745D" w:rsidP="00FF362A">
    <w:pPr>
      <w:pStyle w:val="Header"/>
      <w:rPr>
        <w:b/>
        <w:bCs/>
        <w:sz w:val="18"/>
        <w:szCs w:val="18"/>
      </w:rPr>
    </w:pPr>
    <w:r w:rsidRPr="00BD56AC">
      <w:rPr>
        <w:b/>
        <w:bCs/>
        <w:sz w:val="18"/>
        <w:szCs w:val="18"/>
      </w:rPr>
      <w:t>Pro</w:t>
    </w:r>
    <w:r>
      <w:rPr>
        <w:b/>
        <w:bCs/>
        <w:sz w:val="18"/>
        <w:szCs w:val="18"/>
      </w:rPr>
      <w:t>puesta</w:t>
    </w:r>
    <w:r w:rsidRPr="00BD56AC">
      <w:rPr>
        <w:b/>
        <w:bCs/>
        <w:sz w:val="18"/>
        <w:szCs w:val="18"/>
      </w:rPr>
      <w:t xml:space="preserve"> de presupuesto por programas </w:t>
    </w:r>
    <w:r>
      <w:rPr>
        <w:b/>
        <w:bCs/>
        <w:sz w:val="18"/>
        <w:szCs w:val="18"/>
      </w:rPr>
      <w:t>de</w:t>
    </w:r>
    <w:r w:rsidRPr="00BD56AC">
      <w:rPr>
        <w:b/>
        <w:bCs/>
        <w:sz w:val="18"/>
        <w:szCs w:val="18"/>
      </w:rPr>
      <w:t xml:space="preserve"> 2014/15</w:t>
    </w:r>
  </w:p>
  <w:p w:rsidR="0051745D" w:rsidRPr="00BD56AC" w:rsidRDefault="0051745D" w:rsidP="00FF362A">
    <w:pPr>
      <w:pStyle w:val="Header"/>
      <w:rPr>
        <w:b/>
        <w:bCs/>
        <w:sz w:val="18"/>
        <w:szCs w:val="18"/>
      </w:rPr>
    </w:pPr>
  </w:p>
  <w:p w:rsidR="0051745D" w:rsidRPr="00BD56AC" w:rsidRDefault="0051745D" w:rsidP="00FF362A">
    <w:pPr>
      <w:pStyle w:val="Header"/>
      <w:rPr>
        <w:b/>
        <w:bCs/>
        <w:sz w:val="18"/>
        <w:szCs w:val="18"/>
      </w:rPr>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1F01D6">
    <w:pPr>
      <w:pStyle w:val="Header"/>
      <w:jc w:val="right"/>
      <w:rPr>
        <w:b/>
        <w:bCs/>
        <w:sz w:val="18"/>
        <w:szCs w:val="18"/>
      </w:rPr>
    </w:pPr>
    <w:r w:rsidRPr="00060594">
      <w:rPr>
        <w:b/>
        <w:bCs/>
        <w:sz w:val="18"/>
        <w:szCs w:val="18"/>
      </w:rPr>
      <w:t>Meta estratégica </w:t>
    </w:r>
    <w:r>
      <w:rPr>
        <w:b/>
        <w:bCs/>
        <w:sz w:val="18"/>
        <w:szCs w:val="18"/>
      </w:rPr>
      <w:t>VIII</w:t>
    </w:r>
  </w:p>
  <w:p w:rsidR="0051745D" w:rsidRPr="001F01D6" w:rsidRDefault="0051745D" w:rsidP="001F01D6">
    <w:pPr>
      <w:pStyle w:val="Header"/>
      <w:jc w:val="right"/>
      <w:rPr>
        <w:b/>
        <w:bCs/>
        <w:sz w:val="18"/>
        <w:szCs w:val="18"/>
      </w:rPr>
    </w:pPr>
  </w:p>
  <w:p w:rsidR="0051745D" w:rsidRPr="001F01D6" w:rsidRDefault="0051745D" w:rsidP="001F01D6">
    <w:pPr>
      <w:pStyle w:val="Header"/>
      <w:jc w:val="right"/>
      <w:rPr>
        <w:sz w:val="18"/>
        <w:szCs w:val="18"/>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Default="0051745D" w:rsidP="00733D42">
    <w:pPr>
      <w:pStyle w:val="Header"/>
      <w:jc w:val="right"/>
      <w:rPr>
        <w:b/>
        <w:bCs/>
        <w:sz w:val="18"/>
        <w:szCs w:val="18"/>
      </w:rPr>
    </w:pPr>
    <w:r w:rsidRPr="00060594">
      <w:rPr>
        <w:b/>
        <w:bCs/>
        <w:sz w:val="18"/>
        <w:szCs w:val="18"/>
      </w:rPr>
      <w:t>Meta estratégica </w:t>
    </w:r>
    <w:r>
      <w:rPr>
        <w:b/>
        <w:bCs/>
        <w:sz w:val="18"/>
        <w:szCs w:val="18"/>
      </w:rPr>
      <w:t>VII</w:t>
    </w:r>
    <w:r w:rsidRPr="00060594">
      <w:rPr>
        <w:b/>
        <w:bCs/>
        <w:sz w:val="18"/>
        <w:szCs w:val="18"/>
      </w:rPr>
      <w:t>I</w:t>
    </w:r>
  </w:p>
  <w:p w:rsidR="0051745D" w:rsidRPr="001F01D6" w:rsidRDefault="0051745D" w:rsidP="0093141F">
    <w:pPr>
      <w:pStyle w:val="Header"/>
      <w:jc w:val="right"/>
      <w:rPr>
        <w:b/>
        <w:bCs/>
        <w:sz w:val="18"/>
        <w:szCs w:val="18"/>
      </w:rPr>
    </w:pPr>
  </w:p>
  <w:p w:rsidR="0051745D" w:rsidRPr="001F01D6" w:rsidRDefault="0051745D" w:rsidP="0093141F">
    <w:pPr>
      <w:pStyle w:val="Header"/>
      <w:jc w:val="right"/>
      <w:rPr>
        <w:sz w:val="18"/>
        <w:szCs w:val="18"/>
      </w:rPr>
    </w:pP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A9613D" w:rsidRDefault="0051745D" w:rsidP="00B47699">
    <w:pPr>
      <w:pStyle w:val="Header"/>
      <w:rPr>
        <w:sz w:val="18"/>
        <w:szCs w:val="18"/>
        <w:lang w:val="es-ES_tradnl"/>
      </w:rPr>
    </w:pPr>
    <w:r w:rsidRPr="00A9613D">
      <w:rPr>
        <w:b/>
        <w:bCs/>
        <w:sz w:val="18"/>
        <w:szCs w:val="18"/>
        <w:lang w:val="es-ES_tradnl"/>
      </w:rPr>
      <w:t>Pro</w:t>
    </w:r>
    <w:r>
      <w:rPr>
        <w:b/>
        <w:bCs/>
        <w:sz w:val="18"/>
        <w:szCs w:val="18"/>
        <w:lang w:val="es-ES_tradnl"/>
      </w:rPr>
      <w:t>puesta</w:t>
    </w:r>
    <w:r w:rsidRPr="00A9613D">
      <w:rPr>
        <w:b/>
        <w:bCs/>
        <w:sz w:val="18"/>
        <w:szCs w:val="18"/>
        <w:lang w:val="es-ES_tradnl"/>
      </w:rPr>
      <w:t xml:space="preserve"> de </w:t>
    </w:r>
    <w:r>
      <w:rPr>
        <w:b/>
        <w:bCs/>
        <w:sz w:val="18"/>
        <w:szCs w:val="18"/>
        <w:lang w:val="es-ES_tradnl"/>
      </w:rPr>
      <w:t>presupuesto por p</w:t>
    </w:r>
    <w:r w:rsidRPr="00A9613D">
      <w:rPr>
        <w:b/>
        <w:bCs/>
        <w:sz w:val="18"/>
        <w:szCs w:val="18"/>
        <w:lang w:val="es-ES_tradnl"/>
      </w:rPr>
      <w:t xml:space="preserve">rogramas </w:t>
    </w:r>
    <w:r>
      <w:rPr>
        <w:b/>
        <w:bCs/>
        <w:sz w:val="18"/>
        <w:szCs w:val="18"/>
        <w:lang w:val="es-ES_tradnl"/>
      </w:rPr>
      <w:t>de</w:t>
    </w:r>
    <w:r w:rsidRPr="00A9613D">
      <w:rPr>
        <w:b/>
        <w:bCs/>
        <w:sz w:val="18"/>
        <w:szCs w:val="18"/>
        <w:lang w:val="es-ES_tradnl"/>
      </w:rPr>
      <w:t xml:space="preserve"> 2014/15</w:t>
    </w:r>
  </w:p>
  <w:p w:rsidR="0051745D" w:rsidRPr="00A9613D" w:rsidRDefault="0051745D">
    <w:pPr>
      <w:pStyle w:val="Header"/>
      <w:rPr>
        <w:sz w:val="18"/>
        <w:szCs w:val="18"/>
        <w:lang w:val="es-ES_tradnl"/>
      </w:rPr>
    </w:pPr>
  </w:p>
  <w:p w:rsidR="0051745D" w:rsidRPr="00A9613D" w:rsidRDefault="0051745D">
    <w:pPr>
      <w:pStyle w:val="Header"/>
      <w:rPr>
        <w:sz w:val="18"/>
        <w:szCs w:val="18"/>
        <w:lang w:val="es-ES_tradnl"/>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383888" w:rsidRDefault="0051745D" w:rsidP="00B47699">
    <w:pPr>
      <w:pStyle w:val="Header"/>
      <w:ind w:right="360"/>
      <w:jc w:val="right"/>
      <w:rPr>
        <w:sz w:val="18"/>
        <w:szCs w:val="18"/>
      </w:rPr>
    </w:pPr>
    <w:r w:rsidRPr="00383888">
      <w:rPr>
        <w:b/>
        <w:bCs/>
        <w:sz w:val="18"/>
        <w:szCs w:val="18"/>
        <w:lang w:val="es-ES_tradnl"/>
      </w:rPr>
      <w:t>Anexos</w:t>
    </w:r>
  </w:p>
  <w:p w:rsidR="0051745D" w:rsidRDefault="0051745D" w:rsidP="00B47699">
    <w:pPr>
      <w:pStyle w:val="Header"/>
      <w:ind w:right="360"/>
      <w:rPr>
        <w:color w:val="808080"/>
        <w:sz w:val="18"/>
        <w:szCs w:val="18"/>
      </w:rPr>
    </w:pPr>
  </w:p>
  <w:p w:rsidR="0051745D" w:rsidRPr="00FC27C0" w:rsidRDefault="0051745D" w:rsidP="00B47699">
    <w:pPr>
      <w:pStyle w:val="Header"/>
      <w:ind w:right="360"/>
      <w:rPr>
        <w:color w:val="808080"/>
        <w:sz w:val="18"/>
        <w:szCs w:val="18"/>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7F65E7" w:rsidRDefault="0051745D" w:rsidP="00B47699">
    <w:pPr>
      <w:pStyle w:val="StyleHeading3ComplexItalic"/>
      <w:keepNext w:val="0"/>
      <w:tabs>
        <w:tab w:val="clear" w:pos="1985"/>
        <w:tab w:val="left" w:pos="1418"/>
      </w:tabs>
      <w:ind w:left="1418" w:hanging="1418"/>
      <w:jc w:val="center"/>
    </w:pPr>
    <w:r w:rsidRPr="007F65E7">
      <w:rPr>
        <w:caps w:val="0"/>
      </w:rPr>
      <w:t>ANNEX VII</w:t>
    </w:r>
    <w:r w:rsidRPr="007F65E7">
      <w:rPr>
        <w:caps w:val="0"/>
      </w:rPr>
      <w:tab/>
      <w:t>WIPO ORGANIGRAM</w:t>
    </w:r>
  </w:p>
  <w:p w:rsidR="0051745D" w:rsidRDefault="0051745D">
    <w:pPr>
      <w:pStyle w:val="Heade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7E60" w:rsidRDefault="0051745D" w:rsidP="00B47699">
    <w:pPr>
      <w:pStyle w:val="Header"/>
      <w:ind w:right="360"/>
      <w:jc w:val="right"/>
      <w:rPr>
        <w:sz w:val="18"/>
        <w:szCs w:val="18"/>
      </w:rPr>
    </w:pPr>
    <w:r w:rsidRPr="00BD7E60">
      <w:rPr>
        <w:b/>
        <w:bCs/>
        <w:sz w:val="18"/>
        <w:szCs w:val="18"/>
        <w:lang w:val="es-ES_tradnl"/>
      </w:rPr>
      <w:t>Anexos</w:t>
    </w:r>
  </w:p>
  <w:p w:rsidR="0051745D" w:rsidRDefault="0051745D" w:rsidP="00B47699">
    <w:pPr>
      <w:pStyle w:val="Header"/>
      <w:ind w:right="360"/>
      <w:rPr>
        <w:color w:val="808080"/>
        <w:sz w:val="18"/>
        <w:szCs w:val="18"/>
      </w:rPr>
    </w:pPr>
  </w:p>
  <w:p w:rsidR="0051745D" w:rsidRPr="00FC27C0" w:rsidRDefault="0051745D" w:rsidP="00B47699">
    <w:pPr>
      <w:pStyle w:val="Header"/>
      <w:ind w:right="360"/>
      <w:rPr>
        <w:color w:val="808080"/>
        <w:sz w:val="18"/>
        <w:szCs w:val="18"/>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7E60" w:rsidRDefault="0051745D" w:rsidP="00B47699">
    <w:pPr>
      <w:pStyle w:val="Header"/>
      <w:ind w:right="360"/>
      <w:jc w:val="right"/>
      <w:rPr>
        <w:sz w:val="18"/>
        <w:szCs w:val="18"/>
      </w:rPr>
    </w:pPr>
    <w:r w:rsidRPr="00BD7E60">
      <w:rPr>
        <w:b/>
        <w:bCs/>
        <w:sz w:val="18"/>
        <w:szCs w:val="18"/>
        <w:lang w:val="es-ES_tradnl"/>
      </w:rPr>
      <w:t>Anexos</w:t>
    </w:r>
  </w:p>
  <w:p w:rsidR="0051745D" w:rsidRPr="00BD7E60" w:rsidRDefault="0051745D" w:rsidP="00B47699">
    <w:pPr>
      <w:pStyle w:val="Header"/>
      <w:ind w:right="360"/>
      <w:jc w:val="right"/>
      <w:rPr>
        <w:sz w:val="18"/>
        <w:szCs w:val="18"/>
      </w:rPr>
    </w:pPr>
  </w:p>
  <w:p w:rsidR="0051745D" w:rsidRPr="00BD7E60" w:rsidRDefault="0051745D" w:rsidP="00B47699">
    <w:pPr>
      <w:pStyle w:val="Header"/>
      <w:ind w:right="360"/>
      <w:jc w:val="right"/>
      <w:rPr>
        <w:sz w:val="18"/>
        <w:szCs w:val="18"/>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A9613D" w:rsidRDefault="0051745D" w:rsidP="00B47699">
    <w:pPr>
      <w:pStyle w:val="Header"/>
      <w:rPr>
        <w:sz w:val="18"/>
        <w:szCs w:val="18"/>
        <w:lang w:val="es-ES_tradnl"/>
      </w:rPr>
    </w:pPr>
    <w:r>
      <w:rPr>
        <w:b/>
        <w:bCs/>
        <w:sz w:val="18"/>
        <w:szCs w:val="18"/>
        <w:lang w:val="es-ES_tradnl"/>
      </w:rPr>
      <w:t>Propuesta</w:t>
    </w:r>
    <w:r w:rsidRPr="00A9613D">
      <w:rPr>
        <w:b/>
        <w:bCs/>
        <w:sz w:val="18"/>
        <w:szCs w:val="18"/>
        <w:lang w:val="es-ES_tradnl"/>
      </w:rPr>
      <w:t xml:space="preserve"> de </w:t>
    </w:r>
    <w:r>
      <w:rPr>
        <w:b/>
        <w:bCs/>
        <w:sz w:val="18"/>
        <w:szCs w:val="18"/>
        <w:lang w:val="es-ES_tradnl"/>
      </w:rPr>
      <w:t>p</w:t>
    </w:r>
    <w:r w:rsidRPr="00A9613D">
      <w:rPr>
        <w:b/>
        <w:bCs/>
        <w:sz w:val="18"/>
        <w:szCs w:val="18"/>
        <w:lang w:val="es-ES_tradnl"/>
      </w:rPr>
      <w:t xml:space="preserve">resupuesto por </w:t>
    </w:r>
    <w:r>
      <w:rPr>
        <w:b/>
        <w:bCs/>
        <w:sz w:val="18"/>
        <w:szCs w:val="18"/>
        <w:lang w:val="es-ES_tradnl"/>
      </w:rPr>
      <w:t>p</w:t>
    </w:r>
    <w:r w:rsidRPr="00A9613D">
      <w:rPr>
        <w:b/>
        <w:bCs/>
        <w:sz w:val="18"/>
        <w:szCs w:val="18"/>
        <w:lang w:val="es-ES_tradnl"/>
      </w:rPr>
      <w:t xml:space="preserve">rogramas </w:t>
    </w:r>
    <w:r>
      <w:rPr>
        <w:b/>
        <w:bCs/>
        <w:sz w:val="18"/>
        <w:szCs w:val="18"/>
        <w:lang w:val="es-ES_tradnl"/>
      </w:rPr>
      <w:t>de</w:t>
    </w:r>
    <w:r w:rsidRPr="00A9613D">
      <w:rPr>
        <w:b/>
        <w:bCs/>
        <w:sz w:val="18"/>
        <w:szCs w:val="18"/>
        <w:lang w:val="es-ES_tradnl"/>
      </w:rPr>
      <w:t xml:space="preserve"> 2014/15</w:t>
    </w:r>
  </w:p>
  <w:p w:rsidR="0051745D" w:rsidRPr="00A9613D" w:rsidRDefault="0051745D">
    <w:pPr>
      <w:pStyle w:val="Header"/>
      <w:rPr>
        <w:sz w:val="18"/>
        <w:szCs w:val="18"/>
        <w:lang w:val="es-ES_tradnl"/>
      </w:rPr>
    </w:pPr>
  </w:p>
  <w:p w:rsidR="0051745D" w:rsidRPr="00A9613D" w:rsidRDefault="0051745D">
    <w:pPr>
      <w:pStyle w:val="Header"/>
      <w:rPr>
        <w:sz w:val="18"/>
        <w:szCs w:val="18"/>
        <w:lang w:val="es-ES_tradnl"/>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D7E60" w:rsidRDefault="0051745D" w:rsidP="00B47699">
    <w:pPr>
      <w:pStyle w:val="Header"/>
      <w:ind w:right="360"/>
      <w:jc w:val="right"/>
      <w:rPr>
        <w:sz w:val="18"/>
        <w:szCs w:val="18"/>
      </w:rPr>
    </w:pPr>
    <w:r w:rsidRPr="00BD7E60">
      <w:rPr>
        <w:b/>
        <w:bCs/>
        <w:sz w:val="18"/>
        <w:szCs w:val="18"/>
        <w:lang w:val="es-ES_tradnl"/>
      </w:rPr>
      <w:t>Anexos</w:t>
    </w:r>
  </w:p>
  <w:p w:rsidR="0051745D" w:rsidRPr="00BD7E60" w:rsidRDefault="0051745D" w:rsidP="00B47699">
    <w:pPr>
      <w:pStyle w:val="Header"/>
      <w:ind w:right="360"/>
      <w:jc w:val="right"/>
      <w:rPr>
        <w:sz w:val="18"/>
        <w:szCs w:val="18"/>
      </w:rPr>
    </w:pPr>
  </w:p>
  <w:p w:rsidR="0051745D" w:rsidRPr="00BD7E60" w:rsidRDefault="0051745D" w:rsidP="00B47699">
    <w:pPr>
      <w:pStyle w:val="Header"/>
      <w:ind w:right="360"/>
      <w:jc w:val="right"/>
      <w:rPr>
        <w:sz w:val="18"/>
        <w:szCs w:val="18"/>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A7A47" w:rsidRDefault="0051745D" w:rsidP="00B47699">
    <w:pPr>
      <w:pStyle w:val="Header"/>
      <w:ind w:right="360"/>
      <w:jc w:val="right"/>
      <w:rPr>
        <w:color w:val="333333"/>
        <w:sz w:val="18"/>
        <w:szCs w:val="18"/>
      </w:rPr>
    </w:pPr>
    <w:r w:rsidRPr="00BA7A47">
      <w:rPr>
        <w:b/>
        <w:bCs/>
        <w:color w:val="333333"/>
        <w:sz w:val="18"/>
        <w:szCs w:val="18"/>
      </w:rPr>
      <w:t>A</w:t>
    </w:r>
    <w:r>
      <w:rPr>
        <w:b/>
        <w:bCs/>
        <w:color w:val="333333"/>
        <w:sz w:val="18"/>
        <w:szCs w:val="18"/>
      </w:rPr>
      <w:t>nexo</w:t>
    </w:r>
    <w:r w:rsidRPr="00BA7A47">
      <w:rPr>
        <w:b/>
        <w:bCs/>
        <w:color w:val="333333"/>
        <w:sz w:val="18"/>
        <w:szCs w:val="18"/>
      </w:rPr>
      <w:t>s</w:t>
    </w:r>
  </w:p>
  <w:p w:rsidR="0051745D" w:rsidRDefault="0051745D" w:rsidP="00B47699">
    <w:pPr>
      <w:pStyle w:val="Header"/>
      <w:ind w:right="360"/>
      <w:rPr>
        <w:color w:val="808080"/>
        <w:sz w:val="18"/>
        <w:szCs w:val="18"/>
      </w:rPr>
    </w:pPr>
  </w:p>
  <w:p w:rsidR="0051745D" w:rsidRPr="00FC27C0" w:rsidRDefault="0051745D" w:rsidP="00B47699">
    <w:pPr>
      <w:pStyle w:val="Header"/>
      <w:ind w:right="360"/>
      <w:rPr>
        <w:color w:val="808080"/>
        <w:sz w:val="18"/>
        <w:szCs w:val="18"/>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BA7A47" w:rsidRDefault="0051745D" w:rsidP="00B47699">
    <w:pPr>
      <w:pStyle w:val="Header"/>
      <w:ind w:right="360"/>
      <w:jc w:val="right"/>
      <w:rPr>
        <w:b/>
        <w:bCs/>
        <w:color w:val="333333"/>
        <w:sz w:val="18"/>
        <w:szCs w:val="18"/>
      </w:rPr>
    </w:pPr>
    <w:r w:rsidRPr="00BA7A47">
      <w:rPr>
        <w:b/>
        <w:bCs/>
        <w:color w:val="333333"/>
        <w:sz w:val="18"/>
        <w:szCs w:val="18"/>
      </w:rPr>
      <w:t>A</w:t>
    </w:r>
    <w:r>
      <w:rPr>
        <w:b/>
        <w:bCs/>
        <w:color w:val="333333"/>
        <w:sz w:val="18"/>
        <w:szCs w:val="18"/>
      </w:rPr>
      <w:t>nexo</w:t>
    </w:r>
    <w:r w:rsidRPr="00BA7A47">
      <w:rPr>
        <w:b/>
        <w:bCs/>
        <w:color w:val="333333"/>
        <w:sz w:val="18"/>
        <w:szCs w:val="18"/>
      </w:rPr>
      <w:t>s</w:t>
    </w:r>
  </w:p>
  <w:p w:rsidR="0051745D" w:rsidRPr="00BA7A47" w:rsidRDefault="0051745D" w:rsidP="00B47699">
    <w:pPr>
      <w:pStyle w:val="Header"/>
      <w:ind w:right="360"/>
      <w:jc w:val="right"/>
      <w:rPr>
        <w:b/>
        <w:bCs/>
        <w:color w:val="333333"/>
        <w:sz w:val="18"/>
        <w:szCs w:val="18"/>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0F0F46" w:rsidRDefault="0051745D" w:rsidP="00B47699">
    <w:pPr>
      <w:pStyle w:val="Header"/>
      <w:rPr>
        <w:lang w:val="es-ES_tradnl"/>
      </w:rPr>
    </w:pPr>
    <w:r w:rsidRPr="00A9613D">
      <w:rPr>
        <w:b/>
        <w:bCs/>
        <w:sz w:val="18"/>
        <w:szCs w:val="18"/>
        <w:lang w:val="es-ES_tradnl"/>
      </w:rPr>
      <w:t>Pro</w:t>
    </w:r>
    <w:r>
      <w:rPr>
        <w:b/>
        <w:bCs/>
        <w:sz w:val="18"/>
        <w:szCs w:val="18"/>
        <w:lang w:val="es-ES_tradnl"/>
      </w:rPr>
      <w:t>puesta de presupuesto por p</w:t>
    </w:r>
    <w:r w:rsidRPr="00A9613D">
      <w:rPr>
        <w:b/>
        <w:bCs/>
        <w:sz w:val="18"/>
        <w:szCs w:val="18"/>
        <w:lang w:val="es-ES_tradnl"/>
      </w:rPr>
      <w:t>rogramas para 2014/15</w:t>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5336DC" w:rsidRDefault="0051745D" w:rsidP="00B47699">
    <w:pPr>
      <w:pStyle w:val="Header"/>
      <w:rPr>
        <w:sz w:val="18"/>
        <w:szCs w:val="18"/>
        <w:lang w:val="es-ES_tradnl"/>
      </w:rPr>
    </w:pPr>
    <w:r w:rsidRPr="005336DC">
      <w:rPr>
        <w:b/>
        <w:bCs/>
        <w:sz w:val="18"/>
        <w:szCs w:val="18"/>
        <w:lang w:val="es-ES_tradnl"/>
      </w:rPr>
      <w:t>Pro</w:t>
    </w:r>
    <w:r>
      <w:rPr>
        <w:b/>
        <w:bCs/>
        <w:sz w:val="18"/>
        <w:szCs w:val="18"/>
        <w:lang w:val="es-ES_tradnl"/>
      </w:rPr>
      <w:t>puesta</w:t>
    </w:r>
    <w:r w:rsidRPr="005336DC">
      <w:rPr>
        <w:b/>
        <w:bCs/>
        <w:sz w:val="18"/>
        <w:szCs w:val="18"/>
        <w:lang w:val="es-ES_tradnl"/>
      </w:rPr>
      <w:t xml:space="preserve"> de </w:t>
    </w:r>
    <w:r>
      <w:rPr>
        <w:b/>
        <w:bCs/>
        <w:sz w:val="18"/>
        <w:szCs w:val="18"/>
        <w:lang w:val="es-ES_tradnl"/>
      </w:rPr>
      <w:t>p</w:t>
    </w:r>
    <w:r w:rsidRPr="005336DC">
      <w:rPr>
        <w:b/>
        <w:bCs/>
        <w:sz w:val="18"/>
        <w:szCs w:val="18"/>
        <w:lang w:val="es-ES_tradnl"/>
      </w:rPr>
      <w:t xml:space="preserve">resupuesto por </w:t>
    </w:r>
    <w:r>
      <w:rPr>
        <w:b/>
        <w:bCs/>
        <w:sz w:val="18"/>
        <w:szCs w:val="18"/>
        <w:lang w:val="es-ES_tradnl"/>
      </w:rPr>
      <w:t>p</w:t>
    </w:r>
    <w:r w:rsidRPr="005336DC">
      <w:rPr>
        <w:b/>
        <w:bCs/>
        <w:sz w:val="18"/>
        <w:szCs w:val="18"/>
        <w:lang w:val="es-ES_tradnl"/>
      </w:rPr>
      <w:t>rogramas para 2014/15</w:t>
    </w:r>
  </w:p>
  <w:p w:rsidR="0051745D" w:rsidRDefault="0051745D" w:rsidP="00B47699">
    <w:pPr>
      <w:pStyle w:val="Header"/>
      <w:rPr>
        <w:sz w:val="18"/>
        <w:szCs w:val="18"/>
        <w:lang w:val="es-ES_tradnl"/>
      </w:rPr>
    </w:pPr>
  </w:p>
  <w:p w:rsidR="0051745D" w:rsidRPr="005336DC" w:rsidRDefault="0051745D" w:rsidP="00B47699">
    <w:pPr>
      <w:pStyle w:val="Header"/>
      <w:rPr>
        <w:sz w:val="18"/>
        <w:szCs w:val="18"/>
        <w:lang w:val="es-ES_tradnl"/>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745D" w:rsidRPr="000F0F46" w:rsidRDefault="0051745D" w:rsidP="00B47699">
    <w:pPr>
      <w:pStyle w:val="Header"/>
      <w:ind w:right="360"/>
      <w:jc w:val="right"/>
      <w:rPr>
        <w:color w:val="333333"/>
        <w:sz w:val="18"/>
        <w:szCs w:val="18"/>
      </w:rPr>
    </w:pPr>
    <w:r w:rsidRPr="000F0F46">
      <w:rPr>
        <w:b/>
        <w:bCs/>
        <w:color w:val="333333"/>
        <w:sz w:val="18"/>
        <w:szCs w:val="18"/>
      </w:rPr>
      <w:t>A</w:t>
    </w:r>
    <w:r>
      <w:rPr>
        <w:b/>
        <w:bCs/>
        <w:color w:val="333333"/>
        <w:sz w:val="18"/>
        <w:szCs w:val="18"/>
      </w:rPr>
      <w:t>pé</w:t>
    </w:r>
    <w:r w:rsidRPr="000F0F46">
      <w:rPr>
        <w:b/>
        <w:bCs/>
        <w:color w:val="333333"/>
        <w:sz w:val="18"/>
        <w:szCs w:val="18"/>
      </w:rPr>
      <w:t>ndices</w:t>
    </w:r>
  </w:p>
  <w:p w:rsidR="0051745D" w:rsidRPr="000F0F46" w:rsidRDefault="0051745D" w:rsidP="00B47699">
    <w:pPr>
      <w:pStyle w:val="Header"/>
      <w:ind w:right="360"/>
      <w:jc w:val="right"/>
      <w:rPr>
        <w:color w:val="808080"/>
        <w:sz w:val="18"/>
        <w:szCs w:val="18"/>
      </w:rPr>
    </w:pPr>
  </w:p>
  <w:p w:rsidR="0051745D" w:rsidRPr="000F0F46" w:rsidRDefault="0051745D" w:rsidP="00B47699">
    <w:pPr>
      <w:pStyle w:val="Header"/>
      <w:ind w:right="360"/>
      <w:jc w:val="right"/>
      <w:rPr>
        <w:color w:val="808080"/>
        <w:sz w:val="18"/>
        <w:szCs w:val="1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92355"/>
    <w:multiLevelType w:val="hybridMultilevel"/>
    <w:tmpl w:val="7EFC0C5C"/>
    <w:lvl w:ilvl="0" w:tplc="925A1DD0">
      <w:start w:val="1"/>
      <w:numFmt w:val="decimal"/>
      <w:lvlRestart w:val="0"/>
      <w:lvlText w:val="28.%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25F134F"/>
    <w:multiLevelType w:val="hybridMultilevel"/>
    <w:tmpl w:val="F5F2DEFC"/>
    <w:lvl w:ilvl="0" w:tplc="93C69F98">
      <w:start w:val="1"/>
      <w:numFmt w:val="decimal"/>
      <w:lvlRestart w:val="0"/>
      <w:lvlText w:val="10.%1."/>
      <w:lvlJc w:val="left"/>
      <w:pPr>
        <w:tabs>
          <w:tab w:val="num" w:pos="683"/>
        </w:tabs>
        <w:ind w:left="429"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4893ADE"/>
    <w:multiLevelType w:val="hybridMultilevel"/>
    <w:tmpl w:val="8B1A033C"/>
    <w:lvl w:ilvl="0" w:tplc="A982525C">
      <w:start w:val="1"/>
      <w:numFmt w:val="decimal"/>
      <w:lvlRestart w:val="0"/>
      <w:lvlText w:val="11.%1."/>
      <w:lvlJc w:val="left"/>
      <w:pPr>
        <w:tabs>
          <w:tab w:val="num" w:pos="683"/>
        </w:tabs>
        <w:ind w:left="0" w:firstLine="0"/>
      </w:pPr>
      <w:rPr>
        <w:rFonts w:ascii="Arial" w:hAnsi="Arial" w:hint="default"/>
        <w:i w:val="0"/>
        <w:iCs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4ED34C3"/>
    <w:multiLevelType w:val="hybridMultilevel"/>
    <w:tmpl w:val="E52201C8"/>
    <w:lvl w:ilvl="0" w:tplc="A1F48B70">
      <w:start w:val="1"/>
      <w:numFmt w:val="decimal"/>
      <w:lvlRestart w:val="0"/>
      <w:lvlText w:val="12.%1."/>
      <w:lvlJc w:val="left"/>
      <w:pPr>
        <w:tabs>
          <w:tab w:val="num" w:pos="683"/>
        </w:tabs>
        <w:ind w:left="0" w:firstLine="0"/>
      </w:pPr>
      <w:rPr>
        <w:rFonts w:ascii="Arial" w:hAnsi="Arial" w:hint="default"/>
        <w:sz w:val="20"/>
        <w:szCs w:val="20"/>
        <w:lang w:val="en-U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5">
    <w:nsid w:val="09663D18"/>
    <w:multiLevelType w:val="hybridMultilevel"/>
    <w:tmpl w:val="C1E29D0C"/>
    <w:lvl w:ilvl="0" w:tplc="E1260A98">
      <w:start w:val="1"/>
      <w:numFmt w:val="lowerRoman"/>
      <w:lvlText w:val="%1)"/>
      <w:lvlJc w:val="left"/>
      <w:pPr>
        <w:ind w:left="1287" w:hanging="720"/>
      </w:pPr>
      <w:rPr>
        <w:rFonts w:hint="default"/>
      </w:rPr>
    </w:lvl>
    <w:lvl w:ilvl="1" w:tplc="0C0A0019" w:tentative="1">
      <w:start w:val="1"/>
      <w:numFmt w:val="lowerLetter"/>
      <w:lvlText w:val="%2."/>
      <w:lvlJc w:val="left"/>
      <w:pPr>
        <w:ind w:left="1647" w:hanging="360"/>
      </w:pPr>
    </w:lvl>
    <w:lvl w:ilvl="2" w:tplc="0C0A001B" w:tentative="1">
      <w:start w:val="1"/>
      <w:numFmt w:val="lowerRoman"/>
      <w:lvlText w:val="%3."/>
      <w:lvlJc w:val="right"/>
      <w:pPr>
        <w:ind w:left="2367" w:hanging="180"/>
      </w:pPr>
    </w:lvl>
    <w:lvl w:ilvl="3" w:tplc="0C0A000F" w:tentative="1">
      <w:start w:val="1"/>
      <w:numFmt w:val="decimal"/>
      <w:lvlText w:val="%4."/>
      <w:lvlJc w:val="left"/>
      <w:pPr>
        <w:ind w:left="3087" w:hanging="360"/>
      </w:pPr>
    </w:lvl>
    <w:lvl w:ilvl="4" w:tplc="0C0A0019" w:tentative="1">
      <w:start w:val="1"/>
      <w:numFmt w:val="lowerLetter"/>
      <w:lvlText w:val="%5."/>
      <w:lvlJc w:val="left"/>
      <w:pPr>
        <w:ind w:left="3807" w:hanging="360"/>
      </w:pPr>
    </w:lvl>
    <w:lvl w:ilvl="5" w:tplc="0C0A001B" w:tentative="1">
      <w:start w:val="1"/>
      <w:numFmt w:val="lowerRoman"/>
      <w:lvlText w:val="%6."/>
      <w:lvlJc w:val="right"/>
      <w:pPr>
        <w:ind w:left="4527" w:hanging="180"/>
      </w:pPr>
    </w:lvl>
    <w:lvl w:ilvl="6" w:tplc="0C0A000F" w:tentative="1">
      <w:start w:val="1"/>
      <w:numFmt w:val="decimal"/>
      <w:lvlText w:val="%7."/>
      <w:lvlJc w:val="left"/>
      <w:pPr>
        <w:ind w:left="5247" w:hanging="360"/>
      </w:pPr>
    </w:lvl>
    <w:lvl w:ilvl="7" w:tplc="0C0A0019" w:tentative="1">
      <w:start w:val="1"/>
      <w:numFmt w:val="lowerLetter"/>
      <w:lvlText w:val="%8."/>
      <w:lvlJc w:val="left"/>
      <w:pPr>
        <w:ind w:left="5967" w:hanging="360"/>
      </w:pPr>
    </w:lvl>
    <w:lvl w:ilvl="8" w:tplc="0C0A001B" w:tentative="1">
      <w:start w:val="1"/>
      <w:numFmt w:val="lowerRoman"/>
      <w:lvlText w:val="%9."/>
      <w:lvlJc w:val="right"/>
      <w:pPr>
        <w:ind w:left="6687" w:hanging="180"/>
      </w:pPr>
    </w:lvl>
  </w:abstractNum>
  <w:abstractNum w:abstractNumId="6">
    <w:nsid w:val="0A120ADC"/>
    <w:multiLevelType w:val="hybridMultilevel"/>
    <w:tmpl w:val="B54C93D2"/>
    <w:lvl w:ilvl="0" w:tplc="FFFFFFFF">
      <w:start w:val="1"/>
      <w:numFmt w:val="bullet"/>
      <w:lvlText w:val=""/>
      <w:lvlJc w:val="left"/>
      <w:pPr>
        <w:tabs>
          <w:tab w:val="num" w:pos="720"/>
        </w:tabs>
        <w:ind w:left="720" w:hanging="360"/>
      </w:pPr>
      <w:rPr>
        <w:rFonts w:ascii="Wingdings" w:hAnsi="Wingdings"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0C3217A1"/>
    <w:multiLevelType w:val="hybridMultilevel"/>
    <w:tmpl w:val="6E367D8C"/>
    <w:lvl w:ilvl="0" w:tplc="5EAED6BA">
      <w:start w:val="1"/>
      <w:numFmt w:val="decimal"/>
      <w:lvlText w:val="%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0F2B244F"/>
    <w:multiLevelType w:val="hybridMultilevel"/>
    <w:tmpl w:val="097E91E2"/>
    <w:lvl w:ilvl="0" w:tplc="0C1A8E8A">
      <w:start w:val="1"/>
      <w:numFmt w:val="decimal"/>
      <w:lvlText w:val="%1."/>
      <w:lvlJc w:val="left"/>
      <w:pPr>
        <w:tabs>
          <w:tab w:val="num" w:pos="567"/>
        </w:tabs>
        <w:ind w:left="0" w:firstLine="0"/>
      </w:pPr>
      <w:rPr>
        <w:rFonts w:ascii="Arial" w:hAnsi="Arial" w:cs="Arial" w:hint="default"/>
        <w:b w:val="0"/>
        <w:bCs w:val="0"/>
        <w:i w:val="0"/>
        <w:iCs w:val="0"/>
        <w:sz w:val="20"/>
        <w:szCs w:val="24"/>
      </w:rPr>
    </w:lvl>
    <w:lvl w:ilvl="1" w:tplc="BBB49450">
      <w:numFmt w:val="none"/>
      <w:lvlText w:val=""/>
      <w:lvlJc w:val="left"/>
      <w:pPr>
        <w:tabs>
          <w:tab w:val="num" w:pos="360"/>
        </w:tabs>
      </w:pPr>
    </w:lvl>
    <w:lvl w:ilvl="2" w:tplc="3072D582">
      <w:numFmt w:val="none"/>
      <w:lvlText w:val=""/>
      <w:lvlJc w:val="left"/>
      <w:pPr>
        <w:tabs>
          <w:tab w:val="num" w:pos="360"/>
        </w:tabs>
      </w:pPr>
    </w:lvl>
    <w:lvl w:ilvl="3" w:tplc="7E24C4FC">
      <w:numFmt w:val="none"/>
      <w:lvlText w:val=""/>
      <w:lvlJc w:val="left"/>
      <w:pPr>
        <w:tabs>
          <w:tab w:val="num" w:pos="360"/>
        </w:tabs>
      </w:pPr>
    </w:lvl>
    <w:lvl w:ilvl="4" w:tplc="B4745B60">
      <w:numFmt w:val="none"/>
      <w:lvlText w:val=""/>
      <w:lvlJc w:val="left"/>
      <w:pPr>
        <w:tabs>
          <w:tab w:val="num" w:pos="360"/>
        </w:tabs>
      </w:pPr>
    </w:lvl>
    <w:lvl w:ilvl="5" w:tplc="0B98436E">
      <w:numFmt w:val="none"/>
      <w:lvlText w:val=""/>
      <w:lvlJc w:val="left"/>
      <w:pPr>
        <w:tabs>
          <w:tab w:val="num" w:pos="360"/>
        </w:tabs>
      </w:pPr>
    </w:lvl>
    <w:lvl w:ilvl="6" w:tplc="2D44E926">
      <w:numFmt w:val="none"/>
      <w:lvlText w:val=""/>
      <w:lvlJc w:val="left"/>
      <w:pPr>
        <w:tabs>
          <w:tab w:val="num" w:pos="360"/>
        </w:tabs>
      </w:pPr>
    </w:lvl>
    <w:lvl w:ilvl="7" w:tplc="16A41804">
      <w:numFmt w:val="none"/>
      <w:lvlText w:val=""/>
      <w:lvlJc w:val="left"/>
      <w:pPr>
        <w:tabs>
          <w:tab w:val="num" w:pos="360"/>
        </w:tabs>
      </w:pPr>
    </w:lvl>
    <w:lvl w:ilvl="8" w:tplc="B82CFB2E">
      <w:numFmt w:val="none"/>
      <w:lvlText w:val=""/>
      <w:lvlJc w:val="left"/>
      <w:pPr>
        <w:tabs>
          <w:tab w:val="num" w:pos="360"/>
        </w:tabs>
      </w:pPr>
    </w:lvl>
  </w:abstractNum>
  <w:abstractNum w:abstractNumId="9">
    <w:nsid w:val="11547780"/>
    <w:multiLevelType w:val="hybridMultilevel"/>
    <w:tmpl w:val="2B9A23F0"/>
    <w:lvl w:ilvl="0" w:tplc="A3C68D84">
      <w:start w:val="1"/>
      <w:numFmt w:val="decimal"/>
      <w:lvlRestart w:val="0"/>
      <w:lvlText w:val="21.%1."/>
      <w:lvlJc w:val="left"/>
      <w:pPr>
        <w:tabs>
          <w:tab w:val="num" w:pos="680"/>
        </w:tabs>
        <w:ind w:left="0" w:firstLine="0"/>
      </w:pPr>
      <w:rPr>
        <w:rFonts w:ascii="Arial" w:hAnsi="Arial" w:hint="default"/>
        <w:sz w:val="20"/>
        <w:szCs w:val="20"/>
      </w:rPr>
    </w:lvl>
    <w:lvl w:ilvl="1" w:tplc="04090019">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122B2A50"/>
    <w:multiLevelType w:val="hybridMultilevel"/>
    <w:tmpl w:val="649E93AE"/>
    <w:lvl w:ilvl="0" w:tplc="88408418">
      <w:start w:val="1"/>
      <w:numFmt w:val="decimal"/>
      <w:lvlText w:val="%1."/>
      <w:lvlJc w:val="left"/>
      <w:pPr>
        <w:tabs>
          <w:tab w:val="num" w:pos="567"/>
        </w:tabs>
        <w:ind w:left="0" w:firstLine="0"/>
      </w:pPr>
      <w:rPr>
        <w:rFonts w:hint="default"/>
        <w:b w:val="0"/>
        <w:bCs/>
      </w:rPr>
    </w:lvl>
    <w:lvl w:ilvl="1" w:tplc="58C0532C"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13794905"/>
    <w:multiLevelType w:val="hybridMultilevel"/>
    <w:tmpl w:val="A0D47BD8"/>
    <w:lvl w:ilvl="0" w:tplc="976A27AE">
      <w:start w:val="315"/>
      <w:numFmt w:val="bullet"/>
      <w:lvlText w:val=""/>
      <w:lvlJc w:val="left"/>
      <w:pPr>
        <w:tabs>
          <w:tab w:val="num" w:pos="1134"/>
        </w:tabs>
        <w:ind w:left="1134" w:hanging="454"/>
      </w:pPr>
      <w:rPr>
        <w:rFonts w:ascii="Symbol" w:eastAsia="Times New Roman" w:hAnsi="Symbol" w:cs="Times New Roman" w:hint="default"/>
        <w:color w:val="auto"/>
        <w:sz w:val="22"/>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12">
    <w:nsid w:val="137E7F3B"/>
    <w:multiLevelType w:val="hybridMultilevel"/>
    <w:tmpl w:val="2DEC2B76"/>
    <w:lvl w:ilvl="0" w:tplc="C2EA24F4">
      <w:start w:val="1"/>
      <w:numFmt w:val="decimal"/>
      <w:lvlRestart w:val="0"/>
      <w:lvlText w:val="30.%1."/>
      <w:lvlJc w:val="left"/>
      <w:pPr>
        <w:tabs>
          <w:tab w:val="num" w:pos="683"/>
        </w:tabs>
        <w:ind w:left="0" w:firstLine="0"/>
      </w:pPr>
      <w:rPr>
        <w:rFonts w:ascii="Arial" w:hAnsi="Arial" w:hint="default"/>
        <w:i w:val="0"/>
        <w:iCs w:val="0"/>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4">
    <w:nsid w:val="20A80F82"/>
    <w:multiLevelType w:val="multilevel"/>
    <w:tmpl w:val="C2969DA4"/>
    <w:lvl w:ilvl="0">
      <w:start w:val="4"/>
      <w:numFmt w:val="decimal"/>
      <w:lvlText w:val="%1"/>
      <w:lvlJc w:val="left"/>
      <w:pPr>
        <w:ind w:left="360" w:hanging="360"/>
      </w:pPr>
      <w:rPr>
        <w:rFonts w:hint="default"/>
        <w:b w:val="0"/>
        <w:color w:val="FF00FF"/>
      </w:rPr>
    </w:lvl>
    <w:lvl w:ilvl="1">
      <w:start w:val="1"/>
      <w:numFmt w:val="decimal"/>
      <w:lvlText w:val="%1.%2"/>
      <w:lvlJc w:val="left"/>
      <w:pPr>
        <w:ind w:left="927" w:hanging="360"/>
      </w:pPr>
      <w:rPr>
        <w:rFonts w:hint="default"/>
        <w:b w:val="0"/>
        <w:color w:val="auto"/>
      </w:rPr>
    </w:lvl>
    <w:lvl w:ilvl="2">
      <w:start w:val="1"/>
      <w:numFmt w:val="decimal"/>
      <w:lvlText w:val="%1.%2.%3"/>
      <w:lvlJc w:val="left"/>
      <w:pPr>
        <w:ind w:left="1854" w:hanging="720"/>
      </w:pPr>
      <w:rPr>
        <w:rFonts w:hint="default"/>
        <w:b w:val="0"/>
        <w:color w:val="FF00FF"/>
      </w:rPr>
    </w:lvl>
    <w:lvl w:ilvl="3">
      <w:start w:val="1"/>
      <w:numFmt w:val="decimal"/>
      <w:lvlText w:val="%1.%2.%3.%4"/>
      <w:lvlJc w:val="left"/>
      <w:pPr>
        <w:ind w:left="2421" w:hanging="720"/>
      </w:pPr>
      <w:rPr>
        <w:rFonts w:hint="default"/>
        <w:b w:val="0"/>
        <w:color w:val="FF00FF"/>
      </w:rPr>
    </w:lvl>
    <w:lvl w:ilvl="4">
      <w:start w:val="1"/>
      <w:numFmt w:val="decimal"/>
      <w:lvlText w:val="%1.%2.%3.%4.%5"/>
      <w:lvlJc w:val="left"/>
      <w:pPr>
        <w:ind w:left="3348" w:hanging="1080"/>
      </w:pPr>
      <w:rPr>
        <w:rFonts w:hint="default"/>
        <w:b w:val="0"/>
        <w:color w:val="FF00FF"/>
      </w:rPr>
    </w:lvl>
    <w:lvl w:ilvl="5">
      <w:start w:val="1"/>
      <w:numFmt w:val="decimal"/>
      <w:lvlText w:val="%1.%2.%3.%4.%5.%6"/>
      <w:lvlJc w:val="left"/>
      <w:pPr>
        <w:ind w:left="3915" w:hanging="1080"/>
      </w:pPr>
      <w:rPr>
        <w:rFonts w:hint="default"/>
        <w:b w:val="0"/>
        <w:color w:val="FF00FF"/>
      </w:rPr>
    </w:lvl>
    <w:lvl w:ilvl="6">
      <w:start w:val="1"/>
      <w:numFmt w:val="decimal"/>
      <w:lvlText w:val="%1.%2.%3.%4.%5.%6.%7"/>
      <w:lvlJc w:val="left"/>
      <w:pPr>
        <w:ind w:left="4842" w:hanging="1440"/>
      </w:pPr>
      <w:rPr>
        <w:rFonts w:hint="default"/>
        <w:b w:val="0"/>
        <w:color w:val="FF00FF"/>
      </w:rPr>
    </w:lvl>
    <w:lvl w:ilvl="7">
      <w:start w:val="1"/>
      <w:numFmt w:val="decimal"/>
      <w:lvlText w:val="%1.%2.%3.%4.%5.%6.%7.%8"/>
      <w:lvlJc w:val="left"/>
      <w:pPr>
        <w:ind w:left="5409" w:hanging="1440"/>
      </w:pPr>
      <w:rPr>
        <w:rFonts w:hint="default"/>
        <w:b w:val="0"/>
        <w:color w:val="FF00FF"/>
      </w:rPr>
    </w:lvl>
    <w:lvl w:ilvl="8">
      <w:start w:val="1"/>
      <w:numFmt w:val="decimal"/>
      <w:lvlText w:val="%1.%2.%3.%4.%5.%6.%7.%8.%9"/>
      <w:lvlJc w:val="left"/>
      <w:pPr>
        <w:ind w:left="6336" w:hanging="1800"/>
      </w:pPr>
      <w:rPr>
        <w:rFonts w:hint="default"/>
        <w:b w:val="0"/>
        <w:color w:val="FF00FF"/>
      </w:rPr>
    </w:lvl>
  </w:abstractNum>
  <w:abstractNum w:abstractNumId="15">
    <w:nsid w:val="245E7006"/>
    <w:multiLevelType w:val="hybridMultilevel"/>
    <w:tmpl w:val="1CFA2352"/>
    <w:lvl w:ilvl="0" w:tplc="75FA6534">
      <w:start w:val="1"/>
      <w:numFmt w:val="decimal"/>
      <w:lvlText w:val="%1."/>
      <w:lvlJc w:val="left"/>
      <w:pPr>
        <w:tabs>
          <w:tab w:val="num" w:pos="360"/>
        </w:tabs>
        <w:ind w:left="360" w:hanging="360"/>
      </w:pPr>
    </w:lvl>
    <w:lvl w:ilvl="1" w:tplc="7A20B9F4">
      <w:start w:val="1"/>
      <w:numFmt w:val="lowerLetter"/>
      <w:lvlText w:val="%2)"/>
      <w:lvlJc w:val="left"/>
      <w:pPr>
        <w:tabs>
          <w:tab w:val="num" w:pos="1080"/>
        </w:tabs>
        <w:ind w:left="1080" w:hanging="360"/>
      </w:pPr>
      <w:rPr>
        <w:rFonts w:hint="default"/>
      </w:rPr>
    </w:lvl>
    <w:lvl w:ilvl="2" w:tplc="99CC9D1E">
      <w:start w:val="1"/>
      <w:numFmt w:val="lowerRoman"/>
      <w:lvlText w:val="%3)"/>
      <w:lvlJc w:val="left"/>
      <w:pPr>
        <w:tabs>
          <w:tab w:val="num" w:pos="1790"/>
        </w:tabs>
        <w:ind w:left="1620" w:firstLine="0"/>
      </w:pPr>
      <w:rPr>
        <w:rFonts w:hint="default"/>
      </w:rPr>
    </w:lvl>
    <w:lvl w:ilvl="3" w:tplc="0409000F">
      <w:start w:val="1"/>
      <w:numFmt w:val="decimal"/>
      <w:lvlText w:val="%4."/>
      <w:lvlJc w:val="left"/>
      <w:pPr>
        <w:tabs>
          <w:tab w:val="num" w:pos="2520"/>
        </w:tabs>
        <w:ind w:left="2520" w:hanging="360"/>
      </w:pPr>
      <w:rPr>
        <w:rFonts w:hint="default"/>
      </w:rPr>
    </w:lvl>
    <w:lvl w:ilvl="4" w:tplc="04090003">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16">
    <w:nsid w:val="246747EC"/>
    <w:multiLevelType w:val="hybridMultilevel"/>
    <w:tmpl w:val="14EAB186"/>
    <w:lvl w:ilvl="0" w:tplc="0409000F">
      <w:start w:val="1"/>
      <w:numFmt w:val="decimal"/>
      <w:lvlRestart w:val="0"/>
      <w:lvlText w:val="14.%1."/>
      <w:lvlJc w:val="left"/>
      <w:pPr>
        <w:tabs>
          <w:tab w:val="num" w:pos="683"/>
        </w:tabs>
        <w:ind w:left="0" w:firstLine="0"/>
      </w:pPr>
      <w:rPr>
        <w:rFonts w:ascii="Arial" w:hAnsi="Arial" w:hint="default"/>
        <w:sz w:val="20"/>
        <w:szCs w:val="20"/>
      </w:rPr>
    </w:lvl>
    <w:lvl w:ilvl="1" w:tplc="ECFC44FC">
      <w:start w:val="1"/>
      <w:numFmt w:val="lowerRoman"/>
      <w:lvlText w:val="%2)"/>
      <w:lvlJc w:val="left"/>
      <w:pPr>
        <w:tabs>
          <w:tab w:val="num" w:pos="1250"/>
        </w:tabs>
        <w:ind w:left="1080" w:firstLine="0"/>
      </w:pPr>
      <w:rPr>
        <w:rFonts w:hint="default"/>
        <w:sz w:val="20"/>
        <w:szCs w:val="2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24726D81"/>
    <w:multiLevelType w:val="hybridMultilevel"/>
    <w:tmpl w:val="259AE5A4"/>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18">
    <w:nsid w:val="24DC4966"/>
    <w:multiLevelType w:val="hybridMultilevel"/>
    <w:tmpl w:val="66D6AA08"/>
    <w:lvl w:ilvl="0" w:tplc="C49E790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524148D"/>
    <w:multiLevelType w:val="hybridMultilevel"/>
    <w:tmpl w:val="3258CCD4"/>
    <w:lvl w:ilvl="0" w:tplc="804EB18E">
      <w:start w:val="1"/>
      <w:numFmt w:val="decimal"/>
      <w:lvlRestart w:val="0"/>
      <w:lvlText w:val="29.%1."/>
      <w:lvlJc w:val="left"/>
      <w:pPr>
        <w:tabs>
          <w:tab w:val="num" w:pos="692"/>
        </w:tabs>
        <w:ind w:left="6" w:firstLine="0"/>
      </w:pPr>
      <w:rPr>
        <w:rFonts w:ascii="Arial" w:hAnsi="Arial" w:hint="default"/>
        <w:sz w:val="20"/>
        <w:szCs w:val="20"/>
      </w:rPr>
    </w:lvl>
    <w:lvl w:ilvl="1" w:tplc="D61C67BA"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269F606B"/>
    <w:multiLevelType w:val="hybridMultilevel"/>
    <w:tmpl w:val="6654FA74"/>
    <w:lvl w:ilvl="0" w:tplc="311A3728">
      <w:start w:val="1"/>
      <w:numFmt w:val="decimal"/>
      <w:lvlRestart w:val="0"/>
      <w:lvlText w:val="24.%1."/>
      <w:lvlJc w:val="left"/>
      <w:pPr>
        <w:tabs>
          <w:tab w:val="num" w:pos="692"/>
        </w:tabs>
        <w:ind w:left="6"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276F7D50"/>
    <w:multiLevelType w:val="hybridMultilevel"/>
    <w:tmpl w:val="E26E1252"/>
    <w:lvl w:ilvl="0" w:tplc="04090001">
      <w:start w:val="1"/>
      <w:numFmt w:val="bullet"/>
      <w:lvlText w:val=""/>
      <w:lvlJc w:val="left"/>
      <w:pPr>
        <w:tabs>
          <w:tab w:val="num" w:pos="1160"/>
        </w:tabs>
        <w:ind w:left="1160" w:hanging="360"/>
      </w:pPr>
      <w:rPr>
        <w:rFonts w:ascii="Symbol" w:hAnsi="Symbol" w:hint="default"/>
      </w:rPr>
    </w:lvl>
    <w:lvl w:ilvl="1" w:tplc="04090003" w:tentative="1">
      <w:start w:val="1"/>
      <w:numFmt w:val="bullet"/>
      <w:lvlText w:val="o"/>
      <w:lvlJc w:val="left"/>
      <w:pPr>
        <w:tabs>
          <w:tab w:val="num" w:pos="1880"/>
        </w:tabs>
        <w:ind w:left="1880" w:hanging="360"/>
      </w:pPr>
      <w:rPr>
        <w:rFonts w:ascii="Courier New" w:hAnsi="Courier New" w:cs="Courier New" w:hint="default"/>
      </w:rPr>
    </w:lvl>
    <w:lvl w:ilvl="2" w:tplc="04090005" w:tentative="1">
      <w:start w:val="1"/>
      <w:numFmt w:val="bullet"/>
      <w:lvlText w:val=""/>
      <w:lvlJc w:val="left"/>
      <w:pPr>
        <w:tabs>
          <w:tab w:val="num" w:pos="2600"/>
        </w:tabs>
        <w:ind w:left="2600" w:hanging="360"/>
      </w:pPr>
      <w:rPr>
        <w:rFonts w:ascii="Wingdings" w:hAnsi="Wingdings" w:hint="default"/>
      </w:rPr>
    </w:lvl>
    <w:lvl w:ilvl="3" w:tplc="04090001" w:tentative="1">
      <w:start w:val="1"/>
      <w:numFmt w:val="bullet"/>
      <w:lvlText w:val=""/>
      <w:lvlJc w:val="left"/>
      <w:pPr>
        <w:tabs>
          <w:tab w:val="num" w:pos="3320"/>
        </w:tabs>
        <w:ind w:left="3320" w:hanging="360"/>
      </w:pPr>
      <w:rPr>
        <w:rFonts w:ascii="Symbol" w:hAnsi="Symbol" w:hint="default"/>
      </w:rPr>
    </w:lvl>
    <w:lvl w:ilvl="4" w:tplc="04090003" w:tentative="1">
      <w:start w:val="1"/>
      <w:numFmt w:val="bullet"/>
      <w:lvlText w:val="o"/>
      <w:lvlJc w:val="left"/>
      <w:pPr>
        <w:tabs>
          <w:tab w:val="num" w:pos="4040"/>
        </w:tabs>
        <w:ind w:left="4040" w:hanging="360"/>
      </w:pPr>
      <w:rPr>
        <w:rFonts w:ascii="Courier New" w:hAnsi="Courier New" w:cs="Courier New" w:hint="default"/>
      </w:rPr>
    </w:lvl>
    <w:lvl w:ilvl="5" w:tplc="04090005" w:tentative="1">
      <w:start w:val="1"/>
      <w:numFmt w:val="bullet"/>
      <w:lvlText w:val=""/>
      <w:lvlJc w:val="left"/>
      <w:pPr>
        <w:tabs>
          <w:tab w:val="num" w:pos="4760"/>
        </w:tabs>
        <w:ind w:left="4760" w:hanging="360"/>
      </w:pPr>
      <w:rPr>
        <w:rFonts w:ascii="Wingdings" w:hAnsi="Wingdings" w:hint="default"/>
      </w:rPr>
    </w:lvl>
    <w:lvl w:ilvl="6" w:tplc="04090001" w:tentative="1">
      <w:start w:val="1"/>
      <w:numFmt w:val="bullet"/>
      <w:lvlText w:val=""/>
      <w:lvlJc w:val="left"/>
      <w:pPr>
        <w:tabs>
          <w:tab w:val="num" w:pos="5480"/>
        </w:tabs>
        <w:ind w:left="5480" w:hanging="360"/>
      </w:pPr>
      <w:rPr>
        <w:rFonts w:ascii="Symbol" w:hAnsi="Symbol" w:hint="default"/>
      </w:rPr>
    </w:lvl>
    <w:lvl w:ilvl="7" w:tplc="04090003" w:tentative="1">
      <w:start w:val="1"/>
      <w:numFmt w:val="bullet"/>
      <w:lvlText w:val="o"/>
      <w:lvlJc w:val="left"/>
      <w:pPr>
        <w:tabs>
          <w:tab w:val="num" w:pos="6200"/>
        </w:tabs>
        <w:ind w:left="6200" w:hanging="360"/>
      </w:pPr>
      <w:rPr>
        <w:rFonts w:ascii="Courier New" w:hAnsi="Courier New" w:cs="Courier New" w:hint="default"/>
      </w:rPr>
    </w:lvl>
    <w:lvl w:ilvl="8" w:tplc="04090005" w:tentative="1">
      <w:start w:val="1"/>
      <w:numFmt w:val="bullet"/>
      <w:lvlText w:val=""/>
      <w:lvlJc w:val="left"/>
      <w:pPr>
        <w:tabs>
          <w:tab w:val="num" w:pos="6920"/>
        </w:tabs>
        <w:ind w:left="6920" w:hanging="360"/>
      </w:pPr>
      <w:rPr>
        <w:rFonts w:ascii="Wingdings" w:hAnsi="Wingdings" w:hint="default"/>
      </w:rPr>
    </w:lvl>
  </w:abstractNum>
  <w:abstractNum w:abstractNumId="22">
    <w:nsid w:val="27CA1DDD"/>
    <w:multiLevelType w:val="hybridMultilevel"/>
    <w:tmpl w:val="A3A0C48C"/>
    <w:lvl w:ilvl="0" w:tplc="9306EFCE">
      <w:start w:val="1"/>
      <w:numFmt w:val="decimal"/>
      <w:lvlRestart w:val="0"/>
      <w:lvlText w:val="25.%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280A3731"/>
    <w:multiLevelType w:val="multilevel"/>
    <w:tmpl w:val="46A495A4"/>
    <w:lvl w:ilvl="0">
      <w:start w:val="8"/>
      <w:numFmt w:val="decimal"/>
      <w:lvlText w:val="%1"/>
      <w:lvlJc w:val="left"/>
      <w:pPr>
        <w:tabs>
          <w:tab w:val="num" w:pos="570"/>
        </w:tabs>
        <w:ind w:left="570" w:hanging="570"/>
      </w:pPr>
      <w:rPr>
        <w:rFonts w:hint="default"/>
      </w:rPr>
    </w:lvl>
    <w:lvl w:ilvl="1">
      <w:start w:val="1"/>
      <w:numFmt w:val="decimal"/>
      <w:lvlRestart w:val="0"/>
      <w:lvlText w:val="8.%2."/>
      <w:lvlJc w:val="left"/>
      <w:pPr>
        <w:tabs>
          <w:tab w:val="num" w:pos="680"/>
        </w:tabs>
        <w:ind w:left="0" w:firstLine="0"/>
      </w:pPr>
      <w:rPr>
        <w:rFonts w:ascii="Arial" w:hAnsi="Arial" w:hint="default"/>
        <w:sz w:val="20"/>
        <w:szCs w:val="2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nsid w:val="2B0F0EBA"/>
    <w:multiLevelType w:val="hybridMultilevel"/>
    <w:tmpl w:val="68EA7932"/>
    <w:lvl w:ilvl="0" w:tplc="CE9EFB40">
      <w:start w:val="1"/>
      <w:numFmt w:val="decimal"/>
      <w:lvlText w:val="%1."/>
      <w:lvlJc w:val="left"/>
      <w:pPr>
        <w:tabs>
          <w:tab w:val="num" w:pos="567"/>
        </w:tabs>
        <w:ind w:left="0" w:firstLine="0"/>
      </w:pPr>
      <w:rPr>
        <w:rFonts w:hint="default"/>
        <w:color w:val="auto"/>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2B423B8D"/>
    <w:multiLevelType w:val="hybridMultilevel"/>
    <w:tmpl w:val="1004DDCE"/>
    <w:lvl w:ilvl="0" w:tplc="2A1252A8">
      <w:start w:val="1"/>
      <w:numFmt w:val="decimal"/>
      <w:lvlText w:val="%1."/>
      <w:lvlJc w:val="left"/>
      <w:pPr>
        <w:tabs>
          <w:tab w:val="num" w:pos="567"/>
        </w:tabs>
        <w:ind w:left="0" w:firstLine="0"/>
      </w:pPr>
      <w:rPr>
        <w:rFonts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2D7F1CA2"/>
    <w:multiLevelType w:val="hybridMultilevel"/>
    <w:tmpl w:val="449ED5AA"/>
    <w:lvl w:ilvl="0" w:tplc="04090001">
      <w:start w:val="1"/>
      <w:numFmt w:val="bullet"/>
      <w:lvlText w:val=""/>
      <w:lvlJc w:val="left"/>
      <w:pPr>
        <w:tabs>
          <w:tab w:val="num" w:pos="1120"/>
        </w:tabs>
        <w:ind w:left="1120" w:hanging="360"/>
      </w:pPr>
      <w:rPr>
        <w:rFonts w:ascii="Symbol" w:hAnsi="Symbol" w:hint="default"/>
      </w:rPr>
    </w:lvl>
    <w:lvl w:ilvl="1" w:tplc="04090003" w:tentative="1">
      <w:start w:val="1"/>
      <w:numFmt w:val="bullet"/>
      <w:lvlText w:val="o"/>
      <w:lvlJc w:val="left"/>
      <w:pPr>
        <w:tabs>
          <w:tab w:val="num" w:pos="1840"/>
        </w:tabs>
        <w:ind w:left="1840" w:hanging="360"/>
      </w:pPr>
      <w:rPr>
        <w:rFonts w:ascii="Courier New" w:hAnsi="Courier New" w:cs="Courier New" w:hint="default"/>
      </w:rPr>
    </w:lvl>
    <w:lvl w:ilvl="2" w:tplc="04090005" w:tentative="1">
      <w:start w:val="1"/>
      <w:numFmt w:val="bullet"/>
      <w:lvlText w:val=""/>
      <w:lvlJc w:val="left"/>
      <w:pPr>
        <w:tabs>
          <w:tab w:val="num" w:pos="2560"/>
        </w:tabs>
        <w:ind w:left="2560" w:hanging="360"/>
      </w:pPr>
      <w:rPr>
        <w:rFonts w:ascii="Wingdings" w:hAnsi="Wingdings" w:hint="default"/>
      </w:rPr>
    </w:lvl>
    <w:lvl w:ilvl="3" w:tplc="04090001" w:tentative="1">
      <w:start w:val="1"/>
      <w:numFmt w:val="bullet"/>
      <w:lvlText w:val=""/>
      <w:lvlJc w:val="left"/>
      <w:pPr>
        <w:tabs>
          <w:tab w:val="num" w:pos="3280"/>
        </w:tabs>
        <w:ind w:left="3280" w:hanging="360"/>
      </w:pPr>
      <w:rPr>
        <w:rFonts w:ascii="Symbol" w:hAnsi="Symbol" w:hint="default"/>
      </w:rPr>
    </w:lvl>
    <w:lvl w:ilvl="4" w:tplc="04090003" w:tentative="1">
      <w:start w:val="1"/>
      <w:numFmt w:val="bullet"/>
      <w:lvlText w:val="o"/>
      <w:lvlJc w:val="left"/>
      <w:pPr>
        <w:tabs>
          <w:tab w:val="num" w:pos="4000"/>
        </w:tabs>
        <w:ind w:left="4000" w:hanging="360"/>
      </w:pPr>
      <w:rPr>
        <w:rFonts w:ascii="Courier New" w:hAnsi="Courier New" w:cs="Courier New" w:hint="default"/>
      </w:rPr>
    </w:lvl>
    <w:lvl w:ilvl="5" w:tplc="04090005" w:tentative="1">
      <w:start w:val="1"/>
      <w:numFmt w:val="bullet"/>
      <w:lvlText w:val=""/>
      <w:lvlJc w:val="left"/>
      <w:pPr>
        <w:tabs>
          <w:tab w:val="num" w:pos="4720"/>
        </w:tabs>
        <w:ind w:left="4720" w:hanging="360"/>
      </w:pPr>
      <w:rPr>
        <w:rFonts w:ascii="Wingdings" w:hAnsi="Wingdings" w:hint="default"/>
      </w:rPr>
    </w:lvl>
    <w:lvl w:ilvl="6" w:tplc="04090001" w:tentative="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27">
    <w:nsid w:val="2F5B64AE"/>
    <w:multiLevelType w:val="hybridMultilevel"/>
    <w:tmpl w:val="41886E56"/>
    <w:lvl w:ilvl="0" w:tplc="2A1252A8">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8">
    <w:nsid w:val="30735C4C"/>
    <w:multiLevelType w:val="hybridMultilevel"/>
    <w:tmpl w:val="2988B7D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31136CF2"/>
    <w:multiLevelType w:val="hybridMultilevel"/>
    <w:tmpl w:val="F9828D0E"/>
    <w:lvl w:ilvl="0" w:tplc="7A84B2F6">
      <w:start w:val="1"/>
      <w:numFmt w:val="decimal"/>
      <w:lvlRestart w:val="0"/>
      <w:lvlText w:val="22.%1."/>
      <w:lvlJc w:val="left"/>
      <w:pPr>
        <w:tabs>
          <w:tab w:val="num" w:pos="692"/>
        </w:tabs>
        <w:ind w:left="6" w:firstLine="0"/>
      </w:pPr>
      <w:rPr>
        <w:rFonts w:ascii="Arial" w:hAnsi="Arial" w:hint="default"/>
        <w:b w:val="0"/>
        <w:bCs/>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319B534E"/>
    <w:multiLevelType w:val="hybridMultilevel"/>
    <w:tmpl w:val="FD5C801E"/>
    <w:lvl w:ilvl="0" w:tplc="04090001">
      <w:start w:val="1"/>
      <w:numFmt w:val="bullet"/>
      <w:lvlText w:val=""/>
      <w:lvlJc w:val="left"/>
      <w:pPr>
        <w:tabs>
          <w:tab w:val="num" w:pos="1287"/>
        </w:tabs>
        <w:ind w:left="1287" w:hanging="360"/>
      </w:pPr>
      <w:rPr>
        <w:rFonts w:ascii="Symbol" w:hAnsi="Symbol" w:hint="default"/>
      </w:rPr>
    </w:lvl>
    <w:lvl w:ilvl="1" w:tplc="04090003">
      <w:start w:val="1"/>
      <w:numFmt w:val="bullet"/>
      <w:lvlText w:val="o"/>
      <w:lvlJc w:val="left"/>
      <w:pPr>
        <w:tabs>
          <w:tab w:val="num" w:pos="1583"/>
        </w:tabs>
        <w:ind w:left="1583" w:hanging="360"/>
      </w:pPr>
      <w:rPr>
        <w:rFonts w:ascii="Courier New" w:hAnsi="Courier New" w:cs="Courier New" w:hint="default"/>
      </w:rPr>
    </w:lvl>
    <w:lvl w:ilvl="2" w:tplc="04090005">
      <w:start w:val="1"/>
      <w:numFmt w:val="bullet"/>
      <w:lvlText w:val=""/>
      <w:lvlJc w:val="left"/>
      <w:pPr>
        <w:tabs>
          <w:tab w:val="num" w:pos="2303"/>
        </w:tabs>
        <w:ind w:left="2303" w:hanging="360"/>
      </w:pPr>
      <w:rPr>
        <w:rFonts w:ascii="Wingdings" w:hAnsi="Wingdings" w:hint="default"/>
      </w:rPr>
    </w:lvl>
    <w:lvl w:ilvl="3" w:tplc="04090001" w:tentative="1">
      <w:start w:val="1"/>
      <w:numFmt w:val="bullet"/>
      <w:lvlText w:val=""/>
      <w:lvlJc w:val="left"/>
      <w:pPr>
        <w:tabs>
          <w:tab w:val="num" w:pos="3023"/>
        </w:tabs>
        <w:ind w:left="3023" w:hanging="360"/>
      </w:pPr>
      <w:rPr>
        <w:rFonts w:ascii="Symbol" w:hAnsi="Symbol" w:hint="default"/>
      </w:rPr>
    </w:lvl>
    <w:lvl w:ilvl="4" w:tplc="04090003" w:tentative="1">
      <w:start w:val="1"/>
      <w:numFmt w:val="bullet"/>
      <w:lvlText w:val="o"/>
      <w:lvlJc w:val="left"/>
      <w:pPr>
        <w:tabs>
          <w:tab w:val="num" w:pos="3743"/>
        </w:tabs>
        <w:ind w:left="3743" w:hanging="360"/>
      </w:pPr>
      <w:rPr>
        <w:rFonts w:ascii="Courier New" w:hAnsi="Courier New" w:cs="Courier New" w:hint="default"/>
      </w:rPr>
    </w:lvl>
    <w:lvl w:ilvl="5" w:tplc="04090005" w:tentative="1">
      <w:start w:val="1"/>
      <w:numFmt w:val="bullet"/>
      <w:lvlText w:val=""/>
      <w:lvlJc w:val="left"/>
      <w:pPr>
        <w:tabs>
          <w:tab w:val="num" w:pos="4463"/>
        </w:tabs>
        <w:ind w:left="4463" w:hanging="360"/>
      </w:pPr>
      <w:rPr>
        <w:rFonts w:ascii="Wingdings" w:hAnsi="Wingdings" w:hint="default"/>
      </w:rPr>
    </w:lvl>
    <w:lvl w:ilvl="6" w:tplc="04090001" w:tentative="1">
      <w:start w:val="1"/>
      <w:numFmt w:val="bullet"/>
      <w:lvlText w:val=""/>
      <w:lvlJc w:val="left"/>
      <w:pPr>
        <w:tabs>
          <w:tab w:val="num" w:pos="5183"/>
        </w:tabs>
        <w:ind w:left="5183" w:hanging="360"/>
      </w:pPr>
      <w:rPr>
        <w:rFonts w:ascii="Symbol" w:hAnsi="Symbol" w:hint="default"/>
      </w:rPr>
    </w:lvl>
    <w:lvl w:ilvl="7" w:tplc="04090003" w:tentative="1">
      <w:start w:val="1"/>
      <w:numFmt w:val="bullet"/>
      <w:lvlText w:val="o"/>
      <w:lvlJc w:val="left"/>
      <w:pPr>
        <w:tabs>
          <w:tab w:val="num" w:pos="5903"/>
        </w:tabs>
        <w:ind w:left="5903" w:hanging="360"/>
      </w:pPr>
      <w:rPr>
        <w:rFonts w:ascii="Courier New" w:hAnsi="Courier New" w:cs="Courier New" w:hint="default"/>
      </w:rPr>
    </w:lvl>
    <w:lvl w:ilvl="8" w:tplc="04090005" w:tentative="1">
      <w:start w:val="1"/>
      <w:numFmt w:val="bullet"/>
      <w:lvlText w:val=""/>
      <w:lvlJc w:val="left"/>
      <w:pPr>
        <w:tabs>
          <w:tab w:val="num" w:pos="6623"/>
        </w:tabs>
        <w:ind w:left="6623" w:hanging="360"/>
      </w:pPr>
      <w:rPr>
        <w:rFonts w:ascii="Wingdings" w:hAnsi="Wingdings" w:hint="default"/>
      </w:rPr>
    </w:lvl>
  </w:abstractNum>
  <w:abstractNum w:abstractNumId="31">
    <w:nsid w:val="358F78EB"/>
    <w:multiLevelType w:val="hybridMultilevel"/>
    <w:tmpl w:val="668A115A"/>
    <w:lvl w:ilvl="0" w:tplc="44F03848">
      <w:start w:val="1"/>
      <w:numFmt w:val="bullet"/>
      <w:lvlText w:val=""/>
      <w:lvlJc w:val="left"/>
      <w:pPr>
        <w:tabs>
          <w:tab w:val="num" w:pos="927"/>
        </w:tabs>
        <w:ind w:left="927" w:hanging="360"/>
      </w:pPr>
      <w:rPr>
        <w:rFonts w:ascii="Symbol" w:hAnsi="Symbol" w:cs="Times New Roman" w:hint="default"/>
        <w:sz w:val="26"/>
      </w:rPr>
    </w:lvl>
    <w:lvl w:ilvl="1" w:tplc="3C948B28">
      <w:start w:val="13"/>
      <w:numFmt w:val="decimal"/>
      <w:lvlText w:val="%2."/>
      <w:lvlJc w:val="left"/>
      <w:pPr>
        <w:tabs>
          <w:tab w:val="num" w:pos="1077"/>
        </w:tabs>
        <w:ind w:left="0" w:firstLine="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35D26F74"/>
    <w:multiLevelType w:val="hybridMultilevel"/>
    <w:tmpl w:val="0706E2E4"/>
    <w:lvl w:ilvl="0" w:tplc="CE6A6634">
      <w:start w:val="1"/>
      <w:numFmt w:val="bullet"/>
      <w:lvlText w:val=""/>
      <w:lvlJc w:val="left"/>
      <w:pPr>
        <w:tabs>
          <w:tab w:val="num" w:pos="720"/>
        </w:tabs>
        <w:ind w:left="720" w:hanging="360"/>
      </w:pPr>
      <w:rPr>
        <w:rFonts w:ascii="Wingdings" w:hAnsi="Wingdings" w:hint="default"/>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396B6BA4"/>
    <w:multiLevelType w:val="hybridMultilevel"/>
    <w:tmpl w:val="5E88E18A"/>
    <w:lvl w:ilvl="0" w:tplc="C592E888">
      <w:start w:val="1"/>
      <w:numFmt w:val="decimal"/>
      <w:lvlRestart w:val="0"/>
      <w:lvlText w:val="13.%1."/>
      <w:lvlJc w:val="left"/>
      <w:pPr>
        <w:tabs>
          <w:tab w:val="num" w:pos="683"/>
        </w:tabs>
        <w:ind w:left="0" w:firstLine="0"/>
      </w:pPr>
      <w:rPr>
        <w:rFonts w:ascii="Arial" w:hAnsi="Arial" w:hint="default"/>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4">
    <w:nsid w:val="3C5677A7"/>
    <w:multiLevelType w:val="hybridMultilevel"/>
    <w:tmpl w:val="445007FE"/>
    <w:lvl w:ilvl="0" w:tplc="9CD64338">
      <w:start w:val="1"/>
      <w:numFmt w:val="bullet"/>
      <w:lvlText w:val=""/>
      <w:lvlJc w:val="left"/>
      <w:pPr>
        <w:tabs>
          <w:tab w:val="num" w:pos="851"/>
        </w:tabs>
        <w:ind w:left="851" w:hanging="284"/>
      </w:pPr>
      <w:rPr>
        <w:rFonts w:ascii="Symbol" w:hAnsi="Symbol" w:hint="default"/>
        <w:lang w:val="en-SG"/>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3E8703BF"/>
    <w:multiLevelType w:val="hybridMultilevel"/>
    <w:tmpl w:val="DF60092C"/>
    <w:lvl w:ilvl="0" w:tplc="5144F034">
      <w:start w:val="1"/>
      <w:numFmt w:val="decimal"/>
      <w:lvlRestart w:val="0"/>
      <w:lvlText w:val="5.%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3FB71A0F"/>
    <w:multiLevelType w:val="hybridMultilevel"/>
    <w:tmpl w:val="EC283824"/>
    <w:lvl w:ilvl="0" w:tplc="C53C0112">
      <w:start w:val="1"/>
      <w:numFmt w:val="decimal"/>
      <w:lvlRestart w:val="0"/>
      <w:lvlText w:val="16.%1."/>
      <w:lvlJc w:val="left"/>
      <w:pPr>
        <w:tabs>
          <w:tab w:val="num" w:pos="683"/>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7">
    <w:nsid w:val="42CF35C5"/>
    <w:multiLevelType w:val="hybridMultilevel"/>
    <w:tmpl w:val="E5406E66"/>
    <w:lvl w:ilvl="0" w:tplc="CDFE3C58">
      <w:start w:val="1"/>
      <w:numFmt w:val="decimal"/>
      <w:lvlRestart w:val="0"/>
      <w:lvlText w:val="6.%1."/>
      <w:lvlJc w:val="left"/>
      <w:pPr>
        <w:tabs>
          <w:tab w:val="num" w:pos="680"/>
        </w:tabs>
        <w:ind w:left="0" w:firstLine="0"/>
      </w:pPr>
      <w:rPr>
        <w:rFonts w:ascii="Arial" w:hAnsi="Arial" w:hint="default"/>
        <w:sz w:val="20"/>
        <w:szCs w:val="2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44EC51BC"/>
    <w:multiLevelType w:val="hybridMultilevel"/>
    <w:tmpl w:val="B14AF35C"/>
    <w:lvl w:ilvl="0" w:tplc="BBEE0BA2">
      <w:start w:val="1"/>
      <w:numFmt w:val="decimal"/>
      <w:lvlRestart w:val="0"/>
      <w:lvlText w:val="26.%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49A91F7F"/>
    <w:multiLevelType w:val="hybridMultilevel"/>
    <w:tmpl w:val="F3E09890"/>
    <w:lvl w:ilvl="0" w:tplc="55366768">
      <w:start w:val="1"/>
      <w:numFmt w:val="decimal"/>
      <w:lvlRestart w:val="0"/>
      <w:lvlText w:val="3.%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4A4034CD"/>
    <w:multiLevelType w:val="hybridMultilevel"/>
    <w:tmpl w:val="C61E1F84"/>
    <w:lvl w:ilvl="0" w:tplc="2E60A370">
      <w:start w:val="1"/>
      <w:numFmt w:val="decimal"/>
      <w:lvlRestart w:val="0"/>
      <w:lvlText w:val="2.%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4A4579BD"/>
    <w:multiLevelType w:val="hybridMultilevel"/>
    <w:tmpl w:val="11123082"/>
    <w:lvl w:ilvl="0" w:tplc="BDB20DE6">
      <w:start w:val="1"/>
      <w:numFmt w:val="decimal"/>
      <w:lvlRestart w:val="0"/>
      <w:lvlText w:val="4.%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4D381E2C"/>
    <w:multiLevelType w:val="hybridMultilevel"/>
    <w:tmpl w:val="9072CC8A"/>
    <w:lvl w:ilvl="0" w:tplc="000E655A">
      <w:start w:val="1"/>
      <w:numFmt w:val="decimal"/>
      <w:lvlRestart w:val="0"/>
      <w:lvlText w:val="27.%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525263E6"/>
    <w:multiLevelType w:val="multilevel"/>
    <w:tmpl w:val="71E8609E"/>
    <w:lvl w:ilvl="0">
      <w:start w:val="1"/>
      <w:numFmt w:val="bullet"/>
      <w:lvlText w:val=""/>
      <w:lvlJc w:val="left"/>
      <w:pPr>
        <w:tabs>
          <w:tab w:val="num" w:pos="513"/>
        </w:tabs>
        <w:ind w:left="890" w:hanging="170"/>
      </w:pPr>
      <w:rPr>
        <w:rFonts w:ascii="Symbol" w:hAnsi="Symbol" w:cs="Arial" w:hint="default"/>
        <w:sz w:val="26"/>
      </w:rPr>
    </w:lvl>
    <w:lvl w:ilvl="1">
      <w:start w:val="1"/>
      <w:numFmt w:val="bullet"/>
      <w:lvlText w:val="o"/>
      <w:lvlJc w:val="left"/>
      <w:pPr>
        <w:tabs>
          <w:tab w:val="num" w:pos="1593"/>
        </w:tabs>
        <w:ind w:left="1593" w:hanging="360"/>
      </w:pPr>
      <w:rPr>
        <w:rFonts w:ascii="Courier New" w:hAnsi="Courier New" w:cs="Courier New" w:hint="default"/>
      </w:rPr>
    </w:lvl>
    <w:lvl w:ilvl="2">
      <w:start w:val="1"/>
      <w:numFmt w:val="bullet"/>
      <w:lvlText w:val=""/>
      <w:lvlJc w:val="left"/>
      <w:pPr>
        <w:tabs>
          <w:tab w:val="num" w:pos="2313"/>
        </w:tabs>
        <w:ind w:left="2313" w:hanging="360"/>
      </w:pPr>
      <w:rPr>
        <w:rFonts w:ascii="Wingdings" w:hAnsi="Wingdings" w:hint="default"/>
      </w:rPr>
    </w:lvl>
    <w:lvl w:ilvl="3">
      <w:start w:val="1"/>
      <w:numFmt w:val="bullet"/>
      <w:lvlText w:val=""/>
      <w:lvlJc w:val="left"/>
      <w:pPr>
        <w:tabs>
          <w:tab w:val="num" w:pos="3033"/>
        </w:tabs>
        <w:ind w:left="3033" w:hanging="360"/>
      </w:pPr>
      <w:rPr>
        <w:rFonts w:ascii="Symbol" w:hAnsi="Symbol" w:hint="default"/>
      </w:rPr>
    </w:lvl>
    <w:lvl w:ilvl="4">
      <w:start w:val="1"/>
      <w:numFmt w:val="bullet"/>
      <w:lvlText w:val="o"/>
      <w:lvlJc w:val="left"/>
      <w:pPr>
        <w:tabs>
          <w:tab w:val="num" w:pos="3753"/>
        </w:tabs>
        <w:ind w:left="3753" w:hanging="360"/>
      </w:pPr>
      <w:rPr>
        <w:rFonts w:ascii="Courier New" w:hAnsi="Courier New" w:cs="Courier New" w:hint="default"/>
      </w:rPr>
    </w:lvl>
    <w:lvl w:ilvl="5">
      <w:start w:val="1"/>
      <w:numFmt w:val="bullet"/>
      <w:lvlText w:val=""/>
      <w:lvlJc w:val="left"/>
      <w:pPr>
        <w:tabs>
          <w:tab w:val="num" w:pos="4473"/>
        </w:tabs>
        <w:ind w:left="4473" w:hanging="360"/>
      </w:pPr>
      <w:rPr>
        <w:rFonts w:ascii="Wingdings" w:hAnsi="Wingdings" w:hint="default"/>
      </w:rPr>
    </w:lvl>
    <w:lvl w:ilvl="6">
      <w:start w:val="1"/>
      <w:numFmt w:val="bullet"/>
      <w:lvlText w:val=""/>
      <w:lvlJc w:val="left"/>
      <w:pPr>
        <w:tabs>
          <w:tab w:val="num" w:pos="5193"/>
        </w:tabs>
        <w:ind w:left="5193" w:hanging="360"/>
      </w:pPr>
      <w:rPr>
        <w:rFonts w:ascii="Symbol" w:hAnsi="Symbol" w:hint="default"/>
      </w:rPr>
    </w:lvl>
    <w:lvl w:ilvl="7">
      <w:start w:val="1"/>
      <w:numFmt w:val="bullet"/>
      <w:lvlText w:val="o"/>
      <w:lvlJc w:val="left"/>
      <w:pPr>
        <w:tabs>
          <w:tab w:val="num" w:pos="5913"/>
        </w:tabs>
        <w:ind w:left="5913" w:hanging="360"/>
      </w:pPr>
      <w:rPr>
        <w:rFonts w:ascii="Courier New" w:hAnsi="Courier New" w:cs="Courier New" w:hint="default"/>
      </w:rPr>
    </w:lvl>
    <w:lvl w:ilvl="8">
      <w:start w:val="1"/>
      <w:numFmt w:val="bullet"/>
      <w:lvlText w:val=""/>
      <w:lvlJc w:val="left"/>
      <w:pPr>
        <w:tabs>
          <w:tab w:val="num" w:pos="6633"/>
        </w:tabs>
        <w:ind w:left="6633" w:hanging="360"/>
      </w:pPr>
      <w:rPr>
        <w:rFonts w:ascii="Wingdings" w:hAnsi="Wingdings" w:hint="default"/>
      </w:rPr>
    </w:lvl>
  </w:abstractNum>
  <w:abstractNum w:abstractNumId="45">
    <w:nsid w:val="567C110A"/>
    <w:multiLevelType w:val="hybridMultilevel"/>
    <w:tmpl w:val="8F5EA48C"/>
    <w:lvl w:ilvl="0" w:tplc="198A427E">
      <w:start w:val="1"/>
      <w:numFmt w:val="decimal"/>
      <w:lvlRestart w:val="0"/>
      <w:lvlText w:val="18.%1."/>
      <w:lvlJc w:val="left"/>
      <w:pPr>
        <w:tabs>
          <w:tab w:val="num" w:pos="683"/>
        </w:tabs>
        <w:ind w:left="0" w:firstLine="0"/>
      </w:pPr>
      <w:rPr>
        <w:rFonts w:ascii="Arial" w:hAnsi="Arial" w:hint="default"/>
        <w:i w:val="0"/>
        <w:iCs/>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56B4036F"/>
    <w:multiLevelType w:val="hybridMultilevel"/>
    <w:tmpl w:val="C1567994"/>
    <w:lvl w:ilvl="0" w:tplc="C4D4B19E">
      <w:start w:val="1"/>
      <w:numFmt w:val="decimal"/>
      <w:lvlRestart w:val="0"/>
      <w:lvlText w:val="23.%1."/>
      <w:lvlJc w:val="left"/>
      <w:pPr>
        <w:tabs>
          <w:tab w:val="num" w:pos="683"/>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58905BC8"/>
    <w:multiLevelType w:val="hybridMultilevel"/>
    <w:tmpl w:val="A4E2F8B4"/>
    <w:lvl w:ilvl="0" w:tplc="665E8C6A">
      <w:start w:val="1"/>
      <w:numFmt w:val="decimal"/>
      <w:lvlRestart w:val="0"/>
      <w:lvlText w:val="9.%1."/>
      <w:lvlJc w:val="left"/>
      <w:pPr>
        <w:tabs>
          <w:tab w:val="num" w:pos="680"/>
        </w:tabs>
        <w:ind w:left="426" w:firstLine="0"/>
      </w:pPr>
      <w:rPr>
        <w:rFonts w:ascii="Arial" w:hAnsi="Arial" w:hint="default"/>
        <w:sz w:val="20"/>
        <w:szCs w:val="20"/>
        <w:lang w:val="de-CH"/>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5D3D3D0D"/>
    <w:multiLevelType w:val="hybridMultilevel"/>
    <w:tmpl w:val="7A4297A0"/>
    <w:lvl w:ilvl="0" w:tplc="C954467E">
      <w:start w:val="1"/>
      <w:numFmt w:val="decimal"/>
      <w:lvlRestart w:val="0"/>
      <w:lvlText w:val="19.%1."/>
      <w:lvlJc w:val="left"/>
      <w:pPr>
        <w:tabs>
          <w:tab w:val="num" w:pos="680"/>
        </w:tabs>
        <w:ind w:left="0" w:firstLine="0"/>
      </w:pPr>
      <w:rPr>
        <w:rFonts w:ascii="Arial" w:hAnsi="Arial" w:hint="default"/>
        <w:color w:val="auto"/>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9">
    <w:nsid w:val="5E342860"/>
    <w:multiLevelType w:val="hybridMultilevel"/>
    <w:tmpl w:val="98F464D2"/>
    <w:lvl w:ilvl="0" w:tplc="51185FBE">
      <w:start w:val="1"/>
      <w:numFmt w:val="decimal"/>
      <w:lvlRestart w:val="0"/>
      <w:lvlText w:val="1.%1."/>
      <w:lvlJc w:val="left"/>
      <w:pPr>
        <w:tabs>
          <w:tab w:val="num" w:pos="567"/>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0">
    <w:nsid w:val="5EE42212"/>
    <w:multiLevelType w:val="hybridMultilevel"/>
    <w:tmpl w:val="78ACF05C"/>
    <w:lvl w:ilvl="0" w:tplc="8EE44C20">
      <w:start w:val="30"/>
      <w:numFmt w:val="decimal"/>
      <w:lvlRestart w:val="0"/>
      <w:lvlText w:val="11.%1."/>
      <w:lvlJc w:val="left"/>
      <w:pPr>
        <w:tabs>
          <w:tab w:val="num" w:pos="683"/>
        </w:tabs>
        <w:ind w:left="0" w:firstLine="0"/>
      </w:pPr>
      <w:rPr>
        <w:rFonts w:ascii="Arial" w:hAnsi="Arial" w:hint="default"/>
        <w:i w:val="0"/>
        <w:iCs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nsid w:val="5EFA5F3F"/>
    <w:multiLevelType w:val="hybridMultilevel"/>
    <w:tmpl w:val="9B906654"/>
    <w:lvl w:ilvl="0" w:tplc="CFB879E8">
      <w:start w:val="1"/>
      <w:numFmt w:val="bullet"/>
      <w:lvlText w:val=""/>
      <w:lvlJc w:val="left"/>
      <w:pPr>
        <w:tabs>
          <w:tab w:val="num" w:pos="720"/>
        </w:tabs>
        <w:ind w:left="720" w:hanging="360"/>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Tahoma"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Tahoma"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Tahoma"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52">
    <w:nsid w:val="607F4131"/>
    <w:multiLevelType w:val="hybridMultilevel"/>
    <w:tmpl w:val="9F6EB372"/>
    <w:lvl w:ilvl="0" w:tplc="04090001">
      <w:start w:val="1"/>
      <w:numFmt w:val="decimal"/>
      <w:lvlRestart w:val="0"/>
      <w:lvlText w:val="13.%1."/>
      <w:lvlJc w:val="left"/>
      <w:pPr>
        <w:tabs>
          <w:tab w:val="num" w:pos="680"/>
        </w:tabs>
        <w:ind w:left="0" w:firstLine="0"/>
      </w:pPr>
      <w:rPr>
        <w:rFonts w:ascii="Arial" w:hAnsi="Arial" w:cs="Arial" w:hint="default"/>
        <w:sz w:val="20"/>
        <w:szCs w:val="20"/>
        <w:vertAlign w:val="baseline"/>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3">
    <w:nsid w:val="64A97601"/>
    <w:multiLevelType w:val="hybridMultilevel"/>
    <w:tmpl w:val="CE6CAC22"/>
    <w:lvl w:ilvl="0" w:tplc="9CD64338">
      <w:start w:val="1"/>
      <w:numFmt w:val="bullet"/>
      <w:lvlText w:val=""/>
      <w:lvlJc w:val="left"/>
      <w:pPr>
        <w:tabs>
          <w:tab w:val="num" w:pos="360"/>
        </w:tabs>
        <w:ind w:left="360" w:hanging="360"/>
      </w:pPr>
      <w:rPr>
        <w:rFonts w:ascii="Symbol" w:hAnsi="Symbol" w:hint="default"/>
        <w:lang w:val="en-SG"/>
      </w:rPr>
    </w:lvl>
    <w:lvl w:ilvl="1" w:tplc="04090019" w:tentative="1">
      <w:start w:val="1"/>
      <w:numFmt w:val="bullet"/>
      <w:lvlText w:val="o"/>
      <w:lvlJc w:val="left"/>
      <w:pPr>
        <w:tabs>
          <w:tab w:val="num" w:pos="1080"/>
        </w:tabs>
        <w:ind w:left="1080" w:hanging="360"/>
      </w:pPr>
      <w:rPr>
        <w:rFonts w:ascii="Courier New" w:hAnsi="Courier New" w:cs="Courier New" w:hint="default"/>
      </w:rPr>
    </w:lvl>
    <w:lvl w:ilvl="2" w:tplc="0409001B" w:tentative="1">
      <w:start w:val="1"/>
      <w:numFmt w:val="bullet"/>
      <w:lvlText w:val=""/>
      <w:lvlJc w:val="left"/>
      <w:pPr>
        <w:tabs>
          <w:tab w:val="num" w:pos="1800"/>
        </w:tabs>
        <w:ind w:left="1800" w:hanging="360"/>
      </w:pPr>
      <w:rPr>
        <w:rFonts w:ascii="Wingdings" w:hAnsi="Wingdings" w:hint="default"/>
      </w:rPr>
    </w:lvl>
    <w:lvl w:ilvl="3" w:tplc="0409000F" w:tentative="1">
      <w:start w:val="1"/>
      <w:numFmt w:val="bullet"/>
      <w:lvlText w:val=""/>
      <w:lvlJc w:val="left"/>
      <w:pPr>
        <w:tabs>
          <w:tab w:val="num" w:pos="2520"/>
        </w:tabs>
        <w:ind w:left="2520" w:hanging="360"/>
      </w:pPr>
      <w:rPr>
        <w:rFonts w:ascii="Symbol" w:hAnsi="Symbol" w:hint="default"/>
      </w:rPr>
    </w:lvl>
    <w:lvl w:ilvl="4" w:tplc="04090019" w:tentative="1">
      <w:start w:val="1"/>
      <w:numFmt w:val="bullet"/>
      <w:lvlText w:val="o"/>
      <w:lvlJc w:val="left"/>
      <w:pPr>
        <w:tabs>
          <w:tab w:val="num" w:pos="3240"/>
        </w:tabs>
        <w:ind w:left="3240" w:hanging="360"/>
      </w:pPr>
      <w:rPr>
        <w:rFonts w:ascii="Courier New" w:hAnsi="Courier New" w:cs="Courier New" w:hint="default"/>
      </w:rPr>
    </w:lvl>
    <w:lvl w:ilvl="5" w:tplc="0409001B" w:tentative="1">
      <w:start w:val="1"/>
      <w:numFmt w:val="bullet"/>
      <w:lvlText w:val=""/>
      <w:lvlJc w:val="left"/>
      <w:pPr>
        <w:tabs>
          <w:tab w:val="num" w:pos="3960"/>
        </w:tabs>
        <w:ind w:left="3960" w:hanging="360"/>
      </w:pPr>
      <w:rPr>
        <w:rFonts w:ascii="Wingdings" w:hAnsi="Wingdings" w:hint="default"/>
      </w:rPr>
    </w:lvl>
    <w:lvl w:ilvl="6" w:tplc="0409000F" w:tentative="1">
      <w:start w:val="1"/>
      <w:numFmt w:val="bullet"/>
      <w:lvlText w:val=""/>
      <w:lvlJc w:val="left"/>
      <w:pPr>
        <w:tabs>
          <w:tab w:val="num" w:pos="4680"/>
        </w:tabs>
        <w:ind w:left="4680" w:hanging="360"/>
      </w:pPr>
      <w:rPr>
        <w:rFonts w:ascii="Symbol" w:hAnsi="Symbol" w:hint="default"/>
      </w:rPr>
    </w:lvl>
    <w:lvl w:ilvl="7" w:tplc="04090019" w:tentative="1">
      <w:start w:val="1"/>
      <w:numFmt w:val="bullet"/>
      <w:lvlText w:val="o"/>
      <w:lvlJc w:val="left"/>
      <w:pPr>
        <w:tabs>
          <w:tab w:val="num" w:pos="5400"/>
        </w:tabs>
        <w:ind w:left="5400" w:hanging="360"/>
      </w:pPr>
      <w:rPr>
        <w:rFonts w:ascii="Courier New" w:hAnsi="Courier New" w:cs="Courier New" w:hint="default"/>
      </w:rPr>
    </w:lvl>
    <w:lvl w:ilvl="8" w:tplc="0409001B" w:tentative="1">
      <w:start w:val="1"/>
      <w:numFmt w:val="bullet"/>
      <w:lvlText w:val=""/>
      <w:lvlJc w:val="left"/>
      <w:pPr>
        <w:tabs>
          <w:tab w:val="num" w:pos="6120"/>
        </w:tabs>
        <w:ind w:left="6120" w:hanging="360"/>
      </w:pPr>
      <w:rPr>
        <w:rFonts w:ascii="Wingdings" w:hAnsi="Wingdings" w:hint="default"/>
      </w:rPr>
    </w:lvl>
  </w:abstractNum>
  <w:abstractNum w:abstractNumId="54">
    <w:nsid w:val="64C47426"/>
    <w:multiLevelType w:val="hybridMultilevel"/>
    <w:tmpl w:val="C1C06F40"/>
    <w:lvl w:ilvl="0" w:tplc="65640250">
      <w:start w:val="1"/>
      <w:numFmt w:val="decimal"/>
      <w:lvlText w:val="%1."/>
      <w:lvlJc w:val="left"/>
      <w:pPr>
        <w:tabs>
          <w:tab w:val="num" w:pos="567"/>
        </w:tabs>
        <w:ind w:left="0" w:firstLine="0"/>
      </w:pPr>
      <w:rPr>
        <w:rFonts w:hint="default"/>
        <w:b w:val="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55">
    <w:nsid w:val="667A16AF"/>
    <w:multiLevelType w:val="hybridMultilevel"/>
    <w:tmpl w:val="72D277D2"/>
    <w:lvl w:ilvl="0" w:tplc="5EAED6BA">
      <w:start w:val="1"/>
      <w:numFmt w:val="decimal"/>
      <w:lvlRestart w:val="0"/>
      <w:lvlText w:val="17.%1."/>
      <w:lvlJc w:val="left"/>
      <w:pPr>
        <w:tabs>
          <w:tab w:val="num" w:pos="680"/>
        </w:tabs>
        <w:ind w:left="0" w:firstLine="0"/>
      </w:pPr>
      <w:rPr>
        <w:rFonts w:ascii="Arial" w:hAnsi="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6C571640"/>
    <w:multiLevelType w:val="hybridMultilevel"/>
    <w:tmpl w:val="BFA8279A"/>
    <w:lvl w:ilvl="0" w:tplc="FFFFFFFF">
      <w:start w:val="1"/>
      <w:numFmt w:val="decimal"/>
      <w:lvlRestart w:val="0"/>
      <w:lvlText w:val="15.%1."/>
      <w:lvlJc w:val="left"/>
      <w:pPr>
        <w:tabs>
          <w:tab w:val="num" w:pos="683"/>
        </w:tabs>
        <w:ind w:left="0" w:firstLine="0"/>
      </w:pPr>
      <w:rPr>
        <w:rFonts w:ascii="Arial" w:hAnsi="Arial" w:hint="default"/>
        <w:sz w:val="20"/>
        <w:szCs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7">
    <w:nsid w:val="6EFB57BE"/>
    <w:multiLevelType w:val="hybridMultilevel"/>
    <w:tmpl w:val="A60EF8D4"/>
    <w:lvl w:ilvl="0" w:tplc="B3EC0D2E">
      <w:start w:val="315"/>
      <w:numFmt w:val="bullet"/>
      <w:lvlText w:val=""/>
      <w:lvlJc w:val="left"/>
      <w:pPr>
        <w:tabs>
          <w:tab w:val="num" w:pos="567"/>
        </w:tabs>
        <w:ind w:left="737" w:hanging="170"/>
      </w:pPr>
      <w:rPr>
        <w:rFonts w:ascii="Symbol" w:eastAsia="Times New Roman" w:hAnsi="Symbol" w:cs="Times New Roman" w:hint="default"/>
        <w:color w:val="000000"/>
        <w:sz w:val="22"/>
      </w:rPr>
    </w:lvl>
    <w:lvl w:ilvl="1" w:tplc="04090019" w:tentative="1">
      <w:start w:val="1"/>
      <w:numFmt w:val="bullet"/>
      <w:lvlText w:val=""/>
      <w:lvlJc w:val="left"/>
      <w:pPr>
        <w:tabs>
          <w:tab w:val="num" w:pos="1407"/>
        </w:tabs>
        <w:ind w:left="1407" w:hanging="420"/>
      </w:pPr>
      <w:rPr>
        <w:rFonts w:ascii="Wingdings" w:hAnsi="Wingdings" w:hint="default"/>
      </w:rPr>
    </w:lvl>
    <w:lvl w:ilvl="2" w:tplc="0409001B" w:tentative="1">
      <w:start w:val="1"/>
      <w:numFmt w:val="bullet"/>
      <w:lvlText w:val=""/>
      <w:lvlJc w:val="left"/>
      <w:pPr>
        <w:tabs>
          <w:tab w:val="num" w:pos="1827"/>
        </w:tabs>
        <w:ind w:left="1827" w:hanging="420"/>
      </w:pPr>
      <w:rPr>
        <w:rFonts w:ascii="Wingdings" w:hAnsi="Wingdings" w:hint="default"/>
      </w:rPr>
    </w:lvl>
    <w:lvl w:ilvl="3" w:tplc="0409000F" w:tentative="1">
      <w:start w:val="1"/>
      <w:numFmt w:val="bullet"/>
      <w:lvlText w:val=""/>
      <w:lvlJc w:val="left"/>
      <w:pPr>
        <w:tabs>
          <w:tab w:val="num" w:pos="2247"/>
        </w:tabs>
        <w:ind w:left="2247" w:hanging="420"/>
      </w:pPr>
      <w:rPr>
        <w:rFonts w:ascii="Wingdings" w:hAnsi="Wingdings" w:hint="default"/>
      </w:rPr>
    </w:lvl>
    <w:lvl w:ilvl="4" w:tplc="04090019" w:tentative="1">
      <w:start w:val="1"/>
      <w:numFmt w:val="bullet"/>
      <w:lvlText w:val=""/>
      <w:lvlJc w:val="left"/>
      <w:pPr>
        <w:tabs>
          <w:tab w:val="num" w:pos="2667"/>
        </w:tabs>
        <w:ind w:left="2667" w:hanging="420"/>
      </w:pPr>
      <w:rPr>
        <w:rFonts w:ascii="Wingdings" w:hAnsi="Wingdings" w:hint="default"/>
      </w:rPr>
    </w:lvl>
    <w:lvl w:ilvl="5" w:tplc="0409001B" w:tentative="1">
      <w:start w:val="1"/>
      <w:numFmt w:val="bullet"/>
      <w:lvlText w:val=""/>
      <w:lvlJc w:val="left"/>
      <w:pPr>
        <w:tabs>
          <w:tab w:val="num" w:pos="3087"/>
        </w:tabs>
        <w:ind w:left="3087" w:hanging="420"/>
      </w:pPr>
      <w:rPr>
        <w:rFonts w:ascii="Wingdings" w:hAnsi="Wingdings" w:hint="default"/>
      </w:rPr>
    </w:lvl>
    <w:lvl w:ilvl="6" w:tplc="0409000F" w:tentative="1">
      <w:start w:val="1"/>
      <w:numFmt w:val="bullet"/>
      <w:lvlText w:val=""/>
      <w:lvlJc w:val="left"/>
      <w:pPr>
        <w:tabs>
          <w:tab w:val="num" w:pos="3507"/>
        </w:tabs>
        <w:ind w:left="3507" w:hanging="420"/>
      </w:pPr>
      <w:rPr>
        <w:rFonts w:ascii="Wingdings" w:hAnsi="Wingdings" w:hint="default"/>
      </w:rPr>
    </w:lvl>
    <w:lvl w:ilvl="7" w:tplc="04090019" w:tentative="1">
      <w:start w:val="1"/>
      <w:numFmt w:val="bullet"/>
      <w:lvlText w:val=""/>
      <w:lvlJc w:val="left"/>
      <w:pPr>
        <w:tabs>
          <w:tab w:val="num" w:pos="3927"/>
        </w:tabs>
        <w:ind w:left="3927" w:hanging="420"/>
      </w:pPr>
      <w:rPr>
        <w:rFonts w:ascii="Wingdings" w:hAnsi="Wingdings" w:hint="default"/>
      </w:rPr>
    </w:lvl>
    <w:lvl w:ilvl="8" w:tplc="0409001B" w:tentative="1">
      <w:start w:val="1"/>
      <w:numFmt w:val="bullet"/>
      <w:lvlText w:val=""/>
      <w:lvlJc w:val="left"/>
      <w:pPr>
        <w:tabs>
          <w:tab w:val="num" w:pos="4347"/>
        </w:tabs>
        <w:ind w:left="4347" w:hanging="420"/>
      </w:pPr>
      <w:rPr>
        <w:rFonts w:ascii="Wingdings" w:hAnsi="Wingdings" w:hint="default"/>
      </w:rPr>
    </w:lvl>
  </w:abstractNum>
  <w:abstractNum w:abstractNumId="58">
    <w:nsid w:val="7019392E"/>
    <w:multiLevelType w:val="hybridMultilevel"/>
    <w:tmpl w:val="B560BB56"/>
    <w:lvl w:ilvl="0" w:tplc="4AB67BEE">
      <w:start w:val="1"/>
      <w:numFmt w:val="bullet"/>
      <w:lvlText w:val=""/>
      <w:lvlJc w:val="left"/>
      <w:pPr>
        <w:tabs>
          <w:tab w:val="num" w:pos="720"/>
        </w:tabs>
        <w:ind w:left="720" w:hanging="360"/>
      </w:pPr>
      <w:rPr>
        <w:rFonts w:ascii="Wingdings" w:hAnsi="Wingdings" w:hint="default"/>
      </w:rPr>
    </w:lvl>
    <w:lvl w:ilvl="1" w:tplc="0409000B" w:tentative="1">
      <w:start w:val="1"/>
      <w:numFmt w:val="lowerLetter"/>
      <w:lvlText w:val="%2."/>
      <w:lvlJc w:val="left"/>
      <w:pPr>
        <w:tabs>
          <w:tab w:val="num" w:pos="1440"/>
        </w:tabs>
        <w:ind w:left="1440" w:hanging="360"/>
      </w:pPr>
    </w:lvl>
    <w:lvl w:ilvl="2" w:tplc="0409000D"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B" w:tentative="1">
      <w:start w:val="1"/>
      <w:numFmt w:val="lowerLetter"/>
      <w:lvlText w:val="%5."/>
      <w:lvlJc w:val="left"/>
      <w:pPr>
        <w:tabs>
          <w:tab w:val="num" w:pos="3600"/>
        </w:tabs>
        <w:ind w:left="3600" w:hanging="360"/>
      </w:pPr>
    </w:lvl>
    <w:lvl w:ilvl="5" w:tplc="0409000D"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B" w:tentative="1">
      <w:start w:val="1"/>
      <w:numFmt w:val="lowerLetter"/>
      <w:lvlText w:val="%8."/>
      <w:lvlJc w:val="left"/>
      <w:pPr>
        <w:tabs>
          <w:tab w:val="num" w:pos="5760"/>
        </w:tabs>
        <w:ind w:left="5760" w:hanging="360"/>
      </w:pPr>
    </w:lvl>
    <w:lvl w:ilvl="8" w:tplc="0409000D" w:tentative="1">
      <w:start w:val="1"/>
      <w:numFmt w:val="lowerRoman"/>
      <w:lvlText w:val="%9."/>
      <w:lvlJc w:val="right"/>
      <w:pPr>
        <w:tabs>
          <w:tab w:val="num" w:pos="6480"/>
        </w:tabs>
        <w:ind w:left="6480" w:hanging="180"/>
      </w:pPr>
    </w:lvl>
  </w:abstractNum>
  <w:abstractNum w:abstractNumId="59">
    <w:nsid w:val="71726C64"/>
    <w:multiLevelType w:val="hybridMultilevel"/>
    <w:tmpl w:val="08E80A8A"/>
    <w:lvl w:ilvl="0" w:tplc="E15875AC">
      <w:start w:val="1"/>
      <w:numFmt w:val="bullet"/>
      <w:lvlText w:val=""/>
      <w:lvlJc w:val="left"/>
      <w:pPr>
        <w:tabs>
          <w:tab w:val="num" w:pos="360"/>
        </w:tabs>
        <w:ind w:left="360" w:hanging="360"/>
      </w:pPr>
      <w:rPr>
        <w:rFonts w:ascii="Symbol" w:hAnsi="Symbol" w:cs="Arial" w:hint="default"/>
        <w:sz w:val="26"/>
      </w:rPr>
    </w:lvl>
    <w:lvl w:ilvl="1" w:tplc="6AA01A2C" w:tentative="1">
      <w:start w:val="1"/>
      <w:numFmt w:val="bullet"/>
      <w:lvlText w:val="o"/>
      <w:lvlJc w:val="left"/>
      <w:pPr>
        <w:tabs>
          <w:tab w:val="num" w:pos="360"/>
        </w:tabs>
        <w:ind w:left="360" w:hanging="360"/>
      </w:pPr>
      <w:rPr>
        <w:rFonts w:ascii="Courier New" w:hAnsi="Courier New" w:cs="Courier New" w:hint="default"/>
      </w:rPr>
    </w:lvl>
    <w:lvl w:ilvl="2" w:tplc="0409001B" w:tentative="1">
      <w:start w:val="1"/>
      <w:numFmt w:val="bullet"/>
      <w:lvlText w:val=""/>
      <w:lvlJc w:val="left"/>
      <w:pPr>
        <w:tabs>
          <w:tab w:val="num" w:pos="1080"/>
        </w:tabs>
        <w:ind w:left="1080" w:hanging="360"/>
      </w:pPr>
      <w:rPr>
        <w:rFonts w:ascii="Wingdings" w:hAnsi="Wingdings" w:hint="default"/>
      </w:rPr>
    </w:lvl>
    <w:lvl w:ilvl="3" w:tplc="0409000F" w:tentative="1">
      <w:start w:val="1"/>
      <w:numFmt w:val="bullet"/>
      <w:lvlText w:val=""/>
      <w:lvlJc w:val="left"/>
      <w:pPr>
        <w:tabs>
          <w:tab w:val="num" w:pos="1800"/>
        </w:tabs>
        <w:ind w:left="1800" w:hanging="360"/>
      </w:pPr>
      <w:rPr>
        <w:rFonts w:ascii="Symbol" w:hAnsi="Symbol" w:hint="default"/>
      </w:rPr>
    </w:lvl>
    <w:lvl w:ilvl="4" w:tplc="04090019" w:tentative="1">
      <w:start w:val="1"/>
      <w:numFmt w:val="bullet"/>
      <w:lvlText w:val="o"/>
      <w:lvlJc w:val="left"/>
      <w:pPr>
        <w:tabs>
          <w:tab w:val="num" w:pos="2520"/>
        </w:tabs>
        <w:ind w:left="2520" w:hanging="360"/>
      </w:pPr>
      <w:rPr>
        <w:rFonts w:ascii="Courier New" w:hAnsi="Courier New" w:cs="Courier New" w:hint="default"/>
      </w:rPr>
    </w:lvl>
    <w:lvl w:ilvl="5" w:tplc="0409001B" w:tentative="1">
      <w:start w:val="1"/>
      <w:numFmt w:val="bullet"/>
      <w:lvlText w:val=""/>
      <w:lvlJc w:val="left"/>
      <w:pPr>
        <w:tabs>
          <w:tab w:val="num" w:pos="3240"/>
        </w:tabs>
        <w:ind w:left="3240" w:hanging="360"/>
      </w:pPr>
      <w:rPr>
        <w:rFonts w:ascii="Wingdings" w:hAnsi="Wingdings" w:hint="default"/>
      </w:rPr>
    </w:lvl>
    <w:lvl w:ilvl="6" w:tplc="0409000F" w:tentative="1">
      <w:start w:val="1"/>
      <w:numFmt w:val="bullet"/>
      <w:lvlText w:val=""/>
      <w:lvlJc w:val="left"/>
      <w:pPr>
        <w:tabs>
          <w:tab w:val="num" w:pos="3960"/>
        </w:tabs>
        <w:ind w:left="3960" w:hanging="360"/>
      </w:pPr>
      <w:rPr>
        <w:rFonts w:ascii="Symbol" w:hAnsi="Symbol" w:hint="default"/>
      </w:rPr>
    </w:lvl>
    <w:lvl w:ilvl="7" w:tplc="04090019" w:tentative="1">
      <w:start w:val="1"/>
      <w:numFmt w:val="bullet"/>
      <w:lvlText w:val="o"/>
      <w:lvlJc w:val="left"/>
      <w:pPr>
        <w:tabs>
          <w:tab w:val="num" w:pos="4680"/>
        </w:tabs>
        <w:ind w:left="4680" w:hanging="360"/>
      </w:pPr>
      <w:rPr>
        <w:rFonts w:ascii="Courier New" w:hAnsi="Courier New" w:cs="Courier New" w:hint="default"/>
      </w:rPr>
    </w:lvl>
    <w:lvl w:ilvl="8" w:tplc="0409001B" w:tentative="1">
      <w:start w:val="1"/>
      <w:numFmt w:val="bullet"/>
      <w:lvlText w:val=""/>
      <w:lvlJc w:val="left"/>
      <w:pPr>
        <w:tabs>
          <w:tab w:val="num" w:pos="5400"/>
        </w:tabs>
        <w:ind w:left="5400" w:hanging="360"/>
      </w:pPr>
      <w:rPr>
        <w:rFonts w:ascii="Wingdings" w:hAnsi="Wingdings" w:hint="default"/>
      </w:rPr>
    </w:lvl>
  </w:abstractNum>
  <w:abstractNum w:abstractNumId="60">
    <w:nsid w:val="7257394F"/>
    <w:multiLevelType w:val="hybridMultilevel"/>
    <w:tmpl w:val="A92C825A"/>
    <w:lvl w:ilvl="0" w:tplc="B1524144">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nsid w:val="758A0A6E"/>
    <w:multiLevelType w:val="hybridMultilevel"/>
    <w:tmpl w:val="ACCCBA78"/>
    <w:lvl w:ilvl="0" w:tplc="0409000B">
      <w:start w:val="1"/>
      <w:numFmt w:val="decimal"/>
      <w:lvlRestart w:val="0"/>
      <w:lvlText w:val="7.%1."/>
      <w:lvlJc w:val="left"/>
      <w:pPr>
        <w:tabs>
          <w:tab w:val="num" w:pos="680"/>
        </w:tabs>
        <w:ind w:left="0" w:firstLine="0"/>
      </w:pPr>
      <w:rPr>
        <w:rFonts w:ascii="Arial" w:hAnsi="Arial" w:cs="Arial" w:hint="default"/>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79D11FE8"/>
    <w:multiLevelType w:val="hybridMultilevel"/>
    <w:tmpl w:val="EBDE4E1C"/>
    <w:lvl w:ilvl="0" w:tplc="FFFFFFFF">
      <w:start w:val="1"/>
      <w:numFmt w:val="decimal"/>
      <w:lvlRestart w:val="0"/>
      <w:lvlText w:val="31.%1."/>
      <w:lvlJc w:val="left"/>
      <w:pPr>
        <w:tabs>
          <w:tab w:val="num" w:pos="680"/>
        </w:tabs>
        <w:ind w:left="0" w:firstLine="0"/>
      </w:pPr>
      <w:rPr>
        <w:rFonts w:ascii="Arial" w:hAnsi="Arial" w:cs="Arial" w:hint="default"/>
        <w:sz w:val="20"/>
        <w:szCs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3">
    <w:nsid w:val="79DE1A8F"/>
    <w:multiLevelType w:val="hybridMultilevel"/>
    <w:tmpl w:val="C9460A80"/>
    <w:lvl w:ilvl="0" w:tplc="0409000B">
      <w:start w:val="1"/>
      <w:numFmt w:val="decimal"/>
      <w:lvlRestart w:val="0"/>
      <w:lvlText w:val="20.%1."/>
      <w:lvlJc w:val="left"/>
      <w:pPr>
        <w:tabs>
          <w:tab w:val="num" w:pos="680"/>
        </w:tabs>
        <w:ind w:left="0" w:firstLine="0"/>
      </w:pPr>
      <w:rPr>
        <w:rFonts w:ascii="Arial" w:hAnsi="Arial" w:hint="default"/>
        <w:b w:val="0"/>
        <w:bCs/>
        <w:sz w:val="20"/>
        <w:szCs w:val="20"/>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num w:numId="1">
    <w:abstractNumId w:val="42"/>
  </w:num>
  <w:num w:numId="2">
    <w:abstractNumId w:val="4"/>
  </w:num>
  <w:num w:numId="3">
    <w:abstractNumId w:val="13"/>
  </w:num>
  <w:num w:numId="4">
    <w:abstractNumId w:val="15"/>
  </w:num>
  <w:num w:numId="5">
    <w:abstractNumId w:val="31"/>
  </w:num>
  <w:num w:numId="6">
    <w:abstractNumId w:val="18"/>
  </w:num>
  <w:num w:numId="7">
    <w:abstractNumId w:val="34"/>
  </w:num>
  <w:num w:numId="8">
    <w:abstractNumId w:val="49"/>
  </w:num>
  <w:num w:numId="9">
    <w:abstractNumId w:val="59"/>
  </w:num>
  <w:num w:numId="10">
    <w:abstractNumId w:val="36"/>
  </w:num>
  <w:num w:numId="11">
    <w:abstractNumId w:val="55"/>
  </w:num>
  <w:num w:numId="12">
    <w:abstractNumId w:val="45"/>
  </w:num>
  <w:num w:numId="13">
    <w:abstractNumId w:val="48"/>
  </w:num>
  <w:num w:numId="14">
    <w:abstractNumId w:val="63"/>
  </w:num>
  <w:num w:numId="15">
    <w:abstractNumId w:val="11"/>
  </w:num>
  <w:num w:numId="16">
    <w:abstractNumId w:val="6"/>
  </w:num>
  <w:num w:numId="17">
    <w:abstractNumId w:val="8"/>
  </w:num>
  <w:num w:numId="18">
    <w:abstractNumId w:val="24"/>
  </w:num>
  <w:num w:numId="19">
    <w:abstractNumId w:val="14"/>
  </w:num>
  <w:num w:numId="20">
    <w:abstractNumId w:val="40"/>
  </w:num>
  <w:num w:numId="21">
    <w:abstractNumId w:val="39"/>
  </w:num>
  <w:num w:numId="22">
    <w:abstractNumId w:val="41"/>
  </w:num>
  <w:num w:numId="23">
    <w:abstractNumId w:val="44"/>
  </w:num>
  <w:num w:numId="24">
    <w:abstractNumId w:val="35"/>
  </w:num>
  <w:num w:numId="25">
    <w:abstractNumId w:val="57"/>
  </w:num>
  <w:num w:numId="26">
    <w:abstractNumId w:val="37"/>
  </w:num>
  <w:num w:numId="27">
    <w:abstractNumId w:val="62"/>
  </w:num>
  <w:num w:numId="28">
    <w:abstractNumId w:val="61"/>
  </w:num>
  <w:num w:numId="29">
    <w:abstractNumId w:val="5"/>
  </w:num>
  <w:num w:numId="30">
    <w:abstractNumId w:val="23"/>
  </w:num>
  <w:num w:numId="31">
    <w:abstractNumId w:val="47"/>
  </w:num>
  <w:num w:numId="32">
    <w:abstractNumId w:val="1"/>
  </w:num>
  <w:num w:numId="33">
    <w:abstractNumId w:val="2"/>
  </w:num>
  <w:num w:numId="34">
    <w:abstractNumId w:val="3"/>
  </w:num>
  <w:num w:numId="35">
    <w:abstractNumId w:val="33"/>
  </w:num>
  <w:num w:numId="36">
    <w:abstractNumId w:val="52"/>
  </w:num>
  <w:num w:numId="37">
    <w:abstractNumId w:val="16"/>
  </w:num>
  <w:num w:numId="38">
    <w:abstractNumId w:val="56"/>
  </w:num>
  <w:num w:numId="39">
    <w:abstractNumId w:val="53"/>
  </w:num>
  <w:num w:numId="40">
    <w:abstractNumId w:val="9"/>
  </w:num>
  <w:num w:numId="41">
    <w:abstractNumId w:val="29"/>
  </w:num>
  <w:num w:numId="42">
    <w:abstractNumId w:val="46"/>
  </w:num>
  <w:num w:numId="43">
    <w:abstractNumId w:val="20"/>
  </w:num>
  <w:num w:numId="44">
    <w:abstractNumId w:val="22"/>
  </w:num>
  <w:num w:numId="45">
    <w:abstractNumId w:val="38"/>
  </w:num>
  <w:num w:numId="46">
    <w:abstractNumId w:val="43"/>
  </w:num>
  <w:num w:numId="47">
    <w:abstractNumId w:val="0"/>
  </w:num>
  <w:num w:numId="48">
    <w:abstractNumId w:val="19"/>
  </w:num>
  <w:num w:numId="49">
    <w:abstractNumId w:val="60"/>
  </w:num>
  <w:num w:numId="50">
    <w:abstractNumId w:val="32"/>
  </w:num>
  <w:num w:numId="51">
    <w:abstractNumId w:val="51"/>
  </w:num>
  <w:num w:numId="52">
    <w:abstractNumId w:val="58"/>
  </w:num>
  <w:num w:numId="53">
    <w:abstractNumId w:val="10"/>
  </w:num>
  <w:num w:numId="54">
    <w:abstractNumId w:val="27"/>
  </w:num>
  <w:num w:numId="55">
    <w:abstractNumId w:val="28"/>
  </w:num>
  <w:num w:numId="56">
    <w:abstractNumId w:val="54"/>
  </w:num>
  <w:num w:numId="57">
    <w:abstractNumId w:val="7"/>
  </w:num>
  <w:num w:numId="58">
    <w:abstractNumId w:val="25"/>
  </w:num>
  <w:num w:numId="59">
    <w:abstractNumId w:val="30"/>
  </w:num>
  <w:num w:numId="60">
    <w:abstractNumId w:val="26"/>
  </w:num>
  <w:num w:numId="61">
    <w:abstractNumId w:val="21"/>
  </w:num>
  <w:num w:numId="62">
    <w:abstractNumId w:val="17"/>
  </w:num>
  <w:num w:numId="63">
    <w:abstractNumId w:val="13"/>
  </w:num>
  <w:num w:numId="64">
    <w:abstractNumId w:val="13"/>
  </w:num>
  <w:num w:numId="65">
    <w:abstractNumId w:val="50"/>
  </w:num>
  <w:num w:numId="66">
    <w:abstractNumId w:val="12"/>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evenAndOddHeaders/>
  <w:displayHorizontalDrawingGridEvery w:val="0"/>
  <w:displayVerticalDrawingGridEvery w:val="0"/>
  <w:doNotUseMarginsForDrawingGridOrigin/>
  <w:noPunctuationKerning/>
  <w:characterSpacingControl w:val="doNotCompress"/>
  <w:hdrShapeDefaults>
    <o:shapedefaults v:ext="edit" spidmax="4198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83B83"/>
    <w:rsid w:val="000041BA"/>
    <w:rsid w:val="00007A7B"/>
    <w:rsid w:val="00020C40"/>
    <w:rsid w:val="00023D7E"/>
    <w:rsid w:val="00024343"/>
    <w:rsid w:val="00024857"/>
    <w:rsid w:val="00026F22"/>
    <w:rsid w:val="0003053D"/>
    <w:rsid w:val="00033E8A"/>
    <w:rsid w:val="00034AA5"/>
    <w:rsid w:val="00037737"/>
    <w:rsid w:val="00043A25"/>
    <w:rsid w:val="0005047E"/>
    <w:rsid w:val="00052915"/>
    <w:rsid w:val="00060594"/>
    <w:rsid w:val="00063856"/>
    <w:rsid w:val="00064129"/>
    <w:rsid w:val="00071180"/>
    <w:rsid w:val="000736AD"/>
    <w:rsid w:val="00074276"/>
    <w:rsid w:val="000826CC"/>
    <w:rsid w:val="00085EE6"/>
    <w:rsid w:val="00086954"/>
    <w:rsid w:val="00096B4A"/>
    <w:rsid w:val="000A0A76"/>
    <w:rsid w:val="000B01FE"/>
    <w:rsid w:val="000B0B3A"/>
    <w:rsid w:val="000B2E2A"/>
    <w:rsid w:val="000B3819"/>
    <w:rsid w:val="000B4DFA"/>
    <w:rsid w:val="000B6648"/>
    <w:rsid w:val="000C095D"/>
    <w:rsid w:val="000C12FB"/>
    <w:rsid w:val="000C1ACD"/>
    <w:rsid w:val="000C530C"/>
    <w:rsid w:val="000D0A85"/>
    <w:rsid w:val="000D64CD"/>
    <w:rsid w:val="000D7DB1"/>
    <w:rsid w:val="000E0CD9"/>
    <w:rsid w:val="000E14E5"/>
    <w:rsid w:val="000E3773"/>
    <w:rsid w:val="000E3B25"/>
    <w:rsid w:val="000E3BB3"/>
    <w:rsid w:val="000E6D43"/>
    <w:rsid w:val="000F09EB"/>
    <w:rsid w:val="000F4438"/>
    <w:rsid w:val="000F5E56"/>
    <w:rsid w:val="001004B0"/>
    <w:rsid w:val="001014AD"/>
    <w:rsid w:val="00101791"/>
    <w:rsid w:val="00101E9A"/>
    <w:rsid w:val="00106F0E"/>
    <w:rsid w:val="0011201A"/>
    <w:rsid w:val="001144DA"/>
    <w:rsid w:val="0012203B"/>
    <w:rsid w:val="0012598D"/>
    <w:rsid w:val="00133F6F"/>
    <w:rsid w:val="0013547A"/>
    <w:rsid w:val="001362EE"/>
    <w:rsid w:val="001374FF"/>
    <w:rsid w:val="00137DF2"/>
    <w:rsid w:val="00140657"/>
    <w:rsid w:val="00140981"/>
    <w:rsid w:val="00141F1D"/>
    <w:rsid w:val="001508AD"/>
    <w:rsid w:val="00152CEA"/>
    <w:rsid w:val="00160C67"/>
    <w:rsid w:val="001643BF"/>
    <w:rsid w:val="00177006"/>
    <w:rsid w:val="0018008D"/>
    <w:rsid w:val="001832A6"/>
    <w:rsid w:val="001846E5"/>
    <w:rsid w:val="0019145B"/>
    <w:rsid w:val="001915E0"/>
    <w:rsid w:val="001917DB"/>
    <w:rsid w:val="00194FE8"/>
    <w:rsid w:val="001A7F7B"/>
    <w:rsid w:val="001B15D7"/>
    <w:rsid w:val="001B1F22"/>
    <w:rsid w:val="001B21E4"/>
    <w:rsid w:val="001B6350"/>
    <w:rsid w:val="001C0BD9"/>
    <w:rsid w:val="001C1C98"/>
    <w:rsid w:val="001D379B"/>
    <w:rsid w:val="001D4249"/>
    <w:rsid w:val="001D7AC6"/>
    <w:rsid w:val="001E3754"/>
    <w:rsid w:val="001E5683"/>
    <w:rsid w:val="001E7E39"/>
    <w:rsid w:val="001F01D6"/>
    <w:rsid w:val="001F1886"/>
    <w:rsid w:val="001F5E74"/>
    <w:rsid w:val="001F6669"/>
    <w:rsid w:val="001F769A"/>
    <w:rsid w:val="002011AF"/>
    <w:rsid w:val="00201D0A"/>
    <w:rsid w:val="002058AB"/>
    <w:rsid w:val="00206A37"/>
    <w:rsid w:val="00207E3A"/>
    <w:rsid w:val="00214E52"/>
    <w:rsid w:val="002166E8"/>
    <w:rsid w:val="002178C9"/>
    <w:rsid w:val="002208BF"/>
    <w:rsid w:val="00221AD8"/>
    <w:rsid w:val="00230589"/>
    <w:rsid w:val="00230914"/>
    <w:rsid w:val="002314A9"/>
    <w:rsid w:val="00231ABD"/>
    <w:rsid w:val="0023208C"/>
    <w:rsid w:val="002370D4"/>
    <w:rsid w:val="00237451"/>
    <w:rsid w:val="002411B6"/>
    <w:rsid w:val="002434B1"/>
    <w:rsid w:val="00245B46"/>
    <w:rsid w:val="00245FCA"/>
    <w:rsid w:val="00247004"/>
    <w:rsid w:val="0025793F"/>
    <w:rsid w:val="00257F0A"/>
    <w:rsid w:val="002625D1"/>
    <w:rsid w:val="002634C4"/>
    <w:rsid w:val="002646D8"/>
    <w:rsid w:val="002673B1"/>
    <w:rsid w:val="002709AA"/>
    <w:rsid w:val="0027423A"/>
    <w:rsid w:val="002742ED"/>
    <w:rsid w:val="00281871"/>
    <w:rsid w:val="0028189C"/>
    <w:rsid w:val="00290162"/>
    <w:rsid w:val="002919E0"/>
    <w:rsid w:val="002963D7"/>
    <w:rsid w:val="002A31F5"/>
    <w:rsid w:val="002A3FD8"/>
    <w:rsid w:val="002A5635"/>
    <w:rsid w:val="002B303B"/>
    <w:rsid w:val="002B3CDE"/>
    <w:rsid w:val="002B4187"/>
    <w:rsid w:val="002B6436"/>
    <w:rsid w:val="002B71B1"/>
    <w:rsid w:val="002C067E"/>
    <w:rsid w:val="002C32D1"/>
    <w:rsid w:val="002C57B2"/>
    <w:rsid w:val="002C6A72"/>
    <w:rsid w:val="002D7BAF"/>
    <w:rsid w:val="002E023E"/>
    <w:rsid w:val="002E0F47"/>
    <w:rsid w:val="002E1376"/>
    <w:rsid w:val="002E3119"/>
    <w:rsid w:val="002E7DC3"/>
    <w:rsid w:val="002F18AB"/>
    <w:rsid w:val="002F1F1A"/>
    <w:rsid w:val="002F43CD"/>
    <w:rsid w:val="002F4E68"/>
    <w:rsid w:val="002F5DF4"/>
    <w:rsid w:val="002F6F11"/>
    <w:rsid w:val="003078EE"/>
    <w:rsid w:val="0031376C"/>
    <w:rsid w:val="0031604A"/>
    <w:rsid w:val="00321D82"/>
    <w:rsid w:val="003221FD"/>
    <w:rsid w:val="00324A02"/>
    <w:rsid w:val="00325C26"/>
    <w:rsid w:val="00335765"/>
    <w:rsid w:val="00346C65"/>
    <w:rsid w:val="00347DCE"/>
    <w:rsid w:val="003527F0"/>
    <w:rsid w:val="00354647"/>
    <w:rsid w:val="003619B7"/>
    <w:rsid w:val="00364FA7"/>
    <w:rsid w:val="0036734A"/>
    <w:rsid w:val="00367C21"/>
    <w:rsid w:val="00375085"/>
    <w:rsid w:val="003752B5"/>
    <w:rsid w:val="00377273"/>
    <w:rsid w:val="00382C3E"/>
    <w:rsid w:val="00383888"/>
    <w:rsid w:val="0038442C"/>
    <w:rsid w:val="003845C1"/>
    <w:rsid w:val="00387287"/>
    <w:rsid w:val="00387962"/>
    <w:rsid w:val="003913C9"/>
    <w:rsid w:val="00391FE9"/>
    <w:rsid w:val="00397833"/>
    <w:rsid w:val="003A0C0D"/>
    <w:rsid w:val="003A4B0F"/>
    <w:rsid w:val="003B21E7"/>
    <w:rsid w:val="003B22A3"/>
    <w:rsid w:val="003B40BB"/>
    <w:rsid w:val="003C1AB8"/>
    <w:rsid w:val="003C26C1"/>
    <w:rsid w:val="003C43BF"/>
    <w:rsid w:val="003C4D1D"/>
    <w:rsid w:val="003C4E55"/>
    <w:rsid w:val="003C6E3F"/>
    <w:rsid w:val="003C7900"/>
    <w:rsid w:val="003C7CC7"/>
    <w:rsid w:val="003D74F9"/>
    <w:rsid w:val="003E09D4"/>
    <w:rsid w:val="003E48F1"/>
    <w:rsid w:val="003E6386"/>
    <w:rsid w:val="003E638B"/>
    <w:rsid w:val="003F16E0"/>
    <w:rsid w:val="003F1B28"/>
    <w:rsid w:val="00400B23"/>
    <w:rsid w:val="004046B6"/>
    <w:rsid w:val="00406FE5"/>
    <w:rsid w:val="004103E8"/>
    <w:rsid w:val="004132B6"/>
    <w:rsid w:val="00413FD5"/>
    <w:rsid w:val="00420069"/>
    <w:rsid w:val="00423E3E"/>
    <w:rsid w:val="004256A0"/>
    <w:rsid w:val="00425E19"/>
    <w:rsid w:val="00427AF4"/>
    <w:rsid w:val="004331E0"/>
    <w:rsid w:val="004341A3"/>
    <w:rsid w:val="00436256"/>
    <w:rsid w:val="00440952"/>
    <w:rsid w:val="00447168"/>
    <w:rsid w:val="004507D1"/>
    <w:rsid w:val="00450C3A"/>
    <w:rsid w:val="0045231F"/>
    <w:rsid w:val="00452F90"/>
    <w:rsid w:val="00453111"/>
    <w:rsid w:val="00453803"/>
    <w:rsid w:val="0045438C"/>
    <w:rsid w:val="00460232"/>
    <w:rsid w:val="004608A0"/>
    <w:rsid w:val="004633C0"/>
    <w:rsid w:val="004647DA"/>
    <w:rsid w:val="0046626C"/>
    <w:rsid w:val="0046794F"/>
    <w:rsid w:val="00472C69"/>
    <w:rsid w:val="00475FCB"/>
    <w:rsid w:val="00477808"/>
    <w:rsid w:val="00477D6B"/>
    <w:rsid w:val="0048384D"/>
    <w:rsid w:val="0048420D"/>
    <w:rsid w:val="00491731"/>
    <w:rsid w:val="00496C66"/>
    <w:rsid w:val="004A1E70"/>
    <w:rsid w:val="004A4009"/>
    <w:rsid w:val="004A44C4"/>
    <w:rsid w:val="004A655A"/>
    <w:rsid w:val="004A6C37"/>
    <w:rsid w:val="004C17A7"/>
    <w:rsid w:val="004C4D54"/>
    <w:rsid w:val="004D2C03"/>
    <w:rsid w:val="004D630F"/>
    <w:rsid w:val="004E325E"/>
    <w:rsid w:val="004E3B39"/>
    <w:rsid w:val="004E6B21"/>
    <w:rsid w:val="004F0162"/>
    <w:rsid w:val="004F1F84"/>
    <w:rsid w:val="004F32F6"/>
    <w:rsid w:val="004F371F"/>
    <w:rsid w:val="004F4F85"/>
    <w:rsid w:val="00502F43"/>
    <w:rsid w:val="0050634B"/>
    <w:rsid w:val="00506923"/>
    <w:rsid w:val="00516B69"/>
    <w:rsid w:val="0051745D"/>
    <w:rsid w:val="005231DF"/>
    <w:rsid w:val="005332F0"/>
    <w:rsid w:val="00542138"/>
    <w:rsid w:val="00542C2B"/>
    <w:rsid w:val="00542D67"/>
    <w:rsid w:val="00544042"/>
    <w:rsid w:val="0054408D"/>
    <w:rsid w:val="00546AD7"/>
    <w:rsid w:val="0055013B"/>
    <w:rsid w:val="00551FDA"/>
    <w:rsid w:val="00560B8E"/>
    <w:rsid w:val="005614FF"/>
    <w:rsid w:val="005621B3"/>
    <w:rsid w:val="0056454F"/>
    <w:rsid w:val="005700FC"/>
    <w:rsid w:val="00571B99"/>
    <w:rsid w:val="005731F4"/>
    <w:rsid w:val="00573458"/>
    <w:rsid w:val="005742FF"/>
    <w:rsid w:val="0057647D"/>
    <w:rsid w:val="00582C8D"/>
    <w:rsid w:val="00583A1C"/>
    <w:rsid w:val="00585ED3"/>
    <w:rsid w:val="0059265D"/>
    <w:rsid w:val="005A3389"/>
    <w:rsid w:val="005A3415"/>
    <w:rsid w:val="005A3E11"/>
    <w:rsid w:val="005B1161"/>
    <w:rsid w:val="005B2EF8"/>
    <w:rsid w:val="005B4A50"/>
    <w:rsid w:val="005B4CCD"/>
    <w:rsid w:val="005B6BF0"/>
    <w:rsid w:val="005C037B"/>
    <w:rsid w:val="005C32FC"/>
    <w:rsid w:val="005C62E7"/>
    <w:rsid w:val="005C7451"/>
    <w:rsid w:val="005D4DD9"/>
    <w:rsid w:val="005D6B22"/>
    <w:rsid w:val="005E0266"/>
    <w:rsid w:val="005E581D"/>
    <w:rsid w:val="005E6A7F"/>
    <w:rsid w:val="005F2A56"/>
    <w:rsid w:val="005F75EA"/>
    <w:rsid w:val="006005F5"/>
    <w:rsid w:val="00602A7C"/>
    <w:rsid w:val="00605827"/>
    <w:rsid w:val="00616858"/>
    <w:rsid w:val="0062198E"/>
    <w:rsid w:val="006265DC"/>
    <w:rsid w:val="00626827"/>
    <w:rsid w:val="0063482E"/>
    <w:rsid w:val="0063742B"/>
    <w:rsid w:val="0064126A"/>
    <w:rsid w:val="006418AD"/>
    <w:rsid w:val="00643356"/>
    <w:rsid w:val="00662588"/>
    <w:rsid w:val="006629DE"/>
    <w:rsid w:val="006658D1"/>
    <w:rsid w:val="006658E1"/>
    <w:rsid w:val="00665F15"/>
    <w:rsid w:val="0067186E"/>
    <w:rsid w:val="0067200B"/>
    <w:rsid w:val="00675021"/>
    <w:rsid w:val="0068453F"/>
    <w:rsid w:val="00685491"/>
    <w:rsid w:val="00685593"/>
    <w:rsid w:val="00690DA5"/>
    <w:rsid w:val="00691F6D"/>
    <w:rsid w:val="006951B9"/>
    <w:rsid w:val="00695C76"/>
    <w:rsid w:val="006A06C6"/>
    <w:rsid w:val="006A15F5"/>
    <w:rsid w:val="006A3205"/>
    <w:rsid w:val="006B315B"/>
    <w:rsid w:val="006B3639"/>
    <w:rsid w:val="006B4103"/>
    <w:rsid w:val="006C1A99"/>
    <w:rsid w:val="006C1CA3"/>
    <w:rsid w:val="006C6130"/>
    <w:rsid w:val="006D30D1"/>
    <w:rsid w:val="006D3D8D"/>
    <w:rsid w:val="006D4AE3"/>
    <w:rsid w:val="006D787E"/>
    <w:rsid w:val="006D7DA6"/>
    <w:rsid w:val="006E3E3C"/>
    <w:rsid w:val="006E54B7"/>
    <w:rsid w:val="006E6899"/>
    <w:rsid w:val="006E7E1C"/>
    <w:rsid w:val="006F0D08"/>
    <w:rsid w:val="006F3701"/>
    <w:rsid w:val="006F48C7"/>
    <w:rsid w:val="006F7F41"/>
    <w:rsid w:val="0070027D"/>
    <w:rsid w:val="007133AF"/>
    <w:rsid w:val="00713450"/>
    <w:rsid w:val="007176C1"/>
    <w:rsid w:val="007222D6"/>
    <w:rsid w:val="00723CAF"/>
    <w:rsid w:val="00725561"/>
    <w:rsid w:val="007255CB"/>
    <w:rsid w:val="00727F43"/>
    <w:rsid w:val="00733234"/>
    <w:rsid w:val="00733D42"/>
    <w:rsid w:val="00734B3F"/>
    <w:rsid w:val="00740733"/>
    <w:rsid w:val="00742BFA"/>
    <w:rsid w:val="00744E7E"/>
    <w:rsid w:val="007471DC"/>
    <w:rsid w:val="00747620"/>
    <w:rsid w:val="00751475"/>
    <w:rsid w:val="007531CA"/>
    <w:rsid w:val="007539C2"/>
    <w:rsid w:val="0075512A"/>
    <w:rsid w:val="007648D2"/>
    <w:rsid w:val="007653ED"/>
    <w:rsid w:val="00767E14"/>
    <w:rsid w:val="00771A0D"/>
    <w:rsid w:val="00773249"/>
    <w:rsid w:val="00773B9A"/>
    <w:rsid w:val="00773BC0"/>
    <w:rsid w:val="00776E90"/>
    <w:rsid w:val="0078621B"/>
    <w:rsid w:val="00791712"/>
    <w:rsid w:val="0079447F"/>
    <w:rsid w:val="00794BE2"/>
    <w:rsid w:val="007A141E"/>
    <w:rsid w:val="007A204E"/>
    <w:rsid w:val="007B2C29"/>
    <w:rsid w:val="007B2F4D"/>
    <w:rsid w:val="007B3364"/>
    <w:rsid w:val="007B5ECA"/>
    <w:rsid w:val="007B71FE"/>
    <w:rsid w:val="007C26A6"/>
    <w:rsid w:val="007C2B91"/>
    <w:rsid w:val="007C656B"/>
    <w:rsid w:val="007D0F57"/>
    <w:rsid w:val="007D3504"/>
    <w:rsid w:val="007D4D77"/>
    <w:rsid w:val="007D5833"/>
    <w:rsid w:val="007D5C17"/>
    <w:rsid w:val="007D781E"/>
    <w:rsid w:val="007E1020"/>
    <w:rsid w:val="007E5DCB"/>
    <w:rsid w:val="007E663E"/>
    <w:rsid w:val="007E6EA6"/>
    <w:rsid w:val="007F000F"/>
    <w:rsid w:val="007F1F10"/>
    <w:rsid w:val="008004E5"/>
    <w:rsid w:val="00801AA0"/>
    <w:rsid w:val="00803246"/>
    <w:rsid w:val="0081102C"/>
    <w:rsid w:val="00812918"/>
    <w:rsid w:val="00813EFA"/>
    <w:rsid w:val="00815082"/>
    <w:rsid w:val="0082081C"/>
    <w:rsid w:val="0082777F"/>
    <w:rsid w:val="0083398F"/>
    <w:rsid w:val="00835FED"/>
    <w:rsid w:val="00837AF9"/>
    <w:rsid w:val="00841A6E"/>
    <w:rsid w:val="00842232"/>
    <w:rsid w:val="00845C69"/>
    <w:rsid w:val="00852CE4"/>
    <w:rsid w:val="008541BE"/>
    <w:rsid w:val="008560A2"/>
    <w:rsid w:val="00856ED4"/>
    <w:rsid w:val="00857046"/>
    <w:rsid w:val="00857A88"/>
    <w:rsid w:val="00857BC5"/>
    <w:rsid w:val="008613B0"/>
    <w:rsid w:val="00867C98"/>
    <w:rsid w:val="00872D10"/>
    <w:rsid w:val="0088394C"/>
    <w:rsid w:val="0088395E"/>
    <w:rsid w:val="00890022"/>
    <w:rsid w:val="008920C1"/>
    <w:rsid w:val="008920E6"/>
    <w:rsid w:val="008921D7"/>
    <w:rsid w:val="008A1F3F"/>
    <w:rsid w:val="008A3ABA"/>
    <w:rsid w:val="008A65E0"/>
    <w:rsid w:val="008B2320"/>
    <w:rsid w:val="008B2CC1"/>
    <w:rsid w:val="008B390C"/>
    <w:rsid w:val="008B5E0C"/>
    <w:rsid w:val="008C23ED"/>
    <w:rsid w:val="008D17F8"/>
    <w:rsid w:val="008D1FC9"/>
    <w:rsid w:val="008D3CF3"/>
    <w:rsid w:val="008D3D36"/>
    <w:rsid w:val="008D74C7"/>
    <w:rsid w:val="008E618A"/>
    <w:rsid w:val="008E6BD6"/>
    <w:rsid w:val="008F058B"/>
    <w:rsid w:val="008F0D34"/>
    <w:rsid w:val="008F1386"/>
    <w:rsid w:val="008F43DB"/>
    <w:rsid w:val="008F4F69"/>
    <w:rsid w:val="008F691D"/>
    <w:rsid w:val="008F6E77"/>
    <w:rsid w:val="00900936"/>
    <w:rsid w:val="00902CB0"/>
    <w:rsid w:val="0090731E"/>
    <w:rsid w:val="009139A7"/>
    <w:rsid w:val="0091679A"/>
    <w:rsid w:val="0091722D"/>
    <w:rsid w:val="009178F8"/>
    <w:rsid w:val="0092033D"/>
    <w:rsid w:val="00927A04"/>
    <w:rsid w:val="0093141F"/>
    <w:rsid w:val="00933883"/>
    <w:rsid w:val="00933BDE"/>
    <w:rsid w:val="0093436F"/>
    <w:rsid w:val="00937B07"/>
    <w:rsid w:val="00940D5F"/>
    <w:rsid w:val="0094328B"/>
    <w:rsid w:val="00943B3B"/>
    <w:rsid w:val="00945E6F"/>
    <w:rsid w:val="0094681F"/>
    <w:rsid w:val="00952DEE"/>
    <w:rsid w:val="00956F2F"/>
    <w:rsid w:val="00962ADA"/>
    <w:rsid w:val="009665B1"/>
    <w:rsid w:val="00966A22"/>
    <w:rsid w:val="00972AA7"/>
    <w:rsid w:val="00972F03"/>
    <w:rsid w:val="00974578"/>
    <w:rsid w:val="00982C91"/>
    <w:rsid w:val="009848D6"/>
    <w:rsid w:val="009856F9"/>
    <w:rsid w:val="00987E05"/>
    <w:rsid w:val="00987F02"/>
    <w:rsid w:val="00987FC7"/>
    <w:rsid w:val="00990B95"/>
    <w:rsid w:val="00990DF3"/>
    <w:rsid w:val="00991538"/>
    <w:rsid w:val="00993E2E"/>
    <w:rsid w:val="009A045F"/>
    <w:rsid w:val="009A0C8B"/>
    <w:rsid w:val="009A6AE8"/>
    <w:rsid w:val="009A71C5"/>
    <w:rsid w:val="009A79CA"/>
    <w:rsid w:val="009B068C"/>
    <w:rsid w:val="009B58F5"/>
    <w:rsid w:val="009B5BD8"/>
    <w:rsid w:val="009B6241"/>
    <w:rsid w:val="009C183C"/>
    <w:rsid w:val="009C5984"/>
    <w:rsid w:val="009C708A"/>
    <w:rsid w:val="009D072E"/>
    <w:rsid w:val="009E2FC0"/>
    <w:rsid w:val="009E7719"/>
    <w:rsid w:val="009F2448"/>
    <w:rsid w:val="009F366A"/>
    <w:rsid w:val="009F58E5"/>
    <w:rsid w:val="00A009AE"/>
    <w:rsid w:val="00A012F4"/>
    <w:rsid w:val="00A1004B"/>
    <w:rsid w:val="00A117FF"/>
    <w:rsid w:val="00A145C9"/>
    <w:rsid w:val="00A16FC0"/>
    <w:rsid w:val="00A17952"/>
    <w:rsid w:val="00A275A0"/>
    <w:rsid w:val="00A279D0"/>
    <w:rsid w:val="00A32C9E"/>
    <w:rsid w:val="00A40666"/>
    <w:rsid w:val="00A4383B"/>
    <w:rsid w:val="00A445F5"/>
    <w:rsid w:val="00A4707B"/>
    <w:rsid w:val="00A50989"/>
    <w:rsid w:val="00A55CAD"/>
    <w:rsid w:val="00A57FA9"/>
    <w:rsid w:val="00A602DB"/>
    <w:rsid w:val="00A605D6"/>
    <w:rsid w:val="00A633B6"/>
    <w:rsid w:val="00A6760A"/>
    <w:rsid w:val="00A7346E"/>
    <w:rsid w:val="00A74F33"/>
    <w:rsid w:val="00A76237"/>
    <w:rsid w:val="00A80F8D"/>
    <w:rsid w:val="00A82B27"/>
    <w:rsid w:val="00A83AE4"/>
    <w:rsid w:val="00A83B83"/>
    <w:rsid w:val="00A84EF1"/>
    <w:rsid w:val="00A91E88"/>
    <w:rsid w:val="00AA3230"/>
    <w:rsid w:val="00AA72DC"/>
    <w:rsid w:val="00AB0A03"/>
    <w:rsid w:val="00AB33E5"/>
    <w:rsid w:val="00AB613D"/>
    <w:rsid w:val="00AB63CE"/>
    <w:rsid w:val="00AC049F"/>
    <w:rsid w:val="00AC3895"/>
    <w:rsid w:val="00AC5C4F"/>
    <w:rsid w:val="00AD2C50"/>
    <w:rsid w:val="00AD3357"/>
    <w:rsid w:val="00AD4865"/>
    <w:rsid w:val="00AE07AF"/>
    <w:rsid w:val="00AE2EB2"/>
    <w:rsid w:val="00AE7D43"/>
    <w:rsid w:val="00AF282A"/>
    <w:rsid w:val="00B00B43"/>
    <w:rsid w:val="00B16400"/>
    <w:rsid w:val="00B1649B"/>
    <w:rsid w:val="00B22442"/>
    <w:rsid w:val="00B258CE"/>
    <w:rsid w:val="00B27EBC"/>
    <w:rsid w:val="00B32B5E"/>
    <w:rsid w:val="00B414C7"/>
    <w:rsid w:val="00B41953"/>
    <w:rsid w:val="00B47699"/>
    <w:rsid w:val="00B52FA1"/>
    <w:rsid w:val="00B53D87"/>
    <w:rsid w:val="00B55718"/>
    <w:rsid w:val="00B57FA6"/>
    <w:rsid w:val="00B65A0A"/>
    <w:rsid w:val="00B67A9E"/>
    <w:rsid w:val="00B72D36"/>
    <w:rsid w:val="00B749A9"/>
    <w:rsid w:val="00B7673C"/>
    <w:rsid w:val="00B770F6"/>
    <w:rsid w:val="00B77EB2"/>
    <w:rsid w:val="00B877E6"/>
    <w:rsid w:val="00B945E1"/>
    <w:rsid w:val="00B96879"/>
    <w:rsid w:val="00B97FDA"/>
    <w:rsid w:val="00BA1F50"/>
    <w:rsid w:val="00BA276E"/>
    <w:rsid w:val="00BA2F25"/>
    <w:rsid w:val="00BB35AF"/>
    <w:rsid w:val="00BB591D"/>
    <w:rsid w:val="00BB5D51"/>
    <w:rsid w:val="00BC1471"/>
    <w:rsid w:val="00BC4164"/>
    <w:rsid w:val="00BC555D"/>
    <w:rsid w:val="00BC7369"/>
    <w:rsid w:val="00BD2DCC"/>
    <w:rsid w:val="00BD6413"/>
    <w:rsid w:val="00BE322F"/>
    <w:rsid w:val="00BF3618"/>
    <w:rsid w:val="00BF776A"/>
    <w:rsid w:val="00BF7ADF"/>
    <w:rsid w:val="00C018D2"/>
    <w:rsid w:val="00C01F5F"/>
    <w:rsid w:val="00C0559B"/>
    <w:rsid w:val="00C07EA0"/>
    <w:rsid w:val="00C11DD4"/>
    <w:rsid w:val="00C20238"/>
    <w:rsid w:val="00C2064F"/>
    <w:rsid w:val="00C262A7"/>
    <w:rsid w:val="00C268D4"/>
    <w:rsid w:val="00C31618"/>
    <w:rsid w:val="00C36334"/>
    <w:rsid w:val="00C3705E"/>
    <w:rsid w:val="00C40836"/>
    <w:rsid w:val="00C40A11"/>
    <w:rsid w:val="00C41D09"/>
    <w:rsid w:val="00C42F2A"/>
    <w:rsid w:val="00C4585D"/>
    <w:rsid w:val="00C45AF7"/>
    <w:rsid w:val="00C63E35"/>
    <w:rsid w:val="00C665A4"/>
    <w:rsid w:val="00C715FF"/>
    <w:rsid w:val="00C739DE"/>
    <w:rsid w:val="00C73CEE"/>
    <w:rsid w:val="00C73E63"/>
    <w:rsid w:val="00C75E88"/>
    <w:rsid w:val="00C76500"/>
    <w:rsid w:val="00C83A6A"/>
    <w:rsid w:val="00C8709B"/>
    <w:rsid w:val="00C90559"/>
    <w:rsid w:val="00C9166E"/>
    <w:rsid w:val="00C932AD"/>
    <w:rsid w:val="00CA0C7F"/>
    <w:rsid w:val="00CA1FB2"/>
    <w:rsid w:val="00CA2926"/>
    <w:rsid w:val="00CA637E"/>
    <w:rsid w:val="00CA69B4"/>
    <w:rsid w:val="00CB1461"/>
    <w:rsid w:val="00CB43D7"/>
    <w:rsid w:val="00CC01EF"/>
    <w:rsid w:val="00CC0358"/>
    <w:rsid w:val="00CC65A6"/>
    <w:rsid w:val="00CC6C8F"/>
    <w:rsid w:val="00CD1072"/>
    <w:rsid w:val="00CD1207"/>
    <w:rsid w:val="00CD41AE"/>
    <w:rsid w:val="00CD5DEC"/>
    <w:rsid w:val="00CD7492"/>
    <w:rsid w:val="00CF1A22"/>
    <w:rsid w:val="00D000E5"/>
    <w:rsid w:val="00D00CFB"/>
    <w:rsid w:val="00D01EF6"/>
    <w:rsid w:val="00D023AB"/>
    <w:rsid w:val="00D04A55"/>
    <w:rsid w:val="00D04D18"/>
    <w:rsid w:val="00D06458"/>
    <w:rsid w:val="00D22678"/>
    <w:rsid w:val="00D30D82"/>
    <w:rsid w:val="00D41E6A"/>
    <w:rsid w:val="00D4275F"/>
    <w:rsid w:val="00D46726"/>
    <w:rsid w:val="00D5012B"/>
    <w:rsid w:val="00D5027A"/>
    <w:rsid w:val="00D52729"/>
    <w:rsid w:val="00D56C7C"/>
    <w:rsid w:val="00D57E7A"/>
    <w:rsid w:val="00D61524"/>
    <w:rsid w:val="00D67091"/>
    <w:rsid w:val="00D71B4D"/>
    <w:rsid w:val="00D724E6"/>
    <w:rsid w:val="00D73B21"/>
    <w:rsid w:val="00D73C7C"/>
    <w:rsid w:val="00D7676D"/>
    <w:rsid w:val="00D80004"/>
    <w:rsid w:val="00D86816"/>
    <w:rsid w:val="00D86F03"/>
    <w:rsid w:val="00D90289"/>
    <w:rsid w:val="00D90FF0"/>
    <w:rsid w:val="00D919EA"/>
    <w:rsid w:val="00D93D55"/>
    <w:rsid w:val="00D94614"/>
    <w:rsid w:val="00DA0B6A"/>
    <w:rsid w:val="00DA2E7F"/>
    <w:rsid w:val="00DB244F"/>
    <w:rsid w:val="00DB4C60"/>
    <w:rsid w:val="00DB5E03"/>
    <w:rsid w:val="00DB66CC"/>
    <w:rsid w:val="00DC3386"/>
    <w:rsid w:val="00DC488B"/>
    <w:rsid w:val="00DC4C0C"/>
    <w:rsid w:val="00DC75EB"/>
    <w:rsid w:val="00DD37B9"/>
    <w:rsid w:val="00DD42ED"/>
    <w:rsid w:val="00DE476E"/>
    <w:rsid w:val="00DF12A9"/>
    <w:rsid w:val="00DF7F45"/>
    <w:rsid w:val="00E062A1"/>
    <w:rsid w:val="00E10A93"/>
    <w:rsid w:val="00E13348"/>
    <w:rsid w:val="00E14C64"/>
    <w:rsid w:val="00E16585"/>
    <w:rsid w:val="00E16852"/>
    <w:rsid w:val="00E17471"/>
    <w:rsid w:val="00E17A54"/>
    <w:rsid w:val="00E21158"/>
    <w:rsid w:val="00E31AC1"/>
    <w:rsid w:val="00E32C2C"/>
    <w:rsid w:val="00E3427A"/>
    <w:rsid w:val="00E34913"/>
    <w:rsid w:val="00E43A9A"/>
    <w:rsid w:val="00E444DA"/>
    <w:rsid w:val="00E45C84"/>
    <w:rsid w:val="00E47595"/>
    <w:rsid w:val="00E504E5"/>
    <w:rsid w:val="00E51230"/>
    <w:rsid w:val="00E53CFB"/>
    <w:rsid w:val="00E54CE4"/>
    <w:rsid w:val="00E609EB"/>
    <w:rsid w:val="00E6555D"/>
    <w:rsid w:val="00E6603F"/>
    <w:rsid w:val="00E664F5"/>
    <w:rsid w:val="00E70227"/>
    <w:rsid w:val="00E70262"/>
    <w:rsid w:val="00E74A02"/>
    <w:rsid w:val="00E769AD"/>
    <w:rsid w:val="00E774FD"/>
    <w:rsid w:val="00E809A5"/>
    <w:rsid w:val="00E81EB4"/>
    <w:rsid w:val="00E9192F"/>
    <w:rsid w:val="00E92E1F"/>
    <w:rsid w:val="00EA2104"/>
    <w:rsid w:val="00EA2BF1"/>
    <w:rsid w:val="00EA39DF"/>
    <w:rsid w:val="00EA4CD8"/>
    <w:rsid w:val="00EA528A"/>
    <w:rsid w:val="00EB3413"/>
    <w:rsid w:val="00EB7A3E"/>
    <w:rsid w:val="00EB7E9D"/>
    <w:rsid w:val="00EC046F"/>
    <w:rsid w:val="00EC401A"/>
    <w:rsid w:val="00ED2FFB"/>
    <w:rsid w:val="00ED68AB"/>
    <w:rsid w:val="00EE69B6"/>
    <w:rsid w:val="00EF15FD"/>
    <w:rsid w:val="00EF3DB5"/>
    <w:rsid w:val="00EF530A"/>
    <w:rsid w:val="00EF6622"/>
    <w:rsid w:val="00F03303"/>
    <w:rsid w:val="00F14A90"/>
    <w:rsid w:val="00F21127"/>
    <w:rsid w:val="00F23E8E"/>
    <w:rsid w:val="00F314A9"/>
    <w:rsid w:val="00F31A57"/>
    <w:rsid w:val="00F3280F"/>
    <w:rsid w:val="00F330D1"/>
    <w:rsid w:val="00F43E71"/>
    <w:rsid w:val="00F43EC5"/>
    <w:rsid w:val="00F45EDF"/>
    <w:rsid w:val="00F50540"/>
    <w:rsid w:val="00F55408"/>
    <w:rsid w:val="00F56BA1"/>
    <w:rsid w:val="00F604EF"/>
    <w:rsid w:val="00F651AE"/>
    <w:rsid w:val="00F652A7"/>
    <w:rsid w:val="00F66152"/>
    <w:rsid w:val="00F73403"/>
    <w:rsid w:val="00F75B80"/>
    <w:rsid w:val="00F80845"/>
    <w:rsid w:val="00F80A00"/>
    <w:rsid w:val="00F82128"/>
    <w:rsid w:val="00F8358E"/>
    <w:rsid w:val="00F84474"/>
    <w:rsid w:val="00F8499F"/>
    <w:rsid w:val="00F87D66"/>
    <w:rsid w:val="00F91117"/>
    <w:rsid w:val="00F91A3A"/>
    <w:rsid w:val="00F921DF"/>
    <w:rsid w:val="00F97297"/>
    <w:rsid w:val="00FA7F1B"/>
    <w:rsid w:val="00FB6F33"/>
    <w:rsid w:val="00FB78C2"/>
    <w:rsid w:val="00FB7A25"/>
    <w:rsid w:val="00FC14E4"/>
    <w:rsid w:val="00FC6442"/>
    <w:rsid w:val="00FD1997"/>
    <w:rsid w:val="00FD20B2"/>
    <w:rsid w:val="00FD23A7"/>
    <w:rsid w:val="00FD3821"/>
    <w:rsid w:val="00FD59D1"/>
    <w:rsid w:val="00FD7B6C"/>
    <w:rsid w:val="00FE0BB4"/>
    <w:rsid w:val="00FE2187"/>
    <w:rsid w:val="00FE239C"/>
    <w:rsid w:val="00FE42C5"/>
    <w:rsid w:val="00FE4D55"/>
    <w:rsid w:val="00FE56AC"/>
    <w:rsid w:val="00FE7D9C"/>
    <w:rsid w:val="00FE7E73"/>
    <w:rsid w:val="00FF362A"/>
    <w:rsid w:val="00FF67A3"/>
    <w:rsid w:val="00FF779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paragraph" w:styleId="Heading5">
    <w:name w:val="heading 5"/>
    <w:basedOn w:val="Heading4"/>
    <w:next w:val="Normal"/>
    <w:link w:val="Heading5Char"/>
    <w:qFormat/>
    <w:rsid w:val="007B2C29"/>
    <w:pPr>
      <w:tabs>
        <w:tab w:val="num" w:pos="1008"/>
      </w:tabs>
      <w:spacing w:before="0" w:after="0" w:line="300" w:lineRule="atLeast"/>
      <w:ind w:left="1008" w:hanging="1008"/>
      <w:outlineLvl w:val="4"/>
    </w:pPr>
    <w:rPr>
      <w:rFonts w:eastAsia="Times New Roman"/>
      <w:b/>
      <w:i w:val="0"/>
      <w:caps/>
      <w:color w:val="3E484E"/>
      <w:szCs w:val="26"/>
      <w:lang w:val="en-GB" w:eastAsia="da-DK"/>
    </w:rPr>
  </w:style>
  <w:style w:type="paragraph" w:styleId="Heading6">
    <w:name w:val="heading 6"/>
    <w:basedOn w:val="Heading5"/>
    <w:next w:val="Normal"/>
    <w:link w:val="Heading6Char"/>
    <w:qFormat/>
    <w:rsid w:val="007B2C29"/>
    <w:pPr>
      <w:tabs>
        <w:tab w:val="clear" w:pos="1008"/>
        <w:tab w:val="num" w:pos="1152"/>
      </w:tabs>
      <w:ind w:left="1152" w:hanging="1152"/>
      <w:outlineLvl w:val="5"/>
    </w:pPr>
  </w:style>
  <w:style w:type="paragraph" w:styleId="Heading7">
    <w:name w:val="heading 7"/>
    <w:basedOn w:val="Heading6"/>
    <w:next w:val="Normal"/>
    <w:link w:val="Heading7Char"/>
    <w:qFormat/>
    <w:rsid w:val="007B2C29"/>
    <w:pPr>
      <w:tabs>
        <w:tab w:val="clear" w:pos="1152"/>
        <w:tab w:val="num" w:pos="1296"/>
      </w:tabs>
      <w:ind w:left="1296" w:hanging="1296"/>
      <w:outlineLvl w:val="6"/>
    </w:pPr>
  </w:style>
  <w:style w:type="paragraph" w:styleId="Heading8">
    <w:name w:val="heading 8"/>
    <w:basedOn w:val="Heading7"/>
    <w:next w:val="Normal"/>
    <w:link w:val="Heading8Char"/>
    <w:qFormat/>
    <w:rsid w:val="007B2C29"/>
    <w:pPr>
      <w:tabs>
        <w:tab w:val="clear" w:pos="1296"/>
        <w:tab w:val="num" w:pos="1440"/>
      </w:tabs>
      <w:ind w:left="1440" w:hanging="1440"/>
      <w:outlineLvl w:val="7"/>
    </w:pPr>
  </w:style>
  <w:style w:type="paragraph" w:styleId="Heading9">
    <w:name w:val="heading 9"/>
    <w:basedOn w:val="Heading8"/>
    <w:next w:val="Normal"/>
    <w:link w:val="Heading9Char"/>
    <w:qFormat/>
    <w:rsid w:val="007B2C29"/>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FF779C"/>
    <w:rPr>
      <w:rFonts w:ascii="Arial" w:eastAsia="SimSun" w:hAnsi="Arial" w:cs="Arial"/>
      <w:b/>
      <w:bCs/>
      <w:caps/>
      <w:kern w:val="32"/>
      <w:sz w:val="22"/>
      <w:szCs w:val="32"/>
      <w:lang w:val="es-ES" w:eastAsia="zh-CN"/>
    </w:rPr>
  </w:style>
  <w:style w:type="character" w:customStyle="1" w:styleId="Heading2Char">
    <w:name w:val="Heading 2 Char"/>
    <w:link w:val="Heading2"/>
    <w:rsid w:val="007B2C29"/>
    <w:rPr>
      <w:rFonts w:ascii="Arial" w:eastAsia="SimSun" w:hAnsi="Arial" w:cs="Arial"/>
      <w:bCs/>
      <w:iCs/>
      <w:caps/>
      <w:sz w:val="22"/>
      <w:szCs w:val="28"/>
      <w:lang w:val="es-ES" w:eastAsia="zh-CN"/>
    </w:rPr>
  </w:style>
  <w:style w:type="character" w:customStyle="1" w:styleId="Heading3Char">
    <w:name w:val="Heading 3 Char"/>
    <w:link w:val="Heading3"/>
    <w:rsid w:val="007B2C29"/>
    <w:rPr>
      <w:rFonts w:ascii="Arial" w:eastAsia="SimSun" w:hAnsi="Arial" w:cs="Arial"/>
      <w:bCs/>
      <w:sz w:val="22"/>
      <w:szCs w:val="26"/>
      <w:u w:val="single"/>
      <w:lang w:val="es-ES" w:eastAsia="zh-CN"/>
    </w:rPr>
  </w:style>
  <w:style w:type="character" w:customStyle="1" w:styleId="Heading5Char">
    <w:name w:val="Heading 5 Char"/>
    <w:link w:val="Heading5"/>
    <w:rsid w:val="007B2C29"/>
    <w:rPr>
      <w:rFonts w:ascii="Arial" w:hAnsi="Arial" w:cs="Arial"/>
      <w:b/>
      <w:bCs/>
      <w:caps/>
      <w:color w:val="3E484E"/>
      <w:sz w:val="22"/>
      <w:szCs w:val="26"/>
      <w:lang w:val="en-GB" w:eastAsia="da-DK"/>
    </w:rPr>
  </w:style>
  <w:style w:type="character" w:customStyle="1" w:styleId="Heading6Char">
    <w:name w:val="Heading 6 Char"/>
    <w:link w:val="Heading6"/>
    <w:rsid w:val="007B2C29"/>
    <w:rPr>
      <w:rFonts w:ascii="Arial" w:hAnsi="Arial" w:cs="Arial"/>
      <w:b/>
      <w:bCs/>
      <w:caps/>
      <w:color w:val="3E484E"/>
      <w:sz w:val="22"/>
      <w:szCs w:val="26"/>
      <w:lang w:val="en-GB" w:eastAsia="da-DK"/>
    </w:rPr>
  </w:style>
  <w:style w:type="character" w:customStyle="1" w:styleId="Heading7Char">
    <w:name w:val="Heading 7 Char"/>
    <w:link w:val="Heading7"/>
    <w:rsid w:val="007B2C29"/>
    <w:rPr>
      <w:rFonts w:ascii="Arial" w:hAnsi="Arial" w:cs="Arial"/>
      <w:b/>
      <w:bCs/>
      <w:caps/>
      <w:color w:val="3E484E"/>
      <w:sz w:val="22"/>
      <w:szCs w:val="26"/>
      <w:lang w:val="en-GB" w:eastAsia="da-DK"/>
    </w:rPr>
  </w:style>
  <w:style w:type="character" w:customStyle="1" w:styleId="Heading8Char">
    <w:name w:val="Heading 8 Char"/>
    <w:link w:val="Heading8"/>
    <w:rsid w:val="007B2C29"/>
    <w:rPr>
      <w:rFonts w:ascii="Arial" w:hAnsi="Arial" w:cs="Arial"/>
      <w:b/>
      <w:bCs/>
      <w:caps/>
      <w:color w:val="3E484E"/>
      <w:sz w:val="22"/>
      <w:szCs w:val="26"/>
      <w:lang w:val="en-GB" w:eastAsia="da-DK"/>
    </w:rPr>
  </w:style>
  <w:style w:type="character" w:customStyle="1" w:styleId="Heading9Char">
    <w:name w:val="Heading 9 Char"/>
    <w:link w:val="Heading9"/>
    <w:rsid w:val="007B2C29"/>
    <w:rPr>
      <w:rFonts w:ascii="Arial" w:hAnsi="Arial" w:cs="Arial"/>
      <w:b/>
      <w:bCs/>
      <w:caps/>
      <w:color w:val="3E484E"/>
      <w:sz w:val="22"/>
      <w:szCs w:val="26"/>
      <w:lang w:val="en-GB" w:eastAsia="da-DK"/>
    </w:rPr>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character" w:customStyle="1" w:styleId="CommentTextChar">
    <w:name w:val="Comment Text Char"/>
    <w:link w:val="CommentText"/>
    <w:semiHidden/>
    <w:locked/>
    <w:rsid w:val="007B2C29"/>
    <w:rPr>
      <w:rFonts w:ascii="Arial" w:eastAsia="SimSun" w:hAnsi="Arial" w:cs="Arial"/>
      <w:sz w:val="18"/>
      <w:lang w:val="es-ES" w:eastAsia="zh-CN"/>
    </w:rPr>
  </w:style>
  <w:style w:type="paragraph" w:styleId="EndnoteText">
    <w:name w:val="endnote text"/>
    <w:basedOn w:val="Normal"/>
    <w:semiHidden/>
    <w:rsid w:val="00A32C9E"/>
    <w:rPr>
      <w:sz w:val="18"/>
    </w:rPr>
  </w:style>
  <w:style w:type="paragraph" w:styleId="Footer">
    <w:name w:val="footer"/>
    <w:basedOn w:val="Normal"/>
    <w:link w:val="FooterChar"/>
    <w:rsid w:val="00A32C9E"/>
    <w:pPr>
      <w:tabs>
        <w:tab w:val="center" w:pos="4320"/>
        <w:tab w:val="right" w:pos="8640"/>
      </w:tabs>
    </w:pPr>
  </w:style>
  <w:style w:type="character" w:customStyle="1" w:styleId="FooterChar">
    <w:name w:val="Footer Char"/>
    <w:link w:val="Footer"/>
    <w:rsid w:val="00FF779C"/>
    <w:rPr>
      <w:rFonts w:ascii="Arial" w:eastAsia="SimSun" w:hAnsi="Arial" w:cs="Arial"/>
      <w:sz w:val="22"/>
      <w:lang w:val="es-ES" w:eastAsia="zh-CN"/>
    </w:rPr>
  </w:style>
  <w:style w:type="paragraph" w:styleId="FootnoteText">
    <w:name w:val="footnote text"/>
    <w:basedOn w:val="Normal"/>
    <w:link w:val="FootnoteTextChar"/>
    <w:semiHidden/>
    <w:rsid w:val="00A32C9E"/>
    <w:rPr>
      <w:sz w:val="18"/>
    </w:rPr>
  </w:style>
  <w:style w:type="character" w:customStyle="1" w:styleId="FootnoteTextChar">
    <w:name w:val="Footnote Text Char"/>
    <w:link w:val="FootnoteText"/>
    <w:semiHidden/>
    <w:rsid w:val="00FF779C"/>
    <w:rPr>
      <w:rFonts w:ascii="Arial" w:eastAsia="SimSun" w:hAnsi="Arial" w:cs="Arial"/>
      <w:sz w:val="18"/>
      <w:lang w:val="es-ES" w:eastAsia="zh-CN"/>
    </w:rPr>
  </w:style>
  <w:style w:type="paragraph" w:customStyle="1" w:styleId="Endofdocument-Annex">
    <w:name w:val="[End of document - Annex]"/>
    <w:basedOn w:val="Normal"/>
    <w:rsid w:val="00815082"/>
    <w:pPr>
      <w:ind w:left="5534"/>
    </w:pPr>
    <w:rPr>
      <w:lang w:val="en-US"/>
    </w:rPr>
  </w:style>
  <w:style w:type="paragraph" w:customStyle="1" w:styleId="Char">
    <w:name w:val="Char 字元 字元"/>
    <w:basedOn w:val="Normal"/>
    <w:rsid w:val="00A83B83"/>
    <w:pPr>
      <w:spacing w:after="160" w:line="240" w:lineRule="exact"/>
    </w:pPr>
    <w:rPr>
      <w:rFonts w:ascii="Verdana" w:eastAsia="PMingLiU" w:hAnsi="Verdana" w:cs="Times New Roman"/>
      <w:sz w:val="20"/>
      <w:lang w:val="en-US" w:eastAsia="en-US"/>
    </w:rPr>
  </w:style>
  <w:style w:type="paragraph" w:styleId="Header">
    <w:name w:val="header"/>
    <w:basedOn w:val="Normal"/>
    <w:link w:val="HeaderChar"/>
    <w:uiPriority w:val="99"/>
    <w:rsid w:val="00A32C9E"/>
    <w:pPr>
      <w:tabs>
        <w:tab w:val="center" w:pos="4536"/>
        <w:tab w:val="right" w:pos="9072"/>
      </w:tabs>
    </w:pPr>
  </w:style>
  <w:style w:type="character" w:customStyle="1" w:styleId="HeaderChar">
    <w:name w:val="Header Char"/>
    <w:link w:val="Header"/>
    <w:uiPriority w:val="99"/>
    <w:rsid w:val="00FF779C"/>
    <w:rPr>
      <w:rFonts w:ascii="Arial" w:eastAsia="SimSun" w:hAnsi="Arial" w:cs="Arial"/>
      <w:sz w:val="22"/>
      <w:lang w:val="es-ES" w:eastAsia="zh-CN"/>
    </w:r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customStyle="1" w:styleId="CharCharCharChar">
    <w:name w:val="Char Char Char Char"/>
    <w:basedOn w:val="Normal"/>
    <w:rsid w:val="007B2C29"/>
    <w:pPr>
      <w:spacing w:after="160" w:line="240" w:lineRule="exact"/>
    </w:pPr>
    <w:rPr>
      <w:rFonts w:ascii="Verdana" w:eastAsia="Times New Roman" w:hAnsi="Verdana" w:cs="Times New Roman"/>
      <w:sz w:val="20"/>
      <w:lang w:val="en-GB" w:eastAsia="en-US"/>
    </w:rPr>
  </w:style>
  <w:style w:type="paragraph" w:styleId="BalloonText">
    <w:name w:val="Balloon Text"/>
    <w:basedOn w:val="Normal"/>
    <w:link w:val="BalloonTextChar"/>
    <w:rsid w:val="007B2C29"/>
    <w:rPr>
      <w:rFonts w:ascii="Tahoma" w:eastAsia="Times New Roman" w:hAnsi="Tahoma" w:cs="Tahoma"/>
      <w:sz w:val="16"/>
      <w:szCs w:val="16"/>
      <w:lang w:val="en-US" w:eastAsia="en-US"/>
    </w:rPr>
  </w:style>
  <w:style w:type="character" w:customStyle="1" w:styleId="BalloonTextChar">
    <w:name w:val="Balloon Text Char"/>
    <w:link w:val="BalloonText"/>
    <w:rsid w:val="007B2C29"/>
    <w:rPr>
      <w:rFonts w:ascii="Tahoma" w:hAnsi="Tahoma" w:cs="Tahoma"/>
      <w:sz w:val="16"/>
      <w:szCs w:val="16"/>
    </w:rPr>
  </w:style>
  <w:style w:type="paragraph" w:styleId="BodyTextIndent">
    <w:name w:val="Body Text Indent"/>
    <w:basedOn w:val="Normal"/>
    <w:link w:val="BodyTextIndentChar"/>
    <w:rsid w:val="007B2C29"/>
    <w:pPr>
      <w:ind w:left="567"/>
    </w:pPr>
    <w:rPr>
      <w:rFonts w:ascii="Times New Roman" w:eastAsia="Times New Roman" w:hAnsi="Times New Roman" w:cs="Times New Roman"/>
      <w:sz w:val="24"/>
      <w:lang w:val="en-US" w:eastAsia="en-US"/>
    </w:rPr>
  </w:style>
  <w:style w:type="character" w:customStyle="1" w:styleId="BodyTextIndentChar">
    <w:name w:val="Body Text Indent Char"/>
    <w:link w:val="BodyTextIndent"/>
    <w:rsid w:val="007B2C29"/>
    <w:rPr>
      <w:sz w:val="24"/>
    </w:rPr>
  </w:style>
  <w:style w:type="character" w:customStyle="1" w:styleId="hps">
    <w:name w:val="hps"/>
    <w:basedOn w:val="DefaultParagraphFont"/>
    <w:rsid w:val="007B2C29"/>
  </w:style>
  <w:style w:type="paragraph" w:styleId="ListParagraph">
    <w:name w:val="List Paragraph"/>
    <w:basedOn w:val="Normal"/>
    <w:qFormat/>
    <w:rsid w:val="007B2C29"/>
    <w:pPr>
      <w:spacing w:after="200" w:line="276" w:lineRule="auto"/>
      <w:ind w:left="720"/>
      <w:contextualSpacing/>
    </w:pPr>
    <w:rPr>
      <w:rFonts w:ascii="Calibri" w:eastAsia="Times New Roman" w:hAnsi="Calibri" w:cs="Times New Roman"/>
      <w:szCs w:val="22"/>
      <w:lang w:val="en-US" w:eastAsia="en-US"/>
    </w:rPr>
  </w:style>
  <w:style w:type="character" w:styleId="FootnoteReference">
    <w:name w:val="footnote reference"/>
    <w:rsid w:val="007B2C29"/>
    <w:rPr>
      <w:vertAlign w:val="superscript"/>
    </w:rPr>
  </w:style>
  <w:style w:type="character" w:styleId="PageNumber">
    <w:name w:val="page number"/>
    <w:basedOn w:val="DefaultParagraphFont"/>
    <w:rsid w:val="007B2C29"/>
  </w:style>
  <w:style w:type="paragraph" w:customStyle="1" w:styleId="1">
    <w:name w:val="1"/>
    <w:basedOn w:val="Normal"/>
    <w:rsid w:val="007B2C29"/>
    <w:pPr>
      <w:spacing w:after="160" w:line="240" w:lineRule="exact"/>
    </w:pPr>
    <w:rPr>
      <w:rFonts w:ascii="Verdana" w:eastAsia="Times New Roman" w:hAnsi="Verdana" w:cs="Times New Roman"/>
      <w:sz w:val="20"/>
      <w:lang w:val="en-GB" w:eastAsia="en-US"/>
    </w:rPr>
  </w:style>
  <w:style w:type="paragraph" w:styleId="TOC2">
    <w:name w:val="toc 2"/>
    <w:basedOn w:val="Normal"/>
    <w:next w:val="Normal"/>
    <w:autoRedefine/>
    <w:uiPriority w:val="39"/>
    <w:rsid w:val="00A445F5"/>
    <w:pPr>
      <w:tabs>
        <w:tab w:val="left" w:pos="-426"/>
        <w:tab w:val="left" w:pos="907"/>
        <w:tab w:val="left" w:pos="1701"/>
        <w:tab w:val="left" w:pos="2694"/>
        <w:tab w:val="right" w:leader="dot" w:pos="9061"/>
      </w:tabs>
      <w:spacing w:before="120" w:after="120"/>
      <w:ind w:left="1701" w:hanging="1463"/>
    </w:pPr>
    <w:rPr>
      <w:rFonts w:eastAsia="Times New Roman" w:cs="Times New Roman"/>
      <w:noProof/>
      <w:sz w:val="20"/>
      <w:lang w:val="es-ES_tradnl" w:eastAsia="da-DK"/>
    </w:rPr>
  </w:style>
  <w:style w:type="character" w:styleId="Hyperlink">
    <w:name w:val="Hyperlink"/>
    <w:uiPriority w:val="99"/>
    <w:rsid w:val="007B2C29"/>
    <w:rPr>
      <w:color w:val="0000FF"/>
      <w:u w:val="single"/>
    </w:rPr>
  </w:style>
  <w:style w:type="paragraph" w:customStyle="1" w:styleId="StyleHeading3ComplexItalic">
    <w:name w:val="Style Heading 3 + (Complex) Italic"/>
    <w:basedOn w:val="Heading3"/>
    <w:link w:val="StyleHeading3ComplexItalicChar"/>
    <w:rsid w:val="007B2C29"/>
    <w:pPr>
      <w:tabs>
        <w:tab w:val="left" w:pos="1985"/>
      </w:tabs>
      <w:spacing w:before="0" w:after="0"/>
    </w:pPr>
    <w:rPr>
      <w:rFonts w:eastAsia="Times New Roman"/>
      <w:b/>
      <w:bCs w:val="0"/>
      <w:iCs/>
      <w:caps/>
      <w:szCs w:val="22"/>
      <w:u w:val="none"/>
      <w:lang w:val="en-US" w:eastAsia="en-US"/>
    </w:rPr>
  </w:style>
  <w:style w:type="character" w:customStyle="1" w:styleId="StyleHeading3ComplexItalicChar">
    <w:name w:val="Style Heading 3 + (Complex) Italic Char"/>
    <w:link w:val="StyleHeading3ComplexItalic"/>
    <w:rsid w:val="007B2C29"/>
    <w:rPr>
      <w:rFonts w:ascii="Arial" w:hAnsi="Arial" w:cs="Arial"/>
      <w:b/>
      <w:iCs/>
      <w:caps/>
      <w:sz w:val="22"/>
      <w:szCs w:val="22"/>
    </w:rPr>
  </w:style>
  <w:style w:type="paragraph" w:styleId="TOC3">
    <w:name w:val="toc 3"/>
    <w:basedOn w:val="Normal"/>
    <w:next w:val="Normal"/>
    <w:autoRedefine/>
    <w:uiPriority w:val="39"/>
    <w:rsid w:val="00A445F5"/>
    <w:pPr>
      <w:tabs>
        <w:tab w:val="left" w:pos="2552"/>
        <w:tab w:val="right" w:leader="dot" w:pos="9061"/>
      </w:tabs>
      <w:spacing w:after="60"/>
      <w:ind w:left="1985" w:hanging="1418"/>
    </w:pPr>
    <w:rPr>
      <w:rFonts w:eastAsia="Times New Roman" w:cs="Times New Roman"/>
      <w:noProof/>
      <w:sz w:val="20"/>
      <w:lang w:val="en-US" w:eastAsia="en-US"/>
    </w:rPr>
  </w:style>
  <w:style w:type="paragraph" w:customStyle="1" w:styleId="StyleHeading214ptAuto">
    <w:name w:val="Style Heading 2 + 14 pt Auto"/>
    <w:basedOn w:val="Heading2"/>
    <w:rsid w:val="007B2C29"/>
    <w:pPr>
      <w:keepNext w:val="0"/>
      <w:widowControl w:val="0"/>
      <w:tabs>
        <w:tab w:val="num" w:pos="567"/>
      </w:tabs>
      <w:spacing w:before="0" w:after="0" w:line="300" w:lineRule="atLeast"/>
      <w:ind w:left="567" w:hanging="567"/>
      <w:jc w:val="center"/>
    </w:pPr>
    <w:rPr>
      <w:rFonts w:ascii="Arial Bold" w:eastAsia="Times New Roman" w:hAnsi="Arial Bold"/>
      <w:b/>
      <w:sz w:val="24"/>
      <w:lang w:val="en-GB" w:eastAsia="da-DK"/>
    </w:rPr>
  </w:style>
  <w:style w:type="paragraph" w:styleId="NormalWeb">
    <w:name w:val="Normal (Web)"/>
    <w:basedOn w:val="Normal"/>
    <w:rsid w:val="007B2C29"/>
    <w:pPr>
      <w:spacing w:before="100" w:beforeAutospacing="1" w:after="100" w:afterAutospacing="1"/>
    </w:pPr>
    <w:rPr>
      <w:rFonts w:eastAsia="Times New Roman"/>
      <w:sz w:val="18"/>
      <w:szCs w:val="18"/>
      <w:lang w:val="en-US" w:eastAsia="en-US"/>
    </w:rPr>
  </w:style>
  <w:style w:type="paragraph" w:styleId="TOC1">
    <w:name w:val="toc 1"/>
    <w:basedOn w:val="Normal"/>
    <w:next w:val="Normal"/>
    <w:autoRedefine/>
    <w:uiPriority w:val="39"/>
    <w:rsid w:val="007255CB"/>
    <w:pPr>
      <w:tabs>
        <w:tab w:val="left" w:pos="567"/>
        <w:tab w:val="right" w:leader="dot" w:pos="9061"/>
      </w:tabs>
      <w:spacing w:before="120" w:after="120"/>
    </w:pPr>
    <w:rPr>
      <w:rFonts w:eastAsia="Times New Roman" w:cs="Times New Roman"/>
      <w:noProof/>
      <w:lang w:val="es-ES_tradnl" w:eastAsia="en-US"/>
    </w:rPr>
  </w:style>
  <w:style w:type="paragraph" w:customStyle="1" w:styleId="NormalArial">
    <w:name w:val="Normal + Arial"/>
    <w:aliases w:val="10 pt"/>
    <w:basedOn w:val="ListParagraph"/>
    <w:rsid w:val="007B2C29"/>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7B2C29"/>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7B2C29"/>
    <w:pPr>
      <w:autoSpaceDE w:val="0"/>
      <w:autoSpaceDN w:val="0"/>
      <w:adjustRightInd w:val="0"/>
    </w:pPr>
    <w:rPr>
      <w:rFonts w:eastAsia="Times New Roman" w:cs="Times New Roman"/>
      <w:sz w:val="24"/>
      <w:szCs w:val="24"/>
      <w:lang w:val="en-US" w:eastAsia="en-US"/>
    </w:rPr>
  </w:style>
  <w:style w:type="character" w:styleId="CommentReference">
    <w:name w:val="annotation reference"/>
    <w:rsid w:val="007B2C29"/>
    <w:rPr>
      <w:sz w:val="16"/>
      <w:szCs w:val="16"/>
    </w:rPr>
  </w:style>
  <w:style w:type="paragraph" w:customStyle="1" w:styleId="StyleStyleHeading3ComplexItalicLatin12pt">
    <w:name w:val="Style Style Heading 3 + (Complex) Italic + (Latin) 12 pt"/>
    <w:basedOn w:val="StyleHeading3ComplexItalic"/>
    <w:link w:val="StyleStyleHeading3ComplexItalicLatin12ptChar"/>
    <w:rsid w:val="007B2C29"/>
  </w:style>
  <w:style w:type="character" w:customStyle="1" w:styleId="StyleStyleHeading3ComplexItalicLatin12ptChar">
    <w:name w:val="Style Style Heading 3 + (Complex) Italic + (Latin) 12 pt Char"/>
    <w:link w:val="StyleStyleHeading3ComplexItalicLatin12pt"/>
    <w:rsid w:val="007B2C29"/>
    <w:rPr>
      <w:rFonts w:ascii="Arial" w:hAnsi="Arial" w:cs="Arial"/>
      <w:b/>
      <w:iCs/>
      <w:caps/>
      <w:sz w:val="22"/>
      <w:szCs w:val="22"/>
    </w:rPr>
  </w:style>
  <w:style w:type="character" w:customStyle="1" w:styleId="paracolourtext1">
    <w:name w:val="paracolourtext1"/>
    <w:rsid w:val="007B2C29"/>
    <w:rPr>
      <w:b w:val="0"/>
      <w:bCs w:val="0"/>
      <w:i w:val="0"/>
      <w:iCs w:val="0"/>
      <w:color w:val="800000"/>
      <w:sz w:val="20"/>
      <w:szCs w:val="20"/>
    </w:rPr>
  </w:style>
  <w:style w:type="paragraph" w:customStyle="1" w:styleId="Body">
    <w:name w:val="Body"/>
    <w:rsid w:val="007B2C29"/>
    <w:rPr>
      <w:rFonts w:ascii="Helvetica" w:eastAsia="ヒラギノ角ゴ Pro W3" w:hAnsi="Helvetica" w:cs="Angsana New"/>
      <w:color w:val="000000"/>
      <w:sz w:val="24"/>
      <w:lang w:bidi="th-TH"/>
    </w:rPr>
  </w:style>
  <w:style w:type="paragraph" w:customStyle="1" w:styleId="tes1">
    <w:name w:val="tes1"/>
    <w:basedOn w:val="Normal"/>
    <w:rsid w:val="007B2C29"/>
    <w:pPr>
      <w:suppressAutoHyphens/>
      <w:ind w:left="1134" w:right="2195"/>
      <w:jc w:val="both"/>
    </w:pPr>
    <w:rPr>
      <w:rFonts w:ascii="Times New Roman" w:eastAsia="Times New Roman" w:hAnsi="Times New Roman" w:cs="Times New Roman"/>
      <w:b/>
      <w:spacing w:val="4"/>
      <w:w w:val="103"/>
      <w:kern w:val="14"/>
      <w:sz w:val="20"/>
      <w:lang w:val="en-GB" w:eastAsia="en-US"/>
    </w:rPr>
  </w:style>
  <w:style w:type="paragraph" w:customStyle="1" w:styleId="Style10">
    <w:name w:val="Style10"/>
    <w:basedOn w:val="Normal"/>
    <w:autoRedefine/>
    <w:rsid w:val="007B2C29"/>
    <w:pPr>
      <w:tabs>
        <w:tab w:val="left" w:pos="340"/>
        <w:tab w:val="left" w:pos="680"/>
        <w:tab w:val="left" w:pos="1021"/>
        <w:tab w:val="left" w:pos="1361"/>
      </w:tabs>
      <w:suppressAutoHyphens/>
      <w:jc w:val="both"/>
    </w:pPr>
    <w:rPr>
      <w:rFonts w:ascii="Times New Roman" w:eastAsia="Times New Roman" w:hAnsi="Times New Roman" w:cs="Times New Roman"/>
      <w:snapToGrid w:val="0"/>
      <w:sz w:val="20"/>
      <w:lang w:val="en-US" w:eastAsia="en-US"/>
    </w:rPr>
  </w:style>
  <w:style w:type="paragraph" w:customStyle="1" w:styleId="Style11">
    <w:name w:val="Style11"/>
    <w:basedOn w:val="FootnoteText"/>
    <w:autoRedefine/>
    <w:rsid w:val="007B2C29"/>
    <w:pPr>
      <w:suppressAutoHyphens/>
      <w:ind w:firstLine="340"/>
      <w:jc w:val="both"/>
    </w:pPr>
    <w:rPr>
      <w:rFonts w:ascii="Times New Roman" w:eastAsia="Times New Roman" w:hAnsi="Times New Roman" w:cs="Times New Roman"/>
      <w:snapToGrid w:val="0"/>
      <w:sz w:val="16"/>
      <w:lang w:val="en-US" w:eastAsia="en-US"/>
    </w:rPr>
  </w:style>
  <w:style w:type="paragraph" w:styleId="Title">
    <w:name w:val="Title"/>
    <w:basedOn w:val="Normal"/>
    <w:link w:val="TitleChar"/>
    <w:qFormat/>
    <w:rsid w:val="007B2C29"/>
    <w:pPr>
      <w:jc w:val="center"/>
    </w:pPr>
    <w:rPr>
      <w:rFonts w:ascii="Times New Roman" w:eastAsia="Times New Roman" w:hAnsi="Times New Roman" w:cs="Times New Roman"/>
      <w:b/>
      <w:sz w:val="24"/>
      <w:lang w:val="en-US" w:eastAsia="en-US"/>
    </w:rPr>
  </w:style>
  <w:style w:type="character" w:customStyle="1" w:styleId="TitleChar">
    <w:name w:val="Title Char"/>
    <w:link w:val="Title"/>
    <w:rsid w:val="007B2C29"/>
    <w:rPr>
      <w:b/>
      <w:sz w:val="24"/>
    </w:rPr>
  </w:style>
  <w:style w:type="paragraph" w:styleId="Subtitle">
    <w:name w:val="Subtitle"/>
    <w:basedOn w:val="Normal"/>
    <w:link w:val="SubtitleChar"/>
    <w:qFormat/>
    <w:rsid w:val="007B2C29"/>
    <w:pPr>
      <w:jc w:val="center"/>
    </w:pPr>
    <w:rPr>
      <w:rFonts w:ascii="Times New Roman" w:eastAsia="Times New Roman" w:hAnsi="Times New Roman" w:cs="Times New Roman"/>
      <w:b/>
      <w:caps/>
      <w:color w:val="0000FF"/>
      <w:sz w:val="28"/>
      <w:lang w:val="en-US" w:eastAsia="en-US"/>
    </w:rPr>
  </w:style>
  <w:style w:type="character" w:customStyle="1" w:styleId="SubtitleChar">
    <w:name w:val="Subtitle Char"/>
    <w:link w:val="Subtitle"/>
    <w:rsid w:val="007B2C29"/>
    <w:rPr>
      <w:b/>
      <w:caps/>
      <w:color w:val="0000FF"/>
      <w:sz w:val="28"/>
    </w:rPr>
  </w:style>
  <w:style w:type="paragraph" w:customStyle="1" w:styleId="Endofdocument">
    <w:name w:val="End of document"/>
    <w:basedOn w:val="Normal"/>
    <w:rsid w:val="007B2C29"/>
    <w:pPr>
      <w:ind w:left="4536"/>
      <w:jc w:val="center"/>
    </w:pPr>
    <w:rPr>
      <w:rFonts w:ascii="Times New Roman" w:eastAsia="Times New Roman" w:hAnsi="Times New Roman" w:cs="Times New Roman"/>
      <w:sz w:val="24"/>
      <w:lang w:val="en-US" w:eastAsia="en-US"/>
    </w:rPr>
  </w:style>
  <w:style w:type="paragraph" w:styleId="BodyTextIndent2">
    <w:name w:val="Body Text Indent 2"/>
    <w:basedOn w:val="Normal"/>
    <w:link w:val="BodyTextIndent2Char"/>
    <w:rsid w:val="007B2C29"/>
    <w:pPr>
      <w:tabs>
        <w:tab w:val="left" w:pos="714"/>
      </w:tabs>
      <w:spacing w:after="100"/>
      <w:ind w:hanging="6"/>
      <w:jc w:val="both"/>
    </w:pPr>
    <w:rPr>
      <w:rFonts w:eastAsia="Times New Roman" w:cs="Times New Roman"/>
      <w:snapToGrid w:val="0"/>
      <w:color w:val="000000"/>
      <w:sz w:val="20"/>
      <w:lang w:val="en-US" w:eastAsia="en-US"/>
    </w:rPr>
  </w:style>
  <w:style w:type="character" w:customStyle="1" w:styleId="BodyTextIndent2Char">
    <w:name w:val="Body Text Indent 2 Char"/>
    <w:link w:val="BodyTextIndent2"/>
    <w:rsid w:val="007B2C29"/>
    <w:rPr>
      <w:rFonts w:ascii="Arial" w:hAnsi="Arial"/>
      <w:snapToGrid w:val="0"/>
      <w:color w:val="000000"/>
    </w:rPr>
  </w:style>
  <w:style w:type="paragraph" w:customStyle="1" w:styleId="3029-Titrechapitre">
    <w:name w:val="3029-Titre chapitre"/>
    <w:basedOn w:val="Heading1"/>
    <w:rsid w:val="007B2C29"/>
    <w:pPr>
      <w:spacing w:before="0" w:after="0"/>
    </w:pPr>
    <w:rPr>
      <w:rFonts w:ascii="Arial Black" w:eastAsia="Times" w:hAnsi="Arial Black" w:cs="Times New Roman"/>
      <w:b w:val="0"/>
      <w:bCs w:val="0"/>
      <w:caps w:val="0"/>
      <w:color w:val="000080"/>
      <w:kern w:val="0"/>
      <w:sz w:val="30"/>
      <w:szCs w:val="20"/>
      <w:lang w:val="fr-FR" w:eastAsia="en-US"/>
    </w:rPr>
  </w:style>
  <w:style w:type="character" w:customStyle="1" w:styleId="underline">
    <w:name w:val="underline"/>
    <w:rsid w:val="007B2C29"/>
    <w:rPr>
      <w:u w:val="single"/>
    </w:rPr>
  </w:style>
  <w:style w:type="paragraph" w:customStyle="1" w:styleId="zanxhead">
    <w:name w:val="zanxhead"/>
    <w:basedOn w:val="Normal"/>
    <w:rsid w:val="007B2C29"/>
    <w:pPr>
      <w:spacing w:before="200"/>
    </w:pPr>
    <w:rPr>
      <w:rFonts w:ascii="Times New Roman" w:eastAsia="Times New Roman" w:hAnsi="Times New Roman" w:cs="Times New Roman"/>
      <w:b/>
      <w:color w:val="0000FF"/>
      <w:sz w:val="24"/>
      <w:lang w:val="en-US" w:eastAsia="en-US"/>
    </w:rPr>
  </w:style>
  <w:style w:type="paragraph" w:customStyle="1" w:styleId="zanxtext">
    <w:name w:val="zanxtext"/>
    <w:basedOn w:val="Normal"/>
    <w:rsid w:val="007B2C29"/>
    <w:pPr>
      <w:spacing w:before="120"/>
    </w:pPr>
    <w:rPr>
      <w:rFonts w:ascii="Times New Roman" w:eastAsia="Times New Roman" w:hAnsi="Times New Roman" w:cs="Times New Roman"/>
      <w:sz w:val="24"/>
      <w:lang w:val="en-US" w:eastAsia="en-US"/>
    </w:rPr>
  </w:style>
  <w:style w:type="paragraph" w:styleId="BodyText2">
    <w:name w:val="Body Text 2"/>
    <w:basedOn w:val="Normal"/>
    <w:link w:val="BodyText2Char"/>
    <w:rsid w:val="007B2C29"/>
    <w:pPr>
      <w:keepNext/>
      <w:jc w:val="both"/>
    </w:pPr>
    <w:rPr>
      <w:rFonts w:eastAsia="Times New Roman" w:cs="Times New Roman"/>
      <w:sz w:val="20"/>
      <w:lang w:val="en-US" w:eastAsia="en-US"/>
    </w:rPr>
  </w:style>
  <w:style w:type="character" w:customStyle="1" w:styleId="BodyText2Char">
    <w:name w:val="Body Text 2 Char"/>
    <w:link w:val="BodyText2"/>
    <w:rsid w:val="007B2C29"/>
    <w:rPr>
      <w:rFonts w:ascii="Arial" w:hAnsi="Arial"/>
    </w:rPr>
  </w:style>
  <w:style w:type="paragraph" w:styleId="BlockText">
    <w:name w:val="Block Text"/>
    <w:basedOn w:val="Normal"/>
    <w:rsid w:val="007B2C29"/>
    <w:pPr>
      <w:tabs>
        <w:tab w:val="left" w:pos="2127"/>
      </w:tabs>
      <w:spacing w:after="40"/>
      <w:ind w:left="2127" w:right="896" w:hanging="2127"/>
    </w:pPr>
    <w:rPr>
      <w:rFonts w:ascii="Times New Roman" w:eastAsia="Times New Roman" w:hAnsi="Times New Roman" w:cs="Times New Roman"/>
      <w:sz w:val="24"/>
      <w:lang w:val="en-US" w:eastAsia="en-US"/>
    </w:rPr>
  </w:style>
  <w:style w:type="character" w:styleId="Emphasis">
    <w:name w:val="Emphasis"/>
    <w:qFormat/>
    <w:rsid w:val="007B2C29"/>
    <w:rPr>
      <w:i/>
      <w:iCs/>
    </w:rPr>
  </w:style>
  <w:style w:type="character" w:styleId="Strong">
    <w:name w:val="Strong"/>
    <w:qFormat/>
    <w:rsid w:val="007B2C29"/>
    <w:rPr>
      <w:b/>
      <w:bCs/>
    </w:rPr>
  </w:style>
  <w:style w:type="paragraph" w:customStyle="1" w:styleId="preparedby">
    <w:name w:val="prepared by"/>
    <w:basedOn w:val="Normal"/>
    <w:next w:val="Normal"/>
    <w:rsid w:val="007B2C29"/>
    <w:pPr>
      <w:spacing w:before="120" w:after="480" w:line="260" w:lineRule="atLeast"/>
      <w:ind w:left="1021"/>
      <w:contextualSpacing/>
    </w:pPr>
    <w:rPr>
      <w:rFonts w:eastAsia="Times New Roman" w:cs="Times New Roman"/>
      <w:i/>
      <w:sz w:val="20"/>
      <w:lang w:val="en-US" w:eastAsia="en-US"/>
    </w:rPr>
  </w:style>
  <w:style w:type="paragraph" w:customStyle="1" w:styleId="Documenttitle">
    <w:name w:val="Document title"/>
    <w:basedOn w:val="Normal"/>
    <w:next w:val="preparedby"/>
    <w:rsid w:val="007B2C29"/>
    <w:pPr>
      <w:spacing w:before="840" w:line="336" w:lineRule="exact"/>
      <w:ind w:left="1021"/>
      <w:contextualSpacing/>
    </w:pPr>
    <w:rPr>
      <w:rFonts w:eastAsia="Times New Roman" w:cs="Times New Roman"/>
      <w:sz w:val="24"/>
      <w:lang w:val="en-US" w:eastAsia="en-US"/>
    </w:rPr>
  </w:style>
  <w:style w:type="paragraph" w:customStyle="1" w:styleId="MeetinglanguageDate">
    <w:name w:val="Meeting language &amp; Date"/>
    <w:basedOn w:val="Normal"/>
    <w:next w:val="Meetingtitle"/>
    <w:rsid w:val="007B2C29"/>
    <w:pPr>
      <w:spacing w:after="1680" w:line="160" w:lineRule="exact"/>
      <w:ind w:left="1021"/>
      <w:contextualSpacing/>
      <w:jc w:val="right"/>
    </w:pPr>
    <w:rPr>
      <w:rFonts w:ascii="Arial Black" w:eastAsia="Times New Roman" w:hAnsi="Arial Black" w:cs="Times New Roman"/>
      <w:b/>
      <w:caps/>
      <w:sz w:val="15"/>
      <w:lang w:val="en-US" w:eastAsia="en-US"/>
    </w:rPr>
  </w:style>
  <w:style w:type="paragraph" w:customStyle="1" w:styleId="Meetingtitle">
    <w:name w:val="Meeting title"/>
    <w:basedOn w:val="Normal"/>
    <w:next w:val="Sessiontitle"/>
    <w:rsid w:val="007B2C29"/>
    <w:pPr>
      <w:spacing w:line="336" w:lineRule="exact"/>
      <w:ind w:left="1021"/>
    </w:pPr>
    <w:rPr>
      <w:rFonts w:eastAsia="Times New Roman" w:cs="Times New Roman"/>
      <w:b/>
      <w:sz w:val="28"/>
      <w:lang w:val="en-US" w:eastAsia="en-US"/>
    </w:rPr>
  </w:style>
  <w:style w:type="paragraph" w:customStyle="1" w:styleId="Sessiontitle">
    <w:name w:val="Session title"/>
    <w:basedOn w:val="Meetingtitle"/>
    <w:next w:val="Meetingplacedate"/>
    <w:rsid w:val="007B2C29"/>
    <w:pPr>
      <w:spacing w:before="480"/>
      <w:contextualSpacing/>
    </w:pPr>
    <w:rPr>
      <w:sz w:val="24"/>
    </w:rPr>
  </w:style>
  <w:style w:type="paragraph" w:customStyle="1" w:styleId="Meetingplacedate">
    <w:name w:val="Meeting place &amp; date"/>
    <w:basedOn w:val="Sessiontitle"/>
    <w:next w:val="Documenttitle"/>
    <w:rsid w:val="007B2C29"/>
    <w:pPr>
      <w:spacing w:before="0"/>
      <w:contextualSpacing w:val="0"/>
    </w:pPr>
  </w:style>
  <w:style w:type="paragraph" w:customStyle="1" w:styleId="Language">
    <w:name w:val="Language"/>
    <w:basedOn w:val="Normal"/>
    <w:next w:val="Normal"/>
    <w:rsid w:val="007B2C29"/>
    <w:pPr>
      <w:spacing w:after="120" w:line="340" w:lineRule="atLeast"/>
      <w:ind w:left="1021"/>
      <w:contextualSpacing/>
      <w:jc w:val="right"/>
    </w:pPr>
    <w:rPr>
      <w:rFonts w:eastAsia="Times New Roman" w:cs="Times New Roman"/>
      <w:b/>
      <w:caps/>
      <w:sz w:val="40"/>
      <w:lang w:val="en-US" w:eastAsia="en-US"/>
    </w:rPr>
  </w:style>
  <w:style w:type="paragraph" w:customStyle="1" w:styleId="MeetingCode">
    <w:name w:val="Meeting Code"/>
    <w:basedOn w:val="MeetinglanguageDate"/>
    <w:rsid w:val="007B2C29"/>
    <w:pPr>
      <w:spacing w:before="1800" w:after="0"/>
    </w:pPr>
  </w:style>
  <w:style w:type="paragraph" w:customStyle="1" w:styleId="CarCarCar">
    <w:name w:val="Car Car Car"/>
    <w:basedOn w:val="Normal"/>
    <w:rsid w:val="007B2C29"/>
    <w:pPr>
      <w:spacing w:after="160" w:line="240" w:lineRule="exact"/>
    </w:pPr>
    <w:rPr>
      <w:rFonts w:ascii="Verdana" w:eastAsia="PMingLiU" w:hAnsi="Verdana" w:cs="Times New Roman"/>
      <w:sz w:val="20"/>
      <w:lang w:val="en-US" w:eastAsia="en-US"/>
    </w:rPr>
  </w:style>
  <w:style w:type="paragraph" w:customStyle="1" w:styleId="Paragraphedeliste">
    <w:name w:val="Paragraphe de liste"/>
    <w:autoRedefine/>
    <w:rsid w:val="007B2C29"/>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rsid w:val="007B2C29"/>
    <w:rPr>
      <w:color w:val="606420"/>
      <w:u w:val="single"/>
    </w:rPr>
  </w:style>
  <w:style w:type="paragraph" w:customStyle="1" w:styleId="Body1">
    <w:name w:val="Body 1"/>
    <w:rsid w:val="007B2C29"/>
    <w:rPr>
      <w:rFonts w:ascii="Helvetica" w:eastAsia="Arial Unicode MS" w:hAnsi="Helvetica"/>
      <w:color w:val="000000"/>
      <w:sz w:val="24"/>
    </w:rPr>
  </w:style>
  <w:style w:type="paragraph" w:styleId="PlainText">
    <w:name w:val="Plain Text"/>
    <w:basedOn w:val="Normal"/>
    <w:link w:val="PlainTextChar"/>
    <w:rsid w:val="007B2C29"/>
    <w:rPr>
      <w:rFonts w:ascii="Courier New" w:eastAsia="MS Mincho" w:hAnsi="Courier New" w:cs="Times New Roman"/>
      <w:sz w:val="20"/>
      <w:lang w:val="en-US" w:bidi="th-TH"/>
    </w:rPr>
  </w:style>
  <w:style w:type="character" w:customStyle="1" w:styleId="PlainTextChar">
    <w:name w:val="Plain Text Char"/>
    <w:link w:val="PlainText"/>
    <w:rsid w:val="007B2C29"/>
    <w:rPr>
      <w:rFonts w:ascii="Courier New" w:eastAsia="MS Mincho" w:hAnsi="Courier New"/>
      <w:lang w:eastAsia="zh-CN" w:bidi="th-TH"/>
    </w:rPr>
  </w:style>
  <w:style w:type="paragraph" w:customStyle="1" w:styleId="Char5">
    <w:name w:val="Char 字元 字元5"/>
    <w:basedOn w:val="Normal"/>
    <w:rsid w:val="001F5E74"/>
    <w:pPr>
      <w:spacing w:after="160" w:line="240" w:lineRule="exact"/>
    </w:pPr>
    <w:rPr>
      <w:rFonts w:ascii="Verdana" w:eastAsia="PMingLiU" w:hAnsi="Verdana" w:cs="Times New Roman"/>
      <w:sz w:val="20"/>
      <w:lang w:val="en-US" w:eastAsia="en-US"/>
    </w:rPr>
  </w:style>
  <w:style w:type="paragraph" w:customStyle="1" w:styleId="Char4">
    <w:name w:val="Char 字元 字元4"/>
    <w:basedOn w:val="Normal"/>
    <w:rsid w:val="009665B1"/>
    <w:pPr>
      <w:spacing w:after="160" w:line="240" w:lineRule="exact"/>
    </w:pPr>
    <w:rPr>
      <w:rFonts w:ascii="Verdana" w:eastAsia="PMingLiU" w:hAnsi="Verdana" w:cs="Times New Roman"/>
      <w:sz w:val="20"/>
      <w:lang w:val="en-US" w:eastAsia="en-US"/>
    </w:rPr>
  </w:style>
  <w:style w:type="paragraph" w:customStyle="1" w:styleId="Char3">
    <w:name w:val="Char 字元 字元3"/>
    <w:basedOn w:val="Normal"/>
    <w:rsid w:val="00D7676D"/>
    <w:pPr>
      <w:spacing w:after="160" w:line="240" w:lineRule="exact"/>
    </w:pPr>
    <w:rPr>
      <w:rFonts w:ascii="Verdana" w:eastAsia="PMingLiU" w:hAnsi="Verdana" w:cs="Times New Roman"/>
      <w:sz w:val="20"/>
      <w:lang w:val="en-US" w:eastAsia="en-US"/>
    </w:rPr>
  </w:style>
  <w:style w:type="paragraph" w:customStyle="1" w:styleId="Char2">
    <w:name w:val="Char 字元 字元2"/>
    <w:basedOn w:val="Normal"/>
    <w:rsid w:val="00F97297"/>
    <w:pPr>
      <w:spacing w:after="160" w:line="240" w:lineRule="exact"/>
    </w:pPr>
    <w:rPr>
      <w:rFonts w:ascii="Verdana" w:eastAsia="PMingLiU" w:hAnsi="Verdana" w:cs="Times New Roman"/>
      <w:sz w:val="20"/>
      <w:lang w:val="en-US" w:eastAsia="en-US"/>
    </w:rPr>
  </w:style>
  <w:style w:type="paragraph" w:customStyle="1" w:styleId="Char1">
    <w:name w:val="Char 字元 字元1"/>
    <w:basedOn w:val="Normal"/>
    <w:rsid w:val="0082777F"/>
    <w:pPr>
      <w:spacing w:after="160" w:line="240" w:lineRule="exact"/>
    </w:pPr>
    <w:rPr>
      <w:rFonts w:ascii="Verdana" w:eastAsia="PMingLiU" w:hAnsi="Verdana" w:cs="Times New Roman"/>
      <w:sz w:val="20"/>
      <w:lang w:val="en-US" w:eastAsia="en-US"/>
    </w:rPr>
  </w:style>
  <w:style w:type="paragraph" w:customStyle="1" w:styleId="CharCharCharChar0">
    <w:name w:val="Char Char Char Char"/>
    <w:basedOn w:val="Normal"/>
    <w:rsid w:val="00AA72DC"/>
    <w:pPr>
      <w:spacing w:after="160" w:line="240" w:lineRule="exact"/>
    </w:pPr>
    <w:rPr>
      <w:rFonts w:ascii="Verdana" w:eastAsia="Times New Roman" w:hAnsi="Verdana" w:cs="Times New Roman"/>
      <w:sz w:val="20"/>
      <w:lang w:val="en-GB" w:eastAsia="en-US"/>
    </w:rPr>
  </w:style>
  <w:style w:type="paragraph" w:customStyle="1" w:styleId="CarCarCar0">
    <w:name w:val="Car Car Car"/>
    <w:basedOn w:val="Normal"/>
    <w:rsid w:val="00AA72DC"/>
    <w:pPr>
      <w:spacing w:after="160" w:line="240" w:lineRule="exact"/>
    </w:pPr>
    <w:rPr>
      <w:rFonts w:ascii="Verdana" w:eastAsia="PMingLiU" w:hAnsi="Verdana" w:cs="Times New Roman"/>
      <w:sz w:val="20"/>
      <w:lang w:val="en-US" w:eastAsia="en-US"/>
    </w:rPr>
  </w:style>
  <w:style w:type="numbering" w:customStyle="1" w:styleId="NoList1">
    <w:name w:val="No List1"/>
    <w:next w:val="NoList"/>
    <w:uiPriority w:val="99"/>
    <w:semiHidden/>
    <w:unhideWhenUsed/>
    <w:rsid w:val="00472C69"/>
  </w:style>
  <w:style w:type="character" w:customStyle="1" w:styleId="BodyTextChar">
    <w:name w:val="Body Text Char"/>
    <w:link w:val="BodyText"/>
    <w:rsid w:val="00472C69"/>
    <w:rPr>
      <w:rFonts w:ascii="Arial" w:eastAsia="SimSun" w:hAnsi="Arial" w:cs="Arial"/>
      <w:sz w:val="22"/>
      <w:lang w:eastAsia="zh-CN"/>
    </w:rPr>
  </w:style>
  <w:style w:type="paragraph" w:customStyle="1" w:styleId="Char0">
    <w:name w:val="Char 字元 字元"/>
    <w:basedOn w:val="Normal"/>
    <w:rsid w:val="00281871"/>
    <w:pPr>
      <w:spacing w:after="160" w:line="240" w:lineRule="exact"/>
    </w:pPr>
    <w:rPr>
      <w:rFonts w:ascii="Verdana" w:eastAsia="PMingLiU" w:hAnsi="Verdana" w:cs="Times New Roman"/>
      <w:sz w:val="20"/>
      <w:lang w:val="en-US" w:eastAsia="en-US"/>
    </w:rPr>
  </w:style>
  <w:style w:type="table" w:styleId="TableGrid">
    <w:name w:val="Table Grid"/>
    <w:basedOn w:val="TableNormal"/>
    <w:rsid w:val="003838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na">
    <w:name w:val="Bona"/>
    <w:semiHidden/>
    <w:rsid w:val="00383888"/>
    <w:rPr>
      <w:rFonts w:ascii="Arial" w:hAnsi="Arial" w:cs="Arial"/>
      <w:color w:val="000080"/>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32C9E"/>
    <w:rPr>
      <w:rFonts w:ascii="Arial" w:eastAsia="SimSun" w:hAnsi="Arial" w:cs="Arial"/>
      <w:sz w:val="22"/>
      <w:lang w:val="es-ES" w:eastAsia="zh-CN"/>
    </w:rPr>
  </w:style>
  <w:style w:type="paragraph" w:styleId="Heading1">
    <w:name w:val="heading 1"/>
    <w:basedOn w:val="Normal"/>
    <w:next w:val="Normal"/>
    <w:link w:val="Heading1Char"/>
    <w:qFormat/>
    <w:rsid w:val="00A32C9E"/>
    <w:pPr>
      <w:keepNext/>
      <w:spacing w:before="240" w:after="60"/>
      <w:outlineLvl w:val="0"/>
    </w:pPr>
    <w:rPr>
      <w:b/>
      <w:bCs/>
      <w:caps/>
      <w:kern w:val="32"/>
      <w:szCs w:val="32"/>
    </w:rPr>
  </w:style>
  <w:style w:type="paragraph" w:styleId="Heading2">
    <w:name w:val="heading 2"/>
    <w:basedOn w:val="Normal"/>
    <w:next w:val="Normal"/>
    <w:link w:val="Heading2Char"/>
    <w:qFormat/>
    <w:rsid w:val="00A32C9E"/>
    <w:pPr>
      <w:keepNext/>
      <w:spacing w:before="240" w:after="60"/>
      <w:outlineLvl w:val="1"/>
    </w:pPr>
    <w:rPr>
      <w:bCs/>
      <w:iCs/>
      <w:caps/>
      <w:szCs w:val="28"/>
    </w:rPr>
  </w:style>
  <w:style w:type="paragraph" w:styleId="Heading3">
    <w:name w:val="heading 3"/>
    <w:basedOn w:val="Normal"/>
    <w:next w:val="Normal"/>
    <w:link w:val="Heading3Char"/>
    <w:qFormat/>
    <w:rsid w:val="00A32C9E"/>
    <w:pPr>
      <w:keepNext/>
      <w:spacing w:before="240" w:after="60"/>
      <w:outlineLvl w:val="2"/>
    </w:pPr>
    <w:rPr>
      <w:bCs/>
      <w:szCs w:val="26"/>
      <w:u w:val="single"/>
    </w:rPr>
  </w:style>
  <w:style w:type="paragraph" w:styleId="Heading4">
    <w:name w:val="heading 4"/>
    <w:basedOn w:val="Normal"/>
    <w:next w:val="Normal"/>
    <w:qFormat/>
    <w:rsid w:val="00A32C9E"/>
    <w:pPr>
      <w:keepNext/>
      <w:spacing w:before="240" w:after="60"/>
      <w:outlineLvl w:val="3"/>
    </w:pPr>
    <w:rPr>
      <w:bCs/>
      <w:i/>
      <w:szCs w:val="28"/>
    </w:rPr>
  </w:style>
  <w:style w:type="paragraph" w:styleId="Heading5">
    <w:name w:val="heading 5"/>
    <w:basedOn w:val="Heading4"/>
    <w:next w:val="Normal"/>
    <w:link w:val="Heading5Char"/>
    <w:qFormat/>
    <w:rsid w:val="007B2C29"/>
    <w:pPr>
      <w:tabs>
        <w:tab w:val="num" w:pos="1008"/>
      </w:tabs>
      <w:spacing w:before="0" w:after="0" w:line="300" w:lineRule="atLeast"/>
      <w:ind w:left="1008" w:hanging="1008"/>
      <w:outlineLvl w:val="4"/>
    </w:pPr>
    <w:rPr>
      <w:rFonts w:eastAsia="Times New Roman"/>
      <w:b/>
      <w:i w:val="0"/>
      <w:caps/>
      <w:color w:val="3E484E"/>
      <w:szCs w:val="26"/>
      <w:lang w:val="en-GB" w:eastAsia="da-DK"/>
    </w:rPr>
  </w:style>
  <w:style w:type="paragraph" w:styleId="Heading6">
    <w:name w:val="heading 6"/>
    <w:basedOn w:val="Heading5"/>
    <w:next w:val="Normal"/>
    <w:link w:val="Heading6Char"/>
    <w:qFormat/>
    <w:rsid w:val="007B2C29"/>
    <w:pPr>
      <w:tabs>
        <w:tab w:val="clear" w:pos="1008"/>
        <w:tab w:val="num" w:pos="1152"/>
      </w:tabs>
      <w:ind w:left="1152" w:hanging="1152"/>
      <w:outlineLvl w:val="5"/>
    </w:pPr>
  </w:style>
  <w:style w:type="paragraph" w:styleId="Heading7">
    <w:name w:val="heading 7"/>
    <w:basedOn w:val="Heading6"/>
    <w:next w:val="Normal"/>
    <w:link w:val="Heading7Char"/>
    <w:qFormat/>
    <w:rsid w:val="007B2C29"/>
    <w:pPr>
      <w:tabs>
        <w:tab w:val="clear" w:pos="1152"/>
        <w:tab w:val="num" w:pos="1296"/>
      </w:tabs>
      <w:ind w:left="1296" w:hanging="1296"/>
      <w:outlineLvl w:val="6"/>
    </w:pPr>
  </w:style>
  <w:style w:type="paragraph" w:styleId="Heading8">
    <w:name w:val="heading 8"/>
    <w:basedOn w:val="Heading7"/>
    <w:next w:val="Normal"/>
    <w:link w:val="Heading8Char"/>
    <w:qFormat/>
    <w:rsid w:val="007B2C29"/>
    <w:pPr>
      <w:tabs>
        <w:tab w:val="clear" w:pos="1296"/>
        <w:tab w:val="num" w:pos="1440"/>
      </w:tabs>
      <w:ind w:left="1440" w:hanging="1440"/>
      <w:outlineLvl w:val="7"/>
    </w:pPr>
  </w:style>
  <w:style w:type="paragraph" w:styleId="Heading9">
    <w:name w:val="heading 9"/>
    <w:basedOn w:val="Heading8"/>
    <w:next w:val="Normal"/>
    <w:link w:val="Heading9Char"/>
    <w:qFormat/>
    <w:rsid w:val="007B2C29"/>
    <w:pPr>
      <w:tabs>
        <w:tab w:val="clear" w:pos="1440"/>
        <w:tab w:val="num" w:pos="1584"/>
      </w:tabs>
      <w:ind w:left="1584" w:hanging="1584"/>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FF779C"/>
    <w:rPr>
      <w:rFonts w:ascii="Arial" w:eastAsia="SimSun" w:hAnsi="Arial" w:cs="Arial"/>
      <w:b/>
      <w:bCs/>
      <w:caps/>
      <w:kern w:val="32"/>
      <w:sz w:val="22"/>
      <w:szCs w:val="32"/>
      <w:lang w:val="es-ES" w:eastAsia="zh-CN"/>
    </w:rPr>
  </w:style>
  <w:style w:type="character" w:customStyle="1" w:styleId="Heading2Char">
    <w:name w:val="Heading 2 Char"/>
    <w:link w:val="Heading2"/>
    <w:rsid w:val="007B2C29"/>
    <w:rPr>
      <w:rFonts w:ascii="Arial" w:eastAsia="SimSun" w:hAnsi="Arial" w:cs="Arial"/>
      <w:bCs/>
      <w:iCs/>
      <w:caps/>
      <w:sz w:val="22"/>
      <w:szCs w:val="28"/>
      <w:lang w:val="es-ES" w:eastAsia="zh-CN"/>
    </w:rPr>
  </w:style>
  <w:style w:type="character" w:customStyle="1" w:styleId="Heading3Char">
    <w:name w:val="Heading 3 Char"/>
    <w:link w:val="Heading3"/>
    <w:rsid w:val="007B2C29"/>
    <w:rPr>
      <w:rFonts w:ascii="Arial" w:eastAsia="SimSun" w:hAnsi="Arial" w:cs="Arial"/>
      <w:bCs/>
      <w:sz w:val="22"/>
      <w:szCs w:val="26"/>
      <w:u w:val="single"/>
      <w:lang w:val="es-ES" w:eastAsia="zh-CN"/>
    </w:rPr>
  </w:style>
  <w:style w:type="character" w:customStyle="1" w:styleId="Heading5Char">
    <w:name w:val="Heading 5 Char"/>
    <w:link w:val="Heading5"/>
    <w:rsid w:val="007B2C29"/>
    <w:rPr>
      <w:rFonts w:ascii="Arial" w:hAnsi="Arial" w:cs="Arial"/>
      <w:b/>
      <w:bCs/>
      <w:caps/>
      <w:color w:val="3E484E"/>
      <w:sz w:val="22"/>
      <w:szCs w:val="26"/>
      <w:lang w:val="en-GB" w:eastAsia="da-DK"/>
    </w:rPr>
  </w:style>
  <w:style w:type="character" w:customStyle="1" w:styleId="Heading6Char">
    <w:name w:val="Heading 6 Char"/>
    <w:link w:val="Heading6"/>
    <w:rsid w:val="007B2C29"/>
    <w:rPr>
      <w:rFonts w:ascii="Arial" w:hAnsi="Arial" w:cs="Arial"/>
      <w:b/>
      <w:bCs/>
      <w:caps/>
      <w:color w:val="3E484E"/>
      <w:sz w:val="22"/>
      <w:szCs w:val="26"/>
      <w:lang w:val="en-GB" w:eastAsia="da-DK"/>
    </w:rPr>
  </w:style>
  <w:style w:type="character" w:customStyle="1" w:styleId="Heading7Char">
    <w:name w:val="Heading 7 Char"/>
    <w:link w:val="Heading7"/>
    <w:rsid w:val="007B2C29"/>
    <w:rPr>
      <w:rFonts w:ascii="Arial" w:hAnsi="Arial" w:cs="Arial"/>
      <w:b/>
      <w:bCs/>
      <w:caps/>
      <w:color w:val="3E484E"/>
      <w:sz w:val="22"/>
      <w:szCs w:val="26"/>
      <w:lang w:val="en-GB" w:eastAsia="da-DK"/>
    </w:rPr>
  </w:style>
  <w:style w:type="character" w:customStyle="1" w:styleId="Heading8Char">
    <w:name w:val="Heading 8 Char"/>
    <w:link w:val="Heading8"/>
    <w:rsid w:val="007B2C29"/>
    <w:rPr>
      <w:rFonts w:ascii="Arial" w:hAnsi="Arial" w:cs="Arial"/>
      <w:b/>
      <w:bCs/>
      <w:caps/>
      <w:color w:val="3E484E"/>
      <w:sz w:val="22"/>
      <w:szCs w:val="26"/>
      <w:lang w:val="en-GB" w:eastAsia="da-DK"/>
    </w:rPr>
  </w:style>
  <w:style w:type="character" w:customStyle="1" w:styleId="Heading9Char">
    <w:name w:val="Heading 9 Char"/>
    <w:link w:val="Heading9"/>
    <w:rsid w:val="007B2C29"/>
    <w:rPr>
      <w:rFonts w:ascii="Arial" w:hAnsi="Arial" w:cs="Arial"/>
      <w:b/>
      <w:bCs/>
      <w:caps/>
      <w:color w:val="3E484E"/>
      <w:sz w:val="22"/>
      <w:szCs w:val="26"/>
      <w:lang w:val="en-GB" w:eastAsia="da-DK"/>
    </w:rPr>
  </w:style>
  <w:style w:type="paragraph" w:styleId="BodyText">
    <w:name w:val="Body Text"/>
    <w:basedOn w:val="Normal"/>
    <w:link w:val="BodyTextChar"/>
    <w:rsid w:val="00A32C9E"/>
    <w:pPr>
      <w:spacing w:after="220"/>
    </w:pPr>
  </w:style>
  <w:style w:type="paragraph" w:styleId="Caption">
    <w:name w:val="caption"/>
    <w:basedOn w:val="Normal"/>
    <w:next w:val="Normal"/>
    <w:qFormat/>
    <w:rsid w:val="00A32C9E"/>
    <w:rPr>
      <w:b/>
      <w:bCs/>
      <w:sz w:val="18"/>
    </w:rPr>
  </w:style>
  <w:style w:type="paragraph" w:styleId="CommentText">
    <w:name w:val="annotation text"/>
    <w:basedOn w:val="Normal"/>
    <w:link w:val="CommentTextChar"/>
    <w:semiHidden/>
    <w:rsid w:val="00A32C9E"/>
    <w:rPr>
      <w:sz w:val="18"/>
    </w:rPr>
  </w:style>
  <w:style w:type="character" w:customStyle="1" w:styleId="CommentTextChar">
    <w:name w:val="Comment Text Char"/>
    <w:link w:val="CommentText"/>
    <w:semiHidden/>
    <w:locked/>
    <w:rsid w:val="007B2C29"/>
    <w:rPr>
      <w:rFonts w:ascii="Arial" w:eastAsia="SimSun" w:hAnsi="Arial" w:cs="Arial"/>
      <w:sz w:val="18"/>
      <w:lang w:val="es-ES" w:eastAsia="zh-CN"/>
    </w:rPr>
  </w:style>
  <w:style w:type="paragraph" w:styleId="EndnoteText">
    <w:name w:val="endnote text"/>
    <w:basedOn w:val="Normal"/>
    <w:semiHidden/>
    <w:rsid w:val="00A32C9E"/>
    <w:rPr>
      <w:sz w:val="18"/>
    </w:rPr>
  </w:style>
  <w:style w:type="paragraph" w:styleId="Footer">
    <w:name w:val="footer"/>
    <w:basedOn w:val="Normal"/>
    <w:link w:val="FooterChar"/>
    <w:rsid w:val="00A32C9E"/>
    <w:pPr>
      <w:tabs>
        <w:tab w:val="center" w:pos="4320"/>
        <w:tab w:val="right" w:pos="8640"/>
      </w:tabs>
    </w:pPr>
  </w:style>
  <w:style w:type="character" w:customStyle="1" w:styleId="FooterChar">
    <w:name w:val="Footer Char"/>
    <w:link w:val="Footer"/>
    <w:rsid w:val="00FF779C"/>
    <w:rPr>
      <w:rFonts w:ascii="Arial" w:eastAsia="SimSun" w:hAnsi="Arial" w:cs="Arial"/>
      <w:sz w:val="22"/>
      <w:lang w:val="es-ES" w:eastAsia="zh-CN"/>
    </w:rPr>
  </w:style>
  <w:style w:type="paragraph" w:styleId="FootnoteText">
    <w:name w:val="footnote text"/>
    <w:basedOn w:val="Normal"/>
    <w:link w:val="FootnoteTextChar"/>
    <w:semiHidden/>
    <w:rsid w:val="00A32C9E"/>
    <w:rPr>
      <w:sz w:val="18"/>
    </w:rPr>
  </w:style>
  <w:style w:type="character" w:customStyle="1" w:styleId="FootnoteTextChar">
    <w:name w:val="Footnote Text Char"/>
    <w:link w:val="FootnoteText"/>
    <w:semiHidden/>
    <w:rsid w:val="00FF779C"/>
    <w:rPr>
      <w:rFonts w:ascii="Arial" w:eastAsia="SimSun" w:hAnsi="Arial" w:cs="Arial"/>
      <w:sz w:val="18"/>
      <w:lang w:val="es-ES" w:eastAsia="zh-CN"/>
    </w:rPr>
  </w:style>
  <w:style w:type="paragraph" w:customStyle="1" w:styleId="Endofdocument-Annex">
    <w:name w:val="[End of document - Annex]"/>
    <w:basedOn w:val="Normal"/>
    <w:rsid w:val="00815082"/>
    <w:pPr>
      <w:ind w:left="5534"/>
    </w:pPr>
    <w:rPr>
      <w:lang w:val="en-US"/>
    </w:rPr>
  </w:style>
  <w:style w:type="paragraph" w:customStyle="1" w:styleId="Char">
    <w:name w:val="Char 字元 字元"/>
    <w:basedOn w:val="Normal"/>
    <w:rsid w:val="00A83B83"/>
    <w:pPr>
      <w:spacing w:after="160" w:line="240" w:lineRule="exact"/>
    </w:pPr>
    <w:rPr>
      <w:rFonts w:ascii="Verdana" w:eastAsia="PMingLiU" w:hAnsi="Verdana" w:cs="Times New Roman"/>
      <w:sz w:val="20"/>
      <w:lang w:val="en-US" w:eastAsia="en-US"/>
    </w:rPr>
  </w:style>
  <w:style w:type="paragraph" w:styleId="Header">
    <w:name w:val="header"/>
    <w:basedOn w:val="Normal"/>
    <w:link w:val="HeaderChar"/>
    <w:uiPriority w:val="99"/>
    <w:rsid w:val="00A32C9E"/>
    <w:pPr>
      <w:tabs>
        <w:tab w:val="center" w:pos="4536"/>
        <w:tab w:val="right" w:pos="9072"/>
      </w:tabs>
    </w:pPr>
  </w:style>
  <w:style w:type="character" w:customStyle="1" w:styleId="HeaderChar">
    <w:name w:val="Header Char"/>
    <w:link w:val="Header"/>
    <w:uiPriority w:val="99"/>
    <w:rsid w:val="00FF779C"/>
    <w:rPr>
      <w:rFonts w:ascii="Arial" w:eastAsia="SimSun" w:hAnsi="Arial" w:cs="Arial"/>
      <w:sz w:val="22"/>
      <w:lang w:val="es-ES" w:eastAsia="zh-CN"/>
    </w:rPr>
  </w:style>
  <w:style w:type="paragraph" w:styleId="ListNumber">
    <w:name w:val="List Number"/>
    <w:basedOn w:val="Normal"/>
    <w:semiHidden/>
    <w:rsid w:val="00A32C9E"/>
    <w:pPr>
      <w:numPr>
        <w:numId w:val="1"/>
      </w:numPr>
    </w:pPr>
  </w:style>
  <w:style w:type="paragraph" w:customStyle="1" w:styleId="ONUME">
    <w:name w:val="ONUM E"/>
    <w:basedOn w:val="BodyText"/>
    <w:rsid w:val="00A32C9E"/>
    <w:pPr>
      <w:numPr>
        <w:numId w:val="2"/>
      </w:numPr>
    </w:pPr>
  </w:style>
  <w:style w:type="paragraph" w:customStyle="1" w:styleId="ONUMFS">
    <w:name w:val="ONUM FS"/>
    <w:basedOn w:val="BodyText"/>
    <w:rsid w:val="00A32C9E"/>
    <w:pPr>
      <w:numPr>
        <w:numId w:val="3"/>
      </w:numPr>
    </w:pPr>
  </w:style>
  <w:style w:type="paragraph" w:styleId="Salutation">
    <w:name w:val="Salutation"/>
    <w:basedOn w:val="Normal"/>
    <w:next w:val="Normal"/>
    <w:semiHidden/>
    <w:rsid w:val="00A32C9E"/>
  </w:style>
  <w:style w:type="paragraph" w:styleId="Signature">
    <w:name w:val="Signature"/>
    <w:basedOn w:val="Normal"/>
    <w:semiHidden/>
    <w:rsid w:val="00A32C9E"/>
    <w:pPr>
      <w:ind w:left="5250"/>
    </w:pPr>
  </w:style>
  <w:style w:type="paragraph" w:customStyle="1" w:styleId="CharCharCharChar">
    <w:name w:val="Char Char Char Char"/>
    <w:basedOn w:val="Normal"/>
    <w:rsid w:val="007B2C29"/>
    <w:pPr>
      <w:spacing w:after="160" w:line="240" w:lineRule="exact"/>
    </w:pPr>
    <w:rPr>
      <w:rFonts w:ascii="Verdana" w:eastAsia="Times New Roman" w:hAnsi="Verdana" w:cs="Times New Roman"/>
      <w:sz w:val="20"/>
      <w:lang w:val="en-GB" w:eastAsia="en-US"/>
    </w:rPr>
  </w:style>
  <w:style w:type="paragraph" w:styleId="BalloonText">
    <w:name w:val="Balloon Text"/>
    <w:basedOn w:val="Normal"/>
    <w:link w:val="BalloonTextChar"/>
    <w:rsid w:val="007B2C29"/>
    <w:rPr>
      <w:rFonts w:ascii="Tahoma" w:eastAsia="Times New Roman" w:hAnsi="Tahoma" w:cs="Tahoma"/>
      <w:sz w:val="16"/>
      <w:szCs w:val="16"/>
      <w:lang w:val="en-US" w:eastAsia="en-US"/>
    </w:rPr>
  </w:style>
  <w:style w:type="character" w:customStyle="1" w:styleId="BalloonTextChar">
    <w:name w:val="Balloon Text Char"/>
    <w:link w:val="BalloonText"/>
    <w:rsid w:val="007B2C29"/>
    <w:rPr>
      <w:rFonts w:ascii="Tahoma" w:hAnsi="Tahoma" w:cs="Tahoma"/>
      <w:sz w:val="16"/>
      <w:szCs w:val="16"/>
    </w:rPr>
  </w:style>
  <w:style w:type="paragraph" w:styleId="BodyTextIndent">
    <w:name w:val="Body Text Indent"/>
    <w:basedOn w:val="Normal"/>
    <w:link w:val="BodyTextIndentChar"/>
    <w:rsid w:val="007B2C29"/>
    <w:pPr>
      <w:ind w:left="567"/>
    </w:pPr>
    <w:rPr>
      <w:rFonts w:ascii="Times New Roman" w:eastAsia="Times New Roman" w:hAnsi="Times New Roman" w:cs="Times New Roman"/>
      <w:sz w:val="24"/>
      <w:lang w:val="en-US" w:eastAsia="en-US"/>
    </w:rPr>
  </w:style>
  <w:style w:type="character" w:customStyle="1" w:styleId="BodyTextIndentChar">
    <w:name w:val="Body Text Indent Char"/>
    <w:link w:val="BodyTextIndent"/>
    <w:rsid w:val="007B2C29"/>
    <w:rPr>
      <w:sz w:val="24"/>
    </w:rPr>
  </w:style>
  <w:style w:type="character" w:customStyle="1" w:styleId="hps">
    <w:name w:val="hps"/>
    <w:basedOn w:val="DefaultParagraphFont"/>
    <w:rsid w:val="007B2C29"/>
  </w:style>
  <w:style w:type="paragraph" w:styleId="ListParagraph">
    <w:name w:val="List Paragraph"/>
    <w:basedOn w:val="Normal"/>
    <w:qFormat/>
    <w:rsid w:val="007B2C29"/>
    <w:pPr>
      <w:spacing w:after="200" w:line="276" w:lineRule="auto"/>
      <w:ind w:left="720"/>
      <w:contextualSpacing/>
    </w:pPr>
    <w:rPr>
      <w:rFonts w:ascii="Calibri" w:eastAsia="Times New Roman" w:hAnsi="Calibri" w:cs="Times New Roman"/>
      <w:szCs w:val="22"/>
      <w:lang w:val="en-US" w:eastAsia="en-US"/>
    </w:rPr>
  </w:style>
  <w:style w:type="character" w:styleId="FootnoteReference">
    <w:name w:val="footnote reference"/>
    <w:rsid w:val="007B2C29"/>
    <w:rPr>
      <w:vertAlign w:val="superscript"/>
    </w:rPr>
  </w:style>
  <w:style w:type="character" w:styleId="PageNumber">
    <w:name w:val="page number"/>
    <w:basedOn w:val="DefaultParagraphFont"/>
    <w:rsid w:val="007B2C29"/>
  </w:style>
  <w:style w:type="paragraph" w:customStyle="1" w:styleId="1">
    <w:name w:val="1"/>
    <w:basedOn w:val="Normal"/>
    <w:rsid w:val="007B2C29"/>
    <w:pPr>
      <w:spacing w:after="160" w:line="240" w:lineRule="exact"/>
    </w:pPr>
    <w:rPr>
      <w:rFonts w:ascii="Verdana" w:eastAsia="Times New Roman" w:hAnsi="Verdana" w:cs="Times New Roman"/>
      <w:sz w:val="20"/>
      <w:lang w:val="en-GB" w:eastAsia="en-US"/>
    </w:rPr>
  </w:style>
  <w:style w:type="paragraph" w:styleId="TOC2">
    <w:name w:val="toc 2"/>
    <w:basedOn w:val="Normal"/>
    <w:next w:val="Normal"/>
    <w:autoRedefine/>
    <w:uiPriority w:val="39"/>
    <w:rsid w:val="00A445F5"/>
    <w:pPr>
      <w:tabs>
        <w:tab w:val="left" w:pos="-426"/>
        <w:tab w:val="left" w:pos="907"/>
        <w:tab w:val="left" w:pos="1701"/>
        <w:tab w:val="left" w:pos="2694"/>
        <w:tab w:val="right" w:leader="dot" w:pos="9061"/>
      </w:tabs>
      <w:spacing w:before="120" w:after="120"/>
      <w:ind w:left="1701" w:hanging="1463"/>
    </w:pPr>
    <w:rPr>
      <w:rFonts w:eastAsia="Times New Roman" w:cs="Times New Roman"/>
      <w:noProof/>
      <w:sz w:val="20"/>
      <w:lang w:val="es-ES_tradnl" w:eastAsia="da-DK"/>
    </w:rPr>
  </w:style>
  <w:style w:type="character" w:styleId="Hyperlink">
    <w:name w:val="Hyperlink"/>
    <w:uiPriority w:val="99"/>
    <w:rsid w:val="007B2C29"/>
    <w:rPr>
      <w:color w:val="0000FF"/>
      <w:u w:val="single"/>
    </w:rPr>
  </w:style>
  <w:style w:type="paragraph" w:customStyle="1" w:styleId="StyleHeading3ComplexItalic">
    <w:name w:val="Style Heading 3 + (Complex) Italic"/>
    <w:basedOn w:val="Heading3"/>
    <w:link w:val="StyleHeading3ComplexItalicChar"/>
    <w:rsid w:val="007B2C29"/>
    <w:pPr>
      <w:tabs>
        <w:tab w:val="left" w:pos="1985"/>
      </w:tabs>
      <w:spacing w:before="0" w:after="0"/>
    </w:pPr>
    <w:rPr>
      <w:rFonts w:eastAsia="Times New Roman"/>
      <w:b/>
      <w:bCs w:val="0"/>
      <w:iCs/>
      <w:caps/>
      <w:szCs w:val="22"/>
      <w:u w:val="none"/>
      <w:lang w:val="en-US" w:eastAsia="en-US"/>
    </w:rPr>
  </w:style>
  <w:style w:type="character" w:customStyle="1" w:styleId="StyleHeading3ComplexItalicChar">
    <w:name w:val="Style Heading 3 + (Complex) Italic Char"/>
    <w:link w:val="StyleHeading3ComplexItalic"/>
    <w:rsid w:val="007B2C29"/>
    <w:rPr>
      <w:rFonts w:ascii="Arial" w:hAnsi="Arial" w:cs="Arial"/>
      <w:b/>
      <w:iCs/>
      <w:caps/>
      <w:sz w:val="22"/>
      <w:szCs w:val="22"/>
    </w:rPr>
  </w:style>
  <w:style w:type="paragraph" w:styleId="TOC3">
    <w:name w:val="toc 3"/>
    <w:basedOn w:val="Normal"/>
    <w:next w:val="Normal"/>
    <w:autoRedefine/>
    <w:uiPriority w:val="39"/>
    <w:rsid w:val="00A445F5"/>
    <w:pPr>
      <w:tabs>
        <w:tab w:val="left" w:pos="2552"/>
        <w:tab w:val="right" w:leader="dot" w:pos="9061"/>
      </w:tabs>
      <w:spacing w:after="60"/>
      <w:ind w:left="1985" w:hanging="1418"/>
    </w:pPr>
    <w:rPr>
      <w:rFonts w:eastAsia="Times New Roman" w:cs="Times New Roman"/>
      <w:noProof/>
      <w:sz w:val="20"/>
      <w:lang w:val="en-US" w:eastAsia="en-US"/>
    </w:rPr>
  </w:style>
  <w:style w:type="paragraph" w:customStyle="1" w:styleId="StyleHeading214ptAuto">
    <w:name w:val="Style Heading 2 + 14 pt Auto"/>
    <w:basedOn w:val="Heading2"/>
    <w:rsid w:val="007B2C29"/>
    <w:pPr>
      <w:keepNext w:val="0"/>
      <w:widowControl w:val="0"/>
      <w:tabs>
        <w:tab w:val="num" w:pos="567"/>
      </w:tabs>
      <w:spacing w:before="0" w:after="0" w:line="300" w:lineRule="atLeast"/>
      <w:ind w:left="567" w:hanging="567"/>
      <w:jc w:val="center"/>
    </w:pPr>
    <w:rPr>
      <w:rFonts w:ascii="Arial Bold" w:eastAsia="Times New Roman" w:hAnsi="Arial Bold"/>
      <w:b/>
      <w:sz w:val="24"/>
      <w:lang w:val="en-GB" w:eastAsia="da-DK"/>
    </w:rPr>
  </w:style>
  <w:style w:type="paragraph" w:styleId="NormalWeb">
    <w:name w:val="Normal (Web)"/>
    <w:basedOn w:val="Normal"/>
    <w:rsid w:val="007B2C29"/>
    <w:pPr>
      <w:spacing w:before="100" w:beforeAutospacing="1" w:after="100" w:afterAutospacing="1"/>
    </w:pPr>
    <w:rPr>
      <w:rFonts w:eastAsia="Times New Roman"/>
      <w:sz w:val="18"/>
      <w:szCs w:val="18"/>
      <w:lang w:val="en-US" w:eastAsia="en-US"/>
    </w:rPr>
  </w:style>
  <w:style w:type="paragraph" w:styleId="TOC1">
    <w:name w:val="toc 1"/>
    <w:basedOn w:val="Normal"/>
    <w:next w:val="Normal"/>
    <w:autoRedefine/>
    <w:uiPriority w:val="39"/>
    <w:rsid w:val="007255CB"/>
    <w:pPr>
      <w:tabs>
        <w:tab w:val="left" w:pos="567"/>
        <w:tab w:val="right" w:leader="dot" w:pos="9061"/>
      </w:tabs>
      <w:spacing w:before="120" w:after="120"/>
    </w:pPr>
    <w:rPr>
      <w:rFonts w:eastAsia="Times New Roman" w:cs="Times New Roman"/>
      <w:noProof/>
      <w:lang w:val="es-ES_tradnl" w:eastAsia="en-US"/>
    </w:rPr>
  </w:style>
  <w:style w:type="paragraph" w:customStyle="1" w:styleId="NormalArial">
    <w:name w:val="Normal + Arial"/>
    <w:aliases w:val="10 pt"/>
    <w:basedOn w:val="ListParagraph"/>
    <w:rsid w:val="007B2C29"/>
    <w:pPr>
      <w:spacing w:after="0" w:line="240" w:lineRule="auto"/>
      <w:ind w:left="-28"/>
      <w:contextualSpacing w:val="0"/>
    </w:pPr>
    <w:rPr>
      <w:rFonts w:ascii="Arial" w:eastAsia="MS Mincho" w:hAnsi="Arial" w:cs="Arial"/>
      <w:bCs/>
      <w:sz w:val="20"/>
      <w:szCs w:val="20"/>
      <w:lang w:eastAsia="ja-JP"/>
    </w:rPr>
  </w:style>
  <w:style w:type="paragraph" w:customStyle="1" w:styleId="Default">
    <w:name w:val="Default"/>
    <w:rsid w:val="007B2C29"/>
    <w:pPr>
      <w:autoSpaceDE w:val="0"/>
      <w:autoSpaceDN w:val="0"/>
      <w:adjustRightInd w:val="0"/>
    </w:pPr>
    <w:rPr>
      <w:rFonts w:ascii="Arial" w:hAnsi="Arial" w:cs="Arial"/>
      <w:color w:val="000000"/>
      <w:sz w:val="24"/>
      <w:szCs w:val="24"/>
    </w:rPr>
  </w:style>
  <w:style w:type="paragraph" w:customStyle="1" w:styleId="Normal6">
    <w:name w:val="Normal+6"/>
    <w:basedOn w:val="Normal"/>
    <w:next w:val="Normal"/>
    <w:rsid w:val="007B2C29"/>
    <w:pPr>
      <w:autoSpaceDE w:val="0"/>
      <w:autoSpaceDN w:val="0"/>
      <w:adjustRightInd w:val="0"/>
    </w:pPr>
    <w:rPr>
      <w:rFonts w:eastAsia="Times New Roman" w:cs="Times New Roman"/>
      <w:sz w:val="24"/>
      <w:szCs w:val="24"/>
      <w:lang w:val="en-US" w:eastAsia="en-US"/>
    </w:rPr>
  </w:style>
  <w:style w:type="character" w:styleId="CommentReference">
    <w:name w:val="annotation reference"/>
    <w:rsid w:val="007B2C29"/>
    <w:rPr>
      <w:sz w:val="16"/>
      <w:szCs w:val="16"/>
    </w:rPr>
  </w:style>
  <w:style w:type="paragraph" w:customStyle="1" w:styleId="StyleStyleHeading3ComplexItalicLatin12pt">
    <w:name w:val="Style Style Heading 3 + (Complex) Italic + (Latin) 12 pt"/>
    <w:basedOn w:val="StyleHeading3ComplexItalic"/>
    <w:link w:val="StyleStyleHeading3ComplexItalicLatin12ptChar"/>
    <w:rsid w:val="007B2C29"/>
  </w:style>
  <w:style w:type="character" w:customStyle="1" w:styleId="StyleStyleHeading3ComplexItalicLatin12ptChar">
    <w:name w:val="Style Style Heading 3 + (Complex) Italic + (Latin) 12 pt Char"/>
    <w:link w:val="StyleStyleHeading3ComplexItalicLatin12pt"/>
    <w:rsid w:val="007B2C29"/>
    <w:rPr>
      <w:rFonts w:ascii="Arial" w:hAnsi="Arial" w:cs="Arial"/>
      <w:b/>
      <w:iCs/>
      <w:caps/>
      <w:sz w:val="22"/>
      <w:szCs w:val="22"/>
    </w:rPr>
  </w:style>
  <w:style w:type="character" w:customStyle="1" w:styleId="paracolourtext1">
    <w:name w:val="paracolourtext1"/>
    <w:rsid w:val="007B2C29"/>
    <w:rPr>
      <w:b w:val="0"/>
      <w:bCs w:val="0"/>
      <w:i w:val="0"/>
      <w:iCs w:val="0"/>
      <w:color w:val="800000"/>
      <w:sz w:val="20"/>
      <w:szCs w:val="20"/>
    </w:rPr>
  </w:style>
  <w:style w:type="paragraph" w:customStyle="1" w:styleId="Body">
    <w:name w:val="Body"/>
    <w:rsid w:val="007B2C29"/>
    <w:rPr>
      <w:rFonts w:ascii="Helvetica" w:eastAsia="ヒラギノ角ゴ Pro W3" w:hAnsi="Helvetica" w:cs="Angsana New"/>
      <w:color w:val="000000"/>
      <w:sz w:val="24"/>
      <w:lang w:bidi="th-TH"/>
    </w:rPr>
  </w:style>
  <w:style w:type="paragraph" w:customStyle="1" w:styleId="tes1">
    <w:name w:val="tes1"/>
    <w:basedOn w:val="Normal"/>
    <w:rsid w:val="007B2C29"/>
    <w:pPr>
      <w:suppressAutoHyphens/>
      <w:ind w:left="1134" w:right="2195"/>
      <w:jc w:val="both"/>
    </w:pPr>
    <w:rPr>
      <w:rFonts w:ascii="Times New Roman" w:eastAsia="Times New Roman" w:hAnsi="Times New Roman" w:cs="Times New Roman"/>
      <w:b/>
      <w:spacing w:val="4"/>
      <w:w w:val="103"/>
      <w:kern w:val="14"/>
      <w:sz w:val="20"/>
      <w:lang w:val="en-GB" w:eastAsia="en-US"/>
    </w:rPr>
  </w:style>
  <w:style w:type="paragraph" w:customStyle="1" w:styleId="Style10">
    <w:name w:val="Style10"/>
    <w:basedOn w:val="Normal"/>
    <w:autoRedefine/>
    <w:rsid w:val="007B2C29"/>
    <w:pPr>
      <w:tabs>
        <w:tab w:val="left" w:pos="340"/>
        <w:tab w:val="left" w:pos="680"/>
        <w:tab w:val="left" w:pos="1021"/>
        <w:tab w:val="left" w:pos="1361"/>
      </w:tabs>
      <w:suppressAutoHyphens/>
      <w:jc w:val="both"/>
    </w:pPr>
    <w:rPr>
      <w:rFonts w:ascii="Times New Roman" w:eastAsia="Times New Roman" w:hAnsi="Times New Roman" w:cs="Times New Roman"/>
      <w:snapToGrid w:val="0"/>
      <w:sz w:val="20"/>
      <w:lang w:val="en-US" w:eastAsia="en-US"/>
    </w:rPr>
  </w:style>
  <w:style w:type="paragraph" w:customStyle="1" w:styleId="Style11">
    <w:name w:val="Style11"/>
    <w:basedOn w:val="FootnoteText"/>
    <w:autoRedefine/>
    <w:rsid w:val="007B2C29"/>
    <w:pPr>
      <w:suppressAutoHyphens/>
      <w:ind w:firstLine="340"/>
      <w:jc w:val="both"/>
    </w:pPr>
    <w:rPr>
      <w:rFonts w:ascii="Times New Roman" w:eastAsia="Times New Roman" w:hAnsi="Times New Roman" w:cs="Times New Roman"/>
      <w:snapToGrid w:val="0"/>
      <w:sz w:val="16"/>
      <w:lang w:val="en-US" w:eastAsia="en-US"/>
    </w:rPr>
  </w:style>
  <w:style w:type="paragraph" w:styleId="Title">
    <w:name w:val="Title"/>
    <w:basedOn w:val="Normal"/>
    <w:link w:val="TitleChar"/>
    <w:qFormat/>
    <w:rsid w:val="007B2C29"/>
    <w:pPr>
      <w:jc w:val="center"/>
    </w:pPr>
    <w:rPr>
      <w:rFonts w:ascii="Times New Roman" w:eastAsia="Times New Roman" w:hAnsi="Times New Roman" w:cs="Times New Roman"/>
      <w:b/>
      <w:sz w:val="24"/>
      <w:lang w:val="en-US" w:eastAsia="en-US"/>
    </w:rPr>
  </w:style>
  <w:style w:type="character" w:customStyle="1" w:styleId="TitleChar">
    <w:name w:val="Title Char"/>
    <w:link w:val="Title"/>
    <w:rsid w:val="007B2C29"/>
    <w:rPr>
      <w:b/>
      <w:sz w:val="24"/>
    </w:rPr>
  </w:style>
  <w:style w:type="paragraph" w:styleId="Subtitle">
    <w:name w:val="Subtitle"/>
    <w:basedOn w:val="Normal"/>
    <w:link w:val="SubtitleChar"/>
    <w:qFormat/>
    <w:rsid w:val="007B2C29"/>
    <w:pPr>
      <w:jc w:val="center"/>
    </w:pPr>
    <w:rPr>
      <w:rFonts w:ascii="Times New Roman" w:eastAsia="Times New Roman" w:hAnsi="Times New Roman" w:cs="Times New Roman"/>
      <w:b/>
      <w:caps/>
      <w:color w:val="0000FF"/>
      <w:sz w:val="28"/>
      <w:lang w:val="en-US" w:eastAsia="en-US"/>
    </w:rPr>
  </w:style>
  <w:style w:type="character" w:customStyle="1" w:styleId="SubtitleChar">
    <w:name w:val="Subtitle Char"/>
    <w:link w:val="Subtitle"/>
    <w:rsid w:val="007B2C29"/>
    <w:rPr>
      <w:b/>
      <w:caps/>
      <w:color w:val="0000FF"/>
      <w:sz w:val="28"/>
    </w:rPr>
  </w:style>
  <w:style w:type="paragraph" w:customStyle="1" w:styleId="Endofdocument">
    <w:name w:val="End of document"/>
    <w:basedOn w:val="Normal"/>
    <w:rsid w:val="007B2C29"/>
    <w:pPr>
      <w:ind w:left="4536"/>
      <w:jc w:val="center"/>
    </w:pPr>
    <w:rPr>
      <w:rFonts w:ascii="Times New Roman" w:eastAsia="Times New Roman" w:hAnsi="Times New Roman" w:cs="Times New Roman"/>
      <w:sz w:val="24"/>
      <w:lang w:val="en-US" w:eastAsia="en-US"/>
    </w:rPr>
  </w:style>
  <w:style w:type="paragraph" w:styleId="BodyTextIndent2">
    <w:name w:val="Body Text Indent 2"/>
    <w:basedOn w:val="Normal"/>
    <w:link w:val="BodyTextIndent2Char"/>
    <w:rsid w:val="007B2C29"/>
    <w:pPr>
      <w:tabs>
        <w:tab w:val="left" w:pos="714"/>
      </w:tabs>
      <w:spacing w:after="100"/>
      <w:ind w:hanging="6"/>
      <w:jc w:val="both"/>
    </w:pPr>
    <w:rPr>
      <w:rFonts w:eastAsia="Times New Roman" w:cs="Times New Roman"/>
      <w:snapToGrid w:val="0"/>
      <w:color w:val="000000"/>
      <w:sz w:val="20"/>
      <w:lang w:val="en-US" w:eastAsia="en-US"/>
    </w:rPr>
  </w:style>
  <w:style w:type="character" w:customStyle="1" w:styleId="BodyTextIndent2Char">
    <w:name w:val="Body Text Indent 2 Char"/>
    <w:link w:val="BodyTextIndent2"/>
    <w:rsid w:val="007B2C29"/>
    <w:rPr>
      <w:rFonts w:ascii="Arial" w:hAnsi="Arial"/>
      <w:snapToGrid w:val="0"/>
      <w:color w:val="000000"/>
    </w:rPr>
  </w:style>
  <w:style w:type="paragraph" w:customStyle="1" w:styleId="3029-Titrechapitre">
    <w:name w:val="3029-Titre chapitre"/>
    <w:basedOn w:val="Heading1"/>
    <w:rsid w:val="007B2C29"/>
    <w:pPr>
      <w:spacing w:before="0" w:after="0"/>
    </w:pPr>
    <w:rPr>
      <w:rFonts w:ascii="Arial Black" w:eastAsia="Times" w:hAnsi="Arial Black" w:cs="Times New Roman"/>
      <w:b w:val="0"/>
      <w:bCs w:val="0"/>
      <w:caps w:val="0"/>
      <w:color w:val="000080"/>
      <w:kern w:val="0"/>
      <w:sz w:val="30"/>
      <w:szCs w:val="20"/>
      <w:lang w:val="fr-FR" w:eastAsia="en-US"/>
    </w:rPr>
  </w:style>
  <w:style w:type="character" w:customStyle="1" w:styleId="underline">
    <w:name w:val="underline"/>
    <w:rsid w:val="007B2C29"/>
    <w:rPr>
      <w:u w:val="single"/>
    </w:rPr>
  </w:style>
  <w:style w:type="paragraph" w:customStyle="1" w:styleId="zanxhead">
    <w:name w:val="zanxhead"/>
    <w:basedOn w:val="Normal"/>
    <w:rsid w:val="007B2C29"/>
    <w:pPr>
      <w:spacing w:before="200"/>
    </w:pPr>
    <w:rPr>
      <w:rFonts w:ascii="Times New Roman" w:eastAsia="Times New Roman" w:hAnsi="Times New Roman" w:cs="Times New Roman"/>
      <w:b/>
      <w:color w:val="0000FF"/>
      <w:sz w:val="24"/>
      <w:lang w:val="en-US" w:eastAsia="en-US"/>
    </w:rPr>
  </w:style>
  <w:style w:type="paragraph" w:customStyle="1" w:styleId="zanxtext">
    <w:name w:val="zanxtext"/>
    <w:basedOn w:val="Normal"/>
    <w:rsid w:val="007B2C29"/>
    <w:pPr>
      <w:spacing w:before="120"/>
    </w:pPr>
    <w:rPr>
      <w:rFonts w:ascii="Times New Roman" w:eastAsia="Times New Roman" w:hAnsi="Times New Roman" w:cs="Times New Roman"/>
      <w:sz w:val="24"/>
      <w:lang w:val="en-US" w:eastAsia="en-US"/>
    </w:rPr>
  </w:style>
  <w:style w:type="paragraph" w:styleId="BodyText2">
    <w:name w:val="Body Text 2"/>
    <w:basedOn w:val="Normal"/>
    <w:link w:val="BodyText2Char"/>
    <w:rsid w:val="007B2C29"/>
    <w:pPr>
      <w:keepNext/>
      <w:jc w:val="both"/>
    </w:pPr>
    <w:rPr>
      <w:rFonts w:eastAsia="Times New Roman" w:cs="Times New Roman"/>
      <w:sz w:val="20"/>
      <w:lang w:val="en-US" w:eastAsia="en-US"/>
    </w:rPr>
  </w:style>
  <w:style w:type="character" w:customStyle="1" w:styleId="BodyText2Char">
    <w:name w:val="Body Text 2 Char"/>
    <w:link w:val="BodyText2"/>
    <w:rsid w:val="007B2C29"/>
    <w:rPr>
      <w:rFonts w:ascii="Arial" w:hAnsi="Arial"/>
    </w:rPr>
  </w:style>
  <w:style w:type="paragraph" w:styleId="BlockText">
    <w:name w:val="Block Text"/>
    <w:basedOn w:val="Normal"/>
    <w:rsid w:val="007B2C29"/>
    <w:pPr>
      <w:tabs>
        <w:tab w:val="left" w:pos="2127"/>
      </w:tabs>
      <w:spacing w:after="40"/>
      <w:ind w:left="2127" w:right="896" w:hanging="2127"/>
    </w:pPr>
    <w:rPr>
      <w:rFonts w:ascii="Times New Roman" w:eastAsia="Times New Roman" w:hAnsi="Times New Roman" w:cs="Times New Roman"/>
      <w:sz w:val="24"/>
      <w:lang w:val="en-US" w:eastAsia="en-US"/>
    </w:rPr>
  </w:style>
  <w:style w:type="character" w:styleId="Emphasis">
    <w:name w:val="Emphasis"/>
    <w:qFormat/>
    <w:rsid w:val="007B2C29"/>
    <w:rPr>
      <w:i/>
      <w:iCs/>
    </w:rPr>
  </w:style>
  <w:style w:type="character" w:styleId="Strong">
    <w:name w:val="Strong"/>
    <w:qFormat/>
    <w:rsid w:val="007B2C29"/>
    <w:rPr>
      <w:b/>
      <w:bCs/>
    </w:rPr>
  </w:style>
  <w:style w:type="paragraph" w:customStyle="1" w:styleId="preparedby">
    <w:name w:val="prepared by"/>
    <w:basedOn w:val="Normal"/>
    <w:next w:val="Normal"/>
    <w:rsid w:val="007B2C29"/>
    <w:pPr>
      <w:spacing w:before="120" w:after="480" w:line="260" w:lineRule="atLeast"/>
      <w:ind w:left="1021"/>
      <w:contextualSpacing/>
    </w:pPr>
    <w:rPr>
      <w:rFonts w:eastAsia="Times New Roman" w:cs="Times New Roman"/>
      <w:i/>
      <w:sz w:val="20"/>
      <w:lang w:val="en-US" w:eastAsia="en-US"/>
    </w:rPr>
  </w:style>
  <w:style w:type="paragraph" w:customStyle="1" w:styleId="Documenttitle">
    <w:name w:val="Document title"/>
    <w:basedOn w:val="Normal"/>
    <w:next w:val="preparedby"/>
    <w:rsid w:val="007B2C29"/>
    <w:pPr>
      <w:spacing w:before="840" w:line="336" w:lineRule="exact"/>
      <w:ind w:left="1021"/>
      <w:contextualSpacing/>
    </w:pPr>
    <w:rPr>
      <w:rFonts w:eastAsia="Times New Roman" w:cs="Times New Roman"/>
      <w:sz w:val="24"/>
      <w:lang w:val="en-US" w:eastAsia="en-US"/>
    </w:rPr>
  </w:style>
  <w:style w:type="paragraph" w:customStyle="1" w:styleId="MeetinglanguageDate">
    <w:name w:val="Meeting language &amp; Date"/>
    <w:basedOn w:val="Normal"/>
    <w:next w:val="Meetingtitle"/>
    <w:rsid w:val="007B2C29"/>
    <w:pPr>
      <w:spacing w:after="1680" w:line="160" w:lineRule="exact"/>
      <w:ind w:left="1021"/>
      <w:contextualSpacing/>
      <w:jc w:val="right"/>
    </w:pPr>
    <w:rPr>
      <w:rFonts w:ascii="Arial Black" w:eastAsia="Times New Roman" w:hAnsi="Arial Black" w:cs="Times New Roman"/>
      <w:b/>
      <w:caps/>
      <w:sz w:val="15"/>
      <w:lang w:val="en-US" w:eastAsia="en-US"/>
    </w:rPr>
  </w:style>
  <w:style w:type="paragraph" w:customStyle="1" w:styleId="Meetingtitle">
    <w:name w:val="Meeting title"/>
    <w:basedOn w:val="Normal"/>
    <w:next w:val="Sessiontitle"/>
    <w:rsid w:val="007B2C29"/>
    <w:pPr>
      <w:spacing w:line="336" w:lineRule="exact"/>
      <w:ind w:left="1021"/>
    </w:pPr>
    <w:rPr>
      <w:rFonts w:eastAsia="Times New Roman" w:cs="Times New Roman"/>
      <w:b/>
      <w:sz w:val="28"/>
      <w:lang w:val="en-US" w:eastAsia="en-US"/>
    </w:rPr>
  </w:style>
  <w:style w:type="paragraph" w:customStyle="1" w:styleId="Sessiontitle">
    <w:name w:val="Session title"/>
    <w:basedOn w:val="Meetingtitle"/>
    <w:next w:val="Meetingplacedate"/>
    <w:rsid w:val="007B2C29"/>
    <w:pPr>
      <w:spacing w:before="480"/>
      <w:contextualSpacing/>
    </w:pPr>
    <w:rPr>
      <w:sz w:val="24"/>
    </w:rPr>
  </w:style>
  <w:style w:type="paragraph" w:customStyle="1" w:styleId="Meetingplacedate">
    <w:name w:val="Meeting place &amp; date"/>
    <w:basedOn w:val="Sessiontitle"/>
    <w:next w:val="Documenttitle"/>
    <w:rsid w:val="007B2C29"/>
    <w:pPr>
      <w:spacing w:before="0"/>
      <w:contextualSpacing w:val="0"/>
    </w:pPr>
  </w:style>
  <w:style w:type="paragraph" w:customStyle="1" w:styleId="Language">
    <w:name w:val="Language"/>
    <w:basedOn w:val="Normal"/>
    <w:next w:val="Normal"/>
    <w:rsid w:val="007B2C29"/>
    <w:pPr>
      <w:spacing w:after="120" w:line="340" w:lineRule="atLeast"/>
      <w:ind w:left="1021"/>
      <w:contextualSpacing/>
      <w:jc w:val="right"/>
    </w:pPr>
    <w:rPr>
      <w:rFonts w:eastAsia="Times New Roman" w:cs="Times New Roman"/>
      <w:b/>
      <w:caps/>
      <w:sz w:val="40"/>
      <w:lang w:val="en-US" w:eastAsia="en-US"/>
    </w:rPr>
  </w:style>
  <w:style w:type="paragraph" w:customStyle="1" w:styleId="MeetingCode">
    <w:name w:val="Meeting Code"/>
    <w:basedOn w:val="MeetinglanguageDate"/>
    <w:rsid w:val="007B2C29"/>
    <w:pPr>
      <w:spacing w:before="1800" w:after="0"/>
    </w:pPr>
  </w:style>
  <w:style w:type="paragraph" w:customStyle="1" w:styleId="CarCarCar">
    <w:name w:val="Car Car Car"/>
    <w:basedOn w:val="Normal"/>
    <w:rsid w:val="007B2C29"/>
    <w:pPr>
      <w:spacing w:after="160" w:line="240" w:lineRule="exact"/>
    </w:pPr>
    <w:rPr>
      <w:rFonts w:ascii="Verdana" w:eastAsia="PMingLiU" w:hAnsi="Verdana" w:cs="Times New Roman"/>
      <w:sz w:val="20"/>
      <w:lang w:val="en-US" w:eastAsia="en-US"/>
    </w:rPr>
  </w:style>
  <w:style w:type="paragraph" w:customStyle="1" w:styleId="Paragraphedeliste">
    <w:name w:val="Paragraphe de liste"/>
    <w:autoRedefine/>
    <w:rsid w:val="007B2C29"/>
    <w:pPr>
      <w:spacing w:after="200" w:line="276" w:lineRule="auto"/>
      <w:ind w:left="720"/>
    </w:pPr>
    <w:rPr>
      <w:rFonts w:ascii="Lucida Grande" w:eastAsia="ヒラギノ角ゴ Pro W3" w:hAnsi="Lucida Grande"/>
      <w:color w:val="000000"/>
      <w:sz w:val="22"/>
      <w:lang w:val="en-GB"/>
    </w:rPr>
  </w:style>
  <w:style w:type="character" w:styleId="FollowedHyperlink">
    <w:name w:val="FollowedHyperlink"/>
    <w:rsid w:val="007B2C29"/>
    <w:rPr>
      <w:color w:val="606420"/>
      <w:u w:val="single"/>
    </w:rPr>
  </w:style>
  <w:style w:type="paragraph" w:customStyle="1" w:styleId="Body1">
    <w:name w:val="Body 1"/>
    <w:rsid w:val="007B2C29"/>
    <w:rPr>
      <w:rFonts w:ascii="Helvetica" w:eastAsia="Arial Unicode MS" w:hAnsi="Helvetica"/>
      <w:color w:val="000000"/>
      <w:sz w:val="24"/>
    </w:rPr>
  </w:style>
  <w:style w:type="paragraph" w:styleId="PlainText">
    <w:name w:val="Plain Text"/>
    <w:basedOn w:val="Normal"/>
    <w:link w:val="PlainTextChar"/>
    <w:rsid w:val="007B2C29"/>
    <w:rPr>
      <w:rFonts w:ascii="Courier New" w:eastAsia="MS Mincho" w:hAnsi="Courier New" w:cs="Times New Roman"/>
      <w:sz w:val="20"/>
      <w:lang w:val="en-US" w:bidi="th-TH"/>
    </w:rPr>
  </w:style>
  <w:style w:type="character" w:customStyle="1" w:styleId="PlainTextChar">
    <w:name w:val="Plain Text Char"/>
    <w:link w:val="PlainText"/>
    <w:rsid w:val="007B2C29"/>
    <w:rPr>
      <w:rFonts w:ascii="Courier New" w:eastAsia="MS Mincho" w:hAnsi="Courier New"/>
      <w:lang w:eastAsia="zh-CN" w:bidi="th-TH"/>
    </w:rPr>
  </w:style>
  <w:style w:type="paragraph" w:customStyle="1" w:styleId="Char5">
    <w:name w:val="Char 字元 字元5"/>
    <w:basedOn w:val="Normal"/>
    <w:rsid w:val="001F5E74"/>
    <w:pPr>
      <w:spacing w:after="160" w:line="240" w:lineRule="exact"/>
    </w:pPr>
    <w:rPr>
      <w:rFonts w:ascii="Verdana" w:eastAsia="PMingLiU" w:hAnsi="Verdana" w:cs="Times New Roman"/>
      <w:sz w:val="20"/>
      <w:lang w:val="en-US" w:eastAsia="en-US"/>
    </w:rPr>
  </w:style>
  <w:style w:type="paragraph" w:customStyle="1" w:styleId="Char4">
    <w:name w:val="Char 字元 字元4"/>
    <w:basedOn w:val="Normal"/>
    <w:rsid w:val="009665B1"/>
    <w:pPr>
      <w:spacing w:after="160" w:line="240" w:lineRule="exact"/>
    </w:pPr>
    <w:rPr>
      <w:rFonts w:ascii="Verdana" w:eastAsia="PMingLiU" w:hAnsi="Verdana" w:cs="Times New Roman"/>
      <w:sz w:val="20"/>
      <w:lang w:val="en-US" w:eastAsia="en-US"/>
    </w:rPr>
  </w:style>
  <w:style w:type="paragraph" w:customStyle="1" w:styleId="Char3">
    <w:name w:val="Char 字元 字元3"/>
    <w:basedOn w:val="Normal"/>
    <w:rsid w:val="00D7676D"/>
    <w:pPr>
      <w:spacing w:after="160" w:line="240" w:lineRule="exact"/>
    </w:pPr>
    <w:rPr>
      <w:rFonts w:ascii="Verdana" w:eastAsia="PMingLiU" w:hAnsi="Verdana" w:cs="Times New Roman"/>
      <w:sz w:val="20"/>
      <w:lang w:val="en-US" w:eastAsia="en-US"/>
    </w:rPr>
  </w:style>
  <w:style w:type="paragraph" w:customStyle="1" w:styleId="Char2">
    <w:name w:val="Char 字元 字元2"/>
    <w:basedOn w:val="Normal"/>
    <w:rsid w:val="00F97297"/>
    <w:pPr>
      <w:spacing w:after="160" w:line="240" w:lineRule="exact"/>
    </w:pPr>
    <w:rPr>
      <w:rFonts w:ascii="Verdana" w:eastAsia="PMingLiU" w:hAnsi="Verdana" w:cs="Times New Roman"/>
      <w:sz w:val="20"/>
      <w:lang w:val="en-US" w:eastAsia="en-US"/>
    </w:rPr>
  </w:style>
  <w:style w:type="paragraph" w:customStyle="1" w:styleId="Char1">
    <w:name w:val="Char 字元 字元1"/>
    <w:basedOn w:val="Normal"/>
    <w:rsid w:val="0082777F"/>
    <w:pPr>
      <w:spacing w:after="160" w:line="240" w:lineRule="exact"/>
    </w:pPr>
    <w:rPr>
      <w:rFonts w:ascii="Verdana" w:eastAsia="PMingLiU" w:hAnsi="Verdana" w:cs="Times New Roman"/>
      <w:sz w:val="20"/>
      <w:lang w:val="en-US" w:eastAsia="en-US"/>
    </w:rPr>
  </w:style>
  <w:style w:type="paragraph" w:customStyle="1" w:styleId="CharCharCharChar0">
    <w:name w:val="Char Char Char Char"/>
    <w:basedOn w:val="Normal"/>
    <w:rsid w:val="00AA72DC"/>
    <w:pPr>
      <w:spacing w:after="160" w:line="240" w:lineRule="exact"/>
    </w:pPr>
    <w:rPr>
      <w:rFonts w:ascii="Verdana" w:eastAsia="Times New Roman" w:hAnsi="Verdana" w:cs="Times New Roman"/>
      <w:sz w:val="20"/>
      <w:lang w:val="en-GB" w:eastAsia="en-US"/>
    </w:rPr>
  </w:style>
  <w:style w:type="paragraph" w:customStyle="1" w:styleId="CarCarCar0">
    <w:name w:val="Car Car Car"/>
    <w:basedOn w:val="Normal"/>
    <w:rsid w:val="00AA72DC"/>
    <w:pPr>
      <w:spacing w:after="160" w:line="240" w:lineRule="exact"/>
    </w:pPr>
    <w:rPr>
      <w:rFonts w:ascii="Verdana" w:eastAsia="PMingLiU" w:hAnsi="Verdana" w:cs="Times New Roman"/>
      <w:sz w:val="20"/>
      <w:lang w:val="en-US" w:eastAsia="en-US"/>
    </w:rPr>
  </w:style>
  <w:style w:type="numbering" w:customStyle="1" w:styleId="NoList1">
    <w:name w:val="No List1"/>
    <w:next w:val="NoList"/>
    <w:uiPriority w:val="99"/>
    <w:semiHidden/>
    <w:unhideWhenUsed/>
    <w:rsid w:val="00472C69"/>
  </w:style>
  <w:style w:type="character" w:customStyle="1" w:styleId="BodyTextChar">
    <w:name w:val="Body Text Char"/>
    <w:link w:val="BodyText"/>
    <w:rsid w:val="00472C69"/>
    <w:rPr>
      <w:rFonts w:ascii="Arial" w:eastAsia="SimSun" w:hAnsi="Arial" w:cs="Arial"/>
      <w:sz w:val="22"/>
      <w:lang w:eastAsia="zh-CN"/>
    </w:rPr>
  </w:style>
  <w:style w:type="paragraph" w:customStyle="1" w:styleId="Char0">
    <w:name w:val="Char 字元 字元"/>
    <w:basedOn w:val="Normal"/>
    <w:rsid w:val="00281871"/>
    <w:pPr>
      <w:spacing w:after="160" w:line="240" w:lineRule="exact"/>
    </w:pPr>
    <w:rPr>
      <w:rFonts w:ascii="Verdana" w:eastAsia="PMingLiU" w:hAnsi="Verdana" w:cs="Times New Roman"/>
      <w:sz w:val="20"/>
      <w:lang w:val="en-US" w:eastAsia="en-US"/>
    </w:rPr>
  </w:style>
  <w:style w:type="table" w:styleId="TableGrid">
    <w:name w:val="Table Grid"/>
    <w:basedOn w:val="TableNormal"/>
    <w:rsid w:val="003838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na">
    <w:name w:val="Bona"/>
    <w:semiHidden/>
    <w:rsid w:val="00383888"/>
    <w:rPr>
      <w:rFonts w:ascii="Arial" w:hAnsi="Arial" w:cs="Arial"/>
      <w:color w:val="00008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4818005">
      <w:bodyDiv w:val="1"/>
      <w:marLeft w:val="0"/>
      <w:marRight w:val="0"/>
      <w:marTop w:val="0"/>
      <w:marBottom w:val="0"/>
      <w:divBdr>
        <w:top w:val="none" w:sz="0" w:space="0" w:color="auto"/>
        <w:left w:val="none" w:sz="0" w:space="0" w:color="auto"/>
        <w:bottom w:val="none" w:sz="0" w:space="0" w:color="auto"/>
        <w:right w:val="none" w:sz="0" w:space="0" w:color="auto"/>
      </w:divBdr>
    </w:div>
    <w:div w:id="1076364362">
      <w:bodyDiv w:val="1"/>
      <w:marLeft w:val="0"/>
      <w:marRight w:val="0"/>
      <w:marTop w:val="0"/>
      <w:marBottom w:val="0"/>
      <w:divBdr>
        <w:top w:val="none" w:sz="0" w:space="0" w:color="auto"/>
        <w:left w:val="none" w:sz="0" w:space="0" w:color="auto"/>
        <w:bottom w:val="none" w:sz="0" w:space="0" w:color="auto"/>
        <w:right w:val="none" w:sz="0" w:space="0" w:color="auto"/>
      </w:divBdr>
    </w:div>
    <w:div w:id="1609191433">
      <w:bodyDiv w:val="1"/>
      <w:marLeft w:val="0"/>
      <w:marRight w:val="0"/>
      <w:marTop w:val="0"/>
      <w:marBottom w:val="0"/>
      <w:divBdr>
        <w:top w:val="none" w:sz="0" w:space="0" w:color="auto"/>
        <w:left w:val="none" w:sz="0" w:space="0" w:color="auto"/>
        <w:bottom w:val="none" w:sz="0" w:space="0" w:color="auto"/>
        <w:right w:val="none" w:sz="0" w:space="0" w:color="auto"/>
      </w:divBdr>
    </w:div>
    <w:div w:id="19685859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66.emf"/><Relationship Id="rId21" Type="http://schemas.openxmlformats.org/officeDocument/2006/relationships/image" Target="media/image3.png"/><Relationship Id="rId42" Type="http://schemas.openxmlformats.org/officeDocument/2006/relationships/footer" Target="footer6.xml"/><Relationship Id="rId63" Type="http://schemas.openxmlformats.org/officeDocument/2006/relationships/image" Target="media/image32.emf"/><Relationship Id="rId84" Type="http://schemas.openxmlformats.org/officeDocument/2006/relationships/image" Target="media/image48.emf"/><Relationship Id="rId138" Type="http://schemas.openxmlformats.org/officeDocument/2006/relationships/footer" Target="footer7.xml"/><Relationship Id="rId159" Type="http://schemas.openxmlformats.org/officeDocument/2006/relationships/footer" Target="footer16.xml"/><Relationship Id="rId170" Type="http://schemas.openxmlformats.org/officeDocument/2006/relationships/image" Target="media/image102.emf"/><Relationship Id="rId191" Type="http://schemas.openxmlformats.org/officeDocument/2006/relationships/image" Target="media/image123.emf"/><Relationship Id="rId205" Type="http://schemas.openxmlformats.org/officeDocument/2006/relationships/footer" Target="footer17.xml"/><Relationship Id="rId226" Type="http://schemas.openxmlformats.org/officeDocument/2006/relationships/image" Target="media/image156.emf"/><Relationship Id="rId247" Type="http://schemas.openxmlformats.org/officeDocument/2006/relationships/image" Target="media/image177.emf"/><Relationship Id="rId107" Type="http://schemas.openxmlformats.org/officeDocument/2006/relationships/header" Target="header32.xml"/><Relationship Id="rId268" Type="http://schemas.openxmlformats.org/officeDocument/2006/relationships/image" Target="media/image193.emf"/><Relationship Id="rId11" Type="http://schemas.openxmlformats.org/officeDocument/2006/relationships/header" Target="header2.xml"/><Relationship Id="rId32" Type="http://schemas.openxmlformats.org/officeDocument/2006/relationships/image" Target="media/image12.emf"/><Relationship Id="rId53" Type="http://schemas.openxmlformats.org/officeDocument/2006/relationships/header" Target="header14.xml"/><Relationship Id="rId74" Type="http://schemas.openxmlformats.org/officeDocument/2006/relationships/image" Target="media/image41.emf"/><Relationship Id="rId128" Type="http://schemas.openxmlformats.org/officeDocument/2006/relationships/image" Target="media/image77.emf"/><Relationship Id="rId149" Type="http://schemas.openxmlformats.org/officeDocument/2006/relationships/footer" Target="footer12.xml"/><Relationship Id="rId5" Type="http://schemas.openxmlformats.org/officeDocument/2006/relationships/settings" Target="settings.xml"/><Relationship Id="rId95" Type="http://schemas.openxmlformats.org/officeDocument/2006/relationships/image" Target="media/image55.emf"/><Relationship Id="rId160" Type="http://schemas.openxmlformats.org/officeDocument/2006/relationships/image" Target="media/image92.emf"/><Relationship Id="rId181" Type="http://schemas.openxmlformats.org/officeDocument/2006/relationships/image" Target="media/image113.emf"/><Relationship Id="rId216" Type="http://schemas.openxmlformats.org/officeDocument/2006/relationships/image" Target="media/image146.emf"/><Relationship Id="rId237" Type="http://schemas.openxmlformats.org/officeDocument/2006/relationships/image" Target="media/image167.emf"/><Relationship Id="rId258" Type="http://schemas.openxmlformats.org/officeDocument/2006/relationships/header" Target="header44.xml"/><Relationship Id="rId22" Type="http://schemas.openxmlformats.org/officeDocument/2006/relationships/header" Target="header8.xml"/><Relationship Id="rId43" Type="http://schemas.openxmlformats.org/officeDocument/2006/relationships/header" Target="header13.xml"/><Relationship Id="rId64" Type="http://schemas.openxmlformats.org/officeDocument/2006/relationships/image" Target="media/image33.emf"/><Relationship Id="rId118" Type="http://schemas.openxmlformats.org/officeDocument/2006/relationships/image" Target="media/image67.emf"/><Relationship Id="rId139" Type="http://schemas.openxmlformats.org/officeDocument/2006/relationships/footer" Target="footer8.xml"/><Relationship Id="rId85" Type="http://schemas.openxmlformats.org/officeDocument/2006/relationships/image" Target="media/image49.emf"/><Relationship Id="rId150" Type="http://schemas.openxmlformats.org/officeDocument/2006/relationships/image" Target="media/image88.emf"/><Relationship Id="rId171" Type="http://schemas.openxmlformats.org/officeDocument/2006/relationships/image" Target="media/image103.emf"/><Relationship Id="rId192" Type="http://schemas.openxmlformats.org/officeDocument/2006/relationships/image" Target="media/image124.emf"/><Relationship Id="rId206" Type="http://schemas.openxmlformats.org/officeDocument/2006/relationships/footer" Target="footer18.xml"/><Relationship Id="rId227" Type="http://schemas.openxmlformats.org/officeDocument/2006/relationships/image" Target="media/image157.emf"/><Relationship Id="rId248" Type="http://schemas.openxmlformats.org/officeDocument/2006/relationships/image" Target="media/image178.emf"/><Relationship Id="rId269" Type="http://schemas.openxmlformats.org/officeDocument/2006/relationships/header" Target="header46.xml"/><Relationship Id="rId12" Type="http://schemas.openxmlformats.org/officeDocument/2006/relationships/footer" Target="footer1.xml"/><Relationship Id="rId33" Type="http://schemas.openxmlformats.org/officeDocument/2006/relationships/image" Target="media/image13.emf"/><Relationship Id="rId108" Type="http://schemas.openxmlformats.org/officeDocument/2006/relationships/header" Target="header33.xml"/><Relationship Id="rId129" Type="http://schemas.openxmlformats.org/officeDocument/2006/relationships/image" Target="media/image78.emf"/><Relationship Id="rId54" Type="http://schemas.openxmlformats.org/officeDocument/2006/relationships/header" Target="header15.xml"/><Relationship Id="rId75" Type="http://schemas.openxmlformats.org/officeDocument/2006/relationships/image" Target="media/image42.emf"/><Relationship Id="rId96" Type="http://schemas.openxmlformats.org/officeDocument/2006/relationships/image" Target="media/image56.emf"/><Relationship Id="rId140" Type="http://schemas.openxmlformats.org/officeDocument/2006/relationships/header" Target="header39.xml"/><Relationship Id="rId161" Type="http://schemas.openxmlformats.org/officeDocument/2006/relationships/image" Target="media/image93.emf"/><Relationship Id="rId182" Type="http://schemas.openxmlformats.org/officeDocument/2006/relationships/image" Target="media/image114.emf"/><Relationship Id="rId217" Type="http://schemas.openxmlformats.org/officeDocument/2006/relationships/image" Target="media/image147.emf"/><Relationship Id="rId6" Type="http://schemas.openxmlformats.org/officeDocument/2006/relationships/webSettings" Target="webSettings.xml"/><Relationship Id="rId238" Type="http://schemas.openxmlformats.org/officeDocument/2006/relationships/image" Target="media/image168.emf"/><Relationship Id="rId259" Type="http://schemas.openxmlformats.org/officeDocument/2006/relationships/footer" Target="footer19.xml"/><Relationship Id="rId23" Type="http://schemas.openxmlformats.org/officeDocument/2006/relationships/header" Target="header9.xml"/><Relationship Id="rId119" Type="http://schemas.openxmlformats.org/officeDocument/2006/relationships/image" Target="media/image68.emf"/><Relationship Id="rId270" Type="http://schemas.openxmlformats.org/officeDocument/2006/relationships/header" Target="header47.xml"/><Relationship Id="rId44" Type="http://schemas.openxmlformats.org/officeDocument/2006/relationships/image" Target="media/image17.emf"/><Relationship Id="rId60" Type="http://schemas.openxmlformats.org/officeDocument/2006/relationships/image" Target="media/image29.emf"/><Relationship Id="rId65" Type="http://schemas.openxmlformats.org/officeDocument/2006/relationships/header" Target="header18.xml"/><Relationship Id="rId81" Type="http://schemas.openxmlformats.org/officeDocument/2006/relationships/header" Target="header22.xml"/><Relationship Id="rId86" Type="http://schemas.openxmlformats.org/officeDocument/2006/relationships/image" Target="media/image50.emf"/><Relationship Id="rId130" Type="http://schemas.openxmlformats.org/officeDocument/2006/relationships/image" Target="media/image79.emf"/><Relationship Id="rId135" Type="http://schemas.openxmlformats.org/officeDocument/2006/relationships/image" Target="media/image84.emf"/><Relationship Id="rId151" Type="http://schemas.openxmlformats.org/officeDocument/2006/relationships/image" Target="media/image89.emf"/><Relationship Id="rId156" Type="http://schemas.openxmlformats.org/officeDocument/2006/relationships/image" Target="media/image90.emf"/><Relationship Id="rId177" Type="http://schemas.openxmlformats.org/officeDocument/2006/relationships/image" Target="media/image109.emf"/><Relationship Id="rId198" Type="http://schemas.openxmlformats.org/officeDocument/2006/relationships/image" Target="media/image130.emf"/><Relationship Id="rId172" Type="http://schemas.openxmlformats.org/officeDocument/2006/relationships/image" Target="media/image104.emf"/><Relationship Id="rId193" Type="http://schemas.openxmlformats.org/officeDocument/2006/relationships/image" Target="media/image125.emf"/><Relationship Id="rId202" Type="http://schemas.openxmlformats.org/officeDocument/2006/relationships/image" Target="media/image134.emf"/><Relationship Id="rId207" Type="http://schemas.openxmlformats.org/officeDocument/2006/relationships/image" Target="media/image137.emf"/><Relationship Id="rId223" Type="http://schemas.openxmlformats.org/officeDocument/2006/relationships/image" Target="media/image153.emf"/><Relationship Id="rId228" Type="http://schemas.openxmlformats.org/officeDocument/2006/relationships/image" Target="media/image158.emf"/><Relationship Id="rId244" Type="http://schemas.openxmlformats.org/officeDocument/2006/relationships/image" Target="media/image174.emf"/><Relationship Id="rId249" Type="http://schemas.openxmlformats.org/officeDocument/2006/relationships/image" Target="media/image179.emf"/><Relationship Id="rId13" Type="http://schemas.openxmlformats.org/officeDocument/2006/relationships/header" Target="header3.xml"/><Relationship Id="rId18" Type="http://schemas.openxmlformats.org/officeDocument/2006/relationships/header" Target="header5.xml"/><Relationship Id="rId39" Type="http://schemas.openxmlformats.org/officeDocument/2006/relationships/footer" Target="footer4.xml"/><Relationship Id="rId109" Type="http://schemas.openxmlformats.org/officeDocument/2006/relationships/image" Target="media/image61.emf"/><Relationship Id="rId260" Type="http://schemas.openxmlformats.org/officeDocument/2006/relationships/image" Target="media/image188.emf"/><Relationship Id="rId265" Type="http://schemas.openxmlformats.org/officeDocument/2006/relationships/image" Target="media/image190.emf"/><Relationship Id="rId34" Type="http://schemas.openxmlformats.org/officeDocument/2006/relationships/image" Target="media/image14.emf"/><Relationship Id="rId50" Type="http://schemas.openxmlformats.org/officeDocument/2006/relationships/image" Target="media/image23.emf"/><Relationship Id="rId55" Type="http://schemas.openxmlformats.org/officeDocument/2006/relationships/header" Target="header16.xml"/><Relationship Id="rId76" Type="http://schemas.openxmlformats.org/officeDocument/2006/relationships/image" Target="media/image43.emf"/><Relationship Id="rId97" Type="http://schemas.openxmlformats.org/officeDocument/2006/relationships/header" Target="header26.xml"/><Relationship Id="rId104" Type="http://schemas.openxmlformats.org/officeDocument/2006/relationships/image" Target="media/image59.emf"/><Relationship Id="rId120" Type="http://schemas.openxmlformats.org/officeDocument/2006/relationships/image" Target="media/image69.emf"/><Relationship Id="rId125" Type="http://schemas.openxmlformats.org/officeDocument/2006/relationships/image" Target="media/image74.emf"/><Relationship Id="rId141" Type="http://schemas.openxmlformats.org/officeDocument/2006/relationships/footer" Target="footer9.xml"/><Relationship Id="rId146" Type="http://schemas.openxmlformats.org/officeDocument/2006/relationships/image" Target="media/image87.emf"/><Relationship Id="rId167" Type="http://schemas.openxmlformats.org/officeDocument/2006/relationships/image" Target="media/image99.emf"/><Relationship Id="rId188" Type="http://schemas.openxmlformats.org/officeDocument/2006/relationships/image" Target="media/image120.emf"/><Relationship Id="rId7" Type="http://schemas.openxmlformats.org/officeDocument/2006/relationships/footnotes" Target="footnotes.xml"/><Relationship Id="rId71" Type="http://schemas.openxmlformats.org/officeDocument/2006/relationships/image" Target="media/image38.emf"/><Relationship Id="rId92" Type="http://schemas.openxmlformats.org/officeDocument/2006/relationships/header" Target="header23.xml"/><Relationship Id="rId162" Type="http://schemas.openxmlformats.org/officeDocument/2006/relationships/image" Target="media/image94.emf"/><Relationship Id="rId183" Type="http://schemas.openxmlformats.org/officeDocument/2006/relationships/image" Target="media/image115.emf"/><Relationship Id="rId213" Type="http://schemas.openxmlformats.org/officeDocument/2006/relationships/image" Target="media/image143.emf"/><Relationship Id="rId218" Type="http://schemas.openxmlformats.org/officeDocument/2006/relationships/image" Target="media/image148.emf"/><Relationship Id="rId234" Type="http://schemas.openxmlformats.org/officeDocument/2006/relationships/image" Target="media/image164.emf"/><Relationship Id="rId239" Type="http://schemas.openxmlformats.org/officeDocument/2006/relationships/image" Target="media/image169.emf"/><Relationship Id="rId2" Type="http://schemas.openxmlformats.org/officeDocument/2006/relationships/numbering" Target="numbering.xml"/><Relationship Id="rId29" Type="http://schemas.openxmlformats.org/officeDocument/2006/relationships/image" Target="media/image9.emf"/><Relationship Id="rId250" Type="http://schemas.openxmlformats.org/officeDocument/2006/relationships/image" Target="media/image180.emf"/><Relationship Id="rId255" Type="http://schemas.openxmlformats.org/officeDocument/2006/relationships/image" Target="media/image185.emf"/><Relationship Id="rId271" Type="http://schemas.openxmlformats.org/officeDocument/2006/relationships/header" Target="header48.xml"/><Relationship Id="rId24" Type="http://schemas.openxmlformats.org/officeDocument/2006/relationships/image" Target="media/image4.emf"/><Relationship Id="rId40" Type="http://schemas.openxmlformats.org/officeDocument/2006/relationships/footer" Target="footer5.xml"/><Relationship Id="rId45" Type="http://schemas.openxmlformats.org/officeDocument/2006/relationships/image" Target="media/image18.emf"/><Relationship Id="rId66" Type="http://schemas.openxmlformats.org/officeDocument/2006/relationships/header" Target="header19.xml"/><Relationship Id="rId87" Type="http://schemas.openxmlformats.org/officeDocument/2006/relationships/image" Target="media/image51.emf"/><Relationship Id="rId110" Type="http://schemas.openxmlformats.org/officeDocument/2006/relationships/image" Target="media/image62.emf"/><Relationship Id="rId115" Type="http://schemas.openxmlformats.org/officeDocument/2006/relationships/header" Target="header35.xml"/><Relationship Id="rId131" Type="http://schemas.openxmlformats.org/officeDocument/2006/relationships/image" Target="media/image80.emf"/><Relationship Id="rId136" Type="http://schemas.openxmlformats.org/officeDocument/2006/relationships/header" Target="header37.xml"/><Relationship Id="rId157" Type="http://schemas.openxmlformats.org/officeDocument/2006/relationships/image" Target="media/image91.emf"/><Relationship Id="rId178" Type="http://schemas.openxmlformats.org/officeDocument/2006/relationships/image" Target="media/image110.emf"/><Relationship Id="rId61" Type="http://schemas.openxmlformats.org/officeDocument/2006/relationships/image" Target="media/image30.emf"/><Relationship Id="rId82" Type="http://schemas.openxmlformats.org/officeDocument/2006/relationships/image" Target="media/image46.emf"/><Relationship Id="rId152" Type="http://schemas.openxmlformats.org/officeDocument/2006/relationships/header" Target="header42.xml"/><Relationship Id="rId173" Type="http://schemas.openxmlformats.org/officeDocument/2006/relationships/image" Target="media/image105.emf"/><Relationship Id="rId194" Type="http://schemas.openxmlformats.org/officeDocument/2006/relationships/image" Target="media/image126.emf"/><Relationship Id="rId199" Type="http://schemas.openxmlformats.org/officeDocument/2006/relationships/image" Target="media/image131.emf"/><Relationship Id="rId203" Type="http://schemas.openxmlformats.org/officeDocument/2006/relationships/image" Target="media/image135.emf"/><Relationship Id="rId208" Type="http://schemas.openxmlformats.org/officeDocument/2006/relationships/image" Target="media/image138.emf"/><Relationship Id="rId229" Type="http://schemas.openxmlformats.org/officeDocument/2006/relationships/image" Target="media/image159.emf"/><Relationship Id="rId19" Type="http://schemas.openxmlformats.org/officeDocument/2006/relationships/header" Target="header6.xml"/><Relationship Id="rId224" Type="http://schemas.openxmlformats.org/officeDocument/2006/relationships/image" Target="media/image154.emf"/><Relationship Id="rId240" Type="http://schemas.openxmlformats.org/officeDocument/2006/relationships/image" Target="media/image170.emf"/><Relationship Id="rId245" Type="http://schemas.openxmlformats.org/officeDocument/2006/relationships/image" Target="media/image175.emf"/><Relationship Id="rId261" Type="http://schemas.openxmlformats.org/officeDocument/2006/relationships/image" Target="media/image189.emf"/><Relationship Id="rId266" Type="http://schemas.openxmlformats.org/officeDocument/2006/relationships/image" Target="media/image191.emf"/><Relationship Id="rId14" Type="http://schemas.openxmlformats.org/officeDocument/2006/relationships/footer" Target="footer2.xml"/><Relationship Id="rId30" Type="http://schemas.openxmlformats.org/officeDocument/2006/relationships/image" Target="media/image10.emf"/><Relationship Id="rId35" Type="http://schemas.openxmlformats.org/officeDocument/2006/relationships/image" Target="media/image15.emf"/><Relationship Id="rId56" Type="http://schemas.openxmlformats.org/officeDocument/2006/relationships/header" Target="header17.xml"/><Relationship Id="rId77" Type="http://schemas.openxmlformats.org/officeDocument/2006/relationships/image" Target="media/image44.emf"/><Relationship Id="rId100" Type="http://schemas.openxmlformats.org/officeDocument/2006/relationships/image" Target="media/image58.emf"/><Relationship Id="rId105" Type="http://schemas.openxmlformats.org/officeDocument/2006/relationships/image" Target="media/image60.emf"/><Relationship Id="rId126" Type="http://schemas.openxmlformats.org/officeDocument/2006/relationships/image" Target="media/image75.emf"/><Relationship Id="rId147" Type="http://schemas.openxmlformats.org/officeDocument/2006/relationships/header" Target="header41.xml"/><Relationship Id="rId168" Type="http://schemas.openxmlformats.org/officeDocument/2006/relationships/image" Target="media/image100.emf"/><Relationship Id="rId8" Type="http://schemas.openxmlformats.org/officeDocument/2006/relationships/endnotes" Target="endnotes.xml"/><Relationship Id="rId51" Type="http://schemas.openxmlformats.org/officeDocument/2006/relationships/image" Target="media/image24.emf"/><Relationship Id="rId72" Type="http://schemas.openxmlformats.org/officeDocument/2006/relationships/image" Target="media/image39.emf"/><Relationship Id="rId93" Type="http://schemas.openxmlformats.org/officeDocument/2006/relationships/header" Target="header24.xml"/><Relationship Id="rId98" Type="http://schemas.openxmlformats.org/officeDocument/2006/relationships/header" Target="header27.xml"/><Relationship Id="rId121" Type="http://schemas.openxmlformats.org/officeDocument/2006/relationships/image" Target="media/image70.emf"/><Relationship Id="rId142" Type="http://schemas.openxmlformats.org/officeDocument/2006/relationships/image" Target="media/image85.emf"/><Relationship Id="rId163" Type="http://schemas.openxmlformats.org/officeDocument/2006/relationships/image" Target="media/image95.emf"/><Relationship Id="rId184" Type="http://schemas.openxmlformats.org/officeDocument/2006/relationships/image" Target="media/image116.emf"/><Relationship Id="rId189" Type="http://schemas.openxmlformats.org/officeDocument/2006/relationships/image" Target="media/image121.emf"/><Relationship Id="rId219" Type="http://schemas.openxmlformats.org/officeDocument/2006/relationships/image" Target="media/image149.emf"/><Relationship Id="rId3" Type="http://schemas.openxmlformats.org/officeDocument/2006/relationships/styles" Target="styles.xml"/><Relationship Id="rId214" Type="http://schemas.openxmlformats.org/officeDocument/2006/relationships/image" Target="media/image144.emf"/><Relationship Id="rId230" Type="http://schemas.openxmlformats.org/officeDocument/2006/relationships/image" Target="media/image160.emf"/><Relationship Id="rId235" Type="http://schemas.openxmlformats.org/officeDocument/2006/relationships/image" Target="media/image165.emf"/><Relationship Id="rId251" Type="http://schemas.openxmlformats.org/officeDocument/2006/relationships/image" Target="media/image181.emf"/><Relationship Id="rId256" Type="http://schemas.openxmlformats.org/officeDocument/2006/relationships/image" Target="media/image186.emf"/><Relationship Id="rId25" Type="http://schemas.openxmlformats.org/officeDocument/2006/relationships/image" Target="media/image5.emf"/><Relationship Id="rId46" Type="http://schemas.openxmlformats.org/officeDocument/2006/relationships/image" Target="media/image19.emf"/><Relationship Id="rId67" Type="http://schemas.openxmlformats.org/officeDocument/2006/relationships/image" Target="media/image34.emf"/><Relationship Id="rId116" Type="http://schemas.openxmlformats.org/officeDocument/2006/relationships/header" Target="header36.xml"/><Relationship Id="rId137" Type="http://schemas.openxmlformats.org/officeDocument/2006/relationships/header" Target="header38.xml"/><Relationship Id="rId158" Type="http://schemas.openxmlformats.org/officeDocument/2006/relationships/footer" Target="footer15.xml"/><Relationship Id="rId272" Type="http://schemas.openxmlformats.org/officeDocument/2006/relationships/footer" Target="footer22.xml"/><Relationship Id="rId20" Type="http://schemas.openxmlformats.org/officeDocument/2006/relationships/header" Target="header7.xml"/><Relationship Id="rId41" Type="http://schemas.openxmlformats.org/officeDocument/2006/relationships/header" Target="header12.xml"/><Relationship Id="rId62" Type="http://schemas.openxmlformats.org/officeDocument/2006/relationships/image" Target="media/image31.emf"/><Relationship Id="rId83" Type="http://schemas.openxmlformats.org/officeDocument/2006/relationships/image" Target="media/image47.emf"/><Relationship Id="rId88" Type="http://schemas.openxmlformats.org/officeDocument/2006/relationships/image" Target="media/image52.emf"/><Relationship Id="rId111" Type="http://schemas.openxmlformats.org/officeDocument/2006/relationships/image" Target="media/image63.emf"/><Relationship Id="rId132" Type="http://schemas.openxmlformats.org/officeDocument/2006/relationships/image" Target="media/image81.emf"/><Relationship Id="rId153" Type="http://schemas.openxmlformats.org/officeDocument/2006/relationships/header" Target="header43.xml"/><Relationship Id="rId174" Type="http://schemas.openxmlformats.org/officeDocument/2006/relationships/image" Target="media/image106.emf"/><Relationship Id="rId179" Type="http://schemas.openxmlformats.org/officeDocument/2006/relationships/image" Target="media/image111.emf"/><Relationship Id="rId195" Type="http://schemas.openxmlformats.org/officeDocument/2006/relationships/image" Target="media/image127.emf"/><Relationship Id="rId209" Type="http://schemas.openxmlformats.org/officeDocument/2006/relationships/image" Target="media/image139.emf"/><Relationship Id="rId190" Type="http://schemas.openxmlformats.org/officeDocument/2006/relationships/image" Target="media/image122.emf"/><Relationship Id="rId204" Type="http://schemas.openxmlformats.org/officeDocument/2006/relationships/image" Target="media/image136.emf"/><Relationship Id="rId220" Type="http://schemas.openxmlformats.org/officeDocument/2006/relationships/image" Target="media/image150.emf"/><Relationship Id="rId225" Type="http://schemas.openxmlformats.org/officeDocument/2006/relationships/image" Target="media/image155.emf"/><Relationship Id="rId241" Type="http://schemas.openxmlformats.org/officeDocument/2006/relationships/image" Target="media/image171.emf"/><Relationship Id="rId246" Type="http://schemas.openxmlformats.org/officeDocument/2006/relationships/image" Target="media/image176.emf"/><Relationship Id="rId267" Type="http://schemas.openxmlformats.org/officeDocument/2006/relationships/image" Target="media/image192.emf"/><Relationship Id="rId15" Type="http://schemas.openxmlformats.org/officeDocument/2006/relationships/footer" Target="footer3.xml"/><Relationship Id="rId36" Type="http://schemas.openxmlformats.org/officeDocument/2006/relationships/image" Target="media/image16.emf"/><Relationship Id="rId57" Type="http://schemas.openxmlformats.org/officeDocument/2006/relationships/image" Target="media/image26.emf"/><Relationship Id="rId106" Type="http://schemas.openxmlformats.org/officeDocument/2006/relationships/header" Target="header31.xml"/><Relationship Id="rId127" Type="http://schemas.openxmlformats.org/officeDocument/2006/relationships/image" Target="media/image76.emf"/><Relationship Id="rId262" Type="http://schemas.openxmlformats.org/officeDocument/2006/relationships/header" Target="header45.xml"/><Relationship Id="rId10" Type="http://schemas.openxmlformats.org/officeDocument/2006/relationships/header" Target="header1.xml"/><Relationship Id="rId31" Type="http://schemas.openxmlformats.org/officeDocument/2006/relationships/image" Target="media/image11.emf"/><Relationship Id="rId52" Type="http://schemas.openxmlformats.org/officeDocument/2006/relationships/image" Target="media/image25.emf"/><Relationship Id="rId73" Type="http://schemas.openxmlformats.org/officeDocument/2006/relationships/image" Target="media/image40.emf"/><Relationship Id="rId78" Type="http://schemas.openxmlformats.org/officeDocument/2006/relationships/image" Target="media/image45.emf"/><Relationship Id="rId94" Type="http://schemas.openxmlformats.org/officeDocument/2006/relationships/header" Target="header25.xml"/><Relationship Id="rId99" Type="http://schemas.openxmlformats.org/officeDocument/2006/relationships/image" Target="media/image57.emf"/><Relationship Id="rId101" Type="http://schemas.openxmlformats.org/officeDocument/2006/relationships/header" Target="header28.xml"/><Relationship Id="rId122" Type="http://schemas.openxmlformats.org/officeDocument/2006/relationships/image" Target="media/image71.emf"/><Relationship Id="rId143" Type="http://schemas.openxmlformats.org/officeDocument/2006/relationships/header" Target="header40.xml"/><Relationship Id="rId148" Type="http://schemas.openxmlformats.org/officeDocument/2006/relationships/footer" Target="footer11.xml"/><Relationship Id="rId164" Type="http://schemas.openxmlformats.org/officeDocument/2006/relationships/image" Target="media/image96.emf"/><Relationship Id="rId169" Type="http://schemas.openxmlformats.org/officeDocument/2006/relationships/image" Target="media/image101.emf"/><Relationship Id="rId185" Type="http://schemas.openxmlformats.org/officeDocument/2006/relationships/image" Target="media/image117.emf"/><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112.emf"/><Relationship Id="rId210" Type="http://schemas.openxmlformats.org/officeDocument/2006/relationships/image" Target="media/image140.emf"/><Relationship Id="rId215" Type="http://schemas.openxmlformats.org/officeDocument/2006/relationships/image" Target="media/image145.emf"/><Relationship Id="rId236" Type="http://schemas.openxmlformats.org/officeDocument/2006/relationships/image" Target="media/image166.emf"/><Relationship Id="rId257" Type="http://schemas.openxmlformats.org/officeDocument/2006/relationships/image" Target="media/image187.emf"/><Relationship Id="rId26" Type="http://schemas.openxmlformats.org/officeDocument/2006/relationships/image" Target="media/image6.emf"/><Relationship Id="rId231" Type="http://schemas.openxmlformats.org/officeDocument/2006/relationships/image" Target="media/image161.emf"/><Relationship Id="rId252" Type="http://schemas.openxmlformats.org/officeDocument/2006/relationships/image" Target="media/image182.emf"/><Relationship Id="rId273" Type="http://schemas.openxmlformats.org/officeDocument/2006/relationships/footer" Target="footer23.xml"/><Relationship Id="rId47" Type="http://schemas.openxmlformats.org/officeDocument/2006/relationships/image" Target="media/image20.emf"/><Relationship Id="rId68" Type="http://schemas.openxmlformats.org/officeDocument/2006/relationships/image" Target="media/image35.emf"/><Relationship Id="rId89" Type="http://schemas.openxmlformats.org/officeDocument/2006/relationships/hyperlink" Target="http://www.wipo.int/das" TargetMode="External"/><Relationship Id="rId112" Type="http://schemas.openxmlformats.org/officeDocument/2006/relationships/image" Target="media/image64.emf"/><Relationship Id="rId133" Type="http://schemas.openxmlformats.org/officeDocument/2006/relationships/image" Target="media/image82.emf"/><Relationship Id="rId154" Type="http://schemas.openxmlformats.org/officeDocument/2006/relationships/footer" Target="footer13.xml"/><Relationship Id="rId175" Type="http://schemas.openxmlformats.org/officeDocument/2006/relationships/image" Target="media/image107.emf"/><Relationship Id="rId196" Type="http://schemas.openxmlformats.org/officeDocument/2006/relationships/image" Target="media/image128.emf"/><Relationship Id="rId200" Type="http://schemas.openxmlformats.org/officeDocument/2006/relationships/image" Target="media/image132.emf"/><Relationship Id="rId16" Type="http://schemas.openxmlformats.org/officeDocument/2006/relationships/image" Target="media/image2.emf"/><Relationship Id="rId221" Type="http://schemas.openxmlformats.org/officeDocument/2006/relationships/image" Target="media/image151.emf"/><Relationship Id="rId242" Type="http://schemas.openxmlformats.org/officeDocument/2006/relationships/image" Target="media/image172.emf"/><Relationship Id="rId263" Type="http://schemas.openxmlformats.org/officeDocument/2006/relationships/footer" Target="footer20.xml"/><Relationship Id="rId37" Type="http://schemas.openxmlformats.org/officeDocument/2006/relationships/header" Target="header10.xml"/><Relationship Id="rId58" Type="http://schemas.openxmlformats.org/officeDocument/2006/relationships/image" Target="media/image27.emf"/><Relationship Id="rId79" Type="http://schemas.openxmlformats.org/officeDocument/2006/relationships/header" Target="header20.xml"/><Relationship Id="rId102" Type="http://schemas.openxmlformats.org/officeDocument/2006/relationships/header" Target="header29.xml"/><Relationship Id="rId123" Type="http://schemas.openxmlformats.org/officeDocument/2006/relationships/image" Target="media/image72.emf"/><Relationship Id="rId144" Type="http://schemas.openxmlformats.org/officeDocument/2006/relationships/footer" Target="footer10.xml"/><Relationship Id="rId90" Type="http://schemas.openxmlformats.org/officeDocument/2006/relationships/image" Target="media/image53.emf"/><Relationship Id="rId165" Type="http://schemas.openxmlformats.org/officeDocument/2006/relationships/image" Target="media/image97.emf"/><Relationship Id="rId186" Type="http://schemas.openxmlformats.org/officeDocument/2006/relationships/image" Target="media/image118.emf"/><Relationship Id="rId211" Type="http://schemas.openxmlformats.org/officeDocument/2006/relationships/image" Target="media/image141.emf"/><Relationship Id="rId232" Type="http://schemas.openxmlformats.org/officeDocument/2006/relationships/image" Target="media/image162.emf"/><Relationship Id="rId253" Type="http://schemas.openxmlformats.org/officeDocument/2006/relationships/image" Target="media/image183.emf"/><Relationship Id="rId274" Type="http://schemas.openxmlformats.org/officeDocument/2006/relationships/fontTable" Target="fontTable.xml"/><Relationship Id="rId27" Type="http://schemas.openxmlformats.org/officeDocument/2006/relationships/image" Target="media/image7.emf"/><Relationship Id="rId48" Type="http://schemas.openxmlformats.org/officeDocument/2006/relationships/image" Target="media/image21.emf"/><Relationship Id="rId69" Type="http://schemas.openxmlformats.org/officeDocument/2006/relationships/image" Target="media/image36.emf"/><Relationship Id="rId113" Type="http://schemas.openxmlformats.org/officeDocument/2006/relationships/image" Target="media/image65.emf"/><Relationship Id="rId134" Type="http://schemas.openxmlformats.org/officeDocument/2006/relationships/image" Target="media/image83.emf"/><Relationship Id="rId80" Type="http://schemas.openxmlformats.org/officeDocument/2006/relationships/header" Target="header21.xml"/><Relationship Id="rId155" Type="http://schemas.openxmlformats.org/officeDocument/2006/relationships/footer" Target="footer14.xml"/><Relationship Id="rId176" Type="http://schemas.openxmlformats.org/officeDocument/2006/relationships/image" Target="media/image108.emf"/><Relationship Id="rId197" Type="http://schemas.openxmlformats.org/officeDocument/2006/relationships/image" Target="media/image129.emf"/><Relationship Id="rId201" Type="http://schemas.openxmlformats.org/officeDocument/2006/relationships/image" Target="media/image133.emf"/><Relationship Id="rId222" Type="http://schemas.openxmlformats.org/officeDocument/2006/relationships/image" Target="media/image152.emf"/><Relationship Id="rId243" Type="http://schemas.openxmlformats.org/officeDocument/2006/relationships/image" Target="media/image173.emf"/><Relationship Id="rId264" Type="http://schemas.openxmlformats.org/officeDocument/2006/relationships/footer" Target="footer21.xml"/><Relationship Id="rId17" Type="http://schemas.openxmlformats.org/officeDocument/2006/relationships/header" Target="header4.xml"/><Relationship Id="rId38" Type="http://schemas.openxmlformats.org/officeDocument/2006/relationships/header" Target="header11.xml"/><Relationship Id="rId59" Type="http://schemas.openxmlformats.org/officeDocument/2006/relationships/image" Target="media/image28.emf"/><Relationship Id="rId103" Type="http://schemas.openxmlformats.org/officeDocument/2006/relationships/header" Target="header30.xml"/><Relationship Id="rId124" Type="http://schemas.openxmlformats.org/officeDocument/2006/relationships/image" Target="media/image73.emf"/><Relationship Id="rId70" Type="http://schemas.openxmlformats.org/officeDocument/2006/relationships/image" Target="media/image37.emf"/><Relationship Id="rId91" Type="http://schemas.openxmlformats.org/officeDocument/2006/relationships/image" Target="media/image54.emf"/><Relationship Id="rId145" Type="http://schemas.openxmlformats.org/officeDocument/2006/relationships/image" Target="media/image86.emf"/><Relationship Id="rId166" Type="http://schemas.openxmlformats.org/officeDocument/2006/relationships/image" Target="media/image98.emf"/><Relationship Id="rId187" Type="http://schemas.openxmlformats.org/officeDocument/2006/relationships/image" Target="media/image119.emf"/><Relationship Id="rId1" Type="http://schemas.openxmlformats.org/officeDocument/2006/relationships/customXml" Target="../customXml/item1.xml"/><Relationship Id="rId212" Type="http://schemas.openxmlformats.org/officeDocument/2006/relationships/image" Target="media/image142.emf"/><Relationship Id="rId233" Type="http://schemas.openxmlformats.org/officeDocument/2006/relationships/image" Target="media/image163.emf"/><Relationship Id="rId254" Type="http://schemas.openxmlformats.org/officeDocument/2006/relationships/image" Target="media/image184.emf"/><Relationship Id="rId28" Type="http://schemas.openxmlformats.org/officeDocument/2006/relationships/image" Target="media/image8.emf"/><Relationship Id="rId49" Type="http://schemas.openxmlformats.org/officeDocument/2006/relationships/image" Target="media/image22.emf"/><Relationship Id="rId114" Type="http://schemas.openxmlformats.org/officeDocument/2006/relationships/header" Target="header34.xml"/><Relationship Id="rId275"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edocs/mdocs/govbody/es/a_42/a_42_10-annex3.pdf" TargetMode="External"/><Relationship Id="rId2" Type="http://schemas.openxmlformats.org/officeDocument/2006/relationships/hyperlink" Target="http://www.wipo.int/edocs/mdocs/mdocs/en/cdip_4/cdip_4_3_rev_study_inf_3.pdf" TargetMode="External"/><Relationship Id="rId1" Type="http://schemas.openxmlformats.org/officeDocument/2006/relationships/hyperlink" Target="http://www.wipo.int/patentscope/en/programs/patent_landscapes/index.ht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BUDGET\WO%20PBC%2020%20(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83C2C3-E87C-4398-93F2-F8797B51A0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 PBC 20 (S).dot</Template>
  <TotalTime>274</TotalTime>
  <Pages>297</Pages>
  <Words>100096</Words>
  <Characters>548669</Characters>
  <Application>Microsoft Office Word</Application>
  <DocSecurity>0</DocSecurity>
  <Lines>4572</Lines>
  <Paragraphs>1294</Paragraphs>
  <ScaleCrop>false</ScaleCrop>
  <HeadingPairs>
    <vt:vector size="2" baseType="variant">
      <vt:variant>
        <vt:lpstr>Title</vt:lpstr>
      </vt:variant>
      <vt:variant>
        <vt:i4>1</vt:i4>
      </vt:variant>
    </vt:vector>
  </HeadingPairs>
  <TitlesOfParts>
    <vt:vector size="1" baseType="lpstr">
      <vt:lpstr>Proyecto de propuesta de presupuesto por programas para el bienio 2014/15</vt:lpstr>
    </vt:vector>
  </TitlesOfParts>
  <Company>WIPO</Company>
  <LinksUpToDate>false</LinksUpToDate>
  <CharactersWithSpaces>647471</CharactersWithSpaces>
  <SharedDoc>false</SharedDoc>
  <HLinks>
    <vt:vector size="432" baseType="variant">
      <vt:variant>
        <vt:i4>2228271</vt:i4>
      </vt:variant>
      <vt:variant>
        <vt:i4>414</vt:i4>
      </vt:variant>
      <vt:variant>
        <vt:i4>0</vt:i4>
      </vt:variant>
      <vt:variant>
        <vt:i4>5</vt:i4>
      </vt:variant>
      <vt:variant>
        <vt:lpwstr>http://www.wipo.int/das</vt:lpwstr>
      </vt:variant>
      <vt:variant>
        <vt:lpwstr/>
      </vt:variant>
      <vt:variant>
        <vt:i4>1572925</vt:i4>
      </vt:variant>
      <vt:variant>
        <vt:i4>404</vt:i4>
      </vt:variant>
      <vt:variant>
        <vt:i4>0</vt:i4>
      </vt:variant>
      <vt:variant>
        <vt:i4>5</vt:i4>
      </vt:variant>
      <vt:variant>
        <vt:lpwstr/>
      </vt:variant>
      <vt:variant>
        <vt:lpwstr>_Toc358816741</vt:lpwstr>
      </vt:variant>
      <vt:variant>
        <vt:i4>1572925</vt:i4>
      </vt:variant>
      <vt:variant>
        <vt:i4>398</vt:i4>
      </vt:variant>
      <vt:variant>
        <vt:i4>0</vt:i4>
      </vt:variant>
      <vt:variant>
        <vt:i4>5</vt:i4>
      </vt:variant>
      <vt:variant>
        <vt:lpwstr/>
      </vt:variant>
      <vt:variant>
        <vt:lpwstr>_Toc358816740</vt:lpwstr>
      </vt:variant>
      <vt:variant>
        <vt:i4>2031677</vt:i4>
      </vt:variant>
      <vt:variant>
        <vt:i4>392</vt:i4>
      </vt:variant>
      <vt:variant>
        <vt:i4>0</vt:i4>
      </vt:variant>
      <vt:variant>
        <vt:i4>5</vt:i4>
      </vt:variant>
      <vt:variant>
        <vt:lpwstr/>
      </vt:variant>
      <vt:variant>
        <vt:lpwstr>_Toc358816739</vt:lpwstr>
      </vt:variant>
      <vt:variant>
        <vt:i4>2031677</vt:i4>
      </vt:variant>
      <vt:variant>
        <vt:i4>386</vt:i4>
      </vt:variant>
      <vt:variant>
        <vt:i4>0</vt:i4>
      </vt:variant>
      <vt:variant>
        <vt:i4>5</vt:i4>
      </vt:variant>
      <vt:variant>
        <vt:lpwstr/>
      </vt:variant>
      <vt:variant>
        <vt:lpwstr>_Toc358816738</vt:lpwstr>
      </vt:variant>
      <vt:variant>
        <vt:i4>2031677</vt:i4>
      </vt:variant>
      <vt:variant>
        <vt:i4>380</vt:i4>
      </vt:variant>
      <vt:variant>
        <vt:i4>0</vt:i4>
      </vt:variant>
      <vt:variant>
        <vt:i4>5</vt:i4>
      </vt:variant>
      <vt:variant>
        <vt:lpwstr/>
      </vt:variant>
      <vt:variant>
        <vt:lpwstr>_Toc358816737</vt:lpwstr>
      </vt:variant>
      <vt:variant>
        <vt:i4>2031677</vt:i4>
      </vt:variant>
      <vt:variant>
        <vt:i4>374</vt:i4>
      </vt:variant>
      <vt:variant>
        <vt:i4>0</vt:i4>
      </vt:variant>
      <vt:variant>
        <vt:i4>5</vt:i4>
      </vt:variant>
      <vt:variant>
        <vt:lpwstr/>
      </vt:variant>
      <vt:variant>
        <vt:lpwstr>_Toc358816736</vt:lpwstr>
      </vt:variant>
      <vt:variant>
        <vt:i4>2031677</vt:i4>
      </vt:variant>
      <vt:variant>
        <vt:i4>368</vt:i4>
      </vt:variant>
      <vt:variant>
        <vt:i4>0</vt:i4>
      </vt:variant>
      <vt:variant>
        <vt:i4>5</vt:i4>
      </vt:variant>
      <vt:variant>
        <vt:lpwstr/>
      </vt:variant>
      <vt:variant>
        <vt:lpwstr>_Toc358816735</vt:lpwstr>
      </vt:variant>
      <vt:variant>
        <vt:i4>2031677</vt:i4>
      </vt:variant>
      <vt:variant>
        <vt:i4>362</vt:i4>
      </vt:variant>
      <vt:variant>
        <vt:i4>0</vt:i4>
      </vt:variant>
      <vt:variant>
        <vt:i4>5</vt:i4>
      </vt:variant>
      <vt:variant>
        <vt:lpwstr/>
      </vt:variant>
      <vt:variant>
        <vt:lpwstr>_Toc358816734</vt:lpwstr>
      </vt:variant>
      <vt:variant>
        <vt:i4>2031677</vt:i4>
      </vt:variant>
      <vt:variant>
        <vt:i4>356</vt:i4>
      </vt:variant>
      <vt:variant>
        <vt:i4>0</vt:i4>
      </vt:variant>
      <vt:variant>
        <vt:i4>5</vt:i4>
      </vt:variant>
      <vt:variant>
        <vt:lpwstr/>
      </vt:variant>
      <vt:variant>
        <vt:lpwstr>_Toc358816733</vt:lpwstr>
      </vt:variant>
      <vt:variant>
        <vt:i4>2031677</vt:i4>
      </vt:variant>
      <vt:variant>
        <vt:i4>350</vt:i4>
      </vt:variant>
      <vt:variant>
        <vt:i4>0</vt:i4>
      </vt:variant>
      <vt:variant>
        <vt:i4>5</vt:i4>
      </vt:variant>
      <vt:variant>
        <vt:lpwstr/>
      </vt:variant>
      <vt:variant>
        <vt:lpwstr>_Toc358816732</vt:lpwstr>
      </vt:variant>
      <vt:variant>
        <vt:i4>2031677</vt:i4>
      </vt:variant>
      <vt:variant>
        <vt:i4>344</vt:i4>
      </vt:variant>
      <vt:variant>
        <vt:i4>0</vt:i4>
      </vt:variant>
      <vt:variant>
        <vt:i4>5</vt:i4>
      </vt:variant>
      <vt:variant>
        <vt:lpwstr/>
      </vt:variant>
      <vt:variant>
        <vt:lpwstr>_Toc358816731</vt:lpwstr>
      </vt:variant>
      <vt:variant>
        <vt:i4>2031677</vt:i4>
      </vt:variant>
      <vt:variant>
        <vt:i4>338</vt:i4>
      </vt:variant>
      <vt:variant>
        <vt:i4>0</vt:i4>
      </vt:variant>
      <vt:variant>
        <vt:i4>5</vt:i4>
      </vt:variant>
      <vt:variant>
        <vt:lpwstr/>
      </vt:variant>
      <vt:variant>
        <vt:lpwstr>_Toc358816730</vt:lpwstr>
      </vt:variant>
      <vt:variant>
        <vt:i4>1966141</vt:i4>
      </vt:variant>
      <vt:variant>
        <vt:i4>332</vt:i4>
      </vt:variant>
      <vt:variant>
        <vt:i4>0</vt:i4>
      </vt:variant>
      <vt:variant>
        <vt:i4>5</vt:i4>
      </vt:variant>
      <vt:variant>
        <vt:lpwstr/>
      </vt:variant>
      <vt:variant>
        <vt:lpwstr>_Toc358816729</vt:lpwstr>
      </vt:variant>
      <vt:variant>
        <vt:i4>1966141</vt:i4>
      </vt:variant>
      <vt:variant>
        <vt:i4>326</vt:i4>
      </vt:variant>
      <vt:variant>
        <vt:i4>0</vt:i4>
      </vt:variant>
      <vt:variant>
        <vt:i4>5</vt:i4>
      </vt:variant>
      <vt:variant>
        <vt:lpwstr/>
      </vt:variant>
      <vt:variant>
        <vt:lpwstr>_Toc358816728</vt:lpwstr>
      </vt:variant>
      <vt:variant>
        <vt:i4>1966141</vt:i4>
      </vt:variant>
      <vt:variant>
        <vt:i4>320</vt:i4>
      </vt:variant>
      <vt:variant>
        <vt:i4>0</vt:i4>
      </vt:variant>
      <vt:variant>
        <vt:i4>5</vt:i4>
      </vt:variant>
      <vt:variant>
        <vt:lpwstr/>
      </vt:variant>
      <vt:variant>
        <vt:lpwstr>_Toc358816727</vt:lpwstr>
      </vt:variant>
      <vt:variant>
        <vt:i4>1966141</vt:i4>
      </vt:variant>
      <vt:variant>
        <vt:i4>314</vt:i4>
      </vt:variant>
      <vt:variant>
        <vt:i4>0</vt:i4>
      </vt:variant>
      <vt:variant>
        <vt:i4>5</vt:i4>
      </vt:variant>
      <vt:variant>
        <vt:lpwstr/>
      </vt:variant>
      <vt:variant>
        <vt:lpwstr>_Toc358816726</vt:lpwstr>
      </vt:variant>
      <vt:variant>
        <vt:i4>1966141</vt:i4>
      </vt:variant>
      <vt:variant>
        <vt:i4>308</vt:i4>
      </vt:variant>
      <vt:variant>
        <vt:i4>0</vt:i4>
      </vt:variant>
      <vt:variant>
        <vt:i4>5</vt:i4>
      </vt:variant>
      <vt:variant>
        <vt:lpwstr/>
      </vt:variant>
      <vt:variant>
        <vt:lpwstr>_Toc358816725</vt:lpwstr>
      </vt:variant>
      <vt:variant>
        <vt:i4>1966141</vt:i4>
      </vt:variant>
      <vt:variant>
        <vt:i4>302</vt:i4>
      </vt:variant>
      <vt:variant>
        <vt:i4>0</vt:i4>
      </vt:variant>
      <vt:variant>
        <vt:i4>5</vt:i4>
      </vt:variant>
      <vt:variant>
        <vt:lpwstr/>
      </vt:variant>
      <vt:variant>
        <vt:lpwstr>_Toc358816724</vt:lpwstr>
      </vt:variant>
      <vt:variant>
        <vt:i4>1966141</vt:i4>
      </vt:variant>
      <vt:variant>
        <vt:i4>296</vt:i4>
      </vt:variant>
      <vt:variant>
        <vt:i4>0</vt:i4>
      </vt:variant>
      <vt:variant>
        <vt:i4>5</vt:i4>
      </vt:variant>
      <vt:variant>
        <vt:lpwstr/>
      </vt:variant>
      <vt:variant>
        <vt:lpwstr>_Toc358816723</vt:lpwstr>
      </vt:variant>
      <vt:variant>
        <vt:i4>1966141</vt:i4>
      </vt:variant>
      <vt:variant>
        <vt:i4>290</vt:i4>
      </vt:variant>
      <vt:variant>
        <vt:i4>0</vt:i4>
      </vt:variant>
      <vt:variant>
        <vt:i4>5</vt:i4>
      </vt:variant>
      <vt:variant>
        <vt:lpwstr/>
      </vt:variant>
      <vt:variant>
        <vt:lpwstr>_Toc358816722</vt:lpwstr>
      </vt:variant>
      <vt:variant>
        <vt:i4>1966141</vt:i4>
      </vt:variant>
      <vt:variant>
        <vt:i4>284</vt:i4>
      </vt:variant>
      <vt:variant>
        <vt:i4>0</vt:i4>
      </vt:variant>
      <vt:variant>
        <vt:i4>5</vt:i4>
      </vt:variant>
      <vt:variant>
        <vt:lpwstr/>
      </vt:variant>
      <vt:variant>
        <vt:lpwstr>_Toc358816721</vt:lpwstr>
      </vt:variant>
      <vt:variant>
        <vt:i4>1966141</vt:i4>
      </vt:variant>
      <vt:variant>
        <vt:i4>278</vt:i4>
      </vt:variant>
      <vt:variant>
        <vt:i4>0</vt:i4>
      </vt:variant>
      <vt:variant>
        <vt:i4>5</vt:i4>
      </vt:variant>
      <vt:variant>
        <vt:lpwstr/>
      </vt:variant>
      <vt:variant>
        <vt:lpwstr>_Toc358816720</vt:lpwstr>
      </vt:variant>
      <vt:variant>
        <vt:i4>1900605</vt:i4>
      </vt:variant>
      <vt:variant>
        <vt:i4>272</vt:i4>
      </vt:variant>
      <vt:variant>
        <vt:i4>0</vt:i4>
      </vt:variant>
      <vt:variant>
        <vt:i4>5</vt:i4>
      </vt:variant>
      <vt:variant>
        <vt:lpwstr/>
      </vt:variant>
      <vt:variant>
        <vt:lpwstr>_Toc358816719</vt:lpwstr>
      </vt:variant>
      <vt:variant>
        <vt:i4>1900605</vt:i4>
      </vt:variant>
      <vt:variant>
        <vt:i4>266</vt:i4>
      </vt:variant>
      <vt:variant>
        <vt:i4>0</vt:i4>
      </vt:variant>
      <vt:variant>
        <vt:i4>5</vt:i4>
      </vt:variant>
      <vt:variant>
        <vt:lpwstr/>
      </vt:variant>
      <vt:variant>
        <vt:lpwstr>_Toc358816718</vt:lpwstr>
      </vt:variant>
      <vt:variant>
        <vt:i4>1900605</vt:i4>
      </vt:variant>
      <vt:variant>
        <vt:i4>260</vt:i4>
      </vt:variant>
      <vt:variant>
        <vt:i4>0</vt:i4>
      </vt:variant>
      <vt:variant>
        <vt:i4>5</vt:i4>
      </vt:variant>
      <vt:variant>
        <vt:lpwstr/>
      </vt:variant>
      <vt:variant>
        <vt:lpwstr>_Toc358816717</vt:lpwstr>
      </vt:variant>
      <vt:variant>
        <vt:i4>1900605</vt:i4>
      </vt:variant>
      <vt:variant>
        <vt:i4>254</vt:i4>
      </vt:variant>
      <vt:variant>
        <vt:i4>0</vt:i4>
      </vt:variant>
      <vt:variant>
        <vt:i4>5</vt:i4>
      </vt:variant>
      <vt:variant>
        <vt:lpwstr/>
      </vt:variant>
      <vt:variant>
        <vt:lpwstr>_Toc358816716</vt:lpwstr>
      </vt:variant>
      <vt:variant>
        <vt:i4>1900605</vt:i4>
      </vt:variant>
      <vt:variant>
        <vt:i4>248</vt:i4>
      </vt:variant>
      <vt:variant>
        <vt:i4>0</vt:i4>
      </vt:variant>
      <vt:variant>
        <vt:i4>5</vt:i4>
      </vt:variant>
      <vt:variant>
        <vt:lpwstr/>
      </vt:variant>
      <vt:variant>
        <vt:lpwstr>_Toc358816715</vt:lpwstr>
      </vt:variant>
      <vt:variant>
        <vt:i4>1900605</vt:i4>
      </vt:variant>
      <vt:variant>
        <vt:i4>242</vt:i4>
      </vt:variant>
      <vt:variant>
        <vt:i4>0</vt:i4>
      </vt:variant>
      <vt:variant>
        <vt:i4>5</vt:i4>
      </vt:variant>
      <vt:variant>
        <vt:lpwstr/>
      </vt:variant>
      <vt:variant>
        <vt:lpwstr>_Toc358816714</vt:lpwstr>
      </vt:variant>
      <vt:variant>
        <vt:i4>1900605</vt:i4>
      </vt:variant>
      <vt:variant>
        <vt:i4>236</vt:i4>
      </vt:variant>
      <vt:variant>
        <vt:i4>0</vt:i4>
      </vt:variant>
      <vt:variant>
        <vt:i4>5</vt:i4>
      </vt:variant>
      <vt:variant>
        <vt:lpwstr/>
      </vt:variant>
      <vt:variant>
        <vt:lpwstr>_Toc358816713</vt:lpwstr>
      </vt:variant>
      <vt:variant>
        <vt:i4>1900605</vt:i4>
      </vt:variant>
      <vt:variant>
        <vt:i4>230</vt:i4>
      </vt:variant>
      <vt:variant>
        <vt:i4>0</vt:i4>
      </vt:variant>
      <vt:variant>
        <vt:i4>5</vt:i4>
      </vt:variant>
      <vt:variant>
        <vt:lpwstr/>
      </vt:variant>
      <vt:variant>
        <vt:lpwstr>_Toc358816712</vt:lpwstr>
      </vt:variant>
      <vt:variant>
        <vt:i4>1900605</vt:i4>
      </vt:variant>
      <vt:variant>
        <vt:i4>224</vt:i4>
      </vt:variant>
      <vt:variant>
        <vt:i4>0</vt:i4>
      </vt:variant>
      <vt:variant>
        <vt:i4>5</vt:i4>
      </vt:variant>
      <vt:variant>
        <vt:lpwstr/>
      </vt:variant>
      <vt:variant>
        <vt:lpwstr>_Toc358816711</vt:lpwstr>
      </vt:variant>
      <vt:variant>
        <vt:i4>1900605</vt:i4>
      </vt:variant>
      <vt:variant>
        <vt:i4>218</vt:i4>
      </vt:variant>
      <vt:variant>
        <vt:i4>0</vt:i4>
      </vt:variant>
      <vt:variant>
        <vt:i4>5</vt:i4>
      </vt:variant>
      <vt:variant>
        <vt:lpwstr/>
      </vt:variant>
      <vt:variant>
        <vt:lpwstr>_Toc358816710</vt:lpwstr>
      </vt:variant>
      <vt:variant>
        <vt:i4>1835069</vt:i4>
      </vt:variant>
      <vt:variant>
        <vt:i4>212</vt:i4>
      </vt:variant>
      <vt:variant>
        <vt:i4>0</vt:i4>
      </vt:variant>
      <vt:variant>
        <vt:i4>5</vt:i4>
      </vt:variant>
      <vt:variant>
        <vt:lpwstr/>
      </vt:variant>
      <vt:variant>
        <vt:lpwstr>_Toc358816709</vt:lpwstr>
      </vt:variant>
      <vt:variant>
        <vt:i4>1835069</vt:i4>
      </vt:variant>
      <vt:variant>
        <vt:i4>206</vt:i4>
      </vt:variant>
      <vt:variant>
        <vt:i4>0</vt:i4>
      </vt:variant>
      <vt:variant>
        <vt:i4>5</vt:i4>
      </vt:variant>
      <vt:variant>
        <vt:lpwstr/>
      </vt:variant>
      <vt:variant>
        <vt:lpwstr>_Toc358816708</vt:lpwstr>
      </vt:variant>
      <vt:variant>
        <vt:i4>1835069</vt:i4>
      </vt:variant>
      <vt:variant>
        <vt:i4>200</vt:i4>
      </vt:variant>
      <vt:variant>
        <vt:i4>0</vt:i4>
      </vt:variant>
      <vt:variant>
        <vt:i4>5</vt:i4>
      </vt:variant>
      <vt:variant>
        <vt:lpwstr/>
      </vt:variant>
      <vt:variant>
        <vt:lpwstr>_Toc358816707</vt:lpwstr>
      </vt:variant>
      <vt:variant>
        <vt:i4>1835069</vt:i4>
      </vt:variant>
      <vt:variant>
        <vt:i4>194</vt:i4>
      </vt:variant>
      <vt:variant>
        <vt:i4>0</vt:i4>
      </vt:variant>
      <vt:variant>
        <vt:i4>5</vt:i4>
      </vt:variant>
      <vt:variant>
        <vt:lpwstr/>
      </vt:variant>
      <vt:variant>
        <vt:lpwstr>_Toc358816706</vt:lpwstr>
      </vt:variant>
      <vt:variant>
        <vt:i4>1835069</vt:i4>
      </vt:variant>
      <vt:variant>
        <vt:i4>188</vt:i4>
      </vt:variant>
      <vt:variant>
        <vt:i4>0</vt:i4>
      </vt:variant>
      <vt:variant>
        <vt:i4>5</vt:i4>
      </vt:variant>
      <vt:variant>
        <vt:lpwstr/>
      </vt:variant>
      <vt:variant>
        <vt:lpwstr>_Toc358816705</vt:lpwstr>
      </vt:variant>
      <vt:variant>
        <vt:i4>1835069</vt:i4>
      </vt:variant>
      <vt:variant>
        <vt:i4>182</vt:i4>
      </vt:variant>
      <vt:variant>
        <vt:i4>0</vt:i4>
      </vt:variant>
      <vt:variant>
        <vt:i4>5</vt:i4>
      </vt:variant>
      <vt:variant>
        <vt:lpwstr/>
      </vt:variant>
      <vt:variant>
        <vt:lpwstr>_Toc358816704</vt:lpwstr>
      </vt:variant>
      <vt:variant>
        <vt:i4>1835069</vt:i4>
      </vt:variant>
      <vt:variant>
        <vt:i4>176</vt:i4>
      </vt:variant>
      <vt:variant>
        <vt:i4>0</vt:i4>
      </vt:variant>
      <vt:variant>
        <vt:i4>5</vt:i4>
      </vt:variant>
      <vt:variant>
        <vt:lpwstr/>
      </vt:variant>
      <vt:variant>
        <vt:lpwstr>_Toc358816703</vt:lpwstr>
      </vt:variant>
      <vt:variant>
        <vt:i4>1835069</vt:i4>
      </vt:variant>
      <vt:variant>
        <vt:i4>170</vt:i4>
      </vt:variant>
      <vt:variant>
        <vt:i4>0</vt:i4>
      </vt:variant>
      <vt:variant>
        <vt:i4>5</vt:i4>
      </vt:variant>
      <vt:variant>
        <vt:lpwstr/>
      </vt:variant>
      <vt:variant>
        <vt:lpwstr>_Toc358816702</vt:lpwstr>
      </vt:variant>
      <vt:variant>
        <vt:i4>1835069</vt:i4>
      </vt:variant>
      <vt:variant>
        <vt:i4>164</vt:i4>
      </vt:variant>
      <vt:variant>
        <vt:i4>0</vt:i4>
      </vt:variant>
      <vt:variant>
        <vt:i4>5</vt:i4>
      </vt:variant>
      <vt:variant>
        <vt:lpwstr/>
      </vt:variant>
      <vt:variant>
        <vt:lpwstr>_Toc358816701</vt:lpwstr>
      </vt:variant>
      <vt:variant>
        <vt:i4>1835069</vt:i4>
      </vt:variant>
      <vt:variant>
        <vt:i4>158</vt:i4>
      </vt:variant>
      <vt:variant>
        <vt:i4>0</vt:i4>
      </vt:variant>
      <vt:variant>
        <vt:i4>5</vt:i4>
      </vt:variant>
      <vt:variant>
        <vt:lpwstr/>
      </vt:variant>
      <vt:variant>
        <vt:lpwstr>_Toc358816700</vt:lpwstr>
      </vt:variant>
      <vt:variant>
        <vt:i4>1376316</vt:i4>
      </vt:variant>
      <vt:variant>
        <vt:i4>152</vt:i4>
      </vt:variant>
      <vt:variant>
        <vt:i4>0</vt:i4>
      </vt:variant>
      <vt:variant>
        <vt:i4>5</vt:i4>
      </vt:variant>
      <vt:variant>
        <vt:lpwstr/>
      </vt:variant>
      <vt:variant>
        <vt:lpwstr>_Toc358816699</vt:lpwstr>
      </vt:variant>
      <vt:variant>
        <vt:i4>1376316</vt:i4>
      </vt:variant>
      <vt:variant>
        <vt:i4>146</vt:i4>
      </vt:variant>
      <vt:variant>
        <vt:i4>0</vt:i4>
      </vt:variant>
      <vt:variant>
        <vt:i4>5</vt:i4>
      </vt:variant>
      <vt:variant>
        <vt:lpwstr/>
      </vt:variant>
      <vt:variant>
        <vt:lpwstr>_Toc358816698</vt:lpwstr>
      </vt:variant>
      <vt:variant>
        <vt:i4>1376316</vt:i4>
      </vt:variant>
      <vt:variant>
        <vt:i4>140</vt:i4>
      </vt:variant>
      <vt:variant>
        <vt:i4>0</vt:i4>
      </vt:variant>
      <vt:variant>
        <vt:i4>5</vt:i4>
      </vt:variant>
      <vt:variant>
        <vt:lpwstr/>
      </vt:variant>
      <vt:variant>
        <vt:lpwstr>_Toc358816697</vt:lpwstr>
      </vt:variant>
      <vt:variant>
        <vt:i4>1376316</vt:i4>
      </vt:variant>
      <vt:variant>
        <vt:i4>134</vt:i4>
      </vt:variant>
      <vt:variant>
        <vt:i4>0</vt:i4>
      </vt:variant>
      <vt:variant>
        <vt:i4>5</vt:i4>
      </vt:variant>
      <vt:variant>
        <vt:lpwstr/>
      </vt:variant>
      <vt:variant>
        <vt:lpwstr>_Toc358816696</vt:lpwstr>
      </vt:variant>
      <vt:variant>
        <vt:i4>1376316</vt:i4>
      </vt:variant>
      <vt:variant>
        <vt:i4>128</vt:i4>
      </vt:variant>
      <vt:variant>
        <vt:i4>0</vt:i4>
      </vt:variant>
      <vt:variant>
        <vt:i4>5</vt:i4>
      </vt:variant>
      <vt:variant>
        <vt:lpwstr/>
      </vt:variant>
      <vt:variant>
        <vt:lpwstr>_Toc358816695</vt:lpwstr>
      </vt:variant>
      <vt:variant>
        <vt:i4>1376316</vt:i4>
      </vt:variant>
      <vt:variant>
        <vt:i4>122</vt:i4>
      </vt:variant>
      <vt:variant>
        <vt:i4>0</vt:i4>
      </vt:variant>
      <vt:variant>
        <vt:i4>5</vt:i4>
      </vt:variant>
      <vt:variant>
        <vt:lpwstr/>
      </vt:variant>
      <vt:variant>
        <vt:lpwstr>_Toc358816694</vt:lpwstr>
      </vt:variant>
      <vt:variant>
        <vt:i4>1376316</vt:i4>
      </vt:variant>
      <vt:variant>
        <vt:i4>116</vt:i4>
      </vt:variant>
      <vt:variant>
        <vt:i4>0</vt:i4>
      </vt:variant>
      <vt:variant>
        <vt:i4>5</vt:i4>
      </vt:variant>
      <vt:variant>
        <vt:lpwstr/>
      </vt:variant>
      <vt:variant>
        <vt:lpwstr>_Toc358816693</vt:lpwstr>
      </vt:variant>
      <vt:variant>
        <vt:i4>1376316</vt:i4>
      </vt:variant>
      <vt:variant>
        <vt:i4>110</vt:i4>
      </vt:variant>
      <vt:variant>
        <vt:i4>0</vt:i4>
      </vt:variant>
      <vt:variant>
        <vt:i4>5</vt:i4>
      </vt:variant>
      <vt:variant>
        <vt:lpwstr/>
      </vt:variant>
      <vt:variant>
        <vt:lpwstr>_Toc358816692</vt:lpwstr>
      </vt:variant>
      <vt:variant>
        <vt:i4>1376316</vt:i4>
      </vt:variant>
      <vt:variant>
        <vt:i4>104</vt:i4>
      </vt:variant>
      <vt:variant>
        <vt:i4>0</vt:i4>
      </vt:variant>
      <vt:variant>
        <vt:i4>5</vt:i4>
      </vt:variant>
      <vt:variant>
        <vt:lpwstr/>
      </vt:variant>
      <vt:variant>
        <vt:lpwstr>_Toc358816691</vt:lpwstr>
      </vt:variant>
      <vt:variant>
        <vt:i4>1376316</vt:i4>
      </vt:variant>
      <vt:variant>
        <vt:i4>98</vt:i4>
      </vt:variant>
      <vt:variant>
        <vt:i4>0</vt:i4>
      </vt:variant>
      <vt:variant>
        <vt:i4>5</vt:i4>
      </vt:variant>
      <vt:variant>
        <vt:lpwstr/>
      </vt:variant>
      <vt:variant>
        <vt:lpwstr>_Toc358816690</vt:lpwstr>
      </vt:variant>
      <vt:variant>
        <vt:i4>1310780</vt:i4>
      </vt:variant>
      <vt:variant>
        <vt:i4>92</vt:i4>
      </vt:variant>
      <vt:variant>
        <vt:i4>0</vt:i4>
      </vt:variant>
      <vt:variant>
        <vt:i4>5</vt:i4>
      </vt:variant>
      <vt:variant>
        <vt:lpwstr/>
      </vt:variant>
      <vt:variant>
        <vt:lpwstr>_Toc358816689</vt:lpwstr>
      </vt:variant>
      <vt:variant>
        <vt:i4>1310780</vt:i4>
      </vt:variant>
      <vt:variant>
        <vt:i4>86</vt:i4>
      </vt:variant>
      <vt:variant>
        <vt:i4>0</vt:i4>
      </vt:variant>
      <vt:variant>
        <vt:i4>5</vt:i4>
      </vt:variant>
      <vt:variant>
        <vt:lpwstr/>
      </vt:variant>
      <vt:variant>
        <vt:lpwstr>_Toc358816688</vt:lpwstr>
      </vt:variant>
      <vt:variant>
        <vt:i4>1310780</vt:i4>
      </vt:variant>
      <vt:variant>
        <vt:i4>80</vt:i4>
      </vt:variant>
      <vt:variant>
        <vt:i4>0</vt:i4>
      </vt:variant>
      <vt:variant>
        <vt:i4>5</vt:i4>
      </vt:variant>
      <vt:variant>
        <vt:lpwstr/>
      </vt:variant>
      <vt:variant>
        <vt:lpwstr>_Toc358816687</vt:lpwstr>
      </vt:variant>
      <vt:variant>
        <vt:i4>1310780</vt:i4>
      </vt:variant>
      <vt:variant>
        <vt:i4>74</vt:i4>
      </vt:variant>
      <vt:variant>
        <vt:i4>0</vt:i4>
      </vt:variant>
      <vt:variant>
        <vt:i4>5</vt:i4>
      </vt:variant>
      <vt:variant>
        <vt:lpwstr/>
      </vt:variant>
      <vt:variant>
        <vt:lpwstr>_Toc358816686</vt:lpwstr>
      </vt:variant>
      <vt:variant>
        <vt:i4>1310780</vt:i4>
      </vt:variant>
      <vt:variant>
        <vt:i4>68</vt:i4>
      </vt:variant>
      <vt:variant>
        <vt:i4>0</vt:i4>
      </vt:variant>
      <vt:variant>
        <vt:i4>5</vt:i4>
      </vt:variant>
      <vt:variant>
        <vt:lpwstr/>
      </vt:variant>
      <vt:variant>
        <vt:lpwstr>_Toc358816685</vt:lpwstr>
      </vt:variant>
      <vt:variant>
        <vt:i4>1310780</vt:i4>
      </vt:variant>
      <vt:variant>
        <vt:i4>62</vt:i4>
      </vt:variant>
      <vt:variant>
        <vt:i4>0</vt:i4>
      </vt:variant>
      <vt:variant>
        <vt:i4>5</vt:i4>
      </vt:variant>
      <vt:variant>
        <vt:lpwstr/>
      </vt:variant>
      <vt:variant>
        <vt:lpwstr>_Toc358816684</vt:lpwstr>
      </vt:variant>
      <vt:variant>
        <vt:i4>1310780</vt:i4>
      </vt:variant>
      <vt:variant>
        <vt:i4>56</vt:i4>
      </vt:variant>
      <vt:variant>
        <vt:i4>0</vt:i4>
      </vt:variant>
      <vt:variant>
        <vt:i4>5</vt:i4>
      </vt:variant>
      <vt:variant>
        <vt:lpwstr/>
      </vt:variant>
      <vt:variant>
        <vt:lpwstr>_Toc358816683</vt:lpwstr>
      </vt:variant>
      <vt:variant>
        <vt:i4>1310780</vt:i4>
      </vt:variant>
      <vt:variant>
        <vt:i4>50</vt:i4>
      </vt:variant>
      <vt:variant>
        <vt:i4>0</vt:i4>
      </vt:variant>
      <vt:variant>
        <vt:i4>5</vt:i4>
      </vt:variant>
      <vt:variant>
        <vt:lpwstr/>
      </vt:variant>
      <vt:variant>
        <vt:lpwstr>_Toc358816682</vt:lpwstr>
      </vt:variant>
      <vt:variant>
        <vt:i4>1310780</vt:i4>
      </vt:variant>
      <vt:variant>
        <vt:i4>44</vt:i4>
      </vt:variant>
      <vt:variant>
        <vt:i4>0</vt:i4>
      </vt:variant>
      <vt:variant>
        <vt:i4>5</vt:i4>
      </vt:variant>
      <vt:variant>
        <vt:lpwstr/>
      </vt:variant>
      <vt:variant>
        <vt:lpwstr>_Toc358816681</vt:lpwstr>
      </vt:variant>
      <vt:variant>
        <vt:i4>1310780</vt:i4>
      </vt:variant>
      <vt:variant>
        <vt:i4>38</vt:i4>
      </vt:variant>
      <vt:variant>
        <vt:i4>0</vt:i4>
      </vt:variant>
      <vt:variant>
        <vt:i4>5</vt:i4>
      </vt:variant>
      <vt:variant>
        <vt:lpwstr/>
      </vt:variant>
      <vt:variant>
        <vt:lpwstr>_Toc358816680</vt:lpwstr>
      </vt:variant>
      <vt:variant>
        <vt:i4>1769532</vt:i4>
      </vt:variant>
      <vt:variant>
        <vt:i4>32</vt:i4>
      </vt:variant>
      <vt:variant>
        <vt:i4>0</vt:i4>
      </vt:variant>
      <vt:variant>
        <vt:i4>5</vt:i4>
      </vt:variant>
      <vt:variant>
        <vt:lpwstr/>
      </vt:variant>
      <vt:variant>
        <vt:lpwstr>_Toc358816679</vt:lpwstr>
      </vt:variant>
      <vt:variant>
        <vt:i4>1769532</vt:i4>
      </vt:variant>
      <vt:variant>
        <vt:i4>26</vt:i4>
      </vt:variant>
      <vt:variant>
        <vt:i4>0</vt:i4>
      </vt:variant>
      <vt:variant>
        <vt:i4>5</vt:i4>
      </vt:variant>
      <vt:variant>
        <vt:lpwstr/>
      </vt:variant>
      <vt:variant>
        <vt:lpwstr>_Toc358816678</vt:lpwstr>
      </vt:variant>
      <vt:variant>
        <vt:i4>1769532</vt:i4>
      </vt:variant>
      <vt:variant>
        <vt:i4>20</vt:i4>
      </vt:variant>
      <vt:variant>
        <vt:i4>0</vt:i4>
      </vt:variant>
      <vt:variant>
        <vt:i4>5</vt:i4>
      </vt:variant>
      <vt:variant>
        <vt:lpwstr/>
      </vt:variant>
      <vt:variant>
        <vt:lpwstr>_Toc358816677</vt:lpwstr>
      </vt:variant>
      <vt:variant>
        <vt:i4>1769532</vt:i4>
      </vt:variant>
      <vt:variant>
        <vt:i4>14</vt:i4>
      </vt:variant>
      <vt:variant>
        <vt:i4>0</vt:i4>
      </vt:variant>
      <vt:variant>
        <vt:i4>5</vt:i4>
      </vt:variant>
      <vt:variant>
        <vt:lpwstr/>
      </vt:variant>
      <vt:variant>
        <vt:lpwstr>_Toc358816676</vt:lpwstr>
      </vt:variant>
      <vt:variant>
        <vt:i4>1769532</vt:i4>
      </vt:variant>
      <vt:variant>
        <vt:i4>8</vt:i4>
      </vt:variant>
      <vt:variant>
        <vt:i4>0</vt:i4>
      </vt:variant>
      <vt:variant>
        <vt:i4>5</vt:i4>
      </vt:variant>
      <vt:variant>
        <vt:lpwstr/>
      </vt:variant>
      <vt:variant>
        <vt:lpwstr>_Toc358816675</vt:lpwstr>
      </vt:variant>
      <vt:variant>
        <vt:i4>1769532</vt:i4>
      </vt:variant>
      <vt:variant>
        <vt:i4>2</vt:i4>
      </vt:variant>
      <vt:variant>
        <vt:i4>0</vt:i4>
      </vt:variant>
      <vt:variant>
        <vt:i4>5</vt:i4>
      </vt:variant>
      <vt:variant>
        <vt:lpwstr/>
      </vt:variant>
      <vt:variant>
        <vt:lpwstr>_Toc358816674</vt:lpwstr>
      </vt:variant>
      <vt:variant>
        <vt:i4>5439588</vt:i4>
      </vt:variant>
      <vt:variant>
        <vt:i4>6</vt:i4>
      </vt:variant>
      <vt:variant>
        <vt:i4>0</vt:i4>
      </vt:variant>
      <vt:variant>
        <vt:i4>5</vt:i4>
      </vt:variant>
      <vt:variant>
        <vt:lpwstr>http://www.wipo.int/edocs/mdocs/govbody/es/a_42/a_42_10-annex3.pdf</vt:lpwstr>
      </vt:variant>
      <vt:variant>
        <vt:lpwstr/>
      </vt:variant>
      <vt:variant>
        <vt:i4>3997699</vt:i4>
      </vt:variant>
      <vt:variant>
        <vt:i4>3</vt:i4>
      </vt:variant>
      <vt:variant>
        <vt:i4>0</vt:i4>
      </vt:variant>
      <vt:variant>
        <vt:i4>5</vt:i4>
      </vt:variant>
      <vt:variant>
        <vt:lpwstr>http://www.wipo.int/edocs/mdocs/mdocs/en/cdip_4/cdip_4_3_rev_study_inf_3.pdf</vt:lpwstr>
      </vt:variant>
      <vt:variant>
        <vt:lpwstr/>
      </vt:variant>
      <vt:variant>
        <vt:i4>5832757</vt:i4>
      </vt:variant>
      <vt:variant>
        <vt:i4>0</vt:i4>
      </vt:variant>
      <vt:variant>
        <vt:i4>0</vt:i4>
      </vt:variant>
      <vt:variant>
        <vt:i4>5</vt:i4>
      </vt:variant>
      <vt:variant>
        <vt:lpwstr>http://www.wipo.int/patentscope/en/programs/patent_landscapes/index.html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Proyecto de propuesta de presupuesto por programas para el bienio 2014/15</dc:title>
  <dc:subject>WO/PBC/20/3</dc:subject>
  <dc:creator>ZEPEDA LEISTENSCHNEIDER Verónica</dc:creator>
  <dc:description>CPV/JC/LM/KP/ID/CGB/MB/MH/nc/dl/vz
28/05/2013</dc:description>
  <cp:lastModifiedBy>BOU LLORET Amparo</cp:lastModifiedBy>
  <cp:revision>14</cp:revision>
  <cp:lastPrinted>2013-09-22T20:14:00Z</cp:lastPrinted>
  <dcterms:created xsi:type="dcterms:W3CDTF">2013-09-22T14:25:00Z</dcterms:created>
  <dcterms:modified xsi:type="dcterms:W3CDTF">2013-09-22T20:18:00Z</dcterms:modified>
</cp:coreProperties>
</file>