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84350" w:rsidTr="0088395E">
        <w:tc>
          <w:tcPr>
            <w:tcW w:w="4513" w:type="dxa"/>
            <w:tcBorders>
              <w:bottom w:val="single" w:sz="4" w:space="0" w:color="auto"/>
            </w:tcBorders>
            <w:tcMar>
              <w:bottom w:w="170" w:type="dxa"/>
            </w:tcMar>
          </w:tcPr>
          <w:p w:rsidR="00E504E5" w:rsidRPr="00E84350" w:rsidRDefault="00E504E5" w:rsidP="00AB613D"/>
        </w:tc>
        <w:tc>
          <w:tcPr>
            <w:tcW w:w="4337" w:type="dxa"/>
            <w:tcBorders>
              <w:bottom w:val="single" w:sz="4" w:space="0" w:color="auto"/>
            </w:tcBorders>
            <w:tcMar>
              <w:left w:w="0" w:type="dxa"/>
              <w:right w:w="0" w:type="dxa"/>
            </w:tcMar>
          </w:tcPr>
          <w:p w:rsidR="00E504E5" w:rsidRPr="00E84350" w:rsidRDefault="0029671E" w:rsidP="00AB613D">
            <w:r w:rsidRPr="00E84350">
              <w:rPr>
                <w:noProof/>
                <w:lang w:val="en-US" w:eastAsia="en-US"/>
              </w:rPr>
              <w:drawing>
                <wp:inline distT="0" distB="0" distL="0" distR="0" wp14:anchorId="68B9142E" wp14:editId="1F480BF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84350" w:rsidRDefault="00E504E5" w:rsidP="00AB613D">
            <w:pPr>
              <w:jc w:val="right"/>
            </w:pPr>
            <w:r w:rsidRPr="00E84350">
              <w:rPr>
                <w:b/>
                <w:sz w:val="40"/>
                <w:szCs w:val="40"/>
              </w:rPr>
              <w:t>S</w:t>
            </w:r>
          </w:p>
        </w:tc>
      </w:tr>
      <w:tr w:rsidR="008B2CC1" w:rsidRPr="00E8435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84350" w:rsidRDefault="00251CE2" w:rsidP="00AB613D">
            <w:pPr>
              <w:jc w:val="right"/>
              <w:rPr>
                <w:rFonts w:ascii="Arial Black" w:hAnsi="Arial Black"/>
                <w:caps/>
                <w:sz w:val="15"/>
              </w:rPr>
            </w:pPr>
            <w:r w:rsidRPr="00E84350">
              <w:rPr>
                <w:rFonts w:ascii="Arial Black" w:hAnsi="Arial Black"/>
                <w:caps/>
                <w:sz w:val="15"/>
              </w:rPr>
              <w:t>A/56/</w:t>
            </w:r>
            <w:bookmarkStart w:id="0" w:name="Code"/>
            <w:bookmarkEnd w:id="0"/>
            <w:r w:rsidR="002C0F77" w:rsidRPr="00E84350">
              <w:rPr>
                <w:rFonts w:ascii="Arial Black" w:hAnsi="Arial Black"/>
                <w:caps/>
                <w:sz w:val="15"/>
              </w:rPr>
              <w:t>INF/5</w:t>
            </w:r>
          </w:p>
        </w:tc>
      </w:tr>
      <w:tr w:rsidR="008B2CC1" w:rsidRPr="00E84350" w:rsidTr="00AB613D">
        <w:trPr>
          <w:trHeight w:hRule="exact" w:val="170"/>
        </w:trPr>
        <w:tc>
          <w:tcPr>
            <w:tcW w:w="9356" w:type="dxa"/>
            <w:gridSpan w:val="3"/>
            <w:noWrap/>
            <w:tcMar>
              <w:left w:w="0" w:type="dxa"/>
              <w:right w:w="0" w:type="dxa"/>
            </w:tcMar>
            <w:vAlign w:val="bottom"/>
          </w:tcPr>
          <w:p w:rsidR="008B2CC1" w:rsidRPr="00E84350" w:rsidRDefault="008B2CC1" w:rsidP="0046793F">
            <w:pPr>
              <w:jc w:val="right"/>
              <w:rPr>
                <w:rFonts w:ascii="Arial Black" w:hAnsi="Arial Black"/>
                <w:caps/>
                <w:sz w:val="15"/>
              </w:rPr>
            </w:pPr>
            <w:r w:rsidRPr="00E84350">
              <w:rPr>
                <w:rFonts w:ascii="Arial Black" w:hAnsi="Arial Black"/>
                <w:caps/>
                <w:sz w:val="15"/>
              </w:rPr>
              <w:t xml:space="preserve">ORIGINAL: </w:t>
            </w:r>
            <w:bookmarkStart w:id="1" w:name="Original"/>
            <w:bookmarkEnd w:id="1"/>
            <w:r w:rsidR="002C0F77" w:rsidRPr="00E84350">
              <w:rPr>
                <w:rFonts w:ascii="Arial Black" w:hAnsi="Arial Black"/>
                <w:caps/>
                <w:sz w:val="15"/>
              </w:rPr>
              <w:t xml:space="preserve"> INGLÉS</w:t>
            </w:r>
          </w:p>
        </w:tc>
      </w:tr>
      <w:tr w:rsidR="008B2CC1" w:rsidRPr="00E84350" w:rsidTr="00AB613D">
        <w:trPr>
          <w:trHeight w:hRule="exact" w:val="198"/>
        </w:trPr>
        <w:tc>
          <w:tcPr>
            <w:tcW w:w="9356" w:type="dxa"/>
            <w:gridSpan w:val="3"/>
            <w:tcMar>
              <w:left w:w="0" w:type="dxa"/>
              <w:right w:w="0" w:type="dxa"/>
            </w:tcMar>
            <w:vAlign w:val="bottom"/>
          </w:tcPr>
          <w:p w:rsidR="008B2CC1" w:rsidRPr="00E84350" w:rsidRDefault="00675021" w:rsidP="00224450">
            <w:pPr>
              <w:jc w:val="right"/>
              <w:rPr>
                <w:rFonts w:ascii="Arial Black" w:hAnsi="Arial Black"/>
                <w:caps/>
                <w:sz w:val="15"/>
              </w:rPr>
            </w:pPr>
            <w:r w:rsidRPr="00E84350">
              <w:rPr>
                <w:rFonts w:ascii="Arial Black" w:hAnsi="Arial Black"/>
                <w:caps/>
                <w:sz w:val="15"/>
              </w:rPr>
              <w:t>fecha</w:t>
            </w:r>
            <w:r w:rsidR="008B2CC1" w:rsidRPr="00E84350">
              <w:rPr>
                <w:rFonts w:ascii="Arial Black" w:hAnsi="Arial Black"/>
                <w:caps/>
                <w:sz w:val="15"/>
              </w:rPr>
              <w:t xml:space="preserve">: </w:t>
            </w:r>
            <w:bookmarkStart w:id="2" w:name="Date"/>
            <w:bookmarkEnd w:id="2"/>
            <w:r w:rsidR="002C0F77" w:rsidRPr="00E84350">
              <w:rPr>
                <w:rFonts w:ascii="Arial Black" w:hAnsi="Arial Black"/>
                <w:caps/>
                <w:sz w:val="15"/>
              </w:rPr>
              <w:t xml:space="preserve"> </w:t>
            </w:r>
            <w:r w:rsidR="00224450">
              <w:rPr>
                <w:rFonts w:ascii="Arial Black" w:hAnsi="Arial Black"/>
                <w:caps/>
                <w:sz w:val="15"/>
              </w:rPr>
              <w:t>18</w:t>
            </w:r>
            <w:r w:rsidR="002C0F77" w:rsidRPr="00E84350">
              <w:rPr>
                <w:rFonts w:ascii="Arial Black" w:hAnsi="Arial Black"/>
                <w:caps/>
                <w:sz w:val="15"/>
              </w:rPr>
              <w:t xml:space="preserve"> DE JU</w:t>
            </w:r>
            <w:r w:rsidR="00224450">
              <w:rPr>
                <w:rFonts w:ascii="Arial Black" w:hAnsi="Arial Black"/>
                <w:caps/>
                <w:sz w:val="15"/>
              </w:rPr>
              <w:t>l</w:t>
            </w:r>
            <w:r w:rsidR="002C0F77" w:rsidRPr="00E84350">
              <w:rPr>
                <w:rFonts w:ascii="Arial Black" w:hAnsi="Arial Black"/>
                <w:caps/>
                <w:sz w:val="15"/>
              </w:rPr>
              <w:t>IO DE 2016</w:t>
            </w:r>
          </w:p>
        </w:tc>
      </w:tr>
    </w:tbl>
    <w:p w:rsidR="008B2CC1" w:rsidRPr="00E84350" w:rsidRDefault="008B2CC1" w:rsidP="008B2CC1"/>
    <w:p w:rsidR="008B2CC1" w:rsidRPr="00E84350" w:rsidRDefault="008B2CC1" w:rsidP="008B2CC1"/>
    <w:p w:rsidR="008B2CC1" w:rsidRPr="00E84350" w:rsidRDefault="008B2CC1" w:rsidP="008B2CC1"/>
    <w:p w:rsidR="008B2CC1" w:rsidRPr="00E84350" w:rsidRDefault="008B2CC1" w:rsidP="008B2CC1"/>
    <w:p w:rsidR="008B2CC1" w:rsidRPr="00E84350" w:rsidRDefault="008B2CC1" w:rsidP="008B2CC1"/>
    <w:p w:rsidR="00B67CDC" w:rsidRPr="00E84350" w:rsidRDefault="00251CE2" w:rsidP="00B67CDC">
      <w:pPr>
        <w:rPr>
          <w:b/>
          <w:sz w:val="28"/>
          <w:szCs w:val="28"/>
        </w:rPr>
      </w:pPr>
      <w:r w:rsidRPr="00E84350">
        <w:rPr>
          <w:rFonts w:eastAsia="Arial"/>
          <w:b/>
          <w:bCs/>
          <w:color w:val="0F0F0F"/>
          <w:sz w:val="27"/>
          <w:szCs w:val="27"/>
        </w:rPr>
        <w:t>Asambleas</w:t>
      </w:r>
      <w:r w:rsidRPr="00E84350">
        <w:rPr>
          <w:rFonts w:eastAsia="Arial"/>
          <w:b/>
          <w:bCs/>
          <w:color w:val="0F0F0F"/>
          <w:spacing w:val="30"/>
          <w:sz w:val="27"/>
          <w:szCs w:val="27"/>
        </w:rPr>
        <w:t xml:space="preserve"> </w:t>
      </w:r>
      <w:r w:rsidRPr="00E84350">
        <w:rPr>
          <w:rFonts w:eastAsia="Arial"/>
          <w:b/>
          <w:bCs/>
          <w:color w:val="0F0F0F"/>
          <w:sz w:val="27"/>
          <w:szCs w:val="27"/>
        </w:rPr>
        <w:t>de</w:t>
      </w:r>
      <w:r w:rsidRPr="00E84350">
        <w:rPr>
          <w:rFonts w:eastAsia="Arial"/>
          <w:b/>
          <w:bCs/>
          <w:color w:val="0F0F0F"/>
          <w:spacing w:val="17"/>
          <w:sz w:val="27"/>
          <w:szCs w:val="27"/>
        </w:rPr>
        <w:t xml:space="preserve"> </w:t>
      </w:r>
      <w:r w:rsidRPr="00E84350">
        <w:rPr>
          <w:rFonts w:eastAsia="Arial"/>
          <w:b/>
          <w:bCs/>
          <w:color w:val="0F0F0F"/>
          <w:sz w:val="27"/>
          <w:szCs w:val="27"/>
        </w:rPr>
        <w:t>los</w:t>
      </w:r>
      <w:r w:rsidRPr="00E84350">
        <w:rPr>
          <w:rFonts w:eastAsia="Arial"/>
          <w:b/>
          <w:bCs/>
          <w:color w:val="0F0F0F"/>
          <w:spacing w:val="24"/>
          <w:sz w:val="27"/>
          <w:szCs w:val="27"/>
        </w:rPr>
        <w:t xml:space="preserve"> </w:t>
      </w:r>
      <w:r w:rsidRPr="00E84350">
        <w:rPr>
          <w:rFonts w:eastAsia="Arial"/>
          <w:b/>
          <w:bCs/>
          <w:color w:val="0F0F0F"/>
          <w:sz w:val="27"/>
          <w:szCs w:val="27"/>
        </w:rPr>
        <w:t>Estados</w:t>
      </w:r>
      <w:r w:rsidRPr="00E84350">
        <w:rPr>
          <w:rFonts w:eastAsia="Arial"/>
          <w:b/>
          <w:bCs/>
          <w:color w:val="0F0F0F"/>
          <w:spacing w:val="33"/>
          <w:sz w:val="27"/>
          <w:szCs w:val="27"/>
        </w:rPr>
        <w:t xml:space="preserve"> </w:t>
      </w:r>
      <w:r w:rsidRPr="00E84350">
        <w:rPr>
          <w:rFonts w:eastAsia="Arial"/>
          <w:b/>
          <w:bCs/>
          <w:color w:val="0F0F0F"/>
          <w:sz w:val="27"/>
          <w:szCs w:val="27"/>
        </w:rPr>
        <w:t>miembros</w:t>
      </w:r>
      <w:r w:rsidRPr="00E84350">
        <w:rPr>
          <w:rFonts w:eastAsia="Arial"/>
          <w:b/>
          <w:bCs/>
          <w:color w:val="0F0F0F"/>
          <w:spacing w:val="29"/>
          <w:sz w:val="27"/>
          <w:szCs w:val="27"/>
        </w:rPr>
        <w:t xml:space="preserve"> </w:t>
      </w:r>
      <w:r w:rsidRPr="00E84350">
        <w:rPr>
          <w:rFonts w:eastAsia="Arial"/>
          <w:b/>
          <w:bCs/>
          <w:color w:val="0F0F0F"/>
          <w:sz w:val="27"/>
          <w:szCs w:val="27"/>
        </w:rPr>
        <w:t>de</w:t>
      </w:r>
      <w:r w:rsidRPr="00E84350">
        <w:rPr>
          <w:rFonts w:eastAsia="Arial"/>
          <w:b/>
          <w:bCs/>
          <w:color w:val="0F0F0F"/>
          <w:spacing w:val="11"/>
          <w:sz w:val="27"/>
          <w:szCs w:val="27"/>
        </w:rPr>
        <w:t xml:space="preserve"> </w:t>
      </w:r>
      <w:r w:rsidRPr="00E84350">
        <w:rPr>
          <w:rFonts w:eastAsia="Arial"/>
          <w:b/>
          <w:bCs/>
          <w:color w:val="0F0F0F"/>
          <w:sz w:val="27"/>
          <w:szCs w:val="27"/>
        </w:rPr>
        <w:t>Ia</w:t>
      </w:r>
      <w:r w:rsidRPr="00E84350">
        <w:rPr>
          <w:rFonts w:eastAsia="Arial"/>
          <w:b/>
          <w:bCs/>
          <w:color w:val="0F0F0F"/>
          <w:spacing w:val="8"/>
          <w:sz w:val="27"/>
          <w:szCs w:val="27"/>
        </w:rPr>
        <w:t xml:space="preserve"> </w:t>
      </w:r>
      <w:r w:rsidRPr="00E84350">
        <w:rPr>
          <w:rFonts w:eastAsia="Arial"/>
          <w:b/>
          <w:bCs/>
          <w:color w:val="0F0F0F"/>
          <w:w w:val="104"/>
          <w:sz w:val="27"/>
          <w:szCs w:val="27"/>
        </w:rPr>
        <w:t>OMPI</w:t>
      </w:r>
    </w:p>
    <w:p w:rsidR="003845C1" w:rsidRPr="00E84350" w:rsidRDefault="003845C1" w:rsidP="003845C1"/>
    <w:p w:rsidR="003845C1" w:rsidRPr="00E84350" w:rsidRDefault="003845C1" w:rsidP="003845C1"/>
    <w:p w:rsidR="00B67CDC" w:rsidRPr="00E84350" w:rsidRDefault="00293CCE" w:rsidP="00B67CDC">
      <w:pPr>
        <w:rPr>
          <w:b/>
          <w:sz w:val="24"/>
          <w:szCs w:val="24"/>
        </w:rPr>
      </w:pPr>
      <w:r w:rsidRPr="00E84350">
        <w:rPr>
          <w:rFonts w:eastAsia="Arial"/>
          <w:b/>
          <w:bCs/>
          <w:color w:val="0F0F0F"/>
          <w:sz w:val="23"/>
          <w:szCs w:val="23"/>
        </w:rPr>
        <w:t>Quincuagé</w:t>
      </w:r>
      <w:r w:rsidR="00251CE2" w:rsidRPr="00E84350">
        <w:rPr>
          <w:rFonts w:eastAsia="Arial"/>
          <w:b/>
          <w:bCs/>
          <w:color w:val="0F0F0F"/>
          <w:sz w:val="23"/>
          <w:szCs w:val="23"/>
        </w:rPr>
        <w:t>sima</w:t>
      </w:r>
      <w:r w:rsidR="00251CE2" w:rsidRPr="00E84350">
        <w:rPr>
          <w:rFonts w:eastAsia="Arial"/>
          <w:b/>
          <w:bCs/>
          <w:color w:val="0F0F0F"/>
          <w:spacing w:val="64"/>
          <w:sz w:val="23"/>
          <w:szCs w:val="23"/>
        </w:rPr>
        <w:t xml:space="preserve"> </w:t>
      </w:r>
      <w:r w:rsidR="00251CE2" w:rsidRPr="00E84350">
        <w:rPr>
          <w:rFonts w:eastAsia="Arial"/>
          <w:b/>
          <w:bCs/>
          <w:color w:val="0F0F0F"/>
          <w:sz w:val="23"/>
          <w:szCs w:val="23"/>
        </w:rPr>
        <w:t>sexta</w:t>
      </w:r>
      <w:r w:rsidR="00251CE2" w:rsidRPr="00E84350">
        <w:rPr>
          <w:rFonts w:eastAsia="Arial"/>
          <w:b/>
          <w:bCs/>
          <w:color w:val="0F0F0F"/>
          <w:spacing w:val="36"/>
          <w:sz w:val="23"/>
          <w:szCs w:val="23"/>
        </w:rPr>
        <w:t xml:space="preserve"> </w:t>
      </w:r>
      <w:r w:rsidR="00251CE2" w:rsidRPr="00E84350">
        <w:rPr>
          <w:rFonts w:eastAsia="Arial"/>
          <w:b/>
          <w:bCs/>
          <w:color w:val="0F0F0F"/>
          <w:sz w:val="23"/>
          <w:szCs w:val="23"/>
        </w:rPr>
        <w:t>serie</w:t>
      </w:r>
      <w:r w:rsidR="00251CE2" w:rsidRPr="00E84350">
        <w:rPr>
          <w:rFonts w:eastAsia="Arial"/>
          <w:b/>
          <w:bCs/>
          <w:color w:val="0F0F0F"/>
          <w:spacing w:val="24"/>
          <w:sz w:val="23"/>
          <w:szCs w:val="23"/>
        </w:rPr>
        <w:t xml:space="preserve"> </w:t>
      </w:r>
      <w:r w:rsidR="00251CE2" w:rsidRPr="00E84350">
        <w:rPr>
          <w:rFonts w:eastAsia="Arial"/>
          <w:b/>
          <w:bCs/>
          <w:color w:val="0F0F0F"/>
          <w:sz w:val="23"/>
          <w:szCs w:val="23"/>
        </w:rPr>
        <w:t>de</w:t>
      </w:r>
      <w:r w:rsidR="00251CE2" w:rsidRPr="00E84350">
        <w:rPr>
          <w:rFonts w:eastAsia="Arial"/>
          <w:b/>
          <w:bCs/>
          <w:color w:val="0F0F0F"/>
          <w:spacing w:val="22"/>
          <w:sz w:val="23"/>
          <w:szCs w:val="23"/>
        </w:rPr>
        <w:t xml:space="preserve"> </w:t>
      </w:r>
      <w:r w:rsidR="00251CE2" w:rsidRPr="00E84350">
        <w:rPr>
          <w:rFonts w:eastAsia="Arial"/>
          <w:b/>
          <w:bCs/>
          <w:color w:val="0F0F0F"/>
          <w:w w:val="103"/>
          <w:sz w:val="23"/>
          <w:szCs w:val="23"/>
        </w:rPr>
        <w:t>reuniones</w:t>
      </w:r>
    </w:p>
    <w:p w:rsidR="00B67CDC" w:rsidRPr="00E84350" w:rsidRDefault="00251CE2" w:rsidP="00B67CDC">
      <w:pPr>
        <w:rPr>
          <w:b/>
          <w:sz w:val="24"/>
          <w:szCs w:val="24"/>
        </w:rPr>
      </w:pPr>
      <w:r w:rsidRPr="00E84350">
        <w:rPr>
          <w:rFonts w:eastAsia="Arial"/>
          <w:b/>
          <w:bCs/>
          <w:color w:val="0F0F0F"/>
          <w:sz w:val="23"/>
          <w:szCs w:val="23"/>
        </w:rPr>
        <w:t>Ginebra,</w:t>
      </w:r>
      <w:r w:rsidRPr="00E84350">
        <w:rPr>
          <w:rFonts w:eastAsia="Arial"/>
          <w:b/>
          <w:bCs/>
          <w:color w:val="0F0F0F"/>
          <w:spacing w:val="26"/>
          <w:sz w:val="23"/>
          <w:szCs w:val="23"/>
        </w:rPr>
        <w:t xml:space="preserve"> </w:t>
      </w:r>
      <w:r w:rsidRPr="00E84350">
        <w:rPr>
          <w:rFonts w:eastAsia="Arial"/>
          <w:b/>
          <w:bCs/>
          <w:color w:val="0F0F0F"/>
          <w:sz w:val="23"/>
          <w:szCs w:val="23"/>
        </w:rPr>
        <w:t>3</w:t>
      </w:r>
      <w:r w:rsidRPr="00E84350">
        <w:rPr>
          <w:rFonts w:eastAsia="Arial"/>
          <w:b/>
          <w:bCs/>
          <w:color w:val="0F0F0F"/>
          <w:spacing w:val="10"/>
          <w:sz w:val="23"/>
          <w:szCs w:val="23"/>
        </w:rPr>
        <w:t xml:space="preserve"> </w:t>
      </w:r>
      <w:r w:rsidRPr="00E84350">
        <w:rPr>
          <w:rFonts w:eastAsia="Arial"/>
          <w:b/>
          <w:bCs/>
          <w:color w:val="0F0F0F"/>
          <w:sz w:val="23"/>
          <w:szCs w:val="23"/>
        </w:rPr>
        <w:t>a</w:t>
      </w:r>
      <w:r w:rsidRPr="00E84350">
        <w:rPr>
          <w:rFonts w:eastAsia="Arial"/>
          <w:b/>
          <w:bCs/>
          <w:color w:val="0F0F0F"/>
          <w:spacing w:val="7"/>
          <w:sz w:val="23"/>
          <w:szCs w:val="23"/>
        </w:rPr>
        <w:t xml:space="preserve"> </w:t>
      </w:r>
      <w:r w:rsidRPr="00E84350">
        <w:rPr>
          <w:rFonts w:eastAsia="Arial"/>
          <w:b/>
          <w:bCs/>
          <w:color w:val="0F0F0F"/>
          <w:sz w:val="23"/>
          <w:szCs w:val="23"/>
        </w:rPr>
        <w:t>11</w:t>
      </w:r>
      <w:r w:rsidRPr="00E84350">
        <w:rPr>
          <w:rFonts w:eastAsia="Arial"/>
          <w:b/>
          <w:bCs/>
          <w:color w:val="0F0F0F"/>
          <w:spacing w:val="11"/>
          <w:sz w:val="23"/>
          <w:szCs w:val="23"/>
        </w:rPr>
        <w:t xml:space="preserve"> </w:t>
      </w:r>
      <w:r w:rsidRPr="00E84350">
        <w:rPr>
          <w:rFonts w:eastAsia="Arial"/>
          <w:b/>
          <w:bCs/>
          <w:color w:val="0F0F0F"/>
          <w:sz w:val="23"/>
          <w:szCs w:val="23"/>
        </w:rPr>
        <w:t>de</w:t>
      </w:r>
      <w:r w:rsidRPr="00E84350">
        <w:rPr>
          <w:rFonts w:eastAsia="Arial"/>
          <w:b/>
          <w:bCs/>
          <w:color w:val="0F0F0F"/>
          <w:spacing w:val="13"/>
          <w:sz w:val="23"/>
          <w:szCs w:val="23"/>
        </w:rPr>
        <w:t xml:space="preserve"> </w:t>
      </w:r>
      <w:r w:rsidRPr="00E84350">
        <w:rPr>
          <w:rFonts w:eastAsia="Arial"/>
          <w:b/>
          <w:bCs/>
          <w:color w:val="0F0F0F"/>
          <w:sz w:val="23"/>
          <w:szCs w:val="23"/>
        </w:rPr>
        <w:t>octubre</w:t>
      </w:r>
      <w:r w:rsidRPr="00E84350">
        <w:rPr>
          <w:rFonts w:eastAsia="Arial"/>
          <w:b/>
          <w:bCs/>
          <w:color w:val="0F0F0F"/>
          <w:spacing w:val="45"/>
          <w:sz w:val="23"/>
          <w:szCs w:val="23"/>
        </w:rPr>
        <w:t xml:space="preserve"> </w:t>
      </w:r>
      <w:r w:rsidRPr="00E84350">
        <w:rPr>
          <w:rFonts w:eastAsia="Arial"/>
          <w:b/>
          <w:bCs/>
          <w:color w:val="0F0F0F"/>
          <w:sz w:val="23"/>
          <w:szCs w:val="23"/>
        </w:rPr>
        <w:t>de</w:t>
      </w:r>
      <w:r w:rsidRPr="00E84350">
        <w:rPr>
          <w:rFonts w:eastAsia="Arial"/>
          <w:b/>
          <w:bCs/>
          <w:color w:val="0F0F0F"/>
          <w:spacing w:val="16"/>
          <w:sz w:val="23"/>
          <w:szCs w:val="23"/>
        </w:rPr>
        <w:t xml:space="preserve"> </w:t>
      </w:r>
      <w:r w:rsidRPr="00E84350">
        <w:rPr>
          <w:rFonts w:eastAsia="Arial"/>
          <w:b/>
          <w:bCs/>
          <w:color w:val="0F0F0F"/>
          <w:w w:val="103"/>
          <w:sz w:val="23"/>
          <w:szCs w:val="23"/>
        </w:rPr>
        <w:t>2016</w:t>
      </w:r>
    </w:p>
    <w:p w:rsidR="008B2CC1" w:rsidRPr="00E84350" w:rsidRDefault="008B2CC1" w:rsidP="008B2CC1"/>
    <w:p w:rsidR="008B2CC1" w:rsidRPr="00E84350" w:rsidRDefault="008B2CC1" w:rsidP="008B2CC1"/>
    <w:p w:rsidR="008B2CC1" w:rsidRPr="00E84350" w:rsidRDefault="008B2CC1" w:rsidP="008B2CC1"/>
    <w:p w:rsidR="0004598F" w:rsidRPr="00E84350" w:rsidRDefault="0004598F" w:rsidP="0004598F">
      <w:bookmarkStart w:id="3" w:name="TitleOfDoc"/>
      <w:bookmarkEnd w:id="3"/>
      <w:r w:rsidRPr="00E84350">
        <w:rPr>
          <w:caps/>
          <w:sz w:val="24"/>
        </w:rPr>
        <w:t>S</w:t>
      </w:r>
      <w:r w:rsidR="0005514A" w:rsidRPr="00E84350">
        <w:t>ITUACIÓN DE LAS ADHESIONES A LOS TRATADOS ADMINISTRADOS POR LA OMPI, Y ASUNTOS RELATIVOS A LA REFORMA ESTATUTARIA</w:t>
      </w:r>
    </w:p>
    <w:p w:rsidR="00F14DC2" w:rsidRPr="00E84350" w:rsidRDefault="00F14DC2" w:rsidP="0004598F">
      <w:pPr>
        <w:rPr>
          <w:i/>
        </w:rPr>
      </w:pPr>
      <w:bookmarkStart w:id="4" w:name="Prepared"/>
      <w:bookmarkEnd w:id="4"/>
    </w:p>
    <w:p w:rsidR="0004598F" w:rsidRPr="00E84350" w:rsidRDefault="0004598F" w:rsidP="0004598F">
      <w:pPr>
        <w:rPr>
          <w:i/>
        </w:rPr>
      </w:pPr>
      <w:r w:rsidRPr="00E84350">
        <w:rPr>
          <w:i/>
        </w:rPr>
        <w:t>Document</w:t>
      </w:r>
      <w:r w:rsidR="0005514A" w:rsidRPr="00E84350">
        <w:rPr>
          <w:i/>
        </w:rPr>
        <w:t>o</w:t>
      </w:r>
      <w:r w:rsidRPr="00E84350">
        <w:rPr>
          <w:i/>
        </w:rPr>
        <w:t xml:space="preserve"> prepar</w:t>
      </w:r>
      <w:r w:rsidR="0005514A" w:rsidRPr="00E84350">
        <w:rPr>
          <w:i/>
        </w:rPr>
        <w:t>a</w:t>
      </w:r>
      <w:r w:rsidRPr="00E84350">
        <w:rPr>
          <w:i/>
        </w:rPr>
        <w:t>d</w:t>
      </w:r>
      <w:r w:rsidR="0005514A" w:rsidRPr="00E84350">
        <w:rPr>
          <w:i/>
        </w:rPr>
        <w:t>o por la Secretaría</w:t>
      </w:r>
    </w:p>
    <w:p w:rsidR="0004598F" w:rsidRPr="00E84350" w:rsidRDefault="0004598F" w:rsidP="0004598F"/>
    <w:p w:rsidR="0004598F" w:rsidRPr="00E84350" w:rsidRDefault="0004598F" w:rsidP="0004598F"/>
    <w:p w:rsidR="0004598F" w:rsidRPr="00E84350" w:rsidRDefault="0004598F" w:rsidP="0004598F"/>
    <w:p w:rsidR="0004598F" w:rsidRPr="00E84350" w:rsidRDefault="0004598F" w:rsidP="0004598F"/>
    <w:p w:rsidR="0004598F" w:rsidRPr="00E84350" w:rsidRDefault="0005514A" w:rsidP="00224450">
      <w:pPr>
        <w:tabs>
          <w:tab w:val="left" w:pos="567"/>
          <w:tab w:val="left" w:pos="1134"/>
          <w:tab w:val="left" w:pos="1701"/>
          <w:tab w:val="left" w:pos="5670"/>
        </w:tabs>
      </w:pPr>
      <w:r w:rsidRPr="00E84350">
        <w:t xml:space="preserve">En el presente documento se presenta la evolución </w:t>
      </w:r>
      <w:r w:rsidR="00E14460" w:rsidRPr="00E84350">
        <w:t xml:space="preserve">que se ha producido </w:t>
      </w:r>
      <w:r w:rsidRPr="00E84350">
        <w:t xml:space="preserve">en </w:t>
      </w:r>
      <w:r w:rsidR="00E14460" w:rsidRPr="00E84350">
        <w:t>e</w:t>
      </w:r>
      <w:r w:rsidRPr="00E84350">
        <w:t xml:space="preserve">l número de partes en los tratados administrados por la Organización Mundial de la Propiedad Intelectual </w:t>
      </w:r>
      <w:r w:rsidR="0004598F" w:rsidRPr="00E84350">
        <w:t>(</w:t>
      </w:r>
      <w:r w:rsidRPr="00E84350">
        <w:t>OMPI)</w:t>
      </w:r>
      <w:r w:rsidR="0004598F" w:rsidRPr="00E84350">
        <w:t xml:space="preserve"> </w:t>
      </w:r>
      <w:r w:rsidR="00E14460" w:rsidRPr="00E84350">
        <w:t xml:space="preserve">entre </w:t>
      </w:r>
      <w:r w:rsidRPr="00E84350">
        <w:t xml:space="preserve">el 1 de enero de </w:t>
      </w:r>
      <w:r w:rsidR="0004598F" w:rsidRPr="00E84350">
        <w:t xml:space="preserve">1970 </w:t>
      </w:r>
      <w:r w:rsidR="00E14460" w:rsidRPr="00E84350">
        <w:t xml:space="preserve">y el </w:t>
      </w:r>
      <w:r w:rsidR="00224450">
        <w:t>18</w:t>
      </w:r>
      <w:r w:rsidR="00DE6C9E">
        <w:t xml:space="preserve"> </w:t>
      </w:r>
      <w:r w:rsidRPr="00E84350">
        <w:t>de ju</w:t>
      </w:r>
      <w:r w:rsidR="00224450">
        <w:t>l</w:t>
      </w:r>
      <w:r w:rsidRPr="00E84350">
        <w:t xml:space="preserve">io de </w:t>
      </w:r>
      <w:r w:rsidR="0004598F" w:rsidRPr="00E84350">
        <w:t>2016, as</w:t>
      </w:r>
      <w:r w:rsidRPr="00E84350">
        <w:t xml:space="preserve">í como información actualizada sobre </w:t>
      </w:r>
      <w:r w:rsidR="00E14460" w:rsidRPr="00E84350">
        <w:t xml:space="preserve">los asuntos relativos a </w:t>
      </w:r>
      <w:r w:rsidRPr="00E84350">
        <w:t>la reforma estatutaria</w:t>
      </w:r>
      <w:r w:rsidR="003909C7" w:rsidRPr="00E84350">
        <w:t>.</w:t>
      </w:r>
    </w:p>
    <w:p w:rsidR="0004598F" w:rsidRPr="00E84350" w:rsidRDefault="0004598F" w:rsidP="0004598F">
      <w:pPr>
        <w:tabs>
          <w:tab w:val="left" w:pos="567"/>
          <w:tab w:val="left" w:pos="1134"/>
          <w:tab w:val="left" w:pos="1701"/>
          <w:tab w:val="left" w:pos="5670"/>
        </w:tabs>
      </w:pPr>
    </w:p>
    <w:p w:rsidR="0004598F" w:rsidRPr="00E84350" w:rsidRDefault="00E14460" w:rsidP="0004598F">
      <w:pPr>
        <w:tabs>
          <w:tab w:val="left" w:pos="567"/>
          <w:tab w:val="left" w:pos="1134"/>
          <w:tab w:val="left" w:pos="1701"/>
          <w:tab w:val="left" w:pos="5670"/>
        </w:tabs>
      </w:pPr>
      <w:r w:rsidRPr="00E84350">
        <w:t>S</w:t>
      </w:r>
      <w:r w:rsidR="0005514A" w:rsidRPr="00E84350">
        <w:t xml:space="preserve">e presta </w:t>
      </w:r>
      <w:r w:rsidRPr="00E84350">
        <w:t xml:space="preserve">una </w:t>
      </w:r>
      <w:r w:rsidR="0005514A" w:rsidRPr="00E84350">
        <w:t xml:space="preserve">atención </w:t>
      </w:r>
      <w:r w:rsidRPr="00E84350">
        <w:t xml:space="preserve">especial </w:t>
      </w:r>
      <w:r w:rsidR="0005514A" w:rsidRPr="00E84350">
        <w:t>a los tratados de la OMPI que han sido actualizados, ya sea a través de la adopción de una nueva acta o instrumento</w:t>
      </w:r>
      <w:r w:rsidR="0004598F" w:rsidRPr="00E84350">
        <w:rPr>
          <w:rStyle w:val="FootnoteReference"/>
        </w:rPr>
        <w:footnoteReference w:id="2"/>
      </w:r>
      <w:r w:rsidR="0004598F" w:rsidRPr="00E84350">
        <w:t xml:space="preserve"> (</w:t>
      </w:r>
      <w:r w:rsidR="0005514A" w:rsidRPr="00E84350">
        <w:t>para lo que es necesari</w:t>
      </w:r>
      <w:r w:rsidR="002579DD" w:rsidRPr="00E84350">
        <w:t>a</w:t>
      </w:r>
      <w:r w:rsidR="0005514A" w:rsidRPr="00E84350">
        <w:t xml:space="preserve"> la adhesión</w:t>
      </w:r>
      <w:r w:rsidR="0004598F" w:rsidRPr="00E84350">
        <w:t xml:space="preserve">), </w:t>
      </w:r>
      <w:r w:rsidR="0005514A" w:rsidRPr="00E84350">
        <w:t xml:space="preserve">mediante </w:t>
      </w:r>
      <w:r w:rsidRPr="00E84350">
        <w:t xml:space="preserve">una </w:t>
      </w:r>
      <w:r w:rsidR="0005514A" w:rsidRPr="00E84350">
        <w:t>decisión de suspen</w:t>
      </w:r>
      <w:r w:rsidRPr="00E84350">
        <w:t>sión de</w:t>
      </w:r>
      <w:r w:rsidR="0005514A" w:rsidRPr="00E84350">
        <w:t xml:space="preserve"> la aplicación de un acta anterior</w:t>
      </w:r>
      <w:r w:rsidR="0005514A" w:rsidRPr="00E84350">
        <w:rPr>
          <w:rStyle w:val="FootnoteReference"/>
        </w:rPr>
        <w:footnoteReference w:id="3"/>
      </w:r>
      <w:r w:rsidR="0004598F" w:rsidRPr="00E84350">
        <w:t>, o</w:t>
      </w:r>
      <w:r w:rsidR="0005514A" w:rsidRPr="00E84350">
        <w:t xml:space="preserve"> a través de una modificación</w:t>
      </w:r>
      <w:r w:rsidR="0004598F" w:rsidRPr="00E84350">
        <w:rPr>
          <w:rStyle w:val="FootnoteReference"/>
        </w:rPr>
        <w:footnoteReference w:id="4"/>
      </w:r>
      <w:r w:rsidR="0004598F" w:rsidRPr="00E84350">
        <w:t xml:space="preserve"> (</w:t>
      </w:r>
      <w:r w:rsidR="0005514A" w:rsidRPr="00E84350">
        <w:t>para lo que es necesari</w:t>
      </w:r>
      <w:r w:rsidR="00135218" w:rsidRPr="00E84350">
        <w:t>a</w:t>
      </w:r>
      <w:r w:rsidR="0005514A" w:rsidRPr="00E84350">
        <w:t xml:space="preserve"> la aprobación</w:t>
      </w:r>
      <w:r w:rsidR="0004598F" w:rsidRPr="00E84350">
        <w:t xml:space="preserve">), </w:t>
      </w:r>
      <w:r w:rsidR="0005514A" w:rsidRPr="00E84350">
        <w:t>como se explica en el presente documento</w:t>
      </w:r>
      <w:r w:rsidR="0004598F" w:rsidRPr="00E84350">
        <w:t xml:space="preserve"> (</w:t>
      </w:r>
      <w:r w:rsidR="0005514A" w:rsidRPr="00E84350">
        <w:t xml:space="preserve">véanse los párrafos </w:t>
      </w:r>
      <w:r w:rsidR="0004598F" w:rsidRPr="00E84350">
        <w:t xml:space="preserve">2, 3, 5, 6, 7 </w:t>
      </w:r>
      <w:r w:rsidR="0005514A" w:rsidRPr="00E84350">
        <w:t xml:space="preserve">y </w:t>
      </w:r>
      <w:r w:rsidR="0004598F" w:rsidRPr="00E84350">
        <w:t xml:space="preserve">25 </w:t>
      </w:r>
      <w:r w:rsidR="0005514A" w:rsidRPr="00E84350">
        <w:t xml:space="preserve">a </w:t>
      </w:r>
      <w:r w:rsidR="0004598F" w:rsidRPr="00E84350">
        <w:t>34).</w:t>
      </w:r>
      <w:r w:rsidR="0005514A" w:rsidRPr="00E84350">
        <w:t xml:space="preserve">  Se ruega a las Partes Contratantes en cuestión que</w:t>
      </w:r>
      <w:r w:rsidRPr="00E84350">
        <w:t xml:space="preserve"> </w:t>
      </w:r>
      <w:r w:rsidR="002E1E75" w:rsidRPr="00E84350">
        <w:t xml:space="preserve">consideren </w:t>
      </w:r>
      <w:r w:rsidR="00064B1E" w:rsidRPr="00E84350">
        <w:t>actuali</w:t>
      </w:r>
      <w:r w:rsidR="002E1E75" w:rsidRPr="00E84350">
        <w:t>zar</w:t>
      </w:r>
      <w:r w:rsidR="00064B1E" w:rsidRPr="00E84350">
        <w:t xml:space="preserve">, según proceda, la situación en la que se encuentran con respecto a </w:t>
      </w:r>
      <w:r w:rsidR="00BF0B0C" w:rsidRPr="00E84350">
        <w:t>es</w:t>
      </w:r>
      <w:r w:rsidR="00064B1E" w:rsidRPr="00E84350">
        <w:t>os instrumentos</w:t>
      </w:r>
      <w:r w:rsidR="0004598F" w:rsidRPr="00E84350">
        <w:t>.</w:t>
      </w:r>
    </w:p>
    <w:p w:rsidR="0004598F" w:rsidRPr="00E84350" w:rsidRDefault="0004598F" w:rsidP="0004598F">
      <w:pPr>
        <w:tabs>
          <w:tab w:val="left" w:pos="567"/>
          <w:tab w:val="left" w:pos="1134"/>
          <w:tab w:val="left" w:pos="1701"/>
          <w:tab w:val="left" w:pos="5670"/>
        </w:tabs>
      </w:pPr>
    </w:p>
    <w:p w:rsidR="0004598F" w:rsidRPr="00E84350" w:rsidRDefault="0004598F" w:rsidP="00F17850">
      <w:pPr>
        <w:pStyle w:val="Heading1"/>
        <w:keepNext w:val="0"/>
      </w:pPr>
      <w:r w:rsidRPr="00E84350">
        <w:br w:type="page"/>
      </w:r>
      <w:r w:rsidR="0005514A" w:rsidRPr="00E84350">
        <w:lastRenderedPageBreak/>
        <w:t>I.</w:t>
      </w:r>
      <w:r w:rsidR="0005514A" w:rsidRPr="00E84350">
        <w:tab/>
        <w:t>partes en los tra</w:t>
      </w:r>
      <w:r w:rsidR="00FD576D">
        <w:t>tados administrados por la OMPI</w:t>
      </w:r>
      <w:bookmarkStart w:id="5" w:name="_GoBack"/>
      <w:bookmarkEnd w:id="5"/>
    </w:p>
    <w:p w:rsidR="0004598F" w:rsidRPr="00E84350" w:rsidRDefault="0004598F" w:rsidP="0004598F"/>
    <w:p w:rsidR="0004598F" w:rsidRPr="00E84350" w:rsidRDefault="0004598F" w:rsidP="0004598F"/>
    <w:p w:rsidR="0004598F" w:rsidRPr="00E84350" w:rsidRDefault="0004598F" w:rsidP="0004598F">
      <w:pPr>
        <w:rPr>
          <w:i/>
        </w:rPr>
      </w:pPr>
      <w:r w:rsidRPr="00E84350">
        <w:rPr>
          <w:i/>
        </w:rPr>
        <w:fldChar w:fldCharType="begin"/>
      </w:r>
      <w:r w:rsidRPr="00E84350">
        <w:rPr>
          <w:i/>
        </w:rPr>
        <w:instrText xml:space="preserve"> AUTONUM  </w:instrText>
      </w:r>
      <w:r w:rsidRPr="00E84350">
        <w:rPr>
          <w:i/>
        </w:rPr>
        <w:fldChar w:fldCharType="end"/>
      </w:r>
      <w:r w:rsidR="0005514A" w:rsidRPr="00E84350">
        <w:rPr>
          <w:i/>
        </w:rPr>
        <w:tab/>
        <w:t>Convenio que establece la Organización Mundial de la Propiedad Intelectual (1967)</w:t>
      </w:r>
    </w:p>
    <w:p w:rsidR="0004598F" w:rsidRPr="00E84350" w:rsidRDefault="0004598F" w:rsidP="0004598F"/>
    <w:p w:rsidR="0004598F" w:rsidRPr="00E84350" w:rsidRDefault="00A7764D" w:rsidP="0004598F">
      <w:r w:rsidRPr="00A7764D">
        <w:rPr>
          <w:noProof/>
          <w:lang w:val="en-US" w:eastAsia="en-US"/>
        </w:rPr>
        <w:drawing>
          <wp:inline distT="0" distB="0" distL="0" distR="0">
            <wp:extent cx="4582795" cy="274320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2795" cy="2743200"/>
                    </a:xfrm>
                    <a:prstGeom prst="rect">
                      <a:avLst/>
                    </a:prstGeom>
                    <a:noFill/>
                    <a:ln>
                      <a:noFill/>
                    </a:ln>
                  </pic:spPr>
                </pic:pic>
              </a:graphicData>
            </a:graphic>
          </wp:inline>
        </w:drawing>
      </w:r>
    </w:p>
    <w:p w:rsidR="0004598F" w:rsidRPr="00E84350" w:rsidRDefault="0004598F" w:rsidP="0004598F"/>
    <w:p w:rsidR="0004598F" w:rsidRPr="00E84350" w:rsidRDefault="0004598F" w:rsidP="0004598F"/>
    <w:p w:rsidR="0004598F" w:rsidRPr="00E84350" w:rsidRDefault="0004598F" w:rsidP="0004598F">
      <w:r w:rsidRPr="00E84350">
        <w:rPr>
          <w:i/>
        </w:rPr>
        <w:fldChar w:fldCharType="begin"/>
      </w:r>
      <w:r w:rsidRPr="00E84350">
        <w:rPr>
          <w:i/>
        </w:rPr>
        <w:instrText xml:space="preserve"> AUTONUM  </w:instrText>
      </w:r>
      <w:r w:rsidRPr="00E84350">
        <w:rPr>
          <w:i/>
        </w:rPr>
        <w:fldChar w:fldCharType="end"/>
      </w:r>
      <w:r w:rsidR="0005514A" w:rsidRPr="00E84350">
        <w:rPr>
          <w:i/>
        </w:rPr>
        <w:tab/>
        <w:t>Convenio de París para la Protección de la Propiedad Industrial (1883)</w:t>
      </w:r>
      <w:r w:rsidR="0005514A" w:rsidRPr="00E84350">
        <w:t xml:space="preserve"> </w:t>
      </w:r>
    </w:p>
    <w:p w:rsidR="0004598F" w:rsidRPr="00E84350" w:rsidRDefault="0004598F" w:rsidP="0004598F"/>
    <w:p w:rsidR="0004598F" w:rsidRPr="00E84350" w:rsidRDefault="00E17D82" w:rsidP="0004598F">
      <w:r w:rsidRPr="00E17D82">
        <w:rPr>
          <w:noProof/>
          <w:lang w:val="en-US" w:eastAsia="en-US"/>
        </w:rPr>
        <w:drawing>
          <wp:inline distT="0" distB="0" distL="0" distR="0">
            <wp:extent cx="4582795" cy="27432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2795" cy="2743200"/>
                    </a:xfrm>
                    <a:prstGeom prst="rect">
                      <a:avLst/>
                    </a:prstGeom>
                    <a:noFill/>
                    <a:ln>
                      <a:noFill/>
                    </a:ln>
                  </pic:spPr>
                </pic:pic>
              </a:graphicData>
            </a:graphic>
          </wp:inline>
        </w:drawing>
      </w:r>
    </w:p>
    <w:p w:rsidR="0004598F" w:rsidRPr="00E84350" w:rsidRDefault="0004598F" w:rsidP="0004598F"/>
    <w:p w:rsidR="0004598F" w:rsidRPr="00E84350" w:rsidRDefault="0005514A" w:rsidP="0004598F">
      <w:pPr>
        <w:pStyle w:val="BodyTextIndent"/>
        <w:widowControl w:val="0"/>
        <w:ind w:left="0"/>
        <w:rPr>
          <w:rFonts w:ascii="Arial" w:hAnsi="Arial" w:cs="Arial"/>
          <w:sz w:val="22"/>
          <w:szCs w:val="22"/>
          <w:lang w:val="es-ES"/>
        </w:rPr>
      </w:pPr>
      <w:r w:rsidRPr="00E84350">
        <w:rPr>
          <w:rFonts w:ascii="Arial" w:hAnsi="Arial" w:cs="Arial"/>
          <w:sz w:val="22"/>
          <w:szCs w:val="22"/>
          <w:lang w:val="es-ES"/>
        </w:rPr>
        <w:t xml:space="preserve">El Convenio de París para la Protección de la Propiedad Industrial </w:t>
      </w:r>
      <w:r w:rsidR="0004598F" w:rsidRPr="00E84350">
        <w:rPr>
          <w:rFonts w:ascii="Arial" w:hAnsi="Arial" w:cs="Arial"/>
          <w:sz w:val="22"/>
          <w:szCs w:val="22"/>
          <w:lang w:val="es-ES"/>
        </w:rPr>
        <w:t>(</w:t>
      </w:r>
      <w:r w:rsidRPr="00E84350">
        <w:rPr>
          <w:rFonts w:ascii="Arial" w:hAnsi="Arial" w:cs="Arial"/>
          <w:sz w:val="22"/>
          <w:szCs w:val="22"/>
          <w:lang w:val="es-ES"/>
        </w:rPr>
        <w:t xml:space="preserve">el Convenio de </w:t>
      </w:r>
      <w:r w:rsidR="0004598F" w:rsidRPr="00E84350">
        <w:rPr>
          <w:rFonts w:ascii="Arial" w:hAnsi="Arial" w:cs="Arial"/>
          <w:sz w:val="22"/>
          <w:szCs w:val="22"/>
          <w:lang w:val="es-ES"/>
        </w:rPr>
        <w:t>Par</w:t>
      </w:r>
      <w:r w:rsidRPr="00E84350">
        <w:rPr>
          <w:rFonts w:ascii="Arial" w:hAnsi="Arial" w:cs="Arial"/>
          <w:sz w:val="22"/>
          <w:szCs w:val="22"/>
          <w:lang w:val="es-ES"/>
        </w:rPr>
        <w:t>í</w:t>
      </w:r>
      <w:r w:rsidR="0004598F" w:rsidRPr="00E84350">
        <w:rPr>
          <w:rFonts w:ascii="Arial" w:hAnsi="Arial" w:cs="Arial"/>
          <w:sz w:val="22"/>
          <w:szCs w:val="22"/>
          <w:lang w:val="es-ES"/>
        </w:rPr>
        <w:t>s</w:t>
      </w:r>
      <w:r w:rsidRPr="00E84350">
        <w:rPr>
          <w:rFonts w:ascii="Arial" w:hAnsi="Arial" w:cs="Arial"/>
          <w:sz w:val="22"/>
          <w:szCs w:val="22"/>
          <w:lang w:val="es-ES"/>
        </w:rPr>
        <w:t>)</w:t>
      </w:r>
      <w:r w:rsidR="0004598F" w:rsidRPr="00E84350">
        <w:rPr>
          <w:rFonts w:ascii="Arial" w:hAnsi="Arial" w:cs="Arial"/>
          <w:sz w:val="22"/>
          <w:szCs w:val="22"/>
          <w:lang w:val="es-ES"/>
        </w:rPr>
        <w:t xml:space="preserve"> </w:t>
      </w:r>
      <w:r w:rsidR="009C0F92" w:rsidRPr="00E84350">
        <w:rPr>
          <w:rFonts w:ascii="Arial" w:hAnsi="Arial" w:cs="Arial"/>
          <w:sz w:val="22"/>
          <w:szCs w:val="22"/>
          <w:lang w:val="es-ES"/>
        </w:rPr>
        <w:t xml:space="preserve">ha sido revisado varias veces </w:t>
      </w:r>
      <w:r w:rsidRPr="00E84350">
        <w:rPr>
          <w:rFonts w:ascii="Arial" w:hAnsi="Arial" w:cs="Arial"/>
          <w:sz w:val="22"/>
          <w:szCs w:val="22"/>
          <w:lang w:val="es-ES"/>
        </w:rPr>
        <w:t xml:space="preserve">desde su adopción en </w:t>
      </w:r>
      <w:r w:rsidR="0004598F" w:rsidRPr="00E84350">
        <w:rPr>
          <w:rFonts w:ascii="Arial" w:hAnsi="Arial" w:cs="Arial"/>
          <w:sz w:val="22"/>
          <w:szCs w:val="22"/>
          <w:lang w:val="es-ES"/>
        </w:rPr>
        <w:t xml:space="preserve">1883.  </w:t>
      </w:r>
      <w:r w:rsidRPr="00E84350">
        <w:rPr>
          <w:rFonts w:ascii="Arial" w:hAnsi="Arial" w:cs="Arial"/>
          <w:sz w:val="22"/>
          <w:szCs w:val="22"/>
          <w:lang w:val="es-ES"/>
        </w:rPr>
        <w:t xml:space="preserve">Fue revisado en </w:t>
      </w:r>
      <w:r w:rsidR="0004598F" w:rsidRPr="00E84350">
        <w:rPr>
          <w:rFonts w:ascii="Arial" w:hAnsi="Arial" w:cs="Arial"/>
          <w:sz w:val="22"/>
          <w:szCs w:val="22"/>
          <w:lang w:val="es-ES"/>
        </w:rPr>
        <w:t>Brusel</w:t>
      </w:r>
      <w:r w:rsidRPr="00E84350">
        <w:rPr>
          <w:rFonts w:ascii="Arial" w:hAnsi="Arial" w:cs="Arial"/>
          <w:sz w:val="22"/>
          <w:szCs w:val="22"/>
          <w:lang w:val="es-ES"/>
        </w:rPr>
        <w:t>a</w:t>
      </w:r>
      <w:r w:rsidR="0004598F" w:rsidRPr="00E84350">
        <w:rPr>
          <w:rFonts w:ascii="Arial" w:hAnsi="Arial" w:cs="Arial"/>
          <w:sz w:val="22"/>
          <w:szCs w:val="22"/>
          <w:lang w:val="es-ES"/>
        </w:rPr>
        <w:t xml:space="preserve">s (1900), Washington (1911), </w:t>
      </w:r>
      <w:r w:rsidRPr="00E84350">
        <w:rPr>
          <w:rFonts w:ascii="Arial" w:hAnsi="Arial" w:cs="Arial"/>
          <w:sz w:val="22"/>
          <w:szCs w:val="22"/>
          <w:lang w:val="es-ES"/>
        </w:rPr>
        <w:t>La Haya</w:t>
      </w:r>
      <w:r w:rsidR="0004598F" w:rsidRPr="00E84350">
        <w:rPr>
          <w:rFonts w:ascii="Arial" w:hAnsi="Arial" w:cs="Arial"/>
          <w:sz w:val="22"/>
          <w:szCs w:val="22"/>
          <w:lang w:val="es-ES"/>
        </w:rPr>
        <w:t xml:space="preserve"> (1925), Lond</w:t>
      </w:r>
      <w:r w:rsidRPr="00E84350">
        <w:rPr>
          <w:rFonts w:ascii="Arial" w:hAnsi="Arial" w:cs="Arial"/>
          <w:sz w:val="22"/>
          <w:szCs w:val="22"/>
          <w:lang w:val="es-ES"/>
        </w:rPr>
        <w:t>res</w:t>
      </w:r>
      <w:r w:rsidR="0004598F" w:rsidRPr="00E84350">
        <w:rPr>
          <w:rFonts w:ascii="Arial" w:hAnsi="Arial" w:cs="Arial"/>
          <w:sz w:val="22"/>
          <w:szCs w:val="22"/>
          <w:lang w:val="es-ES"/>
        </w:rPr>
        <w:t xml:space="preserve"> (1934), Lisbo</w:t>
      </w:r>
      <w:r w:rsidRPr="00E84350">
        <w:rPr>
          <w:rFonts w:ascii="Arial" w:hAnsi="Arial" w:cs="Arial"/>
          <w:sz w:val="22"/>
          <w:szCs w:val="22"/>
          <w:lang w:val="es-ES"/>
        </w:rPr>
        <w:t>a</w:t>
      </w:r>
      <w:r w:rsidR="0004598F" w:rsidRPr="00E84350">
        <w:rPr>
          <w:rFonts w:ascii="Arial" w:hAnsi="Arial" w:cs="Arial"/>
          <w:sz w:val="22"/>
          <w:szCs w:val="22"/>
          <w:lang w:val="es-ES"/>
        </w:rPr>
        <w:t xml:space="preserve"> (1958) </w:t>
      </w:r>
      <w:r w:rsidRPr="00E84350">
        <w:rPr>
          <w:rFonts w:ascii="Arial" w:hAnsi="Arial" w:cs="Arial"/>
          <w:sz w:val="22"/>
          <w:szCs w:val="22"/>
          <w:lang w:val="es-ES"/>
        </w:rPr>
        <w:t xml:space="preserve">y Estocolmo </w:t>
      </w:r>
      <w:r w:rsidR="0004598F" w:rsidRPr="00E84350">
        <w:rPr>
          <w:rFonts w:ascii="Arial" w:hAnsi="Arial" w:cs="Arial"/>
          <w:sz w:val="22"/>
          <w:szCs w:val="22"/>
          <w:lang w:val="es-ES"/>
        </w:rPr>
        <w:t xml:space="preserve">(1967), </w:t>
      </w:r>
      <w:r w:rsidRPr="00E84350">
        <w:rPr>
          <w:rFonts w:ascii="Arial" w:hAnsi="Arial" w:cs="Arial"/>
          <w:sz w:val="22"/>
          <w:szCs w:val="22"/>
          <w:lang w:val="es-ES"/>
        </w:rPr>
        <w:t xml:space="preserve">y fue modificado en </w:t>
      </w:r>
      <w:r w:rsidR="0004598F" w:rsidRPr="00E84350">
        <w:rPr>
          <w:rFonts w:ascii="Arial" w:hAnsi="Arial" w:cs="Arial"/>
          <w:sz w:val="22"/>
          <w:szCs w:val="22"/>
          <w:lang w:val="es-ES"/>
        </w:rPr>
        <w:t>1979.</w:t>
      </w:r>
    </w:p>
    <w:p w:rsidR="0004598F" w:rsidRPr="00E84350" w:rsidRDefault="0004598F" w:rsidP="0004598F">
      <w:pPr>
        <w:rPr>
          <w:rFonts w:eastAsia="Times New Roman"/>
          <w:szCs w:val="22"/>
          <w:lang w:eastAsia="en-US"/>
        </w:rPr>
      </w:pPr>
      <w:r w:rsidRPr="00E84350">
        <w:rPr>
          <w:szCs w:val="22"/>
        </w:rPr>
        <w:br w:type="page"/>
      </w:r>
    </w:p>
    <w:p w:rsidR="0004598F" w:rsidRPr="00E84350" w:rsidRDefault="0005514A" w:rsidP="0004598F">
      <w:pPr>
        <w:pStyle w:val="BodyTextIndent"/>
        <w:widowControl w:val="0"/>
        <w:ind w:left="0"/>
        <w:rPr>
          <w:rFonts w:ascii="Arial" w:hAnsi="Arial" w:cs="Arial"/>
          <w:sz w:val="22"/>
          <w:szCs w:val="22"/>
          <w:lang w:val="es-ES"/>
        </w:rPr>
      </w:pPr>
      <w:r w:rsidRPr="00E84350">
        <w:rPr>
          <w:rFonts w:ascii="Arial" w:hAnsi="Arial" w:cs="Arial"/>
          <w:sz w:val="22"/>
          <w:szCs w:val="22"/>
          <w:lang w:val="es-ES"/>
        </w:rPr>
        <w:lastRenderedPageBreak/>
        <w:t xml:space="preserve">Por razones históricas, la revisión de Estocolmo </w:t>
      </w:r>
      <w:r w:rsidR="009C0F92" w:rsidRPr="00E84350">
        <w:rPr>
          <w:rFonts w:ascii="Arial" w:hAnsi="Arial" w:cs="Arial"/>
          <w:sz w:val="22"/>
          <w:szCs w:val="22"/>
          <w:lang w:val="es-ES"/>
        </w:rPr>
        <w:t xml:space="preserve">brindó </w:t>
      </w:r>
      <w:r w:rsidRPr="00E84350">
        <w:rPr>
          <w:rFonts w:ascii="Arial" w:hAnsi="Arial" w:cs="Arial"/>
          <w:sz w:val="22"/>
          <w:szCs w:val="22"/>
          <w:lang w:val="es-ES"/>
        </w:rPr>
        <w:t xml:space="preserve">a los Estados miembros la oportunidad de aceptar solo una parte </w:t>
      </w:r>
      <w:r w:rsidR="009C0F92" w:rsidRPr="00E84350">
        <w:rPr>
          <w:rFonts w:ascii="Arial" w:hAnsi="Arial" w:cs="Arial"/>
          <w:sz w:val="22"/>
          <w:szCs w:val="22"/>
          <w:lang w:val="es-ES"/>
        </w:rPr>
        <w:t xml:space="preserve">de la revisión </w:t>
      </w:r>
      <w:r w:rsidR="0004598F" w:rsidRPr="00E84350">
        <w:rPr>
          <w:rFonts w:ascii="Arial" w:hAnsi="Arial" w:cs="Arial"/>
          <w:sz w:val="22"/>
          <w:szCs w:val="22"/>
          <w:lang w:val="es-ES"/>
        </w:rPr>
        <w:t>(</w:t>
      </w:r>
      <w:r w:rsidRPr="00E84350">
        <w:rPr>
          <w:rFonts w:ascii="Arial" w:hAnsi="Arial" w:cs="Arial"/>
          <w:sz w:val="22"/>
          <w:szCs w:val="22"/>
          <w:lang w:val="es-ES"/>
        </w:rPr>
        <w:t xml:space="preserve">los </w:t>
      </w:r>
      <w:r w:rsidR="0004598F" w:rsidRPr="00E84350">
        <w:rPr>
          <w:rFonts w:ascii="Arial" w:hAnsi="Arial" w:cs="Arial"/>
          <w:sz w:val="22"/>
          <w:szCs w:val="22"/>
          <w:lang w:val="es-ES"/>
        </w:rPr>
        <w:t>Art</w:t>
      </w:r>
      <w:r w:rsidRPr="00E84350">
        <w:rPr>
          <w:rFonts w:ascii="Arial" w:hAnsi="Arial" w:cs="Arial"/>
          <w:sz w:val="22"/>
          <w:szCs w:val="22"/>
          <w:lang w:val="es-ES"/>
        </w:rPr>
        <w:t>ículos</w:t>
      </w:r>
      <w:r w:rsidR="0004598F" w:rsidRPr="00E84350">
        <w:rPr>
          <w:rFonts w:ascii="Arial" w:hAnsi="Arial" w:cs="Arial"/>
          <w:sz w:val="22"/>
          <w:szCs w:val="22"/>
          <w:lang w:val="es-ES"/>
        </w:rPr>
        <w:t xml:space="preserve"> 1 </w:t>
      </w:r>
      <w:r w:rsidRPr="00E84350">
        <w:rPr>
          <w:rFonts w:ascii="Arial" w:hAnsi="Arial" w:cs="Arial"/>
          <w:sz w:val="22"/>
          <w:szCs w:val="22"/>
          <w:lang w:val="es-ES"/>
        </w:rPr>
        <w:t>a</w:t>
      </w:r>
      <w:r w:rsidR="0004598F" w:rsidRPr="00E84350">
        <w:rPr>
          <w:rFonts w:ascii="Arial" w:hAnsi="Arial" w:cs="Arial"/>
          <w:sz w:val="22"/>
          <w:szCs w:val="22"/>
          <w:lang w:val="es-ES"/>
        </w:rPr>
        <w:t xml:space="preserve"> 12</w:t>
      </w:r>
      <w:r w:rsidRPr="00E84350">
        <w:rPr>
          <w:rFonts w:ascii="Arial" w:hAnsi="Arial" w:cs="Arial"/>
          <w:sz w:val="22"/>
          <w:szCs w:val="22"/>
          <w:lang w:val="es-ES"/>
        </w:rPr>
        <w:t xml:space="preserve">, que contienen las disposiciones sustantivas, o los Artículos </w:t>
      </w:r>
      <w:r w:rsidR="0004598F" w:rsidRPr="00E84350">
        <w:rPr>
          <w:rFonts w:ascii="Arial" w:hAnsi="Arial" w:cs="Arial"/>
          <w:sz w:val="22"/>
          <w:szCs w:val="22"/>
          <w:lang w:val="es-ES"/>
        </w:rPr>
        <w:t xml:space="preserve">13 </w:t>
      </w:r>
      <w:r w:rsidRPr="00E84350">
        <w:rPr>
          <w:rFonts w:ascii="Arial" w:hAnsi="Arial" w:cs="Arial"/>
          <w:sz w:val="22"/>
          <w:szCs w:val="22"/>
          <w:lang w:val="es-ES"/>
        </w:rPr>
        <w:t xml:space="preserve">a </w:t>
      </w:r>
      <w:r w:rsidR="0004598F" w:rsidRPr="00E84350">
        <w:rPr>
          <w:rFonts w:ascii="Arial" w:hAnsi="Arial" w:cs="Arial"/>
          <w:sz w:val="22"/>
          <w:szCs w:val="22"/>
          <w:lang w:val="es-ES"/>
        </w:rPr>
        <w:t>30</w:t>
      </w:r>
      <w:r w:rsidRPr="00E84350">
        <w:rPr>
          <w:rFonts w:ascii="Arial" w:hAnsi="Arial" w:cs="Arial"/>
          <w:sz w:val="22"/>
          <w:szCs w:val="22"/>
          <w:lang w:val="es-ES"/>
        </w:rPr>
        <w:t xml:space="preserve">, que contienen las disposiciones administrativas y </w:t>
      </w:r>
      <w:r w:rsidR="009C0F92" w:rsidRPr="00E84350">
        <w:rPr>
          <w:rFonts w:ascii="Arial" w:hAnsi="Arial" w:cs="Arial"/>
          <w:sz w:val="22"/>
          <w:szCs w:val="22"/>
          <w:lang w:val="es-ES"/>
        </w:rPr>
        <w:t xml:space="preserve">las </w:t>
      </w:r>
      <w:r w:rsidRPr="00E84350">
        <w:rPr>
          <w:rFonts w:ascii="Arial" w:hAnsi="Arial" w:cs="Arial"/>
          <w:sz w:val="22"/>
          <w:szCs w:val="22"/>
          <w:lang w:val="es-ES"/>
        </w:rPr>
        <w:t>cláusulas finales</w:t>
      </w:r>
      <w:r w:rsidR="0004598F" w:rsidRPr="00E84350">
        <w:rPr>
          <w:rFonts w:ascii="Arial" w:hAnsi="Arial" w:cs="Arial"/>
          <w:sz w:val="22"/>
          <w:szCs w:val="22"/>
          <w:lang w:val="es-ES"/>
        </w:rPr>
        <w:t>) o</w:t>
      </w:r>
      <w:r w:rsidRPr="00E84350">
        <w:rPr>
          <w:rFonts w:ascii="Arial" w:hAnsi="Arial" w:cs="Arial"/>
          <w:sz w:val="22"/>
          <w:szCs w:val="22"/>
          <w:lang w:val="es-ES"/>
        </w:rPr>
        <w:t xml:space="preserve"> de aceptar una parte antes que la otra</w:t>
      </w:r>
      <w:r w:rsidR="0004598F" w:rsidRPr="00E84350">
        <w:rPr>
          <w:rFonts w:ascii="Arial" w:hAnsi="Arial" w:cs="Arial"/>
          <w:sz w:val="22"/>
          <w:szCs w:val="22"/>
          <w:lang w:val="es-ES"/>
        </w:rPr>
        <w:t>.</w:t>
      </w:r>
    </w:p>
    <w:p w:rsidR="0004598F" w:rsidRPr="00E84350" w:rsidRDefault="0004598F" w:rsidP="0068437E">
      <w:pPr>
        <w:pStyle w:val="BodyTextIndent"/>
        <w:widowControl w:val="0"/>
        <w:ind w:left="0"/>
        <w:rPr>
          <w:rFonts w:ascii="Arial" w:hAnsi="Arial" w:cs="Arial"/>
          <w:sz w:val="22"/>
          <w:szCs w:val="22"/>
          <w:lang w:val="es-ES"/>
        </w:rPr>
      </w:pPr>
    </w:p>
    <w:p w:rsidR="0004598F" w:rsidRPr="00E84350" w:rsidRDefault="0005514A" w:rsidP="0004598F">
      <w:pPr>
        <w:pStyle w:val="BodyTextIndent"/>
        <w:widowControl w:val="0"/>
        <w:ind w:left="0"/>
        <w:rPr>
          <w:rFonts w:ascii="Arial" w:hAnsi="Arial" w:cs="Arial"/>
          <w:sz w:val="22"/>
          <w:szCs w:val="22"/>
          <w:lang w:val="es-ES"/>
        </w:rPr>
      </w:pPr>
      <w:r w:rsidRPr="00E84350">
        <w:rPr>
          <w:rFonts w:ascii="Arial" w:hAnsi="Arial" w:cs="Arial"/>
          <w:sz w:val="22"/>
          <w:szCs w:val="22"/>
          <w:lang w:val="es-ES"/>
        </w:rPr>
        <w:t>Algunos Estados miembros que han excluido las disposiciones sustantivas a la hora de adoptar el Acta de Estocolmo siguen obligados, hasta la fecha, por las disposiciones sustantivas de un acta anterior</w:t>
      </w:r>
      <w:r w:rsidR="009C0F92" w:rsidRPr="00E84350">
        <w:rPr>
          <w:rFonts w:ascii="Arial" w:hAnsi="Arial" w:cs="Arial"/>
          <w:sz w:val="22"/>
          <w:szCs w:val="22"/>
          <w:lang w:val="es-ES"/>
        </w:rPr>
        <w:t>,</w:t>
      </w:r>
      <w:r w:rsidRPr="00E84350">
        <w:rPr>
          <w:rFonts w:ascii="Arial" w:hAnsi="Arial" w:cs="Arial"/>
          <w:sz w:val="22"/>
          <w:szCs w:val="22"/>
          <w:lang w:val="es-ES"/>
        </w:rPr>
        <w:t xml:space="preserve"> que no refleja</w:t>
      </w:r>
      <w:r w:rsidR="009C0F92" w:rsidRPr="00E84350">
        <w:rPr>
          <w:rFonts w:ascii="Arial" w:hAnsi="Arial" w:cs="Arial"/>
          <w:sz w:val="22"/>
          <w:szCs w:val="22"/>
          <w:lang w:val="es-ES"/>
        </w:rPr>
        <w:t xml:space="preserve">n las consideraciones más recientes relativas a las cuestiones que regula el </w:t>
      </w:r>
      <w:r w:rsidRPr="00E84350">
        <w:rPr>
          <w:rFonts w:ascii="Arial" w:hAnsi="Arial" w:cs="Arial"/>
          <w:sz w:val="22"/>
          <w:szCs w:val="22"/>
          <w:lang w:val="es-ES"/>
        </w:rPr>
        <w:t>Convenio</w:t>
      </w:r>
      <w:r w:rsidR="0004598F" w:rsidRPr="00E84350">
        <w:rPr>
          <w:rFonts w:ascii="Arial" w:hAnsi="Arial" w:cs="Arial"/>
          <w:sz w:val="22"/>
          <w:szCs w:val="22"/>
          <w:lang w:val="es-ES"/>
        </w:rPr>
        <w:t xml:space="preserve">.  </w:t>
      </w:r>
      <w:r w:rsidRPr="00E84350">
        <w:rPr>
          <w:rFonts w:ascii="Arial" w:hAnsi="Arial" w:cs="Arial"/>
          <w:sz w:val="22"/>
          <w:szCs w:val="22"/>
          <w:lang w:val="es-ES"/>
        </w:rPr>
        <w:t>Los Estados miembros en cuestión son:</w:t>
      </w:r>
      <w:r w:rsidR="0004598F" w:rsidRPr="00E84350">
        <w:rPr>
          <w:rFonts w:ascii="Arial" w:hAnsi="Arial" w:cs="Arial"/>
          <w:sz w:val="22"/>
          <w:szCs w:val="22"/>
          <w:lang w:val="es-ES"/>
        </w:rPr>
        <w:t xml:space="preserve"> </w:t>
      </w:r>
      <w:r w:rsidR="00A32AF8" w:rsidRPr="00E84350">
        <w:rPr>
          <w:rFonts w:ascii="Arial" w:hAnsi="Arial" w:cs="Arial"/>
          <w:sz w:val="22"/>
          <w:szCs w:val="22"/>
          <w:lang w:val="es-ES"/>
        </w:rPr>
        <w:t xml:space="preserve"> </w:t>
      </w:r>
      <w:r w:rsidR="0004598F" w:rsidRPr="00E84350">
        <w:rPr>
          <w:rFonts w:ascii="Arial" w:hAnsi="Arial" w:cs="Arial"/>
          <w:sz w:val="22"/>
          <w:szCs w:val="22"/>
          <w:lang w:val="es-ES"/>
        </w:rPr>
        <w:t xml:space="preserve">Argentina, Bahamas, </w:t>
      </w:r>
      <w:r w:rsidRPr="00E84350">
        <w:rPr>
          <w:rFonts w:ascii="Arial" w:hAnsi="Arial" w:cs="Arial"/>
          <w:sz w:val="22"/>
          <w:szCs w:val="22"/>
          <w:lang w:val="es-ES"/>
        </w:rPr>
        <w:t xml:space="preserve">Filipinas, </w:t>
      </w:r>
      <w:r w:rsidR="0004598F" w:rsidRPr="00E84350">
        <w:rPr>
          <w:rFonts w:ascii="Arial" w:hAnsi="Arial" w:cs="Arial"/>
          <w:sz w:val="22"/>
          <w:szCs w:val="22"/>
          <w:lang w:val="es-ES"/>
        </w:rPr>
        <w:t>L</w:t>
      </w:r>
      <w:r w:rsidRPr="00E84350">
        <w:rPr>
          <w:rFonts w:ascii="Arial" w:hAnsi="Arial" w:cs="Arial"/>
          <w:sz w:val="22"/>
          <w:szCs w:val="22"/>
          <w:lang w:val="es-ES"/>
        </w:rPr>
        <w:t>íbano</w:t>
      </w:r>
      <w:r w:rsidR="0004598F" w:rsidRPr="00E84350">
        <w:rPr>
          <w:rFonts w:ascii="Arial" w:hAnsi="Arial" w:cs="Arial"/>
          <w:sz w:val="22"/>
          <w:szCs w:val="22"/>
          <w:lang w:val="es-ES"/>
        </w:rPr>
        <w:t>, Malta, N</w:t>
      </w:r>
      <w:r w:rsidRPr="00E84350">
        <w:rPr>
          <w:rFonts w:ascii="Arial" w:hAnsi="Arial" w:cs="Arial"/>
          <w:sz w:val="22"/>
          <w:szCs w:val="22"/>
          <w:lang w:val="es-ES"/>
        </w:rPr>
        <w:t>ueva</w:t>
      </w:r>
      <w:r w:rsidR="0004598F" w:rsidRPr="00E84350">
        <w:rPr>
          <w:rFonts w:ascii="Arial" w:hAnsi="Arial" w:cs="Arial"/>
          <w:sz w:val="22"/>
          <w:szCs w:val="22"/>
          <w:lang w:val="es-ES"/>
        </w:rPr>
        <w:t xml:space="preserve"> Zeland</w:t>
      </w:r>
      <w:r w:rsidRPr="00E84350">
        <w:rPr>
          <w:rFonts w:ascii="Arial" w:hAnsi="Arial" w:cs="Arial"/>
          <w:sz w:val="22"/>
          <w:szCs w:val="22"/>
          <w:lang w:val="es-ES"/>
        </w:rPr>
        <w:t>ia</w:t>
      </w:r>
      <w:r w:rsidR="0004598F" w:rsidRPr="00E84350">
        <w:rPr>
          <w:rFonts w:ascii="Arial" w:hAnsi="Arial" w:cs="Arial"/>
          <w:sz w:val="22"/>
          <w:szCs w:val="22"/>
          <w:lang w:val="es-ES"/>
        </w:rPr>
        <w:t xml:space="preserve">, </w:t>
      </w:r>
      <w:r w:rsidR="00A32AF8" w:rsidRPr="00E84350">
        <w:rPr>
          <w:rFonts w:ascii="Arial" w:hAnsi="Arial" w:cs="Arial"/>
          <w:sz w:val="22"/>
          <w:szCs w:val="22"/>
          <w:lang w:val="es-ES"/>
        </w:rPr>
        <w:t>República Unida de Tanzaní</w:t>
      </w:r>
      <w:r w:rsidRPr="00E84350">
        <w:rPr>
          <w:rFonts w:ascii="Arial" w:hAnsi="Arial" w:cs="Arial"/>
          <w:sz w:val="22"/>
          <w:szCs w:val="22"/>
          <w:lang w:val="es-ES"/>
        </w:rPr>
        <w:t xml:space="preserve">a, </w:t>
      </w:r>
      <w:r w:rsidR="0004598F" w:rsidRPr="00E84350">
        <w:rPr>
          <w:rFonts w:ascii="Arial" w:hAnsi="Arial" w:cs="Arial"/>
          <w:sz w:val="22"/>
          <w:szCs w:val="22"/>
          <w:lang w:val="es-ES"/>
        </w:rPr>
        <w:t>Sri Lanka</w:t>
      </w:r>
      <w:r w:rsidRPr="00E84350">
        <w:rPr>
          <w:rFonts w:ascii="Arial" w:hAnsi="Arial" w:cs="Arial"/>
          <w:sz w:val="22"/>
          <w:szCs w:val="22"/>
          <w:lang w:val="es-ES"/>
        </w:rPr>
        <w:t xml:space="preserve"> y </w:t>
      </w:r>
      <w:r w:rsidR="00A32AF8" w:rsidRPr="00E84350">
        <w:rPr>
          <w:rFonts w:ascii="Arial" w:hAnsi="Arial" w:cs="Arial"/>
          <w:sz w:val="22"/>
          <w:szCs w:val="22"/>
          <w:lang w:val="es-ES"/>
        </w:rPr>
        <w:t>Zambia.</w:t>
      </w:r>
    </w:p>
    <w:p w:rsidR="0004598F" w:rsidRPr="00E84350" w:rsidRDefault="0004598F" w:rsidP="0004598F">
      <w:pPr>
        <w:pStyle w:val="BodyTextIndent"/>
        <w:widowControl w:val="0"/>
        <w:ind w:left="0"/>
        <w:rPr>
          <w:rFonts w:ascii="Arial" w:hAnsi="Arial" w:cs="Arial"/>
          <w:sz w:val="22"/>
          <w:szCs w:val="22"/>
          <w:lang w:val="es-ES"/>
        </w:rPr>
      </w:pPr>
    </w:p>
    <w:p w:rsidR="0004598F" w:rsidRPr="00E84350" w:rsidRDefault="0005514A" w:rsidP="0004598F">
      <w:pPr>
        <w:pStyle w:val="BodyTextIndent"/>
        <w:widowControl w:val="0"/>
        <w:ind w:left="0"/>
        <w:rPr>
          <w:rFonts w:ascii="Arial" w:hAnsi="Arial" w:cs="Arial"/>
          <w:sz w:val="22"/>
          <w:szCs w:val="22"/>
          <w:lang w:val="es-ES"/>
        </w:rPr>
      </w:pPr>
      <w:r w:rsidRPr="00E84350">
        <w:rPr>
          <w:rFonts w:ascii="Arial" w:hAnsi="Arial" w:cs="Arial"/>
          <w:sz w:val="22"/>
          <w:szCs w:val="22"/>
          <w:lang w:val="es-ES"/>
        </w:rPr>
        <w:t>Algunos otros Estados miembros, como Nigeria y la República Dominicana</w:t>
      </w:r>
      <w:r w:rsidR="0004598F" w:rsidRPr="00E84350">
        <w:rPr>
          <w:rFonts w:ascii="Arial" w:hAnsi="Arial" w:cs="Arial"/>
          <w:sz w:val="22"/>
          <w:szCs w:val="22"/>
          <w:lang w:val="es-ES"/>
        </w:rPr>
        <w:t xml:space="preserve">, </w:t>
      </w:r>
      <w:r w:rsidRPr="00E84350">
        <w:rPr>
          <w:rFonts w:ascii="Arial" w:hAnsi="Arial" w:cs="Arial"/>
          <w:sz w:val="22"/>
          <w:szCs w:val="22"/>
          <w:lang w:val="es-ES"/>
        </w:rPr>
        <w:t>no se han adherido nunca al Acta de Estocolmo, pero siguen siendo partes de un acta anterior</w:t>
      </w:r>
      <w:r w:rsidR="0004598F" w:rsidRPr="00E84350">
        <w:rPr>
          <w:rFonts w:ascii="Arial" w:hAnsi="Arial" w:cs="Arial"/>
          <w:sz w:val="22"/>
          <w:szCs w:val="22"/>
          <w:lang w:val="es-ES"/>
        </w:rPr>
        <w:t xml:space="preserve">.  </w:t>
      </w:r>
      <w:r w:rsidRPr="00E84350">
        <w:rPr>
          <w:rFonts w:ascii="Arial" w:hAnsi="Arial" w:cs="Arial"/>
          <w:sz w:val="22"/>
          <w:szCs w:val="22"/>
          <w:lang w:val="es-ES"/>
        </w:rPr>
        <w:t>No son miembros de la Asamblea de la Unión de París y, por lo tanto, no pueden participar en el órgano rector de la Unión</w:t>
      </w:r>
      <w:r w:rsidR="0004598F" w:rsidRPr="00E84350">
        <w:rPr>
          <w:rFonts w:ascii="Arial" w:hAnsi="Arial" w:cs="Arial"/>
          <w:sz w:val="22"/>
          <w:szCs w:val="22"/>
          <w:lang w:val="es-ES"/>
        </w:rPr>
        <w:t>.</w:t>
      </w:r>
    </w:p>
    <w:p w:rsidR="0004598F" w:rsidRPr="00E84350" w:rsidRDefault="0004598F" w:rsidP="0004598F">
      <w:pPr>
        <w:pStyle w:val="BodyTextIndent"/>
        <w:widowControl w:val="0"/>
        <w:ind w:left="0"/>
        <w:rPr>
          <w:rFonts w:ascii="Arial" w:hAnsi="Arial" w:cs="Arial"/>
          <w:sz w:val="22"/>
          <w:szCs w:val="22"/>
          <w:lang w:val="es-ES"/>
        </w:rPr>
      </w:pPr>
    </w:p>
    <w:p w:rsidR="0004598F" w:rsidRPr="00E84350" w:rsidRDefault="0005514A" w:rsidP="0004598F">
      <w:pPr>
        <w:pStyle w:val="BodyTextIndent"/>
        <w:widowControl w:val="0"/>
        <w:ind w:left="0"/>
        <w:rPr>
          <w:rFonts w:ascii="Arial" w:hAnsi="Arial" w:cs="Arial"/>
          <w:sz w:val="22"/>
          <w:szCs w:val="22"/>
          <w:lang w:val="es-ES"/>
        </w:rPr>
      </w:pPr>
      <w:r w:rsidRPr="00E84350">
        <w:rPr>
          <w:rFonts w:ascii="Arial" w:hAnsi="Arial" w:cs="Arial"/>
          <w:sz w:val="22"/>
          <w:szCs w:val="22"/>
          <w:lang w:val="es-ES"/>
        </w:rPr>
        <w:t xml:space="preserve">Se ruega a los Estados miembros en cuestión que </w:t>
      </w:r>
      <w:r w:rsidR="00F667F8" w:rsidRPr="00E84350">
        <w:rPr>
          <w:rFonts w:ascii="Arial" w:hAnsi="Arial" w:cs="Arial"/>
          <w:sz w:val="22"/>
          <w:szCs w:val="22"/>
          <w:lang w:val="es-ES"/>
        </w:rPr>
        <w:t xml:space="preserve">consideren adherirse </w:t>
      </w:r>
      <w:r w:rsidRPr="00E84350">
        <w:rPr>
          <w:rFonts w:ascii="Arial" w:hAnsi="Arial" w:cs="Arial"/>
          <w:sz w:val="22"/>
          <w:szCs w:val="22"/>
          <w:lang w:val="es-ES"/>
        </w:rPr>
        <w:t xml:space="preserve">al acta más reciente del Convenio o </w:t>
      </w:r>
      <w:r w:rsidR="006B23AA" w:rsidRPr="00E84350">
        <w:rPr>
          <w:rFonts w:ascii="Arial" w:hAnsi="Arial" w:cs="Arial"/>
          <w:sz w:val="22"/>
          <w:szCs w:val="22"/>
          <w:lang w:val="es-ES"/>
        </w:rPr>
        <w:t xml:space="preserve">que </w:t>
      </w:r>
      <w:r w:rsidR="00105264" w:rsidRPr="00E84350">
        <w:rPr>
          <w:rFonts w:ascii="Arial" w:hAnsi="Arial" w:cs="Arial"/>
          <w:sz w:val="22"/>
          <w:szCs w:val="22"/>
          <w:lang w:val="es-ES"/>
        </w:rPr>
        <w:t>acepten</w:t>
      </w:r>
      <w:r w:rsidR="006B23AA" w:rsidRPr="00E84350">
        <w:rPr>
          <w:rFonts w:ascii="Arial" w:hAnsi="Arial" w:cs="Arial"/>
          <w:sz w:val="22"/>
          <w:szCs w:val="22"/>
          <w:lang w:val="es-ES"/>
        </w:rPr>
        <w:t xml:space="preserve"> </w:t>
      </w:r>
      <w:r w:rsidRPr="00E84350">
        <w:rPr>
          <w:rFonts w:ascii="Arial" w:hAnsi="Arial" w:cs="Arial"/>
          <w:sz w:val="22"/>
          <w:szCs w:val="22"/>
          <w:lang w:val="es-ES"/>
        </w:rPr>
        <w:t>todas las disposiciones</w:t>
      </w:r>
      <w:r w:rsidR="006B23AA" w:rsidRPr="00E84350">
        <w:rPr>
          <w:rFonts w:ascii="Arial" w:hAnsi="Arial" w:cs="Arial"/>
          <w:sz w:val="22"/>
          <w:szCs w:val="22"/>
          <w:lang w:val="es-ES"/>
        </w:rPr>
        <w:t xml:space="preserve"> q</w:t>
      </w:r>
      <w:r w:rsidRPr="00E84350">
        <w:rPr>
          <w:rFonts w:ascii="Arial" w:hAnsi="Arial" w:cs="Arial"/>
          <w:sz w:val="22"/>
          <w:szCs w:val="22"/>
          <w:lang w:val="es-ES"/>
        </w:rPr>
        <w:t xml:space="preserve">ue figuran en el </w:t>
      </w:r>
      <w:r w:rsidR="006B23AA" w:rsidRPr="00E84350">
        <w:rPr>
          <w:rFonts w:ascii="Arial" w:hAnsi="Arial" w:cs="Arial"/>
          <w:sz w:val="22"/>
          <w:szCs w:val="22"/>
          <w:lang w:val="es-ES"/>
        </w:rPr>
        <w:t>mismo</w:t>
      </w:r>
      <w:r w:rsidRPr="00E84350">
        <w:rPr>
          <w:rFonts w:ascii="Arial" w:hAnsi="Arial" w:cs="Arial"/>
          <w:sz w:val="22"/>
          <w:szCs w:val="22"/>
          <w:lang w:val="es-ES"/>
        </w:rPr>
        <w:t>, según proceda</w:t>
      </w:r>
      <w:r w:rsidR="0004598F" w:rsidRPr="00E84350">
        <w:rPr>
          <w:rFonts w:ascii="Arial" w:hAnsi="Arial" w:cs="Arial"/>
          <w:sz w:val="22"/>
          <w:szCs w:val="22"/>
          <w:lang w:val="es-ES"/>
        </w:rPr>
        <w:t>.</w:t>
      </w:r>
    </w:p>
    <w:p w:rsidR="0004598F" w:rsidRPr="00E84350" w:rsidRDefault="0004598F" w:rsidP="0004598F"/>
    <w:p w:rsidR="0004598F" w:rsidRPr="00E84350" w:rsidRDefault="0004598F" w:rsidP="0004598F"/>
    <w:p w:rsidR="0004598F" w:rsidRPr="00E84350" w:rsidRDefault="0004598F" w:rsidP="0004598F">
      <w:pPr>
        <w:rPr>
          <w:i/>
        </w:rPr>
      </w:pPr>
      <w:r w:rsidRPr="00E84350">
        <w:rPr>
          <w:i/>
        </w:rPr>
        <w:fldChar w:fldCharType="begin"/>
      </w:r>
      <w:r w:rsidRPr="00E84350">
        <w:rPr>
          <w:i/>
        </w:rPr>
        <w:instrText xml:space="preserve"> AUTONUM  </w:instrText>
      </w:r>
      <w:r w:rsidRPr="00E84350">
        <w:rPr>
          <w:i/>
        </w:rPr>
        <w:fldChar w:fldCharType="end"/>
      </w:r>
      <w:r w:rsidRPr="00E84350">
        <w:rPr>
          <w:i/>
        </w:rPr>
        <w:tab/>
      </w:r>
      <w:r w:rsidR="0005514A" w:rsidRPr="00E84350">
        <w:rPr>
          <w:i/>
        </w:rPr>
        <w:t xml:space="preserve">Convenio de Berna para la Protección de las Obras Literarias y Artísticas </w:t>
      </w:r>
      <w:r w:rsidRPr="00E84350">
        <w:rPr>
          <w:i/>
        </w:rPr>
        <w:t>(1886)</w:t>
      </w:r>
    </w:p>
    <w:p w:rsidR="0004598F" w:rsidRPr="00E84350" w:rsidRDefault="0004598F" w:rsidP="0004598F"/>
    <w:p w:rsidR="0004598F" w:rsidRPr="00E84350" w:rsidRDefault="00A7764D" w:rsidP="0004598F">
      <w:r w:rsidRPr="00A7764D">
        <w:rPr>
          <w:noProof/>
          <w:lang w:val="en-US" w:eastAsia="en-US"/>
        </w:rPr>
        <w:drawing>
          <wp:inline distT="0" distB="0" distL="0" distR="0">
            <wp:extent cx="4582795" cy="274320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2795" cy="2743200"/>
                    </a:xfrm>
                    <a:prstGeom prst="rect">
                      <a:avLst/>
                    </a:prstGeom>
                    <a:noFill/>
                    <a:ln>
                      <a:noFill/>
                    </a:ln>
                  </pic:spPr>
                </pic:pic>
              </a:graphicData>
            </a:graphic>
          </wp:inline>
        </w:drawing>
      </w:r>
    </w:p>
    <w:p w:rsidR="0004598F" w:rsidRPr="00E84350" w:rsidRDefault="0004598F" w:rsidP="0004598F"/>
    <w:p w:rsidR="0004598F" w:rsidRPr="00E84350" w:rsidRDefault="007506ED" w:rsidP="0004598F">
      <w:pPr>
        <w:pStyle w:val="BodyTextIndent"/>
        <w:widowControl w:val="0"/>
        <w:ind w:left="0"/>
        <w:rPr>
          <w:rFonts w:ascii="Arial" w:hAnsi="Arial" w:cs="Arial"/>
          <w:sz w:val="22"/>
          <w:szCs w:val="22"/>
          <w:lang w:val="es-ES"/>
        </w:rPr>
      </w:pPr>
      <w:r w:rsidRPr="00E84350">
        <w:rPr>
          <w:rFonts w:ascii="Arial" w:hAnsi="Arial" w:cs="Arial"/>
          <w:sz w:val="22"/>
          <w:szCs w:val="22"/>
          <w:lang w:val="es-ES"/>
        </w:rPr>
        <w:t xml:space="preserve">El Convenio de Berna para la Protección de las Obras Literarias y Artísticas </w:t>
      </w:r>
      <w:r w:rsidR="0004598F" w:rsidRPr="00E84350">
        <w:rPr>
          <w:rFonts w:ascii="Arial" w:hAnsi="Arial" w:cs="Arial"/>
          <w:sz w:val="22"/>
          <w:szCs w:val="22"/>
          <w:lang w:val="es-ES"/>
        </w:rPr>
        <w:t>(</w:t>
      </w:r>
      <w:r w:rsidRPr="00E84350">
        <w:rPr>
          <w:rFonts w:ascii="Arial" w:hAnsi="Arial" w:cs="Arial"/>
          <w:sz w:val="22"/>
          <w:szCs w:val="22"/>
          <w:lang w:val="es-ES"/>
        </w:rPr>
        <w:t>el Convenio de Berna</w:t>
      </w:r>
      <w:r w:rsidR="0004598F" w:rsidRPr="00E84350">
        <w:rPr>
          <w:rFonts w:ascii="Arial" w:hAnsi="Arial" w:cs="Arial"/>
          <w:sz w:val="22"/>
          <w:szCs w:val="22"/>
          <w:lang w:val="es-ES"/>
        </w:rPr>
        <w:t>)</w:t>
      </w:r>
      <w:r w:rsidRPr="00E84350">
        <w:rPr>
          <w:rFonts w:ascii="Arial" w:hAnsi="Arial" w:cs="Arial"/>
          <w:sz w:val="22"/>
          <w:szCs w:val="22"/>
          <w:lang w:val="es-ES"/>
        </w:rPr>
        <w:t xml:space="preserve"> ha sido </w:t>
      </w:r>
      <w:r w:rsidR="006B23AA" w:rsidRPr="00E84350">
        <w:rPr>
          <w:rFonts w:ascii="Arial" w:hAnsi="Arial" w:cs="Arial"/>
          <w:sz w:val="22"/>
          <w:szCs w:val="22"/>
          <w:lang w:val="es-ES"/>
        </w:rPr>
        <w:t xml:space="preserve">revisado varias veces </w:t>
      </w:r>
      <w:r w:rsidRPr="00E84350">
        <w:rPr>
          <w:rFonts w:ascii="Arial" w:hAnsi="Arial" w:cs="Arial"/>
          <w:sz w:val="22"/>
          <w:szCs w:val="22"/>
          <w:lang w:val="es-ES"/>
        </w:rPr>
        <w:t xml:space="preserve">desde su adopción en </w:t>
      </w:r>
      <w:r w:rsidR="0004598F" w:rsidRPr="00E84350">
        <w:rPr>
          <w:rFonts w:ascii="Arial" w:hAnsi="Arial" w:cs="Arial"/>
          <w:sz w:val="22"/>
          <w:szCs w:val="22"/>
          <w:lang w:val="es-ES"/>
        </w:rPr>
        <w:t xml:space="preserve">1886.  </w:t>
      </w:r>
      <w:r w:rsidR="0099695D" w:rsidRPr="00E84350">
        <w:rPr>
          <w:rFonts w:ascii="Arial" w:hAnsi="Arial" w:cs="Arial"/>
          <w:sz w:val="22"/>
          <w:szCs w:val="22"/>
          <w:lang w:val="es-ES"/>
        </w:rPr>
        <w:t>Fue completado en</w:t>
      </w:r>
      <w:r w:rsidR="0004598F" w:rsidRPr="00E84350">
        <w:rPr>
          <w:rFonts w:ascii="Arial" w:hAnsi="Arial" w:cs="Arial"/>
          <w:sz w:val="22"/>
          <w:szCs w:val="22"/>
          <w:lang w:val="es-ES"/>
        </w:rPr>
        <w:t xml:space="preserve"> Par</w:t>
      </w:r>
      <w:r w:rsidR="0099695D" w:rsidRPr="00E84350">
        <w:rPr>
          <w:rFonts w:ascii="Arial" w:hAnsi="Arial" w:cs="Arial"/>
          <w:sz w:val="22"/>
          <w:szCs w:val="22"/>
          <w:lang w:val="es-ES"/>
        </w:rPr>
        <w:t>ís</w:t>
      </w:r>
      <w:r w:rsidR="0004598F" w:rsidRPr="00E84350">
        <w:rPr>
          <w:rFonts w:ascii="Arial" w:hAnsi="Arial" w:cs="Arial"/>
          <w:sz w:val="22"/>
          <w:szCs w:val="22"/>
          <w:lang w:val="es-ES"/>
        </w:rPr>
        <w:t xml:space="preserve"> </w:t>
      </w:r>
      <w:r w:rsidR="0099695D" w:rsidRPr="00E84350">
        <w:rPr>
          <w:rFonts w:ascii="Arial" w:hAnsi="Arial" w:cs="Arial"/>
          <w:sz w:val="22"/>
          <w:szCs w:val="22"/>
          <w:lang w:val="es-ES"/>
        </w:rPr>
        <w:t>(1</w:t>
      </w:r>
      <w:r w:rsidR="0004598F" w:rsidRPr="00E84350">
        <w:rPr>
          <w:rFonts w:ascii="Arial" w:hAnsi="Arial" w:cs="Arial"/>
          <w:sz w:val="22"/>
          <w:szCs w:val="22"/>
          <w:lang w:val="es-ES"/>
        </w:rPr>
        <w:t>896</w:t>
      </w:r>
      <w:r w:rsidR="0099695D" w:rsidRPr="00E84350">
        <w:rPr>
          <w:rFonts w:ascii="Arial" w:hAnsi="Arial" w:cs="Arial"/>
          <w:sz w:val="22"/>
          <w:szCs w:val="22"/>
          <w:lang w:val="es-ES"/>
        </w:rPr>
        <w:t>), r</w:t>
      </w:r>
      <w:r w:rsidR="0004598F" w:rsidRPr="00E84350">
        <w:rPr>
          <w:rFonts w:ascii="Arial" w:hAnsi="Arial" w:cs="Arial"/>
          <w:sz w:val="22"/>
          <w:szCs w:val="22"/>
          <w:lang w:val="es-ES"/>
        </w:rPr>
        <w:t>evis</w:t>
      </w:r>
      <w:r w:rsidR="0099695D" w:rsidRPr="00E84350">
        <w:rPr>
          <w:rFonts w:ascii="Arial" w:hAnsi="Arial" w:cs="Arial"/>
          <w:sz w:val="22"/>
          <w:szCs w:val="22"/>
          <w:lang w:val="es-ES"/>
        </w:rPr>
        <w:t>ado en Berlín (</w:t>
      </w:r>
      <w:r w:rsidR="0004598F" w:rsidRPr="00E84350">
        <w:rPr>
          <w:rFonts w:ascii="Arial" w:hAnsi="Arial" w:cs="Arial"/>
          <w:sz w:val="22"/>
          <w:szCs w:val="22"/>
          <w:lang w:val="es-ES"/>
        </w:rPr>
        <w:t>1908</w:t>
      </w:r>
      <w:r w:rsidR="0099695D" w:rsidRPr="00E84350">
        <w:rPr>
          <w:rFonts w:ascii="Arial" w:hAnsi="Arial" w:cs="Arial"/>
          <w:sz w:val="22"/>
          <w:szCs w:val="22"/>
          <w:lang w:val="es-ES"/>
        </w:rPr>
        <w:t>)</w:t>
      </w:r>
      <w:r w:rsidR="0004598F" w:rsidRPr="00E84350">
        <w:rPr>
          <w:rFonts w:ascii="Arial" w:hAnsi="Arial" w:cs="Arial"/>
          <w:sz w:val="22"/>
          <w:szCs w:val="22"/>
          <w:lang w:val="es-ES"/>
        </w:rPr>
        <w:t xml:space="preserve">, </w:t>
      </w:r>
      <w:r w:rsidR="00B775ED" w:rsidRPr="00E84350">
        <w:rPr>
          <w:rFonts w:ascii="Arial" w:hAnsi="Arial" w:cs="Arial"/>
          <w:sz w:val="22"/>
          <w:szCs w:val="22"/>
          <w:lang w:val="es-ES"/>
        </w:rPr>
        <w:t xml:space="preserve">completado en Berna (1914), revisado en </w:t>
      </w:r>
      <w:r w:rsidR="0004598F" w:rsidRPr="00E84350">
        <w:rPr>
          <w:rFonts w:ascii="Arial" w:hAnsi="Arial" w:cs="Arial"/>
          <w:sz w:val="22"/>
          <w:szCs w:val="22"/>
          <w:lang w:val="es-ES"/>
        </w:rPr>
        <w:t>Rom</w:t>
      </w:r>
      <w:r w:rsidR="0099695D" w:rsidRPr="00E84350">
        <w:rPr>
          <w:rFonts w:ascii="Arial" w:hAnsi="Arial" w:cs="Arial"/>
          <w:sz w:val="22"/>
          <w:szCs w:val="22"/>
          <w:lang w:val="es-ES"/>
        </w:rPr>
        <w:t>a</w:t>
      </w:r>
      <w:r w:rsidR="0004598F" w:rsidRPr="00E84350">
        <w:rPr>
          <w:rFonts w:ascii="Arial" w:hAnsi="Arial" w:cs="Arial"/>
          <w:sz w:val="22"/>
          <w:szCs w:val="22"/>
          <w:lang w:val="es-ES"/>
        </w:rPr>
        <w:t xml:space="preserve"> (1928), Brusel</w:t>
      </w:r>
      <w:r w:rsidR="0099695D" w:rsidRPr="00E84350">
        <w:rPr>
          <w:rFonts w:ascii="Arial" w:hAnsi="Arial" w:cs="Arial"/>
          <w:sz w:val="22"/>
          <w:szCs w:val="22"/>
          <w:lang w:val="es-ES"/>
        </w:rPr>
        <w:t>a</w:t>
      </w:r>
      <w:r w:rsidR="0004598F" w:rsidRPr="00E84350">
        <w:rPr>
          <w:rFonts w:ascii="Arial" w:hAnsi="Arial" w:cs="Arial"/>
          <w:sz w:val="22"/>
          <w:szCs w:val="22"/>
          <w:lang w:val="es-ES"/>
        </w:rPr>
        <w:t xml:space="preserve">s (1948), </w:t>
      </w:r>
      <w:r w:rsidR="0099695D" w:rsidRPr="00E84350">
        <w:rPr>
          <w:rFonts w:ascii="Arial" w:hAnsi="Arial" w:cs="Arial"/>
          <w:sz w:val="22"/>
          <w:szCs w:val="22"/>
          <w:lang w:val="es-ES"/>
        </w:rPr>
        <w:t xml:space="preserve">Estocolmo </w:t>
      </w:r>
      <w:r w:rsidR="0004598F" w:rsidRPr="00E84350">
        <w:rPr>
          <w:rFonts w:ascii="Arial" w:hAnsi="Arial" w:cs="Arial"/>
          <w:sz w:val="22"/>
          <w:szCs w:val="22"/>
          <w:lang w:val="es-ES"/>
        </w:rPr>
        <w:t xml:space="preserve">(1967) </w:t>
      </w:r>
      <w:r w:rsidR="0099695D" w:rsidRPr="00E84350">
        <w:rPr>
          <w:rFonts w:ascii="Arial" w:hAnsi="Arial" w:cs="Arial"/>
          <w:sz w:val="22"/>
          <w:szCs w:val="22"/>
          <w:lang w:val="es-ES"/>
        </w:rPr>
        <w:t>y P</w:t>
      </w:r>
      <w:r w:rsidR="0004598F" w:rsidRPr="00E84350">
        <w:rPr>
          <w:rFonts w:ascii="Arial" w:hAnsi="Arial" w:cs="Arial"/>
          <w:sz w:val="22"/>
          <w:szCs w:val="22"/>
          <w:lang w:val="es-ES"/>
        </w:rPr>
        <w:t>ar</w:t>
      </w:r>
      <w:r w:rsidR="0099695D" w:rsidRPr="00E84350">
        <w:rPr>
          <w:rFonts w:ascii="Arial" w:hAnsi="Arial" w:cs="Arial"/>
          <w:sz w:val="22"/>
          <w:szCs w:val="22"/>
          <w:lang w:val="es-ES"/>
        </w:rPr>
        <w:t>ís</w:t>
      </w:r>
      <w:r w:rsidR="0004598F" w:rsidRPr="00E84350">
        <w:rPr>
          <w:rFonts w:ascii="Arial" w:hAnsi="Arial" w:cs="Arial"/>
          <w:sz w:val="22"/>
          <w:szCs w:val="22"/>
          <w:lang w:val="es-ES"/>
        </w:rPr>
        <w:t xml:space="preserve"> (1971), </w:t>
      </w:r>
      <w:r w:rsidR="0099695D" w:rsidRPr="00E84350">
        <w:rPr>
          <w:rFonts w:ascii="Arial" w:hAnsi="Arial" w:cs="Arial"/>
          <w:sz w:val="22"/>
          <w:szCs w:val="22"/>
          <w:lang w:val="es-ES"/>
        </w:rPr>
        <w:t>y modificado en 1</w:t>
      </w:r>
      <w:r w:rsidR="0004598F" w:rsidRPr="00E84350">
        <w:rPr>
          <w:rFonts w:ascii="Arial" w:hAnsi="Arial" w:cs="Arial"/>
          <w:sz w:val="22"/>
          <w:szCs w:val="22"/>
          <w:lang w:val="es-ES"/>
        </w:rPr>
        <w:t>979.</w:t>
      </w:r>
    </w:p>
    <w:p w:rsidR="0004598F" w:rsidRPr="00E84350" w:rsidRDefault="0004598F" w:rsidP="0004598F">
      <w:pPr>
        <w:pStyle w:val="BodyTextIndent"/>
        <w:widowControl w:val="0"/>
        <w:ind w:left="0"/>
        <w:rPr>
          <w:rFonts w:ascii="Arial" w:hAnsi="Arial" w:cs="Arial"/>
          <w:sz w:val="22"/>
          <w:szCs w:val="22"/>
          <w:lang w:val="es-ES"/>
        </w:rPr>
      </w:pPr>
    </w:p>
    <w:p w:rsidR="0004598F" w:rsidRPr="00E84350" w:rsidRDefault="0099695D" w:rsidP="0004598F">
      <w:pPr>
        <w:rPr>
          <w:szCs w:val="22"/>
        </w:rPr>
      </w:pPr>
      <w:r w:rsidRPr="00E84350">
        <w:rPr>
          <w:szCs w:val="22"/>
        </w:rPr>
        <w:t xml:space="preserve">Por razones históricas, las revisiones del Convenio en Estocolmo y París también </w:t>
      </w:r>
      <w:r w:rsidR="006B23AA" w:rsidRPr="00E84350">
        <w:rPr>
          <w:szCs w:val="22"/>
        </w:rPr>
        <w:t xml:space="preserve">brindaron </w:t>
      </w:r>
      <w:r w:rsidRPr="00E84350">
        <w:rPr>
          <w:szCs w:val="22"/>
        </w:rPr>
        <w:t>a los Estados miembros la oportunidad de aceptar solo una parte de la revisión, concretamente</w:t>
      </w:r>
      <w:r w:rsidR="004A6208" w:rsidRPr="00E84350">
        <w:rPr>
          <w:szCs w:val="22"/>
        </w:rPr>
        <w:t>,</w:t>
      </w:r>
      <w:r w:rsidRPr="00E84350">
        <w:rPr>
          <w:szCs w:val="22"/>
        </w:rPr>
        <w:t xml:space="preserve"> las disposiciones administrativas y cláusulas finales </w:t>
      </w:r>
      <w:r w:rsidR="0004598F" w:rsidRPr="00E84350">
        <w:rPr>
          <w:szCs w:val="22"/>
        </w:rPr>
        <w:t>(Art</w:t>
      </w:r>
      <w:r w:rsidRPr="00E84350">
        <w:rPr>
          <w:szCs w:val="22"/>
        </w:rPr>
        <w:t>ículos</w:t>
      </w:r>
      <w:r w:rsidR="0004598F" w:rsidRPr="00E84350">
        <w:rPr>
          <w:szCs w:val="22"/>
        </w:rPr>
        <w:t xml:space="preserve"> 22 </w:t>
      </w:r>
      <w:r w:rsidRPr="00E84350">
        <w:rPr>
          <w:szCs w:val="22"/>
        </w:rPr>
        <w:t>a</w:t>
      </w:r>
      <w:r w:rsidR="0004598F" w:rsidRPr="00E84350">
        <w:rPr>
          <w:szCs w:val="22"/>
        </w:rPr>
        <w:t xml:space="preserve"> 38).  </w:t>
      </w:r>
      <w:r w:rsidRPr="00E84350">
        <w:rPr>
          <w:szCs w:val="22"/>
        </w:rPr>
        <w:t xml:space="preserve">Hasta la fecha, </w:t>
      </w:r>
      <w:r w:rsidR="006B23AA" w:rsidRPr="00E84350">
        <w:rPr>
          <w:szCs w:val="22"/>
        </w:rPr>
        <w:t xml:space="preserve">aún </w:t>
      </w:r>
      <w:r w:rsidRPr="00E84350">
        <w:rPr>
          <w:szCs w:val="22"/>
        </w:rPr>
        <w:t xml:space="preserve">hay algunos Estados obligados </w:t>
      </w:r>
      <w:r w:rsidR="006B23AA" w:rsidRPr="00E84350">
        <w:rPr>
          <w:szCs w:val="22"/>
        </w:rPr>
        <w:t xml:space="preserve">únicamente </w:t>
      </w:r>
      <w:r w:rsidRPr="00E84350">
        <w:rPr>
          <w:szCs w:val="22"/>
        </w:rPr>
        <w:t xml:space="preserve">por las disposiciones administrativas del Acta de París </w:t>
      </w:r>
      <w:r w:rsidR="0004598F" w:rsidRPr="00E84350">
        <w:rPr>
          <w:szCs w:val="22"/>
        </w:rPr>
        <w:t>(</w:t>
      </w:r>
      <w:r w:rsidR="00330CF9" w:rsidRPr="00E84350">
        <w:rPr>
          <w:szCs w:val="22"/>
        </w:rPr>
        <w:t xml:space="preserve">y en algunos casos del Acta de Estocolmo) y no por </w:t>
      </w:r>
      <w:r w:rsidR="006B23AA" w:rsidRPr="00E84350">
        <w:rPr>
          <w:szCs w:val="22"/>
        </w:rPr>
        <w:t xml:space="preserve">sus </w:t>
      </w:r>
      <w:r w:rsidR="00330CF9" w:rsidRPr="00E84350">
        <w:rPr>
          <w:szCs w:val="22"/>
        </w:rPr>
        <w:t>disposiciones sustantivas</w:t>
      </w:r>
      <w:r w:rsidR="0004598F" w:rsidRPr="00E84350">
        <w:rPr>
          <w:szCs w:val="22"/>
        </w:rPr>
        <w:t xml:space="preserve">.  </w:t>
      </w:r>
      <w:r w:rsidR="00330CF9" w:rsidRPr="00E84350">
        <w:rPr>
          <w:szCs w:val="22"/>
        </w:rPr>
        <w:t xml:space="preserve">Los Estados en cuestión son </w:t>
      </w:r>
      <w:r w:rsidR="0004598F" w:rsidRPr="00E84350">
        <w:rPr>
          <w:szCs w:val="22"/>
        </w:rPr>
        <w:t>Bahamas, Chad, Fiji, Malta, Pakist</w:t>
      </w:r>
      <w:r w:rsidR="00330CF9" w:rsidRPr="00E84350">
        <w:rPr>
          <w:szCs w:val="22"/>
        </w:rPr>
        <w:t>á</w:t>
      </w:r>
      <w:r w:rsidR="0004598F" w:rsidRPr="00E84350">
        <w:rPr>
          <w:szCs w:val="22"/>
        </w:rPr>
        <w:t>n, Su</w:t>
      </w:r>
      <w:r w:rsidR="00330CF9" w:rsidRPr="00E84350">
        <w:rPr>
          <w:szCs w:val="22"/>
        </w:rPr>
        <w:t>dáfrica y</w:t>
      </w:r>
      <w:r w:rsidR="00953A7D" w:rsidRPr="00E84350">
        <w:rPr>
          <w:szCs w:val="22"/>
        </w:rPr>
        <w:t xml:space="preserve"> Zimbabwe.</w:t>
      </w:r>
    </w:p>
    <w:p w:rsidR="00953A7D" w:rsidRPr="00E84350" w:rsidRDefault="00953A7D" w:rsidP="006B23AA">
      <w:pPr>
        <w:rPr>
          <w:szCs w:val="22"/>
        </w:rPr>
      </w:pPr>
    </w:p>
    <w:p w:rsidR="0004598F" w:rsidRPr="00E84350" w:rsidRDefault="00330CF9" w:rsidP="00E45387">
      <w:pPr>
        <w:keepNext/>
        <w:keepLines/>
        <w:rPr>
          <w:szCs w:val="22"/>
        </w:rPr>
      </w:pPr>
      <w:r w:rsidRPr="00E84350">
        <w:rPr>
          <w:szCs w:val="22"/>
        </w:rPr>
        <w:lastRenderedPageBreak/>
        <w:t xml:space="preserve">Por otra parte, </w:t>
      </w:r>
      <w:r w:rsidR="006B23AA" w:rsidRPr="00E84350">
        <w:rPr>
          <w:szCs w:val="22"/>
        </w:rPr>
        <w:t xml:space="preserve">algunos Estados miembros, </w:t>
      </w:r>
      <w:r w:rsidRPr="00E84350">
        <w:rPr>
          <w:szCs w:val="22"/>
        </w:rPr>
        <w:t>al no ser miembros ni del Acta de Estocolmo ni del Acta de París, no forman parte de la Asamblea de la Unión de Berna y, por lo tanto, no pueden participar en el órgano rector de la Unión</w:t>
      </w:r>
      <w:r w:rsidR="0004598F" w:rsidRPr="00E84350">
        <w:rPr>
          <w:szCs w:val="22"/>
        </w:rPr>
        <w:t>.  L</w:t>
      </w:r>
      <w:r w:rsidRPr="00E84350">
        <w:rPr>
          <w:szCs w:val="22"/>
        </w:rPr>
        <w:t>íbano</w:t>
      </w:r>
      <w:r w:rsidR="0004598F" w:rsidRPr="00E84350">
        <w:rPr>
          <w:szCs w:val="22"/>
        </w:rPr>
        <w:t xml:space="preserve">, Madagascar </w:t>
      </w:r>
      <w:r w:rsidRPr="00E84350">
        <w:rPr>
          <w:szCs w:val="22"/>
        </w:rPr>
        <w:t xml:space="preserve">y Nueva </w:t>
      </w:r>
      <w:r w:rsidR="0004598F" w:rsidRPr="00E84350">
        <w:rPr>
          <w:szCs w:val="22"/>
        </w:rPr>
        <w:t>Zeland</w:t>
      </w:r>
      <w:r w:rsidRPr="00E84350">
        <w:rPr>
          <w:szCs w:val="22"/>
        </w:rPr>
        <w:t>ia pertenecen a esta categoría</w:t>
      </w:r>
      <w:r w:rsidR="0004598F" w:rsidRPr="00E84350">
        <w:rPr>
          <w:szCs w:val="22"/>
        </w:rPr>
        <w:t>.</w:t>
      </w:r>
    </w:p>
    <w:p w:rsidR="0004598F" w:rsidRPr="00E84350" w:rsidRDefault="0004598F" w:rsidP="0004598F">
      <w:pPr>
        <w:pStyle w:val="BodyTextIndent"/>
        <w:widowControl w:val="0"/>
        <w:ind w:left="0"/>
        <w:rPr>
          <w:rFonts w:ascii="Arial" w:hAnsi="Arial" w:cs="Arial"/>
          <w:sz w:val="22"/>
          <w:szCs w:val="22"/>
          <w:lang w:val="es-ES"/>
        </w:rPr>
      </w:pPr>
    </w:p>
    <w:p w:rsidR="0004598F" w:rsidRPr="00E84350" w:rsidRDefault="00330CF9" w:rsidP="0004598F">
      <w:pPr>
        <w:pStyle w:val="BodyTextIndent"/>
        <w:widowControl w:val="0"/>
        <w:ind w:left="0"/>
        <w:rPr>
          <w:rFonts w:ascii="Arial" w:hAnsi="Arial" w:cs="Arial"/>
          <w:sz w:val="22"/>
          <w:szCs w:val="22"/>
          <w:lang w:val="es-ES"/>
        </w:rPr>
      </w:pPr>
      <w:r w:rsidRPr="00E84350">
        <w:rPr>
          <w:rFonts w:ascii="Arial" w:hAnsi="Arial" w:cs="Arial"/>
          <w:sz w:val="22"/>
          <w:szCs w:val="22"/>
          <w:lang w:val="es-ES"/>
        </w:rPr>
        <w:t xml:space="preserve">Se ruega a los países en cuestión que se adhieran a la versión más reciente del Acta del Convenio de Berna o que acepten todas </w:t>
      </w:r>
      <w:r w:rsidR="006B23AA" w:rsidRPr="00E84350">
        <w:rPr>
          <w:rFonts w:ascii="Arial" w:hAnsi="Arial" w:cs="Arial"/>
          <w:sz w:val="22"/>
          <w:szCs w:val="22"/>
          <w:lang w:val="es-ES"/>
        </w:rPr>
        <w:t>sus</w:t>
      </w:r>
      <w:r w:rsidRPr="00E84350">
        <w:rPr>
          <w:rFonts w:ascii="Arial" w:hAnsi="Arial" w:cs="Arial"/>
          <w:sz w:val="22"/>
          <w:szCs w:val="22"/>
          <w:lang w:val="es-ES"/>
        </w:rPr>
        <w:t xml:space="preserve"> disposiciones,</w:t>
      </w:r>
      <w:r w:rsidR="0004598F" w:rsidRPr="00E84350">
        <w:rPr>
          <w:rFonts w:ascii="Arial" w:hAnsi="Arial" w:cs="Arial"/>
          <w:sz w:val="22"/>
          <w:szCs w:val="22"/>
          <w:lang w:val="es-ES"/>
        </w:rPr>
        <w:t xml:space="preserve"> </w:t>
      </w:r>
      <w:r w:rsidRPr="00E84350">
        <w:rPr>
          <w:rFonts w:ascii="Arial" w:hAnsi="Arial" w:cs="Arial"/>
          <w:sz w:val="22"/>
          <w:szCs w:val="22"/>
          <w:lang w:val="es-ES"/>
        </w:rPr>
        <w:t>según proceda</w:t>
      </w:r>
      <w:r w:rsidR="0004598F" w:rsidRPr="00E84350">
        <w:rPr>
          <w:rFonts w:ascii="Arial" w:hAnsi="Arial" w:cs="Arial"/>
          <w:sz w:val="22"/>
          <w:szCs w:val="22"/>
          <w:lang w:val="es-ES"/>
        </w:rPr>
        <w:t>.</w:t>
      </w:r>
    </w:p>
    <w:p w:rsidR="0004598F" w:rsidRPr="00E84350" w:rsidRDefault="0004598F" w:rsidP="0004598F">
      <w:pPr>
        <w:pStyle w:val="BodyTextIndent"/>
        <w:widowControl w:val="0"/>
        <w:ind w:left="0"/>
        <w:rPr>
          <w:rFonts w:ascii="Arial" w:hAnsi="Arial" w:cs="Arial"/>
          <w:sz w:val="22"/>
          <w:szCs w:val="22"/>
          <w:lang w:val="es-ES"/>
        </w:rPr>
      </w:pPr>
    </w:p>
    <w:p w:rsidR="0004598F" w:rsidRPr="00E84350" w:rsidRDefault="0004598F" w:rsidP="0004598F">
      <w:pPr>
        <w:pStyle w:val="BodyTextIndent"/>
        <w:widowControl w:val="0"/>
        <w:ind w:left="0"/>
        <w:rPr>
          <w:rFonts w:ascii="Arial" w:hAnsi="Arial" w:cs="Arial"/>
          <w:sz w:val="22"/>
          <w:szCs w:val="22"/>
          <w:lang w:val="es-ES"/>
        </w:rPr>
      </w:pPr>
    </w:p>
    <w:p w:rsidR="0004598F" w:rsidRPr="00E84350" w:rsidRDefault="0004598F" w:rsidP="0004598F">
      <w:pPr>
        <w:rPr>
          <w:i/>
        </w:rPr>
      </w:pPr>
      <w:r w:rsidRPr="00E84350">
        <w:rPr>
          <w:i/>
        </w:rPr>
        <w:fldChar w:fldCharType="begin"/>
      </w:r>
      <w:r w:rsidRPr="00E84350">
        <w:rPr>
          <w:i/>
        </w:rPr>
        <w:instrText xml:space="preserve"> AUTONUM  </w:instrText>
      </w:r>
      <w:r w:rsidRPr="00E84350">
        <w:rPr>
          <w:i/>
        </w:rPr>
        <w:fldChar w:fldCharType="end"/>
      </w:r>
      <w:r w:rsidR="00330CF9" w:rsidRPr="00E84350">
        <w:rPr>
          <w:i/>
        </w:rPr>
        <w:tab/>
        <w:t xml:space="preserve">Arreglo de Madrid relativo a la represión de las indicaciones de procedencia falsas o engañosas en los productos </w:t>
      </w:r>
      <w:r w:rsidRPr="00E84350">
        <w:rPr>
          <w:i/>
        </w:rPr>
        <w:t>(1891)</w:t>
      </w:r>
    </w:p>
    <w:p w:rsidR="0004598F" w:rsidRPr="00E84350" w:rsidRDefault="0004598F" w:rsidP="0004598F"/>
    <w:p w:rsidR="0004598F" w:rsidRPr="00E84350" w:rsidRDefault="0070293D" w:rsidP="0004598F">
      <w:r w:rsidRPr="00E84350">
        <w:rPr>
          <w:noProof/>
          <w:lang w:val="en-US" w:eastAsia="en-US"/>
        </w:rPr>
        <w:drawing>
          <wp:inline distT="0" distB="0" distL="0" distR="0" wp14:anchorId="70D90248" wp14:editId="503971A0">
            <wp:extent cx="4578985" cy="274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786A4D" w:rsidRPr="00E84350" w:rsidRDefault="00786A4D" w:rsidP="0004598F"/>
    <w:p w:rsidR="0004598F" w:rsidRPr="00E84350" w:rsidRDefault="0004598F" w:rsidP="00BD4F30">
      <w:pPr>
        <w:rPr>
          <w:i/>
        </w:rPr>
      </w:pPr>
      <w:r w:rsidRPr="00E84350">
        <w:rPr>
          <w:i/>
        </w:rPr>
        <w:fldChar w:fldCharType="begin"/>
      </w:r>
      <w:r w:rsidRPr="00E84350">
        <w:rPr>
          <w:i/>
        </w:rPr>
        <w:instrText xml:space="preserve"> AUTONUM  </w:instrText>
      </w:r>
      <w:r w:rsidRPr="00E84350">
        <w:rPr>
          <w:i/>
        </w:rPr>
        <w:fldChar w:fldCharType="end"/>
      </w:r>
      <w:r w:rsidR="00BD4F30" w:rsidRPr="00E84350">
        <w:rPr>
          <w:i/>
        </w:rPr>
        <w:tab/>
        <w:t xml:space="preserve">Arreglo de Madrid relativo al Registro Internacional de Marcas </w:t>
      </w:r>
      <w:r w:rsidRPr="00E84350">
        <w:rPr>
          <w:i/>
        </w:rPr>
        <w:t xml:space="preserve">(1891) </w:t>
      </w:r>
      <w:r w:rsidR="00BD4F30" w:rsidRPr="00E84350">
        <w:rPr>
          <w:i/>
        </w:rPr>
        <w:t>y</w:t>
      </w:r>
      <w:r w:rsidRPr="00E84350">
        <w:rPr>
          <w:i/>
        </w:rPr>
        <w:t xml:space="preserve"> Protocol</w:t>
      </w:r>
      <w:r w:rsidR="00BD4F30" w:rsidRPr="00E84350">
        <w:rPr>
          <w:i/>
        </w:rPr>
        <w:t>o</w:t>
      </w:r>
      <w:r w:rsidRPr="00E84350">
        <w:rPr>
          <w:i/>
        </w:rPr>
        <w:t xml:space="preserve"> </w:t>
      </w:r>
      <w:r w:rsidR="00BD4F30" w:rsidRPr="00E84350">
        <w:rPr>
          <w:i/>
        </w:rPr>
        <w:t>concerniente al Arreglo de Madrid (1989)</w:t>
      </w:r>
    </w:p>
    <w:p w:rsidR="0004598F" w:rsidRPr="00E84350" w:rsidRDefault="0004598F" w:rsidP="0004598F"/>
    <w:p w:rsidR="0004598F" w:rsidRPr="00E84350" w:rsidRDefault="00BD4F30" w:rsidP="0004598F">
      <w:r w:rsidRPr="00E84350">
        <w:t>El Sistema de</w:t>
      </w:r>
      <w:r w:rsidR="0004598F" w:rsidRPr="00E84350">
        <w:t xml:space="preserve"> Madrid </w:t>
      </w:r>
      <w:r w:rsidRPr="00E84350">
        <w:t xml:space="preserve">está constituido por dos </w:t>
      </w:r>
      <w:r w:rsidR="00E94902" w:rsidRPr="00E84350">
        <w:t>instrumentos</w:t>
      </w:r>
      <w:r w:rsidR="0004598F" w:rsidRPr="00E84350">
        <w:t xml:space="preserve">, </w:t>
      </w:r>
      <w:r w:rsidRPr="00E84350">
        <w:t xml:space="preserve">a saber, el Arreglo de Madrid relativo al Registro Internacional de Marcas y el Protocolo concerniente al Arreglo de Madrid </w:t>
      </w:r>
      <w:r w:rsidR="0004598F" w:rsidRPr="00E84350">
        <w:t>(Protocol</w:t>
      </w:r>
      <w:r w:rsidRPr="00E84350">
        <w:t>o</w:t>
      </w:r>
      <w:r w:rsidR="0004598F" w:rsidRPr="00E84350">
        <w:t xml:space="preserve">).  </w:t>
      </w:r>
      <w:r w:rsidRPr="00E84350">
        <w:t>Sin embargo, con la entrada en vigor del Protocolo de Madrid con respecto a Argelia, el 31 de octubre de 2015, el Sistema de Madrid es</w:t>
      </w:r>
      <w:r w:rsidR="0004598F" w:rsidRPr="00E84350">
        <w:t xml:space="preserve">, </w:t>
      </w:r>
      <w:r w:rsidR="0004598F" w:rsidRPr="00E84350">
        <w:rPr>
          <w:i/>
        </w:rPr>
        <w:t>de facto</w:t>
      </w:r>
      <w:r w:rsidRPr="00E84350">
        <w:rPr>
          <w:i/>
        </w:rPr>
        <w:t xml:space="preserve">, </w:t>
      </w:r>
      <w:r w:rsidRPr="00E84350">
        <w:t xml:space="preserve">un sistema de tratado único en el que el Protocolo es el único </w:t>
      </w:r>
      <w:r w:rsidR="00563FFA" w:rsidRPr="00E84350">
        <w:t>instrumento</w:t>
      </w:r>
      <w:r w:rsidRPr="00E84350">
        <w:t xml:space="preserve"> </w:t>
      </w:r>
      <w:r w:rsidR="006B23AA" w:rsidRPr="00E84350">
        <w:t>aplicable</w:t>
      </w:r>
      <w:r w:rsidR="0004598F" w:rsidRPr="00E84350">
        <w:t xml:space="preserve">.  </w:t>
      </w:r>
      <w:r w:rsidRPr="00E84350">
        <w:t xml:space="preserve">En el marco del sistema de tratado único, las adhesiones </w:t>
      </w:r>
      <w:r w:rsidR="00BE25EB" w:rsidRPr="00E84350">
        <w:t xml:space="preserve">únicamente </w:t>
      </w:r>
      <w:r w:rsidRPr="00E84350">
        <w:t xml:space="preserve">al Arreglo </w:t>
      </w:r>
      <w:r w:rsidR="00BE25EB" w:rsidRPr="00E84350">
        <w:t>h</w:t>
      </w:r>
      <w:r w:rsidRPr="00E84350">
        <w:t>an quedado desprovistas de justificación operativa</w:t>
      </w:r>
      <w:r w:rsidR="0004598F" w:rsidRPr="00E84350">
        <w:t xml:space="preserve">.  </w:t>
      </w:r>
      <w:r w:rsidR="00A623BC" w:rsidRPr="00E84350">
        <w:t xml:space="preserve">Por consiguiente, se ruega a los no miembros de la Unión de Madrid que se adhieran únicamente al </w:t>
      </w:r>
      <w:r w:rsidR="0004598F" w:rsidRPr="00E84350">
        <w:t>Protocol</w:t>
      </w:r>
      <w:r w:rsidR="00A623BC" w:rsidRPr="00E84350">
        <w:t>o</w:t>
      </w:r>
      <w:r w:rsidR="0004598F" w:rsidRPr="00E84350">
        <w:t>.</w:t>
      </w:r>
    </w:p>
    <w:p w:rsidR="0004598F" w:rsidRPr="00E84350" w:rsidRDefault="0004598F" w:rsidP="0004598F"/>
    <w:p w:rsidR="0004598F" w:rsidRPr="00E84350" w:rsidRDefault="0067797D" w:rsidP="0004598F">
      <w:r w:rsidRPr="00E84350">
        <w:rPr>
          <w:noProof/>
          <w:lang w:val="en-US" w:eastAsia="en-US"/>
        </w:rPr>
        <w:lastRenderedPageBreak/>
        <w:drawing>
          <wp:inline distT="0" distB="0" distL="0" distR="0" wp14:anchorId="46C8EF80" wp14:editId="2598DC51">
            <wp:extent cx="458025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04598F" w:rsidRPr="00E84350" w:rsidRDefault="0004598F" w:rsidP="0004598F"/>
    <w:p w:rsidR="0004598F" w:rsidRPr="00E84350" w:rsidRDefault="0070293D" w:rsidP="0004598F">
      <w:r w:rsidRPr="00E84350">
        <w:rPr>
          <w:noProof/>
          <w:lang w:val="en-US" w:eastAsia="en-US"/>
        </w:rPr>
        <w:drawing>
          <wp:inline distT="0" distB="0" distL="0" distR="0" wp14:anchorId="7448C898" wp14:editId="27445FC3">
            <wp:extent cx="4578985" cy="274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04598F" w:rsidRPr="00E84350" w:rsidRDefault="0004598F" w:rsidP="0004598F"/>
    <w:p w:rsidR="0004598F" w:rsidRPr="00E84350" w:rsidRDefault="0004598F" w:rsidP="0004598F">
      <w:pPr>
        <w:rPr>
          <w:i/>
        </w:rPr>
      </w:pPr>
      <w:r w:rsidRPr="00E84350">
        <w:rPr>
          <w:i/>
        </w:rPr>
        <w:fldChar w:fldCharType="begin"/>
      </w:r>
      <w:r w:rsidRPr="00E84350">
        <w:rPr>
          <w:i/>
        </w:rPr>
        <w:instrText xml:space="preserve"> AUTONUM  </w:instrText>
      </w:r>
      <w:r w:rsidRPr="00E84350">
        <w:rPr>
          <w:i/>
        </w:rPr>
        <w:fldChar w:fldCharType="end"/>
      </w:r>
      <w:r w:rsidR="00A623BC" w:rsidRPr="00E84350">
        <w:rPr>
          <w:i/>
        </w:rPr>
        <w:tab/>
        <w:t>Arreglo de La Haya relativo al registro internacional de</w:t>
      </w:r>
      <w:r w:rsidR="00E526B2" w:rsidRPr="00E84350">
        <w:rPr>
          <w:i/>
        </w:rPr>
        <w:t xml:space="preserve"> dibujos y modelos industriales</w:t>
      </w:r>
    </w:p>
    <w:p w:rsidR="00A623BC" w:rsidRPr="00E84350" w:rsidRDefault="00A623BC" w:rsidP="0004598F"/>
    <w:p w:rsidR="0004598F" w:rsidRPr="00E84350" w:rsidRDefault="00A623BC" w:rsidP="0004598F">
      <w:r w:rsidRPr="00E84350">
        <w:t>El Arreglo de La Haya relativo al registro internacional de dibujos y modelos industriales lo constituyen tres Actas</w:t>
      </w:r>
      <w:r w:rsidR="0004598F" w:rsidRPr="00E84350">
        <w:t xml:space="preserve">, </w:t>
      </w:r>
      <w:r w:rsidRPr="00E84350">
        <w:t xml:space="preserve">a saber, el Acta de Londres </w:t>
      </w:r>
      <w:r w:rsidR="0004598F" w:rsidRPr="00E84350">
        <w:t xml:space="preserve">(1934), </w:t>
      </w:r>
      <w:r w:rsidRPr="00E84350">
        <w:t xml:space="preserve">el Acta de La Haya </w:t>
      </w:r>
      <w:r w:rsidR="0004598F" w:rsidRPr="00E84350">
        <w:t xml:space="preserve">(1960) </w:t>
      </w:r>
      <w:r w:rsidRPr="00E84350">
        <w:t>y el Acta de Ginebra</w:t>
      </w:r>
      <w:r w:rsidR="0004598F" w:rsidRPr="00E84350">
        <w:t xml:space="preserve"> (1999).</w:t>
      </w:r>
    </w:p>
    <w:p w:rsidR="0004598F" w:rsidRPr="00E84350" w:rsidRDefault="0004598F" w:rsidP="0004598F"/>
    <w:p w:rsidR="0004598F" w:rsidRPr="00E84350" w:rsidRDefault="00A623BC" w:rsidP="00224450">
      <w:r w:rsidRPr="00E84350">
        <w:t>En un primer paso hacia la simplificación del Sistema de la Hay</w:t>
      </w:r>
      <w:r w:rsidR="00551D7E" w:rsidRPr="00E84350">
        <w:t>a, l</w:t>
      </w:r>
      <w:r w:rsidR="00224450">
        <w:t>a</w:t>
      </w:r>
      <w:r w:rsidR="00551D7E" w:rsidRPr="00E84350">
        <w:t xml:space="preserve">s 15 </w:t>
      </w:r>
      <w:r w:rsidR="00224450" w:rsidRPr="00DE6C9E">
        <w:t>Partes</w:t>
      </w:r>
      <w:r w:rsidR="00551D7E" w:rsidRPr="00E84350">
        <w:t xml:space="preserve"> Contratantes </w:t>
      </w:r>
      <w:r w:rsidRPr="00E84350">
        <w:t>del Acta de 1</w:t>
      </w:r>
      <w:r w:rsidR="0004598F" w:rsidRPr="00E84350">
        <w:t xml:space="preserve">934 </w:t>
      </w:r>
      <w:r w:rsidRPr="00E84350">
        <w:t>decidieron, el 24 de</w:t>
      </w:r>
      <w:r w:rsidR="0004598F" w:rsidRPr="00E84350">
        <w:t xml:space="preserve"> </w:t>
      </w:r>
      <w:r w:rsidRPr="00E84350">
        <w:t>s</w:t>
      </w:r>
      <w:r w:rsidR="0004598F" w:rsidRPr="00E84350">
        <w:t>ept</w:t>
      </w:r>
      <w:r w:rsidRPr="00E84350">
        <w:t>iembre de</w:t>
      </w:r>
      <w:r w:rsidR="0004598F" w:rsidRPr="00E84350">
        <w:t xml:space="preserve"> 2009, </w:t>
      </w:r>
      <w:r w:rsidRPr="00E84350">
        <w:t>suspender su aplicación</w:t>
      </w:r>
      <w:r w:rsidR="0004598F" w:rsidRPr="00E84350">
        <w:t xml:space="preserve">.  </w:t>
      </w:r>
      <w:r w:rsidRPr="00E84350">
        <w:t xml:space="preserve">Esos Estados acordaron también que el objetivo final sería </w:t>
      </w:r>
      <w:r w:rsidR="00F14DC2" w:rsidRPr="00E84350">
        <w:t xml:space="preserve">el cese de la aplicación del </w:t>
      </w:r>
      <w:r w:rsidRPr="00E84350">
        <w:t>Acta de</w:t>
      </w:r>
      <w:r w:rsidR="0004598F" w:rsidRPr="00E84350">
        <w:t xml:space="preserve"> 1934.</w:t>
      </w:r>
    </w:p>
    <w:p w:rsidR="0004598F" w:rsidRPr="00E84350" w:rsidRDefault="0004598F" w:rsidP="0004598F"/>
    <w:p w:rsidR="0004598F" w:rsidRPr="00E84350" w:rsidRDefault="00224450" w:rsidP="00DE6C9E">
      <w:r w:rsidRPr="00DE6C9E">
        <w:t xml:space="preserve">El 18 de julio de 2016, el Director General de la OMPI recibió </w:t>
      </w:r>
      <w:r w:rsidR="00DE6C9E">
        <w:t xml:space="preserve">la última comunicación de consentimiento </w:t>
      </w:r>
      <w:r w:rsidRPr="00DE6C9E">
        <w:t xml:space="preserve">al cese del Acta de 1934 </w:t>
      </w:r>
      <w:r w:rsidR="00DE6C9E">
        <w:t>necesaria a ese respecto</w:t>
      </w:r>
      <w:r w:rsidRPr="00DE6C9E">
        <w:t>, a saber, el consentimiento de Egipto.  Se recuerda que 12 Partes Contratantes en el Acta de 1934 han expresado su respectivo consentimiento al cese de su aplicación y tres la han denunciado.  El cese de la aplicación del Acta de 1934 surtirá efecto el 18 de octubre de 2016</w:t>
      </w:r>
      <w:r w:rsidR="00D12900" w:rsidRPr="00DE6C9E">
        <w:t>.</w:t>
      </w:r>
    </w:p>
    <w:p w:rsidR="0004598F" w:rsidRPr="00E84350" w:rsidRDefault="0004598F" w:rsidP="0004598F">
      <w:pPr>
        <w:rPr>
          <w:b/>
        </w:rPr>
      </w:pPr>
    </w:p>
    <w:p w:rsidR="0004598F" w:rsidRPr="00E84350" w:rsidRDefault="00BE25EB" w:rsidP="00581DCE">
      <w:pPr>
        <w:keepLines/>
      </w:pPr>
      <w:r w:rsidRPr="00E84350">
        <w:lastRenderedPageBreak/>
        <w:t>Actualmente</w:t>
      </w:r>
      <w:r w:rsidR="0004598F" w:rsidRPr="00E84350">
        <w:t xml:space="preserve">, 65 </w:t>
      </w:r>
      <w:r w:rsidR="004D4C9F" w:rsidRPr="00E84350">
        <w:t>Estados u organizaciones intergubernamentales son miembros de la Unión de La Haya, 5</w:t>
      </w:r>
      <w:r w:rsidR="000714EE" w:rsidRPr="00E84350">
        <w:t>1</w:t>
      </w:r>
      <w:r w:rsidR="004D4C9F" w:rsidRPr="00E84350">
        <w:t xml:space="preserve"> de los cuales están obligados</w:t>
      </w:r>
      <w:r w:rsidRPr="00E84350">
        <w:t xml:space="preserve"> por</w:t>
      </w:r>
      <w:r w:rsidR="004D4C9F" w:rsidRPr="00E84350">
        <w:t xml:space="preserve"> el Acta de </w:t>
      </w:r>
      <w:r w:rsidR="0004598F" w:rsidRPr="00E84350">
        <w:t xml:space="preserve">1999 </w:t>
      </w:r>
      <w:r w:rsidR="004D4C9F" w:rsidRPr="00E84350">
        <w:t xml:space="preserve">y 34 de los cuales están obligados por el Acta de </w:t>
      </w:r>
      <w:r w:rsidR="0004598F" w:rsidRPr="00E84350">
        <w:t xml:space="preserve">1960.  </w:t>
      </w:r>
      <w:r w:rsidR="004D4C9F" w:rsidRPr="00E84350">
        <w:t xml:space="preserve">Los dos gráficos que se presentan a continuación ofrecen información sobre </w:t>
      </w:r>
      <w:r w:rsidR="008E4A3C" w:rsidRPr="00E84350">
        <w:t xml:space="preserve">cómo ha evolucionado </w:t>
      </w:r>
      <w:r w:rsidR="0033785D" w:rsidRPr="00E84350">
        <w:t>la composición de</w:t>
      </w:r>
      <w:r w:rsidR="008E4A3C" w:rsidRPr="00E84350">
        <w:t xml:space="preserve"> la Unión de La Haya</w:t>
      </w:r>
      <w:r w:rsidR="0004598F" w:rsidRPr="00E84350">
        <w:t>.</w:t>
      </w:r>
    </w:p>
    <w:p w:rsidR="0004598F" w:rsidRPr="00E84350" w:rsidRDefault="0004598F" w:rsidP="0004598F"/>
    <w:p w:rsidR="0004598F" w:rsidRPr="00E84350" w:rsidRDefault="000714EE" w:rsidP="0004598F">
      <w:r w:rsidRPr="00E84350">
        <w:rPr>
          <w:noProof/>
          <w:lang w:val="en-US" w:eastAsia="en-US"/>
        </w:rPr>
        <w:drawing>
          <wp:inline distT="0" distB="0" distL="0" distR="0" wp14:anchorId="051A8EF0" wp14:editId="66EA5185">
            <wp:extent cx="458089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0890" cy="2743200"/>
                    </a:xfrm>
                    <a:prstGeom prst="rect">
                      <a:avLst/>
                    </a:prstGeom>
                    <a:noFill/>
                    <a:ln>
                      <a:noFill/>
                    </a:ln>
                  </pic:spPr>
                </pic:pic>
              </a:graphicData>
            </a:graphic>
          </wp:inline>
        </w:drawing>
      </w:r>
    </w:p>
    <w:p w:rsidR="0004598F" w:rsidRPr="00E84350" w:rsidRDefault="0004598F" w:rsidP="0004598F"/>
    <w:p w:rsidR="00786A4D" w:rsidRPr="00E84350" w:rsidRDefault="00786A4D" w:rsidP="0004598F"/>
    <w:p w:rsidR="0004598F" w:rsidRPr="00E84350" w:rsidRDefault="000714EE" w:rsidP="0004598F">
      <w:r w:rsidRPr="00E84350">
        <w:rPr>
          <w:noProof/>
          <w:lang w:val="en-US" w:eastAsia="en-US"/>
        </w:rPr>
        <w:drawing>
          <wp:inline distT="0" distB="0" distL="0" distR="0" wp14:anchorId="46464E55" wp14:editId="1237E5C1">
            <wp:extent cx="458089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0890" cy="2743200"/>
                    </a:xfrm>
                    <a:prstGeom prst="rect">
                      <a:avLst/>
                    </a:prstGeom>
                    <a:noFill/>
                    <a:ln>
                      <a:noFill/>
                    </a:ln>
                  </pic:spPr>
                </pic:pic>
              </a:graphicData>
            </a:graphic>
          </wp:inline>
        </w:drawing>
      </w:r>
    </w:p>
    <w:p w:rsidR="00BE25EB" w:rsidRPr="00E84350" w:rsidRDefault="00BE25EB" w:rsidP="0004598F"/>
    <w:p w:rsidR="00786A4D" w:rsidRPr="00E84350" w:rsidRDefault="00786A4D" w:rsidP="00786A4D">
      <w:pPr>
        <w:keepNext/>
        <w:keepLines/>
      </w:pPr>
    </w:p>
    <w:p w:rsidR="0004598F" w:rsidRPr="00E84350" w:rsidRDefault="0004598F" w:rsidP="00786A4D">
      <w:pPr>
        <w:keepNext/>
        <w:keepLines/>
        <w:rPr>
          <w:i/>
        </w:rPr>
      </w:pPr>
      <w:r w:rsidRPr="00E84350">
        <w:rPr>
          <w:i/>
        </w:rPr>
        <w:fldChar w:fldCharType="begin"/>
      </w:r>
      <w:r w:rsidRPr="00E84350">
        <w:rPr>
          <w:i/>
        </w:rPr>
        <w:instrText xml:space="preserve"> AUTONUM  </w:instrText>
      </w:r>
      <w:r w:rsidRPr="00E84350">
        <w:rPr>
          <w:i/>
        </w:rPr>
        <w:fldChar w:fldCharType="end"/>
      </w:r>
      <w:r w:rsidR="008E4A3C" w:rsidRPr="00E84350">
        <w:rPr>
          <w:i/>
        </w:rPr>
        <w:tab/>
        <w:t>Arreglo de Niza relativo a la Clasificación Internacional de Productos y Servicios para el Registro de Marcas</w:t>
      </w:r>
      <w:r w:rsidRPr="00E84350">
        <w:rPr>
          <w:i/>
        </w:rPr>
        <w:t xml:space="preserve"> (1957)</w:t>
      </w:r>
    </w:p>
    <w:p w:rsidR="0004598F" w:rsidRPr="00E84350" w:rsidRDefault="0004598F" w:rsidP="00786A4D">
      <w:pPr>
        <w:keepNext/>
        <w:keepLines/>
      </w:pPr>
    </w:p>
    <w:p w:rsidR="0004598F" w:rsidRPr="00E84350" w:rsidRDefault="0070293D" w:rsidP="0004598F">
      <w:r w:rsidRPr="00E84350">
        <w:rPr>
          <w:noProof/>
          <w:lang w:val="en-US" w:eastAsia="en-US"/>
        </w:rPr>
        <w:drawing>
          <wp:inline distT="0" distB="0" distL="0" distR="0" wp14:anchorId="0575CC8C" wp14:editId="1334C984">
            <wp:extent cx="4578985" cy="274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04598F" w:rsidRPr="00E84350" w:rsidRDefault="008E4A3C" w:rsidP="0004598F">
      <w:r w:rsidRPr="00E84350">
        <w:t xml:space="preserve">El Arreglo de Niza fue </w:t>
      </w:r>
      <w:r w:rsidR="00BE25EB" w:rsidRPr="00E84350">
        <w:t xml:space="preserve">revisado en </w:t>
      </w:r>
      <w:r w:rsidRPr="00E84350">
        <w:t xml:space="preserve">dos ocasiones tras su adopción en </w:t>
      </w:r>
      <w:r w:rsidR="0004598F" w:rsidRPr="00E84350">
        <w:t xml:space="preserve">1957, </w:t>
      </w:r>
      <w:r w:rsidRPr="00E84350">
        <w:t xml:space="preserve">a saber, en Estocolmo </w:t>
      </w:r>
      <w:r w:rsidR="0004598F" w:rsidRPr="00E84350">
        <w:t xml:space="preserve">(1967) </w:t>
      </w:r>
      <w:r w:rsidRPr="00E84350">
        <w:t>y en Ginebra</w:t>
      </w:r>
      <w:r w:rsidR="0004598F" w:rsidRPr="00E84350">
        <w:t xml:space="preserve"> (1977).  </w:t>
      </w:r>
      <w:r w:rsidRPr="00E84350">
        <w:t>Algunos Estados miembros siguen obligados por el Acta de Estocolmo, en concreto Argelia, Israel y Marruecos, y dos Estados por el Arreglo de Niza original</w:t>
      </w:r>
      <w:r w:rsidR="0004598F" w:rsidRPr="00E84350">
        <w:t xml:space="preserve">, </w:t>
      </w:r>
      <w:r w:rsidRPr="00E84350">
        <w:t xml:space="preserve">en concreto </w:t>
      </w:r>
      <w:r w:rsidR="0070479A" w:rsidRPr="00E84350">
        <w:t xml:space="preserve">el </w:t>
      </w:r>
      <w:r w:rsidRPr="00E84350">
        <w:t xml:space="preserve">Líbano y Túnez </w:t>
      </w:r>
      <w:r w:rsidR="0004598F" w:rsidRPr="00E84350">
        <w:t>(</w:t>
      </w:r>
      <w:r w:rsidRPr="00E84350">
        <w:t xml:space="preserve">que, por </w:t>
      </w:r>
      <w:r w:rsidR="00BE25EB" w:rsidRPr="00E84350">
        <w:t>lo tanto</w:t>
      </w:r>
      <w:r w:rsidRPr="00E84350">
        <w:t>, no son miembros de la Asamblea</w:t>
      </w:r>
      <w:r w:rsidR="0004598F" w:rsidRPr="00E84350">
        <w:t xml:space="preserve">).  </w:t>
      </w:r>
      <w:r w:rsidRPr="00E84350">
        <w:t xml:space="preserve">Se ruega a estos Estados que </w:t>
      </w:r>
      <w:r w:rsidR="0011562B" w:rsidRPr="00E84350">
        <w:t xml:space="preserve">consideren adherirse </w:t>
      </w:r>
      <w:r w:rsidRPr="00E84350">
        <w:t xml:space="preserve">al Acta de Ginebra </w:t>
      </w:r>
      <w:r w:rsidR="00F9652F" w:rsidRPr="00E84350">
        <w:t>de</w:t>
      </w:r>
      <w:r w:rsidRPr="00E84350">
        <w:t>l Arreglo de Niza</w:t>
      </w:r>
      <w:r w:rsidR="0004598F" w:rsidRPr="00E84350">
        <w:t>.</w:t>
      </w:r>
    </w:p>
    <w:p w:rsidR="0004598F" w:rsidRPr="00E84350" w:rsidRDefault="0004598F" w:rsidP="0004598F"/>
    <w:p w:rsidR="00786A4D" w:rsidRPr="00E84350" w:rsidRDefault="00786A4D" w:rsidP="0004598F"/>
    <w:p w:rsidR="0004598F" w:rsidRPr="00E84350" w:rsidRDefault="0004598F" w:rsidP="0004598F">
      <w:pPr>
        <w:rPr>
          <w:i/>
        </w:rPr>
      </w:pPr>
      <w:r w:rsidRPr="00E84350">
        <w:rPr>
          <w:i/>
        </w:rPr>
        <w:fldChar w:fldCharType="begin"/>
      </w:r>
      <w:r w:rsidRPr="00E84350">
        <w:rPr>
          <w:i/>
        </w:rPr>
        <w:instrText xml:space="preserve"> AUTONUM  </w:instrText>
      </w:r>
      <w:r w:rsidRPr="00E84350">
        <w:rPr>
          <w:i/>
        </w:rPr>
        <w:fldChar w:fldCharType="end"/>
      </w:r>
      <w:r w:rsidR="008E4A3C" w:rsidRPr="00E84350">
        <w:rPr>
          <w:i/>
        </w:rPr>
        <w:tab/>
        <w:t>Arreglo de Lisboa relativo a la Protección de las Denominaciones de Origen y su Registro Internacional (</w:t>
      </w:r>
      <w:r w:rsidR="00F9652F" w:rsidRPr="00E84350">
        <w:rPr>
          <w:i/>
        </w:rPr>
        <w:t>1958)</w:t>
      </w:r>
    </w:p>
    <w:p w:rsidR="0004598F" w:rsidRPr="00E84350" w:rsidRDefault="0004598F" w:rsidP="0004598F"/>
    <w:p w:rsidR="0004598F" w:rsidRPr="00E84350" w:rsidRDefault="0070293D" w:rsidP="0004598F">
      <w:r w:rsidRPr="00E84350">
        <w:rPr>
          <w:noProof/>
          <w:lang w:val="en-US" w:eastAsia="en-US"/>
        </w:rPr>
        <w:drawing>
          <wp:inline distT="0" distB="0" distL="0" distR="0" wp14:anchorId="6B237856" wp14:editId="4ACC5B9A">
            <wp:extent cx="4578985" cy="2743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04598F" w:rsidRPr="00E84350" w:rsidRDefault="008E4A3C" w:rsidP="0004598F">
      <w:pPr>
        <w:pStyle w:val="Footer"/>
        <w:outlineLvl w:val="0"/>
      </w:pPr>
      <w:r w:rsidRPr="00E84350">
        <w:t xml:space="preserve">El Arreglo de Lisboa, </w:t>
      </w:r>
      <w:r w:rsidR="006F789C" w:rsidRPr="00E84350">
        <w:t>adoptado</w:t>
      </w:r>
      <w:r w:rsidRPr="00E84350">
        <w:t xml:space="preserve"> en </w:t>
      </w:r>
      <w:r w:rsidR="0004598F" w:rsidRPr="00E84350">
        <w:t xml:space="preserve">1958, </w:t>
      </w:r>
      <w:r w:rsidRPr="00E84350">
        <w:t xml:space="preserve">fue revisado en Estocolmo en 1967 y modificado en </w:t>
      </w:r>
      <w:r w:rsidR="00786A4D" w:rsidRPr="00E84350">
        <w:t> </w:t>
      </w:r>
      <w:r w:rsidR="0004598F" w:rsidRPr="00E84350">
        <w:t xml:space="preserve">1979.  </w:t>
      </w:r>
      <w:r w:rsidR="00E332ED" w:rsidRPr="00E84350">
        <w:t>Se ruega, en este caso a Haití, que no está obligado por el Acta de Estocolmo del Arreglo de Lisboa y que, por consiguiente, no es miembro de la Asamblea de Lisboa, que considere actualizar su situación con respecto a dicho Arreglo</w:t>
      </w:r>
      <w:r w:rsidR="0004598F" w:rsidRPr="00E84350">
        <w:t>.</w:t>
      </w:r>
    </w:p>
    <w:p w:rsidR="0004598F" w:rsidRPr="00E84350" w:rsidRDefault="0004598F" w:rsidP="0004598F">
      <w:pPr>
        <w:pStyle w:val="Footer"/>
        <w:outlineLvl w:val="0"/>
      </w:pPr>
    </w:p>
    <w:p w:rsidR="002A3F86" w:rsidRPr="00E84350" w:rsidRDefault="008E4A3C" w:rsidP="002A3F86">
      <w:r w:rsidRPr="00E84350">
        <w:t>El 20 de mayo de 2015, la Conferencia Diplomática para la Adopción de una nueva Acta del Arreglo de Lisboa relativo a la Protección de las Denominaciones de Origen y su Registro Internacional</w:t>
      </w:r>
      <w:r w:rsidR="0004598F" w:rsidRPr="00E84350">
        <w:t xml:space="preserve"> </w:t>
      </w:r>
      <w:r w:rsidR="00AC2A3E" w:rsidRPr="00E84350">
        <w:t>adoptó</w:t>
      </w:r>
      <w:r w:rsidRPr="00E84350">
        <w:t xml:space="preserve"> el Acta de Ginebra del Arreglo de Lisboa </w:t>
      </w:r>
      <w:r w:rsidR="002A3F86" w:rsidRPr="00E84350">
        <w:t>relativo a las Denominaciones de Origen y las Indicaciones Geográficas</w:t>
      </w:r>
      <w:r w:rsidR="0004598F" w:rsidRPr="00E84350">
        <w:t xml:space="preserve">.  </w:t>
      </w:r>
      <w:r w:rsidR="002A3F86" w:rsidRPr="00E84350">
        <w:t xml:space="preserve">Dicha Acta se abrió a la firma el </w:t>
      </w:r>
      <w:r w:rsidR="0004598F" w:rsidRPr="00E84350">
        <w:t>21</w:t>
      </w:r>
      <w:r w:rsidR="002A3F86" w:rsidRPr="00E84350">
        <w:t xml:space="preserve"> de mayo de </w:t>
      </w:r>
      <w:r w:rsidR="0004598F" w:rsidRPr="00E84350">
        <w:t xml:space="preserve">2015.  </w:t>
      </w:r>
      <w:r w:rsidR="002A3F86" w:rsidRPr="00E84350">
        <w:t>Hasta la fecha, 15 Estados han suscrito el Acta de Ginebra, pero ningún Estado se ha adherido</w:t>
      </w:r>
      <w:r w:rsidR="0004598F" w:rsidRPr="00E84350">
        <w:t xml:space="preserve">.  </w:t>
      </w:r>
      <w:r w:rsidR="00D2228F" w:rsidRPr="00E84350">
        <w:t>Esa</w:t>
      </w:r>
      <w:r w:rsidR="002A3F86" w:rsidRPr="00E84350">
        <w:t xml:space="preserve"> Acta entrará en vigor tres meses después de que cinco partes que reúnan las condiciones necesarias hayan depositado sus instrumentos de ratificación o de adhesión.</w:t>
      </w:r>
    </w:p>
    <w:p w:rsidR="0004598F" w:rsidRPr="00E84350" w:rsidRDefault="0004598F" w:rsidP="0004598F"/>
    <w:p w:rsidR="00786A4D" w:rsidRPr="00E84350" w:rsidRDefault="00786A4D" w:rsidP="0004598F"/>
    <w:p w:rsidR="0057010B" w:rsidRPr="00E84350" w:rsidRDefault="002A3F86" w:rsidP="0004598F">
      <w:pPr>
        <w:rPr>
          <w:i/>
        </w:rPr>
      </w:pPr>
      <w:r w:rsidRPr="00E84350">
        <w:rPr>
          <w:i/>
        </w:rPr>
        <w:t>9.</w:t>
      </w:r>
      <w:r w:rsidRPr="00E84350">
        <w:rPr>
          <w:i/>
        </w:rPr>
        <w:tab/>
      </w:r>
      <w:r w:rsidRPr="00E84350">
        <w:rPr>
          <w:bCs/>
          <w:i/>
          <w:kern w:val="36"/>
          <w:szCs w:val="22"/>
        </w:rPr>
        <w:t>Convención Internacional sobre la protección de los artistas intérpretes o ejecutantes,</w:t>
      </w:r>
      <w:r w:rsidRPr="00E84350">
        <w:rPr>
          <w:bCs/>
          <w:i/>
          <w:kern w:val="36"/>
          <w:szCs w:val="22"/>
        </w:rPr>
        <w:br/>
        <w:t>los productores de fonogramas y los organismos de radiodifusión</w:t>
      </w:r>
      <w:r w:rsidR="0004598F" w:rsidRPr="00E84350">
        <w:rPr>
          <w:i/>
        </w:rPr>
        <w:t xml:space="preserve"> (1961)</w:t>
      </w:r>
    </w:p>
    <w:p w:rsidR="0057010B" w:rsidRPr="00E84350" w:rsidRDefault="0057010B" w:rsidP="0004598F">
      <w:pPr>
        <w:rPr>
          <w:i/>
        </w:rPr>
      </w:pPr>
    </w:p>
    <w:p w:rsidR="0004598F" w:rsidRPr="00E84350" w:rsidRDefault="009303F1" w:rsidP="0004598F">
      <w:r w:rsidRPr="00E84350">
        <w:rPr>
          <w:noProof/>
          <w:lang w:val="en-US" w:eastAsia="en-US"/>
        </w:rPr>
        <w:drawing>
          <wp:inline distT="0" distB="0" distL="0" distR="0" wp14:anchorId="1CE2ED0D" wp14:editId="48ACD7D9">
            <wp:extent cx="4578985" cy="2743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786A4D" w:rsidRPr="00E84350" w:rsidRDefault="00786A4D" w:rsidP="0004598F"/>
    <w:p w:rsidR="0004598F" w:rsidRPr="00E84350" w:rsidRDefault="002A3F86" w:rsidP="0004598F">
      <w:pPr>
        <w:rPr>
          <w:i/>
        </w:rPr>
      </w:pPr>
      <w:r w:rsidRPr="00E84350">
        <w:rPr>
          <w:i/>
        </w:rPr>
        <w:t>10.</w:t>
      </w:r>
      <w:r w:rsidRPr="00E84350">
        <w:rPr>
          <w:i/>
        </w:rPr>
        <w:tab/>
        <w:t xml:space="preserve">Arreglo de Locarno que establece una Clasificación Internacional para los Dibujos y Modelos Industriales </w:t>
      </w:r>
      <w:r w:rsidR="0004598F" w:rsidRPr="00E84350">
        <w:rPr>
          <w:i/>
        </w:rPr>
        <w:t>(1968)</w:t>
      </w:r>
    </w:p>
    <w:p w:rsidR="0004598F" w:rsidRPr="00E84350" w:rsidRDefault="0004598F" w:rsidP="0004598F"/>
    <w:p w:rsidR="0004598F" w:rsidRPr="00E84350" w:rsidRDefault="0070293D" w:rsidP="0004598F">
      <w:r w:rsidRPr="00E84350">
        <w:rPr>
          <w:noProof/>
          <w:lang w:val="en-US" w:eastAsia="en-US"/>
        </w:rPr>
        <w:drawing>
          <wp:inline distT="0" distB="0" distL="0" distR="0" wp14:anchorId="29E18EA7" wp14:editId="4D2A68F2">
            <wp:extent cx="4578985" cy="274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786A4D" w:rsidRPr="00E84350" w:rsidRDefault="00786A4D" w:rsidP="00786A4D">
      <w:pPr>
        <w:keepNext/>
        <w:keepLines/>
      </w:pPr>
    </w:p>
    <w:p w:rsidR="0004598F" w:rsidRPr="00E84350" w:rsidRDefault="002A3F86" w:rsidP="00786A4D">
      <w:pPr>
        <w:keepNext/>
        <w:keepLines/>
        <w:rPr>
          <w:i/>
        </w:rPr>
      </w:pPr>
      <w:r w:rsidRPr="00E84350">
        <w:rPr>
          <w:i/>
        </w:rPr>
        <w:t>11.</w:t>
      </w:r>
      <w:r w:rsidRPr="00E84350">
        <w:rPr>
          <w:i/>
        </w:rPr>
        <w:tab/>
        <w:t xml:space="preserve">Tratado de Cooperación en materia de Patentes (PCT) </w:t>
      </w:r>
      <w:r w:rsidR="0004598F" w:rsidRPr="00E84350">
        <w:rPr>
          <w:i/>
        </w:rPr>
        <w:t>(1970)</w:t>
      </w:r>
    </w:p>
    <w:p w:rsidR="0004598F" w:rsidRPr="00E84350" w:rsidRDefault="0004598F" w:rsidP="00786A4D">
      <w:pPr>
        <w:keepNext/>
        <w:keepLines/>
      </w:pPr>
    </w:p>
    <w:p w:rsidR="0004598F" w:rsidRPr="00E84350" w:rsidRDefault="00DB6E56" w:rsidP="0004598F">
      <w:r w:rsidRPr="00DB6E56">
        <w:rPr>
          <w:noProof/>
          <w:lang w:val="en-US" w:eastAsia="en-US"/>
        </w:rPr>
        <w:drawing>
          <wp:inline distT="0" distB="0" distL="0" distR="0">
            <wp:extent cx="4582795" cy="27432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82795" cy="2743200"/>
                    </a:xfrm>
                    <a:prstGeom prst="rect">
                      <a:avLst/>
                    </a:prstGeom>
                    <a:noFill/>
                    <a:ln>
                      <a:noFill/>
                    </a:ln>
                  </pic:spPr>
                </pic:pic>
              </a:graphicData>
            </a:graphic>
          </wp:inline>
        </w:drawing>
      </w:r>
    </w:p>
    <w:p w:rsidR="0004598F" w:rsidRPr="00E84350" w:rsidRDefault="0004598F" w:rsidP="0004598F"/>
    <w:p w:rsidR="0057010B" w:rsidRPr="00E84350" w:rsidRDefault="0057010B" w:rsidP="0004598F"/>
    <w:p w:rsidR="0004598F" w:rsidRPr="00E84350" w:rsidRDefault="002A3F86" w:rsidP="0004598F">
      <w:pPr>
        <w:rPr>
          <w:i/>
        </w:rPr>
      </w:pPr>
      <w:r w:rsidRPr="00E84350">
        <w:rPr>
          <w:i/>
        </w:rPr>
        <w:t>12.</w:t>
      </w:r>
      <w:r w:rsidRPr="00E84350">
        <w:rPr>
          <w:i/>
        </w:rPr>
        <w:tab/>
        <w:t xml:space="preserve">Arreglo de Estrasburgo relativo a la Clasificación Internacional de Patentes </w:t>
      </w:r>
      <w:r w:rsidR="0004598F" w:rsidRPr="00E84350">
        <w:rPr>
          <w:i/>
        </w:rPr>
        <w:t>(1971)</w:t>
      </w:r>
    </w:p>
    <w:p w:rsidR="0004598F" w:rsidRPr="00E84350" w:rsidRDefault="0004598F" w:rsidP="0004598F"/>
    <w:p w:rsidR="0004598F" w:rsidRPr="00E84350" w:rsidRDefault="0070293D" w:rsidP="0004598F">
      <w:r w:rsidRPr="00E84350">
        <w:rPr>
          <w:noProof/>
          <w:lang w:val="en-US" w:eastAsia="en-US"/>
        </w:rPr>
        <w:drawing>
          <wp:inline distT="0" distB="0" distL="0" distR="0" wp14:anchorId="74C86770" wp14:editId="4735170B">
            <wp:extent cx="4578985" cy="274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57010B" w:rsidRPr="00E84350" w:rsidRDefault="0057010B" w:rsidP="0004598F"/>
    <w:p w:rsidR="00786A4D" w:rsidRPr="00E84350" w:rsidRDefault="00786A4D" w:rsidP="00786A4D">
      <w:pPr>
        <w:keepNext/>
        <w:keepLines/>
      </w:pPr>
    </w:p>
    <w:p w:rsidR="0004598F" w:rsidRPr="00E84350" w:rsidRDefault="00D66760" w:rsidP="00786A4D">
      <w:pPr>
        <w:keepNext/>
        <w:keepLines/>
        <w:rPr>
          <w:i/>
        </w:rPr>
      </w:pPr>
      <w:r w:rsidRPr="00E84350">
        <w:rPr>
          <w:i/>
        </w:rPr>
        <w:t>13.</w:t>
      </w:r>
      <w:r w:rsidRPr="00E84350">
        <w:rPr>
          <w:i/>
        </w:rPr>
        <w:tab/>
      </w:r>
      <w:r w:rsidR="002A3F86" w:rsidRPr="00E84350">
        <w:rPr>
          <w:i/>
        </w:rPr>
        <w:t xml:space="preserve">Convenio para la protección de los productores de fonogramas contra la reproducción no autorizada de sus fonogramas </w:t>
      </w:r>
      <w:r w:rsidR="0004598F" w:rsidRPr="00E84350">
        <w:rPr>
          <w:i/>
        </w:rPr>
        <w:t>(1971)</w:t>
      </w:r>
    </w:p>
    <w:p w:rsidR="0004598F" w:rsidRPr="00E84350" w:rsidRDefault="0004598F" w:rsidP="00786A4D">
      <w:pPr>
        <w:keepNext/>
        <w:keepLines/>
      </w:pPr>
    </w:p>
    <w:p w:rsidR="0004598F" w:rsidRPr="00E84350" w:rsidRDefault="00153FF0" w:rsidP="0004598F">
      <w:r w:rsidRPr="00E84350">
        <w:rPr>
          <w:noProof/>
          <w:lang w:val="en-US" w:eastAsia="en-US"/>
        </w:rPr>
        <w:drawing>
          <wp:inline distT="0" distB="0" distL="0" distR="0" wp14:anchorId="5AC1D54A" wp14:editId="59205EFC">
            <wp:extent cx="457962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a:ln>
                      <a:noFill/>
                    </a:ln>
                  </pic:spPr>
                </pic:pic>
              </a:graphicData>
            </a:graphic>
          </wp:inline>
        </w:drawing>
      </w:r>
    </w:p>
    <w:p w:rsidR="0004598F" w:rsidRPr="00E84350" w:rsidRDefault="0004598F" w:rsidP="0004598F"/>
    <w:p w:rsidR="00786A4D" w:rsidRPr="00E84350" w:rsidRDefault="00786A4D" w:rsidP="0004598F"/>
    <w:p w:rsidR="0004598F" w:rsidRPr="00E84350" w:rsidRDefault="00D66760" w:rsidP="0004598F">
      <w:pPr>
        <w:rPr>
          <w:i/>
        </w:rPr>
      </w:pPr>
      <w:r w:rsidRPr="00E84350">
        <w:rPr>
          <w:i/>
        </w:rPr>
        <w:t>14.</w:t>
      </w:r>
      <w:r w:rsidRPr="00E84350">
        <w:rPr>
          <w:i/>
        </w:rPr>
        <w:tab/>
      </w:r>
      <w:r w:rsidRPr="00E84350">
        <w:rPr>
          <w:bCs/>
          <w:i/>
          <w:kern w:val="36"/>
          <w:szCs w:val="22"/>
        </w:rPr>
        <w:t>Acuerdo de Viena por el que se establece una Clasificación Internacional</w:t>
      </w:r>
      <w:r w:rsidRPr="00E84350">
        <w:rPr>
          <w:bCs/>
          <w:i/>
          <w:kern w:val="36"/>
          <w:szCs w:val="22"/>
        </w:rPr>
        <w:br/>
        <w:t>de los elementos figurativos de las marcas</w:t>
      </w:r>
      <w:r w:rsidRPr="00E84350">
        <w:rPr>
          <w:i/>
        </w:rPr>
        <w:t xml:space="preserve"> </w:t>
      </w:r>
      <w:r w:rsidR="0004598F" w:rsidRPr="00E84350">
        <w:rPr>
          <w:i/>
        </w:rPr>
        <w:t>(1973)</w:t>
      </w:r>
    </w:p>
    <w:p w:rsidR="0004598F" w:rsidRPr="00E84350" w:rsidRDefault="0004598F" w:rsidP="0004598F"/>
    <w:p w:rsidR="0004598F" w:rsidRPr="00E84350" w:rsidRDefault="009303F1" w:rsidP="0004598F">
      <w:r w:rsidRPr="00E84350">
        <w:rPr>
          <w:noProof/>
          <w:lang w:val="en-US" w:eastAsia="en-US"/>
        </w:rPr>
        <w:drawing>
          <wp:inline distT="0" distB="0" distL="0" distR="0" wp14:anchorId="49E8C0FD" wp14:editId="014082C7">
            <wp:extent cx="4578985" cy="274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57010B" w:rsidRPr="00E84350" w:rsidRDefault="0057010B" w:rsidP="0004598F"/>
    <w:p w:rsidR="00786A4D" w:rsidRPr="00E84350" w:rsidRDefault="00786A4D" w:rsidP="00786A4D">
      <w:pPr>
        <w:keepNext/>
        <w:keepLines/>
      </w:pPr>
    </w:p>
    <w:p w:rsidR="0004598F" w:rsidRPr="00E84350" w:rsidRDefault="00D66760" w:rsidP="00786A4D">
      <w:pPr>
        <w:keepNext/>
        <w:keepLines/>
        <w:rPr>
          <w:i/>
        </w:rPr>
      </w:pPr>
      <w:r w:rsidRPr="00E84350">
        <w:rPr>
          <w:i/>
        </w:rPr>
        <w:t>15.</w:t>
      </w:r>
      <w:r w:rsidRPr="00E84350">
        <w:rPr>
          <w:i/>
        </w:rPr>
        <w:tab/>
      </w:r>
      <w:r w:rsidRPr="00E84350">
        <w:rPr>
          <w:bCs/>
          <w:i/>
          <w:kern w:val="36"/>
          <w:szCs w:val="22"/>
        </w:rPr>
        <w:t>Convenio sobre la distribución de señales portadoras</w:t>
      </w:r>
      <w:r w:rsidR="00786A4D" w:rsidRPr="00E84350">
        <w:rPr>
          <w:bCs/>
          <w:i/>
          <w:kern w:val="36"/>
          <w:szCs w:val="22"/>
        </w:rPr>
        <w:t xml:space="preserve"> </w:t>
      </w:r>
      <w:r w:rsidRPr="00E84350">
        <w:rPr>
          <w:bCs/>
          <w:i/>
          <w:kern w:val="36"/>
          <w:szCs w:val="22"/>
        </w:rPr>
        <w:t>de programas transmitidas por satélite</w:t>
      </w:r>
      <w:r w:rsidR="003C355B" w:rsidRPr="00E84350">
        <w:rPr>
          <w:bCs/>
          <w:i/>
          <w:kern w:val="36"/>
          <w:szCs w:val="22"/>
        </w:rPr>
        <w:t xml:space="preserve"> </w:t>
      </w:r>
      <w:r w:rsidR="0004598F" w:rsidRPr="00E84350">
        <w:rPr>
          <w:i/>
        </w:rPr>
        <w:t>(1974)</w:t>
      </w:r>
    </w:p>
    <w:p w:rsidR="0004598F" w:rsidRPr="00E84350" w:rsidRDefault="0004598F" w:rsidP="00786A4D">
      <w:pPr>
        <w:keepNext/>
        <w:keepLines/>
      </w:pPr>
    </w:p>
    <w:p w:rsidR="0004598F" w:rsidRPr="00E84350" w:rsidRDefault="009303F1" w:rsidP="0004598F">
      <w:r w:rsidRPr="00E84350">
        <w:rPr>
          <w:noProof/>
          <w:lang w:val="en-US" w:eastAsia="en-US"/>
        </w:rPr>
        <w:drawing>
          <wp:inline distT="0" distB="0" distL="0" distR="0" wp14:anchorId="22E5D01B" wp14:editId="656D5E0B">
            <wp:extent cx="4578985" cy="274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786A4D" w:rsidRPr="00E84350" w:rsidRDefault="00786A4D" w:rsidP="0004598F"/>
    <w:p w:rsidR="0004598F" w:rsidRPr="00E84350" w:rsidRDefault="00D66760" w:rsidP="0004598F">
      <w:pPr>
        <w:rPr>
          <w:i/>
        </w:rPr>
      </w:pPr>
      <w:r w:rsidRPr="00E84350">
        <w:rPr>
          <w:i/>
        </w:rPr>
        <w:t>16.</w:t>
      </w:r>
      <w:r w:rsidRPr="00E84350">
        <w:rPr>
          <w:i/>
        </w:rPr>
        <w:tab/>
        <w:t xml:space="preserve">Tratado de Budapest sobre el Reconocimiento Internacional del Depósito de Microorganismos a los fines del Procedimiento en materia de Patentes </w:t>
      </w:r>
      <w:r w:rsidR="0004598F" w:rsidRPr="00E84350">
        <w:rPr>
          <w:i/>
        </w:rPr>
        <w:t>(1977)</w:t>
      </w:r>
    </w:p>
    <w:p w:rsidR="0004598F" w:rsidRPr="00E84350" w:rsidRDefault="0004598F" w:rsidP="0004598F"/>
    <w:p w:rsidR="0004598F" w:rsidRPr="00E84350" w:rsidRDefault="009303F1" w:rsidP="0004598F">
      <w:r w:rsidRPr="00E84350">
        <w:rPr>
          <w:noProof/>
          <w:lang w:val="en-US" w:eastAsia="en-US"/>
        </w:rPr>
        <w:drawing>
          <wp:inline distT="0" distB="0" distL="0" distR="0" wp14:anchorId="2FBDC738" wp14:editId="1E906AD7">
            <wp:extent cx="4578985" cy="2743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57010B" w:rsidRPr="00E84350" w:rsidRDefault="0057010B" w:rsidP="00786A4D">
      <w:pPr>
        <w:keepNext/>
        <w:keepLines/>
      </w:pPr>
    </w:p>
    <w:p w:rsidR="0004598F" w:rsidRPr="00E84350" w:rsidRDefault="00D66760" w:rsidP="00786A4D">
      <w:pPr>
        <w:keepNext/>
        <w:keepLines/>
        <w:rPr>
          <w:i/>
        </w:rPr>
      </w:pPr>
      <w:r w:rsidRPr="00E84350">
        <w:rPr>
          <w:i/>
        </w:rPr>
        <w:t>17.</w:t>
      </w:r>
      <w:r w:rsidRPr="00E84350">
        <w:rPr>
          <w:i/>
        </w:rPr>
        <w:tab/>
        <w:t xml:space="preserve">Tratado de Nairobi sobre la protección del Símbolo Olímpico </w:t>
      </w:r>
      <w:r w:rsidR="0004598F" w:rsidRPr="00E84350">
        <w:rPr>
          <w:i/>
        </w:rPr>
        <w:t>(1981)</w:t>
      </w:r>
    </w:p>
    <w:p w:rsidR="0004598F" w:rsidRPr="00E84350" w:rsidRDefault="0004598F" w:rsidP="00786A4D">
      <w:pPr>
        <w:keepNext/>
        <w:keepLines/>
      </w:pPr>
    </w:p>
    <w:p w:rsidR="0004598F" w:rsidRPr="00E84350" w:rsidRDefault="009303F1" w:rsidP="0004598F">
      <w:r w:rsidRPr="00E84350">
        <w:rPr>
          <w:noProof/>
          <w:lang w:val="en-US" w:eastAsia="en-US"/>
        </w:rPr>
        <w:drawing>
          <wp:inline distT="0" distB="0" distL="0" distR="0" wp14:anchorId="255F7620" wp14:editId="5A43700E">
            <wp:extent cx="4578985" cy="2743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57010B" w:rsidRPr="00E84350" w:rsidRDefault="0057010B" w:rsidP="0004598F"/>
    <w:p w:rsidR="0004598F" w:rsidRPr="00E84350" w:rsidRDefault="0004598F" w:rsidP="0004598F">
      <w:pPr>
        <w:rPr>
          <w:i/>
        </w:rPr>
      </w:pPr>
      <w:r w:rsidRPr="00E84350">
        <w:rPr>
          <w:i/>
        </w:rPr>
        <w:t>18.</w:t>
      </w:r>
      <w:r w:rsidRPr="00E84350">
        <w:rPr>
          <w:i/>
        </w:rPr>
        <w:tab/>
        <w:t>Tra</w:t>
      </w:r>
      <w:r w:rsidR="00D66760" w:rsidRPr="00E84350">
        <w:rPr>
          <w:i/>
        </w:rPr>
        <w:t>tado sobre el Derecho de Marcas</w:t>
      </w:r>
      <w:r w:rsidRPr="00E84350">
        <w:rPr>
          <w:i/>
        </w:rPr>
        <w:t xml:space="preserve"> (TLT) (1994)</w:t>
      </w:r>
    </w:p>
    <w:p w:rsidR="0004598F" w:rsidRPr="00E84350" w:rsidRDefault="0004598F" w:rsidP="0004598F"/>
    <w:p w:rsidR="0004598F" w:rsidRPr="00E84350" w:rsidRDefault="009303F1" w:rsidP="0004598F">
      <w:r w:rsidRPr="00E84350">
        <w:rPr>
          <w:noProof/>
          <w:lang w:val="en-US" w:eastAsia="en-US"/>
        </w:rPr>
        <w:drawing>
          <wp:inline distT="0" distB="0" distL="0" distR="0" wp14:anchorId="682EBF65" wp14:editId="64717EA0">
            <wp:extent cx="4578985" cy="2743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57010B" w:rsidRPr="00E84350" w:rsidRDefault="0057010B" w:rsidP="00371057">
      <w:pPr>
        <w:keepNext/>
        <w:keepLines/>
      </w:pPr>
    </w:p>
    <w:p w:rsidR="0004598F" w:rsidRPr="00E84350" w:rsidRDefault="00D66760" w:rsidP="00371057">
      <w:pPr>
        <w:keepNext/>
        <w:keepLines/>
        <w:rPr>
          <w:i/>
        </w:rPr>
      </w:pPr>
      <w:r w:rsidRPr="00E84350">
        <w:rPr>
          <w:i/>
        </w:rPr>
        <w:t>19.</w:t>
      </w:r>
      <w:r w:rsidRPr="00E84350">
        <w:rPr>
          <w:i/>
        </w:rPr>
        <w:tab/>
        <w:t>Tratado de la OMPI sobre Derecho de Autor</w:t>
      </w:r>
      <w:r w:rsidR="0004598F" w:rsidRPr="00E84350">
        <w:rPr>
          <w:i/>
        </w:rPr>
        <w:t xml:space="preserve"> (WCT) (1996)</w:t>
      </w:r>
    </w:p>
    <w:p w:rsidR="0004598F" w:rsidRPr="00E84350" w:rsidRDefault="0004598F" w:rsidP="00371057">
      <w:pPr>
        <w:keepNext/>
        <w:keepLines/>
      </w:pPr>
    </w:p>
    <w:p w:rsidR="0004598F" w:rsidRPr="00E84350" w:rsidRDefault="009303F1" w:rsidP="0004598F">
      <w:r w:rsidRPr="00E84350">
        <w:rPr>
          <w:noProof/>
          <w:lang w:val="en-US" w:eastAsia="en-US"/>
        </w:rPr>
        <w:drawing>
          <wp:inline distT="0" distB="0" distL="0" distR="0" wp14:anchorId="7113A068" wp14:editId="18FD9F48">
            <wp:extent cx="4578985" cy="274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04598F" w:rsidRPr="00E84350" w:rsidRDefault="0004598F" w:rsidP="0004598F"/>
    <w:p w:rsidR="0004598F" w:rsidRPr="00E84350" w:rsidRDefault="00D66760" w:rsidP="0004598F">
      <w:pPr>
        <w:rPr>
          <w:i/>
        </w:rPr>
      </w:pPr>
      <w:r w:rsidRPr="00E84350">
        <w:rPr>
          <w:i/>
        </w:rPr>
        <w:t>20.</w:t>
      </w:r>
      <w:r w:rsidRPr="00E84350">
        <w:rPr>
          <w:i/>
        </w:rPr>
        <w:tab/>
        <w:t>Tratado de la OMPI sobre Interpretación o Ejecución y Fonogramas</w:t>
      </w:r>
      <w:r w:rsidR="0004598F" w:rsidRPr="00E84350">
        <w:rPr>
          <w:i/>
        </w:rPr>
        <w:t xml:space="preserve"> (WPPT) (1996)</w:t>
      </w:r>
    </w:p>
    <w:p w:rsidR="0004598F" w:rsidRPr="00E84350" w:rsidRDefault="0004598F" w:rsidP="0004598F"/>
    <w:p w:rsidR="0004598F" w:rsidRPr="00E84350" w:rsidRDefault="009303F1" w:rsidP="0004598F">
      <w:pPr>
        <w:tabs>
          <w:tab w:val="left" w:pos="7110"/>
          <w:tab w:val="left" w:pos="7200"/>
          <w:tab w:val="left" w:pos="7290"/>
          <w:tab w:val="left" w:pos="7470"/>
        </w:tabs>
      </w:pPr>
      <w:r w:rsidRPr="00E84350">
        <w:rPr>
          <w:noProof/>
          <w:lang w:val="en-US" w:eastAsia="en-US"/>
        </w:rPr>
        <w:drawing>
          <wp:inline distT="0" distB="0" distL="0" distR="0" wp14:anchorId="54D45D67" wp14:editId="721026DC">
            <wp:extent cx="4578985" cy="274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371057" w:rsidRPr="00E84350" w:rsidRDefault="00371057" w:rsidP="00371057">
      <w:pPr>
        <w:keepNext/>
        <w:keepLines/>
      </w:pPr>
    </w:p>
    <w:p w:rsidR="0004598F" w:rsidRPr="00E84350" w:rsidRDefault="0004598F" w:rsidP="00371057">
      <w:pPr>
        <w:keepNext/>
        <w:keepLines/>
        <w:rPr>
          <w:i/>
        </w:rPr>
      </w:pPr>
      <w:r w:rsidRPr="00E84350">
        <w:rPr>
          <w:i/>
        </w:rPr>
        <w:t>21.</w:t>
      </w:r>
      <w:r w:rsidRPr="00E84350">
        <w:rPr>
          <w:i/>
        </w:rPr>
        <w:tab/>
      </w:r>
      <w:r w:rsidR="00D66760" w:rsidRPr="00E84350">
        <w:rPr>
          <w:i/>
        </w:rPr>
        <w:t xml:space="preserve">Tratado sobre el Derecho de Patentes </w:t>
      </w:r>
      <w:r w:rsidRPr="00E84350">
        <w:rPr>
          <w:i/>
        </w:rPr>
        <w:t>(PLT) (2000)</w:t>
      </w:r>
    </w:p>
    <w:p w:rsidR="0004598F" w:rsidRPr="00E84350" w:rsidRDefault="0004598F" w:rsidP="00371057">
      <w:pPr>
        <w:keepNext/>
        <w:keepLines/>
      </w:pPr>
    </w:p>
    <w:p w:rsidR="0004598F" w:rsidRPr="00E84350" w:rsidRDefault="009303F1" w:rsidP="0004598F">
      <w:r w:rsidRPr="00E84350">
        <w:rPr>
          <w:noProof/>
          <w:lang w:val="en-US" w:eastAsia="en-US"/>
        </w:rPr>
        <w:drawing>
          <wp:inline distT="0" distB="0" distL="0" distR="0" wp14:anchorId="70AFBC15" wp14:editId="20CF5CB4">
            <wp:extent cx="4578985" cy="2743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04598F" w:rsidRPr="00E84350" w:rsidRDefault="0004598F" w:rsidP="0004598F"/>
    <w:p w:rsidR="0004598F" w:rsidRPr="00E84350" w:rsidRDefault="0004598F" w:rsidP="0004598F"/>
    <w:p w:rsidR="009D6324" w:rsidRPr="00E84350" w:rsidRDefault="009D6324" w:rsidP="0004598F"/>
    <w:p w:rsidR="0004598F" w:rsidRPr="00E84350" w:rsidRDefault="00D66760" w:rsidP="0004598F">
      <w:pPr>
        <w:rPr>
          <w:i/>
        </w:rPr>
      </w:pPr>
      <w:r w:rsidRPr="00E84350">
        <w:rPr>
          <w:i/>
        </w:rPr>
        <w:t>22.</w:t>
      </w:r>
      <w:r w:rsidRPr="00E84350">
        <w:rPr>
          <w:i/>
        </w:rPr>
        <w:tab/>
        <w:t xml:space="preserve">Tratado de Singapur sobre el Derecho de Marcas </w:t>
      </w:r>
      <w:r w:rsidR="0004598F" w:rsidRPr="00E84350">
        <w:rPr>
          <w:i/>
        </w:rPr>
        <w:t>(2006)</w:t>
      </w:r>
    </w:p>
    <w:p w:rsidR="0004598F" w:rsidRPr="00E84350" w:rsidRDefault="0004598F" w:rsidP="0004598F"/>
    <w:p w:rsidR="0004598F" w:rsidRPr="00E84350" w:rsidRDefault="000714EE" w:rsidP="0004598F">
      <w:r w:rsidRPr="00E84350">
        <w:rPr>
          <w:noProof/>
          <w:lang w:val="en-US" w:eastAsia="en-US"/>
        </w:rPr>
        <w:drawing>
          <wp:inline distT="0" distB="0" distL="0" distR="0" wp14:anchorId="4E242E98" wp14:editId="5D1C68D0">
            <wp:extent cx="458089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80890" cy="2743200"/>
                    </a:xfrm>
                    <a:prstGeom prst="rect">
                      <a:avLst/>
                    </a:prstGeom>
                    <a:noFill/>
                    <a:ln>
                      <a:noFill/>
                    </a:ln>
                  </pic:spPr>
                </pic:pic>
              </a:graphicData>
            </a:graphic>
          </wp:inline>
        </w:drawing>
      </w:r>
    </w:p>
    <w:p w:rsidR="0057010B" w:rsidRPr="00E84350" w:rsidRDefault="0057010B" w:rsidP="0004598F"/>
    <w:p w:rsidR="0057010B" w:rsidRPr="00E84350" w:rsidRDefault="0057010B" w:rsidP="009D6324"/>
    <w:p w:rsidR="000714EE" w:rsidRPr="00E84350" w:rsidRDefault="000714EE" w:rsidP="009D6324">
      <w:pPr>
        <w:keepNext/>
        <w:keepLines/>
        <w:rPr>
          <w:i/>
        </w:rPr>
      </w:pPr>
      <w:r w:rsidRPr="00E84350">
        <w:rPr>
          <w:i/>
        </w:rPr>
        <w:lastRenderedPageBreak/>
        <w:t>23.</w:t>
      </w:r>
      <w:r w:rsidRPr="00E84350">
        <w:rPr>
          <w:i/>
        </w:rPr>
        <w:tab/>
        <w:t>Tratado de Marrakech para facilitar el acceso a las obras publicadas a las personas ciegas, con discapacidad visual o con otras dificultades para acceder al texto impreso (2013)</w:t>
      </w:r>
    </w:p>
    <w:p w:rsidR="000714EE" w:rsidRPr="00E84350" w:rsidRDefault="000714EE" w:rsidP="009D6324">
      <w:pPr>
        <w:keepNext/>
        <w:keepLines/>
      </w:pPr>
    </w:p>
    <w:p w:rsidR="000714EE" w:rsidRPr="00E84350" w:rsidRDefault="009D6324" w:rsidP="009D6324">
      <w:pPr>
        <w:keepNext/>
        <w:keepLines/>
        <w:tabs>
          <w:tab w:val="left" w:pos="7200"/>
        </w:tabs>
      </w:pPr>
      <w:r w:rsidRPr="00E84350">
        <w:rPr>
          <w:noProof/>
          <w:lang w:val="en-US" w:eastAsia="en-US"/>
        </w:rPr>
        <w:drawing>
          <wp:inline distT="0" distB="0" distL="0" distR="0" wp14:anchorId="25EDED79" wp14:editId="33BC02BD">
            <wp:extent cx="458089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80890" cy="2743200"/>
                    </a:xfrm>
                    <a:prstGeom prst="rect">
                      <a:avLst/>
                    </a:prstGeom>
                    <a:noFill/>
                    <a:ln>
                      <a:noFill/>
                    </a:ln>
                  </pic:spPr>
                </pic:pic>
              </a:graphicData>
            </a:graphic>
          </wp:inline>
        </w:drawing>
      </w:r>
    </w:p>
    <w:p w:rsidR="000714EE" w:rsidRPr="00E84350" w:rsidRDefault="000714EE" w:rsidP="000714EE"/>
    <w:p w:rsidR="009D6324" w:rsidRPr="00E84350" w:rsidRDefault="009D6324" w:rsidP="000714EE">
      <w:r w:rsidRPr="00E84350">
        <w:t>El último instrumento de adhesión o ratificación exigido para la entrada en vigor del Tratado de Marrakech fue depositado el 30 de junio de 2016 por Canadá.  El Tratado de Marrakech entrará en vigor el 30 de septiembre de 2016.</w:t>
      </w:r>
    </w:p>
    <w:p w:rsidR="009D6324" w:rsidRPr="00E84350" w:rsidRDefault="009D6324" w:rsidP="000714EE"/>
    <w:p w:rsidR="000714EE" w:rsidRPr="00E84350" w:rsidRDefault="000714EE" w:rsidP="000714EE"/>
    <w:p w:rsidR="0004598F" w:rsidRPr="00E84350" w:rsidRDefault="00D66760" w:rsidP="00371057">
      <w:pPr>
        <w:keepNext/>
        <w:keepLines/>
        <w:rPr>
          <w:i/>
        </w:rPr>
      </w:pPr>
      <w:r w:rsidRPr="00E84350">
        <w:rPr>
          <w:i/>
        </w:rPr>
        <w:t>2</w:t>
      </w:r>
      <w:r w:rsidR="000714EE" w:rsidRPr="00E84350">
        <w:rPr>
          <w:i/>
        </w:rPr>
        <w:t>4</w:t>
      </w:r>
      <w:r w:rsidRPr="00E84350">
        <w:rPr>
          <w:i/>
        </w:rPr>
        <w:t>.</w:t>
      </w:r>
      <w:r w:rsidRPr="00E84350">
        <w:rPr>
          <w:i/>
        </w:rPr>
        <w:tab/>
      </w:r>
      <w:r w:rsidRPr="00E84350">
        <w:rPr>
          <w:bCs/>
          <w:i/>
          <w:kern w:val="36"/>
          <w:szCs w:val="22"/>
        </w:rPr>
        <w:t>Tratado de Beijing sobre Interpretaciones y Ejecuciones Audiovisuales</w:t>
      </w:r>
      <w:r w:rsidRPr="00E84350">
        <w:rPr>
          <w:i/>
        </w:rPr>
        <w:t xml:space="preserve"> </w:t>
      </w:r>
      <w:r w:rsidR="0004598F" w:rsidRPr="00E84350">
        <w:rPr>
          <w:i/>
        </w:rPr>
        <w:t>(2012)</w:t>
      </w:r>
    </w:p>
    <w:p w:rsidR="0004598F" w:rsidRPr="00E84350" w:rsidRDefault="0004598F" w:rsidP="00371057">
      <w:pPr>
        <w:keepNext/>
        <w:keepLines/>
        <w:rPr>
          <w:i/>
        </w:rPr>
      </w:pPr>
      <w:r w:rsidRPr="00E84350">
        <w:rPr>
          <w:i/>
        </w:rPr>
        <w:t>(</w:t>
      </w:r>
      <w:r w:rsidR="00D66760" w:rsidRPr="00E84350">
        <w:rPr>
          <w:i/>
        </w:rPr>
        <w:t>Todavía no está en vigor</w:t>
      </w:r>
      <w:r w:rsidRPr="00E84350">
        <w:rPr>
          <w:i/>
        </w:rPr>
        <w:t xml:space="preserve">.  </w:t>
      </w:r>
      <w:r w:rsidR="000F3419" w:rsidRPr="00E84350">
        <w:rPr>
          <w:i/>
        </w:rPr>
        <w:t>Para su entrada en vigor</w:t>
      </w:r>
      <w:r w:rsidR="009D6324" w:rsidRPr="00E84350">
        <w:rPr>
          <w:i/>
        </w:rPr>
        <w:t xml:space="preserve"> son</w:t>
      </w:r>
      <w:r w:rsidR="00982BE9" w:rsidRPr="00E84350">
        <w:rPr>
          <w:i/>
        </w:rPr>
        <w:t xml:space="preserve"> necesaria</w:t>
      </w:r>
      <w:r w:rsidR="009D6324" w:rsidRPr="00E84350">
        <w:rPr>
          <w:i/>
        </w:rPr>
        <w:t>s 30</w:t>
      </w:r>
      <w:r w:rsidR="00982BE9" w:rsidRPr="00E84350">
        <w:rPr>
          <w:i/>
        </w:rPr>
        <w:t xml:space="preserve"> adhesi</w:t>
      </w:r>
      <w:r w:rsidR="009D6324" w:rsidRPr="00E84350">
        <w:rPr>
          <w:i/>
        </w:rPr>
        <w:t>o</w:t>
      </w:r>
      <w:r w:rsidR="00982BE9" w:rsidRPr="00E84350">
        <w:rPr>
          <w:i/>
        </w:rPr>
        <w:t>n</w:t>
      </w:r>
      <w:r w:rsidR="009D6324" w:rsidRPr="00E84350">
        <w:rPr>
          <w:i/>
        </w:rPr>
        <w:t xml:space="preserve">es o </w:t>
      </w:r>
      <w:r w:rsidR="00D66760" w:rsidRPr="00E84350">
        <w:rPr>
          <w:i/>
        </w:rPr>
        <w:t>ratificaci</w:t>
      </w:r>
      <w:r w:rsidR="009D6324" w:rsidRPr="00E84350">
        <w:rPr>
          <w:i/>
        </w:rPr>
        <w:t>ones</w:t>
      </w:r>
      <w:r w:rsidR="00D66760" w:rsidRPr="00E84350">
        <w:rPr>
          <w:i/>
        </w:rPr>
        <w:t xml:space="preserve"> que reúnan las condiciones</w:t>
      </w:r>
      <w:r w:rsidR="000F3419" w:rsidRPr="00E84350">
        <w:rPr>
          <w:i/>
        </w:rPr>
        <w:t xml:space="preserve"> correspondientes</w:t>
      </w:r>
      <w:r w:rsidR="00FC6309" w:rsidRPr="00E84350">
        <w:rPr>
          <w:i/>
        </w:rPr>
        <w:t>.)</w:t>
      </w:r>
    </w:p>
    <w:p w:rsidR="0004598F" w:rsidRPr="00E84350" w:rsidRDefault="0004598F" w:rsidP="00371057">
      <w:pPr>
        <w:keepNext/>
        <w:keepLines/>
      </w:pPr>
    </w:p>
    <w:p w:rsidR="0004598F" w:rsidRPr="00E84350" w:rsidRDefault="009303F1" w:rsidP="0004598F">
      <w:pPr>
        <w:tabs>
          <w:tab w:val="left" w:pos="7290"/>
        </w:tabs>
      </w:pPr>
      <w:r w:rsidRPr="00E84350">
        <w:rPr>
          <w:noProof/>
          <w:lang w:val="en-US" w:eastAsia="en-US"/>
        </w:rPr>
        <w:drawing>
          <wp:inline distT="0" distB="0" distL="0" distR="0" wp14:anchorId="4EC1E6F3" wp14:editId="7FC5CD64">
            <wp:extent cx="4578985" cy="2743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371057" w:rsidRPr="00E84350" w:rsidRDefault="00371057" w:rsidP="0004598F"/>
    <w:p w:rsidR="00F17850" w:rsidRPr="00E84350" w:rsidRDefault="00F17850" w:rsidP="0004598F"/>
    <w:p w:rsidR="0004598F" w:rsidRPr="00E81C81" w:rsidRDefault="001D04EE" w:rsidP="00371057">
      <w:pPr>
        <w:rPr>
          <w:b/>
        </w:rPr>
      </w:pPr>
      <w:r w:rsidRPr="00E81C81">
        <w:rPr>
          <w:b/>
        </w:rPr>
        <w:t>II.</w:t>
      </w:r>
      <w:r w:rsidRPr="00E81C81">
        <w:rPr>
          <w:b/>
        </w:rPr>
        <w:tab/>
        <w:t>REFORMA ESTATUTARIA</w:t>
      </w:r>
    </w:p>
    <w:p w:rsidR="0004598F" w:rsidRPr="00E84350" w:rsidRDefault="0004598F" w:rsidP="0004598F">
      <w:pPr>
        <w:pStyle w:val="EndofDocument"/>
        <w:ind w:left="0"/>
        <w:jc w:val="left"/>
        <w:rPr>
          <w:rFonts w:ascii="Batang" w:eastAsia="Batang" w:hAnsi="Batang"/>
          <w:lang w:val="es-ES"/>
        </w:rPr>
      </w:pPr>
    </w:p>
    <w:p w:rsidR="0004598F" w:rsidRPr="00E84350" w:rsidRDefault="0004598F" w:rsidP="0005514A">
      <w:pPr>
        <w:rPr>
          <w:szCs w:val="22"/>
        </w:rPr>
      </w:pPr>
      <w:r w:rsidRPr="00E84350">
        <w:t>25.</w:t>
      </w:r>
      <w:r w:rsidRPr="00E84350">
        <w:tab/>
      </w:r>
      <w:r w:rsidR="0005514A" w:rsidRPr="00E84350">
        <w:t xml:space="preserve">En sus reuniones de septiembre de 2002, las Asambleas de los Estados miembros de la OMPI adoptaron las tres recomendaciones que les fueron sometidas por el Grupo de Trabajo sobre la Reforma Constitucional de la OMPI.  Las tres recomendaciones consistían en:  i) disolver la Conferencia de la OMPI;  ii) oficializar en los tratados el sistema de contribución </w:t>
      </w:r>
      <w:r w:rsidR="0005514A" w:rsidRPr="00E84350">
        <w:lastRenderedPageBreak/>
        <w:t>única y los cambios en las clases de contribución que ya se practican desde 1994;  y iii) modificar la frecuencia de los períodos ordinarios de sesiones de la Asamblea General de la OMPI y las demás Asambleas de las Uniones administradas por la OMPI, para que se celebren una vez al año en lugar de una vez cada dos años (párrafos 291 a 301 del documento A/37/14).</w:t>
      </w:r>
    </w:p>
    <w:p w:rsidR="0004598F" w:rsidRPr="00E84350" w:rsidRDefault="0004598F" w:rsidP="0004598F">
      <w:pPr>
        <w:rPr>
          <w:szCs w:val="22"/>
        </w:rPr>
      </w:pPr>
    </w:p>
    <w:p w:rsidR="0004598F" w:rsidRPr="00E84350" w:rsidRDefault="0004598F" w:rsidP="0004598F">
      <w:pPr>
        <w:pStyle w:val="FootnoteText"/>
        <w:rPr>
          <w:sz w:val="22"/>
          <w:szCs w:val="22"/>
        </w:rPr>
      </w:pPr>
      <w:r w:rsidRPr="00E84350">
        <w:rPr>
          <w:sz w:val="22"/>
          <w:szCs w:val="22"/>
        </w:rPr>
        <w:t>26.</w:t>
      </w:r>
      <w:r w:rsidRPr="00E84350">
        <w:rPr>
          <w:sz w:val="22"/>
          <w:szCs w:val="22"/>
        </w:rPr>
        <w:tab/>
      </w:r>
      <w:r w:rsidR="0005514A" w:rsidRPr="00E84350">
        <w:rPr>
          <w:sz w:val="22"/>
          <w:szCs w:val="22"/>
        </w:rPr>
        <w:t>Para ejecutar la decisión de las Asambleas sobre las tres recomendaciones señaladas en el párrafo anterior, fue necesario modificar varios tratados administrados por la OMPI.  Por ello, la Conferencia de la OMPI y las Asambleas de las Uniones competentes administradas por la OMPI adoptaron por unanimidad, el 1 de octubre de 2003, las modificaciones relativas al Convenio de la OMPI y a otros tratados administrados por la OMPI, a saber, el Convenio de París para la Protección de la Propiedad Industrial (Convenio de París), el Convenio de Berna para la Protección de las Obras Literarias y Artísticas (Convenio de Berna), el Arreglo de Madrid relativo al Registro Internacional de Marcas (Arreglo de Madrid), el Arreglo de La Haya relativo al Depósito Internacional de Dibujos y Modelos Industriales (Arreglo de La Haya), el Arreglo de Niza relativo a la Clasificación Internacional de Productos y Servicios para el Registro de las Marcas (Arreglo de Niza), el Arreglo de Lisboa relativo a la Protección de las Denominaciones de Origen y su Registro Internacional (Arreglo de Lisboa), el Arreglo de Locarno que establece una Clasificación Internacional para los Dibujos y Modelos Industriales (Arreglo de Locarno), el Tratado de Cooperación en materia de Patentes (PCT), el Arreglo de Estrasburgo relativo a la Clasificación Internacional de Patentes (Arreglo de Estrasburgo), el Acuerdo de Viena por el que se establece una Clasificación Internacional de los elementos figurativos de las marcas (Acuerdo de Viena) y el Tratado de Budapest sobre el Reconocimiento Internacional del Depósito de Microorganismos a los fines del Procedimiento en materia de Patentes (Tratado de Budapest) (párrafos 166 y 167 del documento A/39/15).</w:t>
      </w:r>
    </w:p>
    <w:p w:rsidR="0004598F" w:rsidRPr="00E84350" w:rsidRDefault="0004598F" w:rsidP="0004598F">
      <w:pPr>
        <w:pStyle w:val="FootnoteText"/>
        <w:rPr>
          <w:sz w:val="22"/>
          <w:szCs w:val="22"/>
        </w:rPr>
      </w:pPr>
    </w:p>
    <w:p w:rsidR="0005514A" w:rsidRPr="00E84350" w:rsidRDefault="0005514A" w:rsidP="0005514A">
      <w:r w:rsidRPr="00E84350">
        <w:rPr>
          <w:szCs w:val="22"/>
        </w:rPr>
        <w:t>27.</w:t>
      </w:r>
      <w:r w:rsidRPr="00E84350">
        <w:rPr>
          <w:szCs w:val="22"/>
        </w:rPr>
        <w:tab/>
      </w:r>
      <w:r w:rsidRPr="00E84350">
        <w:t>Conforme a las disposiciones pertinentes de los tratados administrados por la OMPI, las citadas modificaciones entrarán en vigor un mes después de que el Director General de la OMPI haya recibido notificación escrita de su aceptación, efectuada de conformidad con sus respectivos procedimientos constitucionales, de tres cuartos de los Estados que eran miembros de la OMPI y/o de las Asambleas pertinentes en el momento en que las modificaciones fueron adoptadas por la Conferencia y las Asambleas competentes.</w:t>
      </w:r>
    </w:p>
    <w:p w:rsidR="0004598F" w:rsidRPr="00E84350" w:rsidRDefault="0004598F" w:rsidP="0004598F">
      <w:pPr>
        <w:rPr>
          <w:szCs w:val="22"/>
        </w:rPr>
      </w:pPr>
    </w:p>
    <w:p w:rsidR="0004598F" w:rsidRPr="00E84350" w:rsidRDefault="009D6324" w:rsidP="00DE6C9E">
      <w:pPr>
        <w:rPr>
          <w:szCs w:val="22"/>
        </w:rPr>
      </w:pPr>
      <w:r w:rsidRPr="00E84350">
        <w:rPr>
          <w:szCs w:val="22"/>
        </w:rPr>
        <w:t>28.</w:t>
      </w:r>
      <w:r w:rsidRPr="00E84350">
        <w:rPr>
          <w:szCs w:val="22"/>
        </w:rPr>
        <w:tab/>
        <w:t xml:space="preserve">Hasta </w:t>
      </w:r>
      <w:r w:rsidRPr="00F51217">
        <w:rPr>
          <w:szCs w:val="22"/>
        </w:rPr>
        <w:t xml:space="preserve">el </w:t>
      </w:r>
      <w:r w:rsidR="00DE6C9E" w:rsidRPr="00F51217">
        <w:rPr>
          <w:szCs w:val="22"/>
        </w:rPr>
        <w:t>18</w:t>
      </w:r>
      <w:r w:rsidRPr="00F51217">
        <w:rPr>
          <w:szCs w:val="22"/>
        </w:rPr>
        <w:t xml:space="preserve"> de ju</w:t>
      </w:r>
      <w:r w:rsidR="00DE6C9E" w:rsidRPr="00F51217">
        <w:rPr>
          <w:szCs w:val="22"/>
        </w:rPr>
        <w:t>l</w:t>
      </w:r>
      <w:r w:rsidRPr="00F51217">
        <w:rPr>
          <w:szCs w:val="22"/>
        </w:rPr>
        <w:t xml:space="preserve">io </w:t>
      </w:r>
      <w:r w:rsidR="0005514A" w:rsidRPr="00F51217">
        <w:rPr>
          <w:szCs w:val="22"/>
        </w:rPr>
        <w:t>de</w:t>
      </w:r>
      <w:r w:rsidR="0004598F" w:rsidRPr="00F51217">
        <w:rPr>
          <w:szCs w:val="22"/>
        </w:rPr>
        <w:t xml:space="preserve"> 2016, </w:t>
      </w:r>
      <w:r w:rsidR="0005514A" w:rsidRPr="00F51217">
        <w:t>se</w:t>
      </w:r>
      <w:r w:rsidR="0005514A" w:rsidRPr="00E84350">
        <w:t xml:space="preserve"> han recibido 15 notificaciones de aceptación de las 135 necesarias para la entrada en vigor de las modificaciones descritas en los párrafos anteriores.</w:t>
      </w:r>
    </w:p>
    <w:p w:rsidR="0004598F" w:rsidRPr="00E84350" w:rsidRDefault="0004598F" w:rsidP="0004598F">
      <w:pPr>
        <w:rPr>
          <w:szCs w:val="22"/>
        </w:rPr>
      </w:pPr>
    </w:p>
    <w:p w:rsidR="0004598F" w:rsidRPr="00E84350" w:rsidRDefault="0004598F" w:rsidP="0004598F">
      <w:pPr>
        <w:pStyle w:val="Heading2"/>
      </w:pPr>
      <w:r w:rsidRPr="00E84350">
        <w:rPr>
          <w:b/>
        </w:rPr>
        <w:t>III.</w:t>
      </w:r>
      <w:r w:rsidRPr="00E84350">
        <w:tab/>
      </w:r>
      <w:r w:rsidRPr="00E84350">
        <w:rPr>
          <w:b/>
        </w:rPr>
        <w:t>Num</w:t>
      </w:r>
      <w:r w:rsidR="0005514A" w:rsidRPr="00E84350">
        <w:rPr>
          <w:b/>
        </w:rPr>
        <w:t>ero de mandato</w:t>
      </w:r>
      <w:r w:rsidR="002B7822" w:rsidRPr="00E84350">
        <w:rPr>
          <w:b/>
        </w:rPr>
        <w:t>S</w:t>
      </w:r>
      <w:r w:rsidR="0005514A" w:rsidRPr="00E84350">
        <w:rPr>
          <w:b/>
        </w:rPr>
        <w:t xml:space="preserve"> de los directores generales</w:t>
      </w:r>
    </w:p>
    <w:p w:rsidR="0004598F" w:rsidRPr="00E84350" w:rsidRDefault="0004598F" w:rsidP="0004598F">
      <w:pPr>
        <w:rPr>
          <w:szCs w:val="22"/>
        </w:rPr>
      </w:pPr>
    </w:p>
    <w:p w:rsidR="0004598F" w:rsidRPr="00E84350" w:rsidRDefault="0005514A" w:rsidP="0005514A">
      <w:pPr>
        <w:rPr>
          <w:szCs w:val="22"/>
        </w:rPr>
      </w:pPr>
      <w:r w:rsidRPr="00E84350">
        <w:rPr>
          <w:szCs w:val="22"/>
        </w:rPr>
        <w:t>29.</w:t>
      </w:r>
      <w:r w:rsidRPr="00E84350">
        <w:rPr>
          <w:szCs w:val="22"/>
        </w:rPr>
        <w:tab/>
      </w:r>
      <w:r w:rsidRPr="00E84350">
        <w:t>La Asamblea General de la OMPI, en su vigésimo tercer período de sesiones (décimo extraordinario), celebrado del 7 al 15 de septiembre de 1998, basándose en una recomendación del Comité de Coordinación de la OMPI, adoptó una política en virtud de la cual se limita el número de mandatos de los Directores Generales a dos períodos determinados de seis años cada uno, y decidió modificar en consecuencia el Convenio de la OMPI (párrafo 22 del documento WO/GA/23/7).</w:t>
      </w:r>
    </w:p>
    <w:p w:rsidR="0004598F" w:rsidRPr="00E84350" w:rsidRDefault="0004598F" w:rsidP="0004598F">
      <w:pPr>
        <w:rPr>
          <w:szCs w:val="22"/>
        </w:rPr>
      </w:pPr>
    </w:p>
    <w:p w:rsidR="0004598F" w:rsidRPr="00E84350" w:rsidRDefault="0005514A" w:rsidP="0005514A">
      <w:pPr>
        <w:rPr>
          <w:szCs w:val="22"/>
        </w:rPr>
      </w:pPr>
      <w:r w:rsidRPr="00E84350">
        <w:rPr>
          <w:szCs w:val="22"/>
        </w:rPr>
        <w:t>30.</w:t>
      </w:r>
      <w:r w:rsidRPr="00E84350">
        <w:rPr>
          <w:szCs w:val="22"/>
        </w:rPr>
        <w:tab/>
      </w:r>
      <w:r w:rsidRPr="00E84350">
        <w:t xml:space="preserve">Ulteriormente, las Asambleas de la Uniones de París y </w:t>
      </w:r>
      <w:r w:rsidR="001D6731" w:rsidRPr="00E84350">
        <w:t xml:space="preserve">de </w:t>
      </w:r>
      <w:r w:rsidRPr="00E84350">
        <w:t>Berna, respectivamente, y la Conferencia de la OMPI adoptaron por unanimidad, el 24 de septiembre de 1999, la modificación del Artículo 9.3) del Convenio de la OMPI que se describe a continuación (párrafo 148 del documento A/34/16).</w:t>
      </w:r>
      <w:r w:rsidR="0004598F" w:rsidRPr="00E84350">
        <w:rPr>
          <w:szCs w:val="22"/>
        </w:rPr>
        <w:t xml:space="preserve"> </w:t>
      </w:r>
    </w:p>
    <w:p w:rsidR="0004598F" w:rsidRPr="00E84350" w:rsidRDefault="0004598F" w:rsidP="0004598F">
      <w:pPr>
        <w:rPr>
          <w:szCs w:val="22"/>
        </w:rPr>
      </w:pPr>
    </w:p>
    <w:p w:rsidR="0004598F" w:rsidRPr="00E84350" w:rsidRDefault="0004598F" w:rsidP="0004598F">
      <w:pPr>
        <w:keepNext/>
        <w:keepLines/>
        <w:rPr>
          <w:szCs w:val="22"/>
        </w:rPr>
      </w:pPr>
      <w:r w:rsidRPr="00E84350">
        <w:rPr>
          <w:szCs w:val="22"/>
        </w:rPr>
        <w:lastRenderedPageBreak/>
        <w:t>31.</w:t>
      </w:r>
      <w:r w:rsidRPr="00E84350">
        <w:rPr>
          <w:szCs w:val="22"/>
        </w:rPr>
        <w:tab/>
      </w:r>
      <w:r w:rsidR="0005514A" w:rsidRPr="00E84350">
        <w:rPr>
          <w:szCs w:val="22"/>
        </w:rPr>
        <w:t xml:space="preserve">El texto actual del Artículo </w:t>
      </w:r>
      <w:r w:rsidRPr="00E84350">
        <w:rPr>
          <w:szCs w:val="22"/>
        </w:rPr>
        <w:t>9</w:t>
      </w:r>
      <w:r w:rsidR="0005514A" w:rsidRPr="00E84350">
        <w:rPr>
          <w:szCs w:val="22"/>
        </w:rPr>
        <w:t>.</w:t>
      </w:r>
      <w:r w:rsidRPr="00E84350">
        <w:rPr>
          <w:szCs w:val="22"/>
        </w:rPr>
        <w:t xml:space="preserve">3) </w:t>
      </w:r>
      <w:r w:rsidR="0005514A" w:rsidRPr="00E84350">
        <w:rPr>
          <w:szCs w:val="22"/>
        </w:rPr>
        <w:t>del Convenio de la OMPI estipula lo siguiente</w:t>
      </w:r>
      <w:r w:rsidRPr="00E84350">
        <w:rPr>
          <w:szCs w:val="22"/>
        </w:rPr>
        <w:t>:</w:t>
      </w:r>
    </w:p>
    <w:p w:rsidR="0004598F" w:rsidRPr="00E84350" w:rsidRDefault="0004598F" w:rsidP="0004598F">
      <w:pPr>
        <w:keepNext/>
        <w:keepLines/>
        <w:rPr>
          <w:szCs w:val="22"/>
        </w:rPr>
      </w:pPr>
    </w:p>
    <w:p w:rsidR="0004598F" w:rsidRPr="00E84350" w:rsidRDefault="0005514A" w:rsidP="0004598F">
      <w:pPr>
        <w:keepNext/>
        <w:keepLines/>
        <w:ind w:left="567"/>
        <w:rPr>
          <w:szCs w:val="22"/>
        </w:rPr>
      </w:pPr>
      <w:r w:rsidRPr="00E84350">
        <w:rPr>
          <w:szCs w:val="22"/>
        </w:rPr>
        <w:t>“</w:t>
      </w:r>
      <w:r w:rsidRPr="00E84350">
        <w:t>El Director General será designado por un período determinado que no será inferior a seis años.  Su nombramiento podrá ser renovado por otros períodos determinados.  La duración del primer período y la de los eventuales períodos siguientes, así como todas las demás condiciones de su nombramiento, serán fijadas por la Asamblea General”.</w:t>
      </w:r>
    </w:p>
    <w:p w:rsidR="0004598F" w:rsidRPr="00E84350" w:rsidRDefault="0004598F" w:rsidP="0004598F">
      <w:pPr>
        <w:rPr>
          <w:szCs w:val="22"/>
        </w:rPr>
      </w:pPr>
    </w:p>
    <w:p w:rsidR="0004598F" w:rsidRPr="00E84350" w:rsidRDefault="0004598F" w:rsidP="0004598F">
      <w:pPr>
        <w:rPr>
          <w:szCs w:val="22"/>
        </w:rPr>
      </w:pPr>
      <w:r w:rsidRPr="00E84350">
        <w:rPr>
          <w:szCs w:val="22"/>
        </w:rPr>
        <w:t>32.</w:t>
      </w:r>
      <w:r w:rsidRPr="00E84350">
        <w:rPr>
          <w:szCs w:val="22"/>
        </w:rPr>
        <w:tab/>
      </w:r>
      <w:r w:rsidR="0005514A" w:rsidRPr="00E84350">
        <w:rPr>
          <w:szCs w:val="22"/>
        </w:rPr>
        <w:t xml:space="preserve">El texto modificado y adoptado del </w:t>
      </w:r>
      <w:r w:rsidRPr="00E84350">
        <w:rPr>
          <w:szCs w:val="22"/>
        </w:rPr>
        <w:t>Art</w:t>
      </w:r>
      <w:r w:rsidR="0005514A" w:rsidRPr="00E84350">
        <w:rPr>
          <w:szCs w:val="22"/>
        </w:rPr>
        <w:t xml:space="preserve">ículo </w:t>
      </w:r>
      <w:r w:rsidRPr="00E84350">
        <w:rPr>
          <w:szCs w:val="22"/>
        </w:rPr>
        <w:t>9</w:t>
      </w:r>
      <w:r w:rsidR="0005514A" w:rsidRPr="00E84350">
        <w:rPr>
          <w:szCs w:val="22"/>
        </w:rPr>
        <w:t>.</w:t>
      </w:r>
      <w:r w:rsidRPr="00E84350">
        <w:rPr>
          <w:szCs w:val="22"/>
        </w:rPr>
        <w:t>3)</w:t>
      </w:r>
      <w:r w:rsidR="0005514A" w:rsidRPr="00E84350">
        <w:rPr>
          <w:szCs w:val="22"/>
        </w:rPr>
        <w:t xml:space="preserve"> dispone lo siguiente</w:t>
      </w:r>
      <w:r w:rsidRPr="00E84350">
        <w:rPr>
          <w:szCs w:val="22"/>
        </w:rPr>
        <w:t>:</w:t>
      </w:r>
    </w:p>
    <w:p w:rsidR="0004598F" w:rsidRPr="00E84350" w:rsidRDefault="0004598F" w:rsidP="0004598F">
      <w:pPr>
        <w:rPr>
          <w:szCs w:val="22"/>
        </w:rPr>
      </w:pPr>
    </w:p>
    <w:p w:rsidR="0004598F" w:rsidRPr="00E84350" w:rsidRDefault="0005514A" w:rsidP="0005514A">
      <w:pPr>
        <w:ind w:left="567"/>
        <w:rPr>
          <w:szCs w:val="22"/>
        </w:rPr>
      </w:pPr>
      <w:r w:rsidRPr="00E84350">
        <w:rPr>
          <w:szCs w:val="22"/>
        </w:rPr>
        <w:t>“</w:t>
      </w:r>
      <w:r w:rsidRPr="00E84350">
        <w:t>El Director General será designado por un período de seis años.  Su nombramiento podrá ser renovado únicamente por otro período fijo de seis años.  Todas las demás condiciones del nombramiento serán fijadas por la Asamblea General”.</w:t>
      </w:r>
    </w:p>
    <w:p w:rsidR="0004598F" w:rsidRPr="00E84350" w:rsidRDefault="0004598F" w:rsidP="0004598F">
      <w:pPr>
        <w:rPr>
          <w:szCs w:val="22"/>
        </w:rPr>
      </w:pPr>
    </w:p>
    <w:p w:rsidR="0004598F" w:rsidRPr="00E84350" w:rsidRDefault="0005514A" w:rsidP="0004598F">
      <w:pPr>
        <w:rPr>
          <w:szCs w:val="22"/>
        </w:rPr>
      </w:pPr>
      <w:r w:rsidRPr="00E84350">
        <w:rPr>
          <w:szCs w:val="22"/>
        </w:rPr>
        <w:t>33.</w:t>
      </w:r>
      <w:r w:rsidRPr="00E84350">
        <w:rPr>
          <w:szCs w:val="22"/>
        </w:rPr>
        <w:tab/>
      </w:r>
      <w:r w:rsidRPr="00E84350">
        <w:t>Conforme al Artículo 17.3) del Convenio de la OMPI, esa modificación entrará en vigor un mes después de que el Director General haya recibido notificación escrita de su aceptación, efectuada de conformidad con sus respectivos procedimientos constitucionales, de tres cuartos de los Estados que eran miembros de la OMPI en el momento en que la modificación fue adoptada por la Conferencia.</w:t>
      </w:r>
    </w:p>
    <w:p w:rsidR="0004598F" w:rsidRPr="00E84350" w:rsidRDefault="0004598F" w:rsidP="0004598F">
      <w:pPr>
        <w:rPr>
          <w:szCs w:val="22"/>
        </w:rPr>
      </w:pPr>
    </w:p>
    <w:p w:rsidR="0004598F" w:rsidRPr="00E84350" w:rsidRDefault="0004598F" w:rsidP="00DE6C9E">
      <w:pPr>
        <w:rPr>
          <w:szCs w:val="22"/>
        </w:rPr>
      </w:pPr>
      <w:r w:rsidRPr="00E84350">
        <w:rPr>
          <w:szCs w:val="22"/>
        </w:rPr>
        <w:t>34.</w:t>
      </w:r>
      <w:r w:rsidRPr="00E84350">
        <w:rPr>
          <w:szCs w:val="22"/>
        </w:rPr>
        <w:tab/>
      </w:r>
      <w:r w:rsidR="009D6324" w:rsidRPr="00E84350">
        <w:rPr>
          <w:szCs w:val="22"/>
        </w:rPr>
        <w:t xml:space="preserve">Hasta </w:t>
      </w:r>
      <w:r w:rsidR="009D6324" w:rsidRPr="00F51217">
        <w:rPr>
          <w:szCs w:val="22"/>
        </w:rPr>
        <w:t xml:space="preserve">el </w:t>
      </w:r>
      <w:r w:rsidR="00DE6C9E" w:rsidRPr="00F51217">
        <w:rPr>
          <w:szCs w:val="22"/>
        </w:rPr>
        <w:t xml:space="preserve">18 </w:t>
      </w:r>
      <w:r w:rsidR="009D6324" w:rsidRPr="00F51217">
        <w:rPr>
          <w:szCs w:val="22"/>
        </w:rPr>
        <w:t>de ju</w:t>
      </w:r>
      <w:r w:rsidR="00DE6C9E" w:rsidRPr="00F51217">
        <w:rPr>
          <w:szCs w:val="22"/>
        </w:rPr>
        <w:t>l</w:t>
      </w:r>
      <w:r w:rsidR="009D6324" w:rsidRPr="00F51217">
        <w:rPr>
          <w:szCs w:val="22"/>
        </w:rPr>
        <w:t>io de 2016</w:t>
      </w:r>
      <w:r w:rsidRPr="00F51217">
        <w:rPr>
          <w:szCs w:val="22"/>
        </w:rPr>
        <w:t>,</w:t>
      </w:r>
      <w:r w:rsidRPr="00E84350">
        <w:rPr>
          <w:szCs w:val="22"/>
        </w:rPr>
        <w:t xml:space="preserve"> </w:t>
      </w:r>
      <w:r w:rsidR="0005514A" w:rsidRPr="00E84350">
        <w:t>el Director General ha recibido 52 notificaciones de aceptación, de las 129 necesarias para la entrada en vigor de la modificación descrita en los anteriores párrafos.</w:t>
      </w:r>
    </w:p>
    <w:p w:rsidR="0057010B" w:rsidRPr="00E84350" w:rsidRDefault="0057010B" w:rsidP="0004598F">
      <w:pPr>
        <w:rPr>
          <w:szCs w:val="22"/>
        </w:rPr>
      </w:pPr>
    </w:p>
    <w:p w:rsidR="0004598F" w:rsidRPr="00E84350" w:rsidRDefault="0004598F" w:rsidP="0004598F">
      <w:pPr>
        <w:rPr>
          <w:szCs w:val="22"/>
        </w:rPr>
      </w:pPr>
      <w:r w:rsidRPr="00E84350">
        <w:rPr>
          <w:szCs w:val="22"/>
        </w:rPr>
        <w:t>35.</w:t>
      </w:r>
      <w:r w:rsidRPr="00E84350">
        <w:rPr>
          <w:szCs w:val="22"/>
        </w:rPr>
        <w:tab/>
      </w:r>
      <w:r w:rsidR="0005514A" w:rsidRPr="00E84350">
        <w:rPr>
          <w:szCs w:val="22"/>
        </w:rPr>
        <w:t xml:space="preserve">Se ruega a los Estados miembros que transmitan sus instrumentos de aceptación de las modificaciones a los tratados de la OMPI </w:t>
      </w:r>
      <w:r w:rsidRPr="00E84350">
        <w:rPr>
          <w:szCs w:val="22"/>
        </w:rPr>
        <w:t>descri</w:t>
      </w:r>
      <w:r w:rsidR="00A87BE5" w:rsidRPr="00E84350">
        <w:rPr>
          <w:szCs w:val="22"/>
        </w:rPr>
        <w:t>ta</w:t>
      </w:r>
      <w:r w:rsidR="0005514A" w:rsidRPr="00E84350">
        <w:rPr>
          <w:szCs w:val="22"/>
        </w:rPr>
        <w:t>s</w:t>
      </w:r>
      <w:r w:rsidR="00A87BE5" w:rsidRPr="00E84350">
        <w:rPr>
          <w:szCs w:val="22"/>
        </w:rPr>
        <w:t xml:space="preserve"> más arriba</w:t>
      </w:r>
      <w:r w:rsidRPr="00E84350">
        <w:rPr>
          <w:szCs w:val="22"/>
        </w:rPr>
        <w:t>.</w:t>
      </w:r>
    </w:p>
    <w:p w:rsidR="0004598F" w:rsidRPr="00E84350" w:rsidRDefault="0004598F" w:rsidP="0004598F">
      <w:pPr>
        <w:rPr>
          <w:szCs w:val="22"/>
        </w:rPr>
      </w:pPr>
    </w:p>
    <w:p w:rsidR="0004598F" w:rsidRPr="00E84350" w:rsidRDefault="0004598F" w:rsidP="0004598F">
      <w:pPr>
        <w:rPr>
          <w:szCs w:val="22"/>
        </w:rPr>
      </w:pPr>
    </w:p>
    <w:p w:rsidR="0004598F" w:rsidRPr="00E84350" w:rsidRDefault="0004598F" w:rsidP="0004598F">
      <w:pPr>
        <w:rPr>
          <w:szCs w:val="22"/>
        </w:rPr>
      </w:pPr>
    </w:p>
    <w:p w:rsidR="0004598F" w:rsidRPr="00E84350" w:rsidRDefault="0004598F" w:rsidP="0004598F">
      <w:pPr>
        <w:pStyle w:val="Endofdocument0"/>
        <w:rPr>
          <w:sz w:val="22"/>
          <w:szCs w:val="22"/>
          <w:lang w:val="es-ES"/>
        </w:rPr>
      </w:pPr>
      <w:r w:rsidRPr="00E84350">
        <w:rPr>
          <w:sz w:val="22"/>
          <w:szCs w:val="22"/>
          <w:lang w:val="es-ES"/>
        </w:rPr>
        <w:t>[</w:t>
      </w:r>
      <w:r w:rsidR="0005514A" w:rsidRPr="00E84350">
        <w:rPr>
          <w:sz w:val="22"/>
          <w:szCs w:val="22"/>
          <w:lang w:val="es-ES"/>
        </w:rPr>
        <w:t>Fin del documento</w:t>
      </w:r>
      <w:r w:rsidRPr="00E84350">
        <w:rPr>
          <w:sz w:val="22"/>
          <w:szCs w:val="22"/>
          <w:lang w:val="es-ES"/>
        </w:rPr>
        <w:t>]</w:t>
      </w:r>
    </w:p>
    <w:sectPr w:rsidR="0004598F" w:rsidRPr="00E84350" w:rsidSect="002C0F77">
      <w:headerReference w:type="default" r:id="rId3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77" w:rsidRDefault="002C0F77">
      <w:r>
        <w:separator/>
      </w:r>
    </w:p>
  </w:endnote>
  <w:endnote w:type="continuationSeparator" w:id="0">
    <w:p w:rsidR="002C0F77" w:rsidRPr="009D30E6" w:rsidRDefault="002C0F77" w:rsidP="007E663E">
      <w:pPr>
        <w:rPr>
          <w:sz w:val="17"/>
          <w:szCs w:val="17"/>
        </w:rPr>
      </w:pPr>
      <w:r w:rsidRPr="009D30E6">
        <w:rPr>
          <w:sz w:val="17"/>
          <w:szCs w:val="17"/>
        </w:rPr>
        <w:separator/>
      </w:r>
    </w:p>
    <w:p w:rsidR="002C0F77" w:rsidRPr="007E663E" w:rsidRDefault="002C0F77" w:rsidP="007E663E">
      <w:pPr>
        <w:spacing w:after="60"/>
        <w:rPr>
          <w:sz w:val="17"/>
          <w:szCs w:val="17"/>
        </w:rPr>
      </w:pPr>
      <w:r>
        <w:rPr>
          <w:sz w:val="17"/>
        </w:rPr>
        <w:t>[Continuación de la nota de la página anterior]</w:t>
      </w:r>
    </w:p>
  </w:endnote>
  <w:endnote w:type="continuationNotice" w:id="1">
    <w:p w:rsidR="002C0F77" w:rsidRPr="007E663E" w:rsidRDefault="002C0F7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77" w:rsidRDefault="002C0F77">
      <w:r>
        <w:separator/>
      </w:r>
    </w:p>
  </w:footnote>
  <w:footnote w:type="continuationSeparator" w:id="0">
    <w:p w:rsidR="002C0F77" w:rsidRPr="009D30E6" w:rsidRDefault="002C0F77" w:rsidP="007E663E">
      <w:pPr>
        <w:rPr>
          <w:sz w:val="17"/>
          <w:szCs w:val="17"/>
        </w:rPr>
      </w:pPr>
      <w:r w:rsidRPr="009D30E6">
        <w:rPr>
          <w:sz w:val="17"/>
          <w:szCs w:val="17"/>
        </w:rPr>
        <w:separator/>
      </w:r>
    </w:p>
    <w:p w:rsidR="002C0F77" w:rsidRPr="007E663E" w:rsidRDefault="002C0F77" w:rsidP="007E663E">
      <w:pPr>
        <w:spacing w:after="60"/>
        <w:rPr>
          <w:sz w:val="17"/>
          <w:szCs w:val="17"/>
        </w:rPr>
      </w:pPr>
      <w:r>
        <w:rPr>
          <w:sz w:val="17"/>
        </w:rPr>
        <w:t>[Continuación de la nota de la página anterior]</w:t>
      </w:r>
    </w:p>
  </w:footnote>
  <w:footnote w:type="continuationNotice" w:id="1">
    <w:p w:rsidR="002C0F77" w:rsidRPr="007E663E" w:rsidRDefault="002C0F77" w:rsidP="007E663E">
      <w:pPr>
        <w:spacing w:before="60"/>
        <w:jc w:val="right"/>
        <w:rPr>
          <w:sz w:val="17"/>
          <w:szCs w:val="17"/>
        </w:rPr>
      </w:pPr>
      <w:r w:rsidRPr="007E663E">
        <w:rPr>
          <w:sz w:val="17"/>
          <w:szCs w:val="17"/>
        </w:rPr>
        <w:t>[Sigue la nota en la página siguiente]</w:t>
      </w:r>
    </w:p>
  </w:footnote>
  <w:footnote w:id="2">
    <w:p w:rsidR="0004598F" w:rsidRPr="0005514A" w:rsidRDefault="0004598F" w:rsidP="0004598F">
      <w:pPr>
        <w:pStyle w:val="FootnoteText"/>
      </w:pPr>
      <w:r>
        <w:rPr>
          <w:rStyle w:val="FootnoteReference"/>
        </w:rPr>
        <w:footnoteRef/>
      </w:r>
      <w:r w:rsidRPr="0005514A">
        <w:t xml:space="preserve"> </w:t>
      </w:r>
      <w:r w:rsidR="0005514A" w:rsidRPr="0005514A">
        <w:t>El Convenio de París para la Protección de la Propiedad Industrial</w:t>
      </w:r>
      <w:r w:rsidRPr="0005514A">
        <w:t xml:space="preserve">, </w:t>
      </w:r>
      <w:r w:rsidR="0005514A" w:rsidRPr="0005514A">
        <w:t xml:space="preserve">el Convenio de Berna para la Protección de las Obras Literarias y Artísticas, el Arreglo de Niza relativo a la Clasificación Internacional de Productos y Servicios para el Registro de las Marcas y el Arreglo de Lisboa relativo a la Protección de las Denominaciones de Origen y su Registro Internacional </w:t>
      </w:r>
      <w:r w:rsidR="0005514A">
        <w:t xml:space="preserve">en lo que se refiere a su Acta de Estocolmo de </w:t>
      </w:r>
      <w:r w:rsidRPr="0005514A">
        <w:t>1967.</w:t>
      </w:r>
    </w:p>
  </w:footnote>
  <w:footnote w:id="3">
    <w:p w:rsidR="0005514A" w:rsidRPr="0005514A" w:rsidRDefault="0005514A" w:rsidP="0005514A">
      <w:pPr>
        <w:pStyle w:val="FootnoteText"/>
      </w:pPr>
      <w:r>
        <w:rPr>
          <w:rStyle w:val="FootnoteReference"/>
        </w:rPr>
        <w:footnoteRef/>
      </w:r>
      <w:r w:rsidRPr="0005514A">
        <w:t xml:space="preserve"> </w:t>
      </w:r>
      <w:r>
        <w:t xml:space="preserve">El </w:t>
      </w:r>
      <w:r w:rsidRPr="0005514A">
        <w:t>Acta de Londres (1934) del Arreglo de La Haya relativo al registro internacional de diseños industriales.</w:t>
      </w:r>
    </w:p>
  </w:footnote>
  <w:footnote w:id="4">
    <w:p w:rsidR="0004598F" w:rsidRPr="0005514A" w:rsidRDefault="0004598F" w:rsidP="0004598F">
      <w:pPr>
        <w:pStyle w:val="FootnoteText"/>
      </w:pPr>
      <w:r>
        <w:rPr>
          <w:rStyle w:val="FootnoteReference"/>
        </w:rPr>
        <w:footnoteRef/>
      </w:r>
      <w:r w:rsidRPr="0005514A">
        <w:t xml:space="preserve"> </w:t>
      </w:r>
      <w:r w:rsidR="0005514A" w:rsidRPr="0005514A">
        <w:t xml:space="preserve">Véanse las Partes </w:t>
      </w:r>
      <w:r w:rsidRPr="0005514A">
        <w:t xml:space="preserve">II </w:t>
      </w:r>
      <w:r w:rsidR="0005514A" w:rsidRPr="0005514A">
        <w:t>y</w:t>
      </w:r>
      <w:r w:rsidRPr="0005514A">
        <w:t xml:space="preserve"> III </w:t>
      </w:r>
      <w:r w:rsidR="0005514A" w:rsidRPr="0005514A">
        <w:t xml:space="preserve">sobre la reforma </w:t>
      </w:r>
      <w:r w:rsidR="009C0F92">
        <w:t xml:space="preserve">estatutaria </w:t>
      </w:r>
      <w:r w:rsidR="0005514A" w:rsidRPr="0005514A">
        <w:t>y el n</w:t>
      </w:r>
      <w:r w:rsidR="0005514A">
        <w:t>úmero de mandatos de los Directores Generales</w:t>
      </w:r>
      <w:r w:rsidRPr="000551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C0F77" w:rsidP="00477D6B">
    <w:pPr>
      <w:jc w:val="right"/>
    </w:pPr>
    <w:bookmarkStart w:id="6" w:name="Code2"/>
    <w:bookmarkEnd w:id="6"/>
    <w:r>
      <w:t>A/56/INF/5</w:t>
    </w:r>
  </w:p>
  <w:p w:rsidR="00AE7F20" w:rsidRDefault="00AE7F20" w:rsidP="00477D6B">
    <w:pPr>
      <w:jc w:val="right"/>
    </w:pPr>
    <w:r>
      <w:t xml:space="preserve">página </w:t>
    </w:r>
    <w:r>
      <w:fldChar w:fldCharType="begin"/>
    </w:r>
    <w:r>
      <w:instrText xml:space="preserve"> PAGE  \* MERGEFORMAT </w:instrText>
    </w:r>
    <w:r>
      <w:fldChar w:fldCharType="separate"/>
    </w:r>
    <w:r w:rsidR="00FD576D">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77"/>
    <w:rsid w:val="00010686"/>
    <w:rsid w:val="0002461A"/>
    <w:rsid w:val="0004598F"/>
    <w:rsid w:val="00050FDD"/>
    <w:rsid w:val="00052915"/>
    <w:rsid w:val="0005514A"/>
    <w:rsid w:val="00064B1E"/>
    <w:rsid w:val="000714EE"/>
    <w:rsid w:val="000E3BB3"/>
    <w:rsid w:val="000F3419"/>
    <w:rsid w:val="000F39BD"/>
    <w:rsid w:val="000F5E56"/>
    <w:rsid w:val="00105264"/>
    <w:rsid w:val="0011562B"/>
    <w:rsid w:val="00135218"/>
    <w:rsid w:val="001362EE"/>
    <w:rsid w:val="00152CEA"/>
    <w:rsid w:val="00153FF0"/>
    <w:rsid w:val="00163311"/>
    <w:rsid w:val="001832A6"/>
    <w:rsid w:val="001D04EE"/>
    <w:rsid w:val="001D6731"/>
    <w:rsid w:val="00207A85"/>
    <w:rsid w:val="00220C28"/>
    <w:rsid w:val="00224450"/>
    <w:rsid w:val="00251CE2"/>
    <w:rsid w:val="002579DD"/>
    <w:rsid w:val="002634C4"/>
    <w:rsid w:val="00293665"/>
    <w:rsid w:val="00293CCE"/>
    <w:rsid w:val="0029671E"/>
    <w:rsid w:val="002A3F86"/>
    <w:rsid w:val="002B6DC7"/>
    <w:rsid w:val="002B7822"/>
    <w:rsid w:val="002C0F77"/>
    <w:rsid w:val="002E0F47"/>
    <w:rsid w:val="002E1E75"/>
    <w:rsid w:val="002F4E68"/>
    <w:rsid w:val="00330CF9"/>
    <w:rsid w:val="0033785D"/>
    <w:rsid w:val="00354647"/>
    <w:rsid w:val="00371057"/>
    <w:rsid w:val="00374A3A"/>
    <w:rsid w:val="00377273"/>
    <w:rsid w:val="0038067D"/>
    <w:rsid w:val="003845C1"/>
    <w:rsid w:val="00387287"/>
    <w:rsid w:val="003909C7"/>
    <w:rsid w:val="003C355B"/>
    <w:rsid w:val="003E48F1"/>
    <w:rsid w:val="003F347A"/>
    <w:rsid w:val="00415D7E"/>
    <w:rsid w:val="00423E3E"/>
    <w:rsid w:val="00427AF4"/>
    <w:rsid w:val="0045231F"/>
    <w:rsid w:val="004647DA"/>
    <w:rsid w:val="0046793F"/>
    <w:rsid w:val="00477808"/>
    <w:rsid w:val="00477D6B"/>
    <w:rsid w:val="004A6208"/>
    <w:rsid w:val="004A6C37"/>
    <w:rsid w:val="004D4C9F"/>
    <w:rsid w:val="004E297D"/>
    <w:rsid w:val="00531B02"/>
    <w:rsid w:val="005332F0"/>
    <w:rsid w:val="0055013B"/>
    <w:rsid w:val="00551D7E"/>
    <w:rsid w:val="00563FFA"/>
    <w:rsid w:val="0057010B"/>
    <w:rsid w:val="00571B99"/>
    <w:rsid w:val="00581DCE"/>
    <w:rsid w:val="00605827"/>
    <w:rsid w:val="00675021"/>
    <w:rsid w:val="0067797D"/>
    <w:rsid w:val="0068437E"/>
    <w:rsid w:val="006A06C6"/>
    <w:rsid w:val="006B23AA"/>
    <w:rsid w:val="006B359B"/>
    <w:rsid w:val="006F789C"/>
    <w:rsid w:val="0070293D"/>
    <w:rsid w:val="0070479A"/>
    <w:rsid w:val="007052E8"/>
    <w:rsid w:val="007224C8"/>
    <w:rsid w:val="007506ED"/>
    <w:rsid w:val="00786A4D"/>
    <w:rsid w:val="00794BE2"/>
    <w:rsid w:val="007B0533"/>
    <w:rsid w:val="007B71FE"/>
    <w:rsid w:val="007C23E5"/>
    <w:rsid w:val="007C7E71"/>
    <w:rsid w:val="007D781E"/>
    <w:rsid w:val="007E663E"/>
    <w:rsid w:val="00815082"/>
    <w:rsid w:val="0088395E"/>
    <w:rsid w:val="008B2CC1"/>
    <w:rsid w:val="008E4A3C"/>
    <w:rsid w:val="008E6BD6"/>
    <w:rsid w:val="0090731E"/>
    <w:rsid w:val="009303F1"/>
    <w:rsid w:val="00953A7D"/>
    <w:rsid w:val="00966A22"/>
    <w:rsid w:val="00972F03"/>
    <w:rsid w:val="00982BE9"/>
    <w:rsid w:val="0099695D"/>
    <w:rsid w:val="009A0C8B"/>
    <w:rsid w:val="009B6241"/>
    <w:rsid w:val="009C0F92"/>
    <w:rsid w:val="009D6324"/>
    <w:rsid w:val="009E6351"/>
    <w:rsid w:val="00A16FC0"/>
    <w:rsid w:val="00A32AF8"/>
    <w:rsid w:val="00A32C9E"/>
    <w:rsid w:val="00A45C56"/>
    <w:rsid w:val="00A623BC"/>
    <w:rsid w:val="00A7764D"/>
    <w:rsid w:val="00A87BE5"/>
    <w:rsid w:val="00AB613D"/>
    <w:rsid w:val="00AC2A3E"/>
    <w:rsid w:val="00AE57D9"/>
    <w:rsid w:val="00AE7F20"/>
    <w:rsid w:val="00B65A0A"/>
    <w:rsid w:val="00B67CDC"/>
    <w:rsid w:val="00B72D36"/>
    <w:rsid w:val="00B775ED"/>
    <w:rsid w:val="00BB623F"/>
    <w:rsid w:val="00BC4164"/>
    <w:rsid w:val="00BD2DCC"/>
    <w:rsid w:val="00BD4F30"/>
    <w:rsid w:val="00BE25EB"/>
    <w:rsid w:val="00BE2F89"/>
    <w:rsid w:val="00BF0B0C"/>
    <w:rsid w:val="00C505A0"/>
    <w:rsid w:val="00C90559"/>
    <w:rsid w:val="00CA2251"/>
    <w:rsid w:val="00CD4734"/>
    <w:rsid w:val="00CE0DF2"/>
    <w:rsid w:val="00D12900"/>
    <w:rsid w:val="00D17266"/>
    <w:rsid w:val="00D2228F"/>
    <w:rsid w:val="00D56C7C"/>
    <w:rsid w:val="00D66760"/>
    <w:rsid w:val="00D71B4D"/>
    <w:rsid w:val="00D90289"/>
    <w:rsid w:val="00D93D55"/>
    <w:rsid w:val="00DB6E56"/>
    <w:rsid w:val="00DC4C60"/>
    <w:rsid w:val="00DD1898"/>
    <w:rsid w:val="00DD3C5E"/>
    <w:rsid w:val="00DE6C9E"/>
    <w:rsid w:val="00E0079A"/>
    <w:rsid w:val="00E14460"/>
    <w:rsid w:val="00E17D82"/>
    <w:rsid w:val="00E332ED"/>
    <w:rsid w:val="00E444DA"/>
    <w:rsid w:val="00E45387"/>
    <w:rsid w:val="00E45C84"/>
    <w:rsid w:val="00E504E5"/>
    <w:rsid w:val="00E526B2"/>
    <w:rsid w:val="00E64E28"/>
    <w:rsid w:val="00E81C81"/>
    <w:rsid w:val="00E84350"/>
    <w:rsid w:val="00E94902"/>
    <w:rsid w:val="00EB7A3E"/>
    <w:rsid w:val="00EC401A"/>
    <w:rsid w:val="00EF530A"/>
    <w:rsid w:val="00EF6622"/>
    <w:rsid w:val="00F14D79"/>
    <w:rsid w:val="00F14DC2"/>
    <w:rsid w:val="00F17850"/>
    <w:rsid w:val="00F51217"/>
    <w:rsid w:val="00F55408"/>
    <w:rsid w:val="00F66152"/>
    <w:rsid w:val="00F667F8"/>
    <w:rsid w:val="00F80845"/>
    <w:rsid w:val="00F84474"/>
    <w:rsid w:val="00F9652F"/>
    <w:rsid w:val="00FA0F0D"/>
    <w:rsid w:val="00FC6309"/>
    <w:rsid w:val="00FD576D"/>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odyTextIndent">
    <w:name w:val="Body Text Indent"/>
    <w:basedOn w:val="Normal"/>
    <w:link w:val="BodyTextIndentChar"/>
    <w:rsid w:val="0004598F"/>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04598F"/>
    <w:rPr>
      <w:sz w:val="24"/>
    </w:rPr>
  </w:style>
  <w:style w:type="paragraph" w:customStyle="1" w:styleId="EndofDocument">
    <w:name w:val="End of Document"/>
    <w:basedOn w:val="Normal"/>
    <w:rsid w:val="0004598F"/>
    <w:pPr>
      <w:ind w:left="4536"/>
      <w:jc w:val="center"/>
    </w:pPr>
    <w:rPr>
      <w:rFonts w:ascii="Times New Roman" w:eastAsia="Times New Roman" w:hAnsi="Times New Roman" w:cs="Times New Roman"/>
      <w:sz w:val="24"/>
      <w:lang w:val="en-US" w:eastAsia="en-US"/>
    </w:rPr>
  </w:style>
  <w:style w:type="paragraph" w:customStyle="1" w:styleId="Endofdocument0">
    <w:name w:val="End of document"/>
    <w:basedOn w:val="Normal"/>
    <w:rsid w:val="0004598F"/>
    <w:pPr>
      <w:spacing w:after="120" w:line="260" w:lineRule="atLeast"/>
      <w:ind w:left="5534"/>
      <w:contextualSpacing/>
    </w:pPr>
    <w:rPr>
      <w:rFonts w:eastAsia="Times New Roman" w:cs="Times New Roman"/>
      <w:sz w:val="20"/>
      <w:lang w:val="en-US" w:eastAsia="en-US"/>
    </w:rPr>
  </w:style>
  <w:style w:type="character" w:styleId="FootnoteReference">
    <w:name w:val="footnote reference"/>
    <w:basedOn w:val="DefaultParagraphFont"/>
    <w:rsid w:val="0004598F"/>
    <w:rPr>
      <w:vertAlign w:val="superscript"/>
    </w:rPr>
  </w:style>
  <w:style w:type="paragraph" w:styleId="BalloonText">
    <w:name w:val="Balloon Text"/>
    <w:basedOn w:val="Normal"/>
    <w:link w:val="BalloonTextChar"/>
    <w:rsid w:val="001D04EE"/>
    <w:rPr>
      <w:rFonts w:ascii="Tahoma" w:hAnsi="Tahoma" w:cs="Tahoma"/>
      <w:sz w:val="16"/>
      <w:szCs w:val="16"/>
    </w:rPr>
  </w:style>
  <w:style w:type="character" w:customStyle="1" w:styleId="BalloonTextChar">
    <w:name w:val="Balloon Text Char"/>
    <w:basedOn w:val="DefaultParagraphFont"/>
    <w:link w:val="BalloonText"/>
    <w:rsid w:val="001D04EE"/>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odyTextIndent">
    <w:name w:val="Body Text Indent"/>
    <w:basedOn w:val="Normal"/>
    <w:link w:val="BodyTextIndentChar"/>
    <w:rsid w:val="0004598F"/>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04598F"/>
    <w:rPr>
      <w:sz w:val="24"/>
    </w:rPr>
  </w:style>
  <w:style w:type="paragraph" w:customStyle="1" w:styleId="EndofDocument">
    <w:name w:val="End of Document"/>
    <w:basedOn w:val="Normal"/>
    <w:rsid w:val="0004598F"/>
    <w:pPr>
      <w:ind w:left="4536"/>
      <w:jc w:val="center"/>
    </w:pPr>
    <w:rPr>
      <w:rFonts w:ascii="Times New Roman" w:eastAsia="Times New Roman" w:hAnsi="Times New Roman" w:cs="Times New Roman"/>
      <w:sz w:val="24"/>
      <w:lang w:val="en-US" w:eastAsia="en-US"/>
    </w:rPr>
  </w:style>
  <w:style w:type="paragraph" w:customStyle="1" w:styleId="Endofdocument0">
    <w:name w:val="End of document"/>
    <w:basedOn w:val="Normal"/>
    <w:rsid w:val="0004598F"/>
    <w:pPr>
      <w:spacing w:after="120" w:line="260" w:lineRule="atLeast"/>
      <w:ind w:left="5534"/>
      <w:contextualSpacing/>
    </w:pPr>
    <w:rPr>
      <w:rFonts w:eastAsia="Times New Roman" w:cs="Times New Roman"/>
      <w:sz w:val="20"/>
      <w:lang w:val="en-US" w:eastAsia="en-US"/>
    </w:rPr>
  </w:style>
  <w:style w:type="character" w:styleId="FootnoteReference">
    <w:name w:val="footnote reference"/>
    <w:basedOn w:val="DefaultParagraphFont"/>
    <w:rsid w:val="0004598F"/>
    <w:rPr>
      <w:vertAlign w:val="superscript"/>
    </w:rPr>
  </w:style>
  <w:style w:type="paragraph" w:styleId="BalloonText">
    <w:name w:val="Balloon Text"/>
    <w:basedOn w:val="Normal"/>
    <w:link w:val="BalloonTextChar"/>
    <w:rsid w:val="001D04EE"/>
    <w:rPr>
      <w:rFonts w:ascii="Tahoma" w:hAnsi="Tahoma" w:cs="Tahoma"/>
      <w:sz w:val="16"/>
      <w:szCs w:val="16"/>
    </w:rPr>
  </w:style>
  <w:style w:type="character" w:customStyle="1" w:styleId="BalloonTextChar">
    <w:name w:val="Balloon Text Char"/>
    <w:basedOn w:val="DefaultParagraphFont"/>
    <w:link w:val="BalloonText"/>
    <w:rsid w:val="001D04EE"/>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microsoft.com/office/2007/relationships/stylesWithEffects" Target="stylesWithEffect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(S).dotm</Template>
  <TotalTime>22</TotalTime>
  <Pages>17</Pages>
  <Words>2581</Words>
  <Characters>13528</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A/56/INF/5  - Situación de las adhesiones a los Tratados administrados por la OMPI, y asuntos relativos a la reforma estatutaria</vt:lpstr>
    </vt:vector>
  </TitlesOfParts>
  <Company>WIPO</Company>
  <LinksUpToDate>false</LinksUpToDate>
  <CharactersWithSpaces>16077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A/56/INF/5  - Situación de las adhesiones a los Tratados administrados por la OMPI, y asuntos relativos a la reforma estatutaria</dc:title>
  <dc:creator>CEVALLOS DUQUE Nilo</dc:creator>
  <dc:description>FP - 16.6.2016
LM (QC) - 21.6.2016
ID - 27/7/2016 (modif.) //
JC (QC) - 28/7/2016</dc:description>
  <cp:lastModifiedBy>CEVALLOS DUQUE Nilo</cp:lastModifiedBy>
  <cp:revision>18</cp:revision>
  <cp:lastPrinted>2016-06-20T15:16:00Z</cp:lastPrinted>
  <dcterms:created xsi:type="dcterms:W3CDTF">2016-07-27T13:57:00Z</dcterms:created>
  <dcterms:modified xsi:type="dcterms:W3CDTF">2016-07-28T08:49:00Z</dcterms:modified>
</cp:coreProperties>
</file>