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4475C6" w:rsidRDefault="00DC0BA7" w:rsidP="006E4F5F">
      <w:pPr>
        <w:widowControl w:val="0"/>
        <w:jc w:val="right"/>
        <w:rPr>
          <w:b/>
          <w:sz w:val="2"/>
          <w:szCs w:val="40"/>
          <w:lang w:val="es-419"/>
        </w:rPr>
      </w:pPr>
      <w:r w:rsidRPr="004475C6">
        <w:rPr>
          <w:b/>
          <w:sz w:val="40"/>
          <w:szCs w:val="40"/>
          <w:lang w:val="es-419"/>
        </w:rPr>
        <w:t>S</w:t>
      </w:r>
    </w:p>
    <w:p w:rsidR="006E4F5F" w:rsidRPr="004475C6" w:rsidRDefault="00DC0BA7" w:rsidP="006E4F5F">
      <w:pPr>
        <w:spacing w:line="360" w:lineRule="auto"/>
        <w:ind w:left="4592"/>
        <w:rPr>
          <w:rFonts w:ascii="Arial Black" w:hAnsi="Arial Black"/>
          <w:caps/>
          <w:sz w:val="15"/>
          <w:lang w:val="es-419"/>
        </w:rPr>
      </w:pPr>
      <w:r w:rsidRPr="004475C6">
        <w:rPr>
          <w:noProof/>
          <w:lang w:eastAsia="en-US"/>
        </w:rPr>
        <w:drawing>
          <wp:inline distT="0" distB="0" distL="0" distR="0" wp14:anchorId="61A2BA11" wp14:editId="3AC90B59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4475C6" w:rsidRDefault="00205915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419"/>
        </w:rPr>
      </w:pPr>
      <w:r w:rsidRPr="004475C6">
        <w:rPr>
          <w:rFonts w:ascii="Arial Black" w:hAnsi="Arial Black"/>
          <w:b/>
          <w:caps/>
          <w:sz w:val="15"/>
          <w:lang w:val="es-419"/>
        </w:rPr>
        <w:t>A/59</w:t>
      </w:r>
      <w:bookmarkStart w:id="0" w:name="Code"/>
      <w:bookmarkEnd w:id="0"/>
      <w:r w:rsidR="00344A61" w:rsidRPr="004475C6">
        <w:rPr>
          <w:rFonts w:ascii="Arial Black" w:hAnsi="Arial Black"/>
          <w:b/>
          <w:caps/>
          <w:sz w:val="15"/>
          <w:lang w:val="es-419"/>
        </w:rPr>
        <w:t>/</w:t>
      </w:r>
      <w:r w:rsidR="00E907E8" w:rsidRPr="004475C6">
        <w:rPr>
          <w:rFonts w:ascii="Arial Black" w:hAnsi="Arial Black"/>
          <w:b/>
          <w:caps/>
          <w:sz w:val="15"/>
          <w:lang w:val="es-419"/>
        </w:rPr>
        <w:t>10</w:t>
      </w:r>
    </w:p>
    <w:p w:rsidR="006E4F5F" w:rsidRPr="004475C6" w:rsidRDefault="006E4F5F" w:rsidP="006E4F5F">
      <w:pPr>
        <w:jc w:val="right"/>
        <w:rPr>
          <w:rFonts w:ascii="Arial Black" w:hAnsi="Arial Black"/>
          <w:b/>
          <w:caps/>
          <w:sz w:val="15"/>
          <w:lang w:val="es-419"/>
        </w:rPr>
      </w:pPr>
      <w:r w:rsidRPr="004475C6">
        <w:rPr>
          <w:rFonts w:ascii="Arial Black" w:hAnsi="Arial Black"/>
          <w:b/>
          <w:caps/>
          <w:sz w:val="15"/>
          <w:lang w:val="es-419"/>
        </w:rPr>
        <w:t xml:space="preserve">ORIGINAL: </w:t>
      </w:r>
      <w:bookmarkStart w:id="1" w:name="Original"/>
      <w:bookmarkEnd w:id="1"/>
      <w:r w:rsidR="00495E97" w:rsidRPr="004475C6">
        <w:rPr>
          <w:rFonts w:ascii="Arial Black" w:hAnsi="Arial Black"/>
          <w:b/>
          <w:caps/>
          <w:sz w:val="15"/>
          <w:lang w:val="es-419"/>
        </w:rPr>
        <w:t>INGLÉS</w:t>
      </w:r>
    </w:p>
    <w:p w:rsidR="006E4F5F" w:rsidRPr="004475C6" w:rsidRDefault="00DC0BA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es-419"/>
        </w:rPr>
      </w:pPr>
      <w:r w:rsidRPr="004475C6">
        <w:rPr>
          <w:rFonts w:ascii="Arial Black" w:hAnsi="Arial Black"/>
          <w:b/>
          <w:caps/>
          <w:sz w:val="15"/>
          <w:lang w:val="es-419"/>
        </w:rPr>
        <w:t>Fecha</w:t>
      </w:r>
      <w:r w:rsidR="006E4F5F" w:rsidRPr="004475C6">
        <w:rPr>
          <w:rFonts w:ascii="Arial Black" w:hAnsi="Arial Black"/>
          <w:b/>
          <w:caps/>
          <w:sz w:val="15"/>
          <w:lang w:val="es-419"/>
        </w:rPr>
        <w:t>:</w:t>
      </w:r>
      <w:r w:rsidR="0057481D" w:rsidRPr="004475C6">
        <w:rPr>
          <w:rFonts w:ascii="Arial Black" w:hAnsi="Arial Black"/>
          <w:b/>
          <w:caps/>
          <w:sz w:val="15"/>
          <w:lang w:val="es-419"/>
        </w:rPr>
        <w:t xml:space="preserve"> </w:t>
      </w:r>
      <w:bookmarkStart w:id="2" w:name="Date"/>
      <w:bookmarkEnd w:id="2"/>
      <w:r w:rsidR="00E907E8" w:rsidRPr="004475C6">
        <w:rPr>
          <w:rFonts w:ascii="Arial Black" w:hAnsi="Arial Black"/>
          <w:b/>
          <w:caps/>
          <w:sz w:val="15"/>
          <w:lang w:val="es-419"/>
        </w:rPr>
        <w:t>9</w:t>
      </w:r>
      <w:r w:rsidR="00495E97" w:rsidRPr="004475C6">
        <w:rPr>
          <w:rFonts w:ascii="Arial Black" w:hAnsi="Arial Black"/>
          <w:b/>
          <w:caps/>
          <w:sz w:val="15"/>
          <w:lang w:val="es-419"/>
        </w:rPr>
        <w:t xml:space="preserve"> DE SEPTIEMBRE DE 2019</w:t>
      </w:r>
    </w:p>
    <w:p w:rsidR="008B2CC1" w:rsidRPr="004475C6" w:rsidRDefault="00DC0BA7" w:rsidP="001F0FE5">
      <w:pPr>
        <w:pStyle w:val="Heading1"/>
        <w:rPr>
          <w:lang w:val="es-419"/>
        </w:rPr>
      </w:pPr>
      <w:r w:rsidRPr="004475C6">
        <w:rPr>
          <w:lang w:val="es-419"/>
        </w:rPr>
        <w:t>Asambleas de los Estados miembros de la OMPI</w:t>
      </w:r>
    </w:p>
    <w:p w:rsidR="00495E97" w:rsidRPr="004475C6" w:rsidRDefault="00B56479" w:rsidP="00495E97">
      <w:pPr>
        <w:rPr>
          <w:b/>
          <w:sz w:val="24"/>
          <w:szCs w:val="24"/>
          <w:lang w:val="es-419"/>
        </w:rPr>
      </w:pPr>
      <w:r w:rsidRPr="004475C6">
        <w:rPr>
          <w:b/>
          <w:sz w:val="24"/>
          <w:lang w:val="es-419"/>
        </w:rPr>
        <w:t>Quincuagésima novena</w:t>
      </w:r>
      <w:r w:rsidR="00DC0BA7" w:rsidRPr="004475C6">
        <w:rPr>
          <w:b/>
          <w:sz w:val="24"/>
          <w:lang w:val="es-419"/>
        </w:rPr>
        <w:t xml:space="preserve"> serie de reuniones</w:t>
      </w:r>
      <w:r w:rsidR="003D57B0" w:rsidRPr="004475C6">
        <w:rPr>
          <w:b/>
          <w:sz w:val="24"/>
          <w:lang w:val="es-419"/>
        </w:rPr>
        <w:br/>
      </w:r>
      <w:r w:rsidR="00DC0BA7" w:rsidRPr="004475C6">
        <w:rPr>
          <w:b/>
          <w:sz w:val="24"/>
          <w:lang w:val="es-419"/>
        </w:rPr>
        <w:t>Ginebra</w:t>
      </w:r>
      <w:r w:rsidR="00DF023A" w:rsidRPr="004475C6">
        <w:rPr>
          <w:b/>
          <w:sz w:val="24"/>
          <w:lang w:val="es-419"/>
        </w:rPr>
        <w:t xml:space="preserve">, </w:t>
      </w:r>
      <w:r w:rsidRPr="004475C6">
        <w:rPr>
          <w:b/>
          <w:sz w:val="24"/>
          <w:lang w:val="es-419"/>
        </w:rPr>
        <w:t>30</w:t>
      </w:r>
      <w:r w:rsidR="002A633A" w:rsidRPr="004475C6">
        <w:rPr>
          <w:b/>
          <w:sz w:val="24"/>
          <w:lang w:val="es-419"/>
        </w:rPr>
        <w:t xml:space="preserve"> </w:t>
      </w:r>
      <w:r w:rsidR="00117E63" w:rsidRPr="004475C6">
        <w:rPr>
          <w:b/>
          <w:sz w:val="24"/>
          <w:lang w:val="es-419"/>
        </w:rPr>
        <w:t xml:space="preserve">de </w:t>
      </w:r>
      <w:r w:rsidR="002A633A" w:rsidRPr="004475C6">
        <w:rPr>
          <w:b/>
          <w:sz w:val="24"/>
          <w:lang w:val="es-419"/>
        </w:rPr>
        <w:t>s</w:t>
      </w:r>
      <w:r w:rsidR="00217165" w:rsidRPr="004475C6">
        <w:rPr>
          <w:b/>
          <w:sz w:val="24"/>
          <w:lang w:val="es-419"/>
        </w:rPr>
        <w:t>ept</w:t>
      </w:r>
      <w:r w:rsidR="00DC0BA7" w:rsidRPr="004475C6">
        <w:rPr>
          <w:b/>
          <w:sz w:val="24"/>
          <w:lang w:val="es-419"/>
        </w:rPr>
        <w:t>iembre a</w:t>
      </w:r>
      <w:r w:rsidRPr="004475C6">
        <w:rPr>
          <w:b/>
          <w:sz w:val="24"/>
          <w:lang w:val="es-419"/>
        </w:rPr>
        <w:t xml:space="preserve"> 9</w:t>
      </w:r>
      <w:r w:rsidR="002A633A" w:rsidRPr="004475C6">
        <w:rPr>
          <w:b/>
          <w:sz w:val="24"/>
          <w:lang w:val="es-419"/>
        </w:rPr>
        <w:t xml:space="preserve"> </w:t>
      </w:r>
      <w:r w:rsidR="00DC0BA7" w:rsidRPr="004475C6">
        <w:rPr>
          <w:b/>
          <w:sz w:val="24"/>
          <w:lang w:val="es-419"/>
        </w:rPr>
        <w:t xml:space="preserve">de </w:t>
      </w:r>
      <w:r w:rsidR="002A633A" w:rsidRPr="004475C6">
        <w:rPr>
          <w:b/>
          <w:sz w:val="24"/>
          <w:lang w:val="es-419"/>
        </w:rPr>
        <w:t>o</w:t>
      </w:r>
      <w:r w:rsidR="00DC0BA7" w:rsidRPr="004475C6">
        <w:rPr>
          <w:b/>
          <w:sz w:val="24"/>
          <w:lang w:val="es-419"/>
        </w:rPr>
        <w:t>ctu</w:t>
      </w:r>
      <w:r w:rsidR="00217165" w:rsidRPr="004475C6">
        <w:rPr>
          <w:b/>
          <w:sz w:val="24"/>
          <w:lang w:val="es-419"/>
        </w:rPr>
        <w:t>bre</w:t>
      </w:r>
      <w:r w:rsidR="00DC0BA7" w:rsidRPr="004475C6">
        <w:rPr>
          <w:b/>
          <w:sz w:val="24"/>
          <w:lang w:val="es-419"/>
        </w:rPr>
        <w:t xml:space="preserve"> de</w:t>
      </w:r>
      <w:r w:rsidRPr="004475C6">
        <w:rPr>
          <w:b/>
          <w:sz w:val="24"/>
          <w:lang w:val="es-419"/>
        </w:rPr>
        <w:t xml:space="preserve"> 2019</w:t>
      </w:r>
    </w:p>
    <w:p w:rsidR="00495E97" w:rsidRPr="004475C6" w:rsidRDefault="00495E97" w:rsidP="00495E97">
      <w:pPr>
        <w:rPr>
          <w:lang w:val="es-419"/>
        </w:rPr>
      </w:pPr>
    </w:p>
    <w:p w:rsidR="00495E97" w:rsidRPr="004475C6" w:rsidRDefault="00495E97" w:rsidP="00495E97">
      <w:pPr>
        <w:rPr>
          <w:lang w:val="es-419"/>
        </w:rPr>
      </w:pPr>
    </w:p>
    <w:p w:rsidR="00495E97" w:rsidRPr="004475C6" w:rsidRDefault="00495E97" w:rsidP="00495E97">
      <w:pPr>
        <w:rPr>
          <w:lang w:val="es-419"/>
        </w:rPr>
      </w:pPr>
    </w:p>
    <w:p w:rsidR="00495E97" w:rsidRPr="004475C6" w:rsidRDefault="008158A2" w:rsidP="00495E97">
      <w:pPr>
        <w:rPr>
          <w:caps/>
          <w:sz w:val="24"/>
          <w:lang w:val="es-419" w:bidi="fa-IR"/>
        </w:rPr>
      </w:pPr>
      <w:r w:rsidRPr="004475C6">
        <w:rPr>
          <w:caps/>
          <w:sz w:val="24"/>
          <w:lang w:val="es-419"/>
        </w:rPr>
        <w:t>Párrafos de decisión propuestos por los Estados Unidos de América para su inclusión en las decisiones sobre el informe del Comité del Programa y Presupuesto</w:t>
      </w:r>
    </w:p>
    <w:p w:rsidR="00495E97" w:rsidRPr="004475C6" w:rsidRDefault="00495E97" w:rsidP="00495E97">
      <w:pPr>
        <w:rPr>
          <w:lang w:val="es-419"/>
        </w:rPr>
      </w:pPr>
    </w:p>
    <w:p w:rsidR="00495E97" w:rsidRPr="004475C6" w:rsidRDefault="008158A2" w:rsidP="00495E97">
      <w:pPr>
        <w:rPr>
          <w:i/>
          <w:lang w:val="es-419"/>
        </w:rPr>
      </w:pPr>
      <w:r w:rsidRPr="004475C6">
        <w:rPr>
          <w:i/>
          <w:lang w:val="es-419"/>
        </w:rPr>
        <w:t>Propuesta presentada por la delegación de los Estados Unidos de América</w:t>
      </w:r>
    </w:p>
    <w:p w:rsidR="00495E97" w:rsidRPr="004475C6" w:rsidRDefault="00495E97" w:rsidP="00495E97">
      <w:pPr>
        <w:rPr>
          <w:lang w:val="es-419"/>
        </w:rPr>
      </w:pPr>
    </w:p>
    <w:p w:rsidR="00495E97" w:rsidRPr="004475C6" w:rsidRDefault="00495E97" w:rsidP="00495E97">
      <w:pPr>
        <w:rPr>
          <w:lang w:val="es-419"/>
        </w:rPr>
      </w:pPr>
    </w:p>
    <w:p w:rsidR="00495E97" w:rsidRPr="004475C6" w:rsidRDefault="00495E97" w:rsidP="00495E97">
      <w:pPr>
        <w:rPr>
          <w:lang w:val="es-419"/>
        </w:rPr>
      </w:pPr>
    </w:p>
    <w:p w:rsidR="00495E97" w:rsidRPr="004475C6" w:rsidRDefault="00495E97" w:rsidP="00495E97">
      <w:pPr>
        <w:rPr>
          <w:lang w:val="es-419"/>
        </w:rPr>
      </w:pPr>
    </w:p>
    <w:p w:rsidR="00495E97" w:rsidRPr="004475C6" w:rsidRDefault="008158A2" w:rsidP="00495E97">
      <w:pPr>
        <w:rPr>
          <w:lang w:val="es-419"/>
        </w:rPr>
      </w:pPr>
      <w:r w:rsidRPr="004475C6">
        <w:rPr>
          <w:lang w:val="es-419"/>
        </w:rPr>
        <w:t>En una comunicación a la Secretaría</w:t>
      </w:r>
      <w:r w:rsidR="002B035E">
        <w:rPr>
          <w:lang w:val="es-419"/>
        </w:rPr>
        <w:t>,</w:t>
      </w:r>
      <w:r w:rsidRPr="004475C6">
        <w:rPr>
          <w:lang w:val="es-419"/>
        </w:rPr>
        <w:t xml:space="preserve"> </w:t>
      </w:r>
      <w:r w:rsidR="00E907E8" w:rsidRPr="004475C6">
        <w:rPr>
          <w:lang w:val="es-419"/>
        </w:rPr>
        <w:t>recibida el</w:t>
      </w:r>
      <w:r w:rsidRPr="004475C6">
        <w:rPr>
          <w:lang w:val="es-419"/>
        </w:rPr>
        <w:t xml:space="preserve"> 5 de septiembre de 2019, la delegación de los Estados Unidos de América presentó la propuesta ad</w:t>
      </w:r>
      <w:r w:rsidR="00891BE5">
        <w:rPr>
          <w:lang w:val="es-419"/>
        </w:rPr>
        <w:t>jun</w:t>
      </w:r>
      <w:bookmarkStart w:id="3" w:name="_GoBack"/>
      <w:bookmarkEnd w:id="3"/>
      <w:r w:rsidR="00891BE5">
        <w:rPr>
          <w:lang w:val="es-419"/>
        </w:rPr>
        <w:t>ta en relación con el punto</w:t>
      </w:r>
      <w:r w:rsidRPr="004475C6">
        <w:rPr>
          <w:lang w:val="es-419"/>
        </w:rPr>
        <w:t xml:space="preserve"> del orden del día, “Informe del Comité del Programa y Presupuesto (PBC)”.</w:t>
      </w:r>
    </w:p>
    <w:p w:rsidR="008158A2" w:rsidRPr="004475C6" w:rsidRDefault="00495E97" w:rsidP="0087413A">
      <w:pPr>
        <w:pStyle w:val="Endofdocument-Annex"/>
        <w:rPr>
          <w:lang w:val="es-419"/>
        </w:rPr>
      </w:pPr>
      <w:r w:rsidRPr="004475C6">
        <w:rPr>
          <w:lang w:val="es-419"/>
        </w:rPr>
        <w:t>[</w:t>
      </w:r>
      <w:r w:rsidR="008158A2" w:rsidRPr="004475C6">
        <w:rPr>
          <w:lang w:val="es-419"/>
        </w:rPr>
        <w:t>Sigue el An</w:t>
      </w:r>
      <w:r w:rsidRPr="004475C6">
        <w:rPr>
          <w:lang w:val="es-419"/>
        </w:rPr>
        <w:t>ex</w:t>
      </w:r>
      <w:r w:rsidR="008158A2" w:rsidRPr="004475C6">
        <w:rPr>
          <w:lang w:val="es-419"/>
        </w:rPr>
        <w:t>o</w:t>
      </w:r>
      <w:r w:rsidRPr="004475C6">
        <w:rPr>
          <w:lang w:val="es-419"/>
        </w:rPr>
        <w:t>]</w:t>
      </w:r>
    </w:p>
    <w:p w:rsidR="008158A2" w:rsidRPr="004475C6" w:rsidRDefault="008158A2" w:rsidP="008158A2">
      <w:pPr>
        <w:tabs>
          <w:tab w:val="left" w:pos="6082"/>
        </w:tabs>
        <w:rPr>
          <w:lang w:val="es-419"/>
        </w:rPr>
      </w:pPr>
    </w:p>
    <w:p w:rsidR="00495E97" w:rsidRPr="004475C6" w:rsidRDefault="00495E97" w:rsidP="008158A2">
      <w:pPr>
        <w:tabs>
          <w:tab w:val="left" w:pos="6082"/>
        </w:tabs>
        <w:rPr>
          <w:lang w:val="es-419"/>
        </w:rPr>
        <w:sectPr w:rsidR="00495E97" w:rsidRPr="004475C6" w:rsidSect="00931F1F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72AB9" w:rsidRPr="004475C6" w:rsidRDefault="00272AB9" w:rsidP="00272AB9">
      <w:pPr>
        <w:rPr>
          <w:caps/>
          <w:sz w:val="24"/>
          <w:lang w:val="es-419" w:bidi="fa-IR"/>
        </w:rPr>
      </w:pPr>
      <w:r w:rsidRPr="004475C6">
        <w:rPr>
          <w:caps/>
          <w:sz w:val="24"/>
          <w:lang w:val="es-419"/>
        </w:rPr>
        <w:lastRenderedPageBreak/>
        <w:t>Párrafos de decisión propuestos para su inclusión en las decisiones sobre el informe del Comité del Programa y Presupuesto</w:t>
      </w:r>
    </w:p>
    <w:p w:rsidR="00495E97" w:rsidRPr="004475C6" w:rsidRDefault="00495E97" w:rsidP="00495E97">
      <w:pPr>
        <w:rPr>
          <w:caps/>
          <w:sz w:val="24"/>
          <w:lang w:val="es-419"/>
        </w:rPr>
      </w:pPr>
    </w:p>
    <w:p w:rsidR="00495E97" w:rsidRPr="004475C6" w:rsidRDefault="00495E97" w:rsidP="00495E97">
      <w:pPr>
        <w:rPr>
          <w:lang w:val="es-419"/>
        </w:rPr>
      </w:pPr>
    </w:p>
    <w:p w:rsidR="00272AB9" w:rsidRPr="004475C6" w:rsidRDefault="00272AB9" w:rsidP="00272AB9">
      <w:pPr>
        <w:rPr>
          <w:i/>
          <w:lang w:val="es-419"/>
        </w:rPr>
      </w:pPr>
      <w:r w:rsidRPr="004475C6">
        <w:rPr>
          <w:i/>
          <w:lang w:val="es-419"/>
        </w:rPr>
        <w:t>Propuesta presentada por la delegación de los Estados Unidos de América</w:t>
      </w:r>
    </w:p>
    <w:p w:rsidR="00495E97" w:rsidRPr="004475C6" w:rsidRDefault="00495E97" w:rsidP="00495E97">
      <w:pPr>
        <w:rPr>
          <w:i/>
          <w:lang w:val="es-419"/>
        </w:rPr>
      </w:pPr>
    </w:p>
    <w:p w:rsidR="00495E97" w:rsidRPr="004475C6" w:rsidRDefault="00495E97" w:rsidP="00495E97">
      <w:pPr>
        <w:rPr>
          <w:i/>
          <w:lang w:val="es-419"/>
        </w:rPr>
      </w:pPr>
    </w:p>
    <w:p w:rsidR="00495E97" w:rsidRPr="004475C6" w:rsidRDefault="00495E97" w:rsidP="00495E97">
      <w:pPr>
        <w:rPr>
          <w:i/>
          <w:lang w:val="es-419"/>
        </w:rPr>
      </w:pPr>
    </w:p>
    <w:p w:rsidR="00495E97" w:rsidRPr="004475C6" w:rsidRDefault="00EC6FA3" w:rsidP="00495E97">
      <w:pPr>
        <w:tabs>
          <w:tab w:val="num" w:pos="-57"/>
        </w:tabs>
        <w:contextualSpacing/>
        <w:rPr>
          <w:lang w:val="es-419"/>
        </w:rPr>
      </w:pPr>
      <w:r>
        <w:rPr>
          <w:lang w:val="es-419"/>
        </w:rPr>
        <w:t>PUNTO 13</w:t>
      </w:r>
      <w:r w:rsidR="00272AB9" w:rsidRPr="004475C6">
        <w:rPr>
          <w:lang w:val="es-419"/>
        </w:rPr>
        <w:t xml:space="preserve"> DEL ORDEN DEL DÍA CONSOLIDADO</w:t>
      </w:r>
    </w:p>
    <w:p w:rsidR="00495E97" w:rsidRPr="004475C6" w:rsidRDefault="00272AB9" w:rsidP="00495E97">
      <w:pPr>
        <w:tabs>
          <w:tab w:val="num" w:pos="-57"/>
        </w:tabs>
        <w:contextualSpacing/>
        <w:rPr>
          <w:szCs w:val="22"/>
          <w:lang w:val="es-419"/>
        </w:rPr>
      </w:pPr>
      <w:r w:rsidRPr="004475C6">
        <w:rPr>
          <w:szCs w:val="22"/>
          <w:lang w:val="es-419"/>
        </w:rPr>
        <w:t>INFORME DEL COMITÉ DEL PROGRAMA Y PRESUPUESTO</w:t>
      </w:r>
    </w:p>
    <w:p w:rsidR="00495E97" w:rsidRPr="004475C6" w:rsidRDefault="00495E97" w:rsidP="00495E97">
      <w:pPr>
        <w:tabs>
          <w:tab w:val="num" w:pos="-57"/>
        </w:tabs>
        <w:contextualSpacing/>
        <w:rPr>
          <w:szCs w:val="22"/>
          <w:lang w:val="es-419"/>
        </w:rPr>
      </w:pPr>
    </w:p>
    <w:p w:rsidR="00495E97" w:rsidRPr="004475C6" w:rsidRDefault="00495E97" w:rsidP="00495E97">
      <w:pPr>
        <w:rPr>
          <w:rFonts w:eastAsia="Times New Roman" w:hAnsi="Times New Roman" w:cs="Times New Roman"/>
          <w:szCs w:val="22"/>
          <w:u w:val="single"/>
          <w:lang w:val="es-419" w:eastAsia="en-US"/>
        </w:rPr>
      </w:pPr>
    </w:p>
    <w:p w:rsidR="00495E97" w:rsidRPr="004475C6" w:rsidRDefault="00165792" w:rsidP="00495E97">
      <w:pPr>
        <w:rPr>
          <w:lang w:val="es-419"/>
        </w:rPr>
      </w:pPr>
      <w:r w:rsidRPr="004475C6">
        <w:rPr>
          <w:lang w:val="es-419"/>
        </w:rPr>
        <w:t>Decisión propuesta</w:t>
      </w:r>
      <w:r w:rsidR="00495E97" w:rsidRPr="004475C6">
        <w:rPr>
          <w:lang w:val="es-419"/>
        </w:rPr>
        <w:t xml:space="preserve">: </w:t>
      </w:r>
    </w:p>
    <w:p w:rsidR="00495E97" w:rsidRPr="004475C6" w:rsidRDefault="00495E97" w:rsidP="00495E97">
      <w:pPr>
        <w:rPr>
          <w:lang w:val="es-419"/>
        </w:rPr>
      </w:pPr>
    </w:p>
    <w:p w:rsidR="00495E97" w:rsidRPr="004475C6" w:rsidRDefault="00165792" w:rsidP="00165792">
      <w:pPr>
        <w:pStyle w:val="ListParagraph"/>
        <w:numPr>
          <w:ilvl w:val="3"/>
          <w:numId w:val="7"/>
        </w:numPr>
        <w:rPr>
          <w:lang w:val="es-419"/>
        </w:rPr>
      </w:pPr>
      <w:r w:rsidRPr="004475C6">
        <w:rPr>
          <w:lang w:val="es-419"/>
        </w:rPr>
        <w:t>Las Asambleas de los Estados miembros de la OMPI y de las Uniones, en lo que a cada una concierne:</w:t>
      </w:r>
    </w:p>
    <w:p w:rsidR="00495E97" w:rsidRPr="004475C6" w:rsidRDefault="00495E97" w:rsidP="00A44E84">
      <w:pPr>
        <w:ind w:left="1080"/>
        <w:rPr>
          <w:lang w:val="es-419"/>
        </w:rPr>
      </w:pPr>
    </w:p>
    <w:p w:rsidR="007457CC" w:rsidRPr="004475C6" w:rsidRDefault="00B24FAC" w:rsidP="007457CC">
      <w:pPr>
        <w:pStyle w:val="ListParagraph"/>
        <w:numPr>
          <w:ilvl w:val="0"/>
          <w:numId w:val="11"/>
        </w:numPr>
        <w:rPr>
          <w:lang w:val="es-419"/>
        </w:rPr>
      </w:pPr>
      <w:r w:rsidRPr="004475C6">
        <w:rPr>
          <w:lang w:val="es-419"/>
        </w:rPr>
        <w:t>Tomaron nota de la “Lista de decisiones adoptadas por el Comité del Programa y Presupuesto” (documento</w:t>
      </w:r>
      <w:r w:rsidR="00DD5D20" w:rsidRPr="004475C6">
        <w:rPr>
          <w:lang w:val="es-419"/>
        </w:rPr>
        <w:t>s WO/PBC/29/7 y WO/PBC/30/15);</w:t>
      </w:r>
    </w:p>
    <w:p w:rsidR="007457CC" w:rsidRPr="004475C6" w:rsidRDefault="007457CC" w:rsidP="007457CC">
      <w:pPr>
        <w:pStyle w:val="ListParagraph"/>
        <w:ind w:left="1080"/>
        <w:rPr>
          <w:lang w:val="es-419"/>
        </w:rPr>
      </w:pPr>
    </w:p>
    <w:p w:rsidR="007457CC" w:rsidRPr="004475C6" w:rsidRDefault="00B24FAC" w:rsidP="007457CC">
      <w:pPr>
        <w:pStyle w:val="ListParagraph"/>
        <w:numPr>
          <w:ilvl w:val="0"/>
          <w:numId w:val="11"/>
        </w:numPr>
        <w:rPr>
          <w:lang w:val="es-419"/>
        </w:rPr>
      </w:pPr>
      <w:r w:rsidRPr="004475C6">
        <w:rPr>
          <w:lang w:val="es-419"/>
        </w:rPr>
        <w:t>decidieron aprobar las recomendaciones del Comité del Programa y Presupuesto contenidas en dichos documentos; y</w:t>
      </w:r>
    </w:p>
    <w:p w:rsidR="007457CC" w:rsidRPr="004475C6" w:rsidRDefault="007457CC" w:rsidP="00A44E84">
      <w:pPr>
        <w:pStyle w:val="ListParagraph"/>
        <w:ind w:left="1080"/>
        <w:rPr>
          <w:lang w:val="es-419"/>
        </w:rPr>
      </w:pPr>
    </w:p>
    <w:p w:rsidR="00B24FAC" w:rsidRPr="004475C6" w:rsidRDefault="00B24FAC" w:rsidP="007457CC">
      <w:pPr>
        <w:pStyle w:val="ListParagraph"/>
        <w:numPr>
          <w:ilvl w:val="0"/>
          <w:numId w:val="11"/>
        </w:numPr>
        <w:rPr>
          <w:lang w:val="es-419"/>
        </w:rPr>
      </w:pPr>
      <w:r w:rsidRPr="004475C6">
        <w:rPr>
          <w:lang w:val="es-419"/>
        </w:rPr>
        <w:t xml:space="preserve">en lo que respecta a la cuestión pendiente indicada en el documento WO/PBC/30/15 en relación con la decisión sobre el punto 11 del orden del día “Propuesta de presupuesto por programas para el bienio 2020/21” (documento A/59/8), párrafos iii) y iv), </w:t>
      </w:r>
      <w:r w:rsidR="001F76B0" w:rsidRPr="004475C6">
        <w:rPr>
          <w:lang w:val="es-419"/>
        </w:rPr>
        <w:t xml:space="preserve">decidieron </w:t>
      </w:r>
      <w:r w:rsidRPr="004475C6">
        <w:rPr>
          <w:lang w:val="es-419"/>
        </w:rPr>
        <w:t>aprobar la propuesta revisada de presupuesto por programas presentada a las Asambleas de la OMPI en el documento A/59/8.</w:t>
      </w:r>
    </w:p>
    <w:p w:rsidR="00495E97" w:rsidRPr="004475C6" w:rsidRDefault="00495E97" w:rsidP="00495E97">
      <w:pPr>
        <w:rPr>
          <w:lang w:val="es-419"/>
        </w:rPr>
      </w:pPr>
    </w:p>
    <w:p w:rsidR="00802899" w:rsidRPr="004475C6" w:rsidRDefault="00802899" w:rsidP="002614EC">
      <w:pPr>
        <w:pStyle w:val="ListParagraph"/>
        <w:numPr>
          <w:ilvl w:val="3"/>
          <w:numId w:val="7"/>
        </w:numPr>
        <w:rPr>
          <w:lang w:val="es-419"/>
        </w:rPr>
      </w:pPr>
      <w:r w:rsidRPr="004475C6">
        <w:rPr>
          <w:lang w:val="es-419"/>
        </w:rPr>
        <w:t>Al adoptar esas decisiones, las Asambleas de los Estados miembros de la OMPI y de las Uniones, en lo que a cada una concierne:</w:t>
      </w:r>
    </w:p>
    <w:p w:rsidR="00495E97" w:rsidRPr="004475C6" w:rsidRDefault="00495E97" w:rsidP="00495E97">
      <w:pPr>
        <w:rPr>
          <w:rFonts w:eastAsiaTheme="minorHAnsi"/>
          <w:szCs w:val="22"/>
          <w:lang w:val="es-419"/>
        </w:rPr>
      </w:pPr>
    </w:p>
    <w:p w:rsidR="00006F60" w:rsidRPr="004475C6" w:rsidRDefault="00006F60" w:rsidP="00006F60">
      <w:pPr>
        <w:pStyle w:val="ListParagraph"/>
        <w:numPr>
          <w:ilvl w:val="0"/>
          <w:numId w:val="8"/>
        </w:numPr>
        <w:rPr>
          <w:lang w:val="es-419"/>
        </w:rPr>
      </w:pPr>
      <w:r w:rsidRPr="004475C6">
        <w:rPr>
          <w:lang w:val="es-419"/>
        </w:rPr>
        <w:t xml:space="preserve">Reconocieron que, en el pasado, cada unión ha contribuido a los gastos comunes de la </w:t>
      </w:r>
      <w:r w:rsidR="000D30F1" w:rsidRPr="004475C6">
        <w:rPr>
          <w:lang w:val="es-419"/>
        </w:rPr>
        <w:t>O</w:t>
      </w:r>
      <w:r w:rsidRPr="004475C6">
        <w:rPr>
          <w:lang w:val="es-419"/>
        </w:rPr>
        <w:t>rganización;</w:t>
      </w:r>
    </w:p>
    <w:p w:rsidR="00495E97" w:rsidRPr="004475C6" w:rsidRDefault="00495E97" w:rsidP="00495E97">
      <w:pPr>
        <w:pStyle w:val="ListParagraph"/>
        <w:ind w:left="1080"/>
        <w:rPr>
          <w:lang w:val="es-419"/>
        </w:rPr>
      </w:pPr>
    </w:p>
    <w:p w:rsidR="00495E97" w:rsidRPr="004475C6" w:rsidRDefault="00BC2391" w:rsidP="00495E97">
      <w:pPr>
        <w:pStyle w:val="ListParagraph"/>
        <w:numPr>
          <w:ilvl w:val="0"/>
          <w:numId w:val="8"/>
        </w:numPr>
        <w:rPr>
          <w:lang w:val="es-419"/>
        </w:rPr>
      </w:pPr>
      <w:r w:rsidRPr="004475C6">
        <w:rPr>
          <w:lang w:val="es-419"/>
        </w:rPr>
        <w:t>o</w:t>
      </w:r>
      <w:r w:rsidR="00006F60" w:rsidRPr="004475C6">
        <w:rPr>
          <w:lang w:val="es-419"/>
        </w:rPr>
        <w:t>bservaron que en la propuesta de presupuesto por programas se establece que cada unión de sistema de registro aportará una pequeña cantidad equivalente al 1% de los ingresos de la unión en relación con los gastos comunes de la Organización, y que la cuantía de la contribución de la Unión de Lisboa en 2020/21 será de apenas 8.000 francos suizos (el 1% de 779.000 francos suizos de ingresos). Ese porcentaje es considerablemente inferior al asignado anteriormente;</w:t>
      </w:r>
      <w:r w:rsidR="00495E97" w:rsidRPr="004475C6">
        <w:rPr>
          <w:rStyle w:val="FootnoteReference"/>
          <w:lang w:val="es-419"/>
        </w:rPr>
        <w:footnoteReference w:id="2"/>
      </w:r>
    </w:p>
    <w:p w:rsidR="00495E97" w:rsidRPr="004475C6" w:rsidRDefault="00495E97" w:rsidP="00495E97">
      <w:pPr>
        <w:pStyle w:val="ListParagraph"/>
        <w:rPr>
          <w:lang w:val="es-419"/>
        </w:rPr>
      </w:pPr>
    </w:p>
    <w:p w:rsidR="00495E97" w:rsidRPr="004475C6" w:rsidRDefault="00006F60" w:rsidP="00495E97">
      <w:pPr>
        <w:pStyle w:val="ListParagraph"/>
        <w:numPr>
          <w:ilvl w:val="0"/>
          <w:numId w:val="8"/>
        </w:numPr>
        <w:rPr>
          <w:lang w:val="es-419"/>
        </w:rPr>
      </w:pPr>
      <w:r w:rsidRPr="004475C6">
        <w:rPr>
          <w:lang w:val="es-419"/>
        </w:rPr>
        <w:t xml:space="preserve">observaron que en las disposiciones de varios tratados administrados por la OMPI, entre </w:t>
      </w:r>
      <w:r w:rsidR="000D30F1" w:rsidRPr="004475C6">
        <w:rPr>
          <w:lang w:val="es-419"/>
        </w:rPr>
        <w:t>otros</w:t>
      </w:r>
      <w:r w:rsidR="00DD5D20" w:rsidRPr="004475C6">
        <w:rPr>
          <w:lang w:val="es-419"/>
        </w:rPr>
        <w:t>, por ejemplo, el artículo 11.</w:t>
      </w:r>
      <w:r w:rsidRPr="004475C6">
        <w:rPr>
          <w:lang w:val="es-419"/>
        </w:rPr>
        <w:t>3) del Arreglo de Lisboa relativo a la Protección de las Denominaciones de Origen y su Registro Internacional, se establece que las uniones a las que se refieren deben adoptar presupuestos que incluyan su contribución a los gastos comunes de la Organización;</w:t>
      </w:r>
    </w:p>
    <w:p w:rsidR="00495E97" w:rsidRPr="004475C6" w:rsidRDefault="00495E97" w:rsidP="00495E97">
      <w:pPr>
        <w:pStyle w:val="ListParagraph"/>
        <w:rPr>
          <w:lang w:val="es-419"/>
        </w:rPr>
      </w:pPr>
    </w:p>
    <w:p w:rsidR="00006F60" w:rsidRPr="004475C6" w:rsidRDefault="00006F60" w:rsidP="00006F60">
      <w:pPr>
        <w:pStyle w:val="ListParagraph"/>
        <w:numPr>
          <w:ilvl w:val="0"/>
          <w:numId w:val="8"/>
        </w:numPr>
        <w:rPr>
          <w:lang w:val="es-419"/>
        </w:rPr>
      </w:pPr>
      <w:r w:rsidRPr="004475C6">
        <w:rPr>
          <w:lang w:val="es-419"/>
        </w:rPr>
        <w:lastRenderedPageBreak/>
        <w:t>recordaron la decisión de 2015 de las Asambleas de los Estados miembros de la OMPI y de las Uniones, en lo que a cada una concierne:</w:t>
      </w:r>
    </w:p>
    <w:p w:rsidR="00006F60" w:rsidRPr="004475C6" w:rsidRDefault="00006F60" w:rsidP="00A44E84">
      <w:pPr>
        <w:pStyle w:val="ListParagraph"/>
        <w:ind w:left="1620"/>
        <w:rPr>
          <w:lang w:val="es-419"/>
        </w:rPr>
      </w:pPr>
    </w:p>
    <w:p w:rsidR="00184603" w:rsidRPr="004475C6" w:rsidRDefault="00184603" w:rsidP="00184603">
      <w:pPr>
        <w:pStyle w:val="ListParagraph"/>
        <w:numPr>
          <w:ilvl w:val="1"/>
          <w:numId w:val="8"/>
        </w:numPr>
        <w:ind w:left="1620" w:hanging="540"/>
        <w:rPr>
          <w:lang w:val="es-419"/>
        </w:rPr>
      </w:pPr>
      <w:r w:rsidRPr="004475C6">
        <w:rPr>
          <w:lang w:val="es-419"/>
        </w:rPr>
        <w:t>tomar nota de la “decisión de la Asamblea de la Unión de Lisboa de tomar medidas, antes de las Asambleas de 2016, destinadas a eliminar el déficit previsto en la Unión de Lisboa para el bienio, según se indica en el presupuesto por programas de la OMPI del bienio 2016/17 (1.523.000 francos suizos);” y</w:t>
      </w:r>
    </w:p>
    <w:p w:rsidR="00495E97" w:rsidRPr="004475C6" w:rsidRDefault="00495E97" w:rsidP="00A44E84">
      <w:pPr>
        <w:pStyle w:val="ListParagraph"/>
        <w:ind w:left="2160" w:hanging="540"/>
        <w:rPr>
          <w:lang w:val="es-419"/>
        </w:rPr>
      </w:pPr>
    </w:p>
    <w:p w:rsidR="00495E97" w:rsidRPr="004475C6" w:rsidRDefault="00184603" w:rsidP="00495E97">
      <w:pPr>
        <w:pStyle w:val="ListParagraph"/>
        <w:numPr>
          <w:ilvl w:val="1"/>
          <w:numId w:val="8"/>
        </w:numPr>
        <w:ind w:left="1620" w:hanging="540"/>
        <w:rPr>
          <w:lang w:val="es-419"/>
        </w:rPr>
      </w:pPr>
      <w:r w:rsidRPr="004475C6">
        <w:rPr>
          <w:lang w:val="es-419"/>
        </w:rPr>
        <w:t>decidir “aprobar la concesión de un préstamo a la Unión de Lisboa, con cargo a las reservas de las uniones financiadas mediante contribuciones, con el fin de financiar las operaciones del Sistema de Lisboa en el bienio 2016/17, en el caso de que esas medidas no sean suficientes para cubrir el déficit previsto para el bienio.</w:t>
      </w:r>
      <w:r w:rsidR="00D642C6" w:rsidRPr="004475C6">
        <w:rPr>
          <w:lang w:val="es-419"/>
        </w:rPr>
        <w:t xml:space="preserve"> </w:t>
      </w:r>
      <w:r w:rsidRPr="004475C6">
        <w:rPr>
          <w:lang w:val="es-419"/>
        </w:rPr>
        <w:t>El préstamo concedido no devengará intereses y será reembolsado cuando las reservas de la Unión de Lisboa lo permitan</w:t>
      </w:r>
      <w:r w:rsidR="001F76B0" w:rsidRPr="004475C6">
        <w:rPr>
          <w:lang w:val="es-419"/>
        </w:rPr>
        <w:t>”</w:t>
      </w:r>
      <w:r w:rsidRPr="004475C6">
        <w:rPr>
          <w:lang w:val="es-419"/>
        </w:rPr>
        <w:t>;</w:t>
      </w:r>
    </w:p>
    <w:p w:rsidR="00495E97" w:rsidRPr="004475C6" w:rsidRDefault="00495E97" w:rsidP="00495E97">
      <w:pPr>
        <w:pStyle w:val="ListParagraph"/>
        <w:ind w:left="1440"/>
        <w:rPr>
          <w:lang w:val="es-419"/>
        </w:rPr>
      </w:pPr>
    </w:p>
    <w:p w:rsidR="00531E07" w:rsidRPr="004475C6" w:rsidRDefault="00D642C6" w:rsidP="00531E07">
      <w:pPr>
        <w:pStyle w:val="ListParagraph"/>
        <w:numPr>
          <w:ilvl w:val="0"/>
          <w:numId w:val="8"/>
        </w:numPr>
        <w:rPr>
          <w:lang w:val="es-419"/>
        </w:rPr>
      </w:pPr>
      <w:r w:rsidRPr="004475C6">
        <w:rPr>
          <w:lang w:val="es-419"/>
        </w:rPr>
        <w:t>r</w:t>
      </w:r>
      <w:r w:rsidR="00531E07" w:rsidRPr="004475C6">
        <w:rPr>
          <w:lang w:val="es-419"/>
        </w:rPr>
        <w:t xml:space="preserve">ecordaron asimismo la decisión de 2017 de las Asambleas de los Estados miembros de la OMPI y de las Uniones, en lo que a cada una concierne: </w:t>
      </w:r>
    </w:p>
    <w:p w:rsidR="00495E97" w:rsidRPr="004475C6" w:rsidRDefault="00495E97" w:rsidP="00A44E84">
      <w:pPr>
        <w:pStyle w:val="ListParagraph"/>
        <w:ind w:left="1701"/>
        <w:rPr>
          <w:lang w:val="es-419"/>
        </w:rPr>
      </w:pPr>
    </w:p>
    <w:p w:rsidR="00531E07" w:rsidRPr="004475C6" w:rsidRDefault="00531E07" w:rsidP="00531E07">
      <w:pPr>
        <w:pStyle w:val="ListParagraph"/>
        <w:numPr>
          <w:ilvl w:val="1"/>
          <w:numId w:val="9"/>
        </w:numPr>
        <w:ind w:left="1710" w:hanging="630"/>
        <w:rPr>
          <w:lang w:val="es-419"/>
        </w:rPr>
      </w:pPr>
      <w:r w:rsidRPr="004475C6">
        <w:rPr>
          <w:lang w:val="es-419"/>
        </w:rPr>
        <w:t>“de conformidad con los tratados de las uniones financiadas mediante tasas, cada unión deberá tener ingresos suficientes para cubrir sus propios gastos;”</w:t>
      </w:r>
    </w:p>
    <w:p w:rsidR="00495E97" w:rsidRPr="004475C6" w:rsidRDefault="00495E97" w:rsidP="00495E97">
      <w:pPr>
        <w:pStyle w:val="ListParagraph"/>
        <w:ind w:left="1710"/>
        <w:rPr>
          <w:lang w:val="es-419"/>
        </w:rPr>
      </w:pPr>
    </w:p>
    <w:p w:rsidR="00531E07" w:rsidRPr="004475C6" w:rsidRDefault="00531E07" w:rsidP="00531E07">
      <w:pPr>
        <w:pStyle w:val="ListParagraph"/>
        <w:numPr>
          <w:ilvl w:val="1"/>
          <w:numId w:val="9"/>
        </w:numPr>
        <w:ind w:left="1710" w:hanging="630"/>
        <w:rPr>
          <w:lang w:val="es-419"/>
        </w:rPr>
      </w:pPr>
      <w:r w:rsidRPr="004475C6">
        <w:rPr>
          <w:lang w:val="es-419"/>
        </w:rPr>
        <w:t>“las uniones financiadas mediante tasas que tengan previsto un déficit bienal para el bienio 2018/19 deberán considerar medidas de conformidad con su propio tratado para afrontar ese déficit;”</w:t>
      </w:r>
    </w:p>
    <w:p w:rsidR="00495E97" w:rsidRPr="004475C6" w:rsidRDefault="00495E97" w:rsidP="00A44E84">
      <w:pPr>
        <w:pStyle w:val="ListParagraph"/>
        <w:ind w:left="1701"/>
        <w:rPr>
          <w:lang w:val="es-419"/>
        </w:rPr>
      </w:pPr>
    </w:p>
    <w:p w:rsidR="00531E07" w:rsidRPr="004475C6" w:rsidRDefault="00531E07" w:rsidP="00531E07">
      <w:pPr>
        <w:pStyle w:val="ListParagraph"/>
        <w:numPr>
          <w:ilvl w:val="1"/>
          <w:numId w:val="9"/>
        </w:numPr>
        <w:ind w:left="1710" w:hanging="630"/>
        <w:rPr>
          <w:lang w:val="es-419"/>
        </w:rPr>
      </w:pPr>
      <w:r w:rsidRPr="004475C6">
        <w:rPr>
          <w:lang w:val="es-419"/>
        </w:rPr>
        <w:t>“si una unión en un bienio dado no tiene suficientes ingresos y reservas para cubrir los gastos previstos, el importe necesario para financiar las operaciones de dicha unión se financiará con cargo a los activos netos de la Organización y se divulgará en los estados financieros de la Organización y habrá de reembolsarse cuando lo permitan las reservas de dicha unión;” y</w:t>
      </w:r>
    </w:p>
    <w:p w:rsidR="00495E97" w:rsidRPr="004475C6" w:rsidRDefault="00495E97" w:rsidP="00A44E84">
      <w:pPr>
        <w:pStyle w:val="ListParagraph"/>
        <w:ind w:left="1701"/>
        <w:rPr>
          <w:lang w:val="es-419"/>
        </w:rPr>
      </w:pPr>
    </w:p>
    <w:p w:rsidR="00531E07" w:rsidRPr="004475C6" w:rsidRDefault="001F76B0" w:rsidP="00531E07">
      <w:pPr>
        <w:pStyle w:val="ListParagraph"/>
        <w:numPr>
          <w:ilvl w:val="1"/>
          <w:numId w:val="9"/>
        </w:numPr>
        <w:ind w:left="1710" w:hanging="630"/>
        <w:rPr>
          <w:lang w:val="es-419"/>
        </w:rPr>
      </w:pPr>
      <w:r w:rsidRPr="004475C6">
        <w:rPr>
          <w:lang w:val="es-419"/>
        </w:rPr>
        <w:t>“</w:t>
      </w:r>
      <w:r w:rsidR="00531E07" w:rsidRPr="004475C6">
        <w:rPr>
          <w:lang w:val="es-419"/>
        </w:rPr>
        <w:t>para el bienio 2018/19, si una unión financiada mediante tasas no tiene suficientes ingresos para cubrir sus gastos, el importe requerido... se financiará con cargo a las reservas de las uniones financiadas mediante contribuciones, si dichas reservas son completamente suficientes, o bien con cargo a las reservas de las demás uniones financiadas mediante tasas;</w:t>
      </w:r>
      <w:r w:rsidRPr="004475C6">
        <w:rPr>
          <w:lang w:val="es-419"/>
        </w:rPr>
        <w:t>”</w:t>
      </w:r>
    </w:p>
    <w:p w:rsidR="00495E97" w:rsidRPr="004475C6" w:rsidRDefault="00495E97" w:rsidP="00A44E84">
      <w:pPr>
        <w:pStyle w:val="ListParagraph"/>
        <w:ind w:left="1701"/>
        <w:rPr>
          <w:lang w:val="es-419"/>
        </w:rPr>
      </w:pPr>
    </w:p>
    <w:p w:rsidR="00495E97" w:rsidRPr="004475C6" w:rsidRDefault="00D642C6" w:rsidP="00495E97">
      <w:pPr>
        <w:pStyle w:val="ListParagraph"/>
        <w:numPr>
          <w:ilvl w:val="0"/>
          <w:numId w:val="8"/>
        </w:numPr>
        <w:rPr>
          <w:lang w:val="es-419"/>
        </w:rPr>
      </w:pPr>
      <w:r w:rsidRPr="004475C6">
        <w:rPr>
          <w:lang w:val="es-419"/>
        </w:rPr>
        <w:t>d</w:t>
      </w:r>
      <w:r w:rsidR="00531E07" w:rsidRPr="004475C6">
        <w:rPr>
          <w:lang w:val="es-419"/>
        </w:rPr>
        <w:t>ecidi</w:t>
      </w:r>
      <w:r w:rsidR="001F76B0" w:rsidRPr="004475C6">
        <w:rPr>
          <w:lang w:val="es-419"/>
        </w:rPr>
        <w:t>eron</w:t>
      </w:r>
      <w:r w:rsidR="00531E07" w:rsidRPr="004475C6">
        <w:rPr>
          <w:lang w:val="es-419"/>
        </w:rPr>
        <w:t xml:space="preserve"> además que</w:t>
      </w:r>
      <w:r w:rsidR="00495E97" w:rsidRPr="004475C6">
        <w:rPr>
          <w:lang w:val="es-419"/>
        </w:rPr>
        <w:t>:</w:t>
      </w:r>
    </w:p>
    <w:p w:rsidR="00495E97" w:rsidRPr="004475C6" w:rsidRDefault="00495E97" w:rsidP="00A44E84">
      <w:pPr>
        <w:pStyle w:val="ListParagraph"/>
        <w:ind w:left="1701"/>
        <w:rPr>
          <w:lang w:val="es-419"/>
        </w:rPr>
      </w:pPr>
    </w:p>
    <w:p w:rsidR="00531E07" w:rsidRPr="004475C6" w:rsidRDefault="00531E07" w:rsidP="00531E07">
      <w:pPr>
        <w:pStyle w:val="ListParagraph"/>
        <w:numPr>
          <w:ilvl w:val="1"/>
          <w:numId w:val="10"/>
        </w:numPr>
        <w:ind w:left="1710" w:hanging="630"/>
        <w:rPr>
          <w:lang w:val="es-419"/>
        </w:rPr>
      </w:pPr>
      <w:r w:rsidRPr="004475C6">
        <w:rPr>
          <w:lang w:val="es-419"/>
        </w:rPr>
        <w:t>de conformidad con los tratados de las uniones financiadas mediante tasas, cada unión deberá tener ingresos suficientes para cubrir sus propios gastos;</w:t>
      </w:r>
    </w:p>
    <w:p w:rsidR="00531E07" w:rsidRPr="004475C6" w:rsidRDefault="00531E07" w:rsidP="00531E07">
      <w:pPr>
        <w:pStyle w:val="ListParagraph"/>
        <w:ind w:left="1710"/>
        <w:rPr>
          <w:lang w:val="es-419"/>
        </w:rPr>
      </w:pPr>
    </w:p>
    <w:p w:rsidR="00531E07" w:rsidRPr="004475C6" w:rsidRDefault="00531E07" w:rsidP="00531E07">
      <w:pPr>
        <w:pStyle w:val="ListParagraph"/>
        <w:numPr>
          <w:ilvl w:val="1"/>
          <w:numId w:val="10"/>
        </w:numPr>
        <w:ind w:left="1710" w:hanging="630"/>
        <w:rPr>
          <w:lang w:val="es-419"/>
        </w:rPr>
      </w:pPr>
      <w:r w:rsidRPr="004475C6">
        <w:rPr>
          <w:lang w:val="es-419"/>
        </w:rPr>
        <w:t>las uniones financiadas mediante tasas que tengan previsto un déficit bienal para el bienio 2020/21 deberán considerar medidas de conformidad con su propio tratado para afrontar ese déficit;</w:t>
      </w:r>
    </w:p>
    <w:p w:rsidR="00531E07" w:rsidRPr="004475C6" w:rsidRDefault="00531E07" w:rsidP="00A44E84">
      <w:pPr>
        <w:pStyle w:val="ListParagraph"/>
        <w:ind w:left="1701"/>
        <w:rPr>
          <w:lang w:val="es-419"/>
        </w:rPr>
      </w:pPr>
    </w:p>
    <w:p w:rsidR="00531E07" w:rsidRPr="004475C6" w:rsidRDefault="00531E07" w:rsidP="00531E07">
      <w:pPr>
        <w:pStyle w:val="ListParagraph"/>
        <w:numPr>
          <w:ilvl w:val="1"/>
          <w:numId w:val="10"/>
        </w:numPr>
        <w:ind w:left="1710" w:hanging="630"/>
        <w:rPr>
          <w:lang w:val="es-419"/>
        </w:rPr>
      </w:pPr>
      <w:r w:rsidRPr="004475C6">
        <w:rPr>
          <w:lang w:val="es-419"/>
        </w:rPr>
        <w:t>si una unión en un bienio dado no tiene suficientes ingresos y reservas para cubrir los gastos previstos, el importe necesario para financiar las operaciones de dicha unión se financiará con cargo a los activos netos de la Organización y se divulgará en los estados financieros de la Organización y habrá de reembolsarse cuando lo permitan las reservas de dicha unión; y</w:t>
      </w:r>
    </w:p>
    <w:p w:rsidR="00531E07" w:rsidRPr="004475C6" w:rsidRDefault="00531E07" w:rsidP="00A44E84">
      <w:pPr>
        <w:pStyle w:val="ListParagraph"/>
        <w:ind w:left="1710"/>
        <w:rPr>
          <w:lang w:val="es-419"/>
        </w:rPr>
      </w:pPr>
    </w:p>
    <w:p w:rsidR="00531E07" w:rsidRPr="004475C6" w:rsidRDefault="00531E07" w:rsidP="00531E07">
      <w:pPr>
        <w:pStyle w:val="ListParagraph"/>
        <w:numPr>
          <w:ilvl w:val="1"/>
          <w:numId w:val="10"/>
        </w:numPr>
        <w:ind w:left="1710" w:hanging="630"/>
        <w:rPr>
          <w:lang w:val="es-419"/>
        </w:rPr>
      </w:pPr>
      <w:r w:rsidRPr="004475C6">
        <w:rPr>
          <w:lang w:val="es-419"/>
        </w:rPr>
        <w:lastRenderedPageBreak/>
        <w:t>para el bienio 2020/21, si una unión financiada mediante tasas no tiene suficientes ingresos para cubrir sus gastos, el importe requerido se financiará con cargo a las reservas de las uniones financiadas mediante contribuciones, si dichas reservas son completamente suficientes, o bien con cargo a las reservas de las demás uniones financiadas mediante tasas; y</w:t>
      </w:r>
    </w:p>
    <w:p w:rsidR="00495E97" w:rsidRPr="004475C6" w:rsidRDefault="00495E97" w:rsidP="00A44E84">
      <w:pPr>
        <w:pStyle w:val="ListParagraph"/>
        <w:ind w:left="1701"/>
        <w:rPr>
          <w:lang w:val="es-419"/>
        </w:rPr>
      </w:pPr>
    </w:p>
    <w:p w:rsidR="00495E97" w:rsidRPr="004475C6" w:rsidRDefault="00C32F97" w:rsidP="00495E97">
      <w:pPr>
        <w:pStyle w:val="ListParagraph"/>
        <w:numPr>
          <w:ilvl w:val="0"/>
          <w:numId w:val="8"/>
        </w:numPr>
        <w:rPr>
          <w:lang w:val="es-419"/>
        </w:rPr>
      </w:pPr>
      <w:r w:rsidRPr="004475C6">
        <w:rPr>
          <w:lang w:val="es-419"/>
        </w:rPr>
        <w:t>c</w:t>
      </w:r>
      <w:r w:rsidR="00531E07" w:rsidRPr="004475C6">
        <w:rPr>
          <w:lang w:val="es-419"/>
        </w:rPr>
        <w:t>onvinieron en que, de conformidad con la práctica anterior, el Informe financiero anual y los estados financieros, los ingresos, los gastos y las reservas por segmento incluirán los déficits netos de las uniones en déficit y las notas que reflejen los préstamos efectuados como se indica anteriormente.</w:t>
      </w:r>
    </w:p>
    <w:p w:rsidR="00495E97" w:rsidRPr="004475C6" w:rsidRDefault="00495E97" w:rsidP="00495E97">
      <w:pPr>
        <w:rPr>
          <w:rFonts w:eastAsiaTheme="minorHAnsi"/>
          <w:szCs w:val="22"/>
          <w:lang w:val="es-419"/>
        </w:rPr>
      </w:pPr>
    </w:p>
    <w:p w:rsidR="0097400F" w:rsidRPr="004475C6" w:rsidRDefault="0097400F" w:rsidP="002614EC">
      <w:pPr>
        <w:pStyle w:val="ListParagraph"/>
        <w:numPr>
          <w:ilvl w:val="3"/>
          <w:numId w:val="7"/>
        </w:numPr>
        <w:rPr>
          <w:rFonts w:eastAsiaTheme="minorHAnsi"/>
          <w:szCs w:val="22"/>
          <w:lang w:val="es-419"/>
        </w:rPr>
      </w:pPr>
      <w:r w:rsidRPr="004475C6">
        <w:rPr>
          <w:rFonts w:eastAsiaTheme="minorHAnsi"/>
          <w:szCs w:val="22"/>
          <w:lang w:val="es-419"/>
        </w:rPr>
        <w:t>Las Asambleas tomaron nota ade</w:t>
      </w:r>
      <w:r w:rsidR="00015FB8" w:rsidRPr="004475C6">
        <w:rPr>
          <w:rFonts w:eastAsiaTheme="minorHAnsi"/>
          <w:szCs w:val="22"/>
          <w:lang w:val="es-419"/>
        </w:rPr>
        <w:t>más de que la metodología de a</w:t>
      </w:r>
      <w:r w:rsidRPr="004475C6">
        <w:rPr>
          <w:rFonts w:eastAsiaTheme="minorHAnsi"/>
          <w:szCs w:val="22"/>
          <w:lang w:val="es-419"/>
        </w:rPr>
        <w:t xml:space="preserve">signación de los ingresos y los gastos presupuestados por unión es un tema de alcance transversal y decidieron que el PBC prosiga el debate sobre la metodología de </w:t>
      </w:r>
      <w:r w:rsidR="00015FB8" w:rsidRPr="004475C6">
        <w:rPr>
          <w:rFonts w:eastAsiaTheme="minorHAnsi"/>
          <w:szCs w:val="22"/>
          <w:lang w:val="es-419"/>
        </w:rPr>
        <w:t>a</w:t>
      </w:r>
      <w:r w:rsidRPr="004475C6">
        <w:rPr>
          <w:rFonts w:eastAsiaTheme="minorHAnsi"/>
          <w:szCs w:val="22"/>
          <w:lang w:val="es-419"/>
        </w:rPr>
        <w:t>signación de los ingresos y los gastos por uniones en sus futuras sesiones sobre la base de los documentos pertinentes y de otras propuestas de los Estados miembros.</w:t>
      </w:r>
    </w:p>
    <w:p w:rsidR="00495E97" w:rsidRPr="004475C6" w:rsidRDefault="00495E97" w:rsidP="00495E97">
      <w:pPr>
        <w:rPr>
          <w:rFonts w:eastAsiaTheme="minorHAnsi"/>
          <w:szCs w:val="22"/>
          <w:lang w:val="es-419"/>
        </w:rPr>
      </w:pPr>
    </w:p>
    <w:p w:rsidR="00495E97" w:rsidRPr="004475C6" w:rsidRDefault="00015FB8" w:rsidP="00495E97">
      <w:pPr>
        <w:pStyle w:val="ListParagraph"/>
        <w:numPr>
          <w:ilvl w:val="3"/>
          <w:numId w:val="7"/>
        </w:numPr>
        <w:rPr>
          <w:rFonts w:eastAsiaTheme="minorHAnsi"/>
          <w:szCs w:val="22"/>
          <w:lang w:val="es-419"/>
        </w:rPr>
      </w:pPr>
      <w:r w:rsidRPr="004475C6">
        <w:rPr>
          <w:rFonts w:eastAsiaTheme="minorHAnsi"/>
          <w:szCs w:val="22"/>
          <w:lang w:val="es-419"/>
        </w:rPr>
        <w:t>Las Asambleas tomaron nota además del hecho de que todas las conferencias diplomáticas contempladas en el bienio 2020/21, que puedan celebrarse bajo los auspicios de la OMPI durante el bienio 2020/21 y sean financiadas mediante los recursos de la Organización, estarán abiertas a la plena participación de todos los Estados miembros de la OMPI de conformidad con las recomendaciones de la Agenda para el Desarrollo.</w:t>
      </w:r>
    </w:p>
    <w:p w:rsidR="00495E97" w:rsidRPr="004475C6" w:rsidRDefault="00495E97" w:rsidP="002614EC">
      <w:pPr>
        <w:pStyle w:val="Endofdocument-Annex"/>
        <w:rPr>
          <w:lang w:val="es-419"/>
        </w:rPr>
      </w:pPr>
      <w:r w:rsidRPr="004475C6">
        <w:rPr>
          <w:lang w:val="es-419"/>
        </w:rPr>
        <w:t>[</w:t>
      </w:r>
      <w:r w:rsidR="00015FB8" w:rsidRPr="004475C6">
        <w:rPr>
          <w:lang w:val="es-419"/>
        </w:rPr>
        <w:t>Fin del Anexo y del documento</w:t>
      </w:r>
      <w:r w:rsidRPr="004475C6">
        <w:rPr>
          <w:lang w:val="es-419"/>
        </w:rPr>
        <w:t>]</w:t>
      </w:r>
    </w:p>
    <w:sectPr w:rsidR="00495E97" w:rsidRPr="004475C6" w:rsidSect="00CC48F2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E97" w:rsidRDefault="00495E97">
      <w:r>
        <w:separator/>
      </w:r>
    </w:p>
  </w:endnote>
  <w:endnote w:type="continuationSeparator" w:id="0">
    <w:p w:rsidR="00495E97" w:rsidRDefault="00495E97" w:rsidP="003B38C1">
      <w:r>
        <w:separator/>
      </w:r>
    </w:p>
    <w:p w:rsidR="00495E97" w:rsidRPr="003B38C1" w:rsidRDefault="00495E9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5E97" w:rsidRPr="003B38C1" w:rsidRDefault="00495E9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E97" w:rsidRDefault="00495E97">
      <w:r>
        <w:separator/>
      </w:r>
    </w:p>
  </w:footnote>
  <w:footnote w:type="continuationSeparator" w:id="0">
    <w:p w:rsidR="00495E97" w:rsidRDefault="00495E97" w:rsidP="008B60B2">
      <w:r>
        <w:separator/>
      </w:r>
    </w:p>
    <w:p w:rsidR="00495E97" w:rsidRPr="00ED77FB" w:rsidRDefault="00495E9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5E97" w:rsidRPr="00ED77FB" w:rsidRDefault="00495E9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95E97" w:rsidRPr="00184603" w:rsidRDefault="00495E97" w:rsidP="00495E97">
      <w:pPr>
        <w:pStyle w:val="FootnoteText"/>
        <w:rPr>
          <w:lang w:val="es-ES"/>
        </w:rPr>
      </w:pPr>
      <w:r w:rsidRPr="00184603">
        <w:rPr>
          <w:rStyle w:val="FootnoteReference"/>
          <w:lang w:val="es-ES"/>
        </w:rPr>
        <w:footnoteRef/>
      </w:r>
      <w:r w:rsidR="002614EC">
        <w:rPr>
          <w:lang w:val="es-ES"/>
        </w:rPr>
        <w:tab/>
      </w:r>
      <w:r w:rsidR="00184603" w:rsidRPr="00184603">
        <w:rPr>
          <w:lang w:val="es-ES"/>
        </w:rPr>
        <w:t>La Unión de Lisboa aportó 5.000 francos suizos para gastos comunes de los 8.000 francos suizos indicados en el presupuesto trienal de 1978, por ejemplo, (AB/VIII/2) (24 de junio de 1977)</w:t>
      </w:r>
      <w:r w:rsidR="00DD5D20">
        <w:rPr>
          <w:lang w:val="es-ES"/>
        </w:rPr>
        <w:t xml:space="preserve">, que puede consultarse en: </w:t>
      </w:r>
      <w:hyperlink r:id="rId1" w:history="1">
        <w:r w:rsidRPr="00184603">
          <w:rPr>
            <w:rStyle w:val="Hyperlink"/>
            <w:color w:val="auto"/>
            <w:lang w:val="es-ES"/>
          </w:rPr>
          <w:t>https://www.wipo.int/mdocsarchives/AB_VIII_1977/AB_VIII_2_E.pdf</w:t>
        </w:r>
      </w:hyperlink>
      <w:r w:rsidR="00184603" w:rsidRPr="00184603">
        <w:rPr>
          <w:lang w:val="es-ES"/>
        </w:rPr>
        <w:t xml:space="preserve">. </w:t>
      </w:r>
      <w:r w:rsidR="00184603" w:rsidRPr="00184603">
        <w:rPr>
          <w:lang w:val="es-ES_tradnl"/>
        </w:rPr>
        <w:t>Según esos datos, el porcentaje de ingresos de la Unión de Lisboa en relación con los gastos comunes en 1978 era de aproximadamente el 62%.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E97" w:rsidRDefault="00495E97" w:rsidP="00931F1F">
    <w:pPr>
      <w:jc w:val="right"/>
    </w:pPr>
    <w:r>
      <w:t>A/59/</w:t>
    </w:r>
  </w:p>
  <w:p w:rsidR="00495E97" w:rsidRDefault="00495E97" w:rsidP="00931F1F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495E97" w:rsidRDefault="00495E97" w:rsidP="00931F1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E97" w:rsidRDefault="00495E97" w:rsidP="00477D6B">
    <w:pPr>
      <w:jc w:val="right"/>
    </w:pPr>
    <w:r>
      <w:t>A/59/</w:t>
    </w:r>
    <w:r w:rsidR="00015FB8">
      <w:t>XX</w:t>
    </w:r>
  </w:p>
  <w:p w:rsidR="00495E97" w:rsidRPr="00015FB8" w:rsidRDefault="00015FB8" w:rsidP="00477D6B">
    <w:pPr>
      <w:jc w:val="right"/>
      <w:rPr>
        <w:lang w:val="es-ES"/>
      </w:rPr>
    </w:pPr>
    <w:r w:rsidRPr="00015FB8">
      <w:rPr>
        <w:lang w:val="es-ES"/>
      </w:rPr>
      <w:t>Anexo, página</w:t>
    </w:r>
    <w:r w:rsidR="00495E97" w:rsidRPr="00015FB8">
      <w:rPr>
        <w:lang w:val="es-ES"/>
      </w:rPr>
      <w:t xml:space="preserve"> </w:t>
    </w:r>
  </w:p>
  <w:p w:rsidR="00495E97" w:rsidRDefault="00495E9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F2" w:rsidRDefault="00CC48F2" w:rsidP="00477D6B">
    <w:pPr>
      <w:jc w:val="right"/>
    </w:pPr>
    <w:r>
      <w:t>A/59/</w:t>
    </w:r>
    <w:r w:rsidR="004475C6">
      <w:t>10</w:t>
    </w:r>
  </w:p>
  <w:p w:rsidR="00CC48F2" w:rsidRPr="00015FB8" w:rsidRDefault="00CC48F2" w:rsidP="00477D6B">
    <w:pPr>
      <w:jc w:val="right"/>
      <w:rPr>
        <w:lang w:val="es-ES"/>
      </w:rPr>
    </w:pPr>
    <w:r w:rsidRPr="00015FB8">
      <w:rPr>
        <w:lang w:val="es-ES"/>
      </w:rPr>
      <w:t xml:space="preserve">Anexo, página </w:t>
    </w:r>
    <w:r>
      <w:fldChar w:fldCharType="begin"/>
    </w:r>
    <w:r>
      <w:instrText xml:space="preserve"> PAGE   \* MERGEFORMAT </w:instrText>
    </w:r>
    <w:r>
      <w:fldChar w:fldCharType="separate"/>
    </w:r>
    <w:r w:rsidR="00953633">
      <w:rPr>
        <w:noProof/>
      </w:rPr>
      <w:t>3</w:t>
    </w:r>
    <w:r>
      <w:fldChar w:fldCharType="end"/>
    </w:r>
  </w:p>
  <w:p w:rsidR="00CC48F2" w:rsidRDefault="00CC48F2" w:rsidP="00477D6B">
    <w:pPr>
      <w:jc w:val="right"/>
    </w:pPr>
  </w:p>
  <w:p w:rsidR="002614EC" w:rsidRDefault="002614EC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FB8" w:rsidRDefault="00E907E8" w:rsidP="00015FB8">
    <w:pPr>
      <w:pStyle w:val="Header"/>
      <w:jc w:val="right"/>
    </w:pPr>
    <w:r>
      <w:t>A/59/10</w:t>
    </w:r>
  </w:p>
  <w:p w:rsidR="00015FB8" w:rsidRDefault="00015FB8" w:rsidP="00015FB8">
    <w:pPr>
      <w:pStyle w:val="Header"/>
      <w:jc w:val="right"/>
    </w:pPr>
    <w:r>
      <w:t>ANEXO</w:t>
    </w:r>
  </w:p>
  <w:p w:rsidR="00015FB8" w:rsidRDefault="00015FB8" w:rsidP="002614EC">
    <w:pPr>
      <w:pStyle w:val="Header"/>
      <w:jc w:val="right"/>
    </w:pPr>
  </w:p>
  <w:p w:rsidR="002614EC" w:rsidRDefault="002614EC" w:rsidP="002614E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0C48DE"/>
    <w:multiLevelType w:val="hybridMultilevel"/>
    <w:tmpl w:val="7BF4C1AE"/>
    <w:lvl w:ilvl="0" w:tplc="950A47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30D2957"/>
    <w:multiLevelType w:val="hybridMultilevel"/>
    <w:tmpl w:val="F2949FCC"/>
    <w:lvl w:ilvl="0" w:tplc="32E6F1A2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803265A0">
      <w:start w:val="1"/>
      <w:numFmt w:val="lowerLetter"/>
      <w:lvlText w:val="%2."/>
      <w:lvlJc w:val="left"/>
      <w:pPr>
        <w:ind w:left="3141" w:hanging="360"/>
      </w:pPr>
    </w:lvl>
    <w:lvl w:ilvl="2" w:tplc="4600DE34">
      <w:start w:val="1"/>
      <w:numFmt w:val="lowerRoman"/>
      <w:lvlText w:val="%3."/>
      <w:lvlJc w:val="right"/>
      <w:pPr>
        <w:ind w:left="3861" w:hanging="180"/>
      </w:pPr>
    </w:lvl>
    <w:lvl w:ilvl="3" w:tplc="0FAA3138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 w:tplc="47166CAC">
      <w:start w:val="1"/>
      <w:numFmt w:val="lowerLetter"/>
      <w:lvlText w:val="%5."/>
      <w:lvlJc w:val="left"/>
      <w:pPr>
        <w:ind w:left="5301" w:hanging="360"/>
      </w:pPr>
    </w:lvl>
    <w:lvl w:ilvl="5" w:tplc="98D49112">
      <w:start w:val="1"/>
      <w:numFmt w:val="lowerRoman"/>
      <w:lvlText w:val="%6."/>
      <w:lvlJc w:val="right"/>
      <w:pPr>
        <w:ind w:left="6021" w:hanging="180"/>
      </w:pPr>
    </w:lvl>
    <w:lvl w:ilvl="6" w:tplc="D5EC5C2E">
      <w:start w:val="1"/>
      <w:numFmt w:val="decimal"/>
      <w:lvlText w:val="%7."/>
      <w:lvlJc w:val="left"/>
      <w:pPr>
        <w:ind w:left="6741" w:hanging="360"/>
      </w:pPr>
    </w:lvl>
    <w:lvl w:ilvl="7" w:tplc="A74EEAE4">
      <w:start w:val="1"/>
      <w:numFmt w:val="lowerLetter"/>
      <w:lvlText w:val="%8."/>
      <w:lvlJc w:val="left"/>
      <w:pPr>
        <w:ind w:left="7461" w:hanging="360"/>
      </w:pPr>
    </w:lvl>
    <w:lvl w:ilvl="8" w:tplc="D116D7AE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3C315789"/>
    <w:multiLevelType w:val="hybridMultilevel"/>
    <w:tmpl w:val="CE22665E"/>
    <w:lvl w:ilvl="0" w:tplc="9F1680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A4EA1"/>
    <w:multiLevelType w:val="hybridMultilevel"/>
    <w:tmpl w:val="7910B88A"/>
    <w:lvl w:ilvl="0" w:tplc="950A47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622817"/>
    <w:multiLevelType w:val="hybridMultilevel"/>
    <w:tmpl w:val="5B8803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128A7"/>
    <w:multiLevelType w:val="hybridMultilevel"/>
    <w:tmpl w:val="64AEC88E"/>
    <w:lvl w:ilvl="0" w:tplc="9F1680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495E97"/>
    <w:rsid w:val="00006F60"/>
    <w:rsid w:val="00015FB8"/>
    <w:rsid w:val="00043CAA"/>
    <w:rsid w:val="00075432"/>
    <w:rsid w:val="000765C4"/>
    <w:rsid w:val="000968ED"/>
    <w:rsid w:val="000C117A"/>
    <w:rsid w:val="000D30F1"/>
    <w:rsid w:val="000F5E56"/>
    <w:rsid w:val="00117E63"/>
    <w:rsid w:val="001362EE"/>
    <w:rsid w:val="00156693"/>
    <w:rsid w:val="001647D5"/>
    <w:rsid w:val="00165792"/>
    <w:rsid w:val="001832A6"/>
    <w:rsid w:val="00184603"/>
    <w:rsid w:val="001F0FE5"/>
    <w:rsid w:val="001F76B0"/>
    <w:rsid w:val="00205915"/>
    <w:rsid w:val="0021217E"/>
    <w:rsid w:val="00217165"/>
    <w:rsid w:val="002614EC"/>
    <w:rsid w:val="002634C4"/>
    <w:rsid w:val="00272AB9"/>
    <w:rsid w:val="002928D3"/>
    <w:rsid w:val="002A1C08"/>
    <w:rsid w:val="002A633A"/>
    <w:rsid w:val="002B035E"/>
    <w:rsid w:val="002F1FE6"/>
    <w:rsid w:val="002F4E68"/>
    <w:rsid w:val="00312F7F"/>
    <w:rsid w:val="003253AB"/>
    <w:rsid w:val="00344A61"/>
    <w:rsid w:val="00350AE2"/>
    <w:rsid w:val="00361450"/>
    <w:rsid w:val="003673CF"/>
    <w:rsid w:val="00381C72"/>
    <w:rsid w:val="003845C1"/>
    <w:rsid w:val="003A6F89"/>
    <w:rsid w:val="003B38C1"/>
    <w:rsid w:val="003D57B0"/>
    <w:rsid w:val="003E08A1"/>
    <w:rsid w:val="00423E3E"/>
    <w:rsid w:val="00427AF4"/>
    <w:rsid w:val="004475C6"/>
    <w:rsid w:val="004647DA"/>
    <w:rsid w:val="00474062"/>
    <w:rsid w:val="00477D6B"/>
    <w:rsid w:val="00495E97"/>
    <w:rsid w:val="005019FF"/>
    <w:rsid w:val="0053057A"/>
    <w:rsid w:val="00531E07"/>
    <w:rsid w:val="00560A29"/>
    <w:rsid w:val="00565072"/>
    <w:rsid w:val="0057481D"/>
    <w:rsid w:val="005C6649"/>
    <w:rsid w:val="00605827"/>
    <w:rsid w:val="00623428"/>
    <w:rsid w:val="00646050"/>
    <w:rsid w:val="00654FEF"/>
    <w:rsid w:val="006713CA"/>
    <w:rsid w:val="00676C5C"/>
    <w:rsid w:val="006B4931"/>
    <w:rsid w:val="006E4F5F"/>
    <w:rsid w:val="006E6EC0"/>
    <w:rsid w:val="007457CC"/>
    <w:rsid w:val="007D1613"/>
    <w:rsid w:val="007D3B15"/>
    <w:rsid w:val="007E4C0E"/>
    <w:rsid w:val="00802899"/>
    <w:rsid w:val="008158A2"/>
    <w:rsid w:val="00827599"/>
    <w:rsid w:val="00846AD2"/>
    <w:rsid w:val="00860537"/>
    <w:rsid w:val="0087413A"/>
    <w:rsid w:val="00877718"/>
    <w:rsid w:val="00891BE5"/>
    <w:rsid w:val="008A134B"/>
    <w:rsid w:val="008B2CC1"/>
    <w:rsid w:val="008B60B2"/>
    <w:rsid w:val="0090731E"/>
    <w:rsid w:val="00916EE2"/>
    <w:rsid w:val="00953633"/>
    <w:rsid w:val="00966A22"/>
    <w:rsid w:val="0096722F"/>
    <w:rsid w:val="0097400F"/>
    <w:rsid w:val="00980843"/>
    <w:rsid w:val="009C127D"/>
    <w:rsid w:val="009E2791"/>
    <w:rsid w:val="009E3F6F"/>
    <w:rsid w:val="009F499F"/>
    <w:rsid w:val="00A37342"/>
    <w:rsid w:val="00A42DAF"/>
    <w:rsid w:val="00A44E84"/>
    <w:rsid w:val="00A45BD8"/>
    <w:rsid w:val="00A869B7"/>
    <w:rsid w:val="00AA2DD4"/>
    <w:rsid w:val="00AC205C"/>
    <w:rsid w:val="00AF0A6B"/>
    <w:rsid w:val="00B05A69"/>
    <w:rsid w:val="00B24FAC"/>
    <w:rsid w:val="00B56479"/>
    <w:rsid w:val="00B9734B"/>
    <w:rsid w:val="00BA30E2"/>
    <w:rsid w:val="00BC2391"/>
    <w:rsid w:val="00C11BFE"/>
    <w:rsid w:val="00C302A8"/>
    <w:rsid w:val="00C32F97"/>
    <w:rsid w:val="00C5068F"/>
    <w:rsid w:val="00C86D74"/>
    <w:rsid w:val="00CC48F2"/>
    <w:rsid w:val="00CD04F1"/>
    <w:rsid w:val="00CD7F59"/>
    <w:rsid w:val="00CF05CB"/>
    <w:rsid w:val="00D44A0B"/>
    <w:rsid w:val="00D45252"/>
    <w:rsid w:val="00D642C6"/>
    <w:rsid w:val="00D66E37"/>
    <w:rsid w:val="00D71B4D"/>
    <w:rsid w:val="00D73869"/>
    <w:rsid w:val="00D93D55"/>
    <w:rsid w:val="00DA6675"/>
    <w:rsid w:val="00DC0BA7"/>
    <w:rsid w:val="00DD5D20"/>
    <w:rsid w:val="00DF023A"/>
    <w:rsid w:val="00DF383E"/>
    <w:rsid w:val="00E15015"/>
    <w:rsid w:val="00E335FE"/>
    <w:rsid w:val="00E85557"/>
    <w:rsid w:val="00E907E8"/>
    <w:rsid w:val="00EA7D6E"/>
    <w:rsid w:val="00EC4E49"/>
    <w:rsid w:val="00EC6FA3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C08A829A-5951-47FA-93BC-7F757B62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F0FE5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3E08A1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3E08A1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3E08A1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3E08A1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F05CB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3E08A1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495E97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495E97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95E97"/>
    <w:rPr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15FB8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docsarchives/AB_VIII_1977/AB_VIII_2_E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758E2-920B-4617-A820-7A24090D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(S)</Template>
  <TotalTime>120</TotalTime>
  <Pages>4</Pages>
  <Words>1177</Words>
  <Characters>6046</Characters>
  <Application>Microsoft Office Word</Application>
  <DocSecurity>0</DocSecurity>
  <Lines>151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Quincuagésima octava serie de reuniones</dc:subject>
  <dc:creator>JC</dc:creator>
  <cp:keywords>PUBLIC</cp:keywords>
  <cp:lastModifiedBy>HÄFLIGER Patience</cp:lastModifiedBy>
  <cp:revision>34</cp:revision>
  <cp:lastPrinted>2011-02-15T11:56:00Z</cp:lastPrinted>
  <dcterms:created xsi:type="dcterms:W3CDTF">2019-09-06T12:17:00Z</dcterms:created>
  <dcterms:modified xsi:type="dcterms:W3CDTF">2019-09-10T16:01:00Z</dcterms:modified>
  <cp:category>Asambleas de los Estados miembros de la 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fa2f9141-e581-4840-a28e-e53faee4a26d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