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6FB" w:rsidRPr="00193D37" w:rsidRDefault="00BE66FB" w:rsidP="00BE66FB">
      <w:pPr>
        <w:widowControl w:val="0"/>
        <w:jc w:val="right"/>
        <w:rPr>
          <w:b/>
          <w:sz w:val="2"/>
          <w:szCs w:val="40"/>
        </w:rPr>
      </w:pPr>
      <w:bookmarkStart w:id="0" w:name="TitleOfDoc"/>
      <w:bookmarkStart w:id="1" w:name="_GoBack"/>
      <w:bookmarkEnd w:id="0"/>
      <w:bookmarkEnd w:id="1"/>
      <w:r w:rsidRPr="00193D37">
        <w:rPr>
          <w:b/>
          <w:sz w:val="40"/>
          <w:szCs w:val="40"/>
        </w:rPr>
        <w:t>S</w:t>
      </w:r>
    </w:p>
    <w:p w:rsidR="00BE66FB" w:rsidRPr="00193D37" w:rsidRDefault="00BE66FB" w:rsidP="00BE66FB">
      <w:pPr>
        <w:spacing w:line="360" w:lineRule="auto"/>
        <w:ind w:left="4592"/>
        <w:rPr>
          <w:rFonts w:ascii="Arial Black" w:hAnsi="Arial Black"/>
          <w:caps/>
          <w:sz w:val="15"/>
        </w:rPr>
      </w:pPr>
      <w:r w:rsidRPr="00193D37">
        <w:rPr>
          <w:noProof/>
          <w:lang w:val="en-US" w:eastAsia="en-US"/>
        </w:rPr>
        <w:drawing>
          <wp:inline distT="0" distB="0" distL="0" distR="0" wp14:anchorId="2DDE73DA" wp14:editId="4A0F4EBB">
            <wp:extent cx="1857375" cy="1323975"/>
            <wp:effectExtent l="0" t="0" r="9525" b="952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BE66FB" w:rsidRPr="00193D37" w:rsidRDefault="00BE66FB" w:rsidP="00BE66FB">
      <w:pPr>
        <w:pBdr>
          <w:top w:val="single" w:sz="4" w:space="10" w:color="auto"/>
        </w:pBdr>
        <w:spacing w:before="120"/>
        <w:jc w:val="right"/>
        <w:rPr>
          <w:rFonts w:ascii="Arial Black" w:hAnsi="Arial Black"/>
          <w:b/>
          <w:caps/>
          <w:sz w:val="15"/>
        </w:rPr>
      </w:pPr>
      <w:r w:rsidRPr="00193D37">
        <w:rPr>
          <w:rFonts w:ascii="Arial Black" w:hAnsi="Arial Black"/>
          <w:b/>
          <w:caps/>
          <w:sz w:val="15"/>
        </w:rPr>
        <w:t>A/5</w:t>
      </w:r>
      <w:r w:rsidR="00C81866">
        <w:rPr>
          <w:rFonts w:ascii="Arial Black" w:hAnsi="Arial Black"/>
          <w:b/>
          <w:caps/>
          <w:sz w:val="15"/>
        </w:rPr>
        <w:t>9</w:t>
      </w:r>
      <w:r w:rsidRPr="00193D37">
        <w:rPr>
          <w:rFonts w:ascii="Arial Black" w:hAnsi="Arial Black"/>
          <w:b/>
          <w:caps/>
          <w:sz w:val="15"/>
        </w:rPr>
        <w:t>/</w:t>
      </w:r>
      <w:bookmarkStart w:id="2" w:name="Code"/>
      <w:bookmarkEnd w:id="2"/>
      <w:r w:rsidR="00787993">
        <w:rPr>
          <w:rFonts w:ascii="Arial Black" w:hAnsi="Arial Black"/>
          <w:b/>
          <w:caps/>
          <w:sz w:val="15"/>
        </w:rPr>
        <w:t>1</w:t>
      </w:r>
      <w:r w:rsidR="00C81866">
        <w:rPr>
          <w:rFonts w:ascii="Arial Black" w:hAnsi="Arial Black"/>
          <w:b/>
          <w:caps/>
          <w:sz w:val="15"/>
        </w:rPr>
        <w:t>3</w:t>
      </w:r>
      <w:r w:rsidR="00963965">
        <w:rPr>
          <w:rFonts w:ascii="Arial Black" w:hAnsi="Arial Black"/>
          <w:b/>
          <w:caps/>
          <w:sz w:val="15"/>
        </w:rPr>
        <w:t xml:space="preserve"> Add.</w:t>
      </w:r>
      <w:r w:rsidR="00C81866">
        <w:rPr>
          <w:rFonts w:ascii="Arial Black" w:hAnsi="Arial Black"/>
          <w:b/>
          <w:caps/>
          <w:sz w:val="15"/>
        </w:rPr>
        <w:t>2</w:t>
      </w:r>
    </w:p>
    <w:p w:rsidR="00BE66FB" w:rsidRPr="00193D37" w:rsidRDefault="00BE66FB" w:rsidP="00BE66FB">
      <w:pPr>
        <w:jc w:val="right"/>
        <w:rPr>
          <w:rFonts w:ascii="Arial Black" w:hAnsi="Arial Black"/>
          <w:b/>
          <w:caps/>
          <w:sz w:val="15"/>
        </w:rPr>
      </w:pPr>
      <w:r w:rsidRPr="00193D37">
        <w:rPr>
          <w:rFonts w:ascii="Arial Black" w:hAnsi="Arial Black"/>
          <w:b/>
          <w:caps/>
          <w:sz w:val="15"/>
        </w:rPr>
        <w:t xml:space="preserve">ORIGINAL: </w:t>
      </w:r>
      <w:bookmarkStart w:id="3" w:name="Original"/>
      <w:bookmarkEnd w:id="3"/>
      <w:r w:rsidRPr="00193D37">
        <w:rPr>
          <w:rFonts w:ascii="Arial Black" w:hAnsi="Arial Black"/>
          <w:b/>
          <w:caps/>
          <w:sz w:val="15"/>
        </w:rPr>
        <w:t>INGLÉS</w:t>
      </w:r>
    </w:p>
    <w:p w:rsidR="00BE66FB" w:rsidRPr="00193D37" w:rsidRDefault="00BE66FB" w:rsidP="00BE66FB">
      <w:pPr>
        <w:spacing w:line="1680" w:lineRule="auto"/>
        <w:jc w:val="right"/>
        <w:rPr>
          <w:rFonts w:ascii="Arial Black" w:hAnsi="Arial Black"/>
          <w:b/>
          <w:caps/>
          <w:sz w:val="15"/>
        </w:rPr>
      </w:pPr>
      <w:r w:rsidRPr="00193D37">
        <w:rPr>
          <w:rFonts w:ascii="Arial Black" w:hAnsi="Arial Black"/>
          <w:b/>
          <w:caps/>
          <w:sz w:val="15"/>
        </w:rPr>
        <w:t xml:space="preserve">Fecha: </w:t>
      </w:r>
      <w:bookmarkStart w:id="4" w:name="Date"/>
      <w:bookmarkEnd w:id="4"/>
      <w:r w:rsidR="00C81866">
        <w:rPr>
          <w:rFonts w:ascii="Arial Black" w:hAnsi="Arial Black"/>
          <w:b/>
          <w:caps/>
          <w:sz w:val="15"/>
        </w:rPr>
        <w:t>9</w:t>
      </w:r>
      <w:r w:rsidRPr="00193D37">
        <w:rPr>
          <w:rFonts w:ascii="Arial Black" w:hAnsi="Arial Black"/>
          <w:b/>
          <w:caps/>
          <w:sz w:val="15"/>
        </w:rPr>
        <w:t xml:space="preserve"> DE </w:t>
      </w:r>
      <w:r>
        <w:rPr>
          <w:rFonts w:ascii="Arial Black" w:hAnsi="Arial Black"/>
          <w:b/>
          <w:caps/>
          <w:sz w:val="15"/>
        </w:rPr>
        <w:t>octu</w:t>
      </w:r>
      <w:r w:rsidRPr="00193D37">
        <w:rPr>
          <w:rFonts w:ascii="Arial Black" w:hAnsi="Arial Black"/>
          <w:b/>
          <w:caps/>
          <w:sz w:val="15"/>
        </w:rPr>
        <w:t>bre DE 201</w:t>
      </w:r>
      <w:r w:rsidR="00C81866">
        <w:rPr>
          <w:rFonts w:ascii="Arial Black" w:hAnsi="Arial Black"/>
          <w:b/>
          <w:caps/>
          <w:sz w:val="15"/>
        </w:rPr>
        <w:t>9</w:t>
      </w:r>
    </w:p>
    <w:p w:rsidR="00BE66FB" w:rsidRPr="00BE66FB" w:rsidRDefault="00BE66FB" w:rsidP="00BE66FB">
      <w:pPr>
        <w:pStyle w:val="Heading1"/>
        <w:spacing w:before="0" w:after="600"/>
        <w:rPr>
          <w:caps w:val="0"/>
          <w:sz w:val="28"/>
        </w:rPr>
      </w:pPr>
      <w:r w:rsidRPr="00BE66FB">
        <w:rPr>
          <w:caps w:val="0"/>
          <w:sz w:val="28"/>
        </w:rPr>
        <w:t>Asambleas de los Estados miembros de la OMPI</w:t>
      </w:r>
    </w:p>
    <w:p w:rsidR="00BE66FB" w:rsidRPr="00193D37" w:rsidRDefault="00BE66FB" w:rsidP="00BE66FB">
      <w:pPr>
        <w:spacing w:after="720"/>
        <w:rPr>
          <w:b/>
          <w:sz w:val="24"/>
        </w:rPr>
      </w:pPr>
      <w:r w:rsidRPr="00193D37">
        <w:rPr>
          <w:b/>
          <w:sz w:val="24"/>
        </w:rPr>
        <w:t xml:space="preserve">Quincuagésima </w:t>
      </w:r>
      <w:r w:rsidR="00C81866">
        <w:rPr>
          <w:b/>
          <w:sz w:val="24"/>
        </w:rPr>
        <w:t>noven</w:t>
      </w:r>
      <w:r w:rsidR="00C81866" w:rsidRPr="00193D37">
        <w:rPr>
          <w:b/>
          <w:sz w:val="24"/>
        </w:rPr>
        <w:t xml:space="preserve">a </w:t>
      </w:r>
      <w:r w:rsidRPr="00193D37">
        <w:rPr>
          <w:b/>
          <w:sz w:val="24"/>
        </w:rPr>
        <w:t>serie de reuniones</w:t>
      </w:r>
      <w:r w:rsidRPr="00193D37">
        <w:rPr>
          <w:b/>
          <w:sz w:val="24"/>
        </w:rPr>
        <w:br/>
        <w:t xml:space="preserve">Ginebra, </w:t>
      </w:r>
      <w:r w:rsidR="00C81866">
        <w:rPr>
          <w:b/>
          <w:sz w:val="24"/>
        </w:rPr>
        <w:t>30</w:t>
      </w:r>
      <w:r w:rsidRPr="00193D37">
        <w:rPr>
          <w:b/>
          <w:sz w:val="24"/>
        </w:rPr>
        <w:t xml:space="preserve"> de septiembre a </w:t>
      </w:r>
      <w:r w:rsidR="00C81866">
        <w:rPr>
          <w:b/>
          <w:sz w:val="24"/>
        </w:rPr>
        <w:t>9</w:t>
      </w:r>
      <w:r w:rsidRPr="00193D37">
        <w:rPr>
          <w:b/>
          <w:sz w:val="24"/>
        </w:rPr>
        <w:t xml:space="preserve"> de octubre de 201</w:t>
      </w:r>
      <w:r w:rsidR="00C81866">
        <w:rPr>
          <w:b/>
          <w:sz w:val="24"/>
        </w:rPr>
        <w:t>9</w:t>
      </w:r>
    </w:p>
    <w:p w:rsidR="00BE66FB" w:rsidRPr="00193D37" w:rsidRDefault="00516155" w:rsidP="00BE66FB">
      <w:pPr>
        <w:spacing w:after="360"/>
        <w:rPr>
          <w:caps/>
          <w:sz w:val="24"/>
        </w:rPr>
      </w:pPr>
      <w:r>
        <w:rPr>
          <w:caps/>
          <w:sz w:val="24"/>
        </w:rPr>
        <w:t>informe resumido</w:t>
      </w:r>
    </w:p>
    <w:p w:rsidR="00BE66FB" w:rsidRPr="00193D37" w:rsidRDefault="00963965" w:rsidP="00BE66FB">
      <w:pPr>
        <w:spacing w:after="960"/>
        <w:rPr>
          <w:i/>
        </w:rPr>
      </w:pPr>
      <w:bookmarkStart w:id="5" w:name="Prepared"/>
      <w:bookmarkEnd w:id="5"/>
      <w:r>
        <w:rPr>
          <w:i/>
        </w:rPr>
        <w:t>Adición</w:t>
      </w:r>
    </w:p>
    <w:p w:rsidR="008F7698" w:rsidRPr="003E70C9" w:rsidRDefault="008F7698" w:rsidP="008F7698">
      <w:pPr>
        <w:keepNext/>
        <w:keepLines/>
      </w:pPr>
      <w:r w:rsidRPr="003E70C9">
        <w:t xml:space="preserve">PUNTO </w:t>
      </w:r>
      <w:r>
        <w:t>9</w:t>
      </w:r>
      <w:r w:rsidRPr="003E70C9">
        <w:t xml:space="preserve"> DEL ORDEN DEL DÍA CONSOLIDADO</w:t>
      </w:r>
      <w:r>
        <w:br/>
      </w:r>
      <w:r>
        <w:br/>
        <w:t>COMPOSICIÓN DEL COMITÉ DE COORDINACIÓN DE LA OMPI Y DE LOS COMITÉS EJECUTIVOS DE LAS UNIONES DE PARÍS Y DE BERNA</w:t>
      </w:r>
    </w:p>
    <w:p w:rsidR="008F7698" w:rsidRPr="003E70C9" w:rsidRDefault="008F7698" w:rsidP="008F7698">
      <w:pPr>
        <w:keepNext/>
        <w:keepLines/>
      </w:pPr>
    </w:p>
    <w:p w:rsidR="0093429E" w:rsidRDefault="00926254" w:rsidP="00926254">
      <w:pPr>
        <w:pStyle w:val="ONUMFS"/>
        <w:numPr>
          <w:ilvl w:val="0"/>
          <w:numId w:val="0"/>
        </w:numPr>
      </w:pPr>
      <w:r>
        <w:fldChar w:fldCharType="begin"/>
      </w:r>
      <w:r>
        <w:instrText xml:space="preserve"> AUTONUM  </w:instrText>
      </w:r>
      <w:r>
        <w:fldChar w:fldCharType="end"/>
      </w:r>
      <w:r>
        <w:tab/>
        <w:t>Los debates se basaron en los documentos A/59/5 y A/59/12.</w:t>
      </w:r>
    </w:p>
    <w:p w:rsidR="00926254" w:rsidRDefault="00926254" w:rsidP="00926254">
      <w:pPr>
        <w:pStyle w:val="ONUMFS"/>
        <w:numPr>
          <w:ilvl w:val="0"/>
          <w:numId w:val="0"/>
        </w:numPr>
      </w:pPr>
      <w:r>
        <w:fldChar w:fldCharType="begin"/>
      </w:r>
      <w:r>
        <w:instrText xml:space="preserve"> AUTONUM  </w:instrText>
      </w:r>
      <w:r>
        <w:fldChar w:fldCharType="end"/>
      </w:r>
      <w:r>
        <w:tab/>
        <w:t>Tras las consultas oficiosas mantenidas por los Estados miembros:</w:t>
      </w:r>
    </w:p>
    <w:p w:rsidR="00926254" w:rsidRDefault="00926254" w:rsidP="00926254">
      <w:pPr>
        <w:pStyle w:val="ONUMFS"/>
        <w:numPr>
          <w:ilvl w:val="0"/>
          <w:numId w:val="43"/>
        </w:numPr>
        <w:tabs>
          <w:tab w:val="left" w:pos="1134"/>
        </w:tabs>
        <w:spacing w:after="0"/>
        <w:ind w:left="567" w:firstLine="0"/>
        <w:rPr>
          <w:szCs w:val="22"/>
        </w:rPr>
      </w:pPr>
      <w:r>
        <w:t xml:space="preserve">La Asamblea de la Unión de París elige por unanimidad a los siguientes Estados miembros </w:t>
      </w:r>
      <w:r w:rsidRPr="00926254">
        <w:rPr>
          <w:i/>
        </w:rPr>
        <w:t>ordinarios</w:t>
      </w:r>
      <w:r>
        <w:t xml:space="preserve"> del </w:t>
      </w:r>
      <w:r w:rsidRPr="00926254">
        <w:rPr>
          <w:i/>
        </w:rPr>
        <w:t>Comité Ejecutivo de la Unión de París</w:t>
      </w:r>
      <w:r>
        <w:t>: Angola, Argentina (2019</w:t>
      </w:r>
      <w:r>
        <w:noBreakHyphen/>
        <w:t>2020), Bangladesh, Belarús (miembro por rotación)</w:t>
      </w:r>
      <w:r>
        <w:rPr>
          <w:rStyle w:val="FootnoteReference"/>
        </w:rPr>
        <w:footnoteReference w:id="2"/>
      </w:r>
      <w:r>
        <w:t xml:space="preserve">, Bolivia (Estado Plurinacional de), Brasil, Burkina Faso, Camerún, Chile, Colombia, Costa Rica, </w:t>
      </w:r>
      <w:r w:rsidRPr="003C54A9">
        <w:rPr>
          <w:szCs w:val="22"/>
        </w:rPr>
        <w:t>Côte d’Ivoire</w:t>
      </w:r>
      <w:r>
        <w:rPr>
          <w:szCs w:val="22"/>
        </w:rPr>
        <w:t>, Cuba, Emiratos Árabes Unidos, Estados Unidos de América, Federación de Rusia, Finlandia, Gabón, Ghana, Hungría, India, Indonesia, Irán (República Islámica del), Iraq, Irlanda, Islandia, Italia, Japón, Kenya, Kirguistán (miembro por rotación)</w:t>
      </w:r>
      <w:r w:rsidR="005077CF">
        <w:rPr>
          <w:rStyle w:val="FootnoteReference"/>
          <w:szCs w:val="22"/>
        </w:rPr>
        <w:footnoteReference w:id="3"/>
      </w:r>
      <w:r>
        <w:rPr>
          <w:szCs w:val="22"/>
        </w:rPr>
        <w:t xml:space="preserve">, Letonia, Marruecos, Omán, República de Moldova, República Popular Democrática de Corea, Rumania, </w:t>
      </w:r>
      <w:r>
        <w:rPr>
          <w:szCs w:val="22"/>
        </w:rPr>
        <w:lastRenderedPageBreak/>
        <w:t>Suecia, Tayikistán (miembro por rotación)</w:t>
      </w:r>
      <w:r w:rsidR="005077CF">
        <w:rPr>
          <w:rStyle w:val="FootnoteReference"/>
          <w:szCs w:val="22"/>
        </w:rPr>
        <w:footnoteReference w:id="4"/>
      </w:r>
      <w:r>
        <w:rPr>
          <w:szCs w:val="22"/>
        </w:rPr>
        <w:t>, Túnez, Uganda, Venezuela (República  Bolivariana de) (2020-2021), Viet Nam, Zimbabwe (41)</w:t>
      </w:r>
      <w:r w:rsidR="005077CF">
        <w:rPr>
          <w:szCs w:val="22"/>
        </w:rPr>
        <w:t>;</w:t>
      </w:r>
    </w:p>
    <w:p w:rsidR="005077CF" w:rsidRDefault="005077CF" w:rsidP="005077CF">
      <w:pPr>
        <w:pStyle w:val="ONUMFS"/>
        <w:numPr>
          <w:ilvl w:val="0"/>
          <w:numId w:val="0"/>
        </w:numPr>
        <w:tabs>
          <w:tab w:val="left" w:pos="1134"/>
        </w:tabs>
        <w:spacing w:after="0"/>
        <w:ind w:left="567"/>
        <w:rPr>
          <w:szCs w:val="22"/>
        </w:rPr>
      </w:pPr>
    </w:p>
    <w:p w:rsidR="005077CF" w:rsidRDefault="005077CF" w:rsidP="005077CF">
      <w:pPr>
        <w:pStyle w:val="ONUMFS"/>
        <w:numPr>
          <w:ilvl w:val="0"/>
          <w:numId w:val="43"/>
        </w:numPr>
        <w:tabs>
          <w:tab w:val="left" w:pos="1134"/>
        </w:tabs>
        <w:spacing w:after="0"/>
        <w:ind w:left="567" w:firstLine="0"/>
        <w:rPr>
          <w:szCs w:val="22"/>
        </w:rPr>
      </w:pPr>
      <w:r>
        <w:t xml:space="preserve">La </w:t>
      </w:r>
      <w:r w:rsidRPr="005077CF">
        <w:rPr>
          <w:szCs w:val="22"/>
        </w:rPr>
        <w:t>Asamblea</w:t>
      </w:r>
      <w:r>
        <w:t xml:space="preserve"> de la Unión de Berna elige por unanimidad a los siguientes Estados miembros </w:t>
      </w:r>
      <w:r w:rsidRPr="005077CF">
        <w:rPr>
          <w:i/>
        </w:rPr>
        <w:t>ordinarios</w:t>
      </w:r>
      <w:r>
        <w:t xml:space="preserve"> del </w:t>
      </w:r>
      <w:r w:rsidRPr="005077CF">
        <w:rPr>
          <w:i/>
        </w:rPr>
        <w:t>Comité Ejecutivo de la Unión de Berna</w:t>
      </w:r>
      <w:r>
        <w:t xml:space="preserve">: </w:t>
      </w:r>
      <w:r w:rsidRPr="005077CF">
        <w:rPr>
          <w:szCs w:val="22"/>
        </w:rPr>
        <w:t>Alemania, Argelia,</w:t>
      </w:r>
      <w:r>
        <w:rPr>
          <w:szCs w:val="22"/>
        </w:rPr>
        <w:t xml:space="preserve"> Armenia (miembro por rotación)</w:t>
      </w:r>
      <w:r>
        <w:rPr>
          <w:rStyle w:val="FootnoteReference"/>
          <w:szCs w:val="22"/>
        </w:rPr>
        <w:footnoteReference w:id="5"/>
      </w:r>
      <w:r>
        <w:rPr>
          <w:szCs w:val="22"/>
        </w:rPr>
        <w:t>, Australia, Austria, Azerbaiyán (miembro por rotación)</w:t>
      </w:r>
      <w:r>
        <w:rPr>
          <w:rStyle w:val="FootnoteReference"/>
          <w:szCs w:val="22"/>
        </w:rPr>
        <w:footnoteReference w:id="6"/>
      </w:r>
      <w:r>
        <w:rPr>
          <w:szCs w:val="22"/>
        </w:rPr>
        <w:t xml:space="preserve">, Bélgica, Canadá, China, Dinamarca, Djibouti, Ecuador, Egipto, El Salvador, España, Filipinas, Francia, Georgia, Guatemala, Jamaica, Kazajstán, Luxemburgo, Malasia, México (2019-2020), Mongolia, Namibia, Nigeria, Noruega, Nueva Zelandia, Países Bajos, Panamá (2020-2021), Paraguay, Perú, </w:t>
      </w:r>
      <w:r w:rsidR="0074617C">
        <w:rPr>
          <w:szCs w:val="22"/>
        </w:rPr>
        <w:t xml:space="preserve">Polonia, </w:t>
      </w:r>
      <w:r>
        <w:rPr>
          <w:szCs w:val="22"/>
        </w:rPr>
        <w:t>Portugal, Reino Unido República de Corea, Senegal, Singapur, Sudáfrica, Tailandia, Trinidad y Tabago, Turquía (4</w:t>
      </w:r>
      <w:r w:rsidR="0074617C">
        <w:rPr>
          <w:szCs w:val="22"/>
        </w:rPr>
        <w:t>0</w:t>
      </w:r>
      <w:r>
        <w:rPr>
          <w:szCs w:val="22"/>
        </w:rPr>
        <w:t>);</w:t>
      </w:r>
    </w:p>
    <w:p w:rsidR="005077CF" w:rsidRDefault="005077CF" w:rsidP="005077CF">
      <w:pPr>
        <w:pStyle w:val="ListParagraph"/>
        <w:rPr>
          <w:szCs w:val="22"/>
        </w:rPr>
      </w:pPr>
    </w:p>
    <w:p w:rsidR="005077CF" w:rsidRDefault="0074617C" w:rsidP="005077CF">
      <w:pPr>
        <w:pStyle w:val="ONUMFS"/>
        <w:numPr>
          <w:ilvl w:val="0"/>
          <w:numId w:val="43"/>
        </w:numPr>
        <w:tabs>
          <w:tab w:val="left" w:pos="1134"/>
        </w:tabs>
        <w:spacing w:after="0"/>
        <w:ind w:left="567" w:firstLine="0"/>
        <w:rPr>
          <w:szCs w:val="22"/>
        </w:rPr>
      </w:pPr>
      <w:r>
        <w:rPr>
          <w:szCs w:val="22"/>
        </w:rPr>
        <w:t xml:space="preserve">La Conferencia de la OMPI designa por unanimidad al siguiente Estado como miembro </w:t>
      </w:r>
      <w:r>
        <w:rPr>
          <w:i/>
          <w:szCs w:val="22"/>
        </w:rPr>
        <w:t>ad hoc</w:t>
      </w:r>
      <w:r>
        <w:rPr>
          <w:szCs w:val="22"/>
        </w:rPr>
        <w:t xml:space="preserve"> del Comité de Coordinación de la OMPI: Etiopía (1);</w:t>
      </w:r>
    </w:p>
    <w:p w:rsidR="0074617C" w:rsidRDefault="0074617C" w:rsidP="0074617C">
      <w:pPr>
        <w:pStyle w:val="ListParagraph"/>
        <w:rPr>
          <w:szCs w:val="22"/>
        </w:rPr>
      </w:pPr>
    </w:p>
    <w:p w:rsidR="0074617C" w:rsidRDefault="0074617C" w:rsidP="005077CF">
      <w:pPr>
        <w:pStyle w:val="ONUMFS"/>
        <w:numPr>
          <w:ilvl w:val="0"/>
          <w:numId w:val="43"/>
        </w:numPr>
        <w:tabs>
          <w:tab w:val="left" w:pos="1134"/>
        </w:tabs>
        <w:spacing w:after="0"/>
        <w:ind w:left="567" w:firstLine="0"/>
        <w:rPr>
          <w:szCs w:val="22"/>
        </w:rPr>
      </w:pPr>
      <w:r>
        <w:rPr>
          <w:szCs w:val="22"/>
        </w:rPr>
        <w:t xml:space="preserve">La Conferencia de la OMPI y las Asambleas de las Uniones de París y Berna observan que Suiza seguirá siendo miembro ordinario </w:t>
      </w:r>
      <w:r w:rsidRPr="0074617C">
        <w:rPr>
          <w:i/>
          <w:szCs w:val="22"/>
        </w:rPr>
        <w:t>ex officio</w:t>
      </w:r>
      <w:r>
        <w:rPr>
          <w:szCs w:val="22"/>
        </w:rPr>
        <w:t xml:space="preserve"> del </w:t>
      </w:r>
      <w:r>
        <w:rPr>
          <w:i/>
          <w:szCs w:val="22"/>
        </w:rPr>
        <w:t>Comité Ejecutivo de la Unión de París</w:t>
      </w:r>
      <w:r>
        <w:rPr>
          <w:szCs w:val="22"/>
        </w:rPr>
        <w:t xml:space="preserve"> y del </w:t>
      </w:r>
      <w:r>
        <w:rPr>
          <w:i/>
          <w:szCs w:val="22"/>
        </w:rPr>
        <w:t>Comité Ejecutivo de la Unión de Berna</w:t>
      </w:r>
      <w:r>
        <w:rPr>
          <w:szCs w:val="22"/>
        </w:rPr>
        <w:t>.</w:t>
      </w:r>
    </w:p>
    <w:p w:rsidR="0074617C" w:rsidRDefault="0074617C" w:rsidP="0074617C">
      <w:pPr>
        <w:pStyle w:val="ListParagraph"/>
        <w:rPr>
          <w:szCs w:val="22"/>
        </w:rPr>
      </w:pPr>
    </w:p>
    <w:p w:rsidR="0074617C" w:rsidRDefault="0074617C" w:rsidP="0074617C">
      <w:pPr>
        <w:pStyle w:val="ONUMFS"/>
        <w:numPr>
          <w:ilvl w:val="0"/>
          <w:numId w:val="0"/>
        </w:numPr>
        <w:tabs>
          <w:tab w:val="left" w:pos="567"/>
        </w:tabs>
        <w:spacing w:after="0"/>
        <w:rPr>
          <w:szCs w:val="22"/>
        </w:rPr>
      </w:pPr>
      <w:r>
        <w:rPr>
          <w:szCs w:val="22"/>
        </w:rPr>
        <w:t>Por consiguiente, el Comité de Coordinación estará compuesto por los siguientes Estados en el período comprendido entre octubre de 2019 y octubre de 2021: Alemania, Angola, Argelia, Argentina (2019-2020), Armenia (miembro por rotación)</w:t>
      </w:r>
      <w:r w:rsidR="00291274" w:rsidRPr="00291274">
        <w:rPr>
          <w:szCs w:val="22"/>
          <w:vertAlign w:val="superscript"/>
        </w:rPr>
        <w:t>4</w:t>
      </w:r>
      <w:r>
        <w:rPr>
          <w:szCs w:val="22"/>
        </w:rPr>
        <w:t>, Australia, Austria, Azerbaiyán (miembro por rotación)</w:t>
      </w:r>
      <w:r w:rsidR="00291274" w:rsidRPr="00291274">
        <w:rPr>
          <w:szCs w:val="22"/>
          <w:vertAlign w:val="superscript"/>
        </w:rPr>
        <w:t>5</w:t>
      </w:r>
      <w:r>
        <w:rPr>
          <w:szCs w:val="22"/>
        </w:rPr>
        <w:t>, Bangladesh, Belarús (miembro por rotación)</w:t>
      </w:r>
      <w:r w:rsidR="00291274" w:rsidRPr="00291274">
        <w:rPr>
          <w:szCs w:val="22"/>
          <w:vertAlign w:val="superscript"/>
        </w:rPr>
        <w:t>1</w:t>
      </w:r>
      <w:r>
        <w:rPr>
          <w:szCs w:val="22"/>
        </w:rPr>
        <w:t>, Bélgica, Bolivia (Estado Plurinacional de), Brasil, Burkina Faso, Camerún, Canadá, Chile, China, Colombia, Costa Rica, Côte d’Ivoire, Cuba, Dinamarca, Djibouti, Ecuador, Egipto, El Salvador, Emiratos Árabes Unidos, España, Estados Unidos de América, Etiopía (</w:t>
      </w:r>
      <w:r w:rsidRPr="0074617C">
        <w:rPr>
          <w:i/>
          <w:szCs w:val="22"/>
        </w:rPr>
        <w:t>ad hoc</w:t>
      </w:r>
      <w:r>
        <w:rPr>
          <w:szCs w:val="22"/>
        </w:rPr>
        <w:t>), Federación de Rusia, Filipinas, Finlandia, Francia, Gabón, Georgia, Ghana, Guatemala, Hungría, India, Indonesia, Irán (República Islámica del), Iraq, Irlanda, Islandia, Italia, Jamaica, Japón, Kazajstán, Kenya, Kirguistán (miembro por rotación)</w:t>
      </w:r>
      <w:r w:rsidR="00291274" w:rsidRPr="00291274">
        <w:rPr>
          <w:szCs w:val="22"/>
          <w:vertAlign w:val="superscript"/>
        </w:rPr>
        <w:t>2</w:t>
      </w:r>
      <w:r>
        <w:rPr>
          <w:szCs w:val="22"/>
        </w:rPr>
        <w:t>, Letonia, Luxemburgo, Malasia, Marruecos, México (2019</w:t>
      </w:r>
      <w:r>
        <w:rPr>
          <w:szCs w:val="22"/>
        </w:rPr>
        <w:noBreakHyphen/>
        <w:t>2020), Mongolia, Namibia, Nigeria, Noruega, Nueva Zelandia, Omán, Países Bajos, Panamá (2020-2021), Paraguay, Perú, Polonia, Portugal, Reino Unido, República de Corea, República de Moldova, República Popular Democrática de Corea, Rumania, Senegal, Singapur, Sudáfrica, Suecia, Suiza (</w:t>
      </w:r>
      <w:r>
        <w:rPr>
          <w:i/>
          <w:szCs w:val="22"/>
        </w:rPr>
        <w:t>ex officio</w:t>
      </w:r>
      <w:r>
        <w:rPr>
          <w:szCs w:val="22"/>
        </w:rPr>
        <w:t>), Tailandia, Tayikistán (miembro por rotación)</w:t>
      </w:r>
      <w:r w:rsidR="00291274" w:rsidRPr="00291274">
        <w:rPr>
          <w:szCs w:val="22"/>
          <w:vertAlign w:val="superscript"/>
        </w:rPr>
        <w:t>3</w:t>
      </w:r>
      <w:r>
        <w:rPr>
          <w:szCs w:val="22"/>
        </w:rPr>
        <w:t>, Trinidad y Tabago, Túnez, Turquía, Uganda, Venezuela (República Bolivariana de) (2020</w:t>
      </w:r>
      <w:r>
        <w:rPr>
          <w:szCs w:val="22"/>
        </w:rPr>
        <w:noBreakHyphen/>
        <w:t>2021), Viet Nam, Zimbabwe (83).</w:t>
      </w:r>
    </w:p>
    <w:p w:rsidR="0074617C" w:rsidRDefault="0074617C" w:rsidP="0074617C">
      <w:pPr>
        <w:pStyle w:val="ONUMFS"/>
        <w:numPr>
          <w:ilvl w:val="0"/>
          <w:numId w:val="0"/>
        </w:numPr>
        <w:tabs>
          <w:tab w:val="left" w:pos="567"/>
        </w:tabs>
        <w:spacing w:after="0"/>
        <w:rPr>
          <w:szCs w:val="22"/>
        </w:rPr>
      </w:pPr>
    </w:p>
    <w:p w:rsidR="0074617C" w:rsidRDefault="0074617C" w:rsidP="0013304C">
      <w:pPr>
        <w:pStyle w:val="ONUMFS"/>
        <w:numPr>
          <w:ilvl w:val="0"/>
          <w:numId w:val="0"/>
        </w:numPr>
        <w:tabs>
          <w:tab w:val="left" w:pos="1134"/>
        </w:tabs>
        <w:spacing w:after="0"/>
        <w:ind w:left="567"/>
        <w:rPr>
          <w:szCs w:val="22"/>
        </w:rPr>
      </w:pPr>
      <w:r>
        <w:rPr>
          <w:szCs w:val="22"/>
        </w:rPr>
        <w:fldChar w:fldCharType="begin"/>
      </w:r>
      <w:r>
        <w:rPr>
          <w:szCs w:val="22"/>
        </w:rPr>
        <w:instrText xml:space="preserve"> AUTONUM  </w:instrText>
      </w:r>
      <w:r>
        <w:rPr>
          <w:szCs w:val="22"/>
        </w:rPr>
        <w:fldChar w:fldCharType="end"/>
      </w:r>
      <w:r>
        <w:rPr>
          <w:szCs w:val="22"/>
        </w:rPr>
        <w:tab/>
      </w:r>
      <w:r w:rsidR="00291274">
        <w:rPr>
          <w:szCs w:val="22"/>
        </w:rPr>
        <w:t>Las Asambleas de las Uniones de París y Berna, y la Conferencia de la OMPI, cada una en lo que le concierne, deciden, tras acuerdo unánime de todos los Estados miembros de la OMPI, que el Comité de Coordinación,</w:t>
      </w:r>
      <w:r w:rsidR="0013304C">
        <w:rPr>
          <w:szCs w:val="22"/>
        </w:rPr>
        <w:t xml:space="preserve"> compuesto excepcionalmente por </w:t>
      </w:r>
      <w:r w:rsidR="00291274">
        <w:rPr>
          <w:szCs w:val="22"/>
        </w:rPr>
        <w:t>83 miembros, ha sido debidamente constituido, en particular, a los fines de ejercer sus funciones con respecto al proceso de nombramiento del próximo director general, y no podrá ser objeto de impugnación por ningún Estado miembro de órgano pertinente alguno de la OMPI, la validez del nombramiento por el Comité de Coordinación de un candidato para su nombramiento al cargo de director general en 2020.</w:t>
      </w:r>
    </w:p>
    <w:p w:rsidR="0013304C" w:rsidRDefault="0013304C" w:rsidP="0013304C">
      <w:pPr>
        <w:pStyle w:val="ONUMFS"/>
        <w:numPr>
          <w:ilvl w:val="0"/>
          <w:numId w:val="0"/>
        </w:numPr>
        <w:tabs>
          <w:tab w:val="left" w:pos="1134"/>
        </w:tabs>
        <w:spacing w:after="0"/>
        <w:ind w:left="567"/>
        <w:rPr>
          <w:szCs w:val="22"/>
        </w:rPr>
      </w:pPr>
    </w:p>
    <w:p w:rsidR="0013304C" w:rsidRPr="0074617C" w:rsidRDefault="0013304C" w:rsidP="0013304C">
      <w:pPr>
        <w:pStyle w:val="ONUMFS"/>
        <w:keepNext/>
        <w:keepLines/>
        <w:numPr>
          <w:ilvl w:val="0"/>
          <w:numId w:val="0"/>
        </w:numPr>
        <w:tabs>
          <w:tab w:val="left" w:pos="1134"/>
        </w:tabs>
        <w:spacing w:after="0"/>
        <w:ind w:left="567"/>
        <w:rPr>
          <w:szCs w:val="22"/>
        </w:rPr>
      </w:pPr>
      <w:r>
        <w:rPr>
          <w:szCs w:val="22"/>
        </w:rPr>
        <w:lastRenderedPageBreak/>
        <w:fldChar w:fldCharType="begin"/>
      </w:r>
      <w:r>
        <w:rPr>
          <w:szCs w:val="22"/>
        </w:rPr>
        <w:instrText xml:space="preserve"> AUTONUM  </w:instrText>
      </w:r>
      <w:r>
        <w:rPr>
          <w:szCs w:val="22"/>
        </w:rPr>
        <w:fldChar w:fldCharType="end"/>
      </w:r>
      <w:r>
        <w:rPr>
          <w:szCs w:val="22"/>
        </w:rPr>
        <w:tab/>
        <w:t>Las Asambleas de la OMPI, cada una en lo que le concierne, deciden que, en las Asambleas de la OMPI en 2021, el presidente de la Asamblea General de la OMPI celebrará consultas con los Estados miembros sobre la asignación de las plazas vacantes para elegir la composición del Comité de Coordinación de la OMPI y de los Comités Ejecutivos de las Uniones de París y Berna, en las mismas Asambleas de la OMPI.</w:t>
      </w:r>
    </w:p>
    <w:p w:rsidR="000C6DA4" w:rsidRPr="003E70C9" w:rsidRDefault="000C6DA4" w:rsidP="008A25D3"/>
    <w:p w:rsidR="000C6DA4" w:rsidRPr="003E70C9" w:rsidRDefault="000C6DA4" w:rsidP="008A25D3"/>
    <w:p w:rsidR="009C3079" w:rsidRDefault="00FD634F" w:rsidP="003E70C9">
      <w:pPr>
        <w:pStyle w:val="Endofdocument-Annex"/>
        <w:rPr>
          <w:lang w:val="es-ES"/>
        </w:rPr>
      </w:pPr>
      <w:r w:rsidRPr="003E70C9">
        <w:rPr>
          <w:lang w:val="es-ES"/>
        </w:rPr>
        <w:t>[</w:t>
      </w:r>
      <w:r w:rsidR="008D38D7">
        <w:rPr>
          <w:lang w:val="es-ES"/>
        </w:rPr>
        <w:t>Fin del documento</w:t>
      </w:r>
      <w:r w:rsidRPr="003E70C9">
        <w:rPr>
          <w:lang w:val="es-ES"/>
        </w:rPr>
        <w:t>]</w:t>
      </w:r>
    </w:p>
    <w:p w:rsidR="008D38D7" w:rsidRPr="003E70C9" w:rsidRDefault="008D38D7" w:rsidP="008D38D7"/>
    <w:sectPr w:rsidR="008D38D7" w:rsidRPr="003E70C9" w:rsidSect="00F15F05">
      <w:headerReference w:type="even" r:id="rId9"/>
      <w:headerReference w:type="default" r:id="rId10"/>
      <w:footerReference w:type="even"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16C" w:rsidRDefault="0024016C">
      <w:r>
        <w:separator/>
      </w:r>
    </w:p>
  </w:endnote>
  <w:endnote w:type="continuationSeparator" w:id="0">
    <w:p w:rsidR="0024016C" w:rsidRPr="009D30E6" w:rsidRDefault="0024016C" w:rsidP="007E663E">
      <w:pPr>
        <w:rPr>
          <w:sz w:val="17"/>
          <w:szCs w:val="17"/>
        </w:rPr>
      </w:pPr>
      <w:r w:rsidRPr="009D30E6">
        <w:rPr>
          <w:sz w:val="17"/>
          <w:szCs w:val="17"/>
        </w:rPr>
        <w:separator/>
      </w:r>
    </w:p>
    <w:p w:rsidR="0024016C" w:rsidRPr="007E663E" w:rsidRDefault="0024016C" w:rsidP="007E663E">
      <w:pPr>
        <w:spacing w:after="60"/>
        <w:rPr>
          <w:sz w:val="17"/>
          <w:szCs w:val="17"/>
        </w:rPr>
      </w:pPr>
      <w:r>
        <w:rPr>
          <w:sz w:val="17"/>
        </w:rPr>
        <w:t>[Continuación de la nota de la página anterior]</w:t>
      </w:r>
    </w:p>
  </w:endnote>
  <w:endnote w:type="continuationNotice" w:id="1">
    <w:p w:rsidR="0024016C" w:rsidRPr="007E663E" w:rsidRDefault="0024016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05" w:rsidRDefault="00F15F05" w:rsidP="00F15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16C" w:rsidRDefault="0024016C">
      <w:r>
        <w:separator/>
      </w:r>
    </w:p>
  </w:footnote>
  <w:footnote w:type="continuationSeparator" w:id="0">
    <w:p w:rsidR="0024016C" w:rsidRPr="009D30E6" w:rsidRDefault="0024016C" w:rsidP="007E663E">
      <w:pPr>
        <w:rPr>
          <w:sz w:val="17"/>
          <w:szCs w:val="17"/>
        </w:rPr>
      </w:pPr>
      <w:r w:rsidRPr="009D30E6">
        <w:rPr>
          <w:sz w:val="17"/>
          <w:szCs w:val="17"/>
        </w:rPr>
        <w:separator/>
      </w:r>
    </w:p>
    <w:p w:rsidR="0024016C" w:rsidRPr="007E663E" w:rsidRDefault="0024016C" w:rsidP="007E663E">
      <w:pPr>
        <w:spacing w:after="60"/>
        <w:rPr>
          <w:sz w:val="17"/>
          <w:szCs w:val="17"/>
        </w:rPr>
      </w:pPr>
      <w:r>
        <w:rPr>
          <w:sz w:val="17"/>
        </w:rPr>
        <w:t>[Continuación de la nota de la página anterior]</w:t>
      </w:r>
    </w:p>
  </w:footnote>
  <w:footnote w:type="continuationNotice" w:id="1">
    <w:p w:rsidR="0024016C" w:rsidRPr="007E663E" w:rsidRDefault="0024016C" w:rsidP="007E663E">
      <w:pPr>
        <w:spacing w:before="60"/>
        <w:jc w:val="right"/>
        <w:rPr>
          <w:sz w:val="17"/>
          <w:szCs w:val="17"/>
        </w:rPr>
      </w:pPr>
      <w:r w:rsidRPr="007E663E">
        <w:rPr>
          <w:sz w:val="17"/>
          <w:szCs w:val="17"/>
        </w:rPr>
        <w:t>[Sigue la nota en la página siguiente]</w:t>
      </w:r>
    </w:p>
  </w:footnote>
  <w:footnote w:id="2">
    <w:p w:rsidR="00926254" w:rsidRDefault="00926254">
      <w:pPr>
        <w:pStyle w:val="FootnoteText"/>
      </w:pPr>
      <w:r>
        <w:rPr>
          <w:rStyle w:val="FootnoteReference"/>
        </w:rPr>
        <w:footnoteRef/>
      </w:r>
      <w:r>
        <w:t xml:space="preserve">  Miembro del 10 de enero al 9 de abril de 2020, del 10 de julio al 9 de octubre de 2020, y del 10 de abril al 9 de julio de 2021.</w:t>
      </w:r>
    </w:p>
  </w:footnote>
  <w:footnote w:id="3">
    <w:p w:rsidR="005077CF" w:rsidRDefault="005077CF">
      <w:pPr>
        <w:pStyle w:val="FootnoteText"/>
      </w:pPr>
      <w:r>
        <w:rPr>
          <w:rStyle w:val="FootnoteReference"/>
        </w:rPr>
        <w:footnoteRef/>
      </w:r>
      <w:r>
        <w:t xml:space="preserve">  Miembro del 10 de enero al 9 de abril de 2020, del 10 de octubre de 2020 al 9 de enero de 2021, y del 10 de abril al 9 de julio de 2021.</w:t>
      </w:r>
    </w:p>
  </w:footnote>
  <w:footnote w:id="4">
    <w:p w:rsidR="005077CF" w:rsidRDefault="005077CF">
      <w:pPr>
        <w:pStyle w:val="FootnoteText"/>
      </w:pPr>
      <w:r>
        <w:rPr>
          <w:rStyle w:val="FootnoteReference"/>
        </w:rPr>
        <w:footnoteRef/>
      </w:r>
      <w:r>
        <w:t xml:space="preserve">  Miembro del 10 de abril al 9 de julio de 2020, del 10 de octubre de 2020 al 9 de enero de 2021, y del 10 de julio al 9 de octubre de 2021.</w:t>
      </w:r>
    </w:p>
  </w:footnote>
  <w:footnote w:id="5">
    <w:p w:rsidR="005077CF" w:rsidRDefault="005077CF">
      <w:pPr>
        <w:pStyle w:val="FootnoteText"/>
      </w:pPr>
      <w:r>
        <w:rPr>
          <w:rStyle w:val="FootnoteReference"/>
        </w:rPr>
        <w:footnoteRef/>
      </w:r>
      <w:r>
        <w:t xml:space="preserve">  Miembro del 10 de octubre de 2019 al 9 de enero de 2020, del 10 de julio al 9 de octubre de 2020, y del 10 de enero al 9 de abril de 2021.</w:t>
      </w:r>
    </w:p>
  </w:footnote>
  <w:footnote w:id="6">
    <w:p w:rsidR="005077CF" w:rsidRDefault="005077CF">
      <w:pPr>
        <w:pStyle w:val="FootnoteText"/>
      </w:pPr>
      <w:r>
        <w:rPr>
          <w:rStyle w:val="FootnoteReference"/>
        </w:rPr>
        <w:footnoteRef/>
      </w:r>
      <w:r>
        <w:t xml:space="preserve">  Miembro del 10 de octubre de 2019 al 9 de enero de 2020, del 10 de abril al 9 de ju</w:t>
      </w:r>
      <w:r w:rsidR="0013304C">
        <w:t>lio de 2020, del 10 de enero al </w:t>
      </w:r>
      <w:r>
        <w:t>9 de abril de 2021, y del 10 de julio al 9 de octubre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05" w:rsidRPr="009C3079" w:rsidRDefault="00F15F05" w:rsidP="00F15F05">
    <w:pPr>
      <w:jc w:val="right"/>
    </w:pPr>
    <w:r w:rsidRPr="009C3079">
      <w:rPr>
        <w:lang w:val="es-ES_tradnl"/>
      </w:rPr>
      <w:t>A/5</w:t>
    </w:r>
    <w:r>
      <w:rPr>
        <w:lang w:val="es-ES_tradnl"/>
      </w:rPr>
      <w:t>9</w:t>
    </w:r>
    <w:r w:rsidRPr="009C3079">
      <w:rPr>
        <w:lang w:val="es-ES_tradnl"/>
      </w:rPr>
      <w:t>/</w:t>
    </w:r>
    <w:r>
      <w:rPr>
        <w:lang w:val="es-ES_tradnl"/>
      </w:rPr>
      <w:t>13 Add.2</w:t>
    </w:r>
  </w:p>
  <w:p w:rsidR="00F15F05" w:rsidRDefault="00F15F05" w:rsidP="00F15F05">
    <w:pPr>
      <w:jc w:val="right"/>
    </w:pPr>
    <w:r>
      <w:t xml:space="preserve">página </w:t>
    </w:r>
    <w:r>
      <w:fldChar w:fldCharType="begin"/>
    </w:r>
    <w:r>
      <w:instrText xml:space="preserve"> PAGE  \* MERGEFORMAT </w:instrText>
    </w:r>
    <w:r>
      <w:fldChar w:fldCharType="separate"/>
    </w:r>
    <w:r>
      <w:rPr>
        <w:noProof/>
      </w:rPr>
      <w:t>2</w:t>
    </w:r>
    <w:r>
      <w:fldChar w:fldCharType="end"/>
    </w:r>
  </w:p>
  <w:p w:rsidR="00F15F05" w:rsidRDefault="00F15F05" w:rsidP="00F15F0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6C" w:rsidRPr="009C3079" w:rsidRDefault="0024016C" w:rsidP="00FD634F">
    <w:pPr>
      <w:jc w:val="right"/>
    </w:pPr>
    <w:r w:rsidRPr="009C3079">
      <w:rPr>
        <w:lang w:val="es-ES_tradnl"/>
      </w:rPr>
      <w:t>A/5</w:t>
    </w:r>
    <w:r w:rsidR="0013304C">
      <w:rPr>
        <w:lang w:val="es-ES_tradnl"/>
      </w:rPr>
      <w:t>9</w:t>
    </w:r>
    <w:r w:rsidRPr="009C3079">
      <w:rPr>
        <w:lang w:val="es-ES_tradnl"/>
      </w:rPr>
      <w:t>/</w:t>
    </w:r>
    <w:r>
      <w:rPr>
        <w:lang w:val="es-ES_tradnl"/>
      </w:rPr>
      <w:t>1</w:t>
    </w:r>
    <w:r w:rsidR="0013304C">
      <w:rPr>
        <w:lang w:val="es-ES_tradnl"/>
      </w:rPr>
      <w:t>3 Add.2</w:t>
    </w:r>
  </w:p>
  <w:p w:rsidR="0024016C" w:rsidRDefault="0024016C" w:rsidP="00477D6B">
    <w:pPr>
      <w:jc w:val="right"/>
    </w:pPr>
    <w:r>
      <w:t xml:space="preserve">página </w:t>
    </w:r>
    <w:r>
      <w:fldChar w:fldCharType="begin"/>
    </w:r>
    <w:r>
      <w:instrText xml:space="preserve"> PAGE  \* MERGEFORMAT </w:instrText>
    </w:r>
    <w:r>
      <w:fldChar w:fldCharType="separate"/>
    </w:r>
    <w:r w:rsidR="00F15F05">
      <w:rPr>
        <w:noProof/>
      </w:rPr>
      <w:t>3</w:t>
    </w:r>
    <w:r>
      <w:fldChar w:fldCharType="end"/>
    </w:r>
  </w:p>
  <w:p w:rsidR="0024016C" w:rsidRDefault="0024016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F05" w:rsidRDefault="00F15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7655"/>
        </w:tabs>
        <w:ind w:left="708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AB03E7A"/>
    <w:multiLevelType w:val="hybridMultilevel"/>
    <w:tmpl w:val="32880B80"/>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6C9886B6">
      <w:start w:val="1"/>
      <w:numFmt w:val="decimal"/>
      <w:pStyle w:val="texte"/>
      <w:lvlText w:val="%3)"/>
      <w:lvlJc w:val="left"/>
      <w:pPr>
        <w:tabs>
          <w:tab w:val="num" w:pos="2340"/>
        </w:tabs>
        <w:ind w:left="2340" w:hanging="360"/>
      </w:pPr>
      <w:rPr>
        <w:rFonts w:hint="default"/>
        <w:b w:val="0"/>
        <w:sz w:val="22"/>
        <w:szCs w:val="22"/>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8B4341"/>
    <w:multiLevelType w:val="hybridMultilevel"/>
    <w:tmpl w:val="D2441FCA"/>
    <w:lvl w:ilvl="0" w:tplc="B1BA9B8C">
      <w:start w:val="1"/>
      <w:numFmt w:val="lowerRoman"/>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791F6691"/>
    <w:multiLevelType w:val="hybridMultilevel"/>
    <w:tmpl w:val="4D5A0DB0"/>
    <w:lvl w:ilvl="0" w:tplc="B1BA9B8C">
      <w:start w:val="1"/>
      <w:numFmt w:val="lowerRoman"/>
      <w:lvlText w:val="%1)"/>
      <w:lvlJc w:val="left"/>
      <w:pPr>
        <w:ind w:left="1287" w:hanging="360"/>
      </w:pPr>
      <w:rPr>
        <w:rFonts w:hint="default"/>
      </w:r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num w:numId="1">
    <w:abstractNumId w:val="5"/>
  </w:num>
  <w:num w:numId="2">
    <w:abstractNumId w:val="1"/>
  </w:num>
  <w:num w:numId="3">
    <w:abstractNumId w:val="2"/>
  </w:num>
  <w:num w:numId="4">
    <w:abstractNumId w:val="3"/>
  </w:num>
  <w:num w:numId="5">
    <w:abstractNumId w:val="2"/>
  </w:num>
  <w:num w:numId="6">
    <w:abstractNumId w:val="4"/>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
  </w:num>
  <w:num w:numId="39">
    <w:abstractNumId w:val="2"/>
  </w:num>
  <w:num w:numId="40">
    <w:abstractNumId w:val="2"/>
  </w:num>
  <w:num w:numId="41">
    <w:abstractNumId w:val="2"/>
  </w:num>
  <w:num w:numId="42">
    <w:abstractNumId w:val="6"/>
  </w:num>
  <w:num w:numId="43">
    <w:abstractNumId w:val="7"/>
  </w:num>
  <w:num w:numId="44">
    <w:abstractNumId w:val="2"/>
  </w:num>
  <w:num w:numId="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Temp\Job40249_10"/>
    <w:docVar w:name="TextBaseURL" w:val="empty"/>
    <w:docVar w:name="UILng" w:val="en"/>
  </w:docVars>
  <w:rsids>
    <w:rsidRoot w:val="00A36EA5"/>
    <w:rsid w:val="00001115"/>
    <w:rsid w:val="00010686"/>
    <w:rsid w:val="00024F1D"/>
    <w:rsid w:val="000361D8"/>
    <w:rsid w:val="00052915"/>
    <w:rsid w:val="000923B7"/>
    <w:rsid w:val="00096966"/>
    <w:rsid w:val="000C0080"/>
    <w:rsid w:val="000C6DA4"/>
    <w:rsid w:val="000E065B"/>
    <w:rsid w:val="000E37E2"/>
    <w:rsid w:val="000E3BB3"/>
    <w:rsid w:val="000E3FA3"/>
    <w:rsid w:val="000F5E56"/>
    <w:rsid w:val="000F6434"/>
    <w:rsid w:val="00107EB1"/>
    <w:rsid w:val="00112576"/>
    <w:rsid w:val="00113F68"/>
    <w:rsid w:val="0012156E"/>
    <w:rsid w:val="00124A69"/>
    <w:rsid w:val="00131E8E"/>
    <w:rsid w:val="0013304C"/>
    <w:rsid w:val="001362EE"/>
    <w:rsid w:val="001373A1"/>
    <w:rsid w:val="00143424"/>
    <w:rsid w:val="00152CEA"/>
    <w:rsid w:val="00157962"/>
    <w:rsid w:val="00164D11"/>
    <w:rsid w:val="00165D11"/>
    <w:rsid w:val="001832A6"/>
    <w:rsid w:val="001A305D"/>
    <w:rsid w:val="001E6ADE"/>
    <w:rsid w:val="001E7553"/>
    <w:rsid w:val="001F7C01"/>
    <w:rsid w:val="00217888"/>
    <w:rsid w:val="00225881"/>
    <w:rsid w:val="0024016C"/>
    <w:rsid w:val="00243F96"/>
    <w:rsid w:val="00251CE2"/>
    <w:rsid w:val="002634C4"/>
    <w:rsid w:val="00291274"/>
    <w:rsid w:val="00293CCE"/>
    <w:rsid w:val="0029671E"/>
    <w:rsid w:val="002A1398"/>
    <w:rsid w:val="002E0F47"/>
    <w:rsid w:val="002E2C18"/>
    <w:rsid w:val="002F4E68"/>
    <w:rsid w:val="002F732B"/>
    <w:rsid w:val="00301D9D"/>
    <w:rsid w:val="00302A87"/>
    <w:rsid w:val="00302B2C"/>
    <w:rsid w:val="00327819"/>
    <w:rsid w:val="003374E9"/>
    <w:rsid w:val="00354647"/>
    <w:rsid w:val="0035530C"/>
    <w:rsid w:val="0037101A"/>
    <w:rsid w:val="003739BE"/>
    <w:rsid w:val="00377273"/>
    <w:rsid w:val="003830B3"/>
    <w:rsid w:val="003845C1"/>
    <w:rsid w:val="00387287"/>
    <w:rsid w:val="003B2816"/>
    <w:rsid w:val="003E3268"/>
    <w:rsid w:val="003E48F1"/>
    <w:rsid w:val="003E70C9"/>
    <w:rsid w:val="003F101A"/>
    <w:rsid w:val="003F347A"/>
    <w:rsid w:val="003F6C71"/>
    <w:rsid w:val="00410DC8"/>
    <w:rsid w:val="00423E3E"/>
    <w:rsid w:val="00427AF4"/>
    <w:rsid w:val="0043563C"/>
    <w:rsid w:val="0045231F"/>
    <w:rsid w:val="004568D9"/>
    <w:rsid w:val="004647DA"/>
    <w:rsid w:val="00465078"/>
    <w:rsid w:val="0046793F"/>
    <w:rsid w:val="00477808"/>
    <w:rsid w:val="00477D6B"/>
    <w:rsid w:val="004A2B7F"/>
    <w:rsid w:val="004A2F5A"/>
    <w:rsid w:val="004A38C8"/>
    <w:rsid w:val="004A5FEE"/>
    <w:rsid w:val="004A6C37"/>
    <w:rsid w:val="004C40AA"/>
    <w:rsid w:val="004E297D"/>
    <w:rsid w:val="004E36A7"/>
    <w:rsid w:val="004E42BB"/>
    <w:rsid w:val="004F0DE2"/>
    <w:rsid w:val="004F4FD3"/>
    <w:rsid w:val="004F51BD"/>
    <w:rsid w:val="005077CF"/>
    <w:rsid w:val="00516155"/>
    <w:rsid w:val="00531B02"/>
    <w:rsid w:val="005332F0"/>
    <w:rsid w:val="00544BAD"/>
    <w:rsid w:val="0055013B"/>
    <w:rsid w:val="0055694A"/>
    <w:rsid w:val="00562363"/>
    <w:rsid w:val="00571B99"/>
    <w:rsid w:val="0057648A"/>
    <w:rsid w:val="005949BB"/>
    <w:rsid w:val="00594E58"/>
    <w:rsid w:val="005A2266"/>
    <w:rsid w:val="005C1003"/>
    <w:rsid w:val="005F158A"/>
    <w:rsid w:val="005F18C7"/>
    <w:rsid w:val="00605827"/>
    <w:rsid w:val="00605F8C"/>
    <w:rsid w:val="0061682D"/>
    <w:rsid w:val="00633D04"/>
    <w:rsid w:val="00660C6F"/>
    <w:rsid w:val="00667A3C"/>
    <w:rsid w:val="00675021"/>
    <w:rsid w:val="00686800"/>
    <w:rsid w:val="006A06C6"/>
    <w:rsid w:val="006A7BA6"/>
    <w:rsid w:val="00704C24"/>
    <w:rsid w:val="007224C8"/>
    <w:rsid w:val="007313F7"/>
    <w:rsid w:val="00737234"/>
    <w:rsid w:val="00744051"/>
    <w:rsid w:val="0074617C"/>
    <w:rsid w:val="007546EC"/>
    <w:rsid w:val="00772674"/>
    <w:rsid w:val="00772C10"/>
    <w:rsid w:val="00774482"/>
    <w:rsid w:val="0077536E"/>
    <w:rsid w:val="00783D7A"/>
    <w:rsid w:val="00787993"/>
    <w:rsid w:val="00794BE2"/>
    <w:rsid w:val="007B0533"/>
    <w:rsid w:val="007B4F81"/>
    <w:rsid w:val="007B71FE"/>
    <w:rsid w:val="007C71AE"/>
    <w:rsid w:val="007D653C"/>
    <w:rsid w:val="007D781E"/>
    <w:rsid w:val="007E663E"/>
    <w:rsid w:val="007F049D"/>
    <w:rsid w:val="007F7468"/>
    <w:rsid w:val="00804B06"/>
    <w:rsid w:val="00811B43"/>
    <w:rsid w:val="00815082"/>
    <w:rsid w:val="008304F7"/>
    <w:rsid w:val="0088395E"/>
    <w:rsid w:val="008842DF"/>
    <w:rsid w:val="008A25D3"/>
    <w:rsid w:val="008B21A8"/>
    <w:rsid w:val="008B2CC1"/>
    <w:rsid w:val="008D38D7"/>
    <w:rsid w:val="008E62F5"/>
    <w:rsid w:val="008E6BD6"/>
    <w:rsid w:val="008F5C0D"/>
    <w:rsid w:val="008F7698"/>
    <w:rsid w:val="00906599"/>
    <w:rsid w:val="0090731E"/>
    <w:rsid w:val="00926254"/>
    <w:rsid w:val="0093429E"/>
    <w:rsid w:val="00935484"/>
    <w:rsid w:val="009568DD"/>
    <w:rsid w:val="00963965"/>
    <w:rsid w:val="00966A22"/>
    <w:rsid w:val="00966FDC"/>
    <w:rsid w:val="00972F03"/>
    <w:rsid w:val="0097791D"/>
    <w:rsid w:val="0098299B"/>
    <w:rsid w:val="009873CA"/>
    <w:rsid w:val="00987698"/>
    <w:rsid w:val="009913AF"/>
    <w:rsid w:val="009A0C8B"/>
    <w:rsid w:val="009B0458"/>
    <w:rsid w:val="009B6241"/>
    <w:rsid w:val="009C3079"/>
    <w:rsid w:val="009C6F4C"/>
    <w:rsid w:val="00A0139B"/>
    <w:rsid w:val="00A16FC0"/>
    <w:rsid w:val="00A246EC"/>
    <w:rsid w:val="00A264A1"/>
    <w:rsid w:val="00A32C9E"/>
    <w:rsid w:val="00A36EA5"/>
    <w:rsid w:val="00A40645"/>
    <w:rsid w:val="00A579F2"/>
    <w:rsid w:val="00A7262C"/>
    <w:rsid w:val="00A83728"/>
    <w:rsid w:val="00AB613D"/>
    <w:rsid w:val="00AD4B48"/>
    <w:rsid w:val="00AE7F20"/>
    <w:rsid w:val="00AF0C6C"/>
    <w:rsid w:val="00B063A2"/>
    <w:rsid w:val="00B169C1"/>
    <w:rsid w:val="00B22D26"/>
    <w:rsid w:val="00B255CE"/>
    <w:rsid w:val="00B320AD"/>
    <w:rsid w:val="00B32D6E"/>
    <w:rsid w:val="00B47344"/>
    <w:rsid w:val="00B631A6"/>
    <w:rsid w:val="00B65A0A"/>
    <w:rsid w:val="00B67CDC"/>
    <w:rsid w:val="00B72D36"/>
    <w:rsid w:val="00B809E0"/>
    <w:rsid w:val="00B8322E"/>
    <w:rsid w:val="00B8460F"/>
    <w:rsid w:val="00B86704"/>
    <w:rsid w:val="00BA48E1"/>
    <w:rsid w:val="00BC4164"/>
    <w:rsid w:val="00BD2DCC"/>
    <w:rsid w:val="00BD5415"/>
    <w:rsid w:val="00BE605A"/>
    <w:rsid w:val="00BE66FB"/>
    <w:rsid w:val="00C02F90"/>
    <w:rsid w:val="00C06CD4"/>
    <w:rsid w:val="00C14B31"/>
    <w:rsid w:val="00C26D1E"/>
    <w:rsid w:val="00C42DA3"/>
    <w:rsid w:val="00C622A0"/>
    <w:rsid w:val="00C65197"/>
    <w:rsid w:val="00C66D8F"/>
    <w:rsid w:val="00C76DED"/>
    <w:rsid w:val="00C81866"/>
    <w:rsid w:val="00C90559"/>
    <w:rsid w:val="00C94F15"/>
    <w:rsid w:val="00C9735F"/>
    <w:rsid w:val="00CA2251"/>
    <w:rsid w:val="00CB12D7"/>
    <w:rsid w:val="00CC49E9"/>
    <w:rsid w:val="00CC5F08"/>
    <w:rsid w:val="00CC609A"/>
    <w:rsid w:val="00CE18B8"/>
    <w:rsid w:val="00CF34D9"/>
    <w:rsid w:val="00D2281E"/>
    <w:rsid w:val="00D31532"/>
    <w:rsid w:val="00D434E4"/>
    <w:rsid w:val="00D56C7C"/>
    <w:rsid w:val="00D61DE8"/>
    <w:rsid w:val="00D71B4D"/>
    <w:rsid w:val="00D75DCC"/>
    <w:rsid w:val="00D76ABD"/>
    <w:rsid w:val="00D82858"/>
    <w:rsid w:val="00D90289"/>
    <w:rsid w:val="00D93D55"/>
    <w:rsid w:val="00D96FD2"/>
    <w:rsid w:val="00DB5F44"/>
    <w:rsid w:val="00DC4C60"/>
    <w:rsid w:val="00DD07BC"/>
    <w:rsid w:val="00DD2A72"/>
    <w:rsid w:val="00DD66E6"/>
    <w:rsid w:val="00E0079A"/>
    <w:rsid w:val="00E353DA"/>
    <w:rsid w:val="00E444DA"/>
    <w:rsid w:val="00E45C84"/>
    <w:rsid w:val="00E4777A"/>
    <w:rsid w:val="00E504E5"/>
    <w:rsid w:val="00E570C9"/>
    <w:rsid w:val="00E64E28"/>
    <w:rsid w:val="00E65B04"/>
    <w:rsid w:val="00E870C4"/>
    <w:rsid w:val="00EB3019"/>
    <w:rsid w:val="00EB7A3E"/>
    <w:rsid w:val="00EC401A"/>
    <w:rsid w:val="00EC6323"/>
    <w:rsid w:val="00EF2026"/>
    <w:rsid w:val="00EF530A"/>
    <w:rsid w:val="00EF6622"/>
    <w:rsid w:val="00EF6CB2"/>
    <w:rsid w:val="00F15F05"/>
    <w:rsid w:val="00F55408"/>
    <w:rsid w:val="00F619DA"/>
    <w:rsid w:val="00F66152"/>
    <w:rsid w:val="00F72246"/>
    <w:rsid w:val="00F80845"/>
    <w:rsid w:val="00F840F9"/>
    <w:rsid w:val="00F84474"/>
    <w:rsid w:val="00FA0F0D"/>
    <w:rsid w:val="00FA1308"/>
    <w:rsid w:val="00FB0FB1"/>
    <w:rsid w:val="00FC518B"/>
    <w:rsid w:val="00FD22CA"/>
    <w:rsid w:val="00FD4458"/>
    <w:rsid w:val="00FD59B0"/>
    <w:rsid w:val="00FD59D1"/>
    <w:rsid w:val="00FD634F"/>
    <w:rsid w:val="00FE5A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5C7337BB-7D65-494E-A838-641B7440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exte">
    <w:name w:val="texte"/>
    <w:basedOn w:val="Normal"/>
    <w:rsid w:val="00F72246"/>
    <w:pPr>
      <w:numPr>
        <w:ilvl w:val="2"/>
        <w:numId w:val="4"/>
      </w:numPr>
      <w:spacing w:after="120" w:line="260" w:lineRule="atLeast"/>
      <w:contextualSpacing/>
    </w:pPr>
    <w:rPr>
      <w:rFonts w:eastAsia="Times New Roman" w:cs="Times New Roman"/>
      <w:sz w:val="20"/>
      <w:lang w:val="en-US" w:eastAsia="en-US"/>
    </w:rPr>
  </w:style>
  <w:style w:type="paragraph" w:styleId="BodyTextIndent">
    <w:name w:val="Body Text Indent"/>
    <w:basedOn w:val="Normal"/>
    <w:link w:val="BodyTextIndentChar"/>
    <w:rsid w:val="00F72246"/>
    <w:pPr>
      <w:spacing w:after="120"/>
      <w:ind w:left="283"/>
    </w:pPr>
    <w:rPr>
      <w:lang w:val="en-US"/>
    </w:rPr>
  </w:style>
  <w:style w:type="character" w:customStyle="1" w:styleId="BodyTextIndentChar">
    <w:name w:val="Body Text Indent Char"/>
    <w:basedOn w:val="DefaultParagraphFont"/>
    <w:link w:val="BodyTextIndent"/>
    <w:rsid w:val="00F72246"/>
    <w:rPr>
      <w:rFonts w:ascii="Arial" w:eastAsia="SimSun" w:hAnsi="Arial" w:cs="Arial"/>
      <w:sz w:val="22"/>
      <w:lang w:eastAsia="zh-CN"/>
    </w:rPr>
  </w:style>
  <w:style w:type="character" w:customStyle="1" w:styleId="ONUMEChar">
    <w:name w:val="ONUM E Char"/>
    <w:link w:val="ONUME"/>
    <w:rsid w:val="00F72246"/>
    <w:rPr>
      <w:rFonts w:ascii="Arial" w:eastAsia="SimSun" w:hAnsi="Arial" w:cs="Arial"/>
      <w:sz w:val="22"/>
      <w:lang w:val="es-ES" w:eastAsia="zh-CN"/>
    </w:rPr>
  </w:style>
  <w:style w:type="character" w:customStyle="1" w:styleId="FooterChar">
    <w:name w:val="Footer Char"/>
    <w:link w:val="Footer"/>
    <w:uiPriority w:val="99"/>
    <w:rsid w:val="00F72246"/>
    <w:rPr>
      <w:rFonts w:ascii="Arial" w:eastAsia="SimSun" w:hAnsi="Arial" w:cs="Arial"/>
      <w:sz w:val="22"/>
      <w:lang w:val="es-ES" w:eastAsia="zh-CN"/>
    </w:rPr>
  </w:style>
  <w:style w:type="character" w:customStyle="1" w:styleId="acronym">
    <w:name w:val="acronym"/>
    <w:basedOn w:val="DefaultParagraphFont"/>
    <w:rsid w:val="006A7BA6"/>
  </w:style>
  <w:style w:type="character" w:styleId="Hyperlink">
    <w:name w:val="Hyperlink"/>
    <w:basedOn w:val="DefaultParagraphFont"/>
    <w:rsid w:val="00A264A1"/>
    <w:rPr>
      <w:color w:val="0000FF" w:themeColor="hyperlink"/>
      <w:u w:val="single"/>
    </w:rPr>
  </w:style>
  <w:style w:type="character" w:styleId="FollowedHyperlink">
    <w:name w:val="FollowedHyperlink"/>
    <w:basedOn w:val="DefaultParagraphFont"/>
    <w:rsid w:val="007F049D"/>
    <w:rPr>
      <w:color w:val="800080" w:themeColor="followedHyperlink"/>
      <w:u w:val="single"/>
    </w:rPr>
  </w:style>
  <w:style w:type="paragraph" w:styleId="ListParagraph">
    <w:name w:val="List Paragraph"/>
    <w:basedOn w:val="Normal"/>
    <w:uiPriority w:val="34"/>
    <w:qFormat/>
    <w:rsid w:val="00811B43"/>
    <w:pPr>
      <w:ind w:left="720"/>
      <w:contextualSpacing/>
    </w:pPr>
  </w:style>
  <w:style w:type="character" w:styleId="FootnoteReference">
    <w:name w:val="footnote reference"/>
    <w:basedOn w:val="DefaultParagraphFont"/>
    <w:semiHidden/>
    <w:unhideWhenUsed/>
    <w:rsid w:val="009262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E470-5051-4296-BEF6-CAE75E35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705</Words>
  <Characters>4094</Characters>
  <Application>Microsoft Office Word</Application>
  <DocSecurity>0</DocSecurity>
  <Lines>79</Lines>
  <Paragraphs>19</Paragraphs>
  <ScaleCrop>false</ScaleCrop>
  <HeadingPairs>
    <vt:vector size="2" baseType="variant">
      <vt:variant>
        <vt:lpstr>Title</vt:lpstr>
      </vt:variant>
      <vt:variant>
        <vt:i4>1</vt:i4>
      </vt:variant>
    </vt:vector>
  </HeadingPairs>
  <TitlesOfParts>
    <vt:vector size="1" baseType="lpstr">
      <vt:lpstr>A/58/10 Add. 4</vt:lpstr>
    </vt:vector>
  </TitlesOfParts>
  <Company>WIPO</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A/58/10 Add. 4</dc:title>
  <dc:creator>HALLER Mario</dc:creator>
  <cp:keywords>PUBLIC</cp:keywords>
  <cp:lastModifiedBy>HÄFLIGER Patience</cp:lastModifiedBy>
  <cp:revision>4</cp:revision>
  <cp:lastPrinted>2016-10-06T13:28:00Z</cp:lastPrinted>
  <dcterms:created xsi:type="dcterms:W3CDTF">2019-10-10T00:11:00Z</dcterms:created>
  <dcterms:modified xsi:type="dcterms:W3CDTF">2019-10-10T01:08:00Z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68d32392-3729-4540-9c8d-b5284c415794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