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7D2BD3" w:rsidP="00556656">
      <w:pPr>
        <w:spacing w:before="360" w:after="240"/>
        <w:jc w:val="right"/>
        <w:rPr>
          <w:b/>
          <w:sz w:val="32"/>
          <w:szCs w:val="40"/>
        </w:rPr>
      </w:pPr>
      <w:bookmarkStart w:id="0" w:name="_GoBack"/>
      <w:bookmarkEnd w:id="0"/>
      <w:r>
        <w:rPr>
          <w:noProof/>
          <w:lang w:eastAsia="en-US"/>
        </w:rPr>
        <w:drawing>
          <wp:inline distT="0" distB="0" distL="0" distR="0" wp14:anchorId="1572CFFB" wp14:editId="70A1927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B2CC1" w:rsidRPr="00503D46" w:rsidRDefault="00556656" w:rsidP="00F874D6">
      <w:pPr>
        <w:pBdr>
          <w:top w:val="single" w:sz="4" w:space="16" w:color="auto"/>
        </w:pBdr>
        <w:jc w:val="right"/>
        <w:rPr>
          <w:rFonts w:ascii="Arial Black" w:hAnsi="Arial Black"/>
          <w:caps/>
          <w:sz w:val="15"/>
          <w:szCs w:val="15"/>
          <w:lang w:val="es-ES"/>
        </w:rPr>
      </w:pPr>
      <w:r w:rsidRPr="00503D46">
        <w:rPr>
          <w:rFonts w:ascii="Arial Black" w:hAnsi="Arial Black"/>
          <w:caps/>
          <w:sz w:val="15"/>
          <w:szCs w:val="15"/>
          <w:lang w:val="es-ES"/>
        </w:rPr>
        <w:t>A/60/</w:t>
      </w:r>
      <w:bookmarkStart w:id="1" w:name="Code"/>
      <w:r w:rsidR="00BD262D" w:rsidRPr="00503D46">
        <w:rPr>
          <w:rFonts w:ascii="Arial Black" w:hAnsi="Arial Black"/>
          <w:caps/>
          <w:sz w:val="15"/>
          <w:szCs w:val="15"/>
          <w:lang w:val="es-ES"/>
        </w:rPr>
        <w:t>INF/1</w:t>
      </w:r>
    </w:p>
    <w:bookmarkEnd w:id="1"/>
    <w:p w:rsidR="008B2CC1" w:rsidRPr="00455348" w:rsidRDefault="00EB2F76" w:rsidP="00EB2F76">
      <w:pPr>
        <w:jc w:val="right"/>
        <w:rPr>
          <w:rFonts w:ascii="Arial Black" w:hAnsi="Arial Black"/>
          <w:caps/>
          <w:sz w:val="15"/>
          <w:szCs w:val="15"/>
          <w:lang w:val="es-ES"/>
        </w:rPr>
      </w:pPr>
      <w:r w:rsidRPr="00503D46">
        <w:rPr>
          <w:rFonts w:ascii="Arial Black" w:hAnsi="Arial Black"/>
          <w:caps/>
          <w:sz w:val="15"/>
          <w:szCs w:val="15"/>
          <w:lang w:val="es-ES"/>
        </w:rPr>
        <w:t xml:space="preserve">ORIGINAL: </w:t>
      </w:r>
      <w:bookmarkStart w:id="2" w:name="Original"/>
      <w:r w:rsidR="00455348" w:rsidRPr="00503D46">
        <w:rPr>
          <w:rFonts w:ascii="Arial Black" w:hAnsi="Arial Black"/>
          <w:caps/>
          <w:sz w:val="15"/>
          <w:szCs w:val="15"/>
          <w:lang w:val="es-ES"/>
        </w:rPr>
        <w:t>inglés</w:t>
      </w:r>
    </w:p>
    <w:bookmarkEnd w:id="2"/>
    <w:p w:rsidR="008B2CC1" w:rsidRPr="007D2BD3" w:rsidRDefault="007D2BD3" w:rsidP="000A3D97">
      <w:pPr>
        <w:spacing w:after="1200"/>
        <w:jc w:val="right"/>
        <w:rPr>
          <w:rFonts w:ascii="Arial Black" w:hAnsi="Arial Black"/>
          <w:caps/>
          <w:sz w:val="15"/>
          <w:szCs w:val="15"/>
          <w:lang w:val="es-ES"/>
        </w:rPr>
      </w:pPr>
      <w:r w:rsidRPr="007D2BD3">
        <w:rPr>
          <w:rFonts w:ascii="Arial Black" w:hAnsi="Arial Black"/>
          <w:caps/>
          <w:sz w:val="15"/>
          <w:szCs w:val="15"/>
          <w:lang w:val="es-ES"/>
        </w:rPr>
        <w:t>fecha</w:t>
      </w:r>
      <w:r w:rsidR="00EB2F76" w:rsidRPr="007D2BD3">
        <w:rPr>
          <w:rFonts w:ascii="Arial Black" w:hAnsi="Arial Black"/>
          <w:caps/>
          <w:sz w:val="15"/>
          <w:szCs w:val="15"/>
          <w:lang w:val="es-ES"/>
        </w:rPr>
        <w:t xml:space="preserve">: </w:t>
      </w:r>
      <w:bookmarkStart w:id="3" w:name="Date"/>
      <w:r w:rsidRPr="007D2BD3">
        <w:rPr>
          <w:rFonts w:ascii="Arial Black" w:hAnsi="Arial Black"/>
          <w:caps/>
          <w:sz w:val="15"/>
          <w:szCs w:val="15"/>
          <w:lang w:val="es-ES"/>
        </w:rPr>
        <w:t>6 de marzo de</w:t>
      </w:r>
      <w:r w:rsidR="00BD262D" w:rsidRPr="007D2BD3">
        <w:rPr>
          <w:rFonts w:ascii="Arial Black" w:hAnsi="Arial Black"/>
          <w:caps/>
          <w:sz w:val="15"/>
          <w:szCs w:val="15"/>
          <w:lang w:val="es-ES"/>
        </w:rPr>
        <w:t xml:space="preserve"> 2020</w:t>
      </w:r>
    </w:p>
    <w:p w:rsidR="007D2BD3" w:rsidRPr="007D2BD3" w:rsidRDefault="007D2BD3" w:rsidP="00B72A03">
      <w:pPr>
        <w:pStyle w:val="Heading1"/>
        <w:keepNext w:val="0"/>
        <w:spacing w:before="0" w:after="600"/>
        <w:rPr>
          <w:sz w:val="28"/>
          <w:szCs w:val="28"/>
          <w:lang w:val="es-ES"/>
        </w:rPr>
      </w:pPr>
      <w:bookmarkStart w:id="4" w:name="TitleOfDoc"/>
      <w:bookmarkEnd w:id="3"/>
      <w:r w:rsidRPr="007D2BD3">
        <w:rPr>
          <w:caps w:val="0"/>
          <w:sz w:val="28"/>
          <w:szCs w:val="28"/>
          <w:lang w:val="es-ES"/>
        </w:rPr>
        <w:t>Asambleas de los Estados miembros de la OMPI</w:t>
      </w:r>
    </w:p>
    <w:p w:rsidR="00B72A03" w:rsidRDefault="007D2BD3" w:rsidP="00B72A03">
      <w:pPr>
        <w:outlineLvl w:val="1"/>
        <w:rPr>
          <w:b/>
          <w:sz w:val="24"/>
          <w:szCs w:val="24"/>
          <w:lang w:val="es-ES"/>
        </w:rPr>
      </w:pPr>
      <w:r w:rsidRPr="007D2BD3">
        <w:rPr>
          <w:b/>
          <w:sz w:val="24"/>
          <w:szCs w:val="24"/>
          <w:lang w:val="es-ES"/>
        </w:rPr>
        <w:t>Sexagésima serie de reuniones</w:t>
      </w:r>
    </w:p>
    <w:p w:rsidR="007D2BD3" w:rsidRPr="007D2BD3" w:rsidRDefault="007D2BD3" w:rsidP="007D2BD3">
      <w:pPr>
        <w:spacing w:after="720"/>
        <w:outlineLvl w:val="1"/>
        <w:rPr>
          <w:b/>
          <w:sz w:val="24"/>
          <w:szCs w:val="24"/>
          <w:lang w:val="es-ES"/>
        </w:rPr>
      </w:pPr>
      <w:r w:rsidRPr="007D2BD3">
        <w:rPr>
          <w:b/>
          <w:sz w:val="24"/>
          <w:szCs w:val="24"/>
          <w:lang w:val="es-ES"/>
        </w:rPr>
        <w:t>Ginebra, 7 y 8 de mayo de 2020</w:t>
      </w:r>
    </w:p>
    <w:bookmarkEnd w:id="4"/>
    <w:p w:rsidR="00455348" w:rsidRPr="000E629C" w:rsidRDefault="00455348" w:rsidP="00455348">
      <w:pPr>
        <w:spacing w:after="360"/>
        <w:rPr>
          <w:caps/>
          <w:sz w:val="24"/>
          <w:lang w:val="es-419"/>
        </w:rPr>
      </w:pPr>
      <w:r w:rsidRPr="000E629C">
        <w:rPr>
          <w:bCs/>
          <w:iCs/>
          <w:caps/>
          <w:sz w:val="24"/>
          <w:lang w:val="es-419"/>
        </w:rPr>
        <w:t>INFORMACIÓN GENERAL</w:t>
      </w:r>
    </w:p>
    <w:p w:rsidR="00455348" w:rsidRPr="000E629C" w:rsidRDefault="00455348" w:rsidP="00455348">
      <w:pPr>
        <w:spacing w:after="960"/>
        <w:rPr>
          <w:i/>
          <w:lang w:val="es-419"/>
        </w:rPr>
      </w:pPr>
      <w:bookmarkStart w:id="5" w:name="Prepared"/>
      <w:bookmarkEnd w:id="5"/>
      <w:r w:rsidRPr="000E629C">
        <w:rPr>
          <w:i/>
          <w:lang w:val="es-419"/>
        </w:rPr>
        <w:t>Memorando de la Secretaría</w:t>
      </w:r>
    </w:p>
    <w:p w:rsidR="00BD262D" w:rsidRPr="00455348" w:rsidRDefault="00BD262D" w:rsidP="00B72A03">
      <w:pPr>
        <w:spacing w:after="240"/>
        <w:rPr>
          <w:lang w:val="es-419"/>
        </w:rPr>
      </w:pPr>
      <w:r w:rsidRPr="00455348">
        <w:rPr>
          <w:lang w:val="es-419"/>
        </w:rPr>
        <w:t>1.</w:t>
      </w:r>
      <w:r w:rsidRPr="00455348">
        <w:rPr>
          <w:lang w:val="es-419"/>
        </w:rPr>
        <w:tab/>
      </w:r>
      <w:r w:rsidR="00455348" w:rsidRPr="00455348">
        <w:rPr>
          <w:lang w:val="es-419"/>
        </w:rPr>
        <w:t>El presente documento proporciona información relativa a los períodos de sesiones de las siguientes tres</w:t>
      </w:r>
      <w:r w:rsidR="00510347" w:rsidRPr="00455348">
        <w:rPr>
          <w:lang w:val="es-419"/>
        </w:rPr>
        <w:t xml:space="preserve"> </w:t>
      </w:r>
      <w:r w:rsidRPr="00455348">
        <w:rPr>
          <w:lang w:val="es-419"/>
        </w:rPr>
        <w:t>A</w:t>
      </w:r>
      <w:r w:rsidR="00455348">
        <w:rPr>
          <w:lang w:val="es-419"/>
        </w:rPr>
        <w:t>sambleas de la OMPI y de las Uniones que la OMPI administra, que se reunirán en períodos de sesiones extraordinarios los días 7 y 8 de mayo de</w:t>
      </w:r>
      <w:r w:rsidR="00347733" w:rsidRPr="00455348">
        <w:rPr>
          <w:lang w:val="es-419"/>
        </w:rPr>
        <w:t xml:space="preserve"> 2020:</w:t>
      </w:r>
    </w:p>
    <w:p w:rsidR="00BD262D" w:rsidRPr="00455348" w:rsidRDefault="00455348" w:rsidP="00B72A03">
      <w:pPr>
        <w:pStyle w:val="numb1"/>
        <w:tabs>
          <w:tab w:val="clear" w:pos="851"/>
        </w:tabs>
        <w:ind w:hanging="567"/>
        <w:rPr>
          <w:rFonts w:ascii="Arial" w:hAnsi="Arial" w:cs="Arial"/>
          <w:sz w:val="22"/>
          <w:szCs w:val="22"/>
          <w:lang w:val="es-419"/>
        </w:rPr>
      </w:pPr>
      <w:r w:rsidRPr="00455348">
        <w:rPr>
          <w:rFonts w:ascii="Arial" w:hAnsi="Arial" w:cs="Arial"/>
          <w:sz w:val="22"/>
          <w:szCs w:val="22"/>
          <w:lang w:val="es-419"/>
        </w:rPr>
        <w:t>1)</w:t>
      </w:r>
      <w:r w:rsidRPr="00455348">
        <w:rPr>
          <w:rFonts w:ascii="Arial" w:hAnsi="Arial" w:cs="Arial"/>
          <w:sz w:val="22"/>
          <w:szCs w:val="22"/>
          <w:lang w:val="es-419"/>
        </w:rPr>
        <w:tab/>
        <w:t>Asamblea Gen</w:t>
      </w:r>
      <w:r w:rsidR="00503D46">
        <w:rPr>
          <w:rFonts w:ascii="Arial" w:hAnsi="Arial" w:cs="Arial"/>
          <w:sz w:val="22"/>
          <w:szCs w:val="22"/>
          <w:lang w:val="es-419"/>
        </w:rPr>
        <w:t>eral de la OMPI, quincuagésimo s</w:t>
      </w:r>
      <w:r w:rsidRPr="00455348">
        <w:rPr>
          <w:rFonts w:ascii="Arial" w:hAnsi="Arial" w:cs="Arial"/>
          <w:sz w:val="22"/>
          <w:szCs w:val="22"/>
          <w:lang w:val="es-419"/>
        </w:rPr>
        <w:t xml:space="preserve">egundo período de sesiones </w:t>
      </w:r>
      <w:r w:rsidR="00BD262D" w:rsidRPr="00455348">
        <w:rPr>
          <w:rFonts w:ascii="Arial" w:hAnsi="Arial" w:cs="Arial"/>
          <w:sz w:val="22"/>
          <w:szCs w:val="22"/>
          <w:lang w:val="es-419"/>
        </w:rPr>
        <w:t>(</w:t>
      </w:r>
      <w:r w:rsidR="006B67E6" w:rsidRPr="00455348">
        <w:rPr>
          <w:rFonts w:ascii="Arial" w:hAnsi="Arial" w:cs="Arial"/>
          <w:sz w:val="22"/>
          <w:szCs w:val="22"/>
          <w:lang w:val="es-419"/>
        </w:rPr>
        <w:t>28</w:t>
      </w:r>
      <w:r w:rsidRPr="00455348">
        <w:rPr>
          <w:rFonts w:ascii="Arial" w:hAnsi="Arial" w:cs="Arial"/>
          <w:sz w:val="22"/>
          <w:szCs w:val="22"/>
          <w:lang w:val="es-419"/>
        </w:rPr>
        <w:t>º</w:t>
      </w:r>
      <w:r w:rsidR="006B67E6" w:rsidRPr="00455348">
        <w:rPr>
          <w:rFonts w:ascii="Arial" w:hAnsi="Arial" w:cs="Arial"/>
          <w:sz w:val="22"/>
          <w:szCs w:val="22"/>
          <w:lang w:val="es-419"/>
        </w:rPr>
        <w:t>extra</w:t>
      </w:r>
      <w:r w:rsidR="00BD262D" w:rsidRPr="00455348">
        <w:rPr>
          <w:rFonts w:ascii="Arial" w:hAnsi="Arial" w:cs="Arial"/>
          <w:sz w:val="22"/>
          <w:szCs w:val="22"/>
          <w:lang w:val="es-419"/>
        </w:rPr>
        <w:t>ordinar</w:t>
      </w:r>
      <w:r w:rsidRPr="00455348">
        <w:rPr>
          <w:rFonts w:ascii="Arial" w:hAnsi="Arial" w:cs="Arial"/>
          <w:sz w:val="22"/>
          <w:szCs w:val="22"/>
          <w:lang w:val="es-419"/>
        </w:rPr>
        <w:t>io</w:t>
      </w:r>
      <w:r w:rsidR="00BD262D" w:rsidRPr="00455348">
        <w:rPr>
          <w:rFonts w:ascii="Arial" w:hAnsi="Arial" w:cs="Arial"/>
          <w:sz w:val="22"/>
          <w:szCs w:val="22"/>
          <w:lang w:val="es-419"/>
        </w:rPr>
        <w:t>)</w:t>
      </w:r>
    </w:p>
    <w:p w:rsidR="00BD262D" w:rsidRPr="00455348" w:rsidRDefault="00510347" w:rsidP="00B72A03">
      <w:pPr>
        <w:pStyle w:val="numb1"/>
        <w:tabs>
          <w:tab w:val="clear" w:pos="851"/>
        </w:tabs>
        <w:ind w:hanging="567"/>
        <w:rPr>
          <w:rFonts w:ascii="Arial" w:hAnsi="Arial" w:cs="Arial"/>
          <w:sz w:val="22"/>
          <w:szCs w:val="22"/>
          <w:lang w:val="es-419"/>
        </w:rPr>
      </w:pPr>
      <w:r w:rsidRPr="00455348">
        <w:rPr>
          <w:rFonts w:ascii="Arial" w:hAnsi="Arial" w:cs="Arial"/>
          <w:sz w:val="22"/>
          <w:szCs w:val="22"/>
          <w:lang w:val="es-419"/>
        </w:rPr>
        <w:t>2</w:t>
      </w:r>
      <w:r w:rsidR="00BD262D" w:rsidRPr="00455348">
        <w:rPr>
          <w:rFonts w:ascii="Arial" w:hAnsi="Arial" w:cs="Arial"/>
          <w:sz w:val="22"/>
          <w:szCs w:val="22"/>
          <w:lang w:val="es-419"/>
        </w:rPr>
        <w:t>)</w:t>
      </w:r>
      <w:r w:rsidR="00BD262D" w:rsidRPr="00455348">
        <w:rPr>
          <w:rFonts w:ascii="Arial" w:hAnsi="Arial" w:cs="Arial"/>
          <w:sz w:val="22"/>
          <w:szCs w:val="22"/>
          <w:lang w:val="es-419"/>
        </w:rPr>
        <w:tab/>
      </w:r>
      <w:r w:rsidR="00455348" w:rsidRPr="00455348">
        <w:rPr>
          <w:rFonts w:ascii="Arial" w:hAnsi="Arial" w:cs="Arial"/>
          <w:sz w:val="22"/>
          <w:szCs w:val="22"/>
          <w:lang w:val="es-419"/>
        </w:rPr>
        <w:t>Asamblea de la Unión de París</w:t>
      </w:r>
      <w:r w:rsidR="00BD262D" w:rsidRPr="00455348">
        <w:rPr>
          <w:rFonts w:ascii="Arial" w:hAnsi="Arial" w:cs="Arial"/>
          <w:sz w:val="22"/>
          <w:szCs w:val="22"/>
          <w:lang w:val="es-419"/>
        </w:rPr>
        <w:t xml:space="preserve">, </w:t>
      </w:r>
      <w:r w:rsidR="00455348" w:rsidRPr="00455348">
        <w:rPr>
          <w:rFonts w:ascii="Arial" w:hAnsi="Arial" w:cs="Arial"/>
          <w:sz w:val="22"/>
          <w:szCs w:val="22"/>
          <w:lang w:val="es-419"/>
        </w:rPr>
        <w:t>quincuagésimo quinto período de sesiones</w:t>
      </w:r>
      <w:r w:rsidR="00D15756" w:rsidRPr="00455348">
        <w:rPr>
          <w:rFonts w:ascii="Arial" w:hAnsi="Arial" w:cs="Arial"/>
          <w:sz w:val="22"/>
          <w:szCs w:val="22"/>
          <w:lang w:val="es-419"/>
        </w:rPr>
        <w:t xml:space="preserve"> </w:t>
      </w:r>
      <w:r w:rsidR="00BD262D" w:rsidRPr="00455348">
        <w:rPr>
          <w:rFonts w:ascii="Arial" w:hAnsi="Arial" w:cs="Arial"/>
          <w:sz w:val="22"/>
          <w:szCs w:val="22"/>
          <w:lang w:val="es-419"/>
        </w:rPr>
        <w:t>(</w:t>
      </w:r>
      <w:r w:rsidR="00D15756" w:rsidRPr="00455348">
        <w:rPr>
          <w:rFonts w:ascii="Arial" w:hAnsi="Arial" w:cs="Arial"/>
          <w:sz w:val="22"/>
          <w:szCs w:val="22"/>
          <w:lang w:val="es-419"/>
        </w:rPr>
        <w:t>31</w:t>
      </w:r>
      <w:r w:rsidR="00455348" w:rsidRPr="00455348">
        <w:rPr>
          <w:rFonts w:ascii="Arial" w:hAnsi="Arial" w:cs="Arial"/>
          <w:sz w:val="22"/>
          <w:szCs w:val="22"/>
          <w:lang w:val="es-419"/>
        </w:rPr>
        <w:t>.º</w:t>
      </w:r>
      <w:r w:rsidR="00D15756" w:rsidRPr="00455348">
        <w:rPr>
          <w:rFonts w:ascii="Arial" w:hAnsi="Arial" w:cs="Arial"/>
          <w:sz w:val="22"/>
          <w:szCs w:val="22"/>
          <w:lang w:val="es-419"/>
        </w:rPr>
        <w:t>extra</w:t>
      </w:r>
      <w:r w:rsidR="00BD262D" w:rsidRPr="00455348">
        <w:rPr>
          <w:rFonts w:ascii="Arial" w:hAnsi="Arial" w:cs="Arial"/>
          <w:sz w:val="22"/>
          <w:szCs w:val="22"/>
          <w:lang w:val="es-419"/>
        </w:rPr>
        <w:t>ordinar</w:t>
      </w:r>
      <w:r w:rsidR="00455348" w:rsidRPr="00455348">
        <w:rPr>
          <w:rFonts w:ascii="Arial" w:hAnsi="Arial" w:cs="Arial"/>
          <w:sz w:val="22"/>
          <w:szCs w:val="22"/>
          <w:lang w:val="es-419"/>
        </w:rPr>
        <w:t>io</w:t>
      </w:r>
      <w:r w:rsidR="00BD262D" w:rsidRPr="00455348">
        <w:rPr>
          <w:rFonts w:ascii="Arial" w:hAnsi="Arial" w:cs="Arial"/>
          <w:sz w:val="22"/>
          <w:szCs w:val="22"/>
          <w:lang w:val="es-419"/>
        </w:rPr>
        <w:t>)</w:t>
      </w:r>
    </w:p>
    <w:p w:rsidR="00BD262D" w:rsidRPr="00455348" w:rsidRDefault="00510347" w:rsidP="00B72A03">
      <w:pPr>
        <w:pStyle w:val="numb1"/>
        <w:tabs>
          <w:tab w:val="clear" w:pos="851"/>
        </w:tabs>
        <w:ind w:hanging="567"/>
        <w:rPr>
          <w:rFonts w:ascii="Arial" w:hAnsi="Arial" w:cs="Arial"/>
          <w:sz w:val="22"/>
          <w:szCs w:val="22"/>
          <w:lang w:val="es-419"/>
        </w:rPr>
      </w:pPr>
      <w:r w:rsidRPr="00455348">
        <w:rPr>
          <w:rFonts w:ascii="Arial" w:hAnsi="Arial" w:cs="Arial"/>
          <w:sz w:val="22"/>
          <w:szCs w:val="22"/>
          <w:lang w:val="es-419"/>
        </w:rPr>
        <w:t>3</w:t>
      </w:r>
      <w:r w:rsidR="00BD262D" w:rsidRPr="00455348">
        <w:rPr>
          <w:rFonts w:ascii="Arial" w:hAnsi="Arial" w:cs="Arial"/>
          <w:sz w:val="22"/>
          <w:szCs w:val="22"/>
          <w:lang w:val="es-419"/>
        </w:rPr>
        <w:t>)</w:t>
      </w:r>
      <w:r w:rsidR="00BD262D" w:rsidRPr="00455348">
        <w:rPr>
          <w:rFonts w:ascii="Arial" w:hAnsi="Arial" w:cs="Arial"/>
          <w:sz w:val="22"/>
          <w:szCs w:val="22"/>
          <w:lang w:val="es-419"/>
        </w:rPr>
        <w:tab/>
      </w:r>
      <w:r w:rsidR="00455348" w:rsidRPr="00455348">
        <w:rPr>
          <w:rFonts w:ascii="Arial" w:hAnsi="Arial" w:cs="Arial"/>
          <w:sz w:val="22"/>
          <w:szCs w:val="22"/>
          <w:lang w:val="es-419"/>
        </w:rPr>
        <w:t xml:space="preserve">Asamblea de la Unión de </w:t>
      </w:r>
      <w:r w:rsidR="00BD262D" w:rsidRPr="00455348">
        <w:rPr>
          <w:rFonts w:ascii="Arial" w:hAnsi="Arial" w:cs="Arial"/>
          <w:sz w:val="22"/>
          <w:szCs w:val="22"/>
          <w:lang w:val="es-419"/>
        </w:rPr>
        <w:t>Bern</w:t>
      </w:r>
      <w:r w:rsidR="00455348" w:rsidRPr="00455348">
        <w:rPr>
          <w:rFonts w:ascii="Arial" w:hAnsi="Arial" w:cs="Arial"/>
          <w:sz w:val="22"/>
          <w:szCs w:val="22"/>
          <w:lang w:val="es-419"/>
        </w:rPr>
        <w:t>a</w:t>
      </w:r>
      <w:r w:rsidR="00BD262D" w:rsidRPr="00455348">
        <w:rPr>
          <w:rFonts w:ascii="Arial" w:hAnsi="Arial" w:cs="Arial"/>
          <w:sz w:val="22"/>
          <w:szCs w:val="22"/>
          <w:lang w:val="es-419"/>
        </w:rPr>
        <w:t xml:space="preserve">, </w:t>
      </w:r>
      <w:r w:rsidR="00455348" w:rsidRPr="00455348">
        <w:rPr>
          <w:rFonts w:ascii="Arial" w:hAnsi="Arial" w:cs="Arial"/>
          <w:sz w:val="22"/>
          <w:szCs w:val="22"/>
          <w:lang w:val="es-419"/>
        </w:rPr>
        <w:t>cuadragésimo noveno período de sesiones</w:t>
      </w:r>
      <w:r w:rsidR="00D15756" w:rsidRPr="00455348">
        <w:rPr>
          <w:rFonts w:ascii="Arial" w:hAnsi="Arial" w:cs="Arial"/>
          <w:sz w:val="22"/>
          <w:szCs w:val="22"/>
          <w:lang w:val="es-419"/>
        </w:rPr>
        <w:t xml:space="preserve"> </w:t>
      </w:r>
      <w:r w:rsidR="00BD262D" w:rsidRPr="00455348">
        <w:rPr>
          <w:rFonts w:ascii="Arial" w:hAnsi="Arial" w:cs="Arial"/>
          <w:sz w:val="22"/>
          <w:szCs w:val="22"/>
          <w:lang w:val="es-419"/>
        </w:rPr>
        <w:t>(</w:t>
      </w:r>
      <w:r w:rsidR="00D15756" w:rsidRPr="00455348">
        <w:rPr>
          <w:rFonts w:ascii="Arial" w:hAnsi="Arial" w:cs="Arial"/>
          <w:sz w:val="22"/>
          <w:szCs w:val="22"/>
          <w:lang w:val="es-419"/>
        </w:rPr>
        <w:t>25</w:t>
      </w:r>
      <w:r w:rsidR="00455348" w:rsidRPr="00455348">
        <w:rPr>
          <w:rFonts w:ascii="Arial" w:hAnsi="Arial" w:cs="Arial"/>
          <w:sz w:val="22"/>
          <w:szCs w:val="22"/>
          <w:lang w:val="es-419"/>
        </w:rPr>
        <w:t>.º</w:t>
      </w:r>
      <w:r w:rsidR="00D15756" w:rsidRPr="00455348">
        <w:rPr>
          <w:rFonts w:ascii="Arial" w:hAnsi="Arial" w:cs="Arial"/>
          <w:sz w:val="22"/>
          <w:szCs w:val="22"/>
          <w:lang w:val="es-419"/>
        </w:rPr>
        <w:t>extra</w:t>
      </w:r>
      <w:r w:rsidR="00BD262D" w:rsidRPr="00455348">
        <w:rPr>
          <w:rFonts w:ascii="Arial" w:hAnsi="Arial" w:cs="Arial"/>
          <w:sz w:val="22"/>
          <w:szCs w:val="22"/>
          <w:lang w:val="es-419"/>
        </w:rPr>
        <w:t>ordinar</w:t>
      </w:r>
      <w:r w:rsidR="00455348" w:rsidRPr="00455348">
        <w:rPr>
          <w:rFonts w:ascii="Arial" w:hAnsi="Arial" w:cs="Arial"/>
          <w:sz w:val="22"/>
          <w:szCs w:val="22"/>
          <w:lang w:val="es-419"/>
        </w:rPr>
        <w:t>io)</w:t>
      </w:r>
    </w:p>
    <w:p w:rsidR="00B72A03" w:rsidRDefault="00B72A03">
      <w:pPr>
        <w:rPr>
          <w:bCs/>
          <w:iCs/>
          <w:szCs w:val="28"/>
          <w:u w:val="single"/>
          <w:lang w:val="es-ES"/>
        </w:rPr>
      </w:pPr>
      <w:r>
        <w:rPr>
          <w:caps/>
          <w:u w:val="single"/>
          <w:lang w:val="es-ES"/>
        </w:rPr>
        <w:br w:type="page"/>
      </w:r>
    </w:p>
    <w:p w:rsidR="00BD262D" w:rsidRPr="00503D46" w:rsidRDefault="00455348" w:rsidP="00B72A03">
      <w:pPr>
        <w:pStyle w:val="Heading2"/>
        <w:keepNext w:val="0"/>
        <w:rPr>
          <w:lang w:val="es-ES"/>
        </w:rPr>
      </w:pPr>
      <w:r w:rsidRPr="00503D46">
        <w:rPr>
          <w:caps w:val="0"/>
          <w:u w:val="single"/>
          <w:lang w:val="es-ES"/>
        </w:rPr>
        <w:lastRenderedPageBreak/>
        <w:t>Miembros</w:t>
      </w:r>
    </w:p>
    <w:p w:rsidR="00BD262D" w:rsidRPr="008257AC" w:rsidRDefault="00BD262D" w:rsidP="00B72A03">
      <w:pPr>
        <w:spacing w:after="240"/>
        <w:rPr>
          <w:lang w:val="es-ES"/>
        </w:rPr>
      </w:pPr>
      <w:r w:rsidRPr="008257AC">
        <w:rPr>
          <w:lang w:val="es-ES"/>
        </w:rPr>
        <w:t>2.</w:t>
      </w:r>
      <w:r w:rsidRPr="008257AC">
        <w:rPr>
          <w:lang w:val="es-ES"/>
        </w:rPr>
        <w:tab/>
      </w:r>
      <w:r w:rsidR="00455348" w:rsidRPr="008257AC">
        <w:rPr>
          <w:lang w:val="es-ES"/>
        </w:rPr>
        <w:t>Los miembros de cada una de las tres Asambleas de los Estados miembros</w:t>
      </w:r>
      <w:r w:rsidR="008257AC" w:rsidRPr="008257AC">
        <w:rPr>
          <w:lang w:val="es-ES"/>
        </w:rPr>
        <w:t xml:space="preserve"> en cuestión son los siguientes</w:t>
      </w:r>
      <w:r w:rsidRPr="008257AC">
        <w:rPr>
          <w:lang w:val="es-ES"/>
        </w:rPr>
        <w:t>:</w:t>
      </w:r>
    </w:p>
    <w:p w:rsidR="00BD262D" w:rsidRPr="008257AC" w:rsidRDefault="00BD262D" w:rsidP="00B72A03">
      <w:pPr>
        <w:pStyle w:val="numb1"/>
        <w:tabs>
          <w:tab w:val="clear" w:pos="851"/>
        </w:tabs>
        <w:spacing w:after="240"/>
        <w:ind w:left="1138" w:right="0" w:hanging="571"/>
        <w:rPr>
          <w:rFonts w:ascii="Arial" w:hAnsi="Arial" w:cs="Arial"/>
          <w:sz w:val="22"/>
          <w:szCs w:val="22"/>
          <w:lang w:val="es-ES"/>
        </w:rPr>
      </w:pPr>
      <w:r w:rsidRPr="008257AC">
        <w:rPr>
          <w:rFonts w:ascii="Arial" w:hAnsi="Arial" w:cs="Arial"/>
          <w:sz w:val="22"/>
          <w:szCs w:val="22"/>
          <w:lang w:val="es-ES"/>
        </w:rPr>
        <w:t>1)</w:t>
      </w:r>
      <w:r w:rsidRPr="008257AC">
        <w:rPr>
          <w:rFonts w:ascii="Arial" w:hAnsi="Arial" w:cs="Arial"/>
          <w:sz w:val="22"/>
          <w:szCs w:val="22"/>
          <w:lang w:val="es-ES"/>
        </w:rPr>
        <w:tab/>
      </w:r>
      <w:r w:rsidR="008257AC" w:rsidRPr="008257AC">
        <w:rPr>
          <w:rFonts w:ascii="Arial" w:hAnsi="Arial" w:cs="Arial"/>
          <w:sz w:val="22"/>
          <w:szCs w:val="22"/>
          <w:lang w:val="es-ES"/>
        </w:rPr>
        <w:t>Asamblea General de la OMPI: 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Ecuatorial, Guinea</w:t>
      </w:r>
      <w:r w:rsidR="008257AC" w:rsidRPr="008257AC">
        <w:rPr>
          <w:rFonts w:ascii="Arial" w:hAnsi="Arial" w:cs="Arial"/>
          <w:sz w:val="22"/>
          <w:szCs w:val="22"/>
          <w:lang w:val="es-ES"/>
        </w:rPr>
        <w:noBreakHyphen/>
        <w:t>Bissau, Guyana, Haití, Honduras, Hungría, India, Indonesia, Irán (República Islámica del), Iraq, Irlanda, Islandia, Islas Cook, Islas Salomón, Israel, Italia, Jamaica, Japón, Jordania, Kazajstán, Kenya, Kirguistán, Kiribati, Kuwait, Lesotho, Letonia, Líbano, Liberia, Libia, Liechtenstein, Lituania, Luxemburgo, Macedonia del Norte, Madagascar, Malasia, Malawi, Malí, Malta, Marruecos, Mauricio, Mauritania, México, Mónaco, Mongolia, Montenegro, Mozambique, Namibia, Nepal, Nicaragua, Níger, Nigeria, Niue, Noruega, Nueva Zelandia, Omán, Países Bajos, Pakistán, Panamá, Papua Nueva Guinea, Paraguay, Perú, Polonia, Portugal, Qatar, Reino Unido, República Árabe Siria, República Centroafricana, República Checa, República de Corea, República de Moldova, República Democrática Popular Lao, República Dominicana, República Popular Democrática de Corea, República Unida de Tanzanía, República Democrática del  Congo, Rumania, Rwanda, Saint Kitts y Nevis, Samoa, San Marino, San Vicente y las Granadinas, Santa Lucía, Santa Sede, Santo Tomé y Príncipe, Senegal, Serbia, Seychelles, Sierra Leona, Singapur, Sri Lanka, Sudáfrica, Sudán, Suecia, Suiza, Suriname, Tailandia, Tayikistán, Togo, Tonga, Trinidad y Tabago, Túnez, Turkmenistán, Turquía, Tuvalu, Ucrania, Uganda, Uruguay, Uzbekistán, Vanuatu, Venezuela (República Bolivariana de), Viet Nam, Yemen, Zambia, Zimbabwe (185).</w:t>
      </w:r>
    </w:p>
    <w:p w:rsidR="00BD262D" w:rsidRPr="008257AC" w:rsidRDefault="003F65A3" w:rsidP="00B72A03">
      <w:pPr>
        <w:spacing w:after="240"/>
        <w:ind w:left="1134" w:hanging="567"/>
        <w:rPr>
          <w:szCs w:val="22"/>
          <w:lang w:val="es-ES"/>
        </w:rPr>
      </w:pPr>
      <w:r w:rsidRPr="008257AC">
        <w:rPr>
          <w:szCs w:val="22"/>
          <w:lang w:val="es-ES"/>
        </w:rPr>
        <w:t>2</w:t>
      </w:r>
      <w:r w:rsidR="00BD262D" w:rsidRPr="008257AC">
        <w:rPr>
          <w:szCs w:val="22"/>
          <w:lang w:val="es-ES"/>
        </w:rPr>
        <w:t>)</w:t>
      </w:r>
      <w:r w:rsidR="00BD262D" w:rsidRPr="008257AC">
        <w:rPr>
          <w:szCs w:val="22"/>
          <w:lang w:val="es-ES"/>
        </w:rPr>
        <w:tab/>
      </w:r>
      <w:r w:rsidR="008257AC" w:rsidRPr="000E629C">
        <w:rPr>
          <w:u w:val="single"/>
          <w:lang w:val="es-419"/>
        </w:rPr>
        <w:t>Asamblea de la Unión de París</w:t>
      </w:r>
      <w:r w:rsidR="008257AC" w:rsidRPr="000E629C">
        <w:rPr>
          <w:lang w:val="es-419"/>
        </w:rPr>
        <w:t xml:space="preserve">: 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Bissau, Guinea Ecuatorial, Guyana, Haití, Honduras, Hungría, India, Indonesia, Irán (República Islámica del), Iraq, Irlanda, Islandia, Israel, Italia, Jamaica, Japón, Jordania, Kazajstán, Kenya, Kirguistán, Kuwait, Lesotho, Letonia, Líbano, Liberia, Libia, Liechtenstein, Lituania, Luxemburgo, Macedonia del Norte, Madagascar, Malasia, Malawi, Malí, Malta, Marruecos, Mauricio, Mauritania, México, Mónaco, Mongolia, Montenegro, Mozambique, Namibia, Nepal, Nicaragua, Níger,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w:t>
      </w:r>
      <w:r w:rsidR="008257AC" w:rsidRPr="000E629C">
        <w:rPr>
          <w:lang w:val="es-419"/>
        </w:rPr>
        <w:lastRenderedPageBreak/>
        <w:t>Popular Lao, República Popular Democrática de Corea, República Unida de Tanzanía, Rumania, Rwanda, Saint Kitts y Nevis, Samoa, San Vicente y las Granadinas, San Marino, Santa Lucía, Santa Sede, Santo Tomé y Príncipe, Senegal, Serbia, Seychelles, Sierra Leona, Singapur, Sri Lanka, Sudáfrica, Sudán, Suecia, Suiza, Suriname, Tailandia, Tayikistán, Togo, Tonga, Trinidad y Tabago, Túnez, Turkmenistán, Turquía, Ucrania, Uganda, Uruguay, Uzbekistán, Venezuela (República Bolivariana de), Viet Nam, Yemen, Zambia, Zimbabwe (175)</w:t>
      </w:r>
      <w:r w:rsidR="00BD262D" w:rsidRPr="008257AC">
        <w:rPr>
          <w:rStyle w:val="numb1Char"/>
          <w:sz w:val="22"/>
          <w:szCs w:val="22"/>
          <w:lang w:val="es-ES"/>
        </w:rPr>
        <w:t>.</w:t>
      </w:r>
    </w:p>
    <w:p w:rsidR="00BD262D" w:rsidRPr="008257AC" w:rsidRDefault="003F65A3" w:rsidP="00B72A03">
      <w:pPr>
        <w:spacing w:after="240"/>
        <w:ind w:left="1134" w:hanging="567"/>
        <w:rPr>
          <w:szCs w:val="22"/>
          <w:lang w:val="es-ES"/>
        </w:rPr>
      </w:pPr>
      <w:r w:rsidRPr="008257AC">
        <w:rPr>
          <w:szCs w:val="22"/>
          <w:lang w:val="es-ES"/>
        </w:rPr>
        <w:t>3</w:t>
      </w:r>
      <w:r w:rsidR="00BD262D" w:rsidRPr="008257AC">
        <w:rPr>
          <w:szCs w:val="22"/>
          <w:lang w:val="es-ES"/>
        </w:rPr>
        <w:t>)</w:t>
      </w:r>
      <w:r w:rsidR="00BD262D" w:rsidRPr="008257AC">
        <w:rPr>
          <w:szCs w:val="22"/>
          <w:lang w:val="es-ES"/>
        </w:rPr>
        <w:tab/>
      </w:r>
      <w:r w:rsidR="008257AC" w:rsidRPr="008257AC">
        <w:rPr>
          <w:szCs w:val="22"/>
          <w:lang w:val="es-ES"/>
        </w:rPr>
        <w:t xml:space="preserve">Asamblea de la Unión de Berna: Afganistán,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Bissau, Guinea Ecuatorial, Guyana, Haití, Honduras, Hungría, India, Indonesia, Irlanda, Islandia, Islas Cook, Islas Salomón, Israel, Italia, Jamaica, Japón, Jordania, Kazajstán, Kenya, Kirguistán, Kiribati, Kuwait, Lesotho, Letonia, Liberia, Libia, Liechtenstein, Lituania, Luxemburgo, Macedonia del Norte, Malasia, Malawi, Malí, Malta, Marruecos, Mauricio, Mauritania, México, Micronesia (Estados Federados de), Mónaco, Mongolia, Montenegro, Mozambique, Namibia, Nepal, Nicaragua, Níger, Nigeria, Niue, Noruega, Nueva Zelandia, Omán, Países Bajos, Pakistán, Panamá,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República Dominicana, Rumania, Rwanda, Saint Kitts y Nevis, Samoa, San Vicente y las Granadinas, Santa Lucía, Santa Sede, Santo Tomé y Príncipe, Senegal, Serbia, Singapur, Sri Lanka, Sudáfrica, Sudán, Suecia, Suiza, Suriname, Tailandia, Tayikistán, Togo, Tonga, Trinidad y Tabago, Túnez, Turkmenistán, Turquía, Tuvalu, Ucrania, Uruguay, Uzbekistán, Vanuatu, Venezuela (República Bolivariana de), Viet Nam, Yemen, Zambia, Zimbabwe </w:t>
      </w:r>
      <w:r w:rsidR="00BD262D" w:rsidRPr="008257AC">
        <w:rPr>
          <w:lang w:val="es-ES"/>
        </w:rPr>
        <w:t>(</w:t>
      </w:r>
      <w:r w:rsidR="009953C1" w:rsidRPr="008257AC">
        <w:rPr>
          <w:lang w:val="es-ES"/>
        </w:rPr>
        <w:t>17</w:t>
      </w:r>
      <w:r w:rsidR="00F66936" w:rsidRPr="008257AC">
        <w:rPr>
          <w:lang w:val="es-ES"/>
        </w:rPr>
        <w:t>5</w:t>
      </w:r>
      <w:r w:rsidR="00BD262D" w:rsidRPr="008257AC">
        <w:rPr>
          <w:lang w:val="es-ES"/>
        </w:rPr>
        <w:t>)</w:t>
      </w:r>
      <w:r w:rsidR="00BD262D" w:rsidRPr="008257AC">
        <w:rPr>
          <w:rStyle w:val="numb1Char"/>
          <w:sz w:val="22"/>
          <w:szCs w:val="22"/>
          <w:lang w:val="es-ES"/>
        </w:rPr>
        <w:t>.</w:t>
      </w:r>
    </w:p>
    <w:p w:rsidR="00BD262D" w:rsidRPr="00503D46" w:rsidRDefault="00F959CE" w:rsidP="00B72A03">
      <w:pPr>
        <w:pStyle w:val="Heading2"/>
        <w:keepNext w:val="0"/>
        <w:spacing w:after="240"/>
        <w:rPr>
          <w:rFonts w:ascii="Times New Roman" w:hAnsi="Times New Roman" w:cs="Times New Roman"/>
          <w:sz w:val="24"/>
          <w:u w:val="single"/>
          <w:lang w:val="es-ES"/>
        </w:rPr>
      </w:pPr>
      <w:r w:rsidRPr="00503D46">
        <w:rPr>
          <w:caps w:val="0"/>
          <w:u w:val="single"/>
          <w:lang w:val="es-ES"/>
        </w:rPr>
        <w:t>Observ</w:t>
      </w:r>
      <w:r w:rsidR="008257AC" w:rsidRPr="00503D46">
        <w:rPr>
          <w:caps w:val="0"/>
          <w:u w:val="single"/>
          <w:lang w:val="es-ES"/>
        </w:rPr>
        <w:t>adores</w:t>
      </w:r>
    </w:p>
    <w:p w:rsidR="00BD262D" w:rsidRPr="00C07325" w:rsidRDefault="00BD262D" w:rsidP="00B72A03">
      <w:pPr>
        <w:spacing w:after="240"/>
        <w:rPr>
          <w:lang w:val="es-ES"/>
        </w:rPr>
      </w:pPr>
      <w:r w:rsidRPr="00C07325">
        <w:rPr>
          <w:lang w:val="es-ES"/>
        </w:rPr>
        <w:t>3.</w:t>
      </w:r>
      <w:r w:rsidRPr="00C07325">
        <w:rPr>
          <w:lang w:val="es-ES"/>
        </w:rPr>
        <w:tab/>
      </w:r>
      <w:r w:rsidR="00C07325" w:rsidRPr="00A9090A">
        <w:rPr>
          <w:lang w:val="es-ES"/>
        </w:rPr>
        <w:t>Todo Estado que no sea miembro de ninguna de las Asambleas</w:t>
      </w:r>
      <w:r w:rsidRPr="00C07325">
        <w:rPr>
          <w:lang w:val="es-ES"/>
        </w:rPr>
        <w:t xml:space="preserve"> </w:t>
      </w:r>
      <w:r w:rsidR="00C07325" w:rsidRPr="00C07325">
        <w:rPr>
          <w:lang w:val="es-ES"/>
        </w:rPr>
        <w:t xml:space="preserve">que se mencionan en los </w:t>
      </w:r>
      <w:r w:rsidR="00AB3E84" w:rsidRPr="00C07325">
        <w:rPr>
          <w:lang w:val="es-ES"/>
        </w:rPr>
        <w:t>apartados</w:t>
      </w:r>
      <w:r w:rsidR="00C07325" w:rsidRPr="00C07325">
        <w:rPr>
          <w:lang w:val="es-ES"/>
        </w:rPr>
        <w:t xml:space="preserve"> 1, 2 y 3 del párrafo 1 </w:t>
      </w:r>
      <w:r w:rsidR="00C07325" w:rsidRPr="00A9090A">
        <w:rPr>
          <w:i/>
          <w:lang w:val="es-ES"/>
        </w:rPr>
        <w:t>supra</w:t>
      </w:r>
      <w:r w:rsidR="00C07325" w:rsidRPr="00A9090A">
        <w:rPr>
          <w:lang w:val="es-ES"/>
        </w:rPr>
        <w:t xml:space="preserve">, </w:t>
      </w:r>
      <w:r w:rsidR="00503D46">
        <w:rPr>
          <w:lang w:val="es-ES"/>
        </w:rPr>
        <w:t>pero sea miembro de la Conferencia de la OMPI</w:t>
      </w:r>
      <w:r w:rsidR="00503D46">
        <w:rPr>
          <w:rStyle w:val="FootnoteReference"/>
          <w:szCs w:val="22"/>
        </w:rPr>
        <w:footnoteReference w:id="2"/>
      </w:r>
      <w:r w:rsidR="00503D46">
        <w:rPr>
          <w:lang w:val="es-ES"/>
        </w:rPr>
        <w:t xml:space="preserve">, </w:t>
      </w:r>
      <w:r w:rsidR="00C07325" w:rsidRPr="00A9090A">
        <w:rPr>
          <w:lang w:val="es-ES"/>
        </w:rPr>
        <w:t>podrá estar representado en calidad de observador en dichas Asambleas</w:t>
      </w:r>
      <w:r w:rsidRPr="00C07325">
        <w:rPr>
          <w:lang w:val="es-ES"/>
        </w:rPr>
        <w:t xml:space="preserve">. </w:t>
      </w:r>
      <w:r w:rsidR="00C07325" w:rsidRPr="00A9090A">
        <w:rPr>
          <w:lang w:val="es-ES"/>
        </w:rPr>
        <w:t xml:space="preserve">Análogamente, todo Estado que no sea miembro de ninguna de las Asambleas que se mencionan en el párrafo 1 </w:t>
      </w:r>
      <w:r w:rsidR="00C07325" w:rsidRPr="00A9090A">
        <w:rPr>
          <w:i/>
          <w:lang w:val="es-ES"/>
        </w:rPr>
        <w:t>supra</w:t>
      </w:r>
      <w:r w:rsidR="00C07325" w:rsidRPr="00A9090A">
        <w:rPr>
          <w:lang w:val="es-ES"/>
        </w:rPr>
        <w:t>, pero sea miembro de las Naciones Unidas o de cualquier de sus organismos especializados (</w:t>
      </w:r>
      <w:r w:rsidR="00503D46">
        <w:rPr>
          <w:lang w:val="es-ES"/>
        </w:rPr>
        <w:t xml:space="preserve">que no sea </w:t>
      </w:r>
      <w:r w:rsidR="00A9090A" w:rsidRPr="00A9090A">
        <w:rPr>
          <w:lang w:val="es-ES"/>
        </w:rPr>
        <w:t>la OMPI), podrá estar representado en calidad de observador en las Asambleas</w:t>
      </w:r>
      <w:r w:rsidRPr="00C07325">
        <w:rPr>
          <w:lang w:val="es-ES"/>
        </w:rPr>
        <w:t>.</w:t>
      </w:r>
    </w:p>
    <w:p w:rsidR="00BD262D" w:rsidRPr="00A9090A" w:rsidRDefault="00BD262D" w:rsidP="00B72A03">
      <w:pPr>
        <w:keepNext/>
        <w:keepLines/>
        <w:spacing w:after="240"/>
        <w:rPr>
          <w:lang w:val="es-ES"/>
        </w:rPr>
      </w:pPr>
      <w:r w:rsidRPr="00A9090A">
        <w:rPr>
          <w:lang w:val="es-ES"/>
        </w:rPr>
        <w:lastRenderedPageBreak/>
        <w:t>4.</w:t>
      </w:r>
      <w:r w:rsidRPr="00A9090A">
        <w:rPr>
          <w:lang w:val="es-ES"/>
        </w:rPr>
        <w:tab/>
      </w:r>
      <w:r w:rsidR="00A9090A" w:rsidRPr="00A9090A">
        <w:rPr>
          <w:lang w:val="es-ES"/>
        </w:rPr>
        <w:t>Se ha invitado a los siguientes observadores a estar representados</w:t>
      </w:r>
      <w:r w:rsidRPr="00A9090A">
        <w:rPr>
          <w:lang w:val="es-ES"/>
        </w:rPr>
        <w:t>:</w:t>
      </w:r>
    </w:p>
    <w:p w:rsidR="00BD262D" w:rsidRPr="00A9090A" w:rsidRDefault="00A9090A" w:rsidP="00B72A03">
      <w:pPr>
        <w:pStyle w:val="numb1"/>
        <w:keepNext/>
        <w:keepLines/>
        <w:tabs>
          <w:tab w:val="clear" w:pos="851"/>
        </w:tabs>
        <w:spacing w:after="240"/>
        <w:ind w:left="567" w:firstLine="0"/>
        <w:rPr>
          <w:rFonts w:ascii="Arial" w:hAnsi="Arial" w:cs="Arial"/>
          <w:sz w:val="22"/>
          <w:szCs w:val="22"/>
          <w:lang w:val="es-ES"/>
        </w:rPr>
      </w:pPr>
      <w:r>
        <w:rPr>
          <w:rFonts w:ascii="Arial" w:hAnsi="Arial" w:cs="Arial"/>
          <w:sz w:val="22"/>
          <w:szCs w:val="22"/>
          <w:lang w:val="es-ES"/>
        </w:rPr>
        <w:t>En todas las tres Asambleas que se mencionan en el párrafo</w:t>
      </w:r>
      <w:r w:rsidR="002F032C" w:rsidRPr="00A9090A">
        <w:rPr>
          <w:rFonts w:ascii="Arial" w:hAnsi="Arial" w:cs="Arial"/>
          <w:sz w:val="22"/>
          <w:szCs w:val="22"/>
          <w:lang w:val="es-ES"/>
        </w:rPr>
        <w:t> </w:t>
      </w:r>
      <w:r w:rsidR="00BD262D" w:rsidRPr="00A9090A">
        <w:rPr>
          <w:rFonts w:ascii="Arial" w:hAnsi="Arial" w:cs="Arial"/>
          <w:sz w:val="22"/>
          <w:szCs w:val="22"/>
          <w:lang w:val="es-ES"/>
        </w:rPr>
        <w:t>1</w:t>
      </w:r>
      <w:r>
        <w:rPr>
          <w:rFonts w:ascii="Arial" w:hAnsi="Arial" w:cs="Arial"/>
          <w:sz w:val="22"/>
          <w:szCs w:val="22"/>
          <w:lang w:val="es-ES"/>
        </w:rPr>
        <w:t xml:space="preserve"> </w:t>
      </w:r>
      <w:r>
        <w:rPr>
          <w:rFonts w:ascii="Arial" w:hAnsi="Arial" w:cs="Arial"/>
          <w:i/>
          <w:sz w:val="22"/>
          <w:szCs w:val="22"/>
          <w:lang w:val="es-ES"/>
        </w:rPr>
        <w:t>supra</w:t>
      </w:r>
      <w:r w:rsidR="00BD262D" w:rsidRPr="00A9090A">
        <w:rPr>
          <w:rFonts w:ascii="Arial" w:hAnsi="Arial" w:cs="Arial"/>
          <w:sz w:val="22"/>
          <w:szCs w:val="22"/>
          <w:lang w:val="es-ES"/>
        </w:rPr>
        <w:t>:</w:t>
      </w:r>
    </w:p>
    <w:p w:rsidR="00A9090A" w:rsidRPr="000E629C" w:rsidRDefault="00A9090A" w:rsidP="00B72A03">
      <w:pPr>
        <w:keepNext/>
        <w:keepLines/>
        <w:spacing w:after="240"/>
        <w:ind w:left="1701" w:hanging="567"/>
        <w:rPr>
          <w:lang w:val="es-419"/>
        </w:rPr>
      </w:pPr>
      <w:r w:rsidRPr="000E629C">
        <w:rPr>
          <w:lang w:val="es-419"/>
        </w:rPr>
        <w:t>i)</w:t>
      </w:r>
      <w:r w:rsidRPr="000E629C">
        <w:rPr>
          <w:lang w:val="es-419"/>
        </w:rPr>
        <w:tab/>
        <w:t>Palestina;</w:t>
      </w:r>
    </w:p>
    <w:p w:rsidR="00A9090A" w:rsidRPr="000E629C" w:rsidRDefault="00A9090A" w:rsidP="00B72A03">
      <w:pPr>
        <w:spacing w:after="240"/>
        <w:ind w:left="1701" w:hanging="567"/>
        <w:rPr>
          <w:lang w:val="es-419"/>
        </w:rPr>
      </w:pPr>
      <w:r w:rsidRPr="000E629C">
        <w:rPr>
          <w:lang w:val="es-419"/>
        </w:rPr>
        <w:t>ii)</w:t>
      </w:r>
      <w:r w:rsidRPr="000E629C">
        <w:rPr>
          <w:lang w:val="es-419"/>
        </w:rPr>
        <w:tab/>
        <w:t>Organizaciones del Sistema de las Naciones Unidas: Naciones Unidas (ONU),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rsidR="00A9090A" w:rsidRPr="000E629C" w:rsidRDefault="00A9090A" w:rsidP="00B72A03">
      <w:pPr>
        <w:spacing w:after="240"/>
        <w:ind w:left="1701" w:hanging="567"/>
        <w:rPr>
          <w:lang w:val="es-419"/>
        </w:rPr>
      </w:pPr>
      <w:r w:rsidRPr="000E629C">
        <w:rPr>
          <w:lang w:val="es-419"/>
        </w:rPr>
        <w:t>iii)</w:t>
      </w:r>
      <w:r w:rsidRPr="000E629C">
        <w:rPr>
          <w:lang w:val="es-419"/>
        </w:rPr>
        <w:tab/>
        <w:t>Organizaciones de propiedad intelectual: Consejo Interestatal sobre la Protección de la Propiedad Industrial (ICPIP), Instituto Nórdico de Patentes (NPI), Instituto de Patentes de Visegrado (VPI),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(11);</w:t>
      </w:r>
    </w:p>
    <w:p w:rsidR="00A9090A" w:rsidRPr="000E629C" w:rsidRDefault="00A9090A" w:rsidP="00B72A03">
      <w:pPr>
        <w:spacing w:after="240"/>
        <w:ind w:left="1701" w:hanging="567"/>
        <w:rPr>
          <w:lang w:val="es-419"/>
        </w:rPr>
      </w:pPr>
      <w:r w:rsidRPr="000E629C">
        <w:rPr>
          <w:lang w:val="es-419"/>
        </w:rPr>
        <w:t>iv)</w:t>
      </w:r>
      <w:r w:rsidRPr="000E629C">
        <w:rPr>
          <w:lang w:val="es-419"/>
        </w:rPr>
        <w:tab/>
        <w:t xml:space="preserve">Otras organizaciones intergubernamentales: </w:t>
      </w:r>
      <w:r w:rsidRPr="000E629C">
        <w:rPr>
          <w:i/>
          <w:lang w:val="es-419"/>
        </w:rPr>
        <w:t>Asian-African Legal Consultative Committee</w:t>
      </w:r>
      <w:r w:rsidRPr="000E629C">
        <w:rPr>
          <w:lang w:val="es-419"/>
        </w:rPr>
        <w:t xml:space="preserve"> (AALCC), Asociación de Naciones del Asia Sudoriental (ASEAN), Asociación Europea de Libre Comercio (AELC), Asociación Latinoamericana de Integración (ALADI), Centro del Sur (CS), Centro Regional Africano de Tecnología (CRAT), Centro Regional para el Fomento del Libro en América Latina y el Caribe (CERLALC), Comisión Económica Eurasiática (CEE), Comisión Europea, </w:t>
      </w:r>
      <w:r w:rsidRPr="000E629C">
        <w:rPr>
          <w:i/>
          <w:lang w:val="es-419"/>
        </w:rPr>
        <w:t>Common Language Resources and Technology Infrastructure as European Research Infrastructure Consortium</w:t>
      </w:r>
      <w:r w:rsidRPr="000E629C">
        <w:rPr>
          <w:lang w:val="es-419"/>
        </w:rPr>
        <w:t xml:space="preserve"> (CLARIN ERIC), </w:t>
      </w:r>
      <w:r w:rsidRPr="000E629C">
        <w:rPr>
          <w:i/>
          <w:lang w:val="es-419"/>
        </w:rPr>
        <w:t>Commonwealth of Learning</w:t>
      </w:r>
      <w:r w:rsidRPr="000E629C">
        <w:rPr>
          <w:lang w:val="es-419"/>
        </w:rPr>
        <w:t xml:space="preserve"> (COL), Comunidad de África Meridional para el Desarrollo (SADC), Comunidad de Estados Independientes (CEI), Comunidad de Países de Lengua Portuguesa (CPLP), Comunidad del Caribe (CARICOM), Comunidad Económica de los Países de los Grandes Lagos (CEPGL), Comunidad Económica y Monetaria del África Central</w:t>
      </w:r>
      <w:r w:rsidRPr="000E629C">
        <w:rPr>
          <w:i/>
          <w:lang w:val="es-419"/>
        </w:rPr>
        <w:t xml:space="preserve"> </w:t>
      </w:r>
      <w:r w:rsidRPr="000E629C">
        <w:rPr>
          <w:lang w:val="es-419"/>
        </w:rPr>
        <w:t xml:space="preserve">(CEMAC), Conferencia de Autoridades Latinoamericanas de Informática (CALAI), Conferencia de La Haya sobre Derecho Internacional Privado (HCCH), Consejo de Europa, Consejo Oleícola Internacional (COI), </w:t>
      </w:r>
      <w:r w:rsidRPr="000E629C">
        <w:rPr>
          <w:i/>
          <w:lang w:val="es-419"/>
        </w:rPr>
        <w:t>European Public Law Organization</w:t>
      </w:r>
      <w:r w:rsidRPr="000E629C">
        <w:rPr>
          <w:lang w:val="es-419"/>
        </w:rPr>
        <w:t xml:space="preserve"> (EPLO),</w:t>
      </w:r>
      <w:r w:rsidRPr="000E629C">
        <w:rPr>
          <w:i/>
          <w:lang w:val="es-419"/>
        </w:rPr>
        <w:t xml:space="preserve"> </w:t>
      </w:r>
      <w:r w:rsidRPr="000E629C">
        <w:rPr>
          <w:lang w:val="es-419"/>
        </w:rPr>
        <w:t xml:space="preserve">Federación de Consejos Árabes de Investigación Científica, Fondo del Commonwealth para la Cooperación Técnica (CFTC), Grupo de Estados de África, el Caribe y el Pacífico (Grupo ACP), Instituto Internacional para la Unificación del Derecho Privado (UNIDROIT),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w:t>
      </w:r>
      <w:r w:rsidRPr="000E629C">
        <w:rPr>
          <w:lang w:val="es-419"/>
        </w:rPr>
        <w:lastRenderedPageBreak/>
        <w:t>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(47);</w:t>
      </w:r>
    </w:p>
    <w:p w:rsidR="00BD262D" w:rsidRPr="00A9090A" w:rsidRDefault="00BD262D" w:rsidP="00B72A03">
      <w:pPr>
        <w:spacing w:after="240"/>
        <w:ind w:left="1701" w:hanging="567"/>
        <w:rPr>
          <w:szCs w:val="22"/>
          <w:lang w:val="es-ES"/>
        </w:rPr>
      </w:pPr>
      <w:r w:rsidRPr="00A9090A">
        <w:rPr>
          <w:szCs w:val="22"/>
          <w:lang w:val="es-ES"/>
        </w:rPr>
        <w:t>v)</w:t>
      </w:r>
      <w:r w:rsidRPr="00A9090A">
        <w:rPr>
          <w:szCs w:val="22"/>
          <w:lang w:val="es-ES"/>
        </w:rPr>
        <w:tab/>
      </w:r>
      <w:r w:rsidR="00A9090A" w:rsidRPr="00A9090A">
        <w:rPr>
          <w:lang w:val="es-419"/>
        </w:rPr>
        <w:t>todas las organizaciones no gubernamentales que tengan condición de observador ante la OMPI y las Uniones que administra la OMPI; su lista figura en el Anexo</w:t>
      </w:r>
      <w:r w:rsidRPr="00A9090A">
        <w:rPr>
          <w:szCs w:val="22"/>
          <w:lang w:val="es-ES"/>
        </w:rPr>
        <w:t>.</w:t>
      </w:r>
    </w:p>
    <w:p w:rsidR="00BD262D" w:rsidRPr="00B72A03" w:rsidRDefault="00A9090A" w:rsidP="00B72A03">
      <w:pPr>
        <w:pStyle w:val="Heading2"/>
        <w:keepNext w:val="0"/>
        <w:spacing w:before="0" w:after="240"/>
        <w:rPr>
          <w:lang w:val="es-ES"/>
        </w:rPr>
      </w:pPr>
      <w:r w:rsidRPr="00B72A03">
        <w:rPr>
          <w:caps w:val="0"/>
          <w:u w:val="single"/>
          <w:lang w:val="es-ES"/>
        </w:rPr>
        <w:t>Normas de procedimiento</w:t>
      </w:r>
    </w:p>
    <w:p w:rsidR="00BD262D" w:rsidRPr="00A9090A" w:rsidRDefault="00B72A03" w:rsidP="00B72A03">
      <w:pPr>
        <w:spacing w:after="960"/>
        <w:rPr>
          <w:szCs w:val="22"/>
          <w:lang w:val="es-ES"/>
        </w:rPr>
      </w:pPr>
      <w:r>
        <w:rPr>
          <w:szCs w:val="22"/>
          <w:lang w:val="es-419"/>
        </w:rPr>
        <w:t>5.</w:t>
      </w:r>
      <w:r>
        <w:rPr>
          <w:szCs w:val="22"/>
          <w:lang w:val="es-419"/>
        </w:rPr>
        <w:tab/>
      </w:r>
      <w:r w:rsidR="00A9090A" w:rsidRPr="000E629C">
        <w:rPr>
          <w:szCs w:val="22"/>
          <w:lang w:val="es-419"/>
        </w:rPr>
        <w:t>Las normas de procedimiento de las Asambleas y demás órganos de los Estados miembros de la OMPI y de las Uniones que la OMPI administra se estipulan en los tratados que establecen la OMPI y las Uniones, el “Reglamento General de la OMPI” (publicación 399 Rev.3) y los “Reglamentos especiales” (documento A/57/INF/6), que se pueden consultar en el sitio web de la OMPI.</w:t>
      </w:r>
    </w:p>
    <w:p w:rsidR="001D4107" w:rsidRPr="00B72A03" w:rsidRDefault="00BD262D" w:rsidP="00B72A03">
      <w:pPr>
        <w:pStyle w:val="EndofDocument"/>
        <w:ind w:left="5533"/>
        <w:rPr>
          <w:rFonts w:ascii="Arial" w:hAnsi="Arial" w:cs="Arial"/>
          <w:sz w:val="22"/>
          <w:szCs w:val="22"/>
          <w:lang w:val="es-ES"/>
        </w:rPr>
      </w:pPr>
      <w:r w:rsidRPr="00B72A03">
        <w:rPr>
          <w:rFonts w:ascii="Arial" w:hAnsi="Arial" w:cs="Arial"/>
          <w:sz w:val="22"/>
          <w:szCs w:val="22"/>
          <w:lang w:val="es-ES"/>
        </w:rPr>
        <w:t>[</w:t>
      </w:r>
      <w:r w:rsidR="00A9090A" w:rsidRPr="00B72A03">
        <w:rPr>
          <w:rFonts w:ascii="Arial" w:hAnsi="Arial" w:cs="Arial"/>
          <w:sz w:val="22"/>
          <w:szCs w:val="22"/>
          <w:lang w:val="es-ES"/>
        </w:rPr>
        <w:t>Sigue el Anexo</w:t>
      </w:r>
      <w:r w:rsidRPr="00B72A03">
        <w:rPr>
          <w:rFonts w:ascii="Arial" w:hAnsi="Arial" w:cs="Arial"/>
          <w:sz w:val="22"/>
          <w:szCs w:val="22"/>
          <w:lang w:val="es-ES"/>
        </w:rPr>
        <w:t>]</w:t>
      </w:r>
    </w:p>
    <w:sectPr w:rsidR="001D4107" w:rsidRPr="00B72A03" w:rsidSect="002D492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2D" w:rsidRDefault="00BD262D">
      <w:r>
        <w:separator/>
      </w:r>
    </w:p>
  </w:endnote>
  <w:endnote w:type="continuationSeparator" w:id="0">
    <w:p w:rsidR="00BD262D" w:rsidRDefault="00BD262D" w:rsidP="003B38C1">
      <w:r>
        <w:separator/>
      </w:r>
    </w:p>
    <w:p w:rsidR="00BD262D" w:rsidRPr="003B38C1" w:rsidRDefault="00BD262D" w:rsidP="003B38C1">
      <w:pPr>
        <w:spacing w:after="60"/>
        <w:rPr>
          <w:sz w:val="17"/>
        </w:rPr>
      </w:pPr>
      <w:r>
        <w:rPr>
          <w:sz w:val="17"/>
        </w:rPr>
        <w:t>[Endnote continued from previous page]</w:t>
      </w:r>
    </w:p>
  </w:endnote>
  <w:endnote w:type="continuationNotice" w:id="1">
    <w:p w:rsidR="00BD262D" w:rsidRPr="003B38C1" w:rsidRDefault="00BD26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2D" w:rsidRDefault="00BD262D">
      <w:r>
        <w:separator/>
      </w:r>
    </w:p>
  </w:footnote>
  <w:footnote w:type="continuationSeparator" w:id="0">
    <w:p w:rsidR="00BD262D" w:rsidRDefault="00BD262D" w:rsidP="008B60B2">
      <w:r>
        <w:separator/>
      </w:r>
    </w:p>
    <w:p w:rsidR="00BD262D" w:rsidRPr="00ED77FB" w:rsidRDefault="00BD262D" w:rsidP="008B60B2">
      <w:pPr>
        <w:spacing w:after="60"/>
        <w:rPr>
          <w:sz w:val="17"/>
          <w:szCs w:val="17"/>
        </w:rPr>
      </w:pPr>
      <w:r w:rsidRPr="00ED77FB">
        <w:rPr>
          <w:sz w:val="17"/>
          <w:szCs w:val="17"/>
        </w:rPr>
        <w:t>[Footnote continued from previous page]</w:t>
      </w:r>
    </w:p>
  </w:footnote>
  <w:footnote w:type="continuationNotice" w:id="1">
    <w:p w:rsidR="00BD262D" w:rsidRPr="00ED77FB" w:rsidRDefault="00BD262D" w:rsidP="008B60B2">
      <w:pPr>
        <w:spacing w:before="60"/>
        <w:jc w:val="right"/>
        <w:rPr>
          <w:sz w:val="17"/>
          <w:szCs w:val="17"/>
        </w:rPr>
      </w:pPr>
      <w:r w:rsidRPr="00ED77FB">
        <w:rPr>
          <w:sz w:val="17"/>
          <w:szCs w:val="17"/>
        </w:rPr>
        <w:t>[Footnote continued on next page]</w:t>
      </w:r>
    </w:p>
  </w:footnote>
  <w:footnote w:id="2">
    <w:p w:rsidR="00503D46" w:rsidRPr="00B72A03" w:rsidRDefault="00503D46" w:rsidP="00503D46">
      <w:pPr>
        <w:pStyle w:val="FootnoteText"/>
        <w:rPr>
          <w:lang w:val="es-ES"/>
        </w:rPr>
      </w:pPr>
      <w:r w:rsidRPr="00B72A03">
        <w:rPr>
          <w:rStyle w:val="FootnoteReference"/>
        </w:rPr>
        <w:footnoteRef/>
      </w:r>
      <w:r w:rsidRPr="00B72A03">
        <w:rPr>
          <w:lang w:val="es-ES"/>
        </w:rPr>
        <w:t xml:space="preserve"> </w:t>
      </w:r>
      <w:r w:rsidRPr="00B72A03">
        <w:rPr>
          <w:lang w:val="es-ES"/>
        </w:rPr>
        <w:tab/>
      </w:r>
      <w:r w:rsidRPr="00B72A03">
        <w:rPr>
          <w:szCs w:val="18"/>
          <w:lang w:val="es-ES"/>
        </w:rPr>
        <w:t>Eritrea, Etiopía, Maldivas, Islas Marshall, Myanmar, Somalia y Timor</w:t>
      </w:r>
      <w:r w:rsidRPr="00B72A03">
        <w:rPr>
          <w:szCs w:val="18"/>
          <w:lang w:val="es-ES"/>
        </w:rPr>
        <w:noBreakHyphen/>
        <w:t>Leste.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2D492D" w:rsidP="00477D6B">
    <w:pPr>
      <w:jc w:val="right"/>
      <w:rPr>
        <w:caps/>
      </w:rPr>
    </w:pPr>
    <w:bookmarkStart w:id="6" w:name="Code2"/>
    <w:r>
      <w:rPr>
        <w:caps/>
      </w:rPr>
      <w:t>A/60/</w:t>
    </w:r>
    <w:r w:rsidR="00510347">
      <w:rPr>
        <w:caps/>
      </w:rPr>
      <w:t>INF/1</w:t>
    </w:r>
  </w:p>
  <w:bookmarkEnd w:id="6"/>
  <w:p w:rsidR="00D07C78" w:rsidRDefault="00A9090A" w:rsidP="00477D6B">
    <w:pPr>
      <w:jc w:val="right"/>
    </w:pPr>
    <w:r>
      <w:t>página</w:t>
    </w:r>
    <w:r w:rsidR="00D07C78">
      <w:t xml:space="preserve"> </w:t>
    </w:r>
    <w:r w:rsidR="00D07C78">
      <w:fldChar w:fldCharType="begin"/>
    </w:r>
    <w:r w:rsidR="00D07C78">
      <w:instrText xml:space="preserve"> PAGE  \* MERGEFORMAT </w:instrText>
    </w:r>
    <w:r w:rsidR="00D07C78">
      <w:fldChar w:fldCharType="separate"/>
    </w:r>
    <w:r w:rsidR="00E6064A">
      <w:rPr>
        <w:noProof/>
      </w:rPr>
      <w:t>5</w:t>
    </w:r>
    <w:r w:rsidR="00D07C78">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B63D9C"/>
    <w:multiLevelType w:val="hybridMultilevel"/>
    <w:tmpl w:val="BDB2F7FE"/>
    <w:lvl w:ilvl="0" w:tplc="6E3C53F2">
      <w:start w:val="5"/>
      <w:numFmt w:val="bullet"/>
      <w:lvlText w:val=""/>
      <w:lvlJc w:val="left"/>
      <w:pPr>
        <w:ind w:left="720" w:hanging="360"/>
      </w:pPr>
      <w:rPr>
        <w:rFonts w:ascii="Symbol" w:eastAsia="SimSu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31724"/>
    <w:multiLevelType w:val="hybridMultilevel"/>
    <w:tmpl w:val="7EF4E7AE"/>
    <w:lvl w:ilvl="0" w:tplc="B982319C">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2D"/>
    <w:rsid w:val="00043CAA"/>
    <w:rsid w:val="000453B1"/>
    <w:rsid w:val="00056816"/>
    <w:rsid w:val="00075432"/>
    <w:rsid w:val="000968ED"/>
    <w:rsid w:val="000A3D97"/>
    <w:rsid w:val="000C3DE3"/>
    <w:rsid w:val="000F181B"/>
    <w:rsid w:val="000F5E56"/>
    <w:rsid w:val="001046C6"/>
    <w:rsid w:val="001362EE"/>
    <w:rsid w:val="0015694A"/>
    <w:rsid w:val="001647D5"/>
    <w:rsid w:val="001832A6"/>
    <w:rsid w:val="001D4107"/>
    <w:rsid w:val="00203D24"/>
    <w:rsid w:val="002101F3"/>
    <w:rsid w:val="0021217E"/>
    <w:rsid w:val="00243430"/>
    <w:rsid w:val="002634C4"/>
    <w:rsid w:val="002928D3"/>
    <w:rsid w:val="002D492D"/>
    <w:rsid w:val="002F0016"/>
    <w:rsid w:val="002F032C"/>
    <w:rsid w:val="002F1FE6"/>
    <w:rsid w:val="002F4E68"/>
    <w:rsid w:val="00307CB6"/>
    <w:rsid w:val="00312F7F"/>
    <w:rsid w:val="00347733"/>
    <w:rsid w:val="00361450"/>
    <w:rsid w:val="003673CF"/>
    <w:rsid w:val="003845C1"/>
    <w:rsid w:val="003A6F89"/>
    <w:rsid w:val="003B38C1"/>
    <w:rsid w:val="003C34E9"/>
    <w:rsid w:val="003F65A3"/>
    <w:rsid w:val="00423E3E"/>
    <w:rsid w:val="00427AF4"/>
    <w:rsid w:val="00437DB9"/>
    <w:rsid w:val="00455348"/>
    <w:rsid w:val="004647DA"/>
    <w:rsid w:val="00474062"/>
    <w:rsid w:val="00477D6B"/>
    <w:rsid w:val="004A72E0"/>
    <w:rsid w:val="005019FF"/>
    <w:rsid w:val="00503D46"/>
    <w:rsid w:val="00510347"/>
    <w:rsid w:val="0053057A"/>
    <w:rsid w:val="00546BB4"/>
    <w:rsid w:val="00556076"/>
    <w:rsid w:val="00556656"/>
    <w:rsid w:val="00560A29"/>
    <w:rsid w:val="005C6649"/>
    <w:rsid w:val="00605827"/>
    <w:rsid w:val="00646050"/>
    <w:rsid w:val="006713CA"/>
    <w:rsid w:val="00676C5C"/>
    <w:rsid w:val="006A283A"/>
    <w:rsid w:val="006A3E7B"/>
    <w:rsid w:val="006B67E6"/>
    <w:rsid w:val="006F7030"/>
    <w:rsid w:val="0071461A"/>
    <w:rsid w:val="00720EFD"/>
    <w:rsid w:val="00793A7C"/>
    <w:rsid w:val="007A398A"/>
    <w:rsid w:val="007D1613"/>
    <w:rsid w:val="007D2BD3"/>
    <w:rsid w:val="007E4C0E"/>
    <w:rsid w:val="008154F0"/>
    <w:rsid w:val="008257AC"/>
    <w:rsid w:val="008A134B"/>
    <w:rsid w:val="008A75FD"/>
    <w:rsid w:val="008B2CC1"/>
    <w:rsid w:val="008B60B2"/>
    <w:rsid w:val="008F6CCA"/>
    <w:rsid w:val="0090731E"/>
    <w:rsid w:val="00912AB5"/>
    <w:rsid w:val="00916EE2"/>
    <w:rsid w:val="00966A22"/>
    <w:rsid w:val="0096722F"/>
    <w:rsid w:val="00980843"/>
    <w:rsid w:val="009953C1"/>
    <w:rsid w:val="009E2791"/>
    <w:rsid w:val="009E3F6F"/>
    <w:rsid w:val="009F499F"/>
    <w:rsid w:val="00A37342"/>
    <w:rsid w:val="00A42DAF"/>
    <w:rsid w:val="00A45BD8"/>
    <w:rsid w:val="00A869B7"/>
    <w:rsid w:val="00A9090A"/>
    <w:rsid w:val="00AB3E84"/>
    <w:rsid w:val="00AC205C"/>
    <w:rsid w:val="00AD5277"/>
    <w:rsid w:val="00AF0A6B"/>
    <w:rsid w:val="00B05A69"/>
    <w:rsid w:val="00B25737"/>
    <w:rsid w:val="00B25D3A"/>
    <w:rsid w:val="00B72A03"/>
    <w:rsid w:val="00B75281"/>
    <w:rsid w:val="00B92F1F"/>
    <w:rsid w:val="00B9734B"/>
    <w:rsid w:val="00BA30E2"/>
    <w:rsid w:val="00BD262D"/>
    <w:rsid w:val="00C07325"/>
    <w:rsid w:val="00C11BFE"/>
    <w:rsid w:val="00C210E9"/>
    <w:rsid w:val="00C5068F"/>
    <w:rsid w:val="00C86D74"/>
    <w:rsid w:val="00CA57AC"/>
    <w:rsid w:val="00CD04F1"/>
    <w:rsid w:val="00CF24FB"/>
    <w:rsid w:val="00CF681A"/>
    <w:rsid w:val="00D012F5"/>
    <w:rsid w:val="00D07C78"/>
    <w:rsid w:val="00D15756"/>
    <w:rsid w:val="00D347B2"/>
    <w:rsid w:val="00D45252"/>
    <w:rsid w:val="00D71B4D"/>
    <w:rsid w:val="00D93D55"/>
    <w:rsid w:val="00DD7B7F"/>
    <w:rsid w:val="00E15015"/>
    <w:rsid w:val="00E23E81"/>
    <w:rsid w:val="00E335FE"/>
    <w:rsid w:val="00E6064A"/>
    <w:rsid w:val="00EA7D6E"/>
    <w:rsid w:val="00EB2F76"/>
    <w:rsid w:val="00EC4E49"/>
    <w:rsid w:val="00ED77FB"/>
    <w:rsid w:val="00EE45FA"/>
    <w:rsid w:val="00EE48B5"/>
    <w:rsid w:val="00F043DE"/>
    <w:rsid w:val="00F1085F"/>
    <w:rsid w:val="00F40102"/>
    <w:rsid w:val="00F66152"/>
    <w:rsid w:val="00F66936"/>
    <w:rsid w:val="00F874D6"/>
    <w:rsid w:val="00F9165B"/>
    <w:rsid w:val="00F959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A0ECD188-D57D-44BE-9D6E-1ED05E0A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BD262D"/>
    <w:rPr>
      <w:vertAlign w:val="superscript"/>
    </w:rPr>
  </w:style>
  <w:style w:type="paragraph" w:customStyle="1" w:styleId="numb0">
    <w:name w:val="numb0"/>
    <w:basedOn w:val="Normal"/>
    <w:link w:val="numb0Char"/>
    <w:rsid w:val="00BD262D"/>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BD262D"/>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BD262D"/>
    <w:pPr>
      <w:tabs>
        <w:tab w:val="clear" w:pos="851"/>
        <w:tab w:val="right" w:pos="1418"/>
      </w:tabs>
      <w:ind w:left="1701" w:hanging="1701"/>
    </w:pPr>
  </w:style>
  <w:style w:type="paragraph" w:customStyle="1" w:styleId="EndofDocument">
    <w:name w:val="End of Document"/>
    <w:basedOn w:val="Normal"/>
    <w:rsid w:val="00BD262D"/>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BD262D"/>
    <w:rPr>
      <w:sz w:val="24"/>
      <w:lang w:val="en-US" w:eastAsia="en-US"/>
    </w:rPr>
  </w:style>
  <w:style w:type="character" w:customStyle="1" w:styleId="numb2Char">
    <w:name w:val="numb2 Char"/>
    <w:basedOn w:val="numb1Char"/>
    <w:link w:val="numb2"/>
    <w:rsid w:val="00BD262D"/>
    <w:rPr>
      <w:sz w:val="24"/>
      <w:lang w:val="en-US" w:eastAsia="en-US"/>
    </w:rPr>
  </w:style>
  <w:style w:type="character" w:customStyle="1" w:styleId="numb0Char">
    <w:name w:val="numb0 Char"/>
    <w:link w:val="numb0"/>
    <w:rsid w:val="00BD262D"/>
    <w:rPr>
      <w:sz w:val="24"/>
      <w:lang w:val="en-US" w:eastAsia="en-US"/>
    </w:rPr>
  </w:style>
  <w:style w:type="paragraph" w:styleId="BalloonText">
    <w:name w:val="Balloon Text"/>
    <w:basedOn w:val="Normal"/>
    <w:link w:val="BalloonTextChar"/>
    <w:semiHidden/>
    <w:unhideWhenUsed/>
    <w:rsid w:val="004A72E0"/>
    <w:rPr>
      <w:rFonts w:ascii="Segoe UI" w:hAnsi="Segoe UI" w:cs="Segoe UI"/>
      <w:sz w:val="18"/>
      <w:szCs w:val="18"/>
    </w:rPr>
  </w:style>
  <w:style w:type="character" w:customStyle="1" w:styleId="BalloonTextChar">
    <w:name w:val="Balloon Text Char"/>
    <w:basedOn w:val="DefaultParagraphFont"/>
    <w:link w:val="BalloonText"/>
    <w:semiHidden/>
    <w:rsid w:val="004A72E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B575-6496-4732-AF31-C07AC91F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60 (E)</Template>
  <TotalTime>2</TotalTime>
  <Pages>5</Pages>
  <Words>1673</Words>
  <Characters>11015</Characters>
  <Application>Microsoft Office Word</Application>
  <DocSecurity>0</DocSecurity>
  <Lines>185</Lines>
  <Paragraphs>29</Paragraphs>
  <ScaleCrop>false</ScaleCrop>
  <HeadingPairs>
    <vt:vector size="2" baseType="variant">
      <vt:variant>
        <vt:lpstr>Title</vt:lpstr>
      </vt:variant>
      <vt:variant>
        <vt:i4>1</vt:i4>
      </vt:variant>
    </vt:vector>
  </HeadingPairs>
  <TitlesOfParts>
    <vt:vector size="1" baseType="lpstr">
      <vt:lpstr>A/60/</vt:lpstr>
    </vt:vector>
  </TitlesOfParts>
  <Company>WIPO</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dc:title>
  <dc:subject/>
  <dc:creator>HAPPY-DUMAS Juliet</dc:creator>
  <cp:keywords>PUBLIC</cp:keywords>
  <dc:description/>
  <cp:lastModifiedBy>LANDER Nicola</cp:lastModifiedBy>
  <cp:revision>5</cp:revision>
  <cp:lastPrinted>2020-03-12T10:16:00Z</cp:lastPrinted>
  <dcterms:created xsi:type="dcterms:W3CDTF">2020-03-19T15:54:00Z</dcterms:created>
  <dcterms:modified xsi:type="dcterms:W3CDTF">2020-03-19T16:34:00Z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