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DE2AA4" w:rsidRDefault="00472A6E" w:rsidP="00512BA1">
      <w:pPr>
        <w:spacing w:before="360" w:after="240"/>
        <w:ind w:right="-57"/>
        <w:jc w:val="right"/>
        <w:rPr>
          <w:lang w:val="es-ES_tradnl"/>
        </w:rPr>
      </w:pPr>
      <w:bookmarkStart w:id="0" w:name="_GoBack"/>
      <w:bookmarkEnd w:id="0"/>
      <w:r w:rsidRPr="00DE2AA4">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DE2AA4" w:rsidRDefault="00512BA1" w:rsidP="00512BA1">
      <w:pPr>
        <w:pBdr>
          <w:top w:val="single" w:sz="4" w:space="9" w:color="auto"/>
        </w:pBdr>
        <w:jc w:val="right"/>
        <w:rPr>
          <w:rFonts w:ascii="Arial Black" w:hAnsi="Arial Black"/>
          <w:caps/>
          <w:sz w:val="15"/>
          <w:lang w:val="es-ES_tradnl"/>
        </w:rPr>
      </w:pPr>
      <w:r w:rsidRPr="00DE2AA4">
        <w:rPr>
          <w:rFonts w:ascii="Arial Black" w:hAnsi="Arial Black"/>
          <w:caps/>
          <w:sz w:val="15"/>
          <w:lang w:val="es-ES_tradnl"/>
        </w:rPr>
        <w:t>A/6</w:t>
      </w:r>
      <w:r w:rsidR="00B86421" w:rsidRPr="00DE2AA4">
        <w:rPr>
          <w:rFonts w:ascii="Arial Black" w:hAnsi="Arial Black"/>
          <w:caps/>
          <w:sz w:val="15"/>
          <w:lang w:val="es-ES_tradnl"/>
        </w:rPr>
        <w:t>1</w:t>
      </w:r>
      <w:r w:rsidRPr="00DE2AA4">
        <w:rPr>
          <w:rFonts w:ascii="Arial Black" w:hAnsi="Arial Black"/>
          <w:caps/>
          <w:sz w:val="15"/>
          <w:lang w:val="es-ES_tradnl"/>
        </w:rPr>
        <w:t>/</w:t>
      </w:r>
      <w:bookmarkStart w:id="1" w:name="Code"/>
      <w:r w:rsidR="00A418C5" w:rsidRPr="00DE2AA4">
        <w:rPr>
          <w:rFonts w:ascii="Arial Black" w:hAnsi="Arial Black"/>
          <w:caps/>
          <w:sz w:val="15"/>
          <w:lang w:val="es-ES_tradnl"/>
        </w:rPr>
        <w:t>INF/3</w:t>
      </w:r>
    </w:p>
    <w:bookmarkEnd w:id="1"/>
    <w:p w:rsidR="008B2CC1" w:rsidRPr="00DE2AA4" w:rsidRDefault="00472A6E" w:rsidP="00472A6E">
      <w:pPr>
        <w:jc w:val="right"/>
        <w:rPr>
          <w:lang w:val="es-ES_tradnl"/>
        </w:rPr>
      </w:pPr>
      <w:r w:rsidRPr="00DE2AA4">
        <w:rPr>
          <w:rFonts w:ascii="Arial Black" w:hAnsi="Arial Black"/>
          <w:caps/>
          <w:sz w:val="15"/>
          <w:lang w:val="es-ES_tradnl"/>
        </w:rPr>
        <w:t xml:space="preserve">ORIGINAL: </w:t>
      </w:r>
      <w:bookmarkStart w:id="2" w:name="Original"/>
      <w:r w:rsidR="00A418C5" w:rsidRPr="00DE2AA4">
        <w:rPr>
          <w:rFonts w:ascii="Arial Black" w:hAnsi="Arial Black"/>
          <w:caps/>
          <w:sz w:val="15"/>
          <w:lang w:val="es-ES_tradnl"/>
        </w:rPr>
        <w:t>Inglés</w:t>
      </w:r>
    </w:p>
    <w:bookmarkEnd w:id="2"/>
    <w:p w:rsidR="008B2CC1" w:rsidRPr="00DE2AA4" w:rsidRDefault="00472A6E" w:rsidP="00472A6E">
      <w:pPr>
        <w:spacing w:after="1200"/>
        <w:jc w:val="right"/>
        <w:rPr>
          <w:lang w:val="es-ES_tradnl"/>
        </w:rPr>
      </w:pPr>
      <w:r w:rsidRPr="00DE2AA4">
        <w:rPr>
          <w:rFonts w:ascii="Arial Black" w:hAnsi="Arial Black"/>
          <w:caps/>
          <w:sz w:val="15"/>
          <w:lang w:val="es-ES_tradnl"/>
        </w:rPr>
        <w:t xml:space="preserve">fecha: </w:t>
      </w:r>
      <w:bookmarkStart w:id="3" w:name="Date"/>
      <w:r w:rsidR="004C1886" w:rsidRPr="00DE2AA4">
        <w:rPr>
          <w:rFonts w:ascii="Arial Black" w:hAnsi="Arial Black"/>
          <w:caps/>
          <w:sz w:val="15"/>
          <w:lang w:val="es-ES_tradnl"/>
        </w:rPr>
        <w:t>18</w:t>
      </w:r>
      <w:r w:rsidR="00A418C5" w:rsidRPr="00DE2AA4">
        <w:rPr>
          <w:rFonts w:ascii="Arial Black" w:hAnsi="Arial Black"/>
          <w:caps/>
          <w:sz w:val="15"/>
          <w:lang w:val="es-ES_tradnl"/>
        </w:rPr>
        <w:t xml:space="preserve"> de </w:t>
      </w:r>
      <w:r w:rsidR="004C1886" w:rsidRPr="00DE2AA4">
        <w:rPr>
          <w:rFonts w:ascii="Arial Black" w:hAnsi="Arial Black"/>
          <w:caps/>
          <w:sz w:val="15"/>
          <w:lang w:val="es-ES_tradnl"/>
        </w:rPr>
        <w:t xml:space="preserve">AGOSTO </w:t>
      </w:r>
      <w:r w:rsidR="00A418C5" w:rsidRPr="00DE2AA4">
        <w:rPr>
          <w:rFonts w:ascii="Arial Black" w:hAnsi="Arial Black"/>
          <w:caps/>
          <w:sz w:val="15"/>
          <w:lang w:val="es-ES_tradnl"/>
        </w:rPr>
        <w:t>de 2020</w:t>
      </w:r>
    </w:p>
    <w:bookmarkEnd w:id="3"/>
    <w:p w:rsidR="00B67CDC" w:rsidRPr="00DE2AA4" w:rsidRDefault="00512BA1" w:rsidP="00F85931">
      <w:pPr>
        <w:pStyle w:val="Heading1"/>
        <w:spacing w:before="0" w:after="600"/>
        <w:rPr>
          <w:sz w:val="28"/>
          <w:lang w:val="es-ES_tradnl"/>
        </w:rPr>
      </w:pPr>
      <w:r w:rsidRPr="00DE2AA4">
        <w:rPr>
          <w:caps w:val="0"/>
          <w:sz w:val="28"/>
          <w:lang w:val="es-ES_tradnl"/>
        </w:rPr>
        <w:t>Asambleas de los Estados miembros de la OMPI</w:t>
      </w:r>
    </w:p>
    <w:p w:rsidR="00B86421" w:rsidRPr="00DE2AA4" w:rsidRDefault="00B86421" w:rsidP="00B86421">
      <w:pPr>
        <w:outlineLvl w:val="1"/>
        <w:rPr>
          <w:b/>
          <w:sz w:val="24"/>
          <w:szCs w:val="24"/>
          <w:lang w:val="es-ES_tradnl"/>
        </w:rPr>
      </w:pPr>
      <w:r w:rsidRPr="00DE2AA4">
        <w:rPr>
          <w:b/>
          <w:sz w:val="24"/>
          <w:szCs w:val="24"/>
          <w:lang w:val="es-ES_tradnl"/>
        </w:rPr>
        <w:t>Sexagésima primera serie de reuniones</w:t>
      </w:r>
    </w:p>
    <w:p w:rsidR="00B67CDC" w:rsidRPr="00DE2AA4" w:rsidRDefault="00B86421" w:rsidP="00B86421">
      <w:pPr>
        <w:spacing w:after="720"/>
        <w:outlineLvl w:val="1"/>
        <w:rPr>
          <w:b/>
          <w:sz w:val="24"/>
          <w:szCs w:val="24"/>
          <w:lang w:val="es-ES_tradnl"/>
        </w:rPr>
      </w:pPr>
      <w:r w:rsidRPr="00DE2AA4">
        <w:rPr>
          <w:b/>
          <w:sz w:val="24"/>
          <w:szCs w:val="24"/>
          <w:lang w:val="es-ES_tradnl"/>
        </w:rPr>
        <w:t>Ginebra, 21 a 2</w:t>
      </w:r>
      <w:r w:rsidR="00A418C5" w:rsidRPr="00DE2AA4">
        <w:rPr>
          <w:b/>
          <w:sz w:val="24"/>
          <w:szCs w:val="24"/>
          <w:lang w:val="es-ES_tradnl"/>
        </w:rPr>
        <w:t>5</w:t>
      </w:r>
      <w:r w:rsidRPr="00DE2AA4">
        <w:rPr>
          <w:b/>
          <w:sz w:val="24"/>
          <w:szCs w:val="24"/>
          <w:lang w:val="es-ES_tradnl"/>
        </w:rPr>
        <w:t xml:space="preserve"> de septiembre de 2020</w:t>
      </w:r>
    </w:p>
    <w:p w:rsidR="008B2CC1" w:rsidRPr="00DE2AA4" w:rsidRDefault="00A418C5" w:rsidP="00472A6E">
      <w:pPr>
        <w:spacing w:after="360"/>
        <w:rPr>
          <w:caps/>
          <w:sz w:val="24"/>
          <w:lang w:val="es-ES_tradnl"/>
        </w:rPr>
      </w:pPr>
      <w:bookmarkStart w:id="4" w:name="TitleOfDoc"/>
      <w:r w:rsidRPr="00DE2AA4">
        <w:rPr>
          <w:caps/>
          <w:sz w:val="24"/>
          <w:lang w:val="es-ES_tradnl"/>
        </w:rPr>
        <w:t>SITUACIÓN DE LAS ADHESIONES A LOS TRATADOS ADMINISTRADOS POR LA OMPI, Y ASUNTOS RELATIVOS A LA REFORMA ESTATUTARIA</w:t>
      </w:r>
    </w:p>
    <w:p w:rsidR="008B2CC1" w:rsidRPr="00DE2AA4" w:rsidRDefault="00A418C5" w:rsidP="00F85931">
      <w:pPr>
        <w:spacing w:after="960"/>
        <w:rPr>
          <w:i/>
          <w:lang w:val="es-ES_tradnl"/>
        </w:rPr>
      </w:pPr>
      <w:bookmarkStart w:id="5" w:name="Prepared"/>
      <w:bookmarkEnd w:id="4"/>
      <w:r w:rsidRPr="00DE2AA4">
        <w:rPr>
          <w:i/>
          <w:lang w:val="es-ES_tradnl"/>
        </w:rPr>
        <w:t>Documento preparado por la Secretaría</w:t>
      </w:r>
    </w:p>
    <w:bookmarkEnd w:id="5"/>
    <w:p w:rsidR="00A418C5" w:rsidRPr="00DE2AA4" w:rsidRDefault="00A418C5" w:rsidP="00A418C5">
      <w:pPr>
        <w:spacing w:after="220"/>
        <w:rPr>
          <w:lang w:val="es-ES_tradnl"/>
        </w:rPr>
      </w:pPr>
      <w:r w:rsidRPr="00DE2AA4">
        <w:rPr>
          <w:lang w:val="es-ES_tradnl"/>
        </w:rPr>
        <w:t xml:space="preserve">En el presente documento se presenta la evolución que se ha producido en el número de partes en los tratados administrados por la Organización Mundial de la Propiedad Intelectual (OMPI) entre el 1 de enero de 1970 y el </w:t>
      </w:r>
      <w:r w:rsidR="003E46E3" w:rsidRPr="00DE2AA4">
        <w:rPr>
          <w:lang w:val="es-ES_tradnl"/>
        </w:rPr>
        <w:t>día de la fecha</w:t>
      </w:r>
      <w:r w:rsidRPr="00DE2AA4">
        <w:rPr>
          <w:lang w:val="es-ES_tradnl"/>
        </w:rPr>
        <w:t xml:space="preserve">, así como </w:t>
      </w:r>
      <w:r w:rsidR="003E46E3" w:rsidRPr="00DE2AA4">
        <w:rPr>
          <w:lang w:val="es-ES_tradnl"/>
        </w:rPr>
        <w:t xml:space="preserve">un informe de la situación de </w:t>
      </w:r>
      <w:r w:rsidRPr="00DE2AA4">
        <w:rPr>
          <w:lang w:val="es-ES_tradnl"/>
        </w:rPr>
        <w:t>los asuntos relativos a la reforma estatutaria.</w:t>
      </w:r>
    </w:p>
    <w:p w:rsidR="00A418C5" w:rsidRPr="00DE2AA4" w:rsidRDefault="00A418C5" w:rsidP="004510F0">
      <w:pPr>
        <w:spacing w:after="480"/>
        <w:rPr>
          <w:lang w:val="es-ES_tradnl"/>
        </w:rPr>
      </w:pPr>
      <w:r w:rsidRPr="00DE2AA4">
        <w:rPr>
          <w:lang w:val="es-ES_tradnl"/>
        </w:rPr>
        <w:t>Se presta una atención especial a los tratados de la OMPI que han sido actualizados, ya sea a través de la adopción de una nu</w:t>
      </w:r>
      <w:r w:rsidR="003E46E3" w:rsidRPr="00DE2AA4">
        <w:rPr>
          <w:lang w:val="es-ES_tradnl"/>
        </w:rPr>
        <w:t>eva acta o instrumento</w:t>
      </w:r>
      <w:r w:rsidR="003E46E3" w:rsidRPr="00DE2AA4">
        <w:rPr>
          <w:rStyle w:val="FootnoteReference"/>
          <w:lang w:val="es-ES_tradnl"/>
        </w:rPr>
        <w:footnoteReference w:id="2"/>
      </w:r>
      <w:r w:rsidR="003E46E3" w:rsidRPr="00DE2AA4">
        <w:rPr>
          <w:lang w:val="es-ES_tradnl"/>
        </w:rPr>
        <w:t xml:space="preserve"> </w:t>
      </w:r>
      <w:r w:rsidRPr="00DE2AA4">
        <w:rPr>
          <w:lang w:val="es-ES_tradnl"/>
        </w:rPr>
        <w:t>(para lo que es necesaria la adhesión),</w:t>
      </w:r>
      <w:r w:rsidR="003E46E3" w:rsidRPr="00DE2AA4">
        <w:rPr>
          <w:lang w:val="es-ES_tradnl"/>
        </w:rPr>
        <w:t xml:space="preserve"> o a través de una modificación</w:t>
      </w:r>
      <w:r w:rsidR="003E46E3" w:rsidRPr="00DE2AA4">
        <w:rPr>
          <w:rStyle w:val="FootnoteReference"/>
          <w:lang w:val="es-ES_tradnl"/>
        </w:rPr>
        <w:footnoteReference w:id="3"/>
      </w:r>
      <w:r w:rsidRPr="00DE2AA4">
        <w:rPr>
          <w:lang w:val="es-ES_tradnl"/>
        </w:rPr>
        <w:t xml:space="preserve"> (para lo que es necesaria la aceptación), como se explica en el presente documento (véanse </w:t>
      </w:r>
      <w:r w:rsidR="003E46E3" w:rsidRPr="00DE2AA4">
        <w:rPr>
          <w:lang w:val="es-ES_tradnl"/>
        </w:rPr>
        <w:t xml:space="preserve">los párrafos 2, 3, 7, 8 y 25). </w:t>
      </w:r>
      <w:r w:rsidRPr="00DE2AA4">
        <w:rPr>
          <w:lang w:val="es-ES_tradnl"/>
        </w:rPr>
        <w:t>Se ruega a las Partes Contratantes en cuestión que consideren actualizar, según proceda, la situación en la que se encuentran con respecto a esos instrumentos.</w:t>
      </w:r>
    </w:p>
    <w:p w:rsidR="00A418C5" w:rsidRPr="00DE2AA4" w:rsidRDefault="00A418C5" w:rsidP="004510F0">
      <w:pPr>
        <w:keepNext/>
        <w:keepLines/>
        <w:spacing w:after="220"/>
        <w:rPr>
          <w:lang w:val="es-ES_tradnl"/>
        </w:rPr>
      </w:pPr>
      <w:r w:rsidRPr="00DE2AA4">
        <w:rPr>
          <w:lang w:val="es-ES_tradnl"/>
        </w:rPr>
        <w:lastRenderedPageBreak/>
        <w:t>I.</w:t>
      </w:r>
      <w:r w:rsidRPr="00DE2AA4">
        <w:rPr>
          <w:lang w:val="es-ES_tradnl"/>
        </w:rPr>
        <w:tab/>
        <w:t>PARTES EN LOS TRATADOS ADMINISTRADOS POR LA OMPI</w:t>
      </w:r>
    </w:p>
    <w:p w:rsidR="00A418C5" w:rsidRPr="00DE2AA4" w:rsidRDefault="00A418C5" w:rsidP="004510F0">
      <w:pPr>
        <w:keepNext/>
        <w:keepLines/>
        <w:spacing w:after="220"/>
        <w:rPr>
          <w:lang w:val="es-ES_tradnl"/>
        </w:rPr>
      </w:pPr>
      <w:r w:rsidRPr="00DE2AA4">
        <w:rPr>
          <w:lang w:val="es-ES_tradnl"/>
        </w:rPr>
        <w:t>1.</w:t>
      </w:r>
      <w:r w:rsidRPr="00DE2AA4">
        <w:rPr>
          <w:lang w:val="es-ES_tradnl"/>
        </w:rPr>
        <w:tab/>
        <w:t>Convenio que establece la Organización Mundial de la Propiedad Intelectual (1967)</w:t>
      </w:r>
    </w:p>
    <w:p w:rsidR="00A418C5" w:rsidRPr="00DE2AA4" w:rsidRDefault="004C1886" w:rsidP="00DE2AA4">
      <w:pPr>
        <w:spacing w:after="360"/>
        <w:rPr>
          <w:lang w:val="es-ES_tradnl"/>
        </w:rPr>
      </w:pPr>
      <w:r w:rsidRPr="00DE2AA4">
        <w:rPr>
          <w:noProof/>
          <w:lang w:val="en-US" w:eastAsia="en-US"/>
        </w:rPr>
        <w:drawing>
          <wp:inline distT="0" distB="0" distL="0" distR="0" wp14:anchorId="3CB98352" wp14:editId="0B6DAB7B">
            <wp:extent cx="4785360" cy="2689225"/>
            <wp:effectExtent l="0" t="0" r="15240" b="15875"/>
            <wp:docPr id="1" name="Chart 1" descr="Convenio que establece la Organización Mundial de la Propiedad Intelectual (1967)&#10;(Número de Partes Contratantes y año)" title="Gráfico"/>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418C5" w:rsidRPr="00DE2AA4" w:rsidRDefault="00A418C5" w:rsidP="00DE2AA4">
      <w:pPr>
        <w:spacing w:after="120"/>
        <w:rPr>
          <w:i/>
          <w:lang w:val="es-ES_tradnl"/>
        </w:rPr>
      </w:pPr>
      <w:r w:rsidRPr="00DE2AA4">
        <w:rPr>
          <w:i/>
          <w:lang w:val="es-ES_tradnl"/>
        </w:rPr>
        <w:t>2.</w:t>
      </w:r>
      <w:r w:rsidRPr="00DE2AA4">
        <w:rPr>
          <w:i/>
          <w:lang w:val="es-ES_tradnl"/>
        </w:rPr>
        <w:tab/>
        <w:t>Convenio de París para la Protección de</w:t>
      </w:r>
      <w:r w:rsidR="00B63FEB" w:rsidRPr="00DE2AA4">
        <w:rPr>
          <w:i/>
          <w:lang w:val="es-ES_tradnl"/>
        </w:rPr>
        <w:t xml:space="preserve"> la Propiedad Industrial (1883)</w:t>
      </w:r>
    </w:p>
    <w:p w:rsidR="00A418C5" w:rsidRPr="00DE2AA4" w:rsidRDefault="004C1886" w:rsidP="00A418C5">
      <w:pPr>
        <w:spacing w:after="220"/>
        <w:rPr>
          <w:lang w:val="es-ES_tradnl"/>
        </w:rPr>
      </w:pPr>
      <w:r w:rsidRPr="00DE2AA4">
        <w:rPr>
          <w:noProof/>
          <w:lang w:val="en-US" w:eastAsia="en-US"/>
        </w:rPr>
        <w:drawing>
          <wp:inline distT="0" distB="0" distL="0" distR="0" wp14:anchorId="22A43CC4" wp14:editId="73261F2B">
            <wp:extent cx="4785360" cy="2616200"/>
            <wp:effectExtent l="0" t="0" r="15240" b="12700"/>
            <wp:docPr id="3" name="Chart 3" descr="Convenio de París para la Protección de la Propiedad Industrial (1883)&#10;(Número de Partes Contratantes y año)" title="Gráfico"/>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418C5" w:rsidRPr="00DE2AA4" w:rsidRDefault="00A418C5" w:rsidP="00A418C5">
      <w:pPr>
        <w:spacing w:after="220"/>
        <w:rPr>
          <w:lang w:val="es-ES_tradnl"/>
        </w:rPr>
      </w:pPr>
      <w:r w:rsidRPr="00DE2AA4">
        <w:rPr>
          <w:lang w:val="es-ES_tradnl"/>
        </w:rPr>
        <w:t>El Convenio de París para la Protección de la Propiedad Industrial (el Convenio de París) fue revisado varias veces desde su adopción en 1883.</w:t>
      </w:r>
      <w:r w:rsidR="00711905" w:rsidRPr="00DE2AA4">
        <w:rPr>
          <w:lang w:val="es-ES_tradnl"/>
        </w:rPr>
        <w:t xml:space="preserve"> </w:t>
      </w:r>
      <w:r w:rsidRPr="00DE2AA4">
        <w:rPr>
          <w:lang w:val="es-ES_tradnl"/>
        </w:rPr>
        <w:t>Fue revisado en Bruselas (1900), Washington (1911), La Haya (1925), Londres (1934), Lisboa (1958) y Estocolmo (1967), y fue modificado en 1979.</w:t>
      </w:r>
    </w:p>
    <w:p w:rsidR="00A418C5" w:rsidRPr="00DE2AA4" w:rsidRDefault="00A418C5" w:rsidP="00A418C5">
      <w:pPr>
        <w:spacing w:after="220"/>
        <w:rPr>
          <w:lang w:val="es-ES_tradnl"/>
        </w:rPr>
      </w:pPr>
      <w:r w:rsidRPr="00DE2AA4">
        <w:rPr>
          <w:lang w:val="es-ES_tradnl"/>
        </w:rPr>
        <w:t>Por razones históricas, la revisión de Estocolmo brindó a los Estados miembros la oportunidad de aceptar solo una parte de la revisión (los Artículos 1 a 12, que contienen las disposiciones sustantivas, o los Artículos 13 a 30, que contienen las disposiciones administrativas y las cláusulas finales) o de aceptar una parte antes que la otra.</w:t>
      </w:r>
    </w:p>
    <w:p w:rsidR="00A418C5" w:rsidRPr="00DE2AA4" w:rsidRDefault="00A418C5" w:rsidP="00A418C5">
      <w:pPr>
        <w:spacing w:after="220"/>
        <w:rPr>
          <w:lang w:val="es-ES_tradnl"/>
        </w:rPr>
      </w:pPr>
      <w:r w:rsidRPr="00DE2AA4">
        <w:rPr>
          <w:lang w:val="es-ES_tradnl"/>
        </w:rPr>
        <w:t xml:space="preserve">Algunos Estados miembros que han excluido las disposiciones sustantivas a la hora de adoptar el Acta de Estocolmo siguen obligados, hasta la fecha, por las disposiciones sustantivas de un acta anterior, que no reflejan las consideraciones más recientes relativas a las cuestiones que </w:t>
      </w:r>
      <w:r w:rsidRPr="00DE2AA4">
        <w:rPr>
          <w:lang w:val="es-ES_tradnl"/>
        </w:rPr>
        <w:lastRenderedPageBreak/>
        <w:t>regula el Convenio.</w:t>
      </w:r>
      <w:r w:rsidR="00711905" w:rsidRPr="00DE2AA4">
        <w:rPr>
          <w:lang w:val="es-ES_tradnl"/>
        </w:rPr>
        <w:t xml:space="preserve"> </w:t>
      </w:r>
      <w:r w:rsidRPr="00DE2AA4">
        <w:rPr>
          <w:lang w:val="es-ES_tradnl"/>
        </w:rPr>
        <w:t>Los Est</w:t>
      </w:r>
      <w:r w:rsidR="0005305B" w:rsidRPr="00DE2AA4">
        <w:rPr>
          <w:lang w:val="es-ES_tradnl"/>
        </w:rPr>
        <w:t xml:space="preserve">ados miembros en cuestión son: </w:t>
      </w:r>
      <w:r w:rsidRPr="00DE2AA4">
        <w:rPr>
          <w:lang w:val="es-ES_tradnl"/>
        </w:rPr>
        <w:t xml:space="preserve">Argentina, Bahamas, Filipinas, Líbano, Malta, República Unida de </w:t>
      </w:r>
      <w:proofErr w:type="spellStart"/>
      <w:r w:rsidRPr="00DE2AA4">
        <w:rPr>
          <w:lang w:val="es-ES_tradnl"/>
        </w:rPr>
        <w:t>Tanzanía</w:t>
      </w:r>
      <w:proofErr w:type="spellEnd"/>
      <w:r w:rsidRPr="00DE2AA4">
        <w:rPr>
          <w:lang w:val="es-ES_tradnl"/>
        </w:rPr>
        <w:t>, Sri Lanka y Zambia.</w:t>
      </w:r>
    </w:p>
    <w:p w:rsidR="00A418C5" w:rsidRPr="00DE2AA4" w:rsidRDefault="00A418C5" w:rsidP="00A418C5">
      <w:pPr>
        <w:spacing w:after="220"/>
        <w:rPr>
          <w:lang w:val="es-ES_tradnl"/>
        </w:rPr>
      </w:pPr>
      <w:r w:rsidRPr="00DE2AA4">
        <w:rPr>
          <w:lang w:val="es-ES_tradnl"/>
        </w:rPr>
        <w:t>Algunos otros Estados miembros, a saber, Nigeria y la República Dominicana, no se han adherido aún al Acta de Estocolmo, pero siguen siendo parte en un acta anterior.</w:t>
      </w:r>
      <w:r w:rsidR="00711905" w:rsidRPr="00DE2AA4">
        <w:rPr>
          <w:lang w:val="es-ES_tradnl"/>
        </w:rPr>
        <w:t xml:space="preserve"> </w:t>
      </w:r>
      <w:r w:rsidRPr="00DE2AA4">
        <w:rPr>
          <w:lang w:val="es-ES_tradnl"/>
        </w:rPr>
        <w:t>No son miembros de la Asamblea de la Unión de París y, por lo tanto, no pueden participar en el órgano rector de esa Unión. En ocasiones anteriores, incluyendo mediante una nota verbal dirigida a los Estados miembros concernidos, la Secretaría ha confirmado su disponibilidad para proporcionar información y asistencia en relación con estos asuntos.</w:t>
      </w:r>
    </w:p>
    <w:p w:rsidR="00A418C5" w:rsidRPr="00DE2AA4" w:rsidRDefault="00A418C5" w:rsidP="00DE2AA4">
      <w:pPr>
        <w:spacing w:after="360"/>
        <w:rPr>
          <w:lang w:val="es-ES_tradnl"/>
        </w:rPr>
      </w:pPr>
      <w:r w:rsidRPr="00DE2AA4">
        <w:rPr>
          <w:lang w:val="es-ES_tradnl"/>
        </w:rPr>
        <w:t>Se ruega a los Estados miembros en cuestión que consideren adherirse al acta más reciente del Convenio, o que acepten todas las disposiciones que figuran en la misma, según proceda.</w:t>
      </w:r>
    </w:p>
    <w:p w:rsidR="00A418C5" w:rsidRPr="00DE2AA4" w:rsidRDefault="00A418C5" w:rsidP="00A418C5">
      <w:pPr>
        <w:spacing w:after="220"/>
        <w:rPr>
          <w:i/>
          <w:lang w:val="es-ES_tradnl"/>
        </w:rPr>
      </w:pPr>
      <w:r w:rsidRPr="00DE2AA4">
        <w:rPr>
          <w:i/>
          <w:lang w:val="es-ES_tradnl"/>
        </w:rPr>
        <w:t>3.</w:t>
      </w:r>
      <w:r w:rsidRPr="00DE2AA4">
        <w:rPr>
          <w:i/>
          <w:lang w:val="es-ES_tradnl"/>
        </w:rPr>
        <w:tab/>
        <w:t>Convenio de Berna para la Protección de las Obras Literarias y Artísticas (1886)</w:t>
      </w:r>
    </w:p>
    <w:p w:rsidR="00A418C5" w:rsidRPr="00DE2AA4" w:rsidRDefault="004C1886" w:rsidP="00DE2AA4">
      <w:pPr>
        <w:spacing w:after="240"/>
        <w:rPr>
          <w:lang w:val="es-ES_tradnl"/>
        </w:rPr>
      </w:pPr>
      <w:r w:rsidRPr="00DE2AA4">
        <w:rPr>
          <w:noProof/>
          <w:lang w:val="en-US" w:eastAsia="en-US"/>
        </w:rPr>
        <w:drawing>
          <wp:inline distT="0" distB="0" distL="0" distR="0" wp14:anchorId="0788A7EA" wp14:editId="770B5207">
            <wp:extent cx="4895850" cy="2752725"/>
            <wp:effectExtent l="0" t="0" r="0" b="9525"/>
            <wp:docPr id="4" name="Chart 4" descr="Convenio de Berna para la Protección de las Obras Literarias y Artísticas (1886)&#10;(Número de Partes Contratantes y año)" title="Gráfico "/>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418C5" w:rsidRPr="00DE2AA4" w:rsidRDefault="00A418C5" w:rsidP="00A418C5">
      <w:pPr>
        <w:spacing w:after="220"/>
        <w:rPr>
          <w:lang w:val="es-ES_tradnl"/>
        </w:rPr>
      </w:pPr>
      <w:r w:rsidRPr="00DE2AA4">
        <w:rPr>
          <w:lang w:val="es-ES_tradnl"/>
        </w:rPr>
        <w:t>El Convenio de Berna para la Protección de las Obras Literarias y Artísticas (el Convenio de Berna) ha sido revisado varias veces desde su adopción en 1886.</w:t>
      </w:r>
      <w:r w:rsidR="00711905" w:rsidRPr="00DE2AA4">
        <w:rPr>
          <w:lang w:val="es-ES_tradnl"/>
        </w:rPr>
        <w:t xml:space="preserve"> </w:t>
      </w:r>
      <w:r w:rsidRPr="00DE2AA4">
        <w:rPr>
          <w:lang w:val="es-ES_tradnl"/>
        </w:rPr>
        <w:t>Fue completado en París (1896), revisado en Berlín (1908), completado en Berna (1914), revisado en Roma (1928), Bruselas (1948), Estocolmo (1967) y París (1971), y modificado en 1979.</w:t>
      </w:r>
    </w:p>
    <w:p w:rsidR="00A418C5" w:rsidRPr="00DE2AA4" w:rsidRDefault="00A418C5" w:rsidP="00A418C5">
      <w:pPr>
        <w:spacing w:after="220"/>
        <w:rPr>
          <w:lang w:val="es-ES_tradnl"/>
        </w:rPr>
      </w:pPr>
      <w:r w:rsidRPr="00DE2AA4">
        <w:rPr>
          <w:lang w:val="es-ES_tradnl"/>
        </w:rPr>
        <w:t>Por razones históricas, las revisiones del Convenio en Estocolmo y París también brindaron a los Estados miembros la oportunidad de aceptar solo una parte de la revisión, concretamente, las disposiciones administrativas y cláusulas finales (Artículos 22 a 38).</w:t>
      </w:r>
      <w:r w:rsidR="00711905" w:rsidRPr="00DE2AA4">
        <w:rPr>
          <w:lang w:val="es-ES_tradnl"/>
        </w:rPr>
        <w:t xml:space="preserve"> </w:t>
      </w:r>
      <w:r w:rsidRPr="00DE2AA4">
        <w:rPr>
          <w:lang w:val="es-ES_tradnl"/>
        </w:rPr>
        <w:t>Hasta la fecha, aún hay algunos Estados obligados únicamente por las disposiciones administrativas del Acta de París (y en algunos casos del Acta de Estocolmo) y no por sus disposiciones sustantivas.</w:t>
      </w:r>
      <w:r w:rsidR="00711905" w:rsidRPr="00DE2AA4">
        <w:rPr>
          <w:lang w:val="es-ES_tradnl"/>
        </w:rPr>
        <w:t xml:space="preserve"> </w:t>
      </w:r>
      <w:r w:rsidRPr="00DE2AA4">
        <w:rPr>
          <w:lang w:val="es-ES_tradnl"/>
        </w:rPr>
        <w:t xml:space="preserve">Los Estados en cuestión son Bahamas, Chad, </w:t>
      </w:r>
      <w:proofErr w:type="spellStart"/>
      <w:r w:rsidRPr="00DE2AA4">
        <w:rPr>
          <w:lang w:val="es-ES_tradnl"/>
        </w:rPr>
        <w:t>Fiji</w:t>
      </w:r>
      <w:proofErr w:type="spellEnd"/>
      <w:r w:rsidRPr="00DE2AA4">
        <w:rPr>
          <w:lang w:val="es-ES_tradnl"/>
        </w:rPr>
        <w:t xml:space="preserve">, Malta, Pakistán, Sudáfrica y </w:t>
      </w:r>
      <w:proofErr w:type="spellStart"/>
      <w:r w:rsidRPr="00DE2AA4">
        <w:rPr>
          <w:lang w:val="es-ES_tradnl"/>
        </w:rPr>
        <w:t>Zimbabwe</w:t>
      </w:r>
      <w:proofErr w:type="spellEnd"/>
      <w:r w:rsidRPr="00DE2AA4">
        <w:rPr>
          <w:lang w:val="es-ES_tradnl"/>
        </w:rPr>
        <w:t>.</w:t>
      </w:r>
    </w:p>
    <w:p w:rsidR="00A418C5" w:rsidRPr="00DE2AA4" w:rsidRDefault="00A418C5" w:rsidP="00A418C5">
      <w:pPr>
        <w:spacing w:after="220"/>
        <w:rPr>
          <w:lang w:val="es-ES_tradnl"/>
        </w:rPr>
      </w:pPr>
      <w:r w:rsidRPr="00DE2AA4">
        <w:rPr>
          <w:lang w:val="es-ES_tradnl"/>
        </w:rPr>
        <w:t>Por otra parte, algunos Estados miembros, al no ser miembros ni del Acta de Estocolmo ni del Acta de París, no son miembros de la Asamblea de la Unión de Berna y, por lo tanto, no pueden participar en el órgano rector de la Unión. El Líbano</w:t>
      </w:r>
      <w:r w:rsidR="0005305B" w:rsidRPr="00DE2AA4">
        <w:rPr>
          <w:lang w:val="es-ES_tradnl"/>
        </w:rPr>
        <w:t xml:space="preserve"> y</w:t>
      </w:r>
      <w:r w:rsidRPr="00DE2AA4">
        <w:rPr>
          <w:lang w:val="es-ES_tradnl"/>
        </w:rPr>
        <w:t xml:space="preserve"> Madagascar pertenecen a esta categoría. A los Estados miembros concernidos se les ha formulado la misma oferta de información y asistencia mencionada anteriormente.</w:t>
      </w:r>
    </w:p>
    <w:p w:rsidR="00A418C5" w:rsidRPr="00DE2AA4" w:rsidRDefault="00A418C5" w:rsidP="00A418C5">
      <w:pPr>
        <w:spacing w:after="220"/>
        <w:rPr>
          <w:lang w:val="es-ES_tradnl"/>
        </w:rPr>
      </w:pPr>
      <w:r w:rsidRPr="00DE2AA4">
        <w:rPr>
          <w:lang w:val="es-ES_tradnl"/>
        </w:rPr>
        <w:t>Se ruega a los países en cuestión que se adhieran a la versión más reciente del Acta del Convenio de Berna o la ratifiquen o que acepten todas sus disposiciones, según proceda.</w:t>
      </w:r>
    </w:p>
    <w:p w:rsidR="00A418C5" w:rsidRPr="00DE2AA4" w:rsidRDefault="00A418C5" w:rsidP="00A418C5">
      <w:pPr>
        <w:spacing w:after="220"/>
        <w:rPr>
          <w:i/>
          <w:lang w:val="es-ES_tradnl"/>
        </w:rPr>
      </w:pPr>
      <w:r w:rsidRPr="00DE2AA4">
        <w:rPr>
          <w:i/>
          <w:lang w:val="es-ES_tradnl"/>
        </w:rPr>
        <w:lastRenderedPageBreak/>
        <w:t>4.</w:t>
      </w:r>
      <w:r w:rsidRPr="00DE2AA4">
        <w:rPr>
          <w:i/>
          <w:lang w:val="es-ES_tradnl"/>
        </w:rPr>
        <w:tab/>
        <w:t>Arreglo de Madrid relativo a la represión de las indicaciones de procedencia falsas o engañosas en los productos (1891)</w:t>
      </w:r>
    </w:p>
    <w:p w:rsidR="00A418C5" w:rsidRPr="00DE2AA4" w:rsidRDefault="004C1886" w:rsidP="00DE2AA4">
      <w:pPr>
        <w:spacing w:after="360"/>
        <w:rPr>
          <w:lang w:val="es-ES_tradnl"/>
        </w:rPr>
      </w:pPr>
      <w:r w:rsidRPr="00DE2AA4">
        <w:rPr>
          <w:noProof/>
          <w:lang w:val="en-US" w:eastAsia="en-US"/>
        </w:rPr>
        <w:drawing>
          <wp:inline distT="0" distB="0" distL="0" distR="0" wp14:anchorId="59411CB5" wp14:editId="71250CFE">
            <wp:extent cx="4771390" cy="2771775"/>
            <wp:effectExtent l="0" t="0" r="10160" b="9525"/>
            <wp:docPr id="6" name="Chart 6" descr="Arreglo de Madrid relativo a la represión de las indicaciones de procedencia falsas o engañosas en los productos (1891)&#10;(Número de Partes Contratantes y año)" title="Gráfico"/>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418C5" w:rsidRPr="00DE2AA4" w:rsidRDefault="00A418C5" w:rsidP="00DE2AA4">
      <w:pPr>
        <w:spacing w:after="120"/>
        <w:rPr>
          <w:i/>
          <w:lang w:val="es-ES_tradnl"/>
        </w:rPr>
      </w:pPr>
      <w:r w:rsidRPr="00DE2AA4">
        <w:rPr>
          <w:i/>
          <w:lang w:val="es-ES_tradnl"/>
        </w:rPr>
        <w:t>5.</w:t>
      </w:r>
      <w:r w:rsidRPr="00DE2AA4">
        <w:rPr>
          <w:i/>
          <w:lang w:val="es-ES_tradnl"/>
        </w:rPr>
        <w:tab/>
        <w:t>Arreglo de Madrid relativo al Registro Internacional de Marcas (1891) y Protocolo concerniente al Arreglo de Madrid (1989)</w:t>
      </w:r>
    </w:p>
    <w:p w:rsidR="00A418C5" w:rsidRPr="00DE2AA4" w:rsidRDefault="00A418C5" w:rsidP="00A418C5">
      <w:pPr>
        <w:spacing w:after="220"/>
        <w:rPr>
          <w:lang w:val="es-ES_tradnl"/>
        </w:rPr>
      </w:pPr>
      <w:r w:rsidRPr="00DE2AA4">
        <w:rPr>
          <w:lang w:val="es-ES_tradnl"/>
        </w:rPr>
        <w:t>El Sistema de Madrid está constituido por dos instrumentos, a saber, el Arreglo de Madrid relativo al Registro Internacional de Marcas y el Protocolo concerniente al Arreglo de Madrid (Protocolo). Sin embargo, el Sistema de Madrid es, de facto, un sistema de tratado único en el que el Protocolo es el único instrumento aplicable.</w:t>
      </w:r>
      <w:r w:rsidR="00280FF0" w:rsidRPr="00DE2AA4">
        <w:rPr>
          <w:lang w:val="es-ES_tradnl"/>
        </w:rPr>
        <w:t xml:space="preserve"> Desde la decisión adoptada por la Unión particular para el registro internacional de marcas durante su quincuagésimo período de sesiones (29º extraordinario), en </w:t>
      </w:r>
      <w:r w:rsidR="004C352C" w:rsidRPr="00DE2AA4">
        <w:rPr>
          <w:lang w:val="es-ES_tradnl"/>
        </w:rPr>
        <w:t>Ginebra</w:t>
      </w:r>
      <w:r w:rsidR="00280FF0" w:rsidRPr="00DE2AA4">
        <w:rPr>
          <w:lang w:val="es-ES_tradnl"/>
        </w:rPr>
        <w:t>, del 3 al 11 de octubre de 2016, la aplicación del Artículo 14.1) y 2)a) del Arreglo de Madrid relativo al Registro Internacional de Marcas</w:t>
      </w:r>
      <w:r w:rsidR="004C352C" w:rsidRPr="00DE2AA4">
        <w:rPr>
          <w:lang w:val="es-ES_tradnl"/>
        </w:rPr>
        <w:t xml:space="preserve"> ha quedado suspendida</w:t>
      </w:r>
      <w:r w:rsidR="00280FF0" w:rsidRPr="00DE2AA4">
        <w:rPr>
          <w:lang w:val="es-ES_tradnl"/>
        </w:rPr>
        <w:t xml:space="preserve">, </w:t>
      </w:r>
      <w:r w:rsidR="004C352C" w:rsidRPr="00DE2AA4">
        <w:rPr>
          <w:lang w:val="es-ES_tradnl"/>
        </w:rPr>
        <w:t>con los efectos indicados en el párrafo</w:t>
      </w:r>
      <w:r w:rsidR="00280FF0" w:rsidRPr="00DE2AA4">
        <w:rPr>
          <w:lang w:val="es-ES_tradnl"/>
        </w:rPr>
        <w:t xml:space="preserve"> 10 </w:t>
      </w:r>
      <w:r w:rsidR="004C352C" w:rsidRPr="00DE2AA4">
        <w:rPr>
          <w:lang w:val="es-ES_tradnl"/>
        </w:rPr>
        <w:t>de la</w:t>
      </w:r>
      <w:r w:rsidR="00280FF0" w:rsidRPr="00DE2AA4">
        <w:rPr>
          <w:lang w:val="es-ES_tradnl"/>
        </w:rPr>
        <w:t xml:space="preserve"> “</w:t>
      </w:r>
      <w:r w:rsidR="004C352C" w:rsidRPr="00DE2AA4">
        <w:rPr>
          <w:color w:val="3B3B3B"/>
          <w:sz w:val="21"/>
          <w:szCs w:val="21"/>
          <w:lang w:val="es-ES_tradnl"/>
        </w:rPr>
        <w:t>Propuesta relativa a las Adhesiones al Arreglo de Madrid únicamente</w:t>
      </w:r>
      <w:r w:rsidR="00280FF0" w:rsidRPr="00DE2AA4">
        <w:rPr>
          <w:lang w:val="es-ES_tradnl"/>
        </w:rPr>
        <w:t>” (document</w:t>
      </w:r>
      <w:r w:rsidR="004C352C" w:rsidRPr="00DE2AA4">
        <w:rPr>
          <w:lang w:val="es-ES_tradnl"/>
        </w:rPr>
        <w:t>o</w:t>
      </w:r>
      <w:r w:rsidR="00280FF0" w:rsidRPr="00DE2AA4">
        <w:rPr>
          <w:lang w:val="es-ES_tradnl"/>
        </w:rPr>
        <w:t xml:space="preserve"> MM/A/50/3), a</w:t>
      </w:r>
      <w:r w:rsidR="004C352C" w:rsidRPr="00DE2AA4">
        <w:rPr>
          <w:lang w:val="es-ES_tradnl"/>
        </w:rPr>
        <w:t xml:space="preserve"> partir de la fecha de la decisión</w:t>
      </w:r>
      <w:r w:rsidR="00280FF0" w:rsidRPr="00DE2AA4">
        <w:rPr>
          <w:lang w:val="es-ES_tradnl"/>
        </w:rPr>
        <w:t xml:space="preserve"> (</w:t>
      </w:r>
      <w:r w:rsidR="004C352C" w:rsidRPr="00DE2AA4">
        <w:rPr>
          <w:lang w:val="es-ES_tradnl"/>
        </w:rPr>
        <w:t>véase el</w:t>
      </w:r>
      <w:r w:rsidR="00280FF0" w:rsidRPr="00DE2AA4">
        <w:rPr>
          <w:lang w:val="es-ES_tradnl"/>
        </w:rPr>
        <w:t xml:space="preserve"> document</w:t>
      </w:r>
      <w:r w:rsidR="004C352C" w:rsidRPr="00DE2AA4">
        <w:rPr>
          <w:lang w:val="es-ES_tradnl"/>
        </w:rPr>
        <w:t>o</w:t>
      </w:r>
      <w:r w:rsidR="00280FF0" w:rsidRPr="00DE2AA4">
        <w:rPr>
          <w:lang w:val="es-ES_tradnl"/>
        </w:rPr>
        <w:t xml:space="preserve"> MM/A/50/5</w:t>
      </w:r>
      <w:r w:rsidR="004C352C" w:rsidRPr="00DE2AA4">
        <w:rPr>
          <w:lang w:val="es-ES_tradnl"/>
        </w:rPr>
        <w:t>, párrafo</w:t>
      </w:r>
      <w:r w:rsidR="00280FF0" w:rsidRPr="00DE2AA4">
        <w:rPr>
          <w:lang w:val="es-ES_tradnl"/>
        </w:rPr>
        <w:t xml:space="preserve"> 17</w:t>
      </w:r>
      <w:r w:rsidR="004C352C" w:rsidRPr="00DE2AA4">
        <w:rPr>
          <w:lang w:val="es-ES_tradnl"/>
        </w:rPr>
        <w:t>.</w:t>
      </w:r>
      <w:r w:rsidR="00280FF0" w:rsidRPr="00DE2AA4">
        <w:rPr>
          <w:lang w:val="es-ES_tradnl"/>
        </w:rPr>
        <w:t>ii))</w:t>
      </w:r>
      <w:r w:rsidRPr="00DE2AA4">
        <w:rPr>
          <w:lang w:val="es-ES_tradnl"/>
        </w:rPr>
        <w:t>.</w:t>
      </w:r>
    </w:p>
    <w:p w:rsidR="00A418C5" w:rsidRPr="00DE2AA4" w:rsidRDefault="00001B71" w:rsidP="00A418C5">
      <w:pPr>
        <w:spacing w:after="220"/>
        <w:rPr>
          <w:lang w:val="es-ES_tradnl"/>
        </w:rPr>
      </w:pPr>
      <w:r w:rsidRPr="00DE2AA4">
        <w:rPr>
          <w:noProof/>
          <w:lang w:val="en-US" w:eastAsia="en-US"/>
        </w:rPr>
        <w:drawing>
          <wp:inline distT="0" distB="0" distL="0" distR="0" wp14:anchorId="0DBF764C" wp14:editId="344D6E71">
            <wp:extent cx="4905375" cy="2667000"/>
            <wp:effectExtent l="0" t="0" r="9525" b="0"/>
            <wp:docPr id="7" name="Chart 7" descr="Arreglo de Madrid&#10;(Número de Partes Contratantes y año)" title="Gráfico"/>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418C5" w:rsidRPr="00DE2AA4" w:rsidRDefault="00001B71" w:rsidP="00DE2AA4">
      <w:pPr>
        <w:spacing w:after="360"/>
        <w:rPr>
          <w:lang w:val="es-ES_tradnl"/>
        </w:rPr>
      </w:pPr>
      <w:r w:rsidRPr="00DE2AA4">
        <w:rPr>
          <w:noProof/>
          <w:lang w:val="en-US" w:eastAsia="en-US"/>
        </w:rPr>
        <w:lastRenderedPageBreak/>
        <w:drawing>
          <wp:inline distT="0" distB="0" distL="0" distR="0" wp14:anchorId="2EB7E13B" wp14:editId="76CCDB58">
            <wp:extent cx="4905375" cy="2689225"/>
            <wp:effectExtent l="0" t="0" r="9525" b="15875"/>
            <wp:docPr id="8" name="Chart 8" descr="Protocolo de Madrid &#10;(Número de Partes Contratantes y año)" title="Gráfico"/>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418C5" w:rsidRPr="00DE2AA4" w:rsidRDefault="00A418C5" w:rsidP="00DE2AA4">
      <w:pPr>
        <w:spacing w:after="120"/>
        <w:rPr>
          <w:i/>
          <w:lang w:val="es-ES_tradnl"/>
        </w:rPr>
      </w:pPr>
      <w:r w:rsidRPr="00DE2AA4">
        <w:rPr>
          <w:i/>
          <w:lang w:val="es-ES_tradnl"/>
        </w:rPr>
        <w:t>6.</w:t>
      </w:r>
      <w:r w:rsidRPr="00DE2AA4">
        <w:rPr>
          <w:i/>
          <w:lang w:val="es-ES_tradnl"/>
        </w:rPr>
        <w:tab/>
        <w:t>Arreglo de La Haya relativo al registro internacional de dibujos y modelos industriales</w:t>
      </w:r>
    </w:p>
    <w:p w:rsidR="00A418C5" w:rsidRPr="00DE2AA4" w:rsidRDefault="00A418C5" w:rsidP="00A418C5">
      <w:pPr>
        <w:spacing w:after="220"/>
        <w:rPr>
          <w:lang w:val="es-ES_tradnl"/>
        </w:rPr>
      </w:pPr>
      <w:r w:rsidRPr="00DE2AA4">
        <w:rPr>
          <w:lang w:val="es-ES_tradnl"/>
        </w:rPr>
        <w:t>El Arreglo de La Haya relativo al registro internacional de dibujos y modelos industriales está constituido de dos Actas, a saber, el Acta de La Haya (1960) y el Acta de Ginebra (1999). Se recuerda que el cese de la aplicación del Acta de Londres de 1934 entró en vigor el 18 de octubre de 2016, lo que significó un primer paso de magnitud hacia la simplificación del Sistema de La Haya.</w:t>
      </w:r>
    </w:p>
    <w:p w:rsidR="00A418C5" w:rsidRPr="00DE2AA4" w:rsidRDefault="00A418C5" w:rsidP="00A418C5">
      <w:pPr>
        <w:spacing w:after="220"/>
        <w:rPr>
          <w:lang w:val="es-ES_tradnl"/>
        </w:rPr>
      </w:pPr>
      <w:r w:rsidRPr="00DE2AA4">
        <w:rPr>
          <w:lang w:val="es-ES_tradnl"/>
        </w:rPr>
        <w:t xml:space="preserve">Actualmente, </w:t>
      </w:r>
      <w:r w:rsidR="004C352C" w:rsidRPr="00DE2AA4">
        <w:rPr>
          <w:lang w:val="es-ES_tradnl"/>
        </w:rPr>
        <w:t>74</w:t>
      </w:r>
      <w:r w:rsidRPr="00DE2AA4">
        <w:rPr>
          <w:lang w:val="es-ES_tradnl"/>
        </w:rPr>
        <w:t xml:space="preserve"> Estados u organizaciones intergubernamentales son mi</w:t>
      </w:r>
      <w:r w:rsidR="004C352C" w:rsidRPr="00DE2AA4">
        <w:rPr>
          <w:lang w:val="es-ES_tradnl"/>
        </w:rPr>
        <w:t>embros de la Unión de La Haya, 6</w:t>
      </w:r>
      <w:r w:rsidRPr="00DE2AA4">
        <w:rPr>
          <w:lang w:val="es-ES_tradnl"/>
        </w:rPr>
        <w:t>5 de los cuales están obligados por el Acta de 1999 y 34 por el Acta de 1960.</w:t>
      </w:r>
      <w:r w:rsidR="00711905" w:rsidRPr="00DE2AA4">
        <w:rPr>
          <w:lang w:val="es-ES_tradnl"/>
        </w:rPr>
        <w:t xml:space="preserve"> </w:t>
      </w:r>
      <w:r w:rsidRPr="00DE2AA4">
        <w:rPr>
          <w:lang w:val="es-ES_tradnl"/>
        </w:rPr>
        <w:t>Los dos gráficos que se presentan a continuación ofrecen información sobre cómo ha evolucionado la composición de la Unión de La Haya.</w:t>
      </w:r>
    </w:p>
    <w:p w:rsidR="00A418C5" w:rsidRPr="00DE2AA4" w:rsidRDefault="00246268" w:rsidP="00A418C5">
      <w:pPr>
        <w:spacing w:after="220"/>
        <w:rPr>
          <w:lang w:val="es-ES_tradnl"/>
        </w:rPr>
      </w:pPr>
      <w:r w:rsidRPr="00DE2AA4">
        <w:rPr>
          <w:noProof/>
          <w:lang w:val="en-US" w:eastAsia="en-US"/>
        </w:rPr>
        <w:drawing>
          <wp:inline distT="0" distB="0" distL="0" distR="0" wp14:anchorId="0D82F1E0" wp14:editId="6F0732EB">
            <wp:extent cx="4748530" cy="2743200"/>
            <wp:effectExtent l="0" t="0" r="13970" b="0"/>
            <wp:docPr id="9" name="Chart 9" descr="Acta de La Haya del Arreglo de La Haya&#10;(Número de Partes Contratantes y año)" title="Gráfico"/>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418C5" w:rsidRPr="00DE2AA4" w:rsidRDefault="00246268" w:rsidP="00DE2AA4">
      <w:pPr>
        <w:spacing w:after="360"/>
        <w:rPr>
          <w:lang w:val="es-ES_tradnl"/>
        </w:rPr>
      </w:pPr>
      <w:r w:rsidRPr="00DE2AA4">
        <w:rPr>
          <w:noProof/>
          <w:lang w:val="en-US" w:eastAsia="en-US"/>
        </w:rPr>
        <w:lastRenderedPageBreak/>
        <w:drawing>
          <wp:inline distT="0" distB="0" distL="0" distR="0" wp14:anchorId="519CEEE4" wp14:editId="7849BD95">
            <wp:extent cx="4748530" cy="2743200"/>
            <wp:effectExtent l="0" t="0" r="13970" b="0"/>
            <wp:docPr id="10" name="Chart 10" descr="Acta de Ginebra del Arreglo de La Haya&#10;(Número de Partes Contratantes y año)" title="Gráfico "/>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418C5" w:rsidRPr="00DE2AA4" w:rsidRDefault="00A418C5" w:rsidP="00A418C5">
      <w:pPr>
        <w:spacing w:after="220"/>
        <w:rPr>
          <w:i/>
          <w:lang w:val="es-ES_tradnl"/>
        </w:rPr>
      </w:pPr>
      <w:r w:rsidRPr="00DE2AA4">
        <w:rPr>
          <w:i/>
          <w:lang w:val="es-ES_tradnl"/>
        </w:rPr>
        <w:t>7.</w:t>
      </w:r>
      <w:r w:rsidRPr="00DE2AA4">
        <w:rPr>
          <w:i/>
          <w:lang w:val="es-ES_tradnl"/>
        </w:rPr>
        <w:tab/>
        <w:t>Arreglo de Niza relativo a la Clasificación Internacional de Productos y Servicios para el Registro de Marcas (1957)</w:t>
      </w:r>
    </w:p>
    <w:p w:rsidR="00A418C5" w:rsidRPr="00DE2AA4" w:rsidRDefault="00381D02" w:rsidP="00A418C5">
      <w:pPr>
        <w:spacing w:after="220"/>
        <w:rPr>
          <w:lang w:val="es-ES_tradnl"/>
        </w:rPr>
      </w:pPr>
      <w:r w:rsidRPr="00DE2AA4">
        <w:rPr>
          <w:noProof/>
          <w:lang w:val="en-US" w:eastAsia="en-US"/>
        </w:rPr>
        <w:drawing>
          <wp:inline distT="0" distB="0" distL="0" distR="0" wp14:anchorId="2EF6F25E" wp14:editId="2D9CC347">
            <wp:extent cx="4810125" cy="2704465"/>
            <wp:effectExtent l="0" t="0" r="9525" b="635"/>
            <wp:docPr id="11" name="Chart 11" descr="Arreglo de Niza relativo a la Clasificación Internacional de Productos y Servicios para el Registro de Marcas (1957)&#10;(Número de Partes Contratantes y año)" title="Gráfico "/>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418C5" w:rsidRPr="00DE2AA4" w:rsidRDefault="00A418C5" w:rsidP="00A418C5">
      <w:pPr>
        <w:spacing w:after="220"/>
        <w:rPr>
          <w:lang w:val="es-ES_tradnl"/>
        </w:rPr>
      </w:pPr>
      <w:r w:rsidRPr="00DE2AA4">
        <w:rPr>
          <w:lang w:val="es-ES_tradnl"/>
        </w:rPr>
        <w:t>El Arreglo de Niza fue revisado en dos ocasiones tras su adopción en 1957, a saber, en Estocolmo (1967) y en Ginebra (1977).</w:t>
      </w:r>
      <w:r w:rsidR="00711905" w:rsidRPr="00DE2AA4">
        <w:rPr>
          <w:lang w:val="es-ES_tradnl"/>
        </w:rPr>
        <w:t xml:space="preserve"> </w:t>
      </w:r>
      <w:r w:rsidRPr="00DE2AA4">
        <w:rPr>
          <w:lang w:val="es-ES_tradnl"/>
        </w:rPr>
        <w:t>Algunos Estados miembros siguen obligados por el Acta de Estocolmo, en concreto Argelia, Israel y Marruecos, y dos Estados por el Arreglo de Niza original, en concreto el Líbano y Túnez (que, por lo tanto, no son miembros de la Asamblea).</w:t>
      </w:r>
      <w:r w:rsidR="00711905" w:rsidRPr="00DE2AA4">
        <w:rPr>
          <w:lang w:val="es-ES_tradnl"/>
        </w:rPr>
        <w:t xml:space="preserve"> </w:t>
      </w:r>
      <w:r w:rsidRPr="00DE2AA4">
        <w:rPr>
          <w:lang w:val="es-ES_tradnl"/>
        </w:rPr>
        <w:t>Se ruega a estos Estados que consideren adherirse al Acta de Ginebra del Arreglo de Niza o la ratifiquen, y que tomen nota de que la Secretaría está dispuesta a asistirlos en lo que sea necesario.</w:t>
      </w:r>
    </w:p>
    <w:p w:rsidR="00A418C5" w:rsidRPr="00DE2AA4" w:rsidRDefault="00A418C5" w:rsidP="00A418C5">
      <w:pPr>
        <w:spacing w:after="220"/>
        <w:rPr>
          <w:i/>
          <w:lang w:val="es-ES_tradnl"/>
        </w:rPr>
      </w:pPr>
      <w:r w:rsidRPr="00DE2AA4">
        <w:rPr>
          <w:i/>
          <w:lang w:val="es-ES_tradnl"/>
        </w:rPr>
        <w:t>8.</w:t>
      </w:r>
      <w:r w:rsidRPr="00DE2AA4">
        <w:rPr>
          <w:i/>
          <w:lang w:val="es-ES_tradnl"/>
        </w:rPr>
        <w:tab/>
        <w:t>Arreglo de Lisboa relativo a la Protección de las Denominaciones de Origen y su Registro Internacional (1958)</w:t>
      </w:r>
    </w:p>
    <w:p w:rsidR="00A418C5" w:rsidRPr="00DE2AA4" w:rsidRDefault="00A418C5" w:rsidP="00A418C5">
      <w:pPr>
        <w:spacing w:after="220"/>
        <w:rPr>
          <w:lang w:val="es-ES_tradnl"/>
        </w:rPr>
      </w:pPr>
      <w:r w:rsidRPr="00DE2AA4">
        <w:rPr>
          <w:lang w:val="es-ES_tradnl"/>
        </w:rPr>
        <w:t>El Arreglo de Lisboa, adoptado en 1958, fue revisado en Estocolmo en 1967 y modificado en</w:t>
      </w:r>
      <w:r w:rsidR="003731D5" w:rsidRPr="00DE2AA4">
        <w:rPr>
          <w:lang w:val="es-ES_tradnl"/>
        </w:rPr>
        <w:t> </w:t>
      </w:r>
      <w:r w:rsidRPr="00DE2AA4">
        <w:rPr>
          <w:lang w:val="es-ES_tradnl"/>
        </w:rPr>
        <w:t>1979.</w:t>
      </w:r>
      <w:r w:rsidR="00711905" w:rsidRPr="00DE2AA4">
        <w:rPr>
          <w:lang w:val="es-ES_tradnl"/>
        </w:rPr>
        <w:t xml:space="preserve"> </w:t>
      </w:r>
      <w:r w:rsidRPr="00DE2AA4">
        <w:rPr>
          <w:lang w:val="es-ES_tradnl"/>
        </w:rPr>
        <w:t>Se extiende la misma invitación mencionada respecto a otros tratados a Haití, que no está obligado por el Acta de Estocolmo del Arreglo de Lisboa y que, por consiguiente, no es miembro de la Asamblea de Lisboa.</w:t>
      </w:r>
    </w:p>
    <w:p w:rsidR="00A418C5" w:rsidRPr="00DE2AA4" w:rsidRDefault="003731D5" w:rsidP="00A418C5">
      <w:pPr>
        <w:spacing w:after="220"/>
        <w:rPr>
          <w:lang w:val="es-ES_tradnl"/>
        </w:rPr>
      </w:pPr>
      <w:r w:rsidRPr="00DE2AA4">
        <w:rPr>
          <w:lang w:val="es-ES_tradnl"/>
        </w:rPr>
        <w:lastRenderedPageBreak/>
        <w:t xml:space="preserve">El Acta de Ginebra del Arreglo de Lisboa relativo a las Denominaciones de Origen y las Indicaciones Geográficas fue adoptado el 20 de mayo de 2015 y entró en vigor el 26 de febrero de 2020. Hasta la fecha, </w:t>
      </w:r>
      <w:r w:rsidR="0063432E" w:rsidRPr="00DE2AA4">
        <w:rPr>
          <w:lang w:val="es-ES_tradnl"/>
        </w:rPr>
        <w:t>sus</w:t>
      </w:r>
      <w:r w:rsidRPr="00DE2AA4">
        <w:rPr>
          <w:lang w:val="es-ES_tradnl"/>
        </w:rPr>
        <w:t xml:space="preserve"> cinco Partes Contratantes son Albania, Camboya, la República Democrática Popular de Corea y Samoa, </w:t>
      </w:r>
      <w:r w:rsidR="0063432E" w:rsidRPr="00DE2AA4">
        <w:rPr>
          <w:lang w:val="es-ES_tradnl"/>
        </w:rPr>
        <w:t>así como</w:t>
      </w:r>
      <w:r w:rsidRPr="00DE2AA4">
        <w:rPr>
          <w:lang w:val="es-ES_tradnl"/>
        </w:rPr>
        <w:t xml:space="preserve"> una organización intergubernamental, a saber, la Unión Europea</w:t>
      </w:r>
      <w:r w:rsidR="00A418C5" w:rsidRPr="00DE2AA4">
        <w:rPr>
          <w:lang w:val="es-ES_tradnl"/>
        </w:rPr>
        <w:t>.</w:t>
      </w:r>
    </w:p>
    <w:p w:rsidR="00A418C5" w:rsidRPr="00DE2AA4" w:rsidRDefault="00381D02" w:rsidP="00A418C5">
      <w:pPr>
        <w:spacing w:after="220"/>
        <w:rPr>
          <w:lang w:val="es-ES_tradnl"/>
        </w:rPr>
      </w:pPr>
      <w:r w:rsidRPr="00DE2AA4">
        <w:rPr>
          <w:noProof/>
          <w:lang w:val="en-US" w:eastAsia="en-US"/>
        </w:rPr>
        <w:drawing>
          <wp:inline distT="0" distB="0" distL="0" distR="0" wp14:anchorId="07BE0A80" wp14:editId="09B93481">
            <wp:extent cx="4572000" cy="2689225"/>
            <wp:effectExtent l="0" t="0" r="0" b="15875"/>
            <wp:docPr id="12" name="Chart 12" descr="Arreglo de Lisboa&#10;(Número de Partes Contratantes y año)" title="Gráfico"/>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418C5" w:rsidRPr="00DE2AA4" w:rsidRDefault="00381D02" w:rsidP="00A418C5">
      <w:pPr>
        <w:spacing w:after="220"/>
        <w:rPr>
          <w:lang w:val="es-ES_tradnl"/>
        </w:rPr>
      </w:pPr>
      <w:r w:rsidRPr="00DE2AA4">
        <w:rPr>
          <w:noProof/>
          <w:lang w:val="en-US" w:eastAsia="en-US"/>
        </w:rPr>
        <w:drawing>
          <wp:inline distT="0" distB="0" distL="0" distR="0" wp14:anchorId="2C56F7C4" wp14:editId="0808C381">
            <wp:extent cx="4748530" cy="2743200"/>
            <wp:effectExtent l="0" t="0" r="13970" b="0"/>
            <wp:docPr id="13" name="Chart 13" descr="Acta de Ginebra del Arreglo de Lisboa&#10;(Número de Partes Contratantes y año)" title="Gráfico"/>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E2365" w:rsidRPr="00DE2AA4" w:rsidRDefault="00FE2365">
      <w:pPr>
        <w:rPr>
          <w:i/>
          <w:lang w:val="es-ES_tradnl"/>
        </w:rPr>
      </w:pPr>
      <w:r w:rsidRPr="00DE2AA4">
        <w:rPr>
          <w:i/>
          <w:lang w:val="es-ES_tradnl"/>
        </w:rPr>
        <w:br w:type="page"/>
      </w:r>
    </w:p>
    <w:p w:rsidR="00A418C5" w:rsidRPr="00DE2AA4" w:rsidRDefault="00A418C5" w:rsidP="00B01640">
      <w:pPr>
        <w:spacing w:after="120"/>
        <w:rPr>
          <w:lang w:val="es-ES_tradnl"/>
        </w:rPr>
      </w:pPr>
      <w:r w:rsidRPr="00DE2AA4">
        <w:rPr>
          <w:i/>
          <w:lang w:val="es-ES_tradnl"/>
        </w:rPr>
        <w:lastRenderedPageBreak/>
        <w:t>9.</w:t>
      </w:r>
      <w:r w:rsidRPr="00DE2AA4">
        <w:rPr>
          <w:i/>
          <w:lang w:val="es-ES_tradnl"/>
        </w:rPr>
        <w:tab/>
        <w:t>Convención Internacional sobre la protección de los artistas intérpretes o ejecutantes,</w:t>
      </w:r>
      <w:r w:rsidR="00B01640" w:rsidRPr="00DE2AA4">
        <w:rPr>
          <w:i/>
          <w:lang w:val="es-ES_tradnl"/>
        </w:rPr>
        <w:t xml:space="preserve"> los </w:t>
      </w:r>
      <w:r w:rsidRPr="00DE2AA4">
        <w:rPr>
          <w:i/>
          <w:lang w:val="es-ES_tradnl"/>
        </w:rPr>
        <w:t>productores de fonogramas y los organismos de radiodifusión (1961)</w:t>
      </w:r>
    </w:p>
    <w:p w:rsidR="00A418C5" w:rsidRPr="00DE2AA4" w:rsidRDefault="00FE2365" w:rsidP="00DE2AA4">
      <w:pPr>
        <w:spacing w:after="360"/>
        <w:rPr>
          <w:lang w:val="es-ES_tradnl"/>
        </w:rPr>
      </w:pPr>
      <w:r w:rsidRPr="00DE2AA4">
        <w:rPr>
          <w:noProof/>
          <w:lang w:val="en-US" w:eastAsia="en-US"/>
        </w:rPr>
        <w:drawing>
          <wp:inline distT="0" distB="0" distL="0" distR="0" wp14:anchorId="223E7E8C" wp14:editId="014BD5DF">
            <wp:extent cx="4786630" cy="2681605"/>
            <wp:effectExtent l="0" t="0" r="13970" b="4445"/>
            <wp:docPr id="14" name="Chart 14" descr="Convención Internacional sobre la protección de los artistas intérpretes o ejecutantes, los productores de fonogramas y los organismos de radiodifusión (1961)&#10;(Número de Partes Contratantes y año)" title="Gráfico"/>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418C5" w:rsidRPr="00DE2AA4" w:rsidRDefault="00A418C5" w:rsidP="00A418C5">
      <w:pPr>
        <w:spacing w:after="220"/>
        <w:rPr>
          <w:i/>
          <w:lang w:val="es-ES_tradnl"/>
        </w:rPr>
      </w:pPr>
      <w:r w:rsidRPr="00DE2AA4">
        <w:rPr>
          <w:i/>
          <w:lang w:val="es-ES_tradnl"/>
        </w:rPr>
        <w:t>10.</w:t>
      </w:r>
      <w:r w:rsidRPr="00DE2AA4">
        <w:rPr>
          <w:i/>
          <w:lang w:val="es-ES_tradnl"/>
        </w:rPr>
        <w:tab/>
        <w:t xml:space="preserve">Arreglo de </w:t>
      </w:r>
      <w:proofErr w:type="spellStart"/>
      <w:r w:rsidRPr="00DE2AA4">
        <w:rPr>
          <w:i/>
          <w:lang w:val="es-ES_tradnl"/>
        </w:rPr>
        <w:t>Locarno</w:t>
      </w:r>
      <w:proofErr w:type="spellEnd"/>
      <w:r w:rsidRPr="00DE2AA4">
        <w:rPr>
          <w:i/>
          <w:lang w:val="es-ES_tradnl"/>
        </w:rPr>
        <w:t xml:space="preserve"> que establece una Clasificación Internacional para los Dibujos y Modelos Industriales (1968)</w:t>
      </w:r>
    </w:p>
    <w:p w:rsidR="00A418C5" w:rsidRPr="00DE2AA4" w:rsidRDefault="00FE2365" w:rsidP="00A418C5">
      <w:pPr>
        <w:spacing w:after="220"/>
        <w:rPr>
          <w:lang w:val="es-ES_tradnl"/>
        </w:rPr>
      </w:pPr>
      <w:r w:rsidRPr="00DE2AA4">
        <w:rPr>
          <w:noProof/>
          <w:lang w:val="en-US" w:eastAsia="en-US"/>
        </w:rPr>
        <w:drawing>
          <wp:inline distT="0" distB="0" distL="0" distR="0" wp14:anchorId="394CA431" wp14:editId="5C7293BC">
            <wp:extent cx="4786630" cy="2658110"/>
            <wp:effectExtent l="0" t="0" r="13970" b="8890"/>
            <wp:docPr id="15" name="Chart 15" descr="Arreglo de Locarno que establece una Clasificación Internacional para los Dibujos y Modelos Industriales (1968)&#10;(Número de Partes Contratantes y año)" title="Gráfico"/>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52132" w:rsidRPr="00DE2AA4" w:rsidRDefault="00152132">
      <w:pPr>
        <w:rPr>
          <w:i/>
          <w:lang w:val="es-ES_tradnl"/>
        </w:rPr>
      </w:pPr>
      <w:r w:rsidRPr="00DE2AA4">
        <w:rPr>
          <w:i/>
          <w:lang w:val="es-ES_tradnl"/>
        </w:rPr>
        <w:br w:type="page"/>
      </w:r>
    </w:p>
    <w:p w:rsidR="00A418C5" w:rsidRPr="00DE2AA4" w:rsidRDefault="00A418C5" w:rsidP="00A418C5">
      <w:pPr>
        <w:spacing w:after="220"/>
        <w:rPr>
          <w:i/>
          <w:lang w:val="es-ES_tradnl"/>
        </w:rPr>
      </w:pPr>
      <w:r w:rsidRPr="00DE2AA4">
        <w:rPr>
          <w:i/>
          <w:lang w:val="es-ES_tradnl"/>
        </w:rPr>
        <w:lastRenderedPageBreak/>
        <w:t>11.</w:t>
      </w:r>
      <w:r w:rsidRPr="00DE2AA4">
        <w:rPr>
          <w:i/>
          <w:lang w:val="es-ES_tradnl"/>
        </w:rPr>
        <w:tab/>
        <w:t>Tratado de Cooperación en materia de Patentes (PCT) (1970)</w:t>
      </w:r>
    </w:p>
    <w:p w:rsidR="00A418C5" w:rsidRPr="00DE2AA4" w:rsidRDefault="00FE2365" w:rsidP="00DE2AA4">
      <w:pPr>
        <w:spacing w:after="360"/>
        <w:rPr>
          <w:lang w:val="es-ES_tradnl"/>
        </w:rPr>
      </w:pPr>
      <w:r w:rsidRPr="00DE2AA4">
        <w:rPr>
          <w:noProof/>
          <w:lang w:val="en-US" w:eastAsia="en-US"/>
        </w:rPr>
        <w:drawing>
          <wp:inline distT="0" distB="0" distL="0" distR="0" wp14:anchorId="7C7CD099" wp14:editId="5DAAF426">
            <wp:extent cx="4771390" cy="2650490"/>
            <wp:effectExtent l="0" t="0" r="10160" b="16510"/>
            <wp:docPr id="16" name="Chart 16" descr="Tratado de Cooperación en materia de Patentes (PCT) (1970)&#10;(Número de Partes Contratantes y año)" title="Gráfico"/>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418C5" w:rsidRPr="00DE2AA4" w:rsidRDefault="00A418C5" w:rsidP="00A418C5">
      <w:pPr>
        <w:spacing w:after="220"/>
        <w:rPr>
          <w:i/>
          <w:lang w:val="es-ES_tradnl"/>
        </w:rPr>
      </w:pPr>
      <w:r w:rsidRPr="00DE2AA4">
        <w:rPr>
          <w:i/>
          <w:lang w:val="es-ES_tradnl"/>
        </w:rPr>
        <w:t>12.</w:t>
      </w:r>
      <w:r w:rsidRPr="00DE2AA4">
        <w:rPr>
          <w:i/>
          <w:lang w:val="es-ES_tradnl"/>
        </w:rPr>
        <w:tab/>
        <w:t>Arreglo de Estrasburgo relativo a la Clasificación Internacional de Patentes (1971)</w:t>
      </w:r>
    </w:p>
    <w:p w:rsidR="00A418C5" w:rsidRPr="00DE2AA4" w:rsidRDefault="00FE2365" w:rsidP="00A418C5">
      <w:pPr>
        <w:spacing w:after="220"/>
        <w:rPr>
          <w:lang w:val="es-ES_tradnl"/>
        </w:rPr>
      </w:pPr>
      <w:r w:rsidRPr="00DE2AA4">
        <w:rPr>
          <w:noProof/>
          <w:lang w:val="en-US" w:eastAsia="en-US"/>
        </w:rPr>
        <w:drawing>
          <wp:inline distT="0" distB="0" distL="0" distR="0" wp14:anchorId="7722FE11" wp14:editId="1C895307">
            <wp:extent cx="4771390" cy="2743200"/>
            <wp:effectExtent l="0" t="0" r="10160" b="0"/>
            <wp:docPr id="17" name="Chart 17" descr="Arreglo de Estrasburgo relativo a la Clasificación Internacional de Patentes (1971)&#10;(Número de Partes Contratantes y año)" title="Gráfico"/>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52132" w:rsidRPr="00DE2AA4" w:rsidRDefault="00152132">
      <w:pPr>
        <w:rPr>
          <w:i/>
          <w:lang w:val="es-ES_tradnl"/>
        </w:rPr>
      </w:pPr>
      <w:r w:rsidRPr="00DE2AA4">
        <w:rPr>
          <w:i/>
          <w:lang w:val="es-ES_tradnl"/>
        </w:rPr>
        <w:br w:type="page"/>
      </w:r>
    </w:p>
    <w:p w:rsidR="00A418C5" w:rsidRPr="00DE2AA4" w:rsidRDefault="00A418C5" w:rsidP="00A418C5">
      <w:pPr>
        <w:spacing w:after="220"/>
        <w:rPr>
          <w:i/>
          <w:lang w:val="es-ES_tradnl"/>
        </w:rPr>
      </w:pPr>
      <w:r w:rsidRPr="00DE2AA4">
        <w:rPr>
          <w:i/>
          <w:lang w:val="es-ES_tradnl"/>
        </w:rPr>
        <w:lastRenderedPageBreak/>
        <w:t>13.</w:t>
      </w:r>
      <w:r w:rsidRPr="00DE2AA4">
        <w:rPr>
          <w:i/>
          <w:lang w:val="es-ES_tradnl"/>
        </w:rPr>
        <w:tab/>
        <w:t>Convenio para la protección de los productores de fonogramas contra la reproducción no autorizada de sus fonogramas (1971)</w:t>
      </w:r>
    </w:p>
    <w:p w:rsidR="00A418C5" w:rsidRPr="00DE2AA4" w:rsidRDefault="00FE2365" w:rsidP="00DE2AA4">
      <w:pPr>
        <w:spacing w:after="360"/>
        <w:rPr>
          <w:lang w:val="es-ES_tradnl"/>
        </w:rPr>
      </w:pPr>
      <w:r w:rsidRPr="00DE2AA4">
        <w:rPr>
          <w:noProof/>
          <w:lang w:val="en-US" w:eastAsia="en-US"/>
        </w:rPr>
        <w:drawing>
          <wp:inline distT="0" distB="0" distL="0" distR="0" wp14:anchorId="29233298" wp14:editId="5314A26E">
            <wp:extent cx="4810125" cy="2673985"/>
            <wp:effectExtent l="0" t="0" r="9525" b="12065"/>
            <wp:docPr id="18" name="Chart 18" descr="Convenio para la protección de los productores de fonogramas contra la reproducción no autorizada de sus fonogramas (1971)&#10;(Número de Partes Contratantes y año)" title="Gráfico"/>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418C5" w:rsidRPr="00DE2AA4" w:rsidRDefault="00A418C5" w:rsidP="00A418C5">
      <w:pPr>
        <w:spacing w:after="220"/>
        <w:rPr>
          <w:i/>
          <w:lang w:val="es-ES_tradnl"/>
        </w:rPr>
      </w:pPr>
      <w:r w:rsidRPr="00DE2AA4">
        <w:rPr>
          <w:i/>
          <w:lang w:val="es-ES_tradnl"/>
        </w:rPr>
        <w:t>14.</w:t>
      </w:r>
      <w:r w:rsidRPr="00DE2AA4">
        <w:rPr>
          <w:i/>
          <w:lang w:val="es-ES_tradnl"/>
        </w:rPr>
        <w:tab/>
        <w:t>Acuerdo de Viena por el que se establece una Clasificación Internacional de los elementos figurativos de las marcas (1973)</w:t>
      </w:r>
    </w:p>
    <w:p w:rsidR="00A418C5" w:rsidRPr="00DE2AA4" w:rsidRDefault="00FE2365" w:rsidP="00A418C5">
      <w:pPr>
        <w:spacing w:after="220"/>
        <w:rPr>
          <w:lang w:val="es-ES_tradnl"/>
        </w:rPr>
      </w:pPr>
      <w:r w:rsidRPr="00DE2AA4">
        <w:rPr>
          <w:noProof/>
          <w:lang w:val="en-US" w:eastAsia="en-US"/>
        </w:rPr>
        <w:drawing>
          <wp:inline distT="0" distB="0" distL="0" distR="0" wp14:anchorId="2264265D" wp14:editId="36F5B75A">
            <wp:extent cx="4810125" cy="2752725"/>
            <wp:effectExtent l="0" t="0" r="9525" b="9525"/>
            <wp:docPr id="19" name="Chart 19" descr="Acuerdo de Viena por el que se establece una Clasificación Internacional de los elementos figurativos de las marcas (1973)&#10;(Número de Partes Contratantes y año)" title="Gráfico"/>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152132" w:rsidRPr="00DE2AA4" w:rsidRDefault="00152132">
      <w:pPr>
        <w:rPr>
          <w:i/>
          <w:lang w:val="es-ES_tradnl"/>
        </w:rPr>
      </w:pPr>
      <w:r w:rsidRPr="00DE2AA4">
        <w:rPr>
          <w:i/>
          <w:lang w:val="es-ES_tradnl"/>
        </w:rPr>
        <w:br w:type="page"/>
      </w:r>
    </w:p>
    <w:p w:rsidR="00A418C5" w:rsidRPr="00DE2AA4" w:rsidRDefault="00A418C5" w:rsidP="00A418C5">
      <w:pPr>
        <w:spacing w:after="220"/>
        <w:rPr>
          <w:i/>
          <w:lang w:val="es-ES_tradnl"/>
        </w:rPr>
      </w:pPr>
      <w:r w:rsidRPr="00DE2AA4">
        <w:rPr>
          <w:i/>
          <w:lang w:val="es-ES_tradnl"/>
        </w:rPr>
        <w:lastRenderedPageBreak/>
        <w:t>15.</w:t>
      </w:r>
      <w:r w:rsidRPr="00DE2AA4">
        <w:rPr>
          <w:i/>
          <w:lang w:val="es-ES_tradnl"/>
        </w:rPr>
        <w:tab/>
        <w:t>Convenio sobre la distribución de señales portadoras de programas transmitidas por satélite (1974)</w:t>
      </w:r>
    </w:p>
    <w:p w:rsidR="00A418C5" w:rsidRPr="00DE2AA4" w:rsidRDefault="00FE2365" w:rsidP="00DE2AA4">
      <w:pPr>
        <w:spacing w:after="360"/>
        <w:rPr>
          <w:lang w:val="es-ES_tradnl"/>
        </w:rPr>
      </w:pPr>
      <w:r w:rsidRPr="00DE2AA4">
        <w:rPr>
          <w:noProof/>
          <w:lang w:val="en-US" w:eastAsia="en-US"/>
        </w:rPr>
        <w:drawing>
          <wp:inline distT="0" distB="0" distL="0" distR="0" wp14:anchorId="3DC9522A" wp14:editId="1A3B4DF9">
            <wp:extent cx="4763770" cy="2549525"/>
            <wp:effectExtent l="0" t="0" r="17780" b="3175"/>
            <wp:docPr id="20" name="Chart 20" descr="Convenio sobre la distribución de señales portadoras de programas transmitidas por satélite (1974)&#10;(Número de Partes Contratantes y año)" title="Gráfico"/>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418C5" w:rsidRPr="00DE2AA4" w:rsidRDefault="00A418C5" w:rsidP="00A418C5">
      <w:pPr>
        <w:spacing w:after="220"/>
        <w:rPr>
          <w:i/>
          <w:lang w:val="es-ES_tradnl"/>
        </w:rPr>
      </w:pPr>
      <w:r w:rsidRPr="00DE2AA4">
        <w:rPr>
          <w:i/>
          <w:lang w:val="es-ES_tradnl"/>
        </w:rPr>
        <w:t>16.</w:t>
      </w:r>
      <w:r w:rsidRPr="00DE2AA4">
        <w:rPr>
          <w:i/>
          <w:lang w:val="es-ES_tradnl"/>
        </w:rPr>
        <w:tab/>
        <w:t>Tratado de Budapest sobre el Reconocimiento Internacional del Depósito de Microorganismos a los fines del Procedimiento en materia de Patentes (1977)</w:t>
      </w:r>
    </w:p>
    <w:p w:rsidR="00A418C5" w:rsidRPr="00DE2AA4" w:rsidRDefault="00FE2365" w:rsidP="00A418C5">
      <w:pPr>
        <w:spacing w:after="220"/>
        <w:rPr>
          <w:lang w:val="es-ES_tradnl"/>
        </w:rPr>
      </w:pPr>
      <w:r w:rsidRPr="00DE2AA4">
        <w:rPr>
          <w:noProof/>
          <w:lang w:val="en-US" w:eastAsia="en-US"/>
        </w:rPr>
        <w:drawing>
          <wp:inline distT="0" distB="0" distL="0" distR="0" wp14:anchorId="1A086EF4" wp14:editId="0C0DD298">
            <wp:extent cx="4763770" cy="2704465"/>
            <wp:effectExtent l="0" t="0" r="17780" b="635"/>
            <wp:docPr id="21" name="Chart 21" descr="Tratado de Budapest sobre el Reconocimiento Internacional del Depósito de Microorganismos a los fines del Procedimiento en materia de Patentes (1977)&#10;(Número de Partes Contratantes y año)" title="Gráfico"/>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52132" w:rsidRPr="00DE2AA4" w:rsidRDefault="00152132">
      <w:pPr>
        <w:rPr>
          <w:i/>
          <w:lang w:val="es-ES_tradnl"/>
        </w:rPr>
      </w:pPr>
      <w:r w:rsidRPr="00DE2AA4">
        <w:rPr>
          <w:i/>
          <w:lang w:val="es-ES_tradnl"/>
        </w:rPr>
        <w:br w:type="page"/>
      </w:r>
    </w:p>
    <w:p w:rsidR="00A418C5" w:rsidRPr="00DE2AA4" w:rsidRDefault="00A418C5" w:rsidP="00A418C5">
      <w:pPr>
        <w:spacing w:after="220"/>
        <w:rPr>
          <w:i/>
          <w:lang w:val="es-ES_tradnl"/>
        </w:rPr>
      </w:pPr>
      <w:r w:rsidRPr="00DE2AA4">
        <w:rPr>
          <w:i/>
          <w:lang w:val="es-ES_tradnl"/>
        </w:rPr>
        <w:lastRenderedPageBreak/>
        <w:t>17.</w:t>
      </w:r>
      <w:r w:rsidRPr="00DE2AA4">
        <w:rPr>
          <w:i/>
          <w:lang w:val="es-ES_tradnl"/>
        </w:rPr>
        <w:tab/>
        <w:t>Tratado de Nairobi sobre la protección del Símbolo Olímpico (1981)</w:t>
      </w:r>
    </w:p>
    <w:p w:rsidR="00A418C5" w:rsidRPr="00DE2AA4" w:rsidRDefault="00FE2365" w:rsidP="00DE2AA4">
      <w:pPr>
        <w:spacing w:after="360"/>
        <w:rPr>
          <w:lang w:val="es-ES_tradnl"/>
        </w:rPr>
      </w:pPr>
      <w:r w:rsidRPr="00DE2AA4">
        <w:rPr>
          <w:noProof/>
          <w:lang w:val="en-US" w:eastAsia="en-US"/>
        </w:rPr>
        <w:drawing>
          <wp:inline distT="0" distB="0" distL="0" distR="0" wp14:anchorId="5CD0D9B3" wp14:editId="56B02C64">
            <wp:extent cx="4771390" cy="2681605"/>
            <wp:effectExtent l="0" t="0" r="10160" b="4445"/>
            <wp:docPr id="22" name="Chart 22" descr="Tratado de Nairobi sobre la protección del Símbolo Olímpico (1981)&#10;(Número de Partes Contratantes y año)" title="Gráfico"/>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418C5" w:rsidRPr="00DE2AA4" w:rsidRDefault="00A418C5" w:rsidP="00A418C5">
      <w:pPr>
        <w:spacing w:after="220"/>
        <w:rPr>
          <w:i/>
          <w:lang w:val="es-ES_tradnl"/>
        </w:rPr>
      </w:pPr>
      <w:r w:rsidRPr="00DE2AA4">
        <w:rPr>
          <w:i/>
          <w:lang w:val="es-ES_tradnl"/>
        </w:rPr>
        <w:t>18.</w:t>
      </w:r>
      <w:r w:rsidRPr="00DE2AA4">
        <w:rPr>
          <w:i/>
          <w:lang w:val="es-ES_tradnl"/>
        </w:rPr>
        <w:tab/>
        <w:t>Tratado sobre el Derecho de Marcas (TLT) (1994)</w:t>
      </w:r>
    </w:p>
    <w:p w:rsidR="00A418C5" w:rsidRPr="00DE2AA4" w:rsidRDefault="00FE2365" w:rsidP="00A418C5">
      <w:pPr>
        <w:spacing w:after="220"/>
        <w:rPr>
          <w:lang w:val="es-ES_tradnl"/>
        </w:rPr>
      </w:pPr>
      <w:r w:rsidRPr="00DE2AA4">
        <w:rPr>
          <w:noProof/>
          <w:lang w:val="en-US" w:eastAsia="en-US"/>
        </w:rPr>
        <w:drawing>
          <wp:inline distT="0" distB="0" distL="0" distR="0" wp14:anchorId="523EF92C" wp14:editId="2D9F25F0">
            <wp:extent cx="4771390" cy="2743200"/>
            <wp:effectExtent l="0" t="0" r="10160" b="0"/>
            <wp:docPr id="23" name="Chart 23" descr="Tratado sobre el Derecho de Marcas (TLT) (1994)&#10;(Número de Partes Contratantes y año)" title="Gráfico"/>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152132" w:rsidRPr="00DE2AA4" w:rsidRDefault="00152132">
      <w:pPr>
        <w:rPr>
          <w:i/>
          <w:lang w:val="es-ES_tradnl"/>
        </w:rPr>
      </w:pPr>
      <w:r w:rsidRPr="00DE2AA4">
        <w:rPr>
          <w:i/>
          <w:lang w:val="es-ES_tradnl"/>
        </w:rPr>
        <w:br w:type="page"/>
      </w:r>
    </w:p>
    <w:p w:rsidR="00A418C5" w:rsidRPr="00DE2AA4" w:rsidRDefault="00A418C5" w:rsidP="00A418C5">
      <w:pPr>
        <w:spacing w:after="220"/>
        <w:rPr>
          <w:i/>
          <w:lang w:val="es-ES_tradnl"/>
        </w:rPr>
      </w:pPr>
      <w:r w:rsidRPr="00DE2AA4">
        <w:rPr>
          <w:i/>
          <w:lang w:val="es-ES_tradnl"/>
        </w:rPr>
        <w:lastRenderedPageBreak/>
        <w:t>19.</w:t>
      </w:r>
      <w:r w:rsidRPr="00DE2AA4">
        <w:rPr>
          <w:i/>
          <w:lang w:val="es-ES_tradnl"/>
        </w:rPr>
        <w:tab/>
        <w:t>Tratado de la OMPI sobre Derecho de Autor (WCT) (1996)</w:t>
      </w:r>
    </w:p>
    <w:p w:rsidR="00A418C5" w:rsidRPr="00DE2AA4" w:rsidRDefault="00FE2365" w:rsidP="00DE2AA4">
      <w:pPr>
        <w:spacing w:after="360"/>
        <w:rPr>
          <w:lang w:val="es-ES_tradnl"/>
        </w:rPr>
      </w:pPr>
      <w:r w:rsidRPr="00DE2AA4">
        <w:rPr>
          <w:noProof/>
          <w:lang w:val="en-US" w:eastAsia="en-US"/>
        </w:rPr>
        <w:drawing>
          <wp:inline distT="0" distB="0" distL="0" distR="0" wp14:anchorId="6C45F235" wp14:editId="4145F290">
            <wp:extent cx="4802505" cy="2704465"/>
            <wp:effectExtent l="0" t="0" r="17145" b="635"/>
            <wp:docPr id="24" name="Chart 24" descr="Tratado de la OMPI sobre Derecho de Autor (WCT) (1996)&#10;(Número de Partes Contratantes y año)" title="Gráfico"/>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A418C5" w:rsidRPr="00DE2AA4" w:rsidRDefault="00A418C5" w:rsidP="00A418C5">
      <w:pPr>
        <w:spacing w:after="220"/>
        <w:rPr>
          <w:i/>
          <w:lang w:val="es-ES_tradnl"/>
        </w:rPr>
      </w:pPr>
      <w:r w:rsidRPr="00DE2AA4">
        <w:rPr>
          <w:i/>
          <w:lang w:val="es-ES_tradnl"/>
        </w:rPr>
        <w:t>20.</w:t>
      </w:r>
      <w:r w:rsidRPr="00DE2AA4">
        <w:rPr>
          <w:i/>
          <w:lang w:val="es-ES_tradnl"/>
        </w:rPr>
        <w:tab/>
        <w:t>Tratado de la OMPI sobre Interpretación o Ejecución y Fonogramas (WPPT) (1996)</w:t>
      </w:r>
    </w:p>
    <w:p w:rsidR="00A418C5" w:rsidRPr="00DE2AA4" w:rsidRDefault="00FE2365" w:rsidP="00A418C5">
      <w:pPr>
        <w:spacing w:after="220"/>
        <w:rPr>
          <w:lang w:val="es-ES_tradnl"/>
        </w:rPr>
      </w:pPr>
      <w:r w:rsidRPr="00DE2AA4">
        <w:rPr>
          <w:noProof/>
          <w:lang w:val="en-US" w:eastAsia="en-US"/>
        </w:rPr>
        <w:drawing>
          <wp:inline distT="0" distB="0" distL="0" distR="0" wp14:anchorId="37FB2C28" wp14:editId="71DAF308">
            <wp:extent cx="4802505" cy="2743200"/>
            <wp:effectExtent l="0" t="0" r="17145" b="0"/>
            <wp:docPr id="25" name="Chart 25" descr="Tratado de la OMPI sobre Interpretación o Ejecución y Fonogramas (WPPT) (1996)&#10;(Número de Partes Contratantes y año)" title="Gráfico"/>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FE2365" w:rsidRPr="00DE2AA4" w:rsidRDefault="00FE2365">
      <w:pPr>
        <w:rPr>
          <w:i/>
          <w:lang w:val="es-ES_tradnl"/>
        </w:rPr>
      </w:pPr>
      <w:r w:rsidRPr="00DE2AA4">
        <w:rPr>
          <w:i/>
          <w:lang w:val="es-ES_tradnl"/>
        </w:rPr>
        <w:br w:type="page"/>
      </w:r>
    </w:p>
    <w:p w:rsidR="00A418C5" w:rsidRPr="00DE2AA4" w:rsidRDefault="00A418C5" w:rsidP="00A418C5">
      <w:pPr>
        <w:spacing w:after="220"/>
        <w:rPr>
          <w:i/>
          <w:lang w:val="es-ES_tradnl"/>
        </w:rPr>
      </w:pPr>
      <w:r w:rsidRPr="00DE2AA4">
        <w:rPr>
          <w:i/>
          <w:lang w:val="es-ES_tradnl"/>
        </w:rPr>
        <w:lastRenderedPageBreak/>
        <w:t>21.</w:t>
      </w:r>
      <w:r w:rsidRPr="00DE2AA4">
        <w:rPr>
          <w:i/>
          <w:lang w:val="es-ES_tradnl"/>
        </w:rPr>
        <w:tab/>
        <w:t>Tratado sobre el Derecho de Patentes (PLT) (2000)</w:t>
      </w:r>
    </w:p>
    <w:p w:rsidR="00A418C5" w:rsidRPr="00DE2AA4" w:rsidRDefault="00FE2365" w:rsidP="00DE2AA4">
      <w:pPr>
        <w:spacing w:after="360"/>
        <w:rPr>
          <w:lang w:val="es-ES_tradnl"/>
        </w:rPr>
      </w:pPr>
      <w:r w:rsidRPr="00DE2AA4">
        <w:rPr>
          <w:noProof/>
          <w:lang w:val="en-US" w:eastAsia="en-US"/>
        </w:rPr>
        <w:drawing>
          <wp:inline distT="0" distB="0" distL="0" distR="0" wp14:anchorId="0B7F860C" wp14:editId="36462781">
            <wp:extent cx="4763770" cy="2743200"/>
            <wp:effectExtent l="0" t="0" r="17780" b="0"/>
            <wp:docPr id="26" name="Chart 26" descr="Tratado sobre el Derecho de Patentes (PLT) (2000)&#10;(Número de Partes Contratantes y año)" title="Gráfico"/>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418C5" w:rsidRPr="00DE2AA4" w:rsidRDefault="00A418C5" w:rsidP="00A418C5">
      <w:pPr>
        <w:spacing w:after="220"/>
        <w:rPr>
          <w:i/>
          <w:lang w:val="es-ES_tradnl"/>
        </w:rPr>
      </w:pPr>
      <w:r w:rsidRPr="00DE2AA4">
        <w:rPr>
          <w:i/>
          <w:lang w:val="es-ES_tradnl"/>
        </w:rPr>
        <w:t>22.</w:t>
      </w:r>
      <w:r w:rsidRPr="00DE2AA4">
        <w:rPr>
          <w:i/>
          <w:lang w:val="es-ES_tradnl"/>
        </w:rPr>
        <w:tab/>
        <w:t>Tratado de Singapur sobre el Derecho de Marcas (2006)</w:t>
      </w:r>
    </w:p>
    <w:p w:rsidR="00A418C5" w:rsidRPr="00DE2AA4" w:rsidRDefault="005F1FE2" w:rsidP="00A418C5">
      <w:pPr>
        <w:spacing w:after="220"/>
        <w:rPr>
          <w:lang w:val="es-ES_tradnl"/>
        </w:rPr>
      </w:pPr>
      <w:r w:rsidRPr="00DE2AA4">
        <w:rPr>
          <w:noProof/>
          <w:lang w:val="en-US" w:eastAsia="en-US"/>
        </w:rPr>
        <w:drawing>
          <wp:inline distT="0" distB="0" distL="0" distR="0" wp14:anchorId="7B4A0D43" wp14:editId="0718DB82">
            <wp:extent cx="4763770" cy="2743200"/>
            <wp:effectExtent l="0" t="0" r="17780" b="0"/>
            <wp:docPr id="27" name="Chart 27" descr="Tratado de Singapur sobre el Derecho de Marcas (2006)&#10;(Número de Partes Contratantes y año)" title="Gráfico"/>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152132" w:rsidRPr="00DE2AA4" w:rsidRDefault="00152132">
      <w:pPr>
        <w:rPr>
          <w:i/>
          <w:lang w:val="es-ES_tradnl"/>
        </w:rPr>
      </w:pPr>
      <w:r w:rsidRPr="00DE2AA4">
        <w:rPr>
          <w:i/>
          <w:lang w:val="es-ES_tradnl"/>
        </w:rPr>
        <w:br w:type="page"/>
      </w:r>
    </w:p>
    <w:p w:rsidR="00A418C5" w:rsidRPr="00DE2AA4" w:rsidRDefault="00A418C5" w:rsidP="00A418C5">
      <w:pPr>
        <w:spacing w:after="220"/>
        <w:rPr>
          <w:i/>
          <w:lang w:val="es-ES_tradnl"/>
        </w:rPr>
      </w:pPr>
      <w:r w:rsidRPr="00DE2AA4">
        <w:rPr>
          <w:i/>
          <w:lang w:val="es-ES_tradnl"/>
        </w:rPr>
        <w:lastRenderedPageBreak/>
        <w:t>23.</w:t>
      </w:r>
      <w:r w:rsidRPr="00DE2AA4">
        <w:rPr>
          <w:i/>
          <w:lang w:val="es-ES_tradnl"/>
        </w:rPr>
        <w:tab/>
        <w:t>Tratado de Marrakech para facilitar el acceso a las obras publicadas a las personas ciegas, con discapacidad visual o con otras dificultades para acceder al texto impreso (2013)</w:t>
      </w:r>
    </w:p>
    <w:p w:rsidR="00A418C5" w:rsidRPr="00DE2AA4" w:rsidRDefault="005F1FE2" w:rsidP="00DE2AA4">
      <w:pPr>
        <w:spacing w:after="360"/>
        <w:rPr>
          <w:lang w:val="es-ES_tradnl"/>
        </w:rPr>
      </w:pPr>
      <w:r w:rsidRPr="00DE2AA4">
        <w:rPr>
          <w:noProof/>
          <w:lang w:val="en-US" w:eastAsia="en-US"/>
        </w:rPr>
        <w:drawing>
          <wp:inline distT="0" distB="0" distL="0" distR="0" wp14:anchorId="74917F1C" wp14:editId="2E56262D">
            <wp:extent cx="4730750" cy="2755900"/>
            <wp:effectExtent l="0" t="0" r="12700" b="6350"/>
            <wp:docPr id="28" name="Chart 28" descr="Tratado de Marrakech para facilitar el acceso a las obras publicadas a las personas ciegas, con discapacidad visual o con otras dificultades para acceder al texto impreso (2013)&#10;(Número de Partes Contratantes y año)&#10;" title="Gráfico"/>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A418C5" w:rsidRPr="00DE2AA4" w:rsidRDefault="00A418C5" w:rsidP="00A418C5">
      <w:pPr>
        <w:spacing w:after="220"/>
        <w:rPr>
          <w:i/>
          <w:lang w:val="es-ES_tradnl"/>
        </w:rPr>
      </w:pPr>
      <w:r w:rsidRPr="00DE2AA4">
        <w:rPr>
          <w:i/>
          <w:lang w:val="es-ES_tradnl"/>
        </w:rPr>
        <w:t>24.</w:t>
      </w:r>
      <w:r w:rsidRPr="00DE2AA4">
        <w:rPr>
          <w:i/>
          <w:lang w:val="es-ES_tradnl"/>
        </w:rPr>
        <w:tab/>
        <w:t>Tratado de Beijing sobre Interpretaciones y Ejecuciones Audiovisuales (2012)</w:t>
      </w:r>
    </w:p>
    <w:p w:rsidR="00A418C5" w:rsidRPr="00DE2AA4" w:rsidRDefault="005F1FE2" w:rsidP="00DE2AA4">
      <w:pPr>
        <w:spacing w:after="480"/>
        <w:rPr>
          <w:lang w:val="es-ES_tradnl"/>
        </w:rPr>
      </w:pPr>
      <w:r w:rsidRPr="00DE2AA4">
        <w:rPr>
          <w:noProof/>
          <w:lang w:val="en-US" w:eastAsia="en-US"/>
        </w:rPr>
        <w:drawing>
          <wp:inline distT="0" distB="0" distL="0" distR="0" wp14:anchorId="6B3DAD7E" wp14:editId="004FFAC7">
            <wp:extent cx="4771390" cy="2704465"/>
            <wp:effectExtent l="0" t="0" r="10160" b="635"/>
            <wp:docPr id="29" name="Chart 29" descr="Tratado de Beijing sobre Interpretaciones y Ejecuciones Audiovisuales (2012)&#10;(Número de Partes Contratantes y año)" title="Gráfico"/>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A418C5" w:rsidRPr="00DE2AA4" w:rsidRDefault="00A418C5" w:rsidP="00DE2AA4">
      <w:pPr>
        <w:spacing w:before="480" w:after="120"/>
        <w:rPr>
          <w:lang w:val="es-ES_tradnl"/>
        </w:rPr>
      </w:pPr>
      <w:r w:rsidRPr="00DE2AA4">
        <w:rPr>
          <w:lang w:val="es-ES_tradnl"/>
        </w:rPr>
        <w:t>II.</w:t>
      </w:r>
      <w:r w:rsidRPr="00DE2AA4">
        <w:rPr>
          <w:lang w:val="es-ES_tradnl"/>
        </w:rPr>
        <w:tab/>
        <w:t>REFORMA ESTATUTARIA</w:t>
      </w:r>
    </w:p>
    <w:p w:rsidR="00A418C5" w:rsidRPr="00DE2AA4" w:rsidRDefault="00A418C5" w:rsidP="00A418C5">
      <w:pPr>
        <w:spacing w:after="220"/>
        <w:rPr>
          <w:lang w:val="es-ES_tradnl"/>
        </w:rPr>
      </w:pPr>
      <w:r w:rsidRPr="00DE2AA4">
        <w:rPr>
          <w:lang w:val="es-ES_tradnl"/>
        </w:rPr>
        <w:t>25.</w:t>
      </w:r>
      <w:r w:rsidRPr="00DE2AA4">
        <w:rPr>
          <w:lang w:val="es-ES_tradnl"/>
        </w:rPr>
        <w:tab/>
        <w:t>A pedido del Comité del Programa y Presupuesto (PBC), en el marco del debate sobre cuestiones de gobernanza, la Secretaría presentó un documento sobre el proceso de reforma estatutaria en la vigesimosexta sesión del PBC, celebrada del 10 al 14 de julio de 2017 (véase el documento WO/PBC/26/8).</w:t>
      </w:r>
    </w:p>
    <w:p w:rsidR="00A418C5" w:rsidRPr="00DE2AA4" w:rsidRDefault="00A418C5" w:rsidP="00A418C5">
      <w:pPr>
        <w:spacing w:after="220"/>
        <w:rPr>
          <w:lang w:val="es-ES_tradnl"/>
        </w:rPr>
      </w:pPr>
      <w:r w:rsidRPr="00DE2AA4">
        <w:rPr>
          <w:lang w:val="es-ES_tradnl"/>
        </w:rPr>
        <w:t>A raíz de la presentación, y a pedido del PBC, la Secretaría informó en la</w:t>
      </w:r>
      <w:r w:rsidR="008F7C56" w:rsidRPr="00DE2AA4">
        <w:rPr>
          <w:lang w:val="es-ES_tradnl"/>
        </w:rPr>
        <w:t>s sesiones</w:t>
      </w:r>
      <w:r w:rsidRPr="00DE2AA4">
        <w:rPr>
          <w:lang w:val="es-ES_tradnl"/>
        </w:rPr>
        <w:t xml:space="preserve"> vigesimoctava </w:t>
      </w:r>
      <w:r w:rsidR="008F7C56" w:rsidRPr="00DE2AA4">
        <w:rPr>
          <w:lang w:val="es-ES_tradnl"/>
        </w:rPr>
        <w:t>y trigésima</w:t>
      </w:r>
      <w:r w:rsidRPr="00DE2AA4">
        <w:rPr>
          <w:lang w:val="es-ES_tradnl"/>
        </w:rPr>
        <w:t xml:space="preserve"> del PBC sobre el estado de aplicación </w:t>
      </w:r>
      <w:r w:rsidR="00AD2DB5" w:rsidRPr="00DE2AA4">
        <w:rPr>
          <w:lang w:val="es-ES_tradnl"/>
        </w:rPr>
        <w:t>de las modificaciones de 1999 y </w:t>
      </w:r>
      <w:r w:rsidRPr="00DE2AA4">
        <w:rPr>
          <w:lang w:val="es-ES_tradnl"/>
        </w:rPr>
        <w:t>2003 (véa</w:t>
      </w:r>
      <w:r w:rsidR="008F7C56" w:rsidRPr="00DE2AA4">
        <w:rPr>
          <w:lang w:val="es-ES_tradnl"/>
        </w:rPr>
        <w:t>n</w:t>
      </w:r>
      <w:r w:rsidRPr="00DE2AA4">
        <w:rPr>
          <w:lang w:val="es-ES_tradnl"/>
        </w:rPr>
        <w:t xml:space="preserve">se </w:t>
      </w:r>
      <w:r w:rsidR="008F7C56" w:rsidRPr="00DE2AA4">
        <w:rPr>
          <w:lang w:val="es-ES_tradnl"/>
        </w:rPr>
        <w:t xml:space="preserve">los </w:t>
      </w:r>
      <w:r w:rsidRPr="00DE2AA4">
        <w:rPr>
          <w:lang w:val="es-ES_tradnl"/>
        </w:rPr>
        <w:t>documento</w:t>
      </w:r>
      <w:r w:rsidR="008F7C56" w:rsidRPr="00DE2AA4">
        <w:rPr>
          <w:lang w:val="es-ES_tradnl"/>
        </w:rPr>
        <w:t>s</w:t>
      </w:r>
      <w:r w:rsidRPr="00DE2AA4">
        <w:rPr>
          <w:lang w:val="es-ES_tradnl"/>
        </w:rPr>
        <w:t xml:space="preserve"> WO/PBC/28/12</w:t>
      </w:r>
      <w:r w:rsidR="008F7C56" w:rsidRPr="00DE2AA4">
        <w:rPr>
          <w:lang w:val="es-ES_tradnl"/>
        </w:rPr>
        <w:t xml:space="preserve"> y WO/PBC/30/13 Rev.</w:t>
      </w:r>
      <w:r w:rsidRPr="00DE2AA4">
        <w:rPr>
          <w:lang w:val="es-ES_tradnl"/>
        </w:rPr>
        <w:t>)</w:t>
      </w:r>
      <w:r w:rsidR="008F7C56" w:rsidRPr="00DE2AA4">
        <w:rPr>
          <w:lang w:val="es-ES_tradnl"/>
        </w:rPr>
        <w:t>.</w:t>
      </w:r>
    </w:p>
    <w:p w:rsidR="00A418C5" w:rsidRPr="00DE2AA4" w:rsidRDefault="00A418C5" w:rsidP="00A418C5">
      <w:pPr>
        <w:spacing w:after="220"/>
        <w:rPr>
          <w:lang w:val="es-ES_tradnl"/>
        </w:rPr>
      </w:pPr>
      <w:r w:rsidRPr="00DE2AA4">
        <w:rPr>
          <w:lang w:val="es-ES_tradnl"/>
        </w:rPr>
        <w:t>26.</w:t>
      </w:r>
      <w:r w:rsidRPr="00DE2AA4">
        <w:rPr>
          <w:lang w:val="es-ES_tradnl"/>
        </w:rPr>
        <w:tab/>
        <w:t xml:space="preserve">Se recuerda que en virtud de la modificación de 1999 del Convenio de la OMPI se limitaría el número de mandatos del director general a dos períodos fijos de seis años cada </w:t>
      </w:r>
      <w:r w:rsidRPr="00DE2AA4">
        <w:rPr>
          <w:lang w:val="es-ES_tradnl"/>
        </w:rPr>
        <w:lastRenderedPageBreak/>
        <w:t>uno. En virtud de las modificaciones de 2003 del Convenio de la OMPI y de otros tratados administrados por la OMPI: i) se disolvería la Conferencia de la OMPI; ii) se oficializaría el sistema de contribución única y los cambios en las clases de contribución que se venían aplicando desde 1994; y iii) se establecería una frecuencia anual (en lugar de una vez cada dos años) para los períodos ordinarios de sesiones de la Asamblea General de la OMPI y las demás Asambleas de las Uniones administradas por la OMPI. Hasta la fecha, ninguna de esas modificaciones ha entrado en vigor debido a que el director general aún no ha recibido de los Estados miembros el número exigido de notificaciones de aceptación de las modificaciones. Como resultado, existe una brecha entre el funcionamiento de la OMPI y su estructura estatutaria.</w:t>
      </w:r>
    </w:p>
    <w:p w:rsidR="00A418C5" w:rsidRPr="00DE2AA4" w:rsidRDefault="00A418C5" w:rsidP="004510F0">
      <w:pPr>
        <w:spacing w:after="600"/>
        <w:rPr>
          <w:lang w:val="es-ES_tradnl"/>
        </w:rPr>
      </w:pPr>
      <w:r w:rsidRPr="00DE2AA4">
        <w:rPr>
          <w:lang w:val="es-ES_tradnl"/>
        </w:rPr>
        <w:t>27.</w:t>
      </w:r>
      <w:r w:rsidRPr="00DE2AA4">
        <w:rPr>
          <w:lang w:val="es-ES_tradnl"/>
        </w:rPr>
        <w:tab/>
        <w:t>Se ruega a los Estados miembros que transmitan sus instrumentos de aceptación de las modificaciones de los tratados de la OMPI. Al hacerlo, los Estados miembros cerrarían la brecha y quedaría completado el proceso de racionalización de la estructura de gobernanza de la Organización.</w:t>
      </w:r>
    </w:p>
    <w:p w:rsidR="00512BA1" w:rsidRPr="00DE2AA4" w:rsidRDefault="00A418C5" w:rsidP="00A418C5">
      <w:pPr>
        <w:spacing w:after="220"/>
        <w:ind w:left="5670"/>
        <w:rPr>
          <w:lang w:val="es-ES_tradnl"/>
        </w:rPr>
      </w:pPr>
      <w:r w:rsidRPr="00DE2AA4">
        <w:rPr>
          <w:lang w:val="es-ES_tradnl"/>
        </w:rPr>
        <w:t>[Fin del documento]</w:t>
      </w:r>
    </w:p>
    <w:sectPr w:rsidR="00512BA1" w:rsidRPr="00DE2AA4" w:rsidSect="00A418C5">
      <w:headerReference w:type="default" r:id="rId3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8C5" w:rsidRDefault="00A418C5">
      <w:r>
        <w:separator/>
      </w:r>
    </w:p>
  </w:endnote>
  <w:endnote w:type="continuationSeparator" w:id="0">
    <w:p w:rsidR="00A418C5" w:rsidRPr="009D30E6" w:rsidRDefault="00A418C5" w:rsidP="007E663E">
      <w:pPr>
        <w:rPr>
          <w:sz w:val="17"/>
          <w:szCs w:val="17"/>
        </w:rPr>
      </w:pPr>
      <w:r w:rsidRPr="009D30E6">
        <w:rPr>
          <w:sz w:val="17"/>
          <w:szCs w:val="17"/>
        </w:rPr>
        <w:separator/>
      </w:r>
    </w:p>
    <w:p w:rsidR="00A418C5" w:rsidRPr="007E663E" w:rsidRDefault="00A418C5" w:rsidP="007E663E">
      <w:pPr>
        <w:spacing w:after="60"/>
        <w:rPr>
          <w:sz w:val="17"/>
          <w:szCs w:val="17"/>
        </w:rPr>
      </w:pPr>
      <w:r>
        <w:rPr>
          <w:sz w:val="17"/>
        </w:rPr>
        <w:t>[Continuación de la nota de la página anterior]</w:t>
      </w:r>
    </w:p>
  </w:endnote>
  <w:endnote w:type="continuationNotice" w:id="1">
    <w:p w:rsidR="00A418C5" w:rsidRPr="007E663E" w:rsidRDefault="00A418C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8C5" w:rsidRDefault="00A418C5">
      <w:r>
        <w:separator/>
      </w:r>
    </w:p>
  </w:footnote>
  <w:footnote w:type="continuationSeparator" w:id="0">
    <w:p w:rsidR="00A418C5" w:rsidRPr="009D30E6" w:rsidRDefault="00A418C5" w:rsidP="007E663E">
      <w:pPr>
        <w:rPr>
          <w:sz w:val="17"/>
          <w:szCs w:val="17"/>
        </w:rPr>
      </w:pPr>
      <w:r w:rsidRPr="009D30E6">
        <w:rPr>
          <w:sz w:val="17"/>
          <w:szCs w:val="17"/>
        </w:rPr>
        <w:separator/>
      </w:r>
    </w:p>
    <w:p w:rsidR="00A418C5" w:rsidRPr="007E663E" w:rsidRDefault="00A418C5" w:rsidP="007E663E">
      <w:pPr>
        <w:spacing w:after="60"/>
        <w:rPr>
          <w:sz w:val="17"/>
          <w:szCs w:val="17"/>
        </w:rPr>
      </w:pPr>
      <w:r>
        <w:rPr>
          <w:sz w:val="17"/>
        </w:rPr>
        <w:t>[Continuación de la nota de la página anterior]</w:t>
      </w:r>
    </w:p>
  </w:footnote>
  <w:footnote w:type="continuationNotice" w:id="1">
    <w:p w:rsidR="00A418C5" w:rsidRPr="007E663E" w:rsidRDefault="00A418C5" w:rsidP="007E663E">
      <w:pPr>
        <w:spacing w:before="60"/>
        <w:jc w:val="right"/>
        <w:rPr>
          <w:sz w:val="17"/>
          <w:szCs w:val="17"/>
        </w:rPr>
      </w:pPr>
      <w:r w:rsidRPr="007E663E">
        <w:rPr>
          <w:sz w:val="17"/>
          <w:szCs w:val="17"/>
        </w:rPr>
        <w:t>[Sigue la nota en la página siguiente]</w:t>
      </w:r>
    </w:p>
  </w:footnote>
  <w:footnote w:id="2">
    <w:p w:rsidR="003E46E3" w:rsidRPr="0005514A" w:rsidRDefault="003E46E3" w:rsidP="003E46E3">
      <w:pPr>
        <w:pStyle w:val="FootnoteText"/>
        <w:spacing w:after="60"/>
      </w:pPr>
      <w:r>
        <w:rPr>
          <w:rStyle w:val="FootnoteReference"/>
        </w:rPr>
        <w:footnoteRef/>
      </w:r>
      <w:r w:rsidRPr="0005514A">
        <w:t xml:space="preserve"> </w:t>
      </w:r>
      <w:r>
        <w:t>A los efectos de la presente actualización, los tratados pertinentes son e</w:t>
      </w:r>
      <w:r w:rsidRPr="0005514A">
        <w:t xml:space="preserve">l Convenio de París para la Protección de la Propiedad Industrial, el Convenio de Berna para la Protección de las Obras Literarias y Artísticas, el Arreglo de Niza relativo a la Clasificación Internacional de Productos y Servicios para el Registro de las Marcas y el Arreglo de Lisboa relativo a la Protección de las Denominaciones de Origen y su Registro Internacional </w:t>
      </w:r>
      <w:r>
        <w:t xml:space="preserve">en lo que se refiere a su Acta de Estocolmo de </w:t>
      </w:r>
      <w:r w:rsidRPr="0005514A">
        <w:t>1967.</w:t>
      </w:r>
    </w:p>
  </w:footnote>
  <w:footnote w:id="3">
    <w:p w:rsidR="003E46E3" w:rsidRPr="0005514A" w:rsidRDefault="003E46E3" w:rsidP="003E46E3">
      <w:pPr>
        <w:pStyle w:val="FootnoteText"/>
      </w:pPr>
      <w:r>
        <w:rPr>
          <w:rStyle w:val="FootnoteReference"/>
        </w:rPr>
        <w:footnoteRef/>
      </w:r>
      <w:r w:rsidRPr="0005514A">
        <w:t xml:space="preserve"> Véase la Parte II sobre la reforma </w:t>
      </w:r>
      <w:r>
        <w:t>estatutaria</w:t>
      </w:r>
      <w:r w:rsidRPr="0005514A">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512BA1" w:rsidRDefault="00A418C5" w:rsidP="00477D6B">
    <w:pPr>
      <w:jc w:val="right"/>
      <w:rPr>
        <w:caps/>
      </w:rPr>
    </w:pPr>
    <w:bookmarkStart w:id="6" w:name="Code2"/>
    <w:bookmarkEnd w:id="6"/>
    <w:r>
      <w:rPr>
        <w:caps/>
      </w:rPr>
      <w:t>A/61/IN</w:t>
    </w:r>
    <w:r w:rsidR="00C96F31">
      <w:rPr>
        <w:caps/>
      </w:rPr>
      <w:t>F</w:t>
    </w:r>
    <w:r>
      <w:rPr>
        <w:caps/>
      </w:rPr>
      <w:t>/3</w:t>
    </w:r>
  </w:p>
  <w:p w:rsidR="00AE7F20" w:rsidRDefault="00AE7F20" w:rsidP="00477D6B">
    <w:pPr>
      <w:jc w:val="right"/>
    </w:pPr>
    <w:r>
      <w:t xml:space="preserve">página </w:t>
    </w:r>
    <w:r>
      <w:fldChar w:fldCharType="begin"/>
    </w:r>
    <w:r>
      <w:instrText xml:space="preserve"> PAGE  \* MERGEFORMAT </w:instrText>
    </w:r>
    <w:r>
      <w:fldChar w:fldCharType="separate"/>
    </w:r>
    <w:r w:rsidR="00903EB3">
      <w:rPr>
        <w:noProof/>
      </w:rPr>
      <w:t>16</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8C5"/>
    <w:rsid w:val="00001B71"/>
    <w:rsid w:val="00010686"/>
    <w:rsid w:val="00052915"/>
    <w:rsid w:val="0005305B"/>
    <w:rsid w:val="000753B4"/>
    <w:rsid w:val="000E3BB3"/>
    <w:rsid w:val="000F5E56"/>
    <w:rsid w:val="001362EE"/>
    <w:rsid w:val="00152132"/>
    <w:rsid w:val="00152CEA"/>
    <w:rsid w:val="001832A6"/>
    <w:rsid w:val="00246268"/>
    <w:rsid w:val="002634C4"/>
    <w:rsid w:val="00280FF0"/>
    <w:rsid w:val="002C2E2F"/>
    <w:rsid w:val="002E0F47"/>
    <w:rsid w:val="002F4E68"/>
    <w:rsid w:val="00310826"/>
    <w:rsid w:val="00354647"/>
    <w:rsid w:val="003731D5"/>
    <w:rsid w:val="00377273"/>
    <w:rsid w:val="00381D02"/>
    <w:rsid w:val="003845C1"/>
    <w:rsid w:val="00387287"/>
    <w:rsid w:val="003B4A2D"/>
    <w:rsid w:val="003E46E3"/>
    <w:rsid w:val="003E48F1"/>
    <w:rsid w:val="003F347A"/>
    <w:rsid w:val="00423E3E"/>
    <w:rsid w:val="00427AF4"/>
    <w:rsid w:val="004510F0"/>
    <w:rsid w:val="0045231F"/>
    <w:rsid w:val="004647DA"/>
    <w:rsid w:val="0046793F"/>
    <w:rsid w:val="00472A6E"/>
    <w:rsid w:val="00477808"/>
    <w:rsid w:val="00477D6B"/>
    <w:rsid w:val="004A6C37"/>
    <w:rsid w:val="004C1886"/>
    <w:rsid w:val="004C352C"/>
    <w:rsid w:val="004E297D"/>
    <w:rsid w:val="00512BA1"/>
    <w:rsid w:val="00531B02"/>
    <w:rsid w:val="005332F0"/>
    <w:rsid w:val="0055013B"/>
    <w:rsid w:val="005618F3"/>
    <w:rsid w:val="00571B99"/>
    <w:rsid w:val="005F1FE2"/>
    <w:rsid w:val="00605827"/>
    <w:rsid w:val="0063432E"/>
    <w:rsid w:val="00675021"/>
    <w:rsid w:val="006A06C6"/>
    <w:rsid w:val="00711905"/>
    <w:rsid w:val="007224C8"/>
    <w:rsid w:val="00794BE2"/>
    <w:rsid w:val="007A5581"/>
    <w:rsid w:val="007A7839"/>
    <w:rsid w:val="007B71FE"/>
    <w:rsid w:val="007D781E"/>
    <w:rsid w:val="007E663E"/>
    <w:rsid w:val="00815082"/>
    <w:rsid w:val="0088395E"/>
    <w:rsid w:val="008B2CC1"/>
    <w:rsid w:val="008E6BD6"/>
    <w:rsid w:val="008F7C56"/>
    <w:rsid w:val="00903EB3"/>
    <w:rsid w:val="0090731E"/>
    <w:rsid w:val="00966A22"/>
    <w:rsid w:val="00972F03"/>
    <w:rsid w:val="0098367F"/>
    <w:rsid w:val="009A0C8B"/>
    <w:rsid w:val="009A20CD"/>
    <w:rsid w:val="009B6241"/>
    <w:rsid w:val="00A16FC0"/>
    <w:rsid w:val="00A32C9E"/>
    <w:rsid w:val="00A372DE"/>
    <w:rsid w:val="00A418C5"/>
    <w:rsid w:val="00AB613D"/>
    <w:rsid w:val="00AD2DB5"/>
    <w:rsid w:val="00AE7F20"/>
    <w:rsid w:val="00B01640"/>
    <w:rsid w:val="00B534D5"/>
    <w:rsid w:val="00B63FEB"/>
    <w:rsid w:val="00B65A0A"/>
    <w:rsid w:val="00B67CDC"/>
    <w:rsid w:val="00B72D36"/>
    <w:rsid w:val="00B86421"/>
    <w:rsid w:val="00BC4164"/>
    <w:rsid w:val="00BD2DCC"/>
    <w:rsid w:val="00C831E0"/>
    <w:rsid w:val="00C90559"/>
    <w:rsid w:val="00C96F31"/>
    <w:rsid w:val="00CA0500"/>
    <w:rsid w:val="00CA2251"/>
    <w:rsid w:val="00D56C7C"/>
    <w:rsid w:val="00D71B4D"/>
    <w:rsid w:val="00D90289"/>
    <w:rsid w:val="00D93D55"/>
    <w:rsid w:val="00DC4C60"/>
    <w:rsid w:val="00DD6CF4"/>
    <w:rsid w:val="00DE2AA4"/>
    <w:rsid w:val="00E0079A"/>
    <w:rsid w:val="00E444DA"/>
    <w:rsid w:val="00E45C84"/>
    <w:rsid w:val="00E504E5"/>
    <w:rsid w:val="00EB7A3E"/>
    <w:rsid w:val="00EC1AA7"/>
    <w:rsid w:val="00EC401A"/>
    <w:rsid w:val="00EF530A"/>
    <w:rsid w:val="00EF6622"/>
    <w:rsid w:val="00EF78A9"/>
    <w:rsid w:val="00F55408"/>
    <w:rsid w:val="00F66152"/>
    <w:rsid w:val="00F80845"/>
    <w:rsid w:val="00F84474"/>
    <w:rsid w:val="00F85931"/>
    <w:rsid w:val="00FA0F0D"/>
    <w:rsid w:val="00FD59D1"/>
    <w:rsid w:val="00FE2365"/>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C0BB8CA"/>
  <w15:docId w15:val="{6F179A59-8CCC-44DC-8C35-58C49428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semiHidden/>
    <w:rsid w:val="003E46E3"/>
    <w:rPr>
      <w:rFonts w:ascii="Arial" w:eastAsia="SimSun" w:hAnsi="Arial" w:cs="Arial"/>
      <w:sz w:val="18"/>
      <w:lang w:val="es-ES" w:eastAsia="zh-CN"/>
    </w:rPr>
  </w:style>
  <w:style w:type="character" w:styleId="FootnoteReference">
    <w:name w:val="footnote reference"/>
    <w:basedOn w:val="DefaultParagraphFont"/>
    <w:rsid w:val="003E46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21" Type="http://schemas.openxmlformats.org/officeDocument/2006/relationships/chart" Target="charts/chart14.xml"/><Relationship Id="rId34" Type="http://schemas.openxmlformats.org/officeDocument/2006/relationships/chart" Target="charts/chart27.xml"/><Relationship Id="rId7" Type="http://schemas.openxmlformats.org/officeDocument/2006/relationships/image" Target="media/image1.png"/><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header" Target="header1.xml"/><Relationship Id="rId8" Type="http://schemas.openxmlformats.org/officeDocument/2006/relationships/chart" Target="charts/chart1.xm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1%20(S).do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10.xml.rels><?xml version="1.0" encoding="UTF-8" standalone="yes"?>
<Relationships xmlns="http://schemas.openxmlformats.org/package/2006/relationships"><Relationship Id="rId1" Type="http://schemas.openxmlformats.org/officeDocument/2006/relationships/oleObject" Target="../embeddings/oleObject10.bin"/></Relationships>
</file>

<file path=word/charts/_rels/chart11.xml.rels><?xml version="1.0" encoding="UTF-8" standalone="yes"?>
<Relationships xmlns="http://schemas.openxmlformats.org/package/2006/relationships"><Relationship Id="rId1" Type="http://schemas.openxmlformats.org/officeDocument/2006/relationships/oleObject" Target="../embeddings/oleObject11.bin"/></Relationships>
</file>

<file path=word/charts/_rels/chart12.xml.rels><?xml version="1.0" encoding="UTF-8" standalone="yes"?>
<Relationships xmlns="http://schemas.openxmlformats.org/package/2006/relationships"><Relationship Id="rId1" Type="http://schemas.openxmlformats.org/officeDocument/2006/relationships/oleObject" Target="../embeddings/oleObject12.bin"/></Relationships>
</file>

<file path=word/charts/_rels/chart13.xml.rels><?xml version="1.0" encoding="UTF-8" standalone="yes"?>
<Relationships xmlns="http://schemas.openxmlformats.org/package/2006/relationships"><Relationship Id="rId1" Type="http://schemas.openxmlformats.org/officeDocument/2006/relationships/oleObject" Target="../embeddings/oleObject13.bin"/></Relationships>
</file>

<file path=word/charts/_rels/chart14.xml.rels><?xml version="1.0" encoding="UTF-8" standalone="yes"?>
<Relationships xmlns="http://schemas.openxmlformats.org/package/2006/relationships"><Relationship Id="rId1" Type="http://schemas.openxmlformats.org/officeDocument/2006/relationships/oleObject" Target="../embeddings/oleObject14.bin"/></Relationships>
</file>

<file path=word/charts/_rels/chart15.xml.rels><?xml version="1.0" encoding="UTF-8" standalone="yes"?>
<Relationships xmlns="http://schemas.openxmlformats.org/package/2006/relationships"><Relationship Id="rId1" Type="http://schemas.openxmlformats.org/officeDocument/2006/relationships/oleObject" Target="../embeddings/oleObject15.bin"/></Relationships>
</file>

<file path=word/charts/_rels/chart16.xml.rels><?xml version="1.0" encoding="UTF-8" standalone="yes"?>
<Relationships xmlns="http://schemas.openxmlformats.org/package/2006/relationships"><Relationship Id="rId1" Type="http://schemas.openxmlformats.org/officeDocument/2006/relationships/oleObject" Target="../embeddings/oleObject16.bin"/></Relationships>
</file>

<file path=word/charts/_rels/chart17.xml.rels><?xml version="1.0" encoding="UTF-8" standalone="yes"?>
<Relationships xmlns="http://schemas.openxmlformats.org/package/2006/relationships"><Relationship Id="rId1" Type="http://schemas.openxmlformats.org/officeDocument/2006/relationships/oleObject" Target="../embeddings/oleObject17.bin"/></Relationships>
</file>

<file path=word/charts/_rels/chart18.xml.rels><?xml version="1.0" encoding="UTF-8" standalone="yes"?>
<Relationships xmlns="http://schemas.openxmlformats.org/package/2006/relationships"><Relationship Id="rId1" Type="http://schemas.openxmlformats.org/officeDocument/2006/relationships/oleObject" Target="../embeddings/oleObject18.bin"/></Relationships>
</file>

<file path=word/charts/_rels/chart19.xml.rels><?xml version="1.0" encoding="UTF-8" standalone="yes"?>
<Relationships xmlns="http://schemas.openxmlformats.org/package/2006/relationships"><Relationship Id="rId1" Type="http://schemas.openxmlformats.org/officeDocument/2006/relationships/oleObject" Target="../embeddings/oleObject19.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20.xml.rels><?xml version="1.0" encoding="UTF-8" standalone="yes"?>
<Relationships xmlns="http://schemas.openxmlformats.org/package/2006/relationships"><Relationship Id="rId1" Type="http://schemas.openxmlformats.org/officeDocument/2006/relationships/oleObject" Target="../embeddings/oleObject20.bin"/></Relationships>
</file>

<file path=word/charts/_rels/chart21.xml.rels><?xml version="1.0" encoding="UTF-8" standalone="yes"?>
<Relationships xmlns="http://schemas.openxmlformats.org/package/2006/relationships"><Relationship Id="rId1" Type="http://schemas.openxmlformats.org/officeDocument/2006/relationships/oleObject" Target="../embeddings/oleObject21.bin"/></Relationships>
</file>

<file path=word/charts/_rels/chart22.xml.rels><?xml version="1.0" encoding="UTF-8" standalone="yes"?>
<Relationships xmlns="http://schemas.openxmlformats.org/package/2006/relationships"><Relationship Id="rId1" Type="http://schemas.openxmlformats.org/officeDocument/2006/relationships/oleObject" Target="../embeddings/oleObject22.bin"/></Relationships>
</file>

<file path=word/charts/_rels/chart23.xml.rels><?xml version="1.0" encoding="UTF-8" standalone="yes"?>
<Relationships xmlns="http://schemas.openxmlformats.org/package/2006/relationships"><Relationship Id="rId1" Type="http://schemas.openxmlformats.org/officeDocument/2006/relationships/oleObject" Target="../embeddings/oleObject23.bin"/></Relationships>
</file>

<file path=word/charts/_rels/chart24.xml.rels><?xml version="1.0" encoding="UTF-8" standalone="yes"?>
<Relationships xmlns="http://schemas.openxmlformats.org/package/2006/relationships"><Relationship Id="rId1" Type="http://schemas.openxmlformats.org/officeDocument/2006/relationships/oleObject" Target="../embeddings/oleObject24.bin"/></Relationships>
</file>

<file path=word/charts/_rels/chart25.xml.rels><?xml version="1.0" encoding="UTF-8" standalone="yes"?>
<Relationships xmlns="http://schemas.openxmlformats.org/package/2006/relationships"><Relationship Id="rId1" Type="http://schemas.openxmlformats.org/officeDocument/2006/relationships/oleObject" Target="../embeddings/oleObject25.bin"/></Relationships>
</file>

<file path=word/charts/_rels/chart26.xml.rels><?xml version="1.0" encoding="UTF-8" standalone="yes"?>
<Relationships xmlns="http://schemas.openxmlformats.org/package/2006/relationships"><Relationship Id="rId1" Type="http://schemas.openxmlformats.org/officeDocument/2006/relationships/oleObject" Target="../embeddings/oleObject26.bin"/></Relationships>
</file>

<file path=word/charts/_rels/chart27.xml.rels><?xml version="1.0" encoding="UTF-8" standalone="yes"?>
<Relationships xmlns="http://schemas.openxmlformats.org/package/2006/relationships"><Relationship Id="rId1" Type="http://schemas.openxmlformats.org/officeDocument/2006/relationships/oleObject" Target="../embeddings/oleObject27.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7.bin"/></Relationships>
</file>

<file path=word/charts/_rels/chart8.xml.rels><?xml version="1.0" encoding="UTF-8" standalone="yes"?>
<Relationships xmlns="http://schemas.openxmlformats.org/package/2006/relationships"><Relationship Id="rId1" Type="http://schemas.openxmlformats.org/officeDocument/2006/relationships/oleObject" Target="../embeddings/oleObject8.bin"/></Relationships>
</file>

<file path=word/charts/_rels/chart9.xml.rels><?xml version="1.0" encoding="UTF-8" standalone="yes"?>
<Relationships xmlns="http://schemas.openxmlformats.org/package/2006/relationships"><Relationship Id="rId1" Type="http://schemas.openxmlformats.org/officeDocument/2006/relationships/oleObject" Target="../embeddings/oleObject9.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Sheet1!$A$1:$G$1</c:f>
              <c:numCache>
                <c:formatCode>General</c:formatCode>
                <c:ptCount val="7"/>
                <c:pt idx="0">
                  <c:v>1970</c:v>
                </c:pt>
                <c:pt idx="1">
                  <c:v>1980</c:v>
                </c:pt>
                <c:pt idx="2">
                  <c:v>1990</c:v>
                </c:pt>
                <c:pt idx="3">
                  <c:v>2000</c:v>
                </c:pt>
                <c:pt idx="4">
                  <c:v>2010</c:v>
                </c:pt>
                <c:pt idx="5">
                  <c:v>2018</c:v>
                </c:pt>
                <c:pt idx="6">
                  <c:v>2020</c:v>
                </c:pt>
              </c:numCache>
            </c:numRef>
          </c:cat>
          <c:val>
            <c:numRef>
              <c:f>Sheet1!$A$2:$G$2</c:f>
              <c:numCache>
                <c:formatCode>General</c:formatCode>
                <c:ptCount val="7"/>
                <c:pt idx="0">
                  <c:v>13</c:v>
                </c:pt>
                <c:pt idx="1">
                  <c:v>88</c:v>
                </c:pt>
                <c:pt idx="2">
                  <c:v>126</c:v>
                </c:pt>
                <c:pt idx="3">
                  <c:v>175</c:v>
                </c:pt>
                <c:pt idx="4">
                  <c:v>183</c:v>
                </c:pt>
                <c:pt idx="5">
                  <c:v>191</c:v>
                </c:pt>
                <c:pt idx="6">
                  <c:v>193</c:v>
                </c:pt>
              </c:numCache>
            </c:numRef>
          </c:val>
          <c:extLst>
            <c:ext xmlns:c16="http://schemas.microsoft.com/office/drawing/2014/chart" uri="{C3380CC4-5D6E-409C-BE32-E72D297353CC}">
              <c16:uniqueId val="{00000000-B09A-4BF6-AA1B-5E861DE6C869}"/>
            </c:ext>
          </c:extLst>
        </c:ser>
        <c:dLbls>
          <c:dLblPos val="outEnd"/>
          <c:showLegendKey val="0"/>
          <c:showVal val="1"/>
          <c:showCatName val="0"/>
          <c:showSerName val="0"/>
          <c:showPercent val="0"/>
          <c:showBubbleSize val="0"/>
        </c:dLbls>
        <c:gapWidth val="150"/>
        <c:axId val="45167744"/>
        <c:axId val="45169664"/>
      </c:barChart>
      <c:catAx>
        <c:axId val="45167744"/>
        <c:scaling>
          <c:orientation val="minMax"/>
        </c:scaling>
        <c:delete val="0"/>
        <c:axPos val="b"/>
        <c:title>
          <c:tx>
            <c:rich>
              <a:bodyPr/>
              <a:lstStyle/>
              <a:p>
                <a:pPr>
                  <a:defRPr/>
                </a:pPr>
                <a:r>
                  <a:rPr lang="en-US"/>
                  <a:t>Año</a:t>
                </a:r>
              </a:p>
            </c:rich>
          </c:tx>
          <c:layout/>
          <c:overlay val="0"/>
        </c:title>
        <c:numFmt formatCode="General" sourceLinked="1"/>
        <c:majorTickMark val="out"/>
        <c:minorTickMark val="none"/>
        <c:tickLblPos val="nextTo"/>
        <c:crossAx val="45169664"/>
        <c:crosses val="autoZero"/>
        <c:auto val="1"/>
        <c:lblAlgn val="ctr"/>
        <c:lblOffset val="100"/>
        <c:noMultiLvlLbl val="0"/>
      </c:catAx>
      <c:valAx>
        <c:axId val="45169664"/>
        <c:scaling>
          <c:orientation val="minMax"/>
        </c:scaling>
        <c:delete val="0"/>
        <c:axPos val="l"/>
        <c:title>
          <c:tx>
            <c:rich>
              <a:bodyPr rot="-5400000" vert="horz"/>
              <a:lstStyle/>
              <a:p>
                <a:pPr>
                  <a:defRPr/>
                </a:pPr>
                <a:r>
                  <a:rPr lang="en-US"/>
                  <a:t>Núm. de Partes</a:t>
                </a:r>
                <a:r>
                  <a:rPr lang="en-US" baseline="0"/>
                  <a:t> Contratantes</a:t>
                </a:r>
                <a:endParaRPr lang="en-US"/>
              </a:p>
            </c:rich>
          </c:tx>
          <c:layout/>
          <c:overlay val="0"/>
        </c:title>
        <c:numFmt formatCode="General" sourceLinked="1"/>
        <c:majorTickMark val="out"/>
        <c:minorTickMark val="none"/>
        <c:tickLblPos val="nextTo"/>
        <c:crossAx val="45167744"/>
        <c:crosses val="autoZero"/>
        <c:crossBetween val="between"/>
        <c:majorUnit val="20"/>
      </c:valAx>
      <c:spPr>
        <a:noFill/>
      </c:spPr>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Arreglo de Lisboa</a:t>
            </a:r>
          </a:p>
        </c:rich>
      </c:tx>
      <c:layout/>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1970</c:v>
                </c:pt>
                <c:pt idx="1">
                  <c:v>1980</c:v>
                </c:pt>
                <c:pt idx="2">
                  <c:v>1990</c:v>
                </c:pt>
                <c:pt idx="3">
                  <c:v>2000</c:v>
                </c:pt>
                <c:pt idx="4">
                  <c:v>2010</c:v>
                </c:pt>
                <c:pt idx="5">
                  <c:v>2020</c:v>
                </c:pt>
              </c:numCache>
            </c:numRef>
          </c:cat>
          <c:val>
            <c:numRef>
              <c:f>Sheet1!$A$2:$F$2</c:f>
              <c:numCache>
                <c:formatCode>General</c:formatCode>
                <c:ptCount val="6"/>
                <c:pt idx="0">
                  <c:v>9</c:v>
                </c:pt>
                <c:pt idx="1">
                  <c:v>16</c:v>
                </c:pt>
                <c:pt idx="2">
                  <c:v>16</c:v>
                </c:pt>
                <c:pt idx="3">
                  <c:v>19</c:v>
                </c:pt>
                <c:pt idx="4">
                  <c:v>23</c:v>
                </c:pt>
                <c:pt idx="5">
                  <c:v>30</c:v>
                </c:pt>
              </c:numCache>
            </c:numRef>
          </c:val>
          <c:extLst>
            <c:ext xmlns:c16="http://schemas.microsoft.com/office/drawing/2014/chart" uri="{C3380CC4-5D6E-409C-BE32-E72D297353CC}">
              <c16:uniqueId val="{00000000-8B4A-499F-BEA1-08CD612B4E3C}"/>
            </c:ext>
          </c:extLst>
        </c:ser>
        <c:dLbls>
          <c:showLegendKey val="0"/>
          <c:showVal val="0"/>
          <c:showCatName val="0"/>
          <c:showSerName val="0"/>
          <c:showPercent val="0"/>
          <c:showBubbleSize val="0"/>
        </c:dLbls>
        <c:gapWidth val="150"/>
        <c:axId val="83790464"/>
        <c:axId val="83813120"/>
      </c:barChart>
      <c:catAx>
        <c:axId val="83790464"/>
        <c:scaling>
          <c:orientation val="minMax"/>
        </c:scaling>
        <c:delete val="0"/>
        <c:axPos val="b"/>
        <c:title>
          <c:tx>
            <c:rich>
              <a:bodyPr/>
              <a:lstStyle/>
              <a:p>
                <a:pPr>
                  <a:defRPr/>
                </a:pPr>
                <a:r>
                  <a:rPr lang="en-US"/>
                  <a:t>Año</a:t>
                </a:r>
              </a:p>
            </c:rich>
          </c:tx>
          <c:layout/>
          <c:overlay val="0"/>
        </c:title>
        <c:numFmt formatCode="General" sourceLinked="1"/>
        <c:majorTickMark val="out"/>
        <c:minorTickMark val="none"/>
        <c:tickLblPos val="nextTo"/>
        <c:crossAx val="83813120"/>
        <c:crosses val="autoZero"/>
        <c:auto val="1"/>
        <c:lblAlgn val="ctr"/>
        <c:lblOffset val="100"/>
        <c:noMultiLvlLbl val="0"/>
      </c:catAx>
      <c:valAx>
        <c:axId val="83813120"/>
        <c:scaling>
          <c:orientation val="minMax"/>
        </c:scaling>
        <c:delete val="0"/>
        <c:axPos val="l"/>
        <c:title>
          <c:tx>
            <c:rich>
              <a:bodyPr rot="-5400000" vert="horz"/>
              <a:lstStyle/>
              <a:p>
                <a:pPr>
                  <a:defRPr/>
                </a:pPr>
                <a:r>
                  <a:rPr lang="en-US"/>
                  <a:t>Núm. de Partes Contratantes</a:t>
                </a:r>
              </a:p>
            </c:rich>
          </c:tx>
          <c:layout/>
          <c:overlay val="0"/>
        </c:title>
        <c:numFmt formatCode="General" sourceLinked="1"/>
        <c:majorTickMark val="out"/>
        <c:minorTickMark val="none"/>
        <c:tickLblPos val="nextTo"/>
        <c:crossAx val="83790464"/>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anchorCtr="1"/>
          <a:lstStyle/>
          <a:p>
            <a:pPr>
              <a:defRPr sz="1800"/>
            </a:pPr>
            <a:r>
              <a:rPr lang="en-US" sz="1800" baseline="0"/>
              <a:t>Acta de Ginebra del Arreglo de Lisboa</a:t>
            </a:r>
          </a:p>
        </c:rich>
      </c:tx>
      <c:layout>
        <c:manualLayout>
          <c:xMode val="edge"/>
          <c:yMode val="edge"/>
          <c:x val="0.1681330853969544"/>
          <c:y val="2.7777777777777776E-2"/>
        </c:manualLayout>
      </c:layout>
      <c:overlay val="1"/>
    </c:title>
    <c:autoTitleDeleted val="0"/>
    <c:plotArea>
      <c:layout>
        <c:manualLayout>
          <c:layoutTarget val="inner"/>
          <c:xMode val="edge"/>
          <c:yMode val="edge"/>
          <c:x val="0.13089129483814524"/>
          <c:y val="2.8252405949256341E-2"/>
          <c:w val="0.83855314960629923"/>
          <c:h val="0.73444808982210552"/>
        </c:manualLayout>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Sheet1!$H$1:$I$1</c:f>
              <c:numCache>
                <c:formatCode>General</c:formatCode>
                <c:ptCount val="2"/>
                <c:pt idx="0">
                  <c:v>2015</c:v>
                </c:pt>
                <c:pt idx="1">
                  <c:v>2020</c:v>
                </c:pt>
              </c:numCache>
            </c:numRef>
          </c:cat>
          <c:val>
            <c:numRef>
              <c:f>Sheet1!$H$2:$I$2</c:f>
              <c:numCache>
                <c:formatCode>General</c:formatCode>
                <c:ptCount val="2"/>
                <c:pt idx="0">
                  <c:v>0</c:v>
                </c:pt>
                <c:pt idx="1">
                  <c:v>5</c:v>
                </c:pt>
              </c:numCache>
            </c:numRef>
          </c:val>
          <c:extLst>
            <c:ext xmlns:c16="http://schemas.microsoft.com/office/drawing/2014/chart" uri="{C3380CC4-5D6E-409C-BE32-E72D297353CC}">
              <c16:uniqueId val="{00000000-776C-424A-93F9-6B3C382E9DE7}"/>
            </c:ext>
          </c:extLst>
        </c:ser>
        <c:dLbls>
          <c:dLblPos val="outEnd"/>
          <c:showLegendKey val="0"/>
          <c:showVal val="1"/>
          <c:showCatName val="0"/>
          <c:showSerName val="0"/>
          <c:showPercent val="0"/>
          <c:showBubbleSize val="0"/>
        </c:dLbls>
        <c:gapWidth val="150"/>
        <c:axId val="86598400"/>
        <c:axId val="86618112"/>
      </c:barChart>
      <c:catAx>
        <c:axId val="86598400"/>
        <c:scaling>
          <c:orientation val="minMax"/>
        </c:scaling>
        <c:delete val="0"/>
        <c:axPos val="b"/>
        <c:title>
          <c:tx>
            <c:rich>
              <a:bodyPr/>
              <a:lstStyle/>
              <a:p>
                <a:pPr>
                  <a:defRPr/>
                </a:pPr>
                <a:r>
                  <a:rPr lang="en-US"/>
                  <a:t>Año</a:t>
                </a:r>
              </a:p>
            </c:rich>
          </c:tx>
          <c:layout/>
          <c:overlay val="0"/>
        </c:title>
        <c:numFmt formatCode="General" sourceLinked="1"/>
        <c:majorTickMark val="out"/>
        <c:minorTickMark val="none"/>
        <c:tickLblPos val="nextTo"/>
        <c:crossAx val="86618112"/>
        <c:crosses val="autoZero"/>
        <c:auto val="1"/>
        <c:lblAlgn val="ctr"/>
        <c:lblOffset val="100"/>
        <c:noMultiLvlLbl val="0"/>
      </c:catAx>
      <c:valAx>
        <c:axId val="86618112"/>
        <c:scaling>
          <c:orientation val="minMax"/>
          <c:max val="35"/>
        </c:scaling>
        <c:delete val="0"/>
        <c:axPos val="l"/>
        <c:title>
          <c:tx>
            <c:rich>
              <a:bodyPr rot="-5400000" vert="horz"/>
              <a:lstStyle/>
              <a:p>
                <a:pPr>
                  <a:defRPr/>
                </a:pPr>
                <a:r>
                  <a:rPr lang="en-US" sz="1000" b="1" i="0" u="none" strike="noStrike" baseline="0">
                    <a:effectLst/>
                  </a:rPr>
                  <a:t>Núm. de Partes Contratantes</a:t>
                </a:r>
                <a:endParaRPr lang="en-US"/>
              </a:p>
            </c:rich>
          </c:tx>
          <c:layout/>
          <c:overlay val="0"/>
        </c:title>
        <c:numFmt formatCode="General" sourceLinked="1"/>
        <c:majorTickMark val="out"/>
        <c:minorTickMark val="none"/>
        <c:tickLblPos val="nextTo"/>
        <c:crossAx val="86598400"/>
        <c:crosses val="autoZero"/>
        <c:crossBetween val="between"/>
        <c:majorUnit val="5"/>
      </c:valAx>
      <c:spPr>
        <a:noFill/>
      </c:spPr>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1970</c:v>
                </c:pt>
                <c:pt idx="1">
                  <c:v>1980</c:v>
                </c:pt>
                <c:pt idx="2">
                  <c:v>1990</c:v>
                </c:pt>
                <c:pt idx="3">
                  <c:v>2000</c:v>
                </c:pt>
                <c:pt idx="4">
                  <c:v>2010</c:v>
                </c:pt>
                <c:pt idx="5">
                  <c:v>2020</c:v>
                </c:pt>
              </c:numCache>
            </c:numRef>
          </c:cat>
          <c:val>
            <c:numRef>
              <c:f>Sheet1!$A$2:$F$2</c:f>
              <c:numCache>
                <c:formatCode>General</c:formatCode>
                <c:ptCount val="6"/>
                <c:pt idx="0">
                  <c:v>11</c:v>
                </c:pt>
                <c:pt idx="1">
                  <c:v>23</c:v>
                </c:pt>
                <c:pt idx="2">
                  <c:v>35</c:v>
                </c:pt>
                <c:pt idx="3">
                  <c:v>67</c:v>
                </c:pt>
                <c:pt idx="4">
                  <c:v>81</c:v>
                </c:pt>
                <c:pt idx="5">
                  <c:v>95</c:v>
                </c:pt>
              </c:numCache>
            </c:numRef>
          </c:val>
          <c:extLst>
            <c:ext xmlns:c16="http://schemas.microsoft.com/office/drawing/2014/chart" uri="{C3380CC4-5D6E-409C-BE32-E72D297353CC}">
              <c16:uniqueId val="{00000000-36F8-4990-9920-C1C026CF4AAE}"/>
            </c:ext>
          </c:extLst>
        </c:ser>
        <c:dLbls>
          <c:dLblPos val="outEnd"/>
          <c:showLegendKey val="0"/>
          <c:showVal val="1"/>
          <c:showCatName val="0"/>
          <c:showSerName val="0"/>
          <c:showPercent val="0"/>
          <c:showBubbleSize val="0"/>
        </c:dLbls>
        <c:gapWidth val="150"/>
        <c:axId val="83225600"/>
        <c:axId val="86062208"/>
      </c:barChart>
      <c:catAx>
        <c:axId val="83225600"/>
        <c:scaling>
          <c:orientation val="minMax"/>
        </c:scaling>
        <c:delete val="0"/>
        <c:axPos val="b"/>
        <c:title>
          <c:tx>
            <c:rich>
              <a:bodyPr/>
              <a:lstStyle/>
              <a:p>
                <a:pPr>
                  <a:defRPr/>
                </a:pPr>
                <a:r>
                  <a:rPr lang="en-US"/>
                  <a:t>Año</a:t>
                </a:r>
              </a:p>
            </c:rich>
          </c:tx>
          <c:layout/>
          <c:overlay val="0"/>
        </c:title>
        <c:numFmt formatCode="General" sourceLinked="1"/>
        <c:majorTickMark val="out"/>
        <c:minorTickMark val="none"/>
        <c:tickLblPos val="nextTo"/>
        <c:crossAx val="86062208"/>
        <c:crosses val="autoZero"/>
        <c:auto val="1"/>
        <c:lblAlgn val="ctr"/>
        <c:lblOffset val="100"/>
        <c:noMultiLvlLbl val="0"/>
      </c:catAx>
      <c:valAx>
        <c:axId val="86062208"/>
        <c:scaling>
          <c:orientation val="minMax"/>
        </c:scaling>
        <c:delete val="0"/>
        <c:axPos val="l"/>
        <c:title>
          <c:tx>
            <c:rich>
              <a:bodyPr rot="-5400000" vert="horz"/>
              <a:lstStyle/>
              <a:p>
                <a:pPr>
                  <a:defRPr/>
                </a:pPr>
                <a:r>
                  <a:rPr lang="en-US"/>
                  <a:t>Núm. de Partes Contratrantes</a:t>
                </a:r>
              </a:p>
            </c:rich>
          </c:tx>
          <c:layout/>
          <c:overlay val="0"/>
        </c:title>
        <c:numFmt formatCode="General" sourceLinked="1"/>
        <c:majorTickMark val="out"/>
        <c:minorTickMark val="none"/>
        <c:tickLblPos val="nextTo"/>
        <c:crossAx val="83225600"/>
        <c:crosses val="autoZero"/>
        <c:crossBetween val="between"/>
        <c:majorUnit val="10"/>
      </c:valAx>
      <c:spPr>
        <a:noFill/>
      </c:spPr>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1972</c:v>
                </c:pt>
                <c:pt idx="1">
                  <c:v>1980</c:v>
                </c:pt>
                <c:pt idx="2">
                  <c:v>1990</c:v>
                </c:pt>
                <c:pt idx="3">
                  <c:v>2000</c:v>
                </c:pt>
                <c:pt idx="4">
                  <c:v>2010</c:v>
                </c:pt>
                <c:pt idx="5">
                  <c:v>2020</c:v>
                </c:pt>
              </c:numCache>
            </c:numRef>
          </c:cat>
          <c:val>
            <c:numRef>
              <c:f>Sheet1!$A$2:$F$2</c:f>
              <c:numCache>
                <c:formatCode>General</c:formatCode>
                <c:ptCount val="6"/>
                <c:pt idx="0">
                  <c:v>7</c:v>
                </c:pt>
                <c:pt idx="1">
                  <c:v>15</c:v>
                </c:pt>
                <c:pt idx="2">
                  <c:v>15</c:v>
                </c:pt>
                <c:pt idx="3">
                  <c:v>37</c:v>
                </c:pt>
                <c:pt idx="4">
                  <c:v>45</c:v>
                </c:pt>
                <c:pt idx="5">
                  <c:v>58</c:v>
                </c:pt>
              </c:numCache>
            </c:numRef>
          </c:val>
          <c:extLst>
            <c:ext xmlns:c16="http://schemas.microsoft.com/office/drawing/2014/chart" uri="{C3380CC4-5D6E-409C-BE32-E72D297353CC}">
              <c16:uniqueId val="{00000000-A7C4-475D-A940-C9DC29E3DF91}"/>
            </c:ext>
          </c:extLst>
        </c:ser>
        <c:dLbls>
          <c:dLblPos val="outEnd"/>
          <c:showLegendKey val="0"/>
          <c:showVal val="1"/>
          <c:showCatName val="0"/>
          <c:showSerName val="0"/>
          <c:showPercent val="0"/>
          <c:showBubbleSize val="0"/>
        </c:dLbls>
        <c:gapWidth val="150"/>
        <c:axId val="83111936"/>
        <c:axId val="83113856"/>
      </c:barChart>
      <c:catAx>
        <c:axId val="83111936"/>
        <c:scaling>
          <c:orientation val="minMax"/>
        </c:scaling>
        <c:delete val="0"/>
        <c:axPos val="b"/>
        <c:title>
          <c:tx>
            <c:rich>
              <a:bodyPr/>
              <a:lstStyle/>
              <a:p>
                <a:pPr>
                  <a:defRPr/>
                </a:pPr>
                <a:r>
                  <a:rPr lang="en-US"/>
                  <a:t>Año</a:t>
                </a:r>
              </a:p>
            </c:rich>
          </c:tx>
          <c:layout/>
          <c:overlay val="0"/>
        </c:title>
        <c:numFmt formatCode="General" sourceLinked="1"/>
        <c:majorTickMark val="out"/>
        <c:minorTickMark val="none"/>
        <c:tickLblPos val="nextTo"/>
        <c:crossAx val="83113856"/>
        <c:crosses val="autoZero"/>
        <c:auto val="1"/>
        <c:lblAlgn val="ctr"/>
        <c:lblOffset val="100"/>
        <c:noMultiLvlLbl val="0"/>
      </c:catAx>
      <c:valAx>
        <c:axId val="83113856"/>
        <c:scaling>
          <c:orientation val="minMax"/>
        </c:scaling>
        <c:delete val="0"/>
        <c:axPos val="l"/>
        <c:title>
          <c:tx>
            <c:rich>
              <a:bodyPr rot="-5400000" vert="horz"/>
              <a:lstStyle/>
              <a:p>
                <a:pPr>
                  <a:defRPr/>
                </a:pPr>
                <a:r>
                  <a:rPr lang="en-US"/>
                  <a:t>Núm.</a:t>
                </a:r>
                <a:r>
                  <a:rPr lang="en-US" baseline="0"/>
                  <a:t> de Partes Contratantes</a:t>
                </a:r>
                <a:endParaRPr lang="en-US"/>
              </a:p>
            </c:rich>
          </c:tx>
          <c:layout/>
          <c:overlay val="0"/>
        </c:title>
        <c:numFmt formatCode="General" sourceLinked="1"/>
        <c:majorTickMark val="out"/>
        <c:minorTickMark val="none"/>
        <c:tickLblPos val="nextTo"/>
        <c:crossAx val="83111936"/>
        <c:crosses val="autoZero"/>
        <c:crossBetween val="between"/>
        <c:majorUnit val="10"/>
      </c:valAx>
      <c:spPr>
        <a:noFill/>
      </c:spPr>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1978</c:v>
                </c:pt>
                <c:pt idx="1">
                  <c:v>1980</c:v>
                </c:pt>
                <c:pt idx="2">
                  <c:v>1990</c:v>
                </c:pt>
                <c:pt idx="3">
                  <c:v>2000</c:v>
                </c:pt>
                <c:pt idx="4">
                  <c:v>2010</c:v>
                </c:pt>
                <c:pt idx="5">
                  <c:v>2020</c:v>
                </c:pt>
              </c:numCache>
            </c:numRef>
          </c:cat>
          <c:val>
            <c:numRef>
              <c:f>Sheet1!$A$2:$F$2</c:f>
              <c:numCache>
                <c:formatCode>General</c:formatCode>
                <c:ptCount val="6"/>
                <c:pt idx="0">
                  <c:v>15</c:v>
                </c:pt>
                <c:pt idx="1">
                  <c:v>27</c:v>
                </c:pt>
                <c:pt idx="2">
                  <c:v>43</c:v>
                </c:pt>
                <c:pt idx="3">
                  <c:v>108</c:v>
                </c:pt>
                <c:pt idx="4">
                  <c:v>128</c:v>
                </c:pt>
                <c:pt idx="5">
                  <c:v>153</c:v>
                </c:pt>
              </c:numCache>
            </c:numRef>
          </c:val>
          <c:extLst>
            <c:ext xmlns:c16="http://schemas.microsoft.com/office/drawing/2014/chart" uri="{C3380CC4-5D6E-409C-BE32-E72D297353CC}">
              <c16:uniqueId val="{00000000-E703-432F-BB60-A5487E6FF8A1}"/>
            </c:ext>
          </c:extLst>
        </c:ser>
        <c:dLbls>
          <c:dLblPos val="outEnd"/>
          <c:showLegendKey val="0"/>
          <c:showVal val="1"/>
          <c:showCatName val="0"/>
          <c:showSerName val="0"/>
          <c:showPercent val="0"/>
          <c:showBubbleSize val="0"/>
        </c:dLbls>
        <c:gapWidth val="150"/>
        <c:axId val="87814528"/>
        <c:axId val="87816448"/>
      </c:barChart>
      <c:catAx>
        <c:axId val="87814528"/>
        <c:scaling>
          <c:orientation val="minMax"/>
        </c:scaling>
        <c:delete val="0"/>
        <c:axPos val="b"/>
        <c:title>
          <c:tx>
            <c:rich>
              <a:bodyPr/>
              <a:lstStyle/>
              <a:p>
                <a:pPr>
                  <a:defRPr/>
                </a:pPr>
                <a:r>
                  <a:rPr lang="en-US"/>
                  <a:t>Año</a:t>
                </a:r>
              </a:p>
            </c:rich>
          </c:tx>
          <c:layout/>
          <c:overlay val="0"/>
        </c:title>
        <c:numFmt formatCode="General" sourceLinked="1"/>
        <c:majorTickMark val="out"/>
        <c:minorTickMark val="none"/>
        <c:tickLblPos val="nextTo"/>
        <c:crossAx val="87816448"/>
        <c:crosses val="autoZero"/>
        <c:auto val="1"/>
        <c:lblAlgn val="ctr"/>
        <c:lblOffset val="100"/>
        <c:noMultiLvlLbl val="0"/>
      </c:catAx>
      <c:valAx>
        <c:axId val="87816448"/>
        <c:scaling>
          <c:orientation val="minMax"/>
        </c:scaling>
        <c:delete val="0"/>
        <c:axPos val="l"/>
        <c:title>
          <c:tx>
            <c:rich>
              <a:bodyPr rot="-5400000" vert="horz"/>
              <a:lstStyle/>
              <a:p>
                <a:pPr>
                  <a:defRPr/>
                </a:pPr>
                <a:r>
                  <a:rPr lang="en-US"/>
                  <a:t>Núm.</a:t>
                </a:r>
                <a:r>
                  <a:rPr lang="en-US" baseline="0"/>
                  <a:t> de Estados Contratantes</a:t>
                </a:r>
                <a:endParaRPr lang="en-US"/>
              </a:p>
            </c:rich>
          </c:tx>
          <c:layout/>
          <c:overlay val="0"/>
        </c:title>
        <c:numFmt formatCode="General" sourceLinked="1"/>
        <c:majorTickMark val="out"/>
        <c:minorTickMark val="none"/>
        <c:tickLblPos val="nextTo"/>
        <c:crossAx val="87814528"/>
        <c:crosses val="autoZero"/>
        <c:crossBetween val="between"/>
        <c:majorUnit val="20"/>
      </c:valAx>
      <c:spPr>
        <a:noFill/>
      </c:spPr>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1976</c:v>
                </c:pt>
                <c:pt idx="1">
                  <c:v>1980</c:v>
                </c:pt>
                <c:pt idx="2">
                  <c:v>1990</c:v>
                </c:pt>
                <c:pt idx="3">
                  <c:v>2000</c:v>
                </c:pt>
                <c:pt idx="4">
                  <c:v>2010</c:v>
                </c:pt>
                <c:pt idx="5">
                  <c:v>2020</c:v>
                </c:pt>
              </c:numCache>
            </c:numRef>
          </c:cat>
          <c:val>
            <c:numRef>
              <c:f>Sheet1!$A$2:$F$2</c:f>
              <c:numCache>
                <c:formatCode>General</c:formatCode>
                <c:ptCount val="6"/>
                <c:pt idx="0">
                  <c:v>20</c:v>
                </c:pt>
                <c:pt idx="1">
                  <c:v>27</c:v>
                </c:pt>
                <c:pt idx="2">
                  <c:v>27</c:v>
                </c:pt>
                <c:pt idx="3">
                  <c:v>45</c:v>
                </c:pt>
                <c:pt idx="4">
                  <c:v>55</c:v>
                </c:pt>
                <c:pt idx="5">
                  <c:v>62</c:v>
                </c:pt>
              </c:numCache>
            </c:numRef>
          </c:val>
          <c:extLst>
            <c:ext xmlns:c16="http://schemas.microsoft.com/office/drawing/2014/chart" uri="{C3380CC4-5D6E-409C-BE32-E72D297353CC}">
              <c16:uniqueId val="{00000000-9DDE-4A47-929C-852A5EC67309}"/>
            </c:ext>
          </c:extLst>
        </c:ser>
        <c:dLbls>
          <c:dLblPos val="outEnd"/>
          <c:showLegendKey val="0"/>
          <c:showVal val="1"/>
          <c:showCatName val="0"/>
          <c:showSerName val="0"/>
          <c:showPercent val="0"/>
          <c:showBubbleSize val="0"/>
        </c:dLbls>
        <c:gapWidth val="150"/>
        <c:axId val="81924096"/>
        <c:axId val="87692032"/>
      </c:barChart>
      <c:catAx>
        <c:axId val="81924096"/>
        <c:scaling>
          <c:orientation val="minMax"/>
        </c:scaling>
        <c:delete val="0"/>
        <c:axPos val="b"/>
        <c:title>
          <c:tx>
            <c:rich>
              <a:bodyPr/>
              <a:lstStyle/>
              <a:p>
                <a:pPr>
                  <a:defRPr/>
                </a:pPr>
                <a:r>
                  <a:rPr lang="en-US"/>
                  <a:t>Año</a:t>
                </a:r>
              </a:p>
            </c:rich>
          </c:tx>
          <c:layout/>
          <c:overlay val="0"/>
        </c:title>
        <c:numFmt formatCode="General" sourceLinked="1"/>
        <c:majorTickMark val="out"/>
        <c:minorTickMark val="none"/>
        <c:tickLblPos val="nextTo"/>
        <c:crossAx val="87692032"/>
        <c:crosses val="autoZero"/>
        <c:auto val="1"/>
        <c:lblAlgn val="ctr"/>
        <c:lblOffset val="100"/>
        <c:noMultiLvlLbl val="0"/>
      </c:catAx>
      <c:valAx>
        <c:axId val="87692032"/>
        <c:scaling>
          <c:orientation val="minMax"/>
        </c:scaling>
        <c:delete val="0"/>
        <c:axPos val="l"/>
        <c:title>
          <c:tx>
            <c:rich>
              <a:bodyPr rot="-5400000" vert="horz"/>
              <a:lstStyle/>
              <a:p>
                <a:pPr>
                  <a:defRPr/>
                </a:pPr>
                <a:r>
                  <a:rPr lang="en-US"/>
                  <a:t>Núm. de Partes</a:t>
                </a:r>
                <a:r>
                  <a:rPr lang="en-US" baseline="0"/>
                  <a:t> Contratantes</a:t>
                </a:r>
                <a:endParaRPr lang="en-US"/>
              </a:p>
            </c:rich>
          </c:tx>
          <c:layout/>
          <c:overlay val="0"/>
        </c:title>
        <c:numFmt formatCode="General" sourceLinked="1"/>
        <c:majorTickMark val="out"/>
        <c:minorTickMark val="none"/>
        <c:tickLblPos val="nextTo"/>
        <c:crossAx val="81924096"/>
        <c:crosses val="autoZero"/>
        <c:crossBetween val="between"/>
        <c:majorUnit val="10"/>
      </c:valAx>
      <c:spPr>
        <a:noFill/>
      </c:spPr>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89129483814524"/>
          <c:y val="6.5289442986293383E-2"/>
          <c:w val="0.83855314960629923"/>
          <c:h val="0.73444808982210552"/>
        </c:manualLayout>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1974</c:v>
                </c:pt>
                <c:pt idx="1">
                  <c:v>1980</c:v>
                </c:pt>
                <c:pt idx="2">
                  <c:v>1990</c:v>
                </c:pt>
                <c:pt idx="3">
                  <c:v>2000</c:v>
                </c:pt>
                <c:pt idx="4">
                  <c:v>2010</c:v>
                </c:pt>
                <c:pt idx="5">
                  <c:v>2020</c:v>
                </c:pt>
              </c:numCache>
            </c:numRef>
          </c:cat>
          <c:val>
            <c:numRef>
              <c:f>Sheet1!$A$2:$F$2</c:f>
              <c:numCache>
                <c:formatCode>General</c:formatCode>
                <c:ptCount val="6"/>
                <c:pt idx="0">
                  <c:v>8</c:v>
                </c:pt>
                <c:pt idx="1">
                  <c:v>32</c:v>
                </c:pt>
                <c:pt idx="2">
                  <c:v>43</c:v>
                </c:pt>
                <c:pt idx="3">
                  <c:v>64</c:v>
                </c:pt>
                <c:pt idx="4">
                  <c:v>74</c:v>
                </c:pt>
                <c:pt idx="5">
                  <c:v>80</c:v>
                </c:pt>
              </c:numCache>
            </c:numRef>
          </c:val>
          <c:extLst>
            <c:ext xmlns:c16="http://schemas.microsoft.com/office/drawing/2014/chart" uri="{C3380CC4-5D6E-409C-BE32-E72D297353CC}">
              <c16:uniqueId val="{00000000-415C-43C1-9A44-DCE1ADC6E532}"/>
            </c:ext>
          </c:extLst>
        </c:ser>
        <c:dLbls>
          <c:dLblPos val="outEnd"/>
          <c:showLegendKey val="0"/>
          <c:showVal val="1"/>
          <c:showCatName val="0"/>
          <c:showSerName val="0"/>
          <c:showPercent val="0"/>
          <c:showBubbleSize val="0"/>
        </c:dLbls>
        <c:gapWidth val="150"/>
        <c:axId val="85642240"/>
        <c:axId val="87692416"/>
      </c:barChart>
      <c:catAx>
        <c:axId val="85642240"/>
        <c:scaling>
          <c:orientation val="minMax"/>
        </c:scaling>
        <c:delete val="0"/>
        <c:axPos val="b"/>
        <c:title>
          <c:tx>
            <c:rich>
              <a:bodyPr/>
              <a:lstStyle/>
              <a:p>
                <a:pPr>
                  <a:defRPr/>
                </a:pPr>
                <a:r>
                  <a:rPr lang="en-US"/>
                  <a:t>Año</a:t>
                </a:r>
              </a:p>
            </c:rich>
          </c:tx>
          <c:layout/>
          <c:overlay val="0"/>
        </c:title>
        <c:numFmt formatCode="General" sourceLinked="1"/>
        <c:majorTickMark val="out"/>
        <c:minorTickMark val="none"/>
        <c:tickLblPos val="nextTo"/>
        <c:crossAx val="87692416"/>
        <c:crosses val="autoZero"/>
        <c:auto val="1"/>
        <c:lblAlgn val="ctr"/>
        <c:lblOffset val="100"/>
        <c:noMultiLvlLbl val="0"/>
      </c:catAx>
      <c:valAx>
        <c:axId val="87692416"/>
        <c:scaling>
          <c:orientation val="minMax"/>
        </c:scaling>
        <c:delete val="0"/>
        <c:axPos val="l"/>
        <c:title>
          <c:tx>
            <c:rich>
              <a:bodyPr rot="-5400000" vert="horz"/>
              <a:lstStyle/>
              <a:p>
                <a:pPr>
                  <a:defRPr/>
                </a:pPr>
                <a:r>
                  <a:rPr lang="en-US"/>
                  <a:t>Núm. de Partes Contratantes</a:t>
                </a:r>
              </a:p>
            </c:rich>
          </c:tx>
          <c:layout/>
          <c:overlay val="0"/>
        </c:title>
        <c:numFmt formatCode="General" sourceLinked="1"/>
        <c:majorTickMark val="out"/>
        <c:minorTickMark val="none"/>
        <c:tickLblPos val="nextTo"/>
        <c:crossAx val="85642240"/>
        <c:crosses val="autoZero"/>
        <c:crossBetween val="between"/>
        <c:majorUnit val="10"/>
      </c:valAx>
      <c:spPr>
        <a:noFill/>
      </c:spPr>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1986</c:v>
                </c:pt>
                <c:pt idx="1">
                  <c:v>1990</c:v>
                </c:pt>
                <c:pt idx="2">
                  <c:v>2000</c:v>
                </c:pt>
                <c:pt idx="3">
                  <c:v>2010</c:v>
                </c:pt>
                <c:pt idx="4">
                  <c:v>2020</c:v>
                </c:pt>
              </c:numCache>
            </c:numRef>
          </c:cat>
          <c:val>
            <c:numRef>
              <c:f>Sheet1!$A$2:$F$2</c:f>
              <c:numCache>
                <c:formatCode>General</c:formatCode>
                <c:ptCount val="6"/>
                <c:pt idx="0">
                  <c:v>5</c:v>
                </c:pt>
                <c:pt idx="1">
                  <c:v>5</c:v>
                </c:pt>
                <c:pt idx="2">
                  <c:v>15</c:v>
                </c:pt>
                <c:pt idx="3">
                  <c:v>20</c:v>
                </c:pt>
                <c:pt idx="4">
                  <c:v>34</c:v>
                </c:pt>
              </c:numCache>
            </c:numRef>
          </c:val>
          <c:extLst>
            <c:ext xmlns:c16="http://schemas.microsoft.com/office/drawing/2014/chart" uri="{C3380CC4-5D6E-409C-BE32-E72D297353CC}">
              <c16:uniqueId val="{00000000-5D26-40D1-A954-3CF9238996E9}"/>
            </c:ext>
          </c:extLst>
        </c:ser>
        <c:dLbls>
          <c:dLblPos val="outEnd"/>
          <c:showLegendKey val="0"/>
          <c:showVal val="1"/>
          <c:showCatName val="0"/>
          <c:showSerName val="0"/>
          <c:showPercent val="0"/>
          <c:showBubbleSize val="0"/>
        </c:dLbls>
        <c:gapWidth val="150"/>
        <c:axId val="84291584"/>
        <c:axId val="84293504"/>
      </c:barChart>
      <c:catAx>
        <c:axId val="84291584"/>
        <c:scaling>
          <c:orientation val="minMax"/>
        </c:scaling>
        <c:delete val="0"/>
        <c:axPos val="b"/>
        <c:title>
          <c:tx>
            <c:rich>
              <a:bodyPr/>
              <a:lstStyle/>
              <a:p>
                <a:pPr>
                  <a:defRPr/>
                </a:pPr>
                <a:r>
                  <a:rPr lang="en-US"/>
                  <a:t>Año</a:t>
                </a:r>
              </a:p>
            </c:rich>
          </c:tx>
          <c:layout/>
          <c:overlay val="0"/>
        </c:title>
        <c:numFmt formatCode="General" sourceLinked="1"/>
        <c:majorTickMark val="out"/>
        <c:minorTickMark val="none"/>
        <c:tickLblPos val="nextTo"/>
        <c:crossAx val="84293504"/>
        <c:crosses val="autoZero"/>
        <c:auto val="1"/>
        <c:lblAlgn val="ctr"/>
        <c:lblOffset val="100"/>
        <c:noMultiLvlLbl val="0"/>
      </c:catAx>
      <c:valAx>
        <c:axId val="84293504"/>
        <c:scaling>
          <c:orientation val="minMax"/>
        </c:scaling>
        <c:delete val="0"/>
        <c:axPos val="l"/>
        <c:title>
          <c:tx>
            <c:rich>
              <a:bodyPr rot="-5400000" vert="horz"/>
              <a:lstStyle/>
              <a:p>
                <a:pPr>
                  <a:defRPr/>
                </a:pPr>
                <a:r>
                  <a:rPr lang="en-US"/>
                  <a:t>Núm. de Partes Contratantes</a:t>
                </a:r>
              </a:p>
            </c:rich>
          </c:tx>
          <c:layout/>
          <c:overlay val="0"/>
        </c:title>
        <c:numFmt formatCode="General" sourceLinked="1"/>
        <c:majorTickMark val="out"/>
        <c:minorTickMark val="none"/>
        <c:tickLblPos val="nextTo"/>
        <c:crossAx val="84291584"/>
        <c:crosses val="autoZero"/>
        <c:crossBetween val="between"/>
        <c:majorUnit val="10"/>
      </c:valAx>
      <c:spPr>
        <a:noFill/>
      </c:spPr>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1980</c:v>
                </c:pt>
                <c:pt idx="1">
                  <c:v>1990</c:v>
                </c:pt>
                <c:pt idx="2">
                  <c:v>2000</c:v>
                </c:pt>
                <c:pt idx="3">
                  <c:v>2010</c:v>
                </c:pt>
                <c:pt idx="4">
                  <c:v>2020</c:v>
                </c:pt>
              </c:numCache>
            </c:numRef>
          </c:cat>
          <c:val>
            <c:numRef>
              <c:f>Sheet1!$A$2:$F$2</c:f>
              <c:numCache>
                <c:formatCode>General</c:formatCode>
                <c:ptCount val="6"/>
                <c:pt idx="0">
                  <c:v>5</c:v>
                </c:pt>
                <c:pt idx="1">
                  <c:v>12</c:v>
                </c:pt>
                <c:pt idx="2">
                  <c:v>24</c:v>
                </c:pt>
                <c:pt idx="3">
                  <c:v>27</c:v>
                </c:pt>
                <c:pt idx="4">
                  <c:v>38</c:v>
                </c:pt>
              </c:numCache>
            </c:numRef>
          </c:val>
          <c:extLst>
            <c:ext xmlns:c16="http://schemas.microsoft.com/office/drawing/2014/chart" uri="{C3380CC4-5D6E-409C-BE32-E72D297353CC}">
              <c16:uniqueId val="{00000000-27D5-4F43-B071-CB7B501BA42E}"/>
            </c:ext>
          </c:extLst>
        </c:ser>
        <c:dLbls>
          <c:dLblPos val="outEnd"/>
          <c:showLegendKey val="0"/>
          <c:showVal val="1"/>
          <c:showCatName val="0"/>
          <c:showSerName val="0"/>
          <c:showPercent val="0"/>
          <c:showBubbleSize val="0"/>
        </c:dLbls>
        <c:gapWidth val="150"/>
        <c:axId val="85642624"/>
        <c:axId val="87730048"/>
      </c:barChart>
      <c:catAx>
        <c:axId val="85642624"/>
        <c:scaling>
          <c:orientation val="minMax"/>
        </c:scaling>
        <c:delete val="0"/>
        <c:axPos val="b"/>
        <c:title>
          <c:tx>
            <c:rich>
              <a:bodyPr/>
              <a:lstStyle/>
              <a:p>
                <a:pPr>
                  <a:defRPr/>
                </a:pPr>
                <a:r>
                  <a:rPr lang="en-US"/>
                  <a:t>Año</a:t>
                </a:r>
              </a:p>
            </c:rich>
          </c:tx>
          <c:layout/>
          <c:overlay val="0"/>
        </c:title>
        <c:numFmt formatCode="General" sourceLinked="1"/>
        <c:majorTickMark val="out"/>
        <c:minorTickMark val="none"/>
        <c:tickLblPos val="nextTo"/>
        <c:crossAx val="87730048"/>
        <c:crosses val="autoZero"/>
        <c:auto val="1"/>
        <c:lblAlgn val="ctr"/>
        <c:lblOffset val="100"/>
        <c:noMultiLvlLbl val="0"/>
      </c:catAx>
      <c:valAx>
        <c:axId val="87730048"/>
        <c:scaling>
          <c:orientation val="minMax"/>
        </c:scaling>
        <c:delete val="0"/>
        <c:axPos val="l"/>
        <c:title>
          <c:tx>
            <c:rich>
              <a:bodyPr rot="-5400000" vert="horz"/>
              <a:lstStyle/>
              <a:p>
                <a:pPr>
                  <a:defRPr/>
                </a:pPr>
                <a:r>
                  <a:rPr lang="en-US"/>
                  <a:t>Núm. de Partes Contratantes</a:t>
                </a:r>
              </a:p>
            </c:rich>
          </c:tx>
          <c:layout/>
          <c:overlay val="0"/>
        </c:title>
        <c:numFmt formatCode="General" sourceLinked="1"/>
        <c:majorTickMark val="out"/>
        <c:minorTickMark val="none"/>
        <c:tickLblPos val="nextTo"/>
        <c:crossAx val="85642624"/>
        <c:crosses val="autoZero"/>
        <c:crossBetween val="between"/>
        <c:majorUnit val="10"/>
      </c:valAx>
      <c:spPr>
        <a:noFill/>
      </c:spPr>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1981</c:v>
                </c:pt>
                <c:pt idx="1">
                  <c:v>1990</c:v>
                </c:pt>
                <c:pt idx="2">
                  <c:v>2000</c:v>
                </c:pt>
                <c:pt idx="3">
                  <c:v>2010</c:v>
                </c:pt>
                <c:pt idx="4">
                  <c:v>2020</c:v>
                </c:pt>
              </c:numCache>
            </c:numRef>
          </c:cat>
          <c:val>
            <c:numRef>
              <c:f>Sheet1!$A$2:$F$2</c:f>
              <c:numCache>
                <c:formatCode>General</c:formatCode>
                <c:ptCount val="6"/>
                <c:pt idx="0">
                  <c:v>8</c:v>
                </c:pt>
                <c:pt idx="1">
                  <c:v>24</c:v>
                </c:pt>
                <c:pt idx="2">
                  <c:v>48</c:v>
                </c:pt>
                <c:pt idx="3">
                  <c:v>61</c:v>
                </c:pt>
                <c:pt idx="4">
                  <c:v>82</c:v>
                </c:pt>
              </c:numCache>
            </c:numRef>
          </c:val>
          <c:extLst>
            <c:ext xmlns:c16="http://schemas.microsoft.com/office/drawing/2014/chart" uri="{C3380CC4-5D6E-409C-BE32-E72D297353CC}">
              <c16:uniqueId val="{00000000-9570-483C-9E47-E8E5109A2FD9}"/>
            </c:ext>
          </c:extLst>
        </c:ser>
        <c:dLbls>
          <c:dLblPos val="outEnd"/>
          <c:showLegendKey val="0"/>
          <c:showVal val="1"/>
          <c:showCatName val="0"/>
          <c:showSerName val="0"/>
          <c:showPercent val="0"/>
          <c:showBubbleSize val="0"/>
        </c:dLbls>
        <c:gapWidth val="150"/>
        <c:axId val="80235520"/>
        <c:axId val="81867904"/>
      </c:barChart>
      <c:catAx>
        <c:axId val="80235520"/>
        <c:scaling>
          <c:orientation val="minMax"/>
        </c:scaling>
        <c:delete val="0"/>
        <c:axPos val="b"/>
        <c:title>
          <c:tx>
            <c:rich>
              <a:bodyPr/>
              <a:lstStyle/>
              <a:p>
                <a:pPr>
                  <a:defRPr/>
                </a:pPr>
                <a:r>
                  <a:rPr lang="en-US"/>
                  <a:t>Año</a:t>
                </a:r>
              </a:p>
            </c:rich>
          </c:tx>
          <c:layout/>
          <c:overlay val="0"/>
        </c:title>
        <c:numFmt formatCode="General" sourceLinked="1"/>
        <c:majorTickMark val="out"/>
        <c:minorTickMark val="none"/>
        <c:tickLblPos val="nextTo"/>
        <c:crossAx val="81867904"/>
        <c:crosses val="autoZero"/>
        <c:auto val="1"/>
        <c:lblAlgn val="ctr"/>
        <c:lblOffset val="100"/>
        <c:noMultiLvlLbl val="0"/>
      </c:catAx>
      <c:valAx>
        <c:axId val="81867904"/>
        <c:scaling>
          <c:orientation val="minMax"/>
        </c:scaling>
        <c:delete val="0"/>
        <c:axPos val="l"/>
        <c:title>
          <c:tx>
            <c:rich>
              <a:bodyPr rot="-5400000" vert="horz"/>
              <a:lstStyle/>
              <a:p>
                <a:pPr>
                  <a:defRPr/>
                </a:pPr>
                <a:r>
                  <a:rPr lang="en-US"/>
                  <a:t>Núm. de Partes Contratantes</a:t>
                </a:r>
              </a:p>
            </c:rich>
          </c:tx>
          <c:layout/>
          <c:overlay val="0"/>
        </c:title>
        <c:numFmt formatCode="General" sourceLinked="1"/>
        <c:majorTickMark val="out"/>
        <c:minorTickMark val="none"/>
        <c:tickLblPos val="nextTo"/>
        <c:crossAx val="80235520"/>
        <c:crosses val="autoZero"/>
        <c:crossBetween val="between"/>
        <c:majorUnit val="10"/>
      </c:valAx>
      <c:spPr>
        <a:noFill/>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1970</c:v>
                </c:pt>
                <c:pt idx="1">
                  <c:v>1980</c:v>
                </c:pt>
                <c:pt idx="2">
                  <c:v>1990</c:v>
                </c:pt>
                <c:pt idx="3">
                  <c:v>2000</c:v>
                </c:pt>
                <c:pt idx="4">
                  <c:v>2010</c:v>
                </c:pt>
                <c:pt idx="5">
                  <c:v>2020</c:v>
                </c:pt>
              </c:numCache>
            </c:numRef>
          </c:cat>
          <c:val>
            <c:numRef>
              <c:f>Sheet1!$A$2:$F$2</c:f>
              <c:numCache>
                <c:formatCode>General</c:formatCode>
                <c:ptCount val="6"/>
                <c:pt idx="0">
                  <c:v>78</c:v>
                </c:pt>
                <c:pt idx="1">
                  <c:v>88</c:v>
                </c:pt>
                <c:pt idx="2">
                  <c:v>100</c:v>
                </c:pt>
                <c:pt idx="3">
                  <c:v>160</c:v>
                </c:pt>
                <c:pt idx="4">
                  <c:v>169</c:v>
                </c:pt>
                <c:pt idx="5">
                  <c:v>177</c:v>
                </c:pt>
              </c:numCache>
            </c:numRef>
          </c:val>
          <c:extLst>
            <c:ext xmlns:c16="http://schemas.microsoft.com/office/drawing/2014/chart" uri="{C3380CC4-5D6E-409C-BE32-E72D297353CC}">
              <c16:uniqueId val="{00000000-4329-49CA-9024-31C838242593}"/>
            </c:ext>
          </c:extLst>
        </c:ser>
        <c:dLbls>
          <c:dLblPos val="outEnd"/>
          <c:showLegendKey val="0"/>
          <c:showVal val="1"/>
          <c:showCatName val="0"/>
          <c:showSerName val="0"/>
          <c:showPercent val="0"/>
          <c:showBubbleSize val="0"/>
        </c:dLbls>
        <c:gapWidth val="150"/>
        <c:axId val="92437504"/>
        <c:axId val="93825664"/>
      </c:barChart>
      <c:catAx>
        <c:axId val="92437504"/>
        <c:scaling>
          <c:orientation val="minMax"/>
        </c:scaling>
        <c:delete val="0"/>
        <c:axPos val="b"/>
        <c:title>
          <c:tx>
            <c:rich>
              <a:bodyPr/>
              <a:lstStyle/>
              <a:p>
                <a:pPr>
                  <a:defRPr/>
                </a:pPr>
                <a:r>
                  <a:rPr lang="en-US"/>
                  <a:t>Año</a:t>
                </a:r>
              </a:p>
            </c:rich>
          </c:tx>
          <c:layout/>
          <c:overlay val="0"/>
        </c:title>
        <c:numFmt formatCode="General" sourceLinked="1"/>
        <c:majorTickMark val="out"/>
        <c:minorTickMark val="none"/>
        <c:tickLblPos val="nextTo"/>
        <c:crossAx val="93825664"/>
        <c:crosses val="autoZero"/>
        <c:auto val="1"/>
        <c:lblAlgn val="ctr"/>
        <c:lblOffset val="100"/>
        <c:noMultiLvlLbl val="0"/>
      </c:catAx>
      <c:valAx>
        <c:axId val="93825664"/>
        <c:scaling>
          <c:orientation val="minMax"/>
        </c:scaling>
        <c:delete val="0"/>
        <c:axPos val="l"/>
        <c:title>
          <c:tx>
            <c:rich>
              <a:bodyPr rot="-5400000" vert="horz"/>
              <a:lstStyle/>
              <a:p>
                <a:pPr>
                  <a:defRPr/>
                </a:pPr>
                <a:r>
                  <a:rPr lang="en-US" sz="1000" b="1" i="0" u="none" strike="noStrike" baseline="0">
                    <a:effectLst/>
                  </a:rPr>
                  <a:t>Núm. de Partes Contratantes</a:t>
                </a:r>
                <a:endParaRPr lang="en-US"/>
              </a:p>
            </c:rich>
          </c:tx>
          <c:layout/>
          <c:overlay val="0"/>
        </c:title>
        <c:numFmt formatCode="General" sourceLinked="1"/>
        <c:majorTickMark val="out"/>
        <c:minorTickMark val="none"/>
        <c:tickLblPos val="nextTo"/>
        <c:crossAx val="92437504"/>
        <c:crosses val="autoZero"/>
        <c:crossBetween val="between"/>
        <c:majorUnit val="20"/>
      </c:valAx>
      <c:spPr>
        <a:noFill/>
      </c:spPr>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1983</c:v>
                </c:pt>
                <c:pt idx="1">
                  <c:v>1985</c:v>
                </c:pt>
                <c:pt idx="2">
                  <c:v>1990</c:v>
                </c:pt>
                <c:pt idx="3">
                  <c:v>2000</c:v>
                </c:pt>
                <c:pt idx="4">
                  <c:v>2010</c:v>
                </c:pt>
                <c:pt idx="5">
                  <c:v>2020</c:v>
                </c:pt>
              </c:numCache>
            </c:numRef>
          </c:cat>
          <c:val>
            <c:numRef>
              <c:f>Sheet1!$A$2:$F$2</c:f>
              <c:numCache>
                <c:formatCode>General</c:formatCode>
                <c:ptCount val="6"/>
                <c:pt idx="0">
                  <c:v>4</c:v>
                </c:pt>
                <c:pt idx="1">
                  <c:v>23</c:v>
                </c:pt>
                <c:pt idx="2">
                  <c:v>32</c:v>
                </c:pt>
                <c:pt idx="3">
                  <c:v>40</c:v>
                </c:pt>
                <c:pt idx="4">
                  <c:v>44</c:v>
                </c:pt>
                <c:pt idx="5">
                  <c:v>52</c:v>
                </c:pt>
              </c:numCache>
            </c:numRef>
          </c:val>
          <c:extLst>
            <c:ext xmlns:c16="http://schemas.microsoft.com/office/drawing/2014/chart" uri="{C3380CC4-5D6E-409C-BE32-E72D297353CC}">
              <c16:uniqueId val="{00000000-A538-48E2-86DF-2B5E93526319}"/>
            </c:ext>
          </c:extLst>
        </c:ser>
        <c:dLbls>
          <c:dLblPos val="outEnd"/>
          <c:showLegendKey val="0"/>
          <c:showVal val="1"/>
          <c:showCatName val="0"/>
          <c:showSerName val="0"/>
          <c:showPercent val="0"/>
          <c:showBubbleSize val="0"/>
        </c:dLbls>
        <c:gapWidth val="150"/>
        <c:axId val="80234368"/>
        <c:axId val="81896192"/>
      </c:barChart>
      <c:catAx>
        <c:axId val="80234368"/>
        <c:scaling>
          <c:orientation val="minMax"/>
        </c:scaling>
        <c:delete val="0"/>
        <c:axPos val="b"/>
        <c:title>
          <c:tx>
            <c:rich>
              <a:bodyPr/>
              <a:lstStyle/>
              <a:p>
                <a:pPr>
                  <a:defRPr/>
                </a:pPr>
                <a:r>
                  <a:rPr lang="en-US"/>
                  <a:t>Año</a:t>
                </a:r>
              </a:p>
            </c:rich>
          </c:tx>
          <c:layout/>
          <c:overlay val="0"/>
        </c:title>
        <c:numFmt formatCode="General" sourceLinked="1"/>
        <c:majorTickMark val="out"/>
        <c:minorTickMark val="none"/>
        <c:tickLblPos val="nextTo"/>
        <c:crossAx val="81896192"/>
        <c:crosses val="autoZero"/>
        <c:auto val="1"/>
        <c:lblAlgn val="ctr"/>
        <c:lblOffset val="100"/>
        <c:noMultiLvlLbl val="0"/>
      </c:catAx>
      <c:valAx>
        <c:axId val="81896192"/>
        <c:scaling>
          <c:orientation val="minMax"/>
        </c:scaling>
        <c:delete val="0"/>
        <c:axPos val="l"/>
        <c:title>
          <c:tx>
            <c:rich>
              <a:bodyPr rot="-5400000" vert="horz"/>
              <a:lstStyle/>
              <a:p>
                <a:pPr>
                  <a:defRPr/>
                </a:pPr>
                <a:r>
                  <a:rPr lang="en-US"/>
                  <a:t>Núm. de Partes Contratantes</a:t>
                </a:r>
              </a:p>
            </c:rich>
          </c:tx>
          <c:layout/>
          <c:overlay val="0"/>
        </c:title>
        <c:numFmt formatCode="General" sourceLinked="1"/>
        <c:majorTickMark val="out"/>
        <c:minorTickMark val="none"/>
        <c:tickLblPos val="nextTo"/>
        <c:crossAx val="80234368"/>
        <c:crosses val="autoZero"/>
        <c:crossBetween val="between"/>
        <c:majorUnit val="10"/>
      </c:valAx>
      <c:spPr>
        <a:noFill/>
      </c:spPr>
    </c:plotArea>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1997</c:v>
                </c:pt>
                <c:pt idx="1">
                  <c:v>1998</c:v>
                </c:pt>
                <c:pt idx="2">
                  <c:v>2000</c:v>
                </c:pt>
                <c:pt idx="3">
                  <c:v>2010</c:v>
                </c:pt>
                <c:pt idx="4">
                  <c:v>2020</c:v>
                </c:pt>
              </c:numCache>
            </c:numRef>
          </c:cat>
          <c:val>
            <c:numRef>
              <c:f>Sheet1!$A$2:$F$2</c:f>
              <c:numCache>
                <c:formatCode>General</c:formatCode>
                <c:ptCount val="6"/>
                <c:pt idx="0">
                  <c:v>4</c:v>
                </c:pt>
                <c:pt idx="1">
                  <c:v>23</c:v>
                </c:pt>
                <c:pt idx="2">
                  <c:v>32</c:v>
                </c:pt>
                <c:pt idx="3">
                  <c:v>40</c:v>
                </c:pt>
                <c:pt idx="4">
                  <c:v>54</c:v>
                </c:pt>
              </c:numCache>
            </c:numRef>
          </c:val>
          <c:extLst>
            <c:ext xmlns:c16="http://schemas.microsoft.com/office/drawing/2014/chart" uri="{C3380CC4-5D6E-409C-BE32-E72D297353CC}">
              <c16:uniqueId val="{00000000-7D9E-4D33-A734-B8995613B875}"/>
            </c:ext>
          </c:extLst>
        </c:ser>
        <c:dLbls>
          <c:dLblPos val="outEnd"/>
          <c:showLegendKey val="0"/>
          <c:showVal val="1"/>
          <c:showCatName val="0"/>
          <c:showSerName val="0"/>
          <c:showPercent val="0"/>
          <c:showBubbleSize val="0"/>
        </c:dLbls>
        <c:gapWidth val="150"/>
        <c:axId val="81895424"/>
        <c:axId val="81897344"/>
      </c:barChart>
      <c:catAx>
        <c:axId val="81895424"/>
        <c:scaling>
          <c:orientation val="minMax"/>
        </c:scaling>
        <c:delete val="0"/>
        <c:axPos val="b"/>
        <c:title>
          <c:tx>
            <c:rich>
              <a:bodyPr/>
              <a:lstStyle/>
              <a:p>
                <a:pPr>
                  <a:defRPr/>
                </a:pPr>
                <a:r>
                  <a:rPr lang="en-US"/>
                  <a:t>Año</a:t>
                </a:r>
              </a:p>
            </c:rich>
          </c:tx>
          <c:layout/>
          <c:overlay val="0"/>
        </c:title>
        <c:numFmt formatCode="General" sourceLinked="1"/>
        <c:majorTickMark val="out"/>
        <c:minorTickMark val="none"/>
        <c:tickLblPos val="nextTo"/>
        <c:crossAx val="81897344"/>
        <c:crosses val="autoZero"/>
        <c:auto val="1"/>
        <c:lblAlgn val="ctr"/>
        <c:lblOffset val="100"/>
        <c:noMultiLvlLbl val="0"/>
      </c:catAx>
      <c:valAx>
        <c:axId val="81897344"/>
        <c:scaling>
          <c:orientation val="minMax"/>
        </c:scaling>
        <c:delete val="0"/>
        <c:axPos val="l"/>
        <c:title>
          <c:tx>
            <c:rich>
              <a:bodyPr rot="-5400000" vert="horz"/>
              <a:lstStyle/>
              <a:p>
                <a:pPr>
                  <a:defRPr/>
                </a:pPr>
                <a:r>
                  <a:rPr lang="en-US"/>
                  <a:t>Núm. de Partes Contratantes</a:t>
                </a:r>
              </a:p>
            </c:rich>
          </c:tx>
          <c:layout/>
          <c:overlay val="0"/>
        </c:title>
        <c:numFmt formatCode="General" sourceLinked="1"/>
        <c:majorTickMark val="out"/>
        <c:minorTickMark val="none"/>
        <c:tickLblPos val="nextTo"/>
        <c:crossAx val="81895424"/>
        <c:crosses val="autoZero"/>
        <c:crossBetween val="between"/>
        <c:majorUnit val="10"/>
      </c:valAx>
      <c:spPr>
        <a:noFill/>
      </c:spPr>
    </c:plotArea>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1998</c:v>
                </c:pt>
                <c:pt idx="1">
                  <c:v>1999</c:v>
                </c:pt>
                <c:pt idx="2">
                  <c:v>2000</c:v>
                </c:pt>
                <c:pt idx="3">
                  <c:v>2010</c:v>
                </c:pt>
                <c:pt idx="4">
                  <c:v>2020</c:v>
                </c:pt>
              </c:numCache>
            </c:numRef>
          </c:cat>
          <c:val>
            <c:numRef>
              <c:f>Sheet1!$A$2:$F$2</c:f>
              <c:numCache>
                <c:formatCode>General</c:formatCode>
                <c:ptCount val="6"/>
                <c:pt idx="0">
                  <c:v>6</c:v>
                </c:pt>
                <c:pt idx="1">
                  <c:v>12</c:v>
                </c:pt>
                <c:pt idx="2">
                  <c:v>21</c:v>
                </c:pt>
                <c:pt idx="3">
                  <c:v>54</c:v>
                </c:pt>
                <c:pt idx="4">
                  <c:v>107</c:v>
                </c:pt>
              </c:numCache>
            </c:numRef>
          </c:val>
          <c:extLst>
            <c:ext xmlns:c16="http://schemas.microsoft.com/office/drawing/2014/chart" uri="{C3380CC4-5D6E-409C-BE32-E72D297353CC}">
              <c16:uniqueId val="{00000000-8294-4F30-82C6-FEF5D426219D}"/>
            </c:ext>
          </c:extLst>
        </c:ser>
        <c:dLbls>
          <c:dLblPos val="outEnd"/>
          <c:showLegendKey val="0"/>
          <c:showVal val="1"/>
          <c:showCatName val="0"/>
          <c:showSerName val="0"/>
          <c:showPercent val="0"/>
          <c:showBubbleSize val="0"/>
        </c:dLbls>
        <c:gapWidth val="150"/>
        <c:axId val="80233216"/>
        <c:axId val="81895808"/>
      </c:barChart>
      <c:catAx>
        <c:axId val="80233216"/>
        <c:scaling>
          <c:orientation val="minMax"/>
        </c:scaling>
        <c:delete val="0"/>
        <c:axPos val="b"/>
        <c:title>
          <c:tx>
            <c:rich>
              <a:bodyPr/>
              <a:lstStyle/>
              <a:p>
                <a:pPr>
                  <a:defRPr/>
                </a:pPr>
                <a:r>
                  <a:rPr lang="en-US"/>
                  <a:t>Año</a:t>
                </a:r>
              </a:p>
            </c:rich>
          </c:tx>
          <c:layout/>
          <c:overlay val="0"/>
        </c:title>
        <c:numFmt formatCode="General" sourceLinked="1"/>
        <c:majorTickMark val="out"/>
        <c:minorTickMark val="none"/>
        <c:tickLblPos val="nextTo"/>
        <c:crossAx val="81895808"/>
        <c:crosses val="autoZero"/>
        <c:auto val="1"/>
        <c:lblAlgn val="ctr"/>
        <c:lblOffset val="100"/>
        <c:noMultiLvlLbl val="0"/>
      </c:catAx>
      <c:valAx>
        <c:axId val="81895808"/>
        <c:scaling>
          <c:orientation val="minMax"/>
        </c:scaling>
        <c:delete val="0"/>
        <c:axPos val="l"/>
        <c:title>
          <c:tx>
            <c:rich>
              <a:bodyPr rot="-5400000" vert="horz"/>
              <a:lstStyle/>
              <a:p>
                <a:pPr>
                  <a:defRPr/>
                </a:pPr>
                <a:r>
                  <a:rPr lang="en-US"/>
                  <a:t>Núm.</a:t>
                </a:r>
                <a:r>
                  <a:rPr lang="en-US" baseline="0"/>
                  <a:t> de Partes Contratantes</a:t>
                </a:r>
                <a:endParaRPr lang="en-US"/>
              </a:p>
            </c:rich>
          </c:tx>
          <c:layout/>
          <c:overlay val="0"/>
        </c:title>
        <c:numFmt formatCode="General" sourceLinked="1"/>
        <c:majorTickMark val="out"/>
        <c:minorTickMark val="none"/>
        <c:tickLblPos val="nextTo"/>
        <c:crossAx val="80233216"/>
        <c:crosses val="autoZero"/>
        <c:crossBetween val="between"/>
        <c:majorUnit val="10"/>
      </c:valAx>
      <c:spPr>
        <a:noFill/>
      </c:spPr>
    </c:plotArea>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1998</c:v>
                </c:pt>
                <c:pt idx="1">
                  <c:v>1999</c:v>
                </c:pt>
                <c:pt idx="2">
                  <c:v>2000</c:v>
                </c:pt>
                <c:pt idx="3">
                  <c:v>2010</c:v>
                </c:pt>
                <c:pt idx="4">
                  <c:v>2020</c:v>
                </c:pt>
              </c:numCache>
            </c:numRef>
          </c:cat>
          <c:val>
            <c:numRef>
              <c:f>Sheet1!$A$2:$F$2</c:f>
              <c:numCache>
                <c:formatCode>General</c:formatCode>
                <c:ptCount val="6"/>
                <c:pt idx="0">
                  <c:v>4</c:v>
                </c:pt>
                <c:pt idx="1">
                  <c:v>11</c:v>
                </c:pt>
                <c:pt idx="2">
                  <c:v>16</c:v>
                </c:pt>
                <c:pt idx="3">
                  <c:v>53</c:v>
                </c:pt>
                <c:pt idx="4">
                  <c:v>106</c:v>
                </c:pt>
              </c:numCache>
            </c:numRef>
          </c:val>
          <c:extLst>
            <c:ext xmlns:c16="http://schemas.microsoft.com/office/drawing/2014/chart" uri="{C3380CC4-5D6E-409C-BE32-E72D297353CC}">
              <c16:uniqueId val="{00000000-4197-43A5-8833-DC6C848CC963}"/>
            </c:ext>
          </c:extLst>
        </c:ser>
        <c:dLbls>
          <c:dLblPos val="outEnd"/>
          <c:showLegendKey val="0"/>
          <c:showVal val="1"/>
          <c:showCatName val="0"/>
          <c:showSerName val="0"/>
          <c:showPercent val="0"/>
          <c:showBubbleSize val="0"/>
        </c:dLbls>
        <c:gapWidth val="150"/>
        <c:axId val="102442112"/>
        <c:axId val="102444032"/>
      </c:barChart>
      <c:catAx>
        <c:axId val="102442112"/>
        <c:scaling>
          <c:orientation val="minMax"/>
        </c:scaling>
        <c:delete val="0"/>
        <c:axPos val="b"/>
        <c:title>
          <c:tx>
            <c:rich>
              <a:bodyPr/>
              <a:lstStyle/>
              <a:p>
                <a:pPr>
                  <a:defRPr/>
                </a:pPr>
                <a:r>
                  <a:rPr lang="en-US"/>
                  <a:t>Año</a:t>
                </a:r>
              </a:p>
            </c:rich>
          </c:tx>
          <c:layout/>
          <c:overlay val="0"/>
        </c:title>
        <c:numFmt formatCode="General" sourceLinked="1"/>
        <c:majorTickMark val="out"/>
        <c:minorTickMark val="none"/>
        <c:tickLblPos val="nextTo"/>
        <c:crossAx val="102444032"/>
        <c:crosses val="autoZero"/>
        <c:auto val="1"/>
        <c:lblAlgn val="ctr"/>
        <c:lblOffset val="100"/>
        <c:noMultiLvlLbl val="0"/>
      </c:catAx>
      <c:valAx>
        <c:axId val="102444032"/>
        <c:scaling>
          <c:orientation val="minMax"/>
        </c:scaling>
        <c:delete val="0"/>
        <c:axPos val="l"/>
        <c:title>
          <c:tx>
            <c:rich>
              <a:bodyPr rot="-5400000" vert="horz"/>
              <a:lstStyle/>
              <a:p>
                <a:pPr>
                  <a:defRPr/>
                </a:pPr>
                <a:r>
                  <a:rPr lang="en-US"/>
                  <a:t>Núm. de Partes Contratantes</a:t>
                </a:r>
              </a:p>
            </c:rich>
          </c:tx>
          <c:layout/>
          <c:overlay val="0"/>
        </c:title>
        <c:numFmt formatCode="General" sourceLinked="1"/>
        <c:majorTickMark val="out"/>
        <c:minorTickMark val="none"/>
        <c:tickLblPos val="nextTo"/>
        <c:crossAx val="102442112"/>
        <c:crosses val="autoZero"/>
        <c:crossBetween val="between"/>
        <c:majorUnit val="10"/>
      </c:valAx>
      <c:spPr>
        <a:noFill/>
      </c:spPr>
    </c:plotArea>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2005</c:v>
                </c:pt>
                <c:pt idx="1">
                  <c:v>2010</c:v>
                </c:pt>
                <c:pt idx="2">
                  <c:v>2020</c:v>
                </c:pt>
              </c:numCache>
            </c:numRef>
          </c:cat>
          <c:val>
            <c:numRef>
              <c:f>Sheet1!$A$2:$F$2</c:f>
              <c:numCache>
                <c:formatCode>General</c:formatCode>
                <c:ptCount val="6"/>
                <c:pt idx="0">
                  <c:v>11</c:v>
                </c:pt>
                <c:pt idx="1">
                  <c:v>27</c:v>
                </c:pt>
                <c:pt idx="2">
                  <c:v>42</c:v>
                </c:pt>
              </c:numCache>
            </c:numRef>
          </c:val>
          <c:extLst>
            <c:ext xmlns:c16="http://schemas.microsoft.com/office/drawing/2014/chart" uri="{C3380CC4-5D6E-409C-BE32-E72D297353CC}">
              <c16:uniqueId val="{00000000-FC38-472B-B32E-1BFD9F4EAB75}"/>
            </c:ext>
          </c:extLst>
        </c:ser>
        <c:dLbls>
          <c:dLblPos val="outEnd"/>
          <c:showLegendKey val="0"/>
          <c:showVal val="1"/>
          <c:showCatName val="0"/>
          <c:showSerName val="0"/>
          <c:showPercent val="0"/>
          <c:showBubbleSize val="0"/>
        </c:dLbls>
        <c:gapWidth val="150"/>
        <c:axId val="101009664"/>
        <c:axId val="101028224"/>
      </c:barChart>
      <c:catAx>
        <c:axId val="101009664"/>
        <c:scaling>
          <c:orientation val="minMax"/>
        </c:scaling>
        <c:delete val="0"/>
        <c:axPos val="b"/>
        <c:title>
          <c:tx>
            <c:rich>
              <a:bodyPr/>
              <a:lstStyle/>
              <a:p>
                <a:pPr>
                  <a:defRPr/>
                </a:pPr>
                <a:r>
                  <a:rPr lang="en-US"/>
                  <a:t>Año</a:t>
                </a:r>
              </a:p>
            </c:rich>
          </c:tx>
          <c:layout/>
          <c:overlay val="0"/>
        </c:title>
        <c:numFmt formatCode="General" sourceLinked="1"/>
        <c:majorTickMark val="out"/>
        <c:minorTickMark val="none"/>
        <c:tickLblPos val="nextTo"/>
        <c:crossAx val="101028224"/>
        <c:crosses val="autoZero"/>
        <c:auto val="1"/>
        <c:lblAlgn val="ctr"/>
        <c:lblOffset val="100"/>
        <c:noMultiLvlLbl val="0"/>
      </c:catAx>
      <c:valAx>
        <c:axId val="101028224"/>
        <c:scaling>
          <c:orientation val="minMax"/>
        </c:scaling>
        <c:delete val="0"/>
        <c:axPos val="l"/>
        <c:title>
          <c:tx>
            <c:rich>
              <a:bodyPr rot="-5400000" vert="horz"/>
              <a:lstStyle/>
              <a:p>
                <a:pPr>
                  <a:defRPr/>
                </a:pPr>
                <a:r>
                  <a:rPr lang="en-US"/>
                  <a:t>Núm. de Partes Contratantes</a:t>
                </a:r>
              </a:p>
            </c:rich>
          </c:tx>
          <c:layout/>
          <c:overlay val="0"/>
        </c:title>
        <c:numFmt formatCode="General" sourceLinked="1"/>
        <c:majorTickMark val="out"/>
        <c:minorTickMark val="none"/>
        <c:tickLblPos val="nextTo"/>
        <c:crossAx val="101009664"/>
        <c:crosses val="autoZero"/>
        <c:crossBetween val="between"/>
        <c:majorUnit val="10"/>
      </c:valAx>
      <c:spPr>
        <a:noFill/>
      </c:spPr>
    </c:plotArea>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2009</c:v>
                </c:pt>
                <c:pt idx="1">
                  <c:v>2010</c:v>
                </c:pt>
                <c:pt idx="2">
                  <c:v>2020</c:v>
                </c:pt>
              </c:numCache>
            </c:numRef>
          </c:cat>
          <c:val>
            <c:numRef>
              <c:f>Sheet1!$A$2:$F$2</c:f>
              <c:numCache>
                <c:formatCode>General</c:formatCode>
                <c:ptCount val="6"/>
                <c:pt idx="0">
                  <c:v>15</c:v>
                </c:pt>
                <c:pt idx="1">
                  <c:v>21</c:v>
                </c:pt>
                <c:pt idx="2">
                  <c:v>51</c:v>
                </c:pt>
              </c:numCache>
            </c:numRef>
          </c:val>
          <c:extLst>
            <c:ext xmlns:c16="http://schemas.microsoft.com/office/drawing/2014/chart" uri="{C3380CC4-5D6E-409C-BE32-E72D297353CC}">
              <c16:uniqueId val="{00000000-AE6A-467C-B438-9E570D66DA9C}"/>
            </c:ext>
          </c:extLst>
        </c:ser>
        <c:dLbls>
          <c:dLblPos val="outEnd"/>
          <c:showLegendKey val="0"/>
          <c:showVal val="1"/>
          <c:showCatName val="0"/>
          <c:showSerName val="0"/>
          <c:showPercent val="0"/>
          <c:showBubbleSize val="0"/>
        </c:dLbls>
        <c:gapWidth val="150"/>
        <c:axId val="45488384"/>
        <c:axId val="46105728"/>
      </c:barChart>
      <c:catAx>
        <c:axId val="45488384"/>
        <c:scaling>
          <c:orientation val="minMax"/>
        </c:scaling>
        <c:delete val="0"/>
        <c:axPos val="b"/>
        <c:title>
          <c:tx>
            <c:rich>
              <a:bodyPr/>
              <a:lstStyle/>
              <a:p>
                <a:pPr>
                  <a:defRPr/>
                </a:pPr>
                <a:r>
                  <a:rPr lang="en-US"/>
                  <a:t>Año</a:t>
                </a:r>
              </a:p>
            </c:rich>
          </c:tx>
          <c:layout/>
          <c:overlay val="0"/>
        </c:title>
        <c:numFmt formatCode="General" sourceLinked="1"/>
        <c:majorTickMark val="out"/>
        <c:minorTickMark val="none"/>
        <c:tickLblPos val="nextTo"/>
        <c:crossAx val="46105728"/>
        <c:crosses val="autoZero"/>
        <c:auto val="1"/>
        <c:lblAlgn val="ctr"/>
        <c:lblOffset val="100"/>
        <c:noMultiLvlLbl val="0"/>
      </c:catAx>
      <c:valAx>
        <c:axId val="46105728"/>
        <c:scaling>
          <c:orientation val="minMax"/>
        </c:scaling>
        <c:delete val="0"/>
        <c:axPos val="l"/>
        <c:title>
          <c:tx>
            <c:rich>
              <a:bodyPr rot="-5400000" vert="horz"/>
              <a:lstStyle/>
              <a:p>
                <a:pPr>
                  <a:defRPr/>
                </a:pPr>
                <a:r>
                  <a:rPr lang="en-US"/>
                  <a:t>Núm. de Partes Contratantes</a:t>
                </a:r>
              </a:p>
            </c:rich>
          </c:tx>
          <c:layout/>
          <c:overlay val="0"/>
        </c:title>
        <c:numFmt formatCode="General" sourceLinked="1"/>
        <c:majorTickMark val="out"/>
        <c:minorTickMark val="none"/>
        <c:tickLblPos val="nextTo"/>
        <c:crossAx val="45488384"/>
        <c:crosses val="autoZero"/>
        <c:crossBetween val="between"/>
        <c:majorUnit val="10"/>
      </c:valAx>
      <c:spPr>
        <a:noFill/>
      </c:spPr>
    </c:plotArea>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2015</c:v>
                </c:pt>
                <c:pt idx="1">
                  <c:v>2020</c:v>
                </c:pt>
              </c:numCache>
            </c:numRef>
          </c:cat>
          <c:val>
            <c:numRef>
              <c:f>Sheet1!$A$2:$F$2</c:f>
              <c:numCache>
                <c:formatCode>General</c:formatCode>
                <c:ptCount val="6"/>
                <c:pt idx="0">
                  <c:v>10</c:v>
                </c:pt>
                <c:pt idx="1">
                  <c:v>70</c:v>
                </c:pt>
              </c:numCache>
            </c:numRef>
          </c:val>
          <c:extLst>
            <c:ext xmlns:c16="http://schemas.microsoft.com/office/drawing/2014/chart" uri="{C3380CC4-5D6E-409C-BE32-E72D297353CC}">
              <c16:uniqueId val="{00000000-B947-409A-B663-684EB42C238C}"/>
            </c:ext>
          </c:extLst>
        </c:ser>
        <c:dLbls>
          <c:dLblPos val="outEnd"/>
          <c:showLegendKey val="0"/>
          <c:showVal val="1"/>
          <c:showCatName val="0"/>
          <c:showSerName val="0"/>
          <c:showPercent val="0"/>
          <c:showBubbleSize val="0"/>
        </c:dLbls>
        <c:gapWidth val="150"/>
        <c:axId val="85759104"/>
        <c:axId val="85761024"/>
      </c:barChart>
      <c:catAx>
        <c:axId val="85759104"/>
        <c:scaling>
          <c:orientation val="minMax"/>
        </c:scaling>
        <c:delete val="0"/>
        <c:axPos val="b"/>
        <c:title>
          <c:tx>
            <c:rich>
              <a:bodyPr/>
              <a:lstStyle/>
              <a:p>
                <a:pPr>
                  <a:defRPr/>
                </a:pPr>
                <a:r>
                  <a:rPr lang="en-US"/>
                  <a:t>Año</a:t>
                </a:r>
              </a:p>
            </c:rich>
          </c:tx>
          <c:layout/>
          <c:overlay val="0"/>
        </c:title>
        <c:numFmt formatCode="General" sourceLinked="1"/>
        <c:majorTickMark val="out"/>
        <c:minorTickMark val="none"/>
        <c:tickLblPos val="nextTo"/>
        <c:crossAx val="85761024"/>
        <c:crosses val="autoZero"/>
        <c:auto val="1"/>
        <c:lblAlgn val="ctr"/>
        <c:lblOffset val="100"/>
        <c:noMultiLvlLbl val="0"/>
      </c:catAx>
      <c:valAx>
        <c:axId val="85761024"/>
        <c:scaling>
          <c:orientation val="minMax"/>
        </c:scaling>
        <c:delete val="0"/>
        <c:axPos val="l"/>
        <c:title>
          <c:tx>
            <c:rich>
              <a:bodyPr rot="-5400000" vert="horz"/>
              <a:lstStyle/>
              <a:p>
                <a:pPr>
                  <a:defRPr/>
                </a:pPr>
                <a:r>
                  <a:rPr lang="en-US"/>
                  <a:t>Núm. de Partes Contratantes</a:t>
                </a:r>
              </a:p>
            </c:rich>
          </c:tx>
          <c:layout/>
          <c:overlay val="0"/>
        </c:title>
        <c:numFmt formatCode="General" sourceLinked="1"/>
        <c:majorTickMark val="out"/>
        <c:minorTickMark val="none"/>
        <c:tickLblPos val="nextTo"/>
        <c:crossAx val="85759104"/>
        <c:crosses val="autoZero"/>
        <c:crossBetween val="between"/>
        <c:majorUnit val="10"/>
      </c:valAx>
      <c:spPr>
        <a:noFill/>
      </c:spPr>
    </c:plotArea>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2015</c:v>
                </c:pt>
                <c:pt idx="1">
                  <c:v>2020</c:v>
                </c:pt>
              </c:numCache>
            </c:numRef>
          </c:cat>
          <c:val>
            <c:numRef>
              <c:f>Sheet1!$A$2:$F$2</c:f>
              <c:numCache>
                <c:formatCode>General</c:formatCode>
                <c:ptCount val="6"/>
                <c:pt idx="0">
                  <c:v>9</c:v>
                </c:pt>
                <c:pt idx="1">
                  <c:v>33</c:v>
                </c:pt>
              </c:numCache>
            </c:numRef>
          </c:val>
          <c:extLst>
            <c:ext xmlns:c16="http://schemas.microsoft.com/office/drawing/2014/chart" uri="{C3380CC4-5D6E-409C-BE32-E72D297353CC}">
              <c16:uniqueId val="{00000000-12D0-4FEC-8515-97AD1D186641}"/>
            </c:ext>
          </c:extLst>
        </c:ser>
        <c:dLbls>
          <c:dLblPos val="outEnd"/>
          <c:showLegendKey val="0"/>
          <c:showVal val="1"/>
          <c:showCatName val="0"/>
          <c:showSerName val="0"/>
          <c:showPercent val="0"/>
          <c:showBubbleSize val="0"/>
        </c:dLbls>
        <c:gapWidth val="150"/>
        <c:axId val="83632512"/>
        <c:axId val="83634432"/>
      </c:barChart>
      <c:catAx>
        <c:axId val="83632512"/>
        <c:scaling>
          <c:orientation val="minMax"/>
        </c:scaling>
        <c:delete val="0"/>
        <c:axPos val="b"/>
        <c:title>
          <c:tx>
            <c:rich>
              <a:bodyPr/>
              <a:lstStyle/>
              <a:p>
                <a:pPr>
                  <a:defRPr/>
                </a:pPr>
                <a:r>
                  <a:rPr lang="en-US"/>
                  <a:t>Año</a:t>
                </a:r>
              </a:p>
            </c:rich>
          </c:tx>
          <c:layout/>
          <c:overlay val="0"/>
        </c:title>
        <c:numFmt formatCode="General" sourceLinked="1"/>
        <c:majorTickMark val="out"/>
        <c:minorTickMark val="none"/>
        <c:tickLblPos val="nextTo"/>
        <c:crossAx val="83634432"/>
        <c:crosses val="autoZero"/>
        <c:auto val="1"/>
        <c:lblAlgn val="ctr"/>
        <c:lblOffset val="100"/>
        <c:noMultiLvlLbl val="0"/>
      </c:catAx>
      <c:valAx>
        <c:axId val="83634432"/>
        <c:scaling>
          <c:orientation val="minMax"/>
        </c:scaling>
        <c:delete val="0"/>
        <c:axPos val="l"/>
        <c:title>
          <c:tx>
            <c:rich>
              <a:bodyPr rot="-5400000" vert="horz"/>
              <a:lstStyle/>
              <a:p>
                <a:pPr>
                  <a:defRPr/>
                </a:pPr>
                <a:r>
                  <a:rPr lang="en-US"/>
                  <a:t>Núm. de Partes Contratantes</a:t>
                </a:r>
              </a:p>
            </c:rich>
          </c:tx>
          <c:layout/>
          <c:overlay val="0"/>
        </c:title>
        <c:numFmt formatCode="General" sourceLinked="1"/>
        <c:majorTickMark val="out"/>
        <c:minorTickMark val="none"/>
        <c:tickLblPos val="nextTo"/>
        <c:crossAx val="83632512"/>
        <c:crosses val="autoZero"/>
        <c:crossBetween val="between"/>
        <c:majorUnit val="10"/>
      </c:valAx>
      <c:spPr>
        <a:noFill/>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1970</c:v>
                </c:pt>
                <c:pt idx="1">
                  <c:v>1980</c:v>
                </c:pt>
                <c:pt idx="2">
                  <c:v>1990</c:v>
                </c:pt>
                <c:pt idx="3">
                  <c:v>2000</c:v>
                </c:pt>
                <c:pt idx="4">
                  <c:v>2010</c:v>
                </c:pt>
                <c:pt idx="5">
                  <c:v>2020</c:v>
                </c:pt>
              </c:numCache>
            </c:numRef>
          </c:cat>
          <c:val>
            <c:numRef>
              <c:f>Sheet1!$A$2:$F$2</c:f>
              <c:numCache>
                <c:formatCode>General</c:formatCode>
                <c:ptCount val="6"/>
                <c:pt idx="0">
                  <c:v>59</c:v>
                </c:pt>
                <c:pt idx="1">
                  <c:v>71</c:v>
                </c:pt>
                <c:pt idx="2">
                  <c:v>84</c:v>
                </c:pt>
                <c:pt idx="3">
                  <c:v>146</c:v>
                </c:pt>
                <c:pt idx="4">
                  <c:v>159</c:v>
                </c:pt>
                <c:pt idx="5">
                  <c:v>179</c:v>
                </c:pt>
              </c:numCache>
            </c:numRef>
          </c:val>
          <c:extLst>
            <c:ext xmlns:c16="http://schemas.microsoft.com/office/drawing/2014/chart" uri="{C3380CC4-5D6E-409C-BE32-E72D297353CC}">
              <c16:uniqueId val="{00000000-C94B-4222-B452-DAD6567796FD}"/>
            </c:ext>
          </c:extLst>
        </c:ser>
        <c:dLbls>
          <c:dLblPos val="outEnd"/>
          <c:showLegendKey val="0"/>
          <c:showVal val="1"/>
          <c:showCatName val="0"/>
          <c:showSerName val="0"/>
          <c:showPercent val="0"/>
          <c:showBubbleSize val="0"/>
        </c:dLbls>
        <c:gapWidth val="150"/>
        <c:axId val="87835008"/>
        <c:axId val="87836928"/>
      </c:barChart>
      <c:catAx>
        <c:axId val="87835008"/>
        <c:scaling>
          <c:orientation val="minMax"/>
        </c:scaling>
        <c:delete val="0"/>
        <c:axPos val="b"/>
        <c:title>
          <c:tx>
            <c:rich>
              <a:bodyPr/>
              <a:lstStyle/>
              <a:p>
                <a:pPr>
                  <a:defRPr/>
                </a:pPr>
                <a:r>
                  <a:rPr lang="en-US"/>
                  <a:t>Año</a:t>
                </a:r>
              </a:p>
            </c:rich>
          </c:tx>
          <c:layout/>
          <c:overlay val="0"/>
        </c:title>
        <c:numFmt formatCode="General" sourceLinked="1"/>
        <c:majorTickMark val="out"/>
        <c:minorTickMark val="none"/>
        <c:tickLblPos val="nextTo"/>
        <c:crossAx val="87836928"/>
        <c:crosses val="autoZero"/>
        <c:auto val="1"/>
        <c:lblAlgn val="ctr"/>
        <c:lblOffset val="100"/>
        <c:noMultiLvlLbl val="0"/>
      </c:catAx>
      <c:valAx>
        <c:axId val="87836928"/>
        <c:scaling>
          <c:orientation val="minMax"/>
        </c:scaling>
        <c:delete val="0"/>
        <c:axPos val="l"/>
        <c:title>
          <c:tx>
            <c:rich>
              <a:bodyPr rot="-5400000" vert="horz"/>
              <a:lstStyle/>
              <a:p>
                <a:pPr>
                  <a:defRPr/>
                </a:pPr>
                <a:r>
                  <a:rPr lang="en-US" sz="1000" b="1" i="0" u="none" strike="noStrike" baseline="0">
                    <a:effectLst/>
                  </a:rPr>
                  <a:t>Núm. de Partes Contratantes</a:t>
                </a:r>
                <a:endParaRPr lang="en-US"/>
              </a:p>
            </c:rich>
          </c:tx>
          <c:layout/>
          <c:overlay val="0"/>
        </c:title>
        <c:numFmt formatCode="General" sourceLinked="1"/>
        <c:majorTickMark val="out"/>
        <c:minorTickMark val="none"/>
        <c:tickLblPos val="nextTo"/>
        <c:crossAx val="87835008"/>
        <c:crosses val="autoZero"/>
        <c:crossBetween val="between"/>
        <c:majorUnit val="20"/>
      </c:valAx>
      <c:spPr>
        <a:noFill/>
      </c:spPr>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1970</c:v>
                </c:pt>
                <c:pt idx="1">
                  <c:v>1980</c:v>
                </c:pt>
                <c:pt idx="2">
                  <c:v>1990</c:v>
                </c:pt>
                <c:pt idx="3">
                  <c:v>2000</c:v>
                </c:pt>
                <c:pt idx="4">
                  <c:v>2010</c:v>
                </c:pt>
                <c:pt idx="5">
                  <c:v>2020</c:v>
                </c:pt>
              </c:numCache>
            </c:numRef>
          </c:cat>
          <c:val>
            <c:numRef>
              <c:f>Sheet1!$A$2:$F$2</c:f>
              <c:numCache>
                <c:formatCode>General</c:formatCode>
                <c:ptCount val="6"/>
                <c:pt idx="0">
                  <c:v>29</c:v>
                </c:pt>
                <c:pt idx="1">
                  <c:v>31</c:v>
                </c:pt>
                <c:pt idx="2">
                  <c:v>31</c:v>
                </c:pt>
                <c:pt idx="3">
                  <c:v>32</c:v>
                </c:pt>
                <c:pt idx="4">
                  <c:v>34</c:v>
                </c:pt>
                <c:pt idx="5">
                  <c:v>36</c:v>
                </c:pt>
              </c:numCache>
            </c:numRef>
          </c:val>
          <c:extLst>
            <c:ext xmlns:c16="http://schemas.microsoft.com/office/drawing/2014/chart" uri="{C3380CC4-5D6E-409C-BE32-E72D297353CC}">
              <c16:uniqueId val="{00000000-D3CD-44F7-AE24-1F10C31A64DF}"/>
            </c:ext>
          </c:extLst>
        </c:ser>
        <c:dLbls>
          <c:dLblPos val="outEnd"/>
          <c:showLegendKey val="0"/>
          <c:showVal val="1"/>
          <c:showCatName val="0"/>
          <c:showSerName val="0"/>
          <c:showPercent val="0"/>
          <c:showBubbleSize val="0"/>
        </c:dLbls>
        <c:gapWidth val="150"/>
        <c:axId val="87830912"/>
        <c:axId val="87835776"/>
      </c:barChart>
      <c:catAx>
        <c:axId val="87830912"/>
        <c:scaling>
          <c:orientation val="minMax"/>
        </c:scaling>
        <c:delete val="0"/>
        <c:axPos val="b"/>
        <c:title>
          <c:tx>
            <c:rich>
              <a:bodyPr/>
              <a:lstStyle/>
              <a:p>
                <a:pPr>
                  <a:defRPr/>
                </a:pPr>
                <a:r>
                  <a:rPr lang="en-US"/>
                  <a:t>Año</a:t>
                </a:r>
              </a:p>
            </c:rich>
          </c:tx>
          <c:layout/>
          <c:overlay val="0"/>
        </c:title>
        <c:numFmt formatCode="General" sourceLinked="1"/>
        <c:majorTickMark val="out"/>
        <c:minorTickMark val="none"/>
        <c:tickLblPos val="nextTo"/>
        <c:crossAx val="87835776"/>
        <c:crosses val="autoZero"/>
        <c:auto val="1"/>
        <c:lblAlgn val="ctr"/>
        <c:lblOffset val="100"/>
        <c:noMultiLvlLbl val="0"/>
      </c:catAx>
      <c:valAx>
        <c:axId val="87835776"/>
        <c:scaling>
          <c:orientation val="minMax"/>
        </c:scaling>
        <c:delete val="0"/>
        <c:axPos val="l"/>
        <c:title>
          <c:tx>
            <c:rich>
              <a:bodyPr rot="-5400000" vert="horz"/>
              <a:lstStyle/>
              <a:p>
                <a:pPr>
                  <a:defRPr/>
                </a:pPr>
                <a:r>
                  <a:rPr lang="en-US"/>
                  <a:t>Núm. de Partes</a:t>
                </a:r>
                <a:r>
                  <a:rPr lang="en-US" baseline="0"/>
                  <a:t> Contratantes</a:t>
                </a:r>
                <a:endParaRPr lang="en-US"/>
              </a:p>
            </c:rich>
          </c:tx>
          <c:layout/>
          <c:overlay val="0"/>
        </c:title>
        <c:numFmt formatCode="General" sourceLinked="1"/>
        <c:majorTickMark val="out"/>
        <c:minorTickMark val="none"/>
        <c:tickLblPos val="nextTo"/>
        <c:crossAx val="87830912"/>
        <c:crosses val="autoZero"/>
        <c:crossBetween val="between"/>
        <c:majorUnit val="10"/>
      </c:valAx>
      <c:spPr>
        <a:noFill/>
      </c:spPr>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latin typeface="Arial" panose="020B0604020202020204" pitchFamily="34" charset="0"/>
                <a:cs typeface="Arial" panose="020B0604020202020204" pitchFamily="34" charset="0"/>
              </a:rPr>
              <a:t>Arreglo de Madrid</a:t>
            </a:r>
          </a:p>
        </c:rich>
      </c:tx>
      <c:layout/>
      <c:overlay val="0"/>
    </c:title>
    <c:autoTitleDeleted val="0"/>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1970</c:v>
                </c:pt>
                <c:pt idx="1">
                  <c:v>1980</c:v>
                </c:pt>
                <c:pt idx="2">
                  <c:v>1990</c:v>
                </c:pt>
                <c:pt idx="3">
                  <c:v>2000</c:v>
                </c:pt>
                <c:pt idx="4">
                  <c:v>2010</c:v>
                </c:pt>
                <c:pt idx="5">
                  <c:v>2020</c:v>
                </c:pt>
              </c:numCache>
            </c:numRef>
          </c:cat>
          <c:val>
            <c:numRef>
              <c:f>Sheet1!$A$2:$F$2</c:f>
              <c:numCache>
                <c:formatCode>General</c:formatCode>
                <c:ptCount val="6"/>
                <c:pt idx="0">
                  <c:v>21</c:v>
                </c:pt>
                <c:pt idx="1">
                  <c:v>24</c:v>
                </c:pt>
                <c:pt idx="2">
                  <c:v>29</c:v>
                </c:pt>
                <c:pt idx="3">
                  <c:v>52</c:v>
                </c:pt>
                <c:pt idx="4">
                  <c:v>56</c:v>
                </c:pt>
                <c:pt idx="5">
                  <c:v>55</c:v>
                </c:pt>
              </c:numCache>
            </c:numRef>
          </c:val>
          <c:extLst>
            <c:ext xmlns:c16="http://schemas.microsoft.com/office/drawing/2014/chart" uri="{C3380CC4-5D6E-409C-BE32-E72D297353CC}">
              <c16:uniqueId val="{00000000-0573-45C1-A04B-E361C439483B}"/>
            </c:ext>
          </c:extLst>
        </c:ser>
        <c:dLbls>
          <c:dLblPos val="outEnd"/>
          <c:showLegendKey val="0"/>
          <c:showVal val="1"/>
          <c:showCatName val="0"/>
          <c:showSerName val="0"/>
          <c:showPercent val="0"/>
          <c:showBubbleSize val="0"/>
        </c:dLbls>
        <c:gapWidth val="150"/>
        <c:axId val="92424448"/>
        <c:axId val="92435584"/>
      </c:barChart>
      <c:catAx>
        <c:axId val="92424448"/>
        <c:scaling>
          <c:orientation val="minMax"/>
        </c:scaling>
        <c:delete val="0"/>
        <c:axPos val="b"/>
        <c:title>
          <c:tx>
            <c:rich>
              <a:bodyPr/>
              <a:lstStyle/>
              <a:p>
                <a:pPr>
                  <a:defRPr/>
                </a:pPr>
                <a:r>
                  <a:rPr lang="en-US"/>
                  <a:t>Año</a:t>
                </a:r>
              </a:p>
            </c:rich>
          </c:tx>
          <c:layout/>
          <c:overlay val="0"/>
        </c:title>
        <c:numFmt formatCode="General" sourceLinked="1"/>
        <c:majorTickMark val="out"/>
        <c:minorTickMark val="none"/>
        <c:tickLblPos val="nextTo"/>
        <c:crossAx val="92435584"/>
        <c:crosses val="autoZero"/>
        <c:auto val="1"/>
        <c:lblAlgn val="ctr"/>
        <c:lblOffset val="100"/>
        <c:noMultiLvlLbl val="0"/>
      </c:catAx>
      <c:valAx>
        <c:axId val="92435584"/>
        <c:scaling>
          <c:orientation val="minMax"/>
        </c:scaling>
        <c:delete val="0"/>
        <c:axPos val="l"/>
        <c:title>
          <c:tx>
            <c:rich>
              <a:bodyPr rot="-5400000" vert="horz"/>
              <a:lstStyle/>
              <a:p>
                <a:pPr>
                  <a:defRPr/>
                </a:pPr>
                <a:r>
                  <a:rPr lang="en-US" sz="1000" b="1" i="0" u="none" strike="noStrike" baseline="0">
                    <a:effectLst/>
                  </a:rPr>
                  <a:t>Núm. de Partes Contratantes</a:t>
                </a:r>
                <a:endParaRPr lang="en-US"/>
              </a:p>
            </c:rich>
          </c:tx>
          <c:layout/>
          <c:overlay val="0"/>
        </c:title>
        <c:numFmt formatCode="General" sourceLinked="1"/>
        <c:majorTickMark val="out"/>
        <c:minorTickMark val="none"/>
        <c:tickLblPos val="nextTo"/>
        <c:crossAx val="92424448"/>
        <c:crosses val="autoZero"/>
        <c:crossBetween val="between"/>
        <c:majorUnit val="10"/>
      </c:valAx>
      <c:spPr>
        <a:noFill/>
      </c:spPr>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latin typeface="Arial" panose="020B0604020202020204" pitchFamily="34" charset="0"/>
                <a:cs typeface="Arial" panose="020B0604020202020204" pitchFamily="34" charset="0"/>
              </a:rPr>
              <a:t>Protocolo de </a:t>
            </a:r>
            <a:r>
              <a:rPr lang="en-US" sz="1800" b="1" i="0" u="none" strike="noStrike" baseline="0">
                <a:effectLst/>
              </a:rPr>
              <a:t>Madrid</a:t>
            </a:r>
            <a:endParaRPr lang="en-US" sz="1400">
              <a:latin typeface="Arial" panose="020B0604020202020204" pitchFamily="34" charset="0"/>
              <a:cs typeface="Arial" panose="020B0604020202020204" pitchFamily="34" charset="0"/>
            </a:endParaRPr>
          </a:p>
        </c:rich>
      </c:tx>
      <c:layout/>
      <c:overlay val="1"/>
    </c:title>
    <c:autoTitleDeleted val="0"/>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'[status-treats-Madrid-protocol.xlsx]Sheet1'!$A$1:$F$1</c:f>
              <c:numCache>
                <c:formatCode>General</c:formatCode>
                <c:ptCount val="6"/>
                <c:pt idx="0">
                  <c:v>1996</c:v>
                </c:pt>
                <c:pt idx="1">
                  <c:v>1997</c:v>
                </c:pt>
                <c:pt idx="2">
                  <c:v>1998</c:v>
                </c:pt>
                <c:pt idx="3">
                  <c:v>2000</c:v>
                </c:pt>
                <c:pt idx="4">
                  <c:v>2010</c:v>
                </c:pt>
                <c:pt idx="5">
                  <c:v>2020</c:v>
                </c:pt>
              </c:numCache>
            </c:numRef>
          </c:cat>
          <c:val>
            <c:numRef>
              <c:f>'[status-treats-Madrid-protocol.xlsx]Sheet1'!$A$2:$F$2</c:f>
              <c:numCache>
                <c:formatCode>General</c:formatCode>
                <c:ptCount val="6"/>
                <c:pt idx="0">
                  <c:v>9</c:v>
                </c:pt>
                <c:pt idx="1">
                  <c:v>14</c:v>
                </c:pt>
                <c:pt idx="2">
                  <c:v>34</c:v>
                </c:pt>
                <c:pt idx="3">
                  <c:v>48</c:v>
                </c:pt>
                <c:pt idx="4">
                  <c:v>66</c:v>
                </c:pt>
                <c:pt idx="5">
                  <c:v>106</c:v>
                </c:pt>
              </c:numCache>
            </c:numRef>
          </c:val>
          <c:extLst>
            <c:ext xmlns:c16="http://schemas.microsoft.com/office/drawing/2014/chart" uri="{C3380CC4-5D6E-409C-BE32-E72D297353CC}">
              <c16:uniqueId val="{00000000-0F7B-4E4F-986E-6A8807547281}"/>
            </c:ext>
          </c:extLst>
        </c:ser>
        <c:dLbls>
          <c:dLblPos val="outEnd"/>
          <c:showLegendKey val="0"/>
          <c:showVal val="1"/>
          <c:showCatName val="0"/>
          <c:showSerName val="0"/>
          <c:showPercent val="0"/>
          <c:showBubbleSize val="0"/>
        </c:dLbls>
        <c:gapWidth val="150"/>
        <c:axId val="87814912"/>
        <c:axId val="87817216"/>
      </c:barChart>
      <c:catAx>
        <c:axId val="87814912"/>
        <c:scaling>
          <c:orientation val="minMax"/>
        </c:scaling>
        <c:delete val="0"/>
        <c:axPos val="b"/>
        <c:title>
          <c:tx>
            <c:rich>
              <a:bodyPr/>
              <a:lstStyle/>
              <a:p>
                <a:pPr>
                  <a:defRPr/>
                </a:pPr>
                <a:r>
                  <a:rPr lang="en-US"/>
                  <a:t>Año</a:t>
                </a:r>
              </a:p>
            </c:rich>
          </c:tx>
          <c:layout/>
          <c:overlay val="0"/>
        </c:title>
        <c:numFmt formatCode="General" sourceLinked="1"/>
        <c:majorTickMark val="out"/>
        <c:minorTickMark val="none"/>
        <c:tickLblPos val="nextTo"/>
        <c:crossAx val="87817216"/>
        <c:crosses val="autoZero"/>
        <c:auto val="1"/>
        <c:lblAlgn val="ctr"/>
        <c:lblOffset val="100"/>
        <c:noMultiLvlLbl val="0"/>
      </c:catAx>
      <c:valAx>
        <c:axId val="87817216"/>
        <c:scaling>
          <c:orientation val="minMax"/>
        </c:scaling>
        <c:delete val="0"/>
        <c:axPos val="l"/>
        <c:title>
          <c:tx>
            <c:rich>
              <a:bodyPr rot="-5400000" vert="horz"/>
              <a:lstStyle/>
              <a:p>
                <a:pPr>
                  <a:defRPr/>
                </a:pPr>
                <a:r>
                  <a:rPr lang="en-US"/>
                  <a:t>Núm. de Partes Contratantes</a:t>
                </a:r>
              </a:p>
            </c:rich>
          </c:tx>
          <c:layout/>
          <c:overlay val="0"/>
        </c:title>
        <c:numFmt formatCode="General" sourceLinked="1"/>
        <c:majorTickMark val="out"/>
        <c:minorTickMark val="none"/>
        <c:tickLblPos val="nextTo"/>
        <c:crossAx val="87814912"/>
        <c:crosses val="autoZero"/>
        <c:crossBetween val="between"/>
        <c:majorUnit val="10"/>
      </c:valAx>
      <c:spPr>
        <a:noFill/>
      </c:spPr>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Arial" panose="020B0604020202020204" pitchFamily="34" charset="0"/>
                <a:cs typeface="Arial" panose="020B0604020202020204" pitchFamily="34" charset="0"/>
              </a:defRPr>
            </a:pPr>
            <a:r>
              <a:rPr lang="en-US" sz="1400">
                <a:latin typeface="Arial" panose="020B0604020202020204" pitchFamily="34" charset="0"/>
                <a:cs typeface="Arial" panose="020B0604020202020204" pitchFamily="34" charset="0"/>
              </a:rPr>
              <a:t>Act</a:t>
            </a:r>
            <a:r>
              <a:rPr lang="en-US" sz="1400" baseline="0">
                <a:latin typeface="Arial" panose="020B0604020202020204" pitchFamily="34" charset="0"/>
                <a:cs typeface="Arial" panose="020B0604020202020204" pitchFamily="34" charset="0"/>
              </a:rPr>
              <a:t>a de La Haya del Arreglo de La Haya</a:t>
            </a:r>
            <a:endParaRPr lang="en-US" sz="1400">
              <a:latin typeface="Arial" panose="020B0604020202020204" pitchFamily="34" charset="0"/>
              <a:cs typeface="Arial" panose="020B0604020202020204" pitchFamily="34" charset="0"/>
            </a:endParaRPr>
          </a:p>
        </c:rich>
      </c:tx>
      <c:layout/>
      <c:overlay val="0"/>
    </c:title>
    <c:autoTitleDeleted val="0"/>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1970</c:v>
                </c:pt>
                <c:pt idx="1">
                  <c:v>1980</c:v>
                </c:pt>
                <c:pt idx="2">
                  <c:v>1990</c:v>
                </c:pt>
                <c:pt idx="3">
                  <c:v>2000</c:v>
                </c:pt>
                <c:pt idx="4">
                  <c:v>2010</c:v>
                </c:pt>
                <c:pt idx="5">
                  <c:v>2020</c:v>
                </c:pt>
              </c:numCache>
            </c:numRef>
          </c:cat>
          <c:val>
            <c:numRef>
              <c:f>Sheet1!$A$2:$F$2</c:f>
              <c:numCache>
                <c:formatCode>General</c:formatCode>
                <c:ptCount val="6"/>
                <c:pt idx="0">
                  <c:v>14</c:v>
                </c:pt>
                <c:pt idx="1">
                  <c:v>17</c:v>
                </c:pt>
                <c:pt idx="2">
                  <c:v>20</c:v>
                </c:pt>
                <c:pt idx="3">
                  <c:v>29</c:v>
                </c:pt>
                <c:pt idx="4">
                  <c:v>31</c:v>
                </c:pt>
                <c:pt idx="5">
                  <c:v>34</c:v>
                </c:pt>
              </c:numCache>
            </c:numRef>
          </c:val>
          <c:extLst>
            <c:ext xmlns:c16="http://schemas.microsoft.com/office/drawing/2014/chart" uri="{C3380CC4-5D6E-409C-BE32-E72D297353CC}">
              <c16:uniqueId val="{00000000-0308-4C2B-94C6-15B6A5DF0E85}"/>
            </c:ext>
          </c:extLst>
        </c:ser>
        <c:dLbls>
          <c:dLblPos val="outEnd"/>
          <c:showLegendKey val="0"/>
          <c:showVal val="1"/>
          <c:showCatName val="0"/>
          <c:showSerName val="0"/>
          <c:showPercent val="0"/>
          <c:showBubbleSize val="0"/>
        </c:dLbls>
        <c:gapWidth val="150"/>
        <c:axId val="95523968"/>
        <c:axId val="95525888"/>
      </c:barChart>
      <c:catAx>
        <c:axId val="95523968"/>
        <c:scaling>
          <c:orientation val="minMax"/>
        </c:scaling>
        <c:delete val="0"/>
        <c:axPos val="b"/>
        <c:title>
          <c:tx>
            <c:rich>
              <a:bodyPr/>
              <a:lstStyle/>
              <a:p>
                <a:pPr>
                  <a:defRPr/>
                </a:pPr>
                <a:r>
                  <a:rPr lang="en-US"/>
                  <a:t>Año</a:t>
                </a:r>
              </a:p>
            </c:rich>
          </c:tx>
          <c:layout/>
          <c:overlay val="0"/>
        </c:title>
        <c:numFmt formatCode="General" sourceLinked="1"/>
        <c:majorTickMark val="out"/>
        <c:minorTickMark val="none"/>
        <c:tickLblPos val="nextTo"/>
        <c:crossAx val="95525888"/>
        <c:crosses val="autoZero"/>
        <c:auto val="1"/>
        <c:lblAlgn val="ctr"/>
        <c:lblOffset val="100"/>
        <c:noMultiLvlLbl val="0"/>
      </c:catAx>
      <c:valAx>
        <c:axId val="95525888"/>
        <c:scaling>
          <c:orientation val="minMax"/>
        </c:scaling>
        <c:delete val="0"/>
        <c:axPos val="l"/>
        <c:title>
          <c:tx>
            <c:rich>
              <a:bodyPr rot="-5400000" vert="horz"/>
              <a:lstStyle/>
              <a:p>
                <a:pPr>
                  <a:defRPr/>
                </a:pPr>
                <a:r>
                  <a:rPr lang="en-US"/>
                  <a:t>Núm. de Partes</a:t>
                </a:r>
                <a:r>
                  <a:rPr lang="en-US" baseline="0"/>
                  <a:t> Contratantes</a:t>
                </a:r>
                <a:endParaRPr lang="en-US"/>
              </a:p>
            </c:rich>
          </c:tx>
          <c:layout/>
          <c:overlay val="0"/>
        </c:title>
        <c:numFmt formatCode="General" sourceLinked="1"/>
        <c:majorTickMark val="out"/>
        <c:minorTickMark val="none"/>
        <c:tickLblPos val="nextTo"/>
        <c:crossAx val="95523968"/>
        <c:crosses val="autoZero"/>
        <c:crossBetween val="between"/>
        <c:majorUnit val="10"/>
      </c:valAx>
      <c:spPr>
        <a:noFill/>
      </c:spPr>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Acta de Ginebra del Arreglo de La Haya</a:t>
            </a:r>
          </a:p>
        </c:rich>
      </c:tx>
      <c:layout/>
      <c:overlay val="0"/>
    </c:title>
    <c:autoTitleDeleted val="0"/>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2003</c:v>
                </c:pt>
                <c:pt idx="1">
                  <c:v>2010</c:v>
                </c:pt>
                <c:pt idx="2">
                  <c:v>2020</c:v>
                </c:pt>
              </c:numCache>
            </c:numRef>
          </c:cat>
          <c:val>
            <c:numRef>
              <c:f>Sheet1!$A$2:$F$2</c:f>
              <c:numCache>
                <c:formatCode>General</c:formatCode>
                <c:ptCount val="6"/>
                <c:pt idx="0">
                  <c:v>11</c:v>
                </c:pt>
                <c:pt idx="1">
                  <c:v>18</c:v>
                </c:pt>
                <c:pt idx="2">
                  <c:v>65</c:v>
                </c:pt>
              </c:numCache>
            </c:numRef>
          </c:val>
          <c:extLst>
            <c:ext xmlns:c16="http://schemas.microsoft.com/office/drawing/2014/chart" uri="{C3380CC4-5D6E-409C-BE32-E72D297353CC}">
              <c16:uniqueId val="{00000000-955B-4664-865D-CA78C47724A6}"/>
            </c:ext>
          </c:extLst>
        </c:ser>
        <c:dLbls>
          <c:dLblPos val="outEnd"/>
          <c:showLegendKey val="0"/>
          <c:showVal val="1"/>
          <c:showCatName val="0"/>
          <c:showSerName val="0"/>
          <c:showPercent val="0"/>
          <c:showBubbleSize val="0"/>
        </c:dLbls>
        <c:gapWidth val="150"/>
        <c:axId val="88773760"/>
        <c:axId val="88775680"/>
      </c:barChart>
      <c:catAx>
        <c:axId val="88773760"/>
        <c:scaling>
          <c:orientation val="minMax"/>
        </c:scaling>
        <c:delete val="0"/>
        <c:axPos val="b"/>
        <c:title>
          <c:tx>
            <c:rich>
              <a:bodyPr/>
              <a:lstStyle/>
              <a:p>
                <a:pPr>
                  <a:defRPr/>
                </a:pPr>
                <a:r>
                  <a:rPr lang="en-US"/>
                  <a:t>Año</a:t>
                </a:r>
              </a:p>
            </c:rich>
          </c:tx>
          <c:layout/>
          <c:overlay val="0"/>
        </c:title>
        <c:numFmt formatCode="General" sourceLinked="1"/>
        <c:majorTickMark val="out"/>
        <c:minorTickMark val="none"/>
        <c:tickLblPos val="nextTo"/>
        <c:crossAx val="88775680"/>
        <c:crosses val="autoZero"/>
        <c:auto val="1"/>
        <c:lblAlgn val="ctr"/>
        <c:lblOffset val="100"/>
        <c:noMultiLvlLbl val="0"/>
      </c:catAx>
      <c:valAx>
        <c:axId val="88775680"/>
        <c:scaling>
          <c:orientation val="minMax"/>
        </c:scaling>
        <c:delete val="0"/>
        <c:axPos val="l"/>
        <c:title>
          <c:tx>
            <c:rich>
              <a:bodyPr rot="-5400000" vert="horz"/>
              <a:lstStyle/>
              <a:p>
                <a:pPr>
                  <a:defRPr/>
                </a:pPr>
                <a:r>
                  <a:rPr lang="en-US" sz="1000" b="1" i="0" u="none" strike="noStrike" baseline="0">
                    <a:effectLst/>
                  </a:rPr>
                  <a:t>Núm. de Partes Contratantes</a:t>
                </a:r>
                <a:endParaRPr lang="en-US"/>
              </a:p>
            </c:rich>
          </c:tx>
          <c:layout/>
          <c:overlay val="0"/>
        </c:title>
        <c:numFmt formatCode="General" sourceLinked="1"/>
        <c:majorTickMark val="out"/>
        <c:minorTickMark val="none"/>
        <c:tickLblPos val="nextTo"/>
        <c:crossAx val="88773760"/>
        <c:crosses val="autoZero"/>
        <c:crossBetween val="between"/>
        <c:majorUnit val="10"/>
      </c:valAx>
      <c:spPr>
        <a:noFill/>
      </c:spPr>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1970</c:v>
                </c:pt>
                <c:pt idx="1">
                  <c:v>1980</c:v>
                </c:pt>
                <c:pt idx="2">
                  <c:v>1990</c:v>
                </c:pt>
                <c:pt idx="3">
                  <c:v>2000</c:v>
                </c:pt>
                <c:pt idx="4">
                  <c:v>2010</c:v>
                </c:pt>
                <c:pt idx="5">
                  <c:v>2020</c:v>
                </c:pt>
              </c:numCache>
            </c:numRef>
          </c:cat>
          <c:val>
            <c:numRef>
              <c:f>Sheet1!$A$2:$F$2</c:f>
              <c:numCache>
                <c:formatCode>General</c:formatCode>
                <c:ptCount val="6"/>
                <c:pt idx="0">
                  <c:v>25</c:v>
                </c:pt>
                <c:pt idx="1">
                  <c:v>32</c:v>
                </c:pt>
                <c:pt idx="2">
                  <c:v>34</c:v>
                </c:pt>
                <c:pt idx="3">
                  <c:v>61</c:v>
                </c:pt>
                <c:pt idx="4">
                  <c:v>76</c:v>
                </c:pt>
                <c:pt idx="5">
                  <c:v>88</c:v>
                </c:pt>
              </c:numCache>
            </c:numRef>
          </c:val>
          <c:extLst>
            <c:ext xmlns:c16="http://schemas.microsoft.com/office/drawing/2014/chart" uri="{C3380CC4-5D6E-409C-BE32-E72D297353CC}">
              <c16:uniqueId val="{00000000-C05F-455B-8439-6D61DFAEBE29}"/>
            </c:ext>
          </c:extLst>
        </c:ser>
        <c:dLbls>
          <c:dLblPos val="outEnd"/>
          <c:showLegendKey val="0"/>
          <c:showVal val="1"/>
          <c:showCatName val="0"/>
          <c:showSerName val="0"/>
          <c:showPercent val="0"/>
          <c:showBubbleSize val="0"/>
        </c:dLbls>
        <c:gapWidth val="150"/>
        <c:axId val="87835008"/>
        <c:axId val="87836928"/>
      </c:barChart>
      <c:catAx>
        <c:axId val="87835008"/>
        <c:scaling>
          <c:orientation val="minMax"/>
        </c:scaling>
        <c:delete val="0"/>
        <c:axPos val="b"/>
        <c:title>
          <c:tx>
            <c:rich>
              <a:bodyPr/>
              <a:lstStyle/>
              <a:p>
                <a:pPr>
                  <a:defRPr/>
                </a:pPr>
                <a:r>
                  <a:rPr lang="en-US"/>
                  <a:t>Año</a:t>
                </a:r>
              </a:p>
            </c:rich>
          </c:tx>
          <c:layout/>
          <c:overlay val="0"/>
        </c:title>
        <c:numFmt formatCode="General" sourceLinked="1"/>
        <c:majorTickMark val="out"/>
        <c:minorTickMark val="none"/>
        <c:tickLblPos val="nextTo"/>
        <c:crossAx val="87836928"/>
        <c:crosses val="autoZero"/>
        <c:auto val="1"/>
        <c:lblAlgn val="ctr"/>
        <c:lblOffset val="100"/>
        <c:noMultiLvlLbl val="0"/>
      </c:catAx>
      <c:valAx>
        <c:axId val="87836928"/>
        <c:scaling>
          <c:orientation val="minMax"/>
        </c:scaling>
        <c:delete val="0"/>
        <c:axPos val="l"/>
        <c:title>
          <c:tx>
            <c:rich>
              <a:bodyPr rot="-5400000" vert="horz"/>
              <a:lstStyle/>
              <a:p>
                <a:pPr>
                  <a:defRPr/>
                </a:pPr>
                <a:r>
                  <a:rPr lang="en-US"/>
                  <a:t>Núm. de Partes Contratantes</a:t>
                </a:r>
              </a:p>
            </c:rich>
          </c:tx>
          <c:layout/>
          <c:overlay val="0"/>
        </c:title>
        <c:numFmt formatCode="General" sourceLinked="1"/>
        <c:majorTickMark val="out"/>
        <c:minorTickMark val="none"/>
        <c:tickLblPos val="nextTo"/>
        <c:crossAx val="87835008"/>
        <c:crosses val="autoZero"/>
        <c:crossBetween val="between"/>
        <c:majorUnit val="10"/>
      </c:valAx>
      <c:spPr>
        <a:noFill/>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61 (S)</Template>
  <TotalTime>0</TotalTime>
  <Pages>16</Pages>
  <Words>1893</Words>
  <Characters>9672</Characters>
  <Application>Microsoft Office Word</Application>
  <DocSecurity>0</DocSecurity>
  <Lines>189</Lines>
  <Paragraphs>56</Paragraphs>
  <ScaleCrop>false</ScaleCrop>
  <HeadingPairs>
    <vt:vector size="2" baseType="variant">
      <vt:variant>
        <vt:lpstr>Title</vt:lpstr>
      </vt:variant>
      <vt:variant>
        <vt:i4>1</vt:i4>
      </vt:variant>
    </vt:vector>
  </HeadingPairs>
  <TitlesOfParts>
    <vt:vector size="1" baseType="lpstr">
      <vt:lpstr>A/61/</vt:lpstr>
    </vt:vector>
  </TitlesOfParts>
  <Company>WIPO</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A/61/</dc:title>
  <dc:creator>MIGLIORE Liliana</dc:creator>
  <cp:keywords>PUBLIC</cp:keywords>
  <cp:lastModifiedBy>HÄFLIGER Patience</cp:lastModifiedBy>
  <cp:revision>4</cp:revision>
  <dcterms:created xsi:type="dcterms:W3CDTF">2020-08-27T12:38:00Z</dcterms:created>
  <dcterms:modified xsi:type="dcterms:W3CDTF">2020-08-27T12:38:00Z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