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BA07C1" w:rsidRDefault="008B14EA" w:rsidP="008B14EA">
      <w:pPr>
        <w:spacing w:after="120"/>
        <w:jc w:val="right"/>
        <w:rPr>
          <w:lang w:val="es-419"/>
        </w:rPr>
      </w:pPr>
      <w:bookmarkStart w:id="0" w:name="_GoBack"/>
      <w:bookmarkEnd w:id="0"/>
      <w:r w:rsidRPr="00BA07C1">
        <w:rPr>
          <w:noProof/>
          <w:lang w:val="en-US" w:eastAsia="en-US"/>
        </w:rPr>
        <w:drawing>
          <wp:inline distT="0" distB="0" distL="0" distR="0" wp14:anchorId="480DD030" wp14:editId="54F8A085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BA07C1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4A9A19D2" wp14:editId="14DD7BBC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B228B23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" strokecolor="black [3040]">
                <w10:anchorlock/>
              </v:line>
            </w:pict>
          </mc:Fallback>
        </mc:AlternateContent>
      </w:r>
    </w:p>
    <w:p w:rsidR="008B2CC1" w:rsidRPr="00BA07C1" w:rsidRDefault="005F23AC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BA07C1">
        <w:rPr>
          <w:rFonts w:ascii="Arial Black" w:hAnsi="Arial Black"/>
          <w:caps/>
          <w:sz w:val="15"/>
          <w:lang w:val="es-419"/>
        </w:rPr>
        <w:t>A/62/</w:t>
      </w:r>
      <w:bookmarkStart w:id="1" w:name="Code"/>
      <w:bookmarkEnd w:id="1"/>
      <w:r w:rsidR="000226E9" w:rsidRPr="00BA07C1">
        <w:rPr>
          <w:rFonts w:ascii="Arial Black" w:hAnsi="Arial Black"/>
          <w:caps/>
          <w:sz w:val="15"/>
          <w:lang w:val="es-419"/>
        </w:rPr>
        <w:t>10</w:t>
      </w:r>
    </w:p>
    <w:p w:rsidR="008B2CC1" w:rsidRPr="00BA07C1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BA07C1">
        <w:rPr>
          <w:rFonts w:ascii="Arial Black" w:hAnsi="Arial Black"/>
          <w:caps/>
          <w:sz w:val="15"/>
          <w:lang w:val="es-419"/>
        </w:rPr>
        <w:t xml:space="preserve">ORIGINAL: </w:t>
      </w:r>
      <w:bookmarkStart w:id="2" w:name="Original"/>
      <w:r w:rsidR="000226E9" w:rsidRPr="00BA07C1">
        <w:rPr>
          <w:rFonts w:ascii="Arial Black" w:hAnsi="Arial Black"/>
          <w:caps/>
          <w:sz w:val="15"/>
          <w:lang w:val="es-419"/>
        </w:rPr>
        <w:t>INGLÉS</w:t>
      </w:r>
    </w:p>
    <w:bookmarkEnd w:id="2"/>
    <w:p w:rsidR="008B2CC1" w:rsidRPr="00BA07C1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BA07C1">
        <w:rPr>
          <w:rFonts w:ascii="Arial Black" w:hAnsi="Arial Black"/>
          <w:caps/>
          <w:sz w:val="15"/>
          <w:lang w:val="es-419"/>
        </w:rPr>
        <w:t xml:space="preserve">FECHA: </w:t>
      </w:r>
      <w:bookmarkStart w:id="3" w:name="Date"/>
      <w:r w:rsidR="00740003" w:rsidRPr="00BA07C1">
        <w:rPr>
          <w:rFonts w:ascii="Arial Black" w:hAnsi="Arial Black"/>
          <w:caps/>
          <w:sz w:val="15"/>
          <w:lang w:val="es-419"/>
        </w:rPr>
        <w:t>8 DE JULIO DE 2021</w:t>
      </w:r>
    </w:p>
    <w:bookmarkEnd w:id="3"/>
    <w:p w:rsidR="001C4DD3" w:rsidRPr="00BA07C1" w:rsidRDefault="005F23AC" w:rsidP="008B14EA">
      <w:pPr>
        <w:spacing w:after="720"/>
        <w:rPr>
          <w:b/>
          <w:sz w:val="28"/>
          <w:szCs w:val="28"/>
          <w:lang w:val="es-419"/>
        </w:rPr>
      </w:pPr>
      <w:r w:rsidRPr="00BA07C1">
        <w:rPr>
          <w:b/>
          <w:sz w:val="28"/>
          <w:szCs w:val="28"/>
          <w:lang w:val="es-419"/>
        </w:rPr>
        <w:t>Asambleas de los Estados miembros de la OMPI</w:t>
      </w:r>
    </w:p>
    <w:p w:rsidR="008B2CC1" w:rsidRPr="00BA07C1" w:rsidRDefault="005F23AC" w:rsidP="008B14EA">
      <w:pPr>
        <w:spacing w:after="720"/>
        <w:rPr>
          <w:b/>
          <w:sz w:val="24"/>
          <w:szCs w:val="24"/>
          <w:lang w:val="es-419"/>
        </w:rPr>
      </w:pPr>
      <w:r w:rsidRPr="00BA07C1">
        <w:rPr>
          <w:b/>
          <w:sz w:val="24"/>
          <w:lang w:val="es-419"/>
        </w:rPr>
        <w:t>Sexagésima segunda serie de reuniones</w:t>
      </w:r>
      <w:r w:rsidR="008B14EA" w:rsidRPr="00BA07C1">
        <w:rPr>
          <w:b/>
          <w:sz w:val="24"/>
          <w:szCs w:val="24"/>
          <w:lang w:val="es-419"/>
        </w:rPr>
        <w:br/>
      </w:r>
      <w:r w:rsidRPr="00BA07C1">
        <w:rPr>
          <w:b/>
          <w:sz w:val="24"/>
          <w:lang w:val="es-419"/>
        </w:rPr>
        <w:t>Ginebra, 4 a 8 de octubre de 2021</w:t>
      </w:r>
    </w:p>
    <w:p w:rsidR="008B2CC1" w:rsidRPr="00BA07C1" w:rsidRDefault="00FC5482" w:rsidP="008B14EA">
      <w:pPr>
        <w:spacing w:after="360"/>
        <w:rPr>
          <w:caps/>
          <w:sz w:val="24"/>
          <w:lang w:val="es-419"/>
        </w:rPr>
      </w:pPr>
      <w:bookmarkStart w:id="4" w:name="TitleOfDoc"/>
      <w:r w:rsidRPr="00BA07C1">
        <w:rPr>
          <w:caps/>
          <w:sz w:val="24"/>
          <w:lang w:val="es-419"/>
        </w:rPr>
        <w:t>PROPUESTA CONJUNTA EN NOMBRE DEL GRUPO DE PAÍSES DE ASIA CENTRAL, EL CÁUCASO Y EUROPA ORIENTAL, EL GRUPO DE ESTADOS DE EUROPA CENTRAL Y EL BÁLTICO, EL GRUPO B Y EL GRUPO DE PAÍSES DE AMÉRICA LATINA Y DEL CARIBE SOBRE LA ASIGNACIÓN DE LAS PLAZAS VACANTES PARA LA ELECCIÓN DE LA COMPOSICIÓN DEL COMITÉ DE COORDINACIÓN DE LA OMPI</w:t>
      </w:r>
    </w:p>
    <w:p w:rsidR="008B2CC1" w:rsidRPr="00BA07C1" w:rsidRDefault="00FC5482" w:rsidP="008B14EA">
      <w:pPr>
        <w:spacing w:after="960"/>
        <w:rPr>
          <w:i/>
          <w:lang w:val="es-419"/>
        </w:rPr>
      </w:pPr>
      <w:bookmarkStart w:id="5" w:name="Prepared"/>
      <w:bookmarkEnd w:id="4"/>
      <w:r w:rsidRPr="00BA07C1">
        <w:rPr>
          <w:i/>
          <w:lang w:val="es-419"/>
        </w:rPr>
        <w:t>presentada por el Grupo de Países de Asia Central, el Cáucaso y Europa Oriental, el Grupo de Estados de Europa Central y el Báltico, el Grupo B y el Grupo de Países de América Latina y el Caribe</w:t>
      </w:r>
    </w:p>
    <w:bookmarkEnd w:id="5"/>
    <w:p w:rsidR="00152CEA" w:rsidRPr="00BA07C1" w:rsidRDefault="00FC5482" w:rsidP="00FC5482">
      <w:pPr>
        <w:spacing w:after="720"/>
        <w:rPr>
          <w:lang w:val="es-419"/>
        </w:rPr>
      </w:pPr>
      <w:r w:rsidRPr="00BA07C1">
        <w:rPr>
          <w:lang w:val="es-419"/>
        </w:rPr>
        <w:t>En una comunicación a la Secretaría recibida el 2 de julio de 2021, el Grupo de Países de Asia Central, el Cáucaso y Europa Oriental, el Grupo de Estados de Europa Central y el Báltico, el Grupo B y el Grupo de Países de América Latina y el Caribe, presentaron la propuesta conjunta adjunta en el marco del punto 8 del orden del día, “Composición del Comité de Coordinación de la OMPI y de los Comités Ejecutivos de las Uniones de París y de Berna”.</w:t>
      </w:r>
    </w:p>
    <w:p w:rsidR="00FC5482" w:rsidRPr="00BA07C1" w:rsidRDefault="00FC5482" w:rsidP="00FC5482">
      <w:pPr>
        <w:pStyle w:val="Endofdocument-Annex"/>
        <w:rPr>
          <w:lang w:val="es-419"/>
        </w:rPr>
      </w:pPr>
      <w:r w:rsidRPr="00BA07C1">
        <w:rPr>
          <w:lang w:val="es-419"/>
        </w:rPr>
        <w:t>[Sigue el Anexo]</w:t>
      </w:r>
    </w:p>
    <w:p w:rsidR="00FC5482" w:rsidRPr="00BA07C1" w:rsidRDefault="00FC5482" w:rsidP="00FC5482">
      <w:pPr>
        <w:rPr>
          <w:lang w:val="es-419"/>
        </w:rPr>
      </w:pPr>
    </w:p>
    <w:p w:rsidR="00FC5482" w:rsidRPr="00BA07C1" w:rsidRDefault="00FC5482" w:rsidP="00FC5482">
      <w:pPr>
        <w:rPr>
          <w:lang w:val="es-419"/>
        </w:rPr>
        <w:sectPr w:rsidR="00FC5482" w:rsidRPr="00BA07C1" w:rsidSect="000226E9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FC5482" w:rsidRPr="00BA07C1" w:rsidRDefault="00FC5482" w:rsidP="00FC5482">
      <w:pPr>
        <w:spacing w:after="160" w:line="259" w:lineRule="auto"/>
        <w:jc w:val="center"/>
        <w:rPr>
          <w:rFonts w:ascii="Calibri" w:eastAsia="Calibri" w:hAnsi="Calibri"/>
          <w:sz w:val="32"/>
          <w:szCs w:val="32"/>
          <w:u w:val="single"/>
          <w:lang w:val="es-419" w:eastAsia="en-US"/>
        </w:rPr>
      </w:pPr>
      <w:r w:rsidRPr="00BA07C1">
        <w:rPr>
          <w:rFonts w:ascii="Calibri" w:eastAsia="Calibri" w:hAnsi="Calibri"/>
          <w:sz w:val="32"/>
          <w:szCs w:val="32"/>
          <w:u w:val="single"/>
          <w:lang w:val="es-419" w:eastAsia="en-US"/>
        </w:rPr>
        <w:lastRenderedPageBreak/>
        <w:t>Propuesta conjunta</w:t>
      </w:r>
    </w:p>
    <w:p w:rsidR="00FC5482" w:rsidRPr="00BA07C1" w:rsidRDefault="00FC5482" w:rsidP="00FC5482">
      <w:pPr>
        <w:spacing w:after="160" w:line="259" w:lineRule="auto"/>
        <w:jc w:val="center"/>
        <w:rPr>
          <w:rFonts w:ascii="Calibri" w:eastAsia="Calibri" w:hAnsi="Calibri"/>
          <w:sz w:val="32"/>
          <w:szCs w:val="32"/>
          <w:u w:val="single"/>
          <w:lang w:val="es-419" w:eastAsia="en-US"/>
        </w:rPr>
      </w:pPr>
      <w:r w:rsidRPr="00BA07C1">
        <w:rPr>
          <w:rFonts w:ascii="Calibri" w:eastAsia="Calibri" w:hAnsi="Calibri"/>
          <w:sz w:val="32"/>
          <w:szCs w:val="32"/>
          <w:u w:val="single"/>
          <w:lang w:val="es-419" w:eastAsia="en-US"/>
        </w:rPr>
        <w:t xml:space="preserve">en nombre del Grupo de Países de Asia Central, el Cáucaso y Europa Oriental, el Grupo de Estados de Europa Central y el Báltico, el Grupo B y el Grupo de Países de América Latina y del Caribe sobre la asignación de las plazas vacantes para la elección de la composición del Comité de Coordinación de la OMPI </w:t>
      </w:r>
    </w:p>
    <w:p w:rsidR="00FC5482" w:rsidRPr="00BA07C1" w:rsidRDefault="00FC5482" w:rsidP="00FC5482">
      <w:pPr>
        <w:spacing w:after="160" w:line="259" w:lineRule="auto"/>
        <w:jc w:val="both"/>
        <w:rPr>
          <w:rFonts w:ascii="Calibri" w:eastAsia="Calibri" w:hAnsi="Calibri"/>
          <w:b/>
          <w:bCs/>
          <w:sz w:val="24"/>
          <w:szCs w:val="24"/>
          <w:lang w:val="es-419" w:eastAsia="en-US"/>
        </w:rPr>
      </w:pPr>
    </w:p>
    <w:p w:rsidR="00FC5482" w:rsidRPr="00BA07C1" w:rsidRDefault="00FC5482" w:rsidP="00FC5482">
      <w:pPr>
        <w:spacing w:after="160" w:line="259" w:lineRule="auto"/>
        <w:jc w:val="both"/>
        <w:rPr>
          <w:rFonts w:ascii="Calibri" w:eastAsia="Calibri" w:hAnsi="Calibri"/>
          <w:b/>
          <w:bCs/>
          <w:sz w:val="24"/>
          <w:szCs w:val="24"/>
          <w:u w:val="single"/>
          <w:lang w:val="es-419" w:eastAsia="en-US"/>
        </w:rPr>
      </w:pPr>
      <w:r w:rsidRPr="00BA07C1">
        <w:rPr>
          <w:rFonts w:ascii="Calibri" w:eastAsia="Calibri" w:hAnsi="Calibri"/>
          <w:b/>
          <w:bCs/>
          <w:sz w:val="24"/>
          <w:szCs w:val="24"/>
          <w:u w:val="single"/>
          <w:lang w:val="es-419" w:eastAsia="en-US"/>
        </w:rPr>
        <w:t>Contexto</w:t>
      </w:r>
    </w:p>
    <w:p w:rsidR="00FC5482" w:rsidRPr="00BA07C1" w:rsidRDefault="00FC5482" w:rsidP="00FC5482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/>
          <w:sz w:val="24"/>
          <w:szCs w:val="24"/>
          <w:lang w:val="es-419" w:eastAsia="en-US"/>
        </w:rPr>
      </w:pPr>
      <w:r w:rsidRPr="00BA07C1">
        <w:rPr>
          <w:rFonts w:ascii="Calibri" w:eastAsia="Calibri" w:hAnsi="Calibri"/>
          <w:sz w:val="24"/>
          <w:szCs w:val="24"/>
          <w:lang w:val="es-419" w:eastAsia="en-US"/>
        </w:rPr>
        <w:t xml:space="preserve">Presentan la presente propuesta conjunta cuatro grupos regionales de la Organización Mundial de la Propiedad Intelectual (OMPI), a saber, el Grupo de Países de Asia Central, el Cáucaso y Europa Oriental, el Grupo de Estados de Europa Central y el Báltico, el Grupo B y el GRULAC, con el fin de proponer una vía hacia una decisión consensuada sobre la asignación de plazas adicionales del Comité de Coordinación de la OMPI. </w:t>
      </w:r>
    </w:p>
    <w:p w:rsidR="00FC5482" w:rsidRPr="00BA07C1" w:rsidRDefault="00FC5482" w:rsidP="00FC5482">
      <w:pPr>
        <w:spacing w:after="160" w:line="259" w:lineRule="auto"/>
        <w:ind w:left="720"/>
        <w:contextualSpacing/>
        <w:jc w:val="both"/>
        <w:rPr>
          <w:rFonts w:ascii="Calibri" w:eastAsia="Calibri" w:hAnsi="Calibri"/>
          <w:sz w:val="24"/>
          <w:szCs w:val="24"/>
          <w:lang w:val="es-419" w:eastAsia="en-US"/>
        </w:rPr>
      </w:pPr>
    </w:p>
    <w:p w:rsidR="00FC5482" w:rsidRPr="00BA07C1" w:rsidRDefault="00FC5482" w:rsidP="00FC5482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/>
          <w:sz w:val="24"/>
          <w:szCs w:val="24"/>
          <w:lang w:val="es-419" w:eastAsia="en-US"/>
        </w:rPr>
      </w:pPr>
      <w:r w:rsidRPr="00BA07C1">
        <w:rPr>
          <w:rFonts w:ascii="Calibri" w:eastAsia="Calibri" w:hAnsi="Calibri"/>
          <w:sz w:val="24"/>
          <w:szCs w:val="24"/>
          <w:lang w:val="es-419" w:eastAsia="en-US"/>
        </w:rPr>
        <w:t>La presente propuesta conjunta tiene en cuenta los resultados de varias rondas de consultas de los Estados miembros de la OMPI y las opiniones expresadas.</w:t>
      </w:r>
    </w:p>
    <w:p w:rsidR="00FC5482" w:rsidRPr="00BA07C1" w:rsidRDefault="00FC5482" w:rsidP="00FC5482">
      <w:pPr>
        <w:spacing w:after="160" w:line="259" w:lineRule="auto"/>
        <w:ind w:left="720"/>
        <w:contextualSpacing/>
        <w:jc w:val="both"/>
        <w:rPr>
          <w:rFonts w:ascii="Calibri" w:eastAsia="Calibri" w:hAnsi="Calibri"/>
          <w:sz w:val="24"/>
          <w:szCs w:val="24"/>
          <w:lang w:val="es-419" w:eastAsia="en-US"/>
        </w:rPr>
      </w:pPr>
    </w:p>
    <w:p w:rsidR="00FC5482" w:rsidRPr="00BA07C1" w:rsidRDefault="00FC5482" w:rsidP="00FC5482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/>
          <w:sz w:val="24"/>
          <w:szCs w:val="24"/>
          <w:lang w:val="es-419" w:eastAsia="en-US"/>
        </w:rPr>
      </w:pPr>
      <w:r w:rsidRPr="00BA07C1">
        <w:rPr>
          <w:rFonts w:ascii="Calibri" w:eastAsia="Calibri" w:hAnsi="Calibri"/>
          <w:sz w:val="24"/>
          <w:szCs w:val="24"/>
          <w:lang w:val="es-419" w:eastAsia="en-US"/>
        </w:rPr>
        <w:t xml:space="preserve">La composición del Comité de Coordinación sigue siendo la misma desde 2007, a pesar de que desde 2013 hay plazas adicionales por asignar: una disponible en 2013, dos disponibles en 2015, cuatro disponibles en 2017 y seis disponibles actualmente. </w:t>
      </w:r>
    </w:p>
    <w:p w:rsidR="00FC5482" w:rsidRPr="00BA07C1" w:rsidRDefault="00FC5482" w:rsidP="00FC5482">
      <w:pPr>
        <w:spacing w:after="160" w:line="259" w:lineRule="auto"/>
        <w:ind w:left="720"/>
        <w:contextualSpacing/>
        <w:jc w:val="both"/>
        <w:rPr>
          <w:rFonts w:ascii="Calibri" w:eastAsia="Calibri" w:hAnsi="Calibri"/>
          <w:sz w:val="24"/>
          <w:szCs w:val="24"/>
          <w:lang w:val="es-419" w:eastAsia="en-US"/>
        </w:rPr>
      </w:pPr>
    </w:p>
    <w:p w:rsidR="00FC5482" w:rsidRPr="00BA07C1" w:rsidRDefault="00FC5482" w:rsidP="00FC5482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/>
          <w:sz w:val="24"/>
          <w:szCs w:val="24"/>
          <w:lang w:val="es-419" w:eastAsia="en-US"/>
        </w:rPr>
      </w:pPr>
      <w:r w:rsidRPr="00BA07C1">
        <w:rPr>
          <w:rFonts w:ascii="Calibri" w:eastAsia="Calibri" w:hAnsi="Calibri"/>
          <w:sz w:val="24"/>
          <w:szCs w:val="24"/>
          <w:lang w:val="es-419" w:eastAsia="en-US"/>
        </w:rPr>
        <w:t>En 2003, 2005 y 2007, se asignaron cuatro plazas adicionales de la siguiente manera: el Grupo Africano recibió una plaza adicional en 2003 y otra en 2007, el Grupo de Asia y el Pacífico y el Grupo B recibieron una plaza adicional cada uno en 2005.</w:t>
      </w:r>
    </w:p>
    <w:p w:rsidR="00FC5482" w:rsidRPr="00BA07C1" w:rsidRDefault="00FC5482" w:rsidP="00FC5482">
      <w:pPr>
        <w:spacing w:after="160" w:line="259" w:lineRule="auto"/>
        <w:ind w:left="720"/>
        <w:contextualSpacing/>
        <w:rPr>
          <w:rFonts w:ascii="Calibri" w:eastAsia="Calibri" w:hAnsi="Calibri"/>
          <w:sz w:val="24"/>
          <w:szCs w:val="24"/>
          <w:lang w:val="es-419" w:eastAsia="en-US"/>
        </w:rPr>
      </w:pPr>
    </w:p>
    <w:p w:rsidR="00FC5482" w:rsidRPr="00BA07C1" w:rsidRDefault="00FC5482" w:rsidP="00FC5482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/>
          <w:sz w:val="24"/>
          <w:szCs w:val="24"/>
          <w:lang w:val="es-419" w:eastAsia="en-US"/>
        </w:rPr>
      </w:pPr>
      <w:r w:rsidRPr="00BA07C1">
        <w:rPr>
          <w:rFonts w:ascii="Calibri" w:eastAsia="Calibri" w:hAnsi="Calibri"/>
          <w:sz w:val="24"/>
          <w:szCs w:val="24"/>
          <w:lang w:val="es-419" w:eastAsia="en-US"/>
        </w:rPr>
        <w:t>En 2001, había 7 plazas adicionales. Los Estados miembros acordaron una solución mediante la que todos los grupos regionales, excepto China y el Grupo de Asia y el Pacífico, recibieron una plaza adicional, y el Grupo de Asia y el Pacífico recibió dos plazas adicionales.</w:t>
      </w:r>
    </w:p>
    <w:p w:rsidR="00FC5482" w:rsidRPr="00BA07C1" w:rsidRDefault="00FC5482" w:rsidP="00FC5482">
      <w:pPr>
        <w:spacing w:after="160" w:line="259" w:lineRule="auto"/>
        <w:ind w:left="720"/>
        <w:contextualSpacing/>
        <w:rPr>
          <w:rFonts w:ascii="Calibri" w:eastAsia="Calibri" w:hAnsi="Calibri"/>
          <w:sz w:val="24"/>
          <w:szCs w:val="24"/>
          <w:lang w:val="es-419" w:eastAsia="en-US"/>
        </w:rPr>
      </w:pPr>
    </w:p>
    <w:p w:rsidR="00FC5482" w:rsidRPr="00BA07C1" w:rsidRDefault="00FC5482" w:rsidP="00FC5482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/>
          <w:sz w:val="24"/>
          <w:szCs w:val="24"/>
          <w:lang w:val="es-419" w:eastAsia="en-US"/>
        </w:rPr>
      </w:pPr>
      <w:r w:rsidRPr="00BA07C1">
        <w:rPr>
          <w:rFonts w:ascii="Calibri" w:eastAsia="Calibri" w:hAnsi="Calibri"/>
          <w:sz w:val="24"/>
          <w:szCs w:val="24"/>
          <w:lang w:val="es-419" w:eastAsia="en-US"/>
        </w:rPr>
        <w:t>Antes de 2001, los Estados miembros de la OMPI no pudieron llegar a un consenso sobre la asignación del creciente número de plazas vacantes.</w:t>
      </w:r>
    </w:p>
    <w:p w:rsidR="00FC5482" w:rsidRPr="00BA07C1" w:rsidRDefault="00FC5482" w:rsidP="00FC5482">
      <w:pPr>
        <w:spacing w:after="160" w:line="259" w:lineRule="auto"/>
        <w:ind w:left="720"/>
        <w:contextualSpacing/>
        <w:jc w:val="both"/>
        <w:rPr>
          <w:rFonts w:ascii="Calibri" w:eastAsia="Calibri" w:hAnsi="Calibri"/>
          <w:sz w:val="24"/>
          <w:szCs w:val="24"/>
          <w:lang w:val="es-419" w:eastAsia="en-US"/>
        </w:rPr>
      </w:pPr>
    </w:p>
    <w:p w:rsidR="00FC5482" w:rsidRPr="00BA07C1" w:rsidRDefault="00FC5482" w:rsidP="00FC5482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/>
          <w:sz w:val="24"/>
          <w:szCs w:val="24"/>
          <w:lang w:val="es-419" w:eastAsia="en-US"/>
        </w:rPr>
      </w:pPr>
      <w:r w:rsidRPr="00BA07C1">
        <w:rPr>
          <w:rFonts w:ascii="Calibri" w:eastAsia="Calibri" w:hAnsi="Calibri"/>
          <w:sz w:val="24"/>
          <w:szCs w:val="24"/>
          <w:lang w:val="es-419" w:eastAsia="en-US"/>
        </w:rPr>
        <w:t xml:space="preserve">Por lo tanto, a partir de lo anterior, </w:t>
      </w:r>
      <w:r w:rsidRPr="00BA07C1">
        <w:rPr>
          <w:rFonts w:ascii="Calibri" w:eastAsia="Calibri" w:hAnsi="Calibri"/>
          <w:b/>
          <w:sz w:val="24"/>
          <w:szCs w:val="24"/>
          <w:lang w:val="es-419" w:eastAsia="en-US"/>
        </w:rPr>
        <w:t>se asignaron un total de once plazas en las dos últimas décadas, de la forma siguiente: Grupo de Asia y el Pacífico 3, Grupo Africano 3, Grupo B 2, Grupo de Países de Asia Central 1, Grupo de Estados de Europa Central y el Báltico 1, GRULAC 1.</w:t>
      </w:r>
    </w:p>
    <w:p w:rsidR="00FC5482" w:rsidRPr="00BA07C1" w:rsidRDefault="00FC5482" w:rsidP="00FC5482">
      <w:pPr>
        <w:spacing w:after="160" w:line="259" w:lineRule="auto"/>
        <w:ind w:left="720"/>
        <w:contextualSpacing/>
        <w:rPr>
          <w:rFonts w:ascii="Calibri" w:eastAsia="Calibri" w:hAnsi="Calibri"/>
          <w:sz w:val="24"/>
          <w:szCs w:val="24"/>
          <w:lang w:val="es-419" w:eastAsia="en-US"/>
        </w:rPr>
      </w:pPr>
    </w:p>
    <w:p w:rsidR="00FC5482" w:rsidRPr="00BA07C1" w:rsidRDefault="00FC5482" w:rsidP="00BA07C1">
      <w:pPr>
        <w:keepNext/>
        <w:keepLines/>
        <w:numPr>
          <w:ilvl w:val="0"/>
          <w:numId w:val="7"/>
        </w:numPr>
        <w:spacing w:after="160" w:line="259" w:lineRule="auto"/>
        <w:ind w:left="714" w:hanging="357"/>
        <w:contextualSpacing/>
        <w:jc w:val="both"/>
        <w:rPr>
          <w:rFonts w:ascii="Calibri" w:eastAsia="Calibri" w:hAnsi="Calibri"/>
          <w:sz w:val="24"/>
          <w:szCs w:val="24"/>
          <w:lang w:val="es-419" w:eastAsia="en-US"/>
        </w:rPr>
      </w:pPr>
      <w:r w:rsidRPr="00BA07C1">
        <w:rPr>
          <w:rFonts w:ascii="Calibri" w:eastAsia="Calibri" w:hAnsi="Calibri"/>
          <w:sz w:val="24"/>
          <w:szCs w:val="24"/>
          <w:lang w:val="es-419" w:eastAsia="en-US"/>
        </w:rPr>
        <w:lastRenderedPageBreak/>
        <w:t xml:space="preserve">También observamos que </w:t>
      </w:r>
      <w:r w:rsidRPr="00BA07C1">
        <w:rPr>
          <w:rFonts w:ascii="Calibri" w:eastAsia="Calibri" w:hAnsi="Calibri"/>
          <w:b/>
          <w:sz w:val="24"/>
          <w:szCs w:val="24"/>
          <w:lang w:val="es-419" w:eastAsia="en-US"/>
        </w:rPr>
        <w:t>tres grupos regionales de la OMPI</w:t>
      </w:r>
      <w:r w:rsidRPr="00BA07C1">
        <w:rPr>
          <w:rFonts w:ascii="Calibri" w:eastAsia="Calibri" w:hAnsi="Calibri"/>
          <w:sz w:val="24"/>
          <w:szCs w:val="24"/>
          <w:lang w:val="es-419" w:eastAsia="en-US"/>
        </w:rPr>
        <w:t xml:space="preserve">, a saber, el Grupo de Países de Asia Central, el Cáucaso y Europa Oriental, el Grupo de Estados de Europa Central y del Báltico y el Grupo de Países de América Latina y el Caribe, </w:t>
      </w:r>
      <w:r w:rsidRPr="00BA07C1">
        <w:rPr>
          <w:rFonts w:ascii="Calibri" w:eastAsia="Calibri" w:hAnsi="Calibri"/>
          <w:b/>
          <w:sz w:val="24"/>
          <w:szCs w:val="24"/>
          <w:lang w:val="es-419" w:eastAsia="en-US"/>
        </w:rPr>
        <w:t>no han recibido una plaza adicional en el Comité de Coordinación de la OMPI desde 2001.</w:t>
      </w:r>
    </w:p>
    <w:p w:rsidR="00FC5482" w:rsidRPr="00BA07C1" w:rsidRDefault="00FC5482" w:rsidP="00BA07C1">
      <w:pPr>
        <w:spacing w:after="160" w:line="259" w:lineRule="auto"/>
        <w:ind w:left="720"/>
        <w:contextualSpacing/>
        <w:rPr>
          <w:rFonts w:ascii="Calibri" w:eastAsia="Calibri" w:hAnsi="Calibri"/>
          <w:sz w:val="24"/>
          <w:szCs w:val="24"/>
          <w:lang w:val="es-419" w:eastAsia="en-US"/>
        </w:rPr>
      </w:pPr>
    </w:p>
    <w:p w:rsidR="00FC5482" w:rsidRPr="00BA07C1" w:rsidRDefault="00FC5482" w:rsidP="00FC5482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/>
          <w:sz w:val="24"/>
          <w:szCs w:val="24"/>
          <w:lang w:val="es-419" w:eastAsia="en-US"/>
        </w:rPr>
      </w:pPr>
      <w:r w:rsidRPr="00BA07C1">
        <w:rPr>
          <w:rFonts w:ascii="Calibri" w:eastAsia="Calibri" w:hAnsi="Calibri"/>
          <w:sz w:val="24"/>
          <w:szCs w:val="24"/>
          <w:lang w:val="es-419" w:eastAsia="en-US"/>
        </w:rPr>
        <w:t>Reiteramos una vez más que en el artículo 14 del Convenio de París</w:t>
      </w:r>
      <w:r w:rsidRPr="00BA07C1">
        <w:rPr>
          <w:rFonts w:ascii="Calibri" w:eastAsia="Calibri" w:hAnsi="Calibri"/>
          <w:sz w:val="24"/>
          <w:szCs w:val="24"/>
          <w:vertAlign w:val="superscript"/>
          <w:lang w:val="es-419" w:eastAsia="en-US"/>
        </w:rPr>
        <w:footnoteReference w:id="2"/>
      </w:r>
      <w:r w:rsidRPr="00BA07C1">
        <w:rPr>
          <w:rFonts w:ascii="Calibri" w:eastAsia="Calibri" w:hAnsi="Calibri"/>
          <w:sz w:val="24"/>
          <w:szCs w:val="24"/>
          <w:lang w:val="es-419" w:eastAsia="en-US"/>
        </w:rPr>
        <w:t xml:space="preserve"> y en el artículo 23 del Convenio de Berna,</w:t>
      </w:r>
      <w:r w:rsidRPr="00BA07C1">
        <w:rPr>
          <w:rFonts w:ascii="Calibri" w:eastAsia="Calibri" w:hAnsi="Calibri"/>
          <w:sz w:val="24"/>
          <w:szCs w:val="24"/>
          <w:vertAlign w:val="superscript"/>
          <w:lang w:val="es-419" w:eastAsia="en-US"/>
        </w:rPr>
        <w:footnoteReference w:id="3"/>
      </w:r>
      <w:r w:rsidRPr="00BA07C1">
        <w:rPr>
          <w:rFonts w:ascii="Calibri" w:eastAsia="Calibri" w:hAnsi="Calibri"/>
          <w:sz w:val="24"/>
          <w:szCs w:val="24"/>
          <w:lang w:val="es-419" w:eastAsia="en-US"/>
        </w:rPr>
        <w:t xml:space="preserve"> así como en debates posteriores celebrados entre los Estados miembros de la OMPI, se habían previsto </w:t>
      </w:r>
      <w:r w:rsidRPr="00BA07C1">
        <w:rPr>
          <w:rFonts w:ascii="Calibri" w:eastAsia="Calibri" w:hAnsi="Calibri"/>
          <w:b/>
          <w:bCs/>
          <w:sz w:val="24"/>
          <w:szCs w:val="24"/>
          <w:lang w:val="es-419" w:eastAsia="en-US"/>
        </w:rPr>
        <w:t>múltiples principios</w:t>
      </w:r>
      <w:r w:rsidRPr="00BA07C1">
        <w:rPr>
          <w:rFonts w:ascii="Calibri" w:eastAsia="Calibri" w:hAnsi="Calibri"/>
          <w:sz w:val="24"/>
          <w:szCs w:val="24"/>
          <w:lang w:val="es-419" w:eastAsia="en-US"/>
        </w:rPr>
        <w:t xml:space="preserve"> relativos a la elección de los miembros de los Comités Ejecutivos de París y de Berna.</w:t>
      </w:r>
    </w:p>
    <w:p w:rsidR="00FC5482" w:rsidRPr="00BA07C1" w:rsidRDefault="00FC5482" w:rsidP="00FC5482">
      <w:pPr>
        <w:spacing w:after="160" w:line="259" w:lineRule="auto"/>
        <w:ind w:left="720"/>
        <w:contextualSpacing/>
        <w:rPr>
          <w:rFonts w:ascii="Calibri" w:eastAsia="Calibri" w:hAnsi="Calibri"/>
          <w:sz w:val="24"/>
          <w:szCs w:val="24"/>
          <w:lang w:val="es-419" w:eastAsia="en-US"/>
        </w:rPr>
      </w:pPr>
    </w:p>
    <w:p w:rsidR="00FC5482" w:rsidRPr="00BA07C1" w:rsidRDefault="00FC5482" w:rsidP="00FC5482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Calibri" w:eastAsia="Calibri" w:hAnsi="Calibri"/>
          <w:sz w:val="24"/>
          <w:szCs w:val="24"/>
          <w:lang w:val="es-419" w:eastAsia="en-US"/>
        </w:rPr>
      </w:pPr>
      <w:r w:rsidRPr="00BA07C1">
        <w:rPr>
          <w:rFonts w:ascii="Calibri" w:eastAsia="Calibri" w:hAnsi="Calibri"/>
          <w:sz w:val="24"/>
          <w:szCs w:val="24"/>
          <w:lang w:val="es-419" w:eastAsia="en-US"/>
        </w:rPr>
        <w:t xml:space="preserve">Además, reiteramos que el </w:t>
      </w:r>
      <w:r w:rsidRPr="00BA07C1">
        <w:rPr>
          <w:rFonts w:ascii="Calibri" w:eastAsia="Calibri" w:hAnsi="Calibri"/>
          <w:b/>
          <w:bCs/>
          <w:sz w:val="24"/>
          <w:szCs w:val="24"/>
          <w:lang w:val="es-419" w:eastAsia="en-US"/>
        </w:rPr>
        <w:t>Comité de Coordinación de la OMPI</w:t>
      </w:r>
      <w:r w:rsidRPr="00BA07C1">
        <w:rPr>
          <w:rFonts w:ascii="Calibri" w:eastAsia="Calibri" w:hAnsi="Calibri"/>
          <w:sz w:val="24"/>
          <w:szCs w:val="24"/>
          <w:lang w:val="es-419" w:eastAsia="en-US"/>
        </w:rPr>
        <w:t>, de conformidad con el artículo 8 del Convenio de la OMPI,</w:t>
      </w:r>
      <w:r w:rsidRPr="00BA07C1">
        <w:rPr>
          <w:rFonts w:ascii="Calibri" w:eastAsia="Calibri" w:hAnsi="Calibri"/>
          <w:sz w:val="24"/>
          <w:szCs w:val="24"/>
          <w:vertAlign w:val="superscript"/>
          <w:lang w:val="es-419" w:eastAsia="en-US"/>
        </w:rPr>
        <w:footnoteReference w:id="4"/>
      </w:r>
      <w:r w:rsidRPr="00BA07C1">
        <w:rPr>
          <w:rFonts w:ascii="Calibri" w:eastAsia="Calibri" w:hAnsi="Calibri"/>
          <w:sz w:val="24"/>
          <w:szCs w:val="24"/>
          <w:lang w:val="es-419" w:eastAsia="en-US"/>
        </w:rPr>
        <w:t xml:space="preserve"> </w:t>
      </w:r>
      <w:r w:rsidRPr="00BA07C1">
        <w:rPr>
          <w:rFonts w:ascii="Calibri" w:eastAsia="Calibri" w:hAnsi="Calibri"/>
          <w:b/>
          <w:bCs/>
          <w:sz w:val="24"/>
          <w:szCs w:val="24"/>
          <w:lang w:val="es-419" w:eastAsia="en-US"/>
        </w:rPr>
        <w:t>tiene encomendada la tarea de coordinar las Uniones</w:t>
      </w:r>
      <w:r w:rsidRPr="00BA07C1">
        <w:rPr>
          <w:rFonts w:ascii="Calibri" w:eastAsia="Calibri" w:hAnsi="Calibri"/>
          <w:sz w:val="24"/>
          <w:szCs w:val="24"/>
          <w:lang w:val="es-419" w:eastAsia="en-US"/>
        </w:rPr>
        <w:t xml:space="preserve"> administradas por la OMPI, incluidas las Uniones de los Arreglos particulares contempladas en los Convenios de París y de Berna, a diferencia de la coordinación de los miembros de la OMPI.</w:t>
      </w:r>
    </w:p>
    <w:p w:rsidR="00FC5482" w:rsidRPr="00BA07C1" w:rsidRDefault="00FC5482" w:rsidP="00FC5482">
      <w:pPr>
        <w:spacing w:after="160" w:line="259" w:lineRule="auto"/>
        <w:ind w:left="720"/>
        <w:contextualSpacing/>
        <w:rPr>
          <w:rFonts w:ascii="Calibri" w:eastAsia="Calibri" w:hAnsi="Calibri"/>
          <w:sz w:val="24"/>
          <w:szCs w:val="24"/>
          <w:lang w:val="es-419" w:eastAsia="en-US"/>
        </w:rPr>
      </w:pPr>
    </w:p>
    <w:p w:rsidR="00FC5482" w:rsidRPr="00BA07C1" w:rsidRDefault="00FC5482" w:rsidP="00FC5482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u w:val="single"/>
          <w:lang w:val="es-419" w:eastAsia="en-US"/>
        </w:rPr>
      </w:pPr>
      <w:r w:rsidRPr="004B1107">
        <w:rPr>
          <w:rFonts w:ascii="Calibri" w:eastAsia="Calibri" w:hAnsi="Calibri"/>
          <w:b/>
          <w:sz w:val="24"/>
          <w:szCs w:val="24"/>
          <w:lang w:val="es-419" w:eastAsia="en-US"/>
        </w:rPr>
        <w:t>Propuesta de proyecto de decisión de las</w:t>
      </w:r>
      <w:r w:rsidRPr="00BA07C1">
        <w:rPr>
          <w:b/>
          <w:lang w:val="es-419"/>
        </w:rPr>
        <w:t xml:space="preserve"> Asambleas de las Uniones de París y de Berna, y de la Conferencia de la OMPI, en lo que a cada una concierne</w:t>
      </w:r>
      <w:r w:rsidRPr="00BA07C1">
        <w:rPr>
          <w:lang w:val="es-419"/>
        </w:rPr>
        <w:t>.</w:t>
      </w:r>
    </w:p>
    <w:p w:rsidR="00FC5482" w:rsidRPr="00BA07C1" w:rsidRDefault="00FC5482" w:rsidP="00FC5482">
      <w:pPr>
        <w:spacing w:after="160" w:line="259" w:lineRule="auto"/>
        <w:jc w:val="both"/>
        <w:rPr>
          <w:rFonts w:ascii="Calibri" w:eastAsia="Calibri" w:hAnsi="Calibri"/>
          <w:sz w:val="30"/>
          <w:szCs w:val="30"/>
          <w:lang w:val="es-419" w:eastAsia="en-US"/>
        </w:rPr>
      </w:pPr>
      <w:r w:rsidRPr="00BA07C1">
        <w:rPr>
          <w:rFonts w:ascii="Calibri" w:eastAsia="Calibri" w:hAnsi="Calibri"/>
          <w:i/>
          <w:sz w:val="24"/>
          <w:szCs w:val="24"/>
          <w:lang w:val="es-419" w:eastAsia="en-US"/>
        </w:rPr>
        <w:t>Expuesta en el Anexo (sigue).</w:t>
      </w:r>
    </w:p>
    <w:p w:rsidR="00FC5482" w:rsidRPr="00BA07C1" w:rsidRDefault="00FC5482">
      <w:pPr>
        <w:rPr>
          <w:lang w:val="es-419"/>
        </w:rPr>
      </w:pPr>
      <w:r w:rsidRPr="00BA07C1">
        <w:rPr>
          <w:lang w:val="es-419"/>
        </w:rPr>
        <w:br w:type="page"/>
      </w:r>
    </w:p>
    <w:p w:rsidR="00FC5482" w:rsidRPr="00BA07C1" w:rsidRDefault="00FC5482" w:rsidP="00FC5482">
      <w:pPr>
        <w:spacing w:after="120"/>
        <w:jc w:val="right"/>
        <w:rPr>
          <w:lang w:val="es-419"/>
        </w:rPr>
      </w:pPr>
      <w:r w:rsidRPr="00BA07C1">
        <w:rPr>
          <w:noProof/>
          <w:lang w:val="en-US" w:eastAsia="en-US"/>
        </w:rPr>
        <w:lastRenderedPageBreak/>
        <w:drawing>
          <wp:inline distT="0" distB="0" distL="0" distR="0" wp14:anchorId="5268AE1C" wp14:editId="14EC5592">
            <wp:extent cx="3014550" cy="1332000"/>
            <wp:effectExtent l="0" t="0" r="0" b="1905"/>
            <wp:docPr id="4" name="Picture 4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A07C1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499B7D02" wp14:editId="6D178DB1">
                <wp:extent cx="5935980" cy="0"/>
                <wp:effectExtent l="0" t="0" r="26670" b="19050"/>
                <wp:docPr id="1" name="Straight Connector 1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E62E877" id="Straight Connector 1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" strokecolor="black [3040]">
                <w10:anchorlock/>
              </v:line>
            </w:pict>
          </mc:Fallback>
        </mc:AlternateContent>
      </w:r>
    </w:p>
    <w:p w:rsidR="00FC5482" w:rsidRPr="00BA07C1" w:rsidRDefault="00FC5482" w:rsidP="00FC5482">
      <w:pPr>
        <w:jc w:val="right"/>
        <w:rPr>
          <w:rFonts w:ascii="Arial Black" w:hAnsi="Arial Black"/>
          <w:caps/>
          <w:sz w:val="15"/>
          <w:lang w:val="es-419"/>
        </w:rPr>
      </w:pPr>
      <w:r w:rsidRPr="00BA07C1">
        <w:rPr>
          <w:rFonts w:ascii="Arial Black" w:hAnsi="Arial Black"/>
          <w:caps/>
          <w:sz w:val="15"/>
          <w:lang w:val="es-419"/>
        </w:rPr>
        <w:t>A/62/[X]</w:t>
      </w:r>
    </w:p>
    <w:p w:rsidR="00FC5482" w:rsidRPr="00BA07C1" w:rsidRDefault="00FC5482" w:rsidP="00FC5482">
      <w:pPr>
        <w:jc w:val="right"/>
        <w:rPr>
          <w:rFonts w:ascii="Arial Black" w:hAnsi="Arial Black"/>
          <w:caps/>
          <w:sz w:val="15"/>
          <w:lang w:val="es-419"/>
        </w:rPr>
      </w:pPr>
      <w:r w:rsidRPr="00BA07C1">
        <w:rPr>
          <w:rFonts w:ascii="Arial Black" w:hAnsi="Arial Black"/>
          <w:caps/>
          <w:sz w:val="15"/>
          <w:lang w:val="es-419"/>
        </w:rPr>
        <w:t>ORIGINAL: INGLÉS</w:t>
      </w:r>
    </w:p>
    <w:p w:rsidR="00FC5482" w:rsidRPr="00BA07C1" w:rsidRDefault="00FC5482" w:rsidP="00FC5482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BA07C1">
        <w:rPr>
          <w:rFonts w:ascii="Arial Black" w:hAnsi="Arial Black"/>
          <w:caps/>
          <w:sz w:val="15"/>
          <w:lang w:val="es-419"/>
        </w:rPr>
        <w:t>FECHA: [X] DE OCTUBRE DE 2021</w:t>
      </w:r>
    </w:p>
    <w:p w:rsidR="00FC5482" w:rsidRPr="00BA07C1" w:rsidRDefault="00FC5482" w:rsidP="00FC5482">
      <w:pPr>
        <w:spacing w:after="720"/>
        <w:rPr>
          <w:b/>
          <w:sz w:val="28"/>
          <w:szCs w:val="28"/>
          <w:lang w:val="es-419"/>
        </w:rPr>
      </w:pPr>
      <w:r w:rsidRPr="00BA07C1">
        <w:rPr>
          <w:b/>
          <w:sz w:val="28"/>
          <w:szCs w:val="28"/>
          <w:lang w:val="es-419"/>
        </w:rPr>
        <w:t>Asambleas de los Estados miembros de la OMPI</w:t>
      </w:r>
    </w:p>
    <w:p w:rsidR="00FC5482" w:rsidRPr="00BA07C1" w:rsidRDefault="00FC5482" w:rsidP="00FC5482">
      <w:pPr>
        <w:spacing w:after="720"/>
        <w:rPr>
          <w:b/>
          <w:sz w:val="24"/>
          <w:szCs w:val="24"/>
          <w:lang w:val="es-419"/>
        </w:rPr>
      </w:pPr>
      <w:r w:rsidRPr="00BA07C1">
        <w:rPr>
          <w:b/>
          <w:sz w:val="24"/>
          <w:lang w:val="es-419"/>
        </w:rPr>
        <w:t>Sexagésima segunda serie de reuniones</w:t>
      </w:r>
      <w:r w:rsidRPr="00BA07C1">
        <w:rPr>
          <w:b/>
          <w:sz w:val="24"/>
          <w:szCs w:val="24"/>
          <w:lang w:val="es-419"/>
        </w:rPr>
        <w:br/>
      </w:r>
      <w:r w:rsidRPr="00BA07C1">
        <w:rPr>
          <w:b/>
          <w:sz w:val="24"/>
          <w:lang w:val="es-419"/>
        </w:rPr>
        <w:t>Ginebra, 4 a 8 de octubre de 2021</w:t>
      </w:r>
    </w:p>
    <w:p w:rsidR="00FC5482" w:rsidRPr="00BA07C1" w:rsidRDefault="00FC5482" w:rsidP="00FC5482">
      <w:pPr>
        <w:spacing w:after="360"/>
        <w:rPr>
          <w:caps/>
          <w:sz w:val="24"/>
          <w:lang w:val="es-419"/>
        </w:rPr>
      </w:pPr>
      <w:r w:rsidRPr="00BA07C1">
        <w:rPr>
          <w:rFonts w:eastAsia="Calibri"/>
          <w:caps/>
          <w:sz w:val="24"/>
          <w:szCs w:val="22"/>
          <w:lang w:val="es-419" w:eastAsia="en-US"/>
        </w:rPr>
        <w:t>composiCIÓN DEL COMITÉ DE COORDINACIÓN DE LA OMPI</w:t>
      </w:r>
    </w:p>
    <w:p w:rsidR="00FC5482" w:rsidRPr="00BA07C1" w:rsidRDefault="00FC5482" w:rsidP="00FC5482">
      <w:pPr>
        <w:spacing w:after="960"/>
        <w:rPr>
          <w:i/>
          <w:lang w:val="es-419"/>
        </w:rPr>
      </w:pPr>
      <w:r w:rsidRPr="00BA07C1">
        <w:rPr>
          <w:rFonts w:eastAsia="Calibri"/>
          <w:i/>
          <w:szCs w:val="22"/>
          <w:lang w:val="es-419" w:eastAsia="en-US"/>
        </w:rPr>
        <w:t>Documento preparado por la Secretaría</w:t>
      </w:r>
    </w:p>
    <w:p w:rsidR="00FC5482" w:rsidRPr="00BA07C1" w:rsidRDefault="00FC5482" w:rsidP="00FC5482">
      <w:pPr>
        <w:spacing w:after="240"/>
        <w:rPr>
          <w:lang w:val="es-419"/>
        </w:rPr>
      </w:pPr>
      <w:r w:rsidRPr="00BA07C1">
        <w:rPr>
          <w:lang w:val="es-419"/>
        </w:rPr>
        <w:t>Las Asambleas de la OMPI, en lo que a cada una concierne, deciden:</w:t>
      </w:r>
    </w:p>
    <w:p w:rsidR="00FC5482" w:rsidRPr="00BA07C1" w:rsidRDefault="00FC5482" w:rsidP="00FC5482">
      <w:pPr>
        <w:tabs>
          <w:tab w:val="num" w:pos="567"/>
        </w:tabs>
        <w:spacing w:after="240"/>
        <w:jc w:val="both"/>
        <w:rPr>
          <w:lang w:val="es-419"/>
        </w:rPr>
      </w:pPr>
      <w:r w:rsidRPr="00BA07C1">
        <w:rPr>
          <w:lang w:val="es-419"/>
        </w:rPr>
        <w:t>asignar seis plazas vacantes del Comité de Coordinación de la manera siguiente: Grupo de Asia y el Pacífico (1 plaza), Grupo Africano (1 plaza), Grupo de Países de Asia Central, el Cáucaso y Europa Oriental (1 plaza), Grupo de Estados de Europa Central y el Báltico (1 plaza), Grupo B (1 plaza) y Grupo de Países de América Latina y el Caribe (1 plaza).</w:t>
      </w:r>
    </w:p>
    <w:p w:rsidR="00FC5482" w:rsidRPr="00BA07C1" w:rsidRDefault="00FC5482" w:rsidP="00FC5482">
      <w:pPr>
        <w:tabs>
          <w:tab w:val="num" w:pos="567"/>
        </w:tabs>
        <w:spacing w:after="720"/>
        <w:jc w:val="both"/>
        <w:rPr>
          <w:lang w:val="es-419"/>
        </w:rPr>
      </w:pPr>
      <w:r w:rsidRPr="00BA07C1">
        <w:rPr>
          <w:lang w:val="es-419"/>
        </w:rPr>
        <w:t>asignar automáticamente de la manera siguiente las tres siguientes plazas disponibles: la primera disponible para [X], la segunda disponible para [Y], la tercera disponible para [Z].</w:t>
      </w:r>
    </w:p>
    <w:p w:rsidR="00FC5482" w:rsidRPr="00BA07C1" w:rsidRDefault="00FC5482" w:rsidP="00FC5482">
      <w:pPr>
        <w:pStyle w:val="Endofdocument-Annex"/>
        <w:rPr>
          <w:lang w:val="es-419"/>
        </w:rPr>
      </w:pPr>
      <w:r w:rsidRPr="00BA07C1">
        <w:rPr>
          <w:lang w:val="es-419"/>
        </w:rPr>
        <w:t>[Fin del Anexo y del documento]</w:t>
      </w:r>
    </w:p>
    <w:sectPr w:rsidR="00FC5482" w:rsidRPr="00BA07C1" w:rsidSect="00FC5482">
      <w:headerReference w:type="default" r:id="rId10"/>
      <w:headerReference w:type="first" r:id="rId11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6E9" w:rsidRDefault="000226E9">
      <w:r>
        <w:separator/>
      </w:r>
    </w:p>
  </w:endnote>
  <w:endnote w:type="continuationSeparator" w:id="0">
    <w:p w:rsidR="000226E9" w:rsidRPr="009D30E6" w:rsidRDefault="000226E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226E9" w:rsidRPr="007E663E" w:rsidRDefault="000226E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0226E9" w:rsidRPr="007E663E" w:rsidRDefault="000226E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6E9" w:rsidRDefault="000226E9">
      <w:r>
        <w:separator/>
      </w:r>
    </w:p>
  </w:footnote>
  <w:footnote w:type="continuationSeparator" w:id="0">
    <w:p w:rsidR="000226E9" w:rsidRPr="009D30E6" w:rsidRDefault="000226E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226E9" w:rsidRPr="007E663E" w:rsidRDefault="000226E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0226E9" w:rsidRPr="007E663E" w:rsidRDefault="000226E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FC5482" w:rsidRPr="00DA7478" w:rsidRDefault="00FC5482" w:rsidP="00FC5482">
      <w:pPr>
        <w:pStyle w:val="FootnoteText"/>
        <w:rPr>
          <w:lang w:val="es-DO"/>
        </w:rPr>
      </w:pPr>
      <w:r>
        <w:rPr>
          <w:rStyle w:val="FootnoteReference"/>
        </w:rPr>
        <w:footnoteRef/>
      </w:r>
      <w:r w:rsidRPr="00DA7478">
        <w:rPr>
          <w:lang w:val="es-DO"/>
        </w:rPr>
        <w:t xml:space="preserve"> Convenio de París para la Protección de la Propiedad Industrial </w:t>
      </w:r>
      <w:hyperlink r:id="rId1" w:history="1">
        <w:r w:rsidRPr="00130061">
          <w:rPr>
            <w:rStyle w:val="Hyperlink"/>
            <w:lang w:val="es-DO"/>
          </w:rPr>
          <w:t>https://www.wipo.int/edocs/lexdocs/treaties/es/paris/trt_paris_001es.pdf</w:t>
        </w:r>
      </w:hyperlink>
      <w:r w:rsidRPr="00DA7478">
        <w:rPr>
          <w:lang w:val="es-DO"/>
        </w:rPr>
        <w:t xml:space="preserve"> </w:t>
      </w:r>
    </w:p>
  </w:footnote>
  <w:footnote w:id="3">
    <w:p w:rsidR="00FC5482" w:rsidRPr="00DA7478" w:rsidRDefault="00FC5482" w:rsidP="00FC5482">
      <w:pPr>
        <w:pStyle w:val="FootnoteText"/>
        <w:rPr>
          <w:lang w:val="es-DO"/>
        </w:rPr>
      </w:pPr>
      <w:r>
        <w:rPr>
          <w:rStyle w:val="FootnoteReference"/>
        </w:rPr>
        <w:footnoteRef/>
      </w:r>
      <w:r w:rsidRPr="00DA7478">
        <w:rPr>
          <w:lang w:val="es-DO"/>
        </w:rPr>
        <w:t xml:space="preserve"> </w:t>
      </w:r>
      <w:r>
        <w:t>Convenio de Berna para la Protección de las Obras Literarias y Artísticas</w:t>
      </w:r>
    </w:p>
    <w:p w:rsidR="00FC5482" w:rsidRPr="00327F40" w:rsidRDefault="00AD2189" w:rsidP="00FC5482">
      <w:pPr>
        <w:pStyle w:val="FootnoteText"/>
        <w:rPr>
          <w:lang w:val="es-DO"/>
        </w:rPr>
      </w:pPr>
      <w:hyperlink r:id="rId2" w:history="1">
        <w:r w:rsidR="00FC5482" w:rsidRPr="00327F40">
          <w:rPr>
            <w:rStyle w:val="Hyperlink"/>
            <w:lang w:val="es-DO"/>
          </w:rPr>
          <w:t>https://www.wipo.int/edocs/lexdocs/treaties/es/berne/trt_berne_001es.pdf</w:t>
        </w:r>
      </w:hyperlink>
      <w:r w:rsidR="00FC5482" w:rsidRPr="00327F40">
        <w:rPr>
          <w:lang w:val="es-DO"/>
        </w:rPr>
        <w:t xml:space="preserve"> </w:t>
      </w:r>
    </w:p>
  </w:footnote>
  <w:footnote w:id="4">
    <w:p w:rsidR="00FC5482" w:rsidRPr="00DA7478" w:rsidRDefault="00FC5482" w:rsidP="00FC5482">
      <w:pPr>
        <w:rPr>
          <w:sz w:val="20"/>
          <w:lang w:val="es-DO"/>
        </w:rPr>
      </w:pPr>
      <w:r w:rsidRPr="00476EDE">
        <w:rPr>
          <w:rStyle w:val="FootnoteReference"/>
          <w:sz w:val="20"/>
        </w:rPr>
        <w:footnoteRef/>
      </w:r>
      <w:r w:rsidRPr="00DA7478">
        <w:rPr>
          <w:rStyle w:val="FootnoteReference"/>
          <w:sz w:val="20"/>
          <w:lang w:val="es-DO"/>
        </w:rPr>
        <w:t xml:space="preserve"> </w:t>
      </w:r>
      <w:r w:rsidRPr="00DA7478">
        <w:rPr>
          <w:sz w:val="20"/>
        </w:rPr>
        <w:t>Convenio que establece la Organización Mundial de la Propiedad Intelectual </w:t>
      </w:r>
    </w:p>
    <w:p w:rsidR="00FC5482" w:rsidRPr="00327F40" w:rsidRDefault="00AD2189" w:rsidP="00FC5482">
      <w:pPr>
        <w:rPr>
          <w:lang w:val="es-DO"/>
        </w:rPr>
      </w:pPr>
      <w:hyperlink r:id="rId3" w:history="1">
        <w:r w:rsidR="00FC5482" w:rsidRPr="00327F40">
          <w:rPr>
            <w:rStyle w:val="Hyperlink"/>
            <w:sz w:val="20"/>
            <w:lang w:val="es-DO"/>
          </w:rPr>
          <w:t>https://wipolex.wipo.int/es/text/283833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474" w:rsidRDefault="000226E9" w:rsidP="00477D6B">
    <w:pPr>
      <w:jc w:val="right"/>
    </w:pPr>
    <w:bookmarkStart w:id="6" w:name="Code2"/>
    <w:bookmarkEnd w:id="6"/>
    <w:r>
      <w:t>A/62/10</w:t>
    </w:r>
  </w:p>
  <w:p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FC5482">
      <w:rPr>
        <w:noProof/>
      </w:rPr>
      <w:t>3</w:t>
    </w:r>
    <w:r>
      <w:fldChar w:fldCharType="end"/>
    </w:r>
  </w:p>
  <w:p w:rsidR="00F84474" w:rsidRDefault="00F84474" w:rsidP="00477D6B">
    <w:pPr>
      <w:jc w:val="right"/>
    </w:pPr>
  </w:p>
  <w:p w:rsidR="004F7418" w:rsidRDefault="004F741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482" w:rsidRDefault="00FC5482" w:rsidP="00477D6B">
    <w:pPr>
      <w:jc w:val="right"/>
    </w:pPr>
    <w:r>
      <w:t>A/62/10</w:t>
    </w:r>
  </w:p>
  <w:p w:rsidR="00FC5482" w:rsidRDefault="00FC5482" w:rsidP="00477D6B">
    <w:pPr>
      <w:jc w:val="right"/>
    </w:pPr>
    <w:r>
      <w:t xml:space="preserve">Anexo, página </w:t>
    </w:r>
    <w:r>
      <w:fldChar w:fldCharType="begin"/>
    </w:r>
    <w:r>
      <w:instrText xml:space="preserve"> PAGE  \* MERGEFORMAT </w:instrText>
    </w:r>
    <w:r>
      <w:fldChar w:fldCharType="separate"/>
    </w:r>
    <w:r w:rsidR="00AD2189">
      <w:rPr>
        <w:noProof/>
      </w:rPr>
      <w:t>3</w:t>
    </w:r>
    <w:r>
      <w:fldChar w:fldCharType="end"/>
    </w:r>
  </w:p>
  <w:p w:rsidR="00FC5482" w:rsidRDefault="00FC5482" w:rsidP="00477D6B">
    <w:pPr>
      <w:jc w:val="right"/>
    </w:pPr>
  </w:p>
  <w:p w:rsidR="00FC5482" w:rsidRDefault="00FC548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482" w:rsidRDefault="00FC5482" w:rsidP="00FC5482">
    <w:pPr>
      <w:pStyle w:val="Header"/>
      <w:jc w:val="right"/>
    </w:pPr>
    <w:r>
      <w:t>A/62/10</w:t>
    </w:r>
  </w:p>
  <w:p w:rsidR="00FC5482" w:rsidRDefault="00FC5482" w:rsidP="00FC5482">
    <w:pPr>
      <w:pStyle w:val="Header"/>
      <w:jc w:val="right"/>
    </w:pPr>
    <w:r>
      <w:t>ANEXO</w:t>
    </w:r>
  </w:p>
  <w:p w:rsidR="00FC5482" w:rsidRDefault="00FC5482" w:rsidP="00FC548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7770D9"/>
    <w:multiLevelType w:val="hybridMultilevel"/>
    <w:tmpl w:val="DC100F7A"/>
    <w:lvl w:ilvl="0" w:tplc="FD9E2246">
      <w:start w:val="1"/>
      <w:numFmt w:val="decimal"/>
      <w:lvlText w:val="%1."/>
      <w:lvlJc w:val="left"/>
      <w:pPr>
        <w:ind w:left="720" w:hanging="360"/>
      </w:pPr>
      <w:rPr>
        <w:rFonts w:hint="default"/>
        <w:lang w:val="es-ES_tradn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E9"/>
    <w:rsid w:val="000226E9"/>
    <w:rsid w:val="000E3BB3"/>
    <w:rsid w:val="000F5E56"/>
    <w:rsid w:val="001362EE"/>
    <w:rsid w:val="00152CEA"/>
    <w:rsid w:val="001832A6"/>
    <w:rsid w:val="001C4DD3"/>
    <w:rsid w:val="002634C4"/>
    <w:rsid w:val="002F4E68"/>
    <w:rsid w:val="00307787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4B1107"/>
    <w:rsid w:val="004F7418"/>
    <w:rsid w:val="00532257"/>
    <w:rsid w:val="0055013B"/>
    <w:rsid w:val="0056224D"/>
    <w:rsid w:val="00571B99"/>
    <w:rsid w:val="005D64EC"/>
    <w:rsid w:val="005F23AC"/>
    <w:rsid w:val="00605827"/>
    <w:rsid w:val="00675021"/>
    <w:rsid w:val="006A06C6"/>
    <w:rsid w:val="00740003"/>
    <w:rsid w:val="007E63AC"/>
    <w:rsid w:val="007E663E"/>
    <w:rsid w:val="00815082"/>
    <w:rsid w:val="00843582"/>
    <w:rsid w:val="008B14EA"/>
    <w:rsid w:val="008B2CC1"/>
    <w:rsid w:val="0090731E"/>
    <w:rsid w:val="00966A22"/>
    <w:rsid w:val="00972F03"/>
    <w:rsid w:val="009A0C8B"/>
    <w:rsid w:val="009B6241"/>
    <w:rsid w:val="00A16FC0"/>
    <w:rsid w:val="00A32C9E"/>
    <w:rsid w:val="00A7453D"/>
    <w:rsid w:val="00AB613D"/>
    <w:rsid w:val="00AD2189"/>
    <w:rsid w:val="00B65A0A"/>
    <w:rsid w:val="00B72D36"/>
    <w:rsid w:val="00BA07C1"/>
    <w:rsid w:val="00BC4164"/>
    <w:rsid w:val="00BD2DCC"/>
    <w:rsid w:val="00BE1A8C"/>
    <w:rsid w:val="00C06472"/>
    <w:rsid w:val="00C90559"/>
    <w:rsid w:val="00D36B79"/>
    <w:rsid w:val="00D40CF0"/>
    <w:rsid w:val="00D56C7C"/>
    <w:rsid w:val="00D71B4D"/>
    <w:rsid w:val="00D90289"/>
    <w:rsid w:val="00D93D55"/>
    <w:rsid w:val="00E45C84"/>
    <w:rsid w:val="00E504E5"/>
    <w:rsid w:val="00E73ABF"/>
    <w:rsid w:val="00EB7A3E"/>
    <w:rsid w:val="00EC401A"/>
    <w:rsid w:val="00EF530A"/>
    <w:rsid w:val="00EF6622"/>
    <w:rsid w:val="00F55408"/>
    <w:rsid w:val="00F66152"/>
    <w:rsid w:val="00F80845"/>
    <w:rsid w:val="00F84474"/>
    <w:rsid w:val="00FC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37BE8B63-DF3D-4BEF-B253-2C37B645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82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FC5482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basedOn w:val="DefaultParagraphFont"/>
    <w:uiPriority w:val="99"/>
    <w:rsid w:val="00FC548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C548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nhideWhenUsed/>
    <w:rsid w:val="00FC54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ipolex.wipo.int/es/text/283833" TargetMode="External"/><Relationship Id="rId2" Type="http://schemas.openxmlformats.org/officeDocument/2006/relationships/hyperlink" Target="https://www.wipo.int/edocs/lexdocs/treaties/es/berne/trt_berne_001es.pdf" TargetMode="External"/><Relationship Id="rId1" Type="http://schemas.openxmlformats.org/officeDocument/2006/relationships/hyperlink" Target="https://www.wipo.int/edocs/lexdocs/treaties/es/paris/trt_paris_001e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Assembly\A_62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D9625-6EB1-4BBD-B342-947B3CB33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A_62 (S)</Template>
  <TotalTime>5</TotalTime>
  <Pages>4</Pages>
  <Words>956</Words>
  <Characters>4420</Characters>
  <Application>Microsoft Office Word</Application>
  <DocSecurity>0</DocSecurity>
  <Lines>101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A/62/10</vt:lpstr>
    </vt:vector>
  </TitlesOfParts>
  <Company>WIPO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A/62/10</dc:title>
  <dc:subject>Sixty-Second Series of Meetings</dc:subject>
  <dc:creator>WIPO</dc:creator>
  <cp:keywords>PUBLIC</cp:keywords>
  <cp:lastModifiedBy>MARIN-CUDRAZ DAVI Nicoletta</cp:lastModifiedBy>
  <cp:revision>4</cp:revision>
  <dcterms:created xsi:type="dcterms:W3CDTF">2021-07-08T12:44:00Z</dcterms:created>
  <dcterms:modified xsi:type="dcterms:W3CDTF">2021-07-08T13:20:00Z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