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812D" w14:textId="77777777" w:rsidR="007F4017" w:rsidRPr="008B2CC1" w:rsidRDefault="007F4017" w:rsidP="007F4017">
      <w:pPr>
        <w:spacing w:after="120"/>
        <w:jc w:val="right"/>
      </w:pPr>
      <w:bookmarkStart w:id="0" w:name="TitleOfDoc"/>
      <w:r>
        <w:rPr>
          <w:noProof/>
          <w:lang w:val="en-US" w:eastAsia="en-US"/>
        </w:rPr>
        <w:drawing>
          <wp:inline distT="0" distB="0" distL="0" distR="0" wp14:anchorId="351F9982" wp14:editId="1850EABE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734A3EAE" wp14:editId="02539A3E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line w14:anchorId="75318ADE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">
                <w10:anchorlock/>
              </v:line>
            </w:pict>
          </mc:Fallback>
        </mc:AlternateContent>
      </w:r>
    </w:p>
    <w:p w14:paraId="16EB5BDD" w14:textId="77777777" w:rsidR="007F4017" w:rsidRPr="008B14EA" w:rsidRDefault="007F4017" w:rsidP="007F4017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A/65/</w:t>
      </w:r>
      <w:bookmarkStart w:id="1" w:name="Code"/>
      <w:r>
        <w:rPr>
          <w:rFonts w:ascii="Arial Black" w:hAnsi="Arial Black"/>
          <w:caps/>
          <w:sz w:val="15"/>
        </w:rPr>
        <w:t>8</w:t>
      </w:r>
    </w:p>
    <w:bookmarkEnd w:id="1"/>
    <w:p w14:paraId="5E2FEFD2" w14:textId="77777777" w:rsidR="007F4017" w:rsidRPr="008B14EA" w:rsidRDefault="007F4017" w:rsidP="007F4017">
      <w:pPr>
        <w:jc w:val="right"/>
        <w:rPr>
          <w:rFonts w:ascii="Arial Black" w:hAnsi="Arial Black"/>
          <w:caps/>
          <w:sz w:val="15"/>
        </w:rPr>
      </w:pPr>
      <w:r w:rsidRPr="008B14EA">
        <w:rPr>
          <w:rFonts w:ascii="Arial Black" w:hAnsi="Arial Black"/>
          <w:caps/>
          <w:sz w:val="15"/>
        </w:rPr>
        <w:t xml:space="preserve">ORIGINAL: </w:t>
      </w:r>
      <w:bookmarkStart w:id="2" w:name="Original"/>
      <w:r>
        <w:rPr>
          <w:rFonts w:ascii="Arial Black" w:hAnsi="Arial Black"/>
          <w:caps/>
          <w:sz w:val="15"/>
        </w:rPr>
        <w:t>inglés</w:t>
      </w:r>
    </w:p>
    <w:bookmarkEnd w:id="2"/>
    <w:p w14:paraId="70103084" w14:textId="33F7A0DA" w:rsidR="007F4017" w:rsidRPr="008B14EA" w:rsidRDefault="007F4017" w:rsidP="007F4017">
      <w:pPr>
        <w:spacing w:after="1200"/>
        <w:jc w:val="right"/>
        <w:rPr>
          <w:rFonts w:ascii="Arial Black" w:hAnsi="Arial Black"/>
          <w:caps/>
          <w:sz w:val="15"/>
        </w:rPr>
      </w:pPr>
      <w:r w:rsidRPr="008B14EA">
        <w:rPr>
          <w:rFonts w:ascii="Arial Black" w:hAnsi="Arial Black"/>
          <w:caps/>
          <w:sz w:val="15"/>
        </w:rPr>
        <w:t xml:space="preserve">FECHA: </w:t>
      </w:r>
      <w:bookmarkStart w:id="3" w:name="Date"/>
      <w:r>
        <w:rPr>
          <w:rFonts w:ascii="Arial Black" w:hAnsi="Arial Black"/>
          <w:caps/>
          <w:sz w:val="15"/>
        </w:rPr>
        <w:t>13 de julio de 202</w:t>
      </w:r>
      <w:r w:rsidR="00D43BB1">
        <w:rPr>
          <w:rFonts w:ascii="Arial Black" w:hAnsi="Arial Black"/>
          <w:caps/>
          <w:sz w:val="15"/>
        </w:rPr>
        <w:t>4</w:t>
      </w:r>
    </w:p>
    <w:bookmarkEnd w:id="3"/>
    <w:p w14:paraId="38222101" w14:textId="77777777" w:rsidR="007F4017" w:rsidRPr="003845C1" w:rsidRDefault="007F4017" w:rsidP="007F4017">
      <w:pPr>
        <w:spacing w:after="600"/>
        <w:rPr>
          <w:b/>
          <w:sz w:val="28"/>
          <w:szCs w:val="28"/>
        </w:rPr>
      </w:pPr>
      <w:r w:rsidRPr="00A8121F">
        <w:rPr>
          <w:b/>
          <w:sz w:val="28"/>
          <w:szCs w:val="28"/>
        </w:rPr>
        <w:t>Asambleas de los Estados miembros de la OMPI</w:t>
      </w:r>
    </w:p>
    <w:p w14:paraId="1058F051" w14:textId="77777777" w:rsidR="007F4017" w:rsidRDefault="007F4017" w:rsidP="007F4017">
      <w:pPr>
        <w:rPr>
          <w:b/>
          <w:sz w:val="24"/>
          <w:szCs w:val="24"/>
        </w:rPr>
      </w:pPr>
      <w:r w:rsidRPr="00A8121F">
        <w:rPr>
          <w:b/>
          <w:sz w:val="24"/>
          <w:szCs w:val="24"/>
        </w:rPr>
        <w:t xml:space="preserve">Sexagésima </w:t>
      </w:r>
      <w:r>
        <w:rPr>
          <w:b/>
          <w:sz w:val="24"/>
          <w:szCs w:val="24"/>
        </w:rPr>
        <w:t>quinta</w:t>
      </w:r>
      <w:r w:rsidRPr="00A8121F">
        <w:rPr>
          <w:b/>
          <w:sz w:val="24"/>
          <w:szCs w:val="24"/>
        </w:rPr>
        <w:t xml:space="preserve"> serie de reuniones</w:t>
      </w:r>
    </w:p>
    <w:p w14:paraId="3F081BCF" w14:textId="77777777" w:rsidR="007F4017" w:rsidRPr="003845C1" w:rsidRDefault="007F4017" w:rsidP="007F4017">
      <w:pPr>
        <w:spacing w:after="720"/>
        <w:rPr>
          <w:b/>
          <w:sz w:val="24"/>
          <w:szCs w:val="24"/>
        </w:rPr>
      </w:pPr>
      <w:r w:rsidRPr="00A8121F">
        <w:rPr>
          <w:b/>
          <w:sz w:val="24"/>
          <w:szCs w:val="24"/>
        </w:rPr>
        <w:t xml:space="preserve">Ginebra, </w:t>
      </w:r>
      <w:r>
        <w:rPr>
          <w:b/>
          <w:sz w:val="24"/>
          <w:szCs w:val="24"/>
        </w:rPr>
        <w:t>9</w:t>
      </w:r>
      <w:r w:rsidRPr="00A8121F">
        <w:rPr>
          <w:b/>
          <w:sz w:val="24"/>
          <w:szCs w:val="24"/>
        </w:rPr>
        <w:t xml:space="preserve"> a 1</w:t>
      </w:r>
      <w:r>
        <w:rPr>
          <w:b/>
          <w:sz w:val="24"/>
          <w:szCs w:val="24"/>
        </w:rPr>
        <w:t>7</w:t>
      </w:r>
      <w:r w:rsidRPr="00A8121F">
        <w:rPr>
          <w:b/>
          <w:sz w:val="24"/>
          <w:szCs w:val="24"/>
        </w:rPr>
        <w:t xml:space="preserve"> de julio de 202</w:t>
      </w:r>
      <w:r>
        <w:rPr>
          <w:b/>
          <w:sz w:val="24"/>
          <w:szCs w:val="24"/>
        </w:rPr>
        <w:t>4</w:t>
      </w:r>
    </w:p>
    <w:p w14:paraId="44A6854F" w14:textId="570140B7" w:rsidR="008B2CC1" w:rsidRPr="009F3BF9" w:rsidRDefault="006B7887" w:rsidP="00CE65D4">
      <w:pPr>
        <w:spacing w:after="360"/>
        <w:rPr>
          <w:caps/>
          <w:sz w:val="24"/>
        </w:rPr>
      </w:pPr>
      <w:r>
        <w:rPr>
          <w:caps/>
          <w:sz w:val="24"/>
        </w:rPr>
        <w:t>PROPUESTA CONJUNTA DEL Grupo de Estados de Europa Central y el Báltico (cebs) Y DEL Grupo B sobre la Asistencia y apoyo al sector de innovación y creatividad y al sistema de propiedad intelectual de Ucrania</w:t>
      </w:r>
    </w:p>
    <w:p w14:paraId="4354EEA8" w14:textId="034164D7" w:rsidR="008B2CC1" w:rsidRPr="004D39C4" w:rsidRDefault="006B7887" w:rsidP="00CE65D4">
      <w:pPr>
        <w:spacing w:after="960"/>
        <w:rPr>
          <w:i/>
        </w:rPr>
      </w:pPr>
      <w:bookmarkStart w:id="4" w:name="Prepared"/>
      <w:bookmarkEnd w:id="0"/>
      <w:r>
        <w:rPr>
          <w:i/>
        </w:rPr>
        <w:t>presentada por el Grupo de Estados de Europa Central y el Báltico (CEBS) y el Grupo B</w:t>
      </w:r>
    </w:p>
    <w:bookmarkEnd w:id="4"/>
    <w:p w14:paraId="42131B02" w14:textId="3AC7F072" w:rsidR="006B7887" w:rsidRPr="006B7887" w:rsidRDefault="006B7887" w:rsidP="006B7887">
      <w:pPr>
        <w:spacing w:after="720"/>
      </w:pPr>
      <w:r>
        <w:t xml:space="preserve">En una comunicación a la Secretaría, recibida el 12 de julio de 2023, el Grupo de Estados de Europa Central y el Báltico (CEBS) y el Grupo B presentaron la propuesta conjunta </w:t>
      </w:r>
      <w:r w:rsidR="00D03C7C">
        <w:t xml:space="preserve">que figura </w:t>
      </w:r>
      <w:r>
        <w:t>adjunta en el marco del punto 18 del orden del día, "Asistencia y apoyo al sector de innovación y creatividad y al sistema de propiedad intelectual de Ucrania¨.</w:t>
      </w:r>
    </w:p>
    <w:p w14:paraId="720005BF" w14:textId="77777777" w:rsidR="006B7887" w:rsidRPr="006B7887" w:rsidRDefault="006B7887" w:rsidP="006B7887">
      <w:pPr>
        <w:spacing w:after="220"/>
        <w:ind w:left="5533"/>
      </w:pPr>
      <w:r>
        <w:t>[Sigue el Anexo]</w:t>
      </w:r>
    </w:p>
    <w:p w14:paraId="05E9716B" w14:textId="77777777" w:rsidR="006B7887" w:rsidRPr="006B7887" w:rsidRDefault="006B7887" w:rsidP="006B7887">
      <w:pPr>
        <w:spacing w:after="220"/>
        <w:sectPr w:rsidR="006B7887" w:rsidRPr="006B7887" w:rsidSect="008803D4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26153F31" w14:textId="77777777" w:rsidR="007C77A2" w:rsidRPr="007C77A2" w:rsidRDefault="007C77A2" w:rsidP="007C77A2">
      <w:pPr>
        <w:spacing w:after="120"/>
        <w:jc w:val="right"/>
        <w:rPr>
          <w:rFonts w:asciiTheme="minorHAnsi" w:eastAsia="Calibri" w:hAnsiTheme="minorHAnsi" w:cstheme="minorHAnsi"/>
          <w:i/>
          <w:iCs/>
          <w:kern w:val="2"/>
          <w:szCs w:val="22"/>
          <w:u w:val="single"/>
        </w:rPr>
      </w:pPr>
      <w:r>
        <w:rPr>
          <w:rFonts w:asciiTheme="minorHAnsi" w:hAnsiTheme="minorHAnsi"/>
          <w:i/>
          <w:u w:val="single"/>
        </w:rPr>
        <w:lastRenderedPageBreak/>
        <w:t xml:space="preserve">Propuesta de decisión </w:t>
      </w:r>
    </w:p>
    <w:p w14:paraId="182611A5" w14:textId="77777777" w:rsidR="007C77A2" w:rsidRPr="007C77A2" w:rsidRDefault="007C77A2" w:rsidP="007C77A2">
      <w:pPr>
        <w:spacing w:after="360" w:line="259" w:lineRule="auto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</w:pPr>
    </w:p>
    <w:p w14:paraId="077FAE6D" w14:textId="77777777" w:rsidR="007C77A2" w:rsidRPr="007C77A2" w:rsidRDefault="007C77A2" w:rsidP="007C77A2">
      <w:pPr>
        <w:spacing w:after="360" w:line="259" w:lineRule="auto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b/>
          <w:sz w:val="28"/>
        </w:rPr>
        <w:t>PUNTO 18 DEL ORDEN DEL DÍA</w:t>
      </w:r>
      <w:r>
        <w:rPr>
          <w:rFonts w:ascii="Times New Roman" w:hAnsi="Times New Roman"/>
          <w:sz w:val="28"/>
        </w:rPr>
        <w:t>. ASISTENCIA Y APOYO AL SECTOR DE INNOVACIÓN Y CREATIVIDAD Y AL SISTEMA DE PROPIEDAD INTELECTUAL DE UCRANIA (documento A/65/7)</w:t>
      </w:r>
    </w:p>
    <w:p w14:paraId="48534A03" w14:textId="77777777" w:rsidR="007C77A2" w:rsidRPr="007C77A2" w:rsidRDefault="007C77A2" w:rsidP="007C77A2">
      <w:pPr>
        <w:spacing w:after="160" w:line="259" w:lineRule="auto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</w:rPr>
        <w:t>Las Asambleas de la OMPI, en lo que a cada una concierne:</w:t>
      </w:r>
    </w:p>
    <w:p w14:paraId="3E4B3AB1" w14:textId="6831F135" w:rsidR="007C77A2" w:rsidRPr="007C77A2" w:rsidRDefault="007C77A2" w:rsidP="007C77A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Recordando</w:t>
      </w:r>
      <w:r>
        <w:t xml:space="preserve"> </w:t>
      </w:r>
      <w:r>
        <w:rPr>
          <w:rFonts w:ascii="Times New Roman" w:hAnsi="Times New Roman"/>
          <w:sz w:val="28"/>
        </w:rPr>
        <w:t xml:space="preserve">sus decisiones sobre la asistencia y apoyo al sector de innovación y creatividad y al sistema de propiedad intelectual de Ucrania que figuran en los documentos </w:t>
      </w:r>
      <w:hyperlink r:id="rId10" w:history="1">
        <w:r>
          <w:rPr>
            <w:rFonts w:ascii="Times New Roman" w:hAnsi="Times New Roman"/>
            <w:color w:val="0000FF"/>
            <w:sz w:val="28"/>
            <w:u w:val="single"/>
          </w:rPr>
          <w:t>A/63/10</w:t>
        </w:r>
      </w:hyperlink>
      <w:r>
        <w:rPr>
          <w:rFonts w:ascii="Times New Roman" w:hAnsi="Times New Roman"/>
          <w:sz w:val="28"/>
        </w:rPr>
        <w:t xml:space="preserve"> y </w:t>
      </w:r>
      <w:hyperlink r:id="rId11" w:history="1">
        <w:r>
          <w:rPr>
            <w:rFonts w:ascii="Times New Roman" w:hAnsi="Times New Roman"/>
            <w:color w:val="0059C6"/>
            <w:sz w:val="28"/>
            <w:u w:val="single"/>
            <w:bdr w:val="none" w:sz="0" w:space="0" w:color="auto" w:frame="1"/>
          </w:rPr>
          <w:t>A/64/14</w:t>
        </w:r>
      </w:hyperlink>
      <w:r>
        <w:rPr>
          <w:rFonts w:ascii="Times New Roman" w:hAnsi="Times New Roman"/>
          <w:sz w:val="28"/>
        </w:rPr>
        <w:t>;</w:t>
      </w:r>
    </w:p>
    <w:p w14:paraId="67177DD4" w14:textId="28E5F68F" w:rsidR="007C77A2" w:rsidRPr="007C77A2" w:rsidRDefault="00D03C7C" w:rsidP="007C77A2">
      <w:pPr>
        <w:spacing w:after="160" w:line="259" w:lineRule="auto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</w:rPr>
        <w:t>t</w:t>
      </w:r>
      <w:r w:rsidR="007C77A2">
        <w:rPr>
          <w:rFonts w:ascii="Times New Roman" w:hAnsi="Times New Roman"/>
          <w:sz w:val="28"/>
        </w:rPr>
        <w:t>oman nota del Informe sobre asistencia y apoyo al sector de la innovación y la creatividad y al sistema de propiedad intelectual de Ucrania que figura en el documento A/65/7 y de las constantes repercusiones negativas de la guerra en curso en el sector de innovación y creatividad y el sistema de PI de Ucrania; y</w:t>
      </w:r>
    </w:p>
    <w:p w14:paraId="0B430C94" w14:textId="77777777" w:rsidR="007C77A2" w:rsidRPr="007C77A2" w:rsidRDefault="007C77A2" w:rsidP="007C77A2">
      <w:pPr>
        <w:spacing w:after="160" w:line="259" w:lineRule="auto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</w:rPr>
        <w:t>piden a la Oficina Internacional que:</w:t>
      </w:r>
    </w:p>
    <w:p w14:paraId="26464616" w14:textId="77777777" w:rsidR="007C77A2" w:rsidRPr="007C77A2" w:rsidRDefault="007C77A2" w:rsidP="007C77A2">
      <w:pPr>
        <w:numPr>
          <w:ilvl w:val="1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</w:rPr>
        <w:t>continúe su estrecha cooperación con Ucrania para velar por su continuo apoyo y asistencia a los creadores, innovadores y miembros de la comunidad de PI, centrándose en mitigar los efectos adversos de la guerra y en reconstruir un ecosistema innovador y creativo en Ucrania que beneficie a todos los sectores interesados y fortalezca la economía del país; y</w:t>
      </w:r>
    </w:p>
    <w:p w14:paraId="70FB75EF" w14:textId="77777777" w:rsidR="007C77A2" w:rsidRPr="007C77A2" w:rsidRDefault="007C77A2" w:rsidP="007C77A2">
      <w:pPr>
        <w:numPr>
          <w:ilvl w:val="1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</w:rPr>
        <w:t>proporcione una evaluación actualizada de las repercusiones a mediano y largo plazo de la guerra en el sector y el ecosistema de innovación y creatividad de Ucrania; y</w:t>
      </w:r>
    </w:p>
    <w:p w14:paraId="79E837A6" w14:textId="77777777" w:rsidR="007C77A2" w:rsidRPr="007C77A2" w:rsidRDefault="007C77A2" w:rsidP="007C77A2">
      <w:pPr>
        <w:numPr>
          <w:ilvl w:val="1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</w:rPr>
        <w:t>tome medidas para garantizar que las publicaciones sobre recursos y plataformas de la OMPI cumplen con los principios de soberanía, independencia e integridad territorial de Ucrania dentro de sus fronteras reconocidas internacionalmente;</w:t>
      </w:r>
      <w:r>
        <w:rPr>
          <w:rFonts w:ascii="Times New Roman" w:hAnsi="Times New Roman"/>
          <w:color w:val="333333"/>
          <w:sz w:val="28"/>
        </w:rPr>
        <w:t> </w:t>
      </w:r>
    </w:p>
    <w:p w14:paraId="5CABD5D0" w14:textId="77777777" w:rsidR="007C77A2" w:rsidRPr="007C77A2" w:rsidRDefault="007C77A2" w:rsidP="007C77A2">
      <w:pPr>
        <w:numPr>
          <w:ilvl w:val="1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</w:rPr>
        <w:t>informe de la puesta en práctica de esta decisión y de otras actividades pertinentes en las Asambleas de la OMPI de 2025 y posteriormente de manera anual.</w:t>
      </w:r>
    </w:p>
    <w:p w14:paraId="0CEC5021" w14:textId="77777777" w:rsidR="007C77A2" w:rsidRPr="007C77A2" w:rsidRDefault="007C77A2" w:rsidP="007C77A2">
      <w:p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Cs w:val="22"/>
          <w:lang w:eastAsia="en-US"/>
        </w:rPr>
      </w:pPr>
    </w:p>
    <w:p w14:paraId="2C547D65" w14:textId="7A17B721" w:rsidR="002928D3" w:rsidRDefault="007C77A2" w:rsidP="007C77A2">
      <w:pPr>
        <w:spacing w:after="720"/>
        <w:ind w:left="5530"/>
      </w:pPr>
      <w:r>
        <w:t>[Fin del Anexo y del documento]</w:t>
      </w:r>
    </w:p>
    <w:sectPr w:rsidR="002928D3" w:rsidSect="00F670FF">
      <w:pgSz w:w="12240" w:h="15840"/>
      <w:pgMar w:top="1418" w:right="1077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03FE8" w14:textId="77777777" w:rsidR="00CF0463" w:rsidRDefault="00CF0463">
      <w:r>
        <w:separator/>
      </w:r>
    </w:p>
  </w:endnote>
  <w:endnote w:type="continuationSeparator" w:id="0">
    <w:p w14:paraId="0E2E4D8F" w14:textId="77777777" w:rsidR="00CF0463" w:rsidRDefault="00CF0463" w:rsidP="003B38C1">
      <w:r>
        <w:separator/>
      </w:r>
    </w:p>
    <w:p w14:paraId="21622B10" w14:textId="77777777" w:rsidR="00CF0463" w:rsidRPr="00D03C7C" w:rsidRDefault="00CF0463" w:rsidP="003B38C1">
      <w:pPr>
        <w:spacing w:after="60"/>
        <w:rPr>
          <w:sz w:val="17"/>
          <w:lang w:val="en-GB"/>
        </w:rPr>
      </w:pPr>
      <w:r w:rsidRPr="00D03C7C">
        <w:rPr>
          <w:sz w:val="17"/>
          <w:lang w:val="en-GB"/>
        </w:rPr>
        <w:t>[Endnote continued from previous page]</w:t>
      </w:r>
    </w:p>
  </w:endnote>
  <w:endnote w:type="continuationNotice" w:id="1">
    <w:p w14:paraId="72C0992E" w14:textId="77777777" w:rsidR="00CF0463" w:rsidRPr="00D03C7C" w:rsidRDefault="00CF0463" w:rsidP="003B38C1">
      <w:pPr>
        <w:spacing w:before="60"/>
        <w:jc w:val="right"/>
        <w:rPr>
          <w:sz w:val="17"/>
          <w:szCs w:val="17"/>
          <w:lang w:val="en-GB"/>
        </w:rPr>
      </w:pPr>
      <w:r w:rsidRPr="00D03C7C">
        <w:rPr>
          <w:sz w:val="17"/>
          <w:szCs w:val="17"/>
          <w:lang w:val="en-GB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7D36" w14:textId="77777777" w:rsidR="00CF0463" w:rsidRDefault="00CF0463">
      <w:r>
        <w:separator/>
      </w:r>
    </w:p>
  </w:footnote>
  <w:footnote w:type="continuationSeparator" w:id="0">
    <w:p w14:paraId="469957C3" w14:textId="77777777" w:rsidR="00CF0463" w:rsidRDefault="00CF0463" w:rsidP="008B60B2">
      <w:r>
        <w:separator/>
      </w:r>
    </w:p>
    <w:p w14:paraId="03C8A597" w14:textId="77777777" w:rsidR="00CF0463" w:rsidRPr="00D03C7C" w:rsidRDefault="00CF0463" w:rsidP="008B60B2">
      <w:pPr>
        <w:spacing w:after="60"/>
        <w:rPr>
          <w:sz w:val="17"/>
          <w:szCs w:val="17"/>
          <w:lang w:val="en-GB"/>
        </w:rPr>
      </w:pPr>
      <w:r w:rsidRPr="00D03C7C">
        <w:rPr>
          <w:sz w:val="17"/>
          <w:szCs w:val="17"/>
          <w:lang w:val="en-GB"/>
        </w:rPr>
        <w:t>[Footnote continued from previous page]</w:t>
      </w:r>
    </w:p>
  </w:footnote>
  <w:footnote w:type="continuationNotice" w:id="1">
    <w:p w14:paraId="6BBBB44C" w14:textId="77777777" w:rsidR="00CF0463" w:rsidRPr="00D03C7C" w:rsidRDefault="00CF0463" w:rsidP="008B60B2">
      <w:pPr>
        <w:spacing w:before="60"/>
        <w:jc w:val="right"/>
        <w:rPr>
          <w:sz w:val="17"/>
          <w:szCs w:val="17"/>
          <w:lang w:val="en-GB"/>
        </w:rPr>
      </w:pPr>
      <w:r w:rsidRPr="00D03C7C">
        <w:rPr>
          <w:sz w:val="17"/>
          <w:szCs w:val="17"/>
          <w:lang w:val="en-GB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AC90" w14:textId="36C9CF44" w:rsidR="006B7887" w:rsidRDefault="006B7887" w:rsidP="00477D6B">
    <w:pPr>
      <w:jc w:val="right"/>
    </w:pPr>
    <w:r>
      <w:t>A/65/8</w:t>
    </w:r>
  </w:p>
  <w:p w14:paraId="3617DC71" w14:textId="7F3869DF" w:rsidR="006B7887" w:rsidRDefault="007C77A2" w:rsidP="00477D6B">
    <w:pPr>
      <w:jc w:val="right"/>
    </w:pPr>
    <w:r>
      <w:t>ANEXO</w:t>
    </w:r>
  </w:p>
  <w:p w14:paraId="4C70BA82" w14:textId="77777777" w:rsidR="006B7887" w:rsidRDefault="006B7887" w:rsidP="00477D6B">
    <w:pPr>
      <w:jc w:val="right"/>
    </w:pPr>
  </w:p>
  <w:p w14:paraId="1BAFF6CE" w14:textId="77777777" w:rsidR="006B7887" w:rsidRDefault="006B788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AB0F07"/>
    <w:multiLevelType w:val="hybridMultilevel"/>
    <w:tmpl w:val="104ED56C"/>
    <w:lvl w:ilvl="0" w:tplc="C4B618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0116900">
    <w:abstractNumId w:val="2"/>
  </w:num>
  <w:num w:numId="2" w16cid:durableId="180895070">
    <w:abstractNumId w:val="5"/>
  </w:num>
  <w:num w:numId="3" w16cid:durableId="1356350649">
    <w:abstractNumId w:val="0"/>
  </w:num>
  <w:num w:numId="4" w16cid:durableId="1151099335">
    <w:abstractNumId w:val="6"/>
  </w:num>
  <w:num w:numId="5" w16cid:durableId="797770133">
    <w:abstractNumId w:val="1"/>
  </w:num>
  <w:num w:numId="6" w16cid:durableId="878471050">
    <w:abstractNumId w:val="4"/>
  </w:num>
  <w:num w:numId="7" w16cid:durableId="1130904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87"/>
    <w:rsid w:val="0001647B"/>
    <w:rsid w:val="0002377E"/>
    <w:rsid w:val="00043CAA"/>
    <w:rsid w:val="00075432"/>
    <w:rsid w:val="000968ED"/>
    <w:rsid w:val="000F5E56"/>
    <w:rsid w:val="001024FE"/>
    <w:rsid w:val="00124096"/>
    <w:rsid w:val="00131D28"/>
    <w:rsid w:val="001362EE"/>
    <w:rsid w:val="00142868"/>
    <w:rsid w:val="001832A6"/>
    <w:rsid w:val="001C6808"/>
    <w:rsid w:val="002121FA"/>
    <w:rsid w:val="002334E5"/>
    <w:rsid w:val="002634C4"/>
    <w:rsid w:val="00264BAC"/>
    <w:rsid w:val="002928D3"/>
    <w:rsid w:val="002F1FE6"/>
    <w:rsid w:val="002F4E68"/>
    <w:rsid w:val="00312F7F"/>
    <w:rsid w:val="003228B7"/>
    <w:rsid w:val="003508A3"/>
    <w:rsid w:val="003673CF"/>
    <w:rsid w:val="003845C1"/>
    <w:rsid w:val="003A6F89"/>
    <w:rsid w:val="003B38C1"/>
    <w:rsid w:val="003D352A"/>
    <w:rsid w:val="004135FE"/>
    <w:rsid w:val="00423E3E"/>
    <w:rsid w:val="00427AF4"/>
    <w:rsid w:val="004400E2"/>
    <w:rsid w:val="00461632"/>
    <w:rsid w:val="004647DA"/>
    <w:rsid w:val="00474062"/>
    <w:rsid w:val="00477D6B"/>
    <w:rsid w:val="004D39C4"/>
    <w:rsid w:val="004D6DBF"/>
    <w:rsid w:val="0053057A"/>
    <w:rsid w:val="00560A29"/>
    <w:rsid w:val="0058055F"/>
    <w:rsid w:val="00594D27"/>
    <w:rsid w:val="005F10BC"/>
    <w:rsid w:val="00601760"/>
    <w:rsid w:val="00605827"/>
    <w:rsid w:val="00646050"/>
    <w:rsid w:val="006713CA"/>
    <w:rsid w:val="00676C5C"/>
    <w:rsid w:val="00695558"/>
    <w:rsid w:val="006B7571"/>
    <w:rsid w:val="006B7887"/>
    <w:rsid w:val="006D5E0F"/>
    <w:rsid w:val="007058FB"/>
    <w:rsid w:val="007379DF"/>
    <w:rsid w:val="007B6A58"/>
    <w:rsid w:val="007C77A2"/>
    <w:rsid w:val="007D1613"/>
    <w:rsid w:val="007F4017"/>
    <w:rsid w:val="00813C5E"/>
    <w:rsid w:val="008417FC"/>
    <w:rsid w:val="00873EE5"/>
    <w:rsid w:val="008B2CC1"/>
    <w:rsid w:val="008B4B5E"/>
    <w:rsid w:val="008B60B2"/>
    <w:rsid w:val="0090731E"/>
    <w:rsid w:val="00916EE2"/>
    <w:rsid w:val="00966A22"/>
    <w:rsid w:val="0096722F"/>
    <w:rsid w:val="00980843"/>
    <w:rsid w:val="009E2791"/>
    <w:rsid w:val="009E3F6F"/>
    <w:rsid w:val="009F3BF9"/>
    <w:rsid w:val="009F499F"/>
    <w:rsid w:val="00A42DAF"/>
    <w:rsid w:val="00A45BD8"/>
    <w:rsid w:val="00A778BF"/>
    <w:rsid w:val="00A85B8E"/>
    <w:rsid w:val="00AC205C"/>
    <w:rsid w:val="00AF5C73"/>
    <w:rsid w:val="00B05A69"/>
    <w:rsid w:val="00B40598"/>
    <w:rsid w:val="00B50B99"/>
    <w:rsid w:val="00B62CD9"/>
    <w:rsid w:val="00B9734B"/>
    <w:rsid w:val="00BA71EB"/>
    <w:rsid w:val="00C11BFE"/>
    <w:rsid w:val="00C94629"/>
    <w:rsid w:val="00CE65D4"/>
    <w:rsid w:val="00CF0330"/>
    <w:rsid w:val="00CF0463"/>
    <w:rsid w:val="00D03C7C"/>
    <w:rsid w:val="00D43BB1"/>
    <w:rsid w:val="00D45252"/>
    <w:rsid w:val="00D71B4D"/>
    <w:rsid w:val="00D841CB"/>
    <w:rsid w:val="00D93D55"/>
    <w:rsid w:val="00E161A2"/>
    <w:rsid w:val="00E335FE"/>
    <w:rsid w:val="00E5021F"/>
    <w:rsid w:val="00E671A6"/>
    <w:rsid w:val="00EC4E49"/>
    <w:rsid w:val="00ED77FB"/>
    <w:rsid w:val="00EF6612"/>
    <w:rsid w:val="00F021A6"/>
    <w:rsid w:val="00F11D94"/>
    <w:rsid w:val="00F301AE"/>
    <w:rsid w:val="00F66152"/>
    <w:rsid w:val="00F6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E77010"/>
  <w15:docId w15:val="{1FBDEDE8-F3A9-4292-BF5D-D8A1585E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Revision">
    <w:name w:val="Revision"/>
    <w:hidden/>
    <w:uiPriority w:val="99"/>
    <w:semiHidden/>
    <w:rsid w:val="00CF0330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about-wipo/es/assemblies/2023/a-64/doc_details.jsp?doc_id=6199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ipo.int/edocs/mdocs/govbody/es/a_63/a_63_10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C931B-C023-4098-A81F-3E93EEBF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65 (E).dotm</Template>
  <TotalTime>15</TotalTime>
  <Pages>2</Pages>
  <Words>435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A/65/8</vt:lpstr>
    </vt:vector>
  </TitlesOfParts>
  <Company>WIPO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A/65/8</dc:title>
  <dc:creator>WIPO</dc:creator>
  <cp:keywords>FOR OFFICIAL USE ONLY</cp:keywords>
  <cp:lastModifiedBy>HÄFLIGER Patience</cp:lastModifiedBy>
  <cp:revision>10</cp:revision>
  <cp:lastPrinted>2011-02-15T11:56:00Z</cp:lastPrinted>
  <dcterms:created xsi:type="dcterms:W3CDTF">2024-07-13T18:34:00Z</dcterms:created>
  <dcterms:modified xsi:type="dcterms:W3CDTF">2024-07-13T19:48:00Z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2023-11-21T15:06:30Z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d8c307d0-4241-4b8d-8dea-793dd6e4c801</vt:lpwstr>
  </property>
  <property fmtid="{D5CDD505-2E9C-101B-9397-08002B2CF9AE}" pid="14" name="MSIP_Label_20773ee6-353b-4fb9-a59d-0b94c8c67bea_ContentBits">
    <vt:lpwstr>0</vt:lpwstr>
  </property>
</Properties>
</file>