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FB07" w14:textId="77777777" w:rsidR="008B2CC1" w:rsidRPr="001F27F6" w:rsidRDefault="008B14EA" w:rsidP="008B14EA">
      <w:pPr>
        <w:spacing w:after="120"/>
        <w:jc w:val="right"/>
        <w:rPr>
          <w:lang w:val="es-ES_tradnl"/>
        </w:rPr>
      </w:pPr>
      <w:r w:rsidRPr="001F27F6">
        <w:rPr>
          <w:noProof/>
          <w:lang w:val="es-ES_tradnl" w:eastAsia="en-US"/>
        </w:rPr>
        <w:drawing>
          <wp:inline distT="0" distB="0" distL="0" distR="0" wp14:anchorId="0FEC53E4" wp14:editId="785B03CD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1F27F6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56ADD598" wp14:editId="65E80773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BF209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A600D83" w14:textId="77777777" w:rsidR="008B2CC1" w:rsidRPr="001F27F6" w:rsidRDefault="00A8121F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1F27F6">
        <w:rPr>
          <w:rFonts w:ascii="Arial Black" w:hAnsi="Arial Black"/>
          <w:caps/>
          <w:sz w:val="15"/>
          <w:lang w:val="es-ES_tradnl"/>
        </w:rPr>
        <w:t>A/6</w:t>
      </w:r>
      <w:r w:rsidR="004A7B16" w:rsidRPr="001F27F6">
        <w:rPr>
          <w:rFonts w:ascii="Arial Black" w:hAnsi="Arial Black"/>
          <w:caps/>
          <w:sz w:val="15"/>
          <w:lang w:val="es-ES_tradnl"/>
        </w:rPr>
        <w:t>5</w:t>
      </w:r>
      <w:r w:rsidRPr="001F27F6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r w:rsidR="0025478D" w:rsidRPr="001F27F6">
        <w:rPr>
          <w:rFonts w:ascii="Arial Black" w:hAnsi="Arial Black"/>
          <w:caps/>
          <w:sz w:val="15"/>
          <w:lang w:val="es-ES_tradnl"/>
        </w:rPr>
        <w:t>INF/4</w:t>
      </w:r>
    </w:p>
    <w:bookmarkEnd w:id="0"/>
    <w:p w14:paraId="01F34FDB" w14:textId="77777777" w:rsidR="008B2CC1" w:rsidRPr="001F27F6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1F27F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25478D" w:rsidRPr="001F27F6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6E4B424C" w14:textId="77777777" w:rsidR="008B2CC1" w:rsidRPr="001F27F6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1F27F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25478D" w:rsidRPr="001F27F6">
        <w:rPr>
          <w:rFonts w:ascii="Arial Black" w:hAnsi="Arial Black"/>
          <w:caps/>
          <w:sz w:val="15"/>
          <w:lang w:val="es-ES_tradnl"/>
        </w:rPr>
        <w:t>18 DE JUNIO DE 2024</w:t>
      </w:r>
    </w:p>
    <w:bookmarkEnd w:id="2"/>
    <w:p w14:paraId="583B513A" w14:textId="77777777" w:rsidR="008B2CC1" w:rsidRPr="001F27F6" w:rsidRDefault="00A8121F" w:rsidP="008B14EA">
      <w:pPr>
        <w:spacing w:after="600"/>
        <w:rPr>
          <w:b/>
          <w:sz w:val="28"/>
          <w:szCs w:val="28"/>
          <w:lang w:val="es-ES_tradnl"/>
        </w:rPr>
      </w:pPr>
      <w:r w:rsidRPr="001F27F6">
        <w:rPr>
          <w:b/>
          <w:sz w:val="28"/>
          <w:szCs w:val="28"/>
          <w:lang w:val="es-ES_tradnl"/>
        </w:rPr>
        <w:t>Asambleas de los Estados miembros de la OMPI</w:t>
      </w:r>
    </w:p>
    <w:p w14:paraId="76A7F2F6" w14:textId="77777777" w:rsidR="00511D0C" w:rsidRPr="001F27F6" w:rsidRDefault="00A8121F" w:rsidP="00511D0C">
      <w:pPr>
        <w:rPr>
          <w:b/>
          <w:sz w:val="24"/>
          <w:szCs w:val="24"/>
          <w:lang w:val="es-ES_tradnl"/>
        </w:rPr>
      </w:pPr>
      <w:r w:rsidRPr="001F27F6">
        <w:rPr>
          <w:b/>
          <w:sz w:val="24"/>
          <w:szCs w:val="24"/>
          <w:lang w:val="es-ES_tradnl"/>
        </w:rPr>
        <w:t xml:space="preserve">Sexagésima </w:t>
      </w:r>
      <w:r w:rsidR="004A7B16" w:rsidRPr="001F27F6">
        <w:rPr>
          <w:b/>
          <w:sz w:val="24"/>
          <w:szCs w:val="24"/>
          <w:lang w:val="es-ES_tradnl"/>
        </w:rPr>
        <w:t xml:space="preserve">quinta </w:t>
      </w:r>
      <w:r w:rsidRPr="001F27F6">
        <w:rPr>
          <w:b/>
          <w:sz w:val="24"/>
          <w:szCs w:val="24"/>
          <w:lang w:val="es-ES_tradnl"/>
        </w:rPr>
        <w:t>serie de reuniones</w:t>
      </w:r>
    </w:p>
    <w:p w14:paraId="2420BFDB" w14:textId="77777777" w:rsidR="008B2CC1" w:rsidRPr="001F27F6" w:rsidRDefault="00A8121F" w:rsidP="008B14EA">
      <w:pPr>
        <w:spacing w:after="720"/>
        <w:rPr>
          <w:b/>
          <w:sz w:val="24"/>
          <w:szCs w:val="24"/>
          <w:lang w:val="es-ES_tradnl"/>
        </w:rPr>
      </w:pPr>
      <w:r w:rsidRPr="001F27F6">
        <w:rPr>
          <w:b/>
          <w:sz w:val="24"/>
          <w:szCs w:val="24"/>
          <w:lang w:val="es-ES_tradnl"/>
        </w:rPr>
        <w:t xml:space="preserve">Ginebra, </w:t>
      </w:r>
      <w:r w:rsidR="004A7B16" w:rsidRPr="001F27F6">
        <w:rPr>
          <w:b/>
          <w:sz w:val="24"/>
          <w:szCs w:val="24"/>
          <w:lang w:val="es-ES_tradnl"/>
        </w:rPr>
        <w:t>9 a 17 de julio de 2024</w:t>
      </w:r>
    </w:p>
    <w:p w14:paraId="176CEB09" w14:textId="7C515E38" w:rsidR="008B2CC1" w:rsidRPr="001F27F6" w:rsidRDefault="0025478D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1F27F6">
        <w:rPr>
          <w:caps/>
          <w:sz w:val="24"/>
          <w:lang w:val="es-ES_tradnl"/>
        </w:rPr>
        <w:t>Situación relativa al pago de las contribuciones al 31 de mayo de 2024</w:t>
      </w:r>
    </w:p>
    <w:p w14:paraId="48816DC5" w14:textId="18BD63CB" w:rsidR="008B2CC1" w:rsidRPr="001F27F6" w:rsidRDefault="0025478D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1F27F6">
        <w:rPr>
          <w:i/>
          <w:lang w:val="es-ES_tradnl"/>
        </w:rPr>
        <w:t>Documento informativo preparado por la Secretaría</w:t>
      </w:r>
    </w:p>
    <w:bookmarkEnd w:id="4"/>
    <w:p w14:paraId="610C8DCC" w14:textId="77777777" w:rsidR="0025478D" w:rsidRPr="001F27F6" w:rsidRDefault="0025478D" w:rsidP="0025478D">
      <w:pPr>
        <w:numPr>
          <w:ilvl w:val="0"/>
          <w:numId w:val="7"/>
        </w:numPr>
        <w:tabs>
          <w:tab w:val="left" w:pos="567"/>
        </w:tabs>
        <w:spacing w:after="480"/>
        <w:ind w:left="0" w:firstLine="0"/>
        <w:rPr>
          <w:lang w:val="es-ES_tradnl"/>
        </w:rPr>
      </w:pPr>
      <w:r w:rsidRPr="001F27F6">
        <w:rPr>
          <w:lang w:val="es-ES_tradnl"/>
        </w:rPr>
        <w:t>El presente documento contiene una actualización de la información contenida en el documento titulado “Situación relativa al pago de las contribuciones al 30 de abril de 2024” (documento WO/PBC/37/10).</w:t>
      </w:r>
    </w:p>
    <w:p w14:paraId="39A8C40B" w14:textId="77777777" w:rsidR="0025478D" w:rsidRPr="001F27F6" w:rsidRDefault="0025478D" w:rsidP="0025478D">
      <w:pPr>
        <w:keepNext/>
        <w:spacing w:before="240" w:after="360"/>
        <w:outlineLvl w:val="1"/>
        <w:rPr>
          <w:b/>
          <w:bCs/>
          <w:iCs/>
          <w:caps/>
          <w:noProof/>
          <w:szCs w:val="28"/>
          <w:lang w:val="es-ES_tradnl"/>
        </w:rPr>
      </w:pPr>
      <w:r w:rsidRPr="001F27F6">
        <w:rPr>
          <w:b/>
          <w:caps/>
          <w:lang w:val="es-ES_tradnl"/>
        </w:rPr>
        <w:t>Atrasos en el pago de las contribuciones al 31 de mayo de 2024</w:t>
      </w:r>
    </w:p>
    <w:p w14:paraId="1A75BA48" w14:textId="77777777" w:rsidR="0025478D" w:rsidRPr="001F27F6" w:rsidRDefault="0025478D" w:rsidP="0025478D">
      <w:pPr>
        <w:spacing w:before="220" w:after="300"/>
        <w:outlineLvl w:val="2"/>
        <w:rPr>
          <w:b/>
          <w:noProof/>
          <w:szCs w:val="22"/>
          <w:lang w:val="es-ES_tradnl"/>
        </w:rPr>
      </w:pPr>
      <w:r w:rsidRPr="001F27F6">
        <w:rPr>
          <w:b/>
          <w:lang w:val="es-ES_tradnl"/>
        </w:rPr>
        <w:t>Atrasos en el pago de las contribuciones anuales</w:t>
      </w:r>
    </w:p>
    <w:p w14:paraId="31781F4B" w14:textId="77777777" w:rsidR="0025478D" w:rsidRPr="001F27F6" w:rsidRDefault="0025478D" w:rsidP="0025478D">
      <w:pPr>
        <w:spacing w:before="220" w:after="300"/>
        <w:outlineLvl w:val="2"/>
        <w:rPr>
          <w:b/>
          <w:noProof/>
          <w:szCs w:val="22"/>
          <w:lang w:val="es-ES_tradnl"/>
        </w:rPr>
      </w:pPr>
      <w:r w:rsidRPr="001F27F6">
        <w:rPr>
          <w:b/>
          <w:lang w:val="es-ES_tradnl"/>
        </w:rPr>
        <w:t>(Excepto los atrasos de los países menos adelantados (PMA) correspondientes a los años anteriores a 1990, colocados en una cuenta especial (bloqueada))</w:t>
      </w:r>
    </w:p>
    <w:p w14:paraId="0A48C31B" w14:textId="77777777" w:rsidR="0081706A" w:rsidRPr="001F27F6" w:rsidRDefault="0025478D" w:rsidP="0081706A">
      <w:pPr>
        <w:numPr>
          <w:ilvl w:val="0"/>
          <w:numId w:val="7"/>
        </w:numPr>
        <w:tabs>
          <w:tab w:val="left" w:pos="567"/>
          <w:tab w:val="left" w:pos="9498"/>
        </w:tabs>
        <w:spacing w:after="360"/>
        <w:ind w:left="0" w:firstLine="0"/>
        <w:rPr>
          <w:lang w:val="es-ES_tradnl"/>
        </w:rPr>
      </w:pPr>
      <w:r w:rsidRPr="001F27F6">
        <w:rPr>
          <w:lang w:val="es-ES_tradnl"/>
        </w:rPr>
        <w:t>En el cuadro que figura a continuación se indican los atrasos en el pago de las contribuciones al 31 de mayo de 2024 con arreglo al sistema único de contribuciones aplicable a partir del 1 de enero de 1994, y con arreglo a los sistemas de contribución aplicables anteriormente de las seis uniones financiadas mediante contribuciones (París, Berna, CIP, Niza, Locarno, Viena) y de la OMPI (para los Estados miembros de la Organización que no son miembros de ninguna de las uniones), a excepción de los atrasos en las contribuciones de los PMA correspondientes a los años anteriores a 1990, que se han colocado en una cuenta especial (bloqueada), y que no se indican en este cuadro, sino en el cuadro del párrafo 5.</w:t>
      </w:r>
    </w:p>
    <w:p w14:paraId="458F9424" w14:textId="720262F2" w:rsidR="0025478D" w:rsidRPr="001F27F6" w:rsidRDefault="0081706A" w:rsidP="0081706A">
      <w:pPr>
        <w:spacing w:after="360"/>
        <w:rPr>
          <w:lang w:val="es-ES_tradnl"/>
        </w:rPr>
      </w:pPr>
      <w:r w:rsidRPr="001F27F6">
        <w:rPr>
          <w:noProof/>
          <w:lang w:val="es-ES_tradnl"/>
        </w:rPr>
        <w:lastRenderedPageBreak/>
        <w:drawing>
          <wp:inline distT="0" distB="0" distL="0" distR="0" wp14:anchorId="609ADA85" wp14:editId="20BAA725">
            <wp:extent cx="5940425" cy="5281930"/>
            <wp:effectExtent l="0" t="0" r="3175" b="0"/>
            <wp:docPr id="6" name="Picture 6" descr="Cuadro: Contribuciones atras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uadro: Contribuciones atras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D368" w14:textId="31A7C850" w:rsidR="0025478D" w:rsidRPr="001F27F6" w:rsidRDefault="0081706A" w:rsidP="0081706A">
      <w:pPr>
        <w:spacing w:after="360"/>
        <w:rPr>
          <w:lang w:val="es-ES_tradnl"/>
        </w:rPr>
      </w:pPr>
      <w:r w:rsidRPr="001F27F6">
        <w:rPr>
          <w:noProof/>
          <w:lang w:val="es-ES_tradnl"/>
        </w:rPr>
        <w:lastRenderedPageBreak/>
        <w:drawing>
          <wp:inline distT="0" distB="0" distL="0" distR="0" wp14:anchorId="0CBC7457" wp14:editId="1D148277">
            <wp:extent cx="5940425" cy="7084060"/>
            <wp:effectExtent l="0" t="0" r="3175" b="2540"/>
            <wp:docPr id="13" name="Picture 13" descr="Cuadro: Atrasos en las contribuciones a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uadro: Atrasos en las contribuciones a 31 de mayo de 2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DCF1" w14:textId="7BB529B7" w:rsidR="0025478D" w:rsidRPr="001F27F6" w:rsidRDefault="00D65F37" w:rsidP="0081706A">
      <w:pPr>
        <w:spacing w:after="360"/>
        <w:rPr>
          <w:b/>
          <w:color w:val="000000"/>
          <w:lang w:val="es-ES_tradnl"/>
        </w:rPr>
      </w:pPr>
      <w:r w:rsidRPr="001F27F6">
        <w:rPr>
          <w:noProof/>
          <w:lang w:val="es-ES_tradnl"/>
        </w:rPr>
        <w:lastRenderedPageBreak/>
        <w:drawing>
          <wp:inline distT="0" distB="0" distL="0" distR="0" wp14:anchorId="700E5DE5" wp14:editId="540D5B86">
            <wp:extent cx="5940425" cy="6450330"/>
            <wp:effectExtent l="0" t="0" r="3175" b="7620"/>
            <wp:docPr id="14" name="Picture 14" descr="Cuadro: Contribuciones atras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uadro: Contribuciones atras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14A1" w14:textId="5A464547" w:rsidR="0025478D" w:rsidRPr="001F27F6" w:rsidRDefault="00D65F37" w:rsidP="001F27F6">
      <w:pPr>
        <w:spacing w:after="360"/>
        <w:rPr>
          <w:b/>
          <w:color w:val="000000"/>
          <w:lang w:val="es-ES_tradnl"/>
        </w:rPr>
      </w:pPr>
      <w:r w:rsidRPr="001F27F6">
        <w:rPr>
          <w:noProof/>
          <w:lang w:val="es-ES_tradnl"/>
        </w:rPr>
        <w:lastRenderedPageBreak/>
        <w:drawing>
          <wp:inline distT="0" distB="0" distL="0" distR="0" wp14:anchorId="54DC8963" wp14:editId="6D3EDCA9">
            <wp:extent cx="5940425" cy="6582410"/>
            <wp:effectExtent l="0" t="0" r="3175" b="8890"/>
            <wp:docPr id="15" name="Picture 15" descr="Cuadro: Contribuciones atras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uadro: Contribuciones atras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053C" w14:textId="64DAD748" w:rsidR="00D65F37" w:rsidRPr="001F27F6" w:rsidRDefault="00D65F37" w:rsidP="00D65F37">
      <w:pPr>
        <w:spacing w:after="480"/>
        <w:rPr>
          <w:b/>
          <w:color w:val="000000"/>
          <w:lang w:val="es-ES_tradnl"/>
        </w:rPr>
      </w:pPr>
      <w:r w:rsidRPr="001F27F6">
        <w:rPr>
          <w:noProof/>
          <w:lang w:val="es-ES_tradnl"/>
        </w:rPr>
        <w:lastRenderedPageBreak/>
        <w:drawing>
          <wp:inline distT="0" distB="0" distL="0" distR="0" wp14:anchorId="3A81CB82" wp14:editId="3138FC4E">
            <wp:extent cx="5940425" cy="2526030"/>
            <wp:effectExtent l="0" t="0" r="3175" b="7620"/>
            <wp:docPr id="16" name="Picture 16" descr="Cuadro: Contribuciones atras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uadro: Contribuciones atras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2865" w14:textId="77777777" w:rsidR="0025478D" w:rsidRPr="001F27F6" w:rsidRDefault="0025478D" w:rsidP="00D65F37">
      <w:pPr>
        <w:spacing w:after="240"/>
        <w:rPr>
          <w:b/>
          <w:lang w:val="es-ES_tradnl"/>
        </w:rPr>
      </w:pPr>
      <w:r w:rsidRPr="001F27F6">
        <w:rPr>
          <w:b/>
          <w:color w:val="000000"/>
          <w:lang w:val="es-ES_tradnl"/>
        </w:rPr>
        <w:t>Importe total de los atrasos (excepto los atrasos de los PMA colocados en una cuenta especial (bloqueada) correspondientes a los años anteriores a 1990)</w:t>
      </w:r>
    </w:p>
    <w:p w14:paraId="64355420" w14:textId="6CCA460B" w:rsidR="0025478D" w:rsidRPr="001F27F6" w:rsidRDefault="00D65F37" w:rsidP="0025478D">
      <w:pPr>
        <w:spacing w:after="240"/>
        <w:rPr>
          <w:lang w:val="es-ES_tradnl"/>
        </w:rPr>
      </w:pPr>
      <w:r w:rsidRPr="001F27F6">
        <w:rPr>
          <w:noProof/>
          <w:lang w:val="es-ES_tradnl"/>
        </w:rPr>
        <w:drawing>
          <wp:inline distT="0" distB="0" distL="0" distR="0" wp14:anchorId="26EE15EC" wp14:editId="109C9D82">
            <wp:extent cx="5857875" cy="497840"/>
            <wp:effectExtent l="0" t="0" r="9525" b="0"/>
            <wp:docPr id="17" name="Picture 17" descr="Cuadro: Resumen de las contribuciones atras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uadro: Resumen de las contribuciones atras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3A9F" w14:textId="77777777" w:rsidR="0025478D" w:rsidRPr="001F27F6" w:rsidRDefault="0025478D" w:rsidP="0025478D">
      <w:pPr>
        <w:spacing w:before="220" w:after="300"/>
        <w:outlineLvl w:val="2"/>
        <w:rPr>
          <w:b/>
          <w:lang w:val="es-ES_tradnl"/>
        </w:rPr>
      </w:pPr>
      <w:r w:rsidRPr="001F27F6">
        <w:rPr>
          <w:b/>
          <w:lang w:val="es-ES_tradnl"/>
        </w:rPr>
        <w:t>Observaciones</w:t>
      </w:r>
    </w:p>
    <w:p w14:paraId="4A7ACE49" w14:textId="33537CB6" w:rsidR="0025478D" w:rsidRPr="001F27F6" w:rsidRDefault="0025478D" w:rsidP="0025478D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ES_tradnl"/>
        </w:rPr>
      </w:pPr>
      <w:r w:rsidRPr="001F27F6">
        <w:rPr>
          <w:lang w:val="es-ES_tradnl"/>
        </w:rPr>
        <w:t>Al 31 de mayo de 2024, el importe total de las contribuciones adeudadas ascendía a 6,33 millones de francos suizos, de los cuales 5,1 millones corresponden al sistema único de contribuciones, mientras que casi 1,23 millones corresponden a las contribuciones anteriores a</w:t>
      </w:r>
      <w:r w:rsidR="001F27F6">
        <w:rPr>
          <w:lang w:val="es-ES_tradnl"/>
        </w:rPr>
        <w:t> </w:t>
      </w:r>
      <w:r w:rsidRPr="001F27F6">
        <w:rPr>
          <w:lang w:val="es-ES_tradnl"/>
        </w:rPr>
        <w:t>1994 con respecto a las uniones financiadas mediante contribuciones y la OMPI. El importe total de los atrasos, 6,33 millones de francos suizos (como se indica en el cuadro anterior), corresponde al 35,94 % del importe total de las contribuciones pagaderas en 2024, a saber, casi</w:t>
      </w:r>
      <w:r w:rsidR="001F27F6">
        <w:rPr>
          <w:lang w:val="es-ES_tradnl"/>
        </w:rPr>
        <w:t> </w:t>
      </w:r>
      <w:r w:rsidRPr="001F27F6">
        <w:rPr>
          <w:lang w:val="es-ES_tradnl"/>
        </w:rPr>
        <w:t>17,6 millones de francos suizos.</w:t>
      </w:r>
    </w:p>
    <w:p w14:paraId="6448AF58" w14:textId="77777777" w:rsidR="0025478D" w:rsidRPr="001F27F6" w:rsidRDefault="0025478D" w:rsidP="0025478D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ES_tradnl"/>
        </w:rPr>
      </w:pPr>
      <w:r w:rsidRPr="001F27F6">
        <w:rPr>
          <w:lang w:val="es-ES_tradnl"/>
        </w:rPr>
        <w:t>Cuando se examine el presente documento, se comunicará a las Asambleas todo pago que se haga llegar a la Oficina Internacional entre el 1 de junio y el 10 de julio de 2024.</w:t>
      </w:r>
    </w:p>
    <w:p w14:paraId="537BA13A" w14:textId="77777777" w:rsidR="0025478D" w:rsidRPr="001F27F6" w:rsidRDefault="0025478D" w:rsidP="0025478D">
      <w:pPr>
        <w:spacing w:before="220" w:after="300"/>
        <w:outlineLvl w:val="2"/>
        <w:rPr>
          <w:b/>
          <w:lang w:val="es-ES_tradnl"/>
        </w:rPr>
      </w:pPr>
      <w:r w:rsidRPr="001F27F6">
        <w:rPr>
          <w:b/>
          <w:lang w:val="es-ES_tradnl"/>
        </w:rPr>
        <w:t>Atrasos en las contribuciones anuales de los PMA correspondientes a los años anteriores a 1990, colocados en una cuenta especial (bloqueada)</w:t>
      </w:r>
    </w:p>
    <w:p w14:paraId="48E51B3E" w14:textId="443B4B03" w:rsidR="0025478D" w:rsidRPr="001F27F6" w:rsidRDefault="0025478D" w:rsidP="00D65F37">
      <w:pPr>
        <w:numPr>
          <w:ilvl w:val="0"/>
          <w:numId w:val="7"/>
        </w:numPr>
        <w:spacing w:after="240"/>
        <w:ind w:left="0" w:firstLine="0"/>
        <w:rPr>
          <w:noProof/>
          <w:szCs w:val="22"/>
          <w:lang w:val="es-ES_tradnl"/>
        </w:rPr>
      </w:pPr>
      <w:r w:rsidRPr="001F27F6">
        <w:rPr>
          <w:lang w:val="es-ES_tradnl"/>
        </w:rPr>
        <w:t>Se recuerda que, de conformidad con la decisión adoptada por la Conferencia de la OMPI y las Asambleas de las Uniones de París y de Berna, en sus períodos ordinarios de sesiones de</w:t>
      </w:r>
      <w:r w:rsidR="001F27F6">
        <w:rPr>
          <w:lang w:val="es-ES_tradnl"/>
        </w:rPr>
        <w:t> </w:t>
      </w:r>
      <w:r w:rsidRPr="001F27F6">
        <w:rPr>
          <w:lang w:val="es-ES_tradnl"/>
        </w:rPr>
        <w:t>1991, el importe de los atrasos en las contribuciones de cualquier PMA correspondientes a los años anteriores a 1990 fue colocado en una cuenta especial, cuyo saldo se bloqueó al 31 de diciembre de 1989 (véanse los documentos AB/XXII/20 y AB/XXII/22, párrafo 127). Dichos atrasos en las contribuciones, al 31 de mayo de 2024, relativos a las Uniones de París y de Berna y a la OMPI, figuran en el cuadro siguiente. Cuando se examine el presente documento, se comunicará a las Asambleas todo pago que se haga llegar a la Oficina Internacional entre el</w:t>
      </w:r>
      <w:r w:rsidR="00D65F37" w:rsidRPr="001F27F6">
        <w:rPr>
          <w:lang w:val="es-ES_tradnl"/>
        </w:rPr>
        <w:t> </w:t>
      </w:r>
      <w:r w:rsidRPr="001F27F6">
        <w:rPr>
          <w:lang w:val="es-ES_tradnl"/>
        </w:rPr>
        <w:t>1 de junio y el 10 de julio de 2024.</w:t>
      </w:r>
    </w:p>
    <w:p w14:paraId="0BA0D1A7" w14:textId="7A03C7AA" w:rsidR="0025478D" w:rsidRPr="001F27F6" w:rsidRDefault="00D65F37" w:rsidP="00D65F37">
      <w:pPr>
        <w:spacing w:after="480"/>
        <w:rPr>
          <w:b/>
          <w:noProof/>
          <w:snapToGrid w:val="0"/>
          <w:szCs w:val="22"/>
          <w:lang w:val="es-ES_tradnl"/>
        </w:rPr>
      </w:pPr>
      <w:r w:rsidRPr="001F27F6">
        <w:rPr>
          <w:noProof/>
          <w:lang w:val="es-ES_tradnl"/>
        </w:rPr>
        <w:lastRenderedPageBreak/>
        <w:drawing>
          <wp:inline distT="0" distB="0" distL="0" distR="0" wp14:anchorId="7E0FCD20" wp14:editId="1B90882A">
            <wp:extent cx="5586095" cy="7559675"/>
            <wp:effectExtent l="0" t="0" r="0" b="3175"/>
            <wp:docPr id="18" name="Picture 18" descr="Cuadro: Contribuciones atrasadas bloque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uadro: Contribuciones atrasadas bloque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E3E01" w14:textId="77777777" w:rsidR="0025478D" w:rsidRPr="001F27F6" w:rsidRDefault="0025478D" w:rsidP="00D65F37">
      <w:pPr>
        <w:keepNext/>
        <w:keepLines/>
        <w:spacing w:after="120"/>
        <w:rPr>
          <w:lang w:val="es-ES_tradnl"/>
        </w:rPr>
      </w:pPr>
      <w:r w:rsidRPr="001F27F6">
        <w:rPr>
          <w:b/>
          <w:snapToGrid w:val="0"/>
          <w:lang w:val="es-ES_tradnl"/>
        </w:rPr>
        <w:lastRenderedPageBreak/>
        <w:t>Importe total de los atrasos de los PMA correspondientes a los años anteriores a 1990, colocados en una cuenta especial (bloqueada)</w:t>
      </w:r>
    </w:p>
    <w:p w14:paraId="138D7379" w14:textId="2B00F70B" w:rsidR="0025478D" w:rsidRPr="001F27F6" w:rsidRDefault="00D65F37" w:rsidP="00D65F37">
      <w:pPr>
        <w:spacing w:after="480"/>
        <w:rPr>
          <w:lang w:val="es-ES_tradnl"/>
        </w:rPr>
      </w:pPr>
      <w:r w:rsidRPr="001F27F6">
        <w:rPr>
          <w:noProof/>
          <w:lang w:val="es-ES_tradnl"/>
        </w:rPr>
        <w:drawing>
          <wp:inline distT="0" distB="0" distL="0" distR="0" wp14:anchorId="5F121AB0" wp14:editId="4B65CAA9">
            <wp:extent cx="5586095" cy="950595"/>
            <wp:effectExtent l="0" t="0" r="0" b="1905"/>
            <wp:docPr id="19" name="Picture 19" descr="Cuadro: Resumen de las contribuciones atrasadas bloqueada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uadro: Resumen de las contribuciones atrasadas bloqueada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AAE5" w14:textId="77777777" w:rsidR="0025478D" w:rsidRPr="001F27F6" w:rsidRDefault="0025478D" w:rsidP="00D65F37">
      <w:pPr>
        <w:spacing w:after="240"/>
        <w:outlineLvl w:val="2"/>
        <w:rPr>
          <w:b/>
          <w:noProof/>
          <w:szCs w:val="22"/>
          <w:lang w:val="es-ES_tradnl"/>
        </w:rPr>
      </w:pPr>
      <w:r w:rsidRPr="001F27F6">
        <w:rPr>
          <w:b/>
          <w:lang w:val="es-ES_tradnl"/>
        </w:rPr>
        <w:t>Importes adeudados a los fondos de operaciones</w:t>
      </w:r>
    </w:p>
    <w:p w14:paraId="200FE70A" w14:textId="4F92FD7A" w:rsidR="0025478D" w:rsidRPr="001F27F6" w:rsidRDefault="0025478D" w:rsidP="00D65F37">
      <w:pPr>
        <w:numPr>
          <w:ilvl w:val="0"/>
          <w:numId w:val="7"/>
        </w:numPr>
        <w:spacing w:after="240"/>
        <w:ind w:left="0" w:firstLine="0"/>
        <w:rPr>
          <w:noProof/>
          <w:szCs w:val="22"/>
          <w:lang w:val="es-ES_tradnl"/>
        </w:rPr>
      </w:pPr>
      <w:r w:rsidRPr="001F27F6">
        <w:rPr>
          <w:lang w:val="es-ES_tradnl"/>
        </w:rPr>
        <w:t>En el cuadro siguiente figuran los importes adeudados por algunos Estados, al 31 de mayo de 2024, a los fondos de operaciones que han sido constituidos, a saber, los de dos uniones financiadas mediante contribuciones (Uniones de París y Berna). Cuando se examine el presente documento, se comunicará a las Asambleas todo pago que se haga llegar a la Oficina Internacional entre el 1 de junio y el 10 de julio de 2024.</w:t>
      </w:r>
    </w:p>
    <w:p w14:paraId="1D1F27ED" w14:textId="76EACA94" w:rsidR="0025478D" w:rsidRPr="001F27F6" w:rsidRDefault="00D65F37" w:rsidP="00D65F37">
      <w:pPr>
        <w:spacing w:after="480"/>
        <w:rPr>
          <w:noProof/>
          <w:lang w:val="es-ES_tradnl"/>
        </w:rPr>
      </w:pPr>
      <w:r w:rsidRPr="001F27F6">
        <w:rPr>
          <w:noProof/>
          <w:lang w:val="es-ES_tradnl"/>
        </w:rPr>
        <w:drawing>
          <wp:inline distT="0" distB="0" distL="0" distR="0" wp14:anchorId="286A7ED0" wp14:editId="33C6FF7D">
            <wp:extent cx="5940425" cy="1511300"/>
            <wp:effectExtent l="0" t="0" r="3175" b="0"/>
            <wp:docPr id="20" name="Picture 20" descr="Cuadro: Fondo de operacione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uadro: Fondo de operacione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78E7" w14:textId="77777777" w:rsidR="0025478D" w:rsidRPr="001F27F6" w:rsidRDefault="0025478D" w:rsidP="00D65F37">
      <w:pPr>
        <w:spacing w:after="240"/>
        <w:outlineLvl w:val="2"/>
        <w:rPr>
          <w:b/>
          <w:noProof/>
          <w:snapToGrid w:val="0"/>
          <w:szCs w:val="22"/>
          <w:lang w:val="es-ES_tradnl"/>
        </w:rPr>
      </w:pPr>
      <w:r w:rsidRPr="001F27F6">
        <w:rPr>
          <w:b/>
          <w:snapToGrid w:val="0"/>
          <w:lang w:val="es-ES_tradnl"/>
        </w:rPr>
        <w:t>Importe total adeudado al fondo de operaciones</w:t>
      </w:r>
    </w:p>
    <w:p w14:paraId="1D6A0C8A" w14:textId="5BBD6A70" w:rsidR="0025478D" w:rsidRPr="001F27F6" w:rsidRDefault="00D65F37" w:rsidP="0025478D">
      <w:pPr>
        <w:spacing w:before="220" w:after="300"/>
        <w:outlineLvl w:val="2"/>
        <w:rPr>
          <w:b/>
          <w:noProof/>
          <w:snapToGrid w:val="0"/>
          <w:szCs w:val="22"/>
          <w:lang w:val="es-ES_tradnl"/>
        </w:rPr>
      </w:pPr>
      <w:r w:rsidRPr="001F27F6">
        <w:rPr>
          <w:noProof/>
          <w:lang w:val="es-ES_tradnl"/>
        </w:rPr>
        <w:drawing>
          <wp:inline distT="0" distB="0" distL="0" distR="0" wp14:anchorId="0CA93BC2" wp14:editId="6328FC2C">
            <wp:extent cx="4656543" cy="570368"/>
            <wp:effectExtent l="0" t="0" r="0" b="1270"/>
            <wp:docPr id="21" name="Picture 21" descr="Cuadro: Resumen del fondo de operaciones al 31 de mayo d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uadro: Resumen del fondo de operaciones al 31 de mayo de 20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72" cy="57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FBCB7" w14:textId="77777777" w:rsidR="0025478D" w:rsidRPr="001F27F6" w:rsidRDefault="0025478D" w:rsidP="0025478D">
      <w:pPr>
        <w:spacing w:after="240"/>
        <w:rPr>
          <w:lang w:val="es-ES_tradnl"/>
        </w:rPr>
      </w:pPr>
      <w:r w:rsidRPr="001F27F6">
        <w:rPr>
          <w:lang w:val="es-ES_tradnl"/>
        </w:rPr>
        <w:br w:type="page"/>
      </w:r>
    </w:p>
    <w:p w14:paraId="41A75CE5" w14:textId="77777777" w:rsidR="0025478D" w:rsidRPr="001F27F6" w:rsidRDefault="0025478D" w:rsidP="0025478D">
      <w:pPr>
        <w:spacing w:before="220" w:after="300"/>
        <w:outlineLvl w:val="2"/>
        <w:rPr>
          <w:b/>
          <w:lang w:val="es-ES_tradnl"/>
        </w:rPr>
      </w:pPr>
      <w:r w:rsidRPr="001F27F6">
        <w:rPr>
          <w:b/>
          <w:lang w:val="es-ES_tradnl"/>
        </w:rPr>
        <w:lastRenderedPageBreak/>
        <w:t>Evolución de los atrasos en el pago de las contribuciones y de los aportes a los fondos de operaciones en los diez últimos años</w:t>
      </w:r>
    </w:p>
    <w:p w14:paraId="4CA3A1AB" w14:textId="77777777" w:rsidR="0025478D" w:rsidRPr="001F27F6" w:rsidRDefault="0025478D" w:rsidP="0025478D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ES_tradnl"/>
        </w:rPr>
      </w:pPr>
      <w:r w:rsidRPr="001F27F6">
        <w:rPr>
          <w:lang w:val="es-ES_tradnl"/>
        </w:rPr>
        <w:t>Desde la introducción del sistema único de contribuciones en 1994 y la creación de nuevas clases de contribuciones, más equitativas, para los países en desarrollo, los atrasos en las contribuciones y los fondos de operaciones se han reducido considerablemente. Al 31 de diciembre de 1993, el total de atrasos en las contribuciones y los fondos de operaciones ascendía a 15,12 millones de francos suizos y el número de países que debían pagar una contribución anual era de 140. Al 31 de diciembre de 2023, el total de atrasos en las contribuciones y los fondos de operaciones ascendía a 7,94 millones de francos suizos y el número de países que debían pagar una contribución anual era de 194.</w:t>
      </w:r>
    </w:p>
    <w:p w14:paraId="3C7E0D37" w14:textId="77777777" w:rsidR="0025478D" w:rsidRPr="001F27F6" w:rsidRDefault="0025478D" w:rsidP="00D65F37">
      <w:pPr>
        <w:numPr>
          <w:ilvl w:val="0"/>
          <w:numId w:val="7"/>
        </w:numPr>
        <w:spacing w:after="240"/>
        <w:ind w:left="0" w:firstLine="0"/>
        <w:rPr>
          <w:noProof/>
          <w:szCs w:val="22"/>
          <w:lang w:val="es-ES_tradnl"/>
        </w:rPr>
      </w:pPr>
      <w:r w:rsidRPr="001F27F6">
        <w:rPr>
          <w:lang w:val="es-ES_tradnl"/>
        </w:rPr>
        <w:t>En el cuadro siguiente figuran los importes de los atrasos en las contribuciones (incluidos los atrasos “bloqueados” de los PMA) y en los fondos de operaciones desde 2014.</w:t>
      </w:r>
    </w:p>
    <w:p w14:paraId="4ACDC6A1" w14:textId="7472907A" w:rsidR="0025478D" w:rsidRPr="001F27F6" w:rsidRDefault="00D65F37" w:rsidP="00D65F37">
      <w:pPr>
        <w:spacing w:after="600"/>
        <w:rPr>
          <w:lang w:val="es-ES_tradnl"/>
        </w:rPr>
      </w:pPr>
      <w:r w:rsidRPr="001F27F6">
        <w:rPr>
          <w:noProof/>
          <w:lang w:val="es-ES_tradnl"/>
        </w:rPr>
        <w:drawing>
          <wp:inline distT="0" distB="0" distL="0" distR="0" wp14:anchorId="6A1D9287" wp14:editId="42D683D4">
            <wp:extent cx="5839485" cy="2659398"/>
            <wp:effectExtent l="0" t="0" r="8890" b="7620"/>
            <wp:docPr id="22" name="Picture 22" descr="Cuadro: Atrasos en las contribuciones, 10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uadro: Atrasos en las contribuciones, 10 año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16" cy="266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EC92" w14:textId="55E0DA7F" w:rsidR="00152CEA" w:rsidRPr="001F27F6" w:rsidRDefault="0025478D" w:rsidP="0025478D">
      <w:pPr>
        <w:pStyle w:val="DecisionInvitingPara"/>
        <w:spacing w:before="480"/>
        <w:ind w:left="5533"/>
        <w:jc w:val="left"/>
        <w:rPr>
          <w:i w:val="0"/>
          <w:sz w:val="22"/>
          <w:szCs w:val="22"/>
          <w:lang w:val="es-ES_tradnl"/>
        </w:rPr>
      </w:pPr>
      <w:r w:rsidRPr="001F27F6">
        <w:rPr>
          <w:i w:val="0"/>
          <w:sz w:val="22"/>
          <w:lang w:val="es-ES_tradnl"/>
        </w:rPr>
        <w:t>[Fin del documento]</w:t>
      </w:r>
    </w:p>
    <w:sectPr w:rsidR="00152CEA" w:rsidRPr="001F27F6" w:rsidSect="0025478D">
      <w:headerReference w:type="defaul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C29C" w14:textId="77777777" w:rsidR="0025478D" w:rsidRDefault="0025478D">
      <w:r>
        <w:separator/>
      </w:r>
    </w:p>
  </w:endnote>
  <w:endnote w:type="continuationSeparator" w:id="0">
    <w:p w14:paraId="2D1F37A7" w14:textId="77777777" w:rsidR="0025478D" w:rsidRPr="009D30E6" w:rsidRDefault="0025478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1A6C10F" w14:textId="77777777" w:rsidR="0025478D" w:rsidRPr="007E663E" w:rsidRDefault="0025478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2CBDC8B" w14:textId="77777777" w:rsidR="0025478D" w:rsidRPr="007E663E" w:rsidRDefault="0025478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8D2E" w14:textId="77777777" w:rsidR="0025478D" w:rsidRDefault="0025478D">
      <w:r>
        <w:separator/>
      </w:r>
    </w:p>
  </w:footnote>
  <w:footnote w:type="continuationSeparator" w:id="0">
    <w:p w14:paraId="2671B60F" w14:textId="77777777" w:rsidR="0025478D" w:rsidRPr="009D30E6" w:rsidRDefault="0025478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623497" w14:textId="77777777" w:rsidR="0025478D" w:rsidRPr="007E663E" w:rsidRDefault="0025478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112B410" w14:textId="77777777" w:rsidR="0025478D" w:rsidRPr="007E663E" w:rsidRDefault="0025478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D892" w14:textId="77777777" w:rsidR="00F84474" w:rsidRDefault="0025478D" w:rsidP="00477D6B">
    <w:pPr>
      <w:jc w:val="right"/>
    </w:pPr>
    <w:bookmarkStart w:id="5" w:name="Code2"/>
    <w:bookmarkEnd w:id="5"/>
    <w:r>
      <w:t>A/65/INF/4</w:t>
    </w:r>
  </w:p>
  <w:p w14:paraId="6D62626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265217D" w14:textId="77777777" w:rsidR="00F84474" w:rsidRDefault="00F84474" w:rsidP="00477D6B">
    <w:pPr>
      <w:jc w:val="right"/>
    </w:pPr>
  </w:p>
  <w:p w14:paraId="2CC2BB29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95938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8D"/>
    <w:rsid w:val="000E3BB3"/>
    <w:rsid w:val="000F5E56"/>
    <w:rsid w:val="001362EE"/>
    <w:rsid w:val="00152CEA"/>
    <w:rsid w:val="001832A6"/>
    <w:rsid w:val="001C4DD3"/>
    <w:rsid w:val="001D50D1"/>
    <w:rsid w:val="001F27F6"/>
    <w:rsid w:val="002334B1"/>
    <w:rsid w:val="0025478D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A7B16"/>
    <w:rsid w:val="004A7D33"/>
    <w:rsid w:val="004F7418"/>
    <w:rsid w:val="00511D0C"/>
    <w:rsid w:val="0055013B"/>
    <w:rsid w:val="0056224D"/>
    <w:rsid w:val="00571B99"/>
    <w:rsid w:val="005D64EC"/>
    <w:rsid w:val="00605827"/>
    <w:rsid w:val="00675021"/>
    <w:rsid w:val="0069159F"/>
    <w:rsid w:val="006A06C6"/>
    <w:rsid w:val="007E63AC"/>
    <w:rsid w:val="007E663E"/>
    <w:rsid w:val="00815082"/>
    <w:rsid w:val="0081706A"/>
    <w:rsid w:val="00843582"/>
    <w:rsid w:val="00847EE5"/>
    <w:rsid w:val="008B14EA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8121F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65F37"/>
    <w:rsid w:val="00D71B4D"/>
    <w:rsid w:val="00D90289"/>
    <w:rsid w:val="00D93D55"/>
    <w:rsid w:val="00E45C84"/>
    <w:rsid w:val="00E504E5"/>
    <w:rsid w:val="00E73ABF"/>
    <w:rsid w:val="00EB7A3E"/>
    <w:rsid w:val="00EC401A"/>
    <w:rsid w:val="00EC62D1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3748A"/>
  <w15:docId w15:val="{59E72706-219E-46B1-8E01-74F0C791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25478D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(S).dotm</Template>
  <TotalTime>2</TotalTime>
  <Pages>9</Pages>
  <Words>843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A/65/INF/4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A/65/INF/4</dc:title>
  <dc:creator>WIPO</dc:creator>
  <cp:keywords/>
  <cp:lastModifiedBy>HÄFLIGER Patience</cp:lastModifiedBy>
  <cp:revision>3</cp:revision>
  <dcterms:created xsi:type="dcterms:W3CDTF">2024-06-25T09:19:00Z</dcterms:created>
  <dcterms:modified xsi:type="dcterms:W3CDTF">2024-06-25T09:43:00Z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