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1E0"/>
      </w:tblPr>
      <w:tblGrid>
        <w:gridCol w:w="4513"/>
        <w:gridCol w:w="4337"/>
        <w:gridCol w:w="506"/>
      </w:tblGrid>
      <w:tr w:rsidR="00801018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01018" w:rsidRPr="008B2CC1" w:rsidRDefault="00801018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801018" w:rsidRPr="008B2CC1" w:rsidRDefault="00801018" w:rsidP="00AB613D">
            <w:r w:rsidRPr="00B72A81"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WIPO-S" style="width:2in;height:104.25pt;visibility:visible">
                  <v:imagedata r:id="rId7" o:title=""/>
                </v:shape>
              </w:pic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01018" w:rsidRPr="008B2CC1" w:rsidRDefault="00801018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01018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01018" w:rsidRPr="0090731E" w:rsidRDefault="00801018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E33AA">
              <w:rPr>
                <w:rFonts w:ascii="Arial Black" w:hAnsi="Arial Black"/>
                <w:caps/>
                <w:sz w:val="15"/>
              </w:rPr>
              <w:t>H/A/32/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01018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01018" w:rsidRPr="0090731E" w:rsidRDefault="00801018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01018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01018" w:rsidRPr="0090731E" w:rsidRDefault="00801018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24 de junio de 2013</w:t>
            </w:r>
          </w:p>
        </w:tc>
      </w:tr>
    </w:tbl>
    <w:p w:rsidR="00801018" w:rsidRPr="008B2CC1" w:rsidRDefault="00801018" w:rsidP="008B2CC1"/>
    <w:p w:rsidR="00801018" w:rsidRPr="008B2CC1" w:rsidRDefault="00801018" w:rsidP="008B2CC1"/>
    <w:p w:rsidR="00801018" w:rsidRPr="008B2CC1" w:rsidRDefault="00801018" w:rsidP="008B2CC1"/>
    <w:p w:rsidR="00801018" w:rsidRPr="008B2CC1" w:rsidRDefault="00801018" w:rsidP="008B2CC1"/>
    <w:p w:rsidR="00801018" w:rsidRPr="008B2CC1" w:rsidRDefault="00801018" w:rsidP="008B2CC1"/>
    <w:p w:rsidR="00801018" w:rsidRPr="003845C1" w:rsidRDefault="00801018" w:rsidP="008B2CC1">
      <w:pPr>
        <w:rPr>
          <w:b/>
          <w:sz w:val="28"/>
          <w:szCs w:val="28"/>
        </w:rPr>
      </w:pPr>
      <w:r w:rsidRPr="007E33AA">
        <w:rPr>
          <w:b/>
          <w:sz w:val="28"/>
          <w:szCs w:val="28"/>
        </w:rPr>
        <w:t>Unión Particular para el Depósito Internacional de Dibujos y Modelos Industriales (Unión de La Haya)</w:t>
      </w:r>
    </w:p>
    <w:p w:rsidR="00801018" w:rsidRDefault="00801018" w:rsidP="003845C1"/>
    <w:p w:rsidR="00801018" w:rsidRDefault="00801018" w:rsidP="003845C1"/>
    <w:p w:rsidR="00801018" w:rsidRPr="001C4DD3" w:rsidRDefault="00801018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801018" w:rsidRDefault="00801018" w:rsidP="003845C1"/>
    <w:p w:rsidR="00801018" w:rsidRDefault="00801018" w:rsidP="003845C1"/>
    <w:p w:rsidR="00801018" w:rsidRPr="003845C1" w:rsidRDefault="00801018" w:rsidP="008B2CC1">
      <w:pPr>
        <w:rPr>
          <w:b/>
          <w:sz w:val="24"/>
          <w:szCs w:val="24"/>
        </w:rPr>
      </w:pPr>
      <w:r w:rsidRPr="007E33AA">
        <w:rPr>
          <w:b/>
          <w:sz w:val="24"/>
          <w:szCs w:val="24"/>
        </w:rPr>
        <w:t>Trigésimo segundo período de sesiones (19° ordinario)</w:t>
      </w:r>
    </w:p>
    <w:p w:rsidR="00801018" w:rsidRPr="003845C1" w:rsidRDefault="00801018" w:rsidP="008B2CC1">
      <w:pPr>
        <w:rPr>
          <w:b/>
          <w:sz w:val="24"/>
          <w:szCs w:val="24"/>
        </w:rPr>
      </w:pPr>
      <w:r w:rsidRPr="007E33AA">
        <w:rPr>
          <w:b/>
          <w:sz w:val="24"/>
          <w:szCs w:val="24"/>
        </w:rPr>
        <w:t>Ginebra, 23 de septiembre a 2 de octubre de 2013</w:t>
      </w:r>
    </w:p>
    <w:p w:rsidR="00801018" w:rsidRPr="008B2CC1" w:rsidRDefault="00801018" w:rsidP="008B2CC1"/>
    <w:p w:rsidR="00801018" w:rsidRPr="008B2CC1" w:rsidRDefault="00801018" w:rsidP="008B2CC1"/>
    <w:p w:rsidR="00801018" w:rsidRPr="008B2CC1" w:rsidRDefault="00801018" w:rsidP="008B2CC1"/>
    <w:p w:rsidR="00801018" w:rsidRPr="00767AB7" w:rsidRDefault="00801018" w:rsidP="00E21203">
      <w:pPr>
        <w:rPr>
          <w:caps/>
          <w:sz w:val="24"/>
        </w:rPr>
      </w:pPr>
      <w:bookmarkStart w:id="3" w:name="TitleOfDoc"/>
      <w:bookmarkEnd w:id="3"/>
      <w:r w:rsidRPr="00767AB7">
        <w:rPr>
          <w:caps/>
          <w:sz w:val="24"/>
        </w:rPr>
        <w:t>programa de modernización de las tecnologías de la información (SISTEMA DE LA HAYA DE REGISTRO INTERNACIONAL):  INFORME SOBRE LA MARCHA DE LAS ACTIVIDADES</w:t>
      </w:r>
    </w:p>
    <w:p w:rsidR="00801018" w:rsidRPr="008B2CC1" w:rsidRDefault="00801018" w:rsidP="00E21203"/>
    <w:p w:rsidR="00801018" w:rsidRPr="008B2CC1" w:rsidRDefault="00801018" w:rsidP="00E21203">
      <w:pPr>
        <w:rPr>
          <w:i/>
        </w:rPr>
      </w:pPr>
      <w:bookmarkStart w:id="4" w:name="Prepared"/>
      <w:bookmarkEnd w:id="4"/>
      <w:r w:rsidRPr="003A1A48">
        <w:rPr>
          <w:i/>
        </w:rPr>
        <w:t>preparado por la Oficina Internacional</w:t>
      </w:r>
    </w:p>
    <w:p w:rsidR="00801018" w:rsidRDefault="00801018"/>
    <w:p w:rsidR="00801018" w:rsidRDefault="00801018"/>
    <w:p w:rsidR="00801018" w:rsidRDefault="00801018"/>
    <w:p w:rsidR="00801018" w:rsidRPr="001C1D37" w:rsidRDefault="00801018" w:rsidP="000A4542">
      <w:pPr>
        <w:pStyle w:val="Heading1"/>
        <w:keepNext w:val="0"/>
      </w:pPr>
      <w:r w:rsidRPr="001C1D37">
        <w:t>INTRODUCCIÓN</w:t>
      </w:r>
    </w:p>
    <w:p w:rsidR="00801018" w:rsidRPr="000743F8" w:rsidRDefault="00801018" w:rsidP="000A4542">
      <w:pPr>
        <w:pStyle w:val="Heading1"/>
        <w:keepNext w:val="0"/>
        <w:rPr>
          <w:b w:val="0"/>
          <w:bCs w:val="0"/>
          <w:caps w:val="0"/>
          <w:kern w:val="0"/>
          <w:szCs w:val="20"/>
        </w:rPr>
      </w:pPr>
      <w:r w:rsidRPr="000743F8">
        <w:rPr>
          <w:b w:val="0"/>
          <w:bCs w:val="0"/>
          <w:caps w:val="0"/>
          <w:kern w:val="0"/>
          <w:szCs w:val="20"/>
        </w:rPr>
        <w:t>1.</w:t>
      </w:r>
      <w:r w:rsidRPr="000743F8">
        <w:rPr>
          <w:b w:val="0"/>
          <w:bCs w:val="0"/>
          <w:caps w:val="0"/>
          <w:kern w:val="0"/>
          <w:szCs w:val="20"/>
        </w:rPr>
        <w:tab/>
        <w:t>La finalidad del presente documento es reseñar los avances del programa de modernización de las tecnologías de la información (T.I.) (denominado, en adelante, “el</w:t>
      </w:r>
      <w:r>
        <w:rPr>
          <w:b w:val="0"/>
          <w:bCs w:val="0"/>
          <w:caps w:val="0"/>
          <w:kern w:val="0"/>
          <w:szCs w:val="20"/>
        </w:rPr>
        <w:t> </w:t>
      </w:r>
      <w:r w:rsidRPr="000743F8">
        <w:rPr>
          <w:b w:val="0"/>
          <w:bCs w:val="0"/>
          <w:caps w:val="0"/>
          <w:kern w:val="0"/>
          <w:szCs w:val="20"/>
        </w:rPr>
        <w:t xml:space="preserve">programa”) desde el último período de sesiones de la Asamblea de la Unión de </w:t>
      </w:r>
      <w:r>
        <w:rPr>
          <w:b w:val="0"/>
          <w:bCs w:val="0"/>
          <w:caps w:val="0"/>
          <w:kern w:val="0"/>
          <w:szCs w:val="20"/>
        </w:rPr>
        <w:t>La Haya</w:t>
      </w:r>
      <w:r w:rsidRPr="000743F8">
        <w:rPr>
          <w:b w:val="0"/>
          <w:bCs w:val="0"/>
          <w:caps w:val="0"/>
          <w:kern w:val="0"/>
          <w:szCs w:val="20"/>
        </w:rPr>
        <w:t xml:space="preserve"> (denominada, en lo sucesivo, “la Asamblea”), celebrado en octubre de 2012.  Además, el presente documento contiene información actualizada destinada a los Estados miembros de la Asamblea relativa a las modificaciones introducidas en el enfoque general aplicado con miras a finalizar el programa, y se notifican los cambi</w:t>
      </w:r>
      <w:r>
        <w:rPr>
          <w:b w:val="0"/>
          <w:bCs w:val="0"/>
          <w:caps w:val="0"/>
          <w:kern w:val="0"/>
          <w:szCs w:val="20"/>
        </w:rPr>
        <w:t>os del calendario del programa.</w:t>
      </w:r>
    </w:p>
    <w:p w:rsidR="00801018" w:rsidRPr="000743F8" w:rsidRDefault="00801018" w:rsidP="000A4542">
      <w:pPr>
        <w:pStyle w:val="Heading1"/>
        <w:keepNext w:val="0"/>
        <w:rPr>
          <w:b w:val="0"/>
          <w:bCs w:val="0"/>
          <w:caps w:val="0"/>
          <w:kern w:val="0"/>
          <w:szCs w:val="20"/>
        </w:rPr>
      </w:pPr>
      <w:r w:rsidRPr="000743F8">
        <w:rPr>
          <w:b w:val="0"/>
          <w:bCs w:val="0"/>
          <w:caps w:val="0"/>
          <w:kern w:val="0"/>
          <w:szCs w:val="20"/>
        </w:rPr>
        <w:t>2.</w:t>
      </w:r>
      <w:r w:rsidRPr="000743F8">
        <w:rPr>
          <w:b w:val="0"/>
          <w:bCs w:val="0"/>
          <w:caps w:val="0"/>
          <w:kern w:val="0"/>
          <w:szCs w:val="20"/>
        </w:rPr>
        <w:tab/>
        <w:t xml:space="preserve">El documento </w:t>
      </w:r>
      <w:r>
        <w:rPr>
          <w:b w:val="0"/>
          <w:bCs w:val="0"/>
          <w:caps w:val="0"/>
          <w:kern w:val="0"/>
          <w:szCs w:val="20"/>
        </w:rPr>
        <w:t>H</w:t>
      </w:r>
      <w:r w:rsidRPr="000743F8">
        <w:rPr>
          <w:b w:val="0"/>
          <w:bCs w:val="0"/>
          <w:caps w:val="0"/>
          <w:kern w:val="0"/>
          <w:szCs w:val="20"/>
        </w:rPr>
        <w:t>/A/</w:t>
      </w:r>
      <w:r>
        <w:rPr>
          <w:b w:val="0"/>
          <w:bCs w:val="0"/>
          <w:caps w:val="0"/>
          <w:kern w:val="0"/>
          <w:szCs w:val="20"/>
        </w:rPr>
        <w:t>31</w:t>
      </w:r>
      <w:r w:rsidRPr="000743F8">
        <w:rPr>
          <w:b w:val="0"/>
          <w:bCs w:val="0"/>
          <w:caps w:val="0"/>
          <w:kern w:val="0"/>
          <w:szCs w:val="20"/>
        </w:rPr>
        <w:t>/</w:t>
      </w:r>
      <w:r>
        <w:rPr>
          <w:b w:val="0"/>
          <w:bCs w:val="0"/>
          <w:caps w:val="0"/>
          <w:kern w:val="0"/>
          <w:szCs w:val="20"/>
        </w:rPr>
        <w:t>1</w:t>
      </w:r>
      <w:r w:rsidRPr="000743F8">
        <w:rPr>
          <w:b w:val="0"/>
          <w:bCs w:val="0"/>
          <w:caps w:val="0"/>
          <w:kern w:val="0"/>
          <w:szCs w:val="20"/>
        </w:rPr>
        <w:t xml:space="preserve"> contiene el informe anterior sobre la marcha de </w:t>
      </w:r>
      <w:r>
        <w:rPr>
          <w:b w:val="0"/>
          <w:bCs w:val="0"/>
          <w:caps w:val="0"/>
          <w:kern w:val="0"/>
          <w:szCs w:val="20"/>
        </w:rPr>
        <w:t xml:space="preserve">las actividades del programa.  </w:t>
      </w:r>
    </w:p>
    <w:p w:rsidR="00801018" w:rsidRDefault="00801018" w:rsidP="000A4542">
      <w:pPr>
        <w:pStyle w:val="Heading1"/>
        <w:keepNext w:val="0"/>
        <w:rPr>
          <w:b w:val="0"/>
          <w:bCs w:val="0"/>
          <w:caps w:val="0"/>
          <w:kern w:val="0"/>
          <w:szCs w:val="20"/>
        </w:rPr>
      </w:pPr>
      <w:r w:rsidRPr="000743F8">
        <w:rPr>
          <w:b w:val="0"/>
          <w:bCs w:val="0"/>
          <w:caps w:val="0"/>
          <w:kern w:val="0"/>
          <w:szCs w:val="20"/>
        </w:rPr>
        <w:t>3.</w:t>
      </w:r>
      <w:r w:rsidRPr="000743F8">
        <w:rPr>
          <w:b w:val="0"/>
          <w:bCs w:val="0"/>
          <w:caps w:val="0"/>
          <w:kern w:val="0"/>
          <w:szCs w:val="20"/>
        </w:rPr>
        <w:tab/>
        <w:t>Se recuerda que el programa ha de ejecutarse en dos fases:  la fas</w:t>
      </w:r>
      <w:r>
        <w:rPr>
          <w:b w:val="0"/>
          <w:bCs w:val="0"/>
          <w:caps w:val="0"/>
          <w:kern w:val="0"/>
          <w:szCs w:val="20"/>
        </w:rPr>
        <w:t>e I y la fase II.  La fase </w:t>
      </w:r>
      <w:r w:rsidRPr="000743F8">
        <w:rPr>
          <w:b w:val="0"/>
          <w:bCs w:val="0"/>
          <w:caps w:val="0"/>
          <w:kern w:val="0"/>
          <w:szCs w:val="20"/>
        </w:rPr>
        <w:t xml:space="preserve">I consta de subproyectos destinados a producir resultados positivos inmediatos o a servir para sentar las bases técnicas de la fase II.  La fase II corresponde a la migración técnica propiamente dicha de cada uno de los </w:t>
      </w:r>
      <w:r>
        <w:rPr>
          <w:b w:val="0"/>
          <w:bCs w:val="0"/>
          <w:caps w:val="0"/>
          <w:kern w:val="0"/>
          <w:szCs w:val="20"/>
        </w:rPr>
        <w:t>componentes</w:t>
      </w:r>
      <w:r w:rsidRPr="000743F8">
        <w:rPr>
          <w:b w:val="0"/>
          <w:bCs w:val="0"/>
          <w:caps w:val="0"/>
          <w:kern w:val="0"/>
          <w:szCs w:val="20"/>
        </w:rPr>
        <w:t xml:space="preserve"> del sistema de T.I. existente, que se utiliza tanto para los procedimientos de registro internacional del sistema de Madrid como para los </w:t>
      </w:r>
    </w:p>
    <w:p w:rsidR="00801018" w:rsidRPr="000743F8" w:rsidRDefault="00801018" w:rsidP="000A4542">
      <w:pPr>
        <w:pStyle w:val="Heading1"/>
        <w:keepNext w:val="0"/>
        <w:rPr>
          <w:b w:val="0"/>
          <w:bCs w:val="0"/>
          <w:caps w:val="0"/>
          <w:kern w:val="0"/>
          <w:szCs w:val="20"/>
        </w:rPr>
      </w:pPr>
      <w:r>
        <w:rPr>
          <w:b w:val="0"/>
          <w:bCs w:val="0"/>
          <w:caps w:val="0"/>
          <w:kern w:val="0"/>
          <w:szCs w:val="20"/>
        </w:rPr>
        <w:br w:type="page"/>
      </w:r>
      <w:r w:rsidRPr="000743F8">
        <w:rPr>
          <w:b w:val="0"/>
          <w:bCs w:val="0"/>
          <w:caps w:val="0"/>
          <w:kern w:val="0"/>
          <w:szCs w:val="20"/>
        </w:rPr>
        <w:t>procedimientos del sistema de La Haya, a un sistema de tecnología moderna que permitirá garantizar que las partes interesadas de los sistemas de Madrid y La Haya se beneficien en años venideros de una plataforma técnic</w:t>
      </w:r>
      <w:r>
        <w:rPr>
          <w:b w:val="0"/>
          <w:bCs w:val="0"/>
          <w:caps w:val="0"/>
          <w:kern w:val="0"/>
          <w:szCs w:val="20"/>
        </w:rPr>
        <w:t>a equiparable a otras del sector.</w:t>
      </w:r>
    </w:p>
    <w:p w:rsidR="00801018" w:rsidRDefault="00801018" w:rsidP="000A4542">
      <w:pPr>
        <w:pStyle w:val="Heading1"/>
        <w:keepNext w:val="0"/>
        <w:rPr>
          <w:b w:val="0"/>
          <w:bCs w:val="0"/>
          <w:caps w:val="0"/>
          <w:kern w:val="0"/>
          <w:szCs w:val="20"/>
        </w:rPr>
      </w:pPr>
      <w:r w:rsidRPr="000743F8">
        <w:rPr>
          <w:b w:val="0"/>
          <w:bCs w:val="0"/>
          <w:caps w:val="0"/>
          <w:kern w:val="0"/>
          <w:szCs w:val="20"/>
        </w:rPr>
        <w:t>4.</w:t>
      </w:r>
      <w:r w:rsidRPr="000743F8">
        <w:rPr>
          <w:b w:val="0"/>
          <w:bCs w:val="0"/>
          <w:caps w:val="0"/>
          <w:kern w:val="0"/>
          <w:szCs w:val="20"/>
        </w:rPr>
        <w:tab/>
        <w:t xml:space="preserve">Se recuerda, además, que en su </w:t>
      </w:r>
      <w:r>
        <w:rPr>
          <w:b w:val="0"/>
          <w:bCs w:val="0"/>
          <w:caps w:val="0"/>
          <w:kern w:val="0"/>
          <w:szCs w:val="20"/>
        </w:rPr>
        <w:t>trigésimo primer</w:t>
      </w:r>
      <w:r w:rsidRPr="000743F8">
        <w:rPr>
          <w:b w:val="0"/>
          <w:bCs w:val="0"/>
          <w:caps w:val="0"/>
          <w:kern w:val="0"/>
          <w:szCs w:val="20"/>
        </w:rPr>
        <w:t xml:space="preserve"> período de sesiones (</w:t>
      </w:r>
      <w:r>
        <w:rPr>
          <w:b w:val="0"/>
          <w:bCs w:val="0"/>
          <w:caps w:val="0"/>
          <w:kern w:val="0"/>
          <w:szCs w:val="20"/>
        </w:rPr>
        <w:t>13</w:t>
      </w:r>
      <w:r w:rsidRPr="00E83904">
        <w:rPr>
          <w:b w:val="0"/>
          <w:bCs w:val="0"/>
          <w:caps w:val="0"/>
          <w:kern w:val="0"/>
          <w:szCs w:val="20"/>
        </w:rPr>
        <w:t>°</w:t>
      </w:r>
      <w:r>
        <w:rPr>
          <w:b w:val="0"/>
          <w:bCs w:val="0"/>
          <w:caps w:val="0"/>
          <w:kern w:val="0"/>
          <w:szCs w:val="20"/>
        </w:rPr>
        <w:t xml:space="preserve"> extraordinario</w:t>
      </w:r>
      <w:r w:rsidRPr="000743F8">
        <w:rPr>
          <w:b w:val="0"/>
          <w:bCs w:val="0"/>
          <w:caps w:val="0"/>
          <w:kern w:val="0"/>
          <w:szCs w:val="20"/>
        </w:rPr>
        <w:t xml:space="preserve"> ordinario), la Asamblea aprobó que la fecha revisada para la finalización de la fase II fuera mediados de 2013, y señaló que el importe total de la asignación de recursos </w:t>
      </w:r>
      <w:r>
        <w:rPr>
          <w:b w:val="0"/>
          <w:bCs w:val="0"/>
          <w:caps w:val="0"/>
          <w:kern w:val="0"/>
          <w:szCs w:val="20"/>
        </w:rPr>
        <w:t>para el proyecto  ascendía a 11.</w:t>
      </w:r>
      <w:r w:rsidRPr="000743F8">
        <w:rPr>
          <w:b w:val="0"/>
          <w:bCs w:val="0"/>
          <w:caps w:val="0"/>
          <w:kern w:val="0"/>
          <w:szCs w:val="20"/>
        </w:rPr>
        <w:t>731</w:t>
      </w:r>
      <w:r>
        <w:rPr>
          <w:b w:val="0"/>
          <w:bCs w:val="0"/>
          <w:caps w:val="0"/>
          <w:kern w:val="0"/>
          <w:szCs w:val="20"/>
        </w:rPr>
        <w:t>.000 francos suizos</w:t>
      </w:r>
      <w:r w:rsidRPr="000743F8">
        <w:rPr>
          <w:b w:val="0"/>
          <w:bCs w:val="0"/>
          <w:caps w:val="0"/>
          <w:kern w:val="0"/>
          <w:szCs w:val="20"/>
        </w:rPr>
        <w:t xml:space="preserve"> (3 millones de francos suizos aprobados por la Asamblea de la Unión de La Haya</w:t>
      </w:r>
      <w:r>
        <w:rPr>
          <w:b w:val="0"/>
          <w:bCs w:val="0"/>
          <w:caps w:val="0"/>
          <w:kern w:val="0"/>
          <w:szCs w:val="20"/>
        </w:rPr>
        <w:t xml:space="preserve"> y 8.</w:t>
      </w:r>
      <w:r w:rsidRPr="000743F8">
        <w:rPr>
          <w:b w:val="0"/>
          <w:bCs w:val="0"/>
          <w:caps w:val="0"/>
          <w:kern w:val="0"/>
          <w:szCs w:val="20"/>
        </w:rPr>
        <w:t>731</w:t>
      </w:r>
      <w:r>
        <w:rPr>
          <w:b w:val="0"/>
          <w:bCs w:val="0"/>
          <w:caps w:val="0"/>
          <w:kern w:val="0"/>
          <w:szCs w:val="20"/>
        </w:rPr>
        <w:t>.000 francos suizos</w:t>
      </w:r>
      <w:r w:rsidRPr="000743F8">
        <w:rPr>
          <w:b w:val="0"/>
          <w:bCs w:val="0"/>
          <w:caps w:val="0"/>
          <w:kern w:val="0"/>
          <w:szCs w:val="20"/>
        </w:rPr>
        <w:t xml:space="preserve"> aprobados por la </w:t>
      </w:r>
      <w:r>
        <w:rPr>
          <w:b w:val="0"/>
          <w:bCs w:val="0"/>
          <w:caps w:val="0"/>
          <w:kern w:val="0"/>
          <w:szCs w:val="20"/>
        </w:rPr>
        <w:t>Asamblea de la Unión de Madrid</w:t>
      </w:r>
      <w:r w:rsidRPr="000743F8">
        <w:rPr>
          <w:b w:val="0"/>
          <w:bCs w:val="0"/>
          <w:caps w:val="0"/>
          <w:kern w:val="0"/>
          <w:szCs w:val="20"/>
        </w:rPr>
        <w:t>).</w:t>
      </w:r>
    </w:p>
    <w:p w:rsidR="00801018" w:rsidRPr="000A4542" w:rsidRDefault="00801018" w:rsidP="000A4542"/>
    <w:p w:rsidR="00801018" w:rsidRDefault="00801018" w:rsidP="000743F8">
      <w:pPr>
        <w:pStyle w:val="Heading1"/>
      </w:pPr>
      <w:r>
        <w:t>ESTADO DE EJECUCIÓN – FASE I</w:t>
      </w:r>
    </w:p>
    <w:p w:rsidR="00801018" w:rsidRPr="001C1D37" w:rsidRDefault="00801018" w:rsidP="001C1D37"/>
    <w:p w:rsidR="00801018" w:rsidRDefault="00801018" w:rsidP="000743F8">
      <w:pPr>
        <w:pStyle w:val="ONUMFS"/>
      </w:pPr>
      <w:r>
        <w:t xml:space="preserve">En mayo de </w:t>
      </w:r>
      <w:r>
        <w:rPr>
          <w:snapToGrid w:val="0"/>
        </w:rPr>
        <w:t>201</w:t>
      </w:r>
      <w:r w:rsidRPr="00DC13B8">
        <w:rPr>
          <w:snapToGrid w:val="0"/>
        </w:rPr>
        <w:t>3</w:t>
      </w:r>
      <w:r>
        <w:t xml:space="preserve"> se puso a disposición de un grupo de usuarios una nueva versión de la aplicación de presentación de solicitudes electrónicas.  Dicha aplicación será sometida a pruebas y seguidamente se pondrá a disposición del público en general en sustitución de la versión que se viene utilizando desde principios de 2008.</w:t>
      </w:r>
    </w:p>
    <w:p w:rsidR="00801018" w:rsidRDefault="00801018" w:rsidP="000743F8">
      <w:pPr>
        <w:pStyle w:val="ONUMFS"/>
      </w:pPr>
      <w:r>
        <w:t>Entre las mejoras que se introdujeron figura la aplicación de nuevas normas de tramitación para evitar determinadas irregularidades como, por ejemplo, la presentación de campos de datos que corresponden específicamente a las Partes Contratantes (por ejemplo, el nombre del creador), así como la verificación de la facultad de pedir el aplazamiento de la publicación y la verificación de la Clasificación de Locarno.  Se incluyeron también nuevas características que permitieron conservar e imprimir acuses de recibo, realizar pagos electrónicos por cuenta corriente o mediante tarjeta de crédito y volver a utilizar datos de solicitudes anteriores mediante una plantilla de solicitud rellenada de antemano.  A ello vendrán a añadirse los nuevos controles automáticos que se llevarán a cabo para comprobar el formato y el tamaño de las imágenes cargadas.</w:t>
      </w:r>
    </w:p>
    <w:p w:rsidR="00801018" w:rsidRDefault="00801018" w:rsidP="000743F8">
      <w:pPr>
        <w:pStyle w:val="ONUMFS"/>
      </w:pPr>
      <w:r>
        <w:t>Se contará también con funciones de gestión de cartera, que permitirán una mejor administración de las solicitudes que se presenten por medios electrónicos como, por ejemplo, una herramienta para recibir y responder a cartas de irregularidad utilizando la misma interfaz electrónica de presentación por Internet y la posibilidad de gestionar los correspondientes registros internacionales.</w:t>
      </w:r>
    </w:p>
    <w:p w:rsidR="00801018" w:rsidRDefault="00801018" w:rsidP="000A4542">
      <w:pPr>
        <w:pStyle w:val="ONUMFS"/>
      </w:pPr>
      <w:r>
        <w:t xml:space="preserve">La aplicación de presentación electrónica de solicitudes se puso a disposición de un número limitado de usuarios en mayo de </w:t>
      </w:r>
      <w:r>
        <w:rPr>
          <w:snapToGrid w:val="0"/>
        </w:rPr>
        <w:t>201</w:t>
      </w:r>
      <w:r w:rsidRPr="00DC13B8">
        <w:rPr>
          <w:snapToGrid w:val="0"/>
        </w:rPr>
        <w:t>3</w:t>
      </w:r>
      <w:r>
        <w:t xml:space="preserve"> y está previsto que entre en funcionamiento con carácter generalizado en junio de </w:t>
      </w:r>
      <w:r>
        <w:rPr>
          <w:snapToGrid w:val="0"/>
        </w:rPr>
        <w:t>201</w:t>
      </w:r>
      <w:r w:rsidRPr="00DC13B8">
        <w:rPr>
          <w:snapToGrid w:val="0"/>
        </w:rPr>
        <w:t>3</w:t>
      </w:r>
      <w:r>
        <w:t>, fecha en la que habrán finalizado todas las actividades de la fase I.</w:t>
      </w:r>
    </w:p>
    <w:p w:rsidR="00801018" w:rsidRDefault="00801018" w:rsidP="000A4542">
      <w:pPr>
        <w:pStyle w:val="ONUMFS"/>
        <w:numPr>
          <w:ilvl w:val="0"/>
          <w:numId w:val="0"/>
        </w:numPr>
      </w:pPr>
    </w:p>
    <w:p w:rsidR="00801018" w:rsidRDefault="00801018" w:rsidP="000743F8">
      <w:pPr>
        <w:pStyle w:val="Heading1"/>
      </w:pPr>
      <w:r>
        <w:t>Antecedentes – fase II</w:t>
      </w:r>
    </w:p>
    <w:p w:rsidR="00801018" w:rsidRPr="00EE3E7C" w:rsidRDefault="00801018" w:rsidP="000743F8"/>
    <w:p w:rsidR="00801018" w:rsidRPr="00EE3E7C" w:rsidRDefault="00801018" w:rsidP="000743F8">
      <w:pPr>
        <w:pStyle w:val="ONUMFS"/>
      </w:pPr>
      <w:r>
        <w:t xml:space="preserve">Cabe recordar que el método aprobado a los fines de la ejecución de la fase II del programa consiste en proceder a una migración técnica de cada uno de los componentes del </w:t>
      </w:r>
      <w:r>
        <w:rPr>
          <w:snapToGrid w:val="0"/>
        </w:rPr>
        <w:t xml:space="preserve">sistema de T.I. existente a una estructura moderna utilizando una arquitectura orientada a servicios mediante la selección de un socio externo cualificado en </w:t>
      </w:r>
      <w:r w:rsidRPr="00EE3E7C">
        <w:rPr>
          <w:snapToGrid w:val="0"/>
        </w:rPr>
        <w:t>tecnologías de la información</w:t>
      </w:r>
      <w:r>
        <w:rPr>
          <w:snapToGrid w:val="0"/>
        </w:rPr>
        <w:t>.</w:t>
      </w:r>
    </w:p>
    <w:p w:rsidR="00801018" w:rsidRDefault="00801018" w:rsidP="000743F8">
      <w:pPr>
        <w:pStyle w:val="ONUMFS"/>
        <w:rPr>
          <w:snapToGrid w:val="0"/>
        </w:rPr>
      </w:pPr>
      <w:r>
        <w:rPr>
          <w:snapToGrid w:val="0"/>
        </w:rPr>
        <w:t xml:space="preserve">El objetivo de la migración técnica es la conversión de la aplicación, la </w:t>
      </w:r>
      <w:r w:rsidRPr="00313D60">
        <w:rPr>
          <w:snapToGrid w:val="0"/>
        </w:rPr>
        <w:t>base de datos</w:t>
      </w:r>
      <w:r>
        <w:rPr>
          <w:snapToGrid w:val="0"/>
        </w:rPr>
        <w:t xml:space="preserve"> y el flujo de trabajo interno existentes, pasando del lenguaje de programación Natural y el </w:t>
      </w:r>
      <w:r w:rsidRPr="00313D60">
        <w:rPr>
          <w:snapToGrid w:val="0"/>
        </w:rPr>
        <w:t xml:space="preserve">sistema de </w:t>
      </w:r>
      <w:r>
        <w:rPr>
          <w:snapToGrid w:val="0"/>
        </w:rPr>
        <w:t xml:space="preserve">gestión de </w:t>
      </w:r>
      <w:r w:rsidRPr="00313D60">
        <w:rPr>
          <w:snapToGrid w:val="0"/>
        </w:rPr>
        <w:t>base</w:t>
      </w:r>
      <w:r>
        <w:rPr>
          <w:snapToGrid w:val="0"/>
        </w:rPr>
        <w:t>s</w:t>
      </w:r>
      <w:r w:rsidRPr="00313D60">
        <w:rPr>
          <w:snapToGrid w:val="0"/>
        </w:rPr>
        <w:t xml:space="preserve"> de datos</w:t>
      </w:r>
      <w:r>
        <w:rPr>
          <w:snapToGrid w:val="0"/>
        </w:rPr>
        <w:t xml:space="preserve"> Adabas al lenguaje de programación Java y el </w:t>
      </w:r>
      <w:r w:rsidRPr="00313D60">
        <w:rPr>
          <w:snapToGrid w:val="0"/>
        </w:rPr>
        <w:t xml:space="preserve">sistema de </w:t>
      </w:r>
      <w:r>
        <w:rPr>
          <w:snapToGrid w:val="0"/>
        </w:rPr>
        <w:t xml:space="preserve">gestión </w:t>
      </w:r>
    </w:p>
    <w:p w:rsidR="00801018" w:rsidRPr="00313D60" w:rsidRDefault="00801018" w:rsidP="00310C90">
      <w:pPr>
        <w:pStyle w:val="ONUMFS"/>
        <w:numPr>
          <w:ilvl w:val="0"/>
          <w:numId w:val="0"/>
        </w:numPr>
      </w:pPr>
      <w:r>
        <w:rPr>
          <w:snapToGrid w:val="0"/>
        </w:rPr>
        <w:br w:type="page"/>
        <w:t xml:space="preserve">de </w:t>
      </w:r>
      <w:r w:rsidRPr="00313D60">
        <w:rPr>
          <w:snapToGrid w:val="0"/>
        </w:rPr>
        <w:t>base</w:t>
      </w:r>
      <w:r>
        <w:rPr>
          <w:snapToGrid w:val="0"/>
        </w:rPr>
        <w:t>s</w:t>
      </w:r>
      <w:r w:rsidRPr="00313D60">
        <w:rPr>
          <w:snapToGrid w:val="0"/>
        </w:rPr>
        <w:t xml:space="preserve"> de datos</w:t>
      </w:r>
      <w:r>
        <w:rPr>
          <w:snapToGrid w:val="0"/>
        </w:rPr>
        <w:t xml:space="preserve"> Oracle, lo que comprende la introducción de una herramienta moderna de gestión de actividades (</w:t>
      </w:r>
      <w:r w:rsidRPr="00313D60">
        <w:rPr>
          <w:i/>
          <w:snapToGrid w:val="0"/>
        </w:rPr>
        <w:t>Business Process Management</w:t>
      </w:r>
      <w:r>
        <w:rPr>
          <w:snapToGrid w:val="0"/>
        </w:rPr>
        <w:t>, BPM).  Con esa migración se evitará el riesgo de que la infraestructura actual quede obsoleta.</w:t>
      </w:r>
    </w:p>
    <w:p w:rsidR="00801018" w:rsidRPr="00313D60" w:rsidRDefault="00801018" w:rsidP="000743F8">
      <w:pPr>
        <w:pStyle w:val="ONUMFS"/>
      </w:pPr>
      <w:r>
        <w:rPr>
          <w:snapToGrid w:val="0"/>
        </w:rPr>
        <w:t xml:space="preserve">Uno de los principales desafíos a los que tiene que responder el </w:t>
      </w:r>
      <w:r w:rsidRPr="00313D60">
        <w:rPr>
          <w:snapToGrid w:val="0"/>
        </w:rPr>
        <w:t xml:space="preserve">proyecto de </w:t>
      </w:r>
      <w:r>
        <w:rPr>
          <w:snapToGrid w:val="0"/>
        </w:rPr>
        <w:t>migración técnica es reproducir una interfaz Web para el usuario que sea la más parecida posible a la interfaz actual con el fin de minimizar la formación y el tiempo de aprendizaje del usuario final.</w:t>
      </w:r>
    </w:p>
    <w:p w:rsidR="00801018" w:rsidRDefault="00801018" w:rsidP="000743F8">
      <w:pPr>
        <w:pStyle w:val="ONUMFS"/>
      </w:pPr>
      <w:r>
        <w:rPr>
          <w:snapToGrid w:val="0"/>
        </w:rPr>
        <w:t xml:space="preserve">Cabe también recordar que la modificación de la interfaz de usuario final y la posible reestructuración de los procesos podrían efectuarse como parte de la fase III, nuevamente introducida, del programa (véase el </w:t>
      </w:r>
      <w:r w:rsidRPr="00313D60">
        <w:rPr>
          <w:snapToGrid w:val="0"/>
        </w:rPr>
        <w:t>párrafo</w:t>
      </w:r>
      <w:r>
        <w:rPr>
          <w:snapToGrid w:val="0"/>
        </w:rPr>
        <w:t xml:space="preserve"> 16 del </w:t>
      </w:r>
      <w:r w:rsidRPr="00313D60">
        <w:rPr>
          <w:snapToGrid w:val="0"/>
        </w:rPr>
        <w:t>documento</w:t>
      </w:r>
      <w:r>
        <w:rPr>
          <w:snapToGrid w:val="0"/>
        </w:rPr>
        <w:t xml:space="preserve"> H/A/31/1, en el que se recomienda unificar la fase II y la fase III, con la posibilidad de añadir nuevamente la fase III “en caso de existir claramente la necesidad”).  Toda actividad de la fase III se llevará a cabo con arreglo a la asignación presupuestaria original.</w:t>
      </w:r>
    </w:p>
    <w:p w:rsidR="00801018" w:rsidRDefault="00801018" w:rsidP="000743F8">
      <w:pPr>
        <w:pStyle w:val="Heading1"/>
      </w:pPr>
    </w:p>
    <w:p w:rsidR="00801018" w:rsidRDefault="00801018" w:rsidP="000743F8">
      <w:pPr>
        <w:pStyle w:val="Heading1"/>
        <w:rPr>
          <w:snapToGrid w:val="0"/>
        </w:rPr>
      </w:pPr>
      <w:r w:rsidRPr="00142B8B">
        <w:t>RESULTADOS</w:t>
      </w:r>
      <w:r>
        <w:rPr>
          <w:snapToGrid w:val="0"/>
        </w:rPr>
        <w:t xml:space="preserve"> OBTENIDOS – FASE II</w:t>
      </w:r>
    </w:p>
    <w:p w:rsidR="00801018" w:rsidRPr="00142B8B" w:rsidRDefault="00801018" w:rsidP="000743F8"/>
    <w:p w:rsidR="00801018" w:rsidRDefault="00801018" w:rsidP="00D64D73">
      <w:pPr>
        <w:rPr>
          <w:lang w:val="es-ES_tradnl"/>
        </w:rPr>
      </w:pPr>
      <w:r>
        <w:rPr>
          <w:lang w:val="es-ES_tradnl"/>
        </w:rPr>
        <w:t>13</w:t>
      </w:r>
      <w:r w:rsidRPr="00D0250C">
        <w:rPr>
          <w:lang w:val="es-ES_tradnl"/>
        </w:rPr>
        <w:t>.</w:t>
      </w:r>
      <w:r w:rsidRPr="00D0250C">
        <w:rPr>
          <w:lang w:val="es-ES_tradnl"/>
        </w:rPr>
        <w:tab/>
        <w:t xml:space="preserve">A raíz de la finalización de las etapas I y II del proyecto (análisis y diseño), ELCA (socio externo de </w:t>
      </w:r>
      <w:r>
        <w:rPr>
          <w:lang w:val="es-ES_tradnl"/>
        </w:rPr>
        <w:t>T.I.</w:t>
      </w:r>
      <w:r w:rsidRPr="00D0250C">
        <w:rPr>
          <w:lang w:val="es-ES_tradnl"/>
        </w:rPr>
        <w:t xml:space="preserve"> seleccionado) realizó</w:t>
      </w:r>
      <w:r>
        <w:rPr>
          <w:lang w:val="es-ES_tradnl"/>
        </w:rPr>
        <w:t>,</w:t>
      </w:r>
      <w:r w:rsidRPr="00D0250C">
        <w:rPr>
          <w:lang w:val="es-ES_tradnl"/>
        </w:rPr>
        <w:t xml:space="preserve"> a finales de 2012</w:t>
      </w:r>
      <w:r>
        <w:rPr>
          <w:lang w:val="es-ES_tradnl"/>
        </w:rPr>
        <w:t>,</w:t>
      </w:r>
      <w:r w:rsidRPr="00D0250C">
        <w:rPr>
          <w:lang w:val="es-ES_tradnl"/>
        </w:rPr>
        <w:t xml:space="preserve"> un análisis detenido del código del programa informático programado en lenguaje </w:t>
      </w:r>
      <w:r>
        <w:rPr>
          <w:lang w:val="es-ES_tradnl"/>
        </w:rPr>
        <w:t>N</w:t>
      </w:r>
      <w:r w:rsidRPr="00D0250C">
        <w:rPr>
          <w:lang w:val="es-ES_tradnl"/>
        </w:rPr>
        <w:t>atural con miras a r</w:t>
      </w:r>
      <w:r>
        <w:rPr>
          <w:lang w:val="es-ES_tradnl"/>
        </w:rPr>
        <w:t>e</w:t>
      </w:r>
      <w:r w:rsidRPr="00D0250C">
        <w:rPr>
          <w:lang w:val="es-ES_tradnl"/>
        </w:rPr>
        <w:t>evaluar la complejidad del proyecto de migración y validar los supuestos técnicos formulados durante la preparación de la propuesta de precio fijo.  Del análisis se dedujo que el proyecto de migración técnica de cada uno de los componentes</w:t>
      </w:r>
      <w:r>
        <w:rPr>
          <w:lang w:val="es-ES_tradnl"/>
        </w:rPr>
        <w:t xml:space="preserve"> del sistema</w:t>
      </w:r>
      <w:r w:rsidRPr="00D0250C">
        <w:rPr>
          <w:lang w:val="es-ES_tradnl"/>
        </w:rPr>
        <w:t xml:space="preserve"> y la base de dato</w:t>
      </w:r>
      <w:r>
        <w:rPr>
          <w:lang w:val="es-ES_tradnl"/>
        </w:rPr>
        <w:t>s existentes sería más complejo</w:t>
      </w:r>
      <w:r w:rsidRPr="00D0250C">
        <w:rPr>
          <w:lang w:val="es-ES_tradnl"/>
        </w:rPr>
        <w:t xml:space="preserve"> y</w:t>
      </w:r>
      <w:r>
        <w:rPr>
          <w:lang w:val="es-ES_tradnl"/>
        </w:rPr>
        <w:t>,</w:t>
      </w:r>
      <w:r w:rsidRPr="00D0250C">
        <w:rPr>
          <w:lang w:val="es-ES_tradnl"/>
        </w:rPr>
        <w:t xml:space="preserve"> por ende, </w:t>
      </w:r>
      <w:r>
        <w:rPr>
          <w:lang w:val="es-ES_tradnl"/>
        </w:rPr>
        <w:t xml:space="preserve">se necesitaría </w:t>
      </w:r>
      <w:r w:rsidRPr="00D0250C">
        <w:rPr>
          <w:lang w:val="es-ES_tradnl"/>
        </w:rPr>
        <w:t>más tiempo para finalizar el proyecto con miras a atenerse a la propuesta inicial de precio.</w:t>
      </w:r>
    </w:p>
    <w:p w:rsidR="00801018" w:rsidRPr="00D0250C" w:rsidRDefault="00801018" w:rsidP="00D64D73">
      <w:pPr>
        <w:rPr>
          <w:lang w:val="es-ES_tradnl"/>
        </w:rPr>
      </w:pPr>
    </w:p>
    <w:p w:rsidR="00801018" w:rsidRDefault="00801018" w:rsidP="00D64D73">
      <w:pPr>
        <w:rPr>
          <w:lang w:val="es-ES_tradnl"/>
        </w:rPr>
      </w:pPr>
      <w:r>
        <w:rPr>
          <w:lang w:val="es-ES_tradnl"/>
        </w:rPr>
        <w:t>14</w:t>
      </w:r>
      <w:r w:rsidRPr="00D0250C">
        <w:rPr>
          <w:lang w:val="es-ES_tradnl"/>
        </w:rPr>
        <w:t>.</w:t>
      </w:r>
      <w:r w:rsidRPr="00D0250C">
        <w:rPr>
          <w:lang w:val="es-ES_tradnl"/>
        </w:rPr>
        <w:tab/>
        <w:t xml:space="preserve">La migración técnica se inició con la transacción de extremo a extremo relativa a la recepción y el examen de solicitudes internacionales y el registro internacional de marcas.  </w:t>
      </w:r>
    </w:p>
    <w:p w:rsidR="00801018" w:rsidRPr="00D0250C" w:rsidRDefault="00801018" w:rsidP="00D64D73">
      <w:pPr>
        <w:rPr>
          <w:lang w:val="es-ES_tradnl"/>
        </w:rPr>
      </w:pPr>
    </w:p>
    <w:p w:rsidR="00801018" w:rsidRDefault="00801018" w:rsidP="00D64D73">
      <w:pPr>
        <w:rPr>
          <w:lang w:val="es-ES_tradnl"/>
        </w:rPr>
      </w:pPr>
      <w:r>
        <w:rPr>
          <w:lang w:val="es-ES_tradnl"/>
        </w:rPr>
        <w:t>15</w:t>
      </w:r>
      <w:r w:rsidRPr="00D0250C">
        <w:rPr>
          <w:lang w:val="es-ES_tradnl"/>
        </w:rPr>
        <w:t>.</w:t>
      </w:r>
      <w:r w:rsidRPr="00D0250C">
        <w:rPr>
          <w:lang w:val="es-ES_tradnl"/>
        </w:rPr>
        <w:tab/>
        <w:t>Durante el primer trimestre de 2013 se instalaron sin contratiempos en</w:t>
      </w:r>
      <w:r>
        <w:rPr>
          <w:lang w:val="es-ES_tradnl"/>
        </w:rPr>
        <w:t xml:space="preserve"> el entorno informático de</w:t>
      </w:r>
      <w:r w:rsidRPr="00D0250C">
        <w:rPr>
          <w:lang w:val="es-ES_tradnl"/>
        </w:rPr>
        <w:t xml:space="preserve"> la OMPI las cuatro primeras </w:t>
      </w:r>
      <w:r>
        <w:rPr>
          <w:lang w:val="es-ES_tradnl"/>
        </w:rPr>
        <w:t>versiones</w:t>
      </w:r>
      <w:r w:rsidRPr="00D0250C">
        <w:rPr>
          <w:lang w:val="es-ES_tradnl"/>
        </w:rPr>
        <w:t xml:space="preserve"> del código concebido a los fines de su examen, validación y ensayo por el equipo del proyecto.  Se elaboraron planes de ensayo para realizar pruebas iniciales y verificar la aceptación de la nueva interfaz de usuario final.</w:t>
      </w:r>
    </w:p>
    <w:p w:rsidR="00801018" w:rsidRPr="00D0250C" w:rsidRDefault="00801018" w:rsidP="00D64D73">
      <w:pPr>
        <w:rPr>
          <w:lang w:val="es-ES_tradnl"/>
        </w:rPr>
      </w:pPr>
    </w:p>
    <w:p w:rsidR="00801018" w:rsidRDefault="00801018" w:rsidP="00D64D73">
      <w:pPr>
        <w:rPr>
          <w:lang w:val="es-ES_tradnl"/>
        </w:rPr>
      </w:pPr>
      <w:r>
        <w:rPr>
          <w:lang w:val="es-ES_tradnl"/>
        </w:rPr>
        <w:t>16</w:t>
      </w:r>
      <w:r w:rsidRPr="00D0250C">
        <w:rPr>
          <w:lang w:val="es-ES_tradnl"/>
        </w:rPr>
        <w:t>.</w:t>
      </w:r>
      <w:r w:rsidRPr="00D0250C">
        <w:rPr>
          <w:lang w:val="es-ES_tradnl"/>
        </w:rPr>
        <w:tab/>
        <w:t xml:space="preserve">El flujo de trabajo </w:t>
      </w:r>
      <w:r>
        <w:rPr>
          <w:lang w:val="es-ES_tradnl"/>
        </w:rPr>
        <w:t>específico</w:t>
      </w:r>
      <w:r w:rsidRPr="00D0250C">
        <w:rPr>
          <w:lang w:val="es-ES_tradnl"/>
        </w:rPr>
        <w:t xml:space="preserve"> de la OMPI se integró en la nueva herramienta BPM y fue validado por el equipo del proyecto.</w:t>
      </w:r>
    </w:p>
    <w:p w:rsidR="00801018" w:rsidRPr="00D0250C" w:rsidRDefault="00801018" w:rsidP="00D64D73">
      <w:pPr>
        <w:rPr>
          <w:lang w:val="es-ES_tradnl"/>
        </w:rPr>
      </w:pPr>
    </w:p>
    <w:p w:rsidR="00801018" w:rsidRDefault="00801018" w:rsidP="00D64D73">
      <w:pPr>
        <w:rPr>
          <w:lang w:val="es-ES_tradnl"/>
        </w:rPr>
      </w:pPr>
      <w:r>
        <w:rPr>
          <w:lang w:val="es-ES_tradnl"/>
        </w:rPr>
        <w:t>17</w:t>
      </w:r>
      <w:r w:rsidRPr="00D0250C">
        <w:rPr>
          <w:lang w:val="es-ES_tradnl"/>
        </w:rPr>
        <w:t>.</w:t>
      </w:r>
      <w:r w:rsidRPr="00D0250C">
        <w:rPr>
          <w:lang w:val="es-ES_tradnl"/>
        </w:rPr>
        <w:tab/>
        <w:t>Se seleccionó una herramienta de migración de datos de bases de datos y se están realizando las primeras transmisiones de datos con fines de ensayo.</w:t>
      </w:r>
    </w:p>
    <w:p w:rsidR="00801018" w:rsidRPr="00D0250C" w:rsidRDefault="00801018" w:rsidP="00D64D73">
      <w:pPr>
        <w:rPr>
          <w:lang w:val="es-ES_tradnl"/>
        </w:rPr>
      </w:pPr>
    </w:p>
    <w:p w:rsidR="00801018" w:rsidRPr="00D0250C" w:rsidRDefault="00801018" w:rsidP="00D64D73">
      <w:pPr>
        <w:rPr>
          <w:highlight w:val="yellow"/>
          <w:lang w:val="es-ES_tradnl"/>
        </w:rPr>
      </w:pPr>
      <w:r>
        <w:rPr>
          <w:lang w:val="es-ES_tradnl"/>
        </w:rPr>
        <w:t>18</w:t>
      </w:r>
      <w:r w:rsidRPr="00D0250C">
        <w:rPr>
          <w:lang w:val="es-ES_tradnl"/>
        </w:rPr>
        <w:t>.</w:t>
      </w:r>
      <w:r w:rsidRPr="00D0250C">
        <w:rPr>
          <w:lang w:val="es-ES_tradnl"/>
        </w:rPr>
        <w:tab/>
        <w:t xml:space="preserve">Está avanzando bien la migración técnica del código de programa informático programado en lenguaje </w:t>
      </w:r>
      <w:r>
        <w:rPr>
          <w:lang w:val="es-ES_tradnl"/>
        </w:rPr>
        <w:t>N</w:t>
      </w:r>
      <w:r w:rsidRPr="00D0250C">
        <w:rPr>
          <w:lang w:val="es-ES_tradnl"/>
        </w:rPr>
        <w:t xml:space="preserve">atural.  La transformación de la interfaz de usuario final y la posible reestructuración de los procesos se llevarán a cabo como parte de la fase III del </w:t>
      </w:r>
      <w:r>
        <w:rPr>
          <w:lang w:val="es-ES_tradnl"/>
        </w:rPr>
        <w:t>p</w:t>
      </w:r>
      <w:r w:rsidRPr="00D0250C">
        <w:rPr>
          <w:lang w:val="es-ES_tradnl"/>
        </w:rPr>
        <w:t>rograma, nuevamente introducida.</w:t>
      </w:r>
    </w:p>
    <w:p w:rsidR="00801018" w:rsidRPr="00071F59" w:rsidRDefault="00801018" w:rsidP="00D64D73">
      <w:pPr>
        <w:rPr>
          <w:lang w:val="es-ES_tradnl"/>
        </w:rPr>
      </w:pPr>
    </w:p>
    <w:p w:rsidR="00801018" w:rsidRPr="000A4542" w:rsidRDefault="00801018" w:rsidP="000A4542">
      <w:pPr>
        <w:pStyle w:val="Heading1"/>
      </w:pPr>
      <w:r w:rsidRPr="000A4542">
        <w:t>PLAN DE ALTO NIVEL PARA EL PROYECTO – FASE II</w:t>
      </w:r>
    </w:p>
    <w:p w:rsidR="00801018" w:rsidRPr="000A4542" w:rsidRDefault="00801018" w:rsidP="000A4542">
      <w:pPr>
        <w:rPr>
          <w:lang w:val="es-ES_tradnl"/>
        </w:rPr>
      </w:pPr>
    </w:p>
    <w:p w:rsidR="00801018" w:rsidRPr="000743F8" w:rsidRDefault="00801018" w:rsidP="000A4542">
      <w:pPr>
        <w:rPr>
          <w:lang w:val="es-ES_tradnl"/>
        </w:rPr>
      </w:pPr>
      <w:r>
        <w:rPr>
          <w:lang w:val="es-ES_tradnl"/>
        </w:rPr>
        <w:t>19</w:t>
      </w:r>
      <w:r w:rsidRPr="000A4542">
        <w:rPr>
          <w:lang w:val="es-ES_tradnl"/>
        </w:rPr>
        <w:t>.</w:t>
      </w:r>
      <w:r w:rsidRPr="000A4542">
        <w:rPr>
          <w:lang w:val="es-ES_tradnl"/>
        </w:rPr>
        <w:tab/>
        <w:t xml:space="preserve">La fase II del programa comenzó en el tercer trimestre de 2010.  Ya se han </w:t>
      </w:r>
      <w:r w:rsidRPr="000743F8">
        <w:rPr>
          <w:lang w:val="es-ES_tradnl"/>
        </w:rPr>
        <w:t xml:space="preserve">completado las tareas 1 a 10 del plan de alto nivel para el proyecto presentado en el gráfico 1, </w:t>
      </w:r>
      <w:r w:rsidRPr="000743F8">
        <w:rPr>
          <w:i/>
          <w:lang w:val="es-ES_tradnl"/>
        </w:rPr>
        <w:t>infra</w:t>
      </w:r>
      <w:r w:rsidRPr="000743F8">
        <w:rPr>
          <w:lang w:val="es-ES_tradnl"/>
        </w:rPr>
        <w:t>.  La tarea 11 está en curso.  El programa se desarrolla con arreglo al calendario que figura a continuación:</w:t>
      </w:r>
    </w:p>
    <w:p w:rsidR="00801018" w:rsidRDefault="00801018" w:rsidP="009C2773"/>
    <w:p w:rsidR="00801018" w:rsidRDefault="00801018" w:rsidP="009C2773">
      <w:r>
        <w:object w:dxaOrig="14408" w:dyaOrig="7120">
          <v:shape id="_x0000_i1026" type="#_x0000_t75" style="width:461.25pt;height:228pt" o:ole="">
            <v:imagedata r:id="rId8" o:title=""/>
          </v:shape>
          <o:OLEObject Type="Embed" ProgID="Visio.Drawing.11" ShapeID="_x0000_i1026" DrawAspect="Content" ObjectID="_1433249383" r:id="rId9"/>
        </w:object>
      </w:r>
    </w:p>
    <w:p w:rsidR="00801018" w:rsidRPr="008304F0" w:rsidRDefault="00801018" w:rsidP="000743F8">
      <w:pPr>
        <w:jc w:val="center"/>
        <w:rPr>
          <w:b/>
          <w:bCs/>
          <w:sz w:val="16"/>
          <w:szCs w:val="16"/>
          <w:lang w:val="es-ES_tradnl"/>
        </w:rPr>
      </w:pPr>
      <w:r w:rsidRPr="008304F0">
        <w:rPr>
          <w:b/>
          <w:bCs/>
          <w:sz w:val="16"/>
          <w:szCs w:val="16"/>
          <w:lang w:val="es-ES_tradnl"/>
        </w:rPr>
        <w:t>Gráfico 1- Fase II – Plan de alto nivel para el proyecto</w:t>
      </w:r>
    </w:p>
    <w:p w:rsidR="00801018" w:rsidRPr="000743F8" w:rsidRDefault="00801018" w:rsidP="000743F8"/>
    <w:p w:rsidR="00801018" w:rsidRPr="000743F8" w:rsidRDefault="00801018" w:rsidP="000743F8">
      <w:pPr>
        <w:rPr>
          <w:lang w:val="es-ES_tradnl"/>
        </w:rPr>
      </w:pPr>
      <w:r>
        <w:t>20</w:t>
      </w:r>
      <w:r w:rsidRPr="000743F8">
        <w:t>.</w:t>
      </w:r>
      <w:r w:rsidRPr="000743F8">
        <w:rPr>
          <w:lang w:val="es-ES_tradnl"/>
        </w:rPr>
        <w:tab/>
        <w:t xml:space="preserve">De los plazos señalados </w:t>
      </w:r>
      <w:r w:rsidRPr="000743F8">
        <w:rPr>
          <w:i/>
          <w:lang w:val="es-ES_tradnl"/>
        </w:rPr>
        <w:t>supra</w:t>
      </w:r>
      <w:r w:rsidRPr="000743F8">
        <w:rPr>
          <w:lang w:val="es-ES_tradnl"/>
        </w:rPr>
        <w:t>, se deduce que la fase II durante el resto del año 2013 consistirá fundamentalmente en la migración técnica del sistema existente.  A lo largo del año se pondrán a disposición nuevas versiones del código de los programas desarrollados, con sujeción a la validación del equipo del proyecto.</w:t>
      </w:r>
    </w:p>
    <w:p w:rsidR="00801018" w:rsidRPr="000743F8" w:rsidRDefault="00801018" w:rsidP="000743F8">
      <w:pPr>
        <w:rPr>
          <w:lang w:val="es-ES_tradnl"/>
        </w:rPr>
      </w:pPr>
    </w:p>
    <w:p w:rsidR="00801018" w:rsidRDefault="00801018" w:rsidP="000743F8">
      <w:pPr>
        <w:rPr>
          <w:lang w:val="es-ES_tradnl"/>
        </w:rPr>
      </w:pPr>
      <w:r>
        <w:rPr>
          <w:lang w:val="es-ES_tradnl"/>
        </w:rPr>
        <w:t>21</w:t>
      </w:r>
      <w:r w:rsidRPr="000743F8">
        <w:rPr>
          <w:lang w:val="es-ES_tradnl"/>
        </w:rPr>
        <w:t>.</w:t>
      </w:r>
      <w:r w:rsidRPr="000743F8">
        <w:rPr>
          <w:lang w:val="es-ES_tradnl"/>
        </w:rPr>
        <w:tab/>
        <w:t xml:space="preserve">Cabe señalar que el enfoque de estricta equivalencia funcional comporta la reintroducción de la fase III del programa, como ya se había recomendado en el documento </w:t>
      </w:r>
      <w:r>
        <w:rPr>
          <w:lang w:val="es-ES_tradnl"/>
        </w:rPr>
        <w:t>H/A/31/1</w:t>
      </w:r>
      <w:r w:rsidRPr="000743F8">
        <w:rPr>
          <w:lang w:val="es-ES_tradnl"/>
        </w:rPr>
        <w:t>.  Con el próximo informe sobre la marcha de las actividades se presentará una descripción detallada de la labor que se ha de llevar a cabo en la fase III, la cual se realizará dentro del presupuesto actual del proyecto.</w:t>
      </w:r>
    </w:p>
    <w:p w:rsidR="00801018" w:rsidRPr="000743F8" w:rsidRDefault="00801018" w:rsidP="000743F8">
      <w:pPr>
        <w:rPr>
          <w:lang w:val="es-ES_tradnl"/>
        </w:rPr>
      </w:pPr>
    </w:p>
    <w:p w:rsidR="00801018" w:rsidRDefault="00801018" w:rsidP="000A4542">
      <w:pPr>
        <w:pStyle w:val="Heading1"/>
      </w:pPr>
      <w:r w:rsidRPr="000A4542">
        <w:t>SITUACIÓN DE LA FINANCIACIÓN</w:t>
      </w:r>
    </w:p>
    <w:p w:rsidR="00801018" w:rsidRPr="000A4542" w:rsidRDefault="00801018" w:rsidP="000A4542">
      <w:pPr>
        <w:keepNext/>
      </w:pPr>
    </w:p>
    <w:p w:rsidR="00801018" w:rsidRPr="000743F8" w:rsidRDefault="00801018" w:rsidP="000743F8">
      <w:pPr>
        <w:rPr>
          <w:lang w:val="es-ES_tradnl"/>
        </w:rPr>
      </w:pPr>
      <w:r>
        <w:t>22</w:t>
      </w:r>
      <w:r w:rsidRPr="000743F8">
        <w:t>.</w:t>
      </w:r>
      <w:r w:rsidRPr="000743F8">
        <w:rPr>
          <w:lang w:val="es-ES_tradnl"/>
        </w:rPr>
        <w:tab/>
        <w:t>La asi</w:t>
      </w:r>
      <w:r>
        <w:rPr>
          <w:lang w:val="es-ES_tradnl"/>
        </w:rPr>
        <w:t>gnación de recursos total de 11.</w:t>
      </w:r>
      <w:r w:rsidRPr="000743F8">
        <w:rPr>
          <w:lang w:val="es-ES_tradnl"/>
        </w:rPr>
        <w:t>731</w:t>
      </w:r>
      <w:r>
        <w:rPr>
          <w:lang w:val="es-ES_tradnl"/>
        </w:rPr>
        <w:t>.000 francos suizos</w:t>
      </w:r>
      <w:r w:rsidRPr="000743F8">
        <w:rPr>
          <w:lang w:val="es-ES_tradnl"/>
        </w:rPr>
        <w:t xml:space="preserve"> aprobada en el cuadragésimo segundo período de sesiones (18º ordinario) de la As</w:t>
      </w:r>
      <w:r>
        <w:rPr>
          <w:lang w:val="es-ES_tradnl"/>
        </w:rPr>
        <w:t>amblea de la Unión de Madrid (8.</w:t>
      </w:r>
      <w:r w:rsidRPr="000743F8">
        <w:rPr>
          <w:lang w:val="es-ES_tradnl"/>
        </w:rPr>
        <w:t>731</w:t>
      </w:r>
      <w:r>
        <w:rPr>
          <w:lang w:val="es-ES_tradnl"/>
        </w:rPr>
        <w:t>.000 francos suizos</w:t>
      </w:r>
      <w:r w:rsidRPr="000743F8">
        <w:rPr>
          <w:lang w:val="es-ES_tradnl"/>
        </w:rPr>
        <w:t>) y en el vigésimo octavo período de sesiones (17º ordinario) de la Asamblea de la Unión de La Haya (3 millones de francos suizos) se ha utilizado en parte para completar la fase I del programa y los recursos restantes disponibles son suficientes para finalizar la fase II.</w:t>
      </w:r>
    </w:p>
    <w:p w:rsidR="00801018" w:rsidRPr="000743F8" w:rsidRDefault="00801018" w:rsidP="000743F8">
      <w:pPr>
        <w:rPr>
          <w:lang w:val="es-ES_tradnl"/>
        </w:rPr>
      </w:pPr>
    </w:p>
    <w:p w:rsidR="00801018" w:rsidRPr="000743F8" w:rsidRDefault="00801018" w:rsidP="000743F8">
      <w:pPr>
        <w:rPr>
          <w:lang w:val="es-ES_tradnl"/>
        </w:rPr>
      </w:pPr>
      <w:r>
        <w:t>23.</w:t>
      </w:r>
      <w:r w:rsidRPr="000743F8">
        <w:rPr>
          <w:lang w:val="es-ES_tradnl"/>
        </w:rPr>
        <w:tab/>
        <w:t>En el próximo informe sobre la marcha de las actividades de modernización de las T.I. se formularán propuestas a la Asamblea acerca de las consecuencias que pueda tener, en términos de recursos, la reintroducción de la fase III.</w:t>
      </w:r>
    </w:p>
    <w:p w:rsidR="00801018" w:rsidRPr="000743F8" w:rsidRDefault="00801018" w:rsidP="000743F8">
      <w:pPr>
        <w:rPr>
          <w:lang w:val="es-ES_tradnl"/>
        </w:rPr>
      </w:pPr>
    </w:p>
    <w:p w:rsidR="00801018" w:rsidRDefault="00801018" w:rsidP="000743F8">
      <w:pPr>
        <w:ind w:left="5533"/>
        <w:rPr>
          <w:i/>
          <w:lang w:val="es-ES_tradnl"/>
        </w:rPr>
      </w:pPr>
      <w:r w:rsidRPr="000A4542">
        <w:rPr>
          <w:i/>
        </w:rPr>
        <w:t>24.</w:t>
      </w:r>
      <w:r w:rsidRPr="000A4542">
        <w:rPr>
          <w:lang w:val="es-ES_tradnl"/>
        </w:rPr>
        <w:tab/>
      </w:r>
      <w:r w:rsidRPr="000A4542">
        <w:rPr>
          <w:i/>
          <w:lang w:val="es-ES_tradnl"/>
        </w:rPr>
        <w:t>Se invita a la Asamblea a:</w:t>
      </w:r>
    </w:p>
    <w:p w:rsidR="00801018" w:rsidRPr="000A4542" w:rsidRDefault="00801018" w:rsidP="000743F8">
      <w:pPr>
        <w:ind w:left="5533"/>
        <w:rPr>
          <w:lang w:val="es-ES_tradnl"/>
        </w:rPr>
      </w:pPr>
    </w:p>
    <w:p w:rsidR="00801018" w:rsidRPr="000A4542" w:rsidRDefault="00801018" w:rsidP="000A4542">
      <w:pPr>
        <w:numPr>
          <w:ilvl w:val="0"/>
          <w:numId w:val="9"/>
        </w:numPr>
        <w:tabs>
          <w:tab w:val="clear" w:pos="6990"/>
          <w:tab w:val="num" w:pos="6663"/>
          <w:tab w:val="left" w:pos="6820"/>
        </w:tabs>
        <w:spacing w:after="220"/>
        <w:ind w:left="6270" w:firstLine="0"/>
        <w:rPr>
          <w:i/>
          <w:lang w:val="es-ES_tradnl"/>
        </w:rPr>
      </w:pPr>
      <w:r w:rsidRPr="000A4542">
        <w:rPr>
          <w:i/>
          <w:lang w:val="es-ES_tradnl"/>
        </w:rPr>
        <w:t xml:space="preserve">tomar nota de la </w:t>
      </w:r>
      <w:r>
        <w:rPr>
          <w:i/>
          <w:lang w:val="es-ES_tradnl"/>
        </w:rPr>
        <w:t xml:space="preserve">ejecución de las actividades de la fase I del programa que incumben específicamente a la Unión de </w:t>
      </w:r>
      <w:r w:rsidRPr="0061059D">
        <w:rPr>
          <w:i/>
        </w:rPr>
        <w:t>La Haya</w:t>
      </w:r>
      <w:r>
        <w:rPr>
          <w:i/>
          <w:lang w:val="es-ES_tradnl"/>
        </w:rPr>
        <w:t xml:space="preserve"> y que se exponen en el presente documento</w:t>
      </w:r>
      <w:r w:rsidRPr="000A4542">
        <w:rPr>
          <w:i/>
          <w:lang w:val="es-ES_tradnl"/>
        </w:rPr>
        <w:t xml:space="preserve">; </w:t>
      </w:r>
    </w:p>
    <w:p w:rsidR="00801018" w:rsidRPr="000A4542" w:rsidRDefault="00801018" w:rsidP="000A4542">
      <w:pPr>
        <w:numPr>
          <w:ilvl w:val="0"/>
          <w:numId w:val="9"/>
        </w:numPr>
        <w:tabs>
          <w:tab w:val="clear" w:pos="6990"/>
          <w:tab w:val="num" w:pos="6270"/>
          <w:tab w:val="num" w:pos="6663"/>
        </w:tabs>
        <w:spacing w:after="220"/>
        <w:ind w:left="6270" w:firstLine="0"/>
        <w:rPr>
          <w:i/>
          <w:lang w:val="es-ES_tradnl"/>
        </w:rPr>
      </w:pPr>
      <w:r w:rsidRPr="000A4542">
        <w:rPr>
          <w:i/>
          <w:lang w:val="es-ES_tradnl"/>
        </w:rPr>
        <w:t>tomar nota de los avances realizados en la fase II del programa;</w:t>
      </w:r>
    </w:p>
    <w:p w:rsidR="00801018" w:rsidRPr="000A4542" w:rsidRDefault="00801018" w:rsidP="000A4542">
      <w:pPr>
        <w:numPr>
          <w:ilvl w:val="0"/>
          <w:numId w:val="9"/>
        </w:numPr>
        <w:tabs>
          <w:tab w:val="clear" w:pos="6990"/>
          <w:tab w:val="num" w:pos="6270"/>
          <w:tab w:val="num" w:pos="6663"/>
        </w:tabs>
        <w:spacing w:after="220"/>
        <w:ind w:left="6270" w:firstLine="0"/>
        <w:rPr>
          <w:i/>
          <w:lang w:val="es-ES_tradnl"/>
        </w:rPr>
      </w:pPr>
      <w:r w:rsidRPr="000A4542">
        <w:rPr>
          <w:i/>
          <w:lang w:val="es-ES_tradnl"/>
        </w:rPr>
        <w:t>tomar nota de que se presentará una descripción detallada de las actividades de la fase III en el próximo informe sobre la marcha de las actividades.</w:t>
      </w:r>
    </w:p>
    <w:p w:rsidR="00801018" w:rsidRDefault="00801018" w:rsidP="000743F8">
      <w:pPr>
        <w:rPr>
          <w:i/>
          <w:lang w:val="es-ES_tradnl"/>
        </w:rPr>
      </w:pPr>
    </w:p>
    <w:p w:rsidR="00801018" w:rsidRPr="000A4542" w:rsidRDefault="00801018" w:rsidP="000743F8">
      <w:pPr>
        <w:rPr>
          <w:i/>
          <w:lang w:val="es-ES_tradnl"/>
        </w:rPr>
      </w:pPr>
    </w:p>
    <w:p w:rsidR="00801018" w:rsidRPr="000A4542" w:rsidRDefault="00801018" w:rsidP="000743F8">
      <w:pPr>
        <w:ind w:left="5533"/>
      </w:pPr>
      <w:r w:rsidRPr="000A4542">
        <w:rPr>
          <w:lang w:val="es-ES_tradnl"/>
        </w:rPr>
        <w:t>[Fin del documento]</w:t>
      </w:r>
    </w:p>
    <w:p w:rsidR="00801018" w:rsidRPr="000A4542" w:rsidRDefault="00801018" w:rsidP="000743F8"/>
    <w:sectPr w:rsidR="00801018" w:rsidRPr="000A4542" w:rsidSect="001C1D37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018" w:rsidRDefault="00801018">
      <w:r>
        <w:separator/>
      </w:r>
    </w:p>
  </w:endnote>
  <w:endnote w:type="continuationSeparator" w:id="1">
    <w:p w:rsidR="00801018" w:rsidRPr="009D30E6" w:rsidRDefault="0080101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01018" w:rsidRPr="007E663E" w:rsidRDefault="0080101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2">
    <w:p w:rsidR="00801018" w:rsidRPr="007E663E" w:rsidRDefault="0080101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MingLiU">
    <w:altName w:val="¡Ps2OcuAe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018" w:rsidRDefault="00801018">
      <w:r>
        <w:separator/>
      </w:r>
    </w:p>
  </w:footnote>
  <w:footnote w:type="continuationSeparator" w:id="1">
    <w:p w:rsidR="00801018" w:rsidRPr="009D30E6" w:rsidRDefault="0080101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01018" w:rsidRPr="007E663E" w:rsidRDefault="0080101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2">
    <w:p w:rsidR="00801018" w:rsidRPr="007E663E" w:rsidRDefault="0080101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18" w:rsidRDefault="00801018" w:rsidP="00477D6B">
    <w:pPr>
      <w:jc w:val="right"/>
    </w:pPr>
    <w:bookmarkStart w:id="5" w:name="Code2"/>
    <w:bookmarkEnd w:id="5"/>
    <w:r>
      <w:t>H/A/32/1</w:t>
    </w:r>
  </w:p>
  <w:p w:rsidR="00801018" w:rsidRDefault="00801018" w:rsidP="00477D6B">
    <w:pPr>
      <w:jc w:val="right"/>
    </w:pPr>
    <w:r>
      <w:t xml:space="preserve">página </w:t>
    </w:r>
    <w:fldSimple w:instr=" PAGE  \* MERGEFORMAT ">
      <w:r>
        <w:rPr>
          <w:noProof/>
        </w:rPr>
        <w:t>5</w:t>
      </w:r>
    </w:fldSimple>
  </w:p>
  <w:p w:rsidR="00801018" w:rsidRDefault="00801018" w:rsidP="00477D6B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BE28778C"/>
    <w:lvl w:ilvl="0">
      <w:start w:val="5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1F25EA6"/>
    <w:multiLevelType w:val="hybridMultilevel"/>
    <w:tmpl w:val="A5B6E570"/>
    <w:lvl w:ilvl="0" w:tplc="A69EAF96">
      <w:start w:val="1"/>
      <w:numFmt w:val="lowerRoman"/>
      <w:lvlText w:val="%1)"/>
      <w:lvlJc w:val="left"/>
      <w:pPr>
        <w:tabs>
          <w:tab w:val="num" w:pos="6990"/>
        </w:tabs>
        <w:ind w:left="699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070"/>
        </w:tabs>
        <w:ind w:left="8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8790"/>
        </w:tabs>
        <w:ind w:left="8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510"/>
        </w:tabs>
        <w:ind w:left="9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0230"/>
        </w:tabs>
        <w:ind w:left="10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0950"/>
        </w:tabs>
        <w:ind w:left="10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1670"/>
        </w:tabs>
        <w:ind w:left="11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2390"/>
        </w:tabs>
        <w:ind w:left="1239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00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D37"/>
    <w:rsid w:val="00071F59"/>
    <w:rsid w:val="000743F8"/>
    <w:rsid w:val="000A4542"/>
    <w:rsid w:val="000C24B2"/>
    <w:rsid w:val="000E3BB3"/>
    <w:rsid w:val="000F5E56"/>
    <w:rsid w:val="001362EE"/>
    <w:rsid w:val="00142B8B"/>
    <w:rsid w:val="00152CEA"/>
    <w:rsid w:val="001832A6"/>
    <w:rsid w:val="001C1D37"/>
    <w:rsid w:val="001C4DD3"/>
    <w:rsid w:val="002634C4"/>
    <w:rsid w:val="002B2B86"/>
    <w:rsid w:val="002F4E68"/>
    <w:rsid w:val="00310C90"/>
    <w:rsid w:val="00313D60"/>
    <w:rsid w:val="00344DD7"/>
    <w:rsid w:val="00354647"/>
    <w:rsid w:val="00377273"/>
    <w:rsid w:val="003845C1"/>
    <w:rsid w:val="00387287"/>
    <w:rsid w:val="003A1A48"/>
    <w:rsid w:val="003D41D4"/>
    <w:rsid w:val="00423E3E"/>
    <w:rsid w:val="00427AF4"/>
    <w:rsid w:val="00446082"/>
    <w:rsid w:val="0045231F"/>
    <w:rsid w:val="004647DA"/>
    <w:rsid w:val="00464B95"/>
    <w:rsid w:val="00477D6B"/>
    <w:rsid w:val="004A6C37"/>
    <w:rsid w:val="0055013B"/>
    <w:rsid w:val="0056224D"/>
    <w:rsid w:val="00571B99"/>
    <w:rsid w:val="005F4561"/>
    <w:rsid w:val="00605827"/>
    <w:rsid w:val="0061059D"/>
    <w:rsid w:val="00640514"/>
    <w:rsid w:val="00675021"/>
    <w:rsid w:val="006A06C6"/>
    <w:rsid w:val="006C4C68"/>
    <w:rsid w:val="0075377A"/>
    <w:rsid w:val="00767AB7"/>
    <w:rsid w:val="007D18D9"/>
    <w:rsid w:val="007E33AA"/>
    <w:rsid w:val="007E663E"/>
    <w:rsid w:val="00801018"/>
    <w:rsid w:val="00815082"/>
    <w:rsid w:val="008304F0"/>
    <w:rsid w:val="008B2CC1"/>
    <w:rsid w:val="008C0B85"/>
    <w:rsid w:val="00900EBA"/>
    <w:rsid w:val="0090731E"/>
    <w:rsid w:val="00966A22"/>
    <w:rsid w:val="00972F03"/>
    <w:rsid w:val="009A0C8B"/>
    <w:rsid w:val="009B428D"/>
    <w:rsid w:val="009B6241"/>
    <w:rsid w:val="009C2773"/>
    <w:rsid w:val="009D30E6"/>
    <w:rsid w:val="00A16FC0"/>
    <w:rsid w:val="00A32C9E"/>
    <w:rsid w:val="00A7453D"/>
    <w:rsid w:val="00A75A5E"/>
    <w:rsid w:val="00A85B89"/>
    <w:rsid w:val="00AB613D"/>
    <w:rsid w:val="00B61A64"/>
    <w:rsid w:val="00B65A0A"/>
    <w:rsid w:val="00B72A81"/>
    <w:rsid w:val="00B72D36"/>
    <w:rsid w:val="00BC4164"/>
    <w:rsid w:val="00BC5E3B"/>
    <w:rsid w:val="00BD2DCC"/>
    <w:rsid w:val="00BE1A8C"/>
    <w:rsid w:val="00C15E23"/>
    <w:rsid w:val="00C90559"/>
    <w:rsid w:val="00CD5E7B"/>
    <w:rsid w:val="00D0250C"/>
    <w:rsid w:val="00D40CF0"/>
    <w:rsid w:val="00D56C7C"/>
    <w:rsid w:val="00D64D73"/>
    <w:rsid w:val="00D671E2"/>
    <w:rsid w:val="00D71B4D"/>
    <w:rsid w:val="00D82E19"/>
    <w:rsid w:val="00D90289"/>
    <w:rsid w:val="00D93D55"/>
    <w:rsid w:val="00DC13B8"/>
    <w:rsid w:val="00E21203"/>
    <w:rsid w:val="00E45C84"/>
    <w:rsid w:val="00E504E5"/>
    <w:rsid w:val="00E83904"/>
    <w:rsid w:val="00EA1BBC"/>
    <w:rsid w:val="00EB7A3E"/>
    <w:rsid w:val="00EC401A"/>
    <w:rsid w:val="00EE2209"/>
    <w:rsid w:val="00EE3E7C"/>
    <w:rsid w:val="00EF530A"/>
    <w:rsid w:val="00EF6622"/>
    <w:rsid w:val="00F26804"/>
    <w:rsid w:val="00F36D3D"/>
    <w:rsid w:val="00F55408"/>
    <w:rsid w:val="00F66152"/>
    <w:rsid w:val="00F77279"/>
    <w:rsid w:val="00F80845"/>
    <w:rsid w:val="00F8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Cs w:val="20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37E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37E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37E"/>
    <w:rPr>
      <w:rFonts w:asciiTheme="majorHAnsi" w:eastAsiaTheme="majorEastAsia" w:hAnsiTheme="majorHAnsi" w:cstheme="majorBidi"/>
      <w:b/>
      <w:bCs/>
      <w:sz w:val="26"/>
      <w:szCs w:val="26"/>
      <w:lang w:val="es-E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37E"/>
    <w:rPr>
      <w:rFonts w:asciiTheme="minorHAnsi" w:eastAsiaTheme="minorEastAsia" w:hAnsiTheme="minorHAnsi" w:cstheme="minorBidi"/>
      <w:b/>
      <w:bCs/>
      <w:sz w:val="28"/>
      <w:szCs w:val="28"/>
      <w:lang w:val="es-ES" w:eastAsia="zh-CN"/>
    </w:rPr>
  </w:style>
  <w:style w:type="paragraph" w:styleId="BodyText">
    <w:name w:val="Body Text"/>
    <w:basedOn w:val="Normal"/>
    <w:link w:val="BodyTextChar"/>
    <w:uiPriority w:val="99"/>
    <w:rsid w:val="00A32C9E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537E"/>
    <w:rPr>
      <w:rFonts w:ascii="Arial" w:eastAsia="SimSun" w:hAnsi="Arial" w:cs="Arial"/>
      <w:szCs w:val="20"/>
      <w:lang w:val="es-ES" w:eastAsia="zh-CN"/>
    </w:rPr>
  </w:style>
  <w:style w:type="paragraph" w:styleId="Caption">
    <w:name w:val="caption"/>
    <w:basedOn w:val="Normal"/>
    <w:next w:val="Normal"/>
    <w:uiPriority w:val="99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A32C9E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37E"/>
    <w:rPr>
      <w:rFonts w:ascii="Arial" w:eastAsia="SimSun" w:hAnsi="Arial" w:cs="Arial"/>
      <w:sz w:val="20"/>
      <w:szCs w:val="20"/>
      <w:lang w:val="es-E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A32C9E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537E"/>
    <w:rPr>
      <w:rFonts w:ascii="Arial" w:eastAsia="SimSun" w:hAnsi="Arial" w:cs="Arial"/>
      <w:sz w:val="20"/>
      <w:szCs w:val="20"/>
      <w:lang w:val="es-ES" w:eastAsia="zh-CN"/>
    </w:rPr>
  </w:style>
  <w:style w:type="paragraph" w:styleId="Footer">
    <w:name w:val="footer"/>
    <w:basedOn w:val="Normal"/>
    <w:link w:val="FooterChar"/>
    <w:uiPriority w:val="99"/>
    <w:semiHidden/>
    <w:rsid w:val="00A32C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537E"/>
    <w:rPr>
      <w:rFonts w:ascii="Arial" w:eastAsia="SimSun" w:hAnsi="Arial" w:cs="Arial"/>
      <w:szCs w:val="20"/>
      <w:lang w:val="es-ES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A32C9E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537E"/>
    <w:rPr>
      <w:rFonts w:ascii="Arial" w:eastAsia="SimSun" w:hAnsi="Arial" w:cs="Arial"/>
      <w:sz w:val="20"/>
      <w:szCs w:val="20"/>
      <w:lang w:val="es-ES" w:eastAsia="zh-CN"/>
    </w:rPr>
  </w:style>
  <w:style w:type="paragraph" w:customStyle="1" w:styleId="Endofdocument-Annex">
    <w:name w:val="[End of document - Annex]"/>
    <w:basedOn w:val="Normal"/>
    <w:uiPriority w:val="99"/>
    <w:rsid w:val="00815082"/>
    <w:pPr>
      <w:ind w:left="5534"/>
    </w:pPr>
    <w:rPr>
      <w:lang w:val="en-US"/>
    </w:rPr>
  </w:style>
  <w:style w:type="paragraph" w:customStyle="1" w:styleId="Char">
    <w:name w:val="Char 字元 字元"/>
    <w:basedOn w:val="Normal"/>
    <w:uiPriority w:val="99"/>
    <w:rsid w:val="001C1D37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537E"/>
    <w:rPr>
      <w:rFonts w:ascii="Arial" w:eastAsia="SimSun" w:hAnsi="Arial" w:cs="Arial"/>
      <w:szCs w:val="20"/>
      <w:lang w:val="es-ES" w:eastAsia="zh-CN"/>
    </w:rPr>
  </w:style>
  <w:style w:type="paragraph" w:styleId="ListNumber">
    <w:name w:val="List Number"/>
    <w:basedOn w:val="Normal"/>
    <w:uiPriority w:val="99"/>
    <w:semiHidden/>
    <w:rsid w:val="00A32C9E"/>
    <w:pPr>
      <w:numPr>
        <w:numId w:val="6"/>
      </w:numPr>
    </w:pPr>
  </w:style>
  <w:style w:type="paragraph" w:customStyle="1" w:styleId="ONUME">
    <w:name w:val="ONUM E"/>
    <w:basedOn w:val="BodyText"/>
    <w:uiPriority w:val="99"/>
    <w:rsid w:val="00A32C9E"/>
    <w:pPr>
      <w:numPr>
        <w:numId w:val="7"/>
      </w:numPr>
    </w:pPr>
  </w:style>
  <w:style w:type="paragraph" w:customStyle="1" w:styleId="ONUMFS">
    <w:name w:val="ONUM FS"/>
    <w:basedOn w:val="BodyText"/>
    <w:uiPriority w:val="99"/>
    <w:rsid w:val="00A32C9E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A32C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537E"/>
    <w:rPr>
      <w:rFonts w:ascii="Arial" w:eastAsia="SimSun" w:hAnsi="Arial" w:cs="Arial"/>
      <w:szCs w:val="20"/>
      <w:lang w:val="es-ES" w:eastAsia="zh-CN"/>
    </w:rPr>
  </w:style>
  <w:style w:type="paragraph" w:styleId="Signature">
    <w:name w:val="Signature"/>
    <w:basedOn w:val="Normal"/>
    <w:link w:val="SignatureChar"/>
    <w:uiPriority w:val="99"/>
    <w:semiHidden/>
    <w:rsid w:val="00A32C9E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537E"/>
    <w:rPr>
      <w:rFonts w:ascii="Arial" w:eastAsia="SimSun" w:hAnsi="Arial" w:cs="Arial"/>
      <w:szCs w:val="20"/>
      <w:lang w:val="es-ES" w:eastAsia="zh-CN"/>
    </w:rPr>
  </w:style>
  <w:style w:type="paragraph" w:customStyle="1" w:styleId="Char2">
    <w:name w:val="Char 字元 字元2"/>
    <w:basedOn w:val="Normal"/>
    <w:uiPriority w:val="99"/>
    <w:rsid w:val="00142B8B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074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43F8"/>
    <w:rPr>
      <w:rFonts w:ascii="Tahoma" w:eastAsia="SimSun" w:hAnsi="Tahoma" w:cs="Tahoma"/>
      <w:sz w:val="16"/>
      <w:szCs w:val="16"/>
      <w:lang w:val="es-ES" w:eastAsia="zh-CN"/>
    </w:rPr>
  </w:style>
  <w:style w:type="table" w:styleId="TableGrid">
    <w:name w:val="Table Grid"/>
    <w:basedOn w:val="TableNormal"/>
    <w:uiPriority w:val="99"/>
    <w:rsid w:val="000743F8"/>
    <w:rPr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 字元 字元1"/>
    <w:basedOn w:val="Normal"/>
    <w:uiPriority w:val="99"/>
    <w:rsid w:val="0061059D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IeCache\Content.MSO\1DE600C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1DE600CB.dot</Template>
  <TotalTime>40</TotalTime>
  <Pages>5</Pages>
  <Words>1512</Words>
  <Characters>8623</Characters>
  <Application>Microsoft Office Outlook</Application>
  <DocSecurity>0</DocSecurity>
  <Lines>0</Lines>
  <Paragraphs>0</Paragraphs>
  <ScaleCrop>false</ScaleCrop>
  <Company>WIPO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H/A/32/1</dc:title>
  <dc:subject/>
  <dc:creator>ZEPEDA LEISTENSCHNEIDER Verónica</dc:creator>
  <cp:keywords/>
  <dc:description>KP/vz12.06.13</dc:description>
  <cp:lastModifiedBy>Dore</cp:lastModifiedBy>
  <cp:revision>21</cp:revision>
  <cp:lastPrinted>2013-06-20T14:03:00Z</cp:lastPrinted>
  <dcterms:created xsi:type="dcterms:W3CDTF">2013-06-13T07:55:00Z</dcterms:created>
  <dcterms:modified xsi:type="dcterms:W3CDTF">2013-06-20T14:03:00Z</dcterms:modified>
</cp:coreProperties>
</file>