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3D09" w:rsidRPr="00802DF6" w:rsidTr="00C011EA">
        <w:tc>
          <w:tcPr>
            <w:tcW w:w="4513" w:type="dxa"/>
            <w:tcBorders>
              <w:bottom w:val="single" w:sz="4" w:space="0" w:color="auto"/>
            </w:tcBorders>
            <w:tcMar>
              <w:bottom w:w="170" w:type="dxa"/>
            </w:tcMar>
          </w:tcPr>
          <w:p w:rsidR="00D43D09" w:rsidRPr="00802DF6" w:rsidRDefault="00D43D09" w:rsidP="00C011EA">
            <w:bookmarkStart w:id="0" w:name="_GoBack"/>
            <w:bookmarkEnd w:id="0"/>
          </w:p>
        </w:tc>
        <w:tc>
          <w:tcPr>
            <w:tcW w:w="4337" w:type="dxa"/>
            <w:tcBorders>
              <w:bottom w:val="single" w:sz="4" w:space="0" w:color="auto"/>
            </w:tcBorders>
            <w:tcMar>
              <w:left w:w="0" w:type="dxa"/>
              <w:right w:w="0" w:type="dxa"/>
            </w:tcMar>
          </w:tcPr>
          <w:p w:rsidR="00D43D09" w:rsidRPr="00802DF6" w:rsidRDefault="00602637" w:rsidP="00C011EA">
            <w:r w:rsidRPr="00802DF6">
              <w:rPr>
                <w:noProof/>
                <w:lang w:val="en-US" w:eastAsia="en-US"/>
              </w:rPr>
              <w:drawing>
                <wp:inline distT="0" distB="0" distL="0" distR="0" wp14:anchorId="03A5783F" wp14:editId="7E02B4B7">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43D09" w:rsidRPr="00802DF6" w:rsidRDefault="00602637" w:rsidP="00602637">
            <w:pPr>
              <w:jc w:val="right"/>
            </w:pPr>
            <w:r w:rsidRPr="00802DF6">
              <w:rPr>
                <w:b/>
                <w:sz w:val="40"/>
                <w:szCs w:val="40"/>
              </w:rPr>
              <w:t>S</w:t>
            </w:r>
          </w:p>
        </w:tc>
      </w:tr>
      <w:tr w:rsidR="00D43D09" w:rsidRPr="00802DF6" w:rsidTr="00C011EA">
        <w:trPr>
          <w:trHeight w:hRule="exact" w:val="340"/>
        </w:trPr>
        <w:tc>
          <w:tcPr>
            <w:tcW w:w="9356" w:type="dxa"/>
            <w:gridSpan w:val="3"/>
            <w:tcBorders>
              <w:top w:val="single" w:sz="4" w:space="0" w:color="auto"/>
            </w:tcBorders>
            <w:tcMar>
              <w:top w:w="170" w:type="dxa"/>
              <w:left w:w="0" w:type="dxa"/>
              <w:right w:w="0" w:type="dxa"/>
            </w:tcMar>
            <w:vAlign w:val="bottom"/>
          </w:tcPr>
          <w:p w:rsidR="00D43D09" w:rsidRPr="00802DF6" w:rsidRDefault="00D43D09" w:rsidP="00C011EA">
            <w:pPr>
              <w:jc w:val="right"/>
              <w:rPr>
                <w:rFonts w:ascii="Arial Black" w:hAnsi="Arial Black"/>
                <w:caps/>
                <w:sz w:val="15"/>
              </w:rPr>
            </w:pPr>
            <w:r w:rsidRPr="00802DF6">
              <w:rPr>
                <w:rFonts w:ascii="Arial Black" w:hAnsi="Arial Black"/>
                <w:caps/>
                <w:sz w:val="15"/>
              </w:rPr>
              <w:t>LI/A/32/3</w:t>
            </w:r>
          </w:p>
        </w:tc>
      </w:tr>
      <w:tr w:rsidR="00D43D09" w:rsidRPr="00802DF6" w:rsidTr="00C011EA">
        <w:trPr>
          <w:trHeight w:hRule="exact" w:val="170"/>
        </w:trPr>
        <w:tc>
          <w:tcPr>
            <w:tcW w:w="9356" w:type="dxa"/>
            <w:gridSpan w:val="3"/>
            <w:noWrap/>
            <w:tcMar>
              <w:left w:w="0" w:type="dxa"/>
              <w:right w:w="0" w:type="dxa"/>
            </w:tcMar>
            <w:vAlign w:val="bottom"/>
          </w:tcPr>
          <w:p w:rsidR="00D43D09" w:rsidRPr="00802DF6" w:rsidRDefault="00D43D09" w:rsidP="00602637">
            <w:pPr>
              <w:jc w:val="right"/>
              <w:rPr>
                <w:rFonts w:ascii="Arial Black" w:hAnsi="Arial Black"/>
                <w:caps/>
                <w:sz w:val="15"/>
              </w:rPr>
            </w:pPr>
            <w:r w:rsidRPr="00802DF6">
              <w:rPr>
                <w:rFonts w:ascii="Arial Black" w:hAnsi="Arial Black"/>
                <w:caps/>
                <w:sz w:val="15"/>
              </w:rPr>
              <w:t xml:space="preserve">ORIGINAL:  </w:t>
            </w:r>
            <w:r w:rsidR="00602637" w:rsidRPr="00802DF6">
              <w:rPr>
                <w:rFonts w:ascii="Arial Black" w:hAnsi="Arial Black"/>
                <w:caps/>
                <w:sz w:val="15"/>
              </w:rPr>
              <w:t>inglés</w:t>
            </w:r>
          </w:p>
        </w:tc>
      </w:tr>
      <w:tr w:rsidR="00D43D09" w:rsidRPr="00802DF6" w:rsidTr="00C011EA">
        <w:trPr>
          <w:trHeight w:hRule="exact" w:val="198"/>
        </w:trPr>
        <w:tc>
          <w:tcPr>
            <w:tcW w:w="9356" w:type="dxa"/>
            <w:gridSpan w:val="3"/>
            <w:tcMar>
              <w:left w:w="0" w:type="dxa"/>
              <w:right w:w="0" w:type="dxa"/>
            </w:tcMar>
            <w:vAlign w:val="bottom"/>
          </w:tcPr>
          <w:p w:rsidR="00D43D09" w:rsidRPr="00802DF6" w:rsidRDefault="00602637" w:rsidP="00602637">
            <w:pPr>
              <w:jc w:val="right"/>
              <w:rPr>
                <w:rFonts w:ascii="Arial Black" w:hAnsi="Arial Black"/>
                <w:caps/>
                <w:sz w:val="15"/>
              </w:rPr>
            </w:pPr>
            <w:r w:rsidRPr="00802DF6">
              <w:rPr>
                <w:rFonts w:ascii="Arial Black" w:hAnsi="Arial Black"/>
                <w:caps/>
                <w:sz w:val="15"/>
              </w:rPr>
              <w:t>Fecha</w:t>
            </w:r>
            <w:r w:rsidR="00D43D09" w:rsidRPr="00802DF6">
              <w:rPr>
                <w:rFonts w:ascii="Arial Black" w:hAnsi="Arial Black"/>
                <w:caps/>
                <w:sz w:val="15"/>
              </w:rPr>
              <w:t>:  29</w:t>
            </w:r>
            <w:r w:rsidRPr="00802DF6">
              <w:rPr>
                <w:rFonts w:ascii="Arial Black" w:hAnsi="Arial Black"/>
                <w:caps/>
                <w:sz w:val="15"/>
              </w:rPr>
              <w:t xml:space="preserve"> de septiembre de</w:t>
            </w:r>
            <w:r w:rsidR="00D43D09" w:rsidRPr="00802DF6">
              <w:rPr>
                <w:rFonts w:ascii="Arial Black" w:hAnsi="Arial Black"/>
                <w:caps/>
                <w:sz w:val="15"/>
              </w:rPr>
              <w:t xml:space="preserve"> 2015</w:t>
            </w:r>
          </w:p>
        </w:tc>
      </w:tr>
    </w:tbl>
    <w:p w:rsidR="00D43D09" w:rsidRPr="00802DF6" w:rsidRDefault="00D43D09" w:rsidP="00D43D09"/>
    <w:p w:rsidR="00D43D09" w:rsidRPr="00802DF6" w:rsidRDefault="00D43D09" w:rsidP="00D43D09"/>
    <w:p w:rsidR="00D43D09" w:rsidRPr="00802DF6" w:rsidRDefault="00D43D09" w:rsidP="00D43D09"/>
    <w:p w:rsidR="00D43D09" w:rsidRPr="00802DF6" w:rsidRDefault="00D43D09" w:rsidP="00D43D09"/>
    <w:p w:rsidR="00D43D09" w:rsidRPr="00802DF6" w:rsidRDefault="00D43D09" w:rsidP="00D43D09"/>
    <w:p w:rsidR="00B74C85" w:rsidRPr="00802DF6" w:rsidRDefault="00B74C85" w:rsidP="00B74C85">
      <w:pPr>
        <w:rPr>
          <w:b/>
          <w:sz w:val="28"/>
          <w:szCs w:val="28"/>
        </w:rPr>
      </w:pPr>
      <w:r w:rsidRPr="00802DF6">
        <w:rPr>
          <w:b/>
          <w:sz w:val="28"/>
          <w:szCs w:val="28"/>
        </w:rPr>
        <w:t>Unión particular para la Protección de las Denominaciones de Origen y su Registro Internacional (Unión de Lisboa)</w:t>
      </w:r>
    </w:p>
    <w:p w:rsidR="00B74C85" w:rsidRPr="00802DF6" w:rsidRDefault="00B74C85" w:rsidP="00B74C85"/>
    <w:p w:rsidR="00B74C85" w:rsidRPr="00802DF6" w:rsidRDefault="00B74C85" w:rsidP="00B74C85"/>
    <w:p w:rsidR="00B74C85" w:rsidRPr="00802DF6" w:rsidRDefault="00B74C85" w:rsidP="00B74C85">
      <w:pPr>
        <w:rPr>
          <w:b/>
          <w:sz w:val="28"/>
          <w:szCs w:val="28"/>
        </w:rPr>
      </w:pPr>
      <w:r w:rsidRPr="00802DF6">
        <w:rPr>
          <w:b/>
          <w:sz w:val="28"/>
          <w:szCs w:val="28"/>
        </w:rPr>
        <w:t>Asamblea</w:t>
      </w:r>
    </w:p>
    <w:p w:rsidR="00B74C85" w:rsidRPr="00802DF6" w:rsidRDefault="00B74C85" w:rsidP="00B74C85"/>
    <w:p w:rsidR="00B74C85" w:rsidRPr="00802DF6" w:rsidRDefault="00B74C85" w:rsidP="00B74C85"/>
    <w:p w:rsidR="00B74C85" w:rsidRPr="00802DF6" w:rsidRDefault="00B74C85" w:rsidP="00B74C85">
      <w:pPr>
        <w:rPr>
          <w:b/>
          <w:sz w:val="24"/>
          <w:szCs w:val="24"/>
        </w:rPr>
      </w:pPr>
      <w:r w:rsidRPr="00802DF6">
        <w:rPr>
          <w:b/>
          <w:sz w:val="24"/>
          <w:szCs w:val="24"/>
        </w:rPr>
        <w:t>Trigésimo segundo período de sesiones (21° ordinario)</w:t>
      </w:r>
    </w:p>
    <w:p w:rsidR="00B74C85" w:rsidRPr="00802DF6" w:rsidRDefault="00B74C85" w:rsidP="00B74C85">
      <w:pPr>
        <w:rPr>
          <w:b/>
          <w:sz w:val="24"/>
          <w:szCs w:val="24"/>
        </w:rPr>
      </w:pPr>
      <w:r w:rsidRPr="00802DF6">
        <w:rPr>
          <w:b/>
          <w:sz w:val="24"/>
          <w:szCs w:val="24"/>
        </w:rPr>
        <w:t>Ginebra, 5 a 14 de octubre de 2015</w:t>
      </w:r>
    </w:p>
    <w:p w:rsidR="00D43D09" w:rsidRPr="00802DF6" w:rsidRDefault="00D43D09" w:rsidP="00D43D09"/>
    <w:p w:rsidR="00D43D09" w:rsidRPr="00802DF6" w:rsidRDefault="00D43D09" w:rsidP="00D43D09"/>
    <w:p w:rsidR="00D43D09" w:rsidRPr="00802DF6" w:rsidRDefault="00D43D09" w:rsidP="00D43D09"/>
    <w:p w:rsidR="00D43D09" w:rsidRPr="00802DF6" w:rsidRDefault="00B74C85" w:rsidP="00D43D09">
      <w:pPr>
        <w:rPr>
          <w:caps/>
          <w:sz w:val="24"/>
        </w:rPr>
      </w:pPr>
      <w:r w:rsidRPr="00802DF6">
        <w:rPr>
          <w:caps/>
          <w:sz w:val="24"/>
        </w:rPr>
        <w:t>opC</w:t>
      </w:r>
      <w:r w:rsidR="00D43D09" w:rsidRPr="00802DF6">
        <w:rPr>
          <w:caps/>
          <w:sz w:val="24"/>
        </w:rPr>
        <w:t>ion</w:t>
      </w:r>
      <w:r w:rsidRPr="00802DF6">
        <w:rPr>
          <w:caps/>
          <w:sz w:val="24"/>
        </w:rPr>
        <w:t>E</w:t>
      </w:r>
      <w:r w:rsidR="00D43D09" w:rsidRPr="00802DF6">
        <w:rPr>
          <w:caps/>
          <w:sz w:val="24"/>
        </w:rPr>
        <w:t xml:space="preserve">s </w:t>
      </w:r>
      <w:r w:rsidRPr="00802DF6">
        <w:rPr>
          <w:caps/>
          <w:sz w:val="24"/>
        </w:rPr>
        <w:t>PARA LA SOSTENIBILIDAD F</w:t>
      </w:r>
      <w:r w:rsidR="003D5745">
        <w:rPr>
          <w:caps/>
          <w:sz w:val="24"/>
        </w:rPr>
        <w:t>INANCIERA DE LA UNIÓN DE LISBOA</w:t>
      </w:r>
    </w:p>
    <w:p w:rsidR="00D43D09" w:rsidRPr="00802DF6" w:rsidRDefault="00D43D09" w:rsidP="00D43D09"/>
    <w:p w:rsidR="00D43D09" w:rsidRPr="00802DF6" w:rsidRDefault="00D43D09" w:rsidP="00D43D09">
      <w:pPr>
        <w:rPr>
          <w:i/>
        </w:rPr>
      </w:pPr>
      <w:r w:rsidRPr="00802DF6">
        <w:rPr>
          <w:i/>
        </w:rPr>
        <w:t>Document</w:t>
      </w:r>
      <w:r w:rsidR="00B74C85" w:rsidRPr="00802DF6">
        <w:rPr>
          <w:i/>
        </w:rPr>
        <w:t>o</w:t>
      </w:r>
      <w:r w:rsidRPr="00802DF6">
        <w:rPr>
          <w:i/>
        </w:rPr>
        <w:t xml:space="preserve"> prepar</w:t>
      </w:r>
      <w:r w:rsidR="00B74C85" w:rsidRPr="00802DF6">
        <w:rPr>
          <w:i/>
        </w:rPr>
        <w:t>a</w:t>
      </w:r>
      <w:r w:rsidRPr="00802DF6">
        <w:rPr>
          <w:i/>
        </w:rPr>
        <w:t>d</w:t>
      </w:r>
      <w:r w:rsidR="00B74C85" w:rsidRPr="00802DF6">
        <w:rPr>
          <w:i/>
        </w:rPr>
        <w:t>o</w:t>
      </w:r>
      <w:r w:rsidRPr="00802DF6">
        <w:rPr>
          <w:i/>
        </w:rPr>
        <w:t xml:space="preserve"> </w:t>
      </w:r>
      <w:r w:rsidR="004F35E4">
        <w:rPr>
          <w:i/>
        </w:rPr>
        <w:t>por la Oficina Internacional</w:t>
      </w:r>
    </w:p>
    <w:p w:rsidR="00D43D09" w:rsidRPr="00802DF6" w:rsidRDefault="00D43D09" w:rsidP="00D43D09"/>
    <w:p w:rsidR="00D43D09" w:rsidRPr="00802DF6" w:rsidRDefault="00D43D09" w:rsidP="00D43D09"/>
    <w:p w:rsidR="00D43D09" w:rsidRPr="00802DF6" w:rsidRDefault="00D43D09" w:rsidP="00D43D09"/>
    <w:p w:rsidR="00D43D09" w:rsidRPr="00802DF6" w:rsidRDefault="00D43D09" w:rsidP="00D43D09"/>
    <w:p w:rsidR="00D43D09" w:rsidRPr="00802DF6" w:rsidRDefault="00D43D09" w:rsidP="00D43D09"/>
    <w:p w:rsidR="00D43D09" w:rsidRPr="00802DF6" w:rsidRDefault="00D43D09" w:rsidP="00D43D09">
      <w:pPr>
        <w:rPr>
          <w:szCs w:val="22"/>
        </w:rPr>
      </w:pPr>
      <w:r w:rsidRPr="00802DF6">
        <w:fldChar w:fldCharType="begin"/>
      </w:r>
      <w:r w:rsidRPr="00802DF6">
        <w:instrText xml:space="preserve"> AUTONUM  </w:instrText>
      </w:r>
      <w:r w:rsidRPr="00802DF6">
        <w:fldChar w:fldCharType="end"/>
      </w:r>
      <w:r w:rsidRPr="00802DF6">
        <w:tab/>
      </w:r>
      <w:r w:rsidR="00C87D94">
        <w:t xml:space="preserve">En su vigesimocuarta sesión </w:t>
      </w:r>
      <w:r w:rsidRPr="00802DF6">
        <w:t xml:space="preserve">(14 </w:t>
      </w:r>
      <w:r w:rsidR="00C87D94">
        <w:t xml:space="preserve">a </w:t>
      </w:r>
      <w:r w:rsidRPr="00802DF6">
        <w:t>18</w:t>
      </w:r>
      <w:r w:rsidR="00C87D94">
        <w:t xml:space="preserve"> de septiembre de</w:t>
      </w:r>
      <w:r w:rsidRPr="00802DF6">
        <w:t xml:space="preserve"> 2015), </w:t>
      </w:r>
      <w:r w:rsidR="00C87D94">
        <w:t xml:space="preserve">el Comité del Programa y Presupuesto </w:t>
      </w:r>
      <w:r w:rsidRPr="00802DF6">
        <w:t xml:space="preserve">(PBC) </w:t>
      </w:r>
      <w:r w:rsidR="00C87D94">
        <w:t xml:space="preserve">convino en formular la siguiente recomendación a la Unión de Lisboa </w:t>
      </w:r>
      <w:r w:rsidRPr="00802DF6">
        <w:rPr>
          <w:szCs w:val="22"/>
        </w:rPr>
        <w:t>(</w:t>
      </w:r>
      <w:r w:rsidR="00C87D94">
        <w:rPr>
          <w:szCs w:val="22"/>
        </w:rPr>
        <w:t xml:space="preserve">véase el </w:t>
      </w:r>
      <w:r w:rsidRPr="00802DF6">
        <w:rPr>
          <w:szCs w:val="22"/>
        </w:rPr>
        <w:t>document</w:t>
      </w:r>
      <w:r w:rsidR="00C87D94">
        <w:rPr>
          <w:szCs w:val="22"/>
        </w:rPr>
        <w:t>o</w:t>
      </w:r>
      <w:r w:rsidRPr="00802DF6">
        <w:rPr>
          <w:szCs w:val="22"/>
        </w:rPr>
        <w:t xml:space="preserve"> WO/PBC/24/17, </w:t>
      </w:r>
      <w:r w:rsidR="00C87D94">
        <w:rPr>
          <w:szCs w:val="22"/>
        </w:rPr>
        <w:t>en el punto 10 del orden del día, reproducido</w:t>
      </w:r>
      <w:r w:rsidRPr="00802DF6">
        <w:rPr>
          <w:szCs w:val="22"/>
        </w:rPr>
        <w:t xml:space="preserve"> </w:t>
      </w:r>
      <w:r w:rsidR="00C87D94">
        <w:rPr>
          <w:szCs w:val="22"/>
        </w:rPr>
        <w:t>e</w:t>
      </w:r>
      <w:r w:rsidRPr="00802DF6">
        <w:rPr>
          <w:szCs w:val="22"/>
        </w:rPr>
        <w:t xml:space="preserve">n </w:t>
      </w:r>
      <w:r w:rsidR="00C87D94">
        <w:rPr>
          <w:szCs w:val="22"/>
        </w:rPr>
        <w:t xml:space="preserve">el </w:t>
      </w:r>
      <w:r w:rsidRPr="00802DF6">
        <w:rPr>
          <w:szCs w:val="22"/>
        </w:rPr>
        <w:t>document</w:t>
      </w:r>
      <w:r w:rsidR="00C87D94">
        <w:rPr>
          <w:szCs w:val="22"/>
        </w:rPr>
        <w:t>o A/55/4 “Decisiones adoptadas por el Comité del Programa y Presupuesto</w:t>
      </w:r>
      <w:r w:rsidRPr="00802DF6">
        <w:rPr>
          <w:szCs w:val="22"/>
        </w:rPr>
        <w:t>”):</w:t>
      </w:r>
    </w:p>
    <w:p w:rsidR="00D43D09" w:rsidRPr="00802DF6" w:rsidRDefault="00D43D09" w:rsidP="00D43D09">
      <w:pPr>
        <w:rPr>
          <w:szCs w:val="22"/>
        </w:rPr>
      </w:pPr>
    </w:p>
    <w:p w:rsidR="00D43D09" w:rsidRPr="00802DF6" w:rsidRDefault="00D43D09" w:rsidP="00D43D09">
      <w:pPr>
        <w:ind w:left="567"/>
        <w:rPr>
          <w:szCs w:val="22"/>
        </w:rPr>
      </w:pPr>
      <w:r w:rsidRPr="00802DF6">
        <w:rPr>
          <w:szCs w:val="22"/>
        </w:rPr>
        <w:t>“3.</w:t>
      </w:r>
      <w:r w:rsidRPr="00802DF6">
        <w:rPr>
          <w:szCs w:val="22"/>
        </w:rPr>
        <w:tab/>
      </w:r>
      <w:r w:rsidR="00C87D94" w:rsidRPr="00C87D94">
        <w:rPr>
          <w:szCs w:val="22"/>
        </w:rPr>
        <w:t>El PBC tomó nota de las opciones para la sostenibilidad financiera de la Unión de Lisboa, según constan en el documento WO/PBC/24/16 Rev., y recomendó que la Unión de Lisboa considere opciones, de conformidad con lo dispuesto en el Arreglo de Lisboa para la Protección de las Denominaciones de Origen y su Registro Internacional, con miras a tratar la sostenibilidad financiera del presupuesto de la Unión de Lisboa en el 32º período de sesiones próximo de la Asamblea de la Unión de Lisboa.  El PBC pidió a la Secretaría que brinde el apoyo necesario a ese fin.</w:t>
      </w:r>
      <w:r w:rsidR="00C87D94">
        <w:rPr>
          <w:szCs w:val="22"/>
        </w:rPr>
        <w:t>”</w:t>
      </w:r>
      <w:r w:rsidRPr="00802DF6">
        <w:rPr>
          <w:szCs w:val="22"/>
        </w:rPr>
        <w:br/>
      </w:r>
    </w:p>
    <w:p w:rsidR="00D43D09" w:rsidRPr="00802DF6" w:rsidRDefault="00D43D09" w:rsidP="006D0D05">
      <w:pPr>
        <w:spacing w:after="240"/>
        <w:rPr>
          <w:szCs w:val="22"/>
        </w:rPr>
      </w:pPr>
      <w:r w:rsidRPr="00802DF6">
        <w:rPr>
          <w:szCs w:val="22"/>
        </w:rPr>
        <w:fldChar w:fldCharType="begin"/>
      </w:r>
      <w:r w:rsidRPr="00802DF6">
        <w:rPr>
          <w:szCs w:val="22"/>
        </w:rPr>
        <w:instrText xml:space="preserve"> AUTONUM  </w:instrText>
      </w:r>
      <w:r w:rsidRPr="00802DF6">
        <w:rPr>
          <w:szCs w:val="22"/>
        </w:rPr>
        <w:fldChar w:fldCharType="end"/>
      </w:r>
      <w:r w:rsidRPr="00802DF6">
        <w:rPr>
          <w:szCs w:val="22"/>
        </w:rPr>
        <w:tab/>
      </w:r>
      <w:r w:rsidR="006D0D05">
        <w:rPr>
          <w:szCs w:val="22"/>
        </w:rPr>
        <w:t>A ese respecto</w:t>
      </w:r>
      <w:r w:rsidRPr="00802DF6">
        <w:rPr>
          <w:szCs w:val="22"/>
        </w:rPr>
        <w:t xml:space="preserve">, </w:t>
      </w:r>
      <w:r w:rsidR="006D0D05">
        <w:rPr>
          <w:szCs w:val="22"/>
        </w:rPr>
        <w:t xml:space="preserve">cabe remitirse al documento </w:t>
      </w:r>
      <w:r w:rsidRPr="00802DF6">
        <w:rPr>
          <w:szCs w:val="22"/>
        </w:rPr>
        <w:t xml:space="preserve">WO/PBC/24/16 Rev. </w:t>
      </w:r>
      <w:r w:rsidR="006D0D05">
        <w:rPr>
          <w:szCs w:val="22"/>
        </w:rPr>
        <w:t>(Opciones para la sostenibilidad financiera de la Unión de Lisboa</w:t>
      </w:r>
      <w:r w:rsidRPr="00802DF6">
        <w:rPr>
          <w:szCs w:val="22"/>
        </w:rPr>
        <w:t>)</w:t>
      </w:r>
      <w:r w:rsidR="006D0D05">
        <w:rPr>
          <w:szCs w:val="22"/>
        </w:rPr>
        <w:t xml:space="preserve"> que se reproduce más adelante</w:t>
      </w:r>
      <w:r w:rsidRPr="00802DF6">
        <w:rPr>
          <w:szCs w:val="22"/>
        </w:rPr>
        <w:t xml:space="preserve">, </w:t>
      </w:r>
      <w:r w:rsidR="006D0D05">
        <w:rPr>
          <w:szCs w:val="22"/>
        </w:rPr>
        <w:t xml:space="preserve">al </w:t>
      </w:r>
      <w:r w:rsidRPr="00802DF6">
        <w:rPr>
          <w:szCs w:val="22"/>
        </w:rPr>
        <w:t>document</w:t>
      </w:r>
      <w:r w:rsidR="006D0D05">
        <w:rPr>
          <w:szCs w:val="22"/>
        </w:rPr>
        <w:t>o</w:t>
      </w:r>
      <w:r w:rsidRPr="00802DF6">
        <w:rPr>
          <w:szCs w:val="22"/>
        </w:rPr>
        <w:t xml:space="preserve"> LI/A/32/2 (</w:t>
      </w:r>
      <w:r w:rsidR="006D0D05" w:rsidRPr="006D0D05">
        <w:rPr>
          <w:szCs w:val="22"/>
        </w:rPr>
        <w:t>Propuesta de actualización de la tabla de tasas en el marco de la Regla 23 del Reglamento del Arreglo de Lisboa</w:t>
      </w:r>
      <w:r w:rsidRPr="00802DF6">
        <w:rPr>
          <w:szCs w:val="22"/>
        </w:rPr>
        <w:t xml:space="preserve">) </w:t>
      </w:r>
      <w:r w:rsidR="006D0D05">
        <w:rPr>
          <w:szCs w:val="22"/>
        </w:rPr>
        <w:t xml:space="preserve">y al </w:t>
      </w:r>
      <w:r w:rsidRPr="00802DF6">
        <w:rPr>
          <w:szCs w:val="22"/>
        </w:rPr>
        <w:t>document</w:t>
      </w:r>
      <w:r w:rsidR="006D0D05">
        <w:rPr>
          <w:szCs w:val="22"/>
        </w:rPr>
        <w:t>o</w:t>
      </w:r>
      <w:r w:rsidRPr="00802DF6">
        <w:rPr>
          <w:szCs w:val="22"/>
        </w:rPr>
        <w:t xml:space="preserve"> LI/A/32/4 (</w:t>
      </w:r>
      <w:r w:rsidR="006D0D05">
        <w:rPr>
          <w:szCs w:val="22"/>
        </w:rPr>
        <w:t>Propuesta de establecer un fondo de operaciones para la Unión de Lisboa</w:t>
      </w:r>
      <w:r w:rsidRPr="00802DF6">
        <w:rPr>
          <w:szCs w:val="22"/>
        </w:rPr>
        <w:t>).</w:t>
      </w:r>
    </w:p>
    <w:p w:rsidR="00D43D09" w:rsidRPr="00802DF6" w:rsidRDefault="00D43D09" w:rsidP="00D43D09">
      <w:pPr>
        <w:ind w:left="5533"/>
        <w:rPr>
          <w:i/>
        </w:rPr>
      </w:pPr>
      <w:r w:rsidRPr="00802DF6">
        <w:rPr>
          <w:i/>
        </w:rPr>
        <w:lastRenderedPageBreak/>
        <w:fldChar w:fldCharType="begin"/>
      </w:r>
      <w:r w:rsidRPr="00802DF6">
        <w:rPr>
          <w:i/>
        </w:rPr>
        <w:instrText xml:space="preserve"> AUTONUM  </w:instrText>
      </w:r>
      <w:r w:rsidRPr="00802DF6">
        <w:rPr>
          <w:i/>
        </w:rPr>
        <w:fldChar w:fldCharType="end"/>
      </w:r>
      <w:r w:rsidRPr="00802DF6">
        <w:rPr>
          <w:i/>
        </w:rPr>
        <w:tab/>
      </w:r>
      <w:r w:rsidR="00802DF6">
        <w:rPr>
          <w:i/>
        </w:rPr>
        <w:t>Se invita a la Asamblea a considerar la recomendación del Comité del Programa y Presupuesto que se menciona anteriormente</w:t>
      </w:r>
      <w:r w:rsidRPr="00802DF6">
        <w:rPr>
          <w:i/>
        </w:rPr>
        <w:t>.</w:t>
      </w:r>
    </w:p>
    <w:p w:rsidR="00D43D09" w:rsidRPr="00802DF6" w:rsidRDefault="00D43D09" w:rsidP="00D43D09"/>
    <w:p w:rsidR="00D43D09" w:rsidRPr="00802DF6" w:rsidRDefault="00D43D09" w:rsidP="00D43D09"/>
    <w:p w:rsidR="00D43D09" w:rsidRPr="00802DF6" w:rsidRDefault="00D43D09" w:rsidP="00D43D09"/>
    <w:p w:rsidR="00D43D09" w:rsidRPr="00802DF6" w:rsidRDefault="00D43D09" w:rsidP="00600C4A">
      <w:pPr>
        <w:ind w:left="4820"/>
        <w:jc w:val="center"/>
      </w:pPr>
      <w:r w:rsidRPr="00802DF6">
        <w:t>[</w:t>
      </w:r>
      <w:r w:rsidR="00D36102" w:rsidRPr="00802DF6">
        <w:t>Sigue el d</w:t>
      </w:r>
      <w:r w:rsidRPr="00802DF6">
        <w:t>ocument</w:t>
      </w:r>
      <w:r w:rsidR="00D36102" w:rsidRPr="00802DF6">
        <w:t>o</w:t>
      </w:r>
      <w:r w:rsidRPr="00802DF6">
        <w:t xml:space="preserve"> WO/PBC/24/16 Rev.]</w:t>
      </w:r>
    </w:p>
    <w:p w:rsidR="00A12AD5" w:rsidRDefault="00A12AD5">
      <w:pPr>
        <w:sectPr w:rsidR="00A12AD5" w:rsidSect="00A12AD5">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504E5" w:rsidRPr="00802DF6" w:rsidTr="00D43D09">
        <w:tc>
          <w:tcPr>
            <w:tcW w:w="4513" w:type="dxa"/>
            <w:tcBorders>
              <w:bottom w:val="single" w:sz="4" w:space="0" w:color="auto"/>
            </w:tcBorders>
            <w:tcMar>
              <w:bottom w:w="170" w:type="dxa"/>
            </w:tcMar>
          </w:tcPr>
          <w:p w:rsidR="00E504E5" w:rsidRPr="00802DF6" w:rsidRDefault="00E504E5" w:rsidP="00AB613D"/>
        </w:tc>
        <w:tc>
          <w:tcPr>
            <w:tcW w:w="4337" w:type="dxa"/>
            <w:tcBorders>
              <w:bottom w:val="single" w:sz="4" w:space="0" w:color="auto"/>
            </w:tcBorders>
            <w:tcMar>
              <w:left w:w="0" w:type="dxa"/>
              <w:right w:w="0" w:type="dxa"/>
            </w:tcMar>
          </w:tcPr>
          <w:p w:rsidR="00E504E5" w:rsidRPr="00802DF6" w:rsidRDefault="0019695A" w:rsidP="00AB613D">
            <w:r w:rsidRPr="00802DF6">
              <w:rPr>
                <w:noProof/>
                <w:lang w:val="en-US" w:eastAsia="en-US"/>
              </w:rPr>
              <w:drawing>
                <wp:inline distT="0" distB="0" distL="0" distR="0" wp14:anchorId="09915953" wp14:editId="281C878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802DF6" w:rsidRDefault="00E504E5" w:rsidP="00AB613D">
            <w:pPr>
              <w:jc w:val="right"/>
            </w:pPr>
            <w:r w:rsidRPr="00802DF6">
              <w:rPr>
                <w:b/>
                <w:sz w:val="40"/>
                <w:szCs w:val="40"/>
              </w:rPr>
              <w:t>S</w:t>
            </w:r>
          </w:p>
        </w:tc>
      </w:tr>
      <w:tr w:rsidR="008B2CC1" w:rsidRPr="00802DF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02DF6" w:rsidRDefault="00FB218B" w:rsidP="00AB613D">
            <w:pPr>
              <w:jc w:val="right"/>
              <w:rPr>
                <w:rFonts w:ascii="Arial Black" w:hAnsi="Arial Black"/>
                <w:caps/>
                <w:sz w:val="15"/>
              </w:rPr>
            </w:pPr>
            <w:r w:rsidRPr="00802DF6">
              <w:rPr>
                <w:rFonts w:ascii="Arial Black" w:hAnsi="Arial Black"/>
                <w:caps/>
                <w:sz w:val="15"/>
              </w:rPr>
              <w:t>wo/pbc/24/</w:t>
            </w:r>
            <w:bookmarkStart w:id="1" w:name="Code"/>
            <w:bookmarkEnd w:id="1"/>
            <w:r w:rsidR="00ED67A4" w:rsidRPr="00802DF6">
              <w:rPr>
                <w:rFonts w:ascii="Arial Black" w:hAnsi="Arial Black"/>
                <w:caps/>
                <w:sz w:val="15"/>
              </w:rPr>
              <w:t>16</w:t>
            </w:r>
            <w:r w:rsidR="00D06495" w:rsidRPr="00802DF6">
              <w:rPr>
                <w:rFonts w:ascii="Arial Black" w:hAnsi="Arial Black"/>
                <w:caps/>
                <w:sz w:val="15"/>
              </w:rPr>
              <w:t xml:space="preserve"> Rev.</w:t>
            </w:r>
          </w:p>
        </w:tc>
      </w:tr>
      <w:tr w:rsidR="008B2CC1" w:rsidRPr="00802DF6" w:rsidTr="00AB613D">
        <w:trPr>
          <w:trHeight w:hRule="exact" w:val="170"/>
        </w:trPr>
        <w:tc>
          <w:tcPr>
            <w:tcW w:w="9356" w:type="dxa"/>
            <w:gridSpan w:val="3"/>
            <w:noWrap/>
            <w:tcMar>
              <w:left w:w="0" w:type="dxa"/>
              <w:right w:w="0" w:type="dxa"/>
            </w:tcMar>
            <w:vAlign w:val="bottom"/>
          </w:tcPr>
          <w:p w:rsidR="008B2CC1" w:rsidRPr="00802DF6" w:rsidRDefault="008B2CC1" w:rsidP="00AB613D">
            <w:pPr>
              <w:jc w:val="right"/>
              <w:rPr>
                <w:rFonts w:ascii="Arial Black" w:hAnsi="Arial Black"/>
                <w:caps/>
                <w:sz w:val="15"/>
              </w:rPr>
            </w:pPr>
            <w:r w:rsidRPr="00802DF6">
              <w:rPr>
                <w:rFonts w:ascii="Arial Black" w:hAnsi="Arial Black"/>
                <w:caps/>
                <w:sz w:val="15"/>
              </w:rPr>
              <w:t>ORIGINAL:</w:t>
            </w:r>
            <w:r w:rsidR="00F84474" w:rsidRPr="00802DF6">
              <w:rPr>
                <w:rFonts w:ascii="Arial Black" w:hAnsi="Arial Black"/>
                <w:caps/>
                <w:sz w:val="15"/>
              </w:rPr>
              <w:t xml:space="preserve"> </w:t>
            </w:r>
            <w:r w:rsidRPr="00802DF6">
              <w:rPr>
                <w:rFonts w:ascii="Arial Black" w:hAnsi="Arial Black"/>
                <w:caps/>
                <w:sz w:val="15"/>
              </w:rPr>
              <w:t xml:space="preserve"> </w:t>
            </w:r>
            <w:bookmarkStart w:id="2" w:name="Original"/>
            <w:bookmarkEnd w:id="2"/>
            <w:r w:rsidR="00ED67A4" w:rsidRPr="00802DF6">
              <w:rPr>
                <w:rFonts w:ascii="Arial Black" w:hAnsi="Arial Black"/>
                <w:caps/>
                <w:sz w:val="15"/>
              </w:rPr>
              <w:t>INGLÉS</w:t>
            </w:r>
          </w:p>
        </w:tc>
      </w:tr>
      <w:tr w:rsidR="008B2CC1" w:rsidRPr="00802DF6" w:rsidTr="00AB613D">
        <w:trPr>
          <w:trHeight w:hRule="exact" w:val="198"/>
        </w:trPr>
        <w:tc>
          <w:tcPr>
            <w:tcW w:w="9356" w:type="dxa"/>
            <w:gridSpan w:val="3"/>
            <w:tcMar>
              <w:left w:w="0" w:type="dxa"/>
              <w:right w:w="0" w:type="dxa"/>
            </w:tcMar>
            <w:vAlign w:val="bottom"/>
          </w:tcPr>
          <w:p w:rsidR="008B2CC1" w:rsidRPr="00802DF6" w:rsidRDefault="00675021" w:rsidP="00D06495">
            <w:pPr>
              <w:jc w:val="right"/>
              <w:rPr>
                <w:rFonts w:ascii="Arial Black" w:hAnsi="Arial Black"/>
                <w:caps/>
                <w:sz w:val="15"/>
              </w:rPr>
            </w:pPr>
            <w:r w:rsidRPr="00802DF6">
              <w:rPr>
                <w:rFonts w:ascii="Arial Black" w:hAnsi="Arial Black"/>
                <w:caps/>
                <w:sz w:val="15"/>
              </w:rPr>
              <w:t>fecha</w:t>
            </w:r>
            <w:r w:rsidR="008B2CC1" w:rsidRPr="00802DF6">
              <w:rPr>
                <w:rFonts w:ascii="Arial Black" w:hAnsi="Arial Black"/>
                <w:caps/>
                <w:sz w:val="15"/>
              </w:rPr>
              <w:t>:</w:t>
            </w:r>
            <w:r w:rsidR="00F84474" w:rsidRPr="00802DF6">
              <w:rPr>
                <w:rFonts w:ascii="Arial Black" w:hAnsi="Arial Black"/>
                <w:caps/>
                <w:sz w:val="15"/>
              </w:rPr>
              <w:t xml:space="preserve"> </w:t>
            </w:r>
            <w:r w:rsidR="008B2CC1" w:rsidRPr="00802DF6">
              <w:rPr>
                <w:rFonts w:ascii="Arial Black" w:hAnsi="Arial Black"/>
                <w:caps/>
                <w:sz w:val="15"/>
              </w:rPr>
              <w:t xml:space="preserve"> </w:t>
            </w:r>
            <w:bookmarkStart w:id="3" w:name="Date"/>
            <w:bookmarkEnd w:id="3"/>
            <w:r w:rsidR="00D06495" w:rsidRPr="00802DF6">
              <w:rPr>
                <w:rFonts w:ascii="Arial Black" w:hAnsi="Arial Black"/>
                <w:caps/>
                <w:sz w:val="15"/>
              </w:rPr>
              <w:t>16 de septiembre</w:t>
            </w:r>
            <w:r w:rsidR="00ED67A4" w:rsidRPr="00802DF6">
              <w:rPr>
                <w:rFonts w:ascii="Arial Black" w:hAnsi="Arial Black"/>
                <w:caps/>
                <w:sz w:val="15"/>
              </w:rPr>
              <w:t xml:space="preserve"> DE 2015</w:t>
            </w:r>
          </w:p>
        </w:tc>
      </w:tr>
    </w:tbl>
    <w:p w:rsidR="008B2CC1" w:rsidRPr="00802DF6" w:rsidRDefault="008B2CC1" w:rsidP="008B2CC1"/>
    <w:p w:rsidR="008B2CC1" w:rsidRPr="00802DF6" w:rsidRDefault="008B2CC1" w:rsidP="008B2CC1"/>
    <w:p w:rsidR="008B2CC1" w:rsidRPr="00802DF6" w:rsidRDefault="008B2CC1" w:rsidP="008B2CC1"/>
    <w:p w:rsidR="008B2CC1" w:rsidRPr="00802DF6" w:rsidRDefault="008B2CC1" w:rsidP="008B2CC1"/>
    <w:p w:rsidR="008B2CC1" w:rsidRPr="00802DF6" w:rsidRDefault="008B2CC1" w:rsidP="008B2CC1"/>
    <w:p w:rsidR="00B67CDC" w:rsidRPr="00802DF6" w:rsidRDefault="00FB218B" w:rsidP="00B67CDC">
      <w:pPr>
        <w:rPr>
          <w:b/>
          <w:sz w:val="28"/>
          <w:szCs w:val="28"/>
        </w:rPr>
      </w:pPr>
      <w:r w:rsidRPr="00802DF6">
        <w:rPr>
          <w:b/>
          <w:sz w:val="28"/>
          <w:szCs w:val="28"/>
        </w:rPr>
        <w:t>Comité del Programa y Presupuesto</w:t>
      </w:r>
    </w:p>
    <w:p w:rsidR="003845C1" w:rsidRPr="00802DF6" w:rsidRDefault="003845C1" w:rsidP="003845C1"/>
    <w:p w:rsidR="003845C1" w:rsidRPr="00802DF6" w:rsidRDefault="003845C1" w:rsidP="003845C1"/>
    <w:p w:rsidR="00FB218B" w:rsidRPr="00802DF6" w:rsidRDefault="00FB218B" w:rsidP="00FB218B">
      <w:pPr>
        <w:rPr>
          <w:b/>
          <w:sz w:val="24"/>
          <w:szCs w:val="24"/>
        </w:rPr>
      </w:pPr>
      <w:r w:rsidRPr="00802DF6">
        <w:rPr>
          <w:b/>
          <w:sz w:val="24"/>
          <w:szCs w:val="24"/>
        </w:rPr>
        <w:t>Vigesimocuarta sesión</w:t>
      </w:r>
    </w:p>
    <w:p w:rsidR="008B2CC1" w:rsidRPr="00802DF6" w:rsidRDefault="00FB218B" w:rsidP="00FB218B">
      <w:r w:rsidRPr="00802DF6">
        <w:rPr>
          <w:b/>
          <w:sz w:val="24"/>
          <w:szCs w:val="24"/>
        </w:rPr>
        <w:t>Ginebra, 14 a 18 de septiembre de 2015</w:t>
      </w:r>
    </w:p>
    <w:p w:rsidR="008B2CC1" w:rsidRPr="00802DF6" w:rsidRDefault="008B2CC1" w:rsidP="008B2CC1"/>
    <w:p w:rsidR="008B2CC1" w:rsidRPr="00802DF6" w:rsidRDefault="008B2CC1" w:rsidP="008B2CC1"/>
    <w:p w:rsidR="00E84719" w:rsidRPr="00802DF6" w:rsidRDefault="004F4D55" w:rsidP="00E84719">
      <w:pPr>
        <w:rPr>
          <w:caps/>
          <w:sz w:val="24"/>
          <w:szCs w:val="24"/>
        </w:rPr>
      </w:pPr>
      <w:bookmarkStart w:id="4" w:name="TitleOfDoc"/>
      <w:bookmarkEnd w:id="4"/>
      <w:r w:rsidRPr="00802DF6">
        <w:rPr>
          <w:sz w:val="24"/>
          <w:szCs w:val="24"/>
        </w:rPr>
        <w:t>OPCIONES PARA LA SOSTENIBILIDAD FINANCIERA DE LA UNIÓN DE LISBOA</w:t>
      </w:r>
    </w:p>
    <w:p w:rsidR="00E84719" w:rsidRPr="00802DF6" w:rsidRDefault="00E84719" w:rsidP="00E84719"/>
    <w:p w:rsidR="00E84719" w:rsidRPr="00802DF6" w:rsidRDefault="00E84719" w:rsidP="004F4D55">
      <w:pPr>
        <w:rPr>
          <w:i/>
        </w:rPr>
      </w:pPr>
      <w:bookmarkStart w:id="5" w:name="Prepared"/>
      <w:bookmarkEnd w:id="5"/>
      <w:r w:rsidRPr="00802DF6">
        <w:rPr>
          <w:i/>
        </w:rPr>
        <w:t>Document</w:t>
      </w:r>
      <w:r w:rsidR="004F4D55" w:rsidRPr="00802DF6">
        <w:rPr>
          <w:i/>
        </w:rPr>
        <w:t>o preparado por la Secretaría</w:t>
      </w:r>
    </w:p>
    <w:p w:rsidR="00E84719" w:rsidRPr="00802DF6" w:rsidRDefault="00E84719" w:rsidP="00E84719"/>
    <w:p w:rsidR="00E84719" w:rsidRPr="00802DF6" w:rsidRDefault="00E84719" w:rsidP="00E84719"/>
    <w:p w:rsidR="00E84719" w:rsidRPr="00802DF6" w:rsidRDefault="00E84719" w:rsidP="00E84719"/>
    <w:p w:rsidR="00E84719" w:rsidRPr="00802DF6" w:rsidRDefault="00E84719" w:rsidP="00E84719">
      <w:pPr>
        <w:rPr>
          <w:i/>
        </w:rPr>
      </w:pPr>
    </w:p>
    <w:p w:rsidR="00E84719" w:rsidRPr="00802DF6" w:rsidRDefault="004F4D55" w:rsidP="00E84719">
      <w:pPr>
        <w:rPr>
          <w:b/>
        </w:rPr>
      </w:pPr>
      <w:r w:rsidRPr="00802DF6">
        <w:rPr>
          <w:b/>
        </w:rPr>
        <w:t>INTRODUCCIÓN</w:t>
      </w:r>
    </w:p>
    <w:p w:rsidR="00E84719" w:rsidRPr="00802DF6" w:rsidRDefault="00E84719" w:rsidP="00E84719"/>
    <w:p w:rsidR="00EE2661" w:rsidRPr="00802DF6" w:rsidRDefault="004F4D55" w:rsidP="000E7FEE">
      <w:pPr>
        <w:pStyle w:val="ONUME"/>
        <w:rPr>
          <w:iCs/>
        </w:rPr>
      </w:pPr>
      <w:r w:rsidRPr="00802DF6">
        <w:t xml:space="preserve">En la vigesimotercera sesión del Comité del Programa y Presupuesto (PBC), celebrada del 13 al 17 de julio de 2015 en Ginebra, el </w:t>
      </w:r>
      <w:r w:rsidR="007A22E7" w:rsidRPr="00802DF6">
        <w:t>PBC</w:t>
      </w:r>
      <w:r w:rsidR="00D349A6" w:rsidRPr="00802DF6">
        <w:t xml:space="preserve"> efectuó</w:t>
      </w:r>
      <w:r w:rsidRPr="00802DF6">
        <w:t xml:space="preserve"> una primera lectura exhaustiva del proyecto de propuesta de presupuesto por programas para el bienio 2016/17, programa por programa, con arreglo a cada meta estratégica</w:t>
      </w:r>
      <w:r w:rsidR="00EE2661" w:rsidRPr="00802DF6">
        <w:t>.  De los 30 programas,</w:t>
      </w:r>
      <w:r w:rsidR="003D5E5D" w:rsidRPr="00802DF6">
        <w:t xml:space="preserve"> el PBC</w:t>
      </w:r>
      <w:r w:rsidR="00EE2661" w:rsidRPr="00802DF6">
        <w:t xml:space="preserve"> convino en las modificaciones propuestas por los Estados miembros en la descripción de los programas, incluidos los marcos de resultados</w:t>
      </w:r>
      <w:r w:rsidR="00DA3068" w:rsidRPr="00802DF6">
        <w:t>,</w:t>
      </w:r>
      <w:r w:rsidR="00EE2661" w:rsidRPr="00802DF6">
        <w:t xml:space="preserve"> de los programas </w:t>
      </w:r>
      <w:r w:rsidR="00E84719" w:rsidRPr="00802DF6">
        <w:rPr>
          <w:iCs/>
        </w:rPr>
        <w:t xml:space="preserve">1, 9, 10, 11, 13, 14, 16, 17, 18, 25, 28 </w:t>
      </w:r>
      <w:r w:rsidR="00EE2661" w:rsidRPr="00802DF6">
        <w:rPr>
          <w:iCs/>
        </w:rPr>
        <w:t>y</w:t>
      </w:r>
      <w:r w:rsidR="00DA3068" w:rsidRPr="00802DF6">
        <w:rPr>
          <w:iCs/>
        </w:rPr>
        <w:t> </w:t>
      </w:r>
      <w:r w:rsidR="00E84719" w:rsidRPr="00802DF6">
        <w:rPr>
          <w:iCs/>
        </w:rPr>
        <w:t>30.</w:t>
      </w:r>
      <w:r w:rsidR="00EE2661" w:rsidRPr="00802DF6">
        <w:rPr>
          <w:iCs/>
        </w:rPr>
        <w:t xml:space="preserve">  Se decidió que los tres programas siguientes fueran examinados de nuevo en la vig</w:t>
      </w:r>
      <w:r w:rsidR="007A22E7" w:rsidRPr="00802DF6">
        <w:rPr>
          <w:iCs/>
        </w:rPr>
        <w:t xml:space="preserve">esimocuarta sesión del PBC, </w:t>
      </w:r>
      <w:r w:rsidR="00DA3068" w:rsidRPr="00802DF6">
        <w:rPr>
          <w:iCs/>
        </w:rPr>
        <w:t>a celebrarse</w:t>
      </w:r>
      <w:r w:rsidR="007A22E7" w:rsidRPr="00802DF6">
        <w:rPr>
          <w:iCs/>
        </w:rPr>
        <w:t xml:space="preserve"> del </w:t>
      </w:r>
      <w:r w:rsidR="00EE2661" w:rsidRPr="00802DF6">
        <w:rPr>
          <w:iCs/>
        </w:rPr>
        <w:t xml:space="preserve">14 al 18 de septiembre de 2015, a saber: el </w:t>
      </w:r>
      <w:r w:rsidR="004439F0" w:rsidRPr="00802DF6">
        <w:rPr>
          <w:iCs/>
        </w:rPr>
        <w:t>P</w:t>
      </w:r>
      <w:r w:rsidR="00EE2661" w:rsidRPr="00802DF6">
        <w:rPr>
          <w:iCs/>
        </w:rPr>
        <w:t xml:space="preserve">rograma 3:  TAG; el </w:t>
      </w:r>
      <w:r w:rsidR="004439F0" w:rsidRPr="00802DF6">
        <w:rPr>
          <w:iCs/>
        </w:rPr>
        <w:t>P</w:t>
      </w:r>
      <w:r w:rsidR="00EE2661" w:rsidRPr="00802DF6">
        <w:rPr>
          <w:iCs/>
        </w:rPr>
        <w:t xml:space="preserve">rograma 6:  propuesta de escindir el </w:t>
      </w:r>
      <w:r w:rsidR="004439F0" w:rsidRPr="00802DF6">
        <w:rPr>
          <w:iCs/>
        </w:rPr>
        <w:t>P</w:t>
      </w:r>
      <w:r w:rsidR="00EE2661" w:rsidRPr="00802DF6">
        <w:rPr>
          <w:iCs/>
        </w:rPr>
        <w:t>rograma 6 (Sistemas de Madrid y de Lisboa) en dos programas distintos y reflejar esa división en todas las secciones, cuadros y anexos pertinentes del proyecto revisado de presupuesto por programas</w:t>
      </w:r>
      <w:r w:rsidR="00E52419" w:rsidRPr="00802DF6">
        <w:rPr>
          <w:iCs/>
        </w:rPr>
        <w:t xml:space="preserve"> para el bienio</w:t>
      </w:r>
      <w:r w:rsidR="00600710">
        <w:rPr>
          <w:iCs/>
        </w:rPr>
        <w:t> </w:t>
      </w:r>
      <w:r w:rsidR="00EE2661" w:rsidRPr="00802DF6">
        <w:rPr>
          <w:iCs/>
        </w:rPr>
        <w:t>2016/17;</w:t>
      </w:r>
      <w:r w:rsidR="004439F0" w:rsidRPr="00802DF6">
        <w:rPr>
          <w:iCs/>
        </w:rPr>
        <w:t xml:space="preserve">  </w:t>
      </w:r>
      <w:r w:rsidR="000E7FEE" w:rsidRPr="00802DF6">
        <w:rPr>
          <w:iCs/>
        </w:rPr>
        <w:t xml:space="preserve">y </w:t>
      </w:r>
      <w:r w:rsidR="004439F0" w:rsidRPr="00802DF6">
        <w:rPr>
          <w:iCs/>
        </w:rPr>
        <w:t xml:space="preserve">el Programa 20:  Nuevas oficinas en el exterior, incluida </w:t>
      </w:r>
      <w:r w:rsidR="000E7FEE" w:rsidRPr="00802DF6">
        <w:rPr>
          <w:iCs/>
        </w:rPr>
        <w:t>una</w:t>
      </w:r>
      <w:r w:rsidR="004439F0" w:rsidRPr="00802DF6">
        <w:rPr>
          <w:iCs/>
        </w:rPr>
        <w:t xml:space="preserve"> posible referencia en el párrafo 33 (en el </w:t>
      </w:r>
      <w:r w:rsidR="00DA3068" w:rsidRPr="00802DF6">
        <w:rPr>
          <w:iCs/>
        </w:rPr>
        <w:t xml:space="preserve">panorama </w:t>
      </w:r>
      <w:r w:rsidR="004439F0" w:rsidRPr="00802DF6">
        <w:rPr>
          <w:iCs/>
        </w:rPr>
        <w:t>financiero y de resultados) y la Oficina de Coordinación de la OMPI ante las Naciones Unidas en Nueva York.  Además, el PBC tomó nota de que varias de las cuestiones planteadas por las delegaciones respe</w:t>
      </w:r>
      <w:r w:rsidR="00DA3068" w:rsidRPr="00802DF6">
        <w:rPr>
          <w:iCs/>
        </w:rPr>
        <w:t>cto del p</w:t>
      </w:r>
      <w:r w:rsidR="004439F0" w:rsidRPr="00802DF6">
        <w:rPr>
          <w:iCs/>
        </w:rPr>
        <w:t>rograma 6 tenían que trasladarse a la vigesimocuarta sesión del PBC, entre ellas la “[solicitud de] que la Secretaría realice un estudio sobre la sostenibilidad financiera del Sistema de Lisboa”</w:t>
      </w:r>
      <w:r w:rsidR="004439F0" w:rsidRPr="00802DF6">
        <w:rPr>
          <w:rStyle w:val="FootnoteReference"/>
          <w:iCs/>
        </w:rPr>
        <w:footnoteReference w:id="2"/>
      </w:r>
      <w:r w:rsidR="004439F0" w:rsidRPr="00802DF6">
        <w:rPr>
          <w:iCs/>
        </w:rPr>
        <w:t xml:space="preserve">.  </w:t>
      </w:r>
      <w:r w:rsidR="00EE2661" w:rsidRPr="00802DF6">
        <w:rPr>
          <w:iCs/>
        </w:rPr>
        <w:t xml:space="preserve">  </w:t>
      </w:r>
    </w:p>
    <w:p w:rsidR="00E84719" w:rsidRPr="00802DF6" w:rsidRDefault="003652DA" w:rsidP="00E52419">
      <w:pPr>
        <w:pStyle w:val="ONUME"/>
      </w:pPr>
      <w:r w:rsidRPr="00802DF6">
        <w:t xml:space="preserve">Por consiguiente, una cuestión fundamental en lo tocante a la Unión </w:t>
      </w:r>
      <w:r w:rsidR="00DA3068" w:rsidRPr="00802DF6">
        <w:t>particular</w:t>
      </w:r>
      <w:r w:rsidRPr="00802DF6">
        <w:t xml:space="preserve"> para la Protección de las Denominaciones de Origen y su Registro Internacional (Unión de Lisboa)</w:t>
      </w:r>
      <w:r w:rsidR="00F35457" w:rsidRPr="00802DF6">
        <w:t xml:space="preserve"> es su financiación sostenible.  Se trata de un asunto que ha generado importantes diferencias de </w:t>
      </w:r>
      <w:r w:rsidR="00E52419" w:rsidRPr="00802DF6">
        <w:lastRenderedPageBreak/>
        <w:t>parecer</w:t>
      </w:r>
      <w:r w:rsidR="003D5E5D" w:rsidRPr="00802DF6">
        <w:t xml:space="preserve"> y de enfoque</w:t>
      </w:r>
      <w:r w:rsidR="00F35457" w:rsidRPr="00802DF6">
        <w:t xml:space="preserve"> entre los Estados miembros de la OMPI.  La finalidad del presente documento es describir las opciones relativas a la cuestión de la financiación con objeto de ayudar a los Estados miembros en sus deliberaciones a alcanzar un acuerdo satisfactorio sobre este asunto y, de ese modo, facilitar la </w:t>
      </w:r>
      <w:r w:rsidR="00E52419" w:rsidRPr="00802DF6">
        <w:t>aprobación</w:t>
      </w:r>
      <w:r w:rsidR="00F35457" w:rsidRPr="00802DF6">
        <w:t xml:space="preserve"> del </w:t>
      </w:r>
      <w:r w:rsidR="00F35457" w:rsidRPr="00802DF6">
        <w:rPr>
          <w:iCs/>
        </w:rPr>
        <w:t>proyecto de propuesta de presupuesto por programas para el bienio 2016/17</w:t>
      </w:r>
      <w:r w:rsidR="00E84719" w:rsidRPr="00802DF6">
        <w:rPr>
          <w:iCs/>
        </w:rPr>
        <w:t xml:space="preserve">. </w:t>
      </w:r>
    </w:p>
    <w:p w:rsidR="00E84719" w:rsidRPr="00802DF6" w:rsidRDefault="00F35457" w:rsidP="00E84719">
      <w:pPr>
        <w:rPr>
          <w:b/>
          <w:iCs/>
        </w:rPr>
      </w:pPr>
      <w:r w:rsidRPr="00802DF6">
        <w:rPr>
          <w:b/>
          <w:iCs/>
        </w:rPr>
        <w:t>MARCO JURÍDICO APLICABLE</w:t>
      </w:r>
    </w:p>
    <w:p w:rsidR="00E84719" w:rsidRPr="00802DF6" w:rsidRDefault="00E84719" w:rsidP="00E84719">
      <w:pPr>
        <w:rPr>
          <w:b/>
          <w:iCs/>
        </w:rPr>
      </w:pPr>
    </w:p>
    <w:p w:rsidR="00E84719" w:rsidRPr="00802DF6" w:rsidRDefault="00ED587A" w:rsidP="00E84719">
      <w:pPr>
        <w:pStyle w:val="ListParagraph"/>
        <w:numPr>
          <w:ilvl w:val="0"/>
          <w:numId w:val="9"/>
        </w:numPr>
        <w:tabs>
          <w:tab w:val="left" w:pos="567"/>
        </w:tabs>
        <w:spacing w:after="0" w:line="240" w:lineRule="auto"/>
        <w:ind w:left="0" w:firstLine="0"/>
        <w:rPr>
          <w:rFonts w:ascii="Arial" w:hAnsi="Arial" w:cs="Arial"/>
          <w:b/>
          <w:iCs/>
          <w:lang w:val="es-ES"/>
        </w:rPr>
      </w:pPr>
      <w:r w:rsidRPr="00802DF6">
        <w:rPr>
          <w:rFonts w:ascii="Arial" w:hAnsi="Arial" w:cs="Arial"/>
          <w:b/>
          <w:iCs/>
          <w:lang w:val="es-ES"/>
        </w:rPr>
        <w:t>El Arreglo de Lisboa</w:t>
      </w:r>
    </w:p>
    <w:p w:rsidR="00E84719" w:rsidRPr="00802DF6" w:rsidRDefault="00E84719" w:rsidP="001D6CCE">
      <w:pPr>
        <w:pStyle w:val="ListParagraph"/>
        <w:spacing w:after="0" w:line="240" w:lineRule="auto"/>
        <w:ind w:left="0"/>
        <w:rPr>
          <w:rFonts w:ascii="Arial" w:hAnsi="Arial" w:cs="Arial"/>
          <w:iCs/>
          <w:lang w:val="es-ES"/>
        </w:rPr>
      </w:pPr>
    </w:p>
    <w:p w:rsidR="00E84719" w:rsidRPr="00802DF6" w:rsidRDefault="00F35457" w:rsidP="0001061B">
      <w:pPr>
        <w:pStyle w:val="ONUME"/>
      </w:pPr>
      <w:r w:rsidRPr="00802DF6">
        <w:t>E</w:t>
      </w:r>
      <w:r w:rsidR="00855361" w:rsidRPr="00802DF6">
        <w:t xml:space="preserve">n el </w:t>
      </w:r>
      <w:r w:rsidR="0001061B" w:rsidRPr="00802DF6">
        <w:t>A</w:t>
      </w:r>
      <w:r w:rsidR="00855361" w:rsidRPr="00802DF6">
        <w:t>rtículo 11 de</w:t>
      </w:r>
      <w:r w:rsidRPr="00802DF6">
        <w:t>l Arreglo de Lisboa relativo a la Protección de las Denominaciones de Origen y su Registro Internacional</w:t>
      </w:r>
      <w:r w:rsidR="0001061B" w:rsidRPr="00802DF6">
        <w:t xml:space="preserve"> </w:t>
      </w:r>
      <w:r w:rsidRPr="00802DF6">
        <w:t>(modificado el 28 de septiembre de 1979)</w:t>
      </w:r>
      <w:r w:rsidR="00855361" w:rsidRPr="00802DF6">
        <w:t xml:space="preserve"> (en lo sucesivo, “el Arreglo de Lisboa”) se establecen las disposiciones pertinentes para la financiación de la Unión de Lisboa.  Con arreglo a lo dispuesto en el </w:t>
      </w:r>
      <w:r w:rsidR="00832E04" w:rsidRPr="00802DF6">
        <w:t>Artículo</w:t>
      </w:r>
      <w:r w:rsidR="00855361" w:rsidRPr="00802DF6">
        <w:t xml:space="preserve"> 1</w:t>
      </w:r>
      <w:r w:rsidR="0001061B" w:rsidRPr="00802DF6">
        <w:t>1</w:t>
      </w:r>
      <w:r w:rsidR="00832E04" w:rsidRPr="00802DF6">
        <w:t>.3)</w:t>
      </w:r>
      <w:r w:rsidR="00855361" w:rsidRPr="00802DF6">
        <w:t xml:space="preserve"> del Arreglo de Lisboa, </w:t>
      </w:r>
      <w:r w:rsidR="002A7AD7" w:rsidRPr="00802DF6">
        <w:t>el presupuesto de la Unión de Lisboa se financiará con los recursos siguientes:</w:t>
      </w:r>
      <w:r w:rsidR="00855361" w:rsidRPr="00802DF6">
        <w:t xml:space="preserve"> </w:t>
      </w:r>
    </w:p>
    <w:p w:rsidR="00832E04" w:rsidRPr="00802DF6" w:rsidRDefault="00832E04" w:rsidP="00832E04">
      <w:pPr>
        <w:numPr>
          <w:ilvl w:val="0"/>
          <w:numId w:val="10"/>
        </w:numPr>
        <w:spacing w:after="200"/>
        <w:ind w:left="993" w:hanging="454"/>
      </w:pPr>
      <w:r w:rsidRPr="00802DF6">
        <w:t>las tasas de registro internacional percibidas de conformidad con el Artículo 7.2) y las tasas y sumas debidas por los demás servicios prestados por la Oficina Internacional por cuenta de la Unión particular;</w:t>
      </w:r>
    </w:p>
    <w:p w:rsidR="00832E04" w:rsidRPr="00802DF6" w:rsidRDefault="00832E04" w:rsidP="00832E04">
      <w:pPr>
        <w:numPr>
          <w:ilvl w:val="0"/>
          <w:numId w:val="10"/>
        </w:numPr>
        <w:spacing w:after="200"/>
        <w:ind w:left="993" w:hanging="454"/>
      </w:pPr>
      <w:r w:rsidRPr="00802DF6">
        <w:t>el producto de la venta de las publicaciones de la Oficina Internacional referentes a la Unión particular y los derechos correspondientes a esas publicaciones;</w:t>
      </w:r>
    </w:p>
    <w:p w:rsidR="00E84719" w:rsidRPr="00802DF6" w:rsidRDefault="00832E04" w:rsidP="00832E04">
      <w:pPr>
        <w:numPr>
          <w:ilvl w:val="0"/>
          <w:numId w:val="10"/>
        </w:numPr>
        <w:spacing w:after="200"/>
        <w:ind w:left="993" w:hanging="454"/>
      </w:pPr>
      <w:r w:rsidRPr="00802DF6">
        <w:t>las donaciones, legados y subvenciones</w:t>
      </w:r>
      <w:r w:rsidR="00E84719" w:rsidRPr="00802DF6">
        <w:t xml:space="preserve">;  </w:t>
      </w:r>
    </w:p>
    <w:p w:rsidR="00E84719" w:rsidRPr="00802DF6" w:rsidRDefault="00832E04" w:rsidP="00832E04">
      <w:pPr>
        <w:numPr>
          <w:ilvl w:val="0"/>
          <w:numId w:val="10"/>
        </w:numPr>
        <w:spacing w:after="200"/>
        <w:ind w:left="993" w:hanging="454"/>
      </w:pPr>
      <w:r w:rsidRPr="00802DF6">
        <w:t>los alquileres, intereses y otros ingresos diversos</w:t>
      </w:r>
      <w:r w:rsidR="00E84719" w:rsidRPr="00802DF6">
        <w:t xml:space="preserve">;  </w:t>
      </w:r>
    </w:p>
    <w:p w:rsidR="00E84719" w:rsidRPr="00802DF6" w:rsidRDefault="00026157" w:rsidP="0053582F">
      <w:pPr>
        <w:numPr>
          <w:ilvl w:val="0"/>
          <w:numId w:val="10"/>
        </w:numPr>
        <w:spacing w:after="200"/>
        <w:ind w:left="993" w:hanging="454"/>
      </w:pPr>
      <w:r w:rsidRPr="00802DF6">
        <w:t>las contribuciones de los países de la Unión particular, en la medida en que los ingresos procedentes de las fuentes mencionadas en los puntos i) a iv) no basten para cubrir los gastos de la Unión particular</w:t>
      </w:r>
      <w:r w:rsidR="00E84719" w:rsidRPr="00802DF6">
        <w:t>.</w:t>
      </w:r>
    </w:p>
    <w:p w:rsidR="00E84719" w:rsidRPr="00802DF6" w:rsidRDefault="0046007D" w:rsidP="00F73898">
      <w:pPr>
        <w:pStyle w:val="ONUME"/>
        <w:rPr>
          <w:iCs/>
        </w:rPr>
      </w:pPr>
      <w:r w:rsidRPr="00802DF6">
        <w:rPr>
          <w:iCs/>
        </w:rPr>
        <w:t>Además, en el Artículo 11.</w:t>
      </w:r>
      <w:r w:rsidR="005F5493" w:rsidRPr="00802DF6">
        <w:rPr>
          <w:iCs/>
        </w:rPr>
        <w:t xml:space="preserve">7) se estipula que la Unión de Lisboa poseerá un fondo de operaciones y en el Artículo 11.8)a) se prevé, asimismo, que si </w:t>
      </w:r>
      <w:r w:rsidR="0085439A" w:rsidRPr="00802DF6">
        <w:rPr>
          <w:iCs/>
        </w:rPr>
        <w:t>este</w:t>
      </w:r>
      <w:r w:rsidR="00DB1800" w:rsidRPr="00802DF6">
        <w:rPr>
          <w:iCs/>
        </w:rPr>
        <w:t xml:space="preserve"> fondo resulta</w:t>
      </w:r>
      <w:r w:rsidR="005F5493" w:rsidRPr="00802DF6">
        <w:rPr>
          <w:iCs/>
        </w:rPr>
        <w:t xml:space="preserve"> insuficiente, el país en cuyo territorio </w:t>
      </w:r>
      <w:r w:rsidR="0085439A" w:rsidRPr="00802DF6">
        <w:rPr>
          <w:iCs/>
        </w:rPr>
        <w:t>tiene</w:t>
      </w:r>
      <w:r w:rsidR="001303EB" w:rsidRPr="00802DF6">
        <w:rPr>
          <w:iCs/>
        </w:rPr>
        <w:t xml:space="preserve"> su residencia la Organización conced</w:t>
      </w:r>
      <w:r w:rsidR="0085439A" w:rsidRPr="00802DF6">
        <w:rPr>
          <w:iCs/>
        </w:rPr>
        <w:t>er</w:t>
      </w:r>
      <w:r w:rsidR="00DB1800" w:rsidRPr="00802DF6">
        <w:rPr>
          <w:iCs/>
        </w:rPr>
        <w:t xml:space="preserve">á </w:t>
      </w:r>
      <w:r w:rsidR="001303EB" w:rsidRPr="00802DF6">
        <w:rPr>
          <w:iCs/>
        </w:rPr>
        <w:t xml:space="preserve">anticipos.  </w:t>
      </w:r>
      <w:r w:rsidR="0085439A" w:rsidRPr="00802DF6">
        <w:rPr>
          <w:iCs/>
        </w:rPr>
        <w:t>A continuación se examina</w:t>
      </w:r>
      <w:r w:rsidR="00F73898" w:rsidRPr="00802DF6">
        <w:rPr>
          <w:iCs/>
        </w:rPr>
        <w:t>n</w:t>
      </w:r>
      <w:r w:rsidR="0085439A" w:rsidRPr="00802DF6">
        <w:rPr>
          <w:iCs/>
        </w:rPr>
        <w:t xml:space="preserve"> más </w:t>
      </w:r>
      <w:r w:rsidR="00F73898" w:rsidRPr="00802DF6">
        <w:rPr>
          <w:iCs/>
        </w:rPr>
        <w:t>detenidamente</w:t>
      </w:r>
      <w:r w:rsidR="0085439A" w:rsidRPr="00802DF6">
        <w:rPr>
          <w:iCs/>
        </w:rPr>
        <w:t xml:space="preserve"> cada una de esas fuentes</w:t>
      </w:r>
      <w:r w:rsidR="001303EB" w:rsidRPr="00802DF6">
        <w:rPr>
          <w:iCs/>
        </w:rPr>
        <w:t xml:space="preserve"> y su capacidad para contribuir a la sostenibilidad financiera de la Unión de Lisboa</w:t>
      </w:r>
    </w:p>
    <w:p w:rsidR="00E84719" w:rsidRPr="00802DF6" w:rsidRDefault="00E36ACF" w:rsidP="00E36ACF">
      <w:pPr>
        <w:pStyle w:val="ListParagraph"/>
        <w:numPr>
          <w:ilvl w:val="0"/>
          <w:numId w:val="9"/>
        </w:numPr>
        <w:tabs>
          <w:tab w:val="left" w:pos="567"/>
        </w:tabs>
        <w:spacing w:before="120" w:after="0" w:line="240" w:lineRule="auto"/>
        <w:ind w:left="0" w:firstLine="0"/>
        <w:contextualSpacing w:val="0"/>
        <w:rPr>
          <w:rFonts w:ascii="Arial" w:hAnsi="Arial" w:cs="Arial"/>
          <w:b/>
          <w:iCs/>
          <w:lang w:val="es-ES"/>
        </w:rPr>
      </w:pPr>
      <w:r w:rsidRPr="00802DF6">
        <w:rPr>
          <w:rFonts w:ascii="Arial" w:hAnsi="Arial" w:cs="Arial"/>
          <w:b/>
          <w:iCs/>
          <w:lang w:val="es-ES"/>
        </w:rPr>
        <w:t xml:space="preserve">Acta de Ginebra del Arreglo de Lisboa   </w:t>
      </w:r>
    </w:p>
    <w:p w:rsidR="00E84719" w:rsidRPr="00802DF6" w:rsidRDefault="00E84719" w:rsidP="00140F83">
      <w:pPr>
        <w:pStyle w:val="ListParagraph"/>
        <w:spacing w:after="0" w:line="240" w:lineRule="auto"/>
        <w:ind w:left="0"/>
        <w:rPr>
          <w:rFonts w:ascii="Arial" w:hAnsi="Arial" w:cs="Arial"/>
          <w:iCs/>
          <w:lang w:val="es-ES"/>
        </w:rPr>
      </w:pPr>
    </w:p>
    <w:p w:rsidR="00E84719" w:rsidRPr="00802DF6" w:rsidRDefault="00FB6306" w:rsidP="00FB6306">
      <w:pPr>
        <w:pStyle w:val="ONUME"/>
      </w:pPr>
      <w:r w:rsidRPr="00802DF6">
        <w:rPr>
          <w:szCs w:val="22"/>
        </w:rPr>
        <w:t>En el Artículo 24 d</w:t>
      </w:r>
      <w:r w:rsidR="00E36A0A" w:rsidRPr="00802DF6">
        <w:t xml:space="preserve">el Acta de Ginebra del Arreglo de Lisboa </w:t>
      </w:r>
      <w:r w:rsidR="00E36A0A" w:rsidRPr="00802DF6">
        <w:rPr>
          <w:szCs w:val="22"/>
        </w:rPr>
        <w:t>relativo a las Denominaciones de Origen y las Indicaciones Geográficas (adoptad</w:t>
      </w:r>
      <w:r w:rsidRPr="00802DF6">
        <w:rPr>
          <w:szCs w:val="22"/>
        </w:rPr>
        <w:t>a</w:t>
      </w:r>
      <w:r w:rsidR="00E36A0A" w:rsidRPr="00802DF6">
        <w:rPr>
          <w:szCs w:val="22"/>
        </w:rPr>
        <w:t xml:space="preserve"> el 20 de mayo de 2015) (en lo sucesivo, “el Acta de Ginebra) se establecen disposiciones similares, aunque no idénticas, con respecto a las fuentes de financiación del presupuesto de la Unión de Lisboa.  De conformidad con lo dispuesto en el Artículo 24.2) del Acta de Ginebra, los ingresos de la Unión procederán de las fuentes siguientes: </w:t>
      </w:r>
    </w:p>
    <w:p w:rsidR="00E36A0A" w:rsidRPr="00802DF6" w:rsidRDefault="00E36A0A" w:rsidP="006A3975">
      <w:pPr>
        <w:pStyle w:val="Default"/>
        <w:numPr>
          <w:ilvl w:val="0"/>
          <w:numId w:val="11"/>
        </w:numPr>
        <w:spacing w:after="200"/>
        <w:ind w:left="993" w:hanging="454"/>
        <w:rPr>
          <w:color w:val="auto"/>
          <w:sz w:val="22"/>
          <w:szCs w:val="22"/>
          <w:lang w:val="es-ES"/>
        </w:rPr>
      </w:pPr>
      <w:r w:rsidRPr="00802DF6">
        <w:rPr>
          <w:color w:val="auto"/>
          <w:sz w:val="22"/>
          <w:szCs w:val="22"/>
          <w:lang w:val="es-ES"/>
        </w:rPr>
        <w:t>las tasas percibidas de conformidad con el Artículo 7.1</w:t>
      </w:r>
      <w:r w:rsidR="005B4871" w:rsidRPr="00802DF6">
        <w:rPr>
          <w:color w:val="auto"/>
          <w:sz w:val="22"/>
          <w:szCs w:val="22"/>
          <w:lang w:val="es-ES"/>
        </w:rPr>
        <w:t>)</w:t>
      </w:r>
      <w:r w:rsidRPr="00802DF6">
        <w:rPr>
          <w:color w:val="auto"/>
          <w:sz w:val="22"/>
          <w:szCs w:val="22"/>
          <w:lang w:val="es-ES"/>
        </w:rPr>
        <w:t xml:space="preserve"> y 2</w:t>
      </w:r>
      <w:r w:rsidR="005B4871" w:rsidRPr="00802DF6">
        <w:rPr>
          <w:color w:val="auto"/>
          <w:sz w:val="22"/>
          <w:szCs w:val="22"/>
          <w:lang w:val="es-ES"/>
        </w:rPr>
        <w:t>)</w:t>
      </w:r>
      <w:r w:rsidRPr="00802DF6">
        <w:rPr>
          <w:color w:val="auto"/>
          <w:sz w:val="22"/>
          <w:szCs w:val="22"/>
          <w:lang w:val="es-ES"/>
        </w:rPr>
        <w:t xml:space="preserve">; </w:t>
      </w:r>
    </w:p>
    <w:p w:rsidR="00E36A0A" w:rsidRPr="00802DF6" w:rsidRDefault="00E36A0A" w:rsidP="00E36A0A">
      <w:pPr>
        <w:pStyle w:val="Default"/>
        <w:numPr>
          <w:ilvl w:val="0"/>
          <w:numId w:val="11"/>
        </w:numPr>
        <w:spacing w:after="200"/>
        <w:ind w:left="993" w:hanging="454"/>
        <w:rPr>
          <w:color w:val="auto"/>
          <w:sz w:val="22"/>
          <w:szCs w:val="22"/>
          <w:lang w:val="es-ES"/>
        </w:rPr>
      </w:pPr>
      <w:r w:rsidRPr="00802DF6">
        <w:rPr>
          <w:color w:val="auto"/>
          <w:sz w:val="22"/>
          <w:szCs w:val="22"/>
          <w:lang w:val="es-ES"/>
        </w:rPr>
        <w:t xml:space="preserve">el producto de la venta de las publicaciones de la Oficina Internacional y los derechos correspondientes a esas publicaciones; </w:t>
      </w:r>
    </w:p>
    <w:p w:rsidR="00E36A0A" w:rsidRPr="00802DF6" w:rsidRDefault="00E36A0A" w:rsidP="00E36A0A">
      <w:pPr>
        <w:pStyle w:val="Default"/>
        <w:numPr>
          <w:ilvl w:val="0"/>
          <w:numId w:val="11"/>
        </w:numPr>
        <w:spacing w:after="200"/>
        <w:ind w:left="993" w:hanging="454"/>
        <w:rPr>
          <w:color w:val="auto"/>
          <w:sz w:val="22"/>
          <w:szCs w:val="22"/>
          <w:lang w:val="es-ES"/>
        </w:rPr>
      </w:pPr>
      <w:r w:rsidRPr="00802DF6">
        <w:rPr>
          <w:color w:val="auto"/>
          <w:sz w:val="22"/>
          <w:szCs w:val="22"/>
          <w:lang w:val="es-ES"/>
        </w:rPr>
        <w:t xml:space="preserve">donaciones, legados y subvenciones; </w:t>
      </w:r>
    </w:p>
    <w:p w:rsidR="00E36A0A" w:rsidRPr="00802DF6" w:rsidRDefault="00E36A0A" w:rsidP="00E36A0A">
      <w:pPr>
        <w:pStyle w:val="Default"/>
        <w:numPr>
          <w:ilvl w:val="0"/>
          <w:numId w:val="11"/>
        </w:numPr>
        <w:spacing w:after="200"/>
        <w:ind w:left="993" w:hanging="454"/>
        <w:rPr>
          <w:color w:val="auto"/>
          <w:sz w:val="22"/>
          <w:szCs w:val="22"/>
          <w:lang w:val="es-ES"/>
        </w:rPr>
      </w:pPr>
      <w:r w:rsidRPr="00802DF6">
        <w:rPr>
          <w:color w:val="auto"/>
          <w:sz w:val="22"/>
          <w:szCs w:val="22"/>
          <w:lang w:val="es-ES"/>
        </w:rPr>
        <w:t xml:space="preserve">alquileres, el rédito de las inversiones y otros, incluidos los ingresos diversos; </w:t>
      </w:r>
    </w:p>
    <w:p w:rsidR="00E36A0A" w:rsidRPr="00802DF6" w:rsidRDefault="00E36A0A" w:rsidP="006A3975">
      <w:pPr>
        <w:pStyle w:val="Default"/>
        <w:numPr>
          <w:ilvl w:val="0"/>
          <w:numId w:val="11"/>
        </w:numPr>
        <w:spacing w:after="200"/>
        <w:ind w:left="993" w:hanging="454"/>
        <w:rPr>
          <w:color w:val="auto"/>
          <w:sz w:val="22"/>
          <w:szCs w:val="22"/>
          <w:lang w:val="es-ES"/>
        </w:rPr>
      </w:pPr>
      <w:r w:rsidRPr="00802DF6">
        <w:rPr>
          <w:color w:val="auto"/>
          <w:sz w:val="22"/>
          <w:szCs w:val="22"/>
          <w:lang w:val="es-ES"/>
        </w:rPr>
        <w:t xml:space="preserve">las contribuciones especiales de las Partes Contratantes o cualquier fuente alternativa procedente de las Partes Contratantes o los beneficiarios, o ambas, en la </w:t>
      </w:r>
      <w:r w:rsidRPr="00802DF6">
        <w:rPr>
          <w:color w:val="auto"/>
          <w:sz w:val="22"/>
          <w:szCs w:val="22"/>
          <w:lang w:val="es-ES"/>
        </w:rPr>
        <w:lastRenderedPageBreak/>
        <w:t>medida en que los ingresos procedentes de las fuentes mencionadas en los incisos i) a iv) no basten para cubrir los gastos, según decida la Asamblea.</w:t>
      </w:r>
    </w:p>
    <w:p w:rsidR="00E84719" w:rsidRPr="00802DF6" w:rsidRDefault="002E3D1F" w:rsidP="00F73898">
      <w:pPr>
        <w:pStyle w:val="ONUME"/>
      </w:pPr>
      <w:r w:rsidRPr="00802DF6">
        <w:t xml:space="preserve">En el Artículo 24.5) del Acta de Ginebra también se prevé el establecimiento de un fondo de operaciones, así como anticipos a cargo del Estado </w:t>
      </w:r>
      <w:r w:rsidR="005B4871" w:rsidRPr="00802DF6">
        <w:t>anfitrión</w:t>
      </w:r>
      <w:r w:rsidR="00F73898" w:rsidRPr="00802DF6">
        <w:t xml:space="preserve"> </w:t>
      </w:r>
      <w:r w:rsidRPr="00802DF6">
        <w:t>cuando el fondo</w:t>
      </w:r>
      <w:r w:rsidR="00D83FEC" w:rsidRPr="00802DF6">
        <w:t xml:space="preserve"> de</w:t>
      </w:r>
      <w:r w:rsidRPr="00802DF6">
        <w:t xml:space="preserve"> operaciones sea insuficiente</w:t>
      </w:r>
      <w:r w:rsidR="00D83FEC" w:rsidRPr="00802DF6">
        <w:t xml:space="preserve"> (Artículo 24.6)a))</w:t>
      </w:r>
      <w:r w:rsidRPr="00802DF6">
        <w:t>.</w:t>
      </w:r>
      <w:r w:rsidR="00D37EC5" w:rsidRPr="00802DF6">
        <w:t xml:space="preserve">  No obstante, habida cuenta de que el Acta de Ginebra no ha entrado todavía en vigor, </w:t>
      </w:r>
      <w:r w:rsidR="00DD4715" w:rsidRPr="00802DF6">
        <w:t xml:space="preserve">en espera del depósito de los instrumentos de ratificación o de adhesión por cinco </w:t>
      </w:r>
      <w:r w:rsidR="00DD4715" w:rsidRPr="00802DF6">
        <w:rPr>
          <w:iCs/>
        </w:rPr>
        <w:t>partes que reúnan las condiciones necesarias, la cuestión de la financiación de la Unión de Lisboa se rige por las disposiciones del Arreglo de Lisboa</w:t>
      </w:r>
      <w:r w:rsidR="005B4871" w:rsidRPr="00802DF6">
        <w:rPr>
          <w:iCs/>
        </w:rPr>
        <w:t>.</w:t>
      </w:r>
      <w:r w:rsidR="00DD4715" w:rsidRPr="00802DF6">
        <w:rPr>
          <w:iCs/>
        </w:rPr>
        <w:t xml:space="preserve"> </w:t>
      </w:r>
      <w:r w:rsidR="00DD4715" w:rsidRPr="00802DF6">
        <w:t xml:space="preserve"> </w:t>
      </w:r>
      <w:r w:rsidRPr="00802DF6">
        <w:t xml:space="preserve">    </w:t>
      </w:r>
    </w:p>
    <w:p w:rsidR="00E84719" w:rsidRPr="00802DF6" w:rsidRDefault="00AA6176" w:rsidP="00E84719">
      <w:pPr>
        <w:rPr>
          <w:b/>
        </w:rPr>
      </w:pPr>
      <w:r w:rsidRPr="00802DF6">
        <w:rPr>
          <w:b/>
        </w:rPr>
        <w:t>OPCIONES PARA LOGRAR LA SOSTENIBILIDAD FINANCIERA</w:t>
      </w:r>
    </w:p>
    <w:p w:rsidR="00E84719" w:rsidRPr="00802DF6" w:rsidRDefault="00E84719" w:rsidP="002965A7">
      <w:pPr>
        <w:pStyle w:val="ListParagraph"/>
        <w:spacing w:after="0" w:line="240" w:lineRule="auto"/>
        <w:ind w:left="0"/>
        <w:rPr>
          <w:rFonts w:ascii="Arial" w:hAnsi="Arial" w:cs="Arial"/>
          <w:lang w:val="es-ES"/>
        </w:rPr>
      </w:pPr>
    </w:p>
    <w:p w:rsidR="00E84719" w:rsidRPr="00802DF6" w:rsidRDefault="00FC6FBA" w:rsidP="00E84719">
      <w:pPr>
        <w:pStyle w:val="ListParagraph"/>
        <w:numPr>
          <w:ilvl w:val="0"/>
          <w:numId w:val="7"/>
        </w:numPr>
        <w:tabs>
          <w:tab w:val="left" w:pos="567"/>
        </w:tabs>
        <w:spacing w:after="0" w:line="240" w:lineRule="auto"/>
        <w:ind w:left="0" w:firstLine="0"/>
        <w:rPr>
          <w:rFonts w:ascii="Arial" w:hAnsi="Arial" w:cs="Arial"/>
          <w:b/>
          <w:lang w:val="es-ES"/>
        </w:rPr>
      </w:pPr>
      <w:r w:rsidRPr="00802DF6">
        <w:rPr>
          <w:rFonts w:ascii="Arial" w:hAnsi="Arial" w:cs="Arial"/>
          <w:b/>
          <w:lang w:val="es-ES"/>
        </w:rPr>
        <w:t>Tasas</w:t>
      </w:r>
    </w:p>
    <w:p w:rsidR="00E84719" w:rsidRPr="00802DF6" w:rsidRDefault="00E84719" w:rsidP="00E84719"/>
    <w:p w:rsidR="00E84719" w:rsidRPr="00802DF6" w:rsidRDefault="00FC6FBA" w:rsidP="005154A7">
      <w:pPr>
        <w:pStyle w:val="ONUME"/>
      </w:pPr>
      <w:r w:rsidRPr="00802DF6">
        <w:t xml:space="preserve">En </w:t>
      </w:r>
      <w:r w:rsidR="00C07AD2" w:rsidRPr="00802DF6">
        <w:t>el</w:t>
      </w:r>
      <w:r w:rsidRPr="00802DF6">
        <w:t xml:space="preserve"> Artículo 11.3)i)</w:t>
      </w:r>
      <w:r w:rsidR="00292C56" w:rsidRPr="00802DF6">
        <w:t xml:space="preserve"> del Arreglo de Lisboa</w:t>
      </w:r>
      <w:r w:rsidRPr="00802DF6">
        <w:t>, en conjunción con el Artículo 11.4)b)</w:t>
      </w:r>
      <w:r w:rsidR="00292C56" w:rsidRPr="00802DF6">
        <w:t xml:space="preserve"> de ese mismo Arreglo</w:t>
      </w:r>
      <w:r w:rsidR="003E6C31" w:rsidRPr="00802DF6">
        <w:t>,</w:t>
      </w:r>
      <w:r w:rsidRPr="00802DF6">
        <w:t xml:space="preserve"> se </w:t>
      </w:r>
      <w:r w:rsidR="009640AB" w:rsidRPr="00802DF6">
        <w:t>estipula</w:t>
      </w:r>
      <w:r w:rsidRPr="00802DF6">
        <w:t xml:space="preserve"> que el presupuesto de la Unión particular</w:t>
      </w:r>
      <w:r w:rsidR="009640AB" w:rsidRPr="00802DF6">
        <w:t xml:space="preserve"> se financiará </w:t>
      </w:r>
      <w:r w:rsidR="00D83FEC" w:rsidRPr="00802DF6">
        <w:t>principalmente</w:t>
      </w:r>
      <w:r w:rsidR="009640AB" w:rsidRPr="00802DF6">
        <w:t xml:space="preserve"> </w:t>
      </w:r>
      <w:r w:rsidR="0099786F" w:rsidRPr="00802DF6">
        <w:t>mediante</w:t>
      </w:r>
      <w:r w:rsidR="009640AB" w:rsidRPr="00802DF6">
        <w:t xml:space="preserve"> “las tasas de registro internacional percibidas de conformidad con el Artículo 7.2) y las tasas y sumas debidas por los demás servicios prestados por la Oficina Internacional por cuenta de la Unión particular”.  En el Artículo 7.2) se prevé que esas tasas consistirán en “una tasa única” que “[…] se pagará por el registro de cada denominación de origen”</w:t>
      </w:r>
      <w:r w:rsidR="00E005CF" w:rsidRPr="00802DF6">
        <w:t xml:space="preserve"> y que ese registro no estará sujeto a renovación alguna.  Además, en el Artículo 11.4)a) se establece que la cuantía de esa tasa será fijada por la Asamblea, a propuesta del Director General, si bien se aclara en el Artículo 11.4)b) que la cuantía de esa tasa “será fijada de manera que los ingresos de la Unión particular sean normalmente suficientes para cubrir los gastos ocasionados a la Oficina Internacional por el funcionamiento del servicio de registro internacional sin recurrir al abono de las contribuciones </w:t>
      </w:r>
      <w:r w:rsidR="001D08D8" w:rsidRPr="00802DF6">
        <w:t xml:space="preserve">[de los países de la Unión particular] </w:t>
      </w:r>
      <w:r w:rsidR="00E005CF" w:rsidRPr="00802DF6">
        <w:t xml:space="preserve">mencionadas en el </w:t>
      </w:r>
      <w:r w:rsidR="001D08D8" w:rsidRPr="00802DF6">
        <w:t>[Artículo 11.3)v)]”.  Como fuente principal de financiación de la Unión de Lisboa,</w:t>
      </w:r>
      <w:r w:rsidR="0099786F" w:rsidRPr="00802DF6">
        <w:t xml:space="preserve"> </w:t>
      </w:r>
      <w:r w:rsidR="005154A7" w:rsidRPr="00802DF6">
        <w:t xml:space="preserve">hasta la fecha, </w:t>
      </w:r>
      <w:r w:rsidR="00926BA6" w:rsidRPr="00802DF6">
        <w:t>esas tasas han resultado a todas luces</w:t>
      </w:r>
      <w:r w:rsidR="001D08D8" w:rsidRPr="00802DF6">
        <w:t xml:space="preserve"> insuficientes para sufragar los gastos de la Unión, que en 2014 ascendieron a un total de 792.000 francos suizos</w:t>
      </w:r>
      <w:r w:rsidR="00C04893" w:rsidRPr="00802DF6">
        <w:rPr>
          <w:rStyle w:val="FootnoteReference"/>
        </w:rPr>
        <w:footnoteReference w:id="3"/>
      </w:r>
      <w:r w:rsidR="001D08D8" w:rsidRPr="00802DF6">
        <w:t>.</w:t>
      </w:r>
    </w:p>
    <w:p w:rsidR="00E84719" w:rsidRPr="00802DF6" w:rsidRDefault="0099786F" w:rsidP="00CC0190">
      <w:pPr>
        <w:pStyle w:val="ONUME"/>
      </w:pPr>
      <w:r w:rsidRPr="00802DF6">
        <w:t>S</w:t>
      </w:r>
      <w:r w:rsidR="00A92DF4" w:rsidRPr="00802DF6">
        <w:t xml:space="preserve">e prevé que los gastos relacionados con la Unión de Lisboa </w:t>
      </w:r>
      <w:r w:rsidRPr="00802DF6">
        <w:t xml:space="preserve">en el </w:t>
      </w:r>
      <w:r w:rsidR="00C07AD2" w:rsidRPr="00802DF6">
        <w:t>bienio</w:t>
      </w:r>
      <w:r w:rsidRPr="00802DF6">
        <w:t xml:space="preserve"> 2016/17 </w:t>
      </w:r>
      <w:r w:rsidR="00A92DF4" w:rsidRPr="00802DF6">
        <w:t xml:space="preserve">asciendan a 1.125.000 francos suizos </w:t>
      </w:r>
      <w:r w:rsidR="00CC0190" w:rsidRPr="00802DF6">
        <w:t>por año</w:t>
      </w:r>
      <w:r w:rsidR="00A92DF4" w:rsidRPr="00802DF6">
        <w:t xml:space="preserve">.  Cabe señalar que los cálculos de los gastos de la Unión de Lisboa se basan en la metodología actual de asignar los gastos por Unión, tal como se describe en el Anexo III del proyecto </w:t>
      </w:r>
      <w:r w:rsidR="003E6C31" w:rsidRPr="00802DF6">
        <w:t xml:space="preserve">de propuesta </w:t>
      </w:r>
      <w:r w:rsidR="00A92DF4" w:rsidRPr="00802DF6">
        <w:t>de presupuesto por programas para el bi</w:t>
      </w:r>
      <w:r w:rsidR="003E6C31" w:rsidRPr="00802DF6">
        <w:t>enio 2016/17.  Con arreglo a es</w:t>
      </w:r>
      <w:r w:rsidR="00A92DF4" w:rsidRPr="00802DF6">
        <w:t xml:space="preserve">a metodología, la Unión de Lisboa no </w:t>
      </w:r>
      <w:r w:rsidR="00C07AD2" w:rsidRPr="00802DF6">
        <w:t>sufraga</w:t>
      </w:r>
      <w:r w:rsidR="00A92DF4" w:rsidRPr="00802DF6">
        <w:t xml:space="preserve"> </w:t>
      </w:r>
      <w:r w:rsidR="00C07AD2" w:rsidRPr="00802DF6">
        <w:t xml:space="preserve">ni </w:t>
      </w:r>
      <w:r w:rsidR="003E6C31" w:rsidRPr="00802DF6">
        <w:t>gastos</w:t>
      </w:r>
      <w:r w:rsidR="00A92DF4" w:rsidRPr="00802DF6">
        <w:t xml:space="preserve"> indirectos </w:t>
      </w:r>
      <w:r w:rsidR="003E6C31" w:rsidRPr="00802DF6">
        <w:t>por Unión</w:t>
      </w:r>
      <w:r w:rsidR="00A92DF4" w:rsidRPr="00802DF6">
        <w:t xml:space="preserve"> ni </w:t>
      </w:r>
      <w:r w:rsidR="003E6C31" w:rsidRPr="00802DF6">
        <w:t>gastos</w:t>
      </w:r>
      <w:r w:rsidR="00A92DF4" w:rsidRPr="00802DF6">
        <w:t xml:space="preserve"> administrativos indirectos.    </w:t>
      </w:r>
    </w:p>
    <w:p w:rsidR="00E84719" w:rsidRPr="00802DF6" w:rsidRDefault="00626AAE" w:rsidP="00CC0190">
      <w:pPr>
        <w:pStyle w:val="ONUME"/>
      </w:pPr>
      <w:r w:rsidRPr="00802DF6">
        <w:t>A lo largo de los últimos cinco años, el Sistema de Lisboa ha recibido 80 (2014), 12 (2013),</w:t>
      </w:r>
      <w:r w:rsidR="00CC0190" w:rsidRPr="00802DF6">
        <w:t xml:space="preserve"> 9 (2012),</w:t>
      </w:r>
      <w:r w:rsidRPr="00802DF6">
        <w:t xml:space="preserve"> 3 (2011) y 6 (2010) solicitudes, respectivamente.</w:t>
      </w:r>
      <w:r w:rsidR="00CF62A9" w:rsidRPr="00802DF6">
        <w:t xml:space="preserve">  El promedio de solicitudes recibidas en los últimos 20 años fue de 14 solicitudes por año.  Sobre la base del promedio de solicitudes recibidas y las cifras de gasto anual previstas para 2016/17, si, como se contempla en el Arreglo de Lisboa, las tasas tuvieran que ser la única fuente de financiación del funcionamiento de la Unión de Lisboa,</w:t>
      </w:r>
      <w:r w:rsidR="007E4CE2" w:rsidRPr="00802DF6">
        <w:t xml:space="preserve"> sería necesario que la tasa</w:t>
      </w:r>
      <w:r w:rsidR="00CF62A9" w:rsidRPr="00802DF6">
        <w:t xml:space="preserve"> de registro internacional</w:t>
      </w:r>
      <w:r w:rsidR="007E4CE2" w:rsidRPr="00802DF6">
        <w:t xml:space="preserve"> </w:t>
      </w:r>
      <w:r w:rsidR="003E6C31" w:rsidRPr="00802DF6">
        <w:t>fuera de</w:t>
      </w:r>
      <w:r w:rsidR="007E4CE2" w:rsidRPr="00802DF6">
        <w:t xml:space="preserve"> 80.357 francos suizos</w:t>
      </w:r>
      <w:r w:rsidR="007E4CE2" w:rsidRPr="00802DF6">
        <w:rPr>
          <w:rStyle w:val="FootnoteReference"/>
        </w:rPr>
        <w:footnoteReference w:id="4"/>
      </w:r>
      <w:r w:rsidR="007E4CE2" w:rsidRPr="00802DF6">
        <w:t xml:space="preserve">.  </w:t>
      </w:r>
      <w:r w:rsidR="00D01565" w:rsidRPr="00802DF6">
        <w:t>Según la estimación de la actividad de registro en el marco del Sistema de Lisboa, elaborada por el Registro de Lisboa</w:t>
      </w:r>
      <w:r w:rsidR="00D01565" w:rsidRPr="00802DF6">
        <w:rPr>
          <w:rStyle w:val="FootnoteReference"/>
        </w:rPr>
        <w:footnoteReference w:id="5"/>
      </w:r>
      <w:r w:rsidR="00D01565" w:rsidRPr="00802DF6">
        <w:t xml:space="preserve">, </w:t>
      </w:r>
      <w:r w:rsidR="002520ED" w:rsidRPr="00802DF6">
        <w:t xml:space="preserve">que prevé 20 solicitudes internacionales y 20 modificaciones al año en 2016/17, sería necesario que la tasa de registro internacional </w:t>
      </w:r>
      <w:r w:rsidR="00CC0190" w:rsidRPr="00802DF6">
        <w:t>fuera de</w:t>
      </w:r>
      <w:r w:rsidR="002520ED" w:rsidRPr="00802DF6">
        <w:t xml:space="preserve"> 54.750 francos suizos</w:t>
      </w:r>
      <w:r w:rsidR="002520ED" w:rsidRPr="00802DF6">
        <w:rPr>
          <w:rStyle w:val="FootnoteReference"/>
        </w:rPr>
        <w:footnoteReference w:id="6"/>
      </w:r>
      <w:r w:rsidR="002520ED" w:rsidRPr="00802DF6">
        <w:t xml:space="preserve">.  Con esta tasa, en las dos situaciones </w:t>
      </w:r>
      <w:r w:rsidR="002520ED" w:rsidRPr="00802DF6">
        <w:lastRenderedPageBreak/>
        <w:t>hipotéticas</w:t>
      </w:r>
      <w:r w:rsidR="002520ED" w:rsidRPr="00802DF6">
        <w:rPr>
          <w:rStyle w:val="FootnoteReference"/>
        </w:rPr>
        <w:footnoteReference w:id="7"/>
      </w:r>
      <w:r w:rsidR="002520ED" w:rsidRPr="00802DF6">
        <w:t xml:space="preserve">, el Sistema correría el riesgo de </w:t>
      </w:r>
      <w:r w:rsidR="008817A7" w:rsidRPr="00802DF6">
        <w:t xml:space="preserve">no recibir solicitudes en el futuro.  En relación con este punto, y con arreglo a lo dispuesto en el Artículo 11.4)a), cabe mencionar la </w:t>
      </w:r>
      <w:r w:rsidR="00980690" w:rsidRPr="00802DF6">
        <w:t>“</w:t>
      </w:r>
      <w:r w:rsidR="00F4107A" w:rsidRPr="00802DF6">
        <w:t>Propuesta de actualización de la tabla de tasas en el marco de la Regla 23 del Reglamento del Arreglo de Lisboa</w:t>
      </w:r>
      <w:r w:rsidR="00980690" w:rsidRPr="00802DF6">
        <w:t>”</w:t>
      </w:r>
      <w:r w:rsidR="00980690" w:rsidRPr="00802DF6">
        <w:rPr>
          <w:rStyle w:val="FootnoteReference"/>
          <w:caps/>
        </w:rPr>
        <w:footnoteReference w:id="8"/>
      </w:r>
      <w:r w:rsidR="00980690" w:rsidRPr="00802DF6">
        <w:t xml:space="preserve">, preparada por la Secretaría, que ha de presentarse a la Asamblea de la Unión de Lisboa en su </w:t>
      </w:r>
      <w:r w:rsidR="004B5B02" w:rsidRPr="00802DF6">
        <w:t xml:space="preserve">trigésimo segundo período de sesiones (21° ordinario), que se celebrará en Ginebra del 5 al 14 de octubre de 2015.  Esa propuesta </w:t>
      </w:r>
      <w:r w:rsidR="00180A9C" w:rsidRPr="00802DF6">
        <w:t>comportaría</w:t>
      </w:r>
      <w:r w:rsidR="004B5B02" w:rsidRPr="00802DF6">
        <w:t xml:space="preserve"> un aumento de las tasas.  Con todo, la nueva estructura de tasas propuesta seguiría </w:t>
      </w:r>
      <w:r w:rsidR="00180A9C" w:rsidRPr="00802DF6">
        <w:t xml:space="preserve">siendo </w:t>
      </w:r>
      <w:r w:rsidR="004B5B02" w:rsidRPr="00802DF6">
        <w:t>insuficiente para obtener los ingresos necesarios para sufragar los gastos de la Unión de Lisboa.  El déficit anual previsto en</w:t>
      </w:r>
      <w:r w:rsidR="005154A7" w:rsidRPr="00802DF6">
        <w:t xml:space="preserve"> el bienio</w:t>
      </w:r>
      <w:r w:rsidR="004B5B02" w:rsidRPr="00802DF6">
        <w:t xml:space="preserve"> 2016/17</w:t>
      </w:r>
      <w:r w:rsidR="002673BE" w:rsidRPr="00802DF6">
        <w:t xml:space="preserve"> ascendería a unos 700.000 francos suizos</w:t>
      </w:r>
      <w:r w:rsidR="002673BE" w:rsidRPr="00802DF6">
        <w:rPr>
          <w:rStyle w:val="FootnoteReference"/>
        </w:rPr>
        <w:footnoteReference w:id="9"/>
      </w:r>
      <w:r w:rsidR="00E84719" w:rsidRPr="00802DF6">
        <w:t xml:space="preserve">.  </w:t>
      </w:r>
    </w:p>
    <w:p w:rsidR="00E84719" w:rsidRPr="00802DF6" w:rsidRDefault="001F0073" w:rsidP="00180A9C">
      <w:pPr>
        <w:pStyle w:val="ONUME"/>
      </w:pPr>
      <w:r w:rsidRPr="00802DF6">
        <w:t xml:space="preserve">Con arreglo a esos </w:t>
      </w:r>
      <w:r w:rsidR="00E60B95" w:rsidRPr="00802DF6">
        <w:t>cálculos</w:t>
      </w:r>
      <w:r w:rsidRPr="00802DF6">
        <w:t>, las tasas por s</w:t>
      </w:r>
      <w:r w:rsidR="00E60B95" w:rsidRPr="00802DF6">
        <w:t>í solas no bastan para lograr la sostenibilidad financiera de la Unión de Lisboa.</w:t>
      </w:r>
      <w:r w:rsidR="00422CD8" w:rsidRPr="00802DF6">
        <w:t xml:space="preserve">  A continuación se </w:t>
      </w:r>
      <w:r w:rsidR="00180A9C" w:rsidRPr="00802DF6">
        <w:t>indican</w:t>
      </w:r>
      <w:r w:rsidR="00422CD8" w:rsidRPr="00802DF6">
        <w:t xml:space="preserve"> algunas fuentes adicionales de financiación de la Unión de Lisboa para su examen por los Estados miembros. </w:t>
      </w:r>
      <w:r w:rsidR="00E60B95" w:rsidRPr="00802DF6">
        <w:t xml:space="preserve"> </w:t>
      </w:r>
      <w:r w:rsidR="00E84719" w:rsidRPr="00802DF6">
        <w:t xml:space="preserve">   </w:t>
      </w:r>
    </w:p>
    <w:p w:rsidR="00E84719" w:rsidRPr="00802DF6" w:rsidRDefault="00F43969" w:rsidP="00E84719">
      <w:pPr>
        <w:pStyle w:val="ListParagraph"/>
        <w:numPr>
          <w:ilvl w:val="0"/>
          <w:numId w:val="7"/>
        </w:numPr>
        <w:tabs>
          <w:tab w:val="left" w:pos="567"/>
        </w:tabs>
        <w:spacing w:after="0" w:line="240" w:lineRule="auto"/>
        <w:ind w:left="0" w:firstLine="0"/>
        <w:rPr>
          <w:rFonts w:ascii="Arial" w:hAnsi="Arial" w:cs="Arial"/>
          <w:b/>
          <w:lang w:val="es-ES"/>
        </w:rPr>
      </w:pPr>
      <w:r w:rsidRPr="00802DF6">
        <w:rPr>
          <w:rFonts w:ascii="Arial" w:hAnsi="Arial" w:cs="Arial"/>
          <w:b/>
          <w:lang w:val="es-ES"/>
        </w:rPr>
        <w:t>Contribuciones</w:t>
      </w:r>
    </w:p>
    <w:p w:rsidR="00E84719" w:rsidRPr="00802DF6" w:rsidRDefault="00E84719" w:rsidP="00E84719"/>
    <w:p w:rsidR="00E84719" w:rsidRPr="00802DF6" w:rsidRDefault="00F43969" w:rsidP="00F43969">
      <w:pPr>
        <w:pStyle w:val="ONUME"/>
      </w:pPr>
      <w:r w:rsidRPr="00802DF6">
        <w:t xml:space="preserve">En el Arreglo de Lisboa también se prevé la percepción de contribuciones de los países de la Unión de Lisboa como una fuente adicional de financiación “en la medida en que los ingresos procedentes de las fuentes mencionadas en los puntos i) a iv) no basten para cubrir los gastos de la Unión particular” (Artículo 11.3)v)). </w:t>
      </w:r>
      <w:r w:rsidR="00E84719" w:rsidRPr="00802DF6">
        <w:t xml:space="preserve">  </w:t>
      </w:r>
    </w:p>
    <w:p w:rsidR="00E84719" w:rsidRPr="00802DF6" w:rsidRDefault="00D274B7" w:rsidP="00E84719">
      <w:pPr>
        <w:pStyle w:val="ONUME"/>
      </w:pPr>
      <w:r w:rsidRPr="00802DF6">
        <w:t>En los párrafos a) y b) del Artículo 11</w:t>
      </w:r>
      <w:r w:rsidR="00180A9C" w:rsidRPr="00802DF6">
        <w:t>.</w:t>
      </w:r>
      <w:r w:rsidR="007201B3" w:rsidRPr="00802DF6">
        <w:t xml:space="preserve">5) </w:t>
      </w:r>
      <w:r w:rsidRPr="00802DF6">
        <w:t>del Arreglo de Lisboa se especifica cómo deberían calcularse esas contribuciones, a saber:</w:t>
      </w:r>
    </w:p>
    <w:p w:rsidR="00E84719" w:rsidRPr="00802DF6" w:rsidRDefault="00E84719" w:rsidP="006338C1">
      <w:pPr>
        <w:tabs>
          <w:tab w:val="left" w:pos="1134"/>
        </w:tabs>
        <w:ind w:left="567"/>
      </w:pPr>
      <w:r w:rsidRPr="00802DF6">
        <w:t>a)</w:t>
      </w:r>
      <w:r w:rsidRPr="00802DF6">
        <w:tab/>
      </w:r>
      <w:r w:rsidR="006338C1" w:rsidRPr="00802DF6">
        <w:t>Con el fin de determinar su cuota de contribución en el sentido del párrafo 3)v), cada país de la Unión particular pertenecerá a la clase en la que está incluido en lo que respecta a la Unión de París para la Protección de la Propiedad Industrial y pagará sus contribuciones anuales sobre la misma base del número de unidades determinadas para esa clase en la referida Unión</w:t>
      </w:r>
      <w:r w:rsidRPr="00802DF6">
        <w:t>.</w:t>
      </w:r>
      <w:r w:rsidRPr="00802DF6">
        <w:rPr>
          <w:rFonts w:ascii="MS Gothic" w:eastAsia="MS Gothic" w:hAnsi="MS Gothic" w:cs="MS Gothic"/>
        </w:rPr>
        <w:t> </w:t>
      </w:r>
    </w:p>
    <w:p w:rsidR="00E84719" w:rsidRPr="00802DF6" w:rsidRDefault="00E84719" w:rsidP="00E84719">
      <w:pPr>
        <w:ind w:left="720"/>
      </w:pPr>
    </w:p>
    <w:p w:rsidR="00E84719" w:rsidRPr="00802DF6" w:rsidRDefault="00E84719" w:rsidP="001810AF">
      <w:pPr>
        <w:tabs>
          <w:tab w:val="left" w:pos="1134"/>
        </w:tabs>
        <w:ind w:left="567"/>
      </w:pPr>
      <w:r w:rsidRPr="00802DF6">
        <w:t>b)</w:t>
      </w:r>
      <w:r w:rsidRPr="00802DF6">
        <w:tab/>
      </w:r>
      <w:r w:rsidR="001810AF" w:rsidRPr="00802DF6">
        <w:t>La contribución anual de cada país de la Unión particular consistirá en una cantidad que guardará, con relación a la suma total de las contribuciones anuales de todos los países al presupuesto de la Unión particular, la misma proporción que el número de unidades de la clase a que pertenezca con relación al total de unidades del conjunto de los países</w:t>
      </w:r>
      <w:r w:rsidRPr="00802DF6">
        <w:t>.</w:t>
      </w:r>
    </w:p>
    <w:p w:rsidR="00E84719" w:rsidRPr="00802DF6" w:rsidRDefault="00E84719" w:rsidP="00E84719"/>
    <w:p w:rsidR="00E84719" w:rsidRPr="00802DF6" w:rsidRDefault="00180A9C" w:rsidP="00EC40E6">
      <w:pPr>
        <w:pStyle w:val="ONUME"/>
      </w:pPr>
      <w:r w:rsidRPr="00802DF6">
        <w:t>No cabe duda de que los</w:t>
      </w:r>
      <w:r w:rsidR="00270DF2" w:rsidRPr="00802DF6">
        <w:t xml:space="preserve"> ingresos provenientes de las fuentes señaladas en los incisos i) a iv), a saber, las tasas de registro internacional, </w:t>
      </w:r>
      <w:r w:rsidR="00270DF2" w:rsidRPr="00802DF6">
        <w:rPr>
          <w:szCs w:val="22"/>
        </w:rPr>
        <w:t>el producto de la venta de publicaciones, las donaciones y legados, y los alquileres, intereses y otros ingresos diversos no bastan “</w:t>
      </w:r>
      <w:r w:rsidR="00270DF2" w:rsidRPr="00802DF6">
        <w:t xml:space="preserve">para cubrir los gastos de la Unión particular” (véanse los párrafos 7 a 10 </w:t>
      </w:r>
      <w:r w:rsidR="00270DF2" w:rsidRPr="00802DF6">
        <w:rPr>
          <w:i/>
          <w:iCs/>
        </w:rPr>
        <w:t>supra</w:t>
      </w:r>
      <w:r w:rsidR="00270DF2" w:rsidRPr="00802DF6">
        <w:t xml:space="preserve">), lo que </w:t>
      </w:r>
      <w:r w:rsidR="005B7718" w:rsidRPr="00802DF6">
        <w:t xml:space="preserve">obligaría a recaudar contribuciones en virtud de lo dispuesto en el Arreglo de Lisboa.  En un documento preparado para la reunión de la Asamblea de la Unión de Lisboa </w:t>
      </w:r>
      <w:r w:rsidR="00EC40E6" w:rsidRPr="00802DF6">
        <w:t>de</w:t>
      </w:r>
      <w:r w:rsidR="005B7718" w:rsidRPr="00802DF6">
        <w:t xml:space="preserve"> octubre de 1976, </w:t>
      </w:r>
      <w:r w:rsidR="009E0594" w:rsidRPr="00802DF6">
        <w:t>titulado</w:t>
      </w:r>
      <w:r w:rsidR="005B7718" w:rsidRPr="00802DF6">
        <w:t xml:space="preserve"> </w:t>
      </w:r>
      <w:r w:rsidR="00031CD5" w:rsidRPr="00802DF6">
        <w:t>“Due Date of Contributions;  Working Capital Funds; Advances”</w:t>
      </w:r>
      <w:r w:rsidR="009F72A6" w:rsidRPr="00802DF6">
        <w:t xml:space="preserve"> [Fecha establecida para el abono de contribuciones;  fondo</w:t>
      </w:r>
      <w:r w:rsidR="00682536" w:rsidRPr="00802DF6">
        <w:t>s</w:t>
      </w:r>
      <w:r w:rsidR="009F72A6" w:rsidRPr="00802DF6">
        <w:t xml:space="preserve"> de operaciones;  anticipos” (traducción oficiosa)]</w:t>
      </w:r>
      <w:r w:rsidR="00031CD5" w:rsidRPr="00802DF6">
        <w:t xml:space="preserve"> (AB/VII/6), la Asamblea adoptó las decisiones propuestas </w:t>
      </w:r>
      <w:r w:rsidR="005B4871" w:rsidRPr="00802DF6">
        <w:t>en relación</w:t>
      </w:r>
      <w:r w:rsidR="00031CD5" w:rsidRPr="00802DF6">
        <w:t xml:space="preserve">, entre otras cosas, </w:t>
      </w:r>
      <w:r w:rsidR="005B4871" w:rsidRPr="00802DF6">
        <w:t>con e</w:t>
      </w:r>
      <w:r w:rsidR="00031CD5" w:rsidRPr="00802DF6">
        <w:t xml:space="preserve">l </w:t>
      </w:r>
      <w:r w:rsidR="00031CD5" w:rsidRPr="00802DF6">
        <w:lastRenderedPageBreak/>
        <w:t>establecimiento de un sistema de contribuciones</w:t>
      </w:r>
      <w:r w:rsidR="00031CD5" w:rsidRPr="00802DF6">
        <w:rPr>
          <w:rStyle w:val="FootnoteReference"/>
        </w:rPr>
        <w:footnoteReference w:id="10"/>
      </w:r>
      <w:r w:rsidR="00031CD5" w:rsidRPr="00802DF6">
        <w:t>.</w:t>
      </w:r>
      <w:r w:rsidR="00ED41C6" w:rsidRPr="00802DF6">
        <w:t xml:space="preserve">  A continuación se reproduce la parte pertinente de esa propuesta</w:t>
      </w:r>
      <w:r w:rsidR="001557E8" w:rsidRPr="00802DF6">
        <w:t xml:space="preserve"> [traducción oficiosa]</w:t>
      </w:r>
      <w:r w:rsidR="00ED41C6" w:rsidRPr="00802DF6">
        <w:t xml:space="preserve">: </w:t>
      </w:r>
    </w:p>
    <w:p w:rsidR="001061E4" w:rsidRPr="00802DF6" w:rsidRDefault="00E84719" w:rsidP="00425F98">
      <w:pPr>
        <w:tabs>
          <w:tab w:val="left" w:pos="1276"/>
        </w:tabs>
        <w:ind w:left="720"/>
      </w:pPr>
      <w:r w:rsidRPr="00802DF6">
        <w:t>“11.</w:t>
      </w:r>
      <w:r w:rsidRPr="00802DF6">
        <w:tab/>
      </w:r>
      <w:r w:rsidR="001557E8" w:rsidRPr="00802DF6">
        <w:rPr>
          <w:i/>
        </w:rPr>
        <w:t>Arreglos de</w:t>
      </w:r>
      <w:r w:rsidR="001557E8" w:rsidRPr="00802DF6">
        <w:t xml:space="preserve"> </w:t>
      </w:r>
      <w:r w:rsidRPr="00802DF6">
        <w:rPr>
          <w:i/>
        </w:rPr>
        <w:t xml:space="preserve">Madrid, </w:t>
      </w:r>
      <w:r w:rsidR="001557E8" w:rsidRPr="00802DF6">
        <w:rPr>
          <w:i/>
        </w:rPr>
        <w:t>La Haya y Lisboa</w:t>
      </w:r>
      <w:r w:rsidRPr="00802DF6">
        <w:t xml:space="preserve">.  </w:t>
      </w:r>
      <w:r w:rsidR="001557E8" w:rsidRPr="00802DF6">
        <w:t xml:space="preserve">En estos Arreglos no se mencionan contribuciones </w:t>
      </w:r>
      <w:r w:rsidR="001557E8" w:rsidRPr="00802DF6">
        <w:rPr>
          <w:i/>
          <w:iCs/>
        </w:rPr>
        <w:t>anuales</w:t>
      </w:r>
      <w:r w:rsidR="001557E8" w:rsidRPr="00802DF6">
        <w:t xml:space="preserve">, por lo que no es necesario fijar </w:t>
      </w:r>
      <w:r w:rsidR="0070571F" w:rsidRPr="00802DF6">
        <w:t>fechas</w:t>
      </w:r>
      <w:r w:rsidR="001557E8" w:rsidRPr="00802DF6">
        <w:t xml:space="preserve"> en </w:t>
      </w:r>
      <w:r w:rsidR="0070571F" w:rsidRPr="00802DF6">
        <w:t xml:space="preserve">las </w:t>
      </w:r>
      <w:r w:rsidR="001557E8" w:rsidRPr="00802DF6">
        <w:t xml:space="preserve">que </w:t>
      </w:r>
      <w:r w:rsidR="0012757B" w:rsidRPr="00802DF6">
        <w:t>estas est</w:t>
      </w:r>
      <w:r w:rsidR="0070571F" w:rsidRPr="00802DF6">
        <w:t>ar</w:t>
      </w:r>
      <w:r w:rsidR="0012757B" w:rsidRPr="00802DF6">
        <w:t>án al cobro</w:t>
      </w:r>
      <w:r w:rsidR="001557E8" w:rsidRPr="00802DF6">
        <w:t xml:space="preserve">.  En el Acta de Estocolmo del Arreglo de Lisboa se </w:t>
      </w:r>
      <w:r w:rsidR="0012757B" w:rsidRPr="00802DF6">
        <w:t>hace referencia a las contribuciones que deben pagar los países miembros si otras fuentes de ingresos de la Unión de Lisboa no bastan para sufragar sus gastos (véase el Artículo 11.3)v) del Arreglo de Lisboa (Estocolmo)</w:t>
      </w:r>
      <w:r w:rsidR="00425F98" w:rsidRPr="00802DF6">
        <w:t>)</w:t>
      </w:r>
      <w:r w:rsidR="003E2FDA" w:rsidRPr="00802DF6">
        <w:t>,</w:t>
      </w:r>
      <w:r w:rsidR="0012757B" w:rsidRPr="00802DF6">
        <w:t xml:space="preserve"> y </w:t>
      </w:r>
      <w:r w:rsidR="00425F98" w:rsidRPr="00802DF6">
        <w:t xml:space="preserve">en </w:t>
      </w:r>
      <w:r w:rsidR="0012757B" w:rsidRPr="00802DF6">
        <w:t xml:space="preserve">los </w:t>
      </w:r>
      <w:r w:rsidR="003E2FDA" w:rsidRPr="00802DF6">
        <w:t xml:space="preserve">artículos del Reglamento Financiero </w:t>
      </w:r>
      <w:r w:rsidR="0012757B" w:rsidRPr="00802DF6">
        <w:t>aplicables, entre otras, a las Uniones de Madrid, La Haya y Lisboa,</w:t>
      </w:r>
      <w:r w:rsidR="00E0022D" w:rsidRPr="00802DF6">
        <w:t xml:space="preserve"> </w:t>
      </w:r>
      <w:r w:rsidR="0012757B" w:rsidRPr="00802DF6">
        <w:t xml:space="preserve">se estipula que si las cuentas de cualquiera de los servicios de esas Uniones </w:t>
      </w:r>
      <w:r w:rsidRPr="00802DF6">
        <w:t>“</w:t>
      </w:r>
      <w:r w:rsidR="00287190" w:rsidRPr="00802DF6">
        <w:t xml:space="preserve">presentan un déficit, que no pueda cubrirse con los fondos de reserva, los </w:t>
      </w:r>
      <w:r w:rsidR="00287190" w:rsidRPr="00802DF6">
        <w:rPr>
          <w:i/>
          <w:iCs/>
        </w:rPr>
        <w:t>Estados miembros o el órgano representativo, si lo hubiera, de ese Arreglo (es decir, de Madrid, La Haya o Lisboa) propondrá un plan para subsanar la situación financiera, bien mediante un aumento de las tasas, bien mediante la adopción de un sistema de contribuciones de los Estados</w:t>
      </w:r>
      <w:r w:rsidR="00287190" w:rsidRPr="00802DF6">
        <w:t xml:space="preserve"> (</w:t>
      </w:r>
      <w:r w:rsidR="003E2FDA" w:rsidRPr="00802DF6">
        <w:t>Artículo</w:t>
      </w:r>
      <w:r w:rsidR="00287190" w:rsidRPr="00802DF6">
        <w:t xml:space="preserve"> 8.2)ii)).  </w:t>
      </w:r>
      <w:r w:rsidR="001061E4" w:rsidRPr="00802DF6">
        <w:t>Por consiguiente, el Director General propondrá, siempre y cuando se fijen contribuciones especiales en las Uniones de Madrid, La Haya y Lisboa, que las fechas en que estarán al cobro</w:t>
      </w:r>
      <w:r w:rsidR="00C10D86" w:rsidRPr="00802DF6">
        <w:t xml:space="preserve"> esas contribuciones</w:t>
      </w:r>
      <w:r w:rsidR="001061E4" w:rsidRPr="00802DF6">
        <w:t xml:space="preserve"> sean fijadas por los órganos representativos de esas Uniones</w:t>
      </w:r>
      <w:r w:rsidR="00425F98" w:rsidRPr="00802DF6">
        <w:t>.</w:t>
      </w:r>
      <w:r w:rsidR="001061E4" w:rsidRPr="00802DF6">
        <w:t>”</w:t>
      </w:r>
      <w:r w:rsidR="00E0022D" w:rsidRPr="00802DF6">
        <w:t xml:space="preserve"> </w:t>
      </w:r>
      <w:r w:rsidR="001061E4" w:rsidRPr="00802DF6">
        <w:t xml:space="preserve">(sin cursiva en el original)  </w:t>
      </w:r>
    </w:p>
    <w:p w:rsidR="00E84719" w:rsidRPr="00802DF6" w:rsidRDefault="00E84719" w:rsidP="00E84719"/>
    <w:p w:rsidR="00E84719" w:rsidRPr="00802DF6" w:rsidRDefault="0065644B" w:rsidP="00121BEC">
      <w:pPr>
        <w:pStyle w:val="ONUME"/>
      </w:pPr>
      <w:r w:rsidRPr="00802DF6">
        <w:t>No obstante las disposiciones pertinentes del Arreglo de Lisboa (así como las disposiciones análogas de los tratados constitutivos de la Organización y de las Uniones administradas por esta), la práctica</w:t>
      </w:r>
      <w:r w:rsidR="00925CC9" w:rsidRPr="00802DF6">
        <w:t xml:space="preserve"> de la OMPI con respecto a las contribuciones de los Estados miembros </w:t>
      </w:r>
      <w:r w:rsidR="009E2A8D" w:rsidRPr="00802DF6">
        <w:t xml:space="preserve">no coincide con lo estipulado en el texto del </w:t>
      </w:r>
      <w:r w:rsidR="00C03F1A" w:rsidRPr="00802DF6">
        <w:t>t</w:t>
      </w:r>
      <w:r w:rsidR="009E2A8D" w:rsidRPr="00802DF6">
        <w:t>ratado ni tampoco con lo reflejado en la decisión</w:t>
      </w:r>
      <w:r w:rsidR="007627FD" w:rsidRPr="00802DF6">
        <w:t>, señalada más arriba,</w:t>
      </w:r>
      <w:r w:rsidR="009E2A8D" w:rsidRPr="00802DF6">
        <w:t xml:space="preserve"> </w:t>
      </w:r>
      <w:r w:rsidR="007627FD" w:rsidRPr="00802DF6">
        <w:t>para</w:t>
      </w:r>
      <w:r w:rsidR="009E2A8D" w:rsidRPr="00802DF6">
        <w:t xml:space="preserve"> subsanar la situación financiera de la Unión de Lisboa.  </w:t>
      </w:r>
      <w:r w:rsidR="00494474" w:rsidRPr="00802DF6">
        <w:t>En 1993, la Conferencia de la OMPI y las Asambleas de las Uniones de París y de Berna adoptaron un sistema de contribución única para sustituir el sistema de múltiple</w:t>
      </w:r>
      <w:r w:rsidR="00C03F1A" w:rsidRPr="00802DF6">
        <w:t>s contribuciones</w:t>
      </w:r>
      <w:r w:rsidR="00494474" w:rsidRPr="00802DF6">
        <w:t xml:space="preserve"> previsto en el Convenio de la OMPI y en los tratados pertinentes administrados por la OMPI.  Ese sistema se adoptó provisionalmente a condición de que, si la experiencia en los dos bienios siguientes (1994</w:t>
      </w:r>
      <w:r w:rsidR="00494474" w:rsidRPr="00802DF6">
        <w:noBreakHyphen/>
      </w:r>
      <w:r w:rsidR="00284698" w:rsidRPr="00802DF6">
        <w:t>1997) resultaba satisfactoria, se enmendarían</w:t>
      </w:r>
      <w:r w:rsidR="00821D85" w:rsidRPr="00802DF6">
        <w:t xml:space="preserve"> al efecto </w:t>
      </w:r>
      <w:r w:rsidR="00284698" w:rsidRPr="00802DF6">
        <w:t>los tratados en cuestión.  En 2002, las Asambleas de la OMPI aprobaron, entre otras cosas, una recomendación relativa a la “oficialización en los tratados del sistema de contribución única y cambios en las clases de contribuciones utilizadas desde 1994”</w:t>
      </w:r>
      <w:r w:rsidR="00284698" w:rsidRPr="00802DF6">
        <w:rPr>
          <w:rStyle w:val="FootnoteReference"/>
        </w:rPr>
        <w:footnoteReference w:id="11"/>
      </w:r>
      <w:r w:rsidR="00284698" w:rsidRPr="00802DF6">
        <w:t>.</w:t>
      </w:r>
      <w:r w:rsidR="001359A1" w:rsidRPr="00802DF6">
        <w:t xml:space="preserve">  Posteriormente, en 2003, la Asambleas de la OMPI aprobaron las propuestas de modificación del Convenio de la OMPI y de los otros tratados administrados por la OMPI, incluido el Arreglo de Lisboa</w:t>
      </w:r>
      <w:r w:rsidR="001359A1" w:rsidRPr="00802DF6">
        <w:rPr>
          <w:rStyle w:val="FootnoteReference"/>
        </w:rPr>
        <w:footnoteReference w:id="12"/>
      </w:r>
      <w:r w:rsidR="001359A1" w:rsidRPr="00802DF6">
        <w:t xml:space="preserve">.  Hasta la fecha, 15 Estados miembros han aceptado oficialmente las propuestas de modificación, que entrarán en vigor transcurrido un mes después de que el Director General haya recibido notificación escrita de su aceptación de tres cuartos de los Estados miembros de la OMPI, de conformidad con las disposiciones pertinentes de los tratados administrados por la OMPI.  </w:t>
      </w:r>
      <w:r w:rsidR="00F76F99" w:rsidRPr="00802DF6">
        <w:t xml:space="preserve">Sin embargo, </w:t>
      </w:r>
      <w:r w:rsidR="00D827E3" w:rsidRPr="00802DF6">
        <w:t>como</w:t>
      </w:r>
      <w:r w:rsidR="00F76F99" w:rsidRPr="00802DF6">
        <w:t xml:space="preserve"> las modificaciones no </w:t>
      </w:r>
      <w:r w:rsidR="00D827E3" w:rsidRPr="00802DF6">
        <w:t>han</w:t>
      </w:r>
      <w:r w:rsidR="001B1E25" w:rsidRPr="00802DF6">
        <w:t xml:space="preserve"> entrado todavía en vigor, continúa aplicándose desde 1994 </w:t>
      </w:r>
      <w:r w:rsidR="00F76F99" w:rsidRPr="00802DF6">
        <w:t>el sistema de contribución única</w:t>
      </w:r>
      <w:r w:rsidR="00E84719" w:rsidRPr="00802DF6">
        <w:t xml:space="preserve">.  </w:t>
      </w:r>
    </w:p>
    <w:p w:rsidR="00E84719" w:rsidRPr="00802DF6" w:rsidRDefault="004C46CC" w:rsidP="000B5142">
      <w:pPr>
        <w:pStyle w:val="ONUME"/>
      </w:pPr>
      <w:r w:rsidRPr="00802DF6">
        <w:t xml:space="preserve">Al presentar el sistema en 1993, </w:t>
      </w:r>
      <w:r w:rsidR="0046741B" w:rsidRPr="00802DF6">
        <w:t xml:space="preserve">el Director General expuso cuáles eran los motivos que aconsejaban su adopción, los cuales continúan siendo válidos en la actualidad:  el sistema de contribución única </w:t>
      </w:r>
      <w:r w:rsidR="00B268E1" w:rsidRPr="00802DF6">
        <w:t xml:space="preserve">se estableció </w:t>
      </w:r>
      <w:r w:rsidR="000B5142" w:rsidRPr="00802DF6">
        <w:t>con objeto de simplificar</w:t>
      </w:r>
      <w:r w:rsidR="00B268E1" w:rsidRPr="00802DF6">
        <w:t xml:space="preserve"> </w:t>
      </w:r>
      <w:r w:rsidR="00E84719" w:rsidRPr="00802DF6">
        <w:t>“</w:t>
      </w:r>
      <w:r w:rsidR="000B5142" w:rsidRPr="00802DF6">
        <w:t>la administración de las contribuciones</w:t>
      </w:r>
      <w:r w:rsidR="00E84719" w:rsidRPr="00802DF6">
        <w:t>”</w:t>
      </w:r>
      <w:r w:rsidR="000B5142" w:rsidRPr="00802DF6">
        <w:t>,</w:t>
      </w:r>
      <w:r w:rsidR="00E84719" w:rsidRPr="00802DF6">
        <w:t xml:space="preserve"> </w:t>
      </w:r>
      <w:r w:rsidR="00E608DA" w:rsidRPr="00802DF6">
        <w:t>crear un</w:t>
      </w:r>
      <w:r w:rsidR="00E84719" w:rsidRPr="00802DF6">
        <w:t xml:space="preserve"> “incentiv</w:t>
      </w:r>
      <w:r w:rsidR="000B5142" w:rsidRPr="00802DF6">
        <w:t>o para los Estados que no son miembros de la totalidad de las Uniones financiadas por contribuciones a adherirse a aquellas de las que no son miembros</w:t>
      </w:r>
      <w:r w:rsidR="00E84719" w:rsidRPr="00802DF6">
        <w:t xml:space="preserve">” </w:t>
      </w:r>
      <w:r w:rsidR="00E608DA" w:rsidRPr="00802DF6">
        <w:t xml:space="preserve">y corregir el </w:t>
      </w:r>
      <w:r w:rsidR="00D827E3" w:rsidRPr="00802DF6">
        <w:t>s</w:t>
      </w:r>
      <w:r w:rsidR="00E608DA" w:rsidRPr="00802DF6">
        <w:t>istema precedente, que no era</w:t>
      </w:r>
      <w:r w:rsidR="00E84719" w:rsidRPr="00802DF6">
        <w:t xml:space="preserve"> “</w:t>
      </w:r>
      <w:r w:rsidR="000B5142" w:rsidRPr="00802DF6">
        <w:t xml:space="preserve">suficientemente equitativo respecto de la mayoría </w:t>
      </w:r>
      <w:r w:rsidR="000B5142" w:rsidRPr="00802DF6">
        <w:lastRenderedPageBreak/>
        <w:t>de los países en desarrollo”,</w:t>
      </w:r>
      <w:r w:rsidR="00E608DA" w:rsidRPr="00802DF6">
        <w:t xml:space="preserve"> que normalmente no disponían de los recursos necesarios para incorporarse a todas las Uniones</w:t>
      </w:r>
      <w:r w:rsidR="00E84719" w:rsidRPr="00802DF6">
        <w:rPr>
          <w:rStyle w:val="FootnoteReference"/>
        </w:rPr>
        <w:footnoteReference w:id="13"/>
      </w:r>
      <w:r w:rsidR="00E608DA" w:rsidRPr="00802DF6">
        <w:t>.</w:t>
      </w:r>
    </w:p>
    <w:p w:rsidR="00E84719" w:rsidRPr="00802DF6" w:rsidRDefault="000E3549" w:rsidP="00A90112">
      <w:pPr>
        <w:pStyle w:val="ONUME"/>
      </w:pPr>
      <w:r w:rsidRPr="00802DF6">
        <w:t xml:space="preserve">Si los Estados miembros </w:t>
      </w:r>
      <w:r w:rsidR="006E0DFC" w:rsidRPr="00802DF6">
        <w:t>convinieran</w:t>
      </w:r>
      <w:r w:rsidRPr="00802DF6">
        <w:t xml:space="preserve"> en invocar l</w:t>
      </w:r>
      <w:r w:rsidR="003E2FDA" w:rsidRPr="00802DF6">
        <w:t>as disposiciones del Arreglo de</w:t>
      </w:r>
      <w:r w:rsidRPr="00802DF6">
        <w:t xml:space="preserve"> Lisboa para </w:t>
      </w:r>
      <w:r w:rsidR="00D06495" w:rsidRPr="00802DF6">
        <w:t>fijar</w:t>
      </w:r>
      <w:r w:rsidR="00662BD5" w:rsidRPr="00802DF6">
        <w:t xml:space="preserve"> y recaudar </w:t>
      </w:r>
      <w:r w:rsidR="00A90112" w:rsidRPr="00802DF6">
        <w:t xml:space="preserve">contribuciones, </w:t>
      </w:r>
      <w:r w:rsidR="00D06495" w:rsidRPr="00802DF6">
        <w:t>es importante observar la distinción entre “las contribuciones de los países de la Unión [de Lisboa]” a tenor del Artículo 11.3.v) del Arreglo de Lisboa</w:t>
      </w:r>
      <w:r w:rsidR="00662BD5" w:rsidRPr="00802DF6">
        <w:t xml:space="preserve"> y el sistema de contribución única que se aplica actualmente.  Cabe recordar que, con arreglo al sistema de contribución única, cada Estado parte en más de uno de los convenios de la OMPI o de los tratados administrados por la OMPI</w:t>
      </w:r>
      <w:r w:rsidR="00D06495" w:rsidRPr="00802DF6">
        <w:rPr>
          <w:rStyle w:val="FootnoteReference"/>
        </w:rPr>
        <w:footnoteReference w:id="14"/>
      </w:r>
      <w:r w:rsidR="00662BD5" w:rsidRPr="00802DF6">
        <w:t xml:space="preserve"> paga solo una contribución única, independientemente del número de esos tratados en los que sea parte, en lugar de pagar contribuciones separadas </w:t>
      </w:r>
      <w:r w:rsidR="005B2247" w:rsidRPr="00802DF6">
        <w:t>por cada uno de los tratados (</w:t>
      </w:r>
      <w:r w:rsidR="006F35BC" w:rsidRPr="00802DF6">
        <w:t>financiados mediante contribuciones</w:t>
      </w:r>
      <w:r w:rsidR="005B2247" w:rsidRPr="00802DF6">
        <w:t>) en los que sea parte.</w:t>
      </w:r>
      <w:r w:rsidR="0087326E" w:rsidRPr="00802DF6">
        <w:t xml:space="preserve">  </w:t>
      </w:r>
      <w:r w:rsidR="00D06495" w:rsidRPr="00802DF6">
        <w:t xml:space="preserve">En vista de que la Unión de Lisboa no es una unión financiada por contribuciones, sino una unión financiada mediante tasas, </w:t>
      </w:r>
      <w:r w:rsidR="006F35BC" w:rsidRPr="00802DF6">
        <w:t xml:space="preserve">sería necesario que los Estados miembros </w:t>
      </w:r>
      <w:r w:rsidR="00D06495" w:rsidRPr="00802DF6">
        <w:t xml:space="preserve">sean conscientes de que la fijación y recaudación de contribuciones pagaderas por los miembros de la Unión de Lisboa a tenor del Artículo 11 es una cuestión distinta y que no guarda relación con las contribuciones pagaderas a tenor del </w:t>
      </w:r>
      <w:r w:rsidR="009524E2" w:rsidRPr="00802DF6">
        <w:t>sistema de contribución única.</w:t>
      </w:r>
      <w:r w:rsidR="006F35BC" w:rsidRPr="00802DF6">
        <w:t xml:space="preserve"> </w:t>
      </w:r>
      <w:r w:rsidR="00662BD5" w:rsidRPr="00802DF6">
        <w:t xml:space="preserve">  </w:t>
      </w:r>
    </w:p>
    <w:p w:rsidR="00E84719" w:rsidRPr="00802DF6" w:rsidRDefault="009524E2" w:rsidP="00A90112">
      <w:pPr>
        <w:pStyle w:val="ONUME"/>
      </w:pPr>
      <w:r w:rsidRPr="00802DF6">
        <w:t xml:space="preserve">También es importante señalar el cambio que han aprobado los miembros de la Unión de Lisboa para el sistema de contribuciones en virtud del Acta de Ginebra, que influye en </w:t>
      </w:r>
      <w:r w:rsidR="00A90112" w:rsidRPr="00802DF6">
        <w:t>el examen</w:t>
      </w:r>
      <w:r w:rsidRPr="00802DF6">
        <w:t xml:space="preserve"> de esta cuestión y en la base con arreglo a la cual deberían calcularse esas contribuciones (y</w:t>
      </w:r>
      <w:r w:rsidR="000B0AAB" w:rsidRPr="00802DF6">
        <w:t xml:space="preserve"> que</w:t>
      </w:r>
      <w:r w:rsidRPr="00802DF6">
        <w:t xml:space="preserve">, de hecho, </w:t>
      </w:r>
      <w:r w:rsidRPr="00802DF6">
        <w:rPr>
          <w:i/>
          <w:iCs/>
        </w:rPr>
        <w:t>se calcularán</w:t>
      </w:r>
      <w:r w:rsidRPr="00802DF6">
        <w:t xml:space="preserve"> una vez que entre en vigor el Acta de Ginebra).  </w:t>
      </w:r>
      <w:r w:rsidR="00CE7F92" w:rsidRPr="00802DF6">
        <w:t xml:space="preserve">En primer lugar, en el Artículo 24.2)v) del Acta de Ginebra se revisa la disposición comparable del Arreglo de Lisboa (Artículo 11.3)v)) para que incluya “las contribuciones </w:t>
      </w:r>
      <w:r w:rsidR="00CE7F92" w:rsidRPr="00802DF6">
        <w:rPr>
          <w:i/>
          <w:iCs/>
        </w:rPr>
        <w:t>especiales</w:t>
      </w:r>
      <w:r w:rsidR="00CE7F92" w:rsidRPr="00802DF6">
        <w:t xml:space="preserve"> de las Partes Contratantes </w:t>
      </w:r>
      <w:r w:rsidR="00CE7F92" w:rsidRPr="00802DF6">
        <w:rPr>
          <w:i/>
          <w:iCs/>
        </w:rPr>
        <w:t>o cualquier fuente alternativa procedente de las Partes Contratantes o los beneficiarios, o ambas</w:t>
      </w:r>
      <w:r w:rsidR="00CE7F92" w:rsidRPr="00802DF6">
        <w:t>, en la medida en que los ingresos procedentes de las fuentes mencionadas en los incisos i) a iv) no basten para cubrir los gastos, según decida la Asamblea</w:t>
      </w:r>
      <w:r w:rsidR="00566B71" w:rsidRPr="00802DF6">
        <w:t>” (sin cursiva en el original).  En segundo lugar, en el Artículo 24.4) del Acta de Ginebra se introduce un nuevo concepto, las contribuciones especiales “</w:t>
      </w:r>
      <w:r w:rsidR="00D30327" w:rsidRPr="00802DF6">
        <w:t>ponderadas parcialmente</w:t>
      </w:r>
      <w:r w:rsidR="00566B71" w:rsidRPr="00802DF6">
        <w:t>” conforme al número de registros que provengan de cada Parte Contratante:</w:t>
      </w:r>
      <w:r w:rsidR="00CE7F92" w:rsidRPr="00802DF6">
        <w:t xml:space="preserve"> </w:t>
      </w:r>
      <w:r w:rsidRPr="00802DF6">
        <w:t xml:space="preserve"> </w:t>
      </w:r>
    </w:p>
    <w:p w:rsidR="00E84719" w:rsidRPr="00802DF6" w:rsidRDefault="00E84719" w:rsidP="00566B71">
      <w:pPr>
        <w:ind w:left="720"/>
      </w:pPr>
      <w:r w:rsidRPr="00802DF6">
        <w:t xml:space="preserve">4) </w:t>
      </w:r>
      <w:r w:rsidR="00566B71" w:rsidRPr="00802DF6">
        <w:rPr>
          <w:i/>
          <w:iCs/>
        </w:rPr>
        <w:t>[Determinación de las contribuciones especiales mencionadas en el párrafo 2.v)]</w:t>
      </w:r>
      <w:r w:rsidR="00566B71" w:rsidRPr="00802DF6">
        <w:t xml:space="preserve">  A los fines de determinar su cuota de contribución, cada Parte Contratante pertenecerá a la misma clase a la que pertenece en el contexto del Convenio de París o, si no es Parte Contratante del Convenio de París, a la que pertenecería si fuera una Parte Contratante del Convenio de París.  Salvo decisión contraria y unánime de la Asamblea, se considerará que las organizaciones intergubernamentales pertenecen a la clase I (uno) de contribución.  La contribución será ponderada parcialmente en función del número de registros originarios de la Parte Contratante, según decida la Asamblea.</w:t>
      </w:r>
    </w:p>
    <w:p w:rsidR="00E84719" w:rsidRPr="00802DF6" w:rsidRDefault="00E84719" w:rsidP="00E84719"/>
    <w:p w:rsidR="00EA368E" w:rsidRPr="00802DF6" w:rsidRDefault="00EA368E" w:rsidP="00503A75">
      <w:pPr>
        <w:pStyle w:val="ONUME"/>
        <w:rPr>
          <w:bCs/>
        </w:rPr>
      </w:pPr>
      <w:r w:rsidRPr="00802DF6">
        <w:t xml:space="preserve">Si llegara a acordarse la financiación de la Unión de Lisboa mediante contribuciones, </w:t>
      </w:r>
      <w:r w:rsidR="00873963" w:rsidRPr="00802DF6">
        <w:t>sería necesario que los</w:t>
      </w:r>
      <w:r w:rsidRPr="00802DF6">
        <w:t xml:space="preserve"> Estados miembros </w:t>
      </w:r>
      <w:r w:rsidR="00873963" w:rsidRPr="00802DF6">
        <w:t xml:space="preserve">convinieran en la metodología </w:t>
      </w:r>
      <w:r w:rsidR="009C5B92" w:rsidRPr="00802DF6">
        <w:t>concreta</w:t>
      </w:r>
      <w:r w:rsidR="00873963" w:rsidRPr="00802DF6">
        <w:t xml:space="preserve"> que habría de emplearse para determinar esas contribuciones.  Durante el debate sobre esta disposición en la </w:t>
      </w:r>
      <w:r w:rsidR="00E24907" w:rsidRPr="00802DF6">
        <w:rPr>
          <w:bCs/>
        </w:rPr>
        <w:t xml:space="preserve">Conferencia Diplomática para la adopción de una nueva Acta del Arreglo de Lisboa relativo a la Protección de las Denominaciones de Origen y su Registro Internacional, la Secretaría </w:t>
      </w:r>
      <w:r w:rsidR="00F23B59" w:rsidRPr="00802DF6">
        <w:rPr>
          <w:bCs/>
        </w:rPr>
        <w:t xml:space="preserve">facilitó simulaciones preliminares </w:t>
      </w:r>
      <w:r w:rsidR="000B5142" w:rsidRPr="00802DF6">
        <w:rPr>
          <w:bCs/>
        </w:rPr>
        <w:t>de la proporcionalidad</w:t>
      </w:r>
      <w:r w:rsidR="00F23B59" w:rsidRPr="00802DF6">
        <w:rPr>
          <w:bCs/>
        </w:rPr>
        <w:t xml:space="preserve"> de las</w:t>
      </w:r>
      <w:r w:rsidR="00361820" w:rsidRPr="00802DF6">
        <w:rPr>
          <w:bCs/>
        </w:rPr>
        <w:t xml:space="preserve"> cuotas de contribución de la Unión de Lisboa</w:t>
      </w:r>
      <w:r w:rsidR="00F23B59" w:rsidRPr="00802DF6">
        <w:t xml:space="preserve"> basadas en </w:t>
      </w:r>
      <w:r w:rsidR="00687080" w:rsidRPr="00802DF6">
        <w:rPr>
          <w:bCs/>
        </w:rPr>
        <w:t>dos metodologías, a saber:  1) la disposición del Arreglo de Lisboa relativ</w:t>
      </w:r>
      <w:r w:rsidR="00A77DA9" w:rsidRPr="00802DF6">
        <w:rPr>
          <w:bCs/>
        </w:rPr>
        <w:t>a</w:t>
      </w:r>
      <w:r w:rsidR="00687080" w:rsidRPr="00802DF6">
        <w:rPr>
          <w:bCs/>
        </w:rPr>
        <w:t xml:space="preserve"> a las contribuciones de los Estados miembros conforme a un sistema de clases;  y 2) la disposición del Acta de Ginebra </w:t>
      </w:r>
      <w:r w:rsidR="00282E05" w:rsidRPr="00802DF6">
        <w:rPr>
          <w:bCs/>
        </w:rPr>
        <w:t>sobre las</w:t>
      </w:r>
      <w:r w:rsidR="00687080" w:rsidRPr="00802DF6">
        <w:rPr>
          <w:bCs/>
        </w:rPr>
        <w:t xml:space="preserve"> contribuciones basadas en </w:t>
      </w:r>
      <w:r w:rsidR="00A77DA9" w:rsidRPr="00802DF6">
        <w:rPr>
          <w:bCs/>
        </w:rPr>
        <w:t xml:space="preserve">el </w:t>
      </w:r>
      <w:r w:rsidR="00A77DA9" w:rsidRPr="00802DF6">
        <w:rPr>
          <w:bCs/>
        </w:rPr>
        <w:lastRenderedPageBreak/>
        <w:t xml:space="preserve">número de registros en vigor </w:t>
      </w:r>
      <w:r w:rsidR="00A90112" w:rsidRPr="00802DF6">
        <w:rPr>
          <w:bCs/>
        </w:rPr>
        <w:t xml:space="preserve">originarios </w:t>
      </w:r>
      <w:r w:rsidR="00A77DA9" w:rsidRPr="00802DF6">
        <w:rPr>
          <w:bCs/>
        </w:rPr>
        <w:t>de cada país</w:t>
      </w:r>
      <w:r w:rsidR="00687080" w:rsidRPr="00802DF6">
        <w:rPr>
          <w:bCs/>
        </w:rPr>
        <w:t xml:space="preserve">.  Esas simulaciones figuran en </w:t>
      </w:r>
      <w:r w:rsidR="00503A75" w:rsidRPr="00802DF6">
        <w:rPr>
          <w:bCs/>
        </w:rPr>
        <w:t>el</w:t>
      </w:r>
      <w:r w:rsidR="00687080" w:rsidRPr="00802DF6">
        <w:rPr>
          <w:bCs/>
        </w:rPr>
        <w:t xml:space="preserve"> </w:t>
      </w:r>
      <w:r w:rsidR="00A12AD5">
        <w:rPr>
          <w:bCs/>
        </w:rPr>
        <w:t>Anexo del presente documento.</w:t>
      </w:r>
    </w:p>
    <w:p w:rsidR="00E84719" w:rsidRPr="00802DF6" w:rsidRDefault="0074168B" w:rsidP="009A5DB4">
      <w:pPr>
        <w:pStyle w:val="ONUME"/>
        <w:rPr>
          <w:bCs/>
        </w:rPr>
      </w:pPr>
      <w:r w:rsidRPr="00802DF6">
        <w:t xml:space="preserve">Habida cuenta del déficit anual de la Unión de Lisboa </w:t>
      </w:r>
      <w:r w:rsidR="007C5842" w:rsidRPr="00802DF6">
        <w:t xml:space="preserve">previsto para </w:t>
      </w:r>
      <w:r w:rsidRPr="00802DF6">
        <w:t xml:space="preserve">el </w:t>
      </w:r>
      <w:r w:rsidR="009A5DB4" w:rsidRPr="00802DF6">
        <w:t>bienio</w:t>
      </w:r>
      <w:r w:rsidRPr="00802DF6">
        <w:t xml:space="preserve"> 2016/17, sería necesario que esas contribuciones permitieran </w:t>
      </w:r>
      <w:r w:rsidR="007C5842" w:rsidRPr="00802DF6">
        <w:t>hacer frente</w:t>
      </w:r>
      <w:r w:rsidRPr="00802DF6">
        <w:t xml:space="preserve"> </w:t>
      </w:r>
      <w:r w:rsidR="009A5DB4" w:rsidRPr="00802DF6">
        <w:t xml:space="preserve">a </w:t>
      </w:r>
      <w:r w:rsidRPr="00802DF6">
        <w:t xml:space="preserve">un déficit de aproximadamente 700.000 francos suizos anuales en </w:t>
      </w:r>
      <w:r w:rsidR="00161EF8" w:rsidRPr="00802DF6">
        <w:t xml:space="preserve">el bienio </w:t>
      </w:r>
      <w:r w:rsidRPr="00802DF6">
        <w:t>2016/17</w:t>
      </w:r>
      <w:r w:rsidRPr="00802DF6">
        <w:rPr>
          <w:rStyle w:val="FootnoteReference"/>
        </w:rPr>
        <w:footnoteReference w:id="15"/>
      </w:r>
      <w:r w:rsidRPr="00802DF6">
        <w:t>.</w:t>
      </w:r>
    </w:p>
    <w:p w:rsidR="00A77DA9" w:rsidRPr="00802DF6" w:rsidRDefault="00A77DA9" w:rsidP="00A77DA9">
      <w:pPr>
        <w:pStyle w:val="ListParagraph"/>
        <w:numPr>
          <w:ilvl w:val="0"/>
          <w:numId w:val="7"/>
        </w:numPr>
        <w:tabs>
          <w:tab w:val="left" w:pos="567"/>
        </w:tabs>
        <w:spacing w:after="0" w:line="240" w:lineRule="auto"/>
        <w:ind w:left="0" w:firstLine="0"/>
        <w:rPr>
          <w:rFonts w:ascii="Arial" w:hAnsi="Arial" w:cs="Arial"/>
          <w:b/>
          <w:lang w:val="es-ES"/>
        </w:rPr>
      </w:pPr>
      <w:r w:rsidRPr="00802DF6">
        <w:rPr>
          <w:rFonts w:ascii="Arial" w:hAnsi="Arial" w:cs="Arial"/>
          <w:b/>
          <w:lang w:val="es-ES"/>
        </w:rPr>
        <w:t>Fondo de operaciones</w:t>
      </w:r>
    </w:p>
    <w:p w:rsidR="00E84719" w:rsidRPr="00802DF6" w:rsidRDefault="00E84719" w:rsidP="00E84719"/>
    <w:p w:rsidR="00E84719" w:rsidRPr="00802DF6" w:rsidRDefault="00B57A82" w:rsidP="009A5DB4">
      <w:pPr>
        <w:pStyle w:val="ONUME"/>
      </w:pPr>
      <w:r w:rsidRPr="00802DF6">
        <w:t xml:space="preserve">En el Arreglo de Lisboa también se estipula, en su Artículo 11.7), el establecimiento de un fondo de operaciones con objeto de poder hacer frente a un déficit </w:t>
      </w:r>
      <w:r w:rsidR="009A5DB4" w:rsidRPr="00802DF6">
        <w:t>generado por</w:t>
      </w:r>
      <w:r w:rsidRPr="00802DF6">
        <w:t xml:space="preserve"> los gastos de </w:t>
      </w:r>
      <w:r w:rsidR="007C5842" w:rsidRPr="00802DF6">
        <w:t>funcionamiento</w:t>
      </w:r>
      <w:r w:rsidRPr="00802DF6">
        <w:t xml:space="preserve"> de la Unión de Lisboa.  En el Artículo 11.7) se prevé que:</w:t>
      </w:r>
    </w:p>
    <w:p w:rsidR="00E84719" w:rsidRPr="00802DF6" w:rsidRDefault="00E84719" w:rsidP="003472D3">
      <w:pPr>
        <w:pStyle w:val="ListParagraph"/>
        <w:tabs>
          <w:tab w:val="left" w:pos="709"/>
        </w:tabs>
        <w:spacing w:after="0" w:line="240" w:lineRule="auto"/>
        <w:ind w:left="567"/>
        <w:rPr>
          <w:rFonts w:ascii="Arial" w:hAnsi="Arial" w:cs="Arial"/>
          <w:lang w:val="es-ES"/>
        </w:rPr>
      </w:pPr>
      <w:r w:rsidRPr="00802DF6">
        <w:rPr>
          <w:rFonts w:ascii="Arial" w:hAnsi="Arial" w:cs="Arial"/>
          <w:lang w:val="es-ES"/>
        </w:rPr>
        <w:t>a)</w:t>
      </w:r>
      <w:r w:rsidRPr="00802DF6">
        <w:rPr>
          <w:rFonts w:ascii="Arial" w:hAnsi="Arial" w:cs="Arial"/>
          <w:lang w:val="es-ES"/>
        </w:rPr>
        <w:tab/>
      </w:r>
      <w:r w:rsidR="003472D3" w:rsidRPr="00802DF6">
        <w:rPr>
          <w:rFonts w:ascii="Arial" w:hAnsi="Arial" w:cs="Arial"/>
          <w:lang w:val="es-ES"/>
        </w:rPr>
        <w:t>La Unión particular poseerá un fondo de operaciones constituido por una aportación única hecha por cada uno de los países de la Unión particular. Si el fondo resultara insuficiente, la Asamblea decidirá sobre su aumento.</w:t>
      </w:r>
    </w:p>
    <w:p w:rsidR="00E84719" w:rsidRPr="00802DF6" w:rsidRDefault="00E84719" w:rsidP="00E84719">
      <w:pPr>
        <w:pStyle w:val="ListParagraph"/>
        <w:spacing w:after="0" w:line="240" w:lineRule="auto"/>
        <w:ind w:left="1134"/>
        <w:rPr>
          <w:rFonts w:ascii="Arial" w:hAnsi="Arial" w:cs="Arial"/>
          <w:lang w:val="es-ES"/>
        </w:rPr>
      </w:pPr>
    </w:p>
    <w:p w:rsidR="00E84719" w:rsidRPr="00802DF6" w:rsidRDefault="00E84719" w:rsidP="003472D3">
      <w:pPr>
        <w:pStyle w:val="ListParagraph"/>
        <w:tabs>
          <w:tab w:val="left" w:pos="1134"/>
        </w:tabs>
        <w:spacing w:after="0" w:line="240" w:lineRule="auto"/>
        <w:ind w:left="567"/>
        <w:rPr>
          <w:rFonts w:ascii="Arial" w:hAnsi="Arial" w:cs="Arial"/>
          <w:lang w:val="es-ES"/>
        </w:rPr>
      </w:pPr>
      <w:r w:rsidRPr="00802DF6">
        <w:rPr>
          <w:rFonts w:ascii="Arial" w:hAnsi="Arial" w:cs="Arial"/>
          <w:lang w:val="es-ES"/>
        </w:rPr>
        <w:t>b)</w:t>
      </w:r>
      <w:r w:rsidRPr="00802DF6">
        <w:rPr>
          <w:rFonts w:ascii="Arial" w:hAnsi="Arial" w:cs="Arial"/>
          <w:lang w:val="es-ES"/>
        </w:rPr>
        <w:tab/>
      </w:r>
      <w:r w:rsidR="003472D3" w:rsidRPr="00802DF6">
        <w:rPr>
          <w:rFonts w:ascii="Arial" w:hAnsi="Arial" w:cs="Arial"/>
          <w:lang w:val="es-ES"/>
        </w:rPr>
        <w:t>La cuantía de la aportación inicial de cada país al citado fondo y de su participación en el aumento del mismo serán proporcionales a la contribución del país, como miembro de la Unión de París para la Protección de la Propiedad Industrial, al presupuesto de dicha Unión correspondiente al año en el curso del cual se constituyó el fondo o se decidió el aumento</w:t>
      </w:r>
      <w:r w:rsidRPr="00802DF6">
        <w:rPr>
          <w:rFonts w:ascii="Arial" w:hAnsi="Arial" w:cs="Arial"/>
          <w:lang w:val="es-ES"/>
        </w:rPr>
        <w:t>.</w:t>
      </w:r>
    </w:p>
    <w:p w:rsidR="003472D3" w:rsidRPr="00802DF6" w:rsidRDefault="003472D3" w:rsidP="003472D3">
      <w:pPr>
        <w:pStyle w:val="ListParagraph"/>
        <w:tabs>
          <w:tab w:val="left" w:pos="1134"/>
        </w:tabs>
        <w:spacing w:after="0" w:line="240" w:lineRule="auto"/>
        <w:ind w:left="567"/>
        <w:rPr>
          <w:rFonts w:ascii="Arial" w:hAnsi="Arial" w:cs="Arial"/>
          <w:lang w:val="es-ES"/>
        </w:rPr>
      </w:pPr>
    </w:p>
    <w:p w:rsidR="00E84719" w:rsidRPr="00802DF6" w:rsidRDefault="00E84719" w:rsidP="00A377F7">
      <w:pPr>
        <w:pStyle w:val="ListParagraph"/>
        <w:tabs>
          <w:tab w:val="left" w:pos="709"/>
        </w:tabs>
        <w:spacing w:after="0" w:line="240" w:lineRule="auto"/>
        <w:ind w:left="567"/>
        <w:rPr>
          <w:rFonts w:ascii="Arial" w:hAnsi="Arial" w:cs="Arial"/>
          <w:lang w:val="es-ES"/>
        </w:rPr>
      </w:pPr>
      <w:r w:rsidRPr="00802DF6">
        <w:rPr>
          <w:rFonts w:ascii="Arial" w:hAnsi="Arial" w:cs="Arial"/>
          <w:lang w:val="es-ES"/>
        </w:rPr>
        <w:t>c)</w:t>
      </w:r>
      <w:r w:rsidRPr="00802DF6">
        <w:rPr>
          <w:rFonts w:ascii="Arial" w:hAnsi="Arial" w:cs="Arial"/>
          <w:lang w:val="es-ES"/>
        </w:rPr>
        <w:tab/>
      </w:r>
      <w:r w:rsidR="003472D3" w:rsidRPr="00802DF6">
        <w:rPr>
          <w:rFonts w:ascii="Arial" w:hAnsi="Arial" w:cs="Arial"/>
          <w:lang w:val="es-ES"/>
        </w:rPr>
        <w:t>La proporción y las modalidades de pago serán determinadas por la Asamblea, a propuesta del Director General y previo dictamen del Comité de Coordinación de la Organización.</w:t>
      </w:r>
    </w:p>
    <w:p w:rsidR="00A377F7" w:rsidRPr="00802DF6" w:rsidRDefault="00A377F7" w:rsidP="00A377F7">
      <w:pPr>
        <w:pStyle w:val="ListParagraph"/>
        <w:tabs>
          <w:tab w:val="left" w:pos="709"/>
        </w:tabs>
        <w:spacing w:after="0" w:line="240" w:lineRule="auto"/>
        <w:ind w:left="567"/>
        <w:rPr>
          <w:rFonts w:ascii="Arial" w:hAnsi="Arial" w:cs="Arial"/>
          <w:lang w:val="es-ES"/>
        </w:rPr>
      </w:pPr>
    </w:p>
    <w:p w:rsidR="00E84719" w:rsidRPr="00802DF6" w:rsidRDefault="00C077E9" w:rsidP="00161EF8">
      <w:pPr>
        <w:pStyle w:val="ONUME"/>
      </w:pPr>
      <w:r w:rsidRPr="00802DF6">
        <w:t>La finalidad de un fondo de operaciones es financiar las operaciones cuando no se dispone de suficientes ingresos, lo</w:t>
      </w:r>
      <w:r w:rsidR="00160AF8" w:rsidRPr="00802DF6">
        <w:t xml:space="preserve"> que </w:t>
      </w:r>
      <w:r w:rsidR="007C5842" w:rsidRPr="00802DF6">
        <w:t>incluye</w:t>
      </w:r>
      <w:r w:rsidR="00160AF8" w:rsidRPr="00802DF6">
        <w:t xml:space="preserve"> </w:t>
      </w:r>
      <w:r w:rsidR="008B43A8" w:rsidRPr="00802DF6">
        <w:t xml:space="preserve">proporcionar fondos </w:t>
      </w:r>
      <w:r w:rsidR="007C5842" w:rsidRPr="00802DF6">
        <w:t>cuando haya</w:t>
      </w:r>
      <w:r w:rsidR="008B43A8" w:rsidRPr="00802DF6">
        <w:t xml:space="preserve"> atrasos en la percepción de las contribuciones.  Por consiguiente, se trata, por su propia naturaleza, de una solución temporal hasta que se encuentre una solución sostenible y más permanente por medio de cuotas y contribuciones</w:t>
      </w:r>
      <w:r w:rsidR="00161EF8" w:rsidRPr="00802DF6">
        <w:t xml:space="preserve">, </w:t>
      </w:r>
      <w:r w:rsidR="008B43A8" w:rsidRPr="00802DF6">
        <w:t xml:space="preserve">o </w:t>
      </w:r>
      <w:r w:rsidR="00161EF8" w:rsidRPr="00802DF6">
        <w:t xml:space="preserve">de </w:t>
      </w:r>
      <w:r w:rsidR="008B43A8" w:rsidRPr="00802DF6">
        <w:t xml:space="preserve">ambas.  Las contribuciones al fondo de operaciones, que se adeudan a los Estados miembros, </w:t>
      </w:r>
      <w:r w:rsidR="007C5842" w:rsidRPr="00802DF6">
        <w:t>podrían</w:t>
      </w:r>
      <w:r w:rsidR="008B43A8" w:rsidRPr="00802DF6">
        <w:t xml:space="preserve"> </w:t>
      </w:r>
      <w:r w:rsidR="007C5842" w:rsidRPr="00802DF6">
        <w:t>reembolsarse</w:t>
      </w:r>
      <w:r w:rsidR="008B43A8" w:rsidRPr="00802DF6">
        <w:t xml:space="preserve"> si los ingresos llegaran a ser suficientes para financiar las operaciones según las condiciones específicas del acuerdo por el que se establece el fondo de operaciones.</w:t>
      </w:r>
      <w:r w:rsidR="005F0EC1" w:rsidRPr="00802DF6">
        <w:t xml:space="preserve">  Se </w:t>
      </w:r>
      <w:r w:rsidR="00161EF8" w:rsidRPr="00802DF6">
        <w:t>constituyeron</w:t>
      </w:r>
      <w:r w:rsidR="005F0EC1" w:rsidRPr="00802DF6">
        <w:t xml:space="preserve"> fondos de operaciones para la Unión del PCT, la Unión de Madrid y la Unión de La Haya en 1983, 1979 y 1978, respectivamente.  </w:t>
      </w:r>
      <w:r w:rsidR="00416372" w:rsidRPr="00802DF6">
        <w:t>Se ha propuesto que el</w:t>
      </w:r>
      <w:r w:rsidR="005F0EC1" w:rsidRPr="00802DF6">
        <w:t xml:space="preserve"> </w:t>
      </w:r>
      <w:r w:rsidR="00416372" w:rsidRPr="00802DF6">
        <w:t>fondo de operaciones de la Unión del PCT se devuelva a los Estados miembros de la Unión del PCT mediante deducciones en las contribuciones pagaderas en el bienio 2016/17</w:t>
      </w:r>
      <w:r w:rsidR="008A3E2F" w:rsidRPr="00802DF6">
        <w:rPr>
          <w:rStyle w:val="FootnoteReference"/>
        </w:rPr>
        <w:footnoteReference w:id="16"/>
      </w:r>
      <w:r w:rsidR="00416372" w:rsidRPr="00802DF6">
        <w:t>.</w:t>
      </w:r>
    </w:p>
    <w:p w:rsidR="00E84719" w:rsidRPr="00802DF6" w:rsidRDefault="008A3E2F" w:rsidP="00161EF8">
      <w:pPr>
        <w:pStyle w:val="ONUME"/>
      </w:pPr>
      <w:r w:rsidRPr="00802DF6">
        <w:t xml:space="preserve">En lo tocante a la Unión de Lisboa, durante la misma </w:t>
      </w:r>
      <w:r w:rsidR="00C24B72" w:rsidRPr="00802DF6">
        <w:t>reunión</w:t>
      </w:r>
      <w:r w:rsidRPr="00802DF6">
        <w:t xml:space="preserve"> de la Asamblea de la Unión de Lisboa celebrada en octubre 1976 en la que se debatió acerca de las contribuciones y se adoptó una decisión al respecto, la Asamblea también reflexionó sobre la creación de un fondo de operaciones.  La Asamblea adoptó medidas sobre esta cuestión, tal como se había propuesto, en el documento titulado </w:t>
      </w:r>
      <w:r w:rsidR="005B03DF" w:rsidRPr="00802DF6">
        <w:t>“Due Date of Contributions; Working Capital Funds; Advances”</w:t>
      </w:r>
      <w:r w:rsidR="00161EF8" w:rsidRPr="00802DF6">
        <w:t xml:space="preserve"> [Fecha establecida para el abono de contribuciones;  fondo</w:t>
      </w:r>
      <w:r w:rsidR="00CE66C2" w:rsidRPr="00802DF6">
        <w:t>s</w:t>
      </w:r>
      <w:r w:rsidR="00161EF8" w:rsidRPr="00802DF6">
        <w:t xml:space="preserve"> de operaciones;  anticipos” (traducción oficiosa)]</w:t>
      </w:r>
      <w:r w:rsidR="005B03DF" w:rsidRPr="00802DF6">
        <w:t xml:space="preserve"> (AB/VII/6), en cuya parte pertinente </w:t>
      </w:r>
      <w:r w:rsidR="00161EF8" w:rsidRPr="00802DF6">
        <w:t>se señala que</w:t>
      </w:r>
      <w:r w:rsidR="00E84719" w:rsidRPr="00802DF6">
        <w:rPr>
          <w:rStyle w:val="FootnoteReference"/>
        </w:rPr>
        <w:footnoteReference w:id="17"/>
      </w:r>
      <w:r w:rsidR="00F4107A" w:rsidRPr="00802DF6">
        <w:t xml:space="preserve"> [traducción oficiosa]</w:t>
      </w:r>
      <w:r w:rsidR="005B03DF" w:rsidRPr="00802DF6">
        <w:t>:</w:t>
      </w:r>
      <w:r w:rsidR="00E84719" w:rsidRPr="00802DF6">
        <w:t xml:space="preserve">  </w:t>
      </w:r>
    </w:p>
    <w:p w:rsidR="00E84719" w:rsidRPr="00802DF6" w:rsidRDefault="00E84719" w:rsidP="00161EF8">
      <w:pPr>
        <w:ind w:left="540"/>
      </w:pPr>
      <w:r w:rsidRPr="00802DF6">
        <w:lastRenderedPageBreak/>
        <w:t>“28.</w:t>
      </w:r>
      <w:r w:rsidRPr="00802DF6">
        <w:tab/>
      </w:r>
      <w:r w:rsidR="00F4107A" w:rsidRPr="00802DF6">
        <w:rPr>
          <w:i/>
        </w:rPr>
        <w:t>Unión de Lisboa</w:t>
      </w:r>
      <w:r w:rsidRPr="00802DF6">
        <w:t xml:space="preserve">.  </w:t>
      </w:r>
      <w:r w:rsidR="00F4107A" w:rsidRPr="00802DF6">
        <w:t xml:space="preserve">En el Acta de Estocolmo del Arreglo de Lisboa se prevé, en su Artículo 11.7), </w:t>
      </w:r>
      <w:r w:rsidR="00161EF8" w:rsidRPr="00802DF6">
        <w:t>la constitución</w:t>
      </w:r>
      <w:r w:rsidR="00F4107A" w:rsidRPr="00802DF6">
        <w:t xml:space="preserve"> de un fondo de operaciones.  Sin embargo, dado que el presupuesto anual de esta Unión es insignificante (unos 8.000 francos en 1976), la creación de un fondo de operaciones resultaría más</w:t>
      </w:r>
      <w:r w:rsidR="00161EF8" w:rsidRPr="00802DF6">
        <w:t xml:space="preserve"> una molestia</w:t>
      </w:r>
      <w:r w:rsidR="00F4107A" w:rsidRPr="00802DF6">
        <w:t xml:space="preserve"> que una ayuda y el Director General tiene la intención de retomar este asunto solo si el presupuesto de esta Unión aumenta sustancialmente.</w:t>
      </w:r>
    </w:p>
    <w:p w:rsidR="00E84719" w:rsidRPr="00802DF6" w:rsidRDefault="00E84719" w:rsidP="00E84719">
      <w:pPr>
        <w:ind w:left="540"/>
      </w:pPr>
    </w:p>
    <w:p w:rsidR="00E84719" w:rsidRPr="00802DF6" w:rsidRDefault="00E84719" w:rsidP="00050144">
      <w:pPr>
        <w:ind w:left="540"/>
      </w:pPr>
      <w:r w:rsidRPr="00802DF6">
        <w:t>29.</w:t>
      </w:r>
      <w:r w:rsidRPr="00802DF6">
        <w:tab/>
      </w:r>
      <w:r w:rsidR="00050144" w:rsidRPr="00802DF6">
        <w:t xml:space="preserve">En consecuencia, se propone que el examen de la constitución de un fondo de operaciones para la Unión de Lisboa se aplace </w:t>
      </w:r>
      <w:r w:rsidR="00050144" w:rsidRPr="00802DF6">
        <w:rPr>
          <w:i/>
          <w:iCs/>
        </w:rPr>
        <w:t>sine die</w:t>
      </w:r>
      <w:r w:rsidRPr="00802DF6">
        <w:t>.”</w:t>
      </w:r>
    </w:p>
    <w:p w:rsidR="00E84719" w:rsidRPr="00802DF6" w:rsidRDefault="00E84719" w:rsidP="00E84719"/>
    <w:p w:rsidR="00E84719" w:rsidRPr="00802DF6" w:rsidRDefault="00C85784" w:rsidP="00DB69D3">
      <w:pPr>
        <w:pStyle w:val="ONUME"/>
      </w:pPr>
      <w:r w:rsidRPr="00802DF6">
        <w:t>Habida cuenta de que</w:t>
      </w:r>
      <w:r w:rsidR="00AF3A70" w:rsidRPr="00802DF6">
        <w:t xml:space="preserve"> se prevé que</w:t>
      </w:r>
      <w:r w:rsidRPr="00802DF6">
        <w:t xml:space="preserve"> el déficit anual de la Unión de Lisboa </w:t>
      </w:r>
      <w:r w:rsidR="00AF3A70" w:rsidRPr="00802DF6">
        <w:t>en</w:t>
      </w:r>
      <w:r w:rsidRPr="00802DF6">
        <w:t xml:space="preserve"> el bienio</w:t>
      </w:r>
      <w:r w:rsidR="00D06495" w:rsidRPr="00802DF6">
        <w:t> </w:t>
      </w:r>
      <w:r w:rsidRPr="00802DF6">
        <w:t>2016/17 asciend</w:t>
      </w:r>
      <w:r w:rsidR="00AF3A70" w:rsidRPr="00802DF6">
        <w:t>a</w:t>
      </w:r>
      <w:r w:rsidRPr="00802DF6">
        <w:t xml:space="preserve"> a unos 700.000 francos suizos</w:t>
      </w:r>
      <w:r w:rsidRPr="00802DF6">
        <w:rPr>
          <w:rStyle w:val="FootnoteReference"/>
        </w:rPr>
        <w:footnoteReference w:id="18"/>
      </w:r>
      <w:r w:rsidRPr="00802DF6">
        <w:t xml:space="preserve">, </w:t>
      </w:r>
      <w:r w:rsidR="000C0CF1" w:rsidRPr="00802DF6">
        <w:t>el Director General está dispuesto, en est</w:t>
      </w:r>
      <w:r w:rsidR="00DB69D3" w:rsidRPr="00802DF6">
        <w:t>e momento</w:t>
      </w:r>
      <w:r w:rsidR="000C0CF1" w:rsidRPr="00802DF6">
        <w:t xml:space="preserve">, a presentar una propuesta a la Asamblea de la Unión de Lisboa para que se establezca un fondo de operaciones de la Unión de Lisboa, para lo que solicitará el asesoramiento del Comité de Coordinación. </w:t>
      </w:r>
      <w:r w:rsidRPr="00802DF6">
        <w:t xml:space="preserve">  </w:t>
      </w:r>
      <w:r w:rsidR="00E84719" w:rsidRPr="00802DF6">
        <w:t xml:space="preserve"> </w:t>
      </w:r>
    </w:p>
    <w:p w:rsidR="00E84719" w:rsidRPr="00802DF6" w:rsidRDefault="00C46869" w:rsidP="00DB69D3">
      <w:pPr>
        <w:pStyle w:val="ListParagraph"/>
        <w:numPr>
          <w:ilvl w:val="0"/>
          <w:numId w:val="7"/>
        </w:numPr>
        <w:tabs>
          <w:tab w:val="left" w:pos="567"/>
        </w:tabs>
        <w:spacing w:after="0" w:line="240" w:lineRule="auto"/>
        <w:ind w:left="0" w:firstLine="0"/>
        <w:rPr>
          <w:rFonts w:ascii="Arial" w:hAnsi="Arial" w:cs="Arial"/>
          <w:b/>
          <w:lang w:val="es-ES"/>
        </w:rPr>
      </w:pPr>
      <w:r w:rsidRPr="00802DF6">
        <w:rPr>
          <w:rFonts w:ascii="Arial" w:hAnsi="Arial" w:cs="Arial"/>
          <w:b/>
          <w:lang w:val="es-ES"/>
        </w:rPr>
        <w:t xml:space="preserve">Anticipos a cargo del </w:t>
      </w:r>
      <w:r w:rsidR="00727B50" w:rsidRPr="00802DF6">
        <w:rPr>
          <w:rFonts w:ascii="Arial" w:hAnsi="Arial" w:cs="Arial"/>
          <w:b/>
          <w:lang w:val="es-ES"/>
        </w:rPr>
        <w:t>Estado</w:t>
      </w:r>
      <w:r w:rsidRPr="00802DF6">
        <w:rPr>
          <w:rFonts w:ascii="Arial" w:hAnsi="Arial" w:cs="Arial"/>
          <w:b/>
          <w:lang w:val="es-ES"/>
        </w:rPr>
        <w:t xml:space="preserve"> </w:t>
      </w:r>
      <w:r w:rsidR="00A377F7" w:rsidRPr="00802DF6">
        <w:rPr>
          <w:rFonts w:ascii="Arial" w:hAnsi="Arial" w:cs="Arial"/>
          <w:b/>
          <w:lang w:val="es-ES"/>
        </w:rPr>
        <w:t>anfitrión</w:t>
      </w:r>
    </w:p>
    <w:p w:rsidR="00E84719" w:rsidRPr="00802DF6" w:rsidRDefault="00E84719" w:rsidP="00E84719"/>
    <w:p w:rsidR="00E84719" w:rsidRPr="00802DF6" w:rsidRDefault="00C24B72" w:rsidP="00DE28D2">
      <w:pPr>
        <w:pStyle w:val="ONUME"/>
      </w:pPr>
      <w:r w:rsidRPr="00802DF6">
        <w:t>Hay una disposición en el Arreglo de Lisboa, que guarda relación con el fondo de operaciones, en la que se prevé una fuente adicional de financiación si el fondo</w:t>
      </w:r>
      <w:r w:rsidR="009F51EE" w:rsidRPr="00802DF6">
        <w:t xml:space="preserve"> de operaciones fuera insuficiente para sufragar los gastos de la Unión de Lisboa, a saber, los anticipos concedidos por</w:t>
      </w:r>
      <w:r w:rsidR="00DE28D2" w:rsidRPr="00802DF6">
        <w:t xml:space="preserve"> Suiza,</w:t>
      </w:r>
      <w:r w:rsidR="009F51EE" w:rsidRPr="00802DF6">
        <w:t xml:space="preserve"> el </w:t>
      </w:r>
      <w:r w:rsidR="00727B50" w:rsidRPr="00802DF6">
        <w:t>Estado</w:t>
      </w:r>
      <w:r w:rsidR="009F51EE" w:rsidRPr="00802DF6">
        <w:t xml:space="preserve"> </w:t>
      </w:r>
      <w:r w:rsidR="00A377F7" w:rsidRPr="00802DF6">
        <w:t>anfitrión</w:t>
      </w:r>
      <w:r w:rsidR="009F51EE" w:rsidRPr="00802DF6">
        <w:t xml:space="preserve">.  En el Artículo 11.8) </w:t>
      </w:r>
      <w:r w:rsidR="00B63BC2" w:rsidRPr="00802DF6">
        <w:t>del Arreglo de Lisboa se estipula que:</w:t>
      </w:r>
      <w:r w:rsidR="009F51EE" w:rsidRPr="00802DF6">
        <w:t xml:space="preserve"> </w:t>
      </w:r>
      <w:r w:rsidRPr="00802DF6">
        <w:t xml:space="preserve">   </w:t>
      </w:r>
    </w:p>
    <w:p w:rsidR="00E84719" w:rsidRPr="00802DF6" w:rsidRDefault="00E84719" w:rsidP="00B63BC2">
      <w:pPr>
        <w:widowControl w:val="0"/>
        <w:autoSpaceDE w:val="0"/>
        <w:autoSpaceDN w:val="0"/>
        <w:adjustRightInd w:val="0"/>
        <w:ind w:left="720"/>
      </w:pPr>
      <w:r w:rsidRPr="00802DF6">
        <w:t>a)</w:t>
      </w:r>
      <w:r w:rsidRPr="00802DF6">
        <w:tab/>
      </w:r>
      <w:r w:rsidR="00B63BC2" w:rsidRPr="00802DF6">
        <w:t xml:space="preserve">El Acuerdo de Sede, concluido con el país en cuyo territorio tenga su residencia la Organización, preverá que ese país conceda anticipos si el fondo de </w:t>
      </w:r>
      <w:r w:rsidR="00727B50" w:rsidRPr="00802DF6">
        <w:t xml:space="preserve">operaciones fuese insuficiente.  </w:t>
      </w:r>
      <w:r w:rsidR="00B63BC2" w:rsidRPr="00802DF6">
        <w:t>La cuantía de esos anticipos y las condiciones en que serán concedidos serán objeto, en cada caso, de acuerdos separados entre el país en cuestión y la Organización</w:t>
      </w:r>
    </w:p>
    <w:p w:rsidR="00E84719" w:rsidRPr="00802DF6" w:rsidRDefault="00E84719" w:rsidP="00E84719">
      <w:pPr>
        <w:widowControl w:val="0"/>
        <w:autoSpaceDE w:val="0"/>
        <w:autoSpaceDN w:val="0"/>
        <w:adjustRightInd w:val="0"/>
      </w:pPr>
    </w:p>
    <w:p w:rsidR="00E84719" w:rsidRPr="00802DF6" w:rsidRDefault="00E84719" w:rsidP="00740501">
      <w:pPr>
        <w:widowControl w:val="0"/>
        <w:autoSpaceDE w:val="0"/>
        <w:autoSpaceDN w:val="0"/>
        <w:adjustRightInd w:val="0"/>
        <w:ind w:left="720"/>
      </w:pPr>
      <w:r w:rsidRPr="00802DF6">
        <w:t>b)</w:t>
      </w:r>
      <w:r w:rsidRPr="00802DF6">
        <w:tab/>
      </w:r>
      <w:r w:rsidR="00B63BC2" w:rsidRPr="00802DF6">
        <w:t>El país al que se hace referencia en el apartado a) y la Organización tendrán cada uno el derecho a denunciar el compromiso de conceder anticipos, med</w:t>
      </w:r>
      <w:r w:rsidR="00DC2484" w:rsidRPr="00802DF6">
        <w:t xml:space="preserve">iante notificación por escrito.  </w:t>
      </w:r>
      <w:r w:rsidR="00B63BC2" w:rsidRPr="00802DF6">
        <w:t>La denuncia producirá efecto tres años después de terminado el año en el curso del cual haya sido notificada.</w:t>
      </w:r>
    </w:p>
    <w:p w:rsidR="00E84719" w:rsidRPr="00802DF6" w:rsidRDefault="00E84719" w:rsidP="00E84719">
      <w:pPr>
        <w:widowControl w:val="0"/>
        <w:autoSpaceDE w:val="0"/>
        <w:autoSpaceDN w:val="0"/>
        <w:adjustRightInd w:val="0"/>
      </w:pPr>
    </w:p>
    <w:p w:rsidR="00E84719" w:rsidRPr="00802DF6" w:rsidRDefault="00751D25" w:rsidP="00727B50">
      <w:pPr>
        <w:pStyle w:val="ONUME"/>
      </w:pPr>
      <w:r w:rsidRPr="00802DF6">
        <w:t xml:space="preserve">En consecuencia, </w:t>
      </w:r>
      <w:r w:rsidR="00740501" w:rsidRPr="00802DF6">
        <w:t xml:space="preserve">en </w:t>
      </w:r>
      <w:r w:rsidRPr="00802DF6">
        <w:t xml:space="preserve">el Artículo 10 del </w:t>
      </w:r>
      <w:r w:rsidR="00727B50" w:rsidRPr="00802DF6">
        <w:t>Acuerdo entre el Consejo Federa</w:t>
      </w:r>
      <w:r w:rsidR="00A377F7" w:rsidRPr="00802DF6">
        <w:t>l suizo</w:t>
      </w:r>
      <w:r w:rsidR="00727B50" w:rsidRPr="00802DF6">
        <w:t xml:space="preserve"> y la Organización Mundial de la Propiedad Intelectual, para determinar el estatuto jurídico de la Organización en Suiza </w:t>
      </w:r>
      <w:r w:rsidR="00D44576" w:rsidRPr="00802DF6">
        <w:t xml:space="preserve">(Acuerdo de Sede) </w:t>
      </w:r>
      <w:r w:rsidR="00727B50" w:rsidRPr="00802DF6">
        <w:t>(1970)</w:t>
      </w:r>
      <w:r w:rsidR="00740501" w:rsidRPr="00802DF6">
        <w:t xml:space="preserve">, </w:t>
      </w:r>
      <w:r w:rsidR="00727B50" w:rsidRPr="00802DF6">
        <w:t xml:space="preserve">relativo al anticipo de fondos por Suiza, </w:t>
      </w:r>
      <w:r w:rsidR="00740501" w:rsidRPr="00802DF6">
        <w:t>se prevé que</w:t>
      </w:r>
      <w:r w:rsidR="00DB69D3" w:rsidRPr="00802DF6">
        <w:t xml:space="preserve"> [traducción oficiosa]</w:t>
      </w:r>
      <w:r w:rsidR="00740501" w:rsidRPr="00802DF6">
        <w:t>:</w:t>
      </w:r>
    </w:p>
    <w:p w:rsidR="00E84719" w:rsidRPr="00802DF6" w:rsidRDefault="00EB1456" w:rsidP="00EB23E8">
      <w:pPr>
        <w:pStyle w:val="ListParagraph"/>
        <w:widowControl w:val="0"/>
        <w:numPr>
          <w:ilvl w:val="0"/>
          <w:numId w:val="8"/>
        </w:numPr>
        <w:autoSpaceDE w:val="0"/>
        <w:autoSpaceDN w:val="0"/>
        <w:adjustRightInd w:val="0"/>
        <w:spacing w:line="240" w:lineRule="auto"/>
        <w:contextualSpacing w:val="0"/>
        <w:rPr>
          <w:rFonts w:ascii="Arial" w:hAnsi="Arial" w:cs="Arial"/>
          <w:lang w:val="es-ES"/>
        </w:rPr>
      </w:pPr>
      <w:r w:rsidRPr="00802DF6">
        <w:rPr>
          <w:rFonts w:ascii="Arial" w:hAnsi="Arial" w:cs="Arial"/>
          <w:lang w:val="es-ES"/>
        </w:rPr>
        <w:t>Suiza concederá anticipos a la Organización si el fondo de operaciones de esta última o el de cualquiera de las Uniones fuera insuficiente</w:t>
      </w:r>
      <w:r w:rsidR="00DC2484" w:rsidRPr="00802DF6">
        <w:rPr>
          <w:rFonts w:ascii="Arial" w:hAnsi="Arial" w:cs="Arial"/>
          <w:lang w:val="es-ES"/>
        </w:rPr>
        <w:t xml:space="preserve">. </w:t>
      </w:r>
      <w:r w:rsidRPr="00802DF6">
        <w:rPr>
          <w:lang w:val="es-ES"/>
        </w:rPr>
        <w:t xml:space="preserve"> </w:t>
      </w:r>
      <w:r w:rsidRPr="00802DF6">
        <w:rPr>
          <w:rFonts w:ascii="Arial" w:hAnsi="Arial" w:cs="Arial"/>
          <w:lang w:val="es-ES"/>
        </w:rPr>
        <w:t xml:space="preserve">La cuantía de esos anticipos y las condiciones en las que serán concedidos, serán objeto, en cada caso, de acuerdos separados entre </w:t>
      </w:r>
      <w:r w:rsidR="00932182" w:rsidRPr="00802DF6">
        <w:rPr>
          <w:rFonts w:ascii="Arial" w:hAnsi="Arial" w:cs="Arial"/>
          <w:lang w:val="es-ES"/>
        </w:rPr>
        <w:t>Suiza</w:t>
      </w:r>
      <w:r w:rsidRPr="00802DF6">
        <w:rPr>
          <w:rFonts w:ascii="Arial" w:hAnsi="Arial" w:cs="Arial"/>
          <w:lang w:val="es-ES"/>
        </w:rPr>
        <w:t xml:space="preserve"> y la Organización.</w:t>
      </w:r>
    </w:p>
    <w:p w:rsidR="00E84719" w:rsidRPr="00802DF6" w:rsidRDefault="00DC2484" w:rsidP="00DB69D3">
      <w:pPr>
        <w:pStyle w:val="ListParagraph"/>
        <w:widowControl w:val="0"/>
        <w:numPr>
          <w:ilvl w:val="0"/>
          <w:numId w:val="8"/>
        </w:numPr>
        <w:autoSpaceDE w:val="0"/>
        <w:autoSpaceDN w:val="0"/>
        <w:adjustRightInd w:val="0"/>
        <w:spacing w:line="240" w:lineRule="auto"/>
        <w:contextualSpacing w:val="0"/>
        <w:rPr>
          <w:rFonts w:ascii="Arial" w:hAnsi="Arial" w:cs="Arial"/>
          <w:lang w:val="es-ES"/>
        </w:rPr>
      </w:pPr>
      <w:r w:rsidRPr="00802DF6">
        <w:rPr>
          <w:rFonts w:ascii="Arial" w:hAnsi="Arial" w:cs="Arial"/>
          <w:lang w:val="es-ES"/>
        </w:rPr>
        <w:t xml:space="preserve">Mientras tenga la obligación de conceder esos anticipos, </w:t>
      </w:r>
      <w:r w:rsidR="00DB69D3" w:rsidRPr="00802DF6">
        <w:rPr>
          <w:rFonts w:ascii="Arial" w:hAnsi="Arial" w:cs="Arial"/>
          <w:lang w:val="es-ES"/>
        </w:rPr>
        <w:t>Suiza</w:t>
      </w:r>
      <w:r w:rsidRPr="00802DF6">
        <w:rPr>
          <w:rFonts w:ascii="Arial" w:hAnsi="Arial" w:cs="Arial"/>
          <w:lang w:val="es-ES"/>
        </w:rPr>
        <w:t xml:space="preserve"> tendrá un puesto de oficio en el Comité de Coordinación y en </w:t>
      </w:r>
      <w:r w:rsidR="00DB69D3" w:rsidRPr="00802DF6">
        <w:rPr>
          <w:rFonts w:ascii="Arial" w:hAnsi="Arial" w:cs="Arial"/>
          <w:lang w:val="es-ES"/>
        </w:rPr>
        <w:t>los</w:t>
      </w:r>
      <w:r w:rsidRPr="00802DF6">
        <w:rPr>
          <w:rFonts w:ascii="Arial" w:hAnsi="Arial" w:cs="Arial"/>
          <w:lang w:val="es-ES"/>
        </w:rPr>
        <w:t xml:space="preserve"> Comité</w:t>
      </w:r>
      <w:r w:rsidR="00DB69D3" w:rsidRPr="00802DF6">
        <w:rPr>
          <w:rFonts w:ascii="Arial" w:hAnsi="Arial" w:cs="Arial"/>
          <w:lang w:val="es-ES"/>
        </w:rPr>
        <w:t>s</w:t>
      </w:r>
      <w:r w:rsidRPr="00802DF6">
        <w:rPr>
          <w:rFonts w:ascii="Arial" w:hAnsi="Arial" w:cs="Arial"/>
          <w:lang w:val="es-ES"/>
        </w:rPr>
        <w:t xml:space="preserve"> Ejecutivo</w:t>
      </w:r>
      <w:r w:rsidR="00DB69D3" w:rsidRPr="00802DF6">
        <w:rPr>
          <w:rFonts w:ascii="Arial" w:hAnsi="Arial" w:cs="Arial"/>
          <w:lang w:val="es-ES"/>
        </w:rPr>
        <w:t>s de las Uniones</w:t>
      </w:r>
      <w:r w:rsidRPr="00802DF6">
        <w:rPr>
          <w:rFonts w:ascii="Arial" w:hAnsi="Arial" w:cs="Arial"/>
          <w:lang w:val="es-ES"/>
        </w:rPr>
        <w:t>.</w:t>
      </w:r>
    </w:p>
    <w:p w:rsidR="00E84719" w:rsidRPr="00802DF6" w:rsidRDefault="00DC2484" w:rsidP="009865BA">
      <w:pPr>
        <w:pStyle w:val="ListParagraph"/>
        <w:keepNext/>
        <w:keepLines/>
        <w:widowControl w:val="0"/>
        <w:numPr>
          <w:ilvl w:val="0"/>
          <w:numId w:val="8"/>
        </w:numPr>
        <w:autoSpaceDE w:val="0"/>
        <w:autoSpaceDN w:val="0"/>
        <w:adjustRightInd w:val="0"/>
        <w:spacing w:line="240" w:lineRule="auto"/>
        <w:rPr>
          <w:rFonts w:ascii="Arial" w:hAnsi="Arial" w:cs="Arial"/>
          <w:lang w:val="es-ES"/>
        </w:rPr>
      </w:pPr>
      <w:r w:rsidRPr="00802DF6">
        <w:rPr>
          <w:rFonts w:ascii="Arial" w:hAnsi="Arial" w:cs="Arial"/>
          <w:lang w:val="es-ES"/>
        </w:rPr>
        <w:lastRenderedPageBreak/>
        <w:t>Suiza y la Organización tendrán cada uno el derecho de denunciar el compromiso de conceder anticipos, mediante notificación por escrito</w:t>
      </w:r>
      <w:r w:rsidRPr="00802DF6">
        <w:rPr>
          <w:rStyle w:val="FootnoteReference"/>
          <w:rFonts w:ascii="Arial" w:hAnsi="Arial" w:cs="Arial"/>
          <w:vertAlign w:val="baseline"/>
          <w:lang w:val="es-ES"/>
        </w:rPr>
        <w:t>.</w:t>
      </w:r>
      <w:r w:rsidRPr="00802DF6">
        <w:rPr>
          <w:rFonts w:ascii="Arial" w:hAnsi="Arial" w:cs="Arial"/>
          <w:lang w:val="es-ES"/>
        </w:rPr>
        <w:t xml:space="preserve">  La denuncia producirá efecto tres años </w:t>
      </w:r>
      <w:r w:rsidR="00B522DF" w:rsidRPr="00802DF6">
        <w:rPr>
          <w:rFonts w:ascii="Arial" w:hAnsi="Arial" w:cs="Arial"/>
          <w:lang w:val="es-ES"/>
        </w:rPr>
        <w:t>después</w:t>
      </w:r>
      <w:r w:rsidRPr="00802DF6">
        <w:rPr>
          <w:rFonts w:ascii="Arial" w:hAnsi="Arial" w:cs="Arial"/>
          <w:lang w:val="es-ES"/>
        </w:rPr>
        <w:t xml:space="preserve"> de terminar el año en el curso del cual haya sido notificada</w:t>
      </w:r>
      <w:r w:rsidR="00E84719" w:rsidRPr="00802DF6">
        <w:rPr>
          <w:rStyle w:val="FootnoteReference"/>
          <w:rFonts w:ascii="Arial" w:hAnsi="Arial" w:cs="Arial"/>
          <w:lang w:val="es-ES"/>
        </w:rPr>
        <w:footnoteReference w:id="19"/>
      </w:r>
      <w:r w:rsidRPr="00802DF6">
        <w:rPr>
          <w:rFonts w:ascii="Arial" w:hAnsi="Arial" w:cs="Arial"/>
          <w:lang w:val="es-ES"/>
        </w:rPr>
        <w:t>.</w:t>
      </w:r>
    </w:p>
    <w:p w:rsidR="00E84719" w:rsidRPr="00802DF6" w:rsidRDefault="00740501" w:rsidP="00E84719">
      <w:pPr>
        <w:pStyle w:val="ONUME"/>
      </w:pPr>
      <w:r w:rsidRPr="00802DF6">
        <w:t>Hasta la fecha, nunca se ha invocado la disposición del Arreglo de Lisboa que permitiría obtener anticipos de Suiza.</w:t>
      </w:r>
    </w:p>
    <w:p w:rsidR="00E84719" w:rsidRPr="00802DF6" w:rsidRDefault="00EE5DA9" w:rsidP="00E84719">
      <w:pPr>
        <w:pStyle w:val="ListParagraph"/>
        <w:numPr>
          <w:ilvl w:val="0"/>
          <w:numId w:val="7"/>
        </w:numPr>
        <w:tabs>
          <w:tab w:val="left" w:pos="567"/>
        </w:tabs>
        <w:spacing w:after="0" w:line="240" w:lineRule="auto"/>
        <w:ind w:left="0" w:firstLine="0"/>
        <w:rPr>
          <w:rFonts w:ascii="Arial" w:hAnsi="Arial" w:cs="Arial"/>
          <w:b/>
          <w:lang w:val="es-ES"/>
        </w:rPr>
      </w:pPr>
      <w:r w:rsidRPr="00802DF6">
        <w:rPr>
          <w:rFonts w:ascii="Arial" w:hAnsi="Arial" w:cs="Arial"/>
          <w:b/>
          <w:lang w:val="es-ES"/>
        </w:rPr>
        <w:t>Otras fuentes de financiación</w:t>
      </w:r>
    </w:p>
    <w:p w:rsidR="00E84719" w:rsidRPr="00802DF6" w:rsidRDefault="00E84719" w:rsidP="00E84719"/>
    <w:p w:rsidR="00233D7D" w:rsidRPr="00802DF6" w:rsidRDefault="00EE5DA9" w:rsidP="00E72127">
      <w:pPr>
        <w:pStyle w:val="ONUME"/>
      </w:pPr>
      <w:r w:rsidRPr="00802DF6">
        <w:t xml:space="preserve">Por </w:t>
      </w:r>
      <w:r w:rsidR="00233D7D" w:rsidRPr="00802DF6">
        <w:t>último</w:t>
      </w:r>
      <w:r w:rsidRPr="00802DF6">
        <w:t xml:space="preserve">, las otras fuentes de financiación señaladas en el Artículo 11.3) del Arreglo de Lisboa guardan relación con ii) </w:t>
      </w:r>
      <w:r w:rsidR="00233D7D" w:rsidRPr="00802DF6">
        <w:t xml:space="preserve">el producto de la venta de las publicaciones de la Oficina Internacional referentes a la Unión particular y los derechos correspondientes a esas publicaciones;  iii) las donaciones, legados y subvenciones;  y iv) los alquileres, intereses y otros ingresos diversos.  Cabe señalar que, con respecto a los incisos ii) y iv), parte de los ingresos diversos de la Organización, excluidos los ingresos por el alquiler del edificio </w:t>
      </w:r>
      <w:r w:rsidR="009865BA" w:rsidRPr="00802DF6">
        <w:t xml:space="preserve">propiedad de la Unión </w:t>
      </w:r>
      <w:r w:rsidR="00233D7D" w:rsidRPr="00802DF6">
        <w:t>de Madrid en Meyrin, se</w:t>
      </w:r>
      <w:r w:rsidR="000B32E2" w:rsidRPr="00802DF6">
        <w:t xml:space="preserve"> atribuyen al Arreglo de Lisboa</w:t>
      </w:r>
      <w:r w:rsidR="00233D7D" w:rsidRPr="00802DF6">
        <w:t xml:space="preserve"> de conformidad con la metodología para la asignación de los ingresos por Unión</w:t>
      </w:r>
      <w:r w:rsidR="00233D7D" w:rsidRPr="00802DF6">
        <w:rPr>
          <w:rStyle w:val="FootnoteReference"/>
        </w:rPr>
        <w:footnoteReference w:id="20"/>
      </w:r>
      <w:r w:rsidR="00E72127" w:rsidRPr="00802DF6">
        <w:t xml:space="preserve">.  </w:t>
      </w:r>
      <w:r w:rsidR="00233D7D" w:rsidRPr="00802DF6">
        <w:t xml:space="preserve">La otra opción pertinente que resta se menciona en el inciso iii), a saber:  las donaciones, legados y subvenciones.  A falta de donaciones </w:t>
      </w:r>
      <w:r w:rsidR="00E72127" w:rsidRPr="00802DF6">
        <w:t>efectuadas voluntariamente</w:t>
      </w:r>
      <w:r w:rsidR="00233D7D" w:rsidRPr="00802DF6">
        <w:t xml:space="preserve"> </w:t>
      </w:r>
      <w:r w:rsidR="00E72127" w:rsidRPr="00802DF6">
        <w:t>por</w:t>
      </w:r>
      <w:r w:rsidR="000B32E2" w:rsidRPr="00802DF6">
        <w:t xml:space="preserve"> los Estados miembros, </w:t>
      </w:r>
      <w:r w:rsidR="00E72127" w:rsidRPr="00802DF6">
        <w:t>por</w:t>
      </w:r>
      <w:r w:rsidR="00233D7D" w:rsidRPr="00802DF6">
        <w:t xml:space="preserve"> entidades privadas o </w:t>
      </w:r>
      <w:r w:rsidR="000B32E2" w:rsidRPr="00802DF6">
        <w:t xml:space="preserve">por </w:t>
      </w:r>
      <w:r w:rsidR="00233D7D" w:rsidRPr="00802DF6">
        <w:t xml:space="preserve">particulares, la Oficina Internacional necesitaría realizar esfuerzos concertados para solicitar esas donaciones, lo que redundaría en un aumento de los gastos de funcionamiento de la Unión de Lisboa.  Aunque esta sigue siendo una opción en el marco del Arreglo de Lisboa, </w:t>
      </w:r>
      <w:r w:rsidR="00662EFE" w:rsidRPr="00802DF6">
        <w:t xml:space="preserve">parece improbable obtener una financiación apreciable para el presupuesto de la Unión particular por medio de </w:t>
      </w:r>
      <w:r w:rsidR="00E72127" w:rsidRPr="00802DF6">
        <w:t xml:space="preserve">las </w:t>
      </w:r>
      <w:r w:rsidR="00662EFE" w:rsidRPr="00802DF6">
        <w:t>donaciones,</w:t>
      </w:r>
      <w:r w:rsidR="00E72127" w:rsidRPr="00802DF6">
        <w:t xml:space="preserve"> los</w:t>
      </w:r>
      <w:r w:rsidR="00662EFE" w:rsidRPr="00802DF6">
        <w:t xml:space="preserve"> legados o </w:t>
      </w:r>
      <w:r w:rsidR="00E72127" w:rsidRPr="00802DF6">
        <w:t xml:space="preserve">las </w:t>
      </w:r>
      <w:r w:rsidR="00662EFE" w:rsidRPr="00802DF6">
        <w:t xml:space="preserve">subvenciones. </w:t>
      </w:r>
      <w:r w:rsidR="00233D7D" w:rsidRPr="00802DF6">
        <w:t xml:space="preserve">     </w:t>
      </w:r>
    </w:p>
    <w:p w:rsidR="00E84719" w:rsidRPr="00802DF6" w:rsidRDefault="00E84719" w:rsidP="00662EFE">
      <w:pPr>
        <w:rPr>
          <w:b/>
        </w:rPr>
      </w:pPr>
      <w:r w:rsidRPr="00802DF6">
        <w:rPr>
          <w:b/>
        </w:rPr>
        <w:t>CONCLUSI</w:t>
      </w:r>
      <w:r w:rsidR="00662EFE" w:rsidRPr="00802DF6">
        <w:rPr>
          <w:b/>
        </w:rPr>
        <w:t>Ó</w:t>
      </w:r>
      <w:r w:rsidRPr="00802DF6">
        <w:rPr>
          <w:b/>
        </w:rPr>
        <w:t>N</w:t>
      </w:r>
    </w:p>
    <w:p w:rsidR="00E84719" w:rsidRPr="00802DF6" w:rsidRDefault="00E84719" w:rsidP="00E84719"/>
    <w:p w:rsidR="00E84719" w:rsidRPr="00802DF6" w:rsidRDefault="00D141F2" w:rsidP="00E72127">
      <w:pPr>
        <w:pStyle w:val="ONUME"/>
      </w:pPr>
      <w:r w:rsidRPr="00802DF6">
        <w:t>Al margen de las</w:t>
      </w:r>
      <w:r w:rsidR="007C7B41" w:rsidRPr="00802DF6">
        <w:t xml:space="preserve"> posturas </w:t>
      </w:r>
      <w:r w:rsidR="00CF067F" w:rsidRPr="00802DF6">
        <w:t>divergentes</w:t>
      </w:r>
      <w:r w:rsidR="007C7B41" w:rsidRPr="00802DF6">
        <w:t xml:space="preserve"> de los Estados miembros con respecto a las fuentes y metodologías </w:t>
      </w:r>
      <w:r w:rsidR="00CF067F" w:rsidRPr="00802DF6">
        <w:t>de</w:t>
      </w:r>
      <w:r w:rsidR="007C7B41" w:rsidRPr="00802DF6">
        <w:t xml:space="preserve"> financiación de la Unión de Lisboa, en el Arreglo de Lisboa se prevé el marco</w:t>
      </w:r>
      <w:r w:rsidR="00CF067F" w:rsidRPr="00802DF6">
        <w:t xml:space="preserve"> jurídicamente vinculante por el que ha de regirse esa financiación.  Dado que las tasas de registro internacional siguen siendo insuficientes para sufragar los gastos de funcionamiento de la Unión de Lisboa, los Estados miembros tendrán que considerar la conveniencia de adoptar un aumento de las tasas, contribuciones anuales, un fondo de operaciones, anticipos del Estado </w:t>
      </w:r>
      <w:r w:rsidR="009865BA" w:rsidRPr="00802DF6">
        <w:t>anfitrión</w:t>
      </w:r>
      <w:r w:rsidR="00CF067F" w:rsidRPr="00802DF6">
        <w:t xml:space="preserve"> u otras fuentes de financiación, o bien varias de estas opciones</w:t>
      </w:r>
      <w:r w:rsidRPr="00802DF6">
        <w:t xml:space="preserve"> al mismo tiempo</w:t>
      </w:r>
      <w:r w:rsidR="00CF067F" w:rsidRPr="00802DF6">
        <w:t xml:space="preserve">, a fin de asegurar su sostenibilidad financiera a largo plazo.  </w:t>
      </w:r>
      <w:r w:rsidR="007C7B41" w:rsidRPr="00802DF6">
        <w:t xml:space="preserve"> </w:t>
      </w:r>
    </w:p>
    <w:p w:rsidR="00E84719" w:rsidRPr="00802DF6" w:rsidRDefault="00CF067F" w:rsidP="002965A7">
      <w:pPr>
        <w:pStyle w:val="ONUME"/>
        <w:keepLines/>
        <w:tabs>
          <w:tab w:val="left" w:pos="6096"/>
        </w:tabs>
        <w:ind w:left="5533"/>
        <w:rPr>
          <w:i/>
        </w:rPr>
      </w:pPr>
      <w:r w:rsidRPr="00802DF6">
        <w:rPr>
          <w:i/>
        </w:rPr>
        <w:t>Se invita al Comité del Programa y Presupuesto (PBC)</w:t>
      </w:r>
      <w:r w:rsidR="00EB23E8" w:rsidRPr="00802DF6">
        <w:rPr>
          <w:i/>
        </w:rPr>
        <w:t xml:space="preserve"> </w:t>
      </w:r>
      <w:r w:rsidRPr="00802DF6">
        <w:rPr>
          <w:i/>
        </w:rPr>
        <w:t xml:space="preserve">a que examine el contenido del documento </w:t>
      </w:r>
      <w:r w:rsidR="00E84719" w:rsidRPr="00802DF6">
        <w:rPr>
          <w:i/>
        </w:rPr>
        <w:t>WO/PBC/24/16</w:t>
      </w:r>
      <w:r w:rsidR="00D06495" w:rsidRPr="00802DF6">
        <w:rPr>
          <w:i/>
        </w:rPr>
        <w:t xml:space="preserve"> Rev</w:t>
      </w:r>
      <w:r w:rsidR="00E84719" w:rsidRPr="00802DF6">
        <w:rPr>
          <w:i/>
        </w:rPr>
        <w:t>.</w:t>
      </w:r>
    </w:p>
    <w:p w:rsidR="00E84719" w:rsidRPr="00802DF6" w:rsidRDefault="00E84719" w:rsidP="00E84719">
      <w:pPr>
        <w:pStyle w:val="Endofdocument-Annex"/>
        <w:rPr>
          <w:szCs w:val="22"/>
          <w:lang w:val="es-ES"/>
        </w:rPr>
      </w:pPr>
    </w:p>
    <w:p w:rsidR="00E84719" w:rsidRPr="00802DF6" w:rsidRDefault="00E84719" w:rsidP="00E84719">
      <w:pPr>
        <w:pStyle w:val="Endofdocument-Annex"/>
        <w:rPr>
          <w:szCs w:val="22"/>
          <w:lang w:val="es-ES"/>
        </w:rPr>
      </w:pPr>
    </w:p>
    <w:p w:rsidR="00E84719" w:rsidRPr="00802DF6" w:rsidRDefault="00E84719" w:rsidP="00CF067F">
      <w:pPr>
        <w:pStyle w:val="Endofdocument-Annex"/>
        <w:rPr>
          <w:szCs w:val="22"/>
          <w:lang w:val="es-ES"/>
        </w:rPr>
      </w:pPr>
      <w:r w:rsidRPr="00802DF6">
        <w:rPr>
          <w:szCs w:val="22"/>
          <w:lang w:val="es-ES"/>
        </w:rPr>
        <w:t>[</w:t>
      </w:r>
      <w:r w:rsidR="00CF067F" w:rsidRPr="00802DF6">
        <w:rPr>
          <w:szCs w:val="22"/>
          <w:lang w:val="es-ES"/>
        </w:rPr>
        <w:t>Sigue el Anexo</w:t>
      </w:r>
      <w:r w:rsidRPr="00802DF6">
        <w:rPr>
          <w:szCs w:val="22"/>
          <w:lang w:val="es-ES"/>
        </w:rPr>
        <w:t>]</w:t>
      </w:r>
    </w:p>
    <w:p w:rsidR="00E84719" w:rsidRPr="00802DF6" w:rsidRDefault="00E84719" w:rsidP="00E84719">
      <w:pPr>
        <w:ind w:left="5580"/>
      </w:pPr>
    </w:p>
    <w:p w:rsidR="00E84719" w:rsidRPr="00802DF6" w:rsidRDefault="00E84719" w:rsidP="00E84719"/>
    <w:p w:rsidR="00E84719" w:rsidRPr="00802DF6" w:rsidRDefault="00E84719" w:rsidP="00E84719">
      <w:pPr>
        <w:sectPr w:rsidR="00E84719" w:rsidRPr="00802DF6" w:rsidSect="00A12AD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2B416D" w:rsidRPr="00802DF6" w:rsidRDefault="002B416D" w:rsidP="002B416D">
      <w:pPr>
        <w:jc w:val="center"/>
        <w:rPr>
          <w:rFonts w:eastAsia="Times New Roman"/>
          <w:b/>
          <w:szCs w:val="22"/>
        </w:rPr>
      </w:pPr>
      <w:r w:rsidRPr="00802DF6">
        <w:rPr>
          <w:rFonts w:eastAsia="Times New Roman"/>
          <w:b/>
          <w:szCs w:val="22"/>
        </w:rPr>
        <w:lastRenderedPageBreak/>
        <w:t xml:space="preserve">SIMULACIÓN PRELIMINAR DE LA PROPORCIONALIDAD PARA LAS CUOTAS DE CONTRIBUCIÓN DE LA UNIÓN DE LISBOA BASADA EN LAS CLASES  DE CONTRIBUCIÓN DE LOS ESTADOS MIEMBROS </w:t>
      </w:r>
    </w:p>
    <w:p w:rsidR="00E84719" w:rsidRPr="00802DF6" w:rsidRDefault="00E84719" w:rsidP="002B416D">
      <w:pPr>
        <w:jc w:val="center"/>
        <w:rPr>
          <w:rFonts w:eastAsia="Times New Roman"/>
          <w:i/>
          <w:iCs/>
          <w:sz w:val="20"/>
        </w:rPr>
      </w:pPr>
      <w:r w:rsidRPr="00802DF6">
        <w:rPr>
          <w:rFonts w:eastAsia="Times New Roman"/>
          <w:i/>
          <w:iCs/>
          <w:sz w:val="20"/>
        </w:rPr>
        <w:t>(</w:t>
      </w:r>
      <w:r w:rsidR="002B416D" w:rsidRPr="00802DF6">
        <w:rPr>
          <w:rFonts w:eastAsia="Times New Roman"/>
          <w:i/>
          <w:iCs/>
          <w:sz w:val="20"/>
        </w:rPr>
        <w:t xml:space="preserve">en el supuesto de que se necesiten contribuciones para sufragar un déficit de 100.000 francos suizos) </w:t>
      </w:r>
    </w:p>
    <w:p w:rsidR="00E84719" w:rsidRPr="00802DF6" w:rsidRDefault="00E84719" w:rsidP="00E84719">
      <w:pPr>
        <w:rPr>
          <w:rFonts w:eastAsia="Times New Roman"/>
          <w:i/>
          <w:iCs/>
          <w:szCs w:val="22"/>
        </w:rPr>
      </w:pPr>
    </w:p>
    <w:p w:rsidR="00E84719" w:rsidRPr="00802DF6" w:rsidRDefault="008866A3" w:rsidP="00E84719">
      <w:pPr>
        <w:ind w:left="6663"/>
        <w:rPr>
          <w:rFonts w:eastAsia="Times New Roman"/>
          <w:b/>
          <w:i/>
          <w:iCs/>
          <w:sz w:val="20"/>
          <w:szCs w:val="22"/>
        </w:rPr>
      </w:pPr>
      <w:r w:rsidRPr="00802DF6">
        <w:rPr>
          <w:rFonts w:eastAsia="Times New Roman"/>
          <w:b/>
          <w:i/>
          <w:iCs/>
          <w:sz w:val="20"/>
          <w:szCs w:val="22"/>
        </w:rPr>
        <w:t>Cuota de contribución</w:t>
      </w:r>
    </w:p>
    <w:p w:rsidR="00E84719" w:rsidRPr="00802DF6" w:rsidRDefault="00E84719" w:rsidP="008866A3">
      <w:pPr>
        <w:spacing w:after="120"/>
        <w:ind w:left="6663"/>
        <w:rPr>
          <w:rFonts w:eastAsia="Times New Roman"/>
          <w:i/>
          <w:iCs/>
          <w:sz w:val="20"/>
          <w:szCs w:val="22"/>
        </w:rPr>
      </w:pPr>
      <w:r w:rsidRPr="00802DF6">
        <w:rPr>
          <w:rFonts w:eastAsia="Times New Roman"/>
          <w:i/>
          <w:iCs/>
          <w:sz w:val="20"/>
          <w:szCs w:val="22"/>
        </w:rPr>
        <w:t>(</w:t>
      </w:r>
      <w:r w:rsidR="008866A3" w:rsidRPr="00802DF6">
        <w:rPr>
          <w:rFonts w:eastAsia="Times New Roman"/>
          <w:i/>
          <w:iCs/>
          <w:sz w:val="20"/>
          <w:szCs w:val="22"/>
        </w:rPr>
        <w:t>en francos suizos</w:t>
      </w:r>
      <w:r w:rsidRPr="00802DF6">
        <w:rPr>
          <w:rFonts w:eastAsia="Times New Roman"/>
          <w:i/>
          <w:iCs/>
          <w:sz w:val="20"/>
          <w:szCs w:val="22"/>
        </w:rPr>
        <w:t>)</w:t>
      </w:r>
    </w:p>
    <w:tbl>
      <w:tblPr>
        <w:tblW w:w="7705" w:type="dxa"/>
        <w:jc w:val="center"/>
        <w:tblInd w:w="93" w:type="dxa"/>
        <w:tblLook w:val="04A0" w:firstRow="1" w:lastRow="0" w:firstColumn="1" w:lastColumn="0" w:noHBand="0" w:noVBand="1"/>
      </w:tblPr>
      <w:tblGrid>
        <w:gridCol w:w="2620"/>
        <w:gridCol w:w="1820"/>
        <w:gridCol w:w="233"/>
        <w:gridCol w:w="1292"/>
        <w:gridCol w:w="1740"/>
      </w:tblGrid>
      <w:tr w:rsidR="00590BED" w:rsidRPr="00802DF6" w:rsidTr="001130CB">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E84719" w:rsidRPr="00802DF6" w:rsidRDefault="00C30740" w:rsidP="00D37EC5">
            <w:pPr>
              <w:jc w:val="center"/>
              <w:rPr>
                <w:rFonts w:eastAsia="Times New Roman"/>
                <w:b/>
                <w:i/>
                <w:iCs/>
                <w:sz w:val="20"/>
                <w:lang w:eastAsia="en-US"/>
              </w:rPr>
            </w:pPr>
            <w:r w:rsidRPr="00802DF6">
              <w:rPr>
                <w:rFonts w:eastAsia="Times New Roman"/>
                <w:b/>
                <w:i/>
                <w:iCs/>
                <w:sz w:val="20"/>
                <w:lang w:eastAsia="en-US"/>
              </w:rPr>
              <w:t>País</w:t>
            </w:r>
          </w:p>
        </w:tc>
        <w:tc>
          <w:tcPr>
            <w:tcW w:w="1820" w:type="dxa"/>
            <w:tcBorders>
              <w:top w:val="single" w:sz="4" w:space="0" w:color="auto"/>
              <w:left w:val="nil"/>
              <w:bottom w:val="single" w:sz="4" w:space="0" w:color="auto"/>
              <w:right w:val="nil"/>
            </w:tcBorders>
            <w:shd w:val="clear" w:color="000000" w:fill="C5D9F1"/>
            <w:noWrap/>
            <w:vAlign w:val="center"/>
            <w:hideMark/>
          </w:tcPr>
          <w:p w:rsidR="00E84719" w:rsidRPr="00802DF6" w:rsidRDefault="00C30740" w:rsidP="00D37EC5">
            <w:pPr>
              <w:jc w:val="center"/>
              <w:rPr>
                <w:rFonts w:eastAsia="Times New Roman"/>
                <w:b/>
                <w:i/>
                <w:iCs/>
                <w:sz w:val="20"/>
                <w:lang w:eastAsia="en-US"/>
              </w:rPr>
            </w:pPr>
            <w:r w:rsidRPr="00802DF6">
              <w:rPr>
                <w:rFonts w:eastAsia="Times New Roman"/>
                <w:b/>
                <w:i/>
                <w:iCs/>
                <w:sz w:val="20"/>
                <w:lang w:eastAsia="en-US"/>
              </w:rPr>
              <w:t>Clase</w:t>
            </w:r>
          </w:p>
        </w:tc>
        <w:tc>
          <w:tcPr>
            <w:tcW w:w="1525" w:type="dxa"/>
            <w:gridSpan w:val="2"/>
            <w:tcBorders>
              <w:top w:val="single" w:sz="4" w:space="0" w:color="auto"/>
              <w:left w:val="single" w:sz="4" w:space="0" w:color="auto"/>
              <w:bottom w:val="single" w:sz="4" w:space="0" w:color="auto"/>
              <w:right w:val="nil"/>
            </w:tcBorders>
            <w:shd w:val="clear" w:color="000000" w:fill="C5D9F1"/>
            <w:noWrap/>
            <w:vAlign w:val="center"/>
            <w:hideMark/>
          </w:tcPr>
          <w:p w:rsidR="008866A3" w:rsidRPr="00802DF6" w:rsidRDefault="008866A3" w:rsidP="00D37EC5">
            <w:pPr>
              <w:jc w:val="center"/>
              <w:rPr>
                <w:rFonts w:eastAsia="Times New Roman"/>
                <w:b/>
                <w:i/>
                <w:iCs/>
                <w:sz w:val="20"/>
                <w:lang w:eastAsia="en-US"/>
              </w:rPr>
            </w:pPr>
            <w:r w:rsidRPr="00802DF6">
              <w:rPr>
                <w:rFonts w:eastAsia="Times New Roman"/>
                <w:b/>
                <w:i/>
                <w:iCs/>
                <w:sz w:val="20"/>
                <w:lang w:eastAsia="en-US"/>
              </w:rPr>
              <w:t>Unidades</w:t>
            </w:r>
            <w:r w:rsidR="00E84719" w:rsidRPr="00802DF6">
              <w:rPr>
                <w:rFonts w:eastAsia="Times New Roman"/>
                <w:b/>
                <w:i/>
                <w:iCs/>
                <w:sz w:val="20"/>
                <w:lang w:eastAsia="en-US"/>
              </w:rPr>
              <w:t>/</w:t>
            </w:r>
          </w:p>
          <w:p w:rsidR="00E84719" w:rsidRPr="00802DF6" w:rsidRDefault="00590BED" w:rsidP="00D37EC5">
            <w:pPr>
              <w:jc w:val="center"/>
              <w:rPr>
                <w:rFonts w:eastAsia="Times New Roman"/>
                <w:b/>
                <w:i/>
                <w:iCs/>
                <w:sz w:val="20"/>
                <w:lang w:eastAsia="en-US"/>
              </w:rPr>
            </w:pPr>
            <w:r w:rsidRPr="00802DF6">
              <w:rPr>
                <w:rFonts w:eastAsia="Times New Roman"/>
                <w:b/>
                <w:i/>
                <w:iCs/>
                <w:sz w:val="20"/>
                <w:lang w:eastAsia="en-US"/>
              </w:rPr>
              <w:t>Ponderación</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E84719" w:rsidRPr="00802DF6" w:rsidRDefault="00590BED" w:rsidP="00D37EC5">
            <w:pPr>
              <w:jc w:val="center"/>
              <w:rPr>
                <w:rFonts w:eastAsia="Times New Roman"/>
                <w:b/>
                <w:i/>
                <w:iCs/>
                <w:sz w:val="20"/>
                <w:lang w:eastAsia="en-US"/>
              </w:rPr>
            </w:pPr>
            <w:r w:rsidRPr="00802DF6">
              <w:rPr>
                <w:rFonts w:eastAsia="Times New Roman"/>
                <w:b/>
                <w:i/>
                <w:iCs/>
                <w:sz w:val="20"/>
                <w:lang w:eastAsia="en-US"/>
              </w:rPr>
              <w:t>Cuantía de la cuota</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C30740" w:rsidP="00D37EC5">
            <w:pPr>
              <w:rPr>
                <w:rFonts w:eastAsia="Times New Roman"/>
                <w:sz w:val="18"/>
                <w:szCs w:val="18"/>
                <w:lang w:eastAsia="en-US"/>
              </w:rPr>
            </w:pPr>
            <w:r w:rsidRPr="00802DF6">
              <w:rPr>
                <w:rFonts w:eastAsia="Times New Roman"/>
                <w:sz w:val="18"/>
                <w:szCs w:val="18"/>
                <w:lang w:eastAsia="en-US"/>
              </w:rPr>
              <w:t>Argelia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IX</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347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C30740">
            <w:pPr>
              <w:rPr>
                <w:rFonts w:eastAsia="Times New Roman"/>
                <w:sz w:val="18"/>
                <w:szCs w:val="18"/>
                <w:lang w:eastAsia="en-US"/>
              </w:rPr>
            </w:pPr>
            <w:r w:rsidRPr="00802DF6">
              <w:rPr>
                <w:rFonts w:eastAsia="Times New Roman"/>
                <w:sz w:val="18"/>
                <w:szCs w:val="18"/>
                <w:lang w:eastAsia="en-US"/>
              </w:rPr>
              <w:t xml:space="preserve">Bosnia </w:t>
            </w:r>
            <w:r w:rsidR="00C30740" w:rsidRPr="00802DF6">
              <w:rPr>
                <w:rFonts w:eastAsia="Times New Roman"/>
                <w:sz w:val="18"/>
                <w:szCs w:val="18"/>
                <w:lang w:eastAsia="en-US"/>
              </w:rPr>
              <w:t>y</w:t>
            </w:r>
            <w:r w:rsidRPr="00802DF6">
              <w:rPr>
                <w:rFonts w:eastAsia="Times New Roman"/>
                <w:sz w:val="18"/>
                <w:szCs w:val="18"/>
                <w:lang w:eastAsia="en-US"/>
              </w:rPr>
              <w:t xml:space="preserve"> Herzegovina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S</w:t>
            </w:r>
            <w:r w:rsidRPr="00802DF6">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0625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87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Bulgaria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VI</w:t>
            </w:r>
            <w:r w:rsidRPr="00802DF6">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2</w:t>
            </w:r>
          </w:p>
        </w:tc>
        <w:tc>
          <w:tcPr>
            <w:tcW w:w="1740" w:type="dxa"/>
            <w:tcBorders>
              <w:top w:val="nil"/>
              <w:left w:val="nil"/>
              <w:bottom w:val="nil"/>
              <w:right w:val="nil"/>
            </w:tcBorders>
            <w:shd w:val="clear" w:color="auto" w:fill="auto"/>
            <w:noWrap/>
            <w:vAlign w:val="bottom"/>
            <w:hideMark/>
          </w:tcPr>
          <w:p w:rsidR="00E84719" w:rsidRPr="00802DF6" w:rsidRDefault="00E84719" w:rsidP="00AD62D9">
            <w:pPr>
              <w:rPr>
                <w:rFonts w:eastAsia="Times New Roman"/>
                <w:sz w:val="20"/>
                <w:lang w:eastAsia="en-US"/>
              </w:rPr>
            </w:pPr>
            <w:r w:rsidRPr="00802DF6">
              <w:rPr>
                <w:rFonts w:eastAsia="Times New Roman"/>
                <w:sz w:val="20"/>
                <w:lang w:eastAsia="en-US"/>
              </w:rPr>
              <w:t xml:space="preserve">                  2</w:t>
            </w:r>
            <w:r w:rsidR="00AD62D9" w:rsidRPr="00802DF6">
              <w:rPr>
                <w:rFonts w:eastAsia="Times New Roman"/>
                <w:sz w:val="20"/>
                <w:lang w:eastAsia="en-US"/>
              </w:rPr>
              <w:t>.</w:t>
            </w:r>
            <w:r w:rsidRPr="00802DF6">
              <w:rPr>
                <w:rFonts w:eastAsia="Times New Roman"/>
                <w:sz w:val="20"/>
                <w:lang w:eastAsia="en-US"/>
              </w:rPr>
              <w:t xml:space="preserve">774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Burkina Faso</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S</w:t>
            </w:r>
            <w:r w:rsidRPr="00802DF6">
              <w:rPr>
                <w:rFonts w:eastAsia="Times New Roman"/>
                <w:i/>
                <w:iCs/>
                <w:sz w:val="18"/>
                <w:szCs w:val="18"/>
                <w:lang w:eastAsia="en-US"/>
              </w:rPr>
              <w:t>ter</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03125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43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 xml:space="preserve">Congo </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S</w:t>
            </w:r>
            <w:r w:rsidRPr="00802DF6">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0625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87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Costa Rica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125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173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Cuba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125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173 </w:t>
            </w:r>
          </w:p>
        </w:tc>
      </w:tr>
      <w:tr w:rsidR="001130CB" w:rsidRPr="00802DF6" w:rsidTr="001130CB">
        <w:trPr>
          <w:trHeight w:val="255"/>
          <w:jc w:val="center"/>
        </w:trPr>
        <w:tc>
          <w:tcPr>
            <w:tcW w:w="2620" w:type="dxa"/>
            <w:tcBorders>
              <w:top w:val="nil"/>
              <w:left w:val="nil"/>
              <w:bottom w:val="nil"/>
              <w:right w:val="nil"/>
            </w:tcBorders>
            <w:shd w:val="clear" w:color="auto" w:fill="auto"/>
            <w:vAlign w:val="center"/>
            <w:hideMark/>
          </w:tcPr>
          <w:p w:rsidR="001130CB" w:rsidRPr="00802DF6" w:rsidRDefault="001130CB" w:rsidP="00370E9E">
            <w:pPr>
              <w:rPr>
                <w:rFonts w:eastAsia="Times New Roman"/>
                <w:sz w:val="18"/>
                <w:szCs w:val="18"/>
                <w:lang w:eastAsia="en-US"/>
              </w:rPr>
            </w:pPr>
            <w:r w:rsidRPr="00802DF6">
              <w:rPr>
                <w:rFonts w:eastAsia="Times New Roman"/>
                <w:sz w:val="18"/>
                <w:szCs w:val="18"/>
                <w:lang w:eastAsia="en-US"/>
              </w:rPr>
              <w:t>Eslovaquia</w:t>
            </w:r>
          </w:p>
        </w:tc>
        <w:tc>
          <w:tcPr>
            <w:tcW w:w="1820" w:type="dxa"/>
            <w:tcBorders>
              <w:top w:val="nil"/>
              <w:left w:val="nil"/>
              <w:bottom w:val="nil"/>
              <w:right w:val="nil"/>
            </w:tcBorders>
            <w:shd w:val="clear" w:color="auto" w:fill="auto"/>
            <w:vAlign w:val="center"/>
            <w:hideMark/>
          </w:tcPr>
          <w:p w:rsidR="001130CB" w:rsidRPr="00802DF6" w:rsidRDefault="001130CB" w:rsidP="00370E9E">
            <w:pPr>
              <w:jc w:val="center"/>
              <w:rPr>
                <w:rFonts w:eastAsia="Times New Roman"/>
                <w:sz w:val="18"/>
                <w:szCs w:val="18"/>
                <w:lang w:eastAsia="en-US"/>
              </w:rPr>
            </w:pPr>
            <w:r w:rsidRPr="00802DF6">
              <w:rPr>
                <w:rFonts w:eastAsia="Times New Roman"/>
                <w:sz w:val="18"/>
                <w:szCs w:val="18"/>
                <w:lang w:eastAsia="en-US"/>
              </w:rPr>
              <w:t>VI</w:t>
            </w:r>
          </w:p>
        </w:tc>
        <w:tc>
          <w:tcPr>
            <w:tcW w:w="1525" w:type="dxa"/>
            <w:gridSpan w:val="2"/>
            <w:tcBorders>
              <w:top w:val="nil"/>
              <w:left w:val="nil"/>
              <w:bottom w:val="nil"/>
              <w:right w:val="nil"/>
            </w:tcBorders>
            <w:shd w:val="clear" w:color="auto" w:fill="auto"/>
            <w:noWrap/>
            <w:vAlign w:val="bottom"/>
            <w:hideMark/>
          </w:tcPr>
          <w:p w:rsidR="001130CB" w:rsidRPr="00802DF6" w:rsidRDefault="001130CB" w:rsidP="00370E9E">
            <w:pPr>
              <w:jc w:val="right"/>
              <w:rPr>
                <w:rFonts w:eastAsia="Times New Roman"/>
                <w:sz w:val="20"/>
                <w:lang w:eastAsia="en-US"/>
              </w:rPr>
            </w:pPr>
            <w:r w:rsidRPr="00802DF6">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1130CB" w:rsidRPr="00802DF6" w:rsidRDefault="001130CB" w:rsidP="00370E9E">
            <w:pPr>
              <w:rPr>
                <w:rFonts w:eastAsia="Times New Roman"/>
                <w:sz w:val="20"/>
                <w:lang w:eastAsia="en-US"/>
              </w:rPr>
            </w:pPr>
            <w:r w:rsidRPr="00802DF6">
              <w:rPr>
                <w:rFonts w:eastAsia="Times New Roman"/>
                <w:sz w:val="20"/>
                <w:lang w:eastAsia="en-US"/>
              </w:rPr>
              <w:t xml:space="preserve">                  4.161 </w:t>
            </w:r>
          </w:p>
        </w:tc>
      </w:tr>
      <w:tr w:rsidR="001130CB" w:rsidRPr="00802DF6" w:rsidTr="001130CB">
        <w:trPr>
          <w:trHeight w:val="255"/>
          <w:jc w:val="center"/>
        </w:trPr>
        <w:tc>
          <w:tcPr>
            <w:tcW w:w="2620" w:type="dxa"/>
            <w:tcBorders>
              <w:top w:val="nil"/>
              <w:left w:val="nil"/>
              <w:bottom w:val="nil"/>
              <w:right w:val="nil"/>
            </w:tcBorders>
            <w:shd w:val="clear" w:color="auto" w:fill="auto"/>
            <w:vAlign w:val="center"/>
            <w:hideMark/>
          </w:tcPr>
          <w:p w:rsidR="001130CB" w:rsidRPr="00802DF6" w:rsidRDefault="001130CB" w:rsidP="00196B98">
            <w:pPr>
              <w:ind w:left="129" w:hanging="129"/>
              <w:rPr>
                <w:rFonts w:eastAsia="Times New Roman"/>
                <w:sz w:val="18"/>
                <w:szCs w:val="18"/>
                <w:lang w:eastAsia="en-US"/>
              </w:rPr>
            </w:pPr>
            <w:r w:rsidRPr="00802DF6">
              <w:rPr>
                <w:rFonts w:eastAsia="Times New Roman"/>
                <w:sz w:val="18"/>
                <w:szCs w:val="18"/>
                <w:lang w:eastAsia="en-US"/>
              </w:rPr>
              <w:t xml:space="preserve">ex República Yugoslava de Macedonia </w:t>
            </w:r>
          </w:p>
        </w:tc>
        <w:tc>
          <w:tcPr>
            <w:tcW w:w="1820" w:type="dxa"/>
            <w:tcBorders>
              <w:top w:val="nil"/>
              <w:left w:val="nil"/>
              <w:bottom w:val="nil"/>
              <w:right w:val="nil"/>
            </w:tcBorders>
            <w:shd w:val="clear" w:color="auto" w:fill="auto"/>
            <w:vAlign w:val="center"/>
            <w:hideMark/>
          </w:tcPr>
          <w:p w:rsidR="001130CB" w:rsidRPr="00802DF6" w:rsidRDefault="001130CB" w:rsidP="00370E9E">
            <w:pPr>
              <w:jc w:val="center"/>
              <w:rPr>
                <w:rFonts w:eastAsia="Times New Roman"/>
                <w:sz w:val="18"/>
                <w:szCs w:val="18"/>
                <w:lang w:eastAsia="en-US"/>
              </w:rPr>
            </w:pPr>
            <w:r w:rsidRPr="00802DF6">
              <w:rPr>
                <w:rFonts w:eastAsia="Times New Roman"/>
                <w:sz w:val="18"/>
                <w:szCs w:val="18"/>
                <w:lang w:eastAsia="en-US"/>
              </w:rPr>
              <w:t>VIII</w:t>
            </w:r>
          </w:p>
        </w:tc>
        <w:tc>
          <w:tcPr>
            <w:tcW w:w="1525" w:type="dxa"/>
            <w:gridSpan w:val="2"/>
            <w:tcBorders>
              <w:top w:val="nil"/>
              <w:left w:val="nil"/>
              <w:bottom w:val="nil"/>
              <w:right w:val="nil"/>
            </w:tcBorders>
            <w:shd w:val="clear" w:color="auto" w:fill="auto"/>
            <w:noWrap/>
            <w:vAlign w:val="bottom"/>
            <w:hideMark/>
          </w:tcPr>
          <w:p w:rsidR="001130CB" w:rsidRPr="00802DF6" w:rsidRDefault="001130CB" w:rsidP="00370E9E">
            <w:pPr>
              <w:jc w:val="right"/>
              <w:rPr>
                <w:rFonts w:eastAsia="Times New Roman"/>
                <w:sz w:val="20"/>
                <w:lang w:eastAsia="en-US"/>
              </w:rPr>
            </w:pPr>
            <w:r w:rsidRPr="00802DF6">
              <w:rPr>
                <w:rFonts w:eastAsia="Times New Roman"/>
                <w:sz w:val="20"/>
                <w:lang w:eastAsia="en-US"/>
              </w:rPr>
              <w:t>0.5</w:t>
            </w:r>
          </w:p>
        </w:tc>
        <w:tc>
          <w:tcPr>
            <w:tcW w:w="1740" w:type="dxa"/>
            <w:tcBorders>
              <w:top w:val="nil"/>
              <w:left w:val="nil"/>
              <w:bottom w:val="nil"/>
              <w:right w:val="nil"/>
            </w:tcBorders>
            <w:shd w:val="clear" w:color="auto" w:fill="auto"/>
            <w:noWrap/>
            <w:vAlign w:val="bottom"/>
            <w:hideMark/>
          </w:tcPr>
          <w:p w:rsidR="001130CB" w:rsidRPr="00802DF6" w:rsidRDefault="001130CB" w:rsidP="00370E9E">
            <w:pPr>
              <w:rPr>
                <w:rFonts w:eastAsia="Times New Roman"/>
                <w:sz w:val="20"/>
                <w:lang w:eastAsia="en-US"/>
              </w:rPr>
            </w:pPr>
            <w:r w:rsidRPr="00802DF6">
              <w:rPr>
                <w:rFonts w:eastAsia="Times New Roman"/>
                <w:sz w:val="20"/>
                <w:lang w:eastAsia="en-US"/>
              </w:rPr>
              <w:t xml:space="preserve">                     694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D1786B" w:rsidP="00D37EC5">
            <w:pPr>
              <w:rPr>
                <w:rFonts w:eastAsia="Times New Roman"/>
                <w:sz w:val="18"/>
                <w:szCs w:val="18"/>
                <w:lang w:eastAsia="en-US"/>
              </w:rPr>
            </w:pPr>
            <w:r w:rsidRPr="00802DF6">
              <w:rPr>
                <w:rFonts w:eastAsia="Times New Roman"/>
                <w:sz w:val="18"/>
                <w:szCs w:val="18"/>
                <w:lang w:eastAsia="en-US"/>
              </w:rPr>
              <w:t>Francia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I</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25</w:t>
            </w:r>
          </w:p>
        </w:tc>
        <w:tc>
          <w:tcPr>
            <w:tcW w:w="1740" w:type="dxa"/>
            <w:tcBorders>
              <w:top w:val="nil"/>
              <w:left w:val="nil"/>
              <w:bottom w:val="nil"/>
              <w:right w:val="nil"/>
            </w:tcBorders>
            <w:shd w:val="clear" w:color="auto" w:fill="auto"/>
            <w:noWrap/>
            <w:vAlign w:val="bottom"/>
            <w:hideMark/>
          </w:tcPr>
          <w:p w:rsidR="00E84719" w:rsidRPr="00802DF6" w:rsidRDefault="00E84719" w:rsidP="00AD62D9">
            <w:pPr>
              <w:rPr>
                <w:rFonts w:eastAsia="Times New Roman"/>
                <w:sz w:val="20"/>
                <w:lang w:eastAsia="en-US"/>
              </w:rPr>
            </w:pPr>
            <w:r w:rsidRPr="00802DF6">
              <w:rPr>
                <w:rFonts w:eastAsia="Times New Roman"/>
                <w:sz w:val="20"/>
                <w:lang w:eastAsia="en-US"/>
              </w:rPr>
              <w:t xml:space="preserve">                34</w:t>
            </w:r>
            <w:r w:rsidR="00AD62D9" w:rsidRPr="00802DF6">
              <w:rPr>
                <w:rFonts w:eastAsia="Times New Roman"/>
                <w:sz w:val="20"/>
                <w:lang w:eastAsia="en-US"/>
              </w:rPr>
              <w:t>.</w:t>
            </w:r>
            <w:r w:rsidRPr="00802DF6">
              <w:rPr>
                <w:rFonts w:eastAsia="Times New Roman"/>
                <w:sz w:val="20"/>
                <w:lang w:eastAsia="en-US"/>
              </w:rPr>
              <w:t xml:space="preserve">677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1786B">
            <w:pPr>
              <w:rPr>
                <w:rFonts w:eastAsia="Times New Roman"/>
                <w:sz w:val="18"/>
                <w:szCs w:val="18"/>
                <w:lang w:eastAsia="en-US"/>
              </w:rPr>
            </w:pPr>
            <w:r w:rsidRPr="00802DF6">
              <w:rPr>
                <w:rFonts w:eastAsia="Times New Roman"/>
                <w:sz w:val="18"/>
                <w:szCs w:val="18"/>
                <w:lang w:eastAsia="en-US"/>
              </w:rPr>
              <w:t>Gab</w:t>
            </w:r>
            <w:r w:rsidR="00D1786B" w:rsidRPr="00802DF6">
              <w:rPr>
                <w:rFonts w:eastAsia="Times New Roman"/>
                <w:sz w:val="18"/>
                <w:szCs w:val="18"/>
                <w:lang w:eastAsia="en-US"/>
              </w:rPr>
              <w:t>ó</w:t>
            </w:r>
            <w:r w:rsidRPr="00802DF6">
              <w:rPr>
                <w:rFonts w:eastAsia="Times New Roman"/>
                <w:sz w:val="18"/>
                <w:szCs w:val="18"/>
                <w:lang w:eastAsia="en-US"/>
              </w:rPr>
              <w:t>n</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125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173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Georgia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IX</w:t>
            </w:r>
          </w:p>
        </w:tc>
        <w:tc>
          <w:tcPr>
            <w:tcW w:w="1525" w:type="dxa"/>
            <w:gridSpan w:val="2"/>
            <w:tcBorders>
              <w:top w:val="nil"/>
              <w:left w:val="nil"/>
              <w:bottom w:val="nil"/>
              <w:right w:val="nil"/>
            </w:tcBorders>
            <w:shd w:val="clear" w:color="auto" w:fill="auto"/>
            <w:vAlign w:val="center"/>
            <w:hideMark/>
          </w:tcPr>
          <w:p w:rsidR="00E84719" w:rsidRPr="00802DF6" w:rsidRDefault="00E84719" w:rsidP="00AD62D9">
            <w:pPr>
              <w:jc w:val="right"/>
              <w:rPr>
                <w:rFonts w:eastAsia="Times New Roman"/>
                <w:sz w:val="18"/>
                <w:szCs w:val="18"/>
                <w:lang w:eastAsia="en-US"/>
              </w:rPr>
            </w:pPr>
            <w:r w:rsidRPr="00802DF6">
              <w:rPr>
                <w:rFonts w:eastAsia="Times New Roman"/>
                <w:sz w:val="18"/>
                <w:szCs w:val="18"/>
                <w:lang w:eastAsia="en-US"/>
              </w:rPr>
              <w:t>0</w:t>
            </w:r>
            <w:r w:rsidR="00AD62D9" w:rsidRPr="00802DF6">
              <w:rPr>
                <w:rFonts w:eastAsia="Times New Roman"/>
                <w:sz w:val="18"/>
                <w:szCs w:val="18"/>
                <w:lang w:eastAsia="en-US"/>
              </w:rPr>
              <w:t>,</w:t>
            </w:r>
            <w:r w:rsidRPr="00802DF6">
              <w:rPr>
                <w:rFonts w:eastAsia="Times New Roman"/>
                <w:sz w:val="18"/>
                <w:szCs w:val="18"/>
                <w:lang w:eastAsia="en-US"/>
              </w:rPr>
              <w:t>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347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D1786B" w:rsidP="00D37EC5">
            <w:pPr>
              <w:rPr>
                <w:rFonts w:eastAsia="Times New Roman"/>
                <w:sz w:val="18"/>
                <w:szCs w:val="18"/>
                <w:lang w:eastAsia="en-US"/>
              </w:rPr>
            </w:pPr>
            <w:r w:rsidRPr="00802DF6">
              <w:rPr>
                <w:rFonts w:eastAsia="Times New Roman"/>
                <w:sz w:val="18"/>
                <w:szCs w:val="18"/>
                <w:lang w:eastAsia="en-US"/>
              </w:rPr>
              <w:t>Haití</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S</w:t>
            </w:r>
            <w:r w:rsidRPr="00802DF6">
              <w:rPr>
                <w:rFonts w:eastAsia="Times New Roman"/>
                <w:i/>
                <w:iCs/>
                <w:sz w:val="18"/>
                <w:szCs w:val="18"/>
                <w:lang w:eastAsia="en-US"/>
              </w:rPr>
              <w:t>ter</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03125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43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D1786B" w:rsidP="00D37EC5">
            <w:pPr>
              <w:rPr>
                <w:rFonts w:eastAsia="Times New Roman"/>
                <w:sz w:val="18"/>
                <w:szCs w:val="18"/>
                <w:lang w:eastAsia="en-US"/>
              </w:rPr>
            </w:pPr>
            <w:r w:rsidRPr="00802DF6">
              <w:rPr>
                <w:rFonts w:eastAsia="Times New Roman"/>
                <w:sz w:val="18"/>
                <w:szCs w:val="18"/>
                <w:lang w:eastAsia="en-US"/>
              </w:rPr>
              <w:t>Hungría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VI</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E84719" w:rsidRPr="00802DF6" w:rsidRDefault="00E84719" w:rsidP="00AD62D9">
            <w:pPr>
              <w:rPr>
                <w:rFonts w:eastAsia="Times New Roman"/>
                <w:sz w:val="20"/>
                <w:lang w:eastAsia="en-US"/>
              </w:rPr>
            </w:pPr>
            <w:r w:rsidRPr="00802DF6">
              <w:rPr>
                <w:rFonts w:eastAsia="Times New Roman"/>
                <w:sz w:val="20"/>
                <w:lang w:eastAsia="en-US"/>
              </w:rPr>
              <w:t xml:space="preserve">                  4</w:t>
            </w:r>
            <w:r w:rsidR="00AD62D9" w:rsidRPr="00802DF6">
              <w:rPr>
                <w:rFonts w:eastAsia="Times New Roman"/>
                <w:sz w:val="20"/>
                <w:lang w:eastAsia="en-US"/>
              </w:rPr>
              <w:t>.</w:t>
            </w:r>
            <w:r w:rsidRPr="00802DF6">
              <w:rPr>
                <w:rFonts w:eastAsia="Times New Roman"/>
                <w:sz w:val="20"/>
                <w:lang w:eastAsia="en-US"/>
              </w:rPr>
              <w:t xml:space="preserve">161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1786B">
            <w:pPr>
              <w:rPr>
                <w:rFonts w:eastAsia="Times New Roman"/>
                <w:sz w:val="18"/>
                <w:szCs w:val="18"/>
                <w:lang w:eastAsia="en-US"/>
              </w:rPr>
            </w:pPr>
            <w:r w:rsidRPr="00802DF6">
              <w:rPr>
                <w:rFonts w:eastAsia="Times New Roman"/>
                <w:sz w:val="18"/>
                <w:szCs w:val="18"/>
                <w:lang w:eastAsia="en-US"/>
              </w:rPr>
              <w:t>Ir</w:t>
            </w:r>
            <w:r w:rsidR="00D1786B" w:rsidRPr="00802DF6">
              <w:rPr>
                <w:rFonts w:eastAsia="Times New Roman"/>
                <w:sz w:val="18"/>
                <w:szCs w:val="18"/>
                <w:lang w:eastAsia="en-US"/>
              </w:rPr>
              <w:t>á</w:t>
            </w:r>
            <w:r w:rsidRPr="00802DF6">
              <w:rPr>
                <w:rFonts w:eastAsia="Times New Roman"/>
                <w:sz w:val="18"/>
                <w:szCs w:val="18"/>
                <w:lang w:eastAsia="en-US"/>
              </w:rPr>
              <w:t>n (</w:t>
            </w:r>
            <w:r w:rsidR="00D1786B" w:rsidRPr="00802DF6">
              <w:rPr>
                <w:rFonts w:eastAsia="Times New Roman"/>
                <w:sz w:val="18"/>
                <w:szCs w:val="18"/>
                <w:lang w:eastAsia="en-US"/>
              </w:rPr>
              <w:t>República Islámica del</w:t>
            </w:r>
            <w:r w:rsidRPr="00802DF6">
              <w:rPr>
                <w:rFonts w:eastAsia="Times New Roman"/>
                <w:sz w:val="18"/>
                <w:szCs w:val="18"/>
                <w:lang w:eastAsia="en-US"/>
              </w:rPr>
              <w:t>)</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VII</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1</w:t>
            </w:r>
          </w:p>
        </w:tc>
        <w:tc>
          <w:tcPr>
            <w:tcW w:w="1740" w:type="dxa"/>
            <w:tcBorders>
              <w:top w:val="nil"/>
              <w:left w:val="nil"/>
              <w:bottom w:val="nil"/>
              <w:right w:val="nil"/>
            </w:tcBorders>
            <w:shd w:val="clear" w:color="auto" w:fill="auto"/>
            <w:noWrap/>
            <w:vAlign w:val="bottom"/>
            <w:hideMark/>
          </w:tcPr>
          <w:p w:rsidR="00E84719" w:rsidRPr="00802DF6" w:rsidRDefault="00E84719" w:rsidP="00AD62D9">
            <w:pPr>
              <w:rPr>
                <w:rFonts w:eastAsia="Times New Roman"/>
                <w:sz w:val="20"/>
                <w:lang w:eastAsia="en-US"/>
              </w:rPr>
            </w:pPr>
            <w:r w:rsidRPr="00802DF6">
              <w:rPr>
                <w:rFonts w:eastAsia="Times New Roman"/>
                <w:sz w:val="20"/>
                <w:lang w:eastAsia="en-US"/>
              </w:rPr>
              <w:t xml:space="preserve">                  1</w:t>
            </w:r>
            <w:r w:rsidR="00AD62D9" w:rsidRPr="00802DF6">
              <w:rPr>
                <w:rFonts w:eastAsia="Times New Roman"/>
                <w:sz w:val="20"/>
                <w:lang w:eastAsia="en-US"/>
              </w:rPr>
              <w:t>.</w:t>
            </w:r>
            <w:r w:rsidRPr="00802DF6">
              <w:rPr>
                <w:rFonts w:eastAsia="Times New Roman"/>
                <w:sz w:val="20"/>
                <w:lang w:eastAsia="en-US"/>
              </w:rPr>
              <w:t xml:space="preserve">387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Israel</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VI</w:t>
            </w:r>
            <w:r w:rsidRPr="00802DF6">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2</w:t>
            </w:r>
          </w:p>
        </w:tc>
        <w:tc>
          <w:tcPr>
            <w:tcW w:w="1740" w:type="dxa"/>
            <w:tcBorders>
              <w:top w:val="nil"/>
              <w:left w:val="nil"/>
              <w:bottom w:val="nil"/>
              <w:right w:val="nil"/>
            </w:tcBorders>
            <w:shd w:val="clear" w:color="auto" w:fill="auto"/>
            <w:noWrap/>
            <w:vAlign w:val="bottom"/>
            <w:hideMark/>
          </w:tcPr>
          <w:p w:rsidR="00E84719" w:rsidRPr="00802DF6" w:rsidRDefault="00E84719" w:rsidP="00AD62D9">
            <w:pPr>
              <w:rPr>
                <w:rFonts w:eastAsia="Times New Roman"/>
                <w:sz w:val="20"/>
                <w:lang w:eastAsia="en-US"/>
              </w:rPr>
            </w:pPr>
            <w:r w:rsidRPr="00802DF6">
              <w:rPr>
                <w:rFonts w:eastAsia="Times New Roman"/>
                <w:sz w:val="20"/>
                <w:lang w:eastAsia="en-US"/>
              </w:rPr>
              <w:t xml:space="preserve">                  2</w:t>
            </w:r>
            <w:r w:rsidR="00AD62D9" w:rsidRPr="00802DF6">
              <w:rPr>
                <w:rFonts w:eastAsia="Times New Roman"/>
                <w:sz w:val="20"/>
                <w:lang w:eastAsia="en-US"/>
              </w:rPr>
              <w:t>.</w:t>
            </w:r>
            <w:r w:rsidRPr="00802DF6">
              <w:rPr>
                <w:rFonts w:eastAsia="Times New Roman"/>
                <w:sz w:val="20"/>
                <w:lang w:eastAsia="en-US"/>
              </w:rPr>
              <w:t xml:space="preserve">774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D1786B" w:rsidP="00D37EC5">
            <w:pPr>
              <w:rPr>
                <w:rFonts w:eastAsia="Times New Roman"/>
                <w:sz w:val="18"/>
                <w:szCs w:val="18"/>
                <w:lang w:eastAsia="en-US"/>
              </w:rPr>
            </w:pPr>
            <w:r w:rsidRPr="00802DF6">
              <w:rPr>
                <w:rFonts w:eastAsia="Times New Roman"/>
                <w:sz w:val="18"/>
                <w:szCs w:val="18"/>
                <w:lang w:eastAsia="en-US"/>
              </w:rPr>
              <w:t>Italia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III</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15</w:t>
            </w:r>
          </w:p>
        </w:tc>
        <w:tc>
          <w:tcPr>
            <w:tcW w:w="1740" w:type="dxa"/>
            <w:tcBorders>
              <w:top w:val="nil"/>
              <w:left w:val="nil"/>
              <w:bottom w:val="nil"/>
              <w:right w:val="nil"/>
            </w:tcBorders>
            <w:shd w:val="clear" w:color="auto" w:fill="auto"/>
            <w:noWrap/>
            <w:vAlign w:val="bottom"/>
            <w:hideMark/>
          </w:tcPr>
          <w:p w:rsidR="00E84719" w:rsidRPr="00802DF6" w:rsidRDefault="00E84719" w:rsidP="00AD62D9">
            <w:pPr>
              <w:rPr>
                <w:rFonts w:eastAsia="Times New Roman"/>
                <w:sz w:val="20"/>
                <w:lang w:eastAsia="en-US"/>
              </w:rPr>
            </w:pPr>
            <w:r w:rsidRPr="00802DF6">
              <w:rPr>
                <w:rFonts w:eastAsia="Times New Roman"/>
                <w:sz w:val="20"/>
                <w:lang w:eastAsia="en-US"/>
              </w:rPr>
              <w:t xml:space="preserve">                20</w:t>
            </w:r>
            <w:r w:rsidR="00AD62D9" w:rsidRPr="00802DF6">
              <w:rPr>
                <w:rFonts w:eastAsia="Times New Roman"/>
                <w:sz w:val="20"/>
                <w:lang w:eastAsia="en-US"/>
              </w:rPr>
              <w:t>.</w:t>
            </w:r>
            <w:r w:rsidRPr="00802DF6">
              <w:rPr>
                <w:rFonts w:eastAsia="Times New Roman"/>
                <w:sz w:val="20"/>
                <w:lang w:eastAsia="en-US"/>
              </w:rPr>
              <w:t xml:space="preserve">806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6A38BB" w:rsidP="00D37EC5">
            <w:pPr>
              <w:rPr>
                <w:rFonts w:eastAsia="Times New Roman"/>
                <w:sz w:val="18"/>
                <w:szCs w:val="18"/>
                <w:lang w:eastAsia="en-US"/>
              </w:rPr>
            </w:pPr>
            <w:r w:rsidRPr="00802DF6">
              <w:rPr>
                <w:rFonts w:eastAsia="Times New Roman"/>
                <w:sz w:val="18"/>
                <w:szCs w:val="18"/>
                <w:lang w:eastAsia="en-US"/>
              </w:rPr>
              <w:t>México</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IV</w:t>
            </w:r>
            <w:r w:rsidRPr="00802DF6">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7</w:t>
            </w:r>
            <w:r w:rsidR="00AD62D9" w:rsidRPr="00802DF6">
              <w:rPr>
                <w:rFonts w:eastAsia="Times New Roman"/>
                <w:sz w:val="20"/>
                <w:lang w:eastAsia="en-US"/>
              </w:rPr>
              <w:t>,</w:t>
            </w:r>
            <w:r w:rsidRPr="00802DF6">
              <w:rPr>
                <w:rFonts w:eastAsia="Times New Roman"/>
                <w:sz w:val="20"/>
                <w:lang w:eastAsia="en-US"/>
              </w:rPr>
              <w:t>5</w:t>
            </w:r>
          </w:p>
        </w:tc>
        <w:tc>
          <w:tcPr>
            <w:tcW w:w="1740" w:type="dxa"/>
            <w:tcBorders>
              <w:top w:val="nil"/>
              <w:left w:val="nil"/>
              <w:bottom w:val="nil"/>
              <w:right w:val="nil"/>
            </w:tcBorders>
            <w:shd w:val="clear" w:color="auto" w:fill="auto"/>
            <w:noWrap/>
            <w:vAlign w:val="bottom"/>
            <w:hideMark/>
          </w:tcPr>
          <w:p w:rsidR="00E84719" w:rsidRPr="00802DF6" w:rsidRDefault="00E84719" w:rsidP="00AD62D9">
            <w:pPr>
              <w:rPr>
                <w:rFonts w:eastAsia="Times New Roman"/>
                <w:sz w:val="20"/>
                <w:lang w:eastAsia="en-US"/>
              </w:rPr>
            </w:pPr>
            <w:r w:rsidRPr="00802DF6">
              <w:rPr>
                <w:rFonts w:eastAsia="Times New Roman"/>
                <w:sz w:val="20"/>
                <w:lang w:eastAsia="en-US"/>
              </w:rPr>
              <w:t xml:space="preserve">                10</w:t>
            </w:r>
            <w:r w:rsidR="00AD62D9" w:rsidRPr="00802DF6">
              <w:rPr>
                <w:rFonts w:eastAsia="Times New Roman"/>
                <w:sz w:val="20"/>
                <w:lang w:eastAsia="en-US"/>
              </w:rPr>
              <w:t>.</w:t>
            </w:r>
            <w:r w:rsidRPr="00802DF6">
              <w:rPr>
                <w:rFonts w:eastAsia="Times New Roman"/>
                <w:sz w:val="20"/>
                <w:lang w:eastAsia="en-US"/>
              </w:rPr>
              <w:t xml:space="preserve">403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Montenegro</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IX</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347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Nicaragua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S</w:t>
            </w:r>
            <w:r w:rsidRPr="00802DF6">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0625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87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6A38BB">
            <w:pPr>
              <w:rPr>
                <w:rFonts w:eastAsia="Times New Roman"/>
                <w:sz w:val="18"/>
                <w:szCs w:val="18"/>
                <w:lang w:eastAsia="en-US"/>
              </w:rPr>
            </w:pPr>
            <w:r w:rsidRPr="00802DF6">
              <w:rPr>
                <w:rFonts w:eastAsia="Times New Roman"/>
                <w:sz w:val="18"/>
                <w:szCs w:val="18"/>
                <w:lang w:eastAsia="en-US"/>
              </w:rPr>
              <w:t>Per</w:t>
            </w:r>
            <w:r w:rsidR="006A38BB" w:rsidRPr="00802DF6">
              <w:rPr>
                <w:rFonts w:eastAsia="Times New Roman"/>
                <w:sz w:val="18"/>
                <w:szCs w:val="18"/>
                <w:lang w:eastAsia="en-US"/>
              </w:rPr>
              <w:t>ú</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IX</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347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Portugal</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IV</w:t>
            </w:r>
            <w:r w:rsidRPr="00802DF6">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7</w:t>
            </w:r>
            <w:r w:rsidR="00AD62D9" w:rsidRPr="00802DF6">
              <w:rPr>
                <w:rFonts w:eastAsia="Times New Roman"/>
                <w:sz w:val="20"/>
                <w:lang w:eastAsia="en-US"/>
              </w:rPr>
              <w:t>,</w:t>
            </w:r>
            <w:r w:rsidRPr="00802DF6">
              <w:rPr>
                <w:rFonts w:eastAsia="Times New Roman"/>
                <w:sz w:val="20"/>
                <w:lang w:eastAsia="en-US"/>
              </w:rPr>
              <w:t>5</w:t>
            </w:r>
          </w:p>
        </w:tc>
        <w:tc>
          <w:tcPr>
            <w:tcW w:w="1740" w:type="dxa"/>
            <w:tcBorders>
              <w:top w:val="nil"/>
              <w:left w:val="nil"/>
              <w:bottom w:val="nil"/>
              <w:right w:val="nil"/>
            </w:tcBorders>
            <w:shd w:val="clear" w:color="auto" w:fill="auto"/>
            <w:noWrap/>
            <w:vAlign w:val="bottom"/>
            <w:hideMark/>
          </w:tcPr>
          <w:p w:rsidR="00E84719" w:rsidRPr="00802DF6" w:rsidRDefault="00E84719" w:rsidP="00AD62D9">
            <w:pPr>
              <w:rPr>
                <w:rFonts w:eastAsia="Times New Roman"/>
                <w:sz w:val="20"/>
                <w:lang w:eastAsia="en-US"/>
              </w:rPr>
            </w:pPr>
            <w:r w:rsidRPr="00802DF6">
              <w:rPr>
                <w:rFonts w:eastAsia="Times New Roman"/>
                <w:sz w:val="20"/>
                <w:lang w:eastAsia="en-US"/>
              </w:rPr>
              <w:t xml:space="preserve">                10</w:t>
            </w:r>
            <w:r w:rsidR="00AD62D9" w:rsidRPr="00802DF6">
              <w:rPr>
                <w:rFonts w:eastAsia="Times New Roman"/>
                <w:sz w:val="20"/>
                <w:lang w:eastAsia="en-US"/>
              </w:rPr>
              <w:t>.</w:t>
            </w:r>
            <w:r w:rsidRPr="00802DF6">
              <w:rPr>
                <w:rFonts w:eastAsia="Times New Roman"/>
                <w:sz w:val="20"/>
                <w:lang w:eastAsia="en-US"/>
              </w:rPr>
              <w:t xml:space="preserve">403 </w:t>
            </w:r>
          </w:p>
        </w:tc>
      </w:tr>
      <w:tr w:rsidR="001130CB" w:rsidRPr="00802DF6" w:rsidTr="001130CB">
        <w:trPr>
          <w:trHeight w:val="255"/>
          <w:jc w:val="center"/>
        </w:trPr>
        <w:tc>
          <w:tcPr>
            <w:tcW w:w="2620" w:type="dxa"/>
            <w:tcBorders>
              <w:top w:val="nil"/>
              <w:left w:val="nil"/>
              <w:bottom w:val="nil"/>
              <w:right w:val="nil"/>
            </w:tcBorders>
            <w:shd w:val="clear" w:color="auto" w:fill="auto"/>
            <w:vAlign w:val="center"/>
            <w:hideMark/>
          </w:tcPr>
          <w:p w:rsidR="001130CB" w:rsidRPr="00802DF6" w:rsidRDefault="001130CB" w:rsidP="00370E9E">
            <w:pPr>
              <w:rPr>
                <w:rFonts w:eastAsia="Times New Roman"/>
                <w:sz w:val="18"/>
                <w:szCs w:val="18"/>
                <w:lang w:eastAsia="en-US"/>
              </w:rPr>
            </w:pPr>
            <w:r w:rsidRPr="00802DF6">
              <w:rPr>
                <w:rFonts w:eastAsia="Times New Roman"/>
                <w:sz w:val="18"/>
                <w:szCs w:val="18"/>
                <w:lang w:eastAsia="en-US"/>
              </w:rPr>
              <w:t xml:space="preserve">República Checa </w:t>
            </w:r>
          </w:p>
        </w:tc>
        <w:tc>
          <w:tcPr>
            <w:tcW w:w="1820" w:type="dxa"/>
            <w:tcBorders>
              <w:top w:val="nil"/>
              <w:left w:val="nil"/>
              <w:bottom w:val="nil"/>
              <w:right w:val="nil"/>
            </w:tcBorders>
            <w:shd w:val="clear" w:color="auto" w:fill="auto"/>
            <w:vAlign w:val="center"/>
            <w:hideMark/>
          </w:tcPr>
          <w:p w:rsidR="001130CB" w:rsidRPr="00802DF6" w:rsidRDefault="001130CB" w:rsidP="00370E9E">
            <w:pPr>
              <w:jc w:val="center"/>
              <w:rPr>
                <w:rFonts w:eastAsia="Times New Roman"/>
                <w:sz w:val="18"/>
                <w:szCs w:val="18"/>
                <w:lang w:eastAsia="en-US"/>
              </w:rPr>
            </w:pPr>
            <w:r w:rsidRPr="00802DF6">
              <w:rPr>
                <w:rFonts w:eastAsia="Times New Roman"/>
                <w:sz w:val="18"/>
                <w:szCs w:val="18"/>
                <w:lang w:eastAsia="en-US"/>
              </w:rPr>
              <w:t>VI</w:t>
            </w:r>
          </w:p>
        </w:tc>
        <w:tc>
          <w:tcPr>
            <w:tcW w:w="1525" w:type="dxa"/>
            <w:gridSpan w:val="2"/>
            <w:tcBorders>
              <w:top w:val="nil"/>
              <w:left w:val="nil"/>
              <w:bottom w:val="nil"/>
              <w:right w:val="nil"/>
            </w:tcBorders>
            <w:shd w:val="clear" w:color="auto" w:fill="auto"/>
            <w:noWrap/>
            <w:vAlign w:val="bottom"/>
            <w:hideMark/>
          </w:tcPr>
          <w:p w:rsidR="001130CB" w:rsidRPr="00802DF6" w:rsidRDefault="001130CB" w:rsidP="00370E9E">
            <w:pPr>
              <w:jc w:val="right"/>
              <w:rPr>
                <w:rFonts w:eastAsia="Times New Roman"/>
                <w:sz w:val="20"/>
                <w:lang w:eastAsia="en-US"/>
              </w:rPr>
            </w:pPr>
            <w:r w:rsidRPr="00802DF6">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1130CB" w:rsidRPr="00802DF6" w:rsidRDefault="001130CB" w:rsidP="00370E9E">
            <w:pPr>
              <w:rPr>
                <w:rFonts w:eastAsia="Times New Roman"/>
                <w:sz w:val="20"/>
                <w:lang w:eastAsia="en-US"/>
              </w:rPr>
            </w:pPr>
            <w:r w:rsidRPr="00802DF6">
              <w:rPr>
                <w:rFonts w:eastAsia="Times New Roman"/>
                <w:sz w:val="20"/>
                <w:lang w:eastAsia="en-US"/>
              </w:rPr>
              <w:t xml:space="preserve">                  4.161 </w:t>
            </w:r>
          </w:p>
        </w:tc>
      </w:tr>
      <w:tr w:rsidR="001130CB" w:rsidRPr="00802DF6" w:rsidTr="001130CB">
        <w:trPr>
          <w:trHeight w:val="255"/>
          <w:jc w:val="center"/>
        </w:trPr>
        <w:tc>
          <w:tcPr>
            <w:tcW w:w="2620" w:type="dxa"/>
            <w:tcBorders>
              <w:top w:val="nil"/>
              <w:left w:val="nil"/>
              <w:bottom w:val="nil"/>
              <w:right w:val="nil"/>
            </w:tcBorders>
            <w:shd w:val="clear" w:color="auto" w:fill="auto"/>
            <w:vAlign w:val="center"/>
            <w:hideMark/>
          </w:tcPr>
          <w:p w:rsidR="001130CB" w:rsidRPr="00802DF6" w:rsidRDefault="001130CB" w:rsidP="00370E9E">
            <w:pPr>
              <w:rPr>
                <w:rFonts w:eastAsia="Times New Roman"/>
                <w:sz w:val="18"/>
                <w:szCs w:val="18"/>
                <w:lang w:eastAsia="en-US"/>
              </w:rPr>
            </w:pPr>
            <w:r w:rsidRPr="00802DF6">
              <w:rPr>
                <w:rFonts w:eastAsia="Times New Roman"/>
                <w:sz w:val="18"/>
                <w:szCs w:val="18"/>
                <w:lang w:eastAsia="en-US"/>
              </w:rPr>
              <w:t xml:space="preserve">República de Moldova </w:t>
            </w:r>
          </w:p>
        </w:tc>
        <w:tc>
          <w:tcPr>
            <w:tcW w:w="1820" w:type="dxa"/>
            <w:tcBorders>
              <w:top w:val="nil"/>
              <w:left w:val="nil"/>
              <w:bottom w:val="nil"/>
              <w:right w:val="nil"/>
            </w:tcBorders>
            <w:shd w:val="clear" w:color="auto" w:fill="auto"/>
            <w:vAlign w:val="center"/>
            <w:hideMark/>
          </w:tcPr>
          <w:p w:rsidR="001130CB" w:rsidRPr="00802DF6" w:rsidRDefault="001130CB" w:rsidP="00370E9E">
            <w:pPr>
              <w:jc w:val="center"/>
              <w:rPr>
                <w:rFonts w:eastAsia="Times New Roman"/>
                <w:sz w:val="18"/>
                <w:szCs w:val="18"/>
                <w:lang w:eastAsia="en-US"/>
              </w:rPr>
            </w:pPr>
            <w:r w:rsidRPr="00802DF6">
              <w:rPr>
                <w:rFonts w:eastAsia="Times New Roman"/>
                <w:sz w:val="18"/>
                <w:szCs w:val="18"/>
                <w:lang w:eastAsia="en-US"/>
              </w:rPr>
              <w:t>IX</w:t>
            </w:r>
          </w:p>
        </w:tc>
        <w:tc>
          <w:tcPr>
            <w:tcW w:w="1525" w:type="dxa"/>
            <w:gridSpan w:val="2"/>
            <w:tcBorders>
              <w:top w:val="nil"/>
              <w:left w:val="nil"/>
              <w:bottom w:val="nil"/>
              <w:right w:val="nil"/>
            </w:tcBorders>
            <w:shd w:val="clear" w:color="auto" w:fill="auto"/>
            <w:noWrap/>
            <w:vAlign w:val="bottom"/>
            <w:hideMark/>
          </w:tcPr>
          <w:p w:rsidR="001130CB" w:rsidRPr="00802DF6" w:rsidRDefault="001130CB" w:rsidP="00370E9E">
            <w:pPr>
              <w:jc w:val="right"/>
              <w:rPr>
                <w:rFonts w:eastAsia="Times New Roman"/>
                <w:sz w:val="20"/>
                <w:lang w:eastAsia="en-US"/>
              </w:rPr>
            </w:pPr>
            <w:r w:rsidRPr="00802DF6">
              <w:rPr>
                <w:rFonts w:eastAsia="Times New Roman"/>
                <w:sz w:val="20"/>
                <w:lang w:eastAsia="en-US"/>
              </w:rPr>
              <w:t>0,25</w:t>
            </w:r>
          </w:p>
        </w:tc>
        <w:tc>
          <w:tcPr>
            <w:tcW w:w="1740" w:type="dxa"/>
            <w:tcBorders>
              <w:top w:val="nil"/>
              <w:left w:val="nil"/>
              <w:bottom w:val="nil"/>
              <w:right w:val="nil"/>
            </w:tcBorders>
            <w:shd w:val="clear" w:color="auto" w:fill="auto"/>
            <w:noWrap/>
            <w:vAlign w:val="bottom"/>
            <w:hideMark/>
          </w:tcPr>
          <w:p w:rsidR="001130CB" w:rsidRPr="00802DF6" w:rsidRDefault="001130CB" w:rsidP="00370E9E">
            <w:pPr>
              <w:rPr>
                <w:rFonts w:eastAsia="Times New Roman"/>
                <w:sz w:val="20"/>
                <w:lang w:eastAsia="en-US"/>
              </w:rPr>
            </w:pPr>
            <w:r w:rsidRPr="00802DF6">
              <w:rPr>
                <w:rFonts w:eastAsia="Times New Roman"/>
                <w:sz w:val="20"/>
                <w:lang w:eastAsia="en-US"/>
              </w:rPr>
              <w:t xml:space="preserve">                     347 </w:t>
            </w:r>
          </w:p>
        </w:tc>
      </w:tr>
      <w:tr w:rsidR="001130CB" w:rsidRPr="00802DF6" w:rsidTr="001130CB">
        <w:trPr>
          <w:trHeight w:val="255"/>
          <w:jc w:val="center"/>
        </w:trPr>
        <w:tc>
          <w:tcPr>
            <w:tcW w:w="2620" w:type="dxa"/>
            <w:tcBorders>
              <w:top w:val="nil"/>
              <w:left w:val="nil"/>
              <w:bottom w:val="nil"/>
              <w:right w:val="nil"/>
            </w:tcBorders>
            <w:shd w:val="clear" w:color="auto" w:fill="auto"/>
            <w:vAlign w:val="center"/>
            <w:hideMark/>
          </w:tcPr>
          <w:p w:rsidR="001130CB" w:rsidRPr="00802DF6" w:rsidRDefault="001130CB" w:rsidP="00196B98">
            <w:pPr>
              <w:ind w:left="129" w:hanging="129"/>
              <w:rPr>
                <w:rFonts w:eastAsia="Times New Roman"/>
                <w:sz w:val="18"/>
                <w:szCs w:val="18"/>
                <w:lang w:eastAsia="en-US"/>
              </w:rPr>
            </w:pPr>
            <w:r w:rsidRPr="00802DF6">
              <w:rPr>
                <w:rFonts w:eastAsia="Times New Roman"/>
                <w:sz w:val="18"/>
                <w:szCs w:val="18"/>
                <w:lang w:eastAsia="en-US"/>
              </w:rPr>
              <w:t>República Popular Democrática de Corea</w:t>
            </w:r>
          </w:p>
        </w:tc>
        <w:tc>
          <w:tcPr>
            <w:tcW w:w="1820" w:type="dxa"/>
            <w:tcBorders>
              <w:top w:val="nil"/>
              <w:left w:val="nil"/>
              <w:bottom w:val="nil"/>
              <w:right w:val="nil"/>
            </w:tcBorders>
            <w:shd w:val="clear" w:color="auto" w:fill="auto"/>
            <w:vAlign w:val="center"/>
            <w:hideMark/>
          </w:tcPr>
          <w:p w:rsidR="001130CB" w:rsidRPr="00802DF6" w:rsidRDefault="001130CB" w:rsidP="00370E9E">
            <w:pPr>
              <w:jc w:val="center"/>
              <w:rPr>
                <w:rFonts w:eastAsia="Times New Roman"/>
                <w:sz w:val="18"/>
                <w:szCs w:val="18"/>
                <w:lang w:eastAsia="en-US"/>
              </w:rPr>
            </w:pPr>
            <w:r w:rsidRPr="00802DF6">
              <w:rPr>
                <w:rFonts w:eastAsia="Times New Roman"/>
                <w:sz w:val="18"/>
                <w:szCs w:val="18"/>
                <w:lang w:eastAsia="en-US"/>
              </w:rPr>
              <w:t>S</w:t>
            </w:r>
            <w:r w:rsidRPr="00802DF6">
              <w:rPr>
                <w:rFonts w:eastAsia="Times New Roman"/>
                <w:i/>
                <w:iCs/>
                <w:sz w:val="18"/>
                <w:szCs w:val="18"/>
                <w:lang w:eastAsia="en-US"/>
              </w:rPr>
              <w:t>bis</w:t>
            </w:r>
          </w:p>
        </w:tc>
        <w:tc>
          <w:tcPr>
            <w:tcW w:w="1525" w:type="dxa"/>
            <w:gridSpan w:val="2"/>
            <w:tcBorders>
              <w:top w:val="nil"/>
              <w:left w:val="nil"/>
              <w:bottom w:val="nil"/>
              <w:right w:val="nil"/>
            </w:tcBorders>
            <w:shd w:val="clear" w:color="auto" w:fill="auto"/>
            <w:noWrap/>
            <w:vAlign w:val="bottom"/>
            <w:hideMark/>
          </w:tcPr>
          <w:p w:rsidR="001130CB" w:rsidRPr="00802DF6" w:rsidRDefault="001130CB" w:rsidP="00370E9E">
            <w:pPr>
              <w:jc w:val="right"/>
              <w:rPr>
                <w:rFonts w:eastAsia="Times New Roman"/>
                <w:sz w:val="20"/>
                <w:lang w:eastAsia="en-US"/>
              </w:rPr>
            </w:pPr>
            <w:r w:rsidRPr="00802DF6">
              <w:rPr>
                <w:rFonts w:eastAsia="Times New Roman"/>
                <w:sz w:val="20"/>
                <w:lang w:eastAsia="en-US"/>
              </w:rPr>
              <w:t>0,0625</w:t>
            </w:r>
          </w:p>
        </w:tc>
        <w:tc>
          <w:tcPr>
            <w:tcW w:w="1740" w:type="dxa"/>
            <w:tcBorders>
              <w:top w:val="nil"/>
              <w:left w:val="nil"/>
              <w:bottom w:val="nil"/>
              <w:right w:val="nil"/>
            </w:tcBorders>
            <w:shd w:val="clear" w:color="auto" w:fill="auto"/>
            <w:noWrap/>
            <w:vAlign w:val="bottom"/>
            <w:hideMark/>
          </w:tcPr>
          <w:p w:rsidR="001130CB" w:rsidRPr="00802DF6" w:rsidRDefault="001130CB" w:rsidP="00370E9E">
            <w:pPr>
              <w:rPr>
                <w:rFonts w:eastAsia="Times New Roman"/>
                <w:sz w:val="20"/>
                <w:lang w:eastAsia="en-US"/>
              </w:rPr>
            </w:pPr>
            <w:r w:rsidRPr="00802DF6">
              <w:rPr>
                <w:rFonts w:eastAsia="Times New Roman"/>
                <w:sz w:val="20"/>
                <w:lang w:eastAsia="en-US"/>
              </w:rPr>
              <w:t xml:space="preserve">                       87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Serbia</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VIII</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694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Togo</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S</w:t>
            </w:r>
            <w:r w:rsidRPr="00802DF6">
              <w:rPr>
                <w:rFonts w:eastAsia="Times New Roman"/>
                <w:i/>
                <w:iCs/>
                <w:sz w:val="18"/>
                <w:szCs w:val="18"/>
                <w:lang w:eastAsia="en-US"/>
              </w:rPr>
              <w:t>ter</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03125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43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8866A3" w:rsidP="00D37EC5">
            <w:pPr>
              <w:rPr>
                <w:rFonts w:eastAsia="Times New Roman"/>
                <w:sz w:val="18"/>
                <w:szCs w:val="18"/>
                <w:lang w:eastAsia="en-US"/>
              </w:rPr>
            </w:pPr>
            <w:r w:rsidRPr="00802DF6">
              <w:rPr>
                <w:rFonts w:eastAsia="Times New Roman"/>
                <w:sz w:val="18"/>
                <w:szCs w:val="18"/>
                <w:lang w:eastAsia="en-US"/>
              </w:rPr>
              <w:t>Túnez</w:t>
            </w:r>
          </w:p>
        </w:tc>
        <w:tc>
          <w:tcPr>
            <w:tcW w:w="1820" w:type="dxa"/>
            <w:tcBorders>
              <w:top w:val="nil"/>
              <w:left w:val="nil"/>
              <w:bottom w:val="nil"/>
              <w:right w:val="nil"/>
            </w:tcBorders>
            <w:shd w:val="clear" w:color="auto" w:fill="auto"/>
            <w:vAlign w:val="center"/>
            <w:hideMark/>
          </w:tcPr>
          <w:p w:rsidR="00E84719" w:rsidRPr="00802DF6" w:rsidRDefault="00E84719" w:rsidP="00D37EC5">
            <w:pPr>
              <w:jc w:val="center"/>
              <w:rPr>
                <w:rFonts w:eastAsia="Times New Roman"/>
                <w:sz w:val="18"/>
                <w:szCs w:val="18"/>
                <w:lang w:eastAsia="en-US"/>
              </w:rPr>
            </w:pPr>
            <w:r w:rsidRPr="00802DF6">
              <w:rPr>
                <w:rFonts w:eastAsia="Times New Roman"/>
                <w:sz w:val="18"/>
                <w:szCs w:val="18"/>
                <w:lang w:eastAsia="en-US"/>
              </w:rPr>
              <w:t>S</w:t>
            </w: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AD62D9">
            <w:pPr>
              <w:jc w:val="right"/>
              <w:rPr>
                <w:rFonts w:eastAsia="Times New Roman"/>
                <w:sz w:val="20"/>
                <w:lang w:eastAsia="en-US"/>
              </w:rPr>
            </w:pPr>
            <w:r w:rsidRPr="00802DF6">
              <w:rPr>
                <w:rFonts w:eastAsia="Times New Roman"/>
                <w:sz w:val="20"/>
                <w:lang w:eastAsia="en-US"/>
              </w:rPr>
              <w:t>0</w:t>
            </w:r>
            <w:r w:rsidR="00AD62D9" w:rsidRPr="00802DF6">
              <w:rPr>
                <w:rFonts w:eastAsia="Times New Roman"/>
                <w:sz w:val="20"/>
                <w:lang w:eastAsia="en-US"/>
              </w:rPr>
              <w:t>,</w:t>
            </w:r>
            <w:r w:rsidRPr="00802DF6">
              <w:rPr>
                <w:rFonts w:eastAsia="Times New Roman"/>
                <w:sz w:val="20"/>
                <w:lang w:eastAsia="en-US"/>
              </w:rPr>
              <w:t>125</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173 </w:t>
            </w:r>
          </w:p>
        </w:tc>
      </w:tr>
      <w:tr w:rsidR="00590BED" w:rsidRPr="00802DF6" w:rsidTr="001130CB">
        <w:trPr>
          <w:trHeight w:val="255"/>
          <w:jc w:val="center"/>
        </w:trPr>
        <w:tc>
          <w:tcPr>
            <w:tcW w:w="2620" w:type="dxa"/>
            <w:tcBorders>
              <w:top w:val="nil"/>
              <w:left w:val="nil"/>
              <w:bottom w:val="nil"/>
              <w:right w:val="nil"/>
            </w:tcBorders>
            <w:shd w:val="clear" w:color="auto" w:fill="auto"/>
            <w:vAlign w:val="center"/>
            <w:hideMark/>
          </w:tcPr>
          <w:p w:rsidR="00E84719" w:rsidRPr="00802DF6" w:rsidRDefault="008D486E" w:rsidP="008866A3">
            <w:pPr>
              <w:rPr>
                <w:rFonts w:eastAsia="Times New Roman"/>
                <w:b/>
                <w:bCs/>
                <w:sz w:val="18"/>
                <w:szCs w:val="18"/>
                <w:lang w:eastAsia="en-US"/>
              </w:rPr>
            </w:pPr>
            <w:r w:rsidRPr="00802DF6">
              <w:rPr>
                <w:rFonts w:eastAsia="Times New Roman"/>
                <w:b/>
                <w:bCs/>
                <w:sz w:val="18"/>
                <w:szCs w:val="18"/>
                <w:lang w:eastAsia="en-US"/>
              </w:rPr>
              <w:t>Contribuciones totales</w:t>
            </w:r>
            <w:r w:rsidR="00E84719" w:rsidRPr="00802DF6">
              <w:rPr>
                <w:rFonts w:eastAsia="Times New Roman"/>
                <w:b/>
                <w:bCs/>
                <w:sz w:val="18"/>
                <w:szCs w:val="18"/>
                <w:lang w:eastAsia="en-US"/>
              </w:rPr>
              <w:t xml:space="preserve"> </w:t>
            </w:r>
          </w:p>
        </w:tc>
        <w:tc>
          <w:tcPr>
            <w:tcW w:w="182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c>
          <w:tcPr>
            <w:tcW w:w="1740" w:type="dxa"/>
            <w:tcBorders>
              <w:top w:val="nil"/>
              <w:left w:val="nil"/>
              <w:bottom w:val="nil"/>
              <w:right w:val="nil"/>
            </w:tcBorders>
            <w:shd w:val="clear" w:color="auto" w:fill="auto"/>
            <w:noWrap/>
            <w:vAlign w:val="bottom"/>
            <w:hideMark/>
          </w:tcPr>
          <w:p w:rsidR="00E84719" w:rsidRPr="00802DF6" w:rsidRDefault="00E84719" w:rsidP="00AD62D9">
            <w:pPr>
              <w:rPr>
                <w:rFonts w:eastAsia="Times New Roman"/>
                <w:b/>
                <w:bCs/>
                <w:sz w:val="20"/>
                <w:lang w:eastAsia="en-US"/>
              </w:rPr>
            </w:pPr>
            <w:r w:rsidRPr="00802DF6">
              <w:rPr>
                <w:rFonts w:eastAsia="Times New Roman"/>
                <w:b/>
                <w:bCs/>
                <w:sz w:val="20"/>
                <w:lang w:eastAsia="en-US"/>
              </w:rPr>
              <w:t xml:space="preserve">              100</w:t>
            </w:r>
            <w:r w:rsidR="00AD62D9" w:rsidRPr="00802DF6">
              <w:rPr>
                <w:rFonts w:eastAsia="Times New Roman"/>
                <w:b/>
                <w:bCs/>
                <w:sz w:val="20"/>
                <w:lang w:eastAsia="en-US"/>
              </w:rPr>
              <w:t>.</w:t>
            </w:r>
            <w:r w:rsidRPr="00802DF6">
              <w:rPr>
                <w:rFonts w:eastAsia="Times New Roman"/>
                <w:b/>
                <w:bCs/>
                <w:sz w:val="20"/>
                <w:lang w:eastAsia="en-US"/>
              </w:rPr>
              <w:t xml:space="preserve">000 </w:t>
            </w:r>
          </w:p>
        </w:tc>
      </w:tr>
      <w:tr w:rsidR="00590BED" w:rsidRPr="00802DF6" w:rsidTr="001130CB">
        <w:trPr>
          <w:trHeight w:val="255"/>
          <w:jc w:val="center"/>
        </w:trPr>
        <w:tc>
          <w:tcPr>
            <w:tcW w:w="262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c>
          <w:tcPr>
            <w:tcW w:w="182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c>
          <w:tcPr>
            <w:tcW w:w="1525" w:type="dxa"/>
            <w:gridSpan w:val="2"/>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r>
      <w:tr w:rsidR="00590BED" w:rsidRPr="00802DF6" w:rsidTr="001130CB">
        <w:trPr>
          <w:trHeight w:val="255"/>
          <w:jc w:val="center"/>
        </w:trPr>
        <w:tc>
          <w:tcPr>
            <w:tcW w:w="262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c>
          <w:tcPr>
            <w:tcW w:w="2053" w:type="dxa"/>
            <w:gridSpan w:val="2"/>
            <w:tcBorders>
              <w:top w:val="nil"/>
              <w:left w:val="nil"/>
              <w:bottom w:val="nil"/>
              <w:right w:val="nil"/>
            </w:tcBorders>
            <w:shd w:val="clear" w:color="auto" w:fill="auto"/>
            <w:noWrap/>
            <w:vAlign w:val="bottom"/>
            <w:hideMark/>
          </w:tcPr>
          <w:p w:rsidR="00E84719" w:rsidRPr="00802DF6" w:rsidRDefault="008866A3" w:rsidP="00D37EC5">
            <w:pPr>
              <w:rPr>
                <w:rFonts w:eastAsia="Times New Roman"/>
                <w:sz w:val="20"/>
                <w:lang w:eastAsia="en-US"/>
              </w:rPr>
            </w:pPr>
            <w:r w:rsidRPr="00802DF6">
              <w:rPr>
                <w:rFonts w:eastAsia="Times New Roman"/>
                <w:sz w:val="20"/>
                <w:lang w:eastAsia="en-US"/>
              </w:rPr>
              <w:t>Nº total</w:t>
            </w:r>
          </w:p>
        </w:tc>
        <w:tc>
          <w:tcPr>
            <w:tcW w:w="1292"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b/>
                <w:bCs/>
                <w:sz w:val="20"/>
                <w:lang w:eastAsia="en-US"/>
              </w:rPr>
            </w:pPr>
            <w:r w:rsidRPr="00802DF6">
              <w:rPr>
                <w:rFonts w:eastAsia="Times New Roman"/>
                <w:b/>
                <w:bCs/>
                <w:sz w:val="20"/>
                <w:lang w:eastAsia="en-US"/>
              </w:rPr>
              <w:t>28</w:t>
            </w:r>
          </w:p>
        </w:tc>
        <w:tc>
          <w:tcPr>
            <w:tcW w:w="174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r>
      <w:tr w:rsidR="00590BED" w:rsidRPr="00802DF6" w:rsidTr="001130CB">
        <w:trPr>
          <w:trHeight w:val="270"/>
          <w:jc w:val="center"/>
        </w:trPr>
        <w:tc>
          <w:tcPr>
            <w:tcW w:w="2620" w:type="dxa"/>
            <w:tcBorders>
              <w:top w:val="nil"/>
              <w:left w:val="nil"/>
              <w:bottom w:val="nil"/>
              <w:right w:val="nil"/>
            </w:tcBorders>
            <w:shd w:val="clear" w:color="auto" w:fill="auto"/>
            <w:hideMark/>
          </w:tcPr>
          <w:p w:rsidR="00E84719" w:rsidRPr="00802DF6" w:rsidRDefault="00E84719" w:rsidP="00D37EC5">
            <w:pPr>
              <w:rPr>
                <w:rFonts w:eastAsia="Times New Roman"/>
                <w:sz w:val="16"/>
                <w:szCs w:val="16"/>
                <w:lang w:eastAsia="en-US"/>
              </w:rPr>
            </w:pPr>
          </w:p>
        </w:tc>
        <w:tc>
          <w:tcPr>
            <w:tcW w:w="2053" w:type="dxa"/>
            <w:gridSpan w:val="2"/>
            <w:tcBorders>
              <w:top w:val="nil"/>
              <w:left w:val="nil"/>
              <w:bottom w:val="nil"/>
              <w:right w:val="nil"/>
            </w:tcBorders>
            <w:shd w:val="clear" w:color="auto" w:fill="auto"/>
            <w:noWrap/>
            <w:vAlign w:val="bottom"/>
            <w:hideMark/>
          </w:tcPr>
          <w:p w:rsidR="00E84719" w:rsidRPr="00802DF6" w:rsidRDefault="008866A3" w:rsidP="00D37EC5">
            <w:pPr>
              <w:rPr>
                <w:rFonts w:eastAsia="Times New Roman"/>
                <w:sz w:val="20"/>
                <w:lang w:eastAsia="en-US"/>
              </w:rPr>
            </w:pPr>
            <w:r w:rsidRPr="00802DF6">
              <w:rPr>
                <w:rFonts w:eastAsia="Times New Roman"/>
                <w:sz w:val="20"/>
                <w:lang w:eastAsia="en-US"/>
              </w:rPr>
              <w:t>Nº total de unidades</w:t>
            </w:r>
          </w:p>
        </w:tc>
        <w:tc>
          <w:tcPr>
            <w:tcW w:w="1292" w:type="dxa"/>
            <w:tcBorders>
              <w:top w:val="nil"/>
              <w:left w:val="nil"/>
              <w:bottom w:val="nil"/>
              <w:right w:val="nil"/>
            </w:tcBorders>
            <w:shd w:val="clear" w:color="auto" w:fill="auto"/>
            <w:noWrap/>
            <w:vAlign w:val="bottom"/>
            <w:hideMark/>
          </w:tcPr>
          <w:p w:rsidR="00E84719" w:rsidRPr="00802DF6" w:rsidRDefault="008866A3" w:rsidP="00D37EC5">
            <w:pPr>
              <w:jc w:val="right"/>
              <w:rPr>
                <w:rFonts w:eastAsia="Times New Roman"/>
                <w:b/>
                <w:bCs/>
                <w:sz w:val="20"/>
                <w:lang w:eastAsia="en-US"/>
              </w:rPr>
            </w:pPr>
            <w:r w:rsidRPr="00802DF6">
              <w:rPr>
                <w:rFonts w:eastAsia="Times New Roman"/>
                <w:b/>
                <w:bCs/>
                <w:sz w:val="20"/>
                <w:lang w:eastAsia="en-US"/>
              </w:rPr>
              <w:t>72,</w:t>
            </w:r>
            <w:r w:rsidR="00E84719" w:rsidRPr="00802DF6">
              <w:rPr>
                <w:rFonts w:eastAsia="Times New Roman"/>
                <w:b/>
                <w:bCs/>
                <w:sz w:val="20"/>
                <w:lang w:eastAsia="en-US"/>
              </w:rPr>
              <w:t>09375</w:t>
            </w:r>
          </w:p>
        </w:tc>
        <w:tc>
          <w:tcPr>
            <w:tcW w:w="1740" w:type="dxa"/>
            <w:tcBorders>
              <w:top w:val="nil"/>
              <w:left w:val="nil"/>
              <w:bottom w:val="nil"/>
              <w:right w:val="nil"/>
            </w:tcBorders>
            <w:shd w:val="clear" w:color="auto" w:fill="auto"/>
            <w:hideMark/>
          </w:tcPr>
          <w:p w:rsidR="00E84719" w:rsidRPr="00802DF6" w:rsidRDefault="00E84719" w:rsidP="00D37EC5">
            <w:pPr>
              <w:rPr>
                <w:rFonts w:eastAsia="Times New Roman"/>
                <w:sz w:val="16"/>
                <w:szCs w:val="16"/>
                <w:lang w:eastAsia="en-US"/>
              </w:rPr>
            </w:pPr>
          </w:p>
        </w:tc>
      </w:tr>
    </w:tbl>
    <w:p w:rsidR="00E84719" w:rsidRPr="00802DF6" w:rsidRDefault="00E84719" w:rsidP="00E84719">
      <w:pPr>
        <w:rPr>
          <w:b/>
          <w:szCs w:val="22"/>
        </w:rPr>
      </w:pPr>
    </w:p>
    <w:p w:rsidR="00E84719" w:rsidRPr="00802DF6" w:rsidRDefault="00E84719" w:rsidP="00E84719">
      <w:pPr>
        <w:rPr>
          <w:b/>
          <w:szCs w:val="22"/>
        </w:rPr>
      </w:pPr>
      <w:r w:rsidRPr="00802DF6">
        <w:rPr>
          <w:b/>
          <w:szCs w:val="22"/>
        </w:rPr>
        <w:br w:type="page"/>
      </w:r>
    </w:p>
    <w:p w:rsidR="002B416D" w:rsidRPr="00802DF6" w:rsidRDefault="002B416D" w:rsidP="00D141F2">
      <w:pPr>
        <w:jc w:val="center"/>
        <w:rPr>
          <w:rFonts w:eastAsia="Times New Roman"/>
          <w:b/>
        </w:rPr>
      </w:pPr>
      <w:r w:rsidRPr="00802DF6">
        <w:rPr>
          <w:rFonts w:eastAsia="Times New Roman"/>
          <w:b/>
        </w:rPr>
        <w:lastRenderedPageBreak/>
        <w:t xml:space="preserve">SIMULACIÓN PRELIMINAR DE LA PROPORCIONALIDAD PARA LAS CUOTAS DE CONTRIBUCIÓN DE LA UNIÓN DE LISBOA BASADA EN </w:t>
      </w:r>
      <w:r w:rsidR="00D141F2" w:rsidRPr="00802DF6">
        <w:rPr>
          <w:rFonts w:eastAsia="Times New Roman"/>
          <w:b/>
        </w:rPr>
        <w:t>LOS REGISTROS EN VIGOR POR PAÍS DE ORIGEN</w:t>
      </w:r>
      <w:r w:rsidRPr="00802DF6">
        <w:rPr>
          <w:rFonts w:eastAsia="Times New Roman"/>
          <w:b/>
        </w:rPr>
        <w:t xml:space="preserve"> </w:t>
      </w:r>
    </w:p>
    <w:p w:rsidR="00E84719" w:rsidRPr="00802DF6" w:rsidRDefault="00E84719" w:rsidP="002B416D">
      <w:pPr>
        <w:jc w:val="center"/>
        <w:rPr>
          <w:rFonts w:eastAsia="Times New Roman"/>
          <w:i/>
          <w:iCs/>
          <w:sz w:val="20"/>
        </w:rPr>
      </w:pPr>
      <w:r w:rsidRPr="00802DF6">
        <w:rPr>
          <w:rFonts w:eastAsia="Times New Roman"/>
          <w:i/>
          <w:iCs/>
          <w:sz w:val="20"/>
        </w:rPr>
        <w:t>(</w:t>
      </w:r>
      <w:r w:rsidR="002B416D" w:rsidRPr="00802DF6">
        <w:rPr>
          <w:rFonts w:eastAsia="Times New Roman"/>
          <w:i/>
          <w:iCs/>
          <w:sz w:val="20"/>
        </w:rPr>
        <w:t>en el supuesto de que se necesiten contribuciones para sufragar un déficit de 100.000 francos suizos)</w:t>
      </w:r>
    </w:p>
    <w:p w:rsidR="00E84719" w:rsidRPr="00802DF6" w:rsidRDefault="00E84719" w:rsidP="00E84719">
      <w:pPr>
        <w:jc w:val="center"/>
        <w:rPr>
          <w:rFonts w:eastAsia="Times New Roman"/>
          <w:i/>
          <w:iCs/>
          <w:szCs w:val="22"/>
        </w:rPr>
      </w:pPr>
    </w:p>
    <w:p w:rsidR="00E84719" w:rsidRPr="00802DF6" w:rsidRDefault="00E84719" w:rsidP="008D486E">
      <w:pPr>
        <w:ind w:left="5812"/>
        <w:rPr>
          <w:rFonts w:eastAsia="Times New Roman"/>
          <w:b/>
          <w:i/>
          <w:iCs/>
          <w:sz w:val="20"/>
          <w:szCs w:val="22"/>
        </w:rPr>
      </w:pPr>
      <w:r w:rsidRPr="00802DF6">
        <w:rPr>
          <w:rFonts w:eastAsia="Times New Roman"/>
          <w:b/>
          <w:i/>
          <w:iCs/>
          <w:sz w:val="20"/>
          <w:szCs w:val="22"/>
        </w:rPr>
        <w:t>C</w:t>
      </w:r>
      <w:r w:rsidR="008D486E" w:rsidRPr="00802DF6">
        <w:rPr>
          <w:rFonts w:eastAsia="Times New Roman"/>
          <w:b/>
          <w:i/>
          <w:iCs/>
          <w:sz w:val="20"/>
          <w:szCs w:val="22"/>
        </w:rPr>
        <w:t>uota de contribución</w:t>
      </w:r>
    </w:p>
    <w:p w:rsidR="00E84719" w:rsidRPr="00802DF6" w:rsidRDefault="00E84719" w:rsidP="008D486E">
      <w:pPr>
        <w:spacing w:after="120"/>
        <w:ind w:left="5812"/>
        <w:rPr>
          <w:rFonts w:eastAsia="Times New Roman"/>
          <w:i/>
          <w:iCs/>
          <w:sz w:val="20"/>
          <w:szCs w:val="22"/>
        </w:rPr>
      </w:pPr>
      <w:r w:rsidRPr="00802DF6">
        <w:rPr>
          <w:rFonts w:eastAsia="Times New Roman"/>
          <w:i/>
          <w:iCs/>
          <w:sz w:val="20"/>
          <w:szCs w:val="22"/>
        </w:rPr>
        <w:t>(</w:t>
      </w:r>
      <w:r w:rsidR="008D486E" w:rsidRPr="00802DF6">
        <w:rPr>
          <w:rFonts w:eastAsia="Times New Roman"/>
          <w:i/>
          <w:iCs/>
          <w:sz w:val="20"/>
          <w:szCs w:val="22"/>
        </w:rPr>
        <w:t>en francos suizos</w:t>
      </w:r>
      <w:r w:rsidRPr="00802DF6">
        <w:rPr>
          <w:rFonts w:eastAsia="Times New Roman"/>
          <w:i/>
          <w:iCs/>
          <w:sz w:val="20"/>
          <w:szCs w:val="22"/>
        </w:rPr>
        <w:t>)</w:t>
      </w:r>
    </w:p>
    <w:tbl>
      <w:tblPr>
        <w:tblW w:w="7560" w:type="dxa"/>
        <w:jc w:val="center"/>
        <w:tblInd w:w="93" w:type="dxa"/>
        <w:tblLook w:val="04A0" w:firstRow="1" w:lastRow="0" w:firstColumn="1" w:lastColumn="0" w:noHBand="0" w:noVBand="1"/>
      </w:tblPr>
      <w:tblGrid>
        <w:gridCol w:w="2620"/>
        <w:gridCol w:w="1760"/>
        <w:gridCol w:w="3180"/>
      </w:tblGrid>
      <w:tr w:rsidR="00590BED" w:rsidRPr="00802DF6" w:rsidTr="00D37EC5">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E84719" w:rsidRPr="00802DF6" w:rsidRDefault="008D486E" w:rsidP="00D37EC5">
            <w:pPr>
              <w:jc w:val="center"/>
              <w:rPr>
                <w:rFonts w:eastAsia="Times New Roman"/>
                <w:b/>
                <w:i/>
                <w:iCs/>
                <w:sz w:val="20"/>
                <w:lang w:eastAsia="en-US"/>
              </w:rPr>
            </w:pPr>
            <w:r w:rsidRPr="00802DF6">
              <w:rPr>
                <w:rFonts w:eastAsia="Times New Roman"/>
                <w:b/>
                <w:i/>
                <w:iCs/>
                <w:sz w:val="20"/>
                <w:lang w:eastAsia="en-US"/>
              </w:rPr>
              <w:t>País</w:t>
            </w:r>
          </w:p>
        </w:tc>
        <w:tc>
          <w:tcPr>
            <w:tcW w:w="1760" w:type="dxa"/>
            <w:tcBorders>
              <w:top w:val="single" w:sz="4" w:space="0" w:color="auto"/>
              <w:left w:val="single" w:sz="4" w:space="0" w:color="auto"/>
              <w:bottom w:val="single" w:sz="4" w:space="0" w:color="auto"/>
              <w:right w:val="nil"/>
            </w:tcBorders>
            <w:shd w:val="clear" w:color="000000" w:fill="C5D9F1"/>
            <w:noWrap/>
            <w:vAlign w:val="center"/>
            <w:hideMark/>
          </w:tcPr>
          <w:p w:rsidR="008D486E" w:rsidRPr="00802DF6" w:rsidRDefault="008D486E" w:rsidP="008D486E">
            <w:pPr>
              <w:jc w:val="center"/>
              <w:rPr>
                <w:rFonts w:eastAsia="Times New Roman"/>
                <w:b/>
                <w:i/>
                <w:iCs/>
                <w:sz w:val="20"/>
                <w:lang w:eastAsia="en-US"/>
              </w:rPr>
            </w:pPr>
            <w:r w:rsidRPr="00802DF6">
              <w:rPr>
                <w:rFonts w:eastAsia="Times New Roman"/>
                <w:b/>
                <w:i/>
                <w:iCs/>
                <w:sz w:val="20"/>
                <w:lang w:eastAsia="en-US"/>
              </w:rPr>
              <w:t>Unidades</w:t>
            </w:r>
            <w:r w:rsidR="00E84719" w:rsidRPr="00802DF6">
              <w:rPr>
                <w:rFonts w:eastAsia="Times New Roman"/>
                <w:b/>
                <w:i/>
                <w:iCs/>
                <w:sz w:val="20"/>
                <w:lang w:eastAsia="en-US"/>
              </w:rPr>
              <w:t>/</w:t>
            </w:r>
          </w:p>
          <w:p w:rsidR="00E84719" w:rsidRPr="00802DF6" w:rsidRDefault="008D486E" w:rsidP="008D486E">
            <w:pPr>
              <w:jc w:val="center"/>
              <w:rPr>
                <w:rFonts w:eastAsia="Times New Roman"/>
                <w:b/>
                <w:i/>
                <w:iCs/>
                <w:sz w:val="20"/>
                <w:lang w:eastAsia="en-US"/>
              </w:rPr>
            </w:pPr>
            <w:r w:rsidRPr="00802DF6">
              <w:rPr>
                <w:rFonts w:eastAsia="Times New Roman"/>
                <w:b/>
                <w:i/>
                <w:iCs/>
                <w:sz w:val="20"/>
                <w:lang w:eastAsia="en-US"/>
              </w:rPr>
              <w:t>Ponderación</w:t>
            </w:r>
          </w:p>
        </w:tc>
        <w:tc>
          <w:tcPr>
            <w:tcW w:w="3180" w:type="dxa"/>
            <w:tcBorders>
              <w:top w:val="single" w:sz="4" w:space="0" w:color="auto"/>
              <w:left w:val="nil"/>
              <w:bottom w:val="single" w:sz="4" w:space="0" w:color="auto"/>
              <w:right w:val="single" w:sz="4" w:space="0" w:color="auto"/>
            </w:tcBorders>
            <w:shd w:val="clear" w:color="000000" w:fill="C5D9F1"/>
            <w:noWrap/>
            <w:vAlign w:val="center"/>
            <w:hideMark/>
          </w:tcPr>
          <w:p w:rsidR="00E84719" w:rsidRPr="00802DF6" w:rsidRDefault="00590BED" w:rsidP="008D486E">
            <w:pPr>
              <w:ind w:left="15" w:hanging="15"/>
              <w:jc w:val="center"/>
              <w:rPr>
                <w:rFonts w:eastAsia="Times New Roman"/>
                <w:b/>
                <w:i/>
                <w:iCs/>
                <w:sz w:val="20"/>
                <w:lang w:eastAsia="en-US"/>
              </w:rPr>
            </w:pPr>
            <w:r w:rsidRPr="00802DF6">
              <w:rPr>
                <w:rFonts w:eastAsia="Times New Roman"/>
                <w:b/>
                <w:i/>
                <w:iCs/>
                <w:sz w:val="20"/>
                <w:lang w:eastAsia="en-US"/>
              </w:rPr>
              <w:t>Cuantía de la cuota</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8D486E" w:rsidP="00D37EC5">
            <w:pPr>
              <w:rPr>
                <w:rFonts w:eastAsia="Times New Roman"/>
                <w:sz w:val="18"/>
                <w:szCs w:val="18"/>
                <w:lang w:eastAsia="en-US"/>
              </w:rPr>
            </w:pPr>
            <w:r w:rsidRPr="00802DF6">
              <w:rPr>
                <w:rFonts w:eastAsia="Times New Roman"/>
                <w:sz w:val="18"/>
                <w:szCs w:val="18"/>
                <w:lang w:eastAsia="en-US"/>
              </w:rPr>
              <w:t>Argelia</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781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8D486E">
            <w:pPr>
              <w:rPr>
                <w:rFonts w:eastAsia="Times New Roman"/>
                <w:sz w:val="18"/>
                <w:szCs w:val="18"/>
                <w:lang w:eastAsia="en-US"/>
              </w:rPr>
            </w:pPr>
            <w:r w:rsidRPr="00802DF6">
              <w:rPr>
                <w:rFonts w:eastAsia="Times New Roman"/>
                <w:sz w:val="18"/>
                <w:szCs w:val="18"/>
                <w:lang w:eastAsia="en-US"/>
              </w:rPr>
              <w:t xml:space="preserve">Bosnia </w:t>
            </w:r>
            <w:r w:rsidR="008D486E" w:rsidRPr="00802DF6">
              <w:rPr>
                <w:rFonts w:eastAsia="Times New Roman"/>
                <w:sz w:val="18"/>
                <w:szCs w:val="18"/>
                <w:lang w:eastAsia="en-US"/>
              </w:rPr>
              <w:t>y</w:t>
            </w:r>
            <w:r w:rsidRPr="00802DF6">
              <w:rPr>
                <w:rFonts w:eastAsia="Times New Roman"/>
                <w:sz w:val="18"/>
                <w:szCs w:val="18"/>
                <w:lang w:eastAsia="en-US"/>
              </w:rPr>
              <w:t xml:space="preserve"> Herzegovina</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Bulgaria</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51</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w:t>
            </w:r>
            <w:r w:rsidR="008D486E" w:rsidRPr="00802DF6">
              <w:rPr>
                <w:rFonts w:eastAsia="Times New Roman"/>
                <w:sz w:val="20"/>
                <w:lang w:eastAsia="en-US"/>
              </w:rPr>
              <w:t xml:space="preserve">    5.</w:t>
            </w:r>
            <w:r w:rsidRPr="00802DF6">
              <w:rPr>
                <w:rFonts w:eastAsia="Times New Roman"/>
                <w:sz w:val="20"/>
                <w:lang w:eastAsia="en-US"/>
              </w:rPr>
              <w:t xml:space="preserve">692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Burkina Faso</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 xml:space="preserve">Congo </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Costa Rica</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112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Cuba</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19</w:t>
            </w:r>
          </w:p>
        </w:tc>
        <w:tc>
          <w:tcPr>
            <w:tcW w:w="3180" w:type="dxa"/>
            <w:tcBorders>
              <w:top w:val="nil"/>
              <w:left w:val="nil"/>
              <w:bottom w:val="nil"/>
              <w:right w:val="nil"/>
            </w:tcBorders>
            <w:shd w:val="clear" w:color="auto" w:fill="auto"/>
            <w:noWrap/>
            <w:vAlign w:val="bottom"/>
            <w:hideMark/>
          </w:tcPr>
          <w:p w:rsidR="00E84719" w:rsidRPr="00802DF6" w:rsidRDefault="00E84719" w:rsidP="008D486E">
            <w:pPr>
              <w:rPr>
                <w:rFonts w:eastAsia="Times New Roman"/>
                <w:sz w:val="20"/>
                <w:lang w:eastAsia="en-US"/>
              </w:rPr>
            </w:pPr>
            <w:r w:rsidRPr="00802DF6">
              <w:rPr>
                <w:rFonts w:eastAsia="Times New Roman"/>
                <w:sz w:val="20"/>
                <w:lang w:eastAsia="en-US"/>
              </w:rPr>
              <w:t xml:space="preserve">                                          2</w:t>
            </w:r>
            <w:r w:rsidR="008D486E" w:rsidRPr="00802DF6">
              <w:rPr>
                <w:rFonts w:eastAsia="Times New Roman"/>
                <w:sz w:val="20"/>
                <w:lang w:eastAsia="en-US"/>
              </w:rPr>
              <w:t>.</w:t>
            </w:r>
            <w:r w:rsidRPr="00802DF6">
              <w:rPr>
                <w:rFonts w:eastAsia="Times New Roman"/>
                <w:sz w:val="20"/>
                <w:lang w:eastAsia="en-US"/>
              </w:rPr>
              <w:t xml:space="preserve">121 </w:t>
            </w:r>
          </w:p>
        </w:tc>
      </w:tr>
      <w:tr w:rsidR="001130CB" w:rsidRPr="00802DF6" w:rsidTr="001130CB">
        <w:trPr>
          <w:trHeight w:val="255"/>
          <w:jc w:val="center"/>
        </w:trPr>
        <w:tc>
          <w:tcPr>
            <w:tcW w:w="2620" w:type="dxa"/>
            <w:tcBorders>
              <w:top w:val="nil"/>
              <w:left w:val="nil"/>
              <w:bottom w:val="nil"/>
              <w:right w:val="nil"/>
            </w:tcBorders>
            <w:shd w:val="clear" w:color="auto" w:fill="auto"/>
            <w:vAlign w:val="center"/>
            <w:hideMark/>
          </w:tcPr>
          <w:p w:rsidR="001130CB" w:rsidRPr="00802DF6" w:rsidRDefault="001130CB" w:rsidP="00370E9E">
            <w:pPr>
              <w:rPr>
                <w:rFonts w:eastAsia="Times New Roman"/>
                <w:sz w:val="18"/>
                <w:szCs w:val="18"/>
                <w:lang w:eastAsia="en-US"/>
              </w:rPr>
            </w:pPr>
            <w:r w:rsidRPr="00802DF6">
              <w:rPr>
                <w:rFonts w:eastAsia="Times New Roman"/>
                <w:sz w:val="18"/>
                <w:szCs w:val="18"/>
                <w:lang w:eastAsia="en-US"/>
              </w:rPr>
              <w:t>Eslovaquia</w:t>
            </w:r>
          </w:p>
        </w:tc>
        <w:tc>
          <w:tcPr>
            <w:tcW w:w="1760" w:type="dxa"/>
            <w:tcBorders>
              <w:top w:val="nil"/>
              <w:left w:val="nil"/>
              <w:bottom w:val="nil"/>
              <w:right w:val="nil"/>
            </w:tcBorders>
            <w:shd w:val="clear" w:color="auto" w:fill="auto"/>
            <w:noWrap/>
            <w:vAlign w:val="bottom"/>
            <w:hideMark/>
          </w:tcPr>
          <w:p w:rsidR="001130CB" w:rsidRPr="00802DF6" w:rsidRDefault="001130CB" w:rsidP="00370E9E">
            <w:pPr>
              <w:jc w:val="right"/>
              <w:rPr>
                <w:rFonts w:eastAsia="Times New Roman"/>
                <w:sz w:val="20"/>
                <w:lang w:eastAsia="en-US"/>
              </w:rPr>
            </w:pPr>
            <w:r w:rsidRPr="00802DF6">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1130CB" w:rsidRPr="00802DF6" w:rsidRDefault="001130CB" w:rsidP="00370E9E">
            <w:pPr>
              <w:rPr>
                <w:rFonts w:eastAsia="Times New Roman"/>
                <w:sz w:val="20"/>
                <w:lang w:eastAsia="en-US"/>
              </w:rPr>
            </w:pPr>
            <w:r w:rsidRPr="00802DF6">
              <w:rPr>
                <w:rFonts w:eastAsia="Times New Roman"/>
                <w:sz w:val="20"/>
                <w:lang w:eastAsia="en-US"/>
              </w:rPr>
              <w:t xml:space="preserve">                                             781 </w:t>
            </w:r>
          </w:p>
        </w:tc>
      </w:tr>
      <w:tr w:rsidR="001130CB" w:rsidRPr="00802DF6" w:rsidTr="001130CB">
        <w:trPr>
          <w:trHeight w:val="255"/>
          <w:jc w:val="center"/>
        </w:trPr>
        <w:tc>
          <w:tcPr>
            <w:tcW w:w="2620" w:type="dxa"/>
            <w:tcBorders>
              <w:top w:val="nil"/>
              <w:left w:val="nil"/>
              <w:bottom w:val="nil"/>
              <w:right w:val="nil"/>
            </w:tcBorders>
            <w:shd w:val="clear" w:color="auto" w:fill="auto"/>
            <w:vAlign w:val="center"/>
            <w:hideMark/>
          </w:tcPr>
          <w:p w:rsidR="001130CB" w:rsidRPr="00802DF6" w:rsidRDefault="001130CB" w:rsidP="00196B98">
            <w:pPr>
              <w:ind w:left="129" w:hanging="129"/>
              <w:rPr>
                <w:rFonts w:eastAsia="Times New Roman"/>
                <w:sz w:val="18"/>
                <w:szCs w:val="18"/>
                <w:lang w:eastAsia="en-US"/>
              </w:rPr>
            </w:pPr>
            <w:r w:rsidRPr="00802DF6">
              <w:rPr>
                <w:rFonts w:eastAsia="Times New Roman"/>
                <w:sz w:val="18"/>
                <w:szCs w:val="18"/>
                <w:lang w:eastAsia="en-US"/>
              </w:rPr>
              <w:t xml:space="preserve">ex República Yugoslava de </w:t>
            </w:r>
            <w:r w:rsidR="00196B98" w:rsidRPr="00802DF6">
              <w:rPr>
                <w:rFonts w:eastAsia="Times New Roman"/>
                <w:sz w:val="18"/>
                <w:szCs w:val="18"/>
                <w:lang w:eastAsia="en-US"/>
              </w:rPr>
              <w:t xml:space="preserve">    </w:t>
            </w:r>
            <w:r w:rsidRPr="00802DF6">
              <w:rPr>
                <w:rFonts w:eastAsia="Times New Roman"/>
                <w:sz w:val="18"/>
                <w:szCs w:val="18"/>
                <w:lang w:eastAsia="en-US"/>
              </w:rPr>
              <w:t>Macedonia</w:t>
            </w:r>
          </w:p>
        </w:tc>
        <w:tc>
          <w:tcPr>
            <w:tcW w:w="1760" w:type="dxa"/>
            <w:tcBorders>
              <w:top w:val="nil"/>
              <w:left w:val="nil"/>
              <w:bottom w:val="nil"/>
              <w:right w:val="nil"/>
            </w:tcBorders>
            <w:shd w:val="clear" w:color="auto" w:fill="auto"/>
            <w:noWrap/>
            <w:vAlign w:val="bottom"/>
            <w:hideMark/>
          </w:tcPr>
          <w:p w:rsidR="001130CB" w:rsidRPr="00802DF6" w:rsidRDefault="001130CB" w:rsidP="00370E9E">
            <w:pPr>
              <w:jc w:val="right"/>
              <w:rPr>
                <w:rFonts w:eastAsia="Times New Roman"/>
                <w:sz w:val="20"/>
                <w:lang w:eastAsia="en-US"/>
              </w:rPr>
            </w:pPr>
            <w:r w:rsidRPr="00802DF6">
              <w:rPr>
                <w:rFonts w:eastAsia="Times New Roman"/>
                <w:sz w:val="20"/>
                <w:lang w:eastAsia="en-US"/>
              </w:rPr>
              <w:t>4</w:t>
            </w:r>
          </w:p>
        </w:tc>
        <w:tc>
          <w:tcPr>
            <w:tcW w:w="3180" w:type="dxa"/>
            <w:tcBorders>
              <w:top w:val="nil"/>
              <w:left w:val="nil"/>
              <w:bottom w:val="nil"/>
              <w:right w:val="nil"/>
            </w:tcBorders>
            <w:shd w:val="clear" w:color="auto" w:fill="auto"/>
            <w:noWrap/>
            <w:vAlign w:val="bottom"/>
            <w:hideMark/>
          </w:tcPr>
          <w:p w:rsidR="001130CB" w:rsidRPr="00802DF6" w:rsidRDefault="001130CB" w:rsidP="00370E9E">
            <w:pPr>
              <w:rPr>
                <w:rFonts w:eastAsia="Times New Roman"/>
                <w:sz w:val="20"/>
                <w:lang w:eastAsia="en-US"/>
              </w:rPr>
            </w:pPr>
            <w:r w:rsidRPr="00802DF6">
              <w:rPr>
                <w:rFonts w:eastAsia="Times New Roman"/>
                <w:sz w:val="20"/>
                <w:lang w:eastAsia="en-US"/>
              </w:rPr>
              <w:t xml:space="preserve">                                             446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4E250F">
            <w:pPr>
              <w:rPr>
                <w:rFonts w:eastAsia="Times New Roman"/>
                <w:sz w:val="18"/>
                <w:szCs w:val="18"/>
                <w:lang w:eastAsia="en-US"/>
              </w:rPr>
            </w:pPr>
            <w:r w:rsidRPr="00802DF6">
              <w:rPr>
                <w:rFonts w:eastAsia="Times New Roman"/>
                <w:sz w:val="18"/>
                <w:szCs w:val="18"/>
                <w:lang w:eastAsia="en-US"/>
              </w:rPr>
              <w:t>Franc</w:t>
            </w:r>
            <w:r w:rsidR="004E250F" w:rsidRPr="00802DF6">
              <w:rPr>
                <w:rFonts w:eastAsia="Times New Roman"/>
                <w:sz w:val="18"/>
                <w:szCs w:val="18"/>
                <w:lang w:eastAsia="en-US"/>
              </w:rPr>
              <w:t>ia</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509</w:t>
            </w:r>
          </w:p>
        </w:tc>
        <w:tc>
          <w:tcPr>
            <w:tcW w:w="3180" w:type="dxa"/>
            <w:tcBorders>
              <w:top w:val="nil"/>
              <w:left w:val="nil"/>
              <w:bottom w:val="nil"/>
              <w:right w:val="nil"/>
            </w:tcBorders>
            <w:shd w:val="clear" w:color="auto" w:fill="auto"/>
            <w:noWrap/>
            <w:vAlign w:val="bottom"/>
            <w:hideMark/>
          </w:tcPr>
          <w:p w:rsidR="00E84719" w:rsidRPr="00802DF6" w:rsidRDefault="00E84719" w:rsidP="008D486E">
            <w:pPr>
              <w:rPr>
                <w:rFonts w:eastAsia="Times New Roman"/>
                <w:sz w:val="20"/>
                <w:lang w:eastAsia="en-US"/>
              </w:rPr>
            </w:pPr>
            <w:r w:rsidRPr="00802DF6">
              <w:rPr>
                <w:rFonts w:eastAsia="Times New Roman"/>
                <w:sz w:val="20"/>
                <w:lang w:eastAsia="en-US"/>
              </w:rPr>
              <w:t xml:space="preserve">                                         56</w:t>
            </w:r>
            <w:r w:rsidR="008D486E" w:rsidRPr="00802DF6">
              <w:rPr>
                <w:rFonts w:eastAsia="Times New Roman"/>
                <w:sz w:val="20"/>
                <w:lang w:eastAsia="en-US"/>
              </w:rPr>
              <w:t>.</w:t>
            </w:r>
            <w:r w:rsidRPr="00802DF6">
              <w:rPr>
                <w:rFonts w:eastAsia="Times New Roman"/>
                <w:sz w:val="20"/>
                <w:lang w:eastAsia="en-US"/>
              </w:rPr>
              <w:t xml:space="preserve">808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4E250F">
            <w:pPr>
              <w:rPr>
                <w:rFonts w:eastAsia="Times New Roman"/>
                <w:sz w:val="18"/>
                <w:szCs w:val="18"/>
                <w:lang w:eastAsia="en-US"/>
              </w:rPr>
            </w:pPr>
            <w:r w:rsidRPr="00802DF6">
              <w:rPr>
                <w:rFonts w:eastAsia="Times New Roman"/>
                <w:sz w:val="18"/>
                <w:szCs w:val="18"/>
                <w:lang w:eastAsia="en-US"/>
              </w:rPr>
              <w:t>Gab</w:t>
            </w:r>
            <w:r w:rsidR="004E250F" w:rsidRPr="00802DF6">
              <w:rPr>
                <w:rFonts w:eastAsia="Times New Roman"/>
                <w:sz w:val="18"/>
                <w:szCs w:val="18"/>
                <w:lang w:eastAsia="en-US"/>
              </w:rPr>
              <w:t>ón</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Georgia</w:t>
            </w:r>
          </w:p>
        </w:tc>
        <w:tc>
          <w:tcPr>
            <w:tcW w:w="1760" w:type="dxa"/>
            <w:tcBorders>
              <w:top w:val="nil"/>
              <w:left w:val="nil"/>
              <w:bottom w:val="nil"/>
              <w:right w:val="nil"/>
            </w:tcBorders>
            <w:shd w:val="clear" w:color="auto" w:fill="auto"/>
            <w:vAlign w:val="center"/>
            <w:hideMark/>
          </w:tcPr>
          <w:p w:rsidR="00E84719" w:rsidRPr="00802DF6" w:rsidRDefault="00E84719" w:rsidP="00D37EC5">
            <w:pPr>
              <w:jc w:val="right"/>
              <w:rPr>
                <w:rFonts w:eastAsia="Times New Roman"/>
                <w:sz w:val="18"/>
                <w:szCs w:val="18"/>
                <w:lang w:eastAsia="en-US"/>
              </w:rPr>
            </w:pPr>
            <w:r w:rsidRPr="00802DF6">
              <w:rPr>
                <w:rFonts w:eastAsia="Times New Roman"/>
                <w:sz w:val="18"/>
                <w:szCs w:val="18"/>
                <w:lang w:eastAsia="en-US"/>
              </w:rPr>
              <w:t>28</w:t>
            </w:r>
          </w:p>
        </w:tc>
        <w:tc>
          <w:tcPr>
            <w:tcW w:w="3180" w:type="dxa"/>
            <w:tcBorders>
              <w:top w:val="nil"/>
              <w:left w:val="nil"/>
              <w:bottom w:val="nil"/>
              <w:right w:val="nil"/>
            </w:tcBorders>
            <w:shd w:val="clear" w:color="auto" w:fill="auto"/>
            <w:noWrap/>
            <w:vAlign w:val="bottom"/>
            <w:hideMark/>
          </w:tcPr>
          <w:p w:rsidR="00E84719" w:rsidRPr="00802DF6" w:rsidRDefault="00E84719" w:rsidP="008D486E">
            <w:pPr>
              <w:rPr>
                <w:rFonts w:eastAsia="Times New Roman"/>
                <w:sz w:val="20"/>
                <w:lang w:eastAsia="en-US"/>
              </w:rPr>
            </w:pPr>
            <w:r w:rsidRPr="00802DF6">
              <w:rPr>
                <w:rFonts w:eastAsia="Times New Roman"/>
                <w:sz w:val="20"/>
                <w:lang w:eastAsia="en-US"/>
              </w:rPr>
              <w:t xml:space="preserve">                                          3</w:t>
            </w:r>
            <w:r w:rsidR="008D486E" w:rsidRPr="00802DF6">
              <w:rPr>
                <w:rFonts w:eastAsia="Times New Roman"/>
                <w:sz w:val="20"/>
                <w:lang w:eastAsia="en-US"/>
              </w:rPr>
              <w:t>.</w:t>
            </w:r>
            <w:r w:rsidRPr="00802DF6">
              <w:rPr>
                <w:rFonts w:eastAsia="Times New Roman"/>
                <w:sz w:val="20"/>
                <w:lang w:eastAsia="en-US"/>
              </w:rPr>
              <w:t xml:space="preserve">125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4E250F" w:rsidP="00D37EC5">
            <w:pPr>
              <w:rPr>
                <w:rFonts w:eastAsia="Times New Roman"/>
                <w:sz w:val="18"/>
                <w:szCs w:val="18"/>
                <w:lang w:eastAsia="en-US"/>
              </w:rPr>
            </w:pPr>
            <w:r w:rsidRPr="00802DF6">
              <w:rPr>
                <w:rFonts w:eastAsia="Times New Roman"/>
                <w:sz w:val="18"/>
                <w:szCs w:val="18"/>
                <w:lang w:eastAsia="en-US"/>
              </w:rPr>
              <w:t>Haití</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4E250F">
            <w:pPr>
              <w:rPr>
                <w:rFonts w:eastAsia="Times New Roman"/>
                <w:sz w:val="18"/>
                <w:szCs w:val="18"/>
                <w:lang w:eastAsia="en-US"/>
              </w:rPr>
            </w:pPr>
            <w:r w:rsidRPr="00802DF6">
              <w:rPr>
                <w:rFonts w:eastAsia="Times New Roman"/>
                <w:sz w:val="18"/>
                <w:szCs w:val="18"/>
                <w:lang w:eastAsia="en-US"/>
              </w:rPr>
              <w:t>Hun</w:t>
            </w:r>
            <w:r w:rsidR="004E250F" w:rsidRPr="00802DF6">
              <w:rPr>
                <w:rFonts w:eastAsia="Times New Roman"/>
                <w:sz w:val="18"/>
                <w:szCs w:val="18"/>
                <w:lang w:eastAsia="en-US"/>
              </w:rPr>
              <w:t>gría</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28</w:t>
            </w:r>
          </w:p>
        </w:tc>
        <w:tc>
          <w:tcPr>
            <w:tcW w:w="3180" w:type="dxa"/>
            <w:tcBorders>
              <w:top w:val="nil"/>
              <w:left w:val="nil"/>
              <w:bottom w:val="nil"/>
              <w:right w:val="nil"/>
            </w:tcBorders>
            <w:shd w:val="clear" w:color="auto" w:fill="auto"/>
            <w:noWrap/>
            <w:vAlign w:val="bottom"/>
            <w:hideMark/>
          </w:tcPr>
          <w:p w:rsidR="00E84719" w:rsidRPr="00802DF6" w:rsidRDefault="00E84719" w:rsidP="008D486E">
            <w:pPr>
              <w:rPr>
                <w:rFonts w:eastAsia="Times New Roman"/>
                <w:sz w:val="20"/>
                <w:lang w:eastAsia="en-US"/>
              </w:rPr>
            </w:pPr>
            <w:r w:rsidRPr="00802DF6">
              <w:rPr>
                <w:rFonts w:eastAsia="Times New Roman"/>
                <w:sz w:val="20"/>
                <w:lang w:eastAsia="en-US"/>
              </w:rPr>
              <w:t xml:space="preserve">                                          3</w:t>
            </w:r>
            <w:r w:rsidR="008D486E" w:rsidRPr="00802DF6">
              <w:rPr>
                <w:rFonts w:eastAsia="Times New Roman"/>
                <w:sz w:val="20"/>
                <w:lang w:eastAsia="en-US"/>
              </w:rPr>
              <w:t>.</w:t>
            </w:r>
            <w:r w:rsidRPr="00802DF6">
              <w:rPr>
                <w:rFonts w:eastAsia="Times New Roman"/>
                <w:sz w:val="20"/>
                <w:lang w:eastAsia="en-US"/>
              </w:rPr>
              <w:t xml:space="preserve">125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4E250F">
            <w:pPr>
              <w:rPr>
                <w:rFonts w:eastAsia="Times New Roman"/>
                <w:sz w:val="18"/>
                <w:szCs w:val="18"/>
                <w:lang w:eastAsia="en-US"/>
              </w:rPr>
            </w:pPr>
            <w:r w:rsidRPr="00802DF6">
              <w:rPr>
                <w:rFonts w:eastAsia="Times New Roman"/>
                <w:sz w:val="18"/>
                <w:szCs w:val="18"/>
                <w:lang w:eastAsia="en-US"/>
              </w:rPr>
              <w:t>Ir</w:t>
            </w:r>
            <w:r w:rsidR="004E250F" w:rsidRPr="00802DF6">
              <w:rPr>
                <w:rFonts w:eastAsia="Times New Roman"/>
                <w:sz w:val="18"/>
                <w:szCs w:val="18"/>
                <w:lang w:eastAsia="en-US"/>
              </w:rPr>
              <w:t>á</w:t>
            </w:r>
            <w:r w:rsidRPr="00802DF6">
              <w:rPr>
                <w:rFonts w:eastAsia="Times New Roman"/>
                <w:sz w:val="18"/>
                <w:szCs w:val="18"/>
                <w:lang w:eastAsia="en-US"/>
              </w:rPr>
              <w:t>n (</w:t>
            </w:r>
            <w:r w:rsidR="004E250F" w:rsidRPr="00802DF6">
              <w:rPr>
                <w:rFonts w:eastAsia="Times New Roman"/>
                <w:sz w:val="18"/>
                <w:szCs w:val="18"/>
                <w:lang w:eastAsia="en-US"/>
              </w:rPr>
              <w:t>República Islámica del</w:t>
            </w:r>
            <w:r w:rsidRPr="00802DF6">
              <w:rPr>
                <w:rFonts w:eastAsia="Times New Roman"/>
                <w:sz w:val="18"/>
                <w:szCs w:val="18"/>
                <w:lang w:eastAsia="en-US"/>
              </w:rPr>
              <w:t>)</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16</w:t>
            </w:r>
          </w:p>
        </w:tc>
        <w:tc>
          <w:tcPr>
            <w:tcW w:w="3180" w:type="dxa"/>
            <w:tcBorders>
              <w:top w:val="nil"/>
              <w:left w:val="nil"/>
              <w:bottom w:val="nil"/>
              <w:right w:val="nil"/>
            </w:tcBorders>
            <w:shd w:val="clear" w:color="auto" w:fill="auto"/>
            <w:noWrap/>
            <w:vAlign w:val="bottom"/>
            <w:hideMark/>
          </w:tcPr>
          <w:p w:rsidR="00E84719" w:rsidRPr="00802DF6" w:rsidRDefault="00E84719" w:rsidP="008D486E">
            <w:pPr>
              <w:rPr>
                <w:rFonts w:eastAsia="Times New Roman"/>
                <w:sz w:val="20"/>
                <w:lang w:eastAsia="en-US"/>
              </w:rPr>
            </w:pPr>
            <w:r w:rsidRPr="00802DF6">
              <w:rPr>
                <w:rFonts w:eastAsia="Times New Roman"/>
                <w:sz w:val="20"/>
                <w:lang w:eastAsia="en-US"/>
              </w:rPr>
              <w:t xml:space="preserve">                                          1</w:t>
            </w:r>
            <w:r w:rsidR="008D486E" w:rsidRPr="00802DF6">
              <w:rPr>
                <w:rFonts w:eastAsia="Times New Roman"/>
                <w:sz w:val="20"/>
                <w:lang w:eastAsia="en-US"/>
              </w:rPr>
              <w:t>.</w:t>
            </w:r>
            <w:r w:rsidRPr="00802DF6">
              <w:rPr>
                <w:rFonts w:eastAsia="Times New Roman"/>
                <w:sz w:val="20"/>
                <w:lang w:eastAsia="en-US"/>
              </w:rPr>
              <w:t xml:space="preserve">786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Israel</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112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4E250F" w:rsidP="00D37EC5">
            <w:pPr>
              <w:rPr>
                <w:rFonts w:eastAsia="Times New Roman"/>
                <w:sz w:val="18"/>
                <w:szCs w:val="18"/>
                <w:lang w:eastAsia="en-US"/>
              </w:rPr>
            </w:pPr>
            <w:r w:rsidRPr="00802DF6">
              <w:rPr>
                <w:rFonts w:eastAsia="Times New Roman"/>
                <w:sz w:val="18"/>
                <w:szCs w:val="18"/>
                <w:lang w:eastAsia="en-US"/>
              </w:rPr>
              <w:t>Italia</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101</w:t>
            </w:r>
          </w:p>
        </w:tc>
        <w:tc>
          <w:tcPr>
            <w:tcW w:w="3180" w:type="dxa"/>
            <w:tcBorders>
              <w:top w:val="nil"/>
              <w:left w:val="nil"/>
              <w:bottom w:val="nil"/>
              <w:right w:val="nil"/>
            </w:tcBorders>
            <w:shd w:val="clear" w:color="auto" w:fill="auto"/>
            <w:noWrap/>
            <w:vAlign w:val="bottom"/>
            <w:hideMark/>
          </w:tcPr>
          <w:p w:rsidR="00E84719" w:rsidRPr="00802DF6" w:rsidRDefault="00E84719" w:rsidP="008D486E">
            <w:pPr>
              <w:rPr>
                <w:rFonts w:eastAsia="Times New Roman"/>
                <w:sz w:val="20"/>
                <w:lang w:eastAsia="en-US"/>
              </w:rPr>
            </w:pPr>
            <w:r w:rsidRPr="00802DF6">
              <w:rPr>
                <w:rFonts w:eastAsia="Times New Roman"/>
                <w:sz w:val="20"/>
                <w:lang w:eastAsia="en-US"/>
              </w:rPr>
              <w:t xml:space="preserve">                                         11</w:t>
            </w:r>
            <w:r w:rsidR="008D486E" w:rsidRPr="00802DF6">
              <w:rPr>
                <w:rFonts w:eastAsia="Times New Roman"/>
                <w:sz w:val="20"/>
                <w:lang w:eastAsia="en-US"/>
              </w:rPr>
              <w:t>.</w:t>
            </w:r>
            <w:r w:rsidRPr="00802DF6">
              <w:rPr>
                <w:rFonts w:eastAsia="Times New Roman"/>
                <w:sz w:val="20"/>
                <w:lang w:eastAsia="en-US"/>
              </w:rPr>
              <w:t xml:space="preserve">272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035A0E" w:rsidP="00D37EC5">
            <w:pPr>
              <w:rPr>
                <w:rFonts w:eastAsia="Times New Roman"/>
                <w:sz w:val="18"/>
                <w:szCs w:val="18"/>
                <w:lang w:eastAsia="en-US"/>
              </w:rPr>
            </w:pPr>
            <w:r w:rsidRPr="00802DF6">
              <w:rPr>
                <w:rFonts w:eastAsia="Times New Roman"/>
                <w:sz w:val="18"/>
                <w:szCs w:val="18"/>
                <w:lang w:eastAsia="en-US"/>
              </w:rPr>
              <w:t>México</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14</w:t>
            </w:r>
          </w:p>
        </w:tc>
        <w:tc>
          <w:tcPr>
            <w:tcW w:w="3180" w:type="dxa"/>
            <w:tcBorders>
              <w:top w:val="nil"/>
              <w:left w:val="nil"/>
              <w:bottom w:val="nil"/>
              <w:right w:val="nil"/>
            </w:tcBorders>
            <w:shd w:val="clear" w:color="auto" w:fill="auto"/>
            <w:noWrap/>
            <w:vAlign w:val="bottom"/>
            <w:hideMark/>
          </w:tcPr>
          <w:p w:rsidR="00E84719" w:rsidRPr="00802DF6" w:rsidRDefault="00E84719" w:rsidP="008D486E">
            <w:pPr>
              <w:rPr>
                <w:rFonts w:eastAsia="Times New Roman"/>
                <w:sz w:val="20"/>
                <w:lang w:eastAsia="en-US"/>
              </w:rPr>
            </w:pPr>
            <w:r w:rsidRPr="00802DF6">
              <w:rPr>
                <w:rFonts w:eastAsia="Times New Roman"/>
                <w:sz w:val="20"/>
                <w:lang w:eastAsia="en-US"/>
              </w:rPr>
              <w:t xml:space="preserve">                                          1</w:t>
            </w:r>
            <w:r w:rsidR="008D486E" w:rsidRPr="00802DF6">
              <w:rPr>
                <w:rFonts w:eastAsia="Times New Roman"/>
                <w:sz w:val="20"/>
                <w:lang w:eastAsia="en-US"/>
              </w:rPr>
              <w:t>.</w:t>
            </w:r>
            <w:r w:rsidRPr="00802DF6">
              <w:rPr>
                <w:rFonts w:eastAsia="Times New Roman"/>
                <w:sz w:val="20"/>
                <w:lang w:eastAsia="en-US"/>
              </w:rPr>
              <w:t xml:space="preserve">563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Montenegro</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2</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223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Nicaragua</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035A0E">
            <w:pPr>
              <w:rPr>
                <w:rFonts w:eastAsia="Times New Roman"/>
                <w:sz w:val="18"/>
                <w:szCs w:val="18"/>
                <w:lang w:eastAsia="en-US"/>
              </w:rPr>
            </w:pPr>
            <w:r w:rsidRPr="00802DF6">
              <w:rPr>
                <w:rFonts w:eastAsia="Times New Roman"/>
                <w:sz w:val="18"/>
                <w:szCs w:val="18"/>
                <w:lang w:eastAsia="en-US"/>
              </w:rPr>
              <w:t>Per</w:t>
            </w:r>
            <w:r w:rsidR="00035A0E" w:rsidRPr="00802DF6">
              <w:rPr>
                <w:rFonts w:eastAsia="Times New Roman"/>
                <w:sz w:val="18"/>
                <w:szCs w:val="18"/>
                <w:lang w:eastAsia="en-US"/>
              </w:rPr>
              <w:t>ú</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8</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893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Portugal</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781 </w:t>
            </w:r>
          </w:p>
        </w:tc>
      </w:tr>
      <w:tr w:rsidR="001130CB" w:rsidRPr="00802DF6" w:rsidTr="001130CB">
        <w:trPr>
          <w:trHeight w:val="255"/>
          <w:jc w:val="center"/>
        </w:trPr>
        <w:tc>
          <w:tcPr>
            <w:tcW w:w="2620" w:type="dxa"/>
            <w:tcBorders>
              <w:top w:val="nil"/>
              <w:left w:val="nil"/>
              <w:bottom w:val="nil"/>
              <w:right w:val="nil"/>
            </w:tcBorders>
            <w:shd w:val="clear" w:color="auto" w:fill="auto"/>
            <w:vAlign w:val="center"/>
            <w:hideMark/>
          </w:tcPr>
          <w:p w:rsidR="001130CB" w:rsidRPr="00802DF6" w:rsidRDefault="001130CB" w:rsidP="00370E9E">
            <w:pPr>
              <w:rPr>
                <w:rFonts w:eastAsia="Times New Roman"/>
                <w:sz w:val="18"/>
                <w:szCs w:val="18"/>
                <w:lang w:eastAsia="en-US"/>
              </w:rPr>
            </w:pPr>
            <w:r w:rsidRPr="00802DF6">
              <w:rPr>
                <w:rFonts w:eastAsia="Times New Roman"/>
                <w:sz w:val="18"/>
                <w:szCs w:val="18"/>
                <w:lang w:eastAsia="en-US"/>
              </w:rPr>
              <w:t xml:space="preserve">República Checa </w:t>
            </w:r>
          </w:p>
        </w:tc>
        <w:tc>
          <w:tcPr>
            <w:tcW w:w="1760" w:type="dxa"/>
            <w:tcBorders>
              <w:top w:val="nil"/>
              <w:left w:val="nil"/>
              <w:bottom w:val="nil"/>
              <w:right w:val="nil"/>
            </w:tcBorders>
            <w:shd w:val="clear" w:color="auto" w:fill="auto"/>
            <w:noWrap/>
            <w:vAlign w:val="bottom"/>
            <w:hideMark/>
          </w:tcPr>
          <w:p w:rsidR="001130CB" w:rsidRPr="00802DF6" w:rsidRDefault="001130CB" w:rsidP="00370E9E">
            <w:pPr>
              <w:jc w:val="right"/>
              <w:rPr>
                <w:rFonts w:eastAsia="Times New Roman"/>
                <w:sz w:val="20"/>
                <w:lang w:eastAsia="en-US"/>
              </w:rPr>
            </w:pPr>
            <w:r w:rsidRPr="00802DF6">
              <w:rPr>
                <w:rFonts w:eastAsia="Times New Roman"/>
                <w:sz w:val="20"/>
                <w:lang w:eastAsia="en-US"/>
              </w:rPr>
              <w:t>76</w:t>
            </w:r>
          </w:p>
        </w:tc>
        <w:tc>
          <w:tcPr>
            <w:tcW w:w="3180" w:type="dxa"/>
            <w:tcBorders>
              <w:top w:val="nil"/>
              <w:left w:val="nil"/>
              <w:bottom w:val="nil"/>
              <w:right w:val="nil"/>
            </w:tcBorders>
            <w:shd w:val="clear" w:color="auto" w:fill="auto"/>
            <w:noWrap/>
            <w:vAlign w:val="bottom"/>
            <w:hideMark/>
          </w:tcPr>
          <w:p w:rsidR="001130CB" w:rsidRPr="00802DF6" w:rsidRDefault="001130CB" w:rsidP="00370E9E">
            <w:pPr>
              <w:rPr>
                <w:rFonts w:eastAsia="Times New Roman"/>
                <w:sz w:val="20"/>
                <w:lang w:eastAsia="en-US"/>
              </w:rPr>
            </w:pPr>
            <w:r w:rsidRPr="00802DF6">
              <w:rPr>
                <w:rFonts w:eastAsia="Times New Roman"/>
                <w:sz w:val="20"/>
                <w:lang w:eastAsia="en-US"/>
              </w:rPr>
              <w:t xml:space="preserve">                                          8.482 </w:t>
            </w:r>
          </w:p>
        </w:tc>
      </w:tr>
      <w:tr w:rsidR="001130CB" w:rsidRPr="00802DF6" w:rsidTr="001130CB">
        <w:trPr>
          <w:trHeight w:val="255"/>
          <w:jc w:val="center"/>
        </w:trPr>
        <w:tc>
          <w:tcPr>
            <w:tcW w:w="2620" w:type="dxa"/>
            <w:tcBorders>
              <w:top w:val="nil"/>
              <w:left w:val="nil"/>
              <w:bottom w:val="nil"/>
              <w:right w:val="nil"/>
            </w:tcBorders>
            <w:shd w:val="clear" w:color="auto" w:fill="auto"/>
            <w:vAlign w:val="center"/>
            <w:hideMark/>
          </w:tcPr>
          <w:p w:rsidR="001130CB" w:rsidRPr="00802DF6" w:rsidRDefault="001130CB" w:rsidP="00370E9E">
            <w:pPr>
              <w:rPr>
                <w:rFonts w:eastAsia="Times New Roman"/>
                <w:sz w:val="18"/>
                <w:szCs w:val="18"/>
                <w:lang w:eastAsia="en-US"/>
              </w:rPr>
            </w:pPr>
            <w:r w:rsidRPr="00802DF6">
              <w:rPr>
                <w:rFonts w:eastAsia="Times New Roman"/>
                <w:sz w:val="18"/>
                <w:szCs w:val="18"/>
                <w:lang w:eastAsia="en-US"/>
              </w:rPr>
              <w:t xml:space="preserve">República de Moldova </w:t>
            </w:r>
          </w:p>
        </w:tc>
        <w:tc>
          <w:tcPr>
            <w:tcW w:w="1760" w:type="dxa"/>
            <w:tcBorders>
              <w:top w:val="nil"/>
              <w:left w:val="nil"/>
              <w:bottom w:val="nil"/>
              <w:right w:val="nil"/>
            </w:tcBorders>
            <w:shd w:val="clear" w:color="auto" w:fill="auto"/>
            <w:noWrap/>
            <w:vAlign w:val="bottom"/>
            <w:hideMark/>
          </w:tcPr>
          <w:p w:rsidR="001130CB" w:rsidRPr="00802DF6" w:rsidRDefault="001130CB" w:rsidP="00370E9E">
            <w:pPr>
              <w:jc w:val="right"/>
              <w:rPr>
                <w:rFonts w:eastAsia="Times New Roman"/>
                <w:sz w:val="20"/>
                <w:lang w:eastAsia="en-US"/>
              </w:rPr>
            </w:pPr>
            <w:r w:rsidRPr="00802DF6">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1130CB" w:rsidRPr="00802DF6" w:rsidRDefault="001130CB" w:rsidP="00370E9E">
            <w:pPr>
              <w:rPr>
                <w:rFonts w:eastAsia="Times New Roman"/>
                <w:sz w:val="20"/>
                <w:lang w:eastAsia="en-US"/>
              </w:rPr>
            </w:pPr>
            <w:r w:rsidRPr="00802DF6">
              <w:rPr>
                <w:rFonts w:eastAsia="Times New Roman"/>
                <w:sz w:val="20"/>
                <w:lang w:eastAsia="en-US"/>
              </w:rPr>
              <w:t xml:space="preserve">                                             112 </w:t>
            </w:r>
          </w:p>
        </w:tc>
      </w:tr>
      <w:tr w:rsidR="001130CB" w:rsidRPr="00802DF6" w:rsidTr="001130CB">
        <w:trPr>
          <w:trHeight w:val="255"/>
          <w:jc w:val="center"/>
        </w:trPr>
        <w:tc>
          <w:tcPr>
            <w:tcW w:w="2620" w:type="dxa"/>
            <w:tcBorders>
              <w:top w:val="nil"/>
              <w:left w:val="nil"/>
              <w:bottom w:val="nil"/>
              <w:right w:val="nil"/>
            </w:tcBorders>
            <w:shd w:val="clear" w:color="auto" w:fill="auto"/>
            <w:vAlign w:val="center"/>
            <w:hideMark/>
          </w:tcPr>
          <w:p w:rsidR="001130CB" w:rsidRPr="00802DF6" w:rsidRDefault="001130CB" w:rsidP="00196B98">
            <w:pPr>
              <w:ind w:left="129" w:hanging="129"/>
              <w:rPr>
                <w:rFonts w:eastAsia="Times New Roman"/>
                <w:sz w:val="18"/>
                <w:szCs w:val="18"/>
                <w:lang w:eastAsia="en-US"/>
              </w:rPr>
            </w:pPr>
            <w:r w:rsidRPr="00802DF6">
              <w:rPr>
                <w:rFonts w:eastAsia="Times New Roman"/>
                <w:sz w:val="18"/>
                <w:szCs w:val="18"/>
                <w:lang w:eastAsia="en-US"/>
              </w:rPr>
              <w:t>República Popular Democrática de Corea</w:t>
            </w:r>
          </w:p>
        </w:tc>
        <w:tc>
          <w:tcPr>
            <w:tcW w:w="1760" w:type="dxa"/>
            <w:tcBorders>
              <w:top w:val="nil"/>
              <w:left w:val="nil"/>
              <w:bottom w:val="nil"/>
              <w:right w:val="nil"/>
            </w:tcBorders>
            <w:shd w:val="clear" w:color="auto" w:fill="auto"/>
            <w:noWrap/>
            <w:vAlign w:val="bottom"/>
            <w:hideMark/>
          </w:tcPr>
          <w:p w:rsidR="001130CB" w:rsidRPr="00802DF6" w:rsidRDefault="001130CB" w:rsidP="00370E9E">
            <w:pPr>
              <w:jc w:val="right"/>
              <w:rPr>
                <w:rFonts w:eastAsia="Times New Roman"/>
                <w:sz w:val="20"/>
                <w:lang w:eastAsia="en-US"/>
              </w:rPr>
            </w:pPr>
            <w:r w:rsidRPr="00802DF6">
              <w:rPr>
                <w:rFonts w:eastAsia="Times New Roman"/>
                <w:sz w:val="20"/>
                <w:lang w:eastAsia="en-US"/>
              </w:rPr>
              <w:t>6</w:t>
            </w:r>
          </w:p>
        </w:tc>
        <w:tc>
          <w:tcPr>
            <w:tcW w:w="3180" w:type="dxa"/>
            <w:tcBorders>
              <w:top w:val="nil"/>
              <w:left w:val="nil"/>
              <w:bottom w:val="nil"/>
              <w:right w:val="nil"/>
            </w:tcBorders>
            <w:shd w:val="clear" w:color="auto" w:fill="auto"/>
            <w:noWrap/>
            <w:vAlign w:val="bottom"/>
            <w:hideMark/>
          </w:tcPr>
          <w:p w:rsidR="001130CB" w:rsidRPr="00802DF6" w:rsidRDefault="001130CB" w:rsidP="00370E9E">
            <w:pPr>
              <w:rPr>
                <w:rFonts w:eastAsia="Times New Roman"/>
                <w:sz w:val="20"/>
                <w:lang w:eastAsia="en-US"/>
              </w:rPr>
            </w:pPr>
            <w:r w:rsidRPr="00802DF6">
              <w:rPr>
                <w:rFonts w:eastAsia="Times New Roman"/>
                <w:sz w:val="20"/>
                <w:lang w:eastAsia="en-US"/>
              </w:rPr>
              <w:t xml:space="preserve">                                             670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Serbia</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3</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335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E84719" w:rsidP="00D37EC5">
            <w:pPr>
              <w:rPr>
                <w:rFonts w:eastAsia="Times New Roman"/>
                <w:sz w:val="18"/>
                <w:szCs w:val="18"/>
                <w:lang w:eastAsia="en-US"/>
              </w:rPr>
            </w:pPr>
            <w:r w:rsidRPr="00802DF6">
              <w:rPr>
                <w:rFonts w:eastAsia="Times New Roman"/>
                <w:sz w:val="18"/>
                <w:szCs w:val="18"/>
                <w:lang w:eastAsia="en-US"/>
              </w:rPr>
              <w:t>Togo</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035A0E" w:rsidP="00D37EC5">
            <w:pPr>
              <w:rPr>
                <w:rFonts w:eastAsia="Times New Roman"/>
                <w:sz w:val="18"/>
                <w:szCs w:val="18"/>
                <w:lang w:eastAsia="en-US"/>
              </w:rPr>
            </w:pPr>
            <w:r w:rsidRPr="00802DF6">
              <w:rPr>
                <w:rFonts w:eastAsia="Times New Roman"/>
                <w:sz w:val="18"/>
                <w:szCs w:val="18"/>
                <w:lang w:eastAsia="en-US"/>
              </w:rPr>
              <w:t>Túnez</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sz w:val="20"/>
                <w:lang w:eastAsia="en-US"/>
              </w:rPr>
            </w:pPr>
            <w:r w:rsidRPr="00802DF6">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r w:rsidRPr="00802DF6">
              <w:rPr>
                <w:rFonts w:eastAsia="Times New Roman"/>
                <w:sz w:val="20"/>
                <w:lang w:eastAsia="en-US"/>
              </w:rPr>
              <w:t xml:space="preserve">                                             781 </w:t>
            </w:r>
          </w:p>
        </w:tc>
      </w:tr>
      <w:tr w:rsidR="00590BED" w:rsidRPr="00802DF6" w:rsidTr="00D37EC5">
        <w:trPr>
          <w:trHeight w:val="255"/>
          <w:jc w:val="center"/>
        </w:trPr>
        <w:tc>
          <w:tcPr>
            <w:tcW w:w="2620" w:type="dxa"/>
            <w:tcBorders>
              <w:top w:val="nil"/>
              <w:left w:val="nil"/>
              <w:bottom w:val="nil"/>
              <w:right w:val="nil"/>
            </w:tcBorders>
            <w:shd w:val="clear" w:color="auto" w:fill="auto"/>
            <w:vAlign w:val="center"/>
            <w:hideMark/>
          </w:tcPr>
          <w:p w:rsidR="00E84719" w:rsidRPr="00802DF6" w:rsidRDefault="00A95624" w:rsidP="00035A0E">
            <w:pPr>
              <w:rPr>
                <w:rFonts w:eastAsia="Times New Roman"/>
                <w:b/>
                <w:bCs/>
                <w:sz w:val="18"/>
                <w:szCs w:val="18"/>
                <w:lang w:eastAsia="en-US"/>
              </w:rPr>
            </w:pPr>
            <w:r w:rsidRPr="00802DF6">
              <w:rPr>
                <w:rFonts w:eastAsia="Times New Roman"/>
                <w:b/>
                <w:bCs/>
                <w:sz w:val="18"/>
                <w:szCs w:val="18"/>
                <w:lang w:eastAsia="en-US"/>
              </w:rPr>
              <w:t>C</w:t>
            </w:r>
            <w:r w:rsidR="00035A0E" w:rsidRPr="00802DF6">
              <w:rPr>
                <w:rFonts w:eastAsia="Times New Roman"/>
                <w:b/>
                <w:bCs/>
                <w:sz w:val="18"/>
                <w:szCs w:val="18"/>
                <w:lang w:eastAsia="en-US"/>
              </w:rPr>
              <w:t>ontribuciones</w:t>
            </w:r>
            <w:r w:rsidR="00E84719" w:rsidRPr="00802DF6">
              <w:rPr>
                <w:rFonts w:eastAsia="Times New Roman"/>
                <w:b/>
                <w:bCs/>
                <w:sz w:val="18"/>
                <w:szCs w:val="18"/>
                <w:lang w:eastAsia="en-US"/>
              </w:rPr>
              <w:t xml:space="preserve"> </w:t>
            </w:r>
            <w:r w:rsidRPr="00802DF6">
              <w:rPr>
                <w:rFonts w:eastAsia="Times New Roman"/>
                <w:b/>
                <w:bCs/>
                <w:sz w:val="18"/>
                <w:szCs w:val="18"/>
                <w:lang w:eastAsia="en-US"/>
              </w:rPr>
              <w:t>totales</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c>
          <w:tcPr>
            <w:tcW w:w="3180" w:type="dxa"/>
            <w:tcBorders>
              <w:top w:val="nil"/>
              <w:left w:val="nil"/>
              <w:bottom w:val="nil"/>
              <w:right w:val="nil"/>
            </w:tcBorders>
            <w:shd w:val="clear" w:color="auto" w:fill="auto"/>
            <w:noWrap/>
            <w:vAlign w:val="bottom"/>
            <w:hideMark/>
          </w:tcPr>
          <w:p w:rsidR="00E84719" w:rsidRPr="00802DF6" w:rsidRDefault="00E84719" w:rsidP="008D486E">
            <w:pPr>
              <w:rPr>
                <w:rFonts w:eastAsia="Times New Roman"/>
                <w:b/>
                <w:bCs/>
                <w:sz w:val="20"/>
                <w:lang w:eastAsia="en-US"/>
              </w:rPr>
            </w:pPr>
            <w:r w:rsidRPr="00802DF6">
              <w:rPr>
                <w:rFonts w:eastAsia="Times New Roman"/>
                <w:b/>
                <w:bCs/>
                <w:sz w:val="20"/>
                <w:lang w:eastAsia="en-US"/>
              </w:rPr>
              <w:t xml:space="preserve">                                       100</w:t>
            </w:r>
            <w:r w:rsidR="008D486E" w:rsidRPr="00802DF6">
              <w:rPr>
                <w:rFonts w:eastAsia="Times New Roman"/>
                <w:b/>
                <w:bCs/>
                <w:sz w:val="20"/>
                <w:lang w:eastAsia="en-US"/>
              </w:rPr>
              <w:t>.</w:t>
            </w:r>
            <w:r w:rsidRPr="00802DF6">
              <w:rPr>
                <w:rFonts w:eastAsia="Times New Roman"/>
                <w:b/>
                <w:bCs/>
                <w:sz w:val="20"/>
                <w:lang w:eastAsia="en-US"/>
              </w:rPr>
              <w:t xml:space="preserve">000 </w:t>
            </w:r>
          </w:p>
        </w:tc>
      </w:tr>
      <w:tr w:rsidR="00590BED" w:rsidRPr="00802DF6" w:rsidTr="00D37EC5">
        <w:trPr>
          <w:trHeight w:val="255"/>
          <w:jc w:val="center"/>
        </w:trPr>
        <w:tc>
          <w:tcPr>
            <w:tcW w:w="2620" w:type="dxa"/>
            <w:tcBorders>
              <w:top w:val="nil"/>
              <w:left w:val="nil"/>
              <w:bottom w:val="nil"/>
              <w:right w:val="nil"/>
            </w:tcBorders>
            <w:shd w:val="clear" w:color="auto" w:fill="auto"/>
            <w:noWrap/>
            <w:vAlign w:val="bottom"/>
            <w:hideMark/>
          </w:tcPr>
          <w:p w:rsidR="00E84719" w:rsidRPr="00802DF6" w:rsidRDefault="00035A0E" w:rsidP="00D37EC5">
            <w:pPr>
              <w:jc w:val="right"/>
              <w:rPr>
                <w:rFonts w:eastAsia="Times New Roman"/>
                <w:sz w:val="20"/>
                <w:lang w:eastAsia="en-US"/>
              </w:rPr>
            </w:pPr>
            <w:r w:rsidRPr="00802DF6">
              <w:rPr>
                <w:rFonts w:eastAsia="Times New Roman"/>
                <w:sz w:val="20"/>
                <w:lang w:eastAsia="en-US"/>
              </w:rPr>
              <w:t>Nº total</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b/>
                <w:bCs/>
                <w:sz w:val="20"/>
                <w:lang w:eastAsia="en-US"/>
              </w:rPr>
            </w:pPr>
            <w:r w:rsidRPr="00802DF6">
              <w:rPr>
                <w:rFonts w:eastAsia="Times New Roman"/>
                <w:b/>
                <w:bCs/>
                <w:sz w:val="20"/>
                <w:lang w:eastAsia="en-US"/>
              </w:rPr>
              <w:t>28</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r>
      <w:tr w:rsidR="00590BED" w:rsidRPr="00802DF6" w:rsidTr="00D37EC5">
        <w:trPr>
          <w:trHeight w:val="255"/>
          <w:jc w:val="center"/>
        </w:trPr>
        <w:tc>
          <w:tcPr>
            <w:tcW w:w="2620" w:type="dxa"/>
            <w:tcBorders>
              <w:top w:val="nil"/>
              <w:left w:val="nil"/>
              <w:bottom w:val="nil"/>
              <w:right w:val="nil"/>
            </w:tcBorders>
            <w:shd w:val="clear" w:color="auto" w:fill="auto"/>
            <w:noWrap/>
            <w:vAlign w:val="bottom"/>
            <w:hideMark/>
          </w:tcPr>
          <w:p w:rsidR="00E84719" w:rsidRPr="00802DF6" w:rsidRDefault="00035A0E" w:rsidP="00035A0E">
            <w:pPr>
              <w:jc w:val="right"/>
              <w:rPr>
                <w:rFonts w:eastAsia="Times New Roman"/>
                <w:sz w:val="20"/>
                <w:lang w:eastAsia="en-US"/>
              </w:rPr>
            </w:pPr>
            <w:r w:rsidRPr="00802DF6">
              <w:rPr>
                <w:rFonts w:eastAsia="Times New Roman"/>
                <w:sz w:val="20"/>
                <w:lang w:eastAsia="en-US"/>
              </w:rPr>
              <w:t>Nº total de unidades</w:t>
            </w:r>
          </w:p>
        </w:tc>
        <w:tc>
          <w:tcPr>
            <w:tcW w:w="1760" w:type="dxa"/>
            <w:tcBorders>
              <w:top w:val="nil"/>
              <w:left w:val="nil"/>
              <w:bottom w:val="nil"/>
              <w:right w:val="nil"/>
            </w:tcBorders>
            <w:shd w:val="clear" w:color="auto" w:fill="auto"/>
            <w:noWrap/>
            <w:vAlign w:val="bottom"/>
            <w:hideMark/>
          </w:tcPr>
          <w:p w:rsidR="00E84719" w:rsidRPr="00802DF6" w:rsidRDefault="00E84719" w:rsidP="00D37EC5">
            <w:pPr>
              <w:jc w:val="right"/>
              <w:rPr>
                <w:rFonts w:eastAsia="Times New Roman"/>
                <w:b/>
                <w:bCs/>
                <w:sz w:val="20"/>
                <w:lang w:eastAsia="en-US"/>
              </w:rPr>
            </w:pPr>
            <w:r w:rsidRPr="00802DF6">
              <w:rPr>
                <w:rFonts w:eastAsia="Times New Roman"/>
                <w:b/>
                <w:bCs/>
                <w:sz w:val="20"/>
                <w:lang w:eastAsia="en-US"/>
              </w:rPr>
              <w:t>896</w:t>
            </w:r>
          </w:p>
        </w:tc>
        <w:tc>
          <w:tcPr>
            <w:tcW w:w="3180" w:type="dxa"/>
            <w:tcBorders>
              <w:top w:val="nil"/>
              <w:left w:val="nil"/>
              <w:bottom w:val="nil"/>
              <w:right w:val="nil"/>
            </w:tcBorders>
            <w:shd w:val="clear" w:color="auto" w:fill="auto"/>
            <w:noWrap/>
            <w:vAlign w:val="bottom"/>
            <w:hideMark/>
          </w:tcPr>
          <w:p w:rsidR="00E84719" w:rsidRPr="00802DF6" w:rsidRDefault="00E84719" w:rsidP="00D37EC5">
            <w:pPr>
              <w:rPr>
                <w:rFonts w:eastAsia="Times New Roman"/>
                <w:sz w:val="20"/>
                <w:lang w:eastAsia="en-US"/>
              </w:rPr>
            </w:pPr>
          </w:p>
        </w:tc>
      </w:tr>
    </w:tbl>
    <w:p w:rsidR="00E84719" w:rsidRPr="00802DF6" w:rsidRDefault="00E84719" w:rsidP="00E84719">
      <w:pPr>
        <w:rPr>
          <w:szCs w:val="22"/>
        </w:rPr>
      </w:pPr>
    </w:p>
    <w:p w:rsidR="00E84719" w:rsidRPr="00802DF6" w:rsidRDefault="00E84719" w:rsidP="00E84719">
      <w:pPr>
        <w:rPr>
          <w:szCs w:val="22"/>
        </w:rPr>
      </w:pPr>
    </w:p>
    <w:p w:rsidR="00E84719" w:rsidRPr="00802DF6" w:rsidRDefault="00E84719" w:rsidP="00E84719">
      <w:pPr>
        <w:rPr>
          <w:szCs w:val="22"/>
        </w:rPr>
      </w:pPr>
    </w:p>
    <w:p w:rsidR="00E84719" w:rsidRPr="00802DF6" w:rsidRDefault="00E84719" w:rsidP="00035A0E">
      <w:pPr>
        <w:pStyle w:val="Endofdocument-Annex"/>
        <w:rPr>
          <w:lang w:val="es-ES"/>
        </w:rPr>
      </w:pPr>
      <w:r w:rsidRPr="00802DF6">
        <w:rPr>
          <w:lang w:val="es-ES"/>
        </w:rPr>
        <w:t>[</w:t>
      </w:r>
      <w:r w:rsidR="00035A0E" w:rsidRPr="00802DF6">
        <w:rPr>
          <w:lang w:val="es-ES"/>
        </w:rPr>
        <w:t>Fin del Anexo y del documento</w:t>
      </w:r>
      <w:r w:rsidRPr="00802DF6">
        <w:rPr>
          <w:lang w:val="es-ES"/>
        </w:rPr>
        <w:t>]</w:t>
      </w:r>
    </w:p>
    <w:p w:rsidR="00152CEA" w:rsidRPr="00802DF6" w:rsidRDefault="00152CEA" w:rsidP="00E84719"/>
    <w:sectPr w:rsidR="00152CEA" w:rsidRPr="00802DF6" w:rsidSect="00E84719">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A9C" w:rsidRDefault="00180A9C">
      <w:r>
        <w:separator/>
      </w:r>
    </w:p>
  </w:endnote>
  <w:endnote w:type="continuationSeparator" w:id="0">
    <w:p w:rsidR="00180A9C" w:rsidRPr="009D30E6" w:rsidRDefault="00180A9C" w:rsidP="007E663E">
      <w:pPr>
        <w:rPr>
          <w:sz w:val="17"/>
          <w:szCs w:val="17"/>
        </w:rPr>
      </w:pPr>
      <w:r w:rsidRPr="009D30E6">
        <w:rPr>
          <w:sz w:val="17"/>
          <w:szCs w:val="17"/>
        </w:rPr>
        <w:separator/>
      </w:r>
    </w:p>
    <w:p w:rsidR="00180A9C" w:rsidRPr="007E663E" w:rsidRDefault="00180A9C" w:rsidP="007E663E">
      <w:pPr>
        <w:spacing w:after="60"/>
        <w:rPr>
          <w:sz w:val="17"/>
          <w:szCs w:val="17"/>
        </w:rPr>
      </w:pPr>
      <w:r>
        <w:rPr>
          <w:sz w:val="17"/>
        </w:rPr>
        <w:t>[Continuación de la nota de la página anterior]</w:t>
      </w:r>
    </w:p>
  </w:endnote>
  <w:endnote w:type="continuationNotice" w:id="1">
    <w:p w:rsidR="00180A9C" w:rsidRPr="007E663E" w:rsidRDefault="00180A9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A9C" w:rsidRDefault="00180A9C">
      <w:r>
        <w:separator/>
      </w:r>
    </w:p>
  </w:footnote>
  <w:footnote w:type="continuationSeparator" w:id="0">
    <w:p w:rsidR="00180A9C" w:rsidRPr="009D30E6" w:rsidRDefault="00180A9C" w:rsidP="007E663E">
      <w:pPr>
        <w:rPr>
          <w:sz w:val="17"/>
          <w:szCs w:val="17"/>
        </w:rPr>
      </w:pPr>
      <w:r w:rsidRPr="009D30E6">
        <w:rPr>
          <w:sz w:val="17"/>
          <w:szCs w:val="17"/>
        </w:rPr>
        <w:separator/>
      </w:r>
    </w:p>
    <w:p w:rsidR="00180A9C" w:rsidRPr="007E663E" w:rsidRDefault="00180A9C" w:rsidP="007E663E">
      <w:pPr>
        <w:spacing w:after="60"/>
        <w:rPr>
          <w:sz w:val="17"/>
          <w:szCs w:val="17"/>
        </w:rPr>
      </w:pPr>
      <w:r>
        <w:rPr>
          <w:sz w:val="17"/>
        </w:rPr>
        <w:t>[Continuación de la nota de la página anterior]</w:t>
      </w:r>
    </w:p>
  </w:footnote>
  <w:footnote w:type="continuationNotice" w:id="1">
    <w:p w:rsidR="00180A9C" w:rsidRPr="007E663E" w:rsidRDefault="00180A9C" w:rsidP="007E663E">
      <w:pPr>
        <w:spacing w:before="60"/>
        <w:jc w:val="right"/>
        <w:rPr>
          <w:sz w:val="17"/>
          <w:szCs w:val="17"/>
        </w:rPr>
      </w:pPr>
      <w:r w:rsidRPr="007E663E">
        <w:rPr>
          <w:sz w:val="17"/>
          <w:szCs w:val="17"/>
        </w:rPr>
        <w:t>[Sigue la nota en la página siguiente]</w:t>
      </w:r>
    </w:p>
  </w:footnote>
  <w:footnote w:id="2">
    <w:p w:rsidR="00180A9C" w:rsidRPr="004439F0" w:rsidRDefault="00180A9C" w:rsidP="004439F0">
      <w:pPr>
        <w:pStyle w:val="FootnoteText"/>
        <w:rPr>
          <w:szCs w:val="18"/>
        </w:rPr>
      </w:pPr>
      <w:r w:rsidRPr="00537490">
        <w:rPr>
          <w:rStyle w:val="FootnoteReference"/>
          <w:szCs w:val="18"/>
        </w:rPr>
        <w:footnoteRef/>
      </w:r>
      <w:r w:rsidRPr="004439F0">
        <w:rPr>
          <w:szCs w:val="18"/>
        </w:rPr>
        <w:t xml:space="preserve"> Lista de decisiones, Comité del Programa y Presupuesto, vigesimotercera </w:t>
      </w:r>
      <w:r w:rsidR="00DA3068">
        <w:rPr>
          <w:szCs w:val="18"/>
        </w:rPr>
        <w:t>s</w:t>
      </w:r>
      <w:r w:rsidRPr="004439F0">
        <w:rPr>
          <w:szCs w:val="18"/>
        </w:rPr>
        <w:t>e</w:t>
      </w:r>
      <w:r w:rsidR="00DA3068">
        <w:rPr>
          <w:szCs w:val="18"/>
        </w:rPr>
        <w:t>s</w:t>
      </w:r>
      <w:r w:rsidRPr="004439F0">
        <w:rPr>
          <w:szCs w:val="18"/>
        </w:rPr>
        <w:t>i</w:t>
      </w:r>
      <w:r>
        <w:rPr>
          <w:szCs w:val="18"/>
        </w:rPr>
        <w:t>ón</w:t>
      </w:r>
      <w:r w:rsidRPr="004439F0">
        <w:rPr>
          <w:szCs w:val="18"/>
        </w:rPr>
        <w:t xml:space="preserve">, </w:t>
      </w:r>
      <w:r>
        <w:rPr>
          <w:szCs w:val="18"/>
        </w:rPr>
        <w:t>Ginebra</w:t>
      </w:r>
      <w:r w:rsidRPr="004439F0">
        <w:rPr>
          <w:szCs w:val="18"/>
        </w:rPr>
        <w:t xml:space="preserve">, </w:t>
      </w:r>
      <w:r>
        <w:rPr>
          <w:szCs w:val="18"/>
        </w:rPr>
        <w:t xml:space="preserve">13 a 17 de julio de </w:t>
      </w:r>
      <w:r w:rsidRPr="004439F0">
        <w:rPr>
          <w:szCs w:val="18"/>
        </w:rPr>
        <w:t>2015 (</w:t>
      </w:r>
      <w:r w:rsidRPr="00DB1800">
        <w:rPr>
          <w:szCs w:val="18"/>
        </w:rPr>
        <w:t>WO/PBC/23/9).</w:t>
      </w:r>
    </w:p>
  </w:footnote>
  <w:footnote w:id="3">
    <w:p w:rsidR="00180A9C" w:rsidRPr="00287190" w:rsidRDefault="00180A9C" w:rsidP="00A92DF4">
      <w:pPr>
        <w:pStyle w:val="FootnoteText"/>
        <w:rPr>
          <w:szCs w:val="18"/>
        </w:rPr>
      </w:pPr>
      <w:r w:rsidRPr="00287190">
        <w:rPr>
          <w:rStyle w:val="FootnoteReference"/>
          <w:szCs w:val="18"/>
        </w:rPr>
        <w:footnoteRef/>
      </w:r>
      <w:r w:rsidRPr="00287190">
        <w:rPr>
          <w:szCs w:val="18"/>
        </w:rPr>
        <w:t xml:space="preserve"> Incluidos los ajustes realizados conforme a las IPSAS.</w:t>
      </w:r>
    </w:p>
  </w:footnote>
  <w:footnote w:id="4">
    <w:p w:rsidR="00180A9C" w:rsidRPr="00287190" w:rsidRDefault="00180A9C" w:rsidP="007201B3">
      <w:pPr>
        <w:pStyle w:val="FootnoteText"/>
        <w:rPr>
          <w:szCs w:val="18"/>
        </w:rPr>
      </w:pPr>
      <w:r w:rsidRPr="00287190">
        <w:rPr>
          <w:rStyle w:val="FootnoteReference"/>
          <w:szCs w:val="18"/>
        </w:rPr>
        <w:footnoteRef/>
      </w:r>
      <w:r w:rsidRPr="00287190">
        <w:rPr>
          <w:szCs w:val="18"/>
        </w:rPr>
        <w:t xml:space="preserve">. Los cálculos se basan en el promedio de solicitudes recibidas a lo largo de los últimos 20 años, ya que el número de otras transacciones, como las modificaciones o los extractos del Registro Internacional, entre otros, se sitúa, de media, en 2,5 </w:t>
      </w:r>
      <w:r w:rsidR="007201B3">
        <w:rPr>
          <w:szCs w:val="18"/>
        </w:rPr>
        <w:t>por</w:t>
      </w:r>
      <w:r w:rsidR="001D6CCE">
        <w:rPr>
          <w:szCs w:val="18"/>
        </w:rPr>
        <w:t xml:space="preserve"> año.</w:t>
      </w:r>
    </w:p>
  </w:footnote>
  <w:footnote w:id="5">
    <w:p w:rsidR="00180A9C" w:rsidRPr="00287190" w:rsidRDefault="00180A9C" w:rsidP="00D01565">
      <w:pPr>
        <w:pStyle w:val="FootnoteText"/>
        <w:rPr>
          <w:szCs w:val="18"/>
        </w:rPr>
      </w:pPr>
      <w:r w:rsidRPr="00287190">
        <w:rPr>
          <w:rStyle w:val="FootnoteReference"/>
          <w:szCs w:val="18"/>
        </w:rPr>
        <w:footnoteRef/>
      </w:r>
      <w:r w:rsidRPr="00287190">
        <w:rPr>
          <w:szCs w:val="18"/>
        </w:rPr>
        <w:t xml:space="preserve"> Véase el documento LI/A/32/2.</w:t>
      </w:r>
    </w:p>
  </w:footnote>
  <w:footnote w:id="6">
    <w:p w:rsidR="00180A9C" w:rsidRPr="00287190" w:rsidRDefault="00180A9C" w:rsidP="007532E7">
      <w:pPr>
        <w:pStyle w:val="FootnoteText"/>
        <w:rPr>
          <w:szCs w:val="18"/>
        </w:rPr>
      </w:pPr>
      <w:r w:rsidRPr="00287190">
        <w:rPr>
          <w:sz w:val="12"/>
          <w:szCs w:val="12"/>
        </w:rPr>
        <w:footnoteRef/>
      </w:r>
      <w:r w:rsidRPr="00287190">
        <w:rPr>
          <w:szCs w:val="18"/>
        </w:rPr>
        <w:t xml:space="preserve"> El cálculo se basa en el supuesto de que la Asamblea de la Unión de Lisboa aprueb</w:t>
      </w:r>
      <w:r w:rsidR="007201B3">
        <w:rPr>
          <w:szCs w:val="18"/>
        </w:rPr>
        <w:t>e</w:t>
      </w:r>
      <w:r w:rsidRPr="00287190">
        <w:rPr>
          <w:szCs w:val="18"/>
        </w:rPr>
        <w:t xml:space="preserve"> la nueva tabla de tasas propuesta, lo que haría que la tasa por la modificación de un registro internacional </w:t>
      </w:r>
      <w:r w:rsidR="007201B3">
        <w:rPr>
          <w:szCs w:val="18"/>
        </w:rPr>
        <w:t>fuera de</w:t>
      </w:r>
      <w:r w:rsidRPr="00287190">
        <w:rPr>
          <w:szCs w:val="18"/>
        </w:rPr>
        <w:t xml:space="preserve"> 1.500 francos suizos.  </w:t>
      </w:r>
      <w:r w:rsidR="00FF2599">
        <w:rPr>
          <w:szCs w:val="18"/>
        </w:rPr>
        <w:t xml:space="preserve">En </w:t>
      </w:r>
      <w:r w:rsidR="00FF2599" w:rsidRPr="00425F98">
        <w:rPr>
          <w:szCs w:val="18"/>
        </w:rPr>
        <w:t>el bienio 2016/17, se obtendrían</w:t>
      </w:r>
      <w:r w:rsidRPr="00425F98">
        <w:rPr>
          <w:szCs w:val="18"/>
        </w:rPr>
        <w:t xml:space="preserve"> 30.000 francos suizos </w:t>
      </w:r>
      <w:r w:rsidR="00FF2599" w:rsidRPr="00425F98">
        <w:rPr>
          <w:szCs w:val="18"/>
        </w:rPr>
        <w:t xml:space="preserve">al año en concepto </w:t>
      </w:r>
      <w:r w:rsidR="007532E7" w:rsidRPr="00425F98">
        <w:rPr>
          <w:szCs w:val="18"/>
        </w:rPr>
        <w:t>ingresos percibidos por</w:t>
      </w:r>
      <w:r w:rsidR="007B6134" w:rsidRPr="00425F98">
        <w:rPr>
          <w:szCs w:val="18"/>
        </w:rPr>
        <w:t xml:space="preserve"> las</w:t>
      </w:r>
      <w:r w:rsidR="00FF2599" w:rsidRPr="00425F98">
        <w:rPr>
          <w:szCs w:val="18"/>
        </w:rPr>
        <w:t xml:space="preserve"> modificaciones.</w:t>
      </w:r>
      <w:r w:rsidRPr="00287190">
        <w:rPr>
          <w:szCs w:val="18"/>
        </w:rPr>
        <w:t xml:space="preserve"> </w:t>
      </w:r>
      <w:r w:rsidR="00287190">
        <w:rPr>
          <w:szCs w:val="18"/>
        </w:rPr>
        <w:t xml:space="preserve">   </w:t>
      </w:r>
    </w:p>
  </w:footnote>
  <w:footnote w:id="7">
    <w:p w:rsidR="00180A9C" w:rsidRPr="002F3019" w:rsidRDefault="00180A9C" w:rsidP="004138C6">
      <w:pPr>
        <w:pStyle w:val="FootnoteText"/>
        <w:rPr>
          <w:szCs w:val="18"/>
        </w:rPr>
      </w:pPr>
      <w:r w:rsidRPr="00A42146">
        <w:rPr>
          <w:sz w:val="12"/>
          <w:szCs w:val="18"/>
        </w:rPr>
        <w:footnoteRef/>
      </w:r>
      <w:r w:rsidRPr="00B60496">
        <w:rPr>
          <w:szCs w:val="18"/>
        </w:rPr>
        <w:t xml:space="preserve"> </w:t>
      </w:r>
      <w:r w:rsidR="002F3019" w:rsidRPr="002F3019">
        <w:rPr>
          <w:szCs w:val="18"/>
        </w:rPr>
        <w:t>E</w:t>
      </w:r>
      <w:r w:rsidR="002F3019">
        <w:rPr>
          <w:szCs w:val="18"/>
        </w:rPr>
        <w:t>n e</w:t>
      </w:r>
      <w:r w:rsidR="002F3019" w:rsidRPr="002F3019">
        <w:rPr>
          <w:szCs w:val="18"/>
        </w:rPr>
        <w:t>l cálculo de las tasas de registro internacional necesario para ambas situaciones hipot</w:t>
      </w:r>
      <w:r w:rsidR="002F3019">
        <w:rPr>
          <w:szCs w:val="18"/>
        </w:rPr>
        <w:t xml:space="preserve">éticas no se tiene en cuenta la proporción de “Otros ingresos” atribuida a la Unión de Lisboa según la metodología </w:t>
      </w:r>
      <w:r w:rsidR="004138C6">
        <w:rPr>
          <w:szCs w:val="18"/>
        </w:rPr>
        <w:t>para</w:t>
      </w:r>
      <w:r w:rsidR="002F3019">
        <w:rPr>
          <w:szCs w:val="18"/>
        </w:rPr>
        <w:t xml:space="preserve"> la asignación de los ingresos por Unión descrita en el Anexo III del proyecto de propuesta de presupuesto por programas para el bienio 2016/17.</w:t>
      </w:r>
      <w:r w:rsidR="002A7BFF">
        <w:rPr>
          <w:szCs w:val="18"/>
        </w:rPr>
        <w:t xml:space="preserve">  Si se tomara en consideración esa proporción de “Otros ingresos”, sería necesario que lo percibido en concepto de tasas de registro internacional ascendiera a 55.464 francos suizos y 37.325 francos suizos, respectivamente.</w:t>
      </w:r>
    </w:p>
  </w:footnote>
  <w:footnote w:id="8">
    <w:p w:rsidR="00180A9C" w:rsidRPr="009E0594" w:rsidRDefault="00180A9C" w:rsidP="009E0594">
      <w:pPr>
        <w:pStyle w:val="FootnoteText"/>
        <w:rPr>
          <w:szCs w:val="18"/>
        </w:rPr>
      </w:pPr>
      <w:r w:rsidRPr="00287190">
        <w:rPr>
          <w:rStyle w:val="FootnoteReference"/>
          <w:szCs w:val="18"/>
        </w:rPr>
        <w:footnoteRef/>
      </w:r>
      <w:r w:rsidR="009E0594" w:rsidRPr="00287190">
        <w:rPr>
          <w:szCs w:val="18"/>
        </w:rPr>
        <w:t xml:space="preserve"> Véase el documento</w:t>
      </w:r>
      <w:r w:rsidRPr="00287190">
        <w:rPr>
          <w:szCs w:val="18"/>
        </w:rPr>
        <w:t xml:space="preserve"> LI/A/32/2.</w:t>
      </w:r>
    </w:p>
  </w:footnote>
  <w:footnote w:id="9">
    <w:p w:rsidR="00180A9C" w:rsidRPr="00B60496" w:rsidRDefault="00180A9C" w:rsidP="00EC40E6">
      <w:pPr>
        <w:pStyle w:val="FootnoteText"/>
        <w:rPr>
          <w:szCs w:val="18"/>
        </w:rPr>
      </w:pPr>
      <w:r w:rsidRPr="0069630D">
        <w:rPr>
          <w:sz w:val="12"/>
          <w:szCs w:val="18"/>
        </w:rPr>
        <w:footnoteRef/>
      </w:r>
      <w:r w:rsidRPr="001557E8">
        <w:rPr>
          <w:szCs w:val="18"/>
        </w:rPr>
        <w:t xml:space="preserve"> </w:t>
      </w:r>
      <w:r w:rsidR="00EC40E6">
        <w:rPr>
          <w:szCs w:val="18"/>
        </w:rPr>
        <w:t>Sobre la base de</w:t>
      </w:r>
      <w:r w:rsidR="00B60496" w:rsidRPr="00B60496">
        <w:rPr>
          <w:szCs w:val="18"/>
        </w:rPr>
        <w:t xml:space="preserve"> los ingresos y los gastos totales </w:t>
      </w:r>
      <w:r w:rsidR="00B60496">
        <w:rPr>
          <w:szCs w:val="18"/>
        </w:rPr>
        <w:t>de</w:t>
      </w:r>
      <w:r w:rsidR="00B60496" w:rsidRPr="00B60496">
        <w:rPr>
          <w:szCs w:val="18"/>
        </w:rPr>
        <w:t xml:space="preserve"> la Uni</w:t>
      </w:r>
      <w:r w:rsidR="00B60496">
        <w:rPr>
          <w:szCs w:val="18"/>
        </w:rPr>
        <w:t xml:space="preserve">ón de Lisboa previstos para </w:t>
      </w:r>
      <w:r w:rsidR="009D564A">
        <w:rPr>
          <w:szCs w:val="18"/>
        </w:rPr>
        <w:t xml:space="preserve">el bienio </w:t>
      </w:r>
      <w:r w:rsidR="003364A0">
        <w:rPr>
          <w:szCs w:val="18"/>
        </w:rPr>
        <w:t>2016/</w:t>
      </w:r>
      <w:r w:rsidR="00B60496">
        <w:rPr>
          <w:szCs w:val="18"/>
        </w:rPr>
        <w:t xml:space="preserve">17, incluida la proporción de “Otros ingresos” de la Unión calculada según la metodología </w:t>
      </w:r>
      <w:r w:rsidR="009D564A">
        <w:rPr>
          <w:szCs w:val="18"/>
        </w:rPr>
        <w:t>para</w:t>
      </w:r>
      <w:r w:rsidR="00B60496">
        <w:rPr>
          <w:szCs w:val="18"/>
        </w:rPr>
        <w:t xml:space="preserve"> la asignación de ingresos por Unión descrita en el Anexo III del proyecto de propuesta de presupuesto por programas para el bienio 2016/17.</w:t>
      </w:r>
    </w:p>
  </w:footnote>
  <w:footnote w:id="10">
    <w:p w:rsidR="00180A9C" w:rsidRPr="00E608DA" w:rsidRDefault="00180A9C" w:rsidP="00E608DA">
      <w:pPr>
        <w:pStyle w:val="FootnoteText"/>
        <w:rPr>
          <w:szCs w:val="18"/>
        </w:rPr>
      </w:pPr>
      <w:r w:rsidRPr="000363D3">
        <w:rPr>
          <w:rStyle w:val="FootnoteReference"/>
          <w:szCs w:val="18"/>
        </w:rPr>
        <w:footnoteRef/>
      </w:r>
      <w:r w:rsidRPr="00171767">
        <w:rPr>
          <w:szCs w:val="18"/>
        </w:rPr>
        <w:t xml:space="preserve"> </w:t>
      </w:r>
      <w:r w:rsidRPr="00E608DA">
        <w:rPr>
          <w:szCs w:val="18"/>
        </w:rPr>
        <w:t>Pueden consultarse las decision</w:t>
      </w:r>
      <w:r>
        <w:rPr>
          <w:szCs w:val="18"/>
        </w:rPr>
        <w:t>e</w:t>
      </w:r>
      <w:r w:rsidRPr="00E608DA">
        <w:rPr>
          <w:szCs w:val="18"/>
        </w:rPr>
        <w:t xml:space="preserve">s en el </w:t>
      </w:r>
      <w:r w:rsidRPr="006E0DFC">
        <w:rPr>
          <w:szCs w:val="18"/>
        </w:rPr>
        <w:t>documento AB/VII/23, párrafos</w:t>
      </w:r>
      <w:r w:rsidRPr="00E608DA">
        <w:rPr>
          <w:szCs w:val="18"/>
        </w:rPr>
        <w:t xml:space="preserve"> 294 y 303. </w:t>
      </w:r>
    </w:p>
  </w:footnote>
  <w:footnote w:id="11">
    <w:p w:rsidR="00180A9C" w:rsidRPr="006B2E94" w:rsidRDefault="00180A9C" w:rsidP="006B2E94">
      <w:pPr>
        <w:pStyle w:val="FootnoteText"/>
        <w:rPr>
          <w:szCs w:val="18"/>
        </w:rPr>
      </w:pPr>
      <w:r w:rsidRPr="000363D3">
        <w:rPr>
          <w:rStyle w:val="FootnoteReference"/>
          <w:szCs w:val="18"/>
        </w:rPr>
        <w:footnoteRef/>
      </w:r>
      <w:r w:rsidRPr="009B35E2">
        <w:rPr>
          <w:szCs w:val="18"/>
        </w:rPr>
        <w:t xml:space="preserve"> </w:t>
      </w:r>
      <w:r w:rsidRPr="006B2E94">
        <w:rPr>
          <w:szCs w:val="18"/>
        </w:rPr>
        <w:t xml:space="preserve">Asambleas de los Estados miembros de la OMPI, </w:t>
      </w:r>
      <w:r w:rsidR="00D153DB" w:rsidRPr="006B2E94">
        <w:rPr>
          <w:szCs w:val="18"/>
        </w:rPr>
        <w:t>T</w:t>
      </w:r>
      <w:r w:rsidRPr="006B2E94">
        <w:rPr>
          <w:szCs w:val="18"/>
        </w:rPr>
        <w:t>exto final de las propuestas de modificación del Convenio que establece la Organización Mundial de la Propiedad Intelectual, trigésima novena serie de reuniones, Ginebra, 22 de se</w:t>
      </w:r>
      <w:r w:rsidR="0030473C">
        <w:rPr>
          <w:szCs w:val="18"/>
        </w:rPr>
        <w:t>p</w:t>
      </w:r>
      <w:r w:rsidRPr="006B2E94">
        <w:rPr>
          <w:szCs w:val="18"/>
        </w:rPr>
        <w:t>tiembre a 1 de octubre de 2003 (A/39/2).</w:t>
      </w:r>
    </w:p>
  </w:footnote>
  <w:footnote w:id="12">
    <w:p w:rsidR="00180A9C" w:rsidRPr="00D477C9" w:rsidRDefault="00180A9C" w:rsidP="001158F2">
      <w:pPr>
        <w:pStyle w:val="FootnoteText"/>
        <w:rPr>
          <w:szCs w:val="18"/>
        </w:rPr>
      </w:pPr>
      <w:r w:rsidRPr="006B2E94">
        <w:rPr>
          <w:rStyle w:val="FootnoteReference"/>
          <w:szCs w:val="18"/>
        </w:rPr>
        <w:footnoteRef/>
      </w:r>
      <w:r w:rsidRPr="006B2E94">
        <w:rPr>
          <w:szCs w:val="18"/>
        </w:rPr>
        <w:t xml:space="preserve"> Asambleas de los Estados miembros de la OMPI, trigésima novena serie de reunion</w:t>
      </w:r>
      <w:r w:rsidR="006E0DFC" w:rsidRPr="006B2E94">
        <w:rPr>
          <w:szCs w:val="18"/>
        </w:rPr>
        <w:t>e</w:t>
      </w:r>
      <w:r w:rsidRPr="006B2E94">
        <w:rPr>
          <w:szCs w:val="18"/>
        </w:rPr>
        <w:t>s,</w:t>
      </w:r>
      <w:r w:rsidR="00D153DB" w:rsidRPr="006B2E94">
        <w:rPr>
          <w:szCs w:val="18"/>
        </w:rPr>
        <w:t xml:space="preserve"> Informe General,</w:t>
      </w:r>
      <w:r w:rsidRPr="006B2E94">
        <w:rPr>
          <w:szCs w:val="18"/>
        </w:rPr>
        <w:t xml:space="preserve"> Ginebra, 22 de </w:t>
      </w:r>
      <w:r w:rsidR="00287190" w:rsidRPr="006B2E94">
        <w:rPr>
          <w:szCs w:val="18"/>
        </w:rPr>
        <w:t>septiembre</w:t>
      </w:r>
      <w:r w:rsidRPr="006B2E94">
        <w:rPr>
          <w:szCs w:val="18"/>
        </w:rPr>
        <w:t xml:space="preserve"> a 1 de octubre de 2003 (A/39/15).</w:t>
      </w:r>
    </w:p>
  </w:footnote>
  <w:footnote w:id="13">
    <w:p w:rsidR="00180A9C" w:rsidRPr="00B45002" w:rsidRDefault="00180A9C" w:rsidP="00A72E9F">
      <w:pPr>
        <w:pStyle w:val="FootnoteText"/>
        <w:rPr>
          <w:color w:val="0070C0"/>
          <w:szCs w:val="18"/>
        </w:rPr>
      </w:pPr>
      <w:r w:rsidRPr="00282E05">
        <w:rPr>
          <w:rStyle w:val="FootnoteReference"/>
          <w:szCs w:val="18"/>
        </w:rPr>
        <w:footnoteRef/>
      </w:r>
      <w:r w:rsidRPr="00282E05">
        <w:rPr>
          <w:szCs w:val="18"/>
        </w:rPr>
        <w:t xml:space="preserve"> </w:t>
      </w:r>
      <w:r w:rsidR="00B45002" w:rsidRPr="00282E05">
        <w:rPr>
          <w:szCs w:val="18"/>
        </w:rPr>
        <w:t xml:space="preserve">Véase el documento </w:t>
      </w:r>
      <w:r w:rsidR="00A72E9F" w:rsidRPr="00282E05">
        <w:rPr>
          <w:szCs w:val="18"/>
        </w:rPr>
        <w:t xml:space="preserve">titulado </w:t>
      </w:r>
      <w:r w:rsidR="00B45002" w:rsidRPr="00282E05">
        <w:rPr>
          <w:szCs w:val="18"/>
        </w:rPr>
        <w:t xml:space="preserve">“Sistema de contribución única para las seis Uniones </w:t>
      </w:r>
      <w:r w:rsidR="00A72E9F" w:rsidRPr="00282E05">
        <w:rPr>
          <w:szCs w:val="18"/>
        </w:rPr>
        <w:t>financiadas por contribuciones y alineamiento de las contribuciones de los Estados que no son miembros de ninguna Uni</w:t>
      </w:r>
      <w:r w:rsidR="009A5DB4">
        <w:rPr>
          <w:szCs w:val="18"/>
        </w:rPr>
        <w:t>ón -</w:t>
      </w:r>
      <w:r w:rsidR="00A72E9F" w:rsidRPr="00282E05">
        <w:rPr>
          <w:szCs w:val="18"/>
        </w:rPr>
        <w:t xml:space="preserve"> Memorándum del Director General”, Órganos Rectores de la OMPI y de las Uniones a</w:t>
      </w:r>
      <w:r w:rsidR="00161EF8">
        <w:rPr>
          <w:szCs w:val="18"/>
        </w:rPr>
        <w:t>dministradas por la OMPI, v</w:t>
      </w:r>
      <w:r w:rsidR="00A377F7">
        <w:rPr>
          <w:szCs w:val="18"/>
        </w:rPr>
        <w:t>igesimo</w:t>
      </w:r>
      <w:r w:rsidR="00A72E9F" w:rsidRPr="00282E05">
        <w:rPr>
          <w:szCs w:val="18"/>
        </w:rPr>
        <w:t>cuarta serie de reuniones, Ginebra, 20 a 29 de septiembre de 1993 (AB/XXIV/5).</w:t>
      </w:r>
    </w:p>
  </w:footnote>
  <w:footnote w:id="14">
    <w:p w:rsidR="00D06495" w:rsidRDefault="00D06495">
      <w:pPr>
        <w:pStyle w:val="FootnoteText"/>
      </w:pPr>
      <w:r>
        <w:rPr>
          <w:rStyle w:val="FootnoteReference"/>
        </w:rPr>
        <w:footnoteRef/>
      </w:r>
      <w:r>
        <w:t xml:space="preserve"> Además del Convenio de la OMPI, son seis actualmente los tratados financiados mediante contribuciones:  el Convenio de París, el Convenio de Berna, el Arreglo de Estrasburgo, el Arreglo de Niza, el Arreglo de Locarno y el Acuerdo de Viena.</w:t>
      </w:r>
    </w:p>
  </w:footnote>
  <w:footnote w:id="15">
    <w:p w:rsidR="00180A9C" w:rsidRPr="00D37B55" w:rsidRDefault="00180A9C" w:rsidP="004E3BB1">
      <w:pPr>
        <w:pStyle w:val="FootnoteText"/>
        <w:rPr>
          <w:szCs w:val="18"/>
        </w:rPr>
      </w:pPr>
      <w:r w:rsidRPr="00D37B55">
        <w:rPr>
          <w:szCs w:val="18"/>
          <w:vertAlign w:val="superscript"/>
        </w:rPr>
        <w:footnoteRef/>
      </w:r>
      <w:r w:rsidRPr="00D37B55">
        <w:rPr>
          <w:szCs w:val="18"/>
          <w:vertAlign w:val="superscript"/>
        </w:rPr>
        <w:t xml:space="preserve"> </w:t>
      </w:r>
      <w:r w:rsidRPr="00D37B55">
        <w:rPr>
          <w:szCs w:val="18"/>
        </w:rPr>
        <w:t xml:space="preserve">Sobre la base de los ingresos y los gastos totales de la Unión de Lisboa previstos para </w:t>
      </w:r>
      <w:r w:rsidR="00161EF8" w:rsidRPr="00D37B55">
        <w:rPr>
          <w:szCs w:val="18"/>
        </w:rPr>
        <w:t xml:space="preserve">el bienio </w:t>
      </w:r>
      <w:r w:rsidRPr="00D37B55">
        <w:rPr>
          <w:szCs w:val="18"/>
        </w:rPr>
        <w:t>2016/17, incluida la parte de la Unión correspondiente a “Otros ingresos” calculad</w:t>
      </w:r>
      <w:r w:rsidR="00161EF8" w:rsidRPr="00D37B55">
        <w:rPr>
          <w:szCs w:val="18"/>
        </w:rPr>
        <w:t>a</w:t>
      </w:r>
      <w:r w:rsidRPr="00D37B55">
        <w:rPr>
          <w:szCs w:val="18"/>
        </w:rPr>
        <w:t xml:space="preserve"> según la metodología </w:t>
      </w:r>
      <w:r w:rsidR="004E3BB1">
        <w:rPr>
          <w:szCs w:val="18"/>
        </w:rPr>
        <w:t>para la</w:t>
      </w:r>
      <w:r w:rsidRPr="00D37B55">
        <w:rPr>
          <w:szCs w:val="18"/>
        </w:rPr>
        <w:t xml:space="preserve"> asignación de los ingresos por Unión descrita en el Anexo III del proyecto de propuesta de presupuesto por programas para el bienio 2016/17, </w:t>
      </w:r>
      <w:r w:rsidR="00161EF8" w:rsidRPr="00D37B55">
        <w:rPr>
          <w:szCs w:val="18"/>
        </w:rPr>
        <w:t>en el supuesto de</w:t>
      </w:r>
      <w:r w:rsidRPr="00D37B55">
        <w:rPr>
          <w:szCs w:val="18"/>
        </w:rPr>
        <w:t xml:space="preserve"> que la Asamblea de la Unión de Lisboa </w:t>
      </w:r>
      <w:r w:rsidR="0075455E" w:rsidRPr="00D37B55">
        <w:rPr>
          <w:szCs w:val="18"/>
        </w:rPr>
        <w:t>apruebe</w:t>
      </w:r>
      <w:r w:rsidRPr="00D37B55">
        <w:rPr>
          <w:szCs w:val="18"/>
        </w:rPr>
        <w:t xml:space="preserve"> la tabla de tasas propuesta.  </w:t>
      </w:r>
    </w:p>
  </w:footnote>
  <w:footnote w:id="16">
    <w:p w:rsidR="00180A9C" w:rsidRPr="00D37B55" w:rsidRDefault="00180A9C" w:rsidP="008A3E2F">
      <w:pPr>
        <w:pStyle w:val="FootnoteText"/>
        <w:rPr>
          <w:szCs w:val="18"/>
        </w:rPr>
      </w:pPr>
      <w:r w:rsidRPr="00D37B55">
        <w:rPr>
          <w:rStyle w:val="FootnoteReference"/>
          <w:szCs w:val="18"/>
        </w:rPr>
        <w:footnoteRef/>
      </w:r>
      <w:r w:rsidRPr="00D37B55">
        <w:rPr>
          <w:szCs w:val="18"/>
        </w:rPr>
        <w:t xml:space="preserve"> </w:t>
      </w:r>
      <w:r w:rsidR="007C5842" w:rsidRPr="00D37B55">
        <w:rPr>
          <w:szCs w:val="18"/>
        </w:rPr>
        <w:t xml:space="preserve">Documento </w:t>
      </w:r>
      <w:r w:rsidRPr="00D37B55">
        <w:rPr>
          <w:szCs w:val="18"/>
        </w:rPr>
        <w:t>WO/PBC/23/9.</w:t>
      </w:r>
    </w:p>
  </w:footnote>
  <w:footnote w:id="17">
    <w:p w:rsidR="00180A9C" w:rsidRPr="00BD7337" w:rsidRDefault="00180A9C" w:rsidP="00BD7337">
      <w:pPr>
        <w:pStyle w:val="FootnoteText"/>
        <w:rPr>
          <w:szCs w:val="18"/>
        </w:rPr>
      </w:pPr>
      <w:r w:rsidRPr="00D37B55">
        <w:rPr>
          <w:rStyle w:val="FootnoteReference"/>
          <w:szCs w:val="18"/>
        </w:rPr>
        <w:footnoteRef/>
      </w:r>
      <w:r w:rsidRPr="00D37B55">
        <w:rPr>
          <w:szCs w:val="18"/>
        </w:rPr>
        <w:t xml:space="preserve"> Pueden consultarse las decisiones en el documento AB/VII/23, párrafos 294 y 303.</w:t>
      </w:r>
    </w:p>
  </w:footnote>
  <w:footnote w:id="18">
    <w:p w:rsidR="00180A9C" w:rsidRPr="0098040E" w:rsidRDefault="00180A9C" w:rsidP="0098040E">
      <w:pPr>
        <w:pStyle w:val="FootnoteText"/>
        <w:rPr>
          <w:szCs w:val="18"/>
        </w:rPr>
      </w:pPr>
      <w:r w:rsidRPr="0098040E">
        <w:rPr>
          <w:szCs w:val="18"/>
          <w:vertAlign w:val="superscript"/>
        </w:rPr>
        <w:footnoteRef/>
      </w:r>
      <w:r w:rsidRPr="0098040E">
        <w:rPr>
          <w:szCs w:val="18"/>
        </w:rPr>
        <w:t xml:space="preserve"> Sobre la base de los ingresos y los gastos totales de la</w:t>
      </w:r>
      <w:r w:rsidR="0098040E">
        <w:rPr>
          <w:szCs w:val="18"/>
        </w:rPr>
        <w:t xml:space="preserve"> Unión de Lisboa previstos para el bienio </w:t>
      </w:r>
      <w:r w:rsidRPr="0098040E">
        <w:rPr>
          <w:szCs w:val="18"/>
        </w:rPr>
        <w:t xml:space="preserve">2016/17, incluida la parte de la Unión correspondiente a “Otros ingresos” </w:t>
      </w:r>
      <w:r w:rsidRPr="00EA69D6">
        <w:rPr>
          <w:szCs w:val="18"/>
        </w:rPr>
        <w:t>calculad</w:t>
      </w:r>
      <w:r w:rsidR="0098040E" w:rsidRPr="00EA69D6">
        <w:rPr>
          <w:szCs w:val="18"/>
        </w:rPr>
        <w:t>a</w:t>
      </w:r>
      <w:r w:rsidRPr="00EA69D6">
        <w:rPr>
          <w:szCs w:val="18"/>
        </w:rPr>
        <w:t xml:space="preserve"> según la metodología </w:t>
      </w:r>
      <w:r w:rsidR="0098040E" w:rsidRPr="00EA69D6">
        <w:rPr>
          <w:szCs w:val="18"/>
        </w:rPr>
        <w:t>para la</w:t>
      </w:r>
      <w:r w:rsidRPr="00EA69D6">
        <w:rPr>
          <w:szCs w:val="18"/>
        </w:rPr>
        <w:t xml:space="preserve"> asignación</w:t>
      </w:r>
      <w:r w:rsidR="0098040E" w:rsidRPr="00EA69D6">
        <w:rPr>
          <w:szCs w:val="18"/>
        </w:rPr>
        <w:t xml:space="preserve"> de los</w:t>
      </w:r>
      <w:r w:rsidR="0098040E">
        <w:rPr>
          <w:szCs w:val="18"/>
        </w:rPr>
        <w:t xml:space="preserve"> ingresos por Unión</w:t>
      </w:r>
      <w:r w:rsidRPr="0098040E">
        <w:rPr>
          <w:szCs w:val="18"/>
        </w:rPr>
        <w:t xml:space="preserve"> descrita en el Anexo III del proyecto de propuesta de presupuesto por programas para el bienio 2016/17, </w:t>
      </w:r>
      <w:r w:rsidR="0098040E">
        <w:rPr>
          <w:szCs w:val="18"/>
        </w:rPr>
        <w:t>en el supuesto de</w:t>
      </w:r>
      <w:r w:rsidRPr="0098040E">
        <w:rPr>
          <w:szCs w:val="18"/>
        </w:rPr>
        <w:t xml:space="preserve"> que la Asamblea de la Unión de Lisboa adopte la tabla de tasas propuesta.  </w:t>
      </w:r>
    </w:p>
  </w:footnote>
  <w:footnote w:id="19">
    <w:p w:rsidR="00180A9C" w:rsidRPr="009C5974" w:rsidRDefault="00180A9C" w:rsidP="009C5974">
      <w:pPr>
        <w:pStyle w:val="FootnoteText"/>
        <w:rPr>
          <w:szCs w:val="18"/>
        </w:rPr>
      </w:pPr>
      <w:r w:rsidRPr="00B522DF">
        <w:rPr>
          <w:rStyle w:val="FootnoteReference"/>
          <w:szCs w:val="18"/>
        </w:rPr>
        <w:footnoteRef/>
      </w:r>
      <w:r w:rsidRPr="009C5974">
        <w:rPr>
          <w:szCs w:val="18"/>
        </w:rPr>
        <w:t xml:space="preserve"> </w:t>
      </w:r>
      <w:r w:rsidR="009C5974" w:rsidRPr="009C5974">
        <w:rPr>
          <w:szCs w:val="18"/>
        </w:rPr>
        <w:t>Acuerdo de Sede, Informe del Director General al Comit</w:t>
      </w:r>
      <w:r w:rsidR="009C5974">
        <w:rPr>
          <w:szCs w:val="18"/>
        </w:rPr>
        <w:t xml:space="preserve">é de Coordinación de la Organización Mundial de la Propiedad Intelectual, </w:t>
      </w:r>
      <w:r w:rsidR="00B522DF" w:rsidRPr="009C5974">
        <w:rPr>
          <w:szCs w:val="18"/>
        </w:rPr>
        <w:t xml:space="preserve">segundo período </w:t>
      </w:r>
      <w:r w:rsidR="009C5974">
        <w:rPr>
          <w:szCs w:val="18"/>
        </w:rPr>
        <w:t xml:space="preserve">de sesiones </w:t>
      </w:r>
      <w:r w:rsidR="00B522DF" w:rsidRPr="009C5974">
        <w:rPr>
          <w:szCs w:val="18"/>
        </w:rPr>
        <w:t>ordinario</w:t>
      </w:r>
      <w:r w:rsidRPr="009C5974">
        <w:rPr>
          <w:szCs w:val="18"/>
        </w:rPr>
        <w:t xml:space="preserve">, </w:t>
      </w:r>
      <w:r w:rsidR="00B522DF" w:rsidRPr="009C5974">
        <w:rPr>
          <w:szCs w:val="18"/>
        </w:rPr>
        <w:t>Ginebra</w:t>
      </w:r>
      <w:r w:rsidRPr="009C5974">
        <w:rPr>
          <w:szCs w:val="18"/>
        </w:rPr>
        <w:t xml:space="preserve">, </w:t>
      </w:r>
      <w:r w:rsidR="00EB1456" w:rsidRPr="009C5974">
        <w:rPr>
          <w:szCs w:val="18"/>
        </w:rPr>
        <w:t xml:space="preserve">27 de </w:t>
      </w:r>
      <w:r w:rsidR="00B522DF" w:rsidRPr="009C5974">
        <w:rPr>
          <w:szCs w:val="18"/>
        </w:rPr>
        <w:t xml:space="preserve">septiembre </w:t>
      </w:r>
      <w:r w:rsidR="00EB1456" w:rsidRPr="009C5974">
        <w:rPr>
          <w:szCs w:val="18"/>
        </w:rPr>
        <w:t xml:space="preserve"> a 2 de </w:t>
      </w:r>
      <w:r w:rsidR="00B522DF" w:rsidRPr="009C5974">
        <w:rPr>
          <w:szCs w:val="18"/>
        </w:rPr>
        <w:t>octubre</w:t>
      </w:r>
      <w:r w:rsidR="00EB1456" w:rsidRPr="009C5974">
        <w:rPr>
          <w:szCs w:val="18"/>
        </w:rPr>
        <w:t xml:space="preserve"> de 1971</w:t>
      </w:r>
      <w:r w:rsidRPr="009C5974">
        <w:rPr>
          <w:szCs w:val="18"/>
        </w:rPr>
        <w:t xml:space="preserve"> (WO/CC/II/3).</w:t>
      </w:r>
    </w:p>
  </w:footnote>
  <w:footnote w:id="20">
    <w:p w:rsidR="00180A9C" w:rsidRPr="00CF067F" w:rsidRDefault="00180A9C" w:rsidP="00CF067F">
      <w:pPr>
        <w:pStyle w:val="FootnoteText"/>
        <w:rPr>
          <w:szCs w:val="18"/>
        </w:rPr>
      </w:pPr>
      <w:r w:rsidRPr="000363D3">
        <w:rPr>
          <w:rStyle w:val="FootnoteReference"/>
          <w:szCs w:val="18"/>
        </w:rPr>
        <w:footnoteRef/>
      </w:r>
      <w:r w:rsidRPr="00CF067F">
        <w:rPr>
          <w:szCs w:val="18"/>
        </w:rPr>
        <w:t xml:space="preserve"> </w:t>
      </w:r>
      <w:r w:rsidR="00E72127" w:rsidRPr="009C5974">
        <w:rPr>
          <w:szCs w:val="18"/>
        </w:rPr>
        <w:t xml:space="preserve">Descrita </w:t>
      </w:r>
      <w:r w:rsidRPr="009C5974">
        <w:rPr>
          <w:szCs w:val="18"/>
        </w:rPr>
        <w:t>en el Anexo III del proyecto de propuesta de presupuesto por programas para el bienio 2016/17.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D5" w:rsidRDefault="00A12AD5" w:rsidP="00A12AD5">
    <w:pPr>
      <w:pStyle w:val="Header"/>
      <w:jc w:val="right"/>
    </w:pPr>
    <w:r>
      <w:t>LI/A/32/3</w:t>
    </w:r>
  </w:p>
  <w:p w:rsidR="00A12AD5" w:rsidRDefault="00A12AD5" w:rsidP="00A12AD5">
    <w:pPr>
      <w:pStyle w:val="Header"/>
      <w:jc w:val="right"/>
      <w:rPr>
        <w:noProof/>
      </w:rPr>
    </w:pPr>
    <w:r>
      <w:t xml:space="preserve">página </w:t>
    </w:r>
    <w:r>
      <w:fldChar w:fldCharType="begin"/>
    </w:r>
    <w:r>
      <w:instrText xml:space="preserve"> PAGE   \* MERGEFORMAT </w:instrText>
    </w:r>
    <w:r>
      <w:fldChar w:fldCharType="separate"/>
    </w:r>
    <w:r w:rsidR="00A964DD">
      <w:rPr>
        <w:noProof/>
      </w:rPr>
      <w:t>2</w:t>
    </w:r>
    <w:r>
      <w:rPr>
        <w:noProof/>
      </w:rPr>
      <w:fldChar w:fldCharType="end"/>
    </w:r>
  </w:p>
  <w:p w:rsidR="00A12AD5" w:rsidRPr="00A12AD5" w:rsidRDefault="00A12AD5" w:rsidP="00A12AD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D5" w:rsidRDefault="00A12AD5" w:rsidP="00A12AD5">
    <w:pPr>
      <w:pStyle w:val="Header"/>
      <w:jc w:val="right"/>
    </w:pPr>
    <w:r>
      <w:t>WO/PBC/24/16 Rev.</w:t>
    </w:r>
  </w:p>
  <w:p w:rsidR="00A12AD5" w:rsidRDefault="00A12AD5" w:rsidP="00A12AD5">
    <w:pPr>
      <w:pStyle w:val="Header"/>
      <w:jc w:val="right"/>
      <w:rPr>
        <w:noProof/>
      </w:rPr>
    </w:pPr>
    <w:r>
      <w:t xml:space="preserve">página </w:t>
    </w:r>
    <w:r>
      <w:fldChar w:fldCharType="begin"/>
    </w:r>
    <w:r>
      <w:instrText xml:space="preserve"> PAGE   \* MERGEFORMAT </w:instrText>
    </w:r>
    <w:r>
      <w:fldChar w:fldCharType="separate"/>
    </w:r>
    <w:r w:rsidR="00A964DD">
      <w:rPr>
        <w:noProof/>
      </w:rPr>
      <w:t>9</w:t>
    </w:r>
    <w:r>
      <w:rPr>
        <w:noProof/>
      </w:rPr>
      <w:fldChar w:fldCharType="end"/>
    </w:r>
  </w:p>
  <w:p w:rsidR="00A12AD5" w:rsidRPr="00A12AD5" w:rsidRDefault="00A12AD5" w:rsidP="00A12AD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D5" w:rsidRPr="00A12AD5" w:rsidRDefault="00A12AD5" w:rsidP="00A12A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9C" w:rsidRDefault="00180A9C" w:rsidP="00477D6B">
    <w:pPr>
      <w:jc w:val="right"/>
    </w:pPr>
    <w:bookmarkStart w:id="6" w:name="Code2"/>
    <w:bookmarkEnd w:id="6"/>
    <w:r>
      <w:t>WO/PBC/24/16</w:t>
    </w:r>
    <w:r w:rsidR="00D06495">
      <w:t xml:space="preserve"> Rev.</w:t>
    </w:r>
  </w:p>
  <w:p w:rsidR="00180A9C" w:rsidRDefault="00180A9C" w:rsidP="00477D6B">
    <w:pPr>
      <w:jc w:val="right"/>
    </w:pPr>
    <w:r>
      <w:t xml:space="preserve">Anexo, página </w:t>
    </w:r>
    <w:r>
      <w:fldChar w:fldCharType="begin"/>
    </w:r>
    <w:r>
      <w:instrText xml:space="preserve"> PAGE  \* MERGEFORMAT </w:instrText>
    </w:r>
    <w:r>
      <w:fldChar w:fldCharType="separate"/>
    </w:r>
    <w:r w:rsidR="00A964DD">
      <w:rPr>
        <w:noProof/>
      </w:rPr>
      <w:t>2</w:t>
    </w:r>
    <w:r>
      <w:fldChar w:fldCharType="end"/>
    </w:r>
  </w:p>
  <w:p w:rsidR="00180A9C" w:rsidRDefault="00180A9C"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9C" w:rsidRDefault="00180A9C" w:rsidP="00E84719">
    <w:pPr>
      <w:jc w:val="right"/>
    </w:pPr>
    <w:r>
      <w:t>WO/PBC/24/16</w:t>
    </w:r>
    <w:r w:rsidR="00D06495">
      <w:t xml:space="preserve"> Rev.</w:t>
    </w:r>
  </w:p>
  <w:p w:rsidR="00180A9C" w:rsidRDefault="00180A9C" w:rsidP="00E84719">
    <w:pPr>
      <w:pStyle w:val="Header"/>
      <w:jc w:val="right"/>
    </w:pPr>
    <w:r>
      <w:t>ANEXO</w:t>
    </w:r>
  </w:p>
  <w:p w:rsidR="00180A9C" w:rsidRDefault="00180A9C" w:rsidP="00E8471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A40AEE"/>
    <w:multiLevelType w:val="hybridMultilevel"/>
    <w:tmpl w:val="ADCE51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56F0B2"/>
    <w:lvl w:ilvl="0">
      <w:start w:val="1"/>
      <w:numFmt w:val="decimal"/>
      <w:lvlRestart w:val="0"/>
      <w:pStyle w:val="ONUME"/>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AF50D2"/>
    <w:multiLevelType w:val="hybridMultilevel"/>
    <w:tmpl w:val="E536E62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354C49"/>
    <w:multiLevelType w:val="hybridMultilevel"/>
    <w:tmpl w:val="B4409D8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BF6B09"/>
    <w:multiLevelType w:val="hybridMultilevel"/>
    <w:tmpl w:val="07360DCC"/>
    <w:lvl w:ilvl="0" w:tplc="DA7ECE7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5E59DE"/>
    <w:multiLevelType w:val="hybridMultilevel"/>
    <w:tmpl w:val="D884E6F8"/>
    <w:lvl w:ilvl="0" w:tplc="DA7ECE7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8"/>
  </w:num>
  <w:num w:numId="3">
    <w:abstractNumId w:val="0"/>
  </w:num>
  <w:num w:numId="4">
    <w:abstractNumId w:val="9"/>
  </w:num>
  <w:num w:numId="5">
    <w:abstractNumId w:val="2"/>
  </w:num>
  <w:num w:numId="6">
    <w:abstractNumId w:val="6"/>
  </w:num>
  <w:num w:numId="7">
    <w:abstractNumId w:val="4"/>
  </w:num>
  <w:num w:numId="8">
    <w:abstractNumId w:val="3"/>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A4"/>
    <w:rsid w:val="0001061B"/>
    <w:rsid w:val="00010686"/>
    <w:rsid w:val="00026157"/>
    <w:rsid w:val="00026872"/>
    <w:rsid w:val="00031CD5"/>
    <w:rsid w:val="00035A0E"/>
    <w:rsid w:val="00050144"/>
    <w:rsid w:val="00052915"/>
    <w:rsid w:val="000B0AAB"/>
    <w:rsid w:val="000B32E2"/>
    <w:rsid w:val="000B5142"/>
    <w:rsid w:val="000C0CF1"/>
    <w:rsid w:val="000E3549"/>
    <w:rsid w:val="000E3BB3"/>
    <w:rsid w:val="000E7FEE"/>
    <w:rsid w:val="000F5E56"/>
    <w:rsid w:val="001061E4"/>
    <w:rsid w:val="001130CB"/>
    <w:rsid w:val="001158F2"/>
    <w:rsid w:val="00121BEC"/>
    <w:rsid w:val="0012757B"/>
    <w:rsid w:val="001303EB"/>
    <w:rsid w:val="001359A1"/>
    <w:rsid w:val="001362EE"/>
    <w:rsid w:val="00140F83"/>
    <w:rsid w:val="0014173F"/>
    <w:rsid w:val="00152CEA"/>
    <w:rsid w:val="001557E8"/>
    <w:rsid w:val="00160AF8"/>
    <w:rsid w:val="00161EF8"/>
    <w:rsid w:val="00171767"/>
    <w:rsid w:val="00180A9C"/>
    <w:rsid w:val="001810AF"/>
    <w:rsid w:val="001832A6"/>
    <w:rsid w:val="0019695A"/>
    <w:rsid w:val="00196B98"/>
    <w:rsid w:val="001B004E"/>
    <w:rsid w:val="001B0E9C"/>
    <w:rsid w:val="001B1E25"/>
    <w:rsid w:val="001D08D8"/>
    <w:rsid w:val="001D6CCE"/>
    <w:rsid w:val="001F0073"/>
    <w:rsid w:val="00233D7D"/>
    <w:rsid w:val="002520ED"/>
    <w:rsid w:val="002634C4"/>
    <w:rsid w:val="002673BE"/>
    <w:rsid w:val="00270DF2"/>
    <w:rsid w:val="00282E05"/>
    <w:rsid w:val="00283AC3"/>
    <w:rsid w:val="00284698"/>
    <w:rsid w:val="00284818"/>
    <w:rsid w:val="00287190"/>
    <w:rsid w:val="00292C56"/>
    <w:rsid w:val="002965A7"/>
    <w:rsid w:val="002A184B"/>
    <w:rsid w:val="002A7AD7"/>
    <w:rsid w:val="002A7BFF"/>
    <w:rsid w:val="002B416D"/>
    <w:rsid w:val="002C2F09"/>
    <w:rsid w:val="002E0F47"/>
    <w:rsid w:val="002E3D1F"/>
    <w:rsid w:val="002F3019"/>
    <w:rsid w:val="002F4E68"/>
    <w:rsid w:val="0030473C"/>
    <w:rsid w:val="00314ACF"/>
    <w:rsid w:val="003364A0"/>
    <w:rsid w:val="00341C5E"/>
    <w:rsid w:val="003472D3"/>
    <w:rsid w:val="00354647"/>
    <w:rsid w:val="00361820"/>
    <w:rsid w:val="003652DA"/>
    <w:rsid w:val="003725D4"/>
    <w:rsid w:val="00377273"/>
    <w:rsid w:val="0038293B"/>
    <w:rsid w:val="003845C1"/>
    <w:rsid w:val="00387287"/>
    <w:rsid w:val="003D5745"/>
    <w:rsid w:val="003D5E5D"/>
    <w:rsid w:val="003E2FDA"/>
    <w:rsid w:val="003E48F1"/>
    <w:rsid w:val="003E58BC"/>
    <w:rsid w:val="003E6C31"/>
    <w:rsid w:val="003F347A"/>
    <w:rsid w:val="004138C6"/>
    <w:rsid w:val="00416372"/>
    <w:rsid w:val="00422CD8"/>
    <w:rsid w:val="00423E3E"/>
    <w:rsid w:val="00425F98"/>
    <w:rsid w:val="00427AF4"/>
    <w:rsid w:val="004439F0"/>
    <w:rsid w:val="0045231F"/>
    <w:rsid w:val="0046007D"/>
    <w:rsid w:val="004647DA"/>
    <w:rsid w:val="0046741B"/>
    <w:rsid w:val="00477808"/>
    <w:rsid w:val="00477D6B"/>
    <w:rsid w:val="00482113"/>
    <w:rsid w:val="00494474"/>
    <w:rsid w:val="004A6C37"/>
    <w:rsid w:val="004B5B02"/>
    <w:rsid w:val="004C2033"/>
    <w:rsid w:val="004C46CC"/>
    <w:rsid w:val="004D1048"/>
    <w:rsid w:val="004E250F"/>
    <w:rsid w:val="004E297D"/>
    <w:rsid w:val="004E3BB1"/>
    <w:rsid w:val="004F35E4"/>
    <w:rsid w:val="004F4D55"/>
    <w:rsid w:val="00503A75"/>
    <w:rsid w:val="005154A7"/>
    <w:rsid w:val="005332F0"/>
    <w:rsid w:val="0053582F"/>
    <w:rsid w:val="0055013B"/>
    <w:rsid w:val="00566B71"/>
    <w:rsid w:val="00571B99"/>
    <w:rsid w:val="00590BED"/>
    <w:rsid w:val="00591554"/>
    <w:rsid w:val="005B03DF"/>
    <w:rsid w:val="005B2247"/>
    <w:rsid w:val="005B4871"/>
    <w:rsid w:val="005B7718"/>
    <w:rsid w:val="005F0EC1"/>
    <w:rsid w:val="005F5493"/>
    <w:rsid w:val="00600710"/>
    <w:rsid w:val="00600C4A"/>
    <w:rsid w:val="0060216E"/>
    <w:rsid w:val="00602637"/>
    <w:rsid w:val="00605827"/>
    <w:rsid w:val="00626AAE"/>
    <w:rsid w:val="006338C1"/>
    <w:rsid w:val="00641C28"/>
    <w:rsid w:val="006518C2"/>
    <w:rsid w:val="0065644B"/>
    <w:rsid w:val="00662BD5"/>
    <w:rsid w:val="00662EFE"/>
    <w:rsid w:val="00675021"/>
    <w:rsid w:val="00682536"/>
    <w:rsid w:val="00687080"/>
    <w:rsid w:val="006A06C6"/>
    <w:rsid w:val="006A38BB"/>
    <w:rsid w:val="006A3975"/>
    <w:rsid w:val="006B02ED"/>
    <w:rsid w:val="006B2E94"/>
    <w:rsid w:val="006C57E3"/>
    <w:rsid w:val="006D0D05"/>
    <w:rsid w:val="006D1246"/>
    <w:rsid w:val="006E0DFC"/>
    <w:rsid w:val="006E2A3C"/>
    <w:rsid w:val="006F35BC"/>
    <w:rsid w:val="0070571F"/>
    <w:rsid w:val="007201B3"/>
    <w:rsid w:val="007224C8"/>
    <w:rsid w:val="00727B50"/>
    <w:rsid w:val="00740501"/>
    <w:rsid w:val="0074168B"/>
    <w:rsid w:val="00744AF1"/>
    <w:rsid w:val="00751D25"/>
    <w:rsid w:val="007532E7"/>
    <w:rsid w:val="0075455E"/>
    <w:rsid w:val="007627FD"/>
    <w:rsid w:val="00794BE2"/>
    <w:rsid w:val="007A22E7"/>
    <w:rsid w:val="007A4811"/>
    <w:rsid w:val="007B3E2C"/>
    <w:rsid w:val="007B6134"/>
    <w:rsid w:val="007B71FE"/>
    <w:rsid w:val="007C5842"/>
    <w:rsid w:val="007C7B41"/>
    <w:rsid w:val="007D781E"/>
    <w:rsid w:val="007E4CE2"/>
    <w:rsid w:val="007E663E"/>
    <w:rsid w:val="007E6659"/>
    <w:rsid w:val="00802DF6"/>
    <w:rsid w:val="00806F18"/>
    <w:rsid w:val="00815082"/>
    <w:rsid w:val="00821D85"/>
    <w:rsid w:val="00832E04"/>
    <w:rsid w:val="0085439A"/>
    <w:rsid w:val="00855361"/>
    <w:rsid w:val="0087326E"/>
    <w:rsid w:val="00873963"/>
    <w:rsid w:val="00875683"/>
    <w:rsid w:val="008817A7"/>
    <w:rsid w:val="00881CC8"/>
    <w:rsid w:val="0088395E"/>
    <w:rsid w:val="008866A3"/>
    <w:rsid w:val="008A3E2F"/>
    <w:rsid w:val="008B2CC1"/>
    <w:rsid w:val="008B43A8"/>
    <w:rsid w:val="008D486E"/>
    <w:rsid w:val="008E6BD6"/>
    <w:rsid w:val="008F1494"/>
    <w:rsid w:val="0090731E"/>
    <w:rsid w:val="00925CC9"/>
    <w:rsid w:val="00926BA6"/>
    <w:rsid w:val="00932182"/>
    <w:rsid w:val="009524E2"/>
    <w:rsid w:val="009640AB"/>
    <w:rsid w:val="00966A22"/>
    <w:rsid w:val="00972F03"/>
    <w:rsid w:val="0098040E"/>
    <w:rsid w:val="00980690"/>
    <w:rsid w:val="009865BA"/>
    <w:rsid w:val="0099786F"/>
    <w:rsid w:val="009A0C8B"/>
    <w:rsid w:val="009A5DB4"/>
    <w:rsid w:val="009B35E2"/>
    <w:rsid w:val="009B6241"/>
    <w:rsid w:val="009C5974"/>
    <w:rsid w:val="009C5B92"/>
    <w:rsid w:val="009D564A"/>
    <w:rsid w:val="009E0594"/>
    <w:rsid w:val="009E2A8D"/>
    <w:rsid w:val="009F51EE"/>
    <w:rsid w:val="009F72A6"/>
    <w:rsid w:val="00A12AD5"/>
    <w:rsid w:val="00A16FC0"/>
    <w:rsid w:val="00A32C9E"/>
    <w:rsid w:val="00A377F7"/>
    <w:rsid w:val="00A65B36"/>
    <w:rsid w:val="00A72E9F"/>
    <w:rsid w:val="00A77DA9"/>
    <w:rsid w:val="00A90112"/>
    <w:rsid w:val="00A92DF4"/>
    <w:rsid w:val="00A95624"/>
    <w:rsid w:val="00A964DD"/>
    <w:rsid w:val="00AA6176"/>
    <w:rsid w:val="00AA73D1"/>
    <w:rsid w:val="00AB613D"/>
    <w:rsid w:val="00AD62D9"/>
    <w:rsid w:val="00AE7F20"/>
    <w:rsid w:val="00AF3A70"/>
    <w:rsid w:val="00B268E1"/>
    <w:rsid w:val="00B45002"/>
    <w:rsid w:val="00B522DF"/>
    <w:rsid w:val="00B57A82"/>
    <w:rsid w:val="00B6033C"/>
    <w:rsid w:val="00B60496"/>
    <w:rsid w:val="00B63BC2"/>
    <w:rsid w:val="00B65A0A"/>
    <w:rsid w:val="00B67CDC"/>
    <w:rsid w:val="00B72D36"/>
    <w:rsid w:val="00B74C85"/>
    <w:rsid w:val="00BA73CC"/>
    <w:rsid w:val="00BB3604"/>
    <w:rsid w:val="00BC4164"/>
    <w:rsid w:val="00BD2DCC"/>
    <w:rsid w:val="00BD5DDE"/>
    <w:rsid w:val="00BD7337"/>
    <w:rsid w:val="00C03F1A"/>
    <w:rsid w:val="00C04893"/>
    <w:rsid w:val="00C077E9"/>
    <w:rsid w:val="00C07AD2"/>
    <w:rsid w:val="00C10D86"/>
    <w:rsid w:val="00C24B72"/>
    <w:rsid w:val="00C30740"/>
    <w:rsid w:val="00C46869"/>
    <w:rsid w:val="00C46A57"/>
    <w:rsid w:val="00C65034"/>
    <w:rsid w:val="00C67D27"/>
    <w:rsid w:val="00C85784"/>
    <w:rsid w:val="00C87D94"/>
    <w:rsid w:val="00C90559"/>
    <w:rsid w:val="00C925FC"/>
    <w:rsid w:val="00CA2251"/>
    <w:rsid w:val="00CC0190"/>
    <w:rsid w:val="00CC1133"/>
    <w:rsid w:val="00CE66C2"/>
    <w:rsid w:val="00CE7F92"/>
    <w:rsid w:val="00CF067F"/>
    <w:rsid w:val="00CF62A9"/>
    <w:rsid w:val="00D01565"/>
    <w:rsid w:val="00D06495"/>
    <w:rsid w:val="00D141F2"/>
    <w:rsid w:val="00D153DB"/>
    <w:rsid w:val="00D1786B"/>
    <w:rsid w:val="00D274B7"/>
    <w:rsid w:val="00D30327"/>
    <w:rsid w:val="00D349A6"/>
    <w:rsid w:val="00D36102"/>
    <w:rsid w:val="00D37B55"/>
    <w:rsid w:val="00D37EC5"/>
    <w:rsid w:val="00D43D09"/>
    <w:rsid w:val="00D44576"/>
    <w:rsid w:val="00D477C9"/>
    <w:rsid w:val="00D56C7C"/>
    <w:rsid w:val="00D71B4D"/>
    <w:rsid w:val="00D827E3"/>
    <w:rsid w:val="00D83FEC"/>
    <w:rsid w:val="00D90289"/>
    <w:rsid w:val="00D93D55"/>
    <w:rsid w:val="00DA3068"/>
    <w:rsid w:val="00DB1800"/>
    <w:rsid w:val="00DB69D3"/>
    <w:rsid w:val="00DC2484"/>
    <w:rsid w:val="00DC4C60"/>
    <w:rsid w:val="00DD4715"/>
    <w:rsid w:val="00DE28D2"/>
    <w:rsid w:val="00E0022D"/>
    <w:rsid w:val="00E005CF"/>
    <w:rsid w:val="00E0079A"/>
    <w:rsid w:val="00E24907"/>
    <w:rsid w:val="00E36A0A"/>
    <w:rsid w:val="00E36ACF"/>
    <w:rsid w:val="00E414E9"/>
    <w:rsid w:val="00E444DA"/>
    <w:rsid w:val="00E45C84"/>
    <w:rsid w:val="00E504E5"/>
    <w:rsid w:val="00E52419"/>
    <w:rsid w:val="00E608DA"/>
    <w:rsid w:val="00E60B95"/>
    <w:rsid w:val="00E72127"/>
    <w:rsid w:val="00E84719"/>
    <w:rsid w:val="00EA368E"/>
    <w:rsid w:val="00EA69D6"/>
    <w:rsid w:val="00EB1456"/>
    <w:rsid w:val="00EB23E8"/>
    <w:rsid w:val="00EB7A3E"/>
    <w:rsid w:val="00EC401A"/>
    <w:rsid w:val="00EC40E6"/>
    <w:rsid w:val="00ED41C6"/>
    <w:rsid w:val="00ED587A"/>
    <w:rsid w:val="00ED67A4"/>
    <w:rsid w:val="00EE2661"/>
    <w:rsid w:val="00EE4E6D"/>
    <w:rsid w:val="00EE5DA9"/>
    <w:rsid w:val="00EF530A"/>
    <w:rsid w:val="00EF6622"/>
    <w:rsid w:val="00F23B59"/>
    <w:rsid w:val="00F35457"/>
    <w:rsid w:val="00F4107A"/>
    <w:rsid w:val="00F43969"/>
    <w:rsid w:val="00F55408"/>
    <w:rsid w:val="00F624A3"/>
    <w:rsid w:val="00F66152"/>
    <w:rsid w:val="00F73898"/>
    <w:rsid w:val="00F75918"/>
    <w:rsid w:val="00F76F99"/>
    <w:rsid w:val="00F80845"/>
    <w:rsid w:val="00F84474"/>
    <w:rsid w:val="00FA0F0D"/>
    <w:rsid w:val="00FB218B"/>
    <w:rsid w:val="00FB3A4F"/>
    <w:rsid w:val="00FB6306"/>
    <w:rsid w:val="00FC6FBA"/>
    <w:rsid w:val="00FD59D1"/>
    <w:rsid w:val="00FF25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paragraph" w:styleId="ListParagraph">
    <w:name w:val="List Paragraph"/>
    <w:basedOn w:val="Normal"/>
    <w:uiPriority w:val="34"/>
    <w:qFormat/>
    <w:rsid w:val="00E84719"/>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FootnoteTextChar">
    <w:name w:val="Footnote Text Char"/>
    <w:basedOn w:val="DefaultParagraphFont"/>
    <w:link w:val="FootnoteText"/>
    <w:rsid w:val="00E84719"/>
    <w:rPr>
      <w:rFonts w:ascii="Arial" w:eastAsia="SimSun" w:hAnsi="Arial" w:cs="Arial"/>
      <w:sz w:val="18"/>
      <w:lang w:val="es-ES"/>
    </w:rPr>
  </w:style>
  <w:style w:type="character" w:styleId="FootnoteReference">
    <w:name w:val="footnote reference"/>
    <w:basedOn w:val="DefaultParagraphFont"/>
    <w:unhideWhenUsed/>
    <w:rsid w:val="00E84719"/>
    <w:rPr>
      <w:vertAlign w:val="superscript"/>
    </w:rPr>
  </w:style>
  <w:style w:type="paragraph" w:customStyle="1" w:styleId="Default">
    <w:name w:val="Default"/>
    <w:rsid w:val="00E84719"/>
    <w:pPr>
      <w:autoSpaceDE w:val="0"/>
      <w:autoSpaceDN w:val="0"/>
      <w:adjustRightInd w:val="0"/>
    </w:pPr>
    <w:rPr>
      <w:rFonts w:ascii="Arial" w:hAnsi="Arial" w:cs="Arial"/>
      <w:color w:val="000000"/>
      <w:sz w:val="24"/>
      <w:szCs w:val="24"/>
      <w:lang w:eastAsia="en-US"/>
    </w:rPr>
  </w:style>
  <w:style w:type="character" w:styleId="Emphasis">
    <w:name w:val="Emphasis"/>
    <w:basedOn w:val="DefaultParagraphFont"/>
    <w:uiPriority w:val="20"/>
    <w:qFormat/>
    <w:rsid w:val="006A38BB"/>
    <w:rPr>
      <w:i/>
      <w:iCs/>
      <w:color w:val="FF0000"/>
    </w:rPr>
  </w:style>
  <w:style w:type="character" w:customStyle="1" w:styleId="preferred">
    <w:name w:val="preferred"/>
    <w:basedOn w:val="DefaultParagraphFont"/>
    <w:rsid w:val="006A3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paragraph" w:styleId="ListParagraph">
    <w:name w:val="List Paragraph"/>
    <w:basedOn w:val="Normal"/>
    <w:uiPriority w:val="34"/>
    <w:qFormat/>
    <w:rsid w:val="00E84719"/>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FootnoteTextChar">
    <w:name w:val="Footnote Text Char"/>
    <w:basedOn w:val="DefaultParagraphFont"/>
    <w:link w:val="FootnoteText"/>
    <w:rsid w:val="00E84719"/>
    <w:rPr>
      <w:rFonts w:ascii="Arial" w:eastAsia="SimSun" w:hAnsi="Arial" w:cs="Arial"/>
      <w:sz w:val="18"/>
      <w:lang w:val="es-ES"/>
    </w:rPr>
  </w:style>
  <w:style w:type="character" w:styleId="FootnoteReference">
    <w:name w:val="footnote reference"/>
    <w:basedOn w:val="DefaultParagraphFont"/>
    <w:unhideWhenUsed/>
    <w:rsid w:val="00E84719"/>
    <w:rPr>
      <w:vertAlign w:val="superscript"/>
    </w:rPr>
  </w:style>
  <w:style w:type="paragraph" w:customStyle="1" w:styleId="Default">
    <w:name w:val="Default"/>
    <w:rsid w:val="00E84719"/>
    <w:pPr>
      <w:autoSpaceDE w:val="0"/>
      <w:autoSpaceDN w:val="0"/>
      <w:adjustRightInd w:val="0"/>
    </w:pPr>
    <w:rPr>
      <w:rFonts w:ascii="Arial" w:hAnsi="Arial" w:cs="Arial"/>
      <w:color w:val="000000"/>
      <w:sz w:val="24"/>
      <w:szCs w:val="24"/>
      <w:lang w:eastAsia="en-US"/>
    </w:rPr>
  </w:style>
  <w:style w:type="character" w:styleId="Emphasis">
    <w:name w:val="Emphasis"/>
    <w:basedOn w:val="DefaultParagraphFont"/>
    <w:uiPriority w:val="20"/>
    <w:qFormat/>
    <w:rsid w:val="006A38BB"/>
    <w:rPr>
      <w:i/>
      <w:iCs/>
      <w:color w:val="FF0000"/>
    </w:rPr>
  </w:style>
  <w:style w:type="character" w:customStyle="1" w:styleId="preferred">
    <w:name w:val="preferred"/>
    <w:basedOn w:val="DefaultParagraphFont"/>
    <w:rsid w:val="006A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0347E-DC7F-4B2B-9700-B03D291F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24(S).dotm</Template>
  <TotalTime>0</TotalTime>
  <Pages>13</Pages>
  <Words>5259</Words>
  <Characters>28851</Characters>
  <Application>Microsoft Office Word</Application>
  <DocSecurity>4</DocSecurity>
  <Lines>240</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WO/PBC/24/16</vt:lpstr>
      <vt:lpstr>WO/PBC/24/16</vt:lpstr>
    </vt:vector>
  </TitlesOfParts>
  <Company>WIPO</Company>
  <LinksUpToDate>false</LinksUpToDate>
  <CharactersWithSpaces>34042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WO/PBC/24/16</dc:title>
  <dc:creator>BOU LLORET Amparo</dc:creator>
  <dc:description>CGB - 7/8/2015</dc:description>
  <cp:lastModifiedBy>DORE Marie-Pierre</cp:lastModifiedBy>
  <cp:revision>2</cp:revision>
  <cp:lastPrinted>2015-08-12T08:56:00Z</cp:lastPrinted>
  <dcterms:created xsi:type="dcterms:W3CDTF">2015-09-29T10:09:00Z</dcterms:created>
  <dcterms:modified xsi:type="dcterms:W3CDTF">2015-09-29T10:09:00Z</dcterms:modified>
</cp:coreProperties>
</file>